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193"/>
      <w:bookmarkStart w:id="2" w:name="_Toc15306267"/>
      <w:bookmarkStart w:id="3" w:name="_Toc15378441"/>
      <w:bookmarkStart w:id="4" w:name="_Toc15377425"/>
      <w:bookmarkStart w:id="5" w:name="_Toc15396597"/>
      <w:r>
        <w:rPr>
          <w:rFonts w:hint="eastAsia" w:ascii="黑体" w:hAnsi="黑体" w:eastAsia="黑体" w:cs="黑体"/>
          <w:color w:val="auto"/>
          <w:kern w:val="2"/>
          <w:sz w:val="32"/>
          <w:szCs w:val="32"/>
          <w:highlight w:val="none"/>
          <w:lang w:val="en-US" w:eastAsia="zh-CN" w:bidi="ar-SA"/>
        </w:rPr>
        <w:t>附件2</w:t>
      </w:r>
      <w:bookmarkStart w:id="68" w:name="_GoBack"/>
      <w:bookmarkEnd w:id="68"/>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52"/>
          <w:szCs w:val="52"/>
          <w:highlight w:val="none"/>
          <w:lang w:val="en-US" w:eastAsia="zh-CN" w:bidi="ar-SA"/>
        </w:rPr>
        <w:t>阿坝州壤塘县</w:t>
      </w:r>
    </w:p>
    <w:p>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2025年度四川南莫且高原湿地</w:t>
      </w:r>
    </w:p>
    <w:p>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自然保护区管理处部门</w:t>
      </w:r>
      <w:r>
        <w:rPr>
          <w:rFonts w:hint="eastAsia" w:ascii="Times New Roman" w:hAnsi="Times New Roman" w:eastAsia="方正小标宋简体" w:cs="Times New Roman"/>
          <w:color w:val="auto"/>
          <w:kern w:val="2"/>
          <w:sz w:val="44"/>
          <w:szCs w:val="44"/>
          <w:highlight w:val="none"/>
          <w:lang w:val="en-US" w:eastAsia="zh-CN" w:bidi="ar-SA"/>
        </w:rPr>
        <w:t>决算公开</w:t>
      </w:r>
    </w:p>
    <w:p>
      <w:pPr>
        <w:pStyle w:val="20"/>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27</w:t>
      </w:r>
      <w:r>
        <w:rPr>
          <w:rFonts w:hint="eastAsia" w:ascii="Times New Roman" w:hAnsi="Times New Roman" w:eastAsia="仿宋_GB2312" w:cs="仿宋_GB2312"/>
          <w:color w:val="auto"/>
          <w:sz w:val="32"/>
          <w:szCs w:val="32"/>
          <w:highlight w:val="none"/>
        </w:rPr>
        <w:t>日</w:t>
      </w:r>
    </w:p>
    <w:p>
      <w:pPr>
        <w:pStyle w:val="14"/>
        <w:keepNext w:val="0"/>
        <w:keepLines w:val="0"/>
        <w:pageBreakBefore w:val="0"/>
        <w:widowControl w:val="0"/>
        <w:tabs>
          <w:tab w:val="right" w:leader="dot" w:pos="9071"/>
          <w:tab w:val="clear" w:pos="8296"/>
        </w:tabs>
        <w:kinsoku/>
        <w:wordWrap/>
        <w:overflowPunct/>
        <w:topLinePunct w:val="0"/>
        <w:autoSpaceDE/>
        <w:autoSpaceDN/>
        <w:bidi w:val="0"/>
        <w:adjustRightInd/>
        <w:snapToGrid/>
        <w:spacing w:before="0" w:line="560" w:lineRule="exact"/>
        <w:ind w:left="0" w:leftChars="0"/>
        <w:textAlignment w:val="auto"/>
        <w:rPr>
          <w:rFonts w:hint="eastAsia" w:ascii="黑体" w:hAnsi="黑体" w:eastAsia="黑体" w:cs="Times New Roman"/>
          <w:bCs/>
          <w:lang w:eastAsia="zh-CN"/>
        </w:rPr>
      </w:pPr>
      <w:bookmarkStart w:id="6" w:name="_Toc15377196"/>
      <w:bookmarkStart w:id="7" w:name="_Toc15396599"/>
    </w:p>
    <w:p>
      <w:pPr>
        <w:pStyle w:val="14"/>
        <w:pageBreakBefore w:val="0"/>
        <w:widowControl w:val="0"/>
        <w:tabs>
          <w:tab w:val="right" w:leader="dot" w:pos="9071"/>
          <w:tab w:val="clear" w:pos="8296"/>
        </w:tabs>
        <w:kinsoku/>
        <w:wordWrap/>
        <w:overflowPunct/>
        <w:topLinePunct w:val="0"/>
        <w:autoSpaceDE/>
        <w:autoSpaceDN/>
        <w:bidi w:val="0"/>
        <w:adjustRightInd/>
        <w:snapToGrid/>
        <w:spacing w:before="0" w:line="520" w:lineRule="exact"/>
        <w:ind w:left="0" w:leftChars="0"/>
        <w:textAlignment w:val="auto"/>
        <w:rPr>
          <w:rFonts w:hint="eastAsia" w:ascii="Times New Roman" w:hAnsi="Times New Roman" w:eastAsia="仿宋" w:cs="Times New Roman"/>
          <w:sz w:val="18"/>
          <w:szCs w:val="18"/>
          <w:lang w:eastAsia="zh-CN"/>
        </w:rPr>
      </w:pPr>
      <w:r>
        <w:rPr>
          <w:rFonts w:hint="default" w:ascii="Times New Roman" w:hAnsi="Times New Roman" w:eastAsia="黑体" w:cs="Times New Roman"/>
          <w:bCs/>
          <w:sz w:val="21"/>
          <w:szCs w:val="21"/>
          <w:lang w:eastAsia="zh-CN"/>
        </w:rPr>
        <w:t>第一部分 部门概况</w:t>
      </w:r>
      <w:r>
        <w:rPr>
          <w:rFonts w:hint="default" w:ascii="Times New Roman" w:hAnsi="Times New Roman" w:cs="Times New Roman"/>
          <w:sz w:val="18"/>
          <w:szCs w:val="18"/>
        </w:rPr>
        <w:tab/>
      </w:r>
      <w:r>
        <w:rPr>
          <w:rFonts w:hint="eastAsia" w:ascii="Times New Roman" w:hAnsi="Times New Roman" w:cs="Times New Roman"/>
          <w:sz w:val="18"/>
          <w:szCs w:val="18"/>
          <w:lang w:val="en-US" w:eastAsia="zh-CN"/>
        </w:rPr>
        <w:t>1</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b w:val="0"/>
          <w:bCs w:val="0"/>
          <w:sz w:val="18"/>
          <w:szCs w:val="18"/>
          <w:lang w:eastAsia="zh-CN"/>
        </w:rPr>
      </w:pPr>
      <w:r>
        <w:rPr>
          <w:rFonts w:hint="default" w:ascii="Times New Roman" w:hAnsi="Times New Roman" w:eastAsia="楷体_GB2312" w:cs="Times New Roman"/>
          <w:b w:val="0"/>
          <w:bCs w:val="0"/>
          <w:sz w:val="18"/>
          <w:szCs w:val="18"/>
          <w:lang w:val="en-US" w:eastAsia="zh-CN"/>
        </w:rPr>
        <w:t>一、部门职责</w:t>
      </w:r>
      <w:r>
        <w:rPr>
          <w:rFonts w:hint="default" w:ascii="Times New Roman" w:hAnsi="Times New Roman" w:eastAsia="楷体_GB2312" w:cs="Times New Roman"/>
          <w:b w:val="0"/>
          <w:bCs w:val="0"/>
          <w:sz w:val="18"/>
          <w:szCs w:val="18"/>
        </w:rPr>
        <w:tab/>
      </w:r>
      <w:r>
        <w:rPr>
          <w:rFonts w:hint="eastAsia" w:eastAsia="楷体_GB2312" w:cs="Times New Roman"/>
          <w:b w:val="0"/>
          <w:bCs w:val="0"/>
          <w:sz w:val="18"/>
          <w:szCs w:val="18"/>
          <w:lang w:val="en-US" w:eastAsia="zh-CN"/>
        </w:rPr>
        <w:t>1</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b w:val="0"/>
          <w:bCs w:val="0"/>
          <w:sz w:val="18"/>
          <w:szCs w:val="18"/>
          <w:lang w:eastAsia="zh-CN"/>
        </w:rPr>
      </w:pPr>
      <w:r>
        <w:rPr>
          <w:rFonts w:hint="default" w:ascii="Times New Roman" w:hAnsi="Times New Roman" w:eastAsia="楷体_GB2312" w:cs="Times New Roman"/>
          <w:b w:val="0"/>
          <w:bCs w:val="0"/>
          <w:sz w:val="18"/>
          <w:szCs w:val="18"/>
          <w:lang w:val="en-US" w:eastAsia="zh-CN"/>
        </w:rPr>
        <w:t>二、机构设置</w:t>
      </w:r>
      <w:r>
        <w:rPr>
          <w:rFonts w:hint="default" w:ascii="Times New Roman" w:hAnsi="Times New Roman" w:eastAsia="楷体_GB2312" w:cs="Times New Roman"/>
          <w:b w:val="0"/>
          <w:bCs w:val="0"/>
          <w:sz w:val="18"/>
          <w:szCs w:val="18"/>
        </w:rPr>
        <w:tab/>
      </w:r>
      <w:r>
        <w:rPr>
          <w:rFonts w:hint="eastAsia" w:eastAsia="楷体_GB2312" w:cs="Times New Roman"/>
          <w:b w:val="0"/>
          <w:bCs w:val="0"/>
          <w:sz w:val="18"/>
          <w:szCs w:val="18"/>
          <w:lang w:val="en-US" w:eastAsia="zh-CN"/>
        </w:rPr>
        <w:t>2</w:t>
      </w:r>
    </w:p>
    <w:p>
      <w:pPr>
        <w:pStyle w:val="14"/>
        <w:pageBreakBefore w:val="0"/>
        <w:widowControl w:val="0"/>
        <w:tabs>
          <w:tab w:val="right" w:leader="dot" w:pos="9071"/>
          <w:tab w:val="clear" w:pos="8296"/>
        </w:tabs>
        <w:kinsoku/>
        <w:wordWrap/>
        <w:overflowPunct/>
        <w:topLinePunct w:val="0"/>
        <w:autoSpaceDE/>
        <w:autoSpaceDN/>
        <w:bidi w:val="0"/>
        <w:adjustRightInd/>
        <w:snapToGrid/>
        <w:spacing w:before="0" w:line="520" w:lineRule="exact"/>
        <w:ind w:left="0" w:leftChars="0"/>
        <w:textAlignment w:val="auto"/>
        <w:rPr>
          <w:rFonts w:hint="eastAsia" w:ascii="Times New Roman" w:hAnsi="Times New Roman" w:eastAsia="仿宋" w:cs="Times New Roman"/>
          <w:sz w:val="18"/>
          <w:szCs w:val="18"/>
          <w:lang w:eastAsia="zh-CN"/>
        </w:rPr>
      </w:pPr>
      <w:r>
        <w:rPr>
          <w:rFonts w:hint="default" w:ascii="Times New Roman" w:hAnsi="Times New Roman" w:eastAsia="黑体" w:cs="Times New Roman"/>
          <w:bCs/>
          <w:sz w:val="21"/>
          <w:szCs w:val="21"/>
          <w:lang w:eastAsia="zh-CN"/>
        </w:rPr>
        <w:t>第二部分 202</w:t>
      </w:r>
      <w:r>
        <w:rPr>
          <w:rFonts w:hint="default" w:ascii="Times New Roman" w:hAnsi="Times New Roman" w:eastAsia="黑体" w:cs="Times New Roman"/>
          <w:bCs/>
          <w:sz w:val="21"/>
          <w:szCs w:val="21"/>
          <w:lang w:val="en-US" w:eastAsia="zh-CN"/>
        </w:rPr>
        <w:t>5</w:t>
      </w:r>
      <w:r>
        <w:rPr>
          <w:rFonts w:hint="default" w:ascii="Times New Roman" w:hAnsi="Times New Roman" w:eastAsia="黑体" w:cs="Times New Roman"/>
          <w:bCs/>
          <w:sz w:val="21"/>
          <w:szCs w:val="21"/>
          <w:lang w:eastAsia="zh-CN"/>
        </w:rPr>
        <w:t>年度部门决算情况说明</w:t>
      </w:r>
      <w:r>
        <w:rPr>
          <w:rFonts w:hint="default" w:ascii="Times New Roman" w:hAnsi="Times New Roman" w:cs="Times New Roman"/>
          <w:sz w:val="18"/>
          <w:szCs w:val="18"/>
        </w:rPr>
        <w:tab/>
      </w:r>
      <w:r>
        <w:rPr>
          <w:rFonts w:hint="eastAsia" w:ascii="Times New Roman" w:hAnsi="Times New Roman" w:cs="Times New Roman"/>
          <w:sz w:val="18"/>
          <w:szCs w:val="18"/>
          <w:lang w:val="en-US" w:eastAsia="zh-CN"/>
        </w:rPr>
        <w:t>3</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sz w:val="18"/>
          <w:szCs w:val="18"/>
          <w:lang w:eastAsia="zh-CN"/>
        </w:rPr>
      </w:pPr>
      <w:r>
        <w:rPr>
          <w:rFonts w:hint="default" w:ascii="Times New Roman" w:hAnsi="Times New Roman" w:eastAsia="楷体_GB2312" w:cs="Times New Roman"/>
          <w:sz w:val="18"/>
          <w:szCs w:val="18"/>
          <w:lang w:val="en-US" w:eastAsia="zh-CN"/>
        </w:rPr>
        <w:t>一、收入支出决算总体情况说明</w:t>
      </w:r>
      <w:r>
        <w:rPr>
          <w:rFonts w:hint="default" w:ascii="Times New Roman" w:hAnsi="Times New Roman" w:eastAsia="楷体_GB2312" w:cs="Times New Roman"/>
          <w:sz w:val="18"/>
          <w:szCs w:val="18"/>
        </w:rPr>
        <w:tab/>
      </w:r>
      <w:r>
        <w:rPr>
          <w:rFonts w:hint="eastAsia" w:eastAsia="楷体_GB2312" w:cs="Times New Roman"/>
          <w:sz w:val="18"/>
          <w:szCs w:val="18"/>
          <w:lang w:val="en-US" w:eastAsia="zh-CN"/>
        </w:rPr>
        <w:t>3</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sz w:val="18"/>
          <w:szCs w:val="18"/>
          <w:lang w:eastAsia="zh-CN"/>
        </w:rPr>
      </w:pPr>
      <w:r>
        <w:rPr>
          <w:rFonts w:hint="default" w:ascii="Times New Roman" w:hAnsi="Times New Roman" w:eastAsia="楷体_GB2312" w:cs="Times New Roman"/>
          <w:sz w:val="18"/>
          <w:szCs w:val="18"/>
          <w:lang w:val="en-US" w:eastAsia="zh-CN"/>
        </w:rPr>
        <w:t>二、收入决算情况说明</w:t>
      </w:r>
      <w:r>
        <w:rPr>
          <w:rFonts w:hint="default" w:ascii="Times New Roman" w:hAnsi="Times New Roman" w:eastAsia="楷体_GB2312" w:cs="Times New Roman"/>
          <w:sz w:val="18"/>
          <w:szCs w:val="18"/>
        </w:rPr>
        <w:tab/>
      </w:r>
      <w:r>
        <w:rPr>
          <w:rFonts w:hint="eastAsia" w:eastAsia="楷体_GB2312" w:cs="Times New Roman"/>
          <w:sz w:val="18"/>
          <w:szCs w:val="18"/>
          <w:lang w:val="en-US" w:eastAsia="zh-CN"/>
        </w:rPr>
        <w:t>4</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sz w:val="18"/>
          <w:szCs w:val="18"/>
          <w:lang w:eastAsia="zh-CN"/>
        </w:rPr>
      </w:pPr>
      <w:r>
        <w:rPr>
          <w:rFonts w:hint="default" w:ascii="Times New Roman" w:hAnsi="Times New Roman" w:eastAsia="楷体_GB2312" w:cs="Times New Roman"/>
          <w:sz w:val="18"/>
          <w:szCs w:val="18"/>
          <w:lang w:val="en-US" w:eastAsia="zh-CN"/>
        </w:rPr>
        <w:t>三、支出决算情况说明</w:t>
      </w:r>
      <w:r>
        <w:rPr>
          <w:rFonts w:hint="default" w:ascii="Times New Roman" w:hAnsi="Times New Roman" w:eastAsia="楷体_GB2312" w:cs="Times New Roman"/>
          <w:sz w:val="18"/>
          <w:szCs w:val="18"/>
        </w:rPr>
        <w:tab/>
      </w:r>
      <w:r>
        <w:rPr>
          <w:rFonts w:hint="eastAsia" w:eastAsia="楷体_GB2312" w:cs="Times New Roman"/>
          <w:sz w:val="18"/>
          <w:szCs w:val="18"/>
          <w:lang w:val="en-US" w:eastAsia="zh-CN"/>
        </w:rPr>
        <w:t>4</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sz w:val="18"/>
          <w:szCs w:val="18"/>
          <w:lang w:eastAsia="zh-CN"/>
        </w:rPr>
      </w:pPr>
      <w:r>
        <w:rPr>
          <w:rFonts w:hint="default" w:ascii="Times New Roman" w:hAnsi="Times New Roman" w:eastAsia="楷体_GB2312" w:cs="Times New Roman"/>
          <w:sz w:val="18"/>
          <w:szCs w:val="18"/>
          <w:lang w:val="en-US" w:eastAsia="zh-CN"/>
        </w:rPr>
        <w:t>四、财政拨款收入支出决算总体情况说明</w:t>
      </w:r>
      <w:r>
        <w:rPr>
          <w:rFonts w:hint="default" w:ascii="Times New Roman" w:hAnsi="Times New Roman" w:eastAsia="楷体_GB2312" w:cs="Times New Roman"/>
          <w:sz w:val="18"/>
          <w:szCs w:val="18"/>
        </w:rPr>
        <w:tab/>
      </w:r>
      <w:r>
        <w:rPr>
          <w:rFonts w:hint="eastAsia" w:eastAsia="楷体_GB2312" w:cs="Times New Roman"/>
          <w:sz w:val="18"/>
          <w:szCs w:val="18"/>
          <w:lang w:val="en-US" w:eastAsia="zh-CN"/>
        </w:rPr>
        <w:t>5</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楷体_GB2312" w:cs="Times New Roman"/>
          <w:sz w:val="18"/>
          <w:szCs w:val="18"/>
          <w:lang w:eastAsia="zh-CN"/>
        </w:rPr>
      </w:pPr>
      <w:r>
        <w:rPr>
          <w:rFonts w:hint="default" w:ascii="Times New Roman" w:hAnsi="Times New Roman" w:eastAsia="楷体_GB2312" w:cs="Times New Roman"/>
          <w:sz w:val="18"/>
          <w:szCs w:val="18"/>
          <w:lang w:val="en-US" w:eastAsia="zh-CN"/>
        </w:rPr>
        <w:t>五、一般公共预算财政拨款支出决算情况说明</w:t>
      </w:r>
      <w:r>
        <w:rPr>
          <w:rFonts w:hint="default" w:ascii="Times New Roman" w:hAnsi="Times New Roman" w:eastAsia="楷体_GB2312" w:cs="Times New Roman"/>
          <w:sz w:val="18"/>
          <w:szCs w:val="18"/>
        </w:rPr>
        <w:tab/>
      </w:r>
      <w:r>
        <w:rPr>
          <w:rFonts w:hint="eastAsia" w:eastAsia="楷体_GB2312" w:cs="Times New Roman"/>
          <w:sz w:val="18"/>
          <w:szCs w:val="18"/>
          <w:lang w:val="en-US" w:eastAsia="zh-CN"/>
        </w:rPr>
        <w:t>5</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仿宋_GB2312" w:cs="Times New Roman"/>
          <w:b w:val="0"/>
          <w:bCs w:val="0"/>
          <w:sz w:val="18"/>
          <w:szCs w:val="18"/>
          <w:lang w:eastAsia="zh-CN"/>
        </w:rPr>
      </w:pPr>
      <w:r>
        <w:rPr>
          <w:rFonts w:hint="default" w:ascii="Times New Roman" w:hAnsi="Times New Roman" w:eastAsia="仿宋_GB2312" w:cs="Times New Roman"/>
          <w:b w:val="0"/>
          <w:bCs w:val="0"/>
          <w:color w:val="000000"/>
          <w:sz w:val="18"/>
          <w:szCs w:val="18"/>
        </w:rPr>
        <w:t>（一）一般公共预算财政拨款支出决算总体情况</w:t>
      </w:r>
      <w:r>
        <w:rPr>
          <w:rFonts w:hint="default" w:ascii="Times New Roman" w:hAnsi="Times New Roman" w:eastAsia="仿宋_GB2312" w:cs="Times New Roman"/>
          <w:b w:val="0"/>
          <w:bCs w:val="0"/>
          <w:sz w:val="18"/>
          <w:szCs w:val="18"/>
        </w:rPr>
        <w:tab/>
      </w:r>
      <w:r>
        <w:rPr>
          <w:rFonts w:hint="eastAsia" w:eastAsia="仿宋_GB2312" w:cs="Times New Roman"/>
          <w:b w:val="0"/>
          <w:bCs w:val="0"/>
          <w:sz w:val="18"/>
          <w:szCs w:val="18"/>
          <w:lang w:val="en-US" w:eastAsia="zh-CN"/>
        </w:rPr>
        <w:t>5</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仿宋_GB2312" w:cs="Times New Roman"/>
          <w:b w:val="0"/>
          <w:bCs w:val="0"/>
          <w:sz w:val="18"/>
          <w:szCs w:val="18"/>
          <w:lang w:eastAsia="zh-CN"/>
        </w:rPr>
      </w:pPr>
      <w:r>
        <w:rPr>
          <w:rFonts w:hint="default" w:ascii="Times New Roman" w:hAnsi="Times New Roman" w:eastAsia="仿宋_GB2312" w:cs="Times New Roman"/>
          <w:b w:val="0"/>
          <w:bCs w:val="0"/>
          <w:color w:val="000000"/>
          <w:sz w:val="18"/>
          <w:szCs w:val="18"/>
        </w:rPr>
        <w:t>（二）一般公共预算财政拨款支出决算结构情况</w:t>
      </w:r>
      <w:r>
        <w:rPr>
          <w:rFonts w:hint="default" w:ascii="Times New Roman" w:hAnsi="Times New Roman" w:eastAsia="仿宋_GB2312" w:cs="Times New Roman"/>
          <w:b w:val="0"/>
          <w:bCs w:val="0"/>
          <w:sz w:val="18"/>
          <w:szCs w:val="18"/>
        </w:rPr>
        <w:tab/>
      </w:r>
      <w:r>
        <w:rPr>
          <w:rFonts w:hint="eastAsia" w:eastAsia="仿宋_GB2312" w:cs="Times New Roman"/>
          <w:b w:val="0"/>
          <w:bCs w:val="0"/>
          <w:sz w:val="18"/>
          <w:szCs w:val="18"/>
          <w:lang w:val="en-US" w:eastAsia="zh-CN"/>
        </w:rPr>
        <w:t>6</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cs="Times New Roman"/>
          <w:b w:val="0"/>
          <w:bCs w:val="0"/>
          <w:sz w:val="18"/>
          <w:szCs w:val="18"/>
        </w:rPr>
      </w:pPr>
      <w:r>
        <w:rPr>
          <w:rFonts w:hint="default" w:ascii="Times New Roman" w:hAnsi="Times New Roman" w:eastAsia="仿宋_GB2312" w:cs="Times New Roman"/>
          <w:b w:val="0"/>
          <w:bCs w:val="0"/>
          <w:color w:val="000000"/>
          <w:sz w:val="18"/>
          <w:szCs w:val="18"/>
        </w:rPr>
        <w:t>（三）一般公共预算财政拨款支出决算具体情况</w:t>
      </w:r>
      <w:r>
        <w:rPr>
          <w:rFonts w:hint="default" w:ascii="Times New Roman" w:hAnsi="Times New Roman" w:eastAsia="仿宋_GB2312" w:cs="Times New Roman"/>
          <w:b w:val="0"/>
          <w:bCs w:val="0"/>
          <w:sz w:val="18"/>
          <w:szCs w:val="18"/>
        </w:rPr>
        <w:tab/>
      </w:r>
      <w:r>
        <w:rPr>
          <w:rFonts w:hint="eastAsia" w:eastAsia="仿宋_GB2312" w:cs="Times New Roman"/>
          <w:b w:val="0"/>
          <w:bCs w:val="0"/>
          <w:sz w:val="18"/>
          <w:szCs w:val="18"/>
          <w:lang w:val="en-US" w:eastAsia="zh-CN"/>
        </w:rPr>
        <w:t>6</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仿宋_GB2312" w:cs="Times New Roman"/>
          <w:sz w:val="18"/>
          <w:szCs w:val="18"/>
          <w:lang w:val="en-US" w:eastAsia="zh-CN"/>
        </w:rPr>
      </w:pPr>
      <w:r>
        <w:rPr>
          <w:rFonts w:hint="default" w:ascii="Times New Roman" w:hAnsi="Times New Roman" w:eastAsia="黑体" w:cs="Times New Roman"/>
          <w:sz w:val="18"/>
          <w:szCs w:val="18"/>
          <w:lang w:val="en-US" w:eastAsia="zh-CN"/>
        </w:rPr>
        <w:t>六、一般公共预算财政拨款基本支出决算情况说明</w:t>
      </w:r>
      <w:r>
        <w:rPr>
          <w:rFonts w:hint="default" w:ascii="Times New Roman" w:hAnsi="Times New Roman" w:eastAsia="仿宋_GB2312" w:cs="Times New Roman"/>
          <w:b w:val="0"/>
          <w:bCs w:val="0"/>
          <w:sz w:val="18"/>
          <w:szCs w:val="18"/>
        </w:rPr>
        <w:tab/>
      </w:r>
      <w:r>
        <w:rPr>
          <w:rFonts w:hint="eastAsia" w:eastAsia="仿宋_GB2312" w:cs="Times New Roman"/>
          <w:b w:val="0"/>
          <w:bCs w:val="0"/>
          <w:sz w:val="18"/>
          <w:szCs w:val="18"/>
          <w:lang w:val="en-US" w:eastAsia="zh-CN"/>
        </w:rPr>
        <w:t>7</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黑体" w:cs="Times New Roman"/>
          <w:sz w:val="18"/>
          <w:szCs w:val="18"/>
          <w:lang w:val="en-US" w:eastAsia="zh-CN"/>
        </w:rPr>
        <w:t>七、</w:t>
      </w:r>
      <w:r>
        <w:rPr>
          <w:rFonts w:hint="eastAsia" w:eastAsia="黑体" w:cs="Times New Roman"/>
          <w:sz w:val="18"/>
          <w:szCs w:val="18"/>
          <w:lang w:val="en-US" w:eastAsia="zh-CN"/>
        </w:rPr>
        <w:t>“三公”经费</w:t>
      </w:r>
      <w:r>
        <w:rPr>
          <w:rFonts w:hint="default" w:ascii="Times New Roman" w:hAnsi="Times New Roman" w:eastAsia="黑体" w:cs="Times New Roman"/>
          <w:sz w:val="18"/>
          <w:szCs w:val="18"/>
          <w:lang w:val="en-US" w:eastAsia="zh-CN"/>
        </w:rPr>
        <w:t>财政拨款支出决算情况说明</w:t>
      </w:r>
      <w:r>
        <w:rPr>
          <w:rFonts w:hint="default" w:ascii="Times New Roman" w:hAnsi="Times New Roman" w:cs="Times New Roman"/>
          <w:sz w:val="18"/>
          <w:szCs w:val="18"/>
        </w:rPr>
        <w:tab/>
      </w:r>
      <w:r>
        <w:rPr>
          <w:rFonts w:hint="eastAsia" w:cs="Times New Roman"/>
          <w:sz w:val="18"/>
          <w:szCs w:val="18"/>
          <w:lang w:val="en-US" w:eastAsia="zh-CN"/>
        </w:rPr>
        <w:t>8</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仿宋_GB2312" w:cs="Times New Roman"/>
          <w:color w:val="000000"/>
          <w:sz w:val="18"/>
          <w:szCs w:val="18"/>
        </w:rPr>
        <w:t>（一）</w:t>
      </w:r>
      <w:r>
        <w:rPr>
          <w:rFonts w:hint="eastAsia" w:eastAsia="仿宋_GB2312" w:cs="Times New Roman"/>
          <w:color w:val="000000"/>
          <w:sz w:val="18"/>
          <w:szCs w:val="18"/>
          <w:lang w:eastAsia="zh-CN"/>
        </w:rPr>
        <w:t>“三公”经费</w:t>
      </w:r>
      <w:r>
        <w:rPr>
          <w:rFonts w:hint="default" w:ascii="Times New Roman" w:hAnsi="Times New Roman" w:eastAsia="仿宋_GB2312" w:cs="Times New Roman"/>
          <w:color w:val="000000"/>
          <w:sz w:val="18"/>
          <w:szCs w:val="18"/>
        </w:rPr>
        <w:t>财政拨款支出决算总体情况说明</w:t>
      </w:r>
      <w:r>
        <w:rPr>
          <w:rFonts w:hint="default" w:ascii="Times New Roman" w:hAnsi="Times New Roman" w:cs="Times New Roman"/>
          <w:sz w:val="18"/>
          <w:szCs w:val="18"/>
        </w:rPr>
        <w:tab/>
      </w:r>
      <w:r>
        <w:rPr>
          <w:rFonts w:hint="eastAsia" w:cs="Times New Roman"/>
          <w:sz w:val="18"/>
          <w:szCs w:val="18"/>
          <w:lang w:val="en-US" w:eastAsia="zh-CN"/>
        </w:rPr>
        <w:t>8</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仿宋_GB2312" w:cs="Times New Roman"/>
          <w:color w:val="000000"/>
          <w:sz w:val="18"/>
          <w:szCs w:val="18"/>
        </w:rPr>
        <w:t>（二）</w:t>
      </w:r>
      <w:r>
        <w:rPr>
          <w:rFonts w:hint="eastAsia" w:eastAsia="仿宋_GB2312" w:cs="Times New Roman"/>
          <w:color w:val="000000"/>
          <w:sz w:val="18"/>
          <w:szCs w:val="18"/>
          <w:lang w:eastAsia="zh-CN"/>
        </w:rPr>
        <w:t>“三公”经费</w:t>
      </w:r>
      <w:r>
        <w:rPr>
          <w:rFonts w:hint="default" w:ascii="Times New Roman" w:hAnsi="Times New Roman" w:eastAsia="仿宋_GB2312" w:cs="Times New Roman"/>
          <w:color w:val="000000"/>
          <w:sz w:val="18"/>
          <w:szCs w:val="18"/>
        </w:rPr>
        <w:t>财政拨款支出决算具体情况说明</w:t>
      </w:r>
      <w:r>
        <w:rPr>
          <w:rFonts w:hint="default" w:ascii="Times New Roman" w:hAnsi="Times New Roman" w:cs="Times New Roman"/>
          <w:sz w:val="18"/>
          <w:szCs w:val="18"/>
        </w:rPr>
        <w:tab/>
      </w:r>
      <w:r>
        <w:rPr>
          <w:rFonts w:hint="eastAsia" w:cs="Times New Roman"/>
          <w:sz w:val="18"/>
          <w:szCs w:val="18"/>
          <w:lang w:val="en-US" w:eastAsia="zh-CN"/>
        </w:rPr>
        <w:t>8</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黑体" w:cs="Times New Roman"/>
          <w:sz w:val="18"/>
          <w:szCs w:val="18"/>
          <w:lang w:val="en-US" w:eastAsia="zh-CN"/>
        </w:rPr>
        <w:t>八、政府性基金预算支出决算情况说明</w:t>
      </w:r>
      <w:r>
        <w:rPr>
          <w:rFonts w:hint="default" w:ascii="Times New Roman" w:hAnsi="Times New Roman" w:cs="Times New Roman"/>
          <w:sz w:val="18"/>
          <w:szCs w:val="18"/>
        </w:rPr>
        <w:tab/>
      </w:r>
      <w:r>
        <w:rPr>
          <w:rFonts w:hint="eastAsia" w:cs="Times New Roman"/>
          <w:sz w:val="18"/>
          <w:szCs w:val="18"/>
          <w:lang w:val="en-US" w:eastAsia="zh-CN"/>
        </w:rPr>
        <w:t>9</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黑体" w:cs="Times New Roman"/>
          <w:sz w:val="18"/>
          <w:szCs w:val="18"/>
          <w:lang w:val="en-US" w:eastAsia="zh-CN"/>
        </w:rPr>
        <w:t>九、国有资本经营预算支出决算情况说明</w:t>
      </w:r>
      <w:r>
        <w:rPr>
          <w:rFonts w:hint="default" w:ascii="Times New Roman" w:hAnsi="Times New Roman" w:cs="Times New Roman"/>
          <w:sz w:val="18"/>
          <w:szCs w:val="18"/>
        </w:rPr>
        <w:tab/>
      </w:r>
      <w:r>
        <w:rPr>
          <w:rFonts w:hint="eastAsia" w:cs="Times New Roman"/>
          <w:sz w:val="18"/>
          <w:szCs w:val="18"/>
          <w:lang w:val="en-US" w:eastAsia="zh-CN"/>
        </w:rPr>
        <w:t>9</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黑体" w:cs="Times New Roman"/>
          <w:sz w:val="18"/>
          <w:szCs w:val="18"/>
          <w:lang w:val="en-US" w:eastAsia="zh-CN"/>
        </w:rPr>
        <w:t>十、其他重要事项的情况说明</w:t>
      </w:r>
      <w:r>
        <w:rPr>
          <w:rFonts w:hint="default" w:ascii="Times New Roman" w:hAnsi="Times New Roman" w:cs="Times New Roman"/>
          <w:sz w:val="18"/>
          <w:szCs w:val="18"/>
        </w:rPr>
        <w:tab/>
      </w:r>
      <w:r>
        <w:rPr>
          <w:rFonts w:hint="eastAsia" w:cs="Times New Roman"/>
          <w:sz w:val="18"/>
          <w:szCs w:val="18"/>
          <w:lang w:val="en-US" w:eastAsia="zh-CN"/>
        </w:rPr>
        <w:t>9</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仿宋_GB2312" w:cs="Times New Roman"/>
          <w:color w:val="000000"/>
          <w:sz w:val="18"/>
          <w:szCs w:val="18"/>
        </w:rPr>
        <w:t>（一）机关运行经费支出情况</w:t>
      </w:r>
      <w:r>
        <w:rPr>
          <w:rFonts w:hint="default" w:ascii="Times New Roman" w:hAnsi="Times New Roman" w:cs="Times New Roman"/>
          <w:sz w:val="18"/>
          <w:szCs w:val="18"/>
        </w:rPr>
        <w:tab/>
      </w:r>
      <w:r>
        <w:rPr>
          <w:rFonts w:hint="eastAsia" w:cs="Times New Roman"/>
          <w:sz w:val="18"/>
          <w:szCs w:val="18"/>
          <w:lang w:val="en-US" w:eastAsia="zh-CN"/>
        </w:rPr>
        <w:t>9</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宋体" w:cs="Times New Roman"/>
          <w:sz w:val="18"/>
          <w:szCs w:val="18"/>
          <w:lang w:eastAsia="zh-CN"/>
        </w:rPr>
      </w:pPr>
      <w:r>
        <w:rPr>
          <w:rFonts w:hint="default" w:ascii="Times New Roman" w:hAnsi="Times New Roman" w:eastAsia="仿宋_GB2312" w:cs="Times New Roman"/>
          <w:color w:val="000000"/>
          <w:sz w:val="18"/>
          <w:szCs w:val="18"/>
        </w:rPr>
        <w:t>（二）政府采购支出情况</w:t>
      </w:r>
      <w:r>
        <w:rPr>
          <w:rFonts w:hint="default" w:ascii="Times New Roman" w:hAnsi="Times New Roman" w:cs="Times New Roman"/>
          <w:sz w:val="18"/>
          <w:szCs w:val="18"/>
        </w:rPr>
        <w:tab/>
      </w:r>
      <w:r>
        <w:rPr>
          <w:rFonts w:hint="eastAsia" w:cs="Times New Roman"/>
          <w:sz w:val="18"/>
          <w:szCs w:val="18"/>
          <w:lang w:val="en-US" w:eastAsia="zh-CN"/>
        </w:rPr>
        <w:t>9</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_GB2312" w:cs="Times New Roman"/>
          <w:color w:val="000000"/>
          <w:sz w:val="18"/>
          <w:szCs w:val="18"/>
        </w:rPr>
        <w:t>（三）国有资产占有使用情况</w:t>
      </w:r>
      <w:r>
        <w:rPr>
          <w:rFonts w:hint="default" w:ascii="Times New Roman" w:hAnsi="Times New Roman" w:cs="Times New Roman"/>
          <w:sz w:val="18"/>
          <w:szCs w:val="18"/>
        </w:rPr>
        <w:tab/>
      </w:r>
      <w:r>
        <w:rPr>
          <w:rFonts w:hint="eastAsia" w:cs="Times New Roman"/>
          <w:sz w:val="18"/>
          <w:szCs w:val="18"/>
          <w:lang w:val="en-US" w:eastAsia="zh-CN"/>
        </w:rPr>
        <w:t>10</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cs="Times New Roman"/>
          <w:sz w:val="18"/>
          <w:szCs w:val="18"/>
          <w:lang w:val="en-US"/>
        </w:rPr>
      </w:pPr>
      <w:r>
        <w:rPr>
          <w:rFonts w:hint="default" w:ascii="Times New Roman" w:hAnsi="Times New Roman" w:eastAsia="仿宋_GB2312" w:cs="Times New Roman"/>
          <w:color w:val="000000"/>
          <w:sz w:val="18"/>
          <w:szCs w:val="18"/>
        </w:rPr>
        <w:t>（四）预算绩效管理情况。</w:t>
      </w:r>
      <w:r>
        <w:rPr>
          <w:rFonts w:hint="default" w:ascii="Times New Roman" w:hAnsi="Times New Roman" w:cs="Times New Roman"/>
          <w:sz w:val="18"/>
          <w:szCs w:val="18"/>
        </w:rPr>
        <w:tab/>
      </w:r>
      <w:r>
        <w:rPr>
          <w:rFonts w:hint="eastAsia" w:cs="Times New Roman"/>
          <w:kern w:val="2"/>
          <w:sz w:val="18"/>
          <w:szCs w:val="18"/>
          <w:lang w:val="en-US" w:eastAsia="zh-CN" w:bidi="ar-SA"/>
        </w:rPr>
        <w:t>10</w:t>
      </w:r>
    </w:p>
    <w:p>
      <w:pPr>
        <w:pStyle w:val="14"/>
        <w:pageBreakBefore w:val="0"/>
        <w:widowControl w:val="0"/>
        <w:tabs>
          <w:tab w:val="right" w:leader="dot" w:pos="9071"/>
          <w:tab w:val="clear" w:pos="8296"/>
        </w:tabs>
        <w:kinsoku/>
        <w:wordWrap/>
        <w:overflowPunct/>
        <w:topLinePunct w:val="0"/>
        <w:autoSpaceDE/>
        <w:autoSpaceDN/>
        <w:bidi w:val="0"/>
        <w:adjustRightInd/>
        <w:snapToGrid/>
        <w:spacing w:before="0" w:line="520" w:lineRule="exact"/>
        <w:ind w:left="0" w:leftChars="0"/>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黑体" w:cs="Times New Roman"/>
          <w:bCs/>
          <w:color w:val="000000"/>
          <w:sz w:val="21"/>
          <w:szCs w:val="21"/>
          <w:lang w:eastAsia="zh-CN"/>
        </w:rPr>
        <w:t>第三部分</w:t>
      </w:r>
      <w:r>
        <w:rPr>
          <w:rFonts w:hint="default" w:ascii="Times New Roman" w:hAnsi="Times New Roman" w:eastAsia="黑体" w:cs="Times New Roman"/>
          <w:bCs/>
          <w:color w:val="000000"/>
          <w:sz w:val="21"/>
          <w:szCs w:val="21"/>
          <w:lang w:val="en-US" w:eastAsia="zh-CN"/>
        </w:rPr>
        <w:t xml:space="preserve"> </w:t>
      </w:r>
      <w:r>
        <w:rPr>
          <w:rFonts w:hint="default" w:ascii="Times New Roman" w:hAnsi="Times New Roman" w:eastAsia="黑体" w:cs="Times New Roman"/>
          <w:bCs/>
          <w:color w:val="000000"/>
          <w:sz w:val="21"/>
          <w:szCs w:val="21"/>
        </w:rPr>
        <w:t>名词解释</w:t>
      </w:r>
      <w:r>
        <w:rPr>
          <w:rFonts w:hint="default" w:ascii="Times New Roman" w:hAnsi="Times New Roman" w:cs="Times New Roman"/>
          <w:sz w:val="18"/>
          <w:szCs w:val="18"/>
        </w:rPr>
        <w:tab/>
      </w:r>
      <w:r>
        <w:rPr>
          <w:rFonts w:hint="eastAsia" w:ascii="Times New Roman" w:hAnsi="Times New Roman" w:cs="Times New Roman"/>
          <w:sz w:val="18"/>
          <w:szCs w:val="18"/>
          <w:lang w:val="en-US" w:eastAsia="zh-CN"/>
        </w:rPr>
        <w:t>11</w:t>
      </w:r>
    </w:p>
    <w:p>
      <w:pPr>
        <w:pStyle w:val="14"/>
        <w:pageBreakBefore w:val="0"/>
        <w:widowControl w:val="0"/>
        <w:tabs>
          <w:tab w:val="right" w:leader="dot" w:pos="9071"/>
          <w:tab w:val="clear" w:pos="8296"/>
        </w:tabs>
        <w:kinsoku/>
        <w:wordWrap/>
        <w:overflowPunct/>
        <w:topLinePunct w:val="0"/>
        <w:autoSpaceDE/>
        <w:autoSpaceDN/>
        <w:bidi w:val="0"/>
        <w:adjustRightInd/>
        <w:snapToGrid/>
        <w:spacing w:before="0" w:line="520" w:lineRule="exact"/>
        <w:ind w:left="0" w:leftChars="0"/>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黑体" w:cs="Times New Roman"/>
          <w:bCs/>
          <w:color w:val="000000"/>
          <w:sz w:val="21"/>
          <w:szCs w:val="21"/>
        </w:rPr>
        <w:t>第</w:t>
      </w:r>
      <w:r>
        <w:rPr>
          <w:rFonts w:hint="default" w:ascii="Times New Roman" w:hAnsi="Times New Roman" w:eastAsia="黑体" w:cs="Times New Roman"/>
          <w:bCs/>
          <w:sz w:val="21"/>
          <w:szCs w:val="21"/>
        </w:rPr>
        <w:t>四部分 附件</w:t>
      </w:r>
      <w:r>
        <w:rPr>
          <w:rFonts w:hint="default" w:ascii="Times New Roman" w:hAnsi="Times New Roman" w:cs="Times New Roman"/>
          <w:sz w:val="18"/>
          <w:szCs w:val="18"/>
        </w:rPr>
        <w:tab/>
      </w:r>
      <w:r>
        <w:rPr>
          <w:rFonts w:hint="eastAsia" w:ascii="Times New Roman" w:hAnsi="Times New Roman" w:eastAsia="宋体" w:cs="Times New Roman"/>
          <w:kern w:val="2"/>
          <w:sz w:val="18"/>
          <w:szCs w:val="18"/>
          <w:lang w:val="en-US" w:eastAsia="zh-CN" w:bidi="ar-SA"/>
        </w:rPr>
        <w:t>14</w:t>
      </w:r>
    </w:p>
    <w:p>
      <w:pPr>
        <w:pStyle w:val="14"/>
        <w:pageBreakBefore w:val="0"/>
        <w:widowControl w:val="0"/>
        <w:tabs>
          <w:tab w:val="right" w:leader="dot" w:pos="9071"/>
          <w:tab w:val="clear" w:pos="8296"/>
        </w:tabs>
        <w:kinsoku/>
        <w:wordWrap/>
        <w:overflowPunct/>
        <w:topLinePunct w:val="0"/>
        <w:autoSpaceDE/>
        <w:autoSpaceDN/>
        <w:bidi w:val="0"/>
        <w:adjustRightInd/>
        <w:snapToGrid/>
        <w:spacing w:before="0" w:line="520" w:lineRule="exact"/>
        <w:ind w:left="0" w:leftChars="0"/>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黑体" w:cs="Times New Roman"/>
          <w:color w:val="000000"/>
          <w:sz w:val="21"/>
          <w:szCs w:val="21"/>
        </w:rPr>
        <w:t>第</w:t>
      </w:r>
      <w:r>
        <w:rPr>
          <w:rFonts w:hint="default" w:ascii="Times New Roman" w:hAnsi="Times New Roman" w:eastAsia="黑体" w:cs="Times New Roman"/>
          <w:sz w:val="21"/>
          <w:szCs w:val="21"/>
        </w:rPr>
        <w:t>五部分 附表</w:t>
      </w:r>
      <w:r>
        <w:rPr>
          <w:rFonts w:hint="default" w:ascii="Times New Roman" w:hAnsi="Times New Roman" w:cs="Times New Roman"/>
          <w:sz w:val="18"/>
          <w:szCs w:val="18"/>
        </w:rPr>
        <w:tab/>
      </w:r>
      <w:r>
        <w:rPr>
          <w:rFonts w:hint="eastAsia" w:ascii="Times New Roman" w:hAnsi="Times New Roman" w:eastAsia="宋体" w:cs="Times New Roman"/>
          <w:kern w:val="2"/>
          <w:sz w:val="18"/>
          <w:szCs w:val="18"/>
          <w:lang w:val="en-US" w:eastAsia="zh-CN" w:bidi="ar-SA"/>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color w:val="000000"/>
          <w:kern w:val="2"/>
          <w:sz w:val="18"/>
          <w:szCs w:val="18"/>
          <w:lang w:val="en-US" w:eastAsia="zh-CN" w:bidi="ar-SA"/>
        </w:rPr>
        <w:t>一、收</w:t>
      </w:r>
      <w:r>
        <w:rPr>
          <w:rFonts w:hint="default" w:ascii="Times New Roman" w:hAnsi="Times New Roman" w:eastAsia="仿宋" w:cs="Times New Roman"/>
          <w:bCs w:val="0"/>
          <w:sz w:val="18"/>
          <w:szCs w:val="18"/>
        </w:rPr>
        <w:t>入支出决算总表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color w:val="000000"/>
          <w:kern w:val="2"/>
          <w:sz w:val="18"/>
          <w:szCs w:val="18"/>
          <w:lang w:val="en-US" w:eastAsia="zh-CN" w:bidi="ar-SA"/>
        </w:rPr>
        <w:t>二、收</w:t>
      </w:r>
      <w:r>
        <w:rPr>
          <w:rFonts w:hint="default" w:ascii="Times New Roman" w:hAnsi="Times New Roman" w:eastAsia="仿宋" w:cs="Times New Roman"/>
          <w:bCs w:val="0"/>
          <w:sz w:val="18"/>
          <w:szCs w:val="18"/>
        </w:rPr>
        <w:t>入决算表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三、</w:t>
      </w:r>
      <w:r>
        <w:rPr>
          <w:rFonts w:hint="default" w:ascii="Times New Roman" w:hAnsi="Times New Roman" w:eastAsia="仿宋" w:cs="Times New Roman"/>
          <w:bCs/>
          <w:color w:val="000000"/>
          <w:kern w:val="2"/>
          <w:sz w:val="18"/>
          <w:szCs w:val="18"/>
          <w:lang w:val="en-US" w:eastAsia="zh-CN" w:bidi="ar-SA"/>
        </w:rPr>
        <w:t>支</w:t>
      </w:r>
      <w:r>
        <w:rPr>
          <w:rFonts w:hint="default" w:ascii="Times New Roman" w:hAnsi="Times New Roman" w:eastAsia="仿宋" w:cs="Times New Roman"/>
          <w:bCs w:val="0"/>
          <w:sz w:val="18"/>
          <w:szCs w:val="18"/>
        </w:rPr>
        <w:t>出决算表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四、</w:t>
      </w:r>
      <w:r>
        <w:rPr>
          <w:rFonts w:hint="default" w:ascii="Times New Roman" w:hAnsi="Times New Roman" w:eastAsia="仿宋" w:cs="Times New Roman"/>
          <w:bCs/>
          <w:color w:val="000000"/>
          <w:kern w:val="2"/>
          <w:sz w:val="18"/>
          <w:szCs w:val="18"/>
          <w:lang w:val="en-US" w:eastAsia="zh-CN" w:bidi="ar-SA"/>
        </w:rPr>
        <w:t>财</w:t>
      </w:r>
      <w:r>
        <w:rPr>
          <w:rFonts w:hint="default" w:ascii="Times New Roman" w:hAnsi="Times New Roman" w:eastAsia="仿宋" w:cs="Times New Roman"/>
          <w:bCs w:val="0"/>
          <w:sz w:val="18"/>
          <w:szCs w:val="18"/>
        </w:rPr>
        <w:t>政拨款收入支出决算总表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五、</w:t>
      </w:r>
      <w:r>
        <w:rPr>
          <w:rFonts w:hint="default" w:ascii="Times New Roman" w:hAnsi="Times New Roman" w:eastAsia="仿宋" w:cs="Times New Roman"/>
          <w:bCs/>
          <w:color w:val="000000"/>
          <w:kern w:val="2"/>
          <w:sz w:val="18"/>
          <w:szCs w:val="18"/>
          <w:lang w:val="en-US" w:eastAsia="zh-CN" w:bidi="ar-SA"/>
        </w:rPr>
        <w:t>财</w:t>
      </w:r>
      <w:r>
        <w:rPr>
          <w:rFonts w:hint="default" w:ascii="Times New Roman" w:hAnsi="Times New Roman" w:eastAsia="仿宋" w:cs="Times New Roman"/>
          <w:bCs w:val="0"/>
          <w:sz w:val="18"/>
          <w:szCs w:val="18"/>
        </w:rPr>
        <w:t>政拨款支出决算明细表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六、</w:t>
      </w:r>
      <w:r>
        <w:rPr>
          <w:rFonts w:hint="default" w:ascii="Times New Roman" w:hAnsi="Times New Roman" w:eastAsia="仿宋" w:cs="Times New Roman"/>
          <w:bCs/>
          <w:color w:val="000000"/>
          <w:kern w:val="2"/>
          <w:sz w:val="18"/>
          <w:szCs w:val="18"/>
          <w:lang w:val="en-US" w:eastAsia="zh-CN" w:bidi="ar-SA"/>
        </w:rPr>
        <w:t>一</w:t>
      </w:r>
      <w:r>
        <w:rPr>
          <w:rFonts w:hint="default" w:ascii="Times New Roman" w:hAnsi="Times New Roman" w:eastAsia="仿宋" w:cs="Times New Roman"/>
          <w:bCs w:val="0"/>
          <w:sz w:val="18"/>
          <w:szCs w:val="18"/>
        </w:rPr>
        <w:t>般公共预算财政拨款支出决算表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七、</w:t>
      </w:r>
      <w:r>
        <w:rPr>
          <w:rFonts w:hint="default" w:ascii="Times New Roman" w:hAnsi="Times New Roman" w:eastAsia="仿宋" w:cs="Times New Roman"/>
          <w:bCs/>
          <w:color w:val="000000"/>
          <w:kern w:val="2"/>
          <w:sz w:val="18"/>
          <w:szCs w:val="18"/>
          <w:lang w:val="en-US" w:eastAsia="zh-CN" w:bidi="ar-SA"/>
        </w:rPr>
        <w:t>一</w:t>
      </w:r>
      <w:r>
        <w:rPr>
          <w:rFonts w:hint="default" w:ascii="Times New Roman" w:hAnsi="Times New Roman" w:eastAsia="仿宋" w:cs="Times New Roman"/>
          <w:bCs w:val="0"/>
          <w:sz w:val="18"/>
          <w:szCs w:val="18"/>
        </w:rPr>
        <w:t>般公共预算财政拨款支出决算明细表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八、</w:t>
      </w:r>
      <w:r>
        <w:rPr>
          <w:rFonts w:hint="default" w:ascii="Times New Roman" w:hAnsi="Times New Roman" w:eastAsia="仿宋" w:cs="Times New Roman"/>
          <w:bCs/>
          <w:color w:val="000000"/>
          <w:kern w:val="2"/>
          <w:sz w:val="18"/>
          <w:szCs w:val="18"/>
          <w:lang w:val="en-US" w:eastAsia="zh-CN" w:bidi="ar-SA"/>
        </w:rPr>
        <w:t>一</w:t>
      </w:r>
      <w:r>
        <w:rPr>
          <w:rFonts w:hint="default" w:ascii="Times New Roman" w:hAnsi="Times New Roman" w:eastAsia="仿宋" w:cs="Times New Roman"/>
          <w:bCs w:val="0"/>
          <w:sz w:val="18"/>
          <w:szCs w:val="18"/>
        </w:rPr>
        <w:t>般公共预算财政拨款基本支出决算表</w:t>
      </w:r>
      <w:r>
        <w:rPr>
          <w:rFonts w:hint="default" w:ascii="Times New Roman" w:hAnsi="Times New Roman" w:cs="Times New Roman"/>
          <w:sz w:val="18"/>
          <w:szCs w:val="18"/>
        </w:rPr>
        <w:tab/>
      </w:r>
      <w:r>
        <w:rPr>
          <w:rFonts w:hint="eastAsia" w:cs="Times New Roman"/>
          <w:sz w:val="18"/>
          <w:szCs w:val="18"/>
          <w:lang w:val="en-US" w:eastAsia="zh-CN"/>
        </w:rPr>
        <w:t>30</w:t>
      </w: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宋体" w:cs="Times New Roman"/>
          <w:sz w:val="18"/>
          <w:szCs w:val="18"/>
          <w:lang w:val="en-US" w:eastAsia="zh-CN"/>
        </w:rPr>
      </w:pPr>
      <w:r>
        <w:rPr>
          <w:rFonts w:hint="default" w:ascii="Times New Roman" w:hAnsi="Times New Roman" w:eastAsia="仿宋" w:cs="Times New Roman"/>
          <w:bCs w:val="0"/>
          <w:sz w:val="18"/>
          <w:szCs w:val="18"/>
        </w:rPr>
        <w:t>九、</w:t>
      </w:r>
      <w:r>
        <w:rPr>
          <w:rFonts w:hint="default" w:ascii="Times New Roman" w:hAnsi="Times New Roman" w:eastAsia="仿宋" w:cs="Times New Roman"/>
          <w:bCs/>
          <w:color w:val="000000"/>
          <w:kern w:val="2"/>
          <w:sz w:val="18"/>
          <w:szCs w:val="18"/>
          <w:lang w:val="en-US" w:eastAsia="zh-CN" w:bidi="ar-SA"/>
        </w:rPr>
        <w:t>一</w:t>
      </w:r>
      <w:r>
        <w:rPr>
          <w:rFonts w:hint="default" w:ascii="Times New Roman" w:hAnsi="Times New Roman" w:eastAsia="仿宋" w:cs="Times New Roman"/>
          <w:bCs w:val="0"/>
          <w:sz w:val="18"/>
          <w:szCs w:val="18"/>
        </w:rPr>
        <w:t>般公共预算财政拨款项目支出决算表</w:t>
      </w:r>
      <w:r>
        <w:rPr>
          <w:rFonts w:hint="default" w:ascii="Times New Roman" w:hAnsi="Times New Roman" w:cs="Times New Roman"/>
          <w:sz w:val="18"/>
          <w:szCs w:val="18"/>
        </w:rPr>
        <w:tab/>
      </w:r>
      <w:r>
        <w:rPr>
          <w:rFonts w:hint="eastAsia" w:cs="Times New Roman"/>
          <w:sz w:val="18"/>
          <w:szCs w:val="18"/>
          <w:lang w:val="en-US" w:eastAsia="zh-CN"/>
        </w:rPr>
        <w:t>30</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eastAsia="仿宋_GB2312" w:cs="Times New Roman"/>
          <w:b w:val="0"/>
          <w:bCs w:val="0"/>
          <w:sz w:val="18"/>
          <w:szCs w:val="18"/>
          <w:lang w:val="en-US" w:eastAsia="zh-CN"/>
        </w:rPr>
      </w:pPr>
      <w:r>
        <w:rPr>
          <w:rFonts w:hint="default" w:ascii="Times New Roman" w:hAnsi="Times New Roman" w:eastAsia="仿宋" w:cs="Times New Roman"/>
          <w:bCs w:val="0"/>
          <w:sz w:val="18"/>
          <w:szCs w:val="18"/>
        </w:rPr>
        <w:t>十、</w:t>
      </w:r>
      <w:r>
        <w:rPr>
          <w:rFonts w:hint="default" w:ascii="Times New Roman" w:hAnsi="Times New Roman" w:eastAsia="仿宋" w:cs="Times New Roman"/>
          <w:bCs/>
          <w:color w:val="000000"/>
          <w:kern w:val="2"/>
          <w:sz w:val="18"/>
          <w:szCs w:val="18"/>
          <w:lang w:val="en-US" w:eastAsia="zh-CN" w:bidi="ar-SA"/>
        </w:rPr>
        <w:t>政</w:t>
      </w:r>
      <w:r>
        <w:rPr>
          <w:rFonts w:hint="default" w:ascii="Times New Roman" w:hAnsi="Times New Roman" w:eastAsia="仿宋" w:cs="Times New Roman"/>
          <w:bCs w:val="0"/>
          <w:sz w:val="18"/>
          <w:szCs w:val="18"/>
        </w:rPr>
        <w:t>府性基金预算财政拨款收入支出决算表</w:t>
      </w:r>
      <w:r>
        <w:rPr>
          <w:rFonts w:hint="default" w:ascii="Times New Roman" w:hAnsi="Times New Roman" w:eastAsia="仿宋_GB2312" w:cs="Times New Roman"/>
          <w:b w:val="0"/>
          <w:bCs w:val="0"/>
          <w:sz w:val="18"/>
          <w:szCs w:val="18"/>
        </w:rPr>
        <w:tab/>
      </w:r>
      <w:r>
        <w:rPr>
          <w:rFonts w:hint="eastAsia" w:eastAsia="仿宋_GB2312" w:cs="Times New Roman"/>
          <w:b w:val="0"/>
          <w:bCs w:val="0"/>
          <w:sz w:val="18"/>
          <w:szCs w:val="18"/>
          <w:lang w:val="en-US" w:eastAsia="zh-CN"/>
        </w:rPr>
        <w:t>30</w:t>
      </w:r>
    </w:p>
    <w:p>
      <w:pPr>
        <w:pStyle w:val="9"/>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eastAsia" w:ascii="Times New Roman" w:hAnsi="Times New Roman" w:eastAsia="仿宋_GB2312" w:cs="Times New Roman"/>
          <w:b w:val="0"/>
          <w:bCs w:val="0"/>
          <w:sz w:val="18"/>
          <w:szCs w:val="18"/>
          <w:lang w:eastAsia="zh-CN"/>
        </w:rPr>
      </w:pPr>
    </w:p>
    <w:p>
      <w:pPr>
        <w:pStyle w:val="15"/>
        <w:pageBreakBefore w:val="0"/>
        <w:widowControl w:val="0"/>
        <w:tabs>
          <w:tab w:val="right" w:leader="dot" w:pos="9071"/>
          <w:tab w:val="clear" w:pos="8296"/>
        </w:tabs>
        <w:kinsoku/>
        <w:wordWrap/>
        <w:overflowPunct/>
        <w:topLinePunct w:val="0"/>
        <w:autoSpaceDE/>
        <w:autoSpaceDN/>
        <w:bidi w:val="0"/>
        <w:adjustRightInd/>
        <w:snapToGrid/>
        <w:spacing w:line="520" w:lineRule="exact"/>
        <w:ind w:left="0" w:leftChars="0" w:firstLine="360" w:firstLineChars="200"/>
        <w:textAlignment w:val="auto"/>
        <w:rPr>
          <w:rFonts w:hint="default" w:ascii="Times New Roman" w:hAnsi="Times New Roman" w:cs="Times New Roman"/>
          <w:sz w:val="18"/>
          <w:szCs w:val="18"/>
        </w:rPr>
      </w:pPr>
    </w:p>
    <w:p>
      <w:pPr>
        <w:pStyle w:val="5"/>
        <w:pageBreakBefore w:val="0"/>
        <w:widowControl w:val="0"/>
        <w:kinsoku/>
        <w:wordWrap/>
        <w:overflowPunct/>
        <w:topLinePunct w:val="0"/>
        <w:autoSpaceDE/>
        <w:autoSpaceDN/>
        <w:bidi w:val="0"/>
        <w:adjustRightInd/>
        <w:snapToGrid/>
        <w:spacing w:before="0" w:after="0" w:line="520" w:lineRule="exact"/>
        <w:ind w:left="0" w:leftChars="0"/>
        <w:jc w:val="center"/>
        <w:textAlignment w:val="auto"/>
        <w:rPr>
          <w:rFonts w:hint="default" w:ascii="Times New Roman" w:hAnsi="Times New Roman" w:eastAsia="方正小标宋简体" w:cs="Times New Roman"/>
          <w:b w:val="0"/>
          <w:color w:val="auto"/>
          <w:sz w:val="18"/>
          <w:szCs w:val="18"/>
          <w:highlight w:val="none"/>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p>
    <w:p>
      <w:pPr>
        <w:pStyle w:val="5"/>
        <w:pageBreakBefore w:val="0"/>
        <w:widowControl w:val="0"/>
        <w:kinsoku/>
        <w:wordWrap/>
        <w:overflowPunct/>
        <w:topLinePunct w:val="0"/>
        <w:autoSpaceDE/>
        <w:autoSpaceDN/>
        <w:bidi w:val="0"/>
        <w:adjustRightInd/>
        <w:snapToGrid/>
        <w:spacing w:before="0" w:after="0" w:line="560" w:lineRule="exact"/>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pStyle w:val="6"/>
        <w:pageBreakBefore w:val="0"/>
        <w:widowControl w:val="0"/>
        <w:numPr>
          <w:ilvl w:val="0"/>
          <w:numId w:val="1"/>
        </w:numPr>
        <w:kinsoku/>
        <w:wordWrap/>
        <w:overflowPunct/>
        <w:topLinePunct w:val="0"/>
        <w:autoSpaceDE/>
        <w:autoSpaceDN/>
        <w:bidi w:val="0"/>
        <w:adjustRightInd/>
        <w:snapToGrid/>
        <w:spacing w:before="0" w:after="0" w:line="560" w:lineRule="exact"/>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1、综合办。</w:t>
      </w:r>
      <w:r>
        <w:rPr>
          <w:rFonts w:hint="eastAsia" w:ascii="仿宋_GB2312" w:hAnsi="仿宋_GB2312" w:eastAsia="仿宋_GB2312" w:cs="仿宋_GB2312"/>
          <w:sz w:val="32"/>
          <w:szCs w:val="32"/>
          <w:lang w:val="en-US" w:eastAsia="zh-CN"/>
        </w:rPr>
        <w:t>主要从事行政管理和财务管理职能。负责保护区的后勤管理,协调各部门的工作,准确传达管理处领导的指示,及时汇报工作中出现的问题,反映职工意见和建议,围绕保护区工作中心深入调查研究,提供准确信息,为管理处领导决策提供科学依据;负责行政文件处理、行政档案管理及生产资料、设施设备保管;负责安全教育、门卫工作,保证业务、生活用车,做到出车安全;模范遵守和组织宣传国家法令、法规,组织职工学习国家政策;按照国家人事、工资政策,根据保护、管理等的实际需要及原则拟订职工工资表;按照国家工程建设程序和标准,编制基本建设计划,组织有关人员做好工程设计、工程监理、质量验收工作;做好基建计划和进度呈报工作;及时编制预算、决算和月、季、年度财务报表;严格遵守国家财务会计法律法规,按照财务规章制度审核报销单据,严肃财经纪律,把好财务关；负责固定资产账目的记载和对固定资产的管理进行监督,及时向主任、副主任汇报管理情况,提出改进意见;处理日常财务和资金管理工作；完成领导交办的其他工作。</w:t>
      </w:r>
    </w:p>
    <w:p>
      <w:pPr>
        <w:pStyle w:val="8"/>
        <w:keepNext w:val="0"/>
        <w:keepLines w:val="0"/>
        <w:pageBreakBefore w:val="0"/>
        <w:widowControl w:val="0"/>
        <w:kinsoku/>
        <w:wordWrap/>
        <w:overflowPunct/>
        <w:topLinePunct w:val="0"/>
        <w:autoSpaceDE/>
        <w:autoSpaceDN/>
        <w:bidi w:val="0"/>
        <w:adjustRightInd/>
        <w:snapToGrid/>
        <w:spacing w:beforeLines="0" w:line="560" w:lineRule="exact"/>
        <w:ind w:firstLine="642" w:firstLineChars="200"/>
        <w:textAlignment w:val="auto"/>
        <w:rPr>
          <w:rFonts w:hint="eastAsia"/>
          <w:sz w:val="32"/>
          <w:szCs w:val="32"/>
          <w:lang w:val="en-US" w:eastAsia="zh-CN"/>
        </w:rPr>
      </w:pPr>
      <w:r>
        <w:rPr>
          <w:rFonts w:hint="eastAsia"/>
          <w:b/>
          <w:bCs/>
          <w:sz w:val="32"/>
          <w:szCs w:val="32"/>
          <w:lang w:val="en-US" w:eastAsia="zh-CN"/>
        </w:rPr>
        <w:t>2、保护及社区共管股。</w:t>
      </w:r>
      <w:r>
        <w:rPr>
          <w:rFonts w:hint="eastAsia"/>
          <w:sz w:val="32"/>
          <w:szCs w:val="32"/>
          <w:lang w:val="en-US" w:eastAsia="zh-CN"/>
        </w:rPr>
        <w:t>主要从事野生动植物保护、自然生态系统保护以及社区共建共管工作。指导、监督各保护站管辖范围内的保护、管理工作;贯彻、执行并宣传《中华人民共和国野生动物保护法》《中华人民共和国自然保护区条例》等法律法规及其他相关方针、政策;坚持巡护和进行野生动物现场抢救工作,做好巡护记录,收集基础科研数据;严格火源管理,消除火灾隐患,禁止保护区内的毁林开垦、乱捕滥猎、乱采乱挖、开山挖矿等违法违规行为;积极协调保护区与周边社区的关系,完成社区共管日常工作;及时上报保护区内所发生的重大问题;搞好社区关系,配合各股室工作。完成领导交办的其他工作。</w:t>
      </w:r>
    </w:p>
    <w:p>
      <w:pPr>
        <w:pStyle w:val="8"/>
        <w:keepNext w:val="0"/>
        <w:keepLines w:val="0"/>
        <w:pageBreakBefore w:val="0"/>
        <w:widowControl w:val="0"/>
        <w:kinsoku/>
        <w:wordWrap/>
        <w:overflowPunct/>
        <w:topLinePunct w:val="0"/>
        <w:autoSpaceDE/>
        <w:autoSpaceDN/>
        <w:bidi w:val="0"/>
        <w:adjustRightInd/>
        <w:snapToGrid/>
        <w:spacing w:beforeLines="0" w:line="560" w:lineRule="exact"/>
        <w:ind w:firstLine="642" w:firstLineChars="200"/>
        <w:textAlignment w:val="auto"/>
        <w:rPr>
          <w:rFonts w:hint="eastAsia"/>
          <w:lang w:eastAsia="zh-CN"/>
        </w:rPr>
      </w:pPr>
      <w:r>
        <w:rPr>
          <w:rFonts w:hint="eastAsia"/>
          <w:b/>
          <w:bCs/>
          <w:sz w:val="32"/>
          <w:szCs w:val="32"/>
          <w:lang w:val="en-US" w:eastAsia="zh-CN"/>
        </w:rPr>
        <w:t>3、科研监测股。</w:t>
      </w:r>
      <w:r>
        <w:rPr>
          <w:rFonts w:hint="eastAsia"/>
          <w:sz w:val="32"/>
          <w:szCs w:val="32"/>
          <w:lang w:val="en-US" w:eastAsia="zh-CN"/>
        </w:rPr>
        <w:t>主要从事保护区科研、宣传、教育等方面的管理工作。适时、全方位地宣传《中华人民共和国野生动物保护法》《中华人民共和国环境保护法》《中华人民共和国自然保护区条例》《森林防火条例》等法律法规和其他相关方针政策;有计划地组织野生动物疫源疫病监测等科研单位完成相应的科研、观测任务,开展专题性的科研工作，组织编写科研报告、科研人员年报;组织完成湿地资源调查工作,做好科研成果建档和档案管理工作;接待保护区请来的相关学科的专家,组织职工培训。完成领导交办的其他工作</w:t>
      </w:r>
      <w:r>
        <w:rPr>
          <w:rFonts w:hint="eastAsia" w:hAnsi="Times New Roman" w:cs="Times New Roman"/>
          <w:sz w:val="32"/>
          <w:szCs w:val="32"/>
          <w:lang w:eastAsia="zh-CN"/>
        </w:rPr>
        <w:t>。</w:t>
      </w:r>
    </w:p>
    <w:p>
      <w:pPr>
        <w:pStyle w:val="6"/>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kern w:val="0"/>
          <w:sz w:val="32"/>
          <w:szCs w:val="32"/>
          <w:lang w:val="en-US" w:eastAsia="zh-CN" w:bidi="ar-SA"/>
        </w:rPr>
      </w:pPr>
      <w:bookmarkStart w:id="10" w:name="_Toc10699"/>
      <w:bookmarkStart w:id="11" w:name="_Toc30939"/>
      <w:bookmarkStart w:id="12" w:name="_Toc12356"/>
      <w:bookmarkStart w:id="13" w:name="_Toc15377204"/>
      <w:bookmarkStart w:id="14" w:name="_Toc15396602"/>
      <w:r>
        <w:rPr>
          <w:rFonts w:hint="eastAsia" w:ascii="仿宋_GB2312" w:hAnsi="Times New Roman" w:eastAsia="仿宋_GB2312" w:cs="Times New Roman"/>
          <w:kern w:val="0"/>
          <w:sz w:val="32"/>
          <w:szCs w:val="32"/>
          <w:lang w:val="en-US" w:eastAsia="zh-CN" w:bidi="ar-SA"/>
        </w:rPr>
        <w:t>四川南莫且高原湿地自然保护区管理处无下属二级</w:t>
      </w:r>
      <w:r>
        <w:rPr>
          <w:rFonts w:hint="eastAsia" w:ascii="仿宋_GB2312" w:eastAsia="仿宋_GB2312" w:cs="Times New Roman"/>
          <w:kern w:val="0"/>
          <w:sz w:val="32"/>
          <w:szCs w:val="32"/>
          <w:lang w:val="en-US" w:eastAsia="zh-CN" w:bidi="ar-SA"/>
        </w:rPr>
        <w:t>预算</w:t>
      </w:r>
      <w:r>
        <w:rPr>
          <w:rFonts w:hint="eastAsia" w:ascii="仿宋_GB2312" w:hAnsi="Times New Roman" w:eastAsia="仿宋_GB2312" w:cs="Times New Roman"/>
          <w:kern w:val="0"/>
          <w:sz w:val="32"/>
          <w:szCs w:val="32"/>
          <w:lang w:val="en-US" w:eastAsia="zh-CN" w:bidi="ar-SA"/>
        </w:rPr>
        <w:t>单位，本单位属事业单位。</w:t>
      </w:r>
      <w:bookmarkEnd w:id="10"/>
      <w:bookmarkEnd w:id="11"/>
      <w:bookmarkEnd w:id="12"/>
    </w:p>
    <w:p>
      <w:pPr>
        <w:pStyle w:val="2"/>
        <w:pageBreakBefore w:val="0"/>
        <w:widowControl w:val="0"/>
        <w:kinsoku/>
        <w:wordWrap/>
        <w:overflowPunct/>
        <w:topLinePunct w:val="0"/>
        <w:autoSpaceDE/>
        <w:autoSpaceDN/>
        <w:bidi w:val="0"/>
        <w:adjustRightInd/>
        <w:spacing w:line="560" w:lineRule="exact"/>
        <w:textAlignment w:val="auto"/>
        <w:rPr>
          <w:rFonts w:hint="eastAsia" w:ascii="仿宋_GB2312" w:hAnsi="Times New Roman" w:eastAsia="仿宋_GB2312" w:cs="Times New Roman"/>
          <w:kern w:val="0"/>
          <w:sz w:val="32"/>
          <w:szCs w:val="32"/>
          <w:lang w:val="en-US" w:eastAsia="zh-CN" w:bidi="ar-SA"/>
        </w:rPr>
      </w:pPr>
    </w:p>
    <w:p>
      <w:pPr>
        <w:pStyle w:val="3"/>
        <w:pageBreakBefore w:val="0"/>
        <w:widowControl w:val="0"/>
        <w:kinsoku/>
        <w:wordWrap/>
        <w:overflowPunct/>
        <w:topLinePunct w:val="0"/>
        <w:autoSpaceDE/>
        <w:autoSpaceDN/>
        <w:bidi w:val="0"/>
        <w:adjustRightInd/>
        <w:spacing w:after="0" w:line="560" w:lineRule="exact"/>
        <w:textAlignment w:val="auto"/>
        <w:rPr>
          <w:rFonts w:hint="eastAsia" w:ascii="仿宋_GB2312" w:hAnsi="Times New Roman" w:eastAsia="仿宋_GB2312" w:cs="Times New Roman"/>
          <w:kern w:val="0"/>
          <w:sz w:val="32"/>
          <w:szCs w:val="32"/>
          <w:lang w:val="en-US" w:eastAsia="zh-CN" w:bidi="ar-SA"/>
        </w:rPr>
      </w:pPr>
    </w:p>
    <w:p>
      <w:pPr>
        <w:rPr>
          <w:rFonts w:hint="eastAsia" w:ascii="仿宋_GB2312" w:hAnsi="Times New Roman" w:eastAsia="仿宋_GB2312" w:cs="Times New Roman"/>
          <w:kern w:val="0"/>
          <w:sz w:val="32"/>
          <w:szCs w:val="32"/>
          <w:lang w:val="en-US" w:eastAsia="zh-CN" w:bidi="ar-SA"/>
        </w:rPr>
      </w:pPr>
    </w:p>
    <w:p>
      <w:pPr>
        <w:pStyle w:val="2"/>
        <w:rPr>
          <w:rFonts w:hint="eastAsia" w:ascii="仿宋_GB2312" w:hAnsi="Times New Roman" w:eastAsia="仿宋_GB2312" w:cs="Times New Roman"/>
          <w:kern w:val="0"/>
          <w:sz w:val="32"/>
          <w:szCs w:val="32"/>
          <w:lang w:val="en-US" w:eastAsia="zh-CN" w:bidi="ar-SA"/>
        </w:rPr>
      </w:pPr>
    </w:p>
    <w:p>
      <w:pPr>
        <w:pStyle w:val="2"/>
        <w:rPr>
          <w:rFonts w:hint="eastAsia"/>
          <w:lang w:val="en-US" w:eastAsia="zh-CN"/>
        </w:rPr>
      </w:pPr>
    </w:p>
    <w:p>
      <w:pPr>
        <w:pageBreakBefore w:val="0"/>
        <w:widowControl w:val="0"/>
        <w:kinsoku/>
        <w:wordWrap/>
        <w:overflowPunct/>
        <w:topLinePunct w:val="0"/>
        <w:autoSpaceDE/>
        <w:autoSpaceDN/>
        <w:bidi w:val="0"/>
        <w:adjustRightInd/>
        <w:spacing w:line="560" w:lineRule="exact"/>
        <w:textAlignment w:val="auto"/>
        <w:rPr>
          <w:rFonts w:hint="eastAsia"/>
          <w:lang w:val="en-US" w:eastAsia="zh-CN"/>
        </w:rPr>
      </w:pPr>
    </w:p>
    <w:p>
      <w:pPr>
        <w:pStyle w:val="5"/>
        <w:pageBreakBefore w:val="0"/>
        <w:widowControl w:val="0"/>
        <w:kinsoku/>
        <w:wordWrap/>
        <w:overflowPunct/>
        <w:topLinePunct w:val="0"/>
        <w:autoSpaceDE/>
        <w:autoSpaceDN/>
        <w:bidi w:val="0"/>
        <w:adjustRightInd/>
        <w:snapToGrid/>
        <w:spacing w:before="0" w:after="0" w:line="560" w:lineRule="exact"/>
        <w:jc w:val="center"/>
        <w:textAlignment w:val="auto"/>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77205"/>
      <w:bookmarkStart w:id="16" w:name="_Toc15396603"/>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5"/>
      <w:bookmarkEnd w:id="16"/>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2885.36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1285.93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80.40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Times New Roman"/>
          <w:color w:val="000000"/>
          <w:kern w:val="2"/>
          <w:sz w:val="32"/>
          <w:szCs w:val="32"/>
          <w:lang w:val="en-US" w:eastAsia="zh-CN" w:bidi="ar"/>
        </w:rPr>
        <w:t>本年度项目增加，项目收支增加</w:t>
      </w:r>
      <w:r>
        <w:rPr>
          <w:rFonts w:hint="default" w:ascii="Times New Roman" w:hAnsi="Times New Roman" w:eastAsia="仿宋_GB2312" w:cs="Times New Roman"/>
          <w:color w:val="000000"/>
          <w:kern w:val="2"/>
          <w:sz w:val="32"/>
          <w:szCs w:val="32"/>
          <w:lang w:val="en-US" w:eastAsia="zh-CN" w:bidi="ar"/>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677545</wp:posOffset>
            </wp:positionH>
            <wp:positionV relativeFrom="paragraph">
              <wp:posOffset>259080</wp:posOffset>
            </wp:positionV>
            <wp:extent cx="3488690" cy="2632710"/>
            <wp:effectExtent l="4445" t="4445" r="12065" b="1079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692150</wp:posOffset>
            </wp:positionH>
            <wp:positionV relativeFrom="paragraph">
              <wp:posOffset>74295</wp:posOffset>
            </wp:positionV>
            <wp:extent cx="3462020" cy="2287905"/>
            <wp:effectExtent l="4445" t="4445" r="19685" b="1270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5396604"/>
      <w:bookmarkStart w:id="18" w:name="_Toc15377206"/>
      <w:r>
        <w:rPr>
          <w:rFonts w:hint="eastAsia" w:ascii="Times New Roman" w:hAnsi="Times New Roman" w:eastAsia="黑体"/>
          <w:color w:val="auto"/>
          <w:sz w:val="32"/>
          <w:szCs w:val="32"/>
          <w:highlight w:val="none"/>
          <w:lang w:eastAsia="zh-CN"/>
        </w:rPr>
        <w:t>二、收入决算情况说明</w:t>
      </w:r>
      <w:bookmarkEnd w:id="17"/>
      <w:bookmarkEnd w:id="1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2885.36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2667.53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92.45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217.83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7.54</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484505</wp:posOffset>
            </wp:positionH>
            <wp:positionV relativeFrom="paragraph">
              <wp:posOffset>184150</wp:posOffset>
            </wp:positionV>
            <wp:extent cx="2801620" cy="2221865"/>
            <wp:effectExtent l="4445" t="4445" r="13335" b="2159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9" w:name="_Toc15396605"/>
      <w:bookmarkStart w:id="20"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9"/>
      <w:bookmarkEnd w:id="2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2885.36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237.46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8.22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2647.9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91.77</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952500</wp:posOffset>
            </wp:positionH>
            <wp:positionV relativeFrom="paragraph">
              <wp:posOffset>100330</wp:posOffset>
            </wp:positionV>
            <wp:extent cx="2639060" cy="2056130"/>
            <wp:effectExtent l="4445" t="4445" r="23495" b="1587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ind w:firstLine="640" w:firstLineChars="200"/>
        <w:outlineLvl w:val="1"/>
        <w:rPr>
          <w:rStyle w:val="30"/>
          <w:rFonts w:ascii="Times New Roman" w:hAnsi="Times New Roman" w:eastAsia="黑体"/>
          <w:b w:val="0"/>
          <w:color w:val="auto"/>
          <w:highlight w:val="none"/>
        </w:rPr>
      </w:pPr>
      <w:bookmarkStart w:id="21" w:name="_Toc15377208"/>
      <w:bookmarkStart w:id="22"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1"/>
      <w:bookmarkEnd w:id="22"/>
    </w:p>
    <w:p>
      <w:pPr>
        <w:spacing w:line="600" w:lineRule="exact"/>
        <w:ind w:firstLine="640"/>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1130935</wp:posOffset>
            </wp:positionH>
            <wp:positionV relativeFrom="paragraph">
              <wp:posOffset>1506855</wp:posOffset>
            </wp:positionV>
            <wp:extent cx="2738755" cy="2115185"/>
            <wp:effectExtent l="5080" t="4445" r="18415" b="13970"/>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2885.36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1285.93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80.40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eastAsia="仿宋_GB2312" w:cs="Times New Roman"/>
          <w:color w:val="000000"/>
          <w:kern w:val="2"/>
          <w:sz w:val="32"/>
          <w:szCs w:val="32"/>
          <w:lang w:val="en-US" w:eastAsia="zh-CN" w:bidi="ar"/>
        </w:rPr>
        <w:t>本年度项目增加，项目收支增加</w:t>
      </w:r>
      <w:r>
        <w:rPr>
          <w:rFonts w:hint="default" w:ascii="Times New Roman" w:hAnsi="Times New Roman" w:eastAsia="仿宋_GB2312" w:cs="Times New Roman"/>
          <w:color w:val="000000"/>
          <w:sz w:val="32"/>
          <w:szCs w:val="32"/>
          <w:lang w:eastAsia="zh-CN"/>
        </w:rPr>
        <w:t>。</w:t>
      </w:r>
    </w:p>
    <w:p>
      <w:pPr>
        <w:pStyle w:val="2"/>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1116965</wp:posOffset>
            </wp:positionH>
            <wp:positionV relativeFrom="paragraph">
              <wp:posOffset>133350</wp:posOffset>
            </wp:positionV>
            <wp:extent cx="2774950" cy="2055495"/>
            <wp:effectExtent l="4445" t="4445" r="20955" b="1651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0"/>
          <w:rFonts w:ascii="Times New Roman" w:hAnsi="Times New Roman" w:eastAsia="黑体"/>
          <w:b w:val="0"/>
          <w:color w:val="auto"/>
          <w:highlight w:val="none"/>
        </w:rPr>
      </w:pPr>
      <w:bookmarkStart w:id="23" w:name="_Toc15396607"/>
      <w:bookmarkStart w:id="24"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3"/>
      <w:bookmarkEnd w:id="2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5"/>
    </w:p>
    <w:p>
      <w:pPr>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2667.53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92.45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1068.10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66.78</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主要变动原因:</w:t>
      </w:r>
      <w:r>
        <w:rPr>
          <w:rFonts w:hint="eastAsia" w:eastAsia="仿宋_GB2312" w:cs="Times New Roman"/>
          <w:color w:val="000000"/>
          <w:kern w:val="2"/>
          <w:sz w:val="32"/>
          <w:szCs w:val="32"/>
          <w:lang w:val="en-US" w:eastAsia="zh-CN" w:bidi="ar"/>
        </w:rPr>
        <w:t>本年度项目增加，项目支出增加</w:t>
      </w:r>
      <w:r>
        <w:rPr>
          <w:rFonts w:hint="default" w:ascii="Times New Roman" w:hAnsi="Times New Roman" w:eastAsia="仿宋_GB2312" w:cs="Times New Roman"/>
          <w:color w:val="000000"/>
          <w:sz w:val="32"/>
          <w:szCs w:val="32"/>
          <w:lang w:val="en-US"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6432" behindDoc="0" locked="0" layoutInCell="1" allowOverlap="1">
            <wp:simplePos x="0" y="0"/>
            <wp:positionH relativeFrom="column">
              <wp:posOffset>678815</wp:posOffset>
            </wp:positionH>
            <wp:positionV relativeFrom="paragraph">
              <wp:posOffset>48895</wp:posOffset>
            </wp:positionV>
            <wp:extent cx="3229610" cy="2138680"/>
            <wp:effectExtent l="4445" t="4445" r="23495" b="952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pPr>
        <w:pageBreakBefore w:val="0"/>
        <w:widowControl w:val="0"/>
        <w:kinsoku/>
        <w:wordWrap/>
        <w:overflowPunct/>
        <w:topLinePunct w:val="0"/>
        <w:bidi w:val="0"/>
        <w:spacing w:line="560" w:lineRule="exact"/>
        <w:ind w:firstLine="640"/>
        <w:textAlignment w:val="auto"/>
        <w:rPr>
          <w:rFonts w:hint="default" w:ascii="Times New Roman" w:hAnsi="Times New Roman" w:eastAsia="仿宋_GB2312" w:cs="Times New Roman"/>
          <w:b w:val="0"/>
          <w:bCs w:val="0"/>
          <w:color w:val="000000"/>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2667.53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34.90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11.82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0.44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color w:val="000000"/>
          <w:sz w:val="32"/>
          <w:szCs w:val="32"/>
        </w:rPr>
        <w:t>节能环保支出</w:t>
      </w:r>
      <w:r>
        <w:rPr>
          <w:rFonts w:hint="eastAsia" w:eastAsia="仿宋_GB2312" w:cs="Times New Roman"/>
          <w:b w:val="0"/>
          <w:bCs w:val="0"/>
          <w:color w:val="000000"/>
          <w:sz w:val="32"/>
          <w:szCs w:val="32"/>
          <w:lang w:val="en-US" w:eastAsia="zh-CN"/>
        </w:rPr>
        <w:t>218.26</w:t>
      </w:r>
      <w:r>
        <w:rPr>
          <w:rFonts w:hint="default" w:ascii="Times New Roman" w:hAnsi="Times New Roman" w:eastAsia="仿宋_GB2312" w:cs="Times New Roman"/>
          <w:b w:val="0"/>
          <w:bCs w:val="0"/>
          <w:color w:val="000000"/>
          <w:sz w:val="32"/>
          <w:szCs w:val="32"/>
        </w:rPr>
        <w:t>万元，占</w:t>
      </w:r>
      <w:r>
        <w:rPr>
          <w:rFonts w:hint="eastAsia" w:eastAsia="仿宋_GB2312" w:cs="Times New Roman"/>
          <w:b w:val="0"/>
          <w:bCs w:val="0"/>
          <w:color w:val="000000"/>
          <w:sz w:val="32"/>
          <w:szCs w:val="32"/>
          <w:lang w:val="en-US" w:eastAsia="zh-CN"/>
        </w:rPr>
        <w:t>8.18</w:t>
      </w:r>
      <w:r>
        <w:rPr>
          <w:rFonts w:hint="default" w:ascii="Times New Roman" w:hAnsi="Times New Roman" w:eastAsia="仿宋_GB2312" w:cs="Times New Roman"/>
          <w:b w:val="0"/>
          <w:bCs w:val="0"/>
          <w:color w:val="000000"/>
          <w:sz w:val="32"/>
          <w:szCs w:val="32"/>
        </w:rPr>
        <w:t>%；农林水支出</w:t>
      </w:r>
      <w:r>
        <w:rPr>
          <w:rFonts w:hint="eastAsia" w:eastAsia="仿宋_GB2312" w:cs="Times New Roman"/>
          <w:b w:val="0"/>
          <w:bCs w:val="0"/>
          <w:color w:val="000000"/>
          <w:sz w:val="32"/>
          <w:szCs w:val="32"/>
          <w:lang w:val="en-US" w:eastAsia="zh-CN"/>
        </w:rPr>
        <w:t>2384.91</w:t>
      </w:r>
      <w:r>
        <w:rPr>
          <w:rFonts w:hint="default" w:ascii="Times New Roman" w:hAnsi="Times New Roman" w:eastAsia="仿宋_GB2312" w:cs="Times New Roman"/>
          <w:b w:val="0"/>
          <w:bCs w:val="0"/>
          <w:color w:val="000000"/>
          <w:sz w:val="32"/>
          <w:szCs w:val="32"/>
        </w:rPr>
        <w:t>万元，占</w:t>
      </w:r>
      <w:r>
        <w:rPr>
          <w:rFonts w:hint="eastAsia" w:eastAsia="仿宋_GB2312" w:cs="Times New Roman"/>
          <w:b w:val="0"/>
          <w:bCs w:val="0"/>
          <w:color w:val="000000"/>
          <w:sz w:val="32"/>
          <w:szCs w:val="32"/>
          <w:lang w:val="en-US" w:eastAsia="zh-CN"/>
        </w:rPr>
        <w:t>89.41</w:t>
      </w:r>
      <w:r>
        <w:rPr>
          <w:rFonts w:hint="default" w:ascii="Times New Roman" w:hAnsi="Times New Roman" w:eastAsia="仿宋_GB2312" w:cs="Times New Roman"/>
          <w:b w:val="0"/>
          <w:bCs w:val="0"/>
          <w:color w:val="000000"/>
          <w:sz w:val="32"/>
          <w:szCs w:val="32"/>
        </w:rPr>
        <w:t>%</w:t>
      </w:r>
      <w:r>
        <w:rPr>
          <w:rFonts w:hint="default" w:ascii="Times New Roman" w:hAnsi="Times New Roman" w:eastAsia="仿宋_GB2312" w:cs="Times New Roman"/>
          <w:b w:val="0"/>
          <w:bCs w:val="0"/>
          <w:color w:val="000000"/>
          <w:sz w:val="32"/>
          <w:szCs w:val="32"/>
          <w:lang w:eastAsia="zh-CN"/>
        </w:rPr>
        <w:t>；住房保障支出</w:t>
      </w:r>
      <w:r>
        <w:rPr>
          <w:rFonts w:hint="eastAsia" w:eastAsia="仿宋_GB2312" w:cs="Times New Roman"/>
          <w:b w:val="0"/>
          <w:bCs w:val="0"/>
          <w:color w:val="000000"/>
          <w:sz w:val="32"/>
          <w:szCs w:val="32"/>
          <w:lang w:val="en-US" w:eastAsia="zh-CN"/>
        </w:rPr>
        <w:t>17.64</w:t>
      </w:r>
      <w:r>
        <w:rPr>
          <w:rFonts w:hint="default" w:ascii="Times New Roman" w:hAnsi="Times New Roman" w:eastAsia="仿宋_GB2312" w:cs="Times New Roman"/>
          <w:b w:val="0"/>
          <w:bCs w:val="0"/>
          <w:color w:val="000000"/>
          <w:sz w:val="32"/>
          <w:szCs w:val="32"/>
          <w:lang w:eastAsia="zh-CN"/>
        </w:rPr>
        <w:t>万元，占</w:t>
      </w:r>
      <w:r>
        <w:rPr>
          <w:rFonts w:hint="eastAsia" w:eastAsia="仿宋_GB2312" w:cs="Times New Roman"/>
          <w:b w:val="0"/>
          <w:bCs w:val="0"/>
          <w:color w:val="000000"/>
          <w:sz w:val="32"/>
          <w:szCs w:val="32"/>
          <w:lang w:val="en-US" w:eastAsia="zh-CN"/>
        </w:rPr>
        <w:t>0.66</w:t>
      </w:r>
      <w:r>
        <w:rPr>
          <w:rFonts w:hint="default"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eastAsia="zh-CN"/>
        </w:rPr>
        <w:t>。</w:t>
      </w:r>
    </w:p>
    <w:p>
      <w:pPr>
        <w:pStyle w:val="2"/>
        <w:rPr>
          <w:rFonts w:hint="default"/>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lang w:eastAsia="zh-CN"/>
        </w:rPr>
        <w:drawing>
          <wp:anchor distT="0" distB="0" distL="114300" distR="114300" simplePos="0" relativeHeight="251667456" behindDoc="0" locked="0" layoutInCell="1" allowOverlap="1">
            <wp:simplePos x="0" y="0"/>
            <wp:positionH relativeFrom="column">
              <wp:posOffset>855980</wp:posOffset>
            </wp:positionH>
            <wp:positionV relativeFrom="paragraph">
              <wp:posOffset>32385</wp:posOffset>
            </wp:positionV>
            <wp:extent cx="3324225" cy="2109470"/>
            <wp:effectExtent l="5080" t="4445" r="4445" b="19685"/>
            <wp:wrapSquare wrapText="bothSides"/>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8" w:name="_Toc15377444"/>
      <w:bookmarkStart w:id="29" w:name="_Toc15377213"/>
      <w:bookmarkStart w:id="30"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2667.53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p>
    <w:p>
      <w:pPr>
        <w:keepNext w:val="0"/>
        <w:keepLines w:val="0"/>
        <w:pageBreakBefore w:val="0"/>
        <w:widowControl w:val="0"/>
        <w:kinsoku/>
        <w:wordWrap/>
        <w:overflowPunct/>
        <w:topLinePunct w:val="0"/>
        <w:bidi w:val="0"/>
        <w:snapToGrid/>
        <w:spacing w:line="560" w:lineRule="exact"/>
        <w:ind w:firstLine="642" w:firstLineChars="200"/>
        <w:textAlignment w:val="auto"/>
        <w:rPr>
          <w:rFonts w:hint="default" w:ascii="Times New Roman" w:hAnsi="Times New Roman" w:eastAsia="仿宋_GB2312" w:cs="Times New Roman"/>
          <w:b w:val="0"/>
          <w:bCs/>
          <w:color w:val="000000"/>
          <w:sz w:val="32"/>
          <w:szCs w:val="32"/>
        </w:rPr>
      </w:pPr>
      <w:r>
        <w:rPr>
          <w:rStyle w:val="18"/>
          <w:rFonts w:hint="default" w:ascii="Times New Roman" w:hAnsi="Times New Roman" w:eastAsia="仿宋_GB2312" w:cs="Times New Roman"/>
          <w:b/>
          <w:bCs w:val="0"/>
          <w:color w:val="000000"/>
          <w:sz w:val="32"/>
          <w:szCs w:val="32"/>
        </w:rPr>
        <w:t>1.社会保障和就业支出（类）行政事业单位养老支出（款）机关事业单位基本养老保险缴费支出（项）:</w:t>
      </w:r>
      <w:r>
        <w:rPr>
          <w:rStyle w:val="18"/>
          <w:rFonts w:hint="default" w:ascii="Times New Roman" w:hAnsi="Times New Roman" w:eastAsia="仿宋_GB2312" w:cs="Times New Roman"/>
          <w:b w:val="0"/>
          <w:bCs/>
          <w:color w:val="000000"/>
          <w:sz w:val="32"/>
          <w:szCs w:val="32"/>
        </w:rPr>
        <w:t xml:space="preserve"> 支出决算为</w:t>
      </w:r>
      <w:r>
        <w:rPr>
          <w:rStyle w:val="18"/>
          <w:rFonts w:hint="eastAsia" w:eastAsia="仿宋_GB2312" w:cs="Times New Roman"/>
          <w:b w:val="0"/>
          <w:bCs/>
          <w:color w:val="000000"/>
          <w:sz w:val="32"/>
          <w:szCs w:val="32"/>
          <w:lang w:val="en-US" w:eastAsia="zh-CN"/>
        </w:rPr>
        <w:t>23.27</w:t>
      </w:r>
      <w:r>
        <w:rPr>
          <w:rStyle w:val="18"/>
          <w:rFonts w:hint="default" w:ascii="Times New Roman" w:hAnsi="Times New Roman" w:eastAsia="仿宋_GB2312" w:cs="Times New Roman"/>
          <w:b w:val="0"/>
          <w:bCs/>
          <w:color w:val="000000"/>
          <w:sz w:val="32"/>
          <w:szCs w:val="32"/>
        </w:rPr>
        <w:t>万元，完成预算</w:t>
      </w:r>
      <w:r>
        <w:rPr>
          <w:rStyle w:val="18"/>
          <w:rFonts w:hint="default" w:ascii="Times New Roman" w:hAnsi="Times New Roman" w:eastAsia="仿宋_GB2312" w:cs="Times New Roman"/>
          <w:b w:val="0"/>
          <w:bCs/>
          <w:color w:val="000000"/>
          <w:sz w:val="32"/>
          <w:szCs w:val="32"/>
          <w:lang w:val="en-US" w:eastAsia="zh-CN"/>
        </w:rPr>
        <w:t>100</w:t>
      </w:r>
      <w:r>
        <w:rPr>
          <w:rStyle w:val="18"/>
          <w:rFonts w:hint="default" w:ascii="Times New Roman" w:hAnsi="Times New Roman" w:eastAsia="仿宋_GB2312" w:cs="Times New Roman"/>
          <w:b w:val="0"/>
          <w:bCs/>
          <w:color w:val="000000"/>
          <w:sz w:val="32"/>
          <w:szCs w:val="32"/>
        </w:rPr>
        <w:t>%。</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Style w:val="18"/>
          <w:rFonts w:hint="default" w:ascii="Times New Roman" w:hAnsi="Times New Roman" w:eastAsia="仿宋_GB2312" w:cs="Times New Roman"/>
          <w:b w:val="0"/>
          <w:bCs/>
          <w:color w:val="000000"/>
          <w:sz w:val="32"/>
          <w:szCs w:val="32"/>
        </w:rPr>
      </w:pPr>
      <w:r>
        <w:rPr>
          <w:rStyle w:val="18"/>
          <w:rFonts w:hint="default" w:ascii="Times New Roman" w:hAnsi="Times New Roman" w:eastAsia="仿宋_GB2312" w:cs="Times New Roman"/>
          <w:b/>
          <w:bCs w:val="0"/>
          <w:color w:val="000000"/>
          <w:sz w:val="32"/>
          <w:szCs w:val="32"/>
          <w:lang w:val="en-US" w:eastAsia="zh-CN"/>
        </w:rPr>
        <w:t>2</w:t>
      </w:r>
      <w:r>
        <w:rPr>
          <w:rStyle w:val="18"/>
          <w:rFonts w:hint="default" w:ascii="Times New Roman" w:hAnsi="Times New Roman" w:eastAsia="仿宋_GB2312" w:cs="Times New Roman"/>
          <w:b/>
          <w:bCs w:val="0"/>
          <w:color w:val="000000"/>
          <w:sz w:val="32"/>
          <w:szCs w:val="32"/>
        </w:rPr>
        <w:t>.</w:t>
      </w:r>
      <w:r>
        <w:rPr>
          <w:rFonts w:hint="default" w:ascii="Times New Roman" w:hAnsi="Times New Roman" w:eastAsia="仿宋_GB2312" w:cs="Times New Roman"/>
          <w:b/>
          <w:bCs w:val="0"/>
          <w:color w:val="000000"/>
          <w:sz w:val="32"/>
          <w:szCs w:val="32"/>
        </w:rPr>
        <w:t>社会保障和就业支出（类）行政事业单位养老支出（款）机关事业单位职业年金缴费支出（项）</w:t>
      </w:r>
      <w:r>
        <w:rPr>
          <w:rStyle w:val="18"/>
          <w:rFonts w:hint="default" w:ascii="Times New Roman" w:hAnsi="Times New Roman" w:eastAsia="仿宋_GB2312" w:cs="Times New Roman"/>
          <w:b/>
          <w:bCs w:val="0"/>
          <w:color w:val="000000"/>
          <w:sz w:val="32"/>
          <w:szCs w:val="32"/>
        </w:rPr>
        <w:t>:</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11.63</w:t>
      </w:r>
      <w:r>
        <w:rPr>
          <w:rStyle w:val="18"/>
          <w:rFonts w:hint="default" w:ascii="Times New Roman" w:hAnsi="Times New Roman" w:eastAsia="仿宋_GB2312" w:cs="Times New Roman"/>
          <w:b w:val="0"/>
          <w:bCs/>
          <w:color w:val="000000"/>
          <w:sz w:val="32"/>
          <w:szCs w:val="32"/>
        </w:rPr>
        <w:t>万元，完成预算</w:t>
      </w:r>
      <w:r>
        <w:rPr>
          <w:rStyle w:val="18"/>
          <w:rFonts w:hint="default" w:ascii="Times New Roman" w:hAnsi="Times New Roman" w:eastAsia="仿宋_GB2312" w:cs="Times New Roman"/>
          <w:b w:val="0"/>
          <w:bCs/>
          <w:color w:val="000000"/>
          <w:sz w:val="32"/>
          <w:szCs w:val="32"/>
          <w:lang w:val="en-US" w:eastAsia="zh-CN"/>
        </w:rPr>
        <w:t>100</w:t>
      </w:r>
      <w:r>
        <w:rPr>
          <w:rStyle w:val="18"/>
          <w:rFonts w:hint="default" w:ascii="Times New Roman" w:hAnsi="Times New Roman" w:eastAsia="仿宋_GB2312" w:cs="Times New Roman"/>
          <w:b w:val="0"/>
          <w:bCs/>
          <w:color w:val="000000"/>
          <w:sz w:val="32"/>
          <w:szCs w:val="32"/>
        </w:rPr>
        <w:t>%。</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Fonts w:hint="default" w:ascii="Times New Roman" w:hAnsi="Times New Roman" w:eastAsia="仿宋_GB2312" w:cs="Times New Roman"/>
          <w:b w:val="0"/>
          <w:bCs/>
          <w:color w:val="000000"/>
          <w:sz w:val="32"/>
          <w:szCs w:val="32"/>
        </w:rPr>
      </w:pPr>
      <w:r>
        <w:rPr>
          <w:rStyle w:val="18"/>
          <w:rFonts w:hint="default" w:ascii="Times New Roman" w:hAnsi="Times New Roman" w:eastAsia="仿宋_GB2312" w:cs="Times New Roman"/>
          <w:b/>
          <w:bCs w:val="0"/>
          <w:color w:val="000000"/>
          <w:sz w:val="32"/>
          <w:szCs w:val="32"/>
          <w:lang w:val="en-US" w:eastAsia="zh-CN"/>
        </w:rPr>
        <w:t>3</w:t>
      </w:r>
      <w:r>
        <w:rPr>
          <w:rStyle w:val="18"/>
          <w:rFonts w:hint="default" w:ascii="Times New Roman" w:hAnsi="Times New Roman" w:eastAsia="仿宋_GB2312" w:cs="Times New Roman"/>
          <w:b/>
          <w:bCs w:val="0"/>
          <w:color w:val="000000"/>
          <w:sz w:val="32"/>
          <w:szCs w:val="32"/>
        </w:rPr>
        <w:t xml:space="preserve">.卫生健康支出（类）行政事业单位医疗（款）事业单位医疗（项）: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10.18</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Fonts w:hint="default" w:ascii="Times New Roman" w:hAnsi="Times New Roman" w:eastAsia="仿宋_GB2312" w:cs="Times New Roman"/>
          <w:b w:val="0"/>
          <w:bCs/>
          <w:color w:val="000000"/>
          <w:sz w:val="32"/>
          <w:szCs w:val="32"/>
        </w:rPr>
      </w:pPr>
      <w:r>
        <w:rPr>
          <w:rStyle w:val="18"/>
          <w:rFonts w:hint="default" w:ascii="Times New Roman" w:hAnsi="Times New Roman" w:eastAsia="仿宋_GB2312" w:cs="Times New Roman"/>
          <w:b/>
          <w:bCs w:val="0"/>
          <w:color w:val="000000"/>
          <w:sz w:val="32"/>
          <w:szCs w:val="32"/>
          <w:lang w:val="en-US" w:eastAsia="zh-CN"/>
        </w:rPr>
        <w:t>4</w:t>
      </w:r>
      <w:r>
        <w:rPr>
          <w:rStyle w:val="18"/>
          <w:rFonts w:hint="default" w:ascii="Times New Roman" w:hAnsi="Times New Roman" w:eastAsia="仿宋_GB2312" w:cs="Times New Roman"/>
          <w:b/>
          <w:bCs w:val="0"/>
          <w:color w:val="000000"/>
          <w:sz w:val="32"/>
          <w:szCs w:val="32"/>
        </w:rPr>
        <w:t xml:space="preserve">.卫生健康支出（类）行政事业单位医疗（款）其他行政事业单位医疗支出（项）: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1.64</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Style w:val="18"/>
          <w:rFonts w:hint="default" w:ascii="Times New Roman" w:hAnsi="Times New Roman" w:eastAsia="仿宋_GB2312" w:cs="Times New Roman"/>
          <w:b w:val="0"/>
          <w:bCs/>
          <w:color w:val="000000"/>
          <w:sz w:val="32"/>
          <w:szCs w:val="32"/>
        </w:rPr>
      </w:pPr>
      <w:r>
        <w:rPr>
          <w:rStyle w:val="18"/>
          <w:rFonts w:hint="default" w:ascii="Times New Roman" w:hAnsi="Times New Roman" w:eastAsia="仿宋_GB2312" w:cs="Times New Roman"/>
          <w:b/>
          <w:bCs w:val="0"/>
          <w:color w:val="000000"/>
          <w:sz w:val="32"/>
          <w:szCs w:val="32"/>
          <w:lang w:val="en-US" w:eastAsia="zh-CN"/>
        </w:rPr>
        <w:t>5</w:t>
      </w:r>
      <w:r>
        <w:rPr>
          <w:rStyle w:val="18"/>
          <w:rFonts w:hint="default" w:ascii="Times New Roman" w:hAnsi="Times New Roman" w:eastAsia="仿宋_GB2312" w:cs="Times New Roman"/>
          <w:b/>
          <w:bCs w:val="0"/>
          <w:color w:val="000000"/>
          <w:sz w:val="32"/>
          <w:szCs w:val="32"/>
        </w:rPr>
        <w:t xml:space="preserve">.节能环保支出（类）自然生态保护（款）生态保护（项）: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151.15</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Fonts w:hint="default" w:ascii="Times New Roman" w:hAnsi="Times New Roman" w:eastAsia="仿宋_GB2312" w:cs="Times New Roman"/>
          <w:b w:val="0"/>
          <w:bCs/>
          <w:color w:val="000000"/>
          <w:sz w:val="32"/>
          <w:szCs w:val="32"/>
        </w:rPr>
      </w:pPr>
      <w:r>
        <w:rPr>
          <w:rStyle w:val="18"/>
          <w:rFonts w:hint="eastAsia" w:ascii="Times New Roman" w:hAnsi="Times New Roman" w:eastAsia="仿宋_GB2312" w:cs="Times New Roman"/>
          <w:b/>
          <w:bCs w:val="0"/>
          <w:color w:val="000000"/>
          <w:sz w:val="32"/>
          <w:szCs w:val="32"/>
          <w:lang w:val="en-US" w:eastAsia="zh-CN"/>
        </w:rPr>
        <w:t>6</w:t>
      </w:r>
      <w:r>
        <w:rPr>
          <w:rStyle w:val="18"/>
          <w:rFonts w:hint="default" w:ascii="Times New Roman" w:hAnsi="Times New Roman" w:eastAsia="仿宋_GB2312" w:cs="Times New Roman"/>
          <w:b/>
          <w:bCs w:val="0"/>
          <w:color w:val="000000"/>
          <w:sz w:val="32"/>
          <w:szCs w:val="32"/>
        </w:rPr>
        <w:t>.节能环保支出（类）自然生态保护（款）</w:t>
      </w:r>
      <w:r>
        <w:rPr>
          <w:rStyle w:val="18"/>
          <w:rFonts w:hint="eastAsia" w:eastAsia="仿宋_GB2312" w:cs="Times New Roman"/>
          <w:b/>
          <w:bCs w:val="0"/>
          <w:color w:val="000000"/>
          <w:sz w:val="32"/>
          <w:szCs w:val="32"/>
          <w:lang w:eastAsia="zh-CN"/>
        </w:rPr>
        <w:t>其他自然生态保护支出</w:t>
      </w:r>
      <w:r>
        <w:rPr>
          <w:rStyle w:val="18"/>
          <w:rFonts w:hint="default" w:ascii="Times New Roman" w:hAnsi="Times New Roman" w:eastAsia="仿宋_GB2312" w:cs="Times New Roman"/>
          <w:b/>
          <w:bCs w:val="0"/>
          <w:color w:val="000000"/>
          <w:sz w:val="32"/>
          <w:szCs w:val="32"/>
        </w:rPr>
        <w:t xml:space="preserve">（项）: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67.11</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Style w:val="18"/>
          <w:rFonts w:hint="default" w:ascii="Times New Roman" w:hAnsi="Times New Roman" w:eastAsia="仿宋_GB2312" w:cs="Times New Roman"/>
          <w:b w:val="0"/>
          <w:bCs/>
          <w:color w:val="000000"/>
          <w:sz w:val="32"/>
          <w:szCs w:val="32"/>
        </w:rPr>
      </w:pPr>
      <w:r>
        <w:rPr>
          <w:rStyle w:val="18"/>
          <w:rFonts w:hint="eastAsia" w:eastAsia="仿宋_GB2312" w:cs="Times New Roman"/>
          <w:b/>
          <w:bCs w:val="0"/>
          <w:color w:val="000000"/>
          <w:sz w:val="32"/>
          <w:szCs w:val="32"/>
          <w:lang w:val="en-US" w:eastAsia="zh-CN"/>
        </w:rPr>
        <w:t>7</w:t>
      </w:r>
      <w:r>
        <w:rPr>
          <w:rStyle w:val="18"/>
          <w:rFonts w:hint="default" w:ascii="Times New Roman" w:hAnsi="Times New Roman" w:eastAsia="仿宋_GB2312" w:cs="Times New Roman"/>
          <w:b/>
          <w:bCs w:val="0"/>
          <w:color w:val="000000"/>
          <w:sz w:val="32"/>
          <w:szCs w:val="32"/>
        </w:rPr>
        <w:t xml:space="preserve">.农林水支出（类）林业和草原（款）事业机构（项）: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173.10</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Style w:val="18"/>
          <w:rFonts w:hint="default" w:ascii="Times New Roman" w:hAnsi="Times New Roman" w:eastAsia="仿宋_GB2312" w:cs="Times New Roman"/>
          <w:b/>
          <w:bCs w:val="0"/>
          <w:color w:val="000000"/>
          <w:sz w:val="32"/>
          <w:szCs w:val="32"/>
        </w:rPr>
      </w:pPr>
      <w:r>
        <w:rPr>
          <w:rStyle w:val="18"/>
          <w:rFonts w:hint="eastAsia" w:eastAsia="仿宋_GB2312" w:cs="Times New Roman"/>
          <w:b/>
          <w:bCs w:val="0"/>
          <w:color w:val="000000"/>
          <w:sz w:val="32"/>
          <w:szCs w:val="32"/>
          <w:lang w:val="en-US" w:eastAsia="zh-CN"/>
        </w:rPr>
        <w:t>8</w:t>
      </w:r>
      <w:r>
        <w:rPr>
          <w:rStyle w:val="18"/>
          <w:rFonts w:hint="default" w:ascii="Times New Roman" w:hAnsi="Times New Roman" w:eastAsia="仿宋_GB2312" w:cs="Times New Roman"/>
          <w:b/>
          <w:bCs w:val="0"/>
          <w:color w:val="000000"/>
          <w:sz w:val="32"/>
          <w:szCs w:val="32"/>
        </w:rPr>
        <w:t>.农林水支出（类）林业和草原（款）</w:t>
      </w:r>
      <w:r>
        <w:rPr>
          <w:rStyle w:val="18"/>
          <w:rFonts w:hint="eastAsia" w:eastAsia="仿宋_GB2312" w:cs="Times New Roman"/>
          <w:b/>
          <w:bCs w:val="0"/>
          <w:color w:val="000000"/>
          <w:sz w:val="32"/>
          <w:szCs w:val="32"/>
          <w:lang w:eastAsia="zh-CN"/>
        </w:rPr>
        <w:t>其他林业和草原支出</w:t>
      </w:r>
      <w:r>
        <w:rPr>
          <w:rStyle w:val="18"/>
          <w:rFonts w:hint="default" w:ascii="Times New Roman" w:hAnsi="Times New Roman" w:eastAsia="仿宋_GB2312" w:cs="Times New Roman"/>
          <w:b/>
          <w:bCs w:val="0"/>
          <w:color w:val="000000"/>
          <w:sz w:val="32"/>
          <w:szCs w:val="32"/>
        </w:rPr>
        <w:t xml:space="preserve">（项）: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15.54</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2" w:firstLineChars="200"/>
        <w:textAlignment w:val="auto"/>
        <w:rPr>
          <w:rStyle w:val="18"/>
          <w:rFonts w:hint="default" w:ascii="Times New Roman" w:hAnsi="Times New Roman" w:eastAsia="仿宋_GB2312" w:cs="Times New Roman"/>
          <w:b w:val="0"/>
          <w:bCs/>
          <w:color w:val="000000"/>
          <w:sz w:val="32"/>
          <w:szCs w:val="32"/>
        </w:rPr>
      </w:pPr>
      <w:r>
        <w:rPr>
          <w:rStyle w:val="18"/>
          <w:rFonts w:hint="eastAsia" w:eastAsia="仿宋_GB2312" w:cs="Times New Roman"/>
          <w:b/>
          <w:bCs w:val="0"/>
          <w:color w:val="000000"/>
          <w:sz w:val="32"/>
          <w:szCs w:val="32"/>
          <w:lang w:val="en-US" w:eastAsia="zh-CN"/>
        </w:rPr>
        <w:t>9.</w:t>
      </w:r>
      <w:r>
        <w:rPr>
          <w:rStyle w:val="18"/>
          <w:rFonts w:hint="default" w:ascii="Times New Roman" w:hAnsi="Times New Roman" w:eastAsia="仿宋_GB2312" w:cs="Times New Roman"/>
          <w:b/>
          <w:bCs w:val="0"/>
          <w:color w:val="000000"/>
          <w:sz w:val="32"/>
          <w:szCs w:val="32"/>
        </w:rPr>
        <w:t>农林水支出（类）</w:t>
      </w:r>
      <w:r>
        <w:rPr>
          <w:rStyle w:val="18"/>
          <w:rFonts w:hint="eastAsia" w:eastAsia="仿宋_GB2312" w:cs="Times New Roman"/>
          <w:b/>
          <w:bCs w:val="0"/>
          <w:color w:val="000000"/>
          <w:sz w:val="32"/>
          <w:szCs w:val="32"/>
          <w:lang w:eastAsia="zh-CN"/>
        </w:rPr>
        <w:t>巩固拓展脱贫攻坚成果</w:t>
      </w:r>
      <w:r>
        <w:rPr>
          <w:rStyle w:val="18"/>
          <w:rFonts w:hint="default" w:ascii="Times New Roman" w:hAnsi="Times New Roman" w:eastAsia="仿宋_GB2312" w:cs="Times New Roman"/>
          <w:b/>
          <w:bCs w:val="0"/>
          <w:color w:val="000000"/>
          <w:sz w:val="32"/>
          <w:szCs w:val="32"/>
        </w:rPr>
        <w:t>衔接乡村振兴（款）其他</w:t>
      </w:r>
      <w:r>
        <w:rPr>
          <w:rStyle w:val="18"/>
          <w:rFonts w:hint="eastAsia" w:eastAsia="仿宋_GB2312" w:cs="Times New Roman"/>
          <w:b/>
          <w:bCs w:val="0"/>
          <w:color w:val="000000"/>
          <w:sz w:val="32"/>
          <w:szCs w:val="32"/>
          <w:lang w:eastAsia="zh-CN"/>
        </w:rPr>
        <w:t>巩固拓展脱贫攻坚成果</w:t>
      </w:r>
      <w:r>
        <w:rPr>
          <w:rStyle w:val="18"/>
          <w:rFonts w:hint="default" w:ascii="Times New Roman" w:hAnsi="Times New Roman" w:eastAsia="仿宋_GB2312" w:cs="Times New Roman"/>
          <w:b/>
          <w:bCs w:val="0"/>
          <w:color w:val="000000"/>
          <w:sz w:val="32"/>
          <w:szCs w:val="32"/>
        </w:rPr>
        <w:t xml:space="preserve">衔接乡村振兴支出（项）: </w:t>
      </w:r>
      <w:r>
        <w:rPr>
          <w:rStyle w:val="18"/>
          <w:rFonts w:hint="default" w:ascii="Times New Roman" w:hAnsi="Times New Roman" w:eastAsia="仿宋_GB2312" w:cs="Times New Roman"/>
          <w:b w:val="0"/>
          <w:bCs/>
          <w:color w:val="000000"/>
          <w:sz w:val="32"/>
          <w:szCs w:val="32"/>
        </w:rPr>
        <w:t>支出决算为</w:t>
      </w:r>
      <w:r>
        <w:rPr>
          <w:rStyle w:val="18"/>
          <w:rFonts w:hint="eastAsia" w:eastAsia="仿宋_GB2312" w:cs="Times New Roman"/>
          <w:b w:val="0"/>
          <w:bCs/>
          <w:color w:val="000000"/>
          <w:sz w:val="32"/>
          <w:szCs w:val="32"/>
          <w:lang w:val="en-US" w:eastAsia="zh-CN"/>
        </w:rPr>
        <w:t>2196.27</w:t>
      </w:r>
      <w:r>
        <w:rPr>
          <w:rStyle w:val="18"/>
          <w:rFonts w:hint="default" w:ascii="Times New Roman" w:hAnsi="Times New Roman" w:eastAsia="仿宋_GB2312" w:cs="Times New Roman"/>
          <w:b w:val="0"/>
          <w:bCs/>
          <w:color w:val="000000"/>
          <w:sz w:val="32"/>
          <w:szCs w:val="32"/>
        </w:rPr>
        <w:t>万元，完成预算100%。</w:t>
      </w:r>
    </w:p>
    <w:p>
      <w:pPr>
        <w:keepNext w:val="0"/>
        <w:keepLines w:val="0"/>
        <w:pageBreakBefore w:val="0"/>
        <w:widowControl w:val="0"/>
        <w:kinsoku/>
        <w:wordWrap/>
        <w:overflowPunct/>
        <w:topLinePunct w:val="0"/>
        <w:bidi w:val="0"/>
        <w:snapToGrid/>
        <w:spacing w:beforeLines="0" w:afterLines="0"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Style w:val="18"/>
          <w:rFonts w:hint="eastAsia" w:eastAsia="仿宋_GB2312" w:cs="Times New Roman"/>
          <w:b w:val="0"/>
          <w:bCs/>
          <w:color w:val="000000"/>
          <w:sz w:val="32"/>
          <w:szCs w:val="32"/>
          <w:lang w:val="en-US" w:eastAsia="zh-CN"/>
        </w:rPr>
        <w:t>10.</w:t>
      </w:r>
      <w:r>
        <w:rPr>
          <w:rStyle w:val="18"/>
          <w:rFonts w:hint="default" w:ascii="Times New Roman" w:hAnsi="Times New Roman" w:eastAsia="仿宋_GB2312" w:cs="Times New Roman"/>
          <w:b/>
          <w:bCs w:val="0"/>
          <w:color w:val="000000"/>
          <w:sz w:val="32"/>
          <w:szCs w:val="32"/>
          <w:lang w:val="en-US" w:eastAsia="zh-CN"/>
        </w:rPr>
        <w:t>住房保障支出（类）住房改革支出（款）住房公积金（项）:</w:t>
      </w:r>
      <w:r>
        <w:rPr>
          <w:rStyle w:val="18"/>
          <w:rFonts w:hint="default" w:ascii="Times New Roman" w:hAnsi="Times New Roman" w:eastAsia="仿宋_GB2312" w:cs="Times New Roman"/>
          <w:b w:val="0"/>
          <w:bCs/>
          <w:color w:val="000000"/>
          <w:sz w:val="32"/>
          <w:szCs w:val="32"/>
          <w:lang w:val="en-US" w:eastAsia="zh-CN"/>
        </w:rPr>
        <w:t>支出决算为</w:t>
      </w:r>
      <w:r>
        <w:rPr>
          <w:rStyle w:val="18"/>
          <w:rFonts w:hint="eastAsia" w:eastAsia="仿宋_GB2312" w:cs="Times New Roman"/>
          <w:b w:val="0"/>
          <w:bCs/>
          <w:color w:val="000000"/>
          <w:sz w:val="32"/>
          <w:szCs w:val="32"/>
          <w:lang w:val="en-US" w:eastAsia="zh-CN"/>
        </w:rPr>
        <w:t>17.64</w:t>
      </w:r>
      <w:r>
        <w:rPr>
          <w:rStyle w:val="18"/>
          <w:rFonts w:hint="default" w:ascii="Times New Roman" w:hAnsi="Times New Roman" w:eastAsia="仿宋_GB2312" w:cs="Times New Roman"/>
          <w:b w:val="0"/>
          <w:bCs/>
          <w:color w:val="000000"/>
          <w:sz w:val="32"/>
          <w:szCs w:val="32"/>
          <w:lang w:val="en-US" w:eastAsia="zh-CN"/>
        </w:rPr>
        <w:t>万元，完成预算100%。</w:t>
      </w:r>
    </w:p>
    <w:p>
      <w:pPr>
        <w:tabs>
          <w:tab w:val="right" w:pos="8306"/>
        </w:tabs>
        <w:spacing w:line="600" w:lineRule="exact"/>
        <w:ind w:firstLine="640"/>
        <w:outlineLvl w:val="1"/>
        <w:rPr>
          <w:rStyle w:val="30"/>
          <w:rFonts w:ascii="Times New Roman" w:hAnsi="Times New Roman"/>
          <w:color w:val="auto"/>
          <w:highlight w:val="none"/>
        </w:rPr>
      </w:pPr>
      <w:bookmarkStart w:id="31" w:name="_Toc15396608"/>
      <w:bookmarkStart w:id="32"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1"/>
      <w:bookmarkEnd w:id="32"/>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237.46</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人员经费</w:t>
      </w:r>
      <w:r>
        <w:rPr>
          <w:rFonts w:hint="eastAsia" w:ascii="仿宋_GB2312" w:hAnsi="仿宋_GB2312" w:eastAsia="仿宋_GB2312" w:cs="仿宋_GB2312"/>
          <w:b/>
          <w:bCs/>
          <w:sz w:val="32"/>
          <w:szCs w:val="32"/>
        </w:rPr>
        <w:t>225.75</w:t>
      </w:r>
      <w:r>
        <w:rPr>
          <w:rFonts w:hint="eastAsia" w:ascii="Times New Roman" w:hAnsi="Times New Roman" w:eastAsia="仿宋_GB2312" w:cs="仿宋_GB2312"/>
          <w:b/>
          <w:bCs/>
          <w:color w:val="auto"/>
          <w:kern w:val="2"/>
          <w:sz w:val="32"/>
          <w:szCs w:val="32"/>
          <w:highlight w:val="none"/>
          <w:lang w:val="en-US" w:eastAsia="zh-CN" w:bidi="ar-SA"/>
        </w:rPr>
        <w:t>万元，主要包括：</w:t>
      </w:r>
      <w:r>
        <w:rPr>
          <w:rFonts w:hint="eastAsia" w:ascii="Times New Roman" w:hAnsi="Times New Roman" w:eastAsia="仿宋_GB2312" w:cs="仿宋_GB2312"/>
          <w:color w:val="auto"/>
          <w:kern w:val="2"/>
          <w:sz w:val="32"/>
          <w:szCs w:val="32"/>
          <w:highlight w:val="none"/>
          <w:lang w:val="en-US" w:eastAsia="zh-CN" w:bidi="ar-SA"/>
        </w:rPr>
        <w:t>基本工资、津贴补贴、奖金、绩效工资、机关事业单位基本养老保险缴费、职业年金缴费、其他社会保障缴费、医疗费补助、奖励金、住房公积金等。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b/>
          <w:bCs/>
          <w:color w:val="auto"/>
          <w:kern w:val="2"/>
          <w:sz w:val="32"/>
          <w:szCs w:val="32"/>
          <w:highlight w:val="none"/>
          <w:lang w:val="en-US" w:eastAsia="zh-CN" w:bidi="ar-SA"/>
        </w:rPr>
        <w:t>　　公用经费</w:t>
      </w:r>
      <w:r>
        <w:rPr>
          <w:rFonts w:hint="eastAsia" w:ascii="仿宋_GB2312" w:hAnsi="仿宋_GB2312" w:eastAsia="仿宋_GB2312" w:cs="仿宋_GB2312"/>
          <w:b/>
          <w:bCs/>
          <w:sz w:val="32"/>
          <w:szCs w:val="32"/>
        </w:rPr>
        <w:t>11.71</w:t>
      </w:r>
      <w:r>
        <w:rPr>
          <w:rFonts w:hint="eastAsia" w:ascii="Times New Roman" w:hAnsi="Times New Roman" w:eastAsia="仿宋_GB2312" w:cs="仿宋_GB2312"/>
          <w:b/>
          <w:bCs/>
          <w:color w:val="auto"/>
          <w:kern w:val="2"/>
          <w:sz w:val="32"/>
          <w:szCs w:val="32"/>
          <w:highlight w:val="none"/>
          <w:lang w:val="en-US" w:eastAsia="zh-CN" w:bidi="ar-SA"/>
        </w:rPr>
        <w:t>万元，主要包括：</w:t>
      </w:r>
      <w:r>
        <w:rPr>
          <w:rFonts w:hint="eastAsia" w:ascii="Times New Roman" w:hAnsi="Times New Roman" w:eastAsia="仿宋_GB2312" w:cs="仿宋_GB2312"/>
          <w:color w:val="auto"/>
          <w:kern w:val="2"/>
          <w:sz w:val="32"/>
          <w:szCs w:val="32"/>
          <w:highlight w:val="none"/>
          <w:lang w:val="en-US" w:eastAsia="zh-CN" w:bidi="ar-SA"/>
        </w:rPr>
        <w:t>办公费、电费、取暖费、差旅费、劳务费、其他交通费、其他商品和服务支出等。</w:t>
      </w:r>
    </w:p>
    <w:p>
      <w:pPr>
        <w:spacing w:line="600" w:lineRule="exact"/>
        <w:ind w:firstLine="640"/>
        <w:outlineLvl w:val="1"/>
        <w:rPr>
          <w:rStyle w:val="30"/>
          <w:rFonts w:ascii="Times New Roman" w:hAnsi="Times New Roman" w:eastAsia="黑体"/>
          <w:b w:val="0"/>
          <w:color w:val="auto"/>
          <w:highlight w:val="none"/>
        </w:rPr>
      </w:pPr>
      <w:bookmarkStart w:id="33" w:name="_Toc15396609"/>
      <w:bookmarkStart w:id="34"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3"/>
      <w:bookmarkEnd w:id="3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5"/>
    </w:p>
    <w:p>
      <w:pPr>
        <w:keepNext w:val="0"/>
        <w:keepLines w:val="0"/>
        <w:pageBreakBefore w:val="0"/>
        <w:widowControl w:val="0"/>
        <w:kinsoku/>
        <w:wordWrap/>
        <w:overflowPunct/>
        <w:topLinePunct w:val="0"/>
        <w:bidi w:val="0"/>
        <w:snapToGrid/>
        <w:spacing w:line="560" w:lineRule="exact"/>
        <w:ind w:firstLine="640"/>
        <w:textAlignment w:val="auto"/>
        <w:rPr>
          <w:rFonts w:hint="eastAsia" w:ascii="Times New Roman" w:hAnsi="Times New Roman" w:eastAsia="仿宋_GB2312" w:cs="Times New Roman"/>
          <w:color w:val="000000"/>
          <w:sz w:val="32"/>
          <w:szCs w:val="32"/>
          <w:lang w:eastAsia="zh-CN"/>
        </w:rPr>
      </w:pPr>
      <w:r>
        <w:rPr>
          <w:rFonts w:hint="eastAsia" w:eastAsia="仿宋_GB2312" w:cs="Times New Roman"/>
          <w:color w:val="000000"/>
          <w:sz w:val="32"/>
          <w:szCs w:val="32"/>
          <w:lang w:eastAsia="zh-CN"/>
        </w:rPr>
        <w:t>202</w:t>
      </w:r>
      <w:r>
        <w:rPr>
          <w:rFonts w:hint="eastAsia" w:eastAsia="仿宋_GB2312" w:cs="Times New Roman"/>
          <w:color w:val="000000"/>
          <w:sz w:val="32"/>
          <w:szCs w:val="32"/>
          <w:lang w:val="en-US" w:eastAsia="zh-CN"/>
        </w:rPr>
        <w:t>5</w:t>
      </w:r>
      <w:r>
        <w:rPr>
          <w:rFonts w:hint="eastAsia" w:eastAsia="仿宋_GB2312" w:cs="Times New Roman"/>
          <w:color w:val="000000"/>
          <w:sz w:val="32"/>
          <w:szCs w:val="32"/>
          <w:lang w:eastAsia="zh-CN"/>
        </w:rPr>
        <w:t>年“三公”经费</w:t>
      </w:r>
      <w:r>
        <w:rPr>
          <w:rFonts w:hint="default" w:ascii="Times New Roman" w:hAnsi="Times New Roman" w:eastAsia="仿宋_GB2312" w:cs="Times New Roman"/>
          <w:color w:val="000000"/>
          <w:sz w:val="32"/>
          <w:szCs w:val="32"/>
        </w:rPr>
        <w:t>财政拨款支出决算为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eastAsia" w:eastAsia="仿宋_GB2312" w:cs="Times New Roman"/>
          <w:color w:val="000000"/>
          <w:sz w:val="32"/>
          <w:szCs w:val="32"/>
          <w:lang w:val="en-US" w:eastAsia="zh-CN"/>
        </w:rPr>
        <w:t>2025年</w:t>
      </w:r>
      <w:r>
        <w:rPr>
          <w:rFonts w:hint="default" w:ascii="Times New Roman" w:hAnsi="Times New Roman" w:eastAsia="仿宋_GB2312" w:cs="Times New Roman"/>
          <w:color w:val="000000"/>
          <w:sz w:val="32"/>
          <w:szCs w:val="32"/>
          <w:lang w:val="en-US" w:eastAsia="zh-CN"/>
        </w:rPr>
        <w:t>与</w:t>
      </w:r>
      <w:r>
        <w:rPr>
          <w:rFonts w:hint="eastAsia" w:eastAsia="仿宋_GB2312" w:cs="Times New Roman"/>
          <w:color w:val="000000"/>
          <w:sz w:val="32"/>
          <w:szCs w:val="32"/>
          <w:lang w:val="en-US" w:eastAsia="zh-CN"/>
        </w:rPr>
        <w:t>2024年</w:t>
      </w:r>
      <w:r>
        <w:rPr>
          <w:rFonts w:hint="default" w:ascii="Times New Roman" w:hAnsi="Times New Roman" w:eastAsia="仿宋_GB2312" w:cs="Times New Roman"/>
          <w:color w:val="000000"/>
          <w:sz w:val="32"/>
          <w:szCs w:val="32"/>
          <w:lang w:val="en-US" w:eastAsia="zh-CN"/>
        </w:rPr>
        <w:t>均无</w:t>
      </w:r>
      <w:r>
        <w:rPr>
          <w:rFonts w:hint="eastAsia" w:eastAsia="仿宋_GB2312" w:cs="Times New Roman"/>
          <w:color w:val="000000"/>
          <w:sz w:val="32"/>
          <w:szCs w:val="32"/>
          <w:lang w:val="en-US" w:eastAsia="zh-CN"/>
        </w:rPr>
        <w:t>“三公”经费支出</w:t>
      </w:r>
      <w:r>
        <w:rPr>
          <w:rFonts w:hint="eastAsia" w:eastAsia="仿宋_GB2312" w:cs="Times New Roman"/>
          <w:color w:val="000000"/>
          <w:sz w:val="32"/>
          <w:szCs w:val="32"/>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6"/>
    </w:p>
    <w:p>
      <w:pPr>
        <w:keepNext w:val="0"/>
        <w:keepLines w:val="0"/>
        <w:pageBreakBefore w:val="0"/>
        <w:widowControl w:val="0"/>
        <w:kinsoku/>
        <w:wordWrap/>
        <w:overflowPunct/>
        <w:topLinePunct w:val="0"/>
        <w:bidi w:val="0"/>
        <w:snapToGrid/>
        <w:spacing w:line="560" w:lineRule="exact"/>
        <w:ind w:firstLine="640"/>
        <w:textAlignment w:val="auto"/>
        <w:rPr>
          <w:rFonts w:hint="default" w:ascii="Times New Roman" w:hAnsi="Times New Roman" w:eastAsia="仿宋_GB2312" w:cs="Times New Roman"/>
          <w:color w:val="000000"/>
          <w:sz w:val="32"/>
          <w:szCs w:val="32"/>
        </w:rPr>
      </w:pPr>
      <w:r>
        <w:rPr>
          <w:rFonts w:hint="eastAsia" w:eastAsia="仿宋_GB2312" w:cs="仿宋_GB2312"/>
          <w:color w:val="auto"/>
          <w:kern w:val="2"/>
          <w:sz w:val="32"/>
          <w:szCs w:val="32"/>
          <w:highlight w:val="none"/>
          <w:lang w:val="en-US" w:eastAsia="zh-CN" w:bidi="ar-SA"/>
        </w:rPr>
        <w:t>2025年</w:t>
      </w:r>
      <w:r>
        <w:rPr>
          <w:rFonts w:hint="eastAsia" w:eastAsia="仿宋_GB2312" w:cs="Times New Roman"/>
          <w:color w:val="000000"/>
          <w:sz w:val="32"/>
          <w:szCs w:val="32"/>
          <w:lang w:eastAsia="zh-CN"/>
        </w:rPr>
        <w:t>“三公”经费</w:t>
      </w:r>
      <w:r>
        <w:rPr>
          <w:rFonts w:hint="default" w:ascii="Times New Roman" w:hAnsi="Times New Roman" w:eastAsia="仿宋_GB2312" w:cs="Times New Roman"/>
          <w:color w:val="000000"/>
          <w:sz w:val="32"/>
          <w:szCs w:val="32"/>
        </w:rPr>
        <w:t>财政拨款支出决算中，因公出国（境）费支出决算</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万元；公务用车购置及运行维护费支出决算</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万元；公务接待费支出决算</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pPr>
        <w:keepNext w:val="0"/>
        <w:keepLines w:val="0"/>
        <w:pageBreakBefore w:val="0"/>
        <w:widowControl w:val="0"/>
        <w:kinsoku/>
        <w:wordWrap/>
        <w:overflowPunct/>
        <w:topLinePunct w:val="0"/>
        <w:bidi w:val="0"/>
        <w:snapToGri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1.因公出国（境）经费支出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pPr>
        <w:keepNext w:val="0"/>
        <w:keepLines w:val="0"/>
        <w:pageBreakBefore w:val="0"/>
        <w:widowControl w:val="0"/>
        <w:kinsoku/>
        <w:wordWrap/>
        <w:overflowPunct/>
        <w:topLinePunct w:val="0"/>
        <w:bidi w:val="0"/>
        <w:snapToGrid/>
        <w:spacing w:line="56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2.公务用车购置及运行维护费支出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3.公务接待费支出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pPr>
        <w:spacing w:line="600" w:lineRule="exact"/>
        <w:ind w:firstLine="640"/>
        <w:outlineLvl w:val="1"/>
        <w:rPr>
          <w:rStyle w:val="30"/>
          <w:rFonts w:ascii="Times New Roman" w:hAnsi="Times New Roman" w:eastAsia="黑体"/>
          <w:color w:val="auto"/>
          <w:highlight w:val="none"/>
        </w:rPr>
      </w:pPr>
      <w:bookmarkStart w:id="37" w:name="_Toc15377218"/>
      <w:bookmarkStart w:id="38"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7"/>
      <w:bookmarkEnd w:id="38"/>
    </w:p>
    <w:p>
      <w:pPr>
        <w:spacing w:line="600" w:lineRule="exact"/>
        <w:ind w:firstLine="640"/>
        <w:rPr>
          <w:rFonts w:hint="eastAsia" w:eastAsia="仿宋_GB2312" w:cs="Times New Roman"/>
          <w:color w:val="000000"/>
          <w:kern w:val="2"/>
          <w:sz w:val="32"/>
          <w:szCs w:val="32"/>
          <w:lang w:val="en-US" w:eastAsia="zh-CN" w:bidi="ar"/>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217.83</w:t>
      </w:r>
      <w:r>
        <w:rPr>
          <w:rFonts w:hint="eastAsia" w:ascii="Times New Roman" w:hAnsi="Times New Roman" w:eastAsia="仿宋_GB2312" w:cs="仿宋_GB2312"/>
          <w:color w:val="auto"/>
          <w:kern w:val="2"/>
          <w:sz w:val="32"/>
          <w:szCs w:val="32"/>
          <w:highlight w:val="none"/>
          <w:lang w:val="en-US" w:eastAsia="zh-CN" w:bidi="ar-SA"/>
        </w:rPr>
        <w:t>万元，占本年支出合计</w:t>
      </w:r>
      <w:r>
        <w:rPr>
          <w:rFonts w:hint="eastAsia" w:eastAsia="仿宋_GB2312" w:cs="仿宋_GB2312"/>
          <w:color w:val="auto"/>
          <w:kern w:val="2"/>
          <w:sz w:val="32"/>
          <w:szCs w:val="32"/>
          <w:highlight w:val="none"/>
          <w:lang w:val="en-US" w:eastAsia="zh-CN" w:bidi="ar-SA"/>
        </w:rPr>
        <w:t>的7.54%。与上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217.83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Times New Roman"/>
          <w:color w:val="000000"/>
          <w:kern w:val="2"/>
          <w:sz w:val="32"/>
          <w:szCs w:val="32"/>
          <w:lang w:val="en-US" w:eastAsia="zh-CN" w:bidi="ar"/>
        </w:rPr>
        <w:t>主要变动原因是:本年度项目增加，项目支出增加</w:t>
      </w:r>
      <w:r>
        <w:rPr>
          <w:rFonts w:hint="default" w:eastAsia="仿宋_GB2312" w:cs="Times New Roman"/>
          <w:color w:val="000000"/>
          <w:kern w:val="2"/>
          <w:sz w:val="32"/>
          <w:szCs w:val="32"/>
          <w:lang w:val="en-US" w:eastAsia="zh-CN" w:bidi="ar"/>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9" w:name="_Toc15396611"/>
      <w:bookmarkStart w:id="40"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9"/>
      <w:bookmarkEnd w:id="40"/>
    </w:p>
    <w:p>
      <w:pPr>
        <w:numPr>
          <w:ilvl w:val="0"/>
          <w:numId w:val="0"/>
        </w:numPr>
        <w:spacing w:line="600" w:lineRule="exact"/>
        <w:ind w:left="630" w:leftChars="0"/>
        <w:outlineLvl w:val="1"/>
        <w:rPr>
          <w:rFonts w:hint="eastAsia" w:ascii="仿宋_GB2312" w:eastAsia="仿宋_GB2312"/>
          <w:color w:val="000000"/>
          <w:sz w:val="32"/>
          <w:szCs w:val="32"/>
        </w:rPr>
      </w:pPr>
      <w:r>
        <w:rPr>
          <w:rFonts w:hint="eastAsia" w:eastAsia="仿宋_GB2312" w:cs="仿宋_GB2312"/>
          <w:color w:val="auto"/>
          <w:kern w:val="2"/>
          <w:sz w:val="32"/>
          <w:szCs w:val="32"/>
          <w:highlight w:val="none"/>
          <w:lang w:val="en-US" w:eastAsia="zh-CN" w:bidi="ar-SA"/>
        </w:rPr>
        <w:t>2025年</w:t>
      </w:r>
      <w:bookmarkStart w:id="41" w:name="_Toc15377221"/>
      <w:bookmarkStart w:id="42" w:name="_Toc15396612"/>
      <w:r>
        <w:rPr>
          <w:rFonts w:hint="eastAsia" w:ascii="仿宋_GB2312" w:eastAsia="仿宋_GB2312"/>
          <w:color w:val="000000"/>
          <w:sz w:val="32"/>
          <w:szCs w:val="32"/>
        </w:rPr>
        <w:t>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1"/>
      <w:bookmarkEnd w:id="4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bookmarkStart w:id="44" w:name="_Toc15377223"/>
      <w:r>
        <w:rPr>
          <w:rFonts w:hint="eastAsia" w:eastAsia="仿宋_GB2312" w:cs="Times New Roman"/>
          <w:color w:val="000000"/>
          <w:sz w:val="32"/>
          <w:szCs w:val="32"/>
          <w:lang w:eastAsia="zh-CN"/>
        </w:rPr>
        <w:t>202</w:t>
      </w:r>
      <w:r>
        <w:rPr>
          <w:rFonts w:hint="eastAsia" w:eastAsia="仿宋_GB2312" w:cs="Times New Roman"/>
          <w:color w:val="000000"/>
          <w:sz w:val="32"/>
          <w:szCs w:val="32"/>
          <w:lang w:val="en-US" w:eastAsia="zh-CN"/>
        </w:rPr>
        <w:t>5</w:t>
      </w:r>
      <w:r>
        <w:rPr>
          <w:rFonts w:hint="eastAsia" w:eastAsia="仿宋_GB2312" w:cs="Times New Roman"/>
          <w:color w:val="000000"/>
          <w:sz w:val="32"/>
          <w:szCs w:val="32"/>
          <w:lang w:eastAsia="zh-CN"/>
        </w:rPr>
        <w:t>年</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四川南莫且高原湿地自然保护区管理处</w:t>
      </w:r>
      <w:r>
        <w:rPr>
          <w:rFonts w:hint="default" w:ascii="Times New Roman" w:hAnsi="Times New Roman" w:eastAsia="仿宋_GB2312" w:cs="Times New Roman"/>
          <w:color w:val="000000"/>
          <w:sz w:val="32"/>
          <w:szCs w:val="32"/>
        </w:rPr>
        <w:t>机关运行经费支出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eastAsia" w:eastAsia="仿宋_GB2312" w:cs="Times New Roman"/>
          <w:color w:val="000000"/>
          <w:sz w:val="32"/>
          <w:szCs w:val="32"/>
          <w:lang w:val="en-US" w:eastAsia="zh-CN"/>
        </w:rPr>
        <w:t>2024年</w:t>
      </w:r>
      <w:r>
        <w:rPr>
          <w:rFonts w:hint="default" w:ascii="Times New Roman" w:hAnsi="Times New Roman" w:eastAsia="仿宋_GB2312" w:cs="Times New Roman"/>
          <w:color w:val="000000"/>
          <w:sz w:val="32"/>
          <w:szCs w:val="32"/>
          <w:lang w:val="en-US" w:eastAsia="zh-CN"/>
        </w:rPr>
        <w:t>与</w:t>
      </w:r>
      <w:r>
        <w:rPr>
          <w:rFonts w:hint="eastAsia" w:eastAsia="仿宋_GB2312" w:cs="Times New Roman"/>
          <w:color w:val="000000"/>
          <w:sz w:val="32"/>
          <w:szCs w:val="32"/>
          <w:lang w:val="en-US" w:eastAsia="zh-CN"/>
        </w:rPr>
        <w:t>2025年</w:t>
      </w:r>
      <w:r>
        <w:rPr>
          <w:rFonts w:hint="default" w:ascii="Times New Roman" w:hAnsi="Times New Roman" w:eastAsia="仿宋_GB2312" w:cs="Times New Roman"/>
          <w:color w:val="000000"/>
          <w:sz w:val="32"/>
          <w:szCs w:val="32"/>
          <w:lang w:val="en-US" w:eastAsia="zh-CN"/>
        </w:rPr>
        <w:t>均无机关运行经费支出</w:t>
      </w:r>
      <w:r>
        <w:rPr>
          <w:rFonts w:hint="default" w:ascii="Times New Roman" w:hAnsi="Times New Roman" w:eastAsia="仿宋_GB2312" w:cs="Times New Roman"/>
          <w:color w:val="000000"/>
          <w:sz w:val="32"/>
          <w:szCs w:val="32"/>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4"/>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bookmarkStart w:id="45" w:name="_Toc15377224"/>
      <w:r>
        <w:rPr>
          <w:rFonts w:hint="eastAsia" w:eastAsia="仿宋_GB2312" w:cs="Times New Roman"/>
          <w:color w:val="000000"/>
          <w:sz w:val="32"/>
          <w:szCs w:val="32"/>
          <w:lang w:eastAsia="zh-CN"/>
        </w:rPr>
        <w:t>202</w:t>
      </w:r>
      <w:r>
        <w:rPr>
          <w:rFonts w:hint="eastAsia" w:eastAsia="仿宋_GB2312" w:cs="Times New Roman"/>
          <w:color w:val="000000"/>
          <w:sz w:val="32"/>
          <w:szCs w:val="32"/>
          <w:lang w:val="en-US" w:eastAsia="zh-CN"/>
        </w:rPr>
        <w:t>5</w:t>
      </w:r>
      <w:r>
        <w:rPr>
          <w:rFonts w:hint="eastAsia" w:eastAsia="仿宋_GB2312" w:cs="Times New Roman"/>
          <w:color w:val="000000"/>
          <w:sz w:val="32"/>
          <w:szCs w:val="32"/>
          <w:lang w:eastAsia="zh-CN"/>
        </w:rPr>
        <w:t>年</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四川南莫且高原湿地自然保护区管理处</w:t>
      </w:r>
      <w:r>
        <w:rPr>
          <w:rFonts w:hint="default" w:ascii="Times New Roman" w:hAnsi="Times New Roman" w:eastAsia="仿宋_GB2312" w:cs="Times New Roman"/>
          <w:color w:val="000000"/>
          <w:sz w:val="32"/>
          <w:szCs w:val="32"/>
        </w:rPr>
        <w:t>政府采购支出总额</w:t>
      </w:r>
      <w:r>
        <w:rPr>
          <w:rFonts w:hint="eastAsia" w:eastAsia="仿宋_GB2312" w:cs="Times New Roman"/>
          <w:color w:val="000000"/>
          <w:sz w:val="32"/>
          <w:szCs w:val="32"/>
          <w:lang w:val="en-US" w:eastAsia="zh-CN"/>
        </w:rPr>
        <w:t>67.11</w:t>
      </w:r>
      <w:r>
        <w:rPr>
          <w:rFonts w:hint="default" w:ascii="Times New Roman" w:hAnsi="Times New Roman" w:eastAsia="仿宋_GB2312" w:cs="Times New Roman"/>
          <w:color w:val="000000"/>
          <w:sz w:val="32"/>
          <w:szCs w:val="32"/>
        </w:rPr>
        <w:t>万元，其中：政府采购货物支出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万元、政府采购工程支出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万元、政府采购服务支出</w:t>
      </w:r>
      <w:r>
        <w:rPr>
          <w:rFonts w:hint="eastAsia" w:eastAsia="仿宋_GB2312" w:cs="Times New Roman"/>
          <w:color w:val="000000"/>
          <w:sz w:val="32"/>
          <w:szCs w:val="32"/>
          <w:lang w:val="en-US" w:eastAsia="zh-CN"/>
        </w:rPr>
        <w:t>67.11</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主要用于</w:t>
      </w:r>
      <w:r>
        <w:rPr>
          <w:rFonts w:hint="default" w:ascii="Times New Roman" w:hAnsi="Times New Roman" w:eastAsia="仿宋_GB2312" w:cs="Times New Roman"/>
          <w:color w:val="000000"/>
          <w:sz w:val="32"/>
          <w:szCs w:val="32"/>
          <w:lang w:val="en-US" w:eastAsia="zh-CN"/>
        </w:rPr>
        <w:t>重点转移支付项目采购支出</w:t>
      </w:r>
      <w:r>
        <w:rPr>
          <w:rFonts w:hint="default" w:ascii="Times New Roman" w:hAnsi="Times New Roman" w:eastAsia="仿宋_GB2312" w:cs="Times New Roman"/>
          <w:color w:val="000000"/>
          <w:sz w:val="32"/>
          <w:szCs w:val="32"/>
        </w:rPr>
        <w:t>。授予中小企业合同金额</w:t>
      </w:r>
      <w:r>
        <w:rPr>
          <w:rFonts w:hint="eastAsia" w:eastAsia="仿宋_GB2312" w:cs="Times New Roman"/>
          <w:color w:val="000000"/>
          <w:sz w:val="32"/>
          <w:szCs w:val="32"/>
          <w:lang w:val="en-US" w:eastAsia="zh-CN"/>
        </w:rPr>
        <w:t>67.11</w:t>
      </w:r>
      <w:r>
        <w:rPr>
          <w:rFonts w:hint="default" w:ascii="Times New Roman" w:hAnsi="Times New Roman" w:eastAsia="仿宋_GB2312" w:cs="Times New Roman"/>
          <w:color w:val="000000"/>
          <w:sz w:val="32"/>
          <w:szCs w:val="32"/>
        </w:rPr>
        <w:t>万元，占政府采购支出总额的</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%，其中：授予小微企业合同金额</w:t>
      </w:r>
      <w:r>
        <w:rPr>
          <w:rFonts w:hint="eastAsia" w:eastAsia="仿宋_GB2312" w:cs="Times New Roman"/>
          <w:color w:val="000000"/>
          <w:sz w:val="32"/>
          <w:szCs w:val="32"/>
          <w:lang w:val="en-US" w:eastAsia="zh-CN"/>
        </w:rPr>
        <w:t>67.11</w:t>
      </w:r>
      <w:r>
        <w:rPr>
          <w:rFonts w:hint="default" w:ascii="Times New Roman" w:hAnsi="Times New Roman" w:eastAsia="仿宋_GB2312" w:cs="Times New Roman"/>
          <w:color w:val="000000"/>
          <w:sz w:val="32"/>
          <w:szCs w:val="32"/>
        </w:rPr>
        <w:t>万元，占政府采购支出总额的</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5"/>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Times New Roman" w:hAnsi="Times New Roman" w:eastAsia="仿宋_GB2312" w:cs="Times New Roman"/>
          <w:b/>
          <w:color w:val="FF0000"/>
          <w:sz w:val="32"/>
          <w:szCs w:val="32"/>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default" w:ascii="Times New Roman" w:hAnsi="Times New Roman" w:eastAsia="仿宋_GB2312" w:cs="Times New Roman"/>
          <w:color w:val="000000"/>
          <w:sz w:val="32"/>
          <w:szCs w:val="32"/>
          <w:lang w:eastAsia="zh-CN"/>
        </w:rPr>
        <w:t>四川南莫且高原湿地自然保护区管理处</w:t>
      </w:r>
      <w:r>
        <w:rPr>
          <w:rFonts w:hint="default" w:ascii="Times New Roman" w:hAnsi="Times New Roman" w:eastAsia="仿宋_GB2312" w:cs="Times New Roman"/>
          <w:color w:val="000000"/>
          <w:sz w:val="32"/>
          <w:szCs w:val="32"/>
        </w:rPr>
        <w:t>共有车辆</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辆，其中：主要领导干部用车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辆、机要通信用车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辆、应急保障用车</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辆、其他用车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其他用车主要是用于</w:t>
      </w:r>
      <w:r>
        <w:rPr>
          <w:rFonts w:hint="eastAsia" w:ascii="Times New Roman" w:hAnsi="Times New Roman" w:eastAsia="仿宋_GB2312" w:cs="Times New Roman"/>
          <w:color w:val="000000"/>
          <w:sz w:val="32"/>
          <w:szCs w:val="32"/>
          <w:lang w:val="en-US" w:eastAsia="zh-CN"/>
        </w:rPr>
        <w:t>野外巡护</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单价50万元以上通用设备</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台（套），单价100万元以上专用设备</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suppressAutoHyphens/>
        <w:kinsoku/>
        <w:wordWrap/>
        <w:overflowPunct/>
        <w:topLinePunct w:val="0"/>
        <w:bidi w:val="0"/>
        <w:spacing w:line="560" w:lineRule="exact"/>
        <w:ind w:firstLine="640" w:firstLineChars="200"/>
        <w:textAlignment w:val="auto"/>
        <w:rPr>
          <w:rFonts w:hint="eastAsia" w:ascii="仿宋_GB2312" w:hAnsi="Times New Roman" w:eastAsia="仿宋_GB2312" w:cs="Times New Roman"/>
          <w:color w:val="auto"/>
          <w:sz w:val="32"/>
          <w:szCs w:val="32"/>
          <w:highlight w:val="none"/>
          <w:lang w:eastAsia="zh-CN"/>
        </w:rPr>
      </w:pPr>
      <w:bookmarkStart w:id="46" w:name="OLE_LINK1"/>
      <w:r>
        <w:rPr>
          <w:rFonts w:hint="eastAsia" w:ascii="仿宋_GB2312" w:hAnsi="Times New Roman" w:eastAsia="仿宋_GB2312" w:cs="Times New Roman"/>
          <w:color w:val="auto"/>
          <w:sz w:val="32"/>
          <w:szCs w:val="32"/>
          <w:highlight w:val="none"/>
          <w:lang w:eastAsia="zh-CN"/>
        </w:rPr>
        <w:t>根据预算绩效管理要求，本单位在年初预算编制阶段，组织对2025年科研宣传与设施、设备维修维护工程</w:t>
      </w:r>
      <w:r>
        <w:rPr>
          <w:rFonts w:hint="eastAsia" w:ascii="仿宋_GB2312" w:hAnsi="Times New Roman" w:eastAsia="仿宋_GB2312" w:cs="Times New Roman"/>
          <w:color w:val="auto"/>
          <w:sz w:val="32"/>
          <w:szCs w:val="32"/>
          <w:highlight w:val="none"/>
          <w:lang w:val="en-US" w:eastAsia="zh-CN"/>
        </w:rPr>
        <w:t>等7个</w:t>
      </w:r>
      <w:r>
        <w:rPr>
          <w:rFonts w:hint="eastAsia" w:ascii="仿宋_GB2312" w:hAnsi="Times New Roman" w:eastAsia="仿宋_GB2312" w:cs="Times New Roman"/>
          <w:color w:val="auto"/>
          <w:sz w:val="32"/>
          <w:szCs w:val="32"/>
          <w:highlight w:val="none"/>
          <w:lang w:eastAsia="zh-CN"/>
        </w:rPr>
        <w:t>项目开展了预算事前绩效评估，对</w:t>
      </w:r>
      <w:r>
        <w:rPr>
          <w:rFonts w:hint="eastAsia" w:ascii="仿宋_GB2312" w:hAnsi="Times New Roman" w:eastAsia="仿宋_GB2312" w:cs="Times New Roman"/>
          <w:color w:val="auto"/>
          <w:sz w:val="32"/>
          <w:szCs w:val="32"/>
          <w:highlight w:val="none"/>
          <w:lang w:val="en-US" w:eastAsia="zh-CN"/>
        </w:rPr>
        <w:t>7</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7</w:t>
      </w:r>
      <w:r>
        <w:rPr>
          <w:rFonts w:hint="eastAsia" w:ascii="仿宋_GB2312" w:hAnsi="Times New Roman" w:eastAsia="仿宋_GB2312" w:cs="Times New Roman"/>
          <w:color w:val="auto"/>
          <w:sz w:val="32"/>
          <w:szCs w:val="32"/>
          <w:highlight w:val="none"/>
          <w:lang w:eastAsia="zh-CN"/>
        </w:rPr>
        <w:t>个项目开展绩效监控，年终执行完毕后，对</w:t>
      </w:r>
      <w:r>
        <w:rPr>
          <w:rFonts w:hint="eastAsia" w:ascii="仿宋_GB2312" w:hAnsi="Times New Roman" w:eastAsia="仿宋_GB2312" w:cs="Times New Roman"/>
          <w:color w:val="auto"/>
          <w:sz w:val="32"/>
          <w:szCs w:val="32"/>
          <w:highlight w:val="none"/>
          <w:lang w:val="en-US" w:eastAsia="zh-CN"/>
        </w:rPr>
        <w:t>7</w:t>
      </w:r>
      <w:r>
        <w:rPr>
          <w:rFonts w:hint="eastAsia" w:ascii="仿宋_GB2312" w:hAnsi="Times New Roman" w:eastAsia="仿宋_GB2312" w:cs="Times New Roman"/>
          <w:color w:val="auto"/>
          <w:sz w:val="32"/>
          <w:szCs w:val="32"/>
          <w:highlight w:val="none"/>
          <w:lang w:eastAsia="zh-CN"/>
        </w:rPr>
        <w:t>个项目开展了绩效目标完成情况自评。</w:t>
      </w:r>
    </w:p>
    <w:p>
      <w:pPr>
        <w:pageBreakBefore w:val="0"/>
        <w:suppressAutoHyphens/>
        <w:kinsoku/>
        <w:wordWrap/>
        <w:overflowPunct/>
        <w:topLinePunct w:val="0"/>
        <w:bidi w:val="0"/>
        <w:spacing w:line="560" w:lineRule="exact"/>
        <w:ind w:firstLine="640" w:firstLineChars="200"/>
        <w:textAlignment w:val="auto"/>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t>组织对202</w:t>
      </w:r>
      <w:r>
        <w:rPr>
          <w:rFonts w:hint="eastAsia" w:ascii="仿宋_GB2312" w:hAnsi="Times New Roman"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年度一般公共预算以及资本资产等全面开展绩效自评，形成</w:t>
      </w:r>
      <w:r>
        <w:rPr>
          <w:rFonts w:hint="eastAsia" w:ascii="仿宋_GB2312" w:hAnsi="Times New Roman" w:eastAsia="仿宋_GB2312" w:cs="Times New Roman"/>
          <w:color w:val="auto"/>
          <w:sz w:val="32"/>
          <w:szCs w:val="32"/>
          <w:highlight w:val="none"/>
          <w:lang w:val="en-US" w:eastAsia="zh-CN"/>
        </w:rPr>
        <w:t>四川南莫且高原湿地自然保护区管理处整体</w:t>
      </w:r>
      <w:r>
        <w:rPr>
          <w:rFonts w:hint="eastAsia" w:ascii="仿宋_GB2312" w:hAnsi="Times New Roman" w:eastAsia="仿宋_GB2312" w:cs="Times New Roman"/>
          <w:color w:val="auto"/>
          <w:sz w:val="32"/>
          <w:szCs w:val="32"/>
          <w:highlight w:val="none"/>
          <w:lang w:eastAsia="zh-CN"/>
        </w:rPr>
        <w:t>绩效自评报告，其中，</w:t>
      </w:r>
      <w:r>
        <w:rPr>
          <w:rFonts w:hint="eastAsia" w:ascii="仿宋_GB2312" w:hAnsi="Times New Roman" w:eastAsia="仿宋_GB2312" w:cs="Times New Roman"/>
          <w:color w:val="auto"/>
          <w:sz w:val="32"/>
          <w:szCs w:val="32"/>
          <w:highlight w:val="none"/>
          <w:lang w:val="en-US" w:eastAsia="zh-CN"/>
        </w:rPr>
        <w:t>四川南莫且高原湿地自然保护区管理处整体</w:t>
      </w:r>
      <w:r>
        <w:rPr>
          <w:rFonts w:hint="eastAsia" w:ascii="仿宋_GB2312" w:hAnsi="Times New Roman" w:eastAsia="仿宋_GB2312" w:cs="Times New Roman"/>
          <w:color w:val="auto"/>
          <w:sz w:val="32"/>
          <w:szCs w:val="32"/>
          <w:highlight w:val="none"/>
          <w:lang w:eastAsia="zh-CN"/>
        </w:rPr>
        <w:t>绩效自评得分为</w:t>
      </w:r>
      <w:r>
        <w:rPr>
          <w:rFonts w:hint="eastAsia" w:ascii="仿宋_GB2312" w:hAnsi="Times New Roman" w:eastAsia="仿宋_GB2312" w:cs="Times New Roman"/>
          <w:color w:val="auto"/>
          <w:sz w:val="32"/>
          <w:szCs w:val="32"/>
          <w:highlight w:val="none"/>
          <w:lang w:val="en-US" w:eastAsia="zh-CN"/>
        </w:rPr>
        <w:t>90</w:t>
      </w:r>
      <w:r>
        <w:rPr>
          <w:rFonts w:hint="eastAsia" w:ascii="仿宋_GB2312" w:hAnsi="Times New Roman" w:eastAsia="仿宋_GB2312" w:cs="Times New Roman"/>
          <w:color w:val="auto"/>
          <w:sz w:val="32"/>
          <w:szCs w:val="32"/>
          <w:highlight w:val="none"/>
          <w:lang w:eastAsia="zh-CN"/>
        </w:rPr>
        <w:t>分，绩效自评综述：</w:t>
      </w:r>
      <w:r>
        <w:rPr>
          <w:rFonts w:hint="eastAsia" w:ascii="仿宋_GB2312" w:hAnsi="Times New Roman" w:eastAsia="仿宋_GB2312" w:cs="Times New Roman"/>
          <w:color w:val="auto"/>
          <w:sz w:val="32"/>
          <w:szCs w:val="32"/>
          <w:highlight w:val="none"/>
          <w:lang w:val="en-US" w:eastAsia="zh-CN"/>
        </w:rPr>
        <w:t>本次部门整体支出绩效自评得分为90分，总体表现较好。整体</w:t>
      </w:r>
      <w:r>
        <w:rPr>
          <w:rFonts w:hint="eastAsia" w:ascii="仿宋_GB2312" w:hAnsi="Times New Roman" w:eastAsia="仿宋_GB2312" w:cs="Times New Roman"/>
          <w:color w:val="auto"/>
          <w:sz w:val="32"/>
          <w:szCs w:val="32"/>
          <w:highlight w:val="none"/>
          <w:lang w:eastAsia="zh-CN"/>
        </w:rPr>
        <w:t>绩效自评报告详见附件。</w:t>
      </w:r>
    </w:p>
    <w:bookmarkEnd w:id="46"/>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lang w:val="en-US" w:eastAsia="zh-CN"/>
        </w:rPr>
      </w:pPr>
    </w:p>
    <w:p>
      <w:pPr>
        <w:keepNext w:val="0"/>
        <w:keepLines w:val="0"/>
        <w:pageBreakBefore w:val="0"/>
        <w:widowControl w:val="0"/>
        <w:kinsoku/>
        <w:wordWrap/>
        <w:overflowPunct/>
        <w:topLinePunct w:val="0"/>
        <w:autoSpaceDN/>
        <w:bidi w:val="0"/>
        <w:snapToGrid/>
        <w:spacing w:line="560" w:lineRule="exact"/>
        <w:jc w:val="center"/>
        <w:textAlignment w:val="auto"/>
        <w:outlineLvl w:val="0"/>
        <w:rPr>
          <w:rFonts w:hint="eastAsia" w:ascii="黑体" w:hAnsi="黑体" w:eastAsia="黑体" w:cs="Times New Roman"/>
          <w:b/>
          <w:bCs/>
          <w:color w:val="000000"/>
          <w:sz w:val="44"/>
          <w:szCs w:val="44"/>
        </w:rPr>
      </w:pPr>
      <w:bookmarkStart w:id="47" w:name="_Toc15377225"/>
      <w:bookmarkStart w:id="48" w:name="_Toc79163629"/>
      <w:bookmarkStart w:id="49" w:name="_Toc30519"/>
      <w:bookmarkStart w:id="50" w:name="_Toc15396613"/>
      <w:bookmarkStart w:id="51" w:name="_Toc15377226"/>
      <w:r>
        <w:rPr>
          <w:rFonts w:hint="eastAsia" w:ascii="黑体" w:hAnsi="黑体" w:eastAsia="黑体" w:cs="Times New Roman"/>
          <w:b/>
          <w:bCs/>
          <w:color w:val="000000"/>
          <w:sz w:val="44"/>
          <w:szCs w:val="44"/>
          <w:lang w:eastAsia="zh-CN"/>
        </w:rPr>
        <w:t>第三部分</w:t>
      </w:r>
      <w:r>
        <w:rPr>
          <w:rFonts w:hint="eastAsia" w:ascii="黑体" w:hAnsi="黑体" w:eastAsia="黑体" w:cs="Times New Roman"/>
          <w:b/>
          <w:bCs/>
          <w:color w:val="000000"/>
          <w:sz w:val="44"/>
          <w:szCs w:val="44"/>
          <w:lang w:val="en-US" w:eastAsia="zh-CN"/>
        </w:rPr>
        <w:t xml:space="preserve"> </w:t>
      </w:r>
      <w:r>
        <w:rPr>
          <w:rFonts w:hint="eastAsia" w:ascii="黑体" w:hAnsi="黑体" w:eastAsia="黑体" w:cs="Times New Roman"/>
          <w:b/>
          <w:bCs/>
          <w:color w:val="000000"/>
          <w:sz w:val="44"/>
          <w:szCs w:val="44"/>
        </w:rPr>
        <w:t>名词解释</w:t>
      </w:r>
      <w:bookmarkEnd w:id="47"/>
      <w:bookmarkEnd w:id="48"/>
      <w:bookmarkEnd w:id="49"/>
      <w:bookmarkEnd w:id="50"/>
    </w:p>
    <w:p>
      <w:pPr>
        <w:keepNext w:val="0"/>
        <w:keepLines w:val="0"/>
        <w:pageBreakBefore w:val="0"/>
        <w:widowControl w:val="0"/>
        <w:kinsoku/>
        <w:wordWrap/>
        <w:overflowPunct/>
        <w:topLinePunct w:val="0"/>
        <w:bidi w:val="0"/>
        <w:snapToGrid/>
        <w:spacing w:line="560" w:lineRule="exact"/>
        <w:jc w:val="left"/>
        <w:textAlignment w:val="auto"/>
        <w:rPr>
          <w:rFonts w:hint="eastAsia" w:ascii="仿宋_GB2312" w:hAnsi="仿宋_GB2312" w:eastAsia="仿宋_GB2312" w:cs="仿宋_GB2312"/>
          <w:b/>
          <w:color w:val="000000"/>
          <w:sz w:val="32"/>
          <w:szCs w:val="32"/>
        </w:rPr>
      </w:pP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1.财政拨款收入：</w:t>
      </w:r>
      <w:r>
        <w:rPr>
          <w:rFonts w:hint="eastAsia" w:ascii="仿宋_GB2312" w:hAnsi="仿宋_GB2312" w:eastAsia="仿宋_GB2312" w:cs="仿宋_GB2312"/>
          <w:sz w:val="32"/>
          <w:szCs w:val="32"/>
        </w:rPr>
        <w:t>指单位从同级财政部门取得的财政预算资金。</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2.事业收入：</w:t>
      </w:r>
      <w:r>
        <w:rPr>
          <w:rFonts w:hint="eastAsia" w:ascii="仿宋_GB2312" w:hAnsi="仿宋_GB2312" w:eastAsia="仿宋_GB2312" w:cs="仿宋_GB2312"/>
          <w:sz w:val="32"/>
          <w:szCs w:val="32"/>
        </w:rPr>
        <w:t>指事业单位开展专业业务活动及辅助活动取得的收入。（二级预算单位事业收入情况）等。</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3.经营收入：</w:t>
      </w:r>
      <w:r>
        <w:rPr>
          <w:rFonts w:hint="eastAsia" w:ascii="仿宋_GB2312" w:hAnsi="仿宋_GB2312" w:eastAsia="仿宋_GB2312" w:cs="仿宋_GB2312"/>
          <w:sz w:val="32"/>
          <w:szCs w:val="32"/>
        </w:rPr>
        <w:t>指事业单位在专业业务活动及其辅助活动之外开展非独立核算经营活动取得的收入。（二级预算单位经营收入情况）等。</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4.其他收入：</w:t>
      </w:r>
      <w:r>
        <w:rPr>
          <w:rFonts w:hint="eastAsia" w:ascii="仿宋_GB2312" w:hAnsi="仿宋_GB2312" w:eastAsia="仿宋_GB2312" w:cs="仿宋_GB2312"/>
          <w:sz w:val="32"/>
          <w:szCs w:val="32"/>
        </w:rPr>
        <w:t xml:space="preserve">指单位取得的除上述收入以外的各项收入。主要是（收入类型）等。 </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5.使用非财政拨款结余：</w:t>
      </w:r>
      <w:r>
        <w:rPr>
          <w:rFonts w:hint="eastAsia" w:ascii="仿宋_GB2312" w:hAnsi="仿宋_GB2312" w:eastAsia="仿宋_GB2312" w:cs="仿宋_GB2312"/>
          <w:sz w:val="32"/>
          <w:szCs w:val="32"/>
        </w:rPr>
        <w:t xml:space="preserve">指事业单位使用以前年度积累的非财政拨款结余弥补当年收支差额的金额。 </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6.年初结转和结余：</w:t>
      </w:r>
      <w:r>
        <w:rPr>
          <w:rFonts w:hint="eastAsia" w:ascii="仿宋_GB2312" w:hAnsi="仿宋_GB2312" w:eastAsia="仿宋_GB2312" w:cs="仿宋_GB2312"/>
          <w:sz w:val="32"/>
          <w:szCs w:val="32"/>
        </w:rPr>
        <w:t xml:space="preserve">指以前年度尚未完成、结转到本年按有关规定继续使用的资金。 </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7.结余分配：</w:t>
      </w:r>
      <w:r>
        <w:rPr>
          <w:rFonts w:hint="eastAsia" w:ascii="仿宋_GB2312" w:hAnsi="仿宋_GB2312" w:eastAsia="仿宋_GB2312" w:cs="仿宋_GB2312"/>
          <w:sz w:val="32"/>
          <w:szCs w:val="32"/>
        </w:rPr>
        <w:t>指事业单位按照会计制度规定缴纳的所得税、提取的专用结余以及转入非财政拨款结余的金额等。</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8、年末结转和结余：</w:t>
      </w:r>
      <w:r>
        <w:rPr>
          <w:rFonts w:hint="eastAsia" w:ascii="仿宋_GB2312" w:hAnsi="仿宋_GB2312" w:eastAsia="仿宋_GB2312" w:cs="仿宋_GB2312"/>
          <w:sz w:val="32"/>
          <w:szCs w:val="32"/>
        </w:rPr>
        <w:t>指单位按有关规定结转到下年或以后年度继续使用的资金。</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val="en-US" w:eastAsia="zh-CN"/>
        </w:rPr>
        <w:t>9</w:t>
      </w:r>
      <w:r>
        <w:rPr>
          <w:rFonts w:hint="eastAsia" w:ascii="仿宋_GB2312" w:hAnsi="仿宋_GB2312" w:eastAsia="仿宋_GB2312" w:cs="仿宋_GB2312"/>
          <w:b/>
          <w:bCs/>
          <w:color w:val="000000"/>
          <w:sz w:val="32"/>
          <w:szCs w:val="32"/>
        </w:rPr>
        <w:t>.社会保障和就业（类）行政事业单位养老支出（款）机关事业单位基本养老保险缴费支出（项）</w:t>
      </w:r>
      <w:r>
        <w:rPr>
          <w:rFonts w:hint="eastAsia" w:ascii="仿宋_GB2312" w:hAnsi="仿宋_GB2312" w:eastAsia="仿宋_GB2312" w:cs="仿宋_GB2312"/>
          <w:color w:val="000000"/>
          <w:sz w:val="32"/>
          <w:szCs w:val="32"/>
        </w:rPr>
        <w:t>：指机关事业单位实施养老保险制度由单位缴纳的基本养老保险费支出。</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val="en-US" w:eastAsia="zh-CN"/>
        </w:rPr>
        <w:t>0</w:t>
      </w:r>
      <w:r>
        <w:rPr>
          <w:rFonts w:hint="eastAsia" w:ascii="仿宋_GB2312" w:hAnsi="仿宋_GB2312" w:eastAsia="仿宋_GB2312" w:cs="仿宋_GB2312"/>
          <w:b/>
          <w:bCs/>
          <w:color w:val="000000"/>
          <w:sz w:val="32"/>
          <w:szCs w:val="32"/>
        </w:rPr>
        <w:t>. 社会保障和就业（类）行政事业单位养老支出（款）机关事业单位职业年金缴费支出（项）：</w:t>
      </w:r>
      <w:r>
        <w:rPr>
          <w:rFonts w:hint="eastAsia" w:ascii="仿宋_GB2312" w:hAnsi="仿宋_GB2312" w:eastAsia="仿宋_GB2312" w:cs="仿宋_GB2312"/>
          <w:color w:val="000000"/>
          <w:sz w:val="32"/>
          <w:szCs w:val="32"/>
        </w:rPr>
        <w:t>指机关事业单位养老保险制度由单位缴纳的职业年金支出。</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val="en-US" w:eastAsia="zh-CN"/>
        </w:rPr>
        <w:t>1</w:t>
      </w:r>
      <w:r>
        <w:rPr>
          <w:rFonts w:hint="eastAsia" w:ascii="仿宋_GB2312" w:hAnsi="仿宋_GB2312" w:eastAsia="仿宋_GB2312" w:cs="仿宋_GB2312"/>
          <w:b/>
          <w:bCs/>
          <w:color w:val="000000"/>
          <w:sz w:val="32"/>
          <w:szCs w:val="32"/>
        </w:rPr>
        <w:t>.卫生健康支出（类）行政事业单位医疗（款）事业单位医疗（项）</w:t>
      </w:r>
      <w:r>
        <w:rPr>
          <w:rFonts w:hint="eastAsia" w:ascii="仿宋_GB2312" w:hAnsi="仿宋_GB2312" w:eastAsia="仿宋_GB2312" w:cs="仿宋_GB2312"/>
          <w:color w:val="000000"/>
          <w:sz w:val="32"/>
          <w:szCs w:val="32"/>
        </w:rPr>
        <w:t>：指财政部门集中安排的事业单位基本医疗保险缴费。</w:t>
      </w:r>
    </w:p>
    <w:p>
      <w:pPr>
        <w:pStyle w:val="3"/>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sz w:val="32"/>
          <w:szCs w:val="32"/>
          <w:lang w:val="en-US" w:eastAsia="zh-CN"/>
        </w:rPr>
        <w:t>12.农林水支出（类）林业和草原（款）事业机构（项）：</w:t>
      </w:r>
      <w:r>
        <w:rPr>
          <w:rFonts w:hint="eastAsia" w:ascii="仿宋_GB2312" w:hAnsi="仿宋_GB2312" w:eastAsia="仿宋_GB2312" w:cs="仿宋_GB2312"/>
          <w:color w:val="000000"/>
          <w:sz w:val="32"/>
          <w:szCs w:val="32"/>
          <w:lang w:val="en-US" w:eastAsia="zh-CN"/>
        </w:rPr>
        <w:t>反映事业单位的基本支出。</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13.住房保障（类）住房改革（款）住房公积金（项）：</w:t>
      </w:r>
      <w:r>
        <w:rPr>
          <w:rFonts w:hint="eastAsia" w:ascii="仿宋_GB2312" w:hAnsi="仿宋_GB2312" w:eastAsia="仿宋_GB2312" w:cs="仿宋_GB2312"/>
          <w:color w:val="000000"/>
          <w:sz w:val="32"/>
          <w:szCs w:val="32"/>
        </w:rPr>
        <w:t>指行政事业单位按规定的标准和比例为职工缴纳的住房公积金。</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14.基本支出：</w:t>
      </w:r>
      <w:r>
        <w:rPr>
          <w:rFonts w:hint="eastAsia" w:ascii="仿宋_GB2312" w:hAnsi="仿宋_GB2312" w:eastAsia="仿宋_GB2312" w:cs="仿宋_GB2312"/>
          <w:color w:val="000000"/>
          <w:sz w:val="32"/>
          <w:szCs w:val="32"/>
        </w:rPr>
        <w:t>指为保障机构正常运转、完成日常工作任务而发生的人员支出和公用支出。</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15.项目支出：</w:t>
      </w:r>
      <w:r>
        <w:rPr>
          <w:rFonts w:hint="eastAsia" w:ascii="仿宋_GB2312" w:hAnsi="仿宋_GB2312" w:eastAsia="仿宋_GB2312" w:cs="仿宋_GB2312"/>
          <w:color w:val="000000"/>
          <w:sz w:val="32"/>
          <w:szCs w:val="32"/>
        </w:rPr>
        <w:t>指在基本支出之外为完成特定行政任务和事业发展目标所发生的支出。</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16.经营支出：</w:t>
      </w:r>
      <w:r>
        <w:rPr>
          <w:rFonts w:hint="eastAsia" w:ascii="仿宋_GB2312" w:hAnsi="仿宋_GB2312" w:eastAsia="仿宋_GB2312" w:cs="仿宋_GB2312"/>
          <w:color w:val="000000"/>
          <w:sz w:val="32"/>
          <w:szCs w:val="32"/>
        </w:rPr>
        <w:t>指事业单位在专业业务活动及其辅助活动之外开展非独立核算经营活动发生的支出。</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17.“三公”经费：</w:t>
      </w:r>
      <w:r>
        <w:rPr>
          <w:rFonts w:hint="eastAsia" w:ascii="仿宋_GB2312" w:hAnsi="仿宋_GB2312" w:eastAsia="仿宋_GB2312" w:cs="仿宋_GB2312"/>
          <w:color w:val="00000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sz w:val="32"/>
          <w:szCs w:val="32"/>
        </w:rPr>
        <w:t>18.机关运行经费：</w:t>
      </w:r>
      <w:r>
        <w:rPr>
          <w:rFonts w:hint="eastAsia" w:ascii="仿宋_GB2312" w:hAnsi="仿宋_GB2312" w:eastAsia="仿宋_GB2312" w:cs="仿宋_GB2312"/>
          <w:color w:val="00000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jc w:val="center"/>
        <w:textAlignment w:val="auto"/>
        <w:rPr>
          <w:rStyle w:val="29"/>
          <w:rFonts w:hint="eastAsia" w:ascii="Times New Roman" w:hAnsi="Times New Roman" w:eastAsia="黑体"/>
          <w:b w:val="0"/>
          <w:color w:val="auto"/>
          <w:highlight w:val="none"/>
          <w:lang w:eastAsia="zh-CN"/>
        </w:rPr>
      </w:pPr>
      <w:r>
        <w:rPr>
          <w:rFonts w:ascii="宋体"/>
          <w:b/>
          <w:color w:val="000000"/>
          <w:sz w:val="44"/>
          <w:szCs w:val="44"/>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60"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四川南莫且高原湿地自然保护区管理处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44"/>
          <w:szCs w:val="44"/>
        </w:rPr>
      </w:pPr>
      <w:r>
        <w:rPr>
          <w:rFonts w:hint="eastAsia" w:ascii="方正小标宋简体" w:hAnsi="方正小标宋简体" w:eastAsia="方正小标宋简体" w:cs="方正小标宋简体"/>
          <w:b w:val="0"/>
          <w:bCs w:val="0"/>
          <w:kern w:val="0"/>
          <w:sz w:val="44"/>
          <w:szCs w:val="44"/>
          <w:lang w:val="en-US" w:eastAsia="zh-CN"/>
        </w:rPr>
        <w:t>2025年</w:t>
      </w:r>
      <w:r>
        <w:rPr>
          <w:rFonts w:hint="eastAsia" w:ascii="方正小标宋简体" w:hAnsi="方正小标宋简体" w:eastAsia="方正小标宋简体" w:cs="方正小标宋简体"/>
          <w:b w:val="0"/>
          <w:bCs w:val="0"/>
          <w:kern w:val="0"/>
          <w:sz w:val="44"/>
          <w:szCs w:val="44"/>
        </w:rPr>
        <w:t>度部门整体支出绩效评价自评报告</w:t>
      </w:r>
    </w:p>
    <w:p>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contextualSpacing/>
        <w:jc w:val="center"/>
        <w:textAlignment w:val="auto"/>
        <w:rPr>
          <w:rFonts w:ascii="Times New Roman" w:hAnsi="Times New Roman" w:eastAsia="黑体" w:cs="Times New Roman"/>
          <w:color w:val="000000"/>
          <w:kern w:val="0"/>
          <w:sz w:val="24"/>
          <w:szCs w:val="32"/>
          <w:shd w:val="clear" w:color="auto" w:fill="FFFFFF"/>
        </w:rPr>
      </w:pPr>
    </w:p>
    <w:p>
      <w:pPr>
        <w:keepNext w:val="0"/>
        <w:keepLines w:val="0"/>
        <w:pageBreakBefore w:val="0"/>
        <w:widowControl/>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ascii="Times New Roman" w:hAnsi="Times New Roman" w:eastAsia="仿宋_GB2312" w:cs="Times New Roman"/>
          <w:sz w:val="32"/>
          <w:szCs w:val="32"/>
        </w:rPr>
      </w:pPr>
      <w:r>
        <w:rPr>
          <w:rFonts w:ascii="Times New Roman" w:hAnsi="Times New Roman" w:eastAsia="黑体" w:cs="Times New Roman"/>
          <w:color w:val="000000"/>
          <w:kern w:val="0"/>
          <w:sz w:val="32"/>
          <w:szCs w:val="32"/>
          <w:shd w:val="clear" w:color="auto" w:fill="FFFFFF"/>
          <w:lang w:val="zh-CN"/>
        </w:rPr>
        <w:t>一、部门（单位）基本情况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四川南莫且高原湿地自然保护区管理处</w:t>
      </w:r>
      <w:r>
        <w:rPr>
          <w:rFonts w:hint="default" w:ascii="Times New Roman" w:hAnsi="Times New Roman" w:eastAsia="仿宋_GB2312" w:cs="Times New Roman"/>
          <w:sz w:val="32"/>
          <w:szCs w:val="32"/>
        </w:rPr>
        <w:t>机构性质：</w:t>
      </w:r>
      <w:r>
        <w:rPr>
          <w:rFonts w:hint="default" w:ascii="Times New Roman" w:hAnsi="Times New Roman" w:eastAsia="仿宋_GB2312" w:cs="Times New Roman"/>
          <w:sz w:val="32"/>
          <w:szCs w:val="32"/>
          <w:lang w:val="en-US" w:eastAsia="zh-CN"/>
        </w:rPr>
        <w:t>事业单位</w:t>
      </w:r>
      <w:r>
        <w:rPr>
          <w:rFonts w:hint="default" w:ascii="Times New Roman" w:hAnsi="Times New Roman" w:eastAsia="仿宋_GB2312" w:cs="Times New Roman"/>
          <w:sz w:val="32"/>
          <w:szCs w:val="32"/>
        </w:rPr>
        <w:t>，机构地址：</w:t>
      </w:r>
      <w:r>
        <w:rPr>
          <w:rFonts w:hint="default" w:ascii="Times New Roman" w:hAnsi="Times New Roman" w:eastAsia="仿宋_GB2312" w:cs="Times New Roman"/>
          <w:sz w:val="32"/>
          <w:szCs w:val="32"/>
          <w:lang w:eastAsia="zh-CN"/>
        </w:rPr>
        <w:t>四川省壤塘县</w:t>
      </w:r>
      <w:r>
        <w:rPr>
          <w:rFonts w:hint="default" w:ascii="Times New Roman" w:hAnsi="Times New Roman" w:eastAsia="仿宋_GB2312" w:cs="Times New Roman"/>
          <w:sz w:val="32"/>
          <w:szCs w:val="32"/>
          <w:lang w:val="en-US" w:eastAsia="zh-CN"/>
        </w:rPr>
        <w:t>罗吾塘中街33号</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负责人：</w:t>
      </w:r>
      <w:r>
        <w:rPr>
          <w:rFonts w:hint="eastAsia" w:ascii="Times New Roman" w:hAnsi="Times New Roman" w:eastAsia="仿宋_GB2312" w:cs="Times New Roman"/>
          <w:sz w:val="32"/>
          <w:szCs w:val="32"/>
          <w:lang w:val="en-US" w:eastAsia="zh-CN"/>
        </w:rPr>
        <w:t>陈德斌</w:t>
      </w:r>
      <w:r>
        <w:rPr>
          <w:rFonts w:hint="default" w:ascii="Times New Roman" w:hAnsi="Times New Roman" w:eastAsia="仿宋_GB2312" w:cs="Times New Roman"/>
          <w:sz w:val="32"/>
          <w:szCs w:val="32"/>
          <w:lang w:eastAsia="zh-CN"/>
        </w:rPr>
        <w:t>。</w:t>
      </w:r>
    </w:p>
    <w:p>
      <w:pPr>
        <w:keepNext w:val="0"/>
        <w:keepLines w:val="0"/>
        <w:pageBreakBefore w:val="0"/>
        <w:numPr>
          <w:ilvl w:val="0"/>
          <w:numId w:val="2"/>
        </w:numPr>
        <w:kinsoku/>
        <w:wordWrap/>
        <w:overflowPunct/>
        <w:topLinePunct w:val="0"/>
        <w:autoSpaceDE/>
        <w:autoSpaceDN/>
        <w:bidi w:val="0"/>
        <w:adjustRightInd/>
        <w:snapToGrid/>
        <w:spacing w:line="540" w:lineRule="exact"/>
        <w:ind w:left="0" w:leftChars="0" w:firstLine="642"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机构组成。</w:t>
      </w:r>
    </w:p>
    <w:p>
      <w:pPr>
        <w:keepNext w:val="0"/>
        <w:keepLines w:val="0"/>
        <w:pageBreakBefore w:val="0"/>
        <w:widowControl w:val="0"/>
        <w:numPr>
          <w:ilvl w:val="0"/>
          <w:numId w:val="0"/>
        </w:numPr>
        <w:kinsoku/>
        <w:wordWrap/>
        <w:overflowPunct/>
        <w:topLinePunct w:val="0"/>
        <w:autoSpaceDE/>
        <w:autoSpaceDN/>
        <w:bidi w:val="0"/>
        <w:snapToGrid/>
        <w:spacing w:after="0" w:line="540" w:lineRule="exact"/>
        <w:ind w:left="0" w:leftChars="0" w:firstLine="640" w:firstLineChars="200"/>
        <w:jc w:val="both"/>
        <w:textAlignment w:val="auto"/>
        <w:rPr>
          <w:rFonts w:ascii="仿宋_GB2312"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四川南莫且高原湿地自然保护区管理处</w:t>
      </w:r>
      <w:r>
        <w:rPr>
          <w:rFonts w:hint="default" w:ascii="Times New Roman" w:hAnsi="Times New Roman" w:eastAsia="仿宋_GB2312" w:cs="Times New Roman"/>
          <w:color w:val="auto"/>
          <w:kern w:val="2"/>
          <w:sz w:val="32"/>
          <w:szCs w:val="32"/>
          <w:lang w:val="en-US" w:eastAsia="zh-CN" w:bidi="ar-SA"/>
        </w:rPr>
        <w:t>共有3个股室，综合办、保护及社区共管股、科研监测股</w:t>
      </w:r>
      <w:r>
        <w:rPr>
          <w:rFonts w:hint="default" w:ascii="Times New Roman" w:hAnsi="Times New Roman" w:eastAsia="仿宋_GB2312" w:cs="Times New Roman"/>
          <w:kern w:val="2"/>
          <w:sz w:val="32"/>
          <w:szCs w:val="32"/>
          <w:lang w:val="en-US" w:eastAsia="zh-CN" w:bidi="ar-SA"/>
        </w:rPr>
        <w:t>。</w:t>
      </w:r>
    </w:p>
    <w:p>
      <w:pPr>
        <w:keepNext w:val="0"/>
        <w:keepLines w:val="0"/>
        <w:pageBreakBefore w:val="0"/>
        <w:widowControl/>
        <w:numPr>
          <w:ilvl w:val="0"/>
          <w:numId w:val="2"/>
        </w:numPr>
        <w:kinsoku/>
        <w:wordWrap/>
        <w:overflowPunct/>
        <w:topLinePunct w:val="0"/>
        <w:autoSpaceDE/>
        <w:autoSpaceDN/>
        <w:bidi w:val="0"/>
        <w:adjustRightInd w:val="0"/>
        <w:snapToGrid/>
        <w:spacing w:line="540"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机构职能。</w:t>
      </w:r>
    </w:p>
    <w:p>
      <w:pPr>
        <w:keepNext w:val="0"/>
        <w:keepLines w:val="0"/>
        <w:pageBreakBefore w:val="0"/>
        <w:kinsoku/>
        <w:wordWrap/>
        <w:overflowPunct/>
        <w:topLinePunct w:val="0"/>
        <w:autoSpaceDE/>
        <w:autoSpaceDN/>
        <w:bidi w:val="0"/>
        <w:adjustRightInd/>
        <w:snapToGrid/>
        <w:spacing w:line="540" w:lineRule="exact"/>
        <w:ind w:left="0" w:lef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黑体" w:cs="Times New Roman"/>
          <w:b/>
          <w:bCs/>
          <w:w w:val="100"/>
          <w:kern w:val="10"/>
          <w:sz w:val="32"/>
          <w:szCs w:val="32"/>
          <w:shd w:val="clear" w:color="auto" w:fill="auto"/>
          <w:lang w:val="en-US" w:eastAsia="zh-CN" w:bidi="ar-SA"/>
        </w:rPr>
        <w:t>1、</w:t>
      </w:r>
      <w:r>
        <w:rPr>
          <w:rFonts w:hint="default" w:ascii="Times New Roman" w:hAnsi="Times New Roman" w:eastAsia="仿宋_GB2312" w:cs="Times New Roman"/>
          <w:b/>
          <w:bCs/>
          <w:w w:val="100"/>
          <w:kern w:val="10"/>
          <w:sz w:val="32"/>
          <w:szCs w:val="32"/>
          <w:shd w:val="clear" w:color="auto" w:fill="auto"/>
          <w:lang w:val="en-US" w:eastAsia="zh-CN" w:bidi="ar-SA"/>
        </w:rPr>
        <w:t>综合办。</w:t>
      </w:r>
      <w:r>
        <w:rPr>
          <w:rFonts w:hint="default" w:ascii="Times New Roman" w:hAnsi="Times New Roman" w:eastAsia="仿宋_GB2312" w:cs="Times New Roman"/>
          <w:kern w:val="2"/>
          <w:sz w:val="32"/>
          <w:szCs w:val="32"/>
          <w:lang w:val="en-US" w:eastAsia="zh-CN" w:bidi="ar-SA"/>
        </w:rPr>
        <w:t>主要从事行政管理和财务管理职能。负责保护区的后勤管理，协调各部门的工作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准确传达管理处领导的指示，及时汇报工作中出现的问题</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反映职工意见和建议，围绕保护区工作中心深入调查研究</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提供准确信息</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为管理处领导决策提供科学依据；负责行政文件处理、行政档案管理及生产资料、设施设备保管；负责安全教育、门卫工作，保证业务、生活用车</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做到出车安全；模范遵守和组织宣传国家法令、法规,组织职工学习国家政策</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按照国家人事、工资政策，根据保护、管理等的实际需要及</w:t>
      </w:r>
      <w:r>
        <w:rPr>
          <w:rFonts w:hint="eastAsia" w:eastAsia="仿宋_GB2312" w:cs="Times New Roman"/>
          <w:kern w:val="2"/>
          <w:sz w:val="32"/>
          <w:szCs w:val="32"/>
          <w:lang w:val="en-US" w:eastAsia="zh-CN" w:bidi="ar-SA"/>
        </w:rPr>
        <w:t>原则拟订</w:t>
      </w:r>
      <w:r>
        <w:rPr>
          <w:rFonts w:hint="default" w:ascii="Times New Roman" w:hAnsi="Times New Roman" w:eastAsia="仿宋_GB2312" w:cs="Times New Roman"/>
          <w:kern w:val="2"/>
          <w:sz w:val="32"/>
          <w:szCs w:val="32"/>
          <w:lang w:val="en-US" w:eastAsia="zh-CN" w:bidi="ar-SA"/>
        </w:rPr>
        <w:t>职工工资表</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按照国家工程建设程序和标准</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编制基本建设计划</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组织有关人员做好工程设计、工程监理、质量验收工作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做好基建计划和进度呈报工作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及时编制预算、决算和月、季、年度财务报表</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严格遵守国家财务会计法律法规</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按照财务规章制度审核报销单据</w:t>
      </w:r>
      <w:r>
        <w:rPr>
          <w:rFonts w:hint="eastAsia" w:ascii="Times New Roman" w:hAnsi="Times New Roman" w:eastAsia="仿宋_GB2312" w:cs="Times New Roman"/>
          <w:kern w:val="2"/>
          <w:sz w:val="32"/>
          <w:szCs w:val="32"/>
          <w:lang w:val="en-US" w:eastAsia="zh-CN" w:bidi="ar-SA"/>
        </w:rPr>
        <w:t>，</w:t>
      </w:r>
      <w:r>
        <w:rPr>
          <w:rFonts w:hint="eastAsia" w:eastAsia="仿宋_GB2312" w:cs="Times New Roman"/>
          <w:kern w:val="2"/>
          <w:sz w:val="32"/>
          <w:szCs w:val="32"/>
          <w:lang w:val="en-US" w:eastAsia="zh-CN" w:bidi="ar-SA"/>
        </w:rPr>
        <w:t>严肃财经纪律</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把好财务关；负责固定资产账目的记载和对固定资产的管理进行监督</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及时向主任、副主任汇报管理情况,提出改进意见</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处理日常财务和资金管理工作。完成领导交办的其他工作。</w:t>
      </w:r>
    </w:p>
    <w:p>
      <w:pPr>
        <w:keepNext w:val="0"/>
        <w:keepLines w:val="0"/>
        <w:pageBreakBefore w:val="0"/>
        <w:kinsoku/>
        <w:wordWrap/>
        <w:overflowPunct/>
        <w:topLinePunct w:val="0"/>
        <w:autoSpaceDE/>
        <w:autoSpaceDN/>
        <w:bidi w:val="0"/>
        <w:adjustRightInd/>
        <w:snapToGrid/>
        <w:spacing w:line="540" w:lineRule="exact"/>
        <w:ind w:left="0" w:lef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w w:val="100"/>
          <w:kern w:val="10"/>
          <w:sz w:val="32"/>
          <w:szCs w:val="32"/>
          <w:shd w:val="clear" w:color="auto" w:fill="auto"/>
          <w:lang w:val="en-US" w:eastAsia="zh-CN" w:bidi="ar-SA"/>
        </w:rPr>
        <w:t>2、保护及社区共管股。</w:t>
      </w:r>
      <w:r>
        <w:rPr>
          <w:rFonts w:hint="default" w:ascii="Times New Roman" w:hAnsi="Times New Roman" w:eastAsia="仿宋_GB2312" w:cs="Times New Roman"/>
          <w:kern w:val="2"/>
          <w:sz w:val="32"/>
          <w:szCs w:val="32"/>
          <w:lang w:val="en-US" w:eastAsia="zh-CN" w:bidi="ar-SA"/>
        </w:rPr>
        <w:t>主要从事野生动植物保护、自然生态系统保护以及社区共建共管工作。指导、监督各保护站管辖范围内的保护、管理工作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贯彻、执行并宣传《中华人民共和国野生动物保护法》《中华人民共和国自然保护区条例》等法律法规及其他相关方针、政策</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坚持巡护和进行野生动物现场抢救工作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做好巡护记录</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收集基础科研数据</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严格火源管理</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消除火灾</w:t>
      </w:r>
      <w:r>
        <w:rPr>
          <w:rFonts w:hint="eastAsia" w:eastAsia="仿宋_GB2312" w:cs="Times New Roman"/>
          <w:kern w:val="2"/>
          <w:sz w:val="32"/>
          <w:szCs w:val="32"/>
          <w:lang w:val="en-US" w:eastAsia="zh-CN" w:bidi="ar-SA"/>
        </w:rPr>
        <w:t>隐患</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禁止保护区内的毁林开垦、乱捕滥猎、乱采乱挖、开山挖矿等违法违规行为</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积极协调保护区与周边社区的关系</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完成社区共管日常工作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及时上报保护区内所发生的重大问题</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搞好社区关系</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配合各股室工作。完成领导交办的其他工作。</w:t>
      </w:r>
    </w:p>
    <w:p>
      <w:pPr>
        <w:keepNext w:val="0"/>
        <w:keepLines w:val="0"/>
        <w:pageBreakBefore w:val="0"/>
        <w:kinsoku/>
        <w:wordWrap/>
        <w:overflowPunct/>
        <w:topLinePunct w:val="0"/>
        <w:autoSpaceDE/>
        <w:autoSpaceDN/>
        <w:bidi w:val="0"/>
        <w:adjustRightInd/>
        <w:snapToGrid/>
        <w:spacing w:line="540" w:lineRule="exact"/>
        <w:ind w:left="0" w:leftChars="0" w:firstLine="642"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w w:val="100"/>
          <w:kern w:val="10"/>
          <w:sz w:val="32"/>
          <w:szCs w:val="32"/>
          <w:shd w:val="clear" w:color="auto" w:fill="auto"/>
          <w:lang w:val="en-US" w:eastAsia="zh-CN" w:bidi="ar-SA"/>
        </w:rPr>
        <w:t>3、科研监测股。</w:t>
      </w:r>
      <w:r>
        <w:rPr>
          <w:rFonts w:hint="default" w:ascii="Times New Roman" w:hAnsi="Times New Roman" w:eastAsia="仿宋_GB2312" w:cs="Times New Roman"/>
          <w:kern w:val="2"/>
          <w:sz w:val="32"/>
          <w:szCs w:val="32"/>
          <w:lang w:val="en-US" w:eastAsia="zh-CN" w:bidi="ar-SA"/>
        </w:rPr>
        <w:t>主要从事保护区科研、宣传、教育等方面的管理工作。适时、全方位地宣传《中华人民共和国野生动物保护法》《中华人民共和国环境保护法》《中华人民共和国自然</w:t>
      </w:r>
      <w:r>
        <w:rPr>
          <w:rFonts w:hint="eastAsia" w:eastAsia="仿宋_GB2312" w:cs="Times New Roman"/>
          <w:kern w:val="2"/>
          <w:sz w:val="32"/>
          <w:szCs w:val="32"/>
          <w:lang w:val="en-US" w:eastAsia="zh-CN" w:bidi="ar-SA"/>
        </w:rPr>
        <w:t>保</w:t>
      </w:r>
      <w:r>
        <w:rPr>
          <w:rFonts w:hint="default" w:ascii="Times New Roman" w:hAnsi="Times New Roman" w:eastAsia="仿宋_GB2312" w:cs="Times New Roman"/>
          <w:kern w:val="2"/>
          <w:sz w:val="32"/>
          <w:szCs w:val="32"/>
          <w:lang w:val="en-US" w:eastAsia="zh-CN" w:bidi="ar-SA"/>
        </w:rPr>
        <w:t>护区条例》《森林防火条例》等法律、法规和其他相关方针政策</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有计划地组织野生动物</w:t>
      </w:r>
      <w:r>
        <w:rPr>
          <w:rFonts w:hint="eastAsia" w:eastAsia="仿宋_GB2312" w:cs="Times New Roman"/>
          <w:kern w:val="2"/>
          <w:sz w:val="32"/>
          <w:szCs w:val="32"/>
          <w:lang w:val="en-US" w:eastAsia="zh-CN" w:bidi="ar-SA"/>
        </w:rPr>
        <w:t>疫源疫病监测</w:t>
      </w:r>
      <w:r>
        <w:rPr>
          <w:rFonts w:hint="default" w:ascii="Times New Roman" w:hAnsi="Times New Roman" w:eastAsia="仿宋_GB2312" w:cs="Times New Roman"/>
          <w:kern w:val="2"/>
          <w:sz w:val="32"/>
          <w:szCs w:val="32"/>
          <w:lang w:val="en-US" w:eastAsia="zh-CN" w:bidi="ar-SA"/>
        </w:rPr>
        <w:t>站等科研单位完成相应的科研、观测任务</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开展专题性的科研工作，组织编写科研报告、科研人员年报</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组织完成湿地资源调查工作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做好科研成果建档和档案管理工作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接待保护区请来的相关学科的专家</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组织职工培训。完成领导交办的其他工作。</w:t>
      </w:r>
    </w:p>
    <w:p>
      <w:pPr>
        <w:keepNext w:val="0"/>
        <w:keepLines w:val="0"/>
        <w:pageBreakBefore w:val="0"/>
        <w:kinsoku/>
        <w:wordWrap/>
        <w:overflowPunct/>
        <w:topLinePunct w:val="0"/>
        <w:autoSpaceDE/>
        <w:autoSpaceDN/>
        <w:bidi w:val="0"/>
        <w:adjustRightInd/>
        <w:snapToGrid/>
        <w:spacing w:line="540" w:lineRule="exact"/>
        <w:ind w:left="0" w:leftChars="0" w:firstLine="642"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（三）人员概况。</w:t>
      </w:r>
    </w:p>
    <w:p>
      <w:pPr>
        <w:keepNext w:val="0"/>
        <w:keepLines w:val="0"/>
        <w:pageBreakBefore w:val="0"/>
        <w:kinsoku/>
        <w:wordWrap/>
        <w:overflowPunct/>
        <w:topLinePunct w:val="0"/>
        <w:autoSpaceDE/>
        <w:autoSpaceDN/>
        <w:bidi w:val="0"/>
        <w:adjustRightInd/>
        <w:snapToGrid/>
        <w:spacing w:line="540" w:lineRule="exact"/>
        <w:ind w:left="0" w:leftChars="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截至202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年末，</w:t>
      </w:r>
      <w:r>
        <w:rPr>
          <w:rFonts w:hint="default" w:ascii="Times New Roman" w:hAnsi="Times New Roman" w:eastAsia="仿宋_GB2312" w:cs="Times New Roman"/>
          <w:kern w:val="0"/>
          <w:sz w:val="32"/>
          <w:szCs w:val="32"/>
        </w:rPr>
        <w:t>总编制</w:t>
      </w: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w w:val="100"/>
          <w:kern w:val="10"/>
          <w:sz w:val="32"/>
          <w:szCs w:val="32"/>
          <w:lang w:val="en-US" w:eastAsia="zh-CN" w:bidi="ar-SA"/>
        </w:rPr>
        <w:t>0名,其中</w:t>
      </w:r>
      <w:r>
        <w:rPr>
          <w:rFonts w:hint="eastAsia" w:ascii="Times New Roman" w:hAnsi="Times New Roman" w:eastAsia="仿宋_GB2312" w:cs="Times New Roman"/>
          <w:w w:val="100"/>
          <w:kern w:val="10"/>
          <w:sz w:val="32"/>
          <w:szCs w:val="32"/>
          <w:lang w:val="en-US" w:eastAsia="zh-CN" w:bidi="ar-SA"/>
        </w:rPr>
        <w:t>：</w:t>
      </w:r>
      <w:r>
        <w:rPr>
          <w:rFonts w:hint="default" w:ascii="Times New Roman" w:hAnsi="Times New Roman" w:eastAsia="仿宋_GB2312" w:cs="Times New Roman"/>
          <w:w w:val="100"/>
          <w:kern w:val="10"/>
          <w:sz w:val="32"/>
          <w:szCs w:val="32"/>
          <w:lang w:val="en-US" w:eastAsia="zh-CN" w:bidi="ar-SA"/>
        </w:rPr>
        <w:t>主任1名，副主任2名。</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二、部门资金收支情况</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ascii="Calibri" w:hAnsi="Calibri" w:eastAsia="楷体_GB2312" w:cs="Times New Roman"/>
          <w:b/>
          <w:bCs/>
          <w:color w:val="000000"/>
          <w:kern w:val="0"/>
          <w:sz w:val="32"/>
          <w:szCs w:val="32"/>
          <w:shd w:val="clear" w:color="auto" w:fill="FFFFFF"/>
          <w:lang w:val="zh-CN" w:eastAsia="zh-CN" w:bidi="ar-SA"/>
        </w:rPr>
      </w:pPr>
      <w:r>
        <w:rPr>
          <w:rFonts w:ascii="Calibri" w:hAnsi="Calibri" w:eastAsia="楷体_GB2312" w:cs="Times New Roman"/>
          <w:b/>
          <w:bCs/>
          <w:color w:val="000000"/>
          <w:kern w:val="0"/>
          <w:sz w:val="32"/>
          <w:szCs w:val="32"/>
          <w:shd w:val="clear" w:color="auto" w:fill="FFFFFF"/>
          <w:lang w:val="zh-CN" w:eastAsia="zh-CN" w:bidi="ar-SA"/>
        </w:rPr>
        <w:t>（一）收入情况。</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年财政下达四川南莫且高原湿地自然保护区管理处年初预算收入</w:t>
      </w:r>
      <w:r>
        <w:rPr>
          <w:rFonts w:hint="eastAsia" w:ascii="Times New Roman" w:hAnsi="Times New Roman" w:eastAsia="仿宋_GB2312" w:cs="Times New Roman"/>
          <w:kern w:val="2"/>
          <w:sz w:val="32"/>
          <w:szCs w:val="32"/>
          <w:lang w:val="en-US" w:eastAsia="zh-CN" w:bidi="ar-SA"/>
        </w:rPr>
        <w:t>182.93</w:t>
      </w:r>
      <w:r>
        <w:rPr>
          <w:rFonts w:hint="default" w:ascii="Times New Roman" w:hAnsi="Times New Roman" w:eastAsia="仿宋_GB2312" w:cs="Times New Roman"/>
          <w:kern w:val="2"/>
          <w:sz w:val="32"/>
          <w:szCs w:val="32"/>
          <w:lang w:val="en-US" w:eastAsia="zh-CN" w:bidi="ar-SA"/>
        </w:rPr>
        <w:t>万元，执行期中追加收入</w:t>
      </w:r>
      <w:r>
        <w:rPr>
          <w:rFonts w:hint="eastAsia" w:ascii="Times New Roman" w:hAnsi="Times New Roman" w:eastAsia="仿宋_GB2312" w:cs="Times New Roman"/>
          <w:kern w:val="2"/>
          <w:sz w:val="32"/>
          <w:szCs w:val="32"/>
          <w:lang w:val="en-US" w:eastAsia="zh-CN" w:bidi="ar-SA"/>
        </w:rPr>
        <w:t>2702.43</w:t>
      </w:r>
      <w:r>
        <w:rPr>
          <w:rFonts w:hint="default" w:ascii="Times New Roman" w:hAnsi="Times New Roman" w:eastAsia="仿宋_GB2312" w:cs="Times New Roman"/>
          <w:kern w:val="2"/>
          <w:sz w:val="32"/>
          <w:szCs w:val="32"/>
          <w:lang w:val="en-US" w:eastAsia="zh-CN" w:bidi="ar-SA"/>
        </w:rPr>
        <w:t>万元，全年实际收入合计为</w:t>
      </w:r>
      <w:r>
        <w:rPr>
          <w:rFonts w:hint="eastAsia" w:ascii="Times New Roman" w:hAnsi="Times New Roman" w:eastAsia="仿宋_GB2312" w:cs="Times New Roman"/>
          <w:kern w:val="2"/>
          <w:sz w:val="32"/>
          <w:szCs w:val="32"/>
          <w:lang w:val="en-US" w:eastAsia="zh-CN" w:bidi="ar-SA"/>
        </w:rPr>
        <w:t>2885.36</w:t>
      </w:r>
      <w:r>
        <w:rPr>
          <w:rFonts w:hint="default" w:ascii="Times New Roman" w:hAnsi="Times New Roman" w:eastAsia="仿宋_GB2312" w:cs="Times New Roman"/>
          <w:kern w:val="2"/>
          <w:sz w:val="32"/>
          <w:szCs w:val="32"/>
          <w:lang w:val="en-US" w:eastAsia="zh-CN" w:bidi="ar-SA"/>
        </w:rPr>
        <w:t xml:space="preserve">万元，本年度无财返。 </w:t>
      </w:r>
    </w:p>
    <w:p>
      <w:pPr>
        <w:keepNext w:val="0"/>
        <w:keepLines w:val="0"/>
        <w:pageBreakBefore w:val="0"/>
        <w:widowControl/>
        <w:numPr>
          <w:ilvl w:val="0"/>
          <w:numId w:val="2"/>
        </w:numPr>
        <w:kinsoku/>
        <w:wordWrap/>
        <w:overflowPunct/>
        <w:topLinePunct w:val="0"/>
        <w:autoSpaceDE/>
        <w:autoSpaceDN/>
        <w:bidi w:val="0"/>
        <w:adjustRightInd w:val="0"/>
        <w:snapToGrid/>
        <w:spacing w:line="540"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支出情况。</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ascii="Calibri" w:hAnsi="Calibri" w:eastAsia="宋体" w:cs="Times New Roman"/>
          <w:kern w:val="2"/>
          <w:sz w:val="32"/>
          <w:szCs w:val="32"/>
          <w:lang w:val="zh-CN" w:eastAsia="zh-CN" w:bidi="ar-SA"/>
        </w:rPr>
      </w:pPr>
      <w:r>
        <w:rPr>
          <w:rFonts w:ascii="Calibri" w:hAnsi="Calibri" w:eastAsia="宋体" w:cs="Times New Roman"/>
          <w:kern w:val="2"/>
          <w:sz w:val="32"/>
          <w:szCs w:val="32"/>
          <w:lang w:val="en-US" w:eastAsia="zh-CN" w:bidi="ar-SA"/>
        </w:rPr>
        <w:t>202</w:t>
      </w:r>
      <w:r>
        <w:rPr>
          <w:rFonts w:hint="eastAsia" w:ascii="Calibri" w:hAnsi="Calibri" w:eastAsia="宋体" w:cs="Times New Roman"/>
          <w:kern w:val="2"/>
          <w:sz w:val="32"/>
          <w:szCs w:val="32"/>
          <w:lang w:val="en-US" w:eastAsia="zh-CN" w:bidi="ar-SA"/>
        </w:rPr>
        <w:t>5</w:t>
      </w:r>
      <w:r>
        <w:rPr>
          <w:rFonts w:ascii="Calibri" w:hAnsi="Calibri" w:eastAsia="宋体" w:cs="Times New Roman"/>
          <w:kern w:val="2"/>
          <w:sz w:val="32"/>
          <w:szCs w:val="32"/>
          <w:lang w:val="en-US" w:eastAsia="zh-CN" w:bidi="ar-SA"/>
        </w:rPr>
        <w:t>年</w:t>
      </w:r>
      <w:r>
        <w:rPr>
          <w:rFonts w:hint="default" w:ascii="Times New Roman" w:hAnsi="Times New Roman" w:eastAsia="仿宋_GB2312" w:cs="Times New Roman"/>
          <w:kern w:val="2"/>
          <w:sz w:val="32"/>
          <w:szCs w:val="32"/>
          <w:lang w:val="en-US" w:eastAsia="zh-CN" w:bidi="ar-SA"/>
        </w:rPr>
        <w:t>四川南莫且高原湿地自然保护区管理处支出全年预算数共计</w:t>
      </w:r>
      <w:r>
        <w:rPr>
          <w:rFonts w:hint="eastAsia" w:ascii="Times New Roman" w:hAnsi="Times New Roman" w:eastAsia="仿宋_GB2312" w:cs="Times New Roman"/>
          <w:kern w:val="2"/>
          <w:sz w:val="32"/>
          <w:szCs w:val="32"/>
          <w:lang w:val="en-US" w:eastAsia="zh-CN" w:bidi="ar-SA"/>
        </w:rPr>
        <w:t>2885.36</w:t>
      </w:r>
      <w:r>
        <w:rPr>
          <w:rFonts w:hint="default" w:ascii="Times New Roman" w:hAnsi="Times New Roman" w:eastAsia="仿宋_GB2312" w:cs="Times New Roman"/>
          <w:kern w:val="2"/>
          <w:sz w:val="32"/>
          <w:szCs w:val="32"/>
          <w:lang w:val="en-US" w:eastAsia="zh-CN" w:bidi="ar-SA"/>
        </w:rPr>
        <w:t>万元，其中基本支出</w:t>
      </w:r>
      <w:r>
        <w:rPr>
          <w:rFonts w:hint="eastAsia" w:ascii="Times New Roman" w:hAnsi="Times New Roman" w:eastAsia="仿宋_GB2312" w:cs="Times New Roman"/>
          <w:kern w:val="2"/>
          <w:sz w:val="32"/>
          <w:szCs w:val="32"/>
          <w:lang w:val="en-US" w:eastAsia="zh-CN" w:bidi="ar-SA"/>
        </w:rPr>
        <w:t>237.46</w:t>
      </w:r>
      <w:r>
        <w:rPr>
          <w:rFonts w:hint="default" w:ascii="Times New Roman" w:hAnsi="Times New Roman" w:eastAsia="仿宋_GB2312" w:cs="Times New Roman"/>
          <w:kern w:val="2"/>
          <w:sz w:val="32"/>
          <w:szCs w:val="32"/>
          <w:lang w:val="en-US" w:eastAsia="zh-CN" w:bidi="ar-SA"/>
        </w:rPr>
        <w:t>万元，项目支出</w:t>
      </w:r>
      <w:r>
        <w:rPr>
          <w:rFonts w:hint="eastAsia" w:ascii="Times New Roman" w:hAnsi="Times New Roman" w:eastAsia="仿宋_GB2312" w:cs="Times New Roman"/>
          <w:kern w:val="2"/>
          <w:sz w:val="32"/>
          <w:szCs w:val="32"/>
          <w:lang w:val="en-US" w:eastAsia="zh-CN" w:bidi="ar-SA"/>
        </w:rPr>
        <w:t>2647.9</w:t>
      </w:r>
      <w:r>
        <w:rPr>
          <w:rFonts w:hint="default" w:ascii="Times New Roman" w:hAnsi="Times New Roman" w:eastAsia="仿宋_GB2312" w:cs="Times New Roman"/>
          <w:kern w:val="2"/>
          <w:sz w:val="32"/>
          <w:szCs w:val="32"/>
          <w:lang w:val="en-US" w:eastAsia="zh-CN" w:bidi="ar-SA"/>
        </w:rPr>
        <w:t>万元。</w:t>
      </w:r>
    </w:p>
    <w:p>
      <w:pPr>
        <w:keepNext w:val="0"/>
        <w:keepLines w:val="0"/>
        <w:pageBreakBefore w:val="0"/>
        <w:widowControl/>
        <w:numPr>
          <w:ilvl w:val="0"/>
          <w:numId w:val="2"/>
        </w:numPr>
        <w:kinsoku/>
        <w:wordWrap/>
        <w:overflowPunct/>
        <w:topLinePunct w:val="0"/>
        <w:autoSpaceDE/>
        <w:autoSpaceDN/>
        <w:bidi w:val="0"/>
        <w:adjustRightInd w:val="0"/>
        <w:snapToGrid/>
        <w:spacing w:line="540" w:lineRule="exact"/>
        <w:ind w:left="0" w:leftChars="0" w:firstLine="642" w:firstLineChars="200"/>
        <w:contextualSpacing/>
        <w:jc w:val="left"/>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结余分配和结转结余情况。</w:t>
      </w:r>
    </w:p>
    <w:p>
      <w:pPr>
        <w:keepNext w:val="0"/>
        <w:keepLines w:val="0"/>
        <w:pageBreakBefore w:val="0"/>
        <w:widowControl/>
        <w:numPr>
          <w:ilvl w:val="0"/>
          <w:numId w:val="0"/>
        </w:numPr>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ascii="Times New Roman" w:hAnsi="Times New Roman" w:eastAsia="仿宋_GB2312" w:cs="Times New Roman"/>
          <w:color w:val="auto"/>
          <w:kern w:val="0"/>
          <w:sz w:val="32"/>
          <w:szCs w:val="32"/>
          <w:highlight w:val="none"/>
          <w:shd w:val="clear" w:color="auto" w:fill="FFFFFF"/>
          <w:lang w:val="zh-CN"/>
        </w:rPr>
      </w:pP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rPr>
        <w:t>5</w:t>
      </w:r>
      <w:r>
        <w:rPr>
          <w:rFonts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lang w:eastAsia="zh-CN"/>
        </w:rPr>
        <w:t>四川南莫且高原湿地自然保护区管理处</w:t>
      </w:r>
      <w:r>
        <w:rPr>
          <w:rFonts w:hint="eastAsia" w:ascii="Times New Roman" w:hAnsi="Times New Roman" w:eastAsia="仿宋_GB2312" w:cs="Times New Roman"/>
          <w:color w:val="auto"/>
          <w:sz w:val="32"/>
          <w:szCs w:val="32"/>
          <w:lang w:val="en-US" w:eastAsia="zh-CN"/>
        </w:rPr>
        <w:t>无结转结余</w:t>
      </w:r>
      <w:r>
        <w:rPr>
          <w:rFonts w:ascii="Times New Roman" w:hAnsi="Times New Roman" w:eastAsia="仿宋_GB2312" w:cs="Times New Roman"/>
          <w:color w:val="auto"/>
          <w:kern w:val="0"/>
          <w:sz w:val="32"/>
          <w:szCs w:val="32"/>
          <w:highlight w:val="none"/>
          <w:shd w:val="clear" w:color="auto" w:fill="FFFFFF"/>
        </w:rPr>
        <w:t>。</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ascii="Times New Roman" w:hAnsi="Times New Roman" w:eastAsia="黑体" w:cs="Times New Roman"/>
          <w:color w:val="000000"/>
          <w:kern w:val="0"/>
          <w:sz w:val="32"/>
          <w:szCs w:val="32"/>
          <w:shd w:val="clear" w:color="auto" w:fill="FFFFFF"/>
        </w:rPr>
        <w:t>三、部门预算绩效分析</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eastAsia" w:ascii="楷体_GB2312" w:hAnsi="楷体_GB2312" w:eastAsia="楷体_GB2312" w:cs="楷体_GB2312"/>
          <w:b/>
          <w:bCs/>
          <w:kern w:val="0"/>
          <w:sz w:val="32"/>
          <w:szCs w:val="32"/>
          <w:lang w:val="en-US" w:eastAsia="zh-CN" w:bidi="ar-SA"/>
        </w:rPr>
      </w:pPr>
      <w:r>
        <w:rPr>
          <w:rFonts w:hint="eastAsia" w:ascii="楷体_GB2312" w:hAnsi="楷体_GB2312" w:eastAsia="楷体_GB2312" w:cs="楷体_GB2312"/>
          <w:b/>
          <w:bCs/>
          <w:kern w:val="0"/>
          <w:sz w:val="32"/>
          <w:szCs w:val="32"/>
          <w:lang w:val="en-US" w:eastAsia="zh-CN" w:bidi="ar-SA"/>
        </w:rPr>
        <w:t>（一）部门预算管理</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0"/>
          <w:sz w:val="32"/>
          <w:szCs w:val="32"/>
          <w:lang w:val="en-US" w:eastAsia="zh-CN" w:bidi="ar-SA"/>
        </w:rPr>
      </w:pPr>
      <w:r>
        <w:rPr>
          <w:rFonts w:hint="default" w:ascii="Times New Roman" w:hAnsi="Times New Roman" w:eastAsia="仿宋_GB2312" w:cs="Times New Roman"/>
          <w:b/>
          <w:bCs/>
          <w:kern w:val="0"/>
          <w:sz w:val="32"/>
          <w:szCs w:val="32"/>
          <w:lang w:val="en-US" w:eastAsia="zh-CN" w:bidi="ar-SA"/>
        </w:rPr>
        <w:t>1.部门整体绩效目标制定情况</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val="0"/>
          <w:bCs w:val="0"/>
          <w:kern w:val="0"/>
          <w:sz w:val="32"/>
          <w:szCs w:val="32"/>
          <w:lang w:val="en-US" w:eastAsia="zh-CN" w:bidi="ar-SA"/>
        </w:rPr>
        <w:t>四川南莫且高原湿地自然保护区管理处始终坚持生态优先</w:t>
      </w:r>
      <w:r>
        <w:rPr>
          <w:rFonts w:hint="eastAsia" w:eastAsia="仿宋_GB2312" w:cs="Times New Roman"/>
          <w:b w:val="0"/>
          <w:bCs w:val="0"/>
          <w:kern w:val="0"/>
          <w:sz w:val="32"/>
          <w:szCs w:val="32"/>
          <w:lang w:val="en-US" w:eastAsia="zh-CN" w:bidi="ar-SA"/>
        </w:rPr>
        <w:t>、</w:t>
      </w:r>
      <w:r>
        <w:rPr>
          <w:rFonts w:hint="default" w:ascii="Times New Roman" w:hAnsi="Times New Roman" w:eastAsia="仿宋_GB2312" w:cs="Times New Roman"/>
          <w:b w:val="0"/>
          <w:bCs w:val="0"/>
          <w:kern w:val="0"/>
          <w:sz w:val="32"/>
          <w:szCs w:val="32"/>
          <w:lang w:val="en-US" w:eastAsia="zh-CN" w:bidi="ar-SA"/>
        </w:rPr>
        <w:t>绿色发展的工作底线思维，深入贯彻落实习近平生态文明思想，高度重视生态文明建设和生态保护修复系统推进，认真践行“绿水青山就是金山银山”的理念，紧紧围绕湿地保护与管理的核心任务，以高度的责任感和使命感，扎实推进各项工作。</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0"/>
          <w:sz w:val="32"/>
          <w:szCs w:val="32"/>
          <w:lang w:val="en-US" w:eastAsia="zh-CN" w:bidi="ar-SA"/>
        </w:rPr>
      </w:pPr>
      <w:r>
        <w:rPr>
          <w:rFonts w:hint="default" w:ascii="Times New Roman" w:hAnsi="Times New Roman" w:eastAsia="仿宋_GB2312" w:cs="Times New Roman"/>
          <w:b/>
          <w:bCs/>
          <w:kern w:val="0"/>
          <w:sz w:val="32"/>
          <w:szCs w:val="32"/>
          <w:lang w:val="en-US" w:eastAsia="zh-CN" w:bidi="ar-SA"/>
        </w:rPr>
        <w:t>2.部门整体绩效目标完成情况</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b/>
          <w:bCs/>
          <w:color w:val="000000" w:themeColor="text1"/>
          <w:kern w:val="0"/>
          <w:sz w:val="32"/>
          <w:szCs w:val="32"/>
          <w:lang w:val="en-US" w:eastAsia="zh-CN" w:bidi="ar-SA"/>
          <w14:textFill>
            <w14:solidFill>
              <w14:schemeClr w14:val="tx1"/>
            </w14:solidFill>
          </w14:textFill>
        </w:rPr>
        <w:t>（1）切实强化保护宣传：</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借助“湿地日”“爱鸟周”等契机，深入乡镇村寨通过发放宣传册、宣传品、张贴图片、标语，播放声像资料</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现场讲解等方式，广泛宣传湿地保护相关法律法规和湿地保护修复的重要性。</w:t>
      </w:r>
      <w:r>
        <w:rPr>
          <w:rFonts w:hint="default" w:ascii="Times New Roman" w:hAnsi="Times New Roman" w:eastAsia="仿宋_GB2312" w:cs="Times New Roman"/>
          <w:kern w:val="0"/>
          <w:sz w:val="32"/>
          <w:szCs w:val="32"/>
          <w:lang w:val="en-US" w:eastAsia="zh-CN" w:bidi="ar-SA"/>
        </w:rPr>
        <w:t>发放宣传资料2810余份、宣传物品150余份，普及湿地保护知识，提升全民生态保护意识</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有效扩大了湿地保护的社会影响力。</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通过深入讲解湿地保护面临的挑战和湿地惠民福祉，进一步提高了干部群众对湿地保护重要性的认识，激发了参与湿地保护行动的热情。</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（2）认真开展疫源疫病监测工作：</w:t>
      </w:r>
      <w:r>
        <w:rPr>
          <w:rFonts w:hint="default" w:ascii="Times New Roman" w:hAnsi="Times New Roman" w:eastAsia="仿宋_GB2312" w:cs="Times New Roman"/>
          <w:sz w:val="32"/>
          <w:szCs w:val="32"/>
          <w:lang w:val="en-US" w:eastAsia="zh-CN"/>
        </w:rPr>
        <w:t>严格按照疫源疫病监测防控的相关要求，对保护区范围内的野生动物进行了全面监测和巡查。通过周报和日报的形式，及时上报了监测情况，确保了信息的准确性和时效性。在保护野生动物种群、维护生态平衡和提升公众保护意识等方面，取得了显著的效果和成果。</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kern w:val="0"/>
          <w:sz w:val="32"/>
          <w:szCs w:val="32"/>
          <w:lang w:val="en-US" w:eastAsia="zh-CN" w:bidi="ar-SA"/>
        </w:rPr>
      </w:pPr>
      <w:r>
        <w:rPr>
          <w:rFonts w:hint="eastAsia" w:ascii="仿宋_GB2312" w:hAnsi="仿宋_GB2312" w:eastAsia="仿宋_GB2312" w:cs="仿宋_GB2312"/>
          <w:b/>
          <w:bCs/>
          <w:kern w:val="2"/>
          <w:sz w:val="32"/>
          <w:szCs w:val="32"/>
          <w:lang w:val="en-US" w:eastAsia="zh-CN" w:bidi="ar-SA"/>
        </w:rPr>
        <w:t>(3)严密监测疫源疫病:</w:t>
      </w:r>
      <w:r>
        <w:rPr>
          <w:rFonts w:hint="default" w:ascii="Times New Roman" w:hAnsi="Times New Roman" w:eastAsia="仿宋_GB2312" w:cs="Times New Roman"/>
          <w:kern w:val="0"/>
          <w:sz w:val="32"/>
          <w:szCs w:val="32"/>
          <w:lang w:val="en-US" w:eastAsia="zh-CN" w:bidi="ar-SA"/>
        </w:rPr>
        <w:t>扎实开展野生动物疫源疫病和野猪非洲猪瘟监测，重点监测禽类、野猪等活动区域，完成日报131次、周报16次，定期开展湿地巡护，及时排查处置风险，保障生态安全。</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（4）有序推进日常管护</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规范开展保护区环境卫生整治，每月4次分区域清理垃圾；完成建设点位核查与安全隐患整改，将巡护人员增至43名，强化考勤管理并按时发放劳务补助。严格执行禁采沙、禁猎规定，借助微信群动态宣传政策，强化泥炭地专项管理，推进生态修复。</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2" w:firstLineChars="200"/>
        <w:jc w:val="both"/>
        <w:textAlignment w:val="auto"/>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（5）高效推进项目建设</w:t>
      </w:r>
    </w:p>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bCs/>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完成2021-2024年重点生态功能区转移支付项目，推进2024-2025年项目建设；完成2023年度2.9万亩湿地生境修复管护，2024年度6.25万亩项目县级验收并启动管护，累计带动劳务用工13.8万个，增加收入约1900万元，助力乡村振兴；投入18万元维修巡护道路15公里，改善群众出行条件。</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3.预算编制情况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w:t>
      </w:r>
      <w:r>
        <w:rPr>
          <w:rFonts w:hint="default" w:ascii="Times New Roman" w:hAnsi="Times New Roman" w:eastAsia="仿宋_GB2312" w:cs="Times New Roman"/>
          <w:kern w:val="2"/>
          <w:sz w:val="32"/>
          <w:szCs w:val="32"/>
          <w:lang w:val="en-US" w:eastAsia="zh-CN" w:bidi="ar-SA"/>
        </w:rPr>
        <w:t>四川南莫且高原湿地自然保护区管理处</w:t>
      </w:r>
      <w:r>
        <w:rPr>
          <w:rFonts w:hint="default" w:ascii="Times New Roman" w:hAnsi="Times New Roman" w:eastAsia="仿宋_GB2312" w:cs="Times New Roman"/>
          <w:b w:val="0"/>
          <w:bCs w:val="0"/>
          <w:kern w:val="2"/>
          <w:sz w:val="32"/>
          <w:szCs w:val="32"/>
          <w:lang w:val="en-US" w:eastAsia="zh-CN" w:bidi="ar-SA"/>
        </w:rPr>
        <w:t>年初预算数为</w:t>
      </w:r>
      <w:r>
        <w:rPr>
          <w:rFonts w:hint="eastAsia" w:ascii="Times New Roman" w:hAnsi="Times New Roman" w:eastAsia="仿宋_GB2312" w:cs="Times New Roman"/>
          <w:b w:val="0"/>
          <w:bCs w:val="0"/>
          <w:kern w:val="2"/>
          <w:sz w:val="32"/>
          <w:szCs w:val="32"/>
          <w:lang w:val="en-US" w:eastAsia="zh-CN" w:bidi="ar-SA"/>
        </w:rPr>
        <w:t>182.93</w:t>
      </w:r>
      <w:r>
        <w:rPr>
          <w:rFonts w:hint="default" w:ascii="Times New Roman" w:hAnsi="Times New Roman" w:eastAsia="仿宋_GB2312" w:cs="Times New Roman"/>
          <w:b w:val="0"/>
          <w:bCs w:val="0"/>
          <w:kern w:val="2"/>
          <w:sz w:val="32"/>
          <w:szCs w:val="32"/>
          <w:lang w:val="en-US" w:eastAsia="zh-CN" w:bidi="ar-SA"/>
        </w:rPr>
        <w:t>万元，执行期间根据工作安排和开展情况</w:t>
      </w:r>
      <w:r>
        <w:rPr>
          <w:rFonts w:hint="default" w:ascii="Times New Roman" w:hAnsi="Times New Roman" w:eastAsia="仿宋_GB2312" w:cs="Times New Roman"/>
          <w:kern w:val="2"/>
          <w:sz w:val="32"/>
          <w:szCs w:val="32"/>
          <w:lang w:val="en-US" w:eastAsia="zh-CN" w:bidi="ar-SA"/>
        </w:rPr>
        <w:t>追加收入</w:t>
      </w:r>
      <w:r>
        <w:rPr>
          <w:rFonts w:hint="eastAsia" w:ascii="Times New Roman" w:hAnsi="Times New Roman" w:eastAsia="仿宋_GB2312" w:cs="Times New Roman"/>
          <w:kern w:val="2"/>
          <w:sz w:val="32"/>
          <w:szCs w:val="32"/>
          <w:lang w:val="en-US" w:eastAsia="zh-CN" w:bidi="ar-SA"/>
        </w:rPr>
        <w:t>2702.43</w:t>
      </w:r>
      <w:r>
        <w:rPr>
          <w:rFonts w:hint="default" w:ascii="Times New Roman" w:hAnsi="Times New Roman" w:eastAsia="仿宋_GB2312" w:cs="Times New Roman"/>
          <w:kern w:val="2"/>
          <w:sz w:val="32"/>
          <w:szCs w:val="32"/>
          <w:lang w:val="en-US" w:eastAsia="zh-CN" w:bidi="ar-SA"/>
        </w:rPr>
        <w:t>万元</w:t>
      </w:r>
      <w:r>
        <w:rPr>
          <w:rFonts w:hint="default" w:ascii="Times New Roman" w:hAnsi="Times New Roman" w:eastAsia="仿宋_GB2312" w:cs="Times New Roman"/>
          <w:b w:val="0"/>
          <w:bCs w:val="0"/>
          <w:kern w:val="2"/>
          <w:sz w:val="32"/>
          <w:szCs w:val="32"/>
          <w:lang w:val="en-US" w:eastAsia="zh-CN" w:bidi="ar-SA"/>
        </w:rPr>
        <w:t>，全年预算数</w:t>
      </w:r>
      <w:r>
        <w:rPr>
          <w:rFonts w:hint="eastAsia" w:ascii="Times New Roman" w:hAnsi="Times New Roman" w:eastAsia="仿宋_GB2312" w:cs="Times New Roman"/>
          <w:b w:val="0"/>
          <w:bCs w:val="0"/>
          <w:kern w:val="2"/>
          <w:sz w:val="32"/>
          <w:szCs w:val="32"/>
          <w:lang w:val="en-US" w:eastAsia="zh-CN" w:bidi="ar-SA"/>
        </w:rPr>
        <w:t>2885.36</w:t>
      </w:r>
      <w:r>
        <w:rPr>
          <w:rFonts w:hint="default" w:ascii="Times New Roman" w:hAnsi="Times New Roman" w:eastAsia="仿宋_GB2312" w:cs="Times New Roman"/>
          <w:b w:val="0"/>
          <w:bCs w:val="0"/>
          <w:kern w:val="2"/>
          <w:sz w:val="32"/>
          <w:szCs w:val="32"/>
          <w:lang w:val="en-US" w:eastAsia="zh-CN" w:bidi="ar-SA"/>
        </w:rPr>
        <w:t>万元，年末无结转结余，预算安排准确性不高，主要是因为项目支出未纳入预算。</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0"/>
          <w:sz w:val="32"/>
          <w:szCs w:val="32"/>
          <w:lang w:val="en-US" w:eastAsia="zh-CN" w:bidi="ar-SA"/>
        </w:rPr>
      </w:pPr>
      <w:r>
        <w:rPr>
          <w:rFonts w:hint="default" w:ascii="Times New Roman" w:hAnsi="Times New Roman" w:eastAsia="仿宋_GB2312" w:cs="Times New Roman"/>
          <w:b/>
          <w:bCs/>
          <w:kern w:val="0"/>
          <w:sz w:val="32"/>
          <w:szCs w:val="32"/>
          <w:lang w:val="en-US" w:eastAsia="zh-CN" w:bidi="ar-SA"/>
        </w:rPr>
        <w:t>4.执行进度</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年四川南莫且高原湿地自然保护区管理处财政拨款执行数</w:t>
      </w:r>
      <w:r>
        <w:rPr>
          <w:rFonts w:hint="eastAsia" w:ascii="Times New Roman" w:hAnsi="Times New Roman" w:eastAsia="仿宋_GB2312" w:cs="Times New Roman"/>
          <w:kern w:val="2"/>
          <w:sz w:val="32"/>
          <w:szCs w:val="32"/>
          <w:lang w:val="en-US" w:eastAsia="zh-CN" w:bidi="ar-SA"/>
        </w:rPr>
        <w:t>2885.36</w:t>
      </w:r>
      <w:r>
        <w:rPr>
          <w:rFonts w:hint="default" w:ascii="Times New Roman" w:hAnsi="Times New Roman" w:eastAsia="仿宋_GB2312" w:cs="Times New Roman"/>
          <w:kern w:val="2"/>
          <w:sz w:val="32"/>
          <w:szCs w:val="32"/>
          <w:lang w:val="en-US" w:eastAsia="zh-CN" w:bidi="ar-SA"/>
        </w:rPr>
        <w:t>万元，财政拨款调整预算数</w:t>
      </w:r>
      <w:r>
        <w:rPr>
          <w:rFonts w:hint="eastAsia" w:ascii="Times New Roman" w:hAnsi="Times New Roman" w:eastAsia="仿宋_GB2312" w:cs="Times New Roman"/>
          <w:kern w:val="2"/>
          <w:sz w:val="32"/>
          <w:szCs w:val="32"/>
          <w:lang w:val="en-US" w:eastAsia="zh-CN" w:bidi="ar-SA"/>
        </w:rPr>
        <w:t>2885.36</w:t>
      </w:r>
      <w:r>
        <w:rPr>
          <w:rFonts w:hint="default" w:ascii="Times New Roman" w:hAnsi="Times New Roman" w:eastAsia="仿宋_GB2312" w:cs="Times New Roman"/>
          <w:kern w:val="2"/>
          <w:sz w:val="32"/>
          <w:szCs w:val="32"/>
          <w:lang w:val="en-US" w:eastAsia="zh-CN" w:bidi="ar-SA"/>
        </w:rPr>
        <w:t>万元，部门总体执行进度为100%</w:t>
      </w:r>
      <w:r>
        <w:rPr>
          <w:rFonts w:hint="eastAsia" w:ascii="Times New Roman" w:hAnsi="Times New Roman" w:eastAsia="仿宋_GB2312" w:cs="Times New Roman"/>
          <w:kern w:val="2"/>
          <w:sz w:val="32"/>
          <w:szCs w:val="32"/>
          <w:lang w:val="en-US" w:eastAsia="zh-CN" w:bidi="ar-SA"/>
        </w:rPr>
        <w:t>,</w:t>
      </w:r>
      <w:r>
        <w:rPr>
          <w:rFonts w:hint="eastAsia" w:ascii="仿宋_GB2312" w:hAnsi="仿宋_GB2312" w:eastAsia="仿宋_GB2312" w:cs="仿宋_GB2312"/>
          <w:color w:val="auto"/>
          <w:kern w:val="0"/>
          <w:sz w:val="32"/>
          <w:szCs w:val="32"/>
          <w:lang w:val="en-US" w:eastAsia="zh-CN" w:bidi="ar"/>
        </w:rPr>
        <w:t>达到预期目标</w:t>
      </w:r>
      <w:r>
        <w:rPr>
          <w:rFonts w:hint="default" w:ascii="Times New Roman" w:hAnsi="Times New Roman" w:eastAsia="仿宋_GB2312" w:cs="Times New Roman"/>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5.预算完成情况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w:t>
      </w:r>
      <w:r>
        <w:rPr>
          <w:rFonts w:hint="default" w:ascii="Times New Roman" w:hAnsi="Times New Roman" w:eastAsia="仿宋_GB2312" w:cs="Times New Roman"/>
          <w:kern w:val="2"/>
          <w:sz w:val="32"/>
          <w:szCs w:val="32"/>
          <w:lang w:val="en-US" w:eastAsia="zh-CN" w:bidi="ar-SA"/>
        </w:rPr>
        <w:t>四川南莫且高原湿地自然保护区管理处</w:t>
      </w:r>
      <w:r>
        <w:rPr>
          <w:rFonts w:hint="default" w:ascii="Times New Roman" w:hAnsi="Times New Roman" w:eastAsia="仿宋_GB2312" w:cs="Times New Roman"/>
          <w:b w:val="0"/>
          <w:bCs w:val="0"/>
          <w:kern w:val="2"/>
          <w:sz w:val="32"/>
          <w:szCs w:val="32"/>
          <w:lang w:val="en-US" w:eastAsia="zh-CN" w:bidi="ar-SA"/>
        </w:rPr>
        <w:t>年初预算数为</w:t>
      </w:r>
      <w:r>
        <w:rPr>
          <w:rFonts w:hint="eastAsia" w:ascii="Times New Roman" w:hAnsi="Times New Roman" w:eastAsia="仿宋_GB2312" w:cs="Times New Roman"/>
          <w:b w:val="0"/>
          <w:bCs w:val="0"/>
          <w:kern w:val="2"/>
          <w:sz w:val="32"/>
          <w:szCs w:val="32"/>
          <w:lang w:val="en-US" w:eastAsia="zh-CN" w:bidi="ar-SA"/>
        </w:rPr>
        <w:t>182.93</w:t>
      </w:r>
      <w:r>
        <w:rPr>
          <w:rFonts w:hint="default" w:ascii="Times New Roman" w:hAnsi="Times New Roman" w:eastAsia="仿宋_GB2312" w:cs="Times New Roman"/>
          <w:b w:val="0"/>
          <w:bCs w:val="0"/>
          <w:kern w:val="2"/>
          <w:sz w:val="32"/>
          <w:szCs w:val="32"/>
          <w:lang w:val="en-US" w:eastAsia="zh-CN" w:bidi="ar-SA"/>
        </w:rPr>
        <w:t>万元，执行期间根据工作安排和开展情况追加收入</w:t>
      </w:r>
      <w:r>
        <w:rPr>
          <w:rFonts w:hint="eastAsia" w:ascii="Times New Roman" w:hAnsi="Times New Roman" w:eastAsia="仿宋_GB2312" w:cs="Times New Roman"/>
          <w:b w:val="0"/>
          <w:bCs w:val="0"/>
          <w:kern w:val="2"/>
          <w:sz w:val="32"/>
          <w:szCs w:val="32"/>
          <w:lang w:val="en-US" w:eastAsia="zh-CN" w:bidi="ar-SA"/>
        </w:rPr>
        <w:t>2702.43</w:t>
      </w:r>
      <w:r>
        <w:rPr>
          <w:rFonts w:hint="default" w:ascii="Times New Roman" w:hAnsi="Times New Roman" w:eastAsia="仿宋_GB2312" w:cs="Times New Roman"/>
          <w:b w:val="0"/>
          <w:bCs w:val="0"/>
          <w:kern w:val="2"/>
          <w:sz w:val="32"/>
          <w:szCs w:val="32"/>
          <w:lang w:val="en-US" w:eastAsia="zh-CN" w:bidi="ar-SA"/>
        </w:rPr>
        <w:t>万元，调整预算数为</w:t>
      </w:r>
      <w:r>
        <w:rPr>
          <w:rFonts w:hint="eastAsia" w:ascii="Times New Roman" w:hAnsi="Times New Roman" w:eastAsia="仿宋_GB2312" w:cs="Times New Roman"/>
          <w:b w:val="0"/>
          <w:bCs w:val="0"/>
          <w:kern w:val="2"/>
          <w:sz w:val="32"/>
          <w:szCs w:val="32"/>
          <w:lang w:val="en-US" w:eastAsia="zh-CN" w:bidi="ar-SA"/>
        </w:rPr>
        <w:t>2885.36</w:t>
      </w:r>
      <w:r>
        <w:rPr>
          <w:rFonts w:hint="default" w:ascii="Times New Roman" w:hAnsi="Times New Roman" w:eastAsia="仿宋_GB2312" w:cs="Times New Roman"/>
          <w:b w:val="0"/>
          <w:bCs w:val="0"/>
          <w:kern w:val="2"/>
          <w:sz w:val="32"/>
          <w:szCs w:val="32"/>
          <w:lang w:val="en-US" w:eastAsia="zh-CN" w:bidi="ar-SA"/>
        </w:rPr>
        <w:t>万元，决算数为</w:t>
      </w:r>
      <w:r>
        <w:rPr>
          <w:rFonts w:hint="eastAsia" w:ascii="Times New Roman" w:hAnsi="Times New Roman" w:eastAsia="仿宋_GB2312" w:cs="Times New Roman"/>
          <w:b w:val="0"/>
          <w:bCs w:val="0"/>
          <w:kern w:val="2"/>
          <w:sz w:val="32"/>
          <w:szCs w:val="32"/>
          <w:lang w:val="en-US" w:eastAsia="zh-CN" w:bidi="ar-SA"/>
        </w:rPr>
        <w:t>2885.36</w:t>
      </w:r>
      <w:r>
        <w:rPr>
          <w:rFonts w:hint="default" w:ascii="Times New Roman" w:hAnsi="Times New Roman" w:eastAsia="仿宋_GB2312" w:cs="Times New Roman"/>
          <w:b w:val="0"/>
          <w:bCs w:val="0"/>
          <w:kern w:val="2"/>
          <w:sz w:val="32"/>
          <w:szCs w:val="32"/>
          <w:lang w:val="en-US" w:eastAsia="zh-CN" w:bidi="ar-SA"/>
        </w:rPr>
        <w:t>万元，预算完成进度为100%，预算完成度较高。</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6.违规纪录</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截至202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年12月31日，我单位无违规纪录情况。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7.</w:t>
      </w:r>
      <w:r>
        <w:rPr>
          <w:rFonts w:hint="eastAsia" w:eastAsia="仿宋_GB2312" w:cs="Times New Roman"/>
          <w:b/>
          <w:bCs/>
          <w:kern w:val="2"/>
          <w:sz w:val="32"/>
          <w:szCs w:val="32"/>
          <w:lang w:val="en-US" w:eastAsia="zh-CN" w:bidi="ar-SA"/>
        </w:rPr>
        <w:t>“三公”经费</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“三公”经费控制。四川南莫且高原湿地自然保护区管理处202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年“三公”经费预算0万元，决算支出0万元。未发生公务用车购置及运行维护费、因公出国（境）费及公务接待费，202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年“三公”经费决算均未超过预算。</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8.政府采购</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采购规范性。四川南莫且高原湿地自然保护区管理处202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年度政府采购支出合计</w:t>
      </w:r>
      <w:r>
        <w:rPr>
          <w:rFonts w:hint="eastAsia" w:ascii="Times New Roman" w:hAnsi="Times New Roman" w:eastAsia="仿宋_GB2312" w:cs="Times New Roman"/>
          <w:b w:val="0"/>
          <w:bCs w:val="0"/>
          <w:kern w:val="2"/>
          <w:sz w:val="32"/>
          <w:szCs w:val="32"/>
          <w:lang w:val="en-US" w:eastAsia="zh-CN" w:bidi="ar-SA"/>
        </w:rPr>
        <w:t>67.11</w:t>
      </w:r>
      <w:r>
        <w:rPr>
          <w:rFonts w:hint="default" w:ascii="Times New Roman" w:hAnsi="Times New Roman" w:eastAsia="仿宋_GB2312" w:cs="Times New Roman"/>
          <w:b w:val="0"/>
          <w:bCs w:val="0"/>
          <w:kern w:val="2"/>
          <w:sz w:val="32"/>
          <w:szCs w:val="32"/>
          <w:lang w:val="en-US" w:eastAsia="zh-CN" w:bidi="ar-SA"/>
        </w:rPr>
        <w:t>万元，其中政府采购货物支出</w:t>
      </w:r>
      <w:r>
        <w:rPr>
          <w:rFonts w:hint="eastAsia" w:ascii="Times New Roman" w:hAnsi="Times New Roman" w:eastAsia="仿宋_GB2312" w:cs="Times New Roman"/>
          <w:b w:val="0"/>
          <w:bCs w:val="0"/>
          <w:kern w:val="2"/>
          <w:sz w:val="32"/>
          <w:szCs w:val="32"/>
          <w:lang w:val="en-US" w:eastAsia="zh-CN" w:bidi="ar-SA"/>
        </w:rPr>
        <w:t>0</w:t>
      </w:r>
      <w:r>
        <w:rPr>
          <w:rFonts w:hint="default" w:ascii="Times New Roman" w:hAnsi="Times New Roman" w:eastAsia="仿宋_GB2312" w:cs="Times New Roman"/>
          <w:b w:val="0"/>
          <w:bCs w:val="0"/>
          <w:kern w:val="2"/>
          <w:sz w:val="32"/>
          <w:szCs w:val="32"/>
          <w:lang w:val="en-US" w:eastAsia="zh-CN" w:bidi="ar-SA"/>
        </w:rPr>
        <w:t>万元，政府采购工程支出</w:t>
      </w:r>
      <w:r>
        <w:rPr>
          <w:rFonts w:hint="eastAsia" w:ascii="Times New Roman" w:hAnsi="Times New Roman" w:eastAsia="仿宋_GB2312" w:cs="Times New Roman"/>
          <w:b w:val="0"/>
          <w:bCs w:val="0"/>
          <w:kern w:val="2"/>
          <w:sz w:val="32"/>
          <w:szCs w:val="32"/>
          <w:lang w:val="en-US" w:eastAsia="zh-CN" w:bidi="ar-SA"/>
        </w:rPr>
        <w:t>0</w:t>
      </w:r>
      <w:r>
        <w:rPr>
          <w:rFonts w:hint="default" w:ascii="Times New Roman" w:hAnsi="Times New Roman" w:eastAsia="仿宋_GB2312" w:cs="Times New Roman"/>
          <w:b w:val="0"/>
          <w:bCs w:val="0"/>
          <w:kern w:val="2"/>
          <w:sz w:val="32"/>
          <w:szCs w:val="32"/>
          <w:lang w:val="en-US" w:eastAsia="zh-CN" w:bidi="ar-SA"/>
        </w:rPr>
        <w:t>万元，政府采购服务支出</w:t>
      </w:r>
      <w:r>
        <w:rPr>
          <w:rFonts w:hint="eastAsia" w:ascii="Times New Roman" w:hAnsi="Times New Roman" w:eastAsia="仿宋_GB2312" w:cs="Times New Roman"/>
          <w:b w:val="0"/>
          <w:bCs w:val="0"/>
          <w:kern w:val="2"/>
          <w:sz w:val="32"/>
          <w:szCs w:val="32"/>
          <w:lang w:val="en-US" w:eastAsia="zh-CN" w:bidi="ar-SA"/>
        </w:rPr>
        <w:t>67.11</w:t>
      </w:r>
      <w:r>
        <w:rPr>
          <w:rFonts w:hint="default" w:ascii="Times New Roman" w:hAnsi="Times New Roman" w:eastAsia="仿宋_GB2312" w:cs="Times New Roman"/>
          <w:b w:val="0"/>
          <w:bCs w:val="0"/>
          <w:kern w:val="2"/>
          <w:sz w:val="32"/>
          <w:szCs w:val="32"/>
          <w:lang w:val="en-US" w:eastAsia="zh-CN" w:bidi="ar-SA"/>
        </w:rPr>
        <w:t>万元。</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2"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 xml:space="preserve">9.资产管理  </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固定资产在用率。</w:t>
      </w:r>
      <w:r>
        <w:rPr>
          <w:rFonts w:hint="eastAsia" w:eastAsia="仿宋_GB2312" w:cs="Times New Roman"/>
          <w:b w:val="0"/>
          <w:bCs w:val="0"/>
          <w:kern w:val="2"/>
          <w:sz w:val="32"/>
          <w:szCs w:val="32"/>
          <w:lang w:val="en-US" w:eastAsia="zh-CN" w:bidi="ar-SA"/>
        </w:rPr>
        <w:t>截至</w:t>
      </w:r>
      <w:r>
        <w:rPr>
          <w:rFonts w:hint="default" w:ascii="Times New Roman" w:hAnsi="Times New Roman" w:eastAsia="仿宋_GB2312" w:cs="Times New Roman"/>
          <w:b w:val="0"/>
          <w:bCs w:val="0"/>
          <w:kern w:val="2"/>
          <w:sz w:val="32"/>
          <w:szCs w:val="32"/>
          <w:lang w:val="en-US" w:eastAsia="zh-CN" w:bidi="ar-SA"/>
        </w:rPr>
        <w:t>202</w:t>
      </w:r>
      <w:r>
        <w:rPr>
          <w:rFonts w:hint="eastAsia" w:ascii="Times New Roman" w:hAnsi="Times New Roman" w:eastAsia="仿宋_GB2312" w:cs="Times New Roman"/>
          <w:b w:val="0"/>
          <w:bCs w:val="0"/>
          <w:kern w:val="2"/>
          <w:sz w:val="32"/>
          <w:szCs w:val="32"/>
          <w:lang w:val="en-US" w:eastAsia="zh-CN" w:bidi="ar-SA"/>
        </w:rPr>
        <w:t>5</w:t>
      </w:r>
      <w:r>
        <w:rPr>
          <w:rFonts w:hint="default" w:ascii="Times New Roman" w:hAnsi="Times New Roman" w:eastAsia="仿宋_GB2312" w:cs="Times New Roman"/>
          <w:b w:val="0"/>
          <w:bCs w:val="0"/>
          <w:kern w:val="2"/>
          <w:sz w:val="32"/>
          <w:szCs w:val="32"/>
          <w:lang w:val="en-US" w:eastAsia="zh-CN" w:bidi="ar-SA"/>
        </w:rPr>
        <w:t>年12月31日，四川南莫且高原湿地自然保护区管理处《行政单位资产管理系统》固定资产总计</w:t>
      </w:r>
      <w:r>
        <w:rPr>
          <w:rFonts w:hint="eastAsia" w:ascii="Times New Roman" w:hAnsi="Times New Roman" w:eastAsia="仿宋_GB2312" w:cs="Times New Roman"/>
          <w:b w:val="0"/>
          <w:bCs w:val="0"/>
          <w:kern w:val="2"/>
          <w:sz w:val="32"/>
          <w:szCs w:val="32"/>
          <w:lang w:val="en-US" w:eastAsia="zh-CN" w:bidi="ar-SA"/>
        </w:rPr>
        <w:t>348.51</w:t>
      </w:r>
      <w:r>
        <w:rPr>
          <w:rFonts w:hint="default" w:ascii="Times New Roman" w:hAnsi="Times New Roman" w:eastAsia="仿宋_GB2312" w:cs="Times New Roman"/>
          <w:b w:val="0"/>
          <w:bCs w:val="0"/>
          <w:kern w:val="2"/>
          <w:sz w:val="32"/>
          <w:szCs w:val="32"/>
          <w:lang w:val="en-US" w:eastAsia="zh-CN" w:bidi="ar-SA"/>
        </w:rPr>
        <w:t>万元，在用的固定资产总计</w:t>
      </w:r>
      <w:r>
        <w:rPr>
          <w:rFonts w:hint="eastAsia" w:ascii="Times New Roman" w:hAnsi="Times New Roman" w:eastAsia="仿宋_GB2312" w:cs="Times New Roman"/>
          <w:b w:val="0"/>
          <w:bCs w:val="0"/>
          <w:kern w:val="2"/>
          <w:sz w:val="32"/>
          <w:szCs w:val="32"/>
          <w:lang w:val="en-US" w:eastAsia="zh-CN" w:bidi="ar-SA"/>
        </w:rPr>
        <w:t>348.51</w:t>
      </w:r>
      <w:r>
        <w:rPr>
          <w:rFonts w:hint="default" w:ascii="Times New Roman" w:hAnsi="Times New Roman" w:eastAsia="仿宋_GB2312" w:cs="Times New Roman"/>
          <w:b w:val="0"/>
          <w:bCs w:val="0"/>
          <w:kern w:val="2"/>
          <w:sz w:val="32"/>
          <w:szCs w:val="32"/>
          <w:lang w:val="en-US" w:eastAsia="zh-CN" w:bidi="ar-SA"/>
        </w:rPr>
        <w:t>万元，固定资产在用率达100%。</w:t>
      </w:r>
    </w:p>
    <w:p>
      <w:pPr>
        <w:keepNext w:val="0"/>
        <w:keepLines w:val="0"/>
        <w:pageBreakBefore w:val="0"/>
        <w:widowControl w:val="0"/>
        <w:numPr>
          <w:ilvl w:val="0"/>
          <w:numId w:val="3"/>
        </w:numPr>
        <w:kinsoku/>
        <w:wordWrap/>
        <w:overflowPunct/>
        <w:topLinePunct w:val="0"/>
        <w:autoSpaceDE/>
        <w:autoSpaceDN/>
        <w:bidi w:val="0"/>
        <w:adjustRightInd/>
        <w:snapToGrid/>
        <w:spacing w:after="0" w:line="540" w:lineRule="exact"/>
        <w:ind w:left="0" w:leftChars="0" w:firstLine="642" w:firstLineChars="200"/>
        <w:jc w:val="both"/>
        <w:textAlignment w:val="auto"/>
        <w:rPr>
          <w:rFonts w:ascii="Calibri" w:hAnsi="Calibri" w:eastAsia="楷体_GB2312" w:cs="Times New Roman"/>
          <w:b/>
          <w:bCs/>
          <w:kern w:val="2"/>
          <w:sz w:val="32"/>
          <w:szCs w:val="32"/>
          <w:lang w:val="zh-CN" w:eastAsia="zh-CN" w:bidi="ar-SA"/>
        </w:rPr>
      </w:pPr>
      <w:r>
        <w:rPr>
          <w:rFonts w:ascii="Calibri" w:hAnsi="Calibri" w:eastAsia="楷体_GB2312" w:cs="Times New Roman"/>
          <w:b/>
          <w:bCs/>
          <w:kern w:val="2"/>
          <w:sz w:val="32"/>
          <w:szCs w:val="32"/>
          <w:lang w:val="zh-CN" w:eastAsia="zh-CN" w:bidi="ar-SA"/>
        </w:rPr>
        <w:t>绩效结果应用情况。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left="0" w:leftChars="0" w:firstLine="640" w:firstLineChars="200"/>
        <w:jc w:val="both"/>
        <w:textAlignment w:val="auto"/>
        <w:rPr>
          <w:rFonts w:ascii="Calibri" w:hAnsi="Calibri" w:eastAsia="宋体" w:cs="Times New Roman"/>
          <w:b/>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根据县财政局要求，我单位成立自评工作小组，组织实施本单位202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年绩效管理自评工作。信息公开情况：按照财政要求，及时在预决算批复后20日内，在壤塘县人民政府网站进行了信息公开，公开内容真实、完整。依法接受财政、审计、纪检监察、</w:t>
      </w:r>
      <w:r>
        <w:rPr>
          <w:rFonts w:hint="eastAsia" w:eastAsia="仿宋_GB2312" w:cs="Times New Roman"/>
          <w:kern w:val="2"/>
          <w:sz w:val="32"/>
          <w:szCs w:val="32"/>
          <w:lang w:val="en-US" w:eastAsia="zh-CN" w:bidi="ar-SA"/>
        </w:rPr>
        <w:t>巡察</w:t>
      </w:r>
      <w:r>
        <w:rPr>
          <w:rFonts w:hint="default" w:ascii="Times New Roman" w:hAnsi="Times New Roman" w:eastAsia="仿宋_GB2312" w:cs="Times New Roman"/>
          <w:kern w:val="2"/>
          <w:sz w:val="32"/>
          <w:szCs w:val="32"/>
          <w:lang w:val="en-US" w:eastAsia="zh-CN" w:bidi="ar-SA"/>
        </w:rPr>
        <w:t>等部门的监督检查。严守财经法规，</w:t>
      </w:r>
      <w:r>
        <w:rPr>
          <w:rFonts w:hint="eastAsia" w:eastAsia="仿宋_GB2312" w:cs="Times New Roman"/>
          <w:kern w:val="2"/>
          <w:sz w:val="32"/>
          <w:szCs w:val="32"/>
          <w:lang w:val="en-US" w:eastAsia="zh-CN" w:bidi="ar-SA"/>
        </w:rPr>
        <w:t>严肃财经纪律</w:t>
      </w:r>
      <w:r>
        <w:rPr>
          <w:rFonts w:hint="default" w:ascii="Times New Roman" w:hAnsi="Times New Roman" w:eastAsia="仿宋_GB2312" w:cs="Times New Roman"/>
          <w:kern w:val="2"/>
          <w:sz w:val="32"/>
          <w:szCs w:val="32"/>
          <w:lang w:val="en-US" w:eastAsia="zh-CN" w:bidi="ar-SA"/>
        </w:rPr>
        <w:t>，依法接受财政、审计、巡察、派驻</w:t>
      </w:r>
      <w:r>
        <w:rPr>
          <w:rFonts w:hint="eastAsia" w:eastAsia="仿宋_GB2312" w:cs="Times New Roman"/>
          <w:kern w:val="2"/>
          <w:sz w:val="32"/>
          <w:szCs w:val="32"/>
          <w:lang w:val="en-US" w:eastAsia="zh-CN" w:bidi="ar-SA"/>
        </w:rPr>
        <w:t>纪检监察</w:t>
      </w:r>
      <w:r>
        <w:rPr>
          <w:rFonts w:hint="default" w:ascii="Times New Roman" w:hAnsi="Times New Roman" w:eastAsia="仿宋_GB2312" w:cs="Times New Roman"/>
          <w:kern w:val="2"/>
          <w:sz w:val="32"/>
          <w:szCs w:val="32"/>
          <w:lang w:val="en-US" w:eastAsia="zh-CN" w:bidi="ar-SA"/>
        </w:rPr>
        <w:t>，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全局各项工作的正常运转。</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hint="default" w:ascii="Times New Roman" w:hAnsi="Times New Roman" w:eastAsia="楷体_GB2312" w:cs="Times New Roman"/>
          <w:b/>
          <w:bCs/>
          <w:color w:val="000000"/>
          <w:kern w:val="0"/>
          <w:sz w:val="32"/>
          <w:szCs w:val="32"/>
          <w:shd w:val="clear" w:color="auto" w:fill="FFFFFF"/>
          <w:lang w:val="en-US"/>
        </w:rPr>
      </w:pPr>
      <w:r>
        <w:rPr>
          <w:rFonts w:hint="default" w:ascii="Times New Roman" w:hAnsi="Times New Roman" w:eastAsia="仿宋_GB2312" w:cs="Times New Roman"/>
          <w:sz w:val="32"/>
          <w:szCs w:val="32"/>
          <w:lang w:val="zh-CN" w:eastAsia="zh-CN"/>
        </w:rPr>
        <w:t>我单位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单位将继续努力，科学合理编制预决算，进行绩效评价，加强精细管理，完善不足</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根据《壤塘县2025年部门整体支出绩效评价指标体系》评分，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我单位得分90分，绩效结果为优。</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2"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spacing w:line="540" w:lineRule="exact"/>
        <w:ind w:left="0" w:leftChars="0" w:firstLine="640" w:firstLineChars="200"/>
        <w:contextualSpacing/>
        <w:jc w:val="left"/>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年初预算数与调整预算数差别较大，预算安排准确性有待提高</w:t>
      </w:r>
      <w:r>
        <w:rPr>
          <w:rFonts w:hint="default" w:ascii="Times New Roman" w:hAnsi="Times New Roman" w:eastAsia="仿宋_GB2312" w:cs="Times New Roman"/>
          <w:sz w:val="32"/>
          <w:szCs w:val="32"/>
          <w:lang w:val="zh-CN" w:eastAsia="zh-CN"/>
        </w:rPr>
        <w:t>。</w:t>
      </w:r>
    </w:p>
    <w:p>
      <w:pPr>
        <w:keepNext w:val="0"/>
        <w:keepLines w:val="0"/>
        <w:pageBreakBefore w:val="0"/>
        <w:kinsoku/>
        <w:wordWrap/>
        <w:overflowPunct/>
        <w:topLinePunct w:val="0"/>
        <w:autoSpaceDE/>
        <w:autoSpaceDN/>
        <w:bidi w:val="0"/>
        <w:snapToGrid/>
        <w:spacing w:line="540" w:lineRule="exact"/>
        <w:textAlignment w:val="auto"/>
        <w:rPr>
          <w:rFonts w:hint="default" w:ascii="Times New Roman" w:hAnsi="Times New Roman" w:eastAsia="仿宋_GB2312" w:cs="Times New Roman"/>
          <w:sz w:val="32"/>
          <w:szCs w:val="32"/>
          <w:lang w:val="en-US" w:eastAsia="zh-CN"/>
        </w:rPr>
      </w:pPr>
      <w:r>
        <w:rPr>
          <w:rFonts w:ascii="Times New Roman" w:hAnsi="Times New Roman" w:eastAsia="楷体_GB2312" w:cs="Times New Roman"/>
          <w:b/>
          <w:bCs/>
          <w:color w:val="000000"/>
          <w:kern w:val="0"/>
          <w:sz w:val="32"/>
          <w:szCs w:val="32"/>
          <w:shd w:val="clear" w:color="auto" w:fill="FFFFFF"/>
          <w:lang w:val="zh-CN"/>
        </w:rPr>
        <w:t>（三）改进建议。</w:t>
      </w:r>
      <w:r>
        <w:rPr>
          <w:rFonts w:hint="default" w:ascii="Times New Roman" w:hAnsi="Times New Roman" w:eastAsia="仿宋_GB2312" w:cs="Times New Roman"/>
          <w:sz w:val="32"/>
          <w:szCs w:val="32"/>
          <w:lang w:val="en-US" w:eastAsia="zh-CN"/>
        </w:rPr>
        <w:t>简要阐述</w:t>
      </w:r>
      <w:bookmarkStart w:id="53" w:name="_Hlk110546638"/>
      <w:r>
        <w:rPr>
          <w:rFonts w:hint="default" w:ascii="Times New Roman" w:hAnsi="Times New Roman" w:eastAsia="仿宋_GB2312" w:cs="Times New Roman"/>
          <w:sz w:val="32"/>
          <w:szCs w:val="32"/>
          <w:lang w:val="en-US" w:eastAsia="zh-CN"/>
        </w:rPr>
        <w:t>预算安排、完善政策、改进管理等方面的措施建议，其中必须对应评价发现的主要问题一一提出措施建议。</w:t>
      </w:r>
    </w:p>
    <w:bookmarkEnd w:id="53"/>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W w:w="90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3"/>
        <w:gridCol w:w="1072"/>
        <w:gridCol w:w="903"/>
        <w:gridCol w:w="1"/>
        <w:gridCol w:w="1198"/>
        <w:gridCol w:w="1"/>
        <w:gridCol w:w="393"/>
        <w:gridCol w:w="1"/>
        <w:gridCol w:w="844"/>
        <w:gridCol w:w="1"/>
        <w:gridCol w:w="393"/>
        <w:gridCol w:w="842"/>
        <w:gridCol w:w="484"/>
        <w:gridCol w:w="394"/>
        <w:gridCol w:w="1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51323023T000009819542-四川南莫且湿地自然保护区生态保护和科研项目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63.89</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62.35</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97.59%</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63.89</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62.35</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97.59%</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51323023T000009845255-四川南莫且湿地自然保护区生物多样性监测和野外监测设施设备购置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8.79</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8.79</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8.79</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8.79</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51323024T000010043950-大渡河流域生物多样性保护与水源涵养生态保护修复项目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298.44</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285.39</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95.63%</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298.44</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285.39</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95.63%</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51323024T000012038997-2024年大渡河流域生物多样性保护与水资源涵养生态修复项目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3,124.34</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2,263.39</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72.44%</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3,124.34</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2,263.39</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72.44%</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51323025T000013808562-2024年四川南莫且湿地自然保护区生态保护和科研监测项目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21.23</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5.44%</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21.23</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5.44%</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51323026T000014079405-2025年度四川省阿坝州大渡河流域生物多样性保护与水源涵养生态修复项目（南莫且部分）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3,124.34</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3,124.34</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905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51323026T000014114759-2025年科研宣传与设施、设备维修维护工程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c>
          <w:tcPr>
            <w:tcW w:w="84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四川南莫且高原湿地自然保护区管理处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4"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31"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622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8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1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8" w:hRule="atLeast"/>
        </w:trPr>
        <w:tc>
          <w:tcPr>
            <w:tcW w:w="57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7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3"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99"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5"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9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95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4"/>
      <w:bookmarkStart w:id="55"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default"/>
      <w:pgSz w:w="11906" w:h="16838"/>
      <w:pgMar w:top="2098" w:right="1417" w:bottom="1984"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2"/>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U02ZMgIAAGM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ZTTZkyAgAAYwQAAA4AAAAAAAAAAQAgAAAA&#10;NQEAAGRycy9lMm9Eb2MueG1sUEsFBgAAAAAGAAYAWQEAANkFAAAAAA==&#10;">
              <v:fill on="f" focussize="0,0"/>
              <v:stroke on="f" weight="0.5pt"/>
              <v:imagedata o:title=""/>
              <o:lock v:ext="edit" aspectratio="f"/>
              <v:textbox inset="0mm,0mm,0mm,0mm" style="mso-fit-shape-to-text:t;">
                <w:txbxContent>
                  <w:p>
                    <w:pPr>
                      <w:pStyle w:val="12"/>
                      <w:rPr>
                        <w:rFonts w:hint="eastAsia" w:eastAsia="宋体"/>
                        <w:lang w:eastAsia="zh-CN"/>
                      </w:rPr>
                    </w:pPr>
                  </w:p>
                </w:txbxContent>
              </v:textbox>
            </v:shape>
          </w:pict>
        </mc:Fallback>
      </mc:AlternateConten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C6337"/>
    <w:multiLevelType w:val="singleLevel"/>
    <w:tmpl w:val="B04C6337"/>
    <w:lvl w:ilvl="0" w:tentative="0">
      <w:start w:val="1"/>
      <w:numFmt w:val="chineseCounting"/>
      <w:suff w:val="nothing"/>
      <w:lvlText w:val="%1、"/>
      <w:lvlJc w:val="left"/>
      <w:rPr>
        <w:rFonts w:hint="eastAsia"/>
      </w:rPr>
    </w:lvl>
  </w:abstractNum>
  <w:abstractNum w:abstractNumId="1">
    <w:nsid w:val="BB9CAE45"/>
    <w:multiLevelType w:val="singleLevel"/>
    <w:tmpl w:val="BB9CAE45"/>
    <w:lvl w:ilvl="0" w:tentative="0">
      <w:start w:val="1"/>
      <w:numFmt w:val="chineseCounting"/>
      <w:suff w:val="nothing"/>
      <w:lvlText w:val="（%1）"/>
      <w:lvlJc w:val="left"/>
      <w:rPr>
        <w:rFonts w:hint="eastAsia"/>
      </w:rPr>
    </w:lvl>
  </w:abstractNum>
  <w:abstractNum w:abstractNumId="2">
    <w:nsid w:val="4FEC3939"/>
    <w:multiLevelType w:val="singleLevel"/>
    <w:tmpl w:val="4FEC3939"/>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D3568A"/>
    <w:rsid w:val="020A716E"/>
    <w:rsid w:val="02317B1B"/>
    <w:rsid w:val="02B95090"/>
    <w:rsid w:val="02FEBE30"/>
    <w:rsid w:val="03E67068"/>
    <w:rsid w:val="04115396"/>
    <w:rsid w:val="05E50049"/>
    <w:rsid w:val="061E35DE"/>
    <w:rsid w:val="066E0107"/>
    <w:rsid w:val="07996F6E"/>
    <w:rsid w:val="07DFD8BA"/>
    <w:rsid w:val="08DB07E4"/>
    <w:rsid w:val="09867E8F"/>
    <w:rsid w:val="0A2032A3"/>
    <w:rsid w:val="0C6C4794"/>
    <w:rsid w:val="0CA8290A"/>
    <w:rsid w:val="0D35B1ED"/>
    <w:rsid w:val="0DE07E2B"/>
    <w:rsid w:val="0E786BC4"/>
    <w:rsid w:val="0ECE34A8"/>
    <w:rsid w:val="0F856FE5"/>
    <w:rsid w:val="0F98263C"/>
    <w:rsid w:val="101860EC"/>
    <w:rsid w:val="10C055FF"/>
    <w:rsid w:val="11772AA4"/>
    <w:rsid w:val="118107EC"/>
    <w:rsid w:val="12070D49"/>
    <w:rsid w:val="13D50BC4"/>
    <w:rsid w:val="14022904"/>
    <w:rsid w:val="147B5C8E"/>
    <w:rsid w:val="152F2A07"/>
    <w:rsid w:val="165E0673"/>
    <w:rsid w:val="16BB723D"/>
    <w:rsid w:val="186504BB"/>
    <w:rsid w:val="1938089F"/>
    <w:rsid w:val="19A445FC"/>
    <w:rsid w:val="1A6E67CA"/>
    <w:rsid w:val="1B143D44"/>
    <w:rsid w:val="1B7D550C"/>
    <w:rsid w:val="1BE8440E"/>
    <w:rsid w:val="1D155CEE"/>
    <w:rsid w:val="1E740ACF"/>
    <w:rsid w:val="1FD9653A"/>
    <w:rsid w:val="1FF35744"/>
    <w:rsid w:val="1FF6BC77"/>
    <w:rsid w:val="21962A9E"/>
    <w:rsid w:val="21AE7C77"/>
    <w:rsid w:val="22BC3C41"/>
    <w:rsid w:val="22EF5EAC"/>
    <w:rsid w:val="233B6C32"/>
    <w:rsid w:val="23860B96"/>
    <w:rsid w:val="240371BF"/>
    <w:rsid w:val="25F83F67"/>
    <w:rsid w:val="260F557C"/>
    <w:rsid w:val="281408E2"/>
    <w:rsid w:val="28494CCE"/>
    <w:rsid w:val="29FD04D3"/>
    <w:rsid w:val="2BFF7BC6"/>
    <w:rsid w:val="2C09228F"/>
    <w:rsid w:val="2C8A61B5"/>
    <w:rsid w:val="2D2E01CF"/>
    <w:rsid w:val="2DF04E50"/>
    <w:rsid w:val="2E9545B0"/>
    <w:rsid w:val="2F040D46"/>
    <w:rsid w:val="2FAE5751"/>
    <w:rsid w:val="2FB1A395"/>
    <w:rsid w:val="2FD9A7D8"/>
    <w:rsid w:val="319F7F4E"/>
    <w:rsid w:val="321B2544"/>
    <w:rsid w:val="3304709D"/>
    <w:rsid w:val="33162761"/>
    <w:rsid w:val="34281836"/>
    <w:rsid w:val="349D6851"/>
    <w:rsid w:val="35BA6CAF"/>
    <w:rsid w:val="361B27DF"/>
    <w:rsid w:val="364D14C1"/>
    <w:rsid w:val="36AA5135"/>
    <w:rsid w:val="36BE0DA7"/>
    <w:rsid w:val="36C92496"/>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D92AA6"/>
    <w:rsid w:val="40E54C45"/>
    <w:rsid w:val="41B9736D"/>
    <w:rsid w:val="43131F95"/>
    <w:rsid w:val="431C5669"/>
    <w:rsid w:val="43A407DF"/>
    <w:rsid w:val="43FF5278"/>
    <w:rsid w:val="44515BEA"/>
    <w:rsid w:val="44E268DA"/>
    <w:rsid w:val="453F7E5B"/>
    <w:rsid w:val="467860EA"/>
    <w:rsid w:val="486A6C7A"/>
    <w:rsid w:val="49176D9B"/>
    <w:rsid w:val="4A627F82"/>
    <w:rsid w:val="4A6F037F"/>
    <w:rsid w:val="4B0E749A"/>
    <w:rsid w:val="4B4F25DA"/>
    <w:rsid w:val="4BDA0CFB"/>
    <w:rsid w:val="4BE068DB"/>
    <w:rsid w:val="4C581618"/>
    <w:rsid w:val="4D3C0CCC"/>
    <w:rsid w:val="4D577224"/>
    <w:rsid w:val="4DBF1CEB"/>
    <w:rsid w:val="4E027201"/>
    <w:rsid w:val="4EAB630A"/>
    <w:rsid w:val="4ECE2238"/>
    <w:rsid w:val="4F833267"/>
    <w:rsid w:val="4FE9BD67"/>
    <w:rsid w:val="4FFB052F"/>
    <w:rsid w:val="52C8475D"/>
    <w:rsid w:val="53083A92"/>
    <w:rsid w:val="537E6D0A"/>
    <w:rsid w:val="53AF27A2"/>
    <w:rsid w:val="53F74C96"/>
    <w:rsid w:val="56E47B74"/>
    <w:rsid w:val="57BD3DD4"/>
    <w:rsid w:val="57E92955"/>
    <w:rsid w:val="59B13C98"/>
    <w:rsid w:val="5AF92295"/>
    <w:rsid w:val="5BDD79E6"/>
    <w:rsid w:val="5BF561CA"/>
    <w:rsid w:val="5BFF5DFC"/>
    <w:rsid w:val="5CD71FC4"/>
    <w:rsid w:val="5D1F11B5"/>
    <w:rsid w:val="5DAE1B18"/>
    <w:rsid w:val="5DE7D9E5"/>
    <w:rsid w:val="5ECEC941"/>
    <w:rsid w:val="5F493CB7"/>
    <w:rsid w:val="5F633C13"/>
    <w:rsid w:val="5FBF9FF3"/>
    <w:rsid w:val="5FCD4E2C"/>
    <w:rsid w:val="5FD15F49"/>
    <w:rsid w:val="5FEF394A"/>
    <w:rsid w:val="5FF67715"/>
    <w:rsid w:val="61735327"/>
    <w:rsid w:val="62BF3928"/>
    <w:rsid w:val="643B340E"/>
    <w:rsid w:val="647C4F5F"/>
    <w:rsid w:val="647F5392"/>
    <w:rsid w:val="664B1D71"/>
    <w:rsid w:val="67AA3209"/>
    <w:rsid w:val="681C4F0D"/>
    <w:rsid w:val="69046D0F"/>
    <w:rsid w:val="698D0931"/>
    <w:rsid w:val="6A993CED"/>
    <w:rsid w:val="6B053271"/>
    <w:rsid w:val="6B582663"/>
    <w:rsid w:val="6BCE6674"/>
    <w:rsid w:val="6C4A05C8"/>
    <w:rsid w:val="6C8742B8"/>
    <w:rsid w:val="6C8A170F"/>
    <w:rsid w:val="6CB54609"/>
    <w:rsid w:val="6D203E90"/>
    <w:rsid w:val="6DBF5E93"/>
    <w:rsid w:val="6DFF077E"/>
    <w:rsid w:val="6E7E3605"/>
    <w:rsid w:val="6E7FDCC7"/>
    <w:rsid w:val="6ED6A62E"/>
    <w:rsid w:val="6EE00B15"/>
    <w:rsid w:val="6F544B20"/>
    <w:rsid w:val="6F6FB3EB"/>
    <w:rsid w:val="6F784160"/>
    <w:rsid w:val="6F8731EA"/>
    <w:rsid w:val="6FCD2CB4"/>
    <w:rsid w:val="6FCE6052"/>
    <w:rsid w:val="6FD57C00"/>
    <w:rsid w:val="6FEB4156"/>
    <w:rsid w:val="6FEFFFD8"/>
    <w:rsid w:val="6FF5CC65"/>
    <w:rsid w:val="6FFB47EC"/>
    <w:rsid w:val="6FFF034A"/>
    <w:rsid w:val="70496804"/>
    <w:rsid w:val="712A28F1"/>
    <w:rsid w:val="715C0E4B"/>
    <w:rsid w:val="716C4602"/>
    <w:rsid w:val="72233669"/>
    <w:rsid w:val="72734D90"/>
    <w:rsid w:val="7332FE48"/>
    <w:rsid w:val="73464294"/>
    <w:rsid w:val="73AB61DA"/>
    <w:rsid w:val="73AD73D5"/>
    <w:rsid w:val="73B6EB34"/>
    <w:rsid w:val="73FA497D"/>
    <w:rsid w:val="744731E5"/>
    <w:rsid w:val="74527205"/>
    <w:rsid w:val="74BBD01D"/>
    <w:rsid w:val="74ED5379"/>
    <w:rsid w:val="74FC2395"/>
    <w:rsid w:val="75C46E02"/>
    <w:rsid w:val="75DEEEC2"/>
    <w:rsid w:val="75E51C0B"/>
    <w:rsid w:val="766771A7"/>
    <w:rsid w:val="76E3355F"/>
    <w:rsid w:val="76F52EEF"/>
    <w:rsid w:val="76FF5125"/>
    <w:rsid w:val="776F6FFA"/>
    <w:rsid w:val="778769C8"/>
    <w:rsid w:val="77DC22F5"/>
    <w:rsid w:val="78912A37"/>
    <w:rsid w:val="79086DAD"/>
    <w:rsid w:val="79974F09"/>
    <w:rsid w:val="79D7FD79"/>
    <w:rsid w:val="79EE5BA4"/>
    <w:rsid w:val="7A071941"/>
    <w:rsid w:val="7A534372"/>
    <w:rsid w:val="7A894339"/>
    <w:rsid w:val="7AFF7572"/>
    <w:rsid w:val="7B6C7DFB"/>
    <w:rsid w:val="7BBFBED0"/>
    <w:rsid w:val="7BC3E394"/>
    <w:rsid w:val="7C1F3737"/>
    <w:rsid w:val="7C47248D"/>
    <w:rsid w:val="7CBFC87B"/>
    <w:rsid w:val="7CFE0F48"/>
    <w:rsid w:val="7D753567"/>
    <w:rsid w:val="7D7EC23E"/>
    <w:rsid w:val="7D916348"/>
    <w:rsid w:val="7E8ADEBF"/>
    <w:rsid w:val="7EEF11D3"/>
    <w:rsid w:val="7F0971A6"/>
    <w:rsid w:val="7F3F679B"/>
    <w:rsid w:val="7F4FC4EF"/>
    <w:rsid w:val="7F5E4D54"/>
    <w:rsid w:val="7F6E0135"/>
    <w:rsid w:val="7F797FB9"/>
    <w:rsid w:val="7FA30C79"/>
    <w:rsid w:val="7FAF8ABF"/>
    <w:rsid w:val="7FB7269E"/>
    <w:rsid w:val="7FC96657"/>
    <w:rsid w:val="7FDA9588"/>
    <w:rsid w:val="7FDF220F"/>
    <w:rsid w:val="7FEDC5F7"/>
    <w:rsid w:val="7FEDD9DE"/>
    <w:rsid w:val="7FF5890D"/>
    <w:rsid w:val="7FF93490"/>
    <w:rsid w:val="99FF2014"/>
    <w:rsid w:val="A6DD0D7F"/>
    <w:rsid w:val="AAB6A785"/>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ody Text Indent 2"/>
    <w:basedOn w:val="1"/>
    <w:qFormat/>
    <w:uiPriority w:val="0"/>
    <w:pPr>
      <w:ind w:firstLine="560" w:firstLineChars="200"/>
    </w:pPr>
    <w:rPr>
      <w:rFonts w:ascii="宋体" w:hAnsi="宋体" w:eastAsia="宋体"/>
      <w:kern w:val="0"/>
      <w:szCs w:val="28"/>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link w:val="37"/>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basedOn w:val="1"/>
    <w:qFormat/>
    <w:uiPriority w:val="34"/>
    <w:pPr>
      <w:ind w:firstLine="420" w:firstLineChars="200"/>
    </w:pPr>
    <w:rPr>
      <w:rFonts w:ascii="Calibri" w:hAnsi="Calibri" w:eastAsia="宋体" w:cs="Times New Roman"/>
    </w:rPr>
  </w:style>
  <w:style w:type="character" w:customStyle="1" w:styleId="37">
    <w:name w:val="目录 1 Char"/>
    <w:link w:val="14"/>
    <w:qFormat/>
    <w:uiPriority w:val="39"/>
    <w:rPr>
      <w:rFonts w:ascii="仿宋" w:hAnsi="仿宋" w:eastAsia="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8.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8.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收入决算总计变动情况图</a:t>
            </a:r>
          </a:p>
        </c:rich>
      </c:tx>
      <c:layout/>
      <c:overlay val="0"/>
      <c:spPr>
        <a:noFill/>
        <a:ln>
          <a:noFill/>
        </a:ln>
        <a:effectLst/>
      </c:spPr>
    </c:title>
    <c:autoTitleDeleted val="0"/>
    <c:plotArea>
      <c:layout>
        <c:manualLayout>
          <c:layoutTarget val="inner"/>
          <c:xMode val="edge"/>
          <c:yMode val="edge"/>
          <c:x val="0.178479532163743"/>
          <c:y val="0.264365098131946"/>
          <c:w val="0.752319688109162"/>
          <c:h val="0.597871837313786"/>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1599.43</c:v>
                </c:pt>
                <c:pt idx="1">
                  <c:v>2667.53</c:v>
                </c:pt>
              </c:numCache>
            </c:numRef>
          </c:val>
        </c:ser>
        <c:dLbls>
          <c:showLegendKey val="0"/>
          <c:showVal val="0"/>
          <c:showCatName val="0"/>
          <c:showSerName val="0"/>
          <c:showPercent val="0"/>
          <c:showBubbleSize val="0"/>
        </c:dLbls>
        <c:gapWidth val="219"/>
        <c:overlap val="-27"/>
        <c:axId val="128839683"/>
        <c:axId val="700540770"/>
      </c:barChart>
      <c:catAx>
        <c:axId val="1288396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540770"/>
        <c:crosses val="autoZero"/>
        <c:auto val="1"/>
        <c:lblAlgn val="ctr"/>
        <c:lblOffset val="100"/>
        <c:noMultiLvlLbl val="0"/>
      </c:catAx>
      <c:valAx>
        <c:axId val="70054077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8396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1599.43</c:v>
                </c:pt>
                <c:pt idx="1">
                  <c:v>2885.36</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Sheet1!$D$2:$D$5</c15:sqref>
                  </c15:fullRef>
                </c:ext>
              </c:extLst>
              <c:f>Sheet1!$D$2:$D$3</c:f>
              <c:numCache>
                <c:formatCode>General</c:formatCode>
                <c:ptCount val="2"/>
              </c:numCache>
            </c:numRef>
          </c:val>
        </c:ser>
        <c:dLbls>
          <c:showLegendKey val="0"/>
          <c:showVal val="0"/>
          <c:showCatName val="0"/>
          <c:showSerName val="0"/>
          <c:showPercent val="0"/>
          <c:showBubbleSize val="0"/>
        </c:dLbls>
        <c:gapWidth val="219"/>
        <c:overlap val="-27"/>
        <c:axId val="991890124"/>
        <c:axId val="415205118"/>
      </c:barChart>
      <c:catAx>
        <c:axId val="9918901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205118"/>
        <c:crosses val="autoZero"/>
        <c:auto val="1"/>
        <c:lblAlgn val="ctr"/>
        <c:lblOffset val="100"/>
        <c:noMultiLvlLbl val="0"/>
      </c:catAx>
      <c:valAx>
        <c:axId val="41520511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8901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a:sp3d contourW="25400"/>
          </c:spPr>
          <c:explosion val="0"/>
          <c:dPt>
            <c:idx val="0"/>
            <c:bubble3D val="0"/>
            <c:explosion val="0"/>
            <c:spPr>
              <a:solidFill>
                <a:schemeClr val="accent1"/>
              </a:solidFill>
              <a:ln w="19050">
                <a:solidFill>
                  <a:schemeClr val="lt1"/>
                </a:solidFill>
              </a:ln>
              <a:effectLst/>
              <a:scene3d>
                <a:camera prst="orthographicFront"/>
                <a:lightRig rig="threePt" dir="t"/>
              </a:scene3d>
              <a:sp3d contourW="25400"/>
            </c:spPr>
          </c:dPt>
          <c:dPt>
            <c:idx val="1"/>
            <c:bubble3D val="0"/>
            <c:spPr>
              <a:solidFill>
                <a:schemeClr val="accent2"/>
              </a:solidFill>
              <a:ln w="19050">
                <a:solidFill>
                  <a:schemeClr val="lt1"/>
                </a:solidFill>
              </a:ln>
              <a:effectLst/>
              <a:sp3d contourW="25400"/>
            </c:spPr>
          </c:dPt>
          <c:dLbls>
            <c:delete val="1"/>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92.45</c:v>
                </c:pt>
                <c:pt idx="1">
                  <c:v>7.54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8.22</c:v>
                </c:pt>
                <c:pt idx="1">
                  <c:v>91.78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财政拨款收入总计变动图</a:t>
            </a:r>
          </a:p>
        </c:rich>
      </c:tx>
      <c:layout/>
      <c:overlay val="0"/>
      <c:spPr>
        <a:noFill/>
        <a:ln>
          <a:noFill/>
        </a:ln>
        <a:effectLst/>
      </c:spPr>
    </c:title>
    <c:autoTitleDeleted val="0"/>
    <c:plotArea>
      <c:layout>
        <c:manualLayout>
          <c:layoutTarget val="inner"/>
          <c:xMode val="edge"/>
          <c:yMode val="edge"/>
          <c:x val="0.178479532163743"/>
          <c:y val="0.264365098131946"/>
          <c:w val="0.752319688109162"/>
          <c:h val="0.597871837313786"/>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1599.43</c:v>
                </c:pt>
                <c:pt idx="1">
                  <c:v>2667.53</c:v>
                </c:pt>
              </c:numCache>
            </c:numRef>
          </c:val>
        </c:ser>
        <c:dLbls>
          <c:showLegendKey val="0"/>
          <c:showVal val="0"/>
          <c:showCatName val="0"/>
          <c:showSerName val="0"/>
          <c:showPercent val="0"/>
          <c:showBubbleSize val="0"/>
        </c:dLbls>
        <c:gapWidth val="219"/>
        <c:overlap val="-27"/>
        <c:axId val="128839683"/>
        <c:axId val="700540770"/>
      </c:barChart>
      <c:catAx>
        <c:axId val="1288396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540770"/>
        <c:crosses val="autoZero"/>
        <c:auto val="1"/>
        <c:lblAlgn val="ctr"/>
        <c:lblOffset val="100"/>
        <c:noMultiLvlLbl val="0"/>
      </c:catAx>
      <c:valAx>
        <c:axId val="70054077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8396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财政拨款收入总计变动图</a:t>
            </a:r>
          </a:p>
        </c:rich>
      </c:tx>
      <c:layout/>
      <c:overlay val="0"/>
      <c:spPr>
        <a:noFill/>
        <a:ln>
          <a:noFill/>
        </a:ln>
        <a:effectLst/>
      </c:spPr>
    </c:title>
    <c:autoTitleDeleted val="0"/>
    <c:plotArea>
      <c:layout>
        <c:manualLayout>
          <c:layoutTarget val="inner"/>
          <c:xMode val="edge"/>
          <c:yMode val="edge"/>
          <c:x val="0.178479532163743"/>
          <c:y val="0.264365098131946"/>
          <c:w val="0.752319688109162"/>
          <c:h val="0.597871837313786"/>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1599.43</c:v>
                </c:pt>
                <c:pt idx="1">
                  <c:v>2667.53</c:v>
                </c:pt>
              </c:numCache>
            </c:numRef>
          </c:val>
        </c:ser>
        <c:dLbls>
          <c:showLegendKey val="0"/>
          <c:showVal val="0"/>
          <c:showCatName val="0"/>
          <c:showSerName val="0"/>
          <c:showPercent val="0"/>
          <c:showBubbleSize val="0"/>
        </c:dLbls>
        <c:gapWidth val="219"/>
        <c:overlap val="-27"/>
        <c:axId val="128839683"/>
        <c:axId val="700540770"/>
      </c:barChart>
      <c:catAx>
        <c:axId val="1288396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540770"/>
        <c:crosses val="autoZero"/>
        <c:auto val="1"/>
        <c:lblAlgn val="ctr"/>
        <c:lblOffset val="100"/>
        <c:noMultiLvlLbl val="0"/>
      </c:catAx>
      <c:valAx>
        <c:axId val="70054077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8396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manualLayout>
          <c:layoutTarget val="inner"/>
          <c:xMode val="edge"/>
          <c:yMode val="edge"/>
          <c:x val="0.195332006513479"/>
          <c:y val="0.289820037604083"/>
          <c:w val="0.667161208612267"/>
          <c:h val="0.575181305398872"/>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1599.43</c:v>
                </c:pt>
                <c:pt idx="1">
                  <c:v>2667.53</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Sheet1!$D$2:$D$5</c15:sqref>
                  </c15:fullRef>
                </c:ext>
              </c:extLst>
              <c:f>Sheet1!$D$2:$D$3</c:f>
              <c:numCache>
                <c:formatCode>General</c:formatCode>
                <c:ptCount val="2"/>
              </c:numCache>
            </c:numRef>
          </c:val>
        </c:ser>
        <c:dLbls>
          <c:showLegendKey val="0"/>
          <c:showVal val="0"/>
          <c:showCatName val="0"/>
          <c:showSerName val="0"/>
          <c:showPercent val="0"/>
          <c:showBubbleSize val="0"/>
        </c:dLbls>
        <c:gapWidth val="219"/>
        <c:overlap val="-27"/>
        <c:axId val="498127199"/>
        <c:axId val="612621926"/>
      </c:barChart>
      <c:catAx>
        <c:axId val="49812719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621926"/>
        <c:crosses val="autoZero"/>
        <c:auto val="1"/>
        <c:lblAlgn val="ctr"/>
        <c:lblOffset val="100"/>
        <c:noMultiLvlLbl val="0"/>
      </c:catAx>
      <c:valAx>
        <c:axId val="61262192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1271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Sheet1!$A$2:$A$6</c:f>
              <c:strCache>
                <c:ptCount val="5"/>
                <c:pt idx="0">
                  <c:v>社会保障和就业支出</c:v>
                </c:pt>
                <c:pt idx="1">
                  <c:v>卫生健康支出</c:v>
                </c:pt>
                <c:pt idx="2">
                  <c:v>节能环保支出</c:v>
                </c:pt>
                <c:pt idx="3">
                  <c:v>农林水支出</c:v>
                </c:pt>
                <c:pt idx="4">
                  <c:v>住房保障支出</c:v>
                </c:pt>
              </c:strCache>
            </c:strRef>
          </c:cat>
          <c:val>
            <c:numRef>
              <c:f>Sheet1!$B$2:$B$6</c:f>
              <c:numCache>
                <c:formatCode>General</c:formatCode>
                <c:ptCount val="5"/>
                <c:pt idx="0">
                  <c:v>34.9</c:v>
                </c:pt>
                <c:pt idx="1">
                  <c:v>11.82</c:v>
                </c:pt>
                <c:pt idx="2">
                  <c:v>218.26</c:v>
                </c:pt>
                <c:pt idx="3">
                  <c:v>2384.91</c:v>
                </c:pt>
                <c:pt idx="4">
                  <c:v>17.64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0573065902578797"/>
          <c:y val="0.72516556291390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26</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2026-10-27T13:25:00Z</cp:lastPrinted>
  <dcterms:modified xsi:type="dcterms:W3CDTF">2026-10-28T13:36:17Z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