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简体" w:hAnsi="方正小标宋简体" w:eastAsia="方正小标宋简体" w:cs="方正小标宋简体"/>
          <w:sz w:val="72"/>
          <w:szCs w:val="72"/>
        </w:rPr>
      </w:pPr>
      <w:bookmarkStart w:id="1" w:name="_Toc15377425"/>
      <w:bookmarkStart w:id="2" w:name="_Toc15396475"/>
      <w:bookmarkStart w:id="3" w:name="_Toc15396597"/>
      <w:bookmarkStart w:id="4" w:name="_Toc15377193"/>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bookmarkEnd w:id="0"/>
    <w:p>
      <w:pPr>
        <w:jc w:val="center"/>
        <w:rPr>
          <w:rFonts w:hint="eastAsia" w:ascii="方正小标宋简体" w:hAnsi="方正小标宋简体" w:eastAsia="方正小标宋简体" w:cs="方正小标宋简体"/>
          <w:sz w:val="72"/>
          <w:szCs w:val="72"/>
          <w:lang w:eastAsia="zh-CN"/>
        </w:rPr>
      </w:pPr>
      <w:bookmarkStart w:id="6" w:name="_Toc15377194"/>
      <w:bookmarkStart w:id="7" w:name="_Toc15396598"/>
      <w:bookmarkStart w:id="8" w:name="_Toc15377426"/>
      <w:bookmarkStart w:id="9" w:name="_Toc15396476"/>
      <w:bookmarkStart w:id="10" w:name="_Toc15378442"/>
      <w:bookmarkStart w:id="11" w:name="_Toc15306268"/>
      <w:r>
        <w:rPr>
          <w:rFonts w:hint="eastAsia" w:ascii="方正小标宋简体" w:hAnsi="方正小标宋简体" w:eastAsia="方正小标宋简体" w:cs="方正小标宋简体"/>
          <w:sz w:val="72"/>
          <w:szCs w:val="72"/>
          <w:lang w:eastAsia="zh-CN"/>
        </w:rPr>
        <w:t>四川南莫且高原湿地</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自然保护区管理处</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18"/>
        <w:rPr>
          <w:rFonts w:ascii="方正小标宋简体" w:hAnsi="宋体" w:eastAsia="方正小标宋简体"/>
          <w:sz w:val="36"/>
          <w:szCs w:val="36"/>
        </w:rPr>
      </w:pPr>
    </w:p>
    <w:p>
      <w:pPr>
        <w:rPr>
          <w:rFonts w:ascii="方正小标宋简体" w:hAnsi="宋体" w:eastAsia="方正小标宋简体"/>
          <w:sz w:val="36"/>
          <w:szCs w:val="36"/>
        </w:rPr>
      </w:pPr>
    </w:p>
    <w:p>
      <w:pPr>
        <w:pStyle w:val="18"/>
        <w:rPr>
          <w:rFonts w:ascii="方正小标宋简体" w:hAnsi="宋体" w:eastAsia="方正小标宋简体"/>
          <w:sz w:val="36"/>
          <w:szCs w:val="36"/>
        </w:rPr>
      </w:pPr>
    </w:p>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方正小标宋简体" w:hAnsi="宋体" w:eastAsia="方正小标宋简体"/>
          <w:color w:val="000000"/>
          <w:sz w:val="36"/>
          <w:szCs w:val="36"/>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pStyle w:val="1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公开时间：2022年</w:t>
      </w:r>
      <w:r>
        <w:rPr>
          <w:rFonts w:hint="eastAsia" w:ascii="仿宋_GB2312" w:hAnsi="仿宋_GB2312" w:eastAsia="仿宋_GB2312" w:cs="仿宋_GB2312"/>
          <w:b w:val="0"/>
          <w:bCs w:val="0"/>
          <w:sz w:val="28"/>
          <w:szCs w:val="28"/>
          <w:lang w:val="en-US" w:eastAsia="zh-CN"/>
        </w:rPr>
        <w:t>10</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20</w:t>
      </w:r>
      <w:r>
        <w:rPr>
          <w:rFonts w:hint="eastAsia" w:ascii="仿宋_GB2312" w:hAnsi="仿宋_GB2312" w:eastAsia="仿宋_GB2312" w:cs="仿宋_GB2312"/>
          <w:b w:val="0"/>
          <w:bCs w:val="0"/>
          <w:sz w:val="28"/>
          <w:szCs w:val="28"/>
        </w:rPr>
        <w:t>日</w:t>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aps w:val="0"/>
          <w:sz w:val="21"/>
          <w:szCs w:val="22"/>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TOC \o \u </w:instrText>
      </w:r>
      <w:r>
        <w:rPr>
          <w:rFonts w:hint="default" w:ascii="Times New Roman" w:hAnsi="Times New Roman" w:cs="Times New Roman"/>
          <w:b w:val="0"/>
          <w:bCs w:val="0"/>
          <w:caps w:val="0"/>
        </w:rPr>
        <w:fldChar w:fldCharType="separate"/>
      </w:r>
      <w:r>
        <w:rPr>
          <w:rFonts w:hint="default" w:ascii="Times New Roman" w:hAnsi="Times New Roman" w:eastAsia="黑体" w:cs="Times New Roman"/>
          <w:b/>
          <w:bCs w:val="0"/>
        </w:rPr>
        <w:t>第一部分 部门概况</w:t>
      </w:r>
      <w:r>
        <w:rPr>
          <w:rFonts w:hint="default" w:ascii="Times New Roman" w:hAnsi="Times New Roman" w:cs="Times New Roman"/>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_Toc79163851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- 5 -</w:t>
      </w:r>
      <w:r>
        <w:rPr>
          <w:rFonts w:hint="default" w:ascii="Times New Roman" w:hAnsi="Times New Roman" w:cs="Times New Roman"/>
          <w:b w:val="0"/>
          <w:bCs w:val="0"/>
        </w:rPr>
        <w:fldChar w:fldCharType="end"/>
      </w:r>
    </w:p>
    <w:p>
      <w:pPr>
        <w:pStyle w:val="1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一、基</w:t>
      </w:r>
      <w:r>
        <w:rPr>
          <w:rFonts w:hint="default" w:ascii="Times New Roman" w:hAnsi="Times New Roman" w:eastAsia="楷体_GB2312" w:cs="Times New Roman"/>
          <w:b/>
          <w:bCs/>
        </w:rPr>
        <w:t>本职能及主要工作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_Toc79163852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bCs w:val="0"/>
          <w:i w:val="0"/>
          <w:iCs w:val="0"/>
          <w:color w:val="000000"/>
        </w:rPr>
        <w:t>（一）主要职能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_Toc79163853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bCs w:val="0"/>
          <w:i w:val="0"/>
          <w:iCs w:val="0"/>
          <w:color w:val="000000"/>
        </w:rPr>
        <w:t>（二）</w:t>
      </w:r>
      <w:r>
        <w:rPr>
          <w:rFonts w:hint="default" w:ascii="Times New Roman" w:hAnsi="Times New Roman" w:eastAsia="楷体_GB2312" w:cs="Times New Roman"/>
          <w:b/>
          <w:bCs w:val="0"/>
          <w:i w:val="0"/>
          <w:iCs w:val="0"/>
          <w:smallCaps/>
          <w:kern w:val="2"/>
          <w:sz w:val="20"/>
          <w:szCs w:val="20"/>
          <w:lang w:val="en-US" w:eastAsia="zh-CN" w:bidi="ar-SA"/>
        </w:rPr>
        <w:t>2021</w:t>
      </w:r>
      <w:r>
        <w:rPr>
          <w:rFonts w:hint="default" w:ascii="Times New Roman" w:hAnsi="Times New Roman" w:eastAsia="仿宋_GB2312" w:cs="Times New Roman"/>
          <w:b/>
          <w:bCs w:val="0"/>
          <w:i w:val="0"/>
          <w:iCs w:val="0"/>
          <w:color w:val="000000"/>
        </w:rPr>
        <w:t>年重点工作完成情况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_Toc79163854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p>
    <w:p>
      <w:pPr>
        <w:pStyle w:val="19"/>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二、机</w:t>
      </w:r>
      <w:r>
        <w:rPr>
          <w:rFonts w:hint="default" w:ascii="Times New Roman" w:hAnsi="Times New Roman" w:eastAsia="楷体_GB2312" w:cs="Times New Roman"/>
          <w:b/>
          <w:bCs/>
        </w:rPr>
        <w:t>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_Toc79163855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aps w:val="0"/>
          <w:sz w:val="21"/>
          <w:szCs w:val="22"/>
        </w:rPr>
      </w:pPr>
      <w:r>
        <w:rPr>
          <w:rFonts w:hint="default" w:ascii="Times New Roman" w:hAnsi="Times New Roman" w:eastAsia="黑体" w:cs="Times New Roman"/>
          <w:b/>
          <w:bCs w:val="0"/>
          <w:color w:val="000000"/>
        </w:rPr>
        <w:t xml:space="preserve">第二部分 </w:t>
      </w:r>
      <w:r>
        <w:rPr>
          <w:rFonts w:hint="default" w:ascii="Times New Roman" w:hAnsi="Times New Roman" w:eastAsia="黑体" w:cs="Times New Roman"/>
          <w:b/>
          <w:bCs w:val="0"/>
        </w:rPr>
        <w:t>2021年度部门决算情况说明</w:t>
      </w:r>
      <w:r>
        <w:rPr>
          <w:rFonts w:hint="default" w:ascii="Times New Roman" w:hAnsi="Times New Roman" w:cs="Times New Roman"/>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_Toc79163859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- 8 -</w:t>
      </w:r>
      <w:r>
        <w:rPr>
          <w:rFonts w:hint="default" w:ascii="Times New Roman" w:hAnsi="Times New Roman" w:cs="Times New Roman"/>
          <w:b w:val="0"/>
          <w:bCs w:val="0"/>
        </w:rPr>
        <w:fldChar w:fldCharType="end"/>
      </w:r>
    </w:p>
    <w:p>
      <w:pPr>
        <w:pStyle w:val="19"/>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HAnsi"/>
          <w:smallCaps w:val="0"/>
          <w:sz w:val="21"/>
          <w:szCs w:val="22"/>
          <w:lang w:eastAsia="zh-CN"/>
        </w:rPr>
      </w:pPr>
      <w:r>
        <w:rPr>
          <w:rFonts w:hint="default" w:ascii="Times New Roman" w:hAnsi="Times New Roman" w:eastAsia="楷体_GB2312" w:cs="Times New Roman"/>
          <w:b/>
          <w:bCs w:val="0"/>
        </w:rPr>
        <w:t>一、</w:t>
      </w:r>
      <w:r>
        <w:rPr>
          <w:rFonts w:hint="default" w:ascii="Times New Roman" w:hAnsi="Times New Roman" w:eastAsia="楷体_GB2312" w:cs="Times New Roman"/>
          <w:b/>
          <w:bCs w:val="0"/>
          <w:smallCaps w:val="0"/>
          <w:sz w:val="21"/>
          <w:szCs w:val="22"/>
        </w:rPr>
        <w:tab/>
      </w:r>
      <w:r>
        <w:rPr>
          <w:rFonts w:hint="default" w:ascii="Times New Roman" w:hAnsi="Times New Roman" w:eastAsia="楷体_GB2312" w:cs="Times New Roman"/>
          <w:b/>
          <w:bCs w:val="0"/>
          <w:color w:val="000000"/>
        </w:rPr>
        <w:t>收</w:t>
      </w:r>
      <w:r>
        <w:rPr>
          <w:rFonts w:hint="default" w:ascii="Times New Roman" w:hAnsi="Times New Roman" w:eastAsia="楷体_GB2312" w:cs="Times New Roman"/>
          <w:b/>
          <w:bCs w:val="0"/>
        </w:rPr>
        <w:t>入支出决算总体情况说明</w:t>
      </w:r>
      <w:r>
        <w:rPr>
          <w:rFonts w:hint="default" w:ascii="Times New Roman" w:hAnsi="Times New Roman" w:cs="Times New Roman"/>
        </w:rPr>
        <w:tab/>
      </w:r>
      <w:r>
        <w:rPr>
          <w:rFonts w:hint="default" w:ascii="Times New Roman" w:hAnsi="Times New Roman" w:cs="Times New Roman"/>
          <w:lang w:val="en-US" w:eastAsia="zh-CN"/>
        </w:rPr>
        <w:t xml:space="preserve">  7</w:t>
      </w:r>
    </w:p>
    <w:p>
      <w:pPr>
        <w:pStyle w:val="19"/>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HAnsi"/>
          <w:smallCaps w:val="0"/>
          <w:sz w:val="21"/>
          <w:szCs w:val="22"/>
          <w:lang w:eastAsia="zh-CN"/>
        </w:rPr>
      </w:pPr>
      <w:r>
        <w:rPr>
          <w:rFonts w:hint="default" w:ascii="Times New Roman" w:hAnsi="Times New Roman" w:eastAsia="楷体_GB2312" w:cs="Times New Roman"/>
          <w:b/>
          <w:bCs w:val="0"/>
        </w:rPr>
        <w:t>二、</w:t>
      </w:r>
      <w:r>
        <w:rPr>
          <w:rFonts w:hint="default" w:ascii="Times New Roman" w:hAnsi="Times New Roman" w:eastAsia="楷体_GB2312" w:cs="Times New Roman"/>
          <w:b/>
          <w:bCs w:val="0"/>
        </w:rPr>
        <w:tab/>
      </w:r>
      <w:r>
        <w:rPr>
          <w:rFonts w:hint="default" w:ascii="Times New Roman" w:hAnsi="Times New Roman" w:eastAsia="楷体_GB2312" w:cs="Times New Roman"/>
          <w:b/>
          <w:bCs w:val="0"/>
        </w:rPr>
        <w:t>收入决算情况说明</w:t>
      </w:r>
      <w:r>
        <w:rPr>
          <w:rFonts w:hint="default" w:ascii="Times New Roman" w:hAnsi="Times New Roman" w:cs="Times New Roman"/>
        </w:rPr>
        <w:tab/>
      </w:r>
      <w:r>
        <w:rPr>
          <w:rFonts w:hint="default" w:ascii="Times New Roman" w:hAnsi="Times New Roman" w:cs="Times New Roman"/>
          <w:lang w:val="en-US" w:eastAsia="zh-CN"/>
        </w:rPr>
        <w:t>8</w:t>
      </w:r>
    </w:p>
    <w:p>
      <w:pPr>
        <w:pStyle w:val="19"/>
        <w:keepNext w:val="0"/>
        <w:keepLines w:val="0"/>
        <w:pageBreakBefore w:val="0"/>
        <w:tabs>
          <w:tab w:val="left" w:pos="840"/>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HAnsi"/>
          <w:smallCaps w:val="0"/>
          <w:sz w:val="21"/>
          <w:szCs w:val="22"/>
          <w:lang w:eastAsia="zh-CN"/>
        </w:rPr>
      </w:pPr>
      <w:r>
        <w:rPr>
          <w:rFonts w:hint="default" w:ascii="Times New Roman" w:hAnsi="Times New Roman" w:eastAsia="楷体_GB2312" w:cs="Times New Roman"/>
          <w:b/>
          <w:bCs w:val="0"/>
        </w:rPr>
        <w:t>三、</w:t>
      </w:r>
      <w:r>
        <w:rPr>
          <w:rFonts w:hint="default" w:ascii="Times New Roman" w:hAnsi="Times New Roman" w:eastAsia="楷体_GB2312" w:cs="Times New Roman"/>
          <w:b/>
          <w:bCs w:val="0"/>
        </w:rPr>
        <w:tab/>
      </w:r>
      <w:r>
        <w:rPr>
          <w:rFonts w:hint="default" w:ascii="Times New Roman" w:hAnsi="Times New Roman" w:eastAsia="楷体_GB2312" w:cs="Times New Roman"/>
          <w:b/>
          <w:bCs w:val="0"/>
        </w:rPr>
        <w:t>支出决算情况说明</w:t>
      </w:r>
      <w:r>
        <w:rPr>
          <w:rFonts w:hint="default" w:ascii="Times New Roman" w:hAnsi="Times New Roman" w:cs="Times New Roman"/>
        </w:rPr>
        <w:tab/>
      </w:r>
      <w:r>
        <w:rPr>
          <w:rFonts w:hint="default" w:ascii="Times New Roman" w:hAnsi="Times New Roman" w:cs="Times New Roman"/>
          <w:lang w:val="en-US" w:eastAsia="zh-CN"/>
        </w:rPr>
        <w:t>8</w:t>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val="0"/>
        </w:rPr>
        <w:t>四、财政拨款收入支出决算总体情况说明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_Toc79163863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val="0"/>
        </w:rPr>
        <w:t>五、一般公共预算财政拨款支出决算情况说明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_Toc79163864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i w:val="0"/>
          <w:iCs w:val="0"/>
          <w:color w:val="000000"/>
        </w:rPr>
        <w:t>（一）一般公共预算财政拨款支出决算总体情况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_Toc79163865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i w:val="0"/>
          <w:iCs w:val="0"/>
          <w:color w:val="000000"/>
        </w:rPr>
        <w:t>（二）一般公共预算财政拨款支出决算结构情况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_Toc79163866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i w:val="0"/>
          <w:iCs w:val="0"/>
          <w:color w:val="000000"/>
        </w:rPr>
        <w:t>（三）一般公共预算财政拨款支出决算具体情况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_Toc79163867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六、一</w:t>
      </w:r>
      <w:r>
        <w:rPr>
          <w:rFonts w:hint="default" w:ascii="Times New Roman" w:hAnsi="Times New Roman" w:eastAsia="楷体_GB2312" w:cs="Times New Roman"/>
          <w:b/>
          <w:bCs/>
        </w:rPr>
        <w:t>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_Toc79163868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七、“三公”经费财政拨款支出决算情况说明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_Toc79163869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 w:cs="Times New Roman"/>
          <w:b/>
          <w:color w:val="000000"/>
        </w:rPr>
        <w:t>（</w:t>
      </w:r>
      <w:r>
        <w:rPr>
          <w:rFonts w:hint="default" w:ascii="Times New Roman" w:hAnsi="Times New Roman" w:eastAsia="仿宋_GB2312" w:cs="Times New Roman"/>
          <w:b/>
          <w:i w:val="0"/>
          <w:iCs w:val="0"/>
          <w:color w:val="000000"/>
        </w:rPr>
        <w:t>一）“三公”经费财政拨款支出决算总体情况说明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_Toc79163870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i w:val="0"/>
          <w:iCs w:val="0"/>
          <w:color w:val="000000"/>
        </w:rPr>
        <w:t>（二）“三公”经费财政拨款支出决算具体情况说明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_Toc79163871 \h </w:instrText>
      </w:r>
      <w:r>
        <w:rPr>
          <w:rFonts w:hint="default" w:ascii="Times New Roman" w:hAnsi="Times New Roman" w:cs="Times New Roman"/>
        </w:rPr>
        <w:fldChar w:fldCharType="separate"/>
      </w:r>
      <w:r>
        <w:rPr>
          <w:rFonts w:hint="default" w:ascii="Times New Roman" w:hAnsi="Times New Roman" w:cs="Times New Roman"/>
        </w:rPr>
        <w:t>- 14 -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八、</w:t>
      </w:r>
      <w:r>
        <w:rPr>
          <w:rFonts w:hint="default" w:ascii="Times New Roman" w:hAnsi="Times New Roman" w:eastAsia="楷体_GB2312" w:cs="Times New Roman"/>
          <w:b/>
          <w:bCs/>
        </w:rPr>
        <w:t>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_Toc79163872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val="0"/>
        </w:rPr>
        <w:t>九、 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_Toc79163873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val="0"/>
        </w:rPr>
        <w:t>十、其他重要事项的情况说明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_Toc79163874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bCs w:val="0"/>
          <w:i w:val="0"/>
          <w:iCs w:val="0"/>
          <w:color w:val="000000"/>
        </w:rPr>
        <w:t>（一）机关运行经费支出情况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_Toc79163875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 w:cs="Times New Roman"/>
          <w:b/>
          <w:color w:val="000000"/>
        </w:rPr>
        <w:t>（</w:t>
      </w:r>
      <w:r>
        <w:rPr>
          <w:rFonts w:hint="default" w:ascii="Times New Roman" w:hAnsi="Times New Roman" w:eastAsia="仿宋_GB2312" w:cs="Times New Roman"/>
          <w:b/>
          <w:bCs w:val="0"/>
          <w:i w:val="0"/>
          <w:iCs w:val="0"/>
          <w:color w:val="000000"/>
        </w:rPr>
        <w:t>二）政府采购支出情况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_Toc79163876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_GB2312" w:cs="Times New Roman"/>
          <w:b/>
          <w:bCs w:val="0"/>
          <w:i w:val="0"/>
          <w:iCs w:val="0"/>
          <w:color w:val="000000"/>
        </w:rPr>
        <w:t>（三）国有资产占有使用情况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_Toc79163877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p>
    <w:p>
      <w:pPr>
        <w:pStyle w:val="10"/>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i w:val="0"/>
          <w:iCs w:val="0"/>
          <w:sz w:val="21"/>
          <w:szCs w:val="22"/>
        </w:rPr>
      </w:pPr>
      <w:r>
        <w:rPr>
          <w:rFonts w:hint="default" w:ascii="Times New Roman" w:hAnsi="Times New Roman" w:eastAsia="仿宋" w:cs="Times New Roman"/>
          <w:b/>
          <w:color w:val="000000"/>
        </w:rPr>
        <w:t>（</w:t>
      </w:r>
      <w:r>
        <w:rPr>
          <w:rFonts w:hint="default" w:ascii="Times New Roman" w:hAnsi="Times New Roman" w:eastAsia="仿宋_GB2312" w:cs="Times New Roman"/>
          <w:b/>
          <w:bCs w:val="0"/>
          <w:i w:val="0"/>
          <w:iCs w:val="0"/>
          <w:color w:val="000000"/>
        </w:rPr>
        <w:t>四）预算绩效</w:t>
      </w:r>
      <w:r>
        <w:rPr>
          <w:rFonts w:hint="default" w:ascii="Times New Roman" w:hAnsi="Times New Roman" w:eastAsia="仿宋_GB2312" w:cs="Times New Roman"/>
          <w:b/>
          <w:bCs w:val="0"/>
          <w:i w:val="0"/>
          <w:iCs w:val="0"/>
          <w:color w:val="000000"/>
          <w:lang w:val="en-US" w:eastAsia="zh-CN"/>
        </w:rPr>
        <w:t>管理</w:t>
      </w:r>
      <w:r>
        <w:rPr>
          <w:rFonts w:hint="default" w:ascii="Times New Roman" w:hAnsi="Times New Roman" w:eastAsia="仿宋_GB2312" w:cs="Times New Roman"/>
          <w:b/>
          <w:bCs w:val="0"/>
          <w:i w:val="0"/>
          <w:iCs w:val="0"/>
          <w:color w:val="000000"/>
        </w:rPr>
        <w:t>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_Toc79163878 \h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p>
    <w:p>
      <w:pPr>
        <w:pStyle w:val="15"/>
        <w:keepNext w:val="0"/>
        <w:keepLines w:val="0"/>
        <w:pageBreakBefore w:val="0"/>
        <w:tabs>
          <w:tab w:val="right" w:leader="dot" w:pos="8296"/>
        </w:tabs>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aps w:val="0"/>
          <w:sz w:val="21"/>
          <w:szCs w:val="22"/>
        </w:rPr>
      </w:pPr>
      <w:r>
        <w:rPr>
          <w:rFonts w:hint="default" w:ascii="Times New Roman" w:hAnsi="Times New Roman" w:eastAsia="黑体" w:cs="Times New Roman"/>
          <w:kern w:val="44"/>
        </w:rPr>
        <w:t>第三部分</w:t>
      </w:r>
      <w:r>
        <w:rPr>
          <w:rFonts w:hint="default" w:ascii="Times New Roman" w:hAnsi="Times New Roman" w:eastAsia="黑体" w:cs="Times New Roman"/>
          <w:color w:val="000000"/>
        </w:rPr>
        <w:t xml:space="preserve"> 名</w:t>
      </w:r>
      <w:r>
        <w:rPr>
          <w:rFonts w:hint="default" w:ascii="Times New Roman" w:hAnsi="Times New Roman" w:eastAsia="黑体" w:cs="Times New Roman"/>
          <w:kern w:val="44"/>
        </w:rPr>
        <w:t>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_Toc79163879 \h </w:instrText>
      </w:r>
      <w:r>
        <w:rPr>
          <w:rFonts w:hint="default" w:ascii="Times New Roman" w:hAnsi="Times New Roman" w:cs="Times New Roman"/>
        </w:rPr>
        <w:fldChar w:fldCharType="separate"/>
      </w:r>
      <w:r>
        <w:rPr>
          <w:rFonts w:hint="default" w:ascii="Times New Roman" w:hAnsi="Times New Roman" w:cs="Times New Roman"/>
        </w:rPr>
        <w:t>- 18 -</w:t>
      </w:r>
      <w:r>
        <w:rPr>
          <w:rFonts w:hint="default" w:ascii="Times New Roman" w:hAnsi="Times New Roman" w:cs="Times New Roman"/>
        </w:rPr>
        <w:fldChar w:fldCharType="end"/>
      </w:r>
    </w:p>
    <w:p>
      <w:pPr>
        <w:pStyle w:val="15"/>
        <w:keepNext w:val="0"/>
        <w:keepLines w:val="0"/>
        <w:pageBreakBefore w:val="0"/>
        <w:tabs>
          <w:tab w:val="right" w:leader="dot" w:pos="8296"/>
        </w:tabs>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aps w:val="0"/>
          <w:sz w:val="21"/>
          <w:szCs w:val="22"/>
        </w:rPr>
      </w:pPr>
      <w:r>
        <w:rPr>
          <w:rFonts w:hint="default" w:ascii="Times New Roman" w:hAnsi="Times New Roman" w:eastAsia="黑体" w:cs="Times New Roman"/>
          <w:color w:val="000000"/>
        </w:rPr>
        <w:t>第</w:t>
      </w:r>
      <w:r>
        <w:rPr>
          <w:rFonts w:hint="default" w:ascii="Times New Roman" w:hAnsi="Times New Roman" w:eastAsia="黑体" w:cs="Times New Roman"/>
          <w:kern w:val="44"/>
        </w:rPr>
        <w:t>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_Toc79163880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p>
    <w:p>
      <w:pPr>
        <w:pStyle w:val="15"/>
        <w:keepNext w:val="0"/>
        <w:keepLines w:val="0"/>
        <w:pageBreakBefore w:val="0"/>
        <w:tabs>
          <w:tab w:val="right" w:leader="dot" w:pos="8296"/>
        </w:tabs>
        <w:kinsoku/>
        <w:wordWrap/>
        <w:overflowPunct/>
        <w:topLinePunct w:val="0"/>
        <w:autoSpaceDE/>
        <w:autoSpaceDN/>
        <w:bidi w:val="0"/>
        <w:adjustRightInd/>
        <w:snapToGrid/>
        <w:spacing w:line="560" w:lineRule="exact"/>
        <w:ind w:firstLine="400" w:firstLineChars="200"/>
        <w:jc w:val="left"/>
        <w:textAlignment w:val="auto"/>
        <w:rPr>
          <w:rFonts w:hint="default" w:ascii="Times New Roman" w:hAnsi="Times New Roman" w:cs="Times New Roman" w:eastAsiaTheme="minorEastAsia"/>
          <w:b w:val="0"/>
          <w:bCs w:val="0"/>
          <w:caps w:val="0"/>
          <w:sz w:val="21"/>
          <w:szCs w:val="22"/>
        </w:rPr>
      </w:pPr>
      <w:r>
        <w:rPr>
          <w:rFonts w:hint="default" w:ascii="Times New Roman" w:hAnsi="Times New Roman" w:eastAsia="仿宋_GB2312" w:cs="Times New Roman"/>
          <w:b w:val="0"/>
          <w:bCs w:val="0"/>
        </w:rPr>
        <w:t>附件1</w:t>
      </w:r>
      <w:r>
        <w:rPr>
          <w:rFonts w:hint="default" w:ascii="Times New Roman" w:hAnsi="Times New Roman" w:eastAsia="仿宋_GB2312" w:cs="Times New Roman"/>
          <w:b w:val="0"/>
          <w:bCs w:val="0"/>
          <w:lang w:val="en-US" w:eastAsia="zh-CN"/>
        </w:rPr>
        <w:t>四川南莫且高原湿地自然保护区管理处</w:t>
      </w:r>
      <w:r>
        <w:rPr>
          <w:rFonts w:hint="default" w:ascii="Times New Roman" w:hAnsi="Times New Roman" w:eastAsia="仿宋_GB2312" w:cs="Times New Roman"/>
          <w:b w:val="0"/>
          <w:bCs w:val="0"/>
        </w:rPr>
        <w:t>2021年部门整体支出绩效评价</w:t>
      </w:r>
      <w:r>
        <w:rPr>
          <w:rFonts w:hint="default" w:ascii="Times New Roman" w:hAnsi="Times New Roman" w:eastAsia="仿宋_GB2312" w:cs="Times New Roman"/>
          <w:b w:val="0"/>
          <w:bCs w:val="0"/>
          <w:lang w:val="en-US" w:eastAsia="zh-CN"/>
        </w:rPr>
        <w:t>报告</w:t>
      </w:r>
      <w:r>
        <w:rPr>
          <w:rFonts w:hint="default" w:ascii="Times New Roman" w:hAnsi="Times New Roman" w:eastAsia="黑体" w:cs="Times New Roman"/>
          <w:lang w:val="en-US" w:eastAsia="zh-C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_Toc79163881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p>
    <w:p>
      <w:pPr>
        <w:pStyle w:val="15"/>
        <w:keepNext w:val="0"/>
        <w:keepLines w:val="0"/>
        <w:pageBreakBefore w:val="0"/>
        <w:tabs>
          <w:tab w:val="right" w:leader="dot" w:pos="8296"/>
        </w:tabs>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b w:val="0"/>
          <w:bCs w:val="0"/>
          <w:caps w:val="0"/>
          <w:sz w:val="21"/>
          <w:szCs w:val="22"/>
        </w:rPr>
      </w:pPr>
      <w:r>
        <w:rPr>
          <w:rFonts w:hint="default" w:ascii="Times New Roman" w:hAnsi="Times New Roman" w:eastAsia="黑体" w:cs="Times New Roman"/>
          <w:color w:val="000000"/>
        </w:rPr>
        <w:t>第</w:t>
      </w:r>
      <w:r>
        <w:rPr>
          <w:rFonts w:hint="default" w:ascii="Times New Roman" w:hAnsi="Times New Roman" w:eastAsia="黑体" w:cs="Times New Roman"/>
          <w:kern w:val="44"/>
        </w:rPr>
        <w:t>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_Toc79163885 \h </w:instrText>
      </w:r>
      <w:r>
        <w:rPr>
          <w:rFonts w:hint="default" w:ascii="Times New Roman" w:hAnsi="Times New Roman" w:cs="Times New Roman"/>
        </w:rPr>
        <w:fldChar w:fldCharType="separate"/>
      </w:r>
      <w:r>
        <w:rPr>
          <w:b/>
        </w:rPr>
        <w:t>错误！未定义书签。</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一、收</w:t>
      </w:r>
      <w:r>
        <w:rPr>
          <w:rFonts w:hint="default" w:ascii="Times New Roman" w:hAnsi="Times New Roman" w:eastAsia="楷体_GB2312" w:cs="Times New Roman"/>
          <w:b/>
          <w:bCs/>
        </w:rPr>
        <w:t>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_Toc79163886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二、收入决算表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_Toc79163887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三、支出决算表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_Toc79163888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四、财政拨款收入支出决算总表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_Toc79163889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五、财政拨款支出决算明细表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_Toc79163890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jc w:val="left"/>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六、一般公共预算财政拨款支出决算表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_Toc79163891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七、一般公共预算财政拨款支出决算明细表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_Toc79163892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left="0" w:leftChars="0" w:firstLine="402" w:firstLineChars="2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八、一般公共预算财政拨款基本支出决算表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_Toc79163893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firstLine="201" w:firstLineChars="1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九、一般公共预算财政拨款项目支出决算表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_Toc79163894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firstLine="201" w:firstLineChars="1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十、一般公共预算财政拨款“三公”经费支出决算表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_Toc79163895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firstLine="201" w:firstLineChars="1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十一、政府性基金预算财政拨款收入支出决算表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_Toc79163896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firstLine="402" w:firstLineChars="2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十二、政府性基金预算财政拨款“三公”经费支出决算表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_Toc79163897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firstLine="402" w:firstLineChars="2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十三、国有资本经营预算财政拨款收入支出决算表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_Toc79163898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pStyle w:val="19"/>
        <w:keepNext w:val="0"/>
        <w:keepLines w:val="0"/>
        <w:pageBreakBefore w:val="0"/>
        <w:tabs>
          <w:tab w:val="right" w:leader="dot" w:pos="8296"/>
        </w:tabs>
        <w:kinsoku/>
        <w:wordWrap/>
        <w:overflowPunct/>
        <w:topLinePunct w:val="0"/>
        <w:autoSpaceDE/>
        <w:autoSpaceDN/>
        <w:bidi w:val="0"/>
        <w:adjustRightInd/>
        <w:snapToGrid/>
        <w:spacing w:line="560" w:lineRule="exact"/>
        <w:ind w:firstLine="402" w:firstLineChars="200"/>
        <w:textAlignment w:val="auto"/>
        <w:rPr>
          <w:rFonts w:hint="default" w:ascii="Times New Roman" w:hAnsi="Times New Roman" w:cs="Times New Roman" w:eastAsiaTheme="minorEastAsia"/>
          <w:smallCaps w:val="0"/>
          <w:sz w:val="21"/>
          <w:szCs w:val="22"/>
        </w:rPr>
      </w:pPr>
      <w:r>
        <w:rPr>
          <w:rFonts w:hint="default" w:ascii="Times New Roman" w:hAnsi="Times New Roman" w:eastAsia="楷体_GB2312" w:cs="Times New Roman"/>
          <w:b/>
          <w:bCs/>
          <w:color w:val="000000"/>
        </w:rPr>
        <w:t>十四、国有资本经营预算财政拨款支出决算表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_Toc79163899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p>
    <w:p>
      <w:pPr>
        <w:keepNext w:val="0"/>
        <w:keepLines w:val="0"/>
        <w:pageBreakBefore w:val="0"/>
        <w:kinsoku/>
        <w:wordWrap/>
        <w:overflowPunct/>
        <w:topLinePunct w:val="0"/>
        <w:autoSpaceDE/>
        <w:autoSpaceDN/>
        <w:bidi w:val="0"/>
        <w:adjustRightInd/>
        <w:snapToGrid/>
        <w:spacing w:line="560" w:lineRule="exact"/>
        <w:ind w:firstLine="400" w:firstLineChars="200"/>
        <w:textAlignment w:val="auto"/>
        <w:rPr>
          <w:rFonts w:hint="default" w:ascii="Times New Roman" w:hAnsi="Times New Roman" w:cs="Times New Roman"/>
        </w:rPr>
      </w:pPr>
      <w:r>
        <w:rPr>
          <w:rFonts w:hint="default" w:ascii="Times New Roman" w:hAnsi="Times New Roman" w:cs="Times New Roman" w:eastAsiaTheme="minorHAnsi"/>
          <w:b/>
          <w:bCs/>
          <w:caps/>
          <w:sz w:val="20"/>
          <w:szCs w:val="20"/>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default" w:ascii="Times New Roman" w:hAnsi="Times New Roman" w:eastAsia="仿宋" w:cs="Times New Roman"/>
          <w:bCs/>
          <w:kern w:val="44"/>
          <w:sz w:val="24"/>
        </w:rPr>
      </w:pPr>
      <w:bookmarkStart w:id="12" w:name="_Toc15396599"/>
      <w:bookmarkStart w:id="13" w:name="_Toc15377196"/>
      <w:r>
        <w:rPr>
          <w:rFonts w:hint="default" w:ascii="Times New Roman" w:hAnsi="Times New Roman" w:eastAsia="仿宋" w:cs="Times New Roman"/>
          <w:b/>
          <w:sz w:val="24"/>
        </w:rPr>
        <w:br w:type="page"/>
      </w:r>
    </w:p>
    <w:p>
      <w:pPr>
        <w:pStyle w:val="4"/>
        <w:jc w:val="center"/>
        <w:rPr>
          <w:rFonts w:hint="eastAsia" w:ascii="方正小标宋简体" w:hAnsi="方正小标宋简体" w:eastAsia="方正小标宋简体" w:cs="方正小标宋简体"/>
          <w:color w:val="000000"/>
          <w:sz w:val="32"/>
          <w:szCs w:val="32"/>
        </w:rPr>
      </w:pPr>
      <w:bookmarkStart w:id="14" w:name="_Toc79163601"/>
      <w:bookmarkStart w:id="15" w:name="_Toc79163851"/>
      <w:r>
        <w:rPr>
          <w:rFonts w:hint="eastAsia" w:ascii="方正小标宋简体" w:hAnsi="方正小标宋简体" w:eastAsia="方正小标宋简体" w:cs="方正小标宋简体"/>
          <w:b w:val="0"/>
        </w:rPr>
        <w:t xml:space="preserve">第一部分 </w:t>
      </w:r>
      <w:r>
        <w:rPr>
          <w:rStyle w:val="26"/>
          <w:rFonts w:hint="eastAsia" w:ascii="方正小标宋简体" w:hAnsi="方正小标宋简体" w:eastAsia="方正小标宋简体" w:cs="方正小标宋简体"/>
          <w:b w:val="0"/>
          <w:bCs w:val="0"/>
        </w:rPr>
        <w:t>部门概况</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bookmarkStart w:id="16" w:name="_Toc79163852"/>
      <w:bookmarkStart w:id="17" w:name="_Toc15396600"/>
      <w:bookmarkStart w:id="18" w:name="_Toc15377197"/>
      <w:bookmarkStart w:id="19" w:name="_Toc79163602"/>
      <w:r>
        <w:rPr>
          <w:rFonts w:hint="eastAsia" w:ascii="黑体" w:hAnsi="黑体" w:eastAsia="黑体" w:cs="黑体"/>
          <w:b/>
          <w:bCs/>
          <w:sz w:val="32"/>
          <w:szCs w:val="32"/>
          <w:lang w:eastAsia="zh-CN"/>
        </w:rPr>
        <w:t>一、</w:t>
      </w:r>
      <w:r>
        <w:rPr>
          <w:rFonts w:hint="eastAsia" w:ascii="黑体" w:hAnsi="黑体" w:eastAsia="黑体" w:cs="黑体"/>
          <w:b/>
          <w:bCs/>
          <w:sz w:val="32"/>
          <w:szCs w:val="32"/>
        </w:rPr>
        <w:t>基本职能及主要工作</w:t>
      </w:r>
      <w:bookmarkEnd w:id="16"/>
      <w:bookmarkEnd w:id="17"/>
      <w:bookmarkEnd w:id="18"/>
      <w:bookmarkEnd w:id="19"/>
      <w:bookmarkStart w:id="20" w:name="_Toc15378445"/>
      <w:bookmarkStart w:id="21" w:name="_Toc79163603"/>
      <w:bookmarkStart w:id="22" w:name="_Toc15377198"/>
      <w:bookmarkStart w:id="23" w:name="_Toc7916385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楷体_GB2312" w:hAnsi="楷体_GB2312" w:eastAsia="楷体_GB2312" w:cs="楷体_GB2312"/>
          <w:b/>
          <w:bCs/>
          <w:sz w:val="32"/>
          <w:szCs w:val="32"/>
        </w:rPr>
        <w:t>（一）主要职能</w:t>
      </w:r>
    </w:p>
    <w:bookmarkEnd w:id="20"/>
    <w:bookmarkEnd w:id="21"/>
    <w:bookmarkEnd w:id="22"/>
    <w:bookmarkEnd w:id="23"/>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1、综合办。</w:t>
      </w:r>
      <w:r>
        <w:rPr>
          <w:rFonts w:hint="default" w:ascii="Times New Roman" w:hAnsi="Times New Roman" w:eastAsia="仿宋_GB2312" w:cs="Times New Roman"/>
          <w:sz w:val="32"/>
          <w:szCs w:val="32"/>
          <w:lang w:val="en-US" w:eastAsia="zh-CN"/>
        </w:rPr>
        <w:t>主要从事行政管理和财务管理职能。负责保护区的后勤管理,协调各部门的工作,准确传达管理处领导的指示,及时汇报工作中出现的问题,反映职工意见和建议,围绕保护区工作中心深入调查研究,提供准确信息,为管理处领导决策提供科学依据;负责行政文件处理、行政档案管理及生产资料、设施设备保管;负责安全教育、门卫工作,保证业务、生活用车,做到出车安全;模范遵守和组织宣传国家法令、法规,组织职工学习国家政策;按照国家人事、工资政策,根据保护、管理等的实际需要及原则拟造职工工资表;按照国家工程建设程序和标准,编制基本建设计划,组织有关人员做好工程设计、工程监理、质量验收工作;做好基建计划和进度呈报工作;及时编制预算、决算和月、季、年度财务报表;严格遵守国家财务会计法律法规,按照财务规章制度审核报销单据,严格财经纪律,把好财务关；负责固定资产账目的记载和对固定资产的管理进行监督,及时向主任、副主任汇报管理情况,提出改进意见;处理日常财务和资金管理工作。完成领导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2、保护及社区共管股。</w:t>
      </w:r>
      <w:r>
        <w:rPr>
          <w:rFonts w:hint="default" w:ascii="Times New Roman" w:hAnsi="Times New Roman" w:eastAsia="仿宋_GB2312" w:cs="Times New Roman"/>
          <w:sz w:val="32"/>
          <w:szCs w:val="32"/>
          <w:lang w:val="en-US" w:eastAsia="zh-CN"/>
        </w:rPr>
        <w:t>主要从事野生动植物保护、自然生态系统保护以及社区共建共管工作。指导、监督各保护站管辖范围内的保护、管理工作;贯彻、执行并宣传《中华人民共和国野生动物保护法》、《中华人民共和国自然保护区条例》等法律法规及其他相关方针、政策;坚持巡护和进行野生动物现场抢救工作,做好巡护记录,收集基础科研数据;严格火源管理,消除火灾,禁止保护区内的毁林开垦、乱捕滥猎、乱采乱挖、开山挖矿等违法违规行为;积极协调保护区与周边社区的关系,完成社区共管日常工作;及时上报保护区内所发生的重大问题;搞好社区关系,配合各股室工作。完成领导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3、科研监测股。</w:t>
      </w:r>
      <w:r>
        <w:rPr>
          <w:rFonts w:hint="default" w:ascii="Times New Roman" w:hAnsi="Times New Roman" w:eastAsia="仿宋_GB2312" w:cs="Times New Roman"/>
          <w:sz w:val="32"/>
          <w:szCs w:val="32"/>
          <w:lang w:val="en-US" w:eastAsia="zh-CN"/>
        </w:rPr>
        <w:t>主要从事保护区科研、宣传、教育等方面的管理工作。适时、全方位地宣传《中华人民共和国野生动物保护法》、《中华人民共和国环境保护法》、《中华人民共和国自然护区条例》、《森林防火条例》等法律、法规和其他相关方针政策;有计划地组织野生动物疫监站等科研单位完成相应的科研、观测任务,开展专题性的科研工作，组织编写科研报告、科研人员年报;组织完成湿地资源调查工作,,做好科研成果建档和档案管理工作;接待保护区请来的相关学科的专家,组织职工培训。完成领导交办的其他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24" w:name="_Toc15378446"/>
      <w:bookmarkStart w:id="25" w:name="_Toc79163854"/>
      <w:bookmarkStart w:id="26" w:name="_Toc79163604"/>
      <w:bookmarkStart w:id="27" w:name="_Toc15377199"/>
      <w:r>
        <w:rPr>
          <w:rFonts w:hint="eastAsia" w:ascii="楷体_GB2312" w:hAnsi="楷体_GB2312" w:eastAsia="楷体_GB2312" w:cs="楷体_GB2312"/>
          <w:b/>
          <w:bCs/>
          <w:sz w:val="32"/>
          <w:szCs w:val="32"/>
        </w:rPr>
        <w:t>（二）2021年重点工作完成情况</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重点工作任务的内容：继续推进2020年重点生态功能区转移支付[禁止开发区]（南莫且湿地国家级自然保护区）项目建设;完成情况:维护宣传设施135处、维修保护站2处、购置安装野外监测设备红外相机10台、高清摄像机3个；开展湿地资源调查评价；完成巡护道路维护45公里；组织开展为期7天的首届管理、专技及巡护人员技能培训；聘请20名保护区巡护人员开展巡护工作。 启动2021年重点生态功能区转移支付[禁止开发区]（南莫且湿地国家级自然保护区）项目，目前完成项目的设计工作。2021年保护区共开展宣传了10次活动，宣传资料共计发放2600余份。完成了2021年卫星遥感监测现场核查和上报工作，共计13处；完成了“绿盾2021”州级领导现场核查、检查点位8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bookmarkStart w:id="28" w:name="_Toc15396601"/>
      <w:bookmarkStart w:id="29" w:name="_Toc79163605"/>
      <w:bookmarkStart w:id="30" w:name="_Toc79163855"/>
      <w:bookmarkStart w:id="31" w:name="_Toc15377200"/>
      <w:r>
        <w:rPr>
          <w:rFonts w:hint="eastAsia" w:ascii="黑体" w:hAnsi="黑体" w:eastAsia="黑体" w:cs="黑体"/>
          <w:b/>
          <w:bCs/>
          <w:sz w:val="32"/>
          <w:szCs w:val="32"/>
        </w:rPr>
        <w:t>二、机构设置</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2" w:name="_Toc10699"/>
      <w:bookmarkStart w:id="33" w:name="_Toc12356"/>
      <w:bookmarkStart w:id="34" w:name="_Toc30939"/>
      <w:r>
        <w:rPr>
          <w:rFonts w:hint="default" w:ascii="Times New Roman" w:hAnsi="Times New Roman" w:eastAsia="仿宋_GB2312" w:cs="Times New Roman"/>
          <w:sz w:val="32"/>
          <w:szCs w:val="32"/>
          <w:lang w:val="en-US" w:eastAsia="zh-CN"/>
        </w:rPr>
        <w:t>四川南莫且高原湿地自然保护区管理处无下属二级单位，本单位属事业单位。</w:t>
      </w:r>
      <w:bookmarkEnd w:id="32"/>
      <w:bookmarkEnd w:id="33"/>
      <w:bookmarkEnd w:id="34"/>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35" w:name="_Toc79163609"/>
      <w:bookmarkStart w:id="36" w:name="_Toc15377204"/>
      <w:bookmarkStart w:id="37" w:name="_Toc79163859"/>
      <w:bookmarkStart w:id="38" w:name="_Toc15396602"/>
      <w:r>
        <w:rPr>
          <w:rFonts w:hint="eastAsia" w:ascii="方正小标宋简体" w:hAnsi="方正小标宋简体" w:eastAsia="方正小标宋简体" w:cs="方正小标宋简体"/>
          <w:b w:val="0"/>
          <w:bCs w:val="0"/>
          <w:sz w:val="44"/>
          <w:szCs w:val="44"/>
        </w:rPr>
        <w:t>第二部分 2021年度部门决算情况说明</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黑体" w:hAnsi="黑体" w:eastAsia="黑体" w:cs="黑体"/>
          <w:b/>
          <w:bCs/>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2021年度收入总计424.16万元，与2020年相比，增加30.34万元，增长7.7%。主要变动原因：项目增加,项目收入增加; 支出总计455.16万元。与2020年相比，减少0.93万元，下降0.2%。主要变动原因:人员经费减少。</w:t>
      </w:r>
    </w:p>
    <w:p>
      <w:pPr>
        <w:pStyle w:val="21"/>
        <w:keepNext w:val="0"/>
        <w:keepLines w:val="0"/>
        <w:widowControl w:val="0"/>
        <w:suppressLineNumbers w:val="0"/>
        <w:spacing w:before="0" w:beforeAutospacing="1" w:after="0" w:afterAutospacing="0" w:line="360" w:lineRule="auto"/>
        <w:ind w:left="0" w:leftChars="0" w:right="0" w:firstLine="0" w:firstLineChars="0"/>
        <w:jc w:val="right"/>
        <w:rPr>
          <w:rFonts w:hint="eastAsia" w:ascii="Times New Roman" w:hAnsi="Times New Roman" w:eastAsia="宋体" w:cs="Times New Roman"/>
          <w:kern w:val="2"/>
          <w:sz w:val="21"/>
          <w:szCs w:val="21"/>
        </w:rPr>
      </w:pPr>
      <w:r>
        <w:drawing>
          <wp:inline distT="0" distB="0" distL="114300" distR="114300">
            <wp:extent cx="4705350" cy="2576195"/>
            <wp:effectExtent l="4445" t="4445" r="14605" b="10160"/>
            <wp:docPr id="13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drawing>
          <wp:inline distT="0" distB="0" distL="114300" distR="114300">
            <wp:extent cx="4617085" cy="2406015"/>
            <wp:effectExtent l="4445" t="4445" r="13970" b="15240"/>
            <wp:docPr id="132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pStyle w:val="5"/>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lang w:val="en-US" w:eastAsia="zh-CN"/>
        </w:rPr>
      </w:pPr>
      <w:r>
        <w:rPr>
          <w:rFonts w:hint="eastAsia" w:ascii="黑体" w:hAnsi="黑体" w:eastAsia="黑体" w:cs="Times New Roman"/>
          <w:b/>
          <w:bCs/>
          <w:color w:val="000000"/>
          <w:kern w:val="2"/>
          <w:sz w:val="32"/>
          <w:szCs w:val="32"/>
          <w:lang w:val="en-US" w:eastAsia="zh-CN" w:bidi="ar-SA"/>
        </w:rPr>
        <w:t>二、收入决算情况说明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2021年本年收入合计424.16万元，其中：一般公共预算财政拨款收入424.16万元，占100%；政府性基金预算财政拨款收入0万元，占0%；上级补助收入0万元，占0%；事业收入0万元，占0%；经营收入0万元，占0%；附属单位上缴收入0万元，占0%；其他收入0万元，占0%。</w:t>
      </w:r>
    </w:p>
    <w:p>
      <w:pPr>
        <w:pStyle w:val="21"/>
        <w:keepNext w:val="0"/>
        <w:keepLines w:val="0"/>
        <w:widowControl w:val="0"/>
        <w:suppressLineNumbers w:val="0"/>
        <w:spacing w:before="0" w:beforeAutospacing="1" w:after="120" w:afterAutospacing="0" w:line="360"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4371975" cy="2468880"/>
            <wp:effectExtent l="0" t="0" r="952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4371975" cy="246888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Times New Roman" w:eastAsia="仿宋_GB2312" w:cs="Times New Roman"/>
          <w:color w:val="FF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r>
        <w:rPr>
          <w:rFonts w:hint="default" w:ascii="仿宋_GB2312" w:hAnsi="Times New Roman" w:eastAsia="仿宋_GB2312" w:cs="Times New Roman"/>
          <w:color w:val="FF0000"/>
          <w:kern w:val="2"/>
          <w:sz w:val="32"/>
          <w:szCs w:val="32"/>
          <w:lang w:val="en-US" w:eastAsia="zh-CN" w:bidi="ar"/>
        </w:rPr>
        <w:t xml:space="preserve"> </w:t>
      </w:r>
    </w:p>
    <w:p>
      <w:pPr>
        <w:pStyle w:val="5"/>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rPr>
      </w:pPr>
      <w:r>
        <w:rPr>
          <w:rFonts w:hint="eastAsia" w:ascii="黑体" w:hAnsi="黑体" w:eastAsia="黑体" w:cs="黑体"/>
          <w:b/>
          <w:bCs/>
          <w:color w:val="000000"/>
          <w:kern w:val="2"/>
          <w:sz w:val="32"/>
          <w:szCs w:val="32"/>
          <w:lang w:val="en-US" w:eastAsia="zh-CN" w:bidi="ar-SA"/>
        </w:rPr>
        <w:t>三、支出决算情况说</w:t>
      </w:r>
      <w:r>
        <w:rPr>
          <w:rFonts w:hint="eastAsia" w:ascii="黑体" w:hAnsi="黑体" w:eastAsia="黑体" w:cs="黑体"/>
          <w:b/>
          <w:bCs/>
          <w:lang w:val="en-US" w:eastAsia="zh-CN"/>
        </w:rPr>
        <w:t>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default" w:ascii="Times New Roman" w:hAnsi="Times New Roman" w:eastAsia="仿宋_GB2312" w:cs="Times New Roman"/>
          <w:kern w:val="2"/>
          <w:sz w:val="32"/>
          <w:szCs w:val="32"/>
          <w:lang w:val="en-US" w:eastAsia="zh-CN" w:bidi="ar"/>
        </w:rPr>
        <w:t>2021年本年支出合计455.16万元</w:t>
      </w:r>
      <w:r>
        <w:rPr>
          <w:rFonts w:hint="default" w:ascii="Times New Roman" w:hAnsi="Times New Roman" w:eastAsia="仿宋_GB2312" w:cs="Times New Roman"/>
          <w:sz w:val="32"/>
          <w:szCs w:val="32"/>
        </w:rPr>
        <w:t>，其中：基本支出199.52万元，占</w:t>
      </w:r>
      <w:r>
        <w:rPr>
          <w:rFonts w:hint="default" w:ascii="Times New Roman" w:hAnsi="Times New Roman" w:eastAsia="仿宋_GB2312" w:cs="Times New Roman"/>
          <w:sz w:val="32"/>
          <w:szCs w:val="32"/>
          <w:lang w:val="en-US" w:eastAsia="zh-CN"/>
        </w:rPr>
        <w:t>43.84</w:t>
      </w:r>
      <w:r>
        <w:rPr>
          <w:rFonts w:hint="default" w:ascii="Times New Roman" w:hAnsi="Times New Roman" w:eastAsia="仿宋_GB2312" w:cs="Times New Roman"/>
          <w:sz w:val="32"/>
          <w:szCs w:val="32"/>
        </w:rPr>
        <w:t>%；项目支出255.64万元，占</w:t>
      </w:r>
      <w:r>
        <w:rPr>
          <w:rFonts w:hint="default" w:ascii="Times New Roman" w:hAnsi="Times New Roman" w:eastAsia="仿宋_GB2312" w:cs="Times New Roman"/>
          <w:sz w:val="32"/>
          <w:szCs w:val="32"/>
          <w:lang w:val="en-US" w:eastAsia="zh-CN"/>
        </w:rPr>
        <w:t>56.16</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Style w:val="2"/>
        <w:jc w:val="center"/>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drawing>
          <wp:inline distT="0" distB="0" distL="114300" distR="114300">
            <wp:extent cx="4107180" cy="2176145"/>
            <wp:effectExtent l="4445" t="4445" r="15875" b="16510"/>
            <wp:docPr id="132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widowControl w:val="0"/>
        <w:kinsoku/>
        <w:wordWrap/>
        <w:overflowPunct/>
        <w:topLinePunct w:val="0"/>
        <w:bidi w:val="0"/>
        <w:spacing w:line="560" w:lineRule="exact"/>
        <w:ind w:firstLine="643" w:firstLineChars="200"/>
        <w:textAlignment w:val="auto"/>
        <w:outlineLvl w:val="1"/>
        <w:rPr>
          <w:rStyle w:val="27"/>
          <w:rFonts w:ascii="黑体" w:hAnsi="黑体" w:eastAsia="黑体"/>
          <w:b/>
          <w:bCs/>
        </w:rPr>
      </w:pPr>
      <w:bookmarkStart w:id="39" w:name="_Toc15396606"/>
      <w:bookmarkStart w:id="40" w:name="_Toc79163613"/>
      <w:bookmarkStart w:id="41" w:name="_Toc15377208"/>
      <w:bookmarkStart w:id="42" w:name="_Toc79163863"/>
      <w:r>
        <w:rPr>
          <w:rFonts w:hint="eastAsia" w:ascii="黑体" w:hAnsi="黑体" w:eastAsia="黑体"/>
          <w:b/>
          <w:bCs/>
          <w:color w:val="000000"/>
          <w:sz w:val="32"/>
          <w:szCs w:val="32"/>
        </w:rPr>
        <w:t>四、财</w:t>
      </w:r>
      <w:r>
        <w:rPr>
          <w:rStyle w:val="27"/>
          <w:rFonts w:hint="eastAsia" w:ascii="黑体" w:hAnsi="黑体" w:eastAsia="黑体"/>
          <w:b/>
          <w:bCs/>
        </w:rPr>
        <w:t>政拨款收入支出决算总体情况说明</w:t>
      </w:r>
      <w:bookmarkEnd w:id="39"/>
      <w:bookmarkEnd w:id="40"/>
      <w:bookmarkEnd w:id="41"/>
      <w:bookmarkEnd w:id="42"/>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年财政拨款</w:t>
      </w:r>
      <w:r>
        <w:rPr>
          <w:rFonts w:hint="default" w:ascii="Times New Roman" w:hAnsi="Times New Roman" w:eastAsia="仿宋_GB2312" w:cs="Times New Roman"/>
          <w:color w:val="000000"/>
          <w:sz w:val="32"/>
          <w:szCs w:val="32"/>
          <w:lang w:eastAsia="zh-CN"/>
        </w:rPr>
        <w:t>收入</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424.16万元，与2020年相比，增加30.34万元，增长7.7%。主要变动原因：项目增加,项目收入增加</w:t>
      </w:r>
      <w:r>
        <w:rPr>
          <w:rFonts w:hint="default" w:ascii="Times New Roman" w:hAnsi="Times New Roman" w:eastAsia="仿宋_GB2312" w:cs="Times New Roman"/>
          <w:color w:val="000000"/>
          <w:sz w:val="32"/>
          <w:szCs w:val="32"/>
        </w:rPr>
        <w:t>; 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年财政拨款支出总计</w:t>
      </w:r>
      <w:r>
        <w:rPr>
          <w:rFonts w:hint="default" w:ascii="Times New Roman" w:hAnsi="Times New Roman" w:eastAsia="仿宋_GB2312" w:cs="Times New Roman"/>
          <w:color w:val="000000"/>
          <w:sz w:val="32"/>
          <w:szCs w:val="32"/>
          <w:lang w:val="en-US" w:eastAsia="zh-CN"/>
        </w:rPr>
        <w:t>455.16万元，与2020年相比，减少0.93万元，下降0.2%。主要变动原因:人员经费减少</w:t>
      </w:r>
      <w:r>
        <w:rPr>
          <w:rFonts w:hint="default" w:ascii="Times New Roman" w:hAnsi="Times New Roman" w:eastAsia="仿宋_GB2312" w:cs="Times New Roman"/>
          <w:color w:val="000000"/>
          <w:sz w:val="32"/>
          <w:szCs w:val="32"/>
          <w:lang w:eastAsia="zh-CN"/>
        </w:rPr>
        <w:t>。</w:t>
      </w:r>
    </w:p>
    <w:p>
      <w:pPr>
        <w:pStyle w:val="2"/>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208780" cy="2270760"/>
            <wp:effectExtent l="4445" t="4445" r="15875" b="10795"/>
            <wp:docPr id="132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仿宋" w:hAnsi="仿宋" w:eastAsia="仿宋"/>
          <w:color w:val="000000"/>
          <w:sz w:val="32"/>
          <w:szCs w:val="32"/>
        </w:rPr>
        <w:drawing>
          <wp:inline distT="0" distB="0" distL="114300" distR="114300">
            <wp:extent cx="4339590" cy="2130425"/>
            <wp:effectExtent l="4445" t="4445" r="12065" b="11430"/>
            <wp:docPr id="132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firstLineChars="200"/>
        <w:textAlignment w:val="auto"/>
        <w:outlineLvl w:val="1"/>
        <w:rPr>
          <w:rStyle w:val="27"/>
          <w:rFonts w:ascii="黑体" w:hAnsi="黑体" w:eastAsia="黑体"/>
          <w:b w:val="0"/>
        </w:rPr>
      </w:pPr>
      <w:bookmarkStart w:id="43" w:name="_Toc15396607"/>
      <w:bookmarkStart w:id="44" w:name="_Toc79163614"/>
      <w:bookmarkStart w:id="45" w:name="_Toc15377209"/>
      <w:bookmarkStart w:id="46"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3"/>
      <w:bookmarkEnd w:id="44"/>
      <w:bookmarkEnd w:id="45"/>
      <w:bookmarkEnd w:id="46"/>
    </w:p>
    <w:p>
      <w:pPr>
        <w:pageBreakBefore w:val="0"/>
        <w:widowControl w:val="0"/>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rPr>
      </w:pPr>
      <w:bookmarkStart w:id="47" w:name="_Toc79163615"/>
      <w:bookmarkStart w:id="48" w:name="_Toc79163865"/>
      <w:bookmarkStart w:id="49" w:name="_Toc15377210"/>
      <w:r>
        <w:rPr>
          <w:rFonts w:hint="eastAsia" w:ascii="楷体_GB2312" w:hAnsi="楷体_GB2312" w:eastAsia="楷体_GB2312" w:cs="楷体_GB2312"/>
          <w:b/>
          <w:color w:val="000000"/>
          <w:sz w:val="32"/>
          <w:szCs w:val="32"/>
        </w:rPr>
        <w:t>（一）一般公共预算财政拨款支出决算总体情况</w:t>
      </w:r>
      <w:bookmarkEnd w:id="47"/>
      <w:bookmarkEnd w:id="48"/>
      <w:bookmarkEnd w:id="49"/>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2021年一般公共预算财政拨款支出</w:t>
      </w:r>
      <w:r>
        <w:rPr>
          <w:rFonts w:hint="default" w:ascii="Times New Roman" w:hAnsi="Times New Roman" w:eastAsia="仿宋_GB2312" w:cs="Times New Roman"/>
          <w:color w:val="000000"/>
          <w:sz w:val="32"/>
          <w:szCs w:val="32"/>
          <w:lang w:val="en-US" w:eastAsia="zh-CN"/>
        </w:rPr>
        <w:t>455.16</w:t>
      </w:r>
      <w:r>
        <w:rPr>
          <w:rFonts w:hint="default" w:ascii="Times New Roman" w:hAnsi="Times New Roman" w:eastAsia="仿宋_GB2312" w:cs="Times New Roman"/>
          <w:color w:val="000000"/>
          <w:sz w:val="32"/>
          <w:szCs w:val="32"/>
        </w:rPr>
        <w:t>万元，占本年支出合计的</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%。与2020年相比，一般公共预算财政拨款</w:t>
      </w:r>
      <w:r>
        <w:rPr>
          <w:rFonts w:hint="default" w:ascii="Times New Roman" w:hAnsi="Times New Roman" w:eastAsia="仿宋_GB2312" w:cs="Times New Roman"/>
          <w:color w:val="000000"/>
          <w:sz w:val="32"/>
          <w:szCs w:val="32"/>
          <w:lang w:val="en-US" w:eastAsia="zh-CN"/>
        </w:rPr>
        <w:t>减少0.93万元，下降0.2%。主要变动原因:人员经费减少。</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51350" cy="2411095"/>
            <wp:effectExtent l="4445" t="4445" r="14605" b="10160"/>
            <wp:docPr id="133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rPr>
      </w:pPr>
      <w:bookmarkStart w:id="50" w:name="_Toc79163866"/>
      <w:bookmarkStart w:id="51" w:name="_Toc79163616"/>
      <w:bookmarkStart w:id="52" w:name="_Toc15377211"/>
      <w:r>
        <w:rPr>
          <w:rFonts w:hint="eastAsia" w:ascii="楷体_GB2312" w:hAnsi="楷体_GB2312" w:eastAsia="楷体_GB2312" w:cs="楷体_GB2312"/>
          <w:b/>
          <w:color w:val="000000"/>
          <w:sz w:val="32"/>
          <w:szCs w:val="32"/>
        </w:rPr>
        <w:t>（二）一般公共预算财政拨款支出决算结构情况</w:t>
      </w:r>
      <w:bookmarkEnd w:id="50"/>
      <w:bookmarkEnd w:id="51"/>
      <w:bookmarkEnd w:id="52"/>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2021年一般公共预算财政拨款支出455.16万元，主要用于以下方面:</w:t>
      </w:r>
      <w:r>
        <w:rPr>
          <w:rFonts w:hint="default" w:ascii="Times New Roman" w:hAnsi="Times New Roman" w:eastAsia="仿宋_GB2312" w:cs="Times New Roman"/>
          <w:b/>
          <w:color w:val="000000"/>
          <w:sz w:val="32"/>
          <w:szCs w:val="32"/>
        </w:rPr>
        <w:t>节能环保支出（类）</w:t>
      </w:r>
      <w:r>
        <w:rPr>
          <w:rFonts w:hint="default" w:ascii="Times New Roman" w:hAnsi="Times New Roman" w:eastAsia="仿宋_GB2312" w:cs="Times New Roman"/>
          <w:color w:val="000000"/>
          <w:sz w:val="32"/>
          <w:szCs w:val="32"/>
        </w:rPr>
        <w:t>支出255.64万元，占</w:t>
      </w:r>
      <w:r>
        <w:rPr>
          <w:rFonts w:hint="default" w:ascii="Times New Roman" w:hAnsi="Times New Roman" w:eastAsia="仿宋_GB2312" w:cs="Times New Roman"/>
          <w:color w:val="000000"/>
          <w:sz w:val="32"/>
          <w:szCs w:val="32"/>
          <w:lang w:val="en-US" w:eastAsia="zh-CN"/>
        </w:rPr>
        <w:t>56.16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rPr>
        <w:t>社会保障和就业（类）</w:t>
      </w:r>
      <w:r>
        <w:rPr>
          <w:rFonts w:hint="default" w:ascii="Times New Roman" w:hAnsi="Times New Roman" w:eastAsia="仿宋_GB2312" w:cs="Times New Roman"/>
          <w:color w:val="000000"/>
          <w:sz w:val="32"/>
          <w:szCs w:val="32"/>
        </w:rPr>
        <w:t>支出22.22万元，占</w:t>
      </w:r>
      <w:r>
        <w:rPr>
          <w:rFonts w:hint="default" w:ascii="Times New Roman" w:hAnsi="Times New Roman" w:eastAsia="仿宋_GB2312" w:cs="Times New Roman"/>
          <w:color w:val="000000"/>
          <w:sz w:val="32"/>
          <w:szCs w:val="32"/>
          <w:lang w:val="en-US" w:eastAsia="zh-CN"/>
        </w:rPr>
        <w:t>4.88%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卫生健康支出（类）</w:t>
      </w:r>
      <w:r>
        <w:rPr>
          <w:rFonts w:hint="default" w:ascii="Times New Roman" w:hAnsi="Times New Roman" w:eastAsia="仿宋_GB2312" w:cs="Times New Roman"/>
          <w:color w:val="000000"/>
          <w:sz w:val="32"/>
          <w:szCs w:val="32"/>
        </w:rPr>
        <w:t>9.03万元，占</w:t>
      </w:r>
      <w:r>
        <w:rPr>
          <w:rFonts w:hint="default" w:ascii="Times New Roman" w:hAnsi="Times New Roman" w:eastAsia="仿宋_GB2312" w:cs="Times New Roman"/>
          <w:color w:val="000000"/>
          <w:sz w:val="32"/>
          <w:szCs w:val="32"/>
          <w:lang w:val="en-US" w:eastAsia="zh-CN"/>
        </w:rPr>
        <w:t>1.98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农林水支出（类）</w:t>
      </w:r>
      <w:r>
        <w:rPr>
          <w:rFonts w:hint="default" w:ascii="Times New Roman" w:hAnsi="Times New Roman" w:eastAsia="仿宋_GB2312" w:cs="Times New Roman"/>
          <w:color w:val="000000"/>
          <w:sz w:val="32"/>
          <w:szCs w:val="32"/>
        </w:rPr>
        <w:t>154.49万元，占</w:t>
      </w:r>
      <w:r>
        <w:rPr>
          <w:rFonts w:hint="default" w:ascii="Times New Roman" w:hAnsi="Times New Roman" w:eastAsia="仿宋_GB2312" w:cs="Times New Roman"/>
          <w:color w:val="000000"/>
          <w:sz w:val="32"/>
          <w:szCs w:val="32"/>
          <w:lang w:val="en-US" w:eastAsia="zh-CN"/>
        </w:rPr>
        <w:t>33.94%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sz w:val="32"/>
          <w:szCs w:val="32"/>
          <w:lang w:eastAsia="zh-CN"/>
        </w:rPr>
        <w:t>住房保障支出（类）</w:t>
      </w:r>
      <w:r>
        <w:rPr>
          <w:rFonts w:hint="default" w:ascii="Times New Roman" w:hAnsi="Times New Roman" w:eastAsia="仿宋_GB2312" w:cs="Times New Roman"/>
          <w:color w:val="000000"/>
          <w:sz w:val="32"/>
          <w:szCs w:val="32"/>
          <w:lang w:eastAsia="zh-CN"/>
        </w:rPr>
        <w:t>13.79万元，占</w:t>
      </w:r>
      <w:r>
        <w:rPr>
          <w:rFonts w:hint="default" w:ascii="Times New Roman" w:hAnsi="Times New Roman" w:eastAsia="仿宋_GB2312" w:cs="Times New Roman"/>
          <w:color w:val="000000"/>
          <w:sz w:val="32"/>
          <w:szCs w:val="32"/>
          <w:lang w:val="en-US" w:eastAsia="zh-CN"/>
        </w:rPr>
        <w:t>3.03%</w:t>
      </w:r>
      <w:r>
        <w:rPr>
          <w:rFonts w:hint="default" w:ascii="Times New Roman" w:hAnsi="Times New Roman" w:eastAsia="仿宋_GB2312" w:cs="Times New Roman"/>
          <w:color w:val="000000"/>
          <w:sz w:val="32"/>
          <w:szCs w:val="32"/>
          <w:lang w:eastAsia="zh-CN"/>
        </w:rPr>
        <w:t>。</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66590" cy="2393950"/>
            <wp:effectExtent l="4445" t="4445" r="12065" b="14605"/>
            <wp:docPr id="133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rPr>
      </w:pPr>
      <w:bookmarkStart w:id="53" w:name="_Toc79163867"/>
      <w:bookmarkStart w:id="54" w:name="_Toc15377212"/>
      <w:bookmarkStart w:id="55" w:name="_Toc79163617"/>
      <w:r>
        <w:rPr>
          <w:rFonts w:hint="eastAsia" w:ascii="楷体_GB2312" w:hAnsi="楷体_GB2312" w:eastAsia="楷体_GB2312" w:cs="楷体_GB2312"/>
          <w:b/>
          <w:color w:val="000000"/>
          <w:sz w:val="32"/>
          <w:szCs w:val="32"/>
        </w:rPr>
        <w:t>（三）一般公共预算财政拨款支出决算具体情况</w:t>
      </w:r>
      <w:bookmarkEnd w:id="53"/>
      <w:bookmarkEnd w:id="54"/>
      <w:bookmarkEnd w:id="55"/>
    </w:p>
    <w:p>
      <w:pPr>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bCs/>
          <w:sz w:val="32"/>
          <w:szCs w:val="32"/>
        </w:rPr>
      </w:pPr>
      <w:bookmarkStart w:id="56" w:name="_Toc15378460"/>
      <w:bookmarkStart w:id="57" w:name="_Toc15377444"/>
      <w:bookmarkStart w:id="58" w:name="_Toc15377213"/>
      <w:r>
        <w:rPr>
          <w:rFonts w:hint="default" w:ascii="Times New Roman" w:hAnsi="Times New Roman" w:eastAsia="仿宋_GB2312" w:cs="Times New Roman"/>
          <w:b/>
          <w:bCs/>
          <w:sz w:val="32"/>
          <w:szCs w:val="32"/>
        </w:rPr>
        <w:t>2021年一般公共预算支出决算数为455.16</w:t>
      </w:r>
      <w:r>
        <w:rPr>
          <w:rFonts w:hint="default" w:ascii="Times New Roman" w:hAnsi="Times New Roman" w:eastAsia="仿宋_GB2312" w:cs="Times New Roman"/>
          <w:b/>
          <w:bCs/>
          <w:sz w:val="32"/>
          <w:szCs w:val="32"/>
          <w:lang w:val="en-US" w:eastAsia="zh-CN"/>
        </w:rPr>
        <w:t>万元</w:t>
      </w:r>
      <w:r>
        <w:rPr>
          <w:rFonts w:hint="default" w:ascii="Times New Roman" w:hAnsi="Times New Roman" w:eastAsia="仿宋_GB2312" w:cs="Times New Roman"/>
          <w:b/>
          <w:bCs/>
          <w:sz w:val="32"/>
          <w:szCs w:val="32"/>
        </w:rPr>
        <w:t>，完成预算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%。其中：</w:t>
      </w:r>
      <w:bookmarkEnd w:id="56"/>
      <w:bookmarkEnd w:id="57"/>
      <w:bookmarkEnd w:id="58"/>
    </w:p>
    <w:p>
      <w:pPr>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000000"/>
          <w:sz w:val="32"/>
          <w:szCs w:val="32"/>
        </w:rPr>
      </w:pPr>
      <w:r>
        <w:rPr>
          <w:rStyle w:val="24"/>
          <w:rFonts w:hint="eastAsia" w:ascii="仿宋_GB2312" w:hAnsi="仿宋_GB2312" w:eastAsia="仿宋_GB2312" w:cs="仿宋_GB2312"/>
          <w:bCs/>
          <w:color w:val="000000"/>
          <w:sz w:val="32"/>
          <w:szCs w:val="32"/>
        </w:rPr>
        <w:t>1.社会保障和就业支出（类）行政事业单位养老支出（款）机关事业单位基本养老保险缴费支出（项）:</w:t>
      </w:r>
      <w:r>
        <w:rPr>
          <w:rStyle w:val="24"/>
          <w:rFonts w:hint="eastAsia" w:ascii="仿宋_GB2312" w:hAnsi="仿宋_GB2312" w:eastAsia="仿宋_GB2312" w:cs="仿宋_GB2312"/>
          <w:b w:val="0"/>
          <w:bCs/>
          <w:color w:val="000000"/>
          <w:sz w:val="32"/>
          <w:szCs w:val="32"/>
        </w:rPr>
        <w:t xml:space="preserve"> 支出决算为14.81万元，完成预算</w:t>
      </w:r>
      <w:r>
        <w:rPr>
          <w:rStyle w:val="24"/>
          <w:rFonts w:hint="eastAsia" w:ascii="仿宋_GB2312" w:hAnsi="仿宋_GB2312" w:eastAsia="仿宋_GB2312" w:cs="仿宋_GB2312"/>
          <w:b w:val="0"/>
          <w:bCs/>
          <w:color w:val="000000"/>
          <w:sz w:val="32"/>
          <w:szCs w:val="32"/>
          <w:lang w:val="en-US" w:eastAsia="zh-CN"/>
        </w:rPr>
        <w:t>100</w:t>
      </w:r>
      <w:r>
        <w:rPr>
          <w:rStyle w:val="24"/>
          <w:rFonts w:hint="eastAsia" w:ascii="仿宋_GB2312" w:hAnsi="仿宋_GB2312" w:eastAsia="仿宋_GB2312" w:cs="仿宋_GB2312"/>
          <w:b w:val="0"/>
          <w:bCs/>
          <w:color w:val="000000"/>
          <w:sz w:val="32"/>
          <w:szCs w:val="32"/>
        </w:rPr>
        <w:t>%。</w:t>
      </w:r>
    </w:p>
    <w:p>
      <w:pPr>
        <w:spacing w:beforeLines="0" w:afterLines="0" w:line="560" w:lineRule="exact"/>
        <w:ind w:firstLine="643" w:firstLineChars="200"/>
        <w:rPr>
          <w:rStyle w:val="24"/>
          <w:rFonts w:hint="eastAsia" w:ascii="仿宋_GB2312" w:hAnsi="仿宋_GB2312" w:eastAsia="仿宋_GB2312" w:cs="仿宋_GB2312"/>
          <w:b w:val="0"/>
          <w:bCs/>
          <w:color w:val="000000"/>
          <w:sz w:val="32"/>
          <w:szCs w:val="32"/>
        </w:rPr>
      </w:pPr>
      <w:r>
        <w:rPr>
          <w:rStyle w:val="24"/>
          <w:rFonts w:hint="eastAsia" w:ascii="仿宋_GB2312" w:hAnsi="仿宋_GB2312" w:eastAsia="仿宋_GB2312" w:cs="仿宋_GB2312"/>
          <w:bCs/>
          <w:color w:val="000000"/>
          <w:sz w:val="32"/>
          <w:szCs w:val="32"/>
          <w:lang w:val="en-US" w:eastAsia="zh-CN"/>
        </w:rPr>
        <w:t>2</w:t>
      </w:r>
      <w:r>
        <w:rPr>
          <w:rStyle w:val="24"/>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社会保障和就业支出（类）行政事业单位养老支出（款）机关事业单位职业年金缴费支出（项）</w:t>
      </w:r>
      <w:r>
        <w:rPr>
          <w:rStyle w:val="24"/>
          <w:rFonts w:hint="eastAsia" w:ascii="仿宋_GB2312" w:hAnsi="仿宋_GB2312" w:eastAsia="仿宋_GB2312" w:cs="仿宋_GB2312"/>
          <w:bCs/>
          <w:color w:val="000000"/>
          <w:sz w:val="32"/>
          <w:szCs w:val="32"/>
        </w:rPr>
        <w:t>:</w:t>
      </w:r>
      <w:r>
        <w:rPr>
          <w:rStyle w:val="24"/>
          <w:rFonts w:hint="eastAsia" w:ascii="仿宋_GB2312" w:hAnsi="仿宋_GB2312" w:eastAsia="仿宋_GB2312" w:cs="仿宋_GB2312"/>
          <w:b w:val="0"/>
          <w:bCs/>
          <w:color w:val="000000"/>
          <w:sz w:val="32"/>
          <w:szCs w:val="32"/>
        </w:rPr>
        <w:t>支出决算为7.41万元，完成预算</w:t>
      </w:r>
      <w:r>
        <w:rPr>
          <w:rStyle w:val="24"/>
          <w:rFonts w:hint="eastAsia" w:ascii="仿宋_GB2312" w:hAnsi="仿宋_GB2312" w:eastAsia="仿宋_GB2312" w:cs="仿宋_GB2312"/>
          <w:b w:val="0"/>
          <w:bCs/>
          <w:color w:val="000000"/>
          <w:sz w:val="32"/>
          <w:szCs w:val="32"/>
          <w:lang w:val="en-US" w:eastAsia="zh-CN"/>
        </w:rPr>
        <w:t>100</w:t>
      </w:r>
      <w:r>
        <w:rPr>
          <w:rStyle w:val="24"/>
          <w:rFonts w:hint="eastAsia" w:ascii="仿宋_GB2312" w:hAnsi="仿宋_GB2312" w:eastAsia="仿宋_GB2312" w:cs="仿宋_GB2312"/>
          <w:b w:val="0"/>
          <w:bCs/>
          <w:color w:val="000000"/>
          <w:sz w:val="32"/>
          <w:szCs w:val="32"/>
        </w:rPr>
        <w:t>%。</w:t>
      </w:r>
    </w:p>
    <w:p>
      <w:pPr>
        <w:spacing w:beforeLines="0" w:afterLines="0" w:line="560" w:lineRule="exact"/>
        <w:ind w:firstLine="643" w:firstLineChars="200"/>
        <w:rPr>
          <w:rFonts w:hint="eastAsia" w:ascii="仿宋_GB2312" w:hAnsi="仿宋_GB2312" w:eastAsia="仿宋_GB2312" w:cs="仿宋_GB2312"/>
          <w:b/>
          <w:color w:val="000000"/>
          <w:sz w:val="32"/>
          <w:szCs w:val="32"/>
        </w:rPr>
      </w:pPr>
      <w:r>
        <w:rPr>
          <w:rStyle w:val="24"/>
          <w:rFonts w:hint="eastAsia" w:ascii="仿宋_GB2312" w:hAnsi="仿宋_GB2312" w:eastAsia="仿宋_GB2312" w:cs="仿宋_GB2312"/>
          <w:color w:val="000000"/>
          <w:sz w:val="32"/>
          <w:szCs w:val="32"/>
          <w:lang w:val="en-US" w:eastAsia="zh-CN"/>
        </w:rPr>
        <w:t>3</w:t>
      </w:r>
      <w:r>
        <w:rPr>
          <w:rStyle w:val="24"/>
          <w:rFonts w:hint="eastAsia" w:ascii="仿宋_GB2312" w:hAnsi="仿宋_GB2312" w:eastAsia="仿宋_GB2312" w:cs="仿宋_GB2312"/>
          <w:color w:val="000000"/>
          <w:sz w:val="32"/>
          <w:szCs w:val="32"/>
        </w:rPr>
        <w:t>.卫生健康支出（类）行政事业单位医疗（款）事业单位医疗（项）:</w:t>
      </w:r>
      <w:r>
        <w:rPr>
          <w:rStyle w:val="24"/>
          <w:rFonts w:hint="eastAsia" w:ascii="仿宋_GB2312" w:hAnsi="仿宋_GB2312" w:eastAsia="仿宋_GB2312" w:cs="仿宋_GB2312"/>
          <w:b w:val="0"/>
          <w:color w:val="000000"/>
          <w:sz w:val="32"/>
          <w:szCs w:val="32"/>
        </w:rPr>
        <w:t xml:space="preserve"> 支出决算为7.19万元，完成预算100%。</w:t>
      </w:r>
    </w:p>
    <w:p>
      <w:pPr>
        <w:spacing w:beforeLines="0" w:afterLines="0" w:line="560" w:lineRule="exact"/>
        <w:ind w:firstLine="643" w:firstLineChars="200"/>
        <w:rPr>
          <w:rFonts w:hint="eastAsia" w:ascii="仿宋_GB2312" w:hAnsi="仿宋_GB2312" w:eastAsia="仿宋_GB2312" w:cs="仿宋_GB2312"/>
          <w:b/>
          <w:color w:val="000000"/>
          <w:sz w:val="32"/>
          <w:szCs w:val="32"/>
        </w:rPr>
      </w:pPr>
      <w:r>
        <w:rPr>
          <w:rStyle w:val="24"/>
          <w:rFonts w:hint="eastAsia" w:ascii="仿宋_GB2312" w:hAnsi="仿宋_GB2312" w:eastAsia="仿宋_GB2312" w:cs="仿宋_GB2312"/>
          <w:color w:val="000000"/>
          <w:sz w:val="32"/>
          <w:szCs w:val="32"/>
          <w:lang w:val="en-US" w:eastAsia="zh-CN"/>
        </w:rPr>
        <w:t>4</w:t>
      </w:r>
      <w:r>
        <w:rPr>
          <w:rStyle w:val="24"/>
          <w:rFonts w:hint="eastAsia" w:ascii="仿宋_GB2312" w:hAnsi="仿宋_GB2312" w:eastAsia="仿宋_GB2312" w:cs="仿宋_GB2312"/>
          <w:color w:val="000000"/>
          <w:sz w:val="32"/>
          <w:szCs w:val="32"/>
        </w:rPr>
        <w:t xml:space="preserve">.卫生健康支出（类）行政事业单位医疗（款）其他行政事业单位医疗支出（项）: </w:t>
      </w:r>
      <w:r>
        <w:rPr>
          <w:rStyle w:val="24"/>
          <w:rFonts w:hint="eastAsia" w:ascii="仿宋_GB2312" w:hAnsi="仿宋_GB2312" w:eastAsia="仿宋_GB2312" w:cs="仿宋_GB2312"/>
          <w:b w:val="0"/>
          <w:color w:val="000000"/>
          <w:sz w:val="32"/>
          <w:szCs w:val="32"/>
        </w:rPr>
        <w:t>支出决算为1.84万元，完成预算100%。</w:t>
      </w:r>
    </w:p>
    <w:p>
      <w:pPr>
        <w:spacing w:beforeLines="0" w:afterLines="0" w:line="560" w:lineRule="exact"/>
        <w:ind w:firstLine="643" w:firstLineChars="200"/>
        <w:rPr>
          <w:rFonts w:hint="eastAsia" w:ascii="仿宋_GB2312" w:hAnsi="仿宋_GB2312" w:eastAsia="仿宋_GB2312" w:cs="仿宋_GB2312"/>
          <w:b/>
          <w:color w:val="000000"/>
          <w:sz w:val="32"/>
          <w:szCs w:val="32"/>
        </w:rPr>
      </w:pPr>
      <w:r>
        <w:rPr>
          <w:rStyle w:val="24"/>
          <w:rFonts w:hint="eastAsia" w:ascii="仿宋_GB2312" w:hAnsi="仿宋_GB2312" w:eastAsia="仿宋_GB2312" w:cs="仿宋_GB2312"/>
          <w:color w:val="000000"/>
          <w:sz w:val="32"/>
          <w:szCs w:val="32"/>
          <w:lang w:val="en-US" w:eastAsia="zh-CN"/>
        </w:rPr>
        <w:t>5</w:t>
      </w:r>
      <w:r>
        <w:rPr>
          <w:rStyle w:val="24"/>
          <w:rFonts w:hint="eastAsia" w:ascii="仿宋_GB2312" w:hAnsi="仿宋_GB2312" w:eastAsia="仿宋_GB2312" w:cs="仿宋_GB2312"/>
          <w:color w:val="000000"/>
          <w:sz w:val="32"/>
          <w:szCs w:val="32"/>
        </w:rPr>
        <w:t xml:space="preserve">.节能环保支出（类）自然生态保护（款）生态保护（项）: </w:t>
      </w:r>
      <w:r>
        <w:rPr>
          <w:rStyle w:val="24"/>
          <w:rFonts w:hint="eastAsia" w:ascii="仿宋_GB2312" w:hAnsi="仿宋_GB2312" w:eastAsia="仿宋_GB2312" w:cs="仿宋_GB2312"/>
          <w:b w:val="0"/>
          <w:color w:val="000000"/>
          <w:sz w:val="32"/>
          <w:szCs w:val="32"/>
        </w:rPr>
        <w:t>支出决算为255.64万元，完成预算100%。</w:t>
      </w:r>
    </w:p>
    <w:p>
      <w:pPr>
        <w:spacing w:beforeLines="0" w:afterLines="0" w:line="560" w:lineRule="exact"/>
        <w:ind w:firstLine="643" w:firstLineChars="200"/>
        <w:rPr>
          <w:rFonts w:hint="eastAsia" w:ascii="仿宋_GB2312" w:hAnsi="仿宋_GB2312" w:eastAsia="仿宋_GB2312" w:cs="仿宋_GB2312"/>
          <w:b/>
          <w:color w:val="000000"/>
          <w:sz w:val="32"/>
          <w:szCs w:val="32"/>
        </w:rPr>
      </w:pPr>
      <w:r>
        <w:rPr>
          <w:rStyle w:val="24"/>
          <w:rFonts w:hint="eastAsia" w:ascii="仿宋_GB2312" w:hAnsi="仿宋_GB2312" w:eastAsia="仿宋_GB2312" w:cs="仿宋_GB2312"/>
          <w:color w:val="000000"/>
          <w:sz w:val="32"/>
          <w:szCs w:val="32"/>
          <w:lang w:val="en-US" w:eastAsia="zh-CN"/>
        </w:rPr>
        <w:t>6</w:t>
      </w:r>
      <w:r>
        <w:rPr>
          <w:rStyle w:val="24"/>
          <w:rFonts w:hint="eastAsia" w:ascii="仿宋_GB2312" w:hAnsi="仿宋_GB2312" w:eastAsia="仿宋_GB2312" w:cs="仿宋_GB2312"/>
          <w:color w:val="000000"/>
          <w:sz w:val="32"/>
          <w:szCs w:val="32"/>
        </w:rPr>
        <w:t xml:space="preserve">.农林水支出（类）林业和草原（款）事业机构（项）: </w:t>
      </w:r>
      <w:r>
        <w:rPr>
          <w:rStyle w:val="24"/>
          <w:rFonts w:hint="eastAsia" w:ascii="仿宋_GB2312" w:hAnsi="仿宋_GB2312" w:eastAsia="仿宋_GB2312" w:cs="仿宋_GB2312"/>
          <w:b w:val="0"/>
          <w:color w:val="000000"/>
          <w:sz w:val="32"/>
          <w:szCs w:val="32"/>
        </w:rPr>
        <w:t>支出决算为154.49万元，完成预算100%。</w:t>
      </w:r>
    </w:p>
    <w:p>
      <w:pPr>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 w:cs="Times New Roman"/>
          <w:b/>
          <w:color w:val="000000"/>
          <w:sz w:val="32"/>
          <w:szCs w:val="32"/>
        </w:rPr>
      </w:pPr>
      <w:r>
        <w:rPr>
          <w:rStyle w:val="24"/>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b/>
          <w:bCs w:val="0"/>
          <w:color w:val="000000"/>
          <w:kern w:val="2"/>
          <w:sz w:val="32"/>
          <w:szCs w:val="32"/>
          <w:lang w:val="en-US" w:eastAsia="zh-CN" w:bidi="ar"/>
        </w:rPr>
        <w:t>.住房保障支出（类）住房改革支出（款）住房公积金（项）:</w:t>
      </w:r>
      <w:r>
        <w:rPr>
          <w:rFonts w:hint="eastAsia" w:ascii="仿宋_GB2312" w:hAnsi="仿宋_GB2312" w:eastAsia="仿宋_GB2312" w:cs="仿宋_GB2312"/>
          <w:b w:val="0"/>
          <w:color w:val="000000"/>
          <w:kern w:val="2"/>
          <w:sz w:val="32"/>
          <w:szCs w:val="32"/>
          <w:lang w:val="en-US" w:eastAsia="zh-CN" w:bidi="ar"/>
        </w:rPr>
        <w:t>支出决算为22.56万元，完成预算100%。</w:t>
      </w:r>
    </w:p>
    <w:p>
      <w:pPr>
        <w:pageBreakBefore w:val="0"/>
        <w:widowControl w:val="0"/>
        <w:tabs>
          <w:tab w:val="right" w:pos="8306"/>
        </w:tabs>
        <w:kinsoku/>
        <w:wordWrap/>
        <w:overflowPunct/>
        <w:topLinePunct w:val="0"/>
        <w:bidi w:val="0"/>
        <w:spacing w:line="560" w:lineRule="exact"/>
        <w:ind w:firstLine="640"/>
        <w:textAlignment w:val="auto"/>
        <w:outlineLvl w:val="1"/>
        <w:rPr>
          <w:rStyle w:val="27"/>
        </w:rPr>
      </w:pPr>
      <w:bookmarkStart w:id="59" w:name="_Toc15396608"/>
      <w:bookmarkStart w:id="60" w:name="_Toc15377214"/>
      <w:bookmarkStart w:id="61" w:name="_Toc79163618"/>
      <w:bookmarkStart w:id="62" w:name="_Toc79163868"/>
      <w:r>
        <w:rPr>
          <w:rFonts w:hint="eastAsia" w:ascii="黑体" w:eastAsia="黑体"/>
          <w:b/>
          <w:bCs/>
          <w:color w:val="000000"/>
          <w:sz w:val="32"/>
          <w:szCs w:val="32"/>
        </w:rPr>
        <w:t>六、</w:t>
      </w:r>
      <w:r>
        <w:rPr>
          <w:rFonts w:hint="eastAsia" w:ascii="黑体" w:hAnsi="黑体" w:eastAsia="黑体"/>
          <w:b/>
          <w:bCs/>
          <w:color w:val="000000"/>
          <w:sz w:val="32"/>
          <w:szCs w:val="32"/>
        </w:rPr>
        <w:t>一</w:t>
      </w:r>
      <w:r>
        <w:rPr>
          <w:rStyle w:val="27"/>
          <w:rFonts w:hint="eastAsia" w:ascii="黑体" w:hAnsi="黑体" w:eastAsia="黑体"/>
          <w:b/>
          <w:bCs/>
        </w:rPr>
        <w:t>般公共预算财政拨款基本支出决算情况说明</w:t>
      </w:r>
      <w:bookmarkEnd w:id="59"/>
      <w:bookmarkEnd w:id="60"/>
      <w:bookmarkEnd w:id="61"/>
      <w:bookmarkEnd w:id="62"/>
      <w:r>
        <w:rPr>
          <w:rStyle w:val="27"/>
          <w:rFonts w:ascii="黑体" w:hAnsi="黑体" w:eastAsia="黑体"/>
          <w:b w:val="0"/>
        </w:rPr>
        <w:tab/>
      </w:r>
    </w:p>
    <w:p>
      <w:pPr>
        <w:pageBreakBefore w:val="0"/>
        <w:widowControl w:val="0"/>
        <w:kinsoku/>
        <w:wordWrap/>
        <w:overflowPunct/>
        <w:topLinePunct w:val="0"/>
        <w:bidi w:val="0"/>
        <w:spacing w:line="560" w:lineRule="exact"/>
        <w:ind w:firstLine="645"/>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2021年一般公共预算财政拨款基本支出199.52万元，其中：</w:t>
      </w:r>
    </w:p>
    <w:p>
      <w:pPr>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人员经费184.73万元，主要包括：基本工资、津贴补贴</w:t>
      </w:r>
      <w:r>
        <w:rPr>
          <w:rFonts w:hint="default" w:ascii="Times New Roman" w:hAnsi="Times New Roman" w:eastAsia="仿宋_GB2312" w:cs="Times New Roman"/>
          <w:b w:val="0"/>
          <w:bCs w:val="0"/>
          <w:color w:val="000000"/>
          <w:sz w:val="32"/>
          <w:szCs w:val="32"/>
          <w:lang w:eastAsia="zh-CN"/>
        </w:rPr>
        <w:t>、奖金、</w:t>
      </w:r>
      <w:r>
        <w:rPr>
          <w:rFonts w:hint="default" w:ascii="Times New Roman" w:hAnsi="Times New Roman" w:eastAsia="仿宋_GB2312" w:cs="Times New Roman"/>
          <w:b w:val="0"/>
          <w:bCs w:val="0"/>
          <w:color w:val="000000"/>
          <w:sz w:val="32"/>
          <w:szCs w:val="32"/>
          <w:lang w:val="en-US" w:eastAsia="zh-CN"/>
        </w:rPr>
        <w:t>绩效工资、</w:t>
      </w:r>
      <w:r>
        <w:rPr>
          <w:rFonts w:hint="default" w:ascii="Times New Roman" w:hAnsi="Times New Roman" w:eastAsia="仿宋_GB2312" w:cs="Times New Roman"/>
          <w:b w:val="0"/>
          <w:bCs w:val="0"/>
          <w:color w:val="000000"/>
          <w:sz w:val="32"/>
          <w:szCs w:val="32"/>
          <w:lang w:eastAsia="zh-CN"/>
        </w:rPr>
        <w:t>机关事业单位基本养老保险费、职业年金缴费、职工基本医疗保险缴费、其他社会保障缴费、住房公积金、医疗费补助</w:t>
      </w:r>
      <w:r>
        <w:rPr>
          <w:rFonts w:hint="default" w:ascii="Times New Roman" w:hAnsi="Times New Roman" w:eastAsia="仿宋_GB2312" w:cs="Times New Roman"/>
          <w:b w:val="0"/>
          <w:bCs w:val="0"/>
          <w:color w:val="000000"/>
          <w:sz w:val="32"/>
          <w:szCs w:val="32"/>
        </w:rPr>
        <w:t>。</w:t>
      </w:r>
    </w:p>
    <w:p>
      <w:pPr>
        <w:pageBreakBefore w:val="0"/>
        <w:widowControl w:val="0"/>
        <w:kinsoku/>
        <w:wordWrap/>
        <w:overflowPunct/>
        <w:topLinePunct w:val="0"/>
        <w:bidi w:val="0"/>
        <w:spacing w:line="560" w:lineRule="exact"/>
        <w:ind w:firstLine="645"/>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000000"/>
          <w:sz w:val="32"/>
          <w:szCs w:val="32"/>
        </w:rPr>
        <w:t>日常公用经费14.79万元，主要包括：办公费、</w:t>
      </w:r>
      <w:r>
        <w:rPr>
          <w:rFonts w:hint="default" w:ascii="Times New Roman" w:hAnsi="Times New Roman" w:eastAsia="仿宋_GB2312" w:cs="Times New Roman"/>
          <w:b w:val="0"/>
          <w:bCs w:val="0"/>
          <w:color w:val="000000"/>
          <w:sz w:val="32"/>
          <w:szCs w:val="32"/>
          <w:lang w:eastAsia="zh-CN"/>
        </w:rPr>
        <w:t>印刷</w:t>
      </w:r>
      <w:r>
        <w:rPr>
          <w:rFonts w:hint="default" w:ascii="Times New Roman" w:hAnsi="Times New Roman" w:eastAsia="仿宋_GB2312" w:cs="Times New Roman"/>
          <w:b w:val="0"/>
          <w:bCs w:val="0"/>
          <w:color w:val="000000"/>
          <w:sz w:val="32"/>
          <w:szCs w:val="32"/>
        </w:rPr>
        <w:t>费</w:t>
      </w:r>
      <w:r>
        <w:rPr>
          <w:rFonts w:hint="default" w:ascii="Times New Roman" w:hAnsi="Times New Roman" w:eastAsia="仿宋_GB2312" w:cs="Times New Roman"/>
          <w:b w:val="0"/>
          <w:bCs w:val="0"/>
          <w:color w:val="000000"/>
          <w:sz w:val="32"/>
          <w:szCs w:val="32"/>
          <w:lang w:eastAsia="zh-CN"/>
        </w:rPr>
        <w:t>、电费、</w:t>
      </w:r>
      <w:r>
        <w:rPr>
          <w:rFonts w:hint="default" w:ascii="Times New Roman" w:hAnsi="Times New Roman" w:eastAsia="仿宋_GB2312" w:cs="Times New Roman"/>
          <w:b w:val="0"/>
          <w:bCs w:val="0"/>
          <w:color w:val="000000"/>
          <w:sz w:val="32"/>
          <w:szCs w:val="32"/>
          <w:lang w:val="en-US" w:eastAsia="zh-CN"/>
        </w:rPr>
        <w:t>邮电费、</w:t>
      </w:r>
      <w:r>
        <w:rPr>
          <w:rFonts w:hint="default" w:ascii="Times New Roman" w:hAnsi="Times New Roman" w:eastAsia="仿宋_GB2312" w:cs="Times New Roman"/>
          <w:b w:val="0"/>
          <w:bCs w:val="0"/>
          <w:color w:val="000000"/>
          <w:sz w:val="32"/>
          <w:szCs w:val="32"/>
          <w:lang w:eastAsia="zh-CN"/>
        </w:rPr>
        <w:t>差旅费、</w:t>
      </w:r>
      <w:r>
        <w:rPr>
          <w:rFonts w:hint="default" w:ascii="Times New Roman" w:hAnsi="Times New Roman" w:eastAsia="仿宋_GB2312" w:cs="Times New Roman"/>
          <w:b w:val="0"/>
          <w:bCs w:val="0"/>
          <w:color w:val="000000"/>
          <w:sz w:val="32"/>
          <w:szCs w:val="32"/>
          <w:lang w:val="en-US" w:eastAsia="zh-CN"/>
        </w:rPr>
        <w:t>维修（护）费、</w:t>
      </w:r>
      <w:r>
        <w:rPr>
          <w:rFonts w:hint="default" w:ascii="Times New Roman" w:hAnsi="Times New Roman" w:eastAsia="仿宋_GB2312" w:cs="Times New Roman"/>
          <w:b w:val="0"/>
          <w:bCs w:val="0"/>
          <w:color w:val="000000"/>
          <w:sz w:val="32"/>
          <w:szCs w:val="32"/>
          <w:lang w:eastAsia="zh-CN"/>
        </w:rPr>
        <w:t>劳务费、公务用车运行维护费</w:t>
      </w:r>
      <w:r>
        <w:rPr>
          <w:rFonts w:hint="default" w:ascii="Times New Roman" w:hAnsi="Times New Roman" w:eastAsia="仿宋_GB2312" w:cs="Times New Roman"/>
          <w:b w:val="0"/>
          <w:bCs w:val="0"/>
          <w:color w:val="000000"/>
          <w:sz w:val="32"/>
          <w:szCs w:val="32"/>
        </w:rPr>
        <w:t>。</w:t>
      </w:r>
    </w:p>
    <w:p>
      <w:pPr>
        <w:pageBreakBefore w:val="0"/>
        <w:widowControl w:val="0"/>
        <w:kinsoku/>
        <w:wordWrap/>
        <w:overflowPunct/>
        <w:topLinePunct w:val="0"/>
        <w:bidi w:val="0"/>
        <w:spacing w:line="560" w:lineRule="exact"/>
        <w:ind w:firstLine="640"/>
        <w:textAlignment w:val="auto"/>
        <w:outlineLvl w:val="1"/>
        <w:rPr>
          <w:rStyle w:val="27"/>
          <w:rFonts w:ascii="黑体" w:hAnsi="黑体" w:eastAsia="黑体"/>
          <w:b/>
          <w:bCs/>
        </w:rPr>
      </w:pPr>
      <w:bookmarkStart w:id="63" w:name="_Toc79163869"/>
      <w:bookmarkStart w:id="64" w:name="_Toc79163619"/>
      <w:bookmarkStart w:id="65" w:name="_Toc15377215"/>
      <w:bookmarkStart w:id="66" w:name="_Toc15396609"/>
      <w:r>
        <w:rPr>
          <w:rFonts w:hint="eastAsia" w:ascii="黑体" w:eastAsia="黑体"/>
          <w:b/>
          <w:bCs/>
          <w:color w:val="000000"/>
          <w:sz w:val="32"/>
          <w:szCs w:val="32"/>
        </w:rPr>
        <w:t>七、</w:t>
      </w:r>
      <w:r>
        <w:rPr>
          <w:rStyle w:val="27"/>
          <w:rFonts w:hint="eastAsia" w:ascii="黑体" w:hAnsi="黑体" w:eastAsia="黑体"/>
          <w:b/>
          <w:bCs/>
        </w:rPr>
        <w:t>“三公”经费财政拨款支出决算情况说明</w:t>
      </w:r>
      <w:bookmarkEnd w:id="63"/>
      <w:bookmarkEnd w:id="64"/>
      <w:bookmarkEnd w:id="65"/>
      <w:bookmarkEnd w:id="66"/>
    </w:p>
    <w:p>
      <w:pPr>
        <w:pageBreakBefore w:val="0"/>
        <w:widowControl w:val="0"/>
        <w:kinsoku/>
        <w:wordWrap/>
        <w:overflowPunct/>
        <w:topLinePunct w:val="0"/>
        <w:bidi w:val="0"/>
        <w:spacing w:line="560" w:lineRule="exact"/>
        <w:ind w:firstLine="640"/>
        <w:textAlignment w:val="auto"/>
        <w:outlineLvl w:val="2"/>
        <w:rPr>
          <w:rFonts w:hint="eastAsia" w:ascii="楷体_GB2312" w:hAnsi="楷体_GB2312" w:eastAsia="楷体_GB2312" w:cs="楷体_GB2312"/>
          <w:b/>
          <w:color w:val="000000"/>
          <w:sz w:val="32"/>
          <w:szCs w:val="32"/>
        </w:rPr>
      </w:pPr>
      <w:bookmarkStart w:id="67" w:name="_Toc79163870"/>
      <w:bookmarkStart w:id="68" w:name="_Toc15377216"/>
      <w:bookmarkStart w:id="69" w:name="_Toc79163620"/>
      <w:r>
        <w:rPr>
          <w:rFonts w:hint="eastAsia" w:ascii="楷体_GB2312" w:hAnsi="楷体_GB2312" w:eastAsia="楷体_GB2312" w:cs="楷体_GB2312"/>
          <w:b/>
          <w:color w:val="000000"/>
          <w:sz w:val="32"/>
          <w:szCs w:val="32"/>
        </w:rPr>
        <w:t>（一）“三公”经费财政拨款支出决算总体情况说明</w:t>
      </w:r>
      <w:bookmarkEnd w:id="67"/>
      <w:bookmarkEnd w:id="68"/>
      <w:bookmarkEnd w:id="69"/>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2021年“三公”经费财政拨款支出决算为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万元，完成预算</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%，决算数或与预算数持平的主要原因是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本年度无“三公”经费财政拨款支出，无相关预算安排</w:t>
      </w:r>
      <w:r>
        <w:rPr>
          <w:rFonts w:hint="default" w:ascii="Times New Roman" w:hAnsi="Times New Roman" w:eastAsia="仿宋_GB2312" w:cs="Times New Roman"/>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hint="eastAsia" w:ascii="楷体_GB2312" w:hAnsi="楷体_GB2312" w:eastAsia="楷体_GB2312" w:cs="楷体_GB2312"/>
          <w:b/>
          <w:color w:val="000000"/>
          <w:sz w:val="32"/>
          <w:szCs w:val="32"/>
        </w:rPr>
      </w:pPr>
      <w:bookmarkStart w:id="70" w:name="_Toc79163871"/>
      <w:bookmarkStart w:id="71" w:name="_Toc15377217"/>
      <w:bookmarkStart w:id="72" w:name="_Toc79163621"/>
      <w:r>
        <w:rPr>
          <w:rFonts w:hint="eastAsia" w:ascii="楷体_GB2312" w:hAnsi="楷体_GB2312" w:eastAsia="楷体_GB2312" w:cs="楷体_GB2312"/>
          <w:b/>
          <w:color w:val="000000"/>
          <w:sz w:val="32"/>
          <w:szCs w:val="32"/>
        </w:rPr>
        <w:t>（二）“三公”经费财政拨款支出决算具体情况说明</w:t>
      </w:r>
      <w:bookmarkEnd w:id="70"/>
      <w:bookmarkEnd w:id="71"/>
      <w:bookmarkEnd w:id="72"/>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4"/>
          <w:rFonts w:hint="default" w:ascii="Times New Roman" w:hAnsi="Times New Roman" w:eastAsia="仿宋_GB2312" w:cs="Times New Roman"/>
          <w:b w:val="0"/>
          <w:bCs/>
          <w:color w:val="000000"/>
          <w:sz w:val="32"/>
          <w:szCs w:val="32"/>
        </w:rPr>
        <w:t>完成预算</w:t>
      </w:r>
      <w:r>
        <w:rPr>
          <w:rStyle w:val="24"/>
          <w:rFonts w:hint="default" w:ascii="Times New Roman" w:hAnsi="Times New Roman" w:eastAsia="仿宋_GB2312" w:cs="Times New Roman"/>
          <w:b w:val="0"/>
          <w:bCs/>
          <w:color w:val="000000"/>
          <w:sz w:val="32"/>
          <w:szCs w:val="32"/>
          <w:lang w:val="en-US" w:eastAsia="zh-CN"/>
        </w:rPr>
        <w:t>100</w:t>
      </w:r>
      <w:r>
        <w:rPr>
          <w:rStyle w:val="24"/>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人。因公出国（境）支出决算比2020年增加/减少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val="en-US" w:eastAsia="zh-CN"/>
        </w:rPr>
        <w:t>2020年与2021年均无因公出国（境）经费支出</w:t>
      </w:r>
      <w:r>
        <w:rPr>
          <w:rFonts w:hint="default" w:ascii="Times New Roman" w:hAnsi="Times New Roman" w:eastAsia="仿宋_GB2312" w:cs="Times New Roman"/>
          <w:color w:val="000000"/>
          <w:sz w:val="32"/>
          <w:szCs w:val="32"/>
        </w:rPr>
        <w:t>。</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开支内容包括：</w:t>
      </w:r>
      <w:r>
        <w:rPr>
          <w:rFonts w:hint="default" w:ascii="Times New Roman" w:hAnsi="Times New Roman" w:eastAsia="仿宋_GB2312" w:cs="Times New Roman"/>
          <w:color w:val="000000"/>
          <w:sz w:val="32"/>
          <w:szCs w:val="32"/>
          <w:lang w:val="en-US" w:eastAsia="zh-CN"/>
        </w:rPr>
        <w:t>无</w:t>
      </w:r>
      <w:r>
        <w:rPr>
          <w:rFonts w:hint="default" w:ascii="Times New Roman" w:hAnsi="Times New Roman" w:eastAsia="仿宋_GB2312" w:cs="Times New Roman"/>
          <w:color w:val="000000"/>
          <w:sz w:val="32"/>
          <w:szCs w:val="32"/>
        </w:rPr>
        <w:t>（团组名称、出访地点、取得成效）等。</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4"/>
          <w:rFonts w:hint="default" w:ascii="Times New Roman" w:hAnsi="Times New Roman" w:eastAsia="仿宋_GB2312" w:cs="Times New Roman"/>
          <w:b w:val="0"/>
          <w:bCs/>
          <w:color w:val="000000"/>
          <w:sz w:val="32"/>
          <w:szCs w:val="32"/>
        </w:rPr>
        <w:t>完成预算</w:t>
      </w:r>
      <w:r>
        <w:rPr>
          <w:rStyle w:val="24"/>
          <w:rFonts w:hint="default" w:ascii="Times New Roman" w:hAnsi="Times New Roman" w:eastAsia="仿宋_GB2312" w:cs="Times New Roman"/>
          <w:b w:val="0"/>
          <w:bCs/>
          <w:color w:val="000000"/>
          <w:sz w:val="32"/>
          <w:szCs w:val="32"/>
          <w:lang w:val="en-US" w:eastAsia="zh-CN"/>
        </w:rPr>
        <w:t>100</w:t>
      </w:r>
      <w:r>
        <w:rPr>
          <w:rStyle w:val="24"/>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公务用车购置及运行维护费支出决算比2020年增加</w:t>
      </w:r>
      <w:r>
        <w:rPr>
          <w:rFonts w:hint="default" w:ascii="Times New Roman" w:hAnsi="Times New Roman" w:eastAsia="仿宋_GB2312" w:cs="Times New Roman"/>
          <w:color w:val="000000"/>
          <w:sz w:val="32"/>
          <w:szCs w:val="32"/>
          <w:lang w:val="en-US" w:eastAsia="zh-CN"/>
        </w:rPr>
        <w:t>/减少0</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/下降0</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val="en-US" w:eastAsia="zh-CN"/>
        </w:rPr>
        <w:t>2020年与2021年均无公务用车购置及运行维护费支出</w:t>
      </w:r>
      <w:r>
        <w:rPr>
          <w:rFonts w:hint="default" w:ascii="Times New Roman" w:hAnsi="Times New Roman" w:eastAsia="仿宋_GB2312" w:cs="Times New Roman"/>
          <w:color w:val="000000"/>
          <w:sz w:val="32"/>
          <w:szCs w:val="32"/>
        </w:rPr>
        <w:t>。</w:t>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万元。全年按规定更新购置公务用车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万元，越野车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截至2021年12月底，单位共有公务用车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其他用车1辆</w:t>
      </w:r>
      <w:r>
        <w:rPr>
          <w:rFonts w:hint="default" w:ascii="Times New Roman" w:hAnsi="Times New Roman" w:eastAsia="仿宋_GB2312" w:cs="Times New Roman"/>
          <w:color w:val="000000"/>
          <w:sz w:val="32"/>
          <w:szCs w:val="32"/>
        </w:rPr>
        <w:t>。</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4"/>
          <w:rFonts w:hint="default" w:ascii="Times New Roman" w:hAnsi="Times New Roman" w:eastAsia="仿宋_GB2312" w:cs="Times New Roman"/>
          <w:b w:val="0"/>
          <w:bCs/>
          <w:color w:val="000000"/>
          <w:sz w:val="32"/>
          <w:szCs w:val="32"/>
        </w:rPr>
        <w:t>完成预算</w:t>
      </w:r>
      <w:r>
        <w:rPr>
          <w:rStyle w:val="24"/>
          <w:rFonts w:hint="default" w:ascii="Times New Roman" w:hAnsi="Times New Roman" w:eastAsia="仿宋_GB2312" w:cs="Times New Roman"/>
          <w:b w:val="0"/>
          <w:bCs/>
          <w:color w:val="000000"/>
          <w:sz w:val="32"/>
          <w:szCs w:val="32"/>
          <w:lang w:val="en-US" w:eastAsia="zh-CN"/>
        </w:rPr>
        <w:t>100</w:t>
      </w:r>
      <w:r>
        <w:rPr>
          <w:rStyle w:val="24"/>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公务接待费支出决算比2020年增加/减少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val="en-US" w:eastAsia="zh-CN"/>
        </w:rPr>
        <w:t>2020年与2021年均无公务接待费支出</w:t>
      </w:r>
      <w:r>
        <w:rPr>
          <w:rFonts w:hint="default" w:ascii="Times New Roman" w:hAnsi="Times New Roman" w:eastAsia="仿宋_GB2312" w:cs="Times New Roman"/>
          <w:color w:val="000000"/>
          <w:sz w:val="32"/>
          <w:szCs w:val="32"/>
        </w:rPr>
        <w:t>。其中：</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国内公务接待支出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万元。国内公务接待</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default" w:ascii="Times New Roman" w:hAnsi="Times New Roman" w:eastAsia="仿宋_GB2312" w:cs="Times New Roman"/>
          <w:b/>
          <w:color w:val="000000"/>
          <w:sz w:val="32"/>
          <w:szCs w:val="32"/>
        </w:rPr>
        <w:t>外事接待支出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万元，外事接待</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人，共计支出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0"/>
        <w:textAlignment w:val="auto"/>
        <w:outlineLvl w:val="1"/>
        <w:rPr>
          <w:rStyle w:val="27"/>
          <w:rFonts w:ascii="黑体" w:hAnsi="黑体" w:eastAsia="黑体"/>
          <w:b/>
          <w:bCs/>
        </w:rPr>
      </w:pPr>
      <w:bookmarkStart w:id="73" w:name="_Toc15396610"/>
      <w:bookmarkStart w:id="74" w:name="_Toc79163872"/>
      <w:bookmarkStart w:id="75" w:name="_Toc79163622"/>
      <w:bookmarkStart w:id="76" w:name="_Toc15377218"/>
      <w:r>
        <w:rPr>
          <w:rFonts w:hint="eastAsia" w:ascii="黑体" w:eastAsia="黑体"/>
          <w:b/>
          <w:bCs/>
          <w:color w:val="000000"/>
          <w:sz w:val="32"/>
          <w:szCs w:val="32"/>
        </w:rPr>
        <w:t>八、</w:t>
      </w:r>
      <w:r>
        <w:rPr>
          <w:rStyle w:val="27"/>
          <w:rFonts w:hint="eastAsia" w:ascii="黑体" w:hAnsi="黑体" w:eastAsia="黑体"/>
          <w:b/>
          <w:bCs/>
        </w:rPr>
        <w:t>政府性基金预算支出决算情况说明</w:t>
      </w:r>
      <w:bookmarkEnd w:id="73"/>
      <w:bookmarkEnd w:id="74"/>
      <w:bookmarkEnd w:id="75"/>
      <w:bookmarkEnd w:id="76"/>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numPr>
          <w:ilvl w:val="0"/>
          <w:numId w:val="1"/>
        </w:numPr>
        <w:kinsoku/>
        <w:wordWrap/>
        <w:overflowPunct/>
        <w:topLinePunct w:val="0"/>
        <w:bidi w:val="0"/>
        <w:spacing w:line="560" w:lineRule="exact"/>
        <w:ind w:firstLine="640"/>
        <w:textAlignment w:val="auto"/>
        <w:outlineLvl w:val="1"/>
        <w:rPr>
          <w:rStyle w:val="27"/>
          <w:rFonts w:hint="default" w:ascii="Times New Roman" w:hAnsi="Times New Roman" w:eastAsia="黑体" w:cs="Times New Roman"/>
          <w:b w:val="0"/>
        </w:rPr>
      </w:pPr>
      <w:bookmarkStart w:id="77" w:name="_Toc15396611"/>
      <w:bookmarkStart w:id="78" w:name="_Toc79163623"/>
      <w:bookmarkStart w:id="79" w:name="_Toc15377219"/>
      <w:bookmarkStart w:id="80" w:name="_Toc79163873"/>
      <w:r>
        <w:rPr>
          <w:rStyle w:val="27"/>
          <w:rFonts w:hint="default" w:ascii="Times New Roman" w:hAnsi="Times New Roman" w:eastAsia="黑体" w:cs="Times New Roman"/>
          <w:b w:val="0"/>
        </w:rPr>
        <w:t>国有资本经营预算支出决算情况说明</w:t>
      </w:r>
      <w:bookmarkEnd w:id="77"/>
      <w:bookmarkEnd w:id="78"/>
      <w:bookmarkEnd w:id="79"/>
      <w:bookmarkEnd w:id="80"/>
    </w:p>
    <w:p>
      <w:pPr>
        <w:pageBreakBefore w:val="0"/>
        <w:widowControl w:val="0"/>
        <w:kinsoku/>
        <w:wordWrap/>
        <w:overflowPunct/>
        <w:topLinePunct w:val="0"/>
        <w:bidi w:val="0"/>
        <w:spacing w:line="560" w:lineRule="exact"/>
        <w:ind w:firstLine="640"/>
        <w:textAlignment w:val="auto"/>
        <w:rPr>
          <w:rFonts w:ascii="方正小标宋简体" w:hAnsi="方正小标宋简体" w:eastAsia="方正小标宋简体" w:cs="方正小标宋简体"/>
          <w:sz w:val="44"/>
          <w:szCs w:val="44"/>
        </w:rPr>
      </w:pPr>
      <w:r>
        <w:rPr>
          <w:rFonts w:hint="default" w:ascii="Times New Roman" w:hAnsi="Times New Roman" w:eastAsia="仿宋_GB2312" w:cs="Times New Roman"/>
          <w:color w:val="000000"/>
          <w:sz w:val="32"/>
          <w:szCs w:val="32"/>
        </w:rPr>
        <w:t>2021年国有资本经营预算拨款支出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3" w:firstLineChars="200"/>
        <w:textAlignment w:val="auto"/>
        <w:outlineLvl w:val="1"/>
        <w:rPr>
          <w:rStyle w:val="27"/>
          <w:rFonts w:ascii="黑体" w:hAnsi="黑体" w:eastAsia="黑体"/>
          <w:b/>
          <w:bCs/>
        </w:rPr>
      </w:pPr>
      <w:bookmarkStart w:id="81" w:name="_Toc15377221"/>
      <w:bookmarkStart w:id="82" w:name="_Toc79163874"/>
      <w:bookmarkStart w:id="83" w:name="_Toc79163624"/>
      <w:bookmarkStart w:id="84" w:name="_Toc15396612"/>
      <w:r>
        <w:rPr>
          <w:rFonts w:hint="eastAsia" w:ascii="黑体" w:hAnsi="黑体" w:eastAsia="黑体"/>
          <w:b/>
          <w:bCs/>
          <w:color w:val="000000"/>
          <w:sz w:val="32"/>
          <w:szCs w:val="32"/>
        </w:rPr>
        <w:t>十</w:t>
      </w:r>
      <w:r>
        <w:rPr>
          <w:rStyle w:val="27"/>
          <w:rFonts w:hint="eastAsia" w:ascii="黑体" w:hAnsi="黑体" w:eastAsia="黑体"/>
          <w:b/>
          <w:bCs/>
        </w:rPr>
        <w:t>、其他重要事项的情况说明</w:t>
      </w:r>
      <w:bookmarkEnd w:id="81"/>
      <w:bookmarkEnd w:id="82"/>
      <w:bookmarkEnd w:id="83"/>
      <w:bookmarkEnd w:id="84"/>
    </w:p>
    <w:p>
      <w:pPr>
        <w:pageBreakBefore w:val="0"/>
        <w:widowControl w:val="0"/>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bCs w:val="0"/>
          <w:color w:val="000000"/>
          <w:sz w:val="32"/>
          <w:szCs w:val="32"/>
        </w:rPr>
      </w:pPr>
      <w:bookmarkStart w:id="85" w:name="_Toc79163625"/>
      <w:bookmarkStart w:id="86" w:name="_Toc79163875"/>
      <w:bookmarkStart w:id="87" w:name="_Toc15377222"/>
      <w:r>
        <w:rPr>
          <w:rFonts w:hint="eastAsia" w:ascii="楷体_GB2312" w:hAnsi="楷体_GB2312" w:eastAsia="楷体_GB2312" w:cs="楷体_GB2312"/>
          <w:b/>
          <w:bCs w:val="0"/>
          <w:color w:val="000000"/>
          <w:sz w:val="32"/>
          <w:szCs w:val="32"/>
        </w:rPr>
        <w:t>（一）机关运行经费支出情况</w:t>
      </w:r>
      <w:bookmarkEnd w:id="85"/>
      <w:bookmarkEnd w:id="86"/>
      <w:bookmarkEnd w:id="87"/>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2021年，</w:t>
      </w:r>
      <w:r>
        <w:rPr>
          <w:rFonts w:hint="default" w:ascii="Times New Roman" w:hAnsi="Times New Roman" w:eastAsia="仿宋_GB2312" w:cs="Times New Roman"/>
          <w:color w:val="000000"/>
          <w:sz w:val="32"/>
          <w:szCs w:val="32"/>
          <w:lang w:eastAsia="zh-CN"/>
        </w:rPr>
        <w:t>四川南莫且高原湿地自然保护区管理处</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14.79</w:t>
      </w:r>
      <w:r>
        <w:rPr>
          <w:rFonts w:hint="default" w:ascii="Times New Roman" w:hAnsi="Times New Roman" w:eastAsia="仿宋_GB2312" w:cs="Times New Roman"/>
          <w:color w:val="000000"/>
          <w:sz w:val="32"/>
          <w:szCs w:val="32"/>
        </w:rPr>
        <w:t>万元，比2020年增加</w:t>
      </w:r>
      <w:r>
        <w:rPr>
          <w:rFonts w:hint="default" w:ascii="Times New Roman" w:hAnsi="Times New Roman" w:eastAsia="仿宋_GB2312" w:cs="Times New Roman"/>
          <w:color w:val="000000"/>
          <w:sz w:val="32"/>
          <w:szCs w:val="32"/>
          <w:lang w:val="en-US" w:eastAsia="zh-CN"/>
        </w:rPr>
        <w:t>9.82</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68.83</w:t>
      </w:r>
      <w:r>
        <w:rPr>
          <w:rFonts w:hint="default" w:ascii="Times New Roman" w:hAnsi="Times New Roman" w:eastAsia="仿宋_GB2312" w:cs="Times New Roman"/>
          <w:color w:val="000000"/>
          <w:sz w:val="32"/>
          <w:szCs w:val="32"/>
        </w:rPr>
        <w:t>%。主要原因是本年业务开展增加，相关经费增加</w:t>
      </w:r>
      <w:r>
        <w:rPr>
          <w:rFonts w:hint="default" w:ascii="Times New Roman" w:hAnsi="Times New Roman" w:eastAsia="仿宋_GB2312" w:cs="Times New Roman"/>
          <w:color w:val="000000"/>
          <w:sz w:val="32"/>
          <w:szCs w:val="32"/>
          <w:lang w:eastAsia="zh-CN"/>
        </w:rPr>
        <w:t>。</w:t>
      </w:r>
    </w:p>
    <w:p>
      <w:pPr>
        <w:pageBreakBefore w:val="0"/>
        <w:widowControl w:val="0"/>
        <w:kinsoku/>
        <w:wordWrap/>
        <w:overflowPunct/>
        <w:topLinePunct w:val="0"/>
        <w:bidi w:val="0"/>
        <w:spacing w:line="560" w:lineRule="exact"/>
        <w:ind w:firstLine="643" w:firstLineChars="200"/>
        <w:textAlignment w:val="auto"/>
        <w:outlineLvl w:val="2"/>
        <w:rPr>
          <w:rFonts w:hint="default" w:ascii="楷体_GB2312" w:hAnsi="楷体_GB2312" w:eastAsia="楷体_GB2312" w:cs="楷体_GB2312"/>
          <w:b/>
          <w:bCs w:val="0"/>
          <w:color w:val="000000"/>
          <w:sz w:val="32"/>
          <w:szCs w:val="32"/>
        </w:rPr>
      </w:pPr>
      <w:bookmarkStart w:id="88" w:name="_Toc79163626"/>
      <w:bookmarkStart w:id="89" w:name="_Toc15377223"/>
      <w:bookmarkStart w:id="90" w:name="_Toc79163876"/>
      <w:r>
        <w:rPr>
          <w:rFonts w:hint="default" w:ascii="楷体_GB2312" w:hAnsi="楷体_GB2312" w:eastAsia="楷体_GB2312" w:cs="楷体_GB2312"/>
          <w:b/>
          <w:bCs w:val="0"/>
          <w:color w:val="000000"/>
          <w:sz w:val="32"/>
          <w:szCs w:val="32"/>
        </w:rPr>
        <w:t>（二）政府采购支出情况</w:t>
      </w:r>
      <w:bookmarkEnd w:id="88"/>
      <w:bookmarkEnd w:id="89"/>
      <w:bookmarkEnd w:id="90"/>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w:t>
      </w:r>
      <w:r>
        <w:rPr>
          <w:rFonts w:hint="default" w:ascii="Times New Roman" w:hAnsi="Times New Roman" w:eastAsia="仿宋_GB2312" w:cs="Times New Roman"/>
          <w:color w:val="000000"/>
          <w:sz w:val="32"/>
          <w:szCs w:val="32"/>
          <w:lang w:eastAsia="zh-CN"/>
        </w:rPr>
        <w:t>四川南莫且高原湿地自然保护区管理处</w:t>
      </w:r>
      <w:r>
        <w:rPr>
          <w:rFonts w:hint="default" w:ascii="Times New Roman" w:hAnsi="Times New Roman" w:eastAsia="仿宋_GB2312" w:cs="Times New Roman"/>
          <w:color w:val="000000"/>
          <w:sz w:val="32"/>
          <w:szCs w:val="32"/>
        </w:rPr>
        <w:t>政府采购支出总额69.89万元，其中：政府采购货物支出69.89万元、政府采购工程支出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万元。主要用于</w:t>
      </w:r>
      <w:r>
        <w:rPr>
          <w:rFonts w:hint="default" w:ascii="Times New Roman" w:hAnsi="Times New Roman" w:eastAsia="仿宋_GB2312" w:cs="Times New Roman"/>
          <w:color w:val="000000"/>
          <w:sz w:val="32"/>
          <w:szCs w:val="32"/>
          <w:lang w:val="en-US" w:eastAsia="zh-CN"/>
        </w:rPr>
        <w:t>日常办公用品的采购支出</w:t>
      </w:r>
      <w:r>
        <w:rPr>
          <w:rFonts w:hint="default" w:ascii="Times New Roman" w:hAnsi="Times New Roman" w:eastAsia="仿宋_GB2312" w:cs="Times New Roman"/>
          <w:color w:val="000000"/>
          <w:sz w:val="32"/>
          <w:szCs w:val="32"/>
        </w:rPr>
        <w:t>。授予中小企业合同金额69.89万元，占政府采购支出总额的</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pPr>
        <w:pageBreakBefore w:val="0"/>
        <w:widowControl w:val="0"/>
        <w:kinsoku/>
        <w:wordWrap/>
        <w:overflowPunct/>
        <w:topLinePunct w:val="0"/>
        <w:bidi w:val="0"/>
        <w:spacing w:line="560" w:lineRule="exact"/>
        <w:ind w:firstLine="643" w:firstLineChars="200"/>
        <w:textAlignment w:val="auto"/>
        <w:outlineLvl w:val="2"/>
        <w:rPr>
          <w:rFonts w:hint="default" w:ascii="楷体_GB2312" w:hAnsi="楷体_GB2312" w:eastAsia="楷体_GB2312" w:cs="楷体_GB2312"/>
          <w:b/>
          <w:bCs w:val="0"/>
          <w:color w:val="000000"/>
          <w:sz w:val="32"/>
          <w:szCs w:val="32"/>
        </w:rPr>
      </w:pPr>
      <w:bookmarkStart w:id="91" w:name="_Toc79163627"/>
      <w:bookmarkStart w:id="92" w:name="_Toc79163877"/>
      <w:bookmarkStart w:id="93" w:name="_Toc15377224"/>
      <w:r>
        <w:rPr>
          <w:rFonts w:hint="default" w:ascii="楷体_GB2312" w:hAnsi="楷体_GB2312" w:eastAsia="楷体_GB2312" w:cs="楷体_GB2312"/>
          <w:b/>
          <w:bCs w:val="0"/>
          <w:color w:val="000000"/>
          <w:sz w:val="32"/>
          <w:szCs w:val="32"/>
        </w:rPr>
        <w:t>（三）国有资产占有使用情况</w:t>
      </w:r>
      <w:bookmarkEnd w:id="91"/>
      <w:bookmarkEnd w:id="92"/>
      <w:bookmarkEnd w:id="93"/>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color w:val="000000"/>
          <w:sz w:val="32"/>
          <w:szCs w:val="32"/>
        </w:rPr>
        <w:t>截至2021年12月31日，</w:t>
      </w:r>
      <w:r>
        <w:rPr>
          <w:rFonts w:hint="default" w:ascii="Times New Roman" w:hAnsi="Times New Roman" w:eastAsia="仿宋_GB2312" w:cs="Times New Roman"/>
          <w:color w:val="000000"/>
          <w:sz w:val="32"/>
          <w:szCs w:val="32"/>
          <w:lang w:eastAsia="zh-CN"/>
        </w:rPr>
        <w:t>四川南莫且高原湿地自然保护区管理处</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其他用车主要是用于</w:t>
      </w:r>
      <w:r>
        <w:rPr>
          <w:rFonts w:hint="default" w:ascii="Times New Roman" w:hAnsi="Times New Roman" w:eastAsia="仿宋_GB2312" w:cs="Times New Roman"/>
          <w:color w:val="000000"/>
          <w:sz w:val="32"/>
          <w:szCs w:val="32"/>
          <w:lang w:val="en-US" w:eastAsia="zh-CN"/>
        </w:rPr>
        <w:t>搬运货物，</w:t>
      </w:r>
      <w:r>
        <w:rPr>
          <w:rFonts w:hint="default" w:ascii="Times New Roman" w:hAnsi="Times New Roman" w:eastAsia="仿宋_GB2312" w:cs="Times New Roman"/>
          <w:color w:val="000000"/>
          <w:sz w:val="32"/>
          <w:szCs w:val="32"/>
        </w:rPr>
        <w:t>单价50万元以上通用设备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台（套），单价100万元以上专用设备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pPr>
        <w:pageBreakBefore w:val="0"/>
        <w:widowControl w:val="0"/>
        <w:kinsoku/>
        <w:wordWrap/>
        <w:overflowPunct/>
        <w:topLinePunct w:val="0"/>
        <w:bidi w:val="0"/>
        <w:spacing w:line="560" w:lineRule="exact"/>
        <w:ind w:firstLine="643" w:firstLineChars="200"/>
        <w:textAlignment w:val="auto"/>
        <w:outlineLvl w:val="2"/>
        <w:rPr>
          <w:rFonts w:hint="default" w:ascii="Times New Roman" w:hAnsi="Times New Roman" w:eastAsia="仿宋_GB2312" w:cs="Times New Roman"/>
          <w:b/>
          <w:bCs w:val="0"/>
          <w:color w:val="000000"/>
          <w:sz w:val="32"/>
          <w:szCs w:val="32"/>
        </w:rPr>
      </w:pPr>
      <w:bookmarkStart w:id="94" w:name="_Toc79163878"/>
      <w:bookmarkStart w:id="95" w:name="_Toc79163628"/>
      <w:r>
        <w:rPr>
          <w:rFonts w:hint="default" w:ascii="Times New Roman" w:hAnsi="Times New Roman" w:eastAsia="仿宋_GB2312" w:cs="Times New Roman"/>
          <w:b/>
          <w:bCs w:val="0"/>
          <w:color w:val="000000"/>
          <w:sz w:val="32"/>
          <w:szCs w:val="32"/>
        </w:rPr>
        <w:t>（四）预算绩效管理情况</w:t>
      </w:r>
      <w:bookmarkEnd w:id="94"/>
      <w:bookmarkEnd w:id="95"/>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根据预算绩效管理要求，本单位在年初预算编制阶段，组织对</w:t>
      </w:r>
      <w:r>
        <w:rPr>
          <w:rFonts w:hint="default" w:ascii="Times New Roman" w:hAnsi="Times New Roman" w:eastAsia="仿宋_GB2312" w:cs="Times New Roman"/>
          <w:sz w:val="32"/>
          <w:szCs w:val="32"/>
          <w:lang w:val="en-US" w:eastAsia="zh-CN"/>
        </w:rPr>
        <w:t>0个</w:t>
      </w:r>
      <w:r>
        <w:rPr>
          <w:rFonts w:hint="default" w:ascii="Times New Roman" w:hAnsi="Times New Roman" w:eastAsia="仿宋_GB2312" w:cs="Times New Roman"/>
          <w:sz w:val="32"/>
          <w:szCs w:val="32"/>
        </w:rPr>
        <w:t>项目开展了预算事前绩效评估，对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个项目开展了绩效目标完成情况自评。</w:t>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本部门按要求对2021年部门整体支出开展绩效自评，从评价情况来看我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部门整体支出情况良好，从预算到执行和收入、支出管理均严格按照相关要求进行，全年收支平衡，有效保障了单位正常运转，圆满完成了单位目标任务。本部门无专项预算项目，因此未组织开展项目支出绩效评价。</w:t>
      </w:r>
    </w:p>
    <w:p>
      <w:pPr>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1.项目绩效目标完成情况</w:t>
      </w:r>
    </w:p>
    <w:p>
      <w:pPr>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本部门在2021年度部门决算中反映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left="63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2.部门绩效评价结果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本部门按要求对2021年部门整体支出绩效评价情况开展自评，《</w:t>
      </w:r>
      <w:r>
        <w:rPr>
          <w:rFonts w:hint="default" w:ascii="Times New Roman" w:hAnsi="Times New Roman" w:eastAsia="仿宋_GB2312" w:cs="Times New Roman"/>
          <w:sz w:val="32"/>
          <w:szCs w:val="32"/>
          <w:lang w:eastAsia="zh-CN"/>
        </w:rPr>
        <w:t>四川南莫且高原湿地自然保护区管理处</w:t>
      </w:r>
      <w:r>
        <w:rPr>
          <w:rFonts w:hint="default" w:ascii="Times New Roman" w:hAnsi="Times New Roman" w:eastAsia="仿宋_GB2312" w:cs="Times New Roman"/>
          <w:sz w:val="32"/>
          <w:szCs w:val="32"/>
        </w:rPr>
        <w:t>2021年部门整体支出绩效评价报告》见附件（附件1）。</w:t>
      </w:r>
    </w:p>
    <w:p>
      <w:pPr>
        <w:spacing w:line="58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本部门自行组织对</w:t>
      </w:r>
      <w:r>
        <w:rPr>
          <w:rFonts w:hint="default" w:ascii="Times New Roman" w:hAnsi="Times New Roman" w:eastAsia="仿宋_GB2312" w:cs="Times New Roman"/>
          <w:sz w:val="32"/>
          <w:szCs w:val="32"/>
          <w:lang w:val="en-US" w:eastAsia="zh-CN"/>
        </w:rPr>
        <w:t>0个</w:t>
      </w:r>
      <w:r>
        <w:rPr>
          <w:rFonts w:hint="default" w:ascii="Times New Roman" w:hAnsi="Times New Roman" w:eastAsia="仿宋_GB2312" w:cs="Times New Roman"/>
          <w:sz w:val="32"/>
          <w:szCs w:val="32"/>
        </w:rPr>
        <w:t>项目开展了绩效评价。</w:t>
      </w:r>
    </w:p>
    <w:p>
      <w:pPr>
        <w:widowControl/>
        <w:jc w:val="center"/>
        <w:rPr>
          <w:rFonts w:ascii="宋体"/>
          <w:b/>
          <w:color w:val="000000"/>
          <w:sz w:val="44"/>
          <w:szCs w:val="44"/>
        </w:rPr>
      </w:pPr>
      <w:r>
        <w:rPr>
          <w:rFonts w:ascii="仿宋_GB2312" w:eastAsia="仿宋_GB2312"/>
          <w:b/>
          <w:color w:val="000000"/>
          <w:sz w:val="32"/>
          <w:szCs w:val="32"/>
        </w:rPr>
        <w:br w:type="page"/>
      </w:r>
      <w:bookmarkStart w:id="96" w:name="_Toc79163879"/>
      <w:bookmarkStart w:id="97" w:name="_Toc15377225"/>
      <w:bookmarkStart w:id="98" w:name="_Toc79163629"/>
      <w:bookmarkStart w:id="99" w:name="_Toc15396613"/>
      <w:r>
        <w:rPr>
          <w:rFonts w:hint="eastAsia" w:ascii="仿宋_GB2312" w:eastAsia="仿宋_GB2312"/>
          <w:b/>
          <w:color w:val="000000"/>
          <w:sz w:val="44"/>
          <w:szCs w:val="44"/>
          <w:lang w:val="en-US" w:eastAsia="zh-CN"/>
        </w:rPr>
        <w:t xml:space="preserve"> </w:t>
      </w:r>
      <w:r>
        <w:rPr>
          <w:rFonts w:hint="eastAsia" w:ascii="方正小标宋简体" w:hAnsi="方正小标宋简体" w:eastAsia="方正小标宋简体" w:cs="方正小标宋简体"/>
          <w:b/>
          <w:color w:val="000000"/>
          <w:sz w:val="44"/>
          <w:szCs w:val="44"/>
          <w:lang w:eastAsia="zh-CN"/>
        </w:rPr>
        <w:t>第三部分</w:t>
      </w:r>
      <w:r>
        <w:rPr>
          <w:rFonts w:hint="eastAsia" w:ascii="方正小标宋简体" w:hAnsi="方正小标宋简体" w:eastAsia="方正小标宋简体" w:cs="方正小标宋简体"/>
          <w:b/>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名</w:t>
      </w:r>
      <w:r>
        <w:rPr>
          <w:rStyle w:val="26"/>
          <w:rFonts w:hint="eastAsia" w:ascii="方正小标宋简体" w:hAnsi="方正小标宋简体" w:eastAsia="方正小标宋简体" w:cs="方正小标宋简体"/>
          <w:b w:val="0"/>
          <w:sz w:val="44"/>
          <w:szCs w:val="44"/>
        </w:rPr>
        <w:t>词解释</w:t>
      </w:r>
      <w:bookmarkEnd w:id="96"/>
      <w:bookmarkEnd w:id="97"/>
      <w:bookmarkEnd w:id="98"/>
      <w:bookmarkEnd w:id="99"/>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2.事业收入：指事业单位开展专业业务活动及辅助活动取得的收入。（二级预算单位事业收入情况）等。</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3.经营收入：指事业单位在专业业务活动及其辅助活动之外开展非独立核算经营活动取得的收入。（二级预算单位经营收入情况）等。</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4.其他收入：指单位取得的除上述收入以外的各项收入。主要是（收入类型）等。 </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 社会保障和就业（类）行政事业单位养老支出（款）机关事业单位职业年金缴费支出（项）：指机关事业单位养老保险制度由单位缴纳的职业年金支出。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.卫生健康支出（类）行政事业单位医疗（款）事业单位医疗（项）：指财政部门集中安排的事业单位基本医疗保险缴费。</w:t>
      </w:r>
    </w:p>
    <w:p>
      <w:pPr>
        <w:pStyle w:val="2"/>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sz w:val="32"/>
          <w:szCs w:val="32"/>
          <w:lang w:val="en-US" w:eastAsia="zh-CN"/>
        </w:rPr>
        <w:t>12.农林水支出（类）林业和草原（款）事业机构（项）：反映事业单位的基本支出。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13.住房保障（类）住房改革（款）住房公积金（项）：指行政事业单位按规定的标准和比例为职工缴纳的住房公积金。</w:t>
      </w:r>
    </w:p>
    <w:p>
      <w:pPr>
        <w:pStyle w:val="36"/>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14.基本支出：指为保障机构正常运转、完成日常工作任务而发生的人员支出和公用支出。</w:t>
      </w:r>
    </w:p>
    <w:p>
      <w:pPr>
        <w:pStyle w:val="36"/>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15.项目支出：指在基本支出之外为完成特定行政任务和事业发展目标所发生的支出。</w:t>
      </w:r>
    </w:p>
    <w:p>
      <w:pPr>
        <w:pStyle w:val="36"/>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16.经营支出：指事业单位在专业业务活动及其辅助活动之外开展非独立核算经营活动发生的支出。</w:t>
      </w:r>
    </w:p>
    <w:p>
      <w:pPr>
        <w:pStyle w:val="36"/>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default" w:ascii="Times New Roman" w:hAnsi="Times New Roman" w:eastAsia="仿宋_GB2312" w:cs="Times New Roman"/>
          <w:sz w:val="32"/>
          <w:szCs w:val="32"/>
        </w:rPr>
        <w:t>。</w:t>
      </w:r>
    </w:p>
    <w:p>
      <w:pPr>
        <w:spacing w:line="600" w:lineRule="exact"/>
        <w:jc w:val="center"/>
        <w:outlineLvl w:val="0"/>
        <w:rPr>
          <w:rStyle w:val="26"/>
          <w:rFonts w:ascii="黑体" w:hAnsi="黑体" w:eastAsia="黑体"/>
          <w:b w:val="0"/>
        </w:rPr>
      </w:pPr>
      <w:bookmarkStart w:id="100" w:name="_Toc15377226"/>
      <w:r>
        <w:rPr>
          <w:rFonts w:hint="default" w:ascii="Times New Roman" w:hAnsi="Times New Roman" w:cs="Times New Roman"/>
          <w:b/>
          <w:color w:val="000000"/>
          <w:sz w:val="44"/>
          <w:szCs w:val="44"/>
        </w:rPr>
        <w:br w:type="page"/>
      </w:r>
      <w:bookmarkStart w:id="101" w:name="_Toc79163630"/>
      <w:bookmarkStart w:id="102" w:name="_Toc79163880"/>
      <w:bookmarkStart w:id="103" w:name="_Toc15396614"/>
      <w:r>
        <w:rPr>
          <w:rFonts w:hint="eastAsia" w:ascii="方正小标宋简体" w:hAnsi="方正小标宋简体" w:eastAsia="方正小标宋简体" w:cs="方正小标宋简体"/>
          <w:color w:val="000000"/>
          <w:sz w:val="44"/>
          <w:szCs w:val="44"/>
        </w:rPr>
        <w:t>第</w:t>
      </w:r>
      <w:r>
        <w:rPr>
          <w:rStyle w:val="26"/>
          <w:rFonts w:hint="eastAsia" w:ascii="方正小标宋简体" w:hAnsi="方正小标宋简体" w:eastAsia="方正小标宋简体" w:cs="方正小标宋简体"/>
          <w:b w:val="0"/>
        </w:rPr>
        <w:t>四部分 附件</w:t>
      </w:r>
      <w:bookmarkEnd w:id="101"/>
      <w:bookmarkEnd w:id="102"/>
      <w:bookmarkEnd w:id="103"/>
    </w:p>
    <w:p>
      <w:pPr>
        <w:spacing w:line="600" w:lineRule="exact"/>
        <w:jc w:val="left"/>
        <w:outlineLvl w:val="0"/>
        <w:rPr>
          <w:rFonts w:ascii="方正小标宋简体" w:hAnsi="方正小标宋简体" w:eastAsia="方正小标宋简体" w:cs="方正小标宋简体"/>
          <w:sz w:val="32"/>
          <w:szCs w:val="32"/>
        </w:rPr>
      </w:pPr>
      <w:bookmarkStart w:id="104" w:name="_Toc79163631"/>
      <w:bookmarkStart w:id="105" w:name="_Toc79163881"/>
      <w:r>
        <w:rPr>
          <w:rFonts w:hint="eastAsia" w:ascii="黑体" w:hAnsi="黑体" w:eastAsia="黑体" w:cs="黑体"/>
          <w:sz w:val="32"/>
          <w:szCs w:val="32"/>
        </w:rPr>
        <w:t>附件</w:t>
      </w:r>
      <w:r>
        <w:rPr>
          <w:rFonts w:ascii="黑体" w:hAnsi="黑体" w:eastAsia="黑体" w:cs="黑体"/>
          <w:sz w:val="32"/>
          <w:szCs w:val="32"/>
        </w:rPr>
        <w:t>1</w:t>
      </w:r>
      <w:bookmarkEnd w:id="104"/>
      <w:bookmarkEnd w:id="105"/>
    </w:p>
    <w:p>
      <w:pPr>
        <w:keepNext w:val="0"/>
        <w:keepLines w:val="0"/>
        <w:widowControl w:val="0"/>
        <w:suppressLineNumbers w:val="0"/>
        <w:autoSpaceDE w:val="0"/>
        <w:autoSpaceDN/>
        <w:spacing w:before="0" w:beforeAutospacing="0" w:after="0" w:afterAutospacing="0" w:line="700" w:lineRule="exact"/>
        <w:ind w:left="0" w:right="0"/>
        <w:jc w:val="center"/>
        <w:rPr>
          <w:rFonts w:hint="default" w:ascii="Times New Roman" w:hAnsi="Times New Roman" w:eastAsia="方正小标宋简体" w:cs="Times New Roman"/>
          <w:b/>
          <w:bCs/>
          <w:kern w:val="0"/>
          <w:sz w:val="44"/>
          <w:szCs w:val="44"/>
        </w:rPr>
      </w:pPr>
      <w:r>
        <w:rPr>
          <w:rFonts w:hint="default" w:ascii="方正小标宋简体" w:hAnsi="方正小标宋简体" w:eastAsia="方正小标宋简体" w:cs="方正小标宋简体"/>
          <w:b/>
          <w:bCs/>
          <w:kern w:val="0"/>
          <w:sz w:val="44"/>
          <w:szCs w:val="44"/>
          <w:lang w:val="en-US" w:eastAsia="zh-CN" w:bidi="ar"/>
        </w:rPr>
        <w:t>四川南莫且湿地自然保护区</w:t>
      </w:r>
    </w:p>
    <w:p>
      <w:pPr>
        <w:keepNext w:val="0"/>
        <w:keepLines w:val="0"/>
        <w:widowControl w:val="0"/>
        <w:suppressLineNumbers w:val="0"/>
        <w:autoSpaceDE w:val="0"/>
        <w:autoSpaceDN/>
        <w:spacing w:before="0" w:beforeAutospacing="0" w:after="0" w:afterAutospacing="0" w:line="700" w:lineRule="exact"/>
        <w:ind w:left="0" w:right="0"/>
        <w:jc w:val="center"/>
        <w:rPr>
          <w:rFonts w:hint="default" w:ascii="Times New Roman" w:hAnsi="Times New Roman" w:eastAsia="方正小标宋简体" w:cs="Times New Roman"/>
          <w:b/>
          <w:bCs/>
          <w:kern w:val="0"/>
          <w:sz w:val="44"/>
          <w:szCs w:val="44"/>
        </w:rPr>
      </w:pPr>
      <w:r>
        <w:rPr>
          <w:rFonts w:hint="default" w:ascii="Times New Roman" w:hAnsi="Times New Roman" w:eastAsia="方正小标宋简体" w:cs="Times New Roman"/>
          <w:b/>
          <w:bCs/>
          <w:kern w:val="0"/>
          <w:sz w:val="44"/>
          <w:szCs w:val="44"/>
          <w:lang w:val="en-US" w:eastAsia="zh-CN" w:bidi="ar"/>
        </w:rPr>
        <w:t>2021</w:t>
      </w:r>
      <w:r>
        <w:rPr>
          <w:rFonts w:hint="default" w:ascii="方正小标宋简体" w:hAnsi="方正小标宋简体" w:eastAsia="方正小标宋简体" w:cs="方正小标宋简体"/>
          <w:b/>
          <w:bCs/>
          <w:kern w:val="0"/>
          <w:sz w:val="44"/>
          <w:szCs w:val="44"/>
          <w:lang w:val="en-US" w:eastAsia="zh-CN" w:bidi="ar"/>
        </w:rPr>
        <w:t>年度部门整体支出绩效评价自评报告</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黑体" w:cs="Times New Roman"/>
          <w:b/>
          <w:bCs/>
          <w:kern w:val="2"/>
          <w:sz w:val="32"/>
          <w:szCs w:val="32"/>
        </w:rPr>
      </w:pPr>
      <w:r>
        <w:rPr>
          <w:rFonts w:hint="eastAsia" w:ascii="黑体" w:hAnsi="宋体" w:eastAsia="黑体" w:cs="黑体"/>
          <w:b/>
          <w:bCs/>
          <w:kern w:val="0"/>
          <w:sz w:val="32"/>
          <w:szCs w:val="32"/>
          <w:lang w:val="en-US" w:eastAsia="zh-CN" w:bidi="ar"/>
        </w:rPr>
        <w:t>一、部门（单位）概况</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四川南莫且高原湿地自然保护区管理处机构性质：事业，机构地址：四川省壤塘县岗木达镇罗吾塘中街</w:t>
      </w:r>
      <w:r>
        <w:rPr>
          <w:rFonts w:hint="default" w:ascii="Times New Roman" w:hAnsi="Times New Roman" w:eastAsia="仿宋_GB2312" w:cs="Times New Roman"/>
          <w:kern w:val="2"/>
          <w:sz w:val="32"/>
          <w:szCs w:val="32"/>
          <w:lang w:val="en-US" w:eastAsia="zh-CN" w:bidi="ar"/>
        </w:rPr>
        <w:t>33</w:t>
      </w:r>
      <w:r>
        <w:rPr>
          <w:rFonts w:hint="default" w:ascii="仿宋_GB2312" w:hAnsi="Times New Roman" w:eastAsia="仿宋_GB2312" w:cs="仿宋_GB2312"/>
          <w:kern w:val="2"/>
          <w:sz w:val="32"/>
          <w:szCs w:val="32"/>
          <w:lang w:val="en-US" w:eastAsia="zh-CN" w:bidi="ar"/>
        </w:rPr>
        <w:t>号，单位负责人：李红军。</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（一）机构组成</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四川南莫且高原湿地自然保护区管理处共有</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个股室，综合办、保护及社区共管股、科研监测股。</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（二）机构职能</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10"/>
          <w:sz w:val="32"/>
          <w:szCs w:val="32"/>
        </w:rPr>
      </w:pPr>
      <w:r>
        <w:rPr>
          <w:rFonts w:hint="default" w:ascii="Times New Roman" w:hAnsi="Times New Roman" w:eastAsia="仿宋_GB2312" w:cs="Times New Roman"/>
          <w:b/>
          <w:bCs/>
          <w:kern w:val="10"/>
          <w:sz w:val="32"/>
          <w:szCs w:val="32"/>
          <w:lang w:val="en-US" w:eastAsia="zh-CN" w:bidi="ar"/>
        </w:rPr>
        <w:t>1</w:t>
      </w:r>
      <w:r>
        <w:rPr>
          <w:rFonts w:hint="default" w:ascii="仿宋_GB2312" w:hAnsi="Times New Roman" w:eastAsia="仿宋_GB2312" w:cs="仿宋_GB2312"/>
          <w:b/>
          <w:bCs/>
          <w:kern w:val="10"/>
          <w:sz w:val="32"/>
          <w:szCs w:val="32"/>
          <w:lang w:val="en-US" w:eastAsia="zh-CN" w:bidi="ar"/>
        </w:rPr>
        <w:t>、综合办</w:t>
      </w:r>
      <w:r>
        <w:rPr>
          <w:rFonts w:hint="default" w:ascii="仿宋_GB2312" w:hAnsi="Times New Roman" w:eastAsia="仿宋_GB2312" w:cs="仿宋_GB2312"/>
          <w:kern w:val="10"/>
          <w:sz w:val="32"/>
          <w:szCs w:val="32"/>
          <w:lang w:val="en-US" w:eastAsia="zh-CN" w:bidi="ar"/>
        </w:rPr>
        <w:t>。主要从事行政管理和财务管理职能。负责保护区的后勤管理</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协调各部门的工作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准确传达管理处领导的指示</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及时汇报工作中出现的问题</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反映职工意见和建议</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围绕保护区工作中心深入调查研究</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提供准确信息</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为管理处领导决策提供科学依据</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负责行政文件处理、行政档案管理及生产资料、设施设备保管</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负责安全教育、门卫工作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保证业务、生活用车</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做到出车安全</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模范遵守和组织宣传国家法令、法规</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组织职工学习国家政策</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按照国家人事、工资政策</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根据保护、管理等的实际需要及原则拟造职工工资表</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按照国家工程建设程序和标准</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编制基本建设计划</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组织有关人员做好工程设计、工程监理、质量验收工作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做好基建计划和进度呈报工作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及时编制预算、决算和月、季、年度财务报表</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严格遵守国家财务会计法律法规</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按照财务规章制度审核报销单据</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严格财经纪律</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把好财务关；负责固定资产账目的记载和对固定资产的管理进行监督</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及时向主任、副主任汇报管理情况</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提出改进意见</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处理日常财务和资金管理工作。完成领导交办的其他工作。</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10"/>
          <w:sz w:val="32"/>
          <w:szCs w:val="32"/>
        </w:rPr>
      </w:pPr>
      <w:r>
        <w:rPr>
          <w:rFonts w:hint="default" w:ascii="Times New Roman" w:hAnsi="Times New Roman" w:eastAsia="仿宋_GB2312" w:cs="Times New Roman"/>
          <w:b/>
          <w:bCs/>
          <w:kern w:val="10"/>
          <w:sz w:val="32"/>
          <w:szCs w:val="32"/>
          <w:lang w:val="en-US" w:eastAsia="zh-CN" w:bidi="ar"/>
        </w:rPr>
        <w:t>2</w:t>
      </w:r>
      <w:r>
        <w:rPr>
          <w:rFonts w:hint="default" w:ascii="仿宋_GB2312" w:hAnsi="Times New Roman" w:eastAsia="仿宋_GB2312" w:cs="仿宋_GB2312"/>
          <w:b/>
          <w:bCs/>
          <w:kern w:val="10"/>
          <w:sz w:val="32"/>
          <w:szCs w:val="32"/>
          <w:lang w:val="en-US" w:eastAsia="zh-CN" w:bidi="ar"/>
        </w:rPr>
        <w:t>、保护及社区共管股。</w:t>
      </w:r>
      <w:r>
        <w:rPr>
          <w:rFonts w:hint="default" w:ascii="仿宋_GB2312" w:hAnsi="Times New Roman" w:eastAsia="仿宋_GB2312" w:cs="仿宋_GB2312"/>
          <w:kern w:val="10"/>
          <w:sz w:val="32"/>
          <w:szCs w:val="32"/>
          <w:lang w:val="en-US" w:eastAsia="zh-CN" w:bidi="ar"/>
        </w:rPr>
        <w:t>主要从事野生动植物保护、自然生态系统保护以及社区共建共管工作。指导、监督各保护站管辖范围内的保护、管理工作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贯彻、执行并宣传《中华人民共和国野生动物保护法》、《中华人民共和国自然保护区条例》等法律法规及其他相关方针、政策</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坚持巡护和进行野生动物现场抢救工作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做好巡护记录</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收集基础科研数据</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严格火源管理</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消除火灾</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禁止保护区内的毁林开垦、乱捕滥猎、乱采乱挖、开山挖矿等违法违规行为</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积极协调保护区与周边社区的关系</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完成社区共管日常工作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及时上报保护区内所发生的重大问题</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搞好社区关系</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配合各股室工作。完成领导交办的其他工作。</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10"/>
          <w:sz w:val="32"/>
          <w:szCs w:val="32"/>
          <w:lang w:val="en-US" w:eastAsia="zh-CN" w:bidi="ar"/>
        </w:rPr>
        <w:t>3</w:t>
      </w:r>
      <w:r>
        <w:rPr>
          <w:rFonts w:hint="default" w:ascii="仿宋_GB2312" w:hAnsi="Times New Roman" w:eastAsia="仿宋_GB2312" w:cs="仿宋_GB2312"/>
          <w:b/>
          <w:bCs/>
          <w:kern w:val="10"/>
          <w:sz w:val="32"/>
          <w:szCs w:val="32"/>
          <w:lang w:val="en-US" w:eastAsia="zh-CN" w:bidi="ar"/>
        </w:rPr>
        <w:t>、科研监测股。</w:t>
      </w:r>
      <w:r>
        <w:rPr>
          <w:rFonts w:hint="default" w:ascii="仿宋_GB2312" w:hAnsi="Times New Roman" w:eastAsia="仿宋_GB2312" w:cs="仿宋_GB2312"/>
          <w:kern w:val="10"/>
          <w:sz w:val="32"/>
          <w:szCs w:val="32"/>
          <w:lang w:val="en-US" w:eastAsia="zh-CN" w:bidi="ar"/>
        </w:rPr>
        <w:t>主要从事保护区科研、宣传、教育等方面的管理工作。适时、全方位地宣传《中华人民共和国野生动物保护法》、《中华人民共和国环境保护法》、《中华人民共和国自然护区条例》、《森林防火条例》等法律、法规和其他相关方针政策</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有计划地组织野生动物疫监站等科研单位完成相应的科研、观测任务</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开展专题性的科研工作，组织编写科研报告、科研人员年报</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组织完成湿地资源调查工作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做好科研成果建档和档案管理工作</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接待保护区请来的相关学科的专家</w:t>
      </w:r>
      <w:r>
        <w:rPr>
          <w:rFonts w:hint="default" w:ascii="Times New Roman" w:hAnsi="Times New Roman" w:eastAsia="仿宋_GB2312" w:cs="Times New Roman"/>
          <w:kern w:val="10"/>
          <w:sz w:val="32"/>
          <w:szCs w:val="32"/>
          <w:lang w:val="en-US" w:eastAsia="zh-CN" w:bidi="ar"/>
        </w:rPr>
        <w:t>,</w:t>
      </w:r>
      <w:r>
        <w:rPr>
          <w:rFonts w:hint="default" w:ascii="仿宋_GB2312" w:hAnsi="Times New Roman" w:eastAsia="仿宋_GB2312" w:cs="仿宋_GB2312"/>
          <w:kern w:val="10"/>
          <w:sz w:val="32"/>
          <w:szCs w:val="32"/>
          <w:lang w:val="en-US" w:eastAsia="zh-CN" w:bidi="ar"/>
        </w:rPr>
        <w:t>组织职工培训。完成领导交办的其他工作</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bCs/>
          <w:kern w:val="0"/>
          <w:sz w:val="32"/>
          <w:szCs w:val="32"/>
        </w:rPr>
      </w:pPr>
      <w:r>
        <w:rPr>
          <w:rFonts w:hint="default" w:ascii="仿宋_GB2312" w:hAnsi="Times New Roman" w:eastAsia="仿宋_GB2312" w:cs="仿宋_GB2312"/>
          <w:b/>
          <w:bCs/>
          <w:kern w:val="0"/>
          <w:sz w:val="32"/>
          <w:szCs w:val="32"/>
          <w:lang w:val="en-US" w:eastAsia="zh-CN" w:bidi="ar"/>
        </w:rPr>
        <w:t>（三）人员概况</w:t>
      </w:r>
    </w:p>
    <w:p>
      <w:pPr>
        <w:keepNext w:val="0"/>
        <w:keepLines w:val="0"/>
        <w:widowControl w:val="0"/>
        <w:suppressLineNumbers w:val="0"/>
        <w:autoSpaceDE w:val="0"/>
        <w:autoSpaceDN/>
        <w:spacing w:before="0" w:beforeAutospacing="0" w:after="0" w:afterAutospacing="0" w:line="560" w:lineRule="exact"/>
        <w:ind w:left="0" w:right="0" w:firstLine="803" w:firstLineChars="25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b/>
          <w:bCs/>
          <w:kern w:val="0"/>
          <w:sz w:val="32"/>
          <w:szCs w:val="32"/>
          <w:lang w:val="en-US" w:eastAsia="zh-CN" w:bidi="ar"/>
        </w:rPr>
        <w:t>人员情况：</w:t>
      </w:r>
      <w:r>
        <w:rPr>
          <w:rFonts w:hint="default" w:ascii="仿宋_GB2312" w:hAnsi="Times New Roman" w:eastAsia="仿宋_GB2312" w:cs="仿宋_GB2312"/>
          <w:kern w:val="0"/>
          <w:sz w:val="32"/>
          <w:szCs w:val="32"/>
          <w:lang w:val="en-US" w:eastAsia="zh-CN" w:bidi="ar"/>
        </w:rPr>
        <w:t>总编制</w:t>
      </w:r>
      <w:r>
        <w:rPr>
          <w:rFonts w:hint="default" w:ascii="Times New Roman" w:hAnsi="Times New Roman" w:eastAsia="仿宋_GB2312" w:cs="Times New Roman"/>
          <w:kern w:val="0"/>
          <w:sz w:val="32"/>
          <w:szCs w:val="32"/>
          <w:lang w:val="en-US" w:eastAsia="zh-CN" w:bidi="ar"/>
        </w:rPr>
        <w:t>10</w:t>
      </w:r>
      <w:r>
        <w:rPr>
          <w:rFonts w:hint="default" w:ascii="仿宋_GB2312" w:hAnsi="Times New Roman" w:eastAsia="仿宋_GB2312" w:cs="仿宋_GB2312"/>
          <w:kern w:val="0"/>
          <w:sz w:val="32"/>
          <w:szCs w:val="32"/>
          <w:lang w:val="en-US" w:eastAsia="zh-CN" w:bidi="ar"/>
        </w:rPr>
        <w:t>名</w:t>
      </w:r>
      <w:r>
        <w:rPr>
          <w:rFonts w:hint="default" w:ascii="Times New Roman" w:hAnsi="Times New Roman" w:eastAsia="仿宋_GB2312" w:cs="Times New Roman"/>
          <w:kern w:val="0"/>
          <w:sz w:val="32"/>
          <w:szCs w:val="32"/>
          <w:lang w:val="en-US" w:eastAsia="zh-CN" w:bidi="ar"/>
        </w:rPr>
        <w:t>,</w:t>
      </w:r>
      <w:r>
        <w:rPr>
          <w:rFonts w:hint="default" w:ascii="仿宋_GB2312" w:hAnsi="Times New Roman" w:eastAsia="仿宋_GB2312" w:cs="仿宋_GB2312"/>
          <w:kern w:val="0"/>
          <w:sz w:val="32"/>
          <w:szCs w:val="32"/>
          <w:lang w:val="en-US" w:eastAsia="zh-CN" w:bidi="ar"/>
        </w:rPr>
        <w:t>其中</w:t>
      </w:r>
      <w:r>
        <w:rPr>
          <w:rFonts w:hint="default" w:ascii="Times New Roman" w:hAnsi="Times New Roman" w:eastAsia="仿宋_GB2312" w:cs="Times New Roman"/>
          <w:kern w:val="0"/>
          <w:sz w:val="32"/>
          <w:szCs w:val="32"/>
          <w:lang w:val="en-US" w:eastAsia="zh-CN" w:bidi="ar"/>
        </w:rPr>
        <w:t>:</w:t>
      </w:r>
      <w:r>
        <w:rPr>
          <w:rFonts w:hint="default" w:ascii="仿宋_GB2312" w:hAnsi="Times New Roman" w:eastAsia="仿宋_GB2312" w:cs="仿宋_GB2312"/>
          <w:kern w:val="0"/>
          <w:sz w:val="32"/>
          <w:szCs w:val="32"/>
          <w:lang w:val="en-US" w:eastAsia="zh-CN" w:bidi="ar"/>
        </w:rPr>
        <w:t>主任</w:t>
      </w:r>
      <w:r>
        <w:rPr>
          <w:rFonts w:hint="default" w:ascii="Times New Roman" w:hAnsi="Times New Roman" w:eastAsia="仿宋_GB2312" w:cs="Times New Roman"/>
          <w:kern w:val="0"/>
          <w:sz w:val="32"/>
          <w:szCs w:val="32"/>
          <w:lang w:val="en-US" w:eastAsia="zh-CN" w:bidi="ar"/>
        </w:rPr>
        <w:t>1</w:t>
      </w:r>
      <w:r>
        <w:rPr>
          <w:rFonts w:hint="default" w:ascii="仿宋_GB2312" w:hAnsi="Times New Roman" w:eastAsia="仿宋_GB2312" w:cs="仿宋_GB2312"/>
          <w:kern w:val="0"/>
          <w:sz w:val="32"/>
          <w:szCs w:val="32"/>
          <w:lang w:val="en-US" w:eastAsia="zh-CN" w:bidi="ar"/>
        </w:rPr>
        <w:t>名，副主任</w:t>
      </w:r>
      <w:r>
        <w:rPr>
          <w:rFonts w:hint="default" w:ascii="Times New Roman" w:hAnsi="Times New Roman" w:eastAsia="仿宋_GB2312" w:cs="Times New Roman"/>
          <w:kern w:val="0"/>
          <w:sz w:val="32"/>
          <w:szCs w:val="32"/>
          <w:lang w:val="en-US" w:eastAsia="zh-CN" w:bidi="ar"/>
        </w:rPr>
        <w:t>2</w:t>
      </w:r>
      <w:r>
        <w:rPr>
          <w:rFonts w:hint="default" w:ascii="仿宋_GB2312" w:hAnsi="Times New Roman" w:eastAsia="仿宋_GB2312" w:cs="仿宋_GB2312"/>
          <w:kern w:val="0"/>
          <w:sz w:val="32"/>
          <w:szCs w:val="32"/>
          <w:lang w:val="en-US" w:eastAsia="zh-CN" w:bidi="ar"/>
        </w:rPr>
        <w:t>名</w:t>
      </w:r>
      <w:r>
        <w:rPr>
          <w:rFonts w:hint="default" w:ascii="Times New Roman" w:hAnsi="Times New Roman" w:eastAsia="仿宋_GB2312" w:cs="Times New Roman"/>
          <w:kern w:val="0"/>
          <w:sz w:val="32"/>
          <w:szCs w:val="32"/>
          <w:lang w:val="en-US" w:eastAsia="zh-CN" w:bidi="ar"/>
        </w:rPr>
        <w:t>;</w:t>
      </w:r>
      <w:r>
        <w:rPr>
          <w:rFonts w:hint="default" w:ascii="仿宋_GB2312" w:hAnsi="Times New Roman" w:eastAsia="仿宋_GB2312" w:cs="仿宋_GB2312"/>
          <w:kern w:val="0"/>
          <w:sz w:val="32"/>
          <w:szCs w:val="32"/>
          <w:lang w:val="en-US" w:eastAsia="zh-CN" w:bidi="ar"/>
        </w:rPr>
        <w:t>股所级职数</w:t>
      </w:r>
      <w:r>
        <w:rPr>
          <w:rFonts w:hint="default" w:ascii="Times New Roman" w:hAnsi="Times New Roman" w:eastAsia="仿宋_GB2312" w:cs="Times New Roman"/>
          <w:kern w:val="0"/>
          <w:sz w:val="32"/>
          <w:szCs w:val="32"/>
          <w:lang w:val="en-US" w:eastAsia="zh-CN" w:bidi="ar"/>
        </w:rPr>
        <w:t>1</w:t>
      </w:r>
      <w:r>
        <w:rPr>
          <w:rFonts w:hint="default" w:ascii="仿宋_GB2312" w:hAnsi="Times New Roman" w:eastAsia="仿宋_GB2312" w:cs="仿宋_GB2312"/>
          <w:kern w:val="0"/>
          <w:sz w:val="32"/>
          <w:szCs w:val="32"/>
          <w:lang w:val="en-US" w:eastAsia="zh-CN" w:bidi="ar"/>
        </w:rPr>
        <w:t>名</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黑体" w:cs="Times New Roman"/>
          <w:b/>
          <w:bCs/>
          <w:kern w:val="0"/>
          <w:sz w:val="32"/>
          <w:szCs w:val="32"/>
        </w:rPr>
      </w:pPr>
      <w:r>
        <w:rPr>
          <w:rFonts w:hint="eastAsia" w:ascii="黑体" w:hAnsi="宋体" w:eastAsia="黑体" w:cs="黑体"/>
          <w:b/>
          <w:bCs/>
          <w:kern w:val="0"/>
          <w:sz w:val="32"/>
          <w:szCs w:val="32"/>
          <w:lang w:val="en-US" w:eastAsia="zh-CN" w:bidi="ar"/>
        </w:rPr>
        <w:t>二、预算管理情况</w:t>
      </w:r>
    </w:p>
    <w:p>
      <w:pPr>
        <w:keepNext w:val="0"/>
        <w:keepLines w:val="0"/>
        <w:widowControl w:val="0"/>
        <w:suppressLineNumbers w:val="0"/>
        <w:autoSpaceDE w:val="0"/>
        <w:autoSpaceDN/>
        <w:spacing w:before="0" w:beforeAutospacing="0" w:after="0" w:afterAutospacing="0" w:line="560" w:lineRule="exact"/>
        <w:ind w:left="0" w:right="0" w:firstLine="321" w:firstLineChars="10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（一）预算编制情况</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年财政下达四川南莫且高原湿地自然保护区管理处年初预算收入</w:t>
      </w:r>
      <w:r>
        <w:rPr>
          <w:rFonts w:hint="default" w:ascii="Times New Roman" w:hAnsi="Times New Roman" w:eastAsia="仿宋_GB2312" w:cs="Times New Roman"/>
          <w:kern w:val="2"/>
          <w:sz w:val="32"/>
          <w:szCs w:val="32"/>
          <w:lang w:val="en-US" w:eastAsia="zh-CN" w:bidi="ar"/>
        </w:rPr>
        <w:t>153.18</w:t>
      </w:r>
      <w:r>
        <w:rPr>
          <w:rFonts w:hint="default" w:ascii="仿宋_GB2312" w:hAnsi="Times New Roman" w:eastAsia="仿宋_GB2312" w:cs="仿宋_GB2312"/>
          <w:kern w:val="2"/>
          <w:sz w:val="32"/>
          <w:szCs w:val="32"/>
          <w:lang w:val="en-US" w:eastAsia="zh-CN" w:bidi="ar"/>
        </w:rPr>
        <w:t>万元，执行期中追加收入</w:t>
      </w:r>
      <w:r>
        <w:rPr>
          <w:rFonts w:hint="default" w:ascii="Times New Roman" w:hAnsi="Times New Roman" w:eastAsia="仿宋_GB2312" w:cs="Times New Roman"/>
          <w:kern w:val="2"/>
          <w:sz w:val="32"/>
          <w:szCs w:val="32"/>
          <w:lang w:val="en-US" w:eastAsia="zh-CN" w:bidi="ar"/>
        </w:rPr>
        <w:t>270.98</w:t>
      </w:r>
      <w:r>
        <w:rPr>
          <w:rFonts w:hint="default"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 xml:space="preserve">   </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年四川南莫且高原湿地自然保护区管理处共计预算支出</w:t>
      </w:r>
      <w:r>
        <w:rPr>
          <w:rFonts w:hint="default" w:ascii="Times New Roman" w:hAnsi="Times New Roman" w:eastAsia="仿宋_GB2312" w:cs="Times New Roman"/>
          <w:kern w:val="2"/>
          <w:sz w:val="32"/>
          <w:szCs w:val="32"/>
          <w:lang w:val="en-US" w:eastAsia="zh-CN" w:bidi="ar"/>
        </w:rPr>
        <w:t>483.18</w:t>
      </w:r>
      <w:r>
        <w:rPr>
          <w:rFonts w:hint="default" w:ascii="仿宋_GB2312" w:hAnsi="Times New Roman" w:eastAsia="仿宋_GB2312" w:cs="仿宋_GB2312"/>
          <w:kern w:val="2"/>
          <w:sz w:val="32"/>
          <w:szCs w:val="32"/>
          <w:lang w:val="en-US" w:eastAsia="zh-CN" w:bidi="ar"/>
        </w:rPr>
        <w:t>万元，基本支出</w:t>
      </w:r>
      <w:r>
        <w:rPr>
          <w:rFonts w:hint="default" w:ascii="Times New Roman" w:hAnsi="Times New Roman" w:eastAsia="仿宋_GB2312" w:cs="Times New Roman"/>
          <w:kern w:val="2"/>
          <w:sz w:val="32"/>
          <w:szCs w:val="32"/>
          <w:lang w:val="en-US" w:eastAsia="zh-CN" w:bidi="ar"/>
        </w:rPr>
        <w:t>153.18</w:t>
      </w:r>
      <w:r>
        <w:rPr>
          <w:rFonts w:hint="default" w:ascii="仿宋_GB2312" w:hAnsi="Times New Roman" w:eastAsia="仿宋_GB2312" w:cs="仿宋_GB2312"/>
          <w:kern w:val="2"/>
          <w:sz w:val="32"/>
          <w:szCs w:val="32"/>
          <w:lang w:val="en-US" w:eastAsia="zh-CN" w:bidi="ar"/>
        </w:rPr>
        <w:t>万元，项目支出</w:t>
      </w:r>
      <w:r>
        <w:rPr>
          <w:rFonts w:hint="default" w:ascii="Times New Roman" w:hAnsi="Times New Roman" w:eastAsia="仿宋_GB2312" w:cs="Times New Roman"/>
          <w:kern w:val="2"/>
          <w:sz w:val="32"/>
          <w:szCs w:val="32"/>
          <w:lang w:val="en-US" w:eastAsia="zh-CN" w:bidi="ar"/>
        </w:rPr>
        <w:t>330</w:t>
      </w:r>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（二）预算执行情况</w:t>
      </w:r>
    </w:p>
    <w:p>
      <w:pPr>
        <w:pStyle w:val="21"/>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四川南莫且高原湿地自然保护区管理处</w:t>
      </w: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年财政拨款收入：共计</w:t>
      </w:r>
      <w:r>
        <w:rPr>
          <w:rFonts w:hint="default" w:ascii="Times New Roman" w:hAnsi="Times New Roman" w:eastAsia="仿宋_GB2312" w:cs="Times New Roman"/>
          <w:kern w:val="2"/>
          <w:sz w:val="32"/>
          <w:szCs w:val="32"/>
          <w:lang w:val="en-US" w:eastAsia="zh-CN" w:bidi="ar"/>
        </w:rPr>
        <w:t>424.16</w:t>
      </w:r>
      <w:r>
        <w:rPr>
          <w:rFonts w:hint="default"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2020</w:t>
      </w:r>
      <w:r>
        <w:rPr>
          <w:rFonts w:hint="default" w:ascii="仿宋_GB2312" w:hAnsi="Times New Roman" w:eastAsia="仿宋_GB2312" w:cs="仿宋_GB2312"/>
          <w:kern w:val="2"/>
          <w:sz w:val="32"/>
          <w:szCs w:val="32"/>
          <w:lang w:val="en-US" w:eastAsia="zh-CN" w:bidi="ar"/>
        </w:rPr>
        <w:t>年财政拨款</w:t>
      </w:r>
      <w:r>
        <w:rPr>
          <w:rFonts w:hint="default" w:ascii="Times New Roman" w:hAnsi="Times New Roman" w:eastAsia="仿宋_GB2312" w:cs="Times New Roman"/>
          <w:kern w:val="2"/>
          <w:sz w:val="32"/>
          <w:szCs w:val="32"/>
          <w:lang w:val="en-US" w:eastAsia="zh-CN" w:bidi="ar"/>
        </w:rPr>
        <w:t>383.82</w:t>
      </w:r>
      <w:r>
        <w:rPr>
          <w:rFonts w:hint="default" w:ascii="仿宋_GB2312" w:hAnsi="Times New Roman" w:eastAsia="仿宋_GB2312" w:cs="仿宋_GB2312"/>
          <w:kern w:val="2"/>
          <w:sz w:val="32"/>
          <w:szCs w:val="32"/>
          <w:lang w:val="en-US" w:eastAsia="zh-CN" w:bidi="ar"/>
        </w:rPr>
        <w:t>万元，比上年增加</w:t>
      </w:r>
      <w:r>
        <w:rPr>
          <w:rFonts w:hint="default" w:ascii="Times New Roman" w:hAnsi="Times New Roman" w:eastAsia="仿宋_GB2312" w:cs="Times New Roman"/>
          <w:kern w:val="2"/>
          <w:sz w:val="32"/>
          <w:szCs w:val="32"/>
          <w:lang w:val="en-US" w:eastAsia="zh-CN" w:bidi="ar"/>
        </w:rPr>
        <w:t>30.34</w:t>
      </w:r>
      <w:r>
        <w:rPr>
          <w:rFonts w:hint="default" w:ascii="仿宋_GB2312" w:hAnsi="Times New Roman" w:eastAsia="仿宋_GB2312" w:cs="仿宋_GB2312"/>
          <w:kern w:val="2"/>
          <w:sz w:val="32"/>
          <w:szCs w:val="32"/>
          <w:lang w:val="en-US" w:eastAsia="zh-CN" w:bidi="ar"/>
        </w:rPr>
        <w:t>万元，增长</w:t>
      </w:r>
      <w:r>
        <w:rPr>
          <w:rFonts w:hint="default" w:ascii="Times New Roman" w:hAnsi="Times New Roman" w:eastAsia="仿宋_GB2312" w:cs="Times New Roman"/>
          <w:kern w:val="2"/>
          <w:sz w:val="32"/>
          <w:szCs w:val="32"/>
          <w:lang w:val="en-US" w:eastAsia="zh-CN" w:bidi="ar"/>
        </w:rPr>
        <w:t>7.7%</w:t>
      </w:r>
      <w:r>
        <w:rPr>
          <w:rFonts w:hint="default" w:ascii="仿宋_GB2312" w:hAnsi="Times New Roman" w:eastAsia="仿宋_GB2312" w:cs="仿宋_GB2312"/>
          <w:kern w:val="2"/>
          <w:sz w:val="32"/>
          <w:szCs w:val="32"/>
          <w:lang w:val="en-US" w:eastAsia="zh-CN" w:bidi="ar"/>
        </w:rPr>
        <w:t>，主要变动原因是人员经费增加。</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黑体" w:cs="Times New Roman"/>
          <w:b/>
          <w:bCs/>
          <w:kern w:val="0"/>
          <w:sz w:val="32"/>
          <w:szCs w:val="32"/>
        </w:rPr>
      </w:pPr>
      <w:r>
        <w:rPr>
          <w:rFonts w:hint="eastAsia" w:ascii="黑体" w:hAnsi="宋体" w:eastAsia="黑体" w:cs="黑体"/>
          <w:b/>
          <w:bCs/>
          <w:kern w:val="0"/>
          <w:sz w:val="32"/>
          <w:szCs w:val="32"/>
          <w:lang w:val="en-US" w:eastAsia="zh-CN" w:bidi="ar"/>
        </w:rPr>
        <w:t>三、部门管理情况</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（一）基础管理</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bidi="ar"/>
        </w:rPr>
        <w:t>1</w:t>
      </w:r>
      <w:r>
        <w:rPr>
          <w:rFonts w:hint="default" w:ascii="仿宋_GB2312" w:hAnsi="Times New Roman" w:eastAsia="仿宋_GB2312" w:cs="仿宋_GB2312"/>
          <w:b/>
          <w:bCs/>
          <w:kern w:val="0"/>
          <w:sz w:val="32"/>
          <w:szCs w:val="32"/>
          <w:lang w:val="en-US" w:eastAsia="zh-CN" w:bidi="ar"/>
        </w:rPr>
        <w:t>、管理制度健全性</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川南莫且高原湿地自然保护区管理处根据财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厉行节约管理措施、内部财务管理制度、预算资金管理办法等内部管理制度</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另还有公文管理制度、督查管理制度在建；以上相关管理制度合法、合规、完整，均得到了有效执行。</w:t>
      </w:r>
    </w:p>
    <w:p>
      <w:pPr>
        <w:pStyle w:val="21"/>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bidi="ar"/>
        </w:rPr>
        <w:t>2</w:t>
      </w:r>
      <w:r>
        <w:rPr>
          <w:rFonts w:hint="default" w:ascii="仿宋_GB2312" w:hAnsi="Times New Roman" w:eastAsia="仿宋_GB2312" w:cs="仿宋_GB2312"/>
          <w:b/>
          <w:bCs/>
          <w:kern w:val="0"/>
          <w:sz w:val="32"/>
          <w:szCs w:val="32"/>
          <w:lang w:val="en-US" w:eastAsia="zh-CN" w:bidi="ar"/>
        </w:rPr>
        <w:t>、财务管理以及资金使用合规性</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四川南莫且高原湿地自然保护区管理处本年度资金使用过程中严格按照单位财务管理制度要求执行，资金使用的合规性体现在：</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b/>
          <w:bCs/>
          <w:kern w:val="2"/>
          <w:sz w:val="32"/>
          <w:szCs w:val="32"/>
          <w:lang w:val="en-US" w:eastAsia="zh-CN" w:bidi="ar"/>
        </w:rPr>
        <w:t>（</w:t>
      </w:r>
      <w:r>
        <w:rPr>
          <w:rFonts w:hint="default" w:ascii="Times New Roman" w:hAnsi="Times New Roman" w:eastAsia="仿宋_GB2312" w:cs="Times New Roman"/>
          <w:b/>
          <w:bCs/>
          <w:kern w:val="2"/>
          <w:sz w:val="32"/>
          <w:szCs w:val="32"/>
          <w:lang w:val="en-US" w:eastAsia="zh-CN" w:bidi="ar"/>
        </w:rPr>
        <w:t>1</w:t>
      </w:r>
      <w:r>
        <w:rPr>
          <w:rFonts w:hint="default" w:ascii="仿宋_GB2312" w:hAnsi="Times New Roman" w:eastAsia="仿宋_GB2312" w:cs="仿宋_GB2312"/>
          <w:b/>
          <w:bCs/>
          <w:kern w:val="2"/>
          <w:sz w:val="32"/>
          <w:szCs w:val="32"/>
          <w:lang w:val="en-US" w:eastAsia="zh-CN" w:bidi="ar"/>
        </w:rPr>
        <w:t>）</w:t>
      </w:r>
      <w:r>
        <w:rPr>
          <w:rFonts w:hint="default" w:ascii="仿宋_GB2312" w:hAnsi="Times New Roman" w:eastAsia="仿宋_GB2312" w:cs="仿宋_GB2312"/>
          <w:kern w:val="2"/>
          <w:sz w:val="32"/>
          <w:szCs w:val="32"/>
          <w:lang w:val="en-US" w:eastAsia="zh-CN" w:bidi="ar"/>
        </w:rPr>
        <w:t>所有经费开支坚持财务审批制度，重大资金支出（日常公用经费在</w:t>
      </w:r>
      <w:r>
        <w:rPr>
          <w:rFonts w:hint="default" w:ascii="Times New Roman" w:hAnsi="Times New Roman" w:eastAsia="仿宋_GB2312" w:cs="Times New Roman"/>
          <w:kern w:val="2"/>
          <w:sz w:val="32"/>
          <w:szCs w:val="32"/>
          <w:lang w:val="en-US" w:eastAsia="zh-CN" w:bidi="ar"/>
        </w:rPr>
        <w:t>2000</w:t>
      </w:r>
      <w:r>
        <w:rPr>
          <w:rFonts w:hint="default" w:ascii="仿宋_GB2312" w:hAnsi="Times New Roman" w:eastAsia="仿宋_GB2312" w:cs="仿宋_GB2312"/>
          <w:kern w:val="2"/>
          <w:sz w:val="32"/>
          <w:szCs w:val="32"/>
          <w:lang w:val="en-US" w:eastAsia="zh-CN" w:bidi="ar"/>
        </w:rPr>
        <w:t>元及以上）由党支部会、职工大会等研究决定。</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b/>
          <w:bCs/>
          <w:kern w:val="2"/>
          <w:sz w:val="32"/>
          <w:szCs w:val="32"/>
          <w:lang w:val="en-US" w:eastAsia="zh-CN" w:bidi="ar"/>
        </w:rPr>
        <w:t>（</w:t>
      </w: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b/>
          <w:bCs/>
          <w:kern w:val="2"/>
          <w:sz w:val="32"/>
          <w:szCs w:val="32"/>
          <w:lang w:val="en-US" w:eastAsia="zh-CN" w:bidi="ar"/>
        </w:rPr>
        <w:t>）</w:t>
      </w:r>
      <w:r>
        <w:rPr>
          <w:rFonts w:hint="default" w:ascii="仿宋_GB2312" w:hAnsi="Times New Roman" w:eastAsia="仿宋_GB2312" w:cs="仿宋_GB2312"/>
          <w:kern w:val="2"/>
          <w:sz w:val="32"/>
          <w:szCs w:val="32"/>
          <w:lang w:val="en-US" w:eastAsia="zh-CN" w:bidi="ar"/>
        </w:rPr>
        <w:t>在报销经费时，经办人使用统一规范的审批单，在审批单上写明用途、经办人员、股室负责人、财务负责人、单位领导、金额、报销日期等内容。</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b/>
          <w:bCs/>
          <w:kern w:val="2"/>
          <w:sz w:val="32"/>
          <w:szCs w:val="32"/>
          <w:lang w:val="en-US" w:eastAsia="zh-CN" w:bidi="ar"/>
        </w:rPr>
        <w:t>（</w:t>
      </w:r>
      <w:r>
        <w:rPr>
          <w:rFonts w:hint="default" w:ascii="Times New Roman" w:hAnsi="Times New Roman" w:eastAsia="仿宋_GB2312" w:cs="Times New Roman"/>
          <w:b/>
          <w:bCs/>
          <w:kern w:val="2"/>
          <w:sz w:val="32"/>
          <w:szCs w:val="32"/>
          <w:lang w:val="en-US" w:eastAsia="zh-CN" w:bidi="ar"/>
        </w:rPr>
        <w:t>3</w:t>
      </w:r>
      <w:r>
        <w:rPr>
          <w:rFonts w:hint="default" w:ascii="仿宋_GB2312" w:hAnsi="Times New Roman" w:eastAsia="仿宋_GB2312" w:cs="仿宋_GB2312"/>
          <w:b/>
          <w:bCs/>
          <w:kern w:val="2"/>
          <w:sz w:val="32"/>
          <w:szCs w:val="32"/>
          <w:lang w:val="en-US" w:eastAsia="zh-CN" w:bidi="ar"/>
        </w:rPr>
        <w:t>）</w:t>
      </w:r>
      <w:r>
        <w:rPr>
          <w:rFonts w:hint="default" w:ascii="仿宋_GB2312" w:hAnsi="Times New Roman" w:eastAsia="仿宋_GB2312" w:cs="仿宋_GB2312"/>
          <w:kern w:val="2"/>
          <w:sz w:val="32"/>
          <w:szCs w:val="32"/>
          <w:lang w:val="en-US" w:eastAsia="zh-CN" w:bidi="ar"/>
        </w:rPr>
        <w:t>费用报销审批程序</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经办人填写报销单</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由业务科室负责人确认签字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财务人员核签字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财务分管领导确认签字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领导（管理处主任）批准后，到财务出纳处办理支付手续。</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b/>
          <w:bCs/>
          <w:kern w:val="2"/>
          <w:sz w:val="32"/>
          <w:szCs w:val="32"/>
          <w:lang w:val="en-US" w:eastAsia="zh-CN" w:bidi="ar"/>
        </w:rPr>
        <w:t>（</w:t>
      </w:r>
      <w:r>
        <w:rPr>
          <w:rFonts w:hint="default" w:ascii="Times New Roman" w:hAnsi="Times New Roman" w:eastAsia="仿宋_GB2312" w:cs="Times New Roman"/>
          <w:b/>
          <w:bCs/>
          <w:kern w:val="2"/>
          <w:sz w:val="32"/>
          <w:szCs w:val="32"/>
          <w:lang w:val="en-US" w:eastAsia="zh-CN" w:bidi="ar"/>
        </w:rPr>
        <w:t>4</w:t>
      </w:r>
      <w:r>
        <w:rPr>
          <w:rFonts w:hint="default" w:ascii="仿宋_GB2312" w:hAnsi="Times New Roman" w:eastAsia="仿宋_GB2312" w:cs="仿宋_GB2312"/>
          <w:b/>
          <w:bCs/>
          <w:kern w:val="2"/>
          <w:sz w:val="32"/>
          <w:szCs w:val="32"/>
          <w:lang w:val="en-US" w:eastAsia="zh-CN" w:bidi="ar"/>
        </w:rPr>
        <w:t>）</w:t>
      </w:r>
      <w:r>
        <w:rPr>
          <w:rFonts w:hint="default" w:ascii="仿宋_GB2312" w:hAnsi="Times New Roman" w:eastAsia="仿宋_GB2312" w:cs="仿宋_GB2312"/>
          <w:kern w:val="2"/>
          <w:sz w:val="32"/>
          <w:szCs w:val="32"/>
          <w:lang w:val="en-US" w:eastAsia="zh-CN" w:bidi="ar"/>
        </w:rPr>
        <w:t>各个审批环节的具体职责</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业务科室负责人及其分管领导对其发生的支出用途及金额的真实性、准确性负责，并对其科室填写的支出审批单内容、大小写金额、票据张数进行审核。经济业务发生后，原则上在</w:t>
      </w:r>
      <w:r>
        <w:rPr>
          <w:rFonts w:hint="default" w:ascii="Times New Roman" w:hAnsi="Times New Roman" w:eastAsia="仿宋_GB2312" w:cs="Times New Roman"/>
          <w:kern w:val="2"/>
          <w:sz w:val="32"/>
          <w:szCs w:val="32"/>
          <w:lang w:val="en-US" w:eastAsia="zh-CN" w:bidi="ar"/>
        </w:rPr>
        <w:t>30</w:t>
      </w:r>
      <w:r>
        <w:rPr>
          <w:rFonts w:hint="default" w:ascii="仿宋_GB2312" w:hAnsi="Times New Roman" w:eastAsia="仿宋_GB2312" w:cs="仿宋_GB2312"/>
          <w:kern w:val="2"/>
          <w:sz w:val="32"/>
          <w:szCs w:val="32"/>
          <w:lang w:val="en-US" w:eastAsia="zh-CN" w:bidi="ar"/>
        </w:rPr>
        <w:t>天之内报账完毕。不得将几个经济事项的票据合并填报。</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财务室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各审批领导审查财务收支的真实性、合法性、必要性，并在报销凭证上明确签署报销意见。</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所有费用报销实行单位负责人（管理处主任）</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一支笔</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签批制度。</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2"/>
          <w:sz w:val="32"/>
          <w:szCs w:val="32"/>
        </w:rPr>
      </w:pPr>
      <w:r>
        <w:rPr>
          <w:rFonts w:hint="default" w:ascii="楷体_GB2312" w:hAnsi="Times New Roman" w:eastAsia="楷体_GB2312" w:cs="楷体_GB2312"/>
          <w:b/>
          <w:bCs/>
          <w:kern w:val="0"/>
          <w:sz w:val="32"/>
          <w:szCs w:val="32"/>
          <w:lang w:val="en-US" w:eastAsia="zh-CN" w:bidi="ar"/>
        </w:rPr>
        <w:t>（二）行政成本</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经费控制。四川南莫且高原湿地自然保护区管理处</w:t>
      </w: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经费预算</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万元，决算支出</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万元。其中公务用车购置及运行维护费预算</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万元，决算支出</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万元（其中公务用车运行维护费</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未发生因公出国（境）费及公务接待费，</w:t>
      </w: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经费决算均未超过预算。</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（三）政府采购</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采购规范性。四川南莫且高原湿地自然保护区管理处</w:t>
      </w: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年度政府采购货物支出</w:t>
      </w:r>
      <w:r>
        <w:rPr>
          <w:rFonts w:hint="default" w:ascii="Times New Roman" w:hAnsi="Times New Roman" w:eastAsia="仿宋_GB2312" w:cs="Times New Roman"/>
          <w:kern w:val="2"/>
          <w:sz w:val="32"/>
          <w:szCs w:val="32"/>
          <w:lang w:val="en-US" w:eastAsia="zh-CN" w:bidi="ar"/>
        </w:rPr>
        <w:t>69.89</w:t>
      </w:r>
      <w:r>
        <w:rPr>
          <w:rFonts w:hint="default" w:ascii="仿宋_GB2312" w:hAnsi="Times New Roman" w:eastAsia="仿宋_GB2312" w:cs="仿宋_GB2312"/>
          <w:kern w:val="2"/>
          <w:sz w:val="32"/>
          <w:szCs w:val="32"/>
          <w:lang w:val="en-US" w:eastAsia="zh-CN" w:bidi="ar"/>
        </w:rPr>
        <w:t>万元，政府采购工程支出</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万元，政府采购服务支出</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autoSpaceDE w:val="0"/>
        <w:autoSpaceDN/>
        <w:snapToGrid w:val="0"/>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2"/>
          <w:sz w:val="32"/>
          <w:szCs w:val="32"/>
        </w:rPr>
      </w:pPr>
      <w:r>
        <w:rPr>
          <w:rFonts w:hint="default" w:ascii="楷体_GB2312" w:hAnsi="Times New Roman" w:eastAsia="楷体_GB2312" w:cs="楷体_GB2312"/>
          <w:b/>
          <w:bCs/>
          <w:kern w:val="0"/>
          <w:sz w:val="32"/>
          <w:szCs w:val="32"/>
          <w:lang w:val="en-US" w:eastAsia="zh-CN" w:bidi="ar"/>
        </w:rPr>
        <w:t>（四）资产管理</w:t>
      </w:r>
      <w:r>
        <w:rPr>
          <w:rFonts w:hint="default" w:ascii="Times New Roman" w:hAnsi="Times New Roman" w:eastAsia="楷体_GB2312" w:cs="Times New Roman"/>
          <w:b/>
          <w:bCs/>
          <w:kern w:val="0"/>
          <w:sz w:val="32"/>
          <w:szCs w:val="32"/>
          <w:lang w:val="en-US" w:eastAsia="zh-CN" w:bidi="ar"/>
        </w:rPr>
        <w:t xml:space="preserve"> </w:t>
      </w:r>
      <w:r>
        <w:rPr>
          <w:rFonts w:hint="default" w:ascii="Times New Roman" w:hAnsi="Times New Roman" w:eastAsia="楷体_GB2312" w:cs="Times New Roman"/>
          <w:b/>
          <w:bCs/>
          <w:kern w:val="2"/>
          <w:sz w:val="32"/>
          <w:szCs w:val="32"/>
          <w:lang w:val="en-US" w:eastAsia="zh-CN" w:bidi="ar"/>
        </w:rPr>
        <w:t xml:space="preserve"> </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固定资产在用率。截止</w:t>
      </w: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default" w:ascii="仿宋_GB2312" w:hAnsi="Times New Roman" w:eastAsia="仿宋_GB2312" w:cs="仿宋_GB2312"/>
          <w:kern w:val="2"/>
          <w:sz w:val="32"/>
          <w:szCs w:val="32"/>
          <w:lang w:val="en-US" w:eastAsia="zh-CN" w:bidi="ar"/>
        </w:rPr>
        <w:t>日，四川南莫且高原湿地自然保护区管理处《行政单位资产管理系统》固定资产总计</w:t>
      </w:r>
      <w:r>
        <w:rPr>
          <w:rFonts w:hint="default" w:ascii="Times New Roman" w:hAnsi="Times New Roman" w:eastAsia="仿宋_GB2312" w:cs="Times New Roman"/>
          <w:kern w:val="2"/>
          <w:sz w:val="32"/>
          <w:szCs w:val="32"/>
          <w:lang w:val="en-US" w:eastAsia="zh-CN" w:bidi="ar"/>
        </w:rPr>
        <w:t>222.83</w:t>
      </w:r>
      <w:r>
        <w:rPr>
          <w:rFonts w:hint="default" w:ascii="仿宋_GB2312" w:hAnsi="Times New Roman" w:eastAsia="仿宋_GB2312" w:cs="仿宋_GB2312"/>
          <w:kern w:val="2"/>
          <w:sz w:val="32"/>
          <w:szCs w:val="32"/>
          <w:lang w:val="en-US" w:eastAsia="zh-CN" w:bidi="ar"/>
        </w:rPr>
        <w:t>万元，在用的固定资产总计</w:t>
      </w:r>
      <w:r>
        <w:rPr>
          <w:rFonts w:hint="default" w:ascii="Times New Roman" w:hAnsi="Times New Roman" w:eastAsia="仿宋_GB2312" w:cs="Times New Roman"/>
          <w:kern w:val="2"/>
          <w:sz w:val="32"/>
          <w:szCs w:val="32"/>
          <w:lang w:val="en-US" w:eastAsia="zh-CN" w:bidi="ar"/>
        </w:rPr>
        <w:t>222.83</w:t>
      </w:r>
      <w:r>
        <w:rPr>
          <w:rFonts w:hint="default" w:ascii="仿宋_GB2312" w:hAnsi="Times New Roman" w:eastAsia="仿宋_GB2312" w:cs="仿宋_GB2312"/>
          <w:kern w:val="2"/>
          <w:sz w:val="32"/>
          <w:szCs w:val="32"/>
          <w:lang w:val="en-US" w:eastAsia="zh-CN" w:bidi="ar"/>
        </w:rPr>
        <w:t>万元，固定资产在用率达</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w:t>
      </w:r>
    </w:p>
    <w:p>
      <w:pPr>
        <w:pStyle w:val="21"/>
        <w:keepNext w:val="0"/>
        <w:keepLines w:val="0"/>
        <w:widowControl w:val="0"/>
        <w:suppressLineNumbers w:val="0"/>
        <w:autoSpaceDE w:val="0"/>
        <w:autoSpaceDN/>
        <w:spacing w:before="0" w:beforeAutospacing="0" w:after="0" w:afterAutospacing="0" w:line="560" w:lineRule="exact"/>
        <w:ind w:left="420" w:leftChars="200" w:right="0" w:firstLine="0" w:firstLineChars="0"/>
        <w:jc w:val="both"/>
        <w:rPr>
          <w:rFonts w:hint="default" w:ascii="Times New Roman" w:hAnsi="Times New Roman" w:eastAsia="楷体_GB2312" w:cs="Times New Roman"/>
          <w:b/>
          <w:bCs/>
          <w:kern w:val="0"/>
          <w:sz w:val="32"/>
          <w:szCs w:val="32"/>
        </w:rPr>
      </w:pPr>
      <w:r>
        <w:rPr>
          <w:rFonts w:hint="default" w:ascii="楷体_GB2312" w:hAnsi="Times New Roman" w:eastAsia="楷体_GB2312" w:cs="楷体_GB2312"/>
          <w:b/>
          <w:bCs/>
          <w:kern w:val="0"/>
          <w:sz w:val="32"/>
          <w:szCs w:val="32"/>
          <w:lang w:val="en-US" w:eastAsia="zh-CN" w:bidi="ar"/>
        </w:rPr>
        <w:t>（五）信息公开</w:t>
      </w:r>
    </w:p>
    <w:p>
      <w:pPr>
        <w:pStyle w:val="21"/>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信息公开。四川南莫且高原湿地自然保护区管理处已经按财政要求及时完成预算、决算、绩效等信息公开工作，信息公开在壤塘县门户网站中。</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黑体" w:cs="Times New Roman"/>
          <w:b/>
          <w:bCs/>
          <w:kern w:val="0"/>
          <w:sz w:val="32"/>
          <w:szCs w:val="32"/>
        </w:rPr>
      </w:pPr>
      <w:r>
        <w:rPr>
          <w:rFonts w:hint="eastAsia" w:ascii="黑体" w:hAnsi="宋体" w:eastAsia="黑体" w:cs="黑体"/>
          <w:b/>
          <w:bCs/>
          <w:kern w:val="0"/>
          <w:sz w:val="32"/>
          <w:szCs w:val="32"/>
          <w:lang w:val="en-US" w:eastAsia="zh-CN" w:bidi="ar"/>
        </w:rPr>
        <w:t>四、部门履职效能</w:t>
      </w:r>
    </w:p>
    <w:p>
      <w:pPr>
        <w:pStyle w:val="21"/>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default" w:ascii="楷体_GB2312" w:hAnsi="Times New Roman" w:eastAsia="楷体_GB2312" w:cs="楷体_GB2312"/>
          <w:b/>
          <w:bCs/>
          <w:kern w:val="0"/>
          <w:sz w:val="32"/>
          <w:szCs w:val="32"/>
          <w:lang w:val="en-US" w:eastAsia="zh-CN" w:bidi="ar"/>
        </w:rPr>
        <w:t>（一）部门履职的年度总体目标</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bCs/>
          <w:kern w:val="2"/>
          <w:sz w:val="32"/>
          <w:szCs w:val="32"/>
          <w:lang w:val="en-US" w:eastAsia="zh-CN" w:bidi="ar"/>
        </w:rPr>
        <w:t>一是</w:t>
      </w:r>
      <w:r>
        <w:rPr>
          <w:rFonts w:hint="default" w:ascii="仿宋_GB2312" w:hAnsi="Times New Roman" w:eastAsia="仿宋_GB2312" w:cs="仿宋_GB2312"/>
          <w:b w:val="0"/>
          <w:bCs w:val="0"/>
          <w:kern w:val="2"/>
          <w:sz w:val="32"/>
          <w:szCs w:val="32"/>
          <w:lang w:val="en-US" w:eastAsia="zh-CN" w:bidi="ar"/>
        </w:rPr>
        <w:t>持续强化对习近平总书记关于党的建设重要论述的学习。</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bCs/>
          <w:kern w:val="2"/>
          <w:sz w:val="32"/>
          <w:szCs w:val="32"/>
          <w:lang w:val="en-US" w:eastAsia="zh-CN" w:bidi="ar"/>
        </w:rPr>
        <w:t>二是</w:t>
      </w:r>
      <w:r>
        <w:rPr>
          <w:rFonts w:hint="default" w:ascii="仿宋_GB2312" w:hAnsi="Times New Roman" w:eastAsia="仿宋_GB2312" w:cs="仿宋_GB2312"/>
          <w:b w:val="0"/>
          <w:bCs w:val="0"/>
          <w:kern w:val="2"/>
          <w:sz w:val="32"/>
          <w:szCs w:val="32"/>
          <w:lang w:val="en-US" w:eastAsia="zh-CN" w:bidi="ar"/>
        </w:rPr>
        <w:t>强化责任落实，明确责任主体，使职责任务清晰明了。</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bCs/>
          <w:kern w:val="2"/>
          <w:sz w:val="32"/>
          <w:szCs w:val="32"/>
          <w:lang w:val="en-US" w:eastAsia="zh-CN" w:bidi="ar"/>
        </w:rPr>
        <w:t>三是</w:t>
      </w:r>
      <w:r>
        <w:rPr>
          <w:rFonts w:hint="default" w:ascii="仿宋_GB2312" w:hAnsi="Times New Roman" w:eastAsia="仿宋_GB2312" w:cs="仿宋_GB2312"/>
          <w:b w:val="0"/>
          <w:bCs w:val="0"/>
          <w:kern w:val="2"/>
          <w:sz w:val="32"/>
          <w:szCs w:val="32"/>
          <w:lang w:val="en-US" w:eastAsia="zh-CN" w:bidi="ar"/>
        </w:rPr>
        <w:t>加强业务知识学习。认真学习纪委监察条例和自然保护区法律法规，不断提高工作能力和自然保护区管理工作能力。</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bCs/>
          <w:kern w:val="2"/>
          <w:sz w:val="32"/>
          <w:szCs w:val="32"/>
          <w:lang w:val="en-US" w:eastAsia="zh-CN" w:bidi="ar"/>
        </w:rPr>
        <w:t>四是</w:t>
      </w:r>
      <w:r>
        <w:rPr>
          <w:rFonts w:hint="default" w:ascii="仿宋_GB2312" w:hAnsi="Times New Roman" w:eastAsia="仿宋_GB2312" w:cs="仿宋_GB2312"/>
          <w:b w:val="0"/>
          <w:bCs w:val="0"/>
          <w:kern w:val="2"/>
          <w:sz w:val="32"/>
          <w:szCs w:val="32"/>
          <w:lang w:val="en-US" w:eastAsia="zh-CN" w:bidi="ar"/>
        </w:rPr>
        <w:t>建立健全保护区管理职能机构，引进专业人员，强化制度建设。</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Calibri" w:hAnsi="Calibri" w:eastAsia="宋体" w:cs="Times New Roman"/>
          <w:kern w:val="2"/>
          <w:sz w:val="21"/>
          <w:szCs w:val="21"/>
        </w:rPr>
      </w:pPr>
      <w:r>
        <w:rPr>
          <w:rFonts w:hint="default" w:ascii="仿宋_GB2312" w:hAnsi="Times New Roman" w:eastAsia="仿宋_GB2312" w:cs="仿宋_GB2312"/>
          <w:b/>
          <w:bCs/>
          <w:kern w:val="2"/>
          <w:sz w:val="32"/>
          <w:szCs w:val="32"/>
          <w:lang w:val="en-US" w:eastAsia="zh-CN" w:bidi="ar"/>
        </w:rPr>
        <w:t>五是</w:t>
      </w:r>
      <w:r>
        <w:rPr>
          <w:rFonts w:hint="default" w:ascii="仿宋_GB2312" w:hAnsi="Times New Roman" w:eastAsia="仿宋_GB2312" w:cs="仿宋_GB2312"/>
          <w:b w:val="0"/>
          <w:bCs w:val="0"/>
          <w:kern w:val="2"/>
          <w:sz w:val="32"/>
          <w:szCs w:val="32"/>
          <w:lang w:val="en-US" w:eastAsia="zh-CN" w:bidi="ar"/>
        </w:rPr>
        <w:t>抓项目、重进度、扎实推进各项目建设</w:t>
      </w:r>
      <w:r>
        <w:rPr>
          <w:rFonts w:hint="default" w:ascii="仿宋_GB2312" w:hAnsi="Times New Roman" w:eastAsia="仿宋_GB2312" w:cs="仿宋_GB2312"/>
          <w:b/>
          <w:bCs/>
          <w:kern w:val="2"/>
          <w:sz w:val="32"/>
          <w:szCs w:val="32"/>
          <w:lang w:val="en-US" w:eastAsia="zh-CN" w:bidi="ar"/>
        </w:rPr>
        <w:t>。</w:t>
      </w:r>
    </w:p>
    <w:p>
      <w:pPr>
        <w:keepNext w:val="0"/>
        <w:keepLines w:val="0"/>
        <w:widowControl w:val="0"/>
        <w:suppressLineNumbers w:val="0"/>
        <w:spacing w:before="0" w:beforeAutospacing="0" w:after="0" w:afterAutospacing="0"/>
        <w:ind w:left="0" w:right="0" w:firstLine="643"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1、续建项目工程进展情况</w:t>
      </w:r>
    </w:p>
    <w:p>
      <w:pPr>
        <w:keepNext w:val="0"/>
        <w:keepLines w:val="0"/>
        <w:widowControl w:val="0"/>
        <w:suppressLineNumbers w:val="0"/>
        <w:spacing w:before="0" w:beforeAutospacing="0" w:after="0" w:afterAutospacing="0"/>
        <w:ind w:left="0" w:right="0" w:firstLine="640" w:firstLineChars="200"/>
        <w:jc w:val="both"/>
        <w:rPr>
          <w:rFonts w:hint="default" w:ascii="仿宋_GB2312" w:eastAsia="仿宋_GB2312" w:cs="仿宋_GB2312"/>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2020</w:t>
      </w:r>
      <w:r>
        <w:rPr>
          <w:rFonts w:hint="default" w:ascii="仿宋_GB2312" w:hAnsi="Calibri" w:eastAsia="仿宋_GB2312" w:cs="仿宋_GB2312"/>
          <w:b w:val="0"/>
          <w:bCs w:val="0"/>
          <w:kern w:val="2"/>
          <w:sz w:val="32"/>
          <w:szCs w:val="32"/>
          <w:lang w:val="en-US" w:eastAsia="zh-CN" w:bidi="ar"/>
        </w:rPr>
        <w:t>年</w:t>
      </w:r>
      <w:r>
        <w:rPr>
          <w:rFonts w:hint="default" w:ascii="仿宋_GB2312" w:hAnsi="Times New Roman" w:eastAsia="仿宋_GB2312" w:cs="仿宋_GB2312"/>
          <w:kern w:val="2"/>
          <w:sz w:val="32"/>
          <w:szCs w:val="32"/>
          <w:lang w:val="en-US" w:eastAsia="zh-CN" w:bidi="ar"/>
        </w:rPr>
        <w:t>重点生态功能区转移支付资金</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禁止开发区</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（南莫且湿地国家级自然保护区）项目，该项目已完成</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b/>
          <w:bCs/>
          <w:kern w:val="2"/>
          <w:sz w:val="32"/>
          <w:szCs w:val="32"/>
          <w:lang w:val="en-US" w:eastAsia="zh-CN" w:bidi="ar"/>
        </w:rPr>
        <w:t>、新建项目进展情况</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年重点生态功能区转移支付资金</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禁止开发区</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四川南莫且湿地自然保护区项目，目前已完成实施方案的编制工作，该方案已通过州林草局组织的省级专家评审，已支付实施方案编制费</w:t>
      </w:r>
      <w:r>
        <w:rPr>
          <w:rFonts w:hint="default" w:ascii="Times New Roman" w:hAnsi="Times New Roman" w:eastAsia="仿宋_GB2312" w:cs="Times New Roman"/>
          <w:kern w:val="2"/>
          <w:sz w:val="32"/>
          <w:szCs w:val="32"/>
          <w:lang w:val="en-US" w:eastAsia="zh-CN" w:bidi="ar"/>
        </w:rPr>
        <w:t>72800</w:t>
      </w:r>
      <w:r>
        <w:rPr>
          <w:rFonts w:hint="default" w:ascii="仿宋_GB2312" w:hAnsi="Times New Roman" w:eastAsia="仿宋_GB2312" w:cs="仿宋_GB2312"/>
          <w:kern w:val="2"/>
          <w:sz w:val="32"/>
          <w:szCs w:val="32"/>
          <w:lang w:val="en-US" w:eastAsia="zh-CN" w:bidi="ar"/>
        </w:rPr>
        <w:t>元，现正在积极组织实施项目采购工作。</w:t>
      </w:r>
    </w:p>
    <w:p>
      <w:pPr>
        <w:keepNext w:val="0"/>
        <w:keepLines w:val="0"/>
        <w:widowControl/>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val="0"/>
          <w:kern w:val="0"/>
          <w:sz w:val="32"/>
          <w:szCs w:val="32"/>
        </w:rPr>
      </w:pPr>
      <w:r>
        <w:rPr>
          <w:rFonts w:hint="default" w:ascii="楷体_GB2312" w:hAnsi="Times New Roman" w:eastAsia="楷体_GB2312" w:cs="楷体_GB2312"/>
          <w:b/>
          <w:bCs w:val="0"/>
          <w:kern w:val="0"/>
          <w:sz w:val="32"/>
          <w:szCs w:val="32"/>
          <w:lang w:val="en-US" w:eastAsia="zh-CN" w:bidi="ar"/>
        </w:rPr>
        <w:t>（二）重点工作任务绩效目标完成情况</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lang w:val="en-US" w:eastAsia="zh-CN" w:bidi="ar"/>
        </w:rPr>
        <w:t xml:space="preserve"> 1</w:t>
      </w:r>
      <w:r>
        <w:rPr>
          <w:rFonts w:hint="default" w:ascii="仿宋_GB2312" w:hAnsi="Times New Roman" w:eastAsia="仿宋_GB2312" w:cs="仿宋_GB2312"/>
          <w:b/>
          <w:bCs/>
          <w:kern w:val="2"/>
          <w:sz w:val="32"/>
          <w:szCs w:val="32"/>
          <w:lang w:val="en-US" w:eastAsia="zh-CN" w:bidi="ar"/>
        </w:rPr>
        <w:t>、重点工作任务一：加强队伍建设，不断提高战斗力与凝聚力。</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bCs w:val="0"/>
          <w:kern w:val="2"/>
          <w:sz w:val="32"/>
          <w:szCs w:val="32"/>
        </w:rPr>
      </w:pPr>
      <w:r>
        <w:rPr>
          <w:rFonts w:hint="default" w:ascii="仿宋_GB2312" w:hAnsi="Times New Roman" w:eastAsia="仿宋_GB2312" w:cs="仿宋_GB2312"/>
          <w:kern w:val="2"/>
          <w:sz w:val="32"/>
          <w:szCs w:val="32"/>
          <w:lang w:val="en-US" w:eastAsia="zh-CN" w:bidi="ar"/>
        </w:rPr>
        <w:t>工作任务的内容：在县委、县政府的关心和支持下，现班子队伍整体素质提高，有激情，有思想，有活力。在</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班长</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的领导下，管理处干部职工牢固树立</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四个意识</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，坚定</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四个自信</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，坚决做到</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两个维护</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，牢牢把握政治方向，不断凝聚工作合力，选准切入点，把握重点，突破难点，对保护区内湿地生态系统及珍稀野生动植物进行了有效保护。</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b/>
          <w:bCs/>
          <w:kern w:val="2"/>
          <w:sz w:val="32"/>
          <w:szCs w:val="32"/>
          <w:lang w:val="en-US" w:eastAsia="zh-CN" w:bidi="ar"/>
        </w:rPr>
        <w:t>、重点工作任务二：加强党的建设，</w:t>
      </w:r>
      <w:r>
        <w:rPr>
          <w:rFonts w:hint="default" w:ascii="仿宋_GB2312" w:hAnsi="Times New Roman" w:eastAsia="仿宋_GB2312" w:cs="仿宋_GB2312"/>
          <w:b/>
          <w:bCs w:val="0"/>
          <w:kern w:val="2"/>
          <w:sz w:val="32"/>
          <w:szCs w:val="32"/>
          <w:lang w:val="en-US" w:eastAsia="zh-CN" w:bidi="ar"/>
        </w:rPr>
        <w:t>充分发挥战斗堡垒作用。</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cs="Times New Roman"/>
          <w:kern w:val="2"/>
          <w:sz w:val="21"/>
          <w:szCs w:val="21"/>
        </w:rPr>
      </w:pPr>
      <w:r>
        <w:rPr>
          <w:rFonts w:hint="default" w:ascii="仿宋_GB2312" w:hAnsi="Times New Roman" w:eastAsia="仿宋_GB2312" w:cs="仿宋_GB2312"/>
          <w:kern w:val="2"/>
          <w:sz w:val="32"/>
          <w:szCs w:val="32"/>
          <w:lang w:val="en-US" w:eastAsia="zh-CN" w:bidi="ar"/>
        </w:rPr>
        <w:t>工作任务的内容：我支部不断强化抓党建的责任意识</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坚持对党建工作直接抓，积极组织党员干部学习党史、党课</w:t>
      </w:r>
      <w:bookmarkStart w:id="147" w:name="_GoBack"/>
      <w:bookmarkEnd w:id="147"/>
      <w:r>
        <w:rPr>
          <w:rFonts w:hint="default" w:ascii="仿宋_GB2312" w:hAnsi="Times New Roman" w:eastAsia="仿宋_GB2312" w:cs="仿宋_GB2312"/>
          <w:kern w:val="2"/>
          <w:sz w:val="32"/>
          <w:szCs w:val="32"/>
          <w:lang w:val="en-US" w:eastAsia="zh-CN" w:bidi="ar"/>
        </w:rPr>
        <w:t>，召开组织生活会，做好党员思想体检。结合</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两联一进</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群众工作紧紧围绕驻村帮扶和群众工作要求，会同驻村工作组深入宗科乡卧龙村认真梳理帮扶思路、优化班子队伍，对寺庙、维稳、两联一进、助力脱贫攻坚与乡村振兴有效衔接等工作进行了安排部署。</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kern w:val="2"/>
          <w:sz w:val="32"/>
          <w:szCs w:val="32"/>
          <w:lang w:val="en-US" w:eastAsia="zh-CN" w:bidi="ar"/>
        </w:rPr>
        <w:t>3</w:t>
      </w:r>
      <w:r>
        <w:rPr>
          <w:rFonts w:hint="default" w:ascii="仿宋_GB2312" w:hAnsi="Times New Roman" w:eastAsia="仿宋_GB2312" w:cs="仿宋_GB2312"/>
          <w:b/>
          <w:bCs/>
          <w:kern w:val="2"/>
          <w:sz w:val="32"/>
          <w:szCs w:val="32"/>
          <w:lang w:val="en-US" w:eastAsia="zh-CN" w:bidi="ar"/>
        </w:rPr>
        <w:t>、重点工作任务三：加强党风廉</w:t>
      </w:r>
      <w:r>
        <w:rPr>
          <w:rFonts w:hint="default" w:ascii="仿宋_GB2312" w:hAnsi="Times New Roman" w:eastAsia="仿宋_GB2312" w:cs="仿宋_GB2312"/>
          <w:b/>
          <w:bCs w:val="0"/>
          <w:kern w:val="2"/>
          <w:sz w:val="32"/>
          <w:szCs w:val="32"/>
          <w:lang w:val="en-US" w:eastAsia="zh-CN" w:bidi="ar"/>
        </w:rPr>
        <w:t>政建设，保持政治定力不动摇。</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bCs/>
          <w:kern w:val="2"/>
          <w:sz w:val="32"/>
          <w:szCs w:val="32"/>
        </w:rPr>
      </w:pPr>
      <w:r>
        <w:rPr>
          <w:rFonts w:hint="default" w:ascii="仿宋_GB2312" w:hAnsi="Times New Roman" w:eastAsia="仿宋_GB2312" w:cs="仿宋_GB2312"/>
          <w:kern w:val="2"/>
          <w:sz w:val="32"/>
          <w:szCs w:val="32"/>
          <w:lang w:val="en-US" w:eastAsia="zh-CN" w:bidi="ar"/>
        </w:rPr>
        <w:t>工作任务的内容：落实党风廉政建设主体责任，党政齐抓共管，</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一岗双责</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的原则，对党风廉政建设和反腐败工作任务进行了分解，将责任落实到。贯彻落实民主集中制原则，认真落实</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三重一大</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制度，不断推进决策依法、科学、民主。严格落实中央</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八项规定</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、省委</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十项规定</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、州委</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八条意见</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等纪律规定，扎实开展作风监督检查和整治工作。单位主要领导坚持率先垂范、以身作则，切实履行</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第一责任人</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职责，始终做到重要工作亲自部署、重大问题亲自过问、重点环节亲自协调，先后多次组织召开全体</w:t>
      </w:r>
      <w:r>
        <w:rPr>
          <w:rFonts w:hint="eastAsia" w:ascii="仿宋_GB2312" w:eastAsia="仿宋_GB2312" w:cs="仿宋_GB2312"/>
          <w:kern w:val="2"/>
          <w:sz w:val="32"/>
          <w:szCs w:val="32"/>
          <w:lang w:val="en-US" w:eastAsia="zh-CN" w:bidi="ar"/>
        </w:rPr>
        <w:t>职工大</w:t>
      </w:r>
      <w:r>
        <w:rPr>
          <w:rFonts w:hint="default" w:ascii="仿宋_GB2312" w:hAnsi="Times New Roman" w:eastAsia="仿宋_GB2312" w:cs="仿宋_GB2312"/>
          <w:kern w:val="2"/>
          <w:sz w:val="32"/>
          <w:szCs w:val="32"/>
          <w:lang w:val="en-US" w:eastAsia="zh-CN" w:bidi="ar"/>
        </w:rPr>
        <w:t>会就党风廉政建设提要求、作部署。班子成员切实担负起分管</w:t>
      </w:r>
      <w:r>
        <w:rPr>
          <w:rFonts w:hint="eastAsia" w:ascii="仿宋_GB2312" w:eastAsia="仿宋_GB2312" w:cs="仿宋_GB2312"/>
          <w:kern w:val="2"/>
          <w:sz w:val="32"/>
          <w:szCs w:val="32"/>
          <w:lang w:val="en-US" w:eastAsia="zh-CN" w:bidi="ar"/>
        </w:rPr>
        <w:t>领域</w:t>
      </w:r>
      <w:r>
        <w:rPr>
          <w:rFonts w:hint="default" w:ascii="仿宋_GB2312" w:hAnsi="Times New Roman" w:eastAsia="仿宋_GB2312" w:cs="仿宋_GB2312"/>
          <w:kern w:val="2"/>
          <w:sz w:val="32"/>
          <w:szCs w:val="32"/>
          <w:lang w:val="en-US" w:eastAsia="zh-CN" w:bidi="ar"/>
        </w:rPr>
        <w:t>内党风廉政建设职责，严格履行</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一岗双责</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，确保了党风廉政建设各项规定落到实处</w:t>
      </w:r>
      <w:r>
        <w:rPr>
          <w:rFonts w:hint="default" w:ascii="仿宋_GB2312" w:hAnsi="Times New Roman" w:eastAsia="仿宋_GB2312" w:cs="仿宋_GB2312"/>
          <w:b w:val="0"/>
          <w:bCs w:val="0"/>
          <w:kern w:val="2"/>
          <w:sz w:val="32"/>
          <w:szCs w:val="32"/>
          <w:lang w:val="en-US" w:eastAsia="zh-CN" w:bidi="ar"/>
        </w:rPr>
        <w:t>。</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黑体" w:cs="Times New Roman"/>
          <w:b/>
          <w:bCs/>
          <w:kern w:val="0"/>
          <w:sz w:val="32"/>
          <w:szCs w:val="32"/>
        </w:rPr>
      </w:pPr>
      <w:r>
        <w:rPr>
          <w:rFonts w:hint="eastAsia" w:ascii="黑体" w:hAnsi="宋体" w:eastAsia="黑体" w:cs="黑体"/>
          <w:b/>
          <w:bCs/>
          <w:kern w:val="0"/>
          <w:sz w:val="32"/>
          <w:szCs w:val="32"/>
          <w:lang w:val="en-US" w:eastAsia="zh-CN" w:bidi="ar"/>
        </w:rPr>
        <w:t>五、评价结论及措施</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val="0"/>
          <w:bCs w:val="0"/>
          <w:kern w:val="2"/>
          <w:sz w:val="32"/>
          <w:szCs w:val="32"/>
        </w:rPr>
      </w:pPr>
      <w:r>
        <w:rPr>
          <w:rFonts w:hint="default" w:ascii="楷体_GB2312" w:hAnsi="Times New Roman" w:eastAsia="楷体_GB2312" w:cs="楷体_GB2312"/>
          <w:b/>
          <w:bCs/>
          <w:kern w:val="2"/>
          <w:sz w:val="32"/>
          <w:szCs w:val="32"/>
          <w:lang w:val="en-US" w:eastAsia="zh-CN" w:bidi="ar"/>
        </w:rPr>
        <w:t>（一）评价结论</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kern w:val="2"/>
          <w:sz w:val="32"/>
          <w:szCs w:val="32"/>
        </w:rPr>
      </w:pPr>
      <w:r>
        <w:rPr>
          <w:rFonts w:hint="default" w:ascii="楷体_GB2312" w:hAnsi="Times New Roman" w:eastAsia="楷体_GB2312" w:cs="楷体_GB2312"/>
          <w:b/>
          <w:bCs/>
          <w:kern w:val="2"/>
          <w:sz w:val="32"/>
          <w:szCs w:val="32"/>
          <w:lang w:val="en-US" w:eastAsia="zh-CN" w:bidi="ar"/>
        </w:rPr>
        <w:t>（二）存在问题</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办公用品耗材使用量大，存在一定浪费的情况。</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我单位项目审批较为繁琐，且个别项目对季节性有一定要求，导致资金拨付率较慢。</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bCs/>
          <w:kern w:val="2"/>
          <w:sz w:val="32"/>
          <w:szCs w:val="32"/>
        </w:rPr>
      </w:pPr>
      <w:r>
        <w:rPr>
          <w:rFonts w:hint="default" w:ascii="仿宋_GB2312" w:hAnsi="Times New Roman" w:eastAsia="仿宋_GB2312" w:cs="仿宋_GB2312"/>
          <w:b/>
          <w:bCs/>
          <w:kern w:val="2"/>
          <w:sz w:val="32"/>
          <w:szCs w:val="32"/>
          <w:lang w:val="en-US" w:eastAsia="zh-CN" w:bidi="ar"/>
        </w:rPr>
        <w:t>（三）改进措施</w:t>
      </w:r>
    </w:p>
    <w:p>
      <w:pPr>
        <w:pStyle w:val="21"/>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合理安排办公耗材使用，切实做到物尽其用，尽可能减少浪费的情况。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加强对项目的管理，</w:t>
      </w:r>
      <w:r>
        <w:rPr>
          <w:rFonts w:hint="eastAsia" w:ascii="仿宋_GB2312" w:eastAsia="仿宋_GB2312" w:cs="仿宋_GB2312"/>
          <w:kern w:val="2"/>
          <w:sz w:val="32"/>
          <w:szCs w:val="32"/>
          <w:lang w:val="en-US" w:eastAsia="zh-CN" w:bidi="ar"/>
        </w:rPr>
        <w:t>加快项目建设进度</w:t>
      </w:r>
      <w:r>
        <w:rPr>
          <w:rFonts w:hint="default" w:ascii="仿宋_GB2312" w:hAnsi="Times New Roman" w:eastAsia="仿宋_GB2312" w:cs="仿宋_GB2312"/>
          <w:kern w:val="2"/>
          <w:sz w:val="32"/>
          <w:szCs w:val="32"/>
          <w:lang w:val="en-US" w:eastAsia="zh-CN" w:bidi="ar"/>
        </w:rPr>
        <w:t>及时拨付项目资金</w:t>
      </w:r>
      <w:r>
        <w:rPr>
          <w:rFonts w:hint="eastAsia" w:ascii="仿宋_GB2312" w:hAnsi="Times New Roman" w:eastAsia="仿宋_GB2312" w:cs="仿宋_GB2312"/>
          <w:kern w:val="2"/>
          <w:sz w:val="32"/>
          <w:szCs w:val="32"/>
          <w:lang w:val="en-US" w:eastAsia="zh-CN" w:bidi="ar"/>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pStyle w:val="18"/>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8"/>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8"/>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8"/>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8"/>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第五部分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附表</w:t>
      </w:r>
      <w:bookmarkEnd w:id="10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06" w:name="_Toc79163886"/>
      <w:bookmarkStart w:id="107" w:name="_Toc15396619"/>
      <w:bookmarkStart w:id="108" w:name="_Toc79163636"/>
      <w:r>
        <w:rPr>
          <w:rFonts w:hint="eastAsia" w:ascii="仿宋_GB2312" w:hAnsi="仿宋_GB2312" w:eastAsia="仿宋_GB2312" w:cs="仿宋_GB2312"/>
          <w:sz w:val="32"/>
          <w:szCs w:val="32"/>
        </w:rPr>
        <w:t>一、收入支出决算总表</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09" w:name="_Toc79163637"/>
      <w:bookmarkStart w:id="110" w:name="_Toc15396620"/>
      <w:bookmarkStart w:id="111" w:name="_Toc79163887"/>
      <w:r>
        <w:rPr>
          <w:rFonts w:hint="eastAsia" w:ascii="仿宋_GB2312" w:hAnsi="仿宋_GB2312" w:eastAsia="仿宋_GB2312" w:cs="仿宋_GB2312"/>
          <w:sz w:val="32"/>
          <w:szCs w:val="32"/>
        </w:rPr>
        <w:t>二、收入决算表</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12" w:name="_Toc79163888"/>
      <w:bookmarkStart w:id="113" w:name="_Toc79163638"/>
      <w:bookmarkStart w:id="114" w:name="_Toc15396621"/>
      <w:r>
        <w:rPr>
          <w:rFonts w:hint="eastAsia" w:ascii="仿宋_GB2312" w:hAnsi="仿宋_GB2312" w:eastAsia="仿宋_GB2312" w:cs="仿宋_GB2312"/>
          <w:sz w:val="32"/>
          <w:szCs w:val="32"/>
        </w:rPr>
        <w:t>三、支出决算表</w:t>
      </w:r>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15" w:name="_Toc79163889"/>
      <w:bookmarkStart w:id="116" w:name="_Toc15396622"/>
      <w:bookmarkStart w:id="117" w:name="_Toc79163639"/>
      <w:r>
        <w:rPr>
          <w:rFonts w:hint="eastAsia" w:ascii="仿宋_GB2312" w:hAnsi="仿宋_GB2312" w:eastAsia="仿宋_GB2312" w:cs="仿宋_GB2312"/>
          <w:sz w:val="32"/>
          <w:szCs w:val="32"/>
        </w:rPr>
        <w:t>四、财政拨款收入支出决算总表</w:t>
      </w:r>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18" w:name="_Toc79163890"/>
      <w:bookmarkStart w:id="119" w:name="_Toc15396623"/>
      <w:bookmarkStart w:id="120" w:name="_Toc79163640"/>
      <w:r>
        <w:rPr>
          <w:rFonts w:hint="eastAsia" w:ascii="仿宋_GB2312" w:hAnsi="仿宋_GB2312" w:eastAsia="仿宋_GB2312" w:cs="仿宋_GB2312"/>
          <w:sz w:val="32"/>
          <w:szCs w:val="32"/>
        </w:rPr>
        <w:t>五、财政拨款支出决算明细表</w:t>
      </w:r>
      <w:bookmarkEnd w:id="118"/>
      <w:bookmarkEnd w:id="119"/>
      <w:bookmarkEnd w:id="120"/>
      <w:bookmarkStart w:id="121" w:name="_Toc1539662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22" w:name="_Toc79163641"/>
      <w:bookmarkStart w:id="123" w:name="_Toc79163891"/>
      <w:r>
        <w:rPr>
          <w:rFonts w:hint="eastAsia" w:ascii="仿宋_GB2312" w:hAnsi="仿宋_GB2312" w:eastAsia="仿宋_GB2312" w:cs="仿宋_GB2312"/>
          <w:sz w:val="32"/>
          <w:szCs w:val="32"/>
        </w:rPr>
        <w:t>六、一般公共预算财政拨款支出决算表</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24" w:name="_Toc79163892"/>
      <w:bookmarkStart w:id="125" w:name="_Toc15396625"/>
      <w:bookmarkStart w:id="126" w:name="_Toc79163642"/>
      <w:r>
        <w:rPr>
          <w:rFonts w:hint="eastAsia" w:ascii="仿宋_GB2312" w:hAnsi="仿宋_GB2312" w:eastAsia="仿宋_GB2312" w:cs="仿宋_GB2312"/>
          <w:sz w:val="32"/>
          <w:szCs w:val="32"/>
        </w:rPr>
        <w:t>七、一般公共预算财政拨款支出决算明细表</w:t>
      </w:r>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27" w:name="_Toc79163893"/>
      <w:bookmarkStart w:id="128" w:name="_Toc15396626"/>
      <w:bookmarkStart w:id="129" w:name="_Toc79163643"/>
      <w:r>
        <w:rPr>
          <w:rFonts w:hint="eastAsia" w:ascii="仿宋_GB2312" w:hAnsi="仿宋_GB2312" w:eastAsia="仿宋_GB2312" w:cs="仿宋_GB2312"/>
          <w:sz w:val="32"/>
          <w:szCs w:val="32"/>
        </w:rPr>
        <w:t>八、一般公共预算财政拨款基本支出决算表</w:t>
      </w:r>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30" w:name="_Toc79163644"/>
      <w:bookmarkStart w:id="131" w:name="_Toc79163894"/>
      <w:bookmarkStart w:id="132" w:name="_Toc15396627"/>
      <w:r>
        <w:rPr>
          <w:rFonts w:hint="eastAsia" w:ascii="仿宋_GB2312" w:hAnsi="仿宋_GB2312" w:eastAsia="仿宋_GB2312" w:cs="仿宋_GB2312"/>
          <w:sz w:val="32"/>
          <w:szCs w:val="32"/>
        </w:rPr>
        <w:t>九、一般公共预算财政拨款项目支出决算表</w:t>
      </w:r>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33" w:name="_Toc79163645"/>
      <w:bookmarkStart w:id="134" w:name="_Toc15396628"/>
      <w:bookmarkStart w:id="135" w:name="_Toc79163895"/>
      <w:r>
        <w:rPr>
          <w:rFonts w:hint="eastAsia" w:ascii="仿宋_GB2312" w:hAnsi="仿宋_GB2312" w:eastAsia="仿宋_GB2312" w:cs="仿宋_GB2312"/>
          <w:sz w:val="32"/>
          <w:szCs w:val="32"/>
        </w:rPr>
        <w:t>十、一般公共预算财政拨款“三公”经费支出决算表</w:t>
      </w:r>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36" w:name="_Toc79163896"/>
      <w:bookmarkStart w:id="137" w:name="_Toc79163646"/>
      <w:bookmarkStart w:id="138" w:name="_Toc15396629"/>
      <w:r>
        <w:rPr>
          <w:rFonts w:hint="eastAsia" w:ascii="仿宋_GB2312" w:hAnsi="仿宋_GB2312" w:eastAsia="仿宋_GB2312" w:cs="仿宋_GB2312"/>
          <w:sz w:val="32"/>
          <w:szCs w:val="32"/>
        </w:rPr>
        <w:t>十一、政府性基金预算财政拨款收入支出决算表</w:t>
      </w:r>
      <w:bookmarkEnd w:id="136"/>
      <w:bookmarkEnd w:id="137"/>
      <w:bookmarkEnd w:id="13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39" w:name="_Toc79163647"/>
      <w:bookmarkStart w:id="140" w:name="_Toc79163897"/>
      <w:bookmarkStart w:id="141" w:name="_Toc15396630"/>
      <w:r>
        <w:rPr>
          <w:rFonts w:hint="eastAsia" w:ascii="仿宋_GB2312" w:hAnsi="仿宋_GB2312" w:eastAsia="仿宋_GB2312" w:cs="仿宋_GB2312"/>
          <w:sz w:val="32"/>
          <w:szCs w:val="32"/>
        </w:rPr>
        <w:t>十二、政府性基金预算财政拨款“三公”经费支出决算表</w:t>
      </w:r>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42" w:name="_Toc79163648"/>
      <w:bookmarkStart w:id="143" w:name="_Toc79163898"/>
      <w:bookmarkStart w:id="144" w:name="_Toc15396631"/>
      <w:r>
        <w:rPr>
          <w:rFonts w:hint="eastAsia" w:ascii="仿宋_GB2312" w:hAnsi="仿宋_GB2312" w:eastAsia="仿宋_GB2312" w:cs="仿宋_GB2312"/>
          <w:sz w:val="32"/>
          <w:szCs w:val="32"/>
        </w:rPr>
        <w:t>十三、国有资本经营预算财政拨款支出决算表</w:t>
      </w:r>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45" w:name="_Toc79163649"/>
      <w:bookmarkStart w:id="146" w:name="_Toc79163899"/>
      <w:r>
        <w:rPr>
          <w:rFonts w:hint="eastAsia" w:ascii="仿宋_GB2312" w:hAnsi="仿宋_GB2312" w:eastAsia="仿宋_GB2312" w:cs="仿宋_GB2312"/>
          <w:sz w:val="32"/>
          <w:szCs w:val="32"/>
        </w:rPr>
        <w:t>十四、国有资本经营预算财政拨款支出决算表</w:t>
      </w:r>
      <w:bookmarkEnd w:id="145"/>
      <w:bookmarkEnd w:id="146"/>
    </w:p>
    <w:p>
      <w:pPr>
        <w:rPr>
          <w:rFonts w:hint="eastAsia"/>
        </w:rPr>
      </w:pPr>
    </w:p>
    <w:sectPr>
      <w:headerReference r:id="rId3" w:type="default"/>
      <w:footerReference r:id="rId4" w:type="default"/>
      <w:pgSz w:w="11906" w:h="16838"/>
      <w:pgMar w:top="2098" w:right="1474" w:bottom="2041" w:left="153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25</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25</w:t>
                    </w:r>
                    <w:r>
                      <w:rPr>
                        <w:rFonts w:hint="eastAsia" w:ascii="仿宋_GB2312" w:hAnsi="仿宋_GB2312" w:eastAsia="仿宋_GB2312" w:cs="仿宋_GB2312"/>
                        <w:sz w:val="24"/>
                        <w:szCs w:val="24"/>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OTIyNzQ3ZGE2NWExMjc1MjNlYmNkNzZlODRmZm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B747B5"/>
    <w:rsid w:val="06FA704F"/>
    <w:rsid w:val="08674270"/>
    <w:rsid w:val="09844198"/>
    <w:rsid w:val="0A2032A3"/>
    <w:rsid w:val="0A5026DB"/>
    <w:rsid w:val="0B91295B"/>
    <w:rsid w:val="0C917B0E"/>
    <w:rsid w:val="0D1A52F9"/>
    <w:rsid w:val="10C055FF"/>
    <w:rsid w:val="10E43B94"/>
    <w:rsid w:val="114C04A7"/>
    <w:rsid w:val="118107EC"/>
    <w:rsid w:val="11BD58B2"/>
    <w:rsid w:val="12C30C3D"/>
    <w:rsid w:val="13D44FA7"/>
    <w:rsid w:val="169923E1"/>
    <w:rsid w:val="16BB723D"/>
    <w:rsid w:val="18D53478"/>
    <w:rsid w:val="19094ED0"/>
    <w:rsid w:val="1D155CEE"/>
    <w:rsid w:val="210E5779"/>
    <w:rsid w:val="21AD7ECA"/>
    <w:rsid w:val="22BA200B"/>
    <w:rsid w:val="240371BF"/>
    <w:rsid w:val="29FD04D3"/>
    <w:rsid w:val="2ACC37A9"/>
    <w:rsid w:val="2B6F5066"/>
    <w:rsid w:val="2E67780F"/>
    <w:rsid w:val="2E6C3ADF"/>
    <w:rsid w:val="2F0401BB"/>
    <w:rsid w:val="2F6A64FF"/>
    <w:rsid w:val="2FC101D2"/>
    <w:rsid w:val="303D5733"/>
    <w:rsid w:val="319F7F4E"/>
    <w:rsid w:val="32592D4C"/>
    <w:rsid w:val="326B7F22"/>
    <w:rsid w:val="34AE30A3"/>
    <w:rsid w:val="36012E11"/>
    <w:rsid w:val="361374D2"/>
    <w:rsid w:val="396D4B38"/>
    <w:rsid w:val="3B4E6126"/>
    <w:rsid w:val="3D0C62A9"/>
    <w:rsid w:val="3D477BF1"/>
    <w:rsid w:val="3F47037C"/>
    <w:rsid w:val="3FEA2348"/>
    <w:rsid w:val="40F778EA"/>
    <w:rsid w:val="42755200"/>
    <w:rsid w:val="42864E7C"/>
    <w:rsid w:val="464A0752"/>
    <w:rsid w:val="47971775"/>
    <w:rsid w:val="48B85449"/>
    <w:rsid w:val="4A235542"/>
    <w:rsid w:val="4C6365C5"/>
    <w:rsid w:val="4E606D65"/>
    <w:rsid w:val="4EBC7D13"/>
    <w:rsid w:val="4ECE2238"/>
    <w:rsid w:val="4F3F2E1E"/>
    <w:rsid w:val="50CC248F"/>
    <w:rsid w:val="511F0F68"/>
    <w:rsid w:val="52020AD7"/>
    <w:rsid w:val="52350508"/>
    <w:rsid w:val="529B480F"/>
    <w:rsid w:val="53AB0A82"/>
    <w:rsid w:val="595D1779"/>
    <w:rsid w:val="5DC664B8"/>
    <w:rsid w:val="5DDB34CE"/>
    <w:rsid w:val="5E3E24F3"/>
    <w:rsid w:val="5F526256"/>
    <w:rsid w:val="5FC37F08"/>
    <w:rsid w:val="600734E4"/>
    <w:rsid w:val="61502C69"/>
    <w:rsid w:val="61F730E4"/>
    <w:rsid w:val="623600B0"/>
    <w:rsid w:val="626616D3"/>
    <w:rsid w:val="631A4274"/>
    <w:rsid w:val="67B37AAD"/>
    <w:rsid w:val="6850354E"/>
    <w:rsid w:val="69780FAF"/>
    <w:rsid w:val="6C4A05C8"/>
    <w:rsid w:val="6C845EBC"/>
    <w:rsid w:val="71724535"/>
    <w:rsid w:val="72020D13"/>
    <w:rsid w:val="72734D90"/>
    <w:rsid w:val="79725A1A"/>
    <w:rsid w:val="79BC6C95"/>
    <w:rsid w:val="79C773E8"/>
    <w:rsid w:val="7A6B246A"/>
    <w:rsid w:val="7B580C40"/>
    <w:rsid w:val="7D44147C"/>
    <w:rsid w:val="7E0429B9"/>
    <w:rsid w:val="7E3239CA"/>
    <w:rsid w:val="7FE44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left="0" w:leftChars="0" w:firstLine="420" w:firstLineChars="200"/>
    </w:pPr>
    <w:rPr>
      <w:rFonts w:ascii="Times New Roman" w:hAnsi="Times New Roman" w:eastAsia="宋体"/>
    </w:rPr>
  </w:style>
  <w:style w:type="paragraph" w:styleId="3">
    <w:name w:val="Body Text Indent"/>
    <w:basedOn w:val="1"/>
    <w:next w:val="1"/>
    <w:qFormat/>
    <w:uiPriority w:val="0"/>
    <w:pPr>
      <w:spacing w:after="120"/>
      <w:ind w:left="420" w:leftChars="200"/>
    </w:pPr>
    <w:rPr>
      <w:rFonts w:ascii="Calibri" w:hAnsi="Calibri"/>
      <w:szCs w:val="2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lang w:val="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semiHidden/>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unhideWhenUsed/>
    <w:qFormat/>
    <w:uiPriority w:val="0"/>
    <w:pPr>
      <w:spacing w:before="100" w:beforeAutospacing="1" w:after="100" w:afterAutospacing="1"/>
    </w:p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4"/>
    <w:qFormat/>
    <w:locked/>
    <w:uiPriority w:val="9"/>
    <w:rPr>
      <w:rFonts w:ascii="Times New Roman" w:hAnsi="Times New Roman" w:cs="Times New Roman"/>
      <w:b/>
      <w:bCs/>
      <w:kern w:val="44"/>
      <w:sz w:val="44"/>
      <w:szCs w:val="44"/>
    </w:rPr>
  </w:style>
  <w:style w:type="character" w:customStyle="1" w:styleId="27">
    <w:name w:val="标题 2 Char"/>
    <w:basedOn w:val="23"/>
    <w:link w:val="5"/>
    <w:qFormat/>
    <w:locked/>
    <w:uiPriority w:val="9"/>
    <w:rPr>
      <w:rFonts w:ascii="Cambria" w:hAnsi="Cambria" w:eastAsia="宋体" w:cs="Times New Roman"/>
      <w:b/>
      <w:bCs/>
      <w:kern w:val="2"/>
      <w:sz w:val="32"/>
      <w:szCs w:val="32"/>
    </w:rPr>
  </w:style>
  <w:style w:type="character" w:customStyle="1" w:styleId="28">
    <w:name w:val="标题 3 Char"/>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2"/>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13"/>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1">
    <w:name w:val="NormalCharacter"/>
    <w:semiHidden/>
    <w:qFormat/>
    <w:uiPriority w:val="0"/>
    <w:rPr>
      <w:rFonts w:ascii="Calibri" w:hAnsi="Calibri" w:eastAsia="宋体" w:cs="Times New Roman"/>
      <w:kern w:val="2"/>
      <w:sz w:val="21"/>
      <w:szCs w:val="24"/>
      <w:lang w:val="en-US" w:eastAsia="zh-CN" w:bidi="ar-SA"/>
    </w:rPr>
  </w:style>
  <w:style w:type="paragraph" w:customStyle="1" w:styleId="42">
    <w:name w:val="列出段落1"/>
    <w:basedOn w:val="1"/>
    <w:qFormat/>
    <w:uiPriority w:val="34"/>
    <w:pPr>
      <w:ind w:firstLine="420" w:firstLineChars="200"/>
    </w:pPr>
    <w:rPr>
      <w:rFonts w:ascii="Calibri" w:hAnsi="Calibri" w:eastAsia="宋体" w:cs="Times New Roman"/>
    </w:rPr>
  </w:style>
  <w:style w:type="character" w:customStyle="1" w:styleId="43">
    <w:name w:val="15"/>
    <w:basedOn w:val="23"/>
    <w:qFormat/>
    <w:uiPriority w:val="0"/>
    <w:rPr>
      <w:rFonts w:hint="default" w:ascii="Cambria" w:hAnsi="Cambria" w:eastAsia="宋体" w:cs="Times New Roman"/>
      <w:b/>
      <w:bCs/>
      <w:kern w:val="2"/>
      <w:sz w:val="32"/>
      <w:szCs w:val="32"/>
    </w:rPr>
  </w:style>
  <w:style w:type="character" w:customStyle="1" w:styleId="44">
    <w:name w:val="10"/>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[2020年决算公开分析图表.xls]Sheet1!$A$3:$B$3</c:f>
              <c:strCache>
                <c:ptCount val="2"/>
                <c:pt idx="0">
                  <c:v>2020年</c:v>
                </c:pt>
                <c:pt idx="1">
                  <c:v>2021年</c:v>
                </c:pt>
              </c:strCache>
            </c:strRef>
          </c:cat>
          <c:val>
            <c:numRef>
              <c:f>[2020年决算公开分析图表.xls]Sheet1!$A$4:$B$4</c:f>
              <c:numCache>
                <c:formatCode>#,##0.00</c:formatCode>
                <c:ptCount val="2"/>
                <c:pt idx="0">
                  <c:v>393.82</c:v>
                </c:pt>
                <c:pt idx="1">
                  <c:v>424.16</c:v>
                </c:pt>
              </c:numCache>
            </c:numRef>
          </c:val>
        </c:ser>
        <c:dLbls>
          <c:showLegendKey val="0"/>
          <c:showVal val="0"/>
          <c:showCatName val="0"/>
          <c:showSerName val="0"/>
          <c:showPercent val="0"/>
          <c:showBubbleSize val="0"/>
        </c:dLbls>
        <c:gapWidth val="219"/>
        <c:overlap val="-27"/>
        <c:axId val="861337257"/>
        <c:axId val="432316089"/>
      </c:barChart>
      <c:catAx>
        <c:axId val="86133725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316089"/>
        <c:crosses val="autoZero"/>
        <c:auto val="1"/>
        <c:lblAlgn val="ctr"/>
        <c:lblOffset val="100"/>
        <c:noMultiLvlLbl val="0"/>
      </c:catAx>
      <c:valAx>
        <c:axId val="43231608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133725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[2020年决算公开分析图表.xls]Sheet1!$A$24:$B$24</c:f>
              <c:strCache>
                <c:ptCount val="2"/>
                <c:pt idx="0">
                  <c:v>2020年</c:v>
                </c:pt>
                <c:pt idx="1">
                  <c:v>2021年</c:v>
                </c:pt>
              </c:strCache>
            </c:strRef>
          </c:cat>
          <c:val>
            <c:numRef>
              <c:f>[2020年决算公开分析图表.xls]Sheet1!$A$25:$B$25</c:f>
              <c:numCache>
                <c:formatCode>#,##0.00</c:formatCode>
                <c:ptCount val="2"/>
                <c:pt idx="0">
                  <c:v>456.09</c:v>
                </c:pt>
                <c:pt idx="1">
                  <c:v>455.16</c:v>
                </c:pt>
              </c:numCache>
            </c:numRef>
          </c:val>
        </c:ser>
        <c:dLbls>
          <c:showLegendKey val="0"/>
          <c:showVal val="0"/>
          <c:showCatName val="0"/>
          <c:showSerName val="0"/>
          <c:showPercent val="0"/>
          <c:showBubbleSize val="0"/>
        </c:dLbls>
        <c:gapWidth val="219"/>
        <c:overlap val="-27"/>
        <c:axId val="458090952"/>
        <c:axId val="560125131"/>
      </c:barChart>
      <c:catAx>
        <c:axId val="4580909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0125131"/>
        <c:crosses val="autoZero"/>
        <c:auto val="1"/>
        <c:lblAlgn val="ctr"/>
        <c:lblOffset val="100"/>
        <c:noMultiLvlLbl val="0"/>
      </c:catAx>
      <c:valAx>
        <c:axId val="56012513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090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[2020年决算公开分析图表.xls]Sheet1!$C$58:$C$62</c:f>
              <c:strCache>
                <c:ptCount val="5"/>
                <c:pt idx="0">
                  <c:v>基本支出</c:v>
                </c:pt>
                <c:pt idx="1">
                  <c:v>项目支出</c:v>
                </c:pt>
                <c:pt idx="2">
                  <c:v>上缴上级支出</c:v>
                </c:pt>
                <c:pt idx="3">
                  <c:v>经营支出</c:v>
                </c:pt>
                <c:pt idx="4">
                  <c:v>对附属单位补助支出</c:v>
                </c:pt>
              </c:strCache>
            </c:strRef>
          </c:cat>
          <c:val>
            <c:numRef>
              <c:f>[2020年决算公开分析图表.xls]Sheet1!$D$58:$D$62</c:f>
              <c:numCache>
                <c:formatCode>#,##0.00</c:formatCode>
                <c:ptCount val="5"/>
                <c:pt idx="0">
                  <c:v>199.52</c:v>
                </c:pt>
                <c:pt idx="1">
                  <c:v>255.64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[2020年决算公开分析图表.xls]Sheet1!$A$83:$B$83</c:f>
              <c:strCache>
                <c:ptCount val="2"/>
                <c:pt idx="0">
                  <c:v>2020年</c:v>
                </c:pt>
                <c:pt idx="1">
                  <c:v>2021年</c:v>
                </c:pt>
              </c:strCache>
            </c:strRef>
          </c:cat>
          <c:val>
            <c:numRef>
              <c:f>[2020年决算公开分析图表.xls]Sheet1!$A$84:$B$84</c:f>
              <c:numCache>
                <c:formatCode>#,##0.00</c:formatCode>
                <c:ptCount val="2"/>
                <c:pt idx="0">
                  <c:v>393.82</c:v>
                </c:pt>
                <c:pt idx="1">
                  <c:v>424.16</c:v>
                </c:pt>
              </c:numCache>
            </c:numRef>
          </c:val>
        </c:ser>
        <c:dLbls>
          <c:showLegendKey val="0"/>
          <c:showVal val="0"/>
          <c:showCatName val="0"/>
          <c:showSerName val="0"/>
          <c:showPercent val="0"/>
          <c:showBubbleSize val="0"/>
        </c:dLbls>
        <c:gapWidth val="219"/>
        <c:overlap val="-27"/>
        <c:axId val="62900114"/>
        <c:axId val="550044269"/>
      </c:barChart>
      <c:catAx>
        <c:axId val="6290011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044269"/>
        <c:crosses val="autoZero"/>
        <c:auto val="1"/>
        <c:lblAlgn val="ctr"/>
        <c:lblOffset val="100"/>
        <c:noMultiLvlLbl val="0"/>
      </c:catAx>
      <c:valAx>
        <c:axId val="55004426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9001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[2020年决算公开分析图表.xls]Sheet1!$A$100:$B$100</c:f>
              <c:strCache>
                <c:ptCount val="2"/>
                <c:pt idx="0">
                  <c:v>2020年</c:v>
                </c:pt>
                <c:pt idx="1">
                  <c:v>2021年</c:v>
                </c:pt>
              </c:strCache>
            </c:strRef>
          </c:cat>
          <c:val>
            <c:numRef>
              <c:f>[2020年决算公开分析图表.xls]Sheet1!$A$101:$B$101</c:f>
              <c:numCache>
                <c:formatCode>#,##0.00</c:formatCode>
                <c:ptCount val="2"/>
                <c:pt idx="0">
                  <c:v>456.09</c:v>
                </c:pt>
                <c:pt idx="1">
                  <c:v>455.16</c:v>
                </c:pt>
              </c:numCache>
            </c:numRef>
          </c:val>
        </c:ser>
        <c:dLbls>
          <c:showLegendKey val="0"/>
          <c:showVal val="0"/>
          <c:showCatName val="0"/>
          <c:showSerName val="0"/>
          <c:showPercent val="0"/>
          <c:showBubbleSize val="0"/>
        </c:dLbls>
        <c:gapWidth val="219"/>
        <c:overlap val="-27"/>
        <c:axId val="174457471"/>
        <c:axId val="305197953"/>
      </c:barChart>
      <c:catAx>
        <c:axId val="1744574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197953"/>
        <c:crosses val="autoZero"/>
        <c:auto val="1"/>
        <c:lblAlgn val="ctr"/>
        <c:lblOffset val="100"/>
        <c:noMultiLvlLbl val="0"/>
      </c:catAx>
      <c:valAx>
        <c:axId val="30519795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457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[2020年决算公开分析图表.xls]Sheet1!$A$116:$B$116</c:f>
              <c:strCache>
                <c:ptCount val="2"/>
                <c:pt idx="0">
                  <c:v>2020年</c:v>
                </c:pt>
                <c:pt idx="1">
                  <c:v>2021年</c:v>
                </c:pt>
              </c:strCache>
            </c:strRef>
          </c:cat>
          <c:val>
            <c:numRef>
              <c:f>[2020年决算公开分析图表.xls]Sheet1!$A$117:$B$117</c:f>
              <c:numCache>
                <c:formatCode>#,##0.00</c:formatCode>
                <c:ptCount val="2"/>
                <c:pt idx="0">
                  <c:v>456.09</c:v>
                </c:pt>
                <c:pt idx="1">
                  <c:v>455.16</c:v>
                </c:pt>
              </c:numCache>
            </c:numRef>
          </c:val>
        </c:ser>
        <c:dLbls>
          <c:showLegendKey val="0"/>
          <c:showVal val="0"/>
          <c:showCatName val="0"/>
          <c:showSerName val="0"/>
          <c:showPercent val="0"/>
          <c:showBubbleSize val="0"/>
        </c:dLbls>
        <c:gapWidth val="219"/>
        <c:overlap val="-27"/>
        <c:axId val="159816686"/>
        <c:axId val="964189953"/>
      </c:barChart>
      <c:catAx>
        <c:axId val="15981668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189953"/>
        <c:crosses val="autoZero"/>
        <c:auto val="1"/>
        <c:lblAlgn val="ctr"/>
        <c:lblOffset val="100"/>
        <c:noMultiLvlLbl val="0"/>
      </c:catAx>
      <c:valAx>
        <c:axId val="96418995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81668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dPt>
          <c:dLbls>
            <c:delete val="1"/>
          </c:dLbls>
          <c:cat>
            <c:strRef>
              <c:f>[2020年决算公开分析图表.xls]Sheet1!$C$140:$C$144</c:f>
              <c:strCache>
                <c:ptCount val="5"/>
                <c:pt idx="0">
                  <c:v>节能环保支出</c:v>
                </c:pt>
                <c:pt idx="1">
                  <c:v>社会保障和就业支出</c:v>
                </c:pt>
                <c:pt idx="2">
                  <c:v>卫生健康支出</c:v>
                </c:pt>
                <c:pt idx="3">
                  <c:v>农林水支出</c:v>
                </c:pt>
                <c:pt idx="4">
                  <c:v>住房保障支出</c:v>
                </c:pt>
              </c:strCache>
            </c:strRef>
          </c:cat>
          <c:val>
            <c:numRef>
              <c:f>[2020年决算公开分析图表.xls]Sheet1!$D$140:$D$144</c:f>
              <c:numCache>
                <c:formatCode>General</c:formatCode>
                <c:ptCount val="5"/>
                <c:pt idx="0">
                  <c:v>255.64</c:v>
                </c:pt>
                <c:pt idx="1" c:formatCode="#,##0.00">
                  <c:v>22.22</c:v>
                </c:pt>
                <c:pt idx="2" c:formatCode="#,##0.00">
                  <c:v>9.03</c:v>
                </c:pt>
                <c:pt idx="3" c:formatCode="#,##0.00">
                  <c:v>154.49</c:v>
                </c:pt>
                <c:pt idx="4" c:formatCode="#,##0.00">
                  <c:v>13.79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10399</Words>
  <Characters>11014</Characters>
  <Lines>1</Lines>
  <Paragraphs>1</Paragraphs>
  <TotalTime>4</TotalTime>
  <ScaleCrop>false</ScaleCrop>
  <LinksUpToDate>false</LinksUpToDate>
  <CharactersWithSpaces>11188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^_^^_^</cp:lastModifiedBy>
  <cp:lastPrinted>2022-10-19T06:58:03Z</cp:lastPrinted>
  <dcterms:modified xsi:type="dcterms:W3CDTF">2022-10-19T07:00:13Z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444247F5B73E46D19456458C122D854B</vt:lpwstr>
  </property>
</Properties>
</file>