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475"/>
      <w:bookmarkStart w:id="1" w:name="_Toc15378441"/>
      <w:bookmarkStart w:id="2" w:name="_Toc15377425"/>
      <w:bookmarkStart w:id="3" w:name="_Toc15396597"/>
      <w:bookmarkStart w:id="4" w:name="_Toc15306267"/>
      <w:bookmarkStart w:id="5" w:name="_Toc15377193"/>
    </w:p>
    <w:bookmarkEnd w:id="0"/>
    <w:bookmarkEnd w:id="1"/>
    <w:bookmarkEnd w:id="2"/>
    <w:bookmarkEnd w:id="3"/>
    <w:bookmarkEnd w:id="4"/>
    <w:bookmarkEnd w:id="5"/>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阿坝州壤塘县</w:t>
      </w:r>
    </w:p>
    <w:p>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2025年度中共壤塘县委社会工作部本级部门决算公开</w:t>
      </w:r>
    </w:p>
    <w:p>
      <w:pPr>
        <w:widowControl/>
        <w:jc w:val="center"/>
        <w:rPr>
          <w:rFonts w:hint="eastAsia" w:ascii="黑体" w:hAnsi="黑体" w:eastAsia="黑体"/>
          <w:color w:val="auto"/>
          <w:sz w:val="48"/>
          <w:szCs w:val="48"/>
          <w:highlight w:val="none"/>
        </w:rPr>
        <w:sectPr>
          <w:pgSz w:w="11906" w:h="16838"/>
          <w:pgMar w:top="1440" w:right="1800" w:bottom="1440" w:left="1800" w:header="720" w:footer="720" w:gutter="0"/>
          <w:pgNumType w:fmt="decimal"/>
          <w:cols w:space="720" w:num="1"/>
          <w:docGrid w:type="lines" w:linePitch="312" w:charSpace="0"/>
        </w:sectPr>
      </w:pPr>
    </w:p>
    <w:p>
      <w:pPr>
        <w:widowControl/>
        <w:jc w:val="center"/>
        <w:rPr>
          <w:rFonts w:ascii="黑体" w:hAnsi="黑体" w:eastAsia="黑体"/>
          <w:color w:val="auto"/>
          <w:sz w:val="48"/>
          <w:szCs w:val="48"/>
          <w:highlight w:val="none"/>
        </w:rPr>
      </w:pPr>
      <w:bookmarkStart w:id="6" w:name="_Toc15396599"/>
      <w:bookmarkStart w:id="7" w:name="_Toc15377196"/>
      <w:r>
        <w:rPr>
          <w:rFonts w:hint="eastAsia" w:ascii="黑体" w:hAnsi="黑体" w:eastAsia="黑体"/>
          <w:color w:val="auto"/>
          <w:sz w:val="48"/>
          <w:szCs w:val="48"/>
          <w:highlight w:val="none"/>
        </w:rPr>
        <w:t>目录</w:t>
      </w:r>
    </w:p>
    <w:p>
      <w:pPr>
        <w:widowControl/>
        <w:jc w:val="center"/>
        <w:rPr>
          <w:rFonts w:ascii="黑体" w:hAnsi="黑体" w:eastAsia="黑体" w:cs="Times New Roman"/>
          <w:color w:val="auto"/>
          <w:sz w:val="28"/>
          <w:szCs w:val="28"/>
          <w:highlight w:val="none"/>
        </w:rPr>
      </w:pPr>
    </w:p>
    <w:p>
      <w:pPr>
        <w:pStyle w:val="12"/>
        <w:rPr>
          <w:color w:val="auto"/>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 xml:space="preserve">16 </w:t>
      </w:r>
      <w:r>
        <w:rPr>
          <w:rFonts w:hint="eastAsia"/>
          <w:color w:val="auto"/>
          <w:highlight w:val="none"/>
        </w:rPr>
        <w:t>日</w:t>
      </w:r>
    </w:p>
    <w:p>
      <w:pPr>
        <w:rPr>
          <w:color w:val="auto"/>
          <w:highlight w:val="none"/>
        </w:rPr>
      </w:pPr>
    </w:p>
    <w:p>
      <w:pPr>
        <w:pStyle w:val="12"/>
        <w:tabs>
          <w:tab w:val="right" w:leader="dot" w:pos="8306"/>
          <w:tab w:val="clear" w:pos="8296"/>
        </w:tabs>
      </w:pPr>
      <w:r>
        <w:rPr>
          <w:rFonts w:ascii="仿宋" w:hAnsi="仿宋" w:eastAsia="仿宋"/>
          <w:bCs/>
          <w:color w:val="auto"/>
          <w:kern w:val="44"/>
          <w:sz w:val="24"/>
          <w:highlight w:val="none"/>
        </w:rPr>
        <w:fldChar w:fldCharType="begin"/>
      </w:r>
      <w:r>
        <w:rPr>
          <w:rFonts w:ascii="仿宋" w:hAnsi="仿宋" w:eastAsia="仿宋"/>
          <w:bCs/>
          <w:color w:val="auto"/>
          <w:kern w:val="44"/>
          <w:sz w:val="24"/>
          <w:highlight w:val="none"/>
        </w:rPr>
        <w:instrText xml:space="preserve">TOC \o "1-3" \h \u </w:instrText>
      </w:r>
      <w:r>
        <w:rPr>
          <w:rFonts w:ascii="仿宋" w:hAnsi="仿宋" w:eastAsia="仿宋"/>
          <w:bCs/>
          <w:color w:val="auto"/>
          <w:kern w:val="44"/>
          <w:sz w:val="24"/>
          <w:highlight w:val="none"/>
        </w:rPr>
        <w:fldChar w:fldCharType="separate"/>
      </w: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_Toc24127 </w:instrText>
      </w:r>
      <w:r>
        <w:rPr>
          <w:rFonts w:ascii="仿宋" w:hAnsi="仿宋" w:eastAsia="仿宋"/>
          <w:bCs/>
          <w:kern w:val="44"/>
          <w:highlight w:val="none"/>
        </w:rPr>
        <w:fldChar w:fldCharType="separate"/>
      </w:r>
      <w:r>
        <w:rPr>
          <w:rFonts w:hint="eastAsia" w:ascii="黑体" w:hAnsi="黑体" w:eastAsia="黑体"/>
          <w:highlight w:val="none"/>
        </w:rPr>
        <w:t xml:space="preserve">第一部分 </w:t>
      </w:r>
      <w:r>
        <w:rPr>
          <w:rFonts w:hint="eastAsia" w:ascii="黑体" w:hAnsi="黑体" w:eastAsia="黑体"/>
          <w:highlight w:val="none"/>
          <w:lang w:eastAsia="zh-CN"/>
        </w:rPr>
        <w:t>单位</w:t>
      </w:r>
      <w:r>
        <w:rPr>
          <w:rFonts w:hint="eastAsia" w:ascii="黑体" w:hAnsi="黑体" w:eastAsia="黑体"/>
          <w:bCs w:val="0"/>
          <w:highlight w:val="none"/>
        </w:rPr>
        <w:t>概况</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_Toc24127 \h </w:instrText>
      </w:r>
      <w:r>
        <w:rPr>
          <w:rFonts w:ascii="Times New Roman" w:hAnsi="Times New Roman" w:eastAsia="宋体" w:cs="Times New Roman"/>
          <w:kern w:val="2"/>
          <w:sz w:val="21"/>
          <w:szCs w:val="24"/>
          <w:lang w:val="en-US" w:eastAsia="zh-CN" w:bidi="ar-SA"/>
        </w:rPr>
        <w:fldChar w:fldCharType="separate"/>
      </w:r>
      <w:r>
        <w:rPr>
          <w:rFonts w:hint="eastAsia" w:ascii="Times New Roman" w:hAnsi="Times New Roman" w:eastAsia="宋体" w:cs="Times New Roman"/>
          <w:kern w:val="2"/>
          <w:sz w:val="21"/>
          <w:szCs w:val="24"/>
          <w:lang w:val="en-US" w:eastAsia="zh-CN" w:bidi="ar-SA"/>
        </w:rPr>
        <w:t>1</w:t>
      </w:r>
      <w:r>
        <w:rPr>
          <w:rFonts w:ascii="Times New Roman" w:hAnsi="Times New Roman" w:eastAsia="宋体" w:cs="Times New Roman"/>
          <w:kern w:val="2"/>
          <w:sz w:val="21"/>
          <w:szCs w:val="24"/>
          <w:lang w:val="en-US" w:eastAsia="zh-CN" w:bidi="ar-SA"/>
        </w:rP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_Toc18218 </w:instrText>
      </w:r>
      <w:r>
        <w:rPr>
          <w:rFonts w:ascii="仿宋" w:hAnsi="仿宋" w:eastAsia="仿宋"/>
          <w:bCs/>
          <w:kern w:val="44"/>
          <w:highlight w:val="none"/>
        </w:rPr>
        <w:fldChar w:fldCharType="separate"/>
      </w:r>
      <w:r>
        <w:rPr>
          <w:rFonts w:hint="eastAsia" w:ascii="黑体" w:hAnsi="黑体" w:eastAsia="黑体"/>
          <w:bCs w:val="0"/>
          <w:lang w:eastAsia="zh-CN"/>
        </w:rPr>
        <w:t xml:space="preserve">一、 </w:t>
      </w:r>
      <w:r>
        <w:rPr>
          <w:rFonts w:hint="eastAsia" w:ascii="黑体" w:hAnsi="黑体" w:eastAsia="黑体"/>
          <w:bCs w:val="0"/>
          <w:highlight w:val="none"/>
          <w:lang w:eastAsia="zh-CN"/>
        </w:rPr>
        <w:t>主要职责</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_Toc18218 \h </w:instrText>
      </w:r>
      <w:r>
        <w:rPr>
          <w:rFonts w:ascii="Times New Roman" w:hAnsi="Times New Roman" w:eastAsia="宋体" w:cs="Times New Roman"/>
          <w:kern w:val="2"/>
          <w:sz w:val="21"/>
          <w:szCs w:val="24"/>
          <w:lang w:val="en-US" w:eastAsia="zh-CN" w:bidi="ar-SA"/>
        </w:rPr>
        <w:fldChar w:fldCharType="separate"/>
      </w:r>
      <w:r>
        <w:rPr>
          <w:rFonts w:hint="eastAsia" w:ascii="Times New Roman" w:hAnsi="Times New Roman" w:eastAsia="宋体" w:cs="Times New Roman"/>
          <w:kern w:val="2"/>
          <w:sz w:val="21"/>
          <w:szCs w:val="24"/>
          <w:lang w:val="en-US" w:eastAsia="zh-CN" w:bidi="ar-SA"/>
        </w:rPr>
        <w:t>1</w:t>
      </w:r>
      <w:r>
        <w:rPr>
          <w:rFonts w:ascii="Times New Roman" w:hAnsi="Times New Roman" w:eastAsia="宋体" w:cs="Times New Roman"/>
          <w:kern w:val="2"/>
          <w:sz w:val="21"/>
          <w:szCs w:val="24"/>
          <w:lang w:val="en-US" w:eastAsia="zh-CN" w:bidi="ar-SA"/>
        </w:rPr>
        <w:fldChar w:fldCharType="end"/>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_Toc9207 </w:instrText>
      </w:r>
      <w:r>
        <w:rPr>
          <w:rFonts w:ascii="仿宋" w:hAnsi="仿宋" w:eastAsia="仿宋"/>
          <w:bCs/>
          <w:kern w:val="44"/>
          <w:highlight w:val="none"/>
        </w:rPr>
        <w:fldChar w:fldCharType="separate"/>
      </w:r>
      <w:r>
        <w:rPr>
          <w:rFonts w:hint="eastAsia"/>
          <w:lang w:val="en-US" w:eastAsia="zh-CN"/>
        </w:rPr>
        <w:t xml:space="preserve">二、 </w:t>
      </w:r>
      <w:r>
        <w:rPr>
          <w:rFonts w:hint="eastAsia" w:ascii="黑体" w:hAnsi="黑体" w:eastAsia="黑体"/>
          <w:highlight w:val="none"/>
          <w:lang w:val="en-US" w:eastAsia="zh-CN"/>
        </w:rPr>
        <w:t>机构设置</w:t>
      </w:r>
      <w:r>
        <w:tab/>
      </w:r>
      <w:r>
        <w:rPr>
          <w:rFonts w:hint="eastAsia"/>
          <w:lang w:val="en-US" w:eastAsia="zh-CN"/>
        </w:rPr>
        <w:t>1</w:t>
      </w:r>
      <w:r>
        <w:rPr>
          <w:rFonts w:ascii="仿宋" w:hAnsi="仿宋" w:eastAsia="仿宋"/>
          <w:bCs/>
          <w:color w:val="auto"/>
          <w:kern w:val="44"/>
          <w:highlight w:val="none"/>
        </w:rPr>
        <w:fldChar w:fldCharType="end"/>
      </w:r>
    </w:p>
    <w:p>
      <w:pPr>
        <w:pStyle w:val="12"/>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_Toc12437 </w:instrText>
      </w:r>
      <w:r>
        <w:rPr>
          <w:rFonts w:ascii="仿宋" w:hAnsi="仿宋" w:eastAsia="仿宋"/>
          <w:bCs/>
          <w:kern w:val="44"/>
          <w:highlight w:val="none"/>
        </w:rP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lang w:eastAsia="zh-CN"/>
        </w:rPr>
        <w:t>单位</w:t>
      </w:r>
      <w:r>
        <w:rPr>
          <w:rFonts w:hint="eastAsia" w:ascii="黑体" w:hAnsi="黑体" w:eastAsia="黑体"/>
          <w:bCs/>
          <w:highlight w:val="none"/>
        </w:rPr>
        <w:t>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_Toc9374 </w:instrText>
      </w:r>
      <w:r>
        <w:rPr>
          <w:rFonts w:ascii="仿宋" w:hAnsi="仿宋" w:eastAsia="仿宋"/>
          <w:bCs/>
          <w:kern w:val="44"/>
          <w:highlight w:val="none"/>
        </w:rPr>
        <w:fldChar w:fldCharType="separate"/>
      </w:r>
      <w:r>
        <w:rPr>
          <w:rFonts w:hint="eastAsia" w:ascii="黑体" w:hAnsi="黑体" w:eastAsia="黑体"/>
          <w:szCs w:val="32"/>
          <w:highlight w:val="none"/>
          <w:lang w:eastAsia="zh-CN"/>
        </w:rPr>
        <w:t>一、</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_Toc26548 </w:instrText>
      </w:r>
      <w:r>
        <w:rPr>
          <w:rFonts w:ascii="仿宋" w:hAnsi="仿宋" w:eastAsia="仿宋"/>
          <w:bCs/>
          <w:kern w:val="44"/>
          <w:highlight w:val="none"/>
        </w:rPr>
        <w:fldChar w:fldCharType="separate"/>
      </w:r>
      <w:r>
        <w:rPr>
          <w:rFonts w:hint="eastAsia" w:ascii="黑体" w:hAnsi="黑体" w:eastAsia="黑体"/>
          <w:szCs w:val="32"/>
          <w:highlight w:val="none"/>
          <w:lang w:eastAsia="zh-CN"/>
        </w:rPr>
        <w:t>二、</w:t>
      </w:r>
      <w:r>
        <w:rPr>
          <w:rFonts w:hint="eastAsia" w:ascii="黑体" w:hAnsi="黑体" w:eastAsia="黑体"/>
          <w:szCs w:val="32"/>
          <w:highlight w:val="none"/>
        </w:rPr>
        <w:t>收</w:t>
      </w:r>
      <w:r>
        <w:rPr>
          <w:rFonts w:hint="eastAsia" w:ascii="黑体" w:hAnsi="黑体" w:eastAsia="黑体"/>
          <w:highlight w:val="none"/>
        </w:rPr>
        <w:t>入决算情况说明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_Toc17075 </w:instrText>
      </w:r>
      <w:r>
        <w:rPr>
          <w:rFonts w:ascii="仿宋" w:hAnsi="仿宋" w:eastAsia="仿宋"/>
          <w:bCs/>
          <w:kern w:val="44"/>
          <w:highlight w:val="none"/>
        </w:rPr>
        <w:fldChar w:fldCharType="separate"/>
      </w:r>
      <w:r>
        <w:rPr>
          <w:rFonts w:hint="eastAsia" w:ascii="黑体" w:hAnsi="黑体" w:eastAsia="黑体"/>
          <w:szCs w:val="32"/>
          <w:highlight w:val="none"/>
          <w:lang w:eastAsia="zh-CN"/>
        </w:rPr>
        <w:t>三、</w:t>
      </w:r>
      <w:r>
        <w:rPr>
          <w:rFonts w:hint="eastAsia" w:ascii="黑体" w:hAnsi="黑体" w:eastAsia="黑体"/>
          <w:szCs w:val="32"/>
          <w:highlight w:val="none"/>
        </w:rPr>
        <w:t>支</w:t>
      </w:r>
      <w:r>
        <w:rPr>
          <w:rFonts w:hint="eastAsia" w:ascii="黑体" w:hAnsi="黑体" w:eastAsia="黑体"/>
          <w:highlight w:val="none"/>
        </w:rPr>
        <w:t>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_Toc6090 </w:instrText>
      </w:r>
      <w:r>
        <w:rPr>
          <w:rFonts w:ascii="仿宋" w:hAnsi="仿宋" w:eastAsia="仿宋"/>
          <w:bCs/>
          <w:kern w:val="44"/>
          <w:highlight w:val="none"/>
        </w:rP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_Toc15984 </w:instrText>
      </w:r>
      <w:r>
        <w:rPr>
          <w:rFonts w:ascii="仿宋" w:hAnsi="仿宋" w:eastAsia="仿宋"/>
          <w:bCs/>
          <w:kern w:val="44"/>
          <w:highlight w:val="none"/>
        </w:rP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_Toc10545 </w:instrText>
      </w:r>
      <w:r>
        <w:rPr>
          <w:rFonts w:ascii="仿宋" w:hAnsi="仿宋" w:eastAsia="仿宋"/>
          <w:bCs/>
          <w:kern w:val="44"/>
          <w:highlight w:val="none"/>
        </w:rPr>
        <w:fldChar w:fldCharType="separate"/>
      </w:r>
      <w:r>
        <w:rPr>
          <w:rFonts w:hint="eastAsia" w:ascii="仿宋" w:hAnsi="仿宋" w:eastAsia="仿宋"/>
          <w:szCs w:val="32"/>
          <w:highlight w:val="none"/>
        </w:rPr>
        <w:t>（一）一般公共预算财政拨款支出决算总体情况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_Toc23427 </w:instrText>
      </w:r>
      <w:r>
        <w:rPr>
          <w:rFonts w:ascii="仿宋" w:hAnsi="仿宋" w:eastAsia="仿宋"/>
          <w:bCs/>
          <w:kern w:val="44"/>
          <w:highlight w:val="none"/>
        </w:rPr>
        <w:fldChar w:fldCharType="separate"/>
      </w:r>
      <w:r>
        <w:rPr>
          <w:rFonts w:hint="eastAsia" w:ascii="仿宋" w:hAnsi="仿宋" w:eastAsia="仿宋"/>
          <w:szCs w:val="32"/>
          <w:highlight w:val="none"/>
        </w:rPr>
        <w:t>（二）一般公共预算财政拨款支出决算结构情况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_Toc192 </w:instrText>
      </w:r>
      <w:r>
        <w:rPr>
          <w:rFonts w:ascii="仿宋" w:hAnsi="仿宋" w:eastAsia="仿宋"/>
          <w:bCs/>
          <w:kern w:val="44"/>
          <w:highlight w:val="none"/>
        </w:rPr>
        <w:fldChar w:fldCharType="separate"/>
      </w:r>
      <w:r>
        <w:rPr>
          <w:rFonts w:hint="eastAsia" w:ascii="仿宋" w:hAnsi="仿宋" w:eastAsia="仿宋"/>
          <w:szCs w:val="32"/>
          <w:highlight w:val="none"/>
        </w:rPr>
        <w:t>（三）一般公共预算财政拨款支出决算具体情况</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_Toc1458 </w:instrText>
      </w:r>
      <w:r>
        <w:rPr>
          <w:rFonts w:ascii="仿宋" w:hAnsi="仿宋" w:eastAsia="仿宋"/>
          <w:bCs/>
          <w:kern w:val="44"/>
          <w:highlight w:val="none"/>
        </w:rP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_Toc28190 </w:instrText>
      </w:r>
      <w:r>
        <w:rPr>
          <w:rFonts w:ascii="仿宋" w:hAnsi="仿宋" w:eastAsia="仿宋"/>
          <w:bCs/>
          <w:kern w:val="44"/>
          <w:highlight w:val="none"/>
        </w:rP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_Toc31955 </w:instrText>
      </w:r>
      <w:r>
        <w:rPr>
          <w:rFonts w:ascii="仿宋" w:hAnsi="仿宋" w:eastAsia="仿宋"/>
          <w:bCs/>
          <w:kern w:val="44"/>
          <w:highlight w:val="none"/>
        </w:rPr>
        <w:fldChar w:fldCharType="separate"/>
      </w:r>
      <w:r>
        <w:rPr>
          <w:rFonts w:hint="eastAsia" w:ascii="仿宋" w:hAnsi="仿宋" w:eastAsia="仿宋"/>
          <w:szCs w:val="32"/>
          <w:highlight w:val="none"/>
        </w:rPr>
        <w:t>（一）“三公”经费财政拨款支出决算总体情况说明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_Toc19444 </w:instrText>
      </w:r>
      <w:r>
        <w:rPr>
          <w:rFonts w:ascii="仿宋" w:hAnsi="仿宋" w:eastAsia="仿宋"/>
          <w:bCs/>
          <w:kern w:val="44"/>
          <w:highlight w:val="none"/>
        </w:rPr>
        <w:fldChar w:fldCharType="separate"/>
      </w:r>
      <w:r>
        <w:rPr>
          <w:rFonts w:hint="eastAsia" w:ascii="仿宋" w:hAnsi="仿宋" w:eastAsia="仿宋"/>
          <w:szCs w:val="32"/>
          <w:highlight w:val="none"/>
        </w:rPr>
        <w:t>（二）“三公”经费财政拨款支出决算具体情况说明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_Toc13125 </w:instrText>
      </w:r>
      <w:r>
        <w:rPr>
          <w:rFonts w:ascii="仿宋" w:hAnsi="仿宋" w:eastAsia="仿宋"/>
          <w:bCs/>
          <w:kern w:val="44"/>
          <w:highlight w:val="none"/>
        </w:rP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_Toc27624 </w:instrText>
      </w:r>
      <w:r>
        <w:rPr>
          <w:rFonts w:ascii="仿宋" w:hAnsi="仿宋" w:eastAsia="仿宋"/>
          <w:bCs/>
          <w:kern w:val="44"/>
          <w:highlight w:val="none"/>
        </w:rPr>
        <w:fldChar w:fldCharType="separate"/>
      </w:r>
      <w:r>
        <w:rPr>
          <w:rFonts w:hint="eastAsia" w:ascii="黑体" w:hAnsi="黑体" w:eastAsia="黑体"/>
          <w:highlight w:val="none"/>
          <w:lang w:eastAsia="zh-CN"/>
        </w:rPr>
        <w:t>九、</w:t>
      </w:r>
      <w:r>
        <w:rPr>
          <w:rFonts w:hint="eastAsia" w:ascii="黑体" w:hAnsi="黑体" w:eastAsia="黑体"/>
          <w:highlight w:val="none"/>
        </w:rPr>
        <w:t>国有资本经营预算支出决算情况说明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_Toc28717 </w:instrText>
      </w:r>
      <w:r>
        <w:rPr>
          <w:rFonts w:ascii="仿宋" w:hAnsi="仿宋" w:eastAsia="仿宋"/>
          <w:bCs/>
          <w:kern w:val="44"/>
          <w:highlight w:val="none"/>
        </w:rPr>
        <w:fldChar w:fldCharType="separate"/>
      </w:r>
      <w:r>
        <w:rPr>
          <w:rFonts w:hint="eastAsia" w:ascii="黑体" w:hAnsi="黑体" w:eastAsia="黑体"/>
          <w:highlight w:val="none"/>
          <w:lang w:eastAsia="zh-CN"/>
        </w:rPr>
        <w:t>十、</w:t>
      </w:r>
      <w:r>
        <w:rPr>
          <w:rFonts w:hint="eastAsia" w:ascii="黑体" w:hAnsi="黑体" w:eastAsia="黑体"/>
          <w:highlight w:val="none"/>
        </w:rPr>
        <w:t>其他重要事项的情况说明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_Toc11010 </w:instrText>
      </w:r>
      <w:r>
        <w:rPr>
          <w:rFonts w:ascii="仿宋" w:hAnsi="仿宋" w:eastAsia="仿宋"/>
          <w:bCs/>
          <w:kern w:val="44"/>
          <w:highlight w:val="none"/>
        </w:rPr>
        <w:fldChar w:fldCharType="separate"/>
      </w:r>
      <w:r>
        <w:rPr>
          <w:rFonts w:hint="eastAsia" w:ascii="仿宋" w:hAnsi="仿宋" w:eastAsia="仿宋"/>
          <w:szCs w:val="32"/>
          <w:highlight w:val="none"/>
        </w:rPr>
        <w:t>（一）机关运行经费支出情况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_Toc27913 </w:instrText>
      </w:r>
      <w:r>
        <w:rPr>
          <w:rFonts w:ascii="仿宋" w:hAnsi="仿宋" w:eastAsia="仿宋"/>
          <w:bCs/>
          <w:kern w:val="44"/>
          <w:highlight w:val="none"/>
        </w:rPr>
        <w:fldChar w:fldCharType="separate"/>
      </w:r>
      <w:r>
        <w:rPr>
          <w:rFonts w:hint="eastAsia" w:ascii="仿宋" w:hAnsi="仿宋" w:eastAsia="仿宋"/>
          <w:szCs w:val="32"/>
          <w:highlight w:val="none"/>
        </w:rPr>
        <w:t>（二）政府采购支出情况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_Toc13076 </w:instrText>
      </w:r>
      <w:r>
        <w:rPr>
          <w:rFonts w:ascii="仿宋" w:hAnsi="仿宋" w:eastAsia="仿宋"/>
          <w:bCs/>
          <w:kern w:val="44"/>
          <w:highlight w:val="none"/>
        </w:rPr>
        <w:fldChar w:fldCharType="separate"/>
      </w:r>
      <w:r>
        <w:rPr>
          <w:rFonts w:hint="eastAsia" w:ascii="仿宋" w:hAnsi="仿宋" w:eastAsia="仿宋"/>
          <w:szCs w:val="32"/>
          <w:highlight w:val="none"/>
        </w:rPr>
        <w:t>（三）国有资产占有使用情况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_Toc20866 </w:instrText>
      </w:r>
      <w:r>
        <w:rPr>
          <w:rFonts w:ascii="仿宋" w:hAnsi="仿宋" w:eastAsia="仿宋"/>
          <w:bCs/>
          <w:kern w:val="44"/>
          <w:highlight w:val="none"/>
        </w:rPr>
        <w:fldChar w:fldCharType="separate"/>
      </w:r>
      <w:r>
        <w:rPr>
          <w:rFonts w:hint="eastAsia" w:ascii="仿宋" w:hAnsi="仿宋" w:eastAsia="仿宋"/>
          <w:szCs w:val="32"/>
          <w:highlight w:val="none"/>
        </w:rPr>
        <w:t>（四）预算绩效管理情况</w:t>
      </w:r>
      <w:r>
        <w:tab/>
      </w:r>
      <w:r>
        <w:rPr>
          <w:rFonts w:hint="eastAsia"/>
          <w:lang w:val="en-US" w:eastAsia="zh-CN"/>
        </w:rPr>
        <w:t>3</w:t>
      </w:r>
      <w:r>
        <w:rPr>
          <w:rFonts w:ascii="仿宋" w:hAnsi="仿宋" w:eastAsia="仿宋"/>
          <w:bCs/>
          <w:color w:val="auto"/>
          <w:kern w:val="44"/>
          <w:highlight w:val="none"/>
        </w:rPr>
        <w:fldChar w:fldCharType="end"/>
      </w:r>
    </w:p>
    <w:p>
      <w:pPr>
        <w:pStyle w:val="12"/>
        <w:tabs>
          <w:tab w:val="right" w:leader="dot" w:pos="8306"/>
          <w:tab w:val="clear" w:pos="8296"/>
        </w:tabs>
        <w:jc w:val="both"/>
        <w:rPr>
          <w:rFonts w:hint="eastAsia" w:ascii="仿宋" w:hAnsi="仿宋" w:eastAsia="仿宋"/>
          <w:bCs/>
          <w:color w:val="auto"/>
          <w:kern w:val="44"/>
          <w:highlight w:val="none"/>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_Toc9660 </w:instrText>
      </w:r>
      <w:r>
        <w:rPr>
          <w:rFonts w:ascii="仿宋" w:hAnsi="仿宋" w:eastAsia="仿宋"/>
          <w:bCs/>
          <w:kern w:val="44"/>
          <w:highlight w:val="none"/>
        </w:rPr>
        <w:fldChar w:fldCharType="separate"/>
      </w:r>
      <w:r>
        <w:rPr>
          <w:rFonts w:hint="eastAsia" w:ascii="黑体" w:hAnsi="黑体" w:eastAsia="黑体"/>
          <w:szCs w:val="44"/>
          <w:highlight w:val="none"/>
          <w:lang w:eastAsia="zh-CN"/>
        </w:rPr>
        <w:t>第三部分</w:t>
      </w:r>
      <w:r>
        <w:rPr>
          <w:rFonts w:hint="eastAsia" w:ascii="黑体" w:hAnsi="黑体" w:eastAsia="黑体"/>
          <w:szCs w:val="44"/>
          <w:highlight w:val="none"/>
          <w:lang w:val="en-US" w:eastAsia="zh-CN"/>
        </w:rPr>
        <w:t xml:space="preserve">  </w:t>
      </w:r>
      <w:r>
        <w:rPr>
          <w:rFonts w:hint="eastAsia" w:ascii="黑体" w:hAnsi="黑体" w:eastAsia="黑体"/>
          <w:szCs w:val="44"/>
          <w:highlight w:val="none"/>
        </w:rPr>
        <w:t>名</w:t>
      </w:r>
      <w:r>
        <w:rPr>
          <w:rFonts w:hint="eastAsia" w:ascii="黑体" w:hAnsi="黑体" w:eastAsia="黑体"/>
          <w:highlight w:val="none"/>
        </w:rPr>
        <w:t>词解释</w:t>
      </w:r>
      <w:r>
        <w:tab/>
      </w:r>
      <w:r>
        <w:rPr>
          <w:rFonts w:hint="eastAsia"/>
          <w:lang w:val="en-US" w:eastAsia="zh-CN"/>
        </w:rPr>
        <w:t>1</w:t>
      </w:r>
      <w:r>
        <w:rPr>
          <w:rFonts w:ascii="仿宋" w:hAnsi="仿宋" w:eastAsia="仿宋"/>
          <w:bCs/>
          <w:color w:val="auto"/>
          <w:kern w:val="44"/>
          <w:highlight w:val="none"/>
        </w:rPr>
        <w:fldChar w:fldCharType="end"/>
      </w:r>
      <w:r>
        <w:rPr>
          <w:rFonts w:hint="eastAsia"/>
          <w:bCs/>
          <w:color w:val="auto"/>
          <w:kern w:val="44"/>
          <w:highlight w:val="none"/>
          <w:lang w:val="en-US" w:eastAsia="zh-CN"/>
        </w:rPr>
        <w:t>2</w:t>
      </w:r>
    </w:p>
    <w:p>
      <w:pPr>
        <w:pStyle w:val="12"/>
        <w:tabs>
          <w:tab w:val="right" w:leader="dot" w:pos="8306"/>
          <w:tab w:val="clear" w:pos="8296"/>
        </w:tabs>
        <w:jc w:val="both"/>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_Toc22256 </w:instrText>
      </w:r>
      <w:r>
        <w:rPr>
          <w:rFonts w:ascii="仿宋" w:hAnsi="仿宋" w:eastAsia="仿宋"/>
          <w:bCs/>
          <w:kern w:val="44"/>
          <w:highlight w:val="none"/>
        </w:rPr>
        <w:fldChar w:fldCharType="separate"/>
      </w:r>
      <w:r>
        <w:rPr>
          <w:rFonts w:hint="eastAsia" w:ascii="黑体" w:hAnsi="黑体" w:eastAsia="黑体"/>
          <w:szCs w:val="44"/>
          <w:highlight w:val="none"/>
        </w:rPr>
        <w:t>第</w:t>
      </w:r>
      <w:r>
        <w:rPr>
          <w:rFonts w:hint="eastAsia" w:ascii="黑体" w:hAnsi="黑体" w:eastAsia="黑体"/>
          <w:highlight w:val="none"/>
        </w:rPr>
        <w:t>四部分 附件</w:t>
      </w:r>
      <w:r>
        <w:tab/>
      </w:r>
      <w:r>
        <w:rPr>
          <w:rFonts w:hint="eastAsia"/>
          <w:lang w:val="en-US" w:eastAsia="zh-CN"/>
        </w:rPr>
        <w:t>1</w:t>
      </w:r>
      <w:r>
        <w:rPr>
          <w:rFonts w:ascii="仿宋" w:hAnsi="仿宋" w:eastAsia="仿宋"/>
          <w:bCs/>
          <w:color w:val="auto"/>
          <w:kern w:val="44"/>
          <w:highlight w:val="none"/>
        </w:rPr>
        <w:fldChar w:fldCharType="end"/>
      </w:r>
      <w:r>
        <w:rPr>
          <w:rFonts w:hint="eastAsia"/>
          <w:bCs/>
          <w:color w:val="auto"/>
          <w:kern w:val="44"/>
          <w:highlight w:val="none"/>
          <w:lang w:val="en-US" w:eastAsia="zh-CN"/>
        </w:rPr>
        <w:t>5</w:t>
      </w:r>
    </w:p>
    <w:p>
      <w:pPr>
        <w:pStyle w:val="12"/>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_Toc6386 </w:instrText>
      </w:r>
      <w:r>
        <w:rPr>
          <w:rFonts w:ascii="仿宋" w:hAnsi="仿宋" w:eastAsia="仿宋"/>
          <w:bCs/>
          <w:kern w:val="44"/>
          <w:highlight w:val="none"/>
        </w:rP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rPr>
          <w:rFonts w:hint="eastAsia"/>
          <w:lang w:val="en-US" w:eastAsia="zh-CN"/>
        </w:rPr>
        <w:t>2</w:t>
      </w:r>
      <w:r>
        <w:rPr>
          <w:rFonts w:ascii="仿宋" w:hAnsi="仿宋" w:eastAsia="仿宋"/>
          <w:bCs/>
          <w:color w:val="auto"/>
          <w:kern w:val="44"/>
          <w:highlight w:val="none"/>
        </w:rPr>
        <w:fldChar w:fldCharType="end"/>
      </w:r>
      <w:r>
        <w:rPr>
          <w:rFonts w:hint="eastAsia"/>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_Toc9424 </w:instrText>
      </w:r>
      <w:r>
        <w:rPr>
          <w:rFonts w:ascii="仿宋" w:hAnsi="仿宋" w:eastAsia="仿宋"/>
          <w:bCs/>
          <w:kern w:val="44"/>
          <w:highlight w:val="none"/>
        </w:rP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_Toc963 </w:instrText>
      </w:r>
      <w:r>
        <w:rPr>
          <w:rFonts w:ascii="仿宋" w:hAnsi="仿宋" w:eastAsia="仿宋"/>
          <w:bCs/>
          <w:kern w:val="44"/>
          <w:highlight w:val="none"/>
        </w:rP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_Toc16629 </w:instrText>
      </w:r>
      <w:r>
        <w:rPr>
          <w:rFonts w:ascii="仿宋" w:hAnsi="仿宋" w:eastAsia="仿宋"/>
          <w:bCs/>
          <w:kern w:val="44"/>
          <w:highlight w:val="none"/>
        </w:rP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_Toc5681 </w:instrText>
      </w:r>
      <w:r>
        <w:rPr>
          <w:rFonts w:ascii="仿宋" w:hAnsi="仿宋" w:eastAsia="仿宋"/>
          <w:bCs/>
          <w:kern w:val="44"/>
          <w:highlight w:val="none"/>
        </w:rP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_Toc24375 </w:instrText>
      </w:r>
      <w:r>
        <w:rPr>
          <w:rFonts w:ascii="仿宋" w:hAnsi="仿宋" w:eastAsia="仿宋"/>
          <w:bCs/>
          <w:kern w:val="44"/>
          <w:highlight w:val="none"/>
        </w:rP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ascii="仿宋" w:hAnsi="仿宋" w:eastAsia="仿宋"/>
          <w:bCs/>
          <w:color w:val="auto"/>
          <w:kern w:val="44"/>
          <w:highlight w:val="none"/>
        </w:rPr>
        <w:sectPr>
          <w:footerReference r:id="rId3" w:type="default"/>
          <w:pgSz w:w="11906" w:h="16838"/>
          <w:pgMar w:top="1440" w:right="1800" w:bottom="1440" w:left="1800" w:header="720" w:footer="720" w:gutter="0"/>
          <w:pgNumType w:fmt="decimal" w:start="1"/>
          <w:cols w:space="720" w:num="1"/>
          <w:docGrid w:type="lines" w:linePitch="312" w:charSpace="0"/>
        </w:sectPr>
      </w:pP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_Toc7270 </w:instrText>
      </w:r>
      <w:r>
        <w:rPr>
          <w:rFonts w:ascii="仿宋" w:hAnsi="仿宋" w:eastAsia="仿宋"/>
          <w:bCs/>
          <w:kern w:val="44"/>
          <w:highlight w:val="none"/>
        </w:rP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_Toc1218 </w:instrText>
      </w:r>
      <w:r>
        <w:rPr>
          <w:rFonts w:ascii="仿宋" w:hAnsi="仿宋" w:eastAsia="仿宋"/>
          <w:bCs/>
          <w:kern w:val="44"/>
          <w:highlight w:val="none"/>
        </w:rP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_Toc29157 </w:instrText>
      </w:r>
      <w:r>
        <w:rPr>
          <w:rFonts w:ascii="仿宋" w:hAnsi="仿宋" w:eastAsia="仿宋"/>
          <w:bCs/>
          <w:kern w:val="44"/>
          <w:highlight w:val="none"/>
        </w:rP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_Toc26122 </w:instrText>
      </w:r>
      <w:r>
        <w:rPr>
          <w:rFonts w:ascii="仿宋" w:hAnsi="仿宋" w:eastAsia="仿宋"/>
          <w:bCs/>
          <w:kern w:val="44"/>
          <w:highlight w:val="none"/>
        </w:rP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_Toc3166 </w:instrText>
      </w:r>
      <w:r>
        <w:rPr>
          <w:rFonts w:ascii="仿宋" w:hAnsi="仿宋" w:eastAsia="仿宋"/>
          <w:bCs/>
          <w:kern w:val="44"/>
          <w:highlight w:val="none"/>
        </w:rP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_Toc12488 </w:instrText>
      </w:r>
      <w:r>
        <w:rPr>
          <w:rFonts w:ascii="仿宋" w:hAnsi="仿宋" w:eastAsia="仿宋"/>
          <w:bCs/>
          <w:kern w:val="44"/>
          <w:highlight w:val="none"/>
        </w:rP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_Toc24143 </w:instrText>
      </w:r>
      <w:r>
        <w:rPr>
          <w:rFonts w:ascii="仿宋" w:hAnsi="仿宋" w:eastAsia="仿宋"/>
          <w:bCs/>
          <w:kern w:val="44"/>
          <w:highlight w:val="none"/>
        </w:rP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_Toc8856 </w:instrText>
      </w:r>
      <w:r>
        <w:rPr>
          <w:rFonts w:ascii="仿宋" w:hAnsi="仿宋" w:eastAsia="仿宋"/>
          <w:bCs/>
          <w:kern w:val="44"/>
          <w:highlight w:val="none"/>
        </w:rP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7</w:t>
      </w:r>
    </w:p>
    <w:p>
      <w:r>
        <w:rPr>
          <w:rFonts w:ascii="仿宋" w:hAnsi="仿宋" w:eastAsia="仿宋"/>
          <w:bCs/>
          <w:color w:val="auto"/>
          <w:kern w:val="44"/>
          <w:highlight w:val="none"/>
        </w:rPr>
        <w:fldChar w:fldCharType="end"/>
      </w:r>
    </w:p>
    <w:p>
      <w:pPr>
        <w:pStyle w:val="2"/>
        <w:jc w:val="center"/>
        <w:rPr>
          <w:rFonts w:hint="eastAsia" w:ascii="Times New Roman" w:hAnsi="Times New Roman" w:eastAsia="方正小标宋简体" w:cs="方正小标宋简体"/>
          <w:b w:val="0"/>
          <w:color w:val="auto"/>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bookmarkStart w:id="8" w:name="_Toc4100"/>
    </w:p>
    <w:p>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pPr>
        <w:widowControl/>
        <w:jc w:val="left"/>
        <w:rPr>
          <w:rFonts w:ascii="Times New Roman" w:hAnsi="Times New Roman" w:eastAsia="黑体"/>
          <w:color w:val="auto"/>
          <w:sz w:val="32"/>
          <w:szCs w:val="32"/>
          <w:highlight w:val="none"/>
        </w:rPr>
      </w:pPr>
    </w:p>
    <w:p>
      <w:pPr>
        <w:pStyle w:val="3"/>
        <w:rPr>
          <w:rStyle w:val="29"/>
          <w:rFonts w:hint="eastAsia" w:ascii="Times New Roman" w:hAnsi="Times New Roman" w:eastAsia="黑体"/>
          <w:b w:val="0"/>
          <w:bCs w:val="0"/>
          <w:color w:val="auto"/>
          <w:highlight w:val="none"/>
          <w:lang w:eastAsia="zh-CN"/>
        </w:rPr>
      </w:pPr>
      <w:bookmarkStart w:id="9" w:name="_Toc15377197"/>
      <w:bookmarkStart w:id="10" w:name="_Toc15396600"/>
      <w:bookmarkStart w:id="11" w:name="_Toc16234"/>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lang w:eastAsia="zh-CN"/>
        </w:rPr>
      </w:pPr>
      <w:r>
        <w:rPr>
          <w:rFonts w:hint="eastAsia" w:ascii="Times New Roman" w:hAnsi="Times New Roman" w:eastAsia="仿宋_GB2312" w:cs="Times New Roman"/>
          <w:sz w:val="32"/>
          <w:szCs w:val="40"/>
          <w:lang w:val="en-US" w:eastAsia="zh-CN"/>
        </w:rPr>
        <w:t>县委社会工作部负责贯彻落实党中央有关方针和省委、州委、县委决策部署，把</w:t>
      </w:r>
      <w:r>
        <w:rPr>
          <w:rFonts w:hint="eastAsia" w:eastAsia="仿宋_GB2312" w:cs="Times New Roman"/>
          <w:sz w:val="32"/>
          <w:szCs w:val="40"/>
          <w:lang w:val="en-US" w:eastAsia="zh-CN"/>
        </w:rPr>
        <w:t>坚持和加强党中央集中统一领导</w:t>
      </w:r>
      <w:r>
        <w:rPr>
          <w:rFonts w:hint="eastAsia" w:ascii="Times New Roman" w:hAnsi="Times New Roman" w:eastAsia="仿宋_GB2312" w:cs="Times New Roman"/>
          <w:sz w:val="32"/>
          <w:szCs w:val="40"/>
          <w:lang w:val="en-US" w:eastAsia="zh-CN"/>
        </w:rPr>
        <w:t>落实到履行职责过程中。</w:t>
      </w:r>
      <w:r>
        <w:rPr>
          <w:rFonts w:hint="eastAsia" w:ascii="Times New Roman" w:hAnsi="Times New Roman" w:eastAsia="仿宋_GB2312" w:cs="Times New Roman"/>
          <w:b/>
          <w:bCs/>
          <w:sz w:val="32"/>
          <w:szCs w:val="40"/>
          <w:lang w:val="en-US" w:eastAsia="zh-CN"/>
        </w:rPr>
        <w:t>一是</w:t>
      </w:r>
      <w:r>
        <w:rPr>
          <w:rFonts w:hint="eastAsia" w:ascii="Times New Roman" w:hAnsi="Times New Roman" w:eastAsia="仿宋_GB2312" w:cs="Times New Roman"/>
          <w:sz w:val="32"/>
          <w:szCs w:val="40"/>
          <w:lang w:val="en-US" w:eastAsia="zh-CN"/>
        </w:rPr>
        <w:t>研究相关理论、政策和规划，贯彻落实地方性法规、政策，拟定相关规范性文件并组织实施。深入调查研究，及时向县委</w:t>
      </w:r>
      <w:r>
        <w:rPr>
          <w:rFonts w:hint="eastAsia" w:eastAsia="仿宋_GB2312" w:cs="Times New Roman"/>
          <w:sz w:val="32"/>
          <w:szCs w:val="40"/>
          <w:lang w:val="en-US" w:eastAsia="zh-CN"/>
        </w:rPr>
        <w:t>汇报</w:t>
      </w:r>
      <w:r>
        <w:rPr>
          <w:rFonts w:hint="eastAsia" w:ascii="Times New Roman" w:hAnsi="Times New Roman" w:eastAsia="仿宋_GB2312" w:cs="Times New Roman"/>
          <w:sz w:val="32"/>
          <w:szCs w:val="40"/>
          <w:lang w:val="en-US" w:eastAsia="zh-CN"/>
        </w:rPr>
        <w:t>工作情况并提出建议。指导各乡（镇）、县级各部门开展相关工作；</w:t>
      </w:r>
      <w:r>
        <w:rPr>
          <w:rFonts w:hint="eastAsia" w:ascii="Times New Roman" w:hAnsi="Times New Roman" w:eastAsia="仿宋_GB2312" w:cs="Times New Roman"/>
          <w:b/>
          <w:bCs/>
          <w:sz w:val="32"/>
          <w:szCs w:val="40"/>
          <w:lang w:val="en-US" w:eastAsia="zh-CN"/>
        </w:rPr>
        <w:t>二是</w:t>
      </w:r>
      <w:r>
        <w:rPr>
          <w:rFonts w:hint="eastAsia" w:ascii="Times New Roman" w:hAnsi="Times New Roman" w:eastAsia="仿宋_GB2312" w:cs="Times New Roman"/>
          <w:sz w:val="32"/>
          <w:szCs w:val="40"/>
          <w:lang w:val="en-US" w:eastAsia="zh-CN"/>
        </w:rPr>
        <w:t>统筹指导全县群众利益协调、诉求表达、矛盾调处、权益保障等人民信访工作，负责征集、办理公民、法人和其他组织提出的意见建议。向县委、县政府及时反映公民、法人和其他组织对党和国家事业发展提出的重要意见建议；</w:t>
      </w:r>
      <w:r>
        <w:rPr>
          <w:rFonts w:hint="eastAsia" w:ascii="Times New Roman" w:hAnsi="Times New Roman" w:eastAsia="仿宋_GB2312" w:cs="Times New Roman"/>
          <w:b/>
          <w:bCs/>
          <w:sz w:val="32"/>
          <w:szCs w:val="40"/>
          <w:lang w:val="en-US" w:eastAsia="zh-CN"/>
        </w:rPr>
        <w:t>三是</w:t>
      </w:r>
      <w:r>
        <w:rPr>
          <w:rFonts w:hint="eastAsia" w:ascii="Times New Roman" w:hAnsi="Times New Roman" w:eastAsia="仿宋_GB2312" w:cs="Times New Roman"/>
          <w:sz w:val="32"/>
          <w:szCs w:val="40"/>
          <w:lang w:val="en-US" w:eastAsia="zh-CN"/>
        </w:rPr>
        <w:t>统筹推进党建引领基层治理和基层政权建设，协调推进城乡社区治理体系、服务体系和治理能力建设，推动基层民主政治建设，指导监督基层群众自治制度的有效实施，健全基层群众自治制度。</w:t>
      </w:r>
      <w:r>
        <w:rPr>
          <w:rFonts w:hint="eastAsia" w:ascii="Times New Roman" w:hAnsi="Times New Roman" w:eastAsia="仿宋_GB2312" w:cs="Times New Roman"/>
          <w:b/>
          <w:bCs/>
          <w:sz w:val="32"/>
          <w:szCs w:val="40"/>
          <w:lang w:val="en-US" w:eastAsia="zh-CN"/>
        </w:rPr>
        <w:t>四是</w:t>
      </w:r>
      <w:r>
        <w:rPr>
          <w:rFonts w:hint="eastAsia" w:ascii="Times New Roman" w:hAnsi="Times New Roman" w:eastAsia="仿宋_GB2312" w:cs="Times New Roman"/>
          <w:sz w:val="32"/>
          <w:szCs w:val="40"/>
          <w:lang w:val="en-US" w:eastAsia="zh-CN"/>
        </w:rPr>
        <w:t>指导全县性社会组织党建工作，统一领导全县性行业协会商会党的工作，承办全县性行业协会商会负责人人选的审核。协调推动全县性行业协会商会深化改革和转型发展。调查研究相关重大问题。</w:t>
      </w:r>
      <w:r>
        <w:rPr>
          <w:rFonts w:hint="eastAsia" w:ascii="Times New Roman" w:hAnsi="Times New Roman" w:eastAsia="仿宋_GB2312" w:cs="Times New Roman"/>
          <w:b/>
          <w:bCs/>
          <w:sz w:val="32"/>
          <w:szCs w:val="40"/>
          <w:lang w:val="en-US" w:eastAsia="zh-CN"/>
        </w:rPr>
        <w:t>五是</w:t>
      </w:r>
      <w:r>
        <w:rPr>
          <w:rFonts w:hint="eastAsia" w:ascii="Times New Roman" w:hAnsi="Times New Roman" w:eastAsia="仿宋_GB2312" w:cs="Times New Roman"/>
          <w:sz w:val="32"/>
          <w:szCs w:val="40"/>
          <w:lang w:val="en-US" w:eastAsia="zh-CN"/>
        </w:rPr>
        <w:t>指导、推动落实全县混合所有制企业、非公有制企业和新经济组织、新社会组织、新就业群体（以下简称“两企三新”）党建工作，指导协调相关企业单位、社会组织、就业群体中党员的教育、管理、监管和服务工作，研究完善相关领域群众利益协调机制。六是负责全县志愿服务工作的统筹规划、协调指导、督促检查、指导推动社会工作人才队伍建设、志愿服务人才队伍建设和阵地建设，以及志愿者服务组织的规范管理工作，协调推动社会工作服务体系和志愿服务体系。六</w:t>
      </w:r>
      <w:r>
        <w:rPr>
          <w:rFonts w:hint="eastAsia" w:ascii="Times New Roman" w:hAnsi="Times New Roman" w:eastAsia="仿宋_GB2312" w:cs="Times New Roman"/>
          <w:b/>
          <w:bCs/>
          <w:sz w:val="32"/>
          <w:szCs w:val="40"/>
          <w:lang w:val="en-US" w:eastAsia="zh-CN"/>
        </w:rPr>
        <w:t>是</w:t>
      </w:r>
      <w:r>
        <w:rPr>
          <w:rFonts w:hint="eastAsia" w:ascii="Times New Roman" w:hAnsi="Times New Roman" w:eastAsia="仿宋_GB2312" w:cs="Times New Roman"/>
          <w:sz w:val="32"/>
          <w:szCs w:val="40"/>
          <w:lang w:val="en-US" w:eastAsia="zh-CN"/>
        </w:rPr>
        <w:t>统筹推进党建引领基层治理和基层政权建设，协调推进城乡社区治理体系、服务体系和治理能力建设，推动基层民主政治建设，指导监督基层群众自治制度的有效实施。七</w:t>
      </w:r>
      <w:r>
        <w:rPr>
          <w:rFonts w:hint="eastAsia" w:ascii="Times New Roman" w:hAnsi="Times New Roman" w:eastAsia="仿宋_GB2312" w:cs="Times New Roman"/>
          <w:b/>
          <w:bCs/>
          <w:sz w:val="32"/>
          <w:szCs w:val="40"/>
          <w:lang w:val="en-US" w:eastAsia="zh-CN"/>
        </w:rPr>
        <w:t>是</w:t>
      </w:r>
      <w:r>
        <w:rPr>
          <w:rFonts w:hint="eastAsia" w:ascii="Times New Roman" w:hAnsi="Times New Roman" w:eastAsia="仿宋_GB2312" w:cs="Times New Roman"/>
          <w:sz w:val="32"/>
          <w:szCs w:val="40"/>
          <w:lang w:val="en-US" w:eastAsia="zh-CN"/>
        </w:rPr>
        <w:t>健全基层群众自治制度六是负责全县志愿服务工作的统筹规划、协调指导、督促检查、指导推动社会工作人才队伍建设、志愿服务人才队伍建设和阵地建设，以及志愿者组织的规范管理工作，协调推动社会工作服务体系和志愿服务体系。</w:t>
      </w:r>
    </w:p>
    <w:p>
      <w:pPr>
        <w:pStyle w:val="3"/>
        <w:pageBreakBefore w:val="0"/>
        <w:numPr>
          <w:ilvl w:val="0"/>
          <w:numId w:val="1"/>
        </w:numPr>
        <w:kinsoku/>
        <w:wordWrap/>
        <w:overflowPunct/>
        <w:topLinePunct w:val="0"/>
        <w:autoSpaceDE/>
        <w:autoSpaceDN/>
        <w:bidi w:val="0"/>
        <w:adjustRightInd/>
        <w:snapToGrid/>
        <w:spacing w:line="576" w:lineRule="exact"/>
        <w:ind w:left="0" w:leftChars="0" w:firstLine="0" w:firstLineChars="0"/>
        <w:textAlignment w:val="auto"/>
        <w:rPr>
          <w:rFonts w:hint="eastAsia"/>
          <w:lang w:val="en-US" w:eastAsia="zh-CN"/>
        </w:rPr>
      </w:pPr>
      <w:bookmarkStart w:id="12" w:name="_Toc9207"/>
      <w:r>
        <w:rPr>
          <w:rFonts w:hint="eastAsia" w:ascii="黑体" w:hAnsi="黑体" w:eastAsia="黑体"/>
          <w:b w:val="0"/>
          <w:color w:val="auto"/>
          <w:highlight w:val="none"/>
          <w:lang w:val="en-US" w:eastAsia="zh-CN"/>
        </w:rPr>
        <w:t>机构设置</w:t>
      </w:r>
      <w:bookmarkEnd w:id="12"/>
    </w:p>
    <w:p>
      <w:pPr>
        <w:pageBreakBefore w:val="0"/>
        <w:kinsoku/>
        <w:wordWrap/>
        <w:overflowPunct/>
        <w:topLinePunct w:val="0"/>
        <w:autoSpaceDE/>
        <w:autoSpaceDN/>
        <w:bidi w:val="0"/>
        <w:adjustRightInd/>
        <w:snapToGrid/>
        <w:spacing w:line="576" w:lineRule="exact"/>
        <w:ind w:firstLine="640" w:firstLineChars="200"/>
        <w:textAlignment w:val="auto"/>
        <w:rPr>
          <w:rFonts w:hint="eastAsia"/>
          <w:lang w:val="en-US" w:eastAsia="zh-CN"/>
        </w:rPr>
      </w:pPr>
      <w:r>
        <w:rPr>
          <w:rFonts w:hint="eastAsia" w:ascii="仿宋_GB2312" w:eastAsia="仿宋_GB2312" w:cs="Courier New"/>
          <w:color w:val="000000"/>
          <w:kern w:val="2"/>
          <w:sz w:val="32"/>
          <w:szCs w:val="32"/>
          <w:lang w:val="en-US" w:eastAsia="zh-CN" w:bidi="bo-CN"/>
        </w:rPr>
        <w:t>中共壤塘县委社会工作部下属二级预算单位2个，分别为中共壤塘县委社会工作部和壤塘县社会工作事务中心。</w:t>
      </w:r>
    </w:p>
    <w:p>
      <w:pPr>
        <w:widowControl/>
        <w:jc w:val="left"/>
        <w:rPr>
          <w:rFonts w:ascii="Times New Roman" w:hAnsi="Times New Roman" w:eastAsia="仿宋"/>
          <w:color w:val="auto"/>
          <w:kern w:val="0"/>
          <w:sz w:val="32"/>
          <w:szCs w:val="32"/>
          <w:highlight w:val="none"/>
        </w:rPr>
      </w:pPr>
    </w:p>
    <w:p>
      <w:pPr>
        <w:widowControl/>
        <w:jc w:val="left"/>
        <w:rPr>
          <w:rFonts w:ascii="Times New Roman" w:hAnsi="Times New Roman" w:eastAsia="仿宋"/>
          <w:color w:val="auto"/>
          <w:kern w:val="0"/>
          <w:sz w:val="32"/>
          <w:szCs w:val="32"/>
          <w:highlight w:val="none"/>
        </w:rPr>
      </w:pPr>
    </w:p>
    <w:p>
      <w:pPr>
        <w:widowControl/>
        <w:jc w:val="left"/>
        <w:rPr>
          <w:rFonts w:ascii="Times New Roman" w:hAnsi="Times New Roman" w:eastAsia="仿宋"/>
          <w:color w:val="auto"/>
          <w:kern w:val="0"/>
          <w:sz w:val="32"/>
          <w:szCs w:val="32"/>
          <w:highlight w:val="none"/>
        </w:rPr>
      </w:pPr>
    </w:p>
    <w:p>
      <w:pPr>
        <w:widowControl/>
        <w:jc w:val="left"/>
        <w:rPr>
          <w:rFonts w:ascii="Times New Roman" w:hAnsi="Times New Roman" w:eastAsia="仿宋"/>
          <w:color w:val="auto"/>
          <w:kern w:val="0"/>
          <w:sz w:val="32"/>
          <w:szCs w:val="32"/>
          <w:highlight w:val="none"/>
        </w:rPr>
      </w:pPr>
    </w:p>
    <w:p>
      <w:pPr>
        <w:widowControl/>
        <w:jc w:val="left"/>
        <w:rPr>
          <w:rFonts w:ascii="Times New Roman" w:hAnsi="Times New Roman" w:eastAsia="仿宋"/>
          <w:color w:val="auto"/>
          <w:kern w:val="0"/>
          <w:sz w:val="32"/>
          <w:szCs w:val="32"/>
          <w:highlight w:val="none"/>
        </w:rPr>
      </w:pPr>
    </w:p>
    <w:p>
      <w:pPr>
        <w:pStyle w:val="2"/>
        <w:jc w:val="center"/>
        <w:rPr>
          <w:rFonts w:hint="eastAsia" w:ascii="Times New Roman" w:hAnsi="Times New Roman" w:eastAsia="方正小标宋简体" w:cs="方正小标宋简体"/>
          <w:b w:val="0"/>
          <w:color w:val="auto"/>
          <w:highlight w:val="none"/>
        </w:rPr>
      </w:pPr>
      <w:bookmarkStart w:id="13" w:name="_Toc15377204"/>
      <w:bookmarkStart w:id="14" w:name="_Toc14893"/>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bookmarkStart w:id="18" w:name="_Toc206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19" w:name="_Toc6305"/>
      <w:r>
        <w:drawing>
          <wp:anchor distT="0" distB="0" distL="114300" distR="114300" simplePos="0" relativeHeight="251659264" behindDoc="0" locked="0" layoutInCell="1" allowOverlap="1">
            <wp:simplePos x="0" y="0"/>
            <wp:positionH relativeFrom="column">
              <wp:posOffset>318770</wp:posOffset>
            </wp:positionH>
            <wp:positionV relativeFrom="paragraph">
              <wp:posOffset>2261870</wp:posOffset>
            </wp:positionV>
            <wp:extent cx="4826000" cy="2743200"/>
            <wp:effectExtent l="4445" t="4445" r="8255" b="14605"/>
            <wp:wrapNone/>
            <wp:docPr id="2" name="图表 1"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收入为</w:t>
      </w:r>
      <w:r>
        <w:rPr>
          <w:rFonts w:hint="eastAsia" w:eastAsia="仿宋_GB2312" w:cs="仿宋_GB2312"/>
          <w:color w:val="auto"/>
          <w:sz w:val="32"/>
          <w:szCs w:val="32"/>
          <w:highlight w:val="none"/>
          <w:lang w:val="en-US" w:eastAsia="zh-CN"/>
        </w:rPr>
        <w:t>337.21</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、支出为</w:t>
      </w:r>
      <w:r>
        <w:rPr>
          <w:rFonts w:hint="eastAsia" w:eastAsia="仿宋_GB2312" w:cs="仿宋_GB2312"/>
          <w:color w:val="auto"/>
          <w:sz w:val="32"/>
          <w:szCs w:val="32"/>
          <w:highlight w:val="none"/>
          <w:lang w:val="en-US" w:eastAsia="zh-CN"/>
        </w:rPr>
        <w:t>335.11万元</w:t>
      </w:r>
      <w:r>
        <w:rPr>
          <w:rFonts w:hint="eastAsia" w:ascii="Times New Roman" w:hAnsi="Times New Roman" w:eastAsia="仿宋_GB2312" w:cs="仿宋_GB2312"/>
          <w:color w:val="auto"/>
          <w:sz w:val="32"/>
          <w:szCs w:val="32"/>
          <w:highlight w:val="none"/>
        </w:rPr>
        <w:t>。</w:t>
      </w:r>
      <w:bookmarkEnd w:id="19"/>
      <w:bookmarkStart w:id="20" w:name="_Toc3188"/>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eastAsia="仿宋_GB2312" w:cs="仿宋_GB2312"/>
          <w:color w:val="auto"/>
          <w:sz w:val="32"/>
          <w:szCs w:val="32"/>
          <w:highlight w:val="none"/>
          <w:lang w:eastAsia="zh-CN"/>
        </w:rPr>
        <w:t>收入增加</w:t>
      </w:r>
      <w:r>
        <w:rPr>
          <w:rFonts w:hint="eastAsia" w:eastAsia="仿宋_GB2312" w:cs="仿宋_GB2312"/>
          <w:color w:val="auto"/>
          <w:sz w:val="32"/>
          <w:szCs w:val="32"/>
          <w:highlight w:val="none"/>
          <w:lang w:val="en-US" w:eastAsia="zh-CN"/>
        </w:rPr>
        <w:t>201.05万元、</w:t>
      </w:r>
      <w:r>
        <w:rPr>
          <w:rFonts w:hint="eastAsia"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198.95</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分别</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147.66%、146.11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2024年6月成立，2024年实际执行时间较短，经费预算从8月开始执行，2024年决算涵盖时间数仅为5个月，2025年度为完整年度执行，收入支出规模相应增加。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20"/>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7356"/>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4" w:name="_Toc691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337.21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335.11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99.37</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0.63</w:t>
      </w:r>
      <w:r>
        <w:rPr>
          <w:rFonts w:hint="eastAsia" w:ascii="Times New Roman" w:hAnsi="Times New Roman" w:eastAsia="仿宋_GB2312" w:cs="仿宋_GB2312"/>
          <w:color w:val="auto"/>
          <w:sz w:val="32"/>
          <w:szCs w:val="32"/>
          <w:highlight w:val="none"/>
          <w:lang w:eastAsia="zh-CN"/>
        </w:rPr>
        <w:t>%。</w:t>
      </w:r>
      <w:bookmarkEnd w:id="24"/>
      <w:bookmarkStart w:id="25" w:name="_Toc155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509270</wp:posOffset>
            </wp:positionH>
            <wp:positionV relativeFrom="paragraph">
              <wp:posOffset>-81280</wp:posOffset>
            </wp:positionV>
            <wp:extent cx="4826000" cy="2743200"/>
            <wp:effectExtent l="4445" t="4445" r="8255" b="14605"/>
            <wp:wrapNone/>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6" w:name="_Toc15396605"/>
      <w:bookmarkStart w:id="27" w:name="_Toc15377207"/>
      <w:bookmarkStart w:id="28" w:name="_Toc177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6"/>
      <w:bookmarkEnd w:id="27"/>
      <w:bookmarkEnd w:id="2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29" w:name="_Toc3114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335.11</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313.67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93.60</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21.44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6.4</w:t>
      </w:r>
      <w:r>
        <w:rPr>
          <w:rFonts w:hint="eastAsia" w:ascii="Times New Roman" w:hAnsi="Times New Roman" w:eastAsia="仿宋_GB2312" w:cs="仿宋_GB2312"/>
          <w:color w:val="auto"/>
          <w:sz w:val="32"/>
          <w:szCs w:val="32"/>
          <w:highlight w:val="none"/>
          <w:lang w:eastAsia="zh-CN"/>
        </w:rPr>
        <w:t>%</w:t>
      </w:r>
      <w:bookmarkEnd w:id="29"/>
      <w:bookmarkStart w:id="30" w:name="_Toc28309"/>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840" w:firstLineChars="4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575945</wp:posOffset>
            </wp:positionH>
            <wp:positionV relativeFrom="paragraph">
              <wp:posOffset>166370</wp:posOffset>
            </wp:positionV>
            <wp:extent cx="4826000" cy="2743200"/>
            <wp:effectExtent l="4445" t="4445" r="8255" b="14605"/>
            <wp:wrapNone/>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bookmarkEnd w:id="30"/>
    </w:p>
    <w:p>
      <w:pPr>
        <w:spacing w:line="600" w:lineRule="exact"/>
        <w:ind w:firstLine="640" w:firstLineChars="200"/>
        <w:outlineLvl w:val="1"/>
        <w:rPr>
          <w:rStyle w:val="29"/>
          <w:rFonts w:ascii="Times New Roman" w:hAnsi="Times New Roman" w:eastAsia="黑体"/>
          <w:b w:val="0"/>
          <w:color w:val="auto"/>
          <w:highlight w:val="none"/>
        </w:rPr>
      </w:pPr>
      <w:bookmarkStart w:id="31" w:name="_Toc15396606"/>
      <w:bookmarkStart w:id="32" w:name="_Toc15377208"/>
      <w:bookmarkStart w:id="33" w:name="_Toc8840"/>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1"/>
      <w:bookmarkEnd w:id="32"/>
      <w:bookmarkEnd w:id="3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335.11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198.95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146.11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2024年6月成立，2024年实际执行时间较短，经费预算从8月开始执行，2024年决算涵盖时间数仅为5个月，2025年度为完整年度执行，收入支出规模相应增加。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433070</wp:posOffset>
            </wp:positionH>
            <wp:positionV relativeFrom="paragraph">
              <wp:posOffset>61595</wp:posOffset>
            </wp:positionV>
            <wp:extent cx="4826000" cy="2743200"/>
            <wp:effectExtent l="4445" t="4445" r="8255" b="14605"/>
            <wp:wrapNone/>
            <wp:docPr id="7" name="图表 6"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firstLineChars="200"/>
        <w:outlineLvl w:val="1"/>
        <w:rPr>
          <w:rStyle w:val="29"/>
          <w:rFonts w:ascii="Times New Roman" w:hAnsi="Times New Roman" w:eastAsia="黑体"/>
          <w:b w:val="0"/>
          <w:color w:val="auto"/>
          <w:highlight w:val="none"/>
        </w:rPr>
      </w:pPr>
      <w:bookmarkStart w:id="34" w:name="_Toc15396607"/>
      <w:bookmarkStart w:id="35" w:name="_Toc12487"/>
      <w:bookmarkStart w:id="36"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4"/>
      <w:bookmarkEnd w:id="35"/>
      <w:bookmarkEnd w:id="3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335.11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198.95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146.11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2024年6月成立，2024年实际执行时间较短，经费预算从8月开始执行，2024年决算涵盖时间数仅为5个月，2025年度为完整年度执行，支出规模相应增加。</w:t>
      </w: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467995</wp:posOffset>
            </wp:positionH>
            <wp:positionV relativeFrom="paragraph">
              <wp:posOffset>-319405</wp:posOffset>
            </wp:positionV>
            <wp:extent cx="4826000" cy="2743200"/>
            <wp:effectExtent l="4445" t="4445" r="8255" b="14605"/>
            <wp:wrapNone/>
            <wp:docPr id="8" name="图表 7"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8" w:name="_Toc1537721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38"/>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335.11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256.08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76.41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42.38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12.65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572770</wp:posOffset>
            </wp:positionH>
            <wp:positionV relativeFrom="paragraph">
              <wp:posOffset>80645</wp:posOffset>
            </wp:positionV>
            <wp:extent cx="4826000" cy="2743200"/>
            <wp:effectExtent l="4445" t="4445" r="8255" b="14605"/>
            <wp:wrapNone/>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7444"/>
      <w:bookmarkStart w:id="41" w:name="_Toc15377213"/>
      <w:bookmarkStart w:id="42"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335.11万元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0"/>
      <w:bookmarkEnd w:id="41"/>
      <w:bookmarkEnd w:id="42"/>
    </w:p>
    <w:p>
      <w:pPr>
        <w:numPr>
          <w:ilvl w:val="0"/>
          <w:numId w:val="2"/>
        </w:numPr>
        <w:spacing w:line="600" w:lineRule="exact"/>
        <w:ind w:firstLine="642" w:firstLineChars="200"/>
        <w:rPr>
          <w:rStyle w:val="17"/>
          <w:rFonts w:hint="eastAsia" w:ascii="仿宋" w:hAnsi="仿宋" w:eastAsia="仿宋"/>
          <w:b w:val="0"/>
          <w:bCs/>
          <w:color w:val="auto"/>
          <w:sz w:val="32"/>
          <w:szCs w:val="32"/>
          <w:highlight w:val="none"/>
          <w:lang w:eastAsia="zh-CN"/>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行政运行</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153.23</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一般行政事务管理</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12.48</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firstLine="642" w:firstLineChars="200"/>
        <w:rPr>
          <w:rFonts w:hint="eastAsia" w:ascii="Times New Roman" w:hAnsi="Times New Roman" w:eastAsia="仿宋_GB2312" w:cs="仿宋_GB2312"/>
          <w:color w:val="auto"/>
          <w:kern w:val="2"/>
          <w:sz w:val="32"/>
          <w:szCs w:val="32"/>
          <w:highlight w:val="none"/>
          <w:lang w:val="en-US" w:eastAsia="zh-CN" w:bidi="ar-SA"/>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其他社会工作事务支出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8.96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pageBreakBefore w:val="0"/>
        <w:widowControl w:val="0"/>
        <w:numPr>
          <w:ilvl w:val="0"/>
          <w:numId w:val="2"/>
        </w:numPr>
        <w:kinsoku/>
        <w:wordWrap/>
        <w:overflowPunct/>
        <w:topLinePunct w:val="0"/>
        <w:bidi w:val="0"/>
        <w:spacing w:line="576" w:lineRule="exact"/>
        <w:ind w:firstLine="642" w:firstLineChars="200"/>
        <w:textAlignment w:val="auto"/>
        <w:rPr>
          <w:rStyle w:val="17"/>
          <w:rFonts w:hint="eastAsia" w:ascii="仿宋" w:hAnsi="仿宋" w:eastAsia="仿宋"/>
          <w:b w:val="0"/>
          <w:bCs/>
          <w:color w:val="auto"/>
          <w:sz w:val="32"/>
          <w:szCs w:val="32"/>
          <w:highlight w:val="none"/>
          <w:lang w:eastAsia="zh-CN"/>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事业运行</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81.42</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Style w:val="17"/>
          <w:rFonts w:hint="eastAsia" w:ascii="仿宋" w:hAnsi="仿宋" w:eastAsia="仿宋"/>
          <w:b w:val="0"/>
          <w:bCs/>
          <w:color w:val="auto"/>
          <w:sz w:val="32"/>
          <w:szCs w:val="32"/>
          <w:highlight w:val="none"/>
          <w:lang w:eastAsia="zh-CN"/>
        </w:rPr>
      </w:pPr>
      <w:r>
        <w:rPr>
          <w:rStyle w:val="17"/>
          <w:rFonts w:hint="eastAsia" w:ascii="仿宋" w:hAnsi="仿宋" w:eastAsia="仿宋"/>
          <w:bCs/>
          <w:color w:val="auto"/>
          <w:sz w:val="32"/>
          <w:szCs w:val="32"/>
          <w:highlight w:val="none"/>
        </w:rPr>
        <w:t>社会保障和就业（类）</w:t>
      </w:r>
      <w:r>
        <w:rPr>
          <w:rStyle w:val="17"/>
          <w:rFonts w:hint="eastAsia" w:ascii="仿宋" w:hAnsi="仿宋" w:eastAsia="仿宋"/>
          <w:bCs/>
          <w:color w:val="auto"/>
          <w:sz w:val="32"/>
          <w:szCs w:val="32"/>
          <w:highlight w:val="none"/>
          <w:lang w:eastAsia="zh-CN"/>
        </w:rPr>
        <w:t>行政事业单位养老支出</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机关事业单位基本养老保险缴费支出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36.79</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rPr>
        <w:t>社会保障和就业（类）</w:t>
      </w:r>
      <w:r>
        <w:rPr>
          <w:rStyle w:val="17"/>
          <w:rFonts w:hint="eastAsia" w:ascii="仿宋" w:hAnsi="仿宋" w:eastAsia="仿宋"/>
          <w:bCs/>
          <w:color w:val="auto"/>
          <w:sz w:val="32"/>
          <w:szCs w:val="32"/>
          <w:highlight w:val="none"/>
          <w:lang w:eastAsia="zh-CN"/>
        </w:rPr>
        <w:t>行政事业单位养老支出</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机关事业单位职业年金缴费支出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14.13</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Style w:val="17"/>
          <w:rFonts w:hint="eastAsia" w:ascii="仿宋" w:hAnsi="仿宋" w:eastAsia="仿宋"/>
          <w:b w:val="0"/>
          <w:bCs/>
          <w:color w:val="auto"/>
          <w:sz w:val="32"/>
          <w:szCs w:val="32"/>
          <w:highlight w:val="none"/>
          <w:lang w:eastAsia="zh-CN"/>
        </w:rPr>
      </w:pP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eastAsia="zh-CN"/>
        </w:rPr>
        <w:t>行政事业单位医疗</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行政单位医疗</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7.44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Fonts w:hint="eastAsia" w:ascii="Times New Roman" w:hAnsi="Times New Roman" w:eastAsia="仿宋_GB2312" w:cs="Times New Roman"/>
          <w:sz w:val="32"/>
          <w:szCs w:val="32"/>
          <w:lang w:val="en-US" w:eastAsia="zh-CN"/>
        </w:rPr>
      </w:pP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eastAsia="zh-CN"/>
        </w:rPr>
        <w:t>行政事业单位医疗</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公务员医疗补助</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1.32</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pageBreakBefore w:val="0"/>
        <w:widowControl w:val="0"/>
        <w:numPr>
          <w:ilvl w:val="0"/>
          <w:numId w:val="2"/>
        </w:numPr>
        <w:kinsoku/>
        <w:wordWrap/>
        <w:overflowPunct/>
        <w:topLinePunct w:val="0"/>
        <w:bidi w:val="0"/>
        <w:spacing w:line="576" w:lineRule="exact"/>
        <w:ind w:left="0" w:leftChars="0" w:firstLine="642" w:firstLineChars="200"/>
        <w:textAlignment w:val="auto"/>
        <w:rPr>
          <w:rStyle w:val="17"/>
          <w:rFonts w:hint="eastAsia" w:ascii="仿宋" w:hAnsi="仿宋" w:eastAsia="仿宋"/>
          <w:b w:val="0"/>
          <w:bCs/>
          <w:color w:val="auto"/>
          <w:sz w:val="32"/>
          <w:szCs w:val="32"/>
          <w:highlight w:val="none"/>
          <w:lang w:eastAsia="zh-CN"/>
        </w:rPr>
      </w:pP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eastAsia="zh-CN"/>
        </w:rPr>
        <w:t>行政事业单位医疗</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事业单位医疗</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4.89</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pageBreakBefore w:val="0"/>
        <w:widowControl w:val="0"/>
        <w:numPr>
          <w:ilvl w:val="0"/>
          <w:numId w:val="2"/>
        </w:numPr>
        <w:kinsoku/>
        <w:wordWrap/>
        <w:overflowPunct/>
        <w:topLinePunct w:val="0"/>
        <w:bidi w:val="0"/>
        <w:spacing w:line="576" w:lineRule="exact"/>
        <w:ind w:left="0" w:leftChars="0" w:firstLine="642" w:firstLineChars="200"/>
        <w:textAlignment w:val="auto"/>
        <w:rPr>
          <w:rFonts w:hint="eastAsia" w:ascii="Times New Roman" w:hAnsi="Times New Roman" w:eastAsia="仿宋_GB2312" w:cs="Times New Roman"/>
          <w:sz w:val="32"/>
          <w:szCs w:val="32"/>
          <w:lang w:val="en-US" w:eastAsia="zh-CN"/>
        </w:rPr>
      </w:pP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eastAsia="zh-CN"/>
        </w:rPr>
        <w:t>行政事业单位医疗</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其他行政事业单位医疗支出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0.90</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Fonts w:ascii="仿宋" w:hAnsi="仿宋" w:eastAsia="仿宋"/>
          <w:b/>
          <w:color w:val="auto"/>
          <w:sz w:val="32"/>
          <w:szCs w:val="32"/>
          <w:highlight w:val="none"/>
        </w:rPr>
      </w:pPr>
      <w:r>
        <w:rPr>
          <w:rStyle w:val="17"/>
          <w:rFonts w:hint="eastAsia" w:ascii="仿宋" w:hAnsi="仿宋" w:eastAsia="仿宋"/>
          <w:bCs/>
          <w:sz w:val="32"/>
          <w:szCs w:val="32"/>
        </w:rPr>
        <w:t>住房保障支出（类）住房改革支出（款</w:t>
      </w:r>
      <w:r>
        <w:rPr>
          <w:rStyle w:val="17"/>
          <w:rFonts w:hint="eastAsia" w:ascii="仿宋" w:hAnsi="仿宋" w:eastAsia="仿宋"/>
          <w:bCs/>
          <w:sz w:val="32"/>
          <w:szCs w:val="32"/>
          <w:lang w:eastAsia="zh-CN"/>
        </w:rPr>
        <w:t>）</w:t>
      </w:r>
      <w:r>
        <w:rPr>
          <w:rStyle w:val="17"/>
          <w:rFonts w:hint="eastAsia" w:ascii="仿宋" w:hAnsi="仿宋" w:eastAsia="仿宋"/>
          <w:bCs/>
          <w:sz w:val="32"/>
          <w:szCs w:val="32"/>
        </w:rPr>
        <w:t>住房公积金（项）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Times New Roman" w:hAnsi="Times New Roman" w:eastAsia="仿宋_GB2312" w:cs="Times New Roman"/>
          <w:sz w:val="32"/>
          <w:szCs w:val="32"/>
          <w:lang w:val="en-US" w:eastAsia="zh-CN"/>
        </w:rPr>
        <w:t>支出决算为13.34万元，完成预算100%，决算数等于预算数。</w:t>
      </w:r>
    </w:p>
    <w:p>
      <w:pPr>
        <w:pageBreakBefore w:val="0"/>
        <w:widowControl w:val="0"/>
        <w:numPr>
          <w:ilvl w:val="0"/>
          <w:numId w:val="2"/>
        </w:numPr>
        <w:kinsoku/>
        <w:wordWrap/>
        <w:overflowPunct/>
        <w:topLinePunct w:val="0"/>
        <w:bidi w:val="0"/>
        <w:spacing w:line="576" w:lineRule="exact"/>
        <w:ind w:left="0" w:leftChars="0" w:firstLine="642"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Style w:val="17"/>
          <w:rFonts w:hint="eastAsia" w:ascii="仿宋" w:hAnsi="仿宋" w:eastAsia="仿宋"/>
          <w:bCs/>
          <w:sz w:val="32"/>
          <w:szCs w:val="32"/>
        </w:rPr>
        <w:t>住房保障支出（类）住房改革支出（款</w:t>
      </w:r>
      <w:r>
        <w:rPr>
          <w:rStyle w:val="17"/>
          <w:rFonts w:hint="eastAsia" w:ascii="仿宋" w:hAnsi="仿宋" w:eastAsia="仿宋"/>
          <w:bCs/>
          <w:sz w:val="32"/>
          <w:szCs w:val="32"/>
          <w:lang w:eastAsia="zh-CN"/>
        </w:rPr>
        <w:t>）</w:t>
      </w:r>
      <w:r>
        <w:rPr>
          <w:rStyle w:val="17"/>
          <w:rFonts w:hint="eastAsia" w:ascii="仿宋" w:hAnsi="仿宋" w:eastAsia="仿宋"/>
          <w:bCs/>
          <w:sz w:val="32"/>
          <w:szCs w:val="32"/>
        </w:rPr>
        <w:t>住房公积金（项）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Times New Roman" w:hAnsi="Times New Roman" w:eastAsia="仿宋_GB2312" w:cs="Times New Roman"/>
          <w:sz w:val="32"/>
          <w:szCs w:val="32"/>
          <w:lang w:val="en-US" w:eastAsia="zh-CN"/>
        </w:rPr>
        <w:t>支出决算为</w:t>
      </w:r>
      <w:r>
        <w:rPr>
          <w:rFonts w:hint="eastAsia" w:eastAsia="仿宋_GB2312" w:cs="Times New Roman"/>
          <w:sz w:val="32"/>
          <w:szCs w:val="32"/>
          <w:lang w:val="en-US" w:eastAsia="zh-CN"/>
        </w:rPr>
        <w:t>8.75</w:t>
      </w:r>
      <w:r>
        <w:rPr>
          <w:rFonts w:hint="eastAsia" w:ascii="Times New Roman" w:hAnsi="Times New Roman" w:eastAsia="仿宋_GB2312" w:cs="Times New Roman"/>
          <w:sz w:val="32"/>
          <w:szCs w:val="32"/>
          <w:lang w:val="en-US" w:eastAsia="zh-CN"/>
        </w:rPr>
        <w:t>万元，完成预算100%，决算数等于预算数。</w:t>
      </w:r>
    </w:p>
    <w:p>
      <w:pPr>
        <w:tabs>
          <w:tab w:val="right" w:pos="8306"/>
        </w:tabs>
        <w:spacing w:line="600" w:lineRule="exact"/>
        <w:ind w:firstLine="640"/>
        <w:outlineLvl w:val="1"/>
        <w:rPr>
          <w:rStyle w:val="29"/>
          <w:rFonts w:ascii="Times New Roman" w:hAnsi="Times New Roman"/>
          <w:color w:val="auto"/>
          <w:highlight w:val="none"/>
        </w:rPr>
      </w:pPr>
      <w:bookmarkStart w:id="43" w:name="_Toc15396608"/>
      <w:bookmarkStart w:id="44" w:name="_Toc15377214"/>
      <w:bookmarkStart w:id="45" w:name="_Toc8500"/>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3"/>
      <w:bookmarkEnd w:id="44"/>
      <w:bookmarkEnd w:id="45"/>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331.67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295.2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万元，主要包括：基本工资、津贴补贴、绩效工资、机关事业单位基本养老保险缴费、职业年金缴费、其他社会保障缴费、奖励金、住房公积金、其他对个人和家庭的补助支出等。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18.18</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万元，主要包括：办公费、水费、电费、邮电费、取暖费、物业管理费、差旅费、公务用车运行维护费等。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46" w:name="_Toc15396609"/>
      <w:bookmarkStart w:id="47" w:name="_Toc15377215"/>
      <w:bookmarkStart w:id="48" w:name="_Toc29216"/>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6"/>
      <w:bookmarkEnd w:id="47"/>
      <w:bookmarkEnd w:id="4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9"/>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bookmarkStart w:id="50" w:name="_Toc15377217"/>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238.98</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315595</wp:posOffset>
            </wp:positionH>
            <wp:positionV relativeFrom="paragraph">
              <wp:posOffset>108585</wp:posOffset>
            </wp:positionV>
            <wp:extent cx="4826000" cy="2181860"/>
            <wp:effectExtent l="4445" t="4445" r="8255" b="23495"/>
            <wp:wrapNone/>
            <wp:docPr id="17" name="图表 16"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 xml:space="preserve"> 2.28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238.98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w:t>
      </w:r>
      <w:r>
        <w:rPr>
          <w:rFonts w:hint="eastAsia" w:eastAsia="仿宋_GB2312" w:cs="仿宋_GB2312"/>
          <w:color w:val="auto"/>
          <w:sz w:val="32"/>
          <w:szCs w:val="32"/>
          <w:highlight w:val="none"/>
          <w:lang w:val="en-US" w:eastAsia="zh-CN"/>
        </w:rPr>
        <w:t>规模相应增加。</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eastAsia="zh-CN"/>
        </w:rPr>
        <w:t>日常工作开展</w:t>
      </w:r>
      <w:r>
        <w:rPr>
          <w:rFonts w:hint="eastAsia" w:ascii="仿宋_GB2312" w:eastAsia="仿宋_GB2312"/>
          <w:color w:val="auto"/>
          <w:sz w:val="32"/>
          <w:szCs w:val="32"/>
          <w:highlight w:val="none"/>
        </w:rPr>
        <w:t>所需</w:t>
      </w:r>
      <w:r>
        <w:rPr>
          <w:rFonts w:hint="eastAsia" w:ascii="Times New Roman" w:hAnsi="Times New Roman" w:eastAsia="仿宋_GB2312" w:cs="仿宋_GB2312"/>
          <w:color w:val="auto"/>
          <w:kern w:val="2"/>
          <w:sz w:val="32"/>
          <w:szCs w:val="32"/>
          <w:highlight w:val="none"/>
          <w:lang w:val="en-US" w:eastAsia="zh-CN" w:bidi="ar-SA"/>
        </w:rPr>
        <w:t>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51" w:name="_Toc15396610"/>
      <w:bookmarkStart w:id="52" w:name="_Toc15377218"/>
    </w:p>
    <w:p>
      <w:pPr>
        <w:spacing w:line="600" w:lineRule="exact"/>
        <w:ind w:firstLine="640"/>
        <w:outlineLvl w:val="1"/>
        <w:rPr>
          <w:rStyle w:val="29"/>
          <w:rFonts w:ascii="Times New Roman" w:hAnsi="Times New Roman" w:eastAsia="黑体"/>
          <w:color w:val="auto"/>
          <w:highlight w:val="none"/>
        </w:rPr>
      </w:pPr>
      <w:bookmarkStart w:id="53" w:name="_Toc32176"/>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1"/>
      <w:bookmarkEnd w:id="52"/>
      <w:bookmarkEnd w:id="53"/>
    </w:p>
    <w:p>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bookmarkStart w:id="54" w:name="_Toc19773"/>
      <w:bookmarkStart w:id="55" w:name="_Toc15377222"/>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bookmarkEnd w:id="54"/>
      <w:bookmarkStart w:id="56" w:name="_Toc15377219"/>
      <w:bookmarkStart w:id="57" w:name="_Toc15396611"/>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8" w:name="_Toc9708"/>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6"/>
      <w:bookmarkEnd w:id="57"/>
      <w:bookmarkEnd w:id="58"/>
    </w:p>
    <w:p>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bookmarkStart w:id="59" w:name="_Toc14472"/>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bookmarkEnd w:id="59"/>
      <w:bookmarkStart w:id="60" w:name="_Toc15396612"/>
      <w:bookmarkStart w:id="61" w:name="_Toc15377221"/>
    </w:p>
    <w:p>
      <w:pPr>
        <w:numPr>
          <w:ilvl w:val="0"/>
          <w:numId w:val="3"/>
        </w:numPr>
        <w:spacing w:line="600" w:lineRule="exact"/>
        <w:ind w:left="630" w:leftChars="0"/>
        <w:outlineLvl w:val="1"/>
        <w:rPr>
          <w:rStyle w:val="29"/>
          <w:rFonts w:hint="default" w:ascii="Times New Roman" w:hAnsi="Times New Roman" w:eastAsia="黑体"/>
          <w:b w:val="0"/>
          <w:color w:val="auto"/>
          <w:highlight w:val="none"/>
          <w:lang w:val="en-US" w:eastAsia="zh-CN"/>
        </w:rPr>
      </w:pPr>
      <w:bookmarkStart w:id="62" w:name="_Toc19076"/>
      <w:r>
        <w:rPr>
          <w:rStyle w:val="29"/>
          <w:rFonts w:hint="eastAsia" w:ascii="Times New Roman" w:hAnsi="Times New Roman" w:eastAsia="黑体"/>
          <w:b w:val="0"/>
          <w:color w:val="auto"/>
          <w:highlight w:val="none"/>
        </w:rPr>
        <w:t>其他重要事项的情况说明</w:t>
      </w:r>
      <w:bookmarkEnd w:id="60"/>
      <w:bookmarkEnd w:id="61"/>
      <w:bookmarkEnd w:id="6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（一）机关运行经费支出情况</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3" w:name="_Toc1537722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中共壤塘县委社会工作部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11.04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1.48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15.48</w:t>
      </w:r>
      <w:r>
        <w:rPr>
          <w:rFonts w:hint="eastAsia" w:ascii="Times New Roman" w:hAnsi="Times New Roman" w:eastAsia="仿宋_GB2312" w:cs="仿宋_GB2312"/>
          <w:color w:val="auto"/>
          <w:kern w:val="2"/>
          <w:sz w:val="32"/>
          <w:szCs w:val="32"/>
          <w:highlight w:val="none"/>
          <w:lang w:val="en-US" w:eastAsia="zh-CN" w:bidi="ar-SA"/>
        </w:rPr>
        <w:t>%。主要原因是本单位2024年6月组建，上年度仅5个月运行时间，机关运行经费执行基数较低；2025年为完整年度运转，办公、水电、物业等日常保障支出按全年需求安排，经费相应有所增加。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63"/>
    </w:p>
    <w:p>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bookmarkStart w:id="64" w:name="_Toc17606"/>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我单位无</w:t>
      </w:r>
      <w:r>
        <w:rPr>
          <w:rFonts w:hint="eastAsia" w:ascii="Times New Roman" w:hAnsi="Times New Roman" w:eastAsia="仿宋_GB2312" w:cs="仿宋_GB2312"/>
          <w:color w:val="auto"/>
          <w:kern w:val="2"/>
          <w:sz w:val="32"/>
          <w:szCs w:val="32"/>
          <w:highlight w:val="none"/>
          <w:lang w:val="en-US" w:eastAsia="zh-CN" w:bidi="ar-SA"/>
        </w:rPr>
        <w:t>政府采购支出</w:t>
      </w:r>
      <w:r>
        <w:rPr>
          <w:rFonts w:hint="eastAsia" w:eastAsia="仿宋_GB2312" w:cs="仿宋_GB2312"/>
          <w:color w:val="auto"/>
          <w:kern w:val="2"/>
          <w:sz w:val="32"/>
          <w:szCs w:val="32"/>
          <w:highlight w:val="none"/>
          <w:lang w:val="en-US" w:eastAsia="zh-CN" w:bidi="ar-SA"/>
        </w:rPr>
        <w:t>。</w:t>
      </w:r>
      <w:bookmarkEnd w:id="6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5" w:name="_Toc15377224"/>
      <w:r>
        <w:rPr>
          <w:rFonts w:hint="eastAsia" w:ascii="Times New Roman" w:hAnsi="Times New Roman" w:eastAsia="楷体_GB2312" w:cs="楷体_GB2312"/>
          <w:b/>
          <w:color w:val="auto"/>
          <w:sz w:val="32"/>
          <w:szCs w:val="32"/>
          <w:highlight w:val="none"/>
        </w:rPr>
        <w:t>（三）国有资产占有使用情况</w:t>
      </w:r>
      <w:bookmarkEnd w:id="65"/>
    </w:p>
    <w:p>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截至2025年</w:t>
      </w:r>
      <w:r>
        <w:rPr>
          <w:rFonts w:hint="eastAsia" w:ascii="Times New Roman" w:hAnsi="Times New Roman" w:eastAsia="仿宋_GB2312" w:cs="仿宋_GB2312"/>
          <w:color w:val="auto"/>
          <w:kern w:val="2"/>
          <w:sz w:val="32"/>
          <w:szCs w:val="32"/>
          <w:highlight w:val="none"/>
          <w:lang w:val="en-US" w:eastAsia="zh-CN" w:bidi="ar-SA"/>
        </w:rPr>
        <w:t>12月31日，</w:t>
      </w:r>
      <w:r>
        <w:rPr>
          <w:rFonts w:hint="eastAsia" w:eastAsia="仿宋_GB2312" w:cs="仿宋_GB2312"/>
          <w:color w:val="auto"/>
          <w:kern w:val="2"/>
          <w:sz w:val="32"/>
          <w:szCs w:val="32"/>
          <w:highlight w:val="none"/>
          <w:lang w:val="en-US" w:eastAsia="zh-CN" w:bidi="ar-SA"/>
        </w:rPr>
        <w:t>中共壤塘县委社会工作部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单位日常出差、下乡开展工作等。</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仿宋_GB2312"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根据预算绩效管理要求，2025年度</w:t>
      </w:r>
      <w:r>
        <w:rPr>
          <w:rFonts w:hint="eastAsia" w:ascii="仿宋_GB2312" w:hAnsi="Times New Roman" w:eastAsia="仿宋_GB2312" w:cs="Times New Roman"/>
          <w:color w:val="auto"/>
          <w:sz w:val="32"/>
          <w:szCs w:val="32"/>
          <w:highlight w:val="none"/>
          <w:lang w:eastAsia="zh-CN"/>
        </w:rPr>
        <w:t>组织对壤塘县“两新”党组织经费项目开展了预算事前绩效评估，对</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1个项目开展绩效自评，绩效自评表详见第四部分附件。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6" w:name="_Toc15396613"/>
      <w:bookmarkStart w:id="67" w:name="_Toc20534"/>
      <w:bookmarkStart w:id="68"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6"/>
      <w:bookmarkEnd w:id="67"/>
      <w:bookmarkEnd w:id="68"/>
    </w:p>
    <w:p>
      <w:pPr>
        <w:spacing w:line="600" w:lineRule="exact"/>
        <w:jc w:val="left"/>
        <w:rPr>
          <w:rFonts w:ascii="Times New Roman" w:hAnsi="Times New Roman"/>
          <w:b/>
          <w:color w:val="auto"/>
          <w:sz w:val="44"/>
          <w:szCs w:val="44"/>
          <w:highlight w:val="none"/>
        </w:rPr>
      </w:pPr>
    </w:p>
    <w:p>
      <w:pPr>
        <w:pStyle w:val="26"/>
        <w:spacing w:line="560" w:lineRule="exact"/>
        <w:ind w:firstLine="640" w:firstLineChars="200"/>
        <w:rPr>
          <w:rFonts w:ascii="仿宋_GB2312" w:eastAsia="仿宋_GB2312"/>
          <w:color w:val="auto"/>
          <w:sz w:val="32"/>
          <w:szCs w:val="32"/>
          <w:highlight w:val="none"/>
        </w:rPr>
      </w:pPr>
      <w:bookmarkStart w:id="69" w:name="_Toc15377226"/>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pPr>
        <w:pStyle w:val="26"/>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行政单位（包括实行公务员管理的事业单位）的基本支出</w:t>
      </w:r>
      <w:r>
        <w:rPr>
          <w:rFonts w:hint="eastAsia" w:ascii="仿宋_GB2312" w:eastAsia="仿宋_GB2312"/>
          <w:color w:val="auto"/>
          <w:sz w:val="32"/>
          <w:szCs w:val="32"/>
          <w:highlight w:val="none"/>
        </w:rPr>
        <w:t>。</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一般行政管理事务</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行政单位（包括实行公务员管理的事业单位）未单独设置项级科目的其他项目支出</w:t>
      </w:r>
      <w:r>
        <w:rPr>
          <w:rFonts w:hint="eastAsia" w:ascii="仿宋_GB2312" w:eastAsia="仿宋_GB2312"/>
          <w:color w:val="auto"/>
          <w:sz w:val="32"/>
          <w:szCs w:val="32"/>
          <w:highlight w:val="none"/>
        </w:rPr>
        <w:t>。</w:t>
      </w:r>
    </w:p>
    <w:p>
      <w:pPr>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（款）机关事业单位基本养老保险缴费支出（项）：指由单位缴纳的基本养老保险费支出。</w:t>
      </w:r>
    </w:p>
    <w:p>
      <w:pPr>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（款）机关事业单位职业年金缴费支出（项）：指机关事业单位实施养老保险制度由单位实际缴纳的职业年金。</w:t>
      </w:r>
    </w:p>
    <w:p>
      <w:pPr>
        <w:ind w:firstLine="640" w:firstLineChars="200"/>
        <w:rPr>
          <w:rFonts w:ascii="仿宋_GB2312" w:eastAsia="仿宋_GB2312"/>
          <w:sz w:val="32"/>
          <w:szCs w:val="32"/>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卫生健康（类）行政事业单位医疗（款）行政单位医疗（项）：</w:t>
      </w:r>
      <w:r>
        <w:rPr>
          <w:rFonts w:hint="eastAsia" w:ascii="仿宋_GB2312" w:eastAsia="仿宋_GB2312"/>
          <w:sz w:val="32"/>
          <w:szCs w:val="32"/>
          <w:lang w:eastAsia="zh-CN"/>
        </w:rPr>
        <w:t>反映单位为职工缴纳的基本医疗保险（含生育保险）费</w:t>
      </w:r>
      <w:r>
        <w:rPr>
          <w:rFonts w:hint="eastAsia" w:ascii="仿宋_GB2312" w:eastAsia="仿宋_GB2312"/>
          <w:sz w:val="32"/>
          <w:szCs w:val="32"/>
        </w:rPr>
        <w:t>。</w:t>
      </w:r>
    </w:p>
    <w:p>
      <w:pPr>
        <w:ind w:firstLine="640" w:firstLineChars="200"/>
        <w:rPr>
          <w:rFonts w:ascii="仿宋_GB2312" w:eastAsia="仿宋_GB2312"/>
          <w:sz w:val="32"/>
          <w:szCs w:val="32"/>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卫生健康（类）行政事业单位医疗（款）公务员医疗补助（项）：指反映财政部门安排的公务员医疗补助经费。</w:t>
      </w:r>
    </w:p>
    <w:p>
      <w:pPr>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000000"/>
          <w:sz w:val="32"/>
          <w:szCs w:val="32"/>
        </w:rPr>
        <w:t>住房保障支出（类）住房改革支出（款）住房公积金（项）：指行政事业单位</w:t>
      </w:r>
      <w:r>
        <w:rPr>
          <w:rFonts w:hint="eastAsia" w:ascii="仿宋_GB2312" w:eastAsia="仿宋_GB2312"/>
          <w:color w:val="000000"/>
          <w:sz w:val="32"/>
          <w:szCs w:val="32"/>
          <w:lang w:eastAsia="zh-CN"/>
        </w:rPr>
        <w:t>按照</w:t>
      </w:r>
      <w:r>
        <w:rPr>
          <w:rFonts w:hint="eastAsia" w:ascii="仿宋_GB2312" w:eastAsia="仿宋_GB2312"/>
          <w:color w:val="000000"/>
          <w:sz w:val="32"/>
          <w:szCs w:val="32"/>
        </w:rPr>
        <w:t>工资比例为职工缴纳的住房公积金。</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事业运行</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事业单位用于保障机构正常运转的基本支出</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w:t>
      </w:r>
      <w:r>
        <w:rPr>
          <w:rFonts w:hint="eastAsia" w:ascii="仿宋_GB2312" w:eastAsia="仿宋_GB2312"/>
          <w:sz w:val="32"/>
          <w:szCs w:val="32"/>
          <w:lang w:eastAsia="zh-CN"/>
        </w:rPr>
        <w:t>事业</w:t>
      </w:r>
      <w:r>
        <w:rPr>
          <w:rFonts w:hint="eastAsia" w:ascii="仿宋_GB2312" w:eastAsia="仿宋_GB2312"/>
          <w:sz w:val="32"/>
          <w:szCs w:val="32"/>
        </w:rPr>
        <w:t>单位医疗（项）：</w:t>
      </w:r>
      <w:r>
        <w:rPr>
          <w:rFonts w:hint="eastAsia" w:ascii="仿宋_GB2312" w:eastAsia="仿宋_GB2312"/>
          <w:sz w:val="32"/>
          <w:szCs w:val="32"/>
          <w:lang w:eastAsia="zh-CN"/>
        </w:rPr>
        <w:t>反映单位为职工缴纳的基本医疗保险（含生育保险）费</w:t>
      </w:r>
      <w:r>
        <w:rPr>
          <w:rFonts w:hint="eastAsia" w:ascii="仿宋_GB2312" w:eastAsia="仿宋_GB2312"/>
          <w:sz w:val="32"/>
          <w:szCs w:val="32"/>
        </w:rPr>
        <w:t>。</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w:t>
      </w:r>
      <w:r>
        <w:rPr>
          <w:rFonts w:hint="eastAsia" w:ascii="仿宋_GB2312" w:eastAsia="仿宋_GB2312"/>
          <w:sz w:val="32"/>
          <w:szCs w:val="32"/>
          <w:lang w:eastAsia="zh-CN"/>
        </w:rPr>
        <w:t>其他行政事业单位医疗支出</w:t>
      </w:r>
      <w:r>
        <w:rPr>
          <w:rFonts w:hint="eastAsia" w:ascii="仿宋_GB2312" w:eastAsia="仿宋_GB2312"/>
          <w:sz w:val="32"/>
          <w:szCs w:val="32"/>
        </w:rPr>
        <w:t>（项）：指反映财政部门安排的公务员医疗补助经费。</w:t>
      </w: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7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71" w:name="_Toc14503"/>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71"/>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eastAsia="方正小标宋简体"/>
          <w:bCs/>
          <w:sz w:val="44"/>
          <w:szCs w:val="44"/>
          <w:shd w:val="clear" w:color="auto" w:fill="FFFFFF"/>
          <w:lang w:val="en-US"/>
        </w:rPr>
      </w:pPr>
      <w:r>
        <w:rPr>
          <w:rFonts w:eastAsia="方正小标宋简体"/>
          <w:bCs/>
          <w:sz w:val="44"/>
          <w:szCs w:val="44"/>
          <w:shd w:val="clear" w:color="auto" w:fill="FFFFFF"/>
          <w:lang w:val="en-US"/>
        </w:rPr>
        <w:t>中共壤塘县委社会工作部</w:t>
      </w: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pPr>
        <w:widowControl/>
        <w:spacing w:line="578" w:lineRule="exact"/>
        <w:contextualSpacing/>
        <w:jc w:val="center"/>
        <w:rPr>
          <w:szCs w:val="32"/>
          <w:shd w:val="clear" w:color="auto" w:fill="FFFFFF"/>
        </w:rPr>
      </w:pP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一、部门（单位）基本情况</w:t>
      </w:r>
    </w:p>
    <w:p>
      <w:pPr>
        <w:widowControl/>
        <w:adjustRightInd w:val="0"/>
        <w:snapToGrid w:val="0"/>
        <w:spacing w:line="578" w:lineRule="exact"/>
        <w:ind w:firstLine="642" w:firstLineChars="200"/>
        <w:contextualSpacing/>
        <w:jc w:val="left"/>
        <w:rPr>
          <w:rFonts w:eastAsia="仿宋_GB2312"/>
          <w:kern w:val="2"/>
          <w:sz w:val="32"/>
          <w:szCs w:val="32"/>
        </w:rPr>
      </w:pPr>
      <w:r>
        <w:rPr>
          <w:rFonts w:ascii="Times New Roman" w:hAnsi="Times New Roman" w:eastAsia="楷体_GB2312" w:cs="Times New Roman"/>
          <w:b/>
          <w:bCs/>
          <w:color w:val="000000"/>
          <w:kern w:val="0"/>
          <w:sz w:val="32"/>
          <w:szCs w:val="32"/>
          <w:shd w:val="clear" w:color="auto" w:fill="FFFFFF"/>
          <w:lang w:val="zh-CN"/>
        </w:rPr>
        <w:t>（一）机构组成。</w:t>
      </w:r>
      <w:r>
        <w:rPr>
          <w:rFonts w:eastAsia="仿宋_GB2312"/>
          <w:kern w:val="2"/>
          <w:sz w:val="32"/>
          <w:szCs w:val="32"/>
        </w:rPr>
        <w:t>县委社会工作部内设办公室、党建股、基层治理与基层政权股等3个职能科室，下属县社会事务中心1个单位，机构设置完整，运行规范。</w:t>
      </w:r>
    </w:p>
    <w:p>
      <w:pPr>
        <w:widowControl/>
        <w:adjustRightInd w:val="0"/>
        <w:snapToGrid w:val="0"/>
        <w:spacing w:line="578" w:lineRule="exact"/>
        <w:ind w:firstLine="642" w:firstLineChars="200"/>
        <w:contextualSpacing/>
        <w:jc w:val="left"/>
        <w:rPr>
          <w:rFonts w:eastAsia="仿宋_GB2312"/>
          <w:kern w:val="2"/>
          <w:sz w:val="32"/>
          <w:szCs w:val="32"/>
        </w:rPr>
      </w:pPr>
      <w:r>
        <w:rPr>
          <w:rFonts w:ascii="Times New Roman" w:hAnsi="Times New Roman" w:eastAsia="楷体_GB2312" w:cs="Times New Roman"/>
          <w:b/>
          <w:bCs/>
          <w:color w:val="000000"/>
          <w:kern w:val="0"/>
          <w:sz w:val="32"/>
          <w:szCs w:val="32"/>
          <w:shd w:val="clear" w:color="auto" w:fill="FFFFFF"/>
          <w:lang w:val="zh-CN"/>
        </w:rPr>
        <w:t>（二）机构职能。</w:t>
      </w:r>
      <w:r>
        <w:rPr>
          <w:rFonts w:eastAsia="仿宋_GB2312"/>
          <w:kern w:val="2"/>
          <w:sz w:val="32"/>
          <w:szCs w:val="32"/>
          <w:lang w:val="en-US"/>
        </w:rPr>
        <w:t>县委社会工作部负责贯彻落实党中央有关方针和省委、州委、县委决策部署，把</w:t>
      </w:r>
      <w:r>
        <w:rPr>
          <w:rFonts w:hint="eastAsia" w:eastAsia="仿宋_GB2312"/>
          <w:kern w:val="2"/>
          <w:sz w:val="32"/>
          <w:szCs w:val="32"/>
          <w:lang w:val="en-US" w:eastAsia="zh-CN"/>
        </w:rPr>
        <w:t>坚持和加强党中央集中统一领导</w:t>
      </w:r>
      <w:r>
        <w:rPr>
          <w:rFonts w:eastAsia="仿宋_GB2312"/>
          <w:kern w:val="2"/>
          <w:sz w:val="32"/>
          <w:szCs w:val="32"/>
          <w:lang w:val="en-US"/>
        </w:rPr>
        <w:t>落实到履行职责过程中。一是研究相关理论、政策和规划，贯彻落实地方性法规、政策，拟定相关规范性文件并组织实施。深入调查研究，及时向县委</w:t>
      </w:r>
      <w:r>
        <w:rPr>
          <w:rFonts w:hint="eastAsia"/>
          <w:kern w:val="2"/>
          <w:sz w:val="32"/>
          <w:szCs w:val="32"/>
          <w:lang w:val="en-US" w:eastAsia="zh-CN"/>
        </w:rPr>
        <w:t>汇报工作</w:t>
      </w:r>
      <w:r>
        <w:rPr>
          <w:rFonts w:eastAsia="仿宋_GB2312"/>
          <w:kern w:val="2"/>
          <w:sz w:val="32"/>
          <w:szCs w:val="32"/>
          <w:lang w:val="en-US"/>
        </w:rPr>
        <w:t xml:space="preserve">情况并提出建议。指导各乡（镇）、县级各部门开展相关工作；二是统筹指导全县群众利益协调、诉求表达、矛盾调处、权益保障等人民信访工作，负责征集、办理公民、法人和其他组织提出的意见建议。向县委、县政府及时反映公民、法人和其他组织对党和国家事业发展提出的重要意见建议；三是统筹推进党建引领基层治理和基层政权建设，协调推进城乡社区治理体系、服务体系和治理能力建设，推动基层民主政治建设，指导监督基层群众自治制度的有效实施，健全基层群众自治制度。四是指导全县性社会组织党建工作，统一领导全县性行业协会商会党的工作，承办全县性行业协会商会负责人人选的审核。协调推动全县性行业协会商会深化改革和转型发展。调查研究相关重大问题。五是指导、推动落实全县混合所有制企业、非公有制企业和新经济组织、新社会组织、新就业群体（以下简称“两企三新”）党建工作，指导协调相关企业单位、社会组织、就业群体中党员的教育、管理、监管和服务工作，研究完善相关领域群众利益协调机制。六是负责全县志愿服务工作的统筹规划、协调指导、督促检查、指导推动社会工作人才队伍建设、志愿服务人才队伍建设和阵地建设，以及志愿者服务组织的规范管理工作，协调推动社会工作服务体系和志愿服务体系。 </w:t>
      </w:r>
    </w:p>
    <w:p>
      <w:pPr>
        <w:spacing w:line="578" w:lineRule="exact"/>
        <w:ind w:firstLine="642" w:firstLineChars="200"/>
        <w:jc w:val="left"/>
        <w:rPr>
          <w:rFonts w:ascii="Times New Roman" w:hAnsi="Times New Roman" w:eastAsia="仿宋_GB2312" w:cs="Times New Roman"/>
          <w:kern w:val="2"/>
          <w:sz w:val="32"/>
          <w:szCs w:val="32"/>
          <w:lang w:val="en-US"/>
        </w:rPr>
      </w:pPr>
      <w:r>
        <w:rPr>
          <w:rFonts w:ascii="Times New Roman" w:hAnsi="Times New Roman" w:eastAsia="楷体_GB2312" w:cs="Times New Roman"/>
          <w:b/>
          <w:bCs/>
          <w:color w:val="000000"/>
          <w:kern w:val="0"/>
          <w:sz w:val="32"/>
          <w:szCs w:val="32"/>
          <w:shd w:val="clear" w:color="auto" w:fill="FFFFFF"/>
          <w:lang w:val="zh-CN"/>
        </w:rPr>
        <w:t>（三）人员概况。</w:t>
      </w:r>
      <w:r>
        <w:rPr>
          <w:rFonts w:ascii="Times New Roman" w:hAnsi="Times New Roman" w:eastAsia="仿宋_GB2312" w:cs="Times New Roman"/>
          <w:kern w:val="2"/>
          <w:sz w:val="32"/>
          <w:szCs w:val="32"/>
          <w:lang w:val="en-US"/>
        </w:rPr>
        <w:t>截至2025年末，</w:t>
      </w:r>
      <w:r>
        <w:rPr>
          <w:rFonts w:hint="default" w:ascii="Times New Roman" w:hAnsi="Times New Roman" w:eastAsia="仿宋_GB2312" w:cs="Times New Roman"/>
          <w:kern w:val="2"/>
          <w:sz w:val="32"/>
          <w:szCs w:val="32"/>
          <w:lang w:val="en-US" w:eastAsia="zh-CN"/>
        </w:rPr>
        <w:t>县委社会工作部</w:t>
      </w:r>
      <w:r>
        <w:rPr>
          <w:rFonts w:ascii="Times New Roman" w:hAnsi="Times New Roman" w:eastAsia="仿宋_GB2312" w:cs="Times New Roman"/>
          <w:kern w:val="2"/>
          <w:sz w:val="32"/>
          <w:szCs w:val="32"/>
          <w:lang w:val="en-US"/>
        </w:rPr>
        <w:t>及下属单位核定编制10名，其中行政编制5名，事业编制5名；年末实有人数11人，在职人员11人，退休人员1人。</w:t>
      </w: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二、部门资金收支情况</w:t>
      </w:r>
    </w:p>
    <w:p>
      <w:pPr>
        <w:widowControl/>
        <w:adjustRightInd w:val="0"/>
        <w:snapToGrid w:val="0"/>
        <w:spacing w:line="578" w:lineRule="exact"/>
        <w:ind w:firstLine="642" w:firstLineChars="200"/>
        <w:contextualSpacing/>
        <w:jc w:val="left"/>
        <w:rPr>
          <w:rFonts w:ascii="Times New Roman" w:hAnsi="Times New Roman" w:eastAsia="仿宋_GB2312" w:cs="Times New Roman"/>
          <w:kern w:val="2"/>
          <w:sz w:val="32"/>
          <w:szCs w:val="32"/>
          <w:lang w:val="en-US"/>
        </w:rPr>
      </w:pPr>
      <w:r>
        <w:rPr>
          <w:rFonts w:ascii="Times New Roman" w:hAnsi="Times New Roman" w:eastAsia="楷体_GB2312" w:cs="Times New Roman"/>
          <w:b/>
          <w:bCs/>
          <w:color w:val="000000"/>
          <w:kern w:val="0"/>
          <w:sz w:val="32"/>
          <w:szCs w:val="32"/>
          <w:shd w:val="clear" w:color="auto" w:fill="FFFFFF"/>
          <w:lang w:val="zh-CN"/>
        </w:rPr>
        <w:t>（一）收入情况。</w:t>
      </w:r>
      <w:r>
        <w:rPr>
          <w:rFonts w:ascii="Times New Roman" w:hAnsi="Times New Roman" w:eastAsia="仿宋_GB2312" w:cs="Times New Roman"/>
          <w:kern w:val="2"/>
          <w:sz w:val="32"/>
          <w:szCs w:val="32"/>
          <w:lang w:val="en-US"/>
        </w:rPr>
        <w:t>202</w:t>
      </w:r>
      <w:r>
        <w:rPr>
          <w:rFonts w:hint="eastAsia" w:ascii="Times New Roman" w:hAnsi="Times New Roman" w:eastAsia="仿宋_GB2312" w:cs="Times New Roman"/>
          <w:kern w:val="2"/>
          <w:sz w:val="32"/>
          <w:szCs w:val="32"/>
          <w:lang w:val="en-US"/>
        </w:rPr>
        <w:t>5</w:t>
      </w:r>
      <w:r>
        <w:rPr>
          <w:rFonts w:hint="default" w:ascii="Times New Roman" w:hAnsi="Times New Roman" w:eastAsia="仿宋_GB2312" w:cs="Times New Roman"/>
          <w:kern w:val="2"/>
          <w:sz w:val="32"/>
          <w:szCs w:val="32"/>
          <w:lang w:val="en-US"/>
        </w:rPr>
        <w:t>年初预算收入</w:t>
      </w:r>
      <w:r>
        <w:rPr>
          <w:rFonts w:hint="eastAsia" w:ascii="Times New Roman" w:hAnsi="Times New Roman" w:eastAsia="仿宋_GB2312" w:cs="Times New Roman"/>
          <w:kern w:val="2"/>
          <w:sz w:val="32"/>
          <w:szCs w:val="32"/>
          <w:lang w:val="en-US" w:eastAsia="zh-CN"/>
        </w:rPr>
        <w:t>231.56</w:t>
      </w:r>
      <w:r>
        <w:rPr>
          <w:rFonts w:hint="default" w:ascii="Times New Roman" w:hAnsi="Times New Roman" w:eastAsia="仿宋_GB2312" w:cs="Times New Roman"/>
          <w:kern w:val="2"/>
          <w:sz w:val="32"/>
          <w:szCs w:val="32"/>
          <w:lang w:val="en-US"/>
        </w:rPr>
        <w:t>万元，全年决算报表收入</w:t>
      </w:r>
      <w:r>
        <w:rPr>
          <w:rFonts w:hint="eastAsia" w:ascii="Times New Roman" w:hAnsi="Times New Roman" w:eastAsia="仿宋_GB2312" w:cs="Times New Roman"/>
          <w:kern w:val="2"/>
          <w:sz w:val="32"/>
          <w:szCs w:val="32"/>
          <w:lang w:val="en-US" w:eastAsia="zh-CN"/>
        </w:rPr>
        <w:t>335.11</w:t>
      </w:r>
      <w:r>
        <w:rPr>
          <w:rFonts w:hint="default" w:ascii="Times New Roman" w:hAnsi="Times New Roman" w:eastAsia="仿宋_GB2312" w:cs="Times New Roman"/>
          <w:kern w:val="2"/>
          <w:sz w:val="32"/>
          <w:szCs w:val="32"/>
          <w:lang w:val="en-US"/>
        </w:rPr>
        <w:t>万元，收入主要来源于财政拨款收入和其他收入。</w:t>
      </w:r>
    </w:p>
    <w:p>
      <w:pPr>
        <w:widowControl/>
        <w:adjustRightInd w:val="0"/>
        <w:snapToGrid w:val="0"/>
        <w:spacing w:line="578" w:lineRule="exact"/>
        <w:ind w:firstLine="642" w:firstLineChars="200"/>
        <w:contextualSpacing/>
        <w:jc w:val="left"/>
        <w:rPr>
          <w:rFonts w:eastAsia="仿宋_GB2312"/>
          <w:kern w:val="2"/>
          <w:sz w:val="32"/>
          <w:szCs w:val="32"/>
          <w:lang w:val="en-US"/>
        </w:rPr>
      </w:pPr>
      <w:r>
        <w:rPr>
          <w:rFonts w:ascii="Times New Roman" w:hAnsi="Times New Roman" w:eastAsia="楷体_GB2312" w:cs="Times New Roman"/>
          <w:b/>
          <w:bCs/>
          <w:color w:val="000000"/>
          <w:kern w:val="0"/>
          <w:sz w:val="32"/>
          <w:szCs w:val="32"/>
          <w:shd w:val="clear" w:color="auto" w:fill="FFFFFF"/>
          <w:lang w:val="zh-CN"/>
        </w:rPr>
        <w:t>（二）支出情况。</w:t>
      </w:r>
      <w:r>
        <w:rPr>
          <w:rFonts w:eastAsia="仿宋_GB2312"/>
          <w:kern w:val="2"/>
          <w:sz w:val="32"/>
          <w:szCs w:val="32"/>
          <w:lang w:val="en-US"/>
        </w:rPr>
        <w:t>2025年年初预算支出</w:t>
      </w:r>
      <w:r>
        <w:rPr>
          <w:rFonts w:hint="eastAsia"/>
          <w:kern w:val="2"/>
          <w:sz w:val="32"/>
          <w:szCs w:val="32"/>
          <w:lang w:val="en-US" w:eastAsia="zh-CN"/>
        </w:rPr>
        <w:t>231.56</w:t>
      </w:r>
      <w:r>
        <w:rPr>
          <w:rFonts w:eastAsia="仿宋_GB2312"/>
          <w:kern w:val="2"/>
          <w:sz w:val="32"/>
          <w:szCs w:val="32"/>
          <w:lang w:val="en-US"/>
        </w:rPr>
        <w:t>万元，全年决算报表支出</w:t>
      </w:r>
      <w:r>
        <w:rPr>
          <w:rFonts w:hint="eastAsia"/>
          <w:kern w:val="2"/>
          <w:sz w:val="32"/>
          <w:szCs w:val="32"/>
          <w:lang w:val="en-US" w:eastAsia="zh-CN"/>
        </w:rPr>
        <w:t>335.11</w:t>
      </w:r>
      <w:r>
        <w:rPr>
          <w:rFonts w:eastAsia="仿宋_GB2312"/>
          <w:kern w:val="2"/>
          <w:sz w:val="32"/>
          <w:szCs w:val="32"/>
          <w:lang w:val="en-US"/>
        </w:rPr>
        <w:t>万元，主要用于人员经费、日常公用经费、项目支出等，保障了部门履职、重点工作推进与公共服务供给。</w:t>
      </w:r>
    </w:p>
    <w:p>
      <w:pPr>
        <w:widowControl/>
        <w:adjustRightInd w:val="0"/>
        <w:snapToGrid w:val="0"/>
        <w:spacing w:line="578" w:lineRule="exact"/>
        <w:ind w:firstLine="642" w:firstLineChars="200"/>
        <w:contextualSpacing/>
        <w:jc w:val="left"/>
        <w:rPr>
          <w:rFonts w:eastAsia="仿宋_GB2312"/>
          <w:kern w:val="2"/>
          <w:sz w:val="32"/>
          <w:szCs w:val="32"/>
          <w:lang w:val="zh-CN"/>
        </w:rPr>
      </w:pPr>
      <w:r>
        <w:rPr>
          <w:rFonts w:ascii="Times New Roman" w:hAnsi="Times New Roman" w:eastAsia="楷体_GB2312" w:cs="Times New Roman"/>
          <w:b/>
          <w:bCs/>
          <w:color w:val="000000"/>
          <w:kern w:val="0"/>
          <w:sz w:val="32"/>
          <w:szCs w:val="32"/>
          <w:shd w:val="clear" w:color="auto" w:fill="FFFFFF"/>
          <w:lang w:val="zh-CN"/>
        </w:rPr>
        <w:t>（三）结余分配和结转结余情况。</w:t>
      </w:r>
      <w:r>
        <w:rPr>
          <w:rFonts w:eastAsia="仿宋_GB2312"/>
          <w:kern w:val="2"/>
          <w:sz w:val="32"/>
          <w:szCs w:val="32"/>
          <w:lang w:val="en-US"/>
        </w:rPr>
        <w:t>2025年决算报表结转结余资金2.1万元，均按财政规定管理，未进行违规分配，结转资金将按规定用于后续年度项目实施。</w:t>
      </w: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三、部门预算绩效分析</w:t>
      </w:r>
    </w:p>
    <w:p>
      <w:pPr>
        <w:adjustRightInd w:val="0"/>
        <w:snapToGrid w:val="0"/>
        <w:spacing w:line="578" w:lineRule="exact"/>
        <w:ind w:firstLine="642" w:firstLineChars="200"/>
        <w:contextualSpacing/>
        <w:jc w:val="left"/>
        <w:rPr>
          <w:rFonts w:eastAsia="仿宋_GB2312"/>
          <w:kern w:val="2"/>
          <w:sz w:val="32"/>
          <w:szCs w:val="32"/>
          <w:lang w:val="zh-CN"/>
        </w:rPr>
      </w:pPr>
      <w:r>
        <w:rPr>
          <w:rFonts w:ascii="Times New Roman" w:hAnsi="Times New Roman" w:eastAsia="楷体_GB2312" w:cs="Times New Roman"/>
          <w:b/>
          <w:bCs/>
          <w:color w:val="000000"/>
          <w:kern w:val="0"/>
          <w:sz w:val="32"/>
          <w:szCs w:val="32"/>
          <w:shd w:val="clear" w:color="auto" w:fill="FFFFFF"/>
          <w:lang w:val="zh-CN"/>
        </w:rPr>
        <w:t>（一）部门预算总体绩效分析。</w:t>
      </w:r>
      <w:r>
        <w:rPr>
          <w:rFonts w:eastAsia="仿宋_GB2312"/>
          <w:kern w:val="2"/>
          <w:sz w:val="32"/>
          <w:szCs w:val="32"/>
          <w:lang w:val="zh-CN"/>
        </w:rPr>
        <w:t>按照绩效评价指标体系，围绕履职效能、预算管理、财务管理、资产管理、采购管理逐项分析并评分。</w:t>
      </w:r>
    </w:p>
    <w:p>
      <w:pPr>
        <w:adjustRightInd w:val="0"/>
        <w:snapToGrid w:val="0"/>
        <w:spacing w:line="578" w:lineRule="exact"/>
        <w:ind w:firstLine="420" w:firstLineChars="200"/>
        <w:contextualSpacing/>
        <w:jc w:val="left"/>
        <w:rPr>
          <w:rFonts w:eastAsia="仿宋_GB2312"/>
          <w:kern w:val="2"/>
          <w:sz w:val="32"/>
          <w:szCs w:val="32"/>
          <w:lang w:val="zh-CN"/>
        </w:rPr>
      </w:pPr>
      <w:r>
        <w:rPr>
          <w:rFonts w:eastAsia="楷体_GB2312"/>
          <w:color w:val="000000"/>
          <w:kern w:val="0"/>
          <w:szCs w:val="32"/>
          <w:shd w:val="clear" w:color="auto" w:fill="FFFFFF"/>
        </w:rPr>
        <w:t>1.</w:t>
      </w:r>
      <w:r>
        <w:rPr>
          <w:rFonts w:eastAsia="仿宋_GB2312"/>
          <w:kern w:val="2"/>
          <w:sz w:val="32"/>
          <w:szCs w:val="32"/>
          <w:lang w:val="zh-CN"/>
        </w:rPr>
        <w:t>履职效能。</w:t>
      </w:r>
      <w:r>
        <w:rPr>
          <w:rFonts w:eastAsia="仿宋_GB2312"/>
          <w:kern w:val="2"/>
          <w:sz w:val="32"/>
          <w:szCs w:val="32"/>
          <w:lang w:val="en-US"/>
        </w:rPr>
        <w:t>选取</w:t>
      </w:r>
      <w:r>
        <w:rPr>
          <w:rFonts w:hint="default" w:eastAsia="仿宋_GB2312"/>
          <w:kern w:val="2"/>
          <w:sz w:val="32"/>
          <w:szCs w:val="32"/>
          <w:lang w:val="en-US" w:eastAsia="zh-CN"/>
        </w:rPr>
        <w:t>党建引领基层治理</w:t>
      </w:r>
      <w:r>
        <w:rPr>
          <w:rFonts w:eastAsia="仿宋_GB2312"/>
          <w:kern w:val="2"/>
          <w:sz w:val="32"/>
          <w:szCs w:val="32"/>
          <w:lang w:val="en-US"/>
        </w:rPr>
        <w:t>、</w:t>
      </w:r>
      <w:r>
        <w:rPr>
          <w:rFonts w:hint="default" w:eastAsia="仿宋_GB2312"/>
          <w:kern w:val="2"/>
          <w:sz w:val="32"/>
          <w:szCs w:val="32"/>
          <w:lang w:val="en-US" w:eastAsia="zh-CN"/>
        </w:rPr>
        <w:t>基层政权建设</w:t>
      </w:r>
      <w:r>
        <w:rPr>
          <w:rFonts w:eastAsia="仿宋_GB2312"/>
          <w:kern w:val="2"/>
          <w:sz w:val="32"/>
          <w:szCs w:val="32"/>
          <w:lang w:val="en-US"/>
        </w:rPr>
        <w:t>、志愿者服务等3个核心职能目标，年度任务全面推进，职能目标完成较好，服务质量与工作效率稳步提升。</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2.</w:t>
      </w:r>
      <w:r>
        <w:rPr>
          <w:rFonts w:eastAsia="仿宋_GB2312"/>
          <w:kern w:val="2"/>
          <w:sz w:val="32"/>
          <w:szCs w:val="32"/>
          <w:lang w:val="zh-CN"/>
        </w:rPr>
        <w:t>预算管理。</w:t>
      </w:r>
      <w:r>
        <w:rPr>
          <w:rFonts w:eastAsia="仿宋_GB2312"/>
          <w:kern w:val="2"/>
          <w:sz w:val="32"/>
          <w:szCs w:val="32"/>
          <w:lang w:val="en-US"/>
        </w:rPr>
        <w:t>预算编制规范准确，单位收入统筹合理，支出执行有序推进，预算年终结余控制在合理范围，</w:t>
      </w:r>
      <w:r>
        <w:rPr>
          <w:rFonts w:hint="eastAsia"/>
          <w:kern w:val="2"/>
          <w:sz w:val="32"/>
          <w:szCs w:val="32"/>
          <w:lang w:val="en-US" w:eastAsia="zh-CN"/>
        </w:rPr>
        <w:t>严格控制</w:t>
      </w:r>
      <w:r>
        <w:rPr>
          <w:rFonts w:eastAsia="仿宋_GB2312"/>
          <w:kern w:val="2"/>
          <w:sz w:val="32"/>
          <w:szCs w:val="32"/>
          <w:lang w:val="en-US"/>
        </w:rPr>
        <w:t>一般性支出，预决算公开及时完整。</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3.</w:t>
      </w:r>
      <w:r>
        <w:rPr>
          <w:rFonts w:eastAsia="仿宋_GB2312"/>
          <w:kern w:val="2"/>
          <w:sz w:val="32"/>
          <w:szCs w:val="32"/>
          <w:lang w:val="zh-CN"/>
        </w:rPr>
        <w:t>财务管理。</w:t>
      </w:r>
      <w:r>
        <w:rPr>
          <w:rFonts w:eastAsia="仿宋_GB2312"/>
          <w:kern w:val="2"/>
          <w:sz w:val="32"/>
          <w:szCs w:val="32"/>
          <w:lang w:val="en-US"/>
        </w:rPr>
        <w:t>财务管理制度健全，财务岗位设置符合规定，资金使用合规，审批流程完善，无违规使用资金情况。</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4.</w:t>
      </w:r>
      <w:r>
        <w:rPr>
          <w:rFonts w:eastAsia="仿宋_GB2312"/>
          <w:kern w:val="2"/>
          <w:sz w:val="32"/>
          <w:szCs w:val="32"/>
          <w:lang w:val="zh-CN"/>
        </w:rPr>
        <w:t>资产管理。</w:t>
      </w:r>
      <w:r>
        <w:rPr>
          <w:rFonts w:eastAsia="仿宋_GB2312"/>
          <w:kern w:val="2"/>
          <w:sz w:val="32"/>
          <w:szCs w:val="32"/>
          <w:lang w:val="en-US"/>
        </w:rPr>
        <w:t>人均资产变化率合理，资产利用率较高，按规定开展资产盘活工作，闲置资产得到有效利用。</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5.</w:t>
      </w:r>
      <w:r>
        <w:rPr>
          <w:rFonts w:eastAsia="仿宋_GB2312"/>
          <w:kern w:val="2"/>
          <w:sz w:val="32"/>
          <w:szCs w:val="32"/>
          <w:lang w:val="zh-CN"/>
        </w:rPr>
        <w:t>采购管理。</w:t>
      </w:r>
      <w:r>
        <w:rPr>
          <w:rFonts w:eastAsia="仿宋_GB2312"/>
          <w:kern w:val="2"/>
          <w:sz w:val="32"/>
          <w:szCs w:val="32"/>
          <w:lang w:val="en-US"/>
        </w:rPr>
        <w:t>严格执行政府采购政策，积极支持中小企业发展，采购执行率达到规定要求，采购程序规范。</w:t>
      </w:r>
    </w:p>
    <w:p>
      <w:pPr>
        <w:adjustRightInd w:val="0"/>
        <w:snapToGrid w:val="0"/>
        <w:spacing w:line="578" w:lineRule="exact"/>
        <w:ind w:firstLine="642"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（二）部门预算项目绩效分析。</w:t>
      </w:r>
    </w:p>
    <w:p>
      <w:pPr>
        <w:snapToGrid w:val="0"/>
        <w:spacing w:line="578" w:lineRule="exact"/>
        <w:ind w:firstLine="608" w:firstLineChars="200"/>
        <w:jc w:val="left"/>
        <w:rPr>
          <w:rFonts w:ascii="Times New Roman" w:hAnsi="Times New Roman" w:eastAsia="仿宋_GB2312" w:cs="Times New Roman"/>
          <w:w w:val="95"/>
          <w:kern w:val="0"/>
          <w:sz w:val="32"/>
          <w:szCs w:val="32"/>
          <w:lang w:val="en-US"/>
        </w:rPr>
      </w:pPr>
      <w:r>
        <w:rPr>
          <w:rFonts w:ascii="Times New Roman" w:hAnsi="Times New Roman" w:eastAsia="仿宋_GB2312" w:cs="Times New Roman"/>
          <w:w w:val="95"/>
          <w:kern w:val="0"/>
          <w:sz w:val="32"/>
          <w:szCs w:val="32"/>
          <w:lang w:val="en-US"/>
        </w:rPr>
        <w:t>1. 常年项目绩效分析：该类项目总数1个，涉及预算总金额</w:t>
      </w:r>
      <w:r>
        <w:rPr>
          <w:rFonts w:hint="eastAsia" w:ascii="Times New Roman" w:hAnsi="Times New Roman" w:eastAsia="仿宋_GB2312" w:cs="Times New Roman"/>
          <w:w w:val="95"/>
          <w:kern w:val="0"/>
          <w:sz w:val="32"/>
          <w:szCs w:val="32"/>
          <w:lang w:val="en-US" w:eastAsia="zh-CN"/>
        </w:rPr>
        <w:t>4.5</w:t>
      </w:r>
      <w:r>
        <w:rPr>
          <w:rFonts w:ascii="Times New Roman" w:hAnsi="Times New Roman" w:eastAsia="仿宋_GB2312" w:cs="Times New Roman"/>
          <w:w w:val="95"/>
          <w:kern w:val="0"/>
          <w:sz w:val="32"/>
          <w:szCs w:val="32"/>
          <w:lang w:val="en-US"/>
        </w:rPr>
        <w:t>万元，1—12月预算执行总体进度为100%，其中：预算结余率大于10%的项目共计0个。</w:t>
      </w:r>
    </w:p>
    <w:p>
      <w:pPr>
        <w:snapToGrid w:val="0"/>
        <w:spacing w:line="578"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2. 阶段（含一次性）项目绩效分析：该类项目总数1个，涉及预算总金额</w:t>
      </w:r>
      <w:r>
        <w:rPr>
          <w:rFonts w:hint="eastAsia" w:eastAsia="仿宋_GB2312" w:cs="Times New Roman"/>
          <w:w w:val="95"/>
          <w:kern w:val="0"/>
          <w:sz w:val="32"/>
          <w:szCs w:val="32"/>
          <w:lang w:val="en-US" w:eastAsia="zh-CN"/>
        </w:rPr>
        <w:t>4.5</w:t>
      </w:r>
      <w:r>
        <w:rPr>
          <w:rFonts w:ascii="Times New Roman" w:hAnsi="Times New Roman" w:eastAsia="仿宋_GB2312" w:cs="Times New Roman"/>
          <w:w w:val="95"/>
          <w:kern w:val="0"/>
          <w:sz w:val="32"/>
          <w:szCs w:val="32"/>
          <w:lang w:val="en-US"/>
        </w:rPr>
        <w:t>万元，1—12月预算执行总体进度为100%，其中：预算结余率大于10%的项目共计</w:t>
      </w:r>
      <w:r>
        <w:rPr>
          <w:rFonts w:hint="eastAsia" w:ascii="Times New Roman" w:hAnsi="Times New Roman" w:eastAsia="仿宋_GB2312" w:cs="Times New Roman"/>
          <w:w w:val="95"/>
          <w:kern w:val="0"/>
          <w:sz w:val="32"/>
          <w:szCs w:val="32"/>
          <w:lang w:val="en-US" w:eastAsia="zh-CN"/>
        </w:rPr>
        <w:t>0</w:t>
      </w:r>
      <w:r>
        <w:rPr>
          <w:rFonts w:ascii="Times New Roman" w:hAnsi="Times New Roman" w:eastAsia="仿宋_GB2312" w:cs="Times New Roman"/>
          <w:w w:val="95"/>
          <w:kern w:val="0"/>
          <w:sz w:val="32"/>
          <w:szCs w:val="32"/>
          <w:lang w:val="en-US"/>
        </w:rPr>
        <w:t>个。</w:t>
      </w:r>
    </w:p>
    <w:p>
      <w:pPr>
        <w:snapToGrid w:val="0"/>
        <w:spacing w:line="578"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1.</w:t>
      </w:r>
      <w:r>
        <w:rPr>
          <w:rFonts w:ascii="Times New Roman" w:hAnsi="Times New Roman" w:eastAsia="仿宋_GB2312" w:cs="Times New Roman"/>
          <w:w w:val="95"/>
          <w:kern w:val="0"/>
          <w:sz w:val="32"/>
          <w:szCs w:val="32"/>
          <w:lang w:val="zh-CN"/>
        </w:rPr>
        <w:t>项目决策。</w:t>
      </w:r>
      <w:r>
        <w:rPr>
          <w:rFonts w:hint="eastAsia" w:ascii="Times New Roman" w:hAnsi="Times New Roman" w:eastAsia="仿宋_GB2312" w:cs="Times New Roman"/>
          <w:w w:val="95"/>
          <w:kern w:val="0"/>
          <w:sz w:val="32"/>
          <w:szCs w:val="32"/>
          <w:lang w:val="zh-CN"/>
        </w:rPr>
        <w:t>项目</w:t>
      </w:r>
      <w:r>
        <w:rPr>
          <w:rFonts w:ascii="Times New Roman" w:hAnsi="Times New Roman" w:eastAsia="仿宋_GB2312" w:cs="Times New Roman"/>
          <w:w w:val="95"/>
          <w:kern w:val="0"/>
          <w:sz w:val="32"/>
          <w:szCs w:val="32"/>
          <w:lang w:val="en-US"/>
        </w:rPr>
        <w:t>设立履行评估论证、申报程序，决策规范；绩效目标设置科学合理、匹配资金量；按规定时间完成项目入库。</w:t>
      </w:r>
    </w:p>
    <w:p>
      <w:pPr>
        <w:snapToGrid w:val="0"/>
        <w:spacing w:line="578"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2.项目执行</w:t>
      </w:r>
      <w:r>
        <w:rPr>
          <w:rFonts w:ascii="Times New Roman" w:hAnsi="Times New Roman" w:eastAsia="仿宋_GB2312" w:cs="Times New Roman"/>
          <w:w w:val="95"/>
          <w:kern w:val="0"/>
          <w:sz w:val="32"/>
          <w:szCs w:val="32"/>
          <w:lang w:val="zh-CN"/>
        </w:rPr>
        <w:t>。资金</w:t>
      </w:r>
      <w:r>
        <w:rPr>
          <w:rFonts w:ascii="Times New Roman" w:hAnsi="Times New Roman" w:eastAsia="仿宋_GB2312" w:cs="Times New Roman"/>
          <w:w w:val="95"/>
          <w:kern w:val="0"/>
          <w:sz w:val="32"/>
          <w:szCs w:val="32"/>
          <w:lang w:val="en-US"/>
        </w:rPr>
        <w:t>列支方向与绩效目标一致，项目调整按规定履行程序，执行结果符合预期。</w:t>
      </w:r>
    </w:p>
    <w:p>
      <w:pPr>
        <w:snapToGrid w:val="0"/>
        <w:spacing w:line="578" w:lineRule="exact"/>
        <w:ind w:firstLine="608" w:firstLineChars="200"/>
        <w:jc w:val="left"/>
        <w:rPr>
          <w:rFonts w:ascii="Times New Roman" w:hAnsi="Times New Roman" w:eastAsia="仿宋_GB2312" w:cs="Times New Roman"/>
          <w:w w:val="95"/>
          <w:kern w:val="0"/>
          <w:sz w:val="32"/>
          <w:szCs w:val="32"/>
          <w:lang w:val="en-US"/>
        </w:rPr>
      </w:pPr>
      <w:r>
        <w:rPr>
          <w:rFonts w:ascii="Times New Roman" w:hAnsi="Times New Roman" w:eastAsia="仿宋_GB2312" w:cs="Times New Roman"/>
          <w:w w:val="95"/>
          <w:kern w:val="0"/>
          <w:sz w:val="32"/>
          <w:szCs w:val="32"/>
          <w:lang w:val="en-US"/>
        </w:rPr>
        <w:t>3.</w:t>
      </w:r>
      <w:r>
        <w:rPr>
          <w:rFonts w:ascii="Times New Roman" w:hAnsi="Times New Roman" w:eastAsia="仿宋_GB2312" w:cs="Times New Roman"/>
          <w:w w:val="95"/>
          <w:kern w:val="0"/>
          <w:sz w:val="32"/>
          <w:szCs w:val="32"/>
          <w:lang w:val="zh-CN"/>
        </w:rPr>
        <w:t>目标实现。</w:t>
      </w:r>
      <w:r>
        <w:rPr>
          <w:rFonts w:ascii="Times New Roman" w:hAnsi="Times New Roman" w:eastAsia="仿宋_GB2312" w:cs="Times New Roman"/>
          <w:w w:val="95"/>
          <w:kern w:val="0"/>
          <w:sz w:val="32"/>
          <w:szCs w:val="32"/>
          <w:lang w:val="en-US"/>
        </w:rPr>
        <w:t>项目数量指标基本完成，与预期目标偏离度较小，项目实施取得良好经济效益、社会效益。</w:t>
      </w:r>
    </w:p>
    <w:p>
      <w:pPr>
        <w:snapToGrid w:val="0"/>
        <w:spacing w:line="578" w:lineRule="exact"/>
        <w:ind w:firstLine="642" w:firstLineChars="200"/>
        <w:jc w:val="left"/>
        <w:rPr>
          <w:rFonts w:ascii="Times New Roman" w:hAnsi="Times New Roman" w:eastAsia="仿宋_GB2312" w:cs="Times New Roman"/>
          <w:w w:val="95"/>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rPr>
        <w:t>（三）绩效结果应用情况。</w:t>
      </w:r>
      <w:r>
        <w:rPr>
          <w:rFonts w:ascii="Times New Roman" w:hAnsi="Times New Roman" w:eastAsia="仿宋_GB2312" w:cs="Times New Roman"/>
          <w:w w:val="95"/>
          <w:kern w:val="0"/>
          <w:sz w:val="32"/>
          <w:szCs w:val="32"/>
          <w:lang w:val="en-US"/>
        </w:rPr>
        <w:t>内部将绩效结果与预算安排、项目管理挂钩；按规定公开绩效信息，接受监督；针对自评发现问题及时整改并反馈，形成管理闭环。</w:t>
      </w:r>
    </w:p>
    <w:p>
      <w:pPr>
        <w:adjustRightInd w:val="0"/>
        <w:snapToGrid w:val="0"/>
        <w:spacing w:line="578" w:lineRule="exact"/>
        <w:ind w:firstLine="642"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四、评价结论及建议</w:t>
      </w:r>
    </w:p>
    <w:p>
      <w:pPr>
        <w:widowControl/>
        <w:adjustRightInd w:val="0"/>
        <w:snapToGrid w:val="0"/>
        <w:spacing w:line="578" w:lineRule="exact"/>
        <w:ind w:firstLine="642" w:firstLineChars="200"/>
        <w:contextualSpacing/>
        <w:jc w:val="left"/>
        <w:rPr>
          <w:rFonts w:ascii="Times New Roman" w:hAnsi="Times New Roman" w:eastAsia="仿宋_GB2312" w:cs="Times New Roman"/>
          <w:w w:val="95"/>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rPr>
        <w:t>（一）评价结论。</w:t>
      </w:r>
      <w:r>
        <w:rPr>
          <w:rFonts w:ascii="Times New Roman" w:hAnsi="Times New Roman" w:eastAsia="仿宋_GB2312" w:cs="Times New Roman"/>
          <w:w w:val="95"/>
          <w:kern w:val="0"/>
          <w:sz w:val="32"/>
          <w:szCs w:val="32"/>
          <w:lang w:val="en-US"/>
        </w:rPr>
        <w:t>2025年度，本部门预算执行规范，资金使用效益较好，履职成效明显，管理水平持续提升，自评得分</w:t>
      </w:r>
      <w:r>
        <w:rPr>
          <w:rFonts w:hint="eastAsia" w:eastAsia="仿宋_GB2312" w:cs="Times New Roman"/>
          <w:w w:val="95"/>
          <w:kern w:val="0"/>
          <w:sz w:val="32"/>
          <w:szCs w:val="32"/>
          <w:lang w:val="en-US" w:eastAsia="zh-CN"/>
        </w:rPr>
        <w:t>94</w:t>
      </w:r>
      <w:r>
        <w:rPr>
          <w:rFonts w:ascii="Times New Roman" w:hAnsi="Times New Roman" w:eastAsia="仿宋_GB2312" w:cs="Times New Roman"/>
          <w:w w:val="95"/>
          <w:kern w:val="0"/>
          <w:sz w:val="32"/>
          <w:szCs w:val="32"/>
          <w:lang w:val="en-US"/>
        </w:rPr>
        <w:t>分，自评结果优秀。</w:t>
      </w:r>
    </w:p>
    <w:p>
      <w:pPr>
        <w:widowControl/>
        <w:adjustRightInd w:val="0"/>
        <w:snapToGrid w:val="0"/>
        <w:spacing w:line="578" w:lineRule="exact"/>
        <w:ind w:firstLine="642" w:firstLineChars="200"/>
        <w:contextualSpacing/>
        <w:jc w:val="left"/>
        <w:rPr>
          <w:rFonts w:ascii="Times New Roman" w:hAnsi="Times New Roman" w:eastAsia="仿宋_GB2312" w:cs="Times New Roman"/>
          <w:w w:val="95"/>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rPr>
        <w:t>（二）存在问题。</w:t>
      </w:r>
      <w:r>
        <w:rPr>
          <w:rFonts w:ascii="Times New Roman" w:hAnsi="Times New Roman" w:eastAsia="仿宋_GB2312" w:cs="Times New Roman"/>
          <w:w w:val="95"/>
          <w:kern w:val="0"/>
          <w:sz w:val="32"/>
          <w:szCs w:val="32"/>
          <w:lang w:val="en-US"/>
        </w:rPr>
        <w:t>一是部分项目预算执行进度不均衡；二是资产精细化管理仍需加强；三是绩效目标设置精准度有待进一步提升。</w:t>
      </w:r>
    </w:p>
    <w:p>
      <w:pPr>
        <w:widowControl/>
        <w:adjustRightInd w:val="0"/>
        <w:snapToGrid w:val="0"/>
        <w:spacing w:line="578" w:lineRule="exact"/>
        <w:ind w:firstLine="421" w:firstLineChars="200"/>
        <w:contextualSpacing/>
        <w:jc w:val="left"/>
        <w:rPr>
          <w:rFonts w:eastAsia="黑体"/>
          <w:szCs w:val="32"/>
        </w:rPr>
      </w:pPr>
      <w:r>
        <w:rPr>
          <w:rFonts w:eastAsia="楷体_GB2312"/>
          <w:b/>
          <w:bCs/>
          <w:color w:val="000000"/>
          <w:kern w:val="0"/>
          <w:szCs w:val="32"/>
          <w:shd w:val="clear" w:color="auto" w:fill="FFFFFF"/>
          <w:lang w:val="zh-CN"/>
        </w:rPr>
        <w:t>（</w:t>
      </w:r>
      <w:r>
        <w:rPr>
          <w:rFonts w:ascii="Times New Roman" w:hAnsi="Times New Roman" w:eastAsia="楷体_GB2312" w:cs="Times New Roman"/>
          <w:b/>
          <w:bCs/>
          <w:color w:val="000000"/>
          <w:kern w:val="0"/>
          <w:sz w:val="32"/>
          <w:szCs w:val="32"/>
          <w:shd w:val="clear" w:color="auto" w:fill="FFFFFF"/>
          <w:lang w:val="zh-CN"/>
        </w:rPr>
        <w:t>三）改进建议。</w:t>
      </w:r>
      <w:bookmarkStart w:id="72" w:name="_Hlk110546638"/>
      <w:r>
        <w:rPr>
          <w:rFonts w:eastAsia="仿宋_GB2312"/>
          <w:w w:val="95"/>
          <w:kern w:val="0"/>
          <w:sz w:val="32"/>
          <w:szCs w:val="32"/>
          <w:lang w:val="en-US"/>
        </w:rPr>
        <w:t>一是强化项目执行管控，加快资金支付进度，优化预算执行节奏；二是完善资产动态管理机制，提高资产使用与盘活效率；三是细化绩效目标编制，提升预算与绩效匹配度。</w:t>
      </w:r>
      <w:bookmarkEnd w:id="72"/>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4"/>
        <w:gridCol w:w="753"/>
        <w:gridCol w:w="694"/>
        <w:gridCol w:w="913"/>
        <w:gridCol w:w="743"/>
        <w:gridCol w:w="797"/>
        <w:gridCol w:w="755"/>
        <w:gridCol w:w="846"/>
        <w:gridCol w:w="913"/>
        <w:gridCol w:w="775"/>
        <w:gridCol w:w="7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壤塘县两新党组织经费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中共壤塘县委社会工作部</w:t>
            </w:r>
          </w:p>
        </w:tc>
        <w:tc>
          <w:tcPr>
            <w:tcW w:w="452"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中共壤塘县委社会工作部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深入贯彻落实党中央和省委及州委关于新兴领域党建工作部署要求，着力强化政治引领和服务管理，不断增强党在新经济组织、新社会组织、新就业群体中的号召力、凝聚力、影响力。</w:t>
            </w:r>
          </w:p>
        </w:tc>
        <w:tc>
          <w:tcPr>
            <w:tcW w:w="18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增强党在新经济组织、新社会组织、新就业群体中的号召力、凝聚力、影响力。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深入贯彻新时代党的建设总要求，切实加强我县新经济组织、新社会组织（以下简称“两新”组织）党建工作，保障两新党组织正常运转、党员教育管理、党建活动开展、阵地建设及党务工作者激励等工作落地见效，根据两新组织党建工作相关政策及县委组织部、县财政局关于党建工作经费管理要求，设立2025年壤塘县两新党组织工作经费项目。项目主管及实施单位为中共壤塘县委两新工委，资金专项用于两新党组织日常运行、教育培训、活动开展、阵地运维、表彰慰问等党建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产出指标（50分）</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2025年普通党员和</w:t>
            </w:r>
            <w:r>
              <w:rPr>
                <w:rFonts w:hint="eastAsia" w:ascii="宋体" w:hAnsi="宋体" w:cs="宋体"/>
                <w:i w:val="0"/>
                <w:iCs w:val="0"/>
                <w:color w:val="000000"/>
                <w:kern w:val="0"/>
                <w:sz w:val="18"/>
                <w:szCs w:val="18"/>
                <w:u w:val="none"/>
                <w:lang w:val="en-US" w:eastAsia="zh-CN" w:bidi="ar"/>
              </w:rPr>
              <w:t>党</w:t>
            </w:r>
            <w:bookmarkStart w:id="87" w:name="_GoBack"/>
            <w:bookmarkEnd w:id="87"/>
            <w:r>
              <w:rPr>
                <w:rFonts w:ascii="宋体" w:hAnsi="宋体" w:eastAsia="宋体" w:cs="宋体"/>
                <w:i w:val="0"/>
                <w:iCs w:val="0"/>
                <w:color w:val="000000"/>
                <w:kern w:val="0"/>
                <w:sz w:val="18"/>
                <w:szCs w:val="18"/>
                <w:u w:val="none"/>
                <w:lang w:val="en-US" w:eastAsia="zh-CN" w:bidi="ar"/>
              </w:rPr>
              <w:t>支部书记数量</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106名</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加强思想政治引领达标率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加强思想政治引领达标率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项目完成时效</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25年“两新”党组织党员培训经费</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4.5万元</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效益指标（30分）</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促进非公有制经济健康发展、非公有制经济人士健康成长，提高党的组织和工作覆盖质量</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增强党在新兴领域的号召力、凝聚力和影响力</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(10分)</w:t>
            </w:r>
          </w:p>
        </w:tc>
        <w:tc>
          <w:tcPr>
            <w:tcW w:w="4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“两新”党组织党员满意度</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5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壤塘县“两新”党组织经费项目自评得分100分，各项绩效指标均全面完成。经费规范用于“两新”党组织党员培育、思想引领、党建阵地建设等工作，足额保障党员培训开展，有效壮大基层党员队伍，强化党组织在新业态、新领域的引领作用，推动非公有制经济健康发展，党员服务满意度达标，切实夯实县域非公领域党建基础，助力地方基层治理提质增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一是党建活动与壤塘县本土产业、牧区特色结合不够紧密，党建赋能县域特色产业发展成效不突出；二是偏远乡镇“两新”组织党建覆盖不均衡，党员教育、经费落地存在地域差异，长效服务机制仍需完善。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一是结合壤塘牧区、文旅、农牧产业特色，开展本土化党建活动，推动党建与县域产业深度融合；二是统筹城乡资源，强化偏远乡镇“两新”组织经费保障，健全党员常态化管理服务机制，提升党建工作覆盖面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2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项目负责人：唐杰</w:t>
            </w:r>
          </w:p>
        </w:tc>
        <w:tc>
          <w:tcPr>
            <w:tcW w:w="27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财务负责人：刘天明</w:t>
            </w:r>
          </w:p>
        </w:tc>
      </w:tr>
    </w:tbl>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5"/>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bookmarkStart w:id="73" w:name="_Toc15396618"/>
      <w:r>
        <w:rPr>
          <w:rFonts w:hint="eastAsia" w:ascii="Times New Roman" w:hAnsi="Times New Roman" w:eastAsia="方正小标宋简体" w:cs="Times New Roman"/>
          <w:color w:val="auto"/>
          <w:kern w:val="2"/>
          <w:sz w:val="44"/>
          <w:szCs w:val="44"/>
          <w:highlight w:val="none"/>
          <w:lang w:val="en-US" w:eastAsia="zh-CN"/>
        </w:rPr>
        <w:t xml:space="preserve">中共壤塘县委社会工作部 </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关于2025年壤塘县两新党组织经费的</w:t>
      </w:r>
      <w:r>
        <w:rPr>
          <w:rFonts w:hint="default" w:ascii="Times New Roman" w:hAnsi="Times New Roman" w:eastAsia="方正小标宋简体" w:cs="Times New Roman"/>
          <w:color w:val="auto"/>
          <w:kern w:val="2"/>
          <w:sz w:val="44"/>
          <w:szCs w:val="44"/>
          <w:highlight w:val="none"/>
          <w:lang w:val="en-US" w:eastAsia="zh-CN"/>
        </w:rPr>
        <w:t>绩效自评报告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val="zh-CN" w:eastAsia="zh-CN"/>
        </w:rPr>
      </w:pPr>
      <w:r>
        <w:rPr>
          <w:rFonts w:hint="default" w:ascii="Times New Roman" w:hAnsi="Times New Roman" w:eastAsia="黑体" w:cs="Times New Roman"/>
          <w:color w:val="auto"/>
          <w:position w:val="3"/>
          <w:sz w:val="32"/>
          <w:szCs w:val="32"/>
          <w:highlight w:val="none"/>
          <w:u w:val="none"/>
          <w:lang w:eastAsia="zh-CN"/>
        </w:rPr>
        <w:t>一、</w:t>
      </w:r>
      <w:r>
        <w:rPr>
          <w:rFonts w:hint="default" w:ascii="Times New Roman" w:hAnsi="Times New Roman" w:eastAsia="黑体" w:cs="Times New Roman"/>
          <w:color w:val="auto"/>
          <w:position w:val="3"/>
          <w:sz w:val="32"/>
          <w:szCs w:val="32"/>
          <w:highlight w:val="none"/>
          <w:u w:val="none"/>
          <w:lang w:val="zh-CN" w:eastAsia="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w w:val="95"/>
          <w:kern w:val="0"/>
          <w:sz w:val="32"/>
          <w:szCs w:val="32"/>
          <w:lang w:val="en-US" w:eastAsia="zh-CN"/>
        </w:rPr>
        <w:t>为深入贯彻新时代党的建设总要求，切实加强我县新经济组织、新社会组织（以下简称“两新”组织）党建工作，保障两新党组织正常运转、党员教育管理、党建活动开展、阵地建设及党务工作者激励等工作落地见效，根据两新组织党建工作相关政策及县委组织部、县财政局关于党建工作经费管理要求，设立2025年壤塘县两新党组织工作经费项目。项目主管及实施单位为中共壤塘县委两新工委，资金专项用于两新党组织日常运行、教育培训、活动开展、阵地运维、表彰慰问等党建相关支出。</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1. 实施目的：强化两新党组织政治功能与组织功能，夯实基层党建基础，提升党务工作者能力，丰富组织生活，增强党组织凝聚力、战斗力，推动两新组织健康有序发展。</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2. 支持方向：两新党组织书记及党务工作者补助、党员教育培训、党建活动开展、党建阵地建设运维、学习资料购置、先进表彰、困难党员慰问及其他合规党建工作支出。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1. 预算安排：2025年两新党组织工作经费预算总额</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元，资金来源为县级财政拨款。</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2. 资金分配：坚持专款专用、规范高效、保障重点原则，重点保障党组织运行、党员教育、党建活动及阵地运维，严格执行财务审批、报销审核、痕迹管理等制度。</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3. 执行情况：全年预算资金</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元，实际支付</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元，预算执行率100%，无结余、无截留、无挤占挪用。</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1. 整体目标：保障全县两新党组织规范运行，提升党建工作质量，实现组织生活正常化、教育管理常态化、服务保障精准化。</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2. 具体目标：保障两新党组织党建活动正常开展；规范经费使用；提升党组织与党员满意度；确保资金使用合规高效。</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3. 自评开展：按要求开展绩效自评，查阅财务凭证、活动台账、培训资料、阵地运维记录等，全面评价资金使用与项目实施成效。</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eastAsia="zh-CN"/>
        </w:rPr>
      </w:pPr>
      <w:r>
        <w:rPr>
          <w:rFonts w:hint="default" w:ascii="Times New Roman" w:hAnsi="Times New Roman" w:eastAsia="黑体" w:cs="Times New Roman"/>
          <w:color w:val="auto"/>
          <w:position w:val="3"/>
          <w:sz w:val="32"/>
          <w:szCs w:val="32"/>
          <w:highlight w:val="none"/>
          <w:u w:val="none"/>
          <w:lang w:eastAsia="zh-CN"/>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w w:val="95"/>
          <w:kern w:val="0"/>
          <w:sz w:val="32"/>
          <w:szCs w:val="32"/>
          <w:lang w:val="zh-CN" w:eastAsia="zh-CN"/>
        </w:rPr>
        <w:t>全面核查2025年两新党组织工作经费预算执行、资金使用、管理规范及绩效目标完成情况，客观评价资金使用效益，总结经验、查找问题、完善管理，提升党建经费使用规范化、绩效化水平。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w w:val="95"/>
          <w:kern w:val="0"/>
          <w:sz w:val="32"/>
          <w:szCs w:val="32"/>
          <w:lang w:val="zh-CN" w:eastAsia="zh-CN"/>
        </w:rPr>
        <w:t>围绕项目决策、资金管理、组织实施、经费使用、目标完成、社会效益、满意度等，对资金支出全过程及实施效果进行综合评价。</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w w:val="95"/>
          <w:kern w:val="0"/>
          <w:sz w:val="32"/>
          <w:szCs w:val="32"/>
          <w:lang w:val="zh-CN" w:eastAsia="zh-CN"/>
        </w:rPr>
        <w:t>结合我县两新党组织实际，选取县本级及重点两新组织党组织开展核查，覆盖经费使用、活动开展、阵地运维等关键环节，确保评价真实准确。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w w:val="95"/>
          <w:kern w:val="0"/>
          <w:sz w:val="32"/>
          <w:szCs w:val="32"/>
          <w:lang w:val="zh-CN" w:eastAsia="zh-CN"/>
        </w:rPr>
        <w:t>用单位自评法、实地核查法、台账查阅法、座谈访谈法相结合，核对财务资料、活动记录、阵地照片、慰问凭证等，综合分析绩效。</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（五）评价组织。</w:t>
      </w:r>
      <w:r>
        <w:rPr>
          <w:rFonts w:hint="default" w:ascii="Times New Roman" w:hAnsi="Times New Roman" w:eastAsia="仿宋_GB2312" w:cs="Times New Roman"/>
          <w:w w:val="95"/>
          <w:kern w:val="0"/>
          <w:sz w:val="32"/>
          <w:szCs w:val="32"/>
          <w:lang w:val="zh-CN" w:eastAsia="zh-CN"/>
        </w:rPr>
        <w:t>由县委两新工委牵头，联合财务、党建业务人员组成自评小组，明确分工，负责资料收集、数据核实、绩效分析、打分评价、报告撰写及附表填报。</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val="zh-CN" w:eastAsia="zh-CN"/>
        </w:rPr>
      </w:pPr>
      <w:r>
        <w:rPr>
          <w:rFonts w:hint="default" w:ascii="Times New Roman" w:hAnsi="Times New Roman" w:eastAsia="黑体" w:cs="Times New Roman"/>
          <w:color w:val="auto"/>
          <w:position w:val="3"/>
          <w:sz w:val="32"/>
          <w:szCs w:val="32"/>
          <w:highlight w:val="none"/>
          <w:u w:val="none"/>
          <w:lang w:eastAsia="zh-CN"/>
        </w:rPr>
        <w:t>三、绩效分析</w:t>
      </w:r>
      <w:r>
        <w:rPr>
          <w:rFonts w:hint="default" w:ascii="Times New Roman" w:hAnsi="Times New Roman" w:eastAsia="黑体" w:cs="Times New Roman"/>
          <w:color w:val="auto"/>
          <w:position w:val="3"/>
          <w:sz w:val="32"/>
          <w:szCs w:val="32"/>
          <w:highlight w:val="none"/>
          <w:u w:val="none"/>
          <w:lang w:val="zh-CN" w:eastAsia="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rPr>
        <w:t>绩效分析</w:t>
      </w:r>
      <w:r>
        <w:rPr>
          <w:rFonts w:hint="eastAsia" w:ascii="Times New Roman" w:hAnsi="Times New Roman" w:eastAsia="楷体_GB2312" w:cs="Times New Roman"/>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en-US" w:eastAsia="zh-CN"/>
        </w:rPr>
        <w:t>54分</w:t>
      </w:r>
      <w:r>
        <w:rPr>
          <w:rFonts w:hint="eastAsia" w:ascii="Times New Roman" w:hAnsi="Times New Roman" w:eastAsia="楷体_GB2312" w:cs="Times New Roman"/>
          <w:b/>
          <w:color w:val="auto"/>
          <w:sz w:val="32"/>
          <w:szCs w:val="32"/>
          <w:highlight w:val="none"/>
          <w:u w:val="none"/>
          <w:lang w:val="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1.</w:t>
      </w:r>
      <w:r>
        <w:rPr>
          <w:rFonts w:hint="default" w:ascii="Times New Roman" w:hAnsi="Times New Roman" w:eastAsia="楷体_GB2312" w:cs="Times New Roman"/>
          <w:b/>
          <w:color w:val="auto"/>
          <w:sz w:val="32"/>
          <w:szCs w:val="32"/>
          <w:highlight w:val="none"/>
          <w:u w:val="none"/>
          <w:lang w:val="zh-CN" w:eastAsia="zh-CN"/>
        </w:rPr>
        <w:t>项目决策</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楷体_GB2312" w:cs="Times New Roman"/>
          <w:b/>
          <w:color w:val="auto"/>
          <w:sz w:val="32"/>
          <w:szCs w:val="32"/>
          <w:highlight w:val="none"/>
          <w:u w:val="none"/>
          <w:lang w:val="en-US" w:eastAsia="zh-CN"/>
        </w:rPr>
        <w:t>18分</w:t>
      </w:r>
      <w:r>
        <w:rPr>
          <w:rFonts w:hint="eastAsia"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决策程序：经费立项、预算申报、资金拨付程序规范，符合党建经费管理要求，得6分。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规划论证：紧扣两新党建重点任务，绩效目标科学合理、贴合实际，得6分。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资金投向：资金全部用于两新党建核心工作，聚焦组织运行、党员教育、活动开展、阵地保障，得6分。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2、</w:t>
      </w:r>
      <w:r>
        <w:rPr>
          <w:rFonts w:hint="default" w:ascii="Times New Roman" w:hAnsi="Times New Roman" w:eastAsia="楷体_GB2312" w:cs="Times New Roman"/>
          <w:b/>
          <w:color w:val="auto"/>
          <w:sz w:val="32"/>
          <w:szCs w:val="32"/>
          <w:highlight w:val="none"/>
          <w:u w:val="none"/>
          <w:lang w:val="en-US" w:eastAsia="zh-CN"/>
        </w:rPr>
        <w:t>项目管理</w:t>
      </w:r>
      <w:r>
        <w:rPr>
          <w:rFonts w:hint="eastAsia" w:ascii="Times New Roman" w:hAnsi="Times New Roman" w:eastAsia="楷体_GB2312" w:cs="Times New Roman"/>
          <w:b/>
          <w:color w:val="auto"/>
          <w:sz w:val="32"/>
          <w:szCs w:val="32"/>
          <w:highlight w:val="none"/>
          <w:u w:val="none"/>
          <w:lang w:val="en-US" w:eastAsia="zh-CN"/>
        </w:rPr>
        <w:t>（18分）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制度办法：建立经费使用、审批、报销、台账管理制度，要素完备、执行到位，得2分。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分配管理：资金分配合理、审批规范、监管有力，无违规分配、超范围使用，得10分。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绩效监管：坚持管资金、管项目、管绩效同步，日常监控到位、指导有力，得6分。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ascii="Times New Roman" w:hAnsi="Times New Roman" w:cs="Times New Roman"/>
          <w:color w:val="auto"/>
          <w:szCs w:val="32"/>
          <w:lang w:eastAsia="zh-CN"/>
        </w:rPr>
      </w:pPr>
      <w:r>
        <w:rPr>
          <w:rFonts w:hint="eastAsia" w:eastAsia="楷体_GB2312" w:cs="Times New Roman"/>
          <w:b/>
          <w:color w:val="auto"/>
          <w:sz w:val="32"/>
          <w:szCs w:val="32"/>
          <w:highlight w:val="none"/>
          <w:u w:val="none"/>
          <w:lang w:val="en-US" w:eastAsia="zh-CN"/>
        </w:rPr>
        <w:t>3、</w:t>
      </w:r>
      <w:r>
        <w:rPr>
          <w:rFonts w:hint="default" w:eastAsia="楷体_GB2312" w:cs="Times New Roman"/>
          <w:b/>
          <w:color w:val="auto"/>
          <w:sz w:val="32"/>
          <w:szCs w:val="32"/>
          <w:highlight w:val="none"/>
          <w:u w:val="none"/>
          <w:lang w:val="en-US" w:eastAsia="zh-CN"/>
        </w:rPr>
        <w:t>项目实施</w:t>
      </w:r>
      <w:r>
        <w:rPr>
          <w:rFonts w:hint="eastAsia" w:eastAsia="楷体_GB2312" w:cs="Times New Roman"/>
          <w:b/>
          <w:color w:val="auto"/>
          <w:sz w:val="32"/>
          <w:szCs w:val="32"/>
          <w:highlight w:val="none"/>
          <w:u w:val="none"/>
          <w:lang w:val="en-US" w:eastAsia="zh-CN"/>
        </w:rPr>
        <w:t xml:space="preserve">（9分） </w:t>
      </w:r>
      <w:r>
        <w:rPr>
          <w:rFonts w:hint="eastAsia" w:eastAsia="楷体_GB2312" w:cs="Times New Roman"/>
          <w:color w:val="auto"/>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预算执行：预算4</w:t>
      </w:r>
      <w:r>
        <w:rPr>
          <w:rFonts w:hint="eastAsia" w:eastAsia="仿宋_GB2312" w:cs="Times New Roman"/>
          <w:w w:val="95"/>
          <w:kern w:val="0"/>
          <w:sz w:val="32"/>
          <w:szCs w:val="32"/>
          <w:lang w:val="en-US" w:eastAsia="zh-CN"/>
        </w:rPr>
        <w:t>.5</w:t>
      </w:r>
      <w:r>
        <w:rPr>
          <w:rFonts w:hint="default" w:ascii="Times New Roman" w:hAnsi="Times New Roman" w:eastAsia="仿宋_GB2312" w:cs="Times New Roman"/>
          <w:w w:val="95"/>
          <w:kern w:val="0"/>
          <w:sz w:val="32"/>
          <w:szCs w:val="32"/>
          <w:lang w:val="zh-CN" w:eastAsia="zh-CN"/>
        </w:rPr>
        <w:t>元，支付</w:t>
      </w:r>
      <w:r>
        <w:rPr>
          <w:rFonts w:hint="eastAsia" w:eastAsia="仿宋_GB2312" w:cs="Times New Roman"/>
          <w:w w:val="95"/>
          <w:kern w:val="0"/>
          <w:sz w:val="32"/>
          <w:szCs w:val="32"/>
          <w:lang w:val="en-US" w:eastAsia="zh-CN"/>
        </w:rPr>
        <w:t>4.5</w:t>
      </w:r>
      <w:r>
        <w:rPr>
          <w:rFonts w:hint="eastAsia" w:eastAsia="仿宋_GB2312" w:cs="Times New Roman"/>
          <w:w w:val="95"/>
          <w:kern w:val="0"/>
          <w:sz w:val="32"/>
          <w:szCs w:val="32"/>
          <w:lang w:val="zh-CN" w:eastAsia="zh-CN"/>
        </w:rPr>
        <w:t>万</w:t>
      </w:r>
      <w:r>
        <w:rPr>
          <w:rFonts w:hint="default" w:ascii="Times New Roman" w:hAnsi="Times New Roman" w:eastAsia="仿宋_GB2312" w:cs="Times New Roman"/>
          <w:w w:val="95"/>
          <w:kern w:val="0"/>
          <w:sz w:val="32"/>
          <w:szCs w:val="32"/>
          <w:lang w:val="zh-CN" w:eastAsia="zh-CN"/>
        </w:rPr>
        <w:t>元，执行率100%，得6分。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zh-CN" w:eastAsia="zh-CN"/>
        </w:rPr>
        <w:t>资金使用：专款专用、票据合规、审批完整、列支规范，无违规问题，得3分。</w:t>
      </w:r>
      <w:r>
        <w:rPr>
          <w:rFonts w:hint="eastAsia" w:ascii="Times New Roman" w:hAnsi="Times New Roman" w:eastAsia="仿宋_GB2312" w:cs="Times New Roman"/>
          <w:w w:val="95"/>
          <w:kern w:val="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4、</w:t>
      </w:r>
      <w:r>
        <w:rPr>
          <w:rFonts w:hint="default" w:eastAsia="楷体_GB2312" w:cs="Times New Roman"/>
          <w:b/>
          <w:color w:val="auto"/>
          <w:sz w:val="32"/>
          <w:szCs w:val="32"/>
          <w:highlight w:val="none"/>
          <w:u w:val="none"/>
          <w:lang w:val="en-US" w:eastAsia="zh-CN"/>
        </w:rPr>
        <w:t>项目结果</w:t>
      </w:r>
      <w:r>
        <w:rPr>
          <w:rFonts w:hint="eastAsia" w:eastAsia="楷体_GB2312" w:cs="Times New Roman"/>
          <w:b/>
          <w:color w:val="auto"/>
          <w:sz w:val="32"/>
          <w:szCs w:val="32"/>
          <w:highlight w:val="none"/>
          <w:u w:val="none"/>
          <w:lang w:val="en-US" w:eastAsia="zh-CN"/>
        </w:rPr>
        <w:t>（9分）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目标完成：全面完成教育培训、活动开展、阵地运维、表彰慰问等年度目标，得6分。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完成时效：所有工作按年度计划按时完成，无拖延滞后，得3分。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eastAsia="楷体_GB2312" w:cs="Times New Roman"/>
          <w:b/>
          <w:color w:val="auto"/>
          <w:sz w:val="32"/>
          <w:szCs w:val="32"/>
          <w:highlight w:val="none"/>
          <w:u w:val="none"/>
          <w:lang w:val="zh-CN" w:eastAsia="zh-CN"/>
        </w:rPr>
      </w:pPr>
      <w:r>
        <w:rPr>
          <w:rFonts w:hint="default" w:eastAsia="楷体_GB2312" w:cs="Times New Roman"/>
          <w:b/>
          <w:color w:val="auto"/>
          <w:sz w:val="32"/>
          <w:szCs w:val="32"/>
          <w:highlight w:val="none"/>
          <w:u w:val="none"/>
          <w:lang w:val="zh-CN" w:eastAsia="zh-CN"/>
        </w:rPr>
        <w:t>（二）</w:t>
      </w:r>
      <w:r>
        <w:rPr>
          <w:rFonts w:hint="default" w:eastAsia="楷体_GB2312" w:cs="Times New Roman"/>
          <w:b/>
          <w:color w:val="auto"/>
          <w:sz w:val="32"/>
          <w:szCs w:val="32"/>
          <w:highlight w:val="none"/>
          <w:u w:val="none"/>
          <w:lang w:val="en-US" w:eastAsia="zh-CN"/>
        </w:rPr>
        <w:t>专用指标</w:t>
      </w:r>
      <w:r>
        <w:rPr>
          <w:rFonts w:hint="default" w:eastAsia="楷体_GB2312" w:cs="Times New Roman"/>
          <w:b/>
          <w:color w:val="auto"/>
          <w:sz w:val="32"/>
          <w:szCs w:val="32"/>
          <w:highlight w:val="none"/>
          <w:u w:val="none"/>
          <w:lang w:val="zh-CN" w:eastAsia="zh-CN"/>
        </w:rPr>
        <w:t>绩效分析</w:t>
      </w:r>
      <w:r>
        <w:rPr>
          <w:rFonts w:hint="eastAsia" w:eastAsia="楷体_GB2312" w:cs="Times New Roman"/>
          <w:b/>
          <w:color w:val="auto"/>
          <w:sz w:val="32"/>
          <w:szCs w:val="32"/>
          <w:highlight w:val="none"/>
          <w:u w:val="none"/>
          <w:lang w:val="zh-CN" w:eastAsia="zh-CN"/>
        </w:rPr>
        <w:t>（</w:t>
      </w:r>
      <w:r>
        <w:rPr>
          <w:rFonts w:hint="eastAsia" w:eastAsia="楷体_GB2312" w:cs="Times New Roman"/>
          <w:b/>
          <w:color w:val="auto"/>
          <w:sz w:val="32"/>
          <w:szCs w:val="32"/>
          <w:highlight w:val="none"/>
          <w:u w:val="none"/>
          <w:lang w:val="en-US" w:eastAsia="zh-CN"/>
        </w:rPr>
        <w:t>30分按</w:t>
      </w:r>
      <w:r>
        <w:rPr>
          <w:rFonts w:hint="default" w:eastAsia="楷体_GB2312" w:cs="Times New Roman"/>
          <w:b/>
          <w:color w:val="auto"/>
          <w:sz w:val="32"/>
          <w:szCs w:val="32"/>
          <w:highlight w:val="none"/>
          <w:u w:val="none"/>
          <w:lang w:val="zh-CN" w:eastAsia="zh-CN"/>
        </w:rPr>
        <w:t>行政运转</w:t>
      </w:r>
      <w:r>
        <w:rPr>
          <w:rFonts w:hint="default" w:eastAsia="楷体_GB2312" w:cs="Times New Roman"/>
          <w:b/>
          <w:color w:val="auto"/>
          <w:sz w:val="32"/>
          <w:szCs w:val="32"/>
          <w:highlight w:val="none"/>
          <w:u w:val="none"/>
          <w:lang w:val="en-US" w:eastAsia="zh-CN"/>
        </w:rPr>
        <w:t>类</w:t>
      </w:r>
      <w:r>
        <w:rPr>
          <w:rFonts w:hint="eastAsia"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1. 用途合规性：经费严格用于两新党建工作，用途合规、范围清晰，无挪作他用，得10分。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2. 程序合规性：执行申请、审批、支付、报销全流程规范，痕迹完整、内控有效，得10分。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3. 标准合规性：补助、慰问、活动开支标准符合规定，无超标准、超范围支出，得10分。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eastAsia="楷体_GB2312" w:cs="Times New Roman"/>
          <w:b/>
          <w:color w:val="auto"/>
          <w:sz w:val="32"/>
          <w:szCs w:val="32"/>
          <w:highlight w:val="none"/>
          <w:u w:val="none"/>
          <w:lang w:val="zh-CN" w:eastAsia="zh-CN"/>
        </w:rPr>
      </w:pPr>
      <w:r>
        <w:rPr>
          <w:rFonts w:hint="default" w:eastAsia="楷体_GB2312" w:cs="Times New Roman"/>
          <w:b/>
          <w:color w:val="auto"/>
          <w:sz w:val="32"/>
          <w:szCs w:val="32"/>
          <w:highlight w:val="none"/>
          <w:u w:val="none"/>
          <w:lang w:val="zh-CN" w:eastAsia="zh-CN"/>
        </w:rPr>
        <w:t>（三）</w:t>
      </w:r>
      <w:r>
        <w:rPr>
          <w:rFonts w:hint="default" w:eastAsia="楷体_GB2312" w:cs="Times New Roman"/>
          <w:b/>
          <w:color w:val="auto"/>
          <w:sz w:val="32"/>
          <w:szCs w:val="32"/>
          <w:highlight w:val="none"/>
          <w:u w:val="none"/>
          <w:lang w:val="en-US" w:eastAsia="zh-CN"/>
        </w:rPr>
        <w:t>个性指标</w:t>
      </w:r>
      <w:r>
        <w:rPr>
          <w:rFonts w:hint="default" w:eastAsia="楷体_GB2312" w:cs="Times New Roman"/>
          <w:b/>
          <w:color w:val="auto"/>
          <w:sz w:val="32"/>
          <w:szCs w:val="32"/>
          <w:highlight w:val="none"/>
          <w:u w:val="none"/>
          <w:lang w:val="zh-CN" w:eastAsia="zh-CN"/>
        </w:rPr>
        <w:t>绩效分析</w:t>
      </w:r>
      <w:r>
        <w:rPr>
          <w:rFonts w:hint="eastAsia" w:eastAsia="楷体_GB2312" w:cs="Times New Roman"/>
          <w:b/>
          <w:color w:val="auto"/>
          <w:sz w:val="32"/>
          <w:szCs w:val="32"/>
          <w:highlight w:val="none"/>
          <w:u w:val="none"/>
          <w:lang w:val="zh-CN" w:eastAsia="zh-CN"/>
        </w:rPr>
        <w:t>（</w:t>
      </w:r>
      <w:r>
        <w:rPr>
          <w:rFonts w:hint="eastAsia" w:eastAsia="楷体_GB2312" w:cs="Times New Roman"/>
          <w:b/>
          <w:color w:val="auto"/>
          <w:sz w:val="32"/>
          <w:szCs w:val="32"/>
          <w:highlight w:val="none"/>
          <w:u w:val="none"/>
          <w:lang w:val="en-US" w:eastAsia="zh-CN"/>
        </w:rPr>
        <w:t>16分</w:t>
      </w:r>
      <w:r>
        <w:rPr>
          <w:rFonts w:hint="eastAsia"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zh-CN" w:eastAsia="zh-CN"/>
        </w:rPr>
        <w:t>结合两新党建实际设置个性指标，重点评价党组织活力提升、党员教育实效、阵地功能发挥、党建引领作用，各项指标均完成较好，得16分。</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eastAsia="zh-CN"/>
        </w:rPr>
      </w:pPr>
      <w:r>
        <w:rPr>
          <w:rFonts w:hint="default" w:ascii="Times New Roman" w:hAnsi="Times New Roman" w:eastAsia="黑体" w:cs="Times New Roman"/>
          <w:color w:val="auto"/>
          <w:position w:val="3"/>
          <w:sz w:val="32"/>
          <w:szCs w:val="32"/>
          <w:highlight w:val="none"/>
          <w:u w:val="none"/>
          <w:lang w:eastAsia="zh-CN"/>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2025年壤塘县两新党组织工作经费项目预算安排科学、管理规范、执行高效、使用合规，全年预算</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en-US" w:eastAsia="zh-CN"/>
        </w:rPr>
        <w:t>元，实际支付</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en-US" w:eastAsia="zh-CN"/>
        </w:rPr>
        <w:t>元，预算执行率100%。项目全面完成年度绩效目标，有效保障两新党组织正常运行，提升党员教育管理质量，增强基层党组织凝聚力，资金使用效益良好。经自评，项目综合得分</w:t>
      </w:r>
      <w:r>
        <w:rPr>
          <w:rFonts w:hint="eastAsia" w:ascii="Times New Roman" w:hAnsi="Times New Roman" w:eastAsia="仿宋_GB2312" w:cs="Times New Roman"/>
          <w:w w:val="95"/>
          <w:kern w:val="0"/>
          <w:sz w:val="32"/>
          <w:szCs w:val="32"/>
          <w:lang w:val="en-US" w:eastAsia="zh-CN"/>
        </w:rPr>
        <w:t>9</w:t>
      </w:r>
      <w:r>
        <w:rPr>
          <w:rFonts w:hint="eastAsia" w:eastAsia="仿宋_GB2312" w:cs="Times New Roman"/>
          <w:w w:val="95"/>
          <w:kern w:val="0"/>
          <w:sz w:val="32"/>
          <w:szCs w:val="32"/>
          <w:lang w:val="en-US" w:eastAsia="zh-CN"/>
        </w:rPr>
        <w:t>4</w:t>
      </w:r>
      <w:r>
        <w:rPr>
          <w:rFonts w:hint="default" w:ascii="Times New Roman" w:hAnsi="Times New Roman" w:eastAsia="仿宋_GB2312" w:cs="Times New Roman"/>
          <w:w w:val="95"/>
          <w:kern w:val="0"/>
          <w:sz w:val="32"/>
          <w:szCs w:val="32"/>
          <w:lang w:val="en-US" w:eastAsia="zh-CN"/>
        </w:rPr>
        <w:t>分，评价等级为优秀</w:t>
      </w:r>
      <w:r>
        <w:rPr>
          <w:rFonts w:hint="eastAsia" w:eastAsia="仿宋_GB2312" w:cs="Times New Roman"/>
          <w:w w:val="95"/>
          <w:kern w:val="0"/>
          <w:sz w:val="32"/>
          <w:szCs w:val="32"/>
          <w:lang w:val="en-US" w:eastAsia="zh-CN"/>
        </w:rPr>
        <w:t>。</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eastAsia="zh-CN"/>
        </w:rPr>
      </w:pPr>
      <w:r>
        <w:rPr>
          <w:rFonts w:hint="default" w:ascii="Times New Roman" w:hAnsi="Times New Roman" w:eastAsia="黑体" w:cs="Times New Roman"/>
          <w:color w:val="auto"/>
          <w:position w:val="3"/>
          <w:sz w:val="32"/>
          <w:szCs w:val="32"/>
          <w:highlight w:val="none"/>
          <w:u w:val="none"/>
          <w:lang w:eastAsia="zh-CN"/>
        </w:rPr>
        <w:t>五、存在主要问题</w:t>
      </w:r>
    </w:p>
    <w:p>
      <w:pPr>
        <w:pStyle w:val="5"/>
        <w:pageBreakBefore w:val="0"/>
        <w:numPr>
          <w:ilvl w:val="0"/>
          <w:numId w:val="0"/>
        </w:numPr>
        <w:tabs>
          <w:tab w:val="left" w:pos="2160"/>
        </w:tabs>
        <w:kinsoku/>
        <w:wordWrap/>
        <w:overflowPunct/>
        <w:topLinePunct w:val="0"/>
        <w:autoSpaceDE/>
        <w:autoSpaceDN/>
        <w:bidi w:val="0"/>
        <w:adjustRightInd/>
        <w:spacing w:line="600" w:lineRule="exact"/>
        <w:ind w:firstLine="608" w:firstLineChars="200"/>
        <w:textAlignment w:val="auto"/>
        <w:rPr>
          <w:rFonts w:hint="default" w:ascii="Times New Roman" w:hAnsi="Times New Roman" w:eastAsia="仿宋_GB2312" w:cs="Times New Roman"/>
          <w:w w:val="95"/>
          <w:kern w:val="0"/>
          <w:sz w:val="32"/>
          <w:szCs w:val="32"/>
          <w:lang w:val="en-US" w:eastAsia="zh-CN" w:bidi="ar-SA"/>
        </w:rPr>
      </w:pPr>
      <w:r>
        <w:rPr>
          <w:rFonts w:hint="default" w:ascii="Times New Roman" w:hAnsi="Times New Roman" w:eastAsia="仿宋_GB2312" w:cs="Times New Roman"/>
          <w:w w:val="95"/>
          <w:kern w:val="0"/>
          <w:sz w:val="32"/>
          <w:szCs w:val="32"/>
          <w:lang w:val="en-US" w:eastAsia="zh-CN" w:bidi="ar-SA"/>
        </w:rPr>
        <w:t>党建活动形式创新不足，吸引力与覆盖面有待提升。</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val="zh-CN" w:eastAsia="zh-CN"/>
        </w:rPr>
      </w:pPr>
      <w:r>
        <w:rPr>
          <w:rFonts w:hint="default" w:ascii="Times New Roman" w:hAnsi="Times New Roman" w:eastAsia="黑体" w:cs="Times New Roman"/>
          <w:color w:val="auto"/>
          <w:position w:val="3"/>
          <w:sz w:val="32"/>
          <w:szCs w:val="32"/>
          <w:highlight w:val="none"/>
          <w:u w:val="none"/>
          <w:lang w:val="zh-CN" w:eastAsia="zh-CN"/>
        </w:rPr>
        <w:t>六、改进建议</w:t>
      </w:r>
    </w:p>
    <w:p>
      <w:pPr>
        <w:tabs>
          <w:tab w:val="left" w:pos="1911"/>
        </w:tabs>
        <w:jc w:val="left"/>
        <w:rPr>
          <w:rFonts w:hint="default" w:ascii="Times New Roman" w:hAnsi="Times New Roman" w:eastAsia="仿宋_GB2312" w:cs="Times New Roman"/>
          <w:w w:val="95"/>
          <w:kern w:val="0"/>
          <w:sz w:val="32"/>
          <w:szCs w:val="32"/>
          <w:lang w:val="zh-C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r>
        <w:rPr>
          <w:rFonts w:hint="default" w:ascii="Times New Roman" w:hAnsi="Times New Roman" w:eastAsia="仿宋_GB2312" w:cs="Times New Roman"/>
          <w:w w:val="95"/>
          <w:kern w:val="0"/>
          <w:sz w:val="32"/>
          <w:szCs w:val="32"/>
          <w:lang w:val="en-US" w:eastAsia="zh-CN" w:bidi="ar-SA"/>
        </w:rPr>
        <w:t>创新活动载体：结合两新组织特点，丰富主题党日、志愿服务、示范创建等活动形式，提升参与度与实效性。</w:t>
      </w: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9"/>
      <w:bookmarkEnd w:id="73"/>
      <w:bookmarkStart w:id="74"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0"/>
      <w:r>
        <w:rPr>
          <w:rFonts w:hint="eastAsia" w:ascii="Times New Roman" w:hAnsi="Times New Roman" w:eastAsia="仿宋_GB2312" w:cs="仿宋_GB2312"/>
          <w:color w:val="auto"/>
          <w:sz w:val="32"/>
          <w:szCs w:val="32"/>
          <w:highlight w:val="none"/>
        </w:rPr>
        <w:t>二、收入决算表</w:t>
      </w:r>
      <w:bookmarkEnd w:id="7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1"/>
      <w:r>
        <w:rPr>
          <w:rFonts w:hint="eastAsia" w:ascii="Times New Roman" w:hAnsi="Times New Roman" w:eastAsia="仿宋_GB2312" w:cs="仿宋_GB2312"/>
          <w:color w:val="auto"/>
          <w:sz w:val="32"/>
          <w:szCs w:val="32"/>
          <w:highlight w:val="none"/>
        </w:rPr>
        <w:t>三、支出决算表</w:t>
      </w:r>
      <w:bookmarkEnd w:id="7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2"/>
      <w:r>
        <w:rPr>
          <w:rFonts w:hint="eastAsia" w:ascii="Times New Roman" w:hAnsi="Times New Roman" w:eastAsia="仿宋_GB2312" w:cs="仿宋_GB2312"/>
          <w:color w:val="auto"/>
          <w:sz w:val="32"/>
          <w:szCs w:val="32"/>
          <w:highlight w:val="none"/>
        </w:rPr>
        <w:t>四、财政拨款收入支出决算总表</w:t>
      </w:r>
      <w:bookmarkEnd w:id="7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3"/>
      <w:r>
        <w:rPr>
          <w:rFonts w:hint="eastAsia" w:ascii="Times New Roman" w:hAnsi="Times New Roman" w:eastAsia="仿宋_GB2312" w:cs="仿宋_GB2312"/>
          <w:color w:val="auto"/>
          <w:sz w:val="32"/>
          <w:szCs w:val="32"/>
          <w:highlight w:val="none"/>
        </w:rPr>
        <w:t>五、财政拨款支出决算明细表</w:t>
      </w:r>
      <w:bookmarkEnd w:id="78"/>
      <w:bookmarkStart w:id="79"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5"/>
      <w:r>
        <w:rPr>
          <w:rFonts w:hint="eastAsia" w:ascii="Times New Roman" w:hAnsi="Times New Roman" w:eastAsia="仿宋_GB2312" w:cs="仿宋_GB2312"/>
          <w:color w:val="auto"/>
          <w:sz w:val="32"/>
          <w:szCs w:val="32"/>
          <w:highlight w:val="none"/>
        </w:rPr>
        <w:t>七、一般公共预算财政拨款支出决算明细表</w:t>
      </w:r>
      <w:bookmarkEnd w:id="8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6"/>
      <w:r>
        <w:rPr>
          <w:rFonts w:hint="eastAsia" w:ascii="Times New Roman" w:hAnsi="Times New Roman" w:eastAsia="仿宋_GB2312" w:cs="仿宋_GB2312"/>
          <w:color w:val="auto"/>
          <w:sz w:val="32"/>
          <w:szCs w:val="32"/>
          <w:highlight w:val="none"/>
        </w:rPr>
        <w:t>八、一般公共预算财政拨款基本支出决算表</w:t>
      </w:r>
      <w:bookmarkEnd w:id="8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7"/>
      <w:r>
        <w:rPr>
          <w:rFonts w:hint="eastAsia" w:ascii="Times New Roman" w:hAnsi="Times New Roman" w:eastAsia="仿宋_GB2312" w:cs="仿宋_GB2312"/>
          <w:color w:val="auto"/>
          <w:sz w:val="32"/>
          <w:szCs w:val="32"/>
          <w:highlight w:val="none"/>
        </w:rPr>
        <w:t>九、一般公共预算财政拨款项目支出决算表</w:t>
      </w:r>
      <w:bookmarkEnd w:id="8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8"/>
      <w:r>
        <w:rPr>
          <w:rFonts w:hint="eastAsia" w:ascii="Times New Roman" w:hAnsi="Times New Roman" w:eastAsia="仿宋_GB2312" w:cs="仿宋_GB2312"/>
          <w:color w:val="auto"/>
          <w:sz w:val="32"/>
          <w:szCs w:val="32"/>
          <w:highlight w:val="none"/>
        </w:rPr>
        <w:t>十、</w:t>
      </w:r>
      <w:bookmarkEnd w:id="83"/>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9"/>
      <w:r>
        <w:rPr>
          <w:rFonts w:hint="eastAsia" w:ascii="Times New Roman" w:hAnsi="Times New Roman" w:eastAsia="仿宋_GB2312" w:cs="仿宋_GB2312"/>
          <w:color w:val="auto"/>
          <w:sz w:val="32"/>
          <w:szCs w:val="32"/>
          <w:highlight w:val="none"/>
        </w:rPr>
        <w:t>十一、</w:t>
      </w:r>
      <w:bookmarkEnd w:id="8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30"/>
      <w:r>
        <w:rPr>
          <w:rFonts w:hint="eastAsia" w:ascii="Times New Roman" w:hAnsi="Times New Roman" w:eastAsia="仿宋_GB2312" w:cs="仿宋_GB2312"/>
          <w:color w:val="auto"/>
          <w:sz w:val="32"/>
          <w:szCs w:val="32"/>
          <w:highlight w:val="none"/>
        </w:rPr>
        <w:t>十二、</w:t>
      </w:r>
      <w:bookmarkEnd w:id="85"/>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6" w:name="_Toc15396631"/>
      <w:r>
        <w:rPr>
          <w:rFonts w:hint="eastAsia" w:ascii="Times New Roman" w:hAnsi="Times New Roman" w:eastAsia="仿宋_GB2312" w:cs="仿宋_GB2312"/>
          <w:color w:val="auto"/>
          <w:sz w:val="32"/>
          <w:szCs w:val="32"/>
          <w:highlight w:val="none"/>
        </w:rPr>
        <w:t>十三、</w:t>
      </w:r>
      <w:bookmarkEnd w:id="86"/>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31A83"/>
    <w:multiLevelType w:val="singleLevel"/>
    <w:tmpl w:val="F6F31A83"/>
    <w:lvl w:ilvl="0" w:tentative="0">
      <w:start w:val="1"/>
      <w:numFmt w:val="decimal"/>
      <w:lvlText w:val="%1."/>
      <w:lvlJc w:val="left"/>
      <w:pPr>
        <w:tabs>
          <w:tab w:val="left" w:pos="312"/>
        </w:tabs>
      </w:pPr>
    </w:lvl>
  </w:abstractNum>
  <w:abstractNum w:abstractNumId="1">
    <w:nsid w:val="3818A09A"/>
    <w:multiLevelType w:val="singleLevel"/>
    <w:tmpl w:val="3818A09A"/>
    <w:lvl w:ilvl="0" w:tentative="0">
      <w:start w:val="1"/>
      <w:numFmt w:val="chineseCounting"/>
      <w:suff w:val="nothing"/>
      <w:lvlText w:val="%1、"/>
      <w:lvlJc w:val="left"/>
      <w:rPr>
        <w:rFonts w:hint="eastAsia"/>
      </w:rPr>
    </w:lvl>
  </w:abstractNum>
  <w:abstractNum w:abstractNumId="2">
    <w:nsid w:val="55C65A90"/>
    <w:multiLevelType w:val="singleLevel"/>
    <w:tmpl w:val="55C65A90"/>
    <w:lvl w:ilvl="0" w:tentative="0">
      <w:start w:val="10"/>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B5472E3"/>
    <w:rsid w:val="0C6C4794"/>
    <w:rsid w:val="0C8519AA"/>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D63CE4"/>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2A0A5B"/>
    <w:rsid w:val="44515BEA"/>
    <w:rsid w:val="44E268DA"/>
    <w:rsid w:val="453F7E5B"/>
    <w:rsid w:val="46CB2ADD"/>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C9A34"/>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file:///C:\Users\Administrator\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20&#24037;&#20316;&#34920;.xls"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2.xml"/><Relationship Id="rId1" Type="http://schemas.openxmlformats.org/officeDocument/2006/relationships/oleObject" Target="file:///C:\Users\Administrator\Desktop\&#26032;&#24314;%20XLS%20&#24037;&#20316;&#34920;.xls"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4.xml"/><Relationship Id="rId1" Type="http://schemas.openxmlformats.org/officeDocument/2006/relationships/oleObject" Target="file:///C:\Users\Administrator\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20&#24037;&#20316;&#34920;.xls"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oleObject" Target="file:///C:\Users\Administrator\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工作表.xls]Sheet1'!$A$1:$C$1</c:f>
              <c:strCache>
                <c:ptCount val="3"/>
                <c:pt idx="0">
                  <c:v>年度</c:v>
                </c:pt>
                <c:pt idx="1">
                  <c:v>收入</c:v>
                </c:pt>
                <c:pt idx="2">
                  <c:v>支出</c:v>
                </c:pt>
              </c:strCache>
            </c:strRef>
          </c:cat>
          <c:val>
            <c:numRef>
              <c:f>'[新建 XLS 工作表.xls]Sheet1'!$A$2:$C$2</c:f>
              <c:numCache>
                <c:formatCode>General</c:formatCode>
                <c:ptCount val="3"/>
                <c:pt idx="0">
                  <c:v>2024</c:v>
                </c:pt>
                <c:pt idx="1">
                  <c:v>136.16</c:v>
                </c:pt>
                <c:pt idx="2">
                  <c:v>136.16</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工作表.xls]Sheet1'!$A$1:$C$1</c:f>
              <c:strCache>
                <c:ptCount val="3"/>
                <c:pt idx="0">
                  <c:v>年度</c:v>
                </c:pt>
                <c:pt idx="1">
                  <c:v>收入</c:v>
                </c:pt>
                <c:pt idx="2">
                  <c:v>支出</c:v>
                </c:pt>
              </c:strCache>
            </c:strRef>
          </c:cat>
          <c:val>
            <c:numRef>
              <c:f>'[新建 XLS 工作表.xls]Sheet1'!$A$3:$C$3</c:f>
              <c:numCache>
                <c:formatCode>General</c:formatCode>
                <c:ptCount val="3"/>
                <c:pt idx="0">
                  <c:v>2025</c:v>
                </c:pt>
                <c:pt idx="1">
                  <c:v>337.21</c:v>
                </c:pt>
                <c:pt idx="2">
                  <c:v>335.11</c:v>
                </c:pt>
              </c:numCache>
            </c:numRef>
          </c:val>
        </c:ser>
        <c:dLbls>
          <c:showLegendKey val="0"/>
          <c:showVal val="1"/>
          <c:showCatName val="0"/>
          <c:showSerName val="0"/>
          <c:showPercent val="0"/>
          <c:showBubbleSize val="0"/>
        </c:dLbls>
        <c:gapWidth val="216"/>
        <c:overlap val="-32"/>
        <c:axId val="661930842"/>
        <c:axId val="550566638"/>
      </c:barChart>
      <c:catAx>
        <c:axId val="66193084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50566638"/>
        <c:crosses val="autoZero"/>
        <c:auto val="1"/>
        <c:lblAlgn val="ctr"/>
        <c:lblOffset val="100"/>
        <c:noMultiLvlLbl val="0"/>
      </c:catAx>
      <c:valAx>
        <c:axId val="550566638"/>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61930842"/>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'[新建 XLS 工作表.xls]Sheet1'!$E$1:$E$2</c:f>
              <c:strCache>
                <c:ptCount val="2"/>
                <c:pt idx="0">
                  <c:v>一般公共预算财政拨款收入</c:v>
                </c:pt>
                <c:pt idx="1">
                  <c:v>其他收入</c:v>
                </c:pt>
              </c:strCache>
            </c:strRef>
          </c:cat>
          <c:val>
            <c:numRef>
              <c:f>'[新建 XLS 工作表.xls]Sheet1'!$F$1:$F$2</c:f>
              <c:numCache>
                <c:formatCode>General</c:formatCode>
                <c:ptCount val="2"/>
                <c:pt idx="0">
                  <c:v>335.11</c:v>
                </c:pt>
                <c:pt idx="1">
                  <c:v>2.1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'[新建 XLS 工作表.xls]Sheet1'!$H$1:$H$2</c:f>
              <c:strCache>
                <c:ptCount val="2"/>
                <c:pt idx="0">
                  <c:v>基本支出</c:v>
                </c:pt>
                <c:pt idx="1">
                  <c:v>项目支出</c:v>
                </c:pt>
              </c:strCache>
            </c:strRef>
          </c:cat>
          <c:val>
            <c:numRef>
              <c:f>'[新建 XLS 工作表.xls]Sheet1'!$I$1:$I$2</c:f>
              <c:numCache>
                <c:formatCode>General</c:formatCode>
                <c:ptCount val="2"/>
                <c:pt idx="0">
                  <c:v>313.67</c:v>
                </c:pt>
                <c:pt idx="1">
                  <c:v>21.44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一般公共预算财政拨款收入</c:v>
                </c:pt>
                <c:pt idx="2">
                  <c:v>一般公共预算财政拨款支出</c:v>
                </c:pt>
              </c:strCache>
            </c:strRef>
          </c:cat>
          <c:val>
            <c:numRef>
              <c:f>'[新建 XLS 工作表.xls]Sheet1'!$A$11:$C$11</c:f>
              <c:numCache>
                <c:formatCode>General</c:formatCode>
                <c:ptCount val="3"/>
                <c:pt idx="0">
                  <c:v>2024</c:v>
                </c:pt>
                <c:pt idx="1">
                  <c:v>136.16</c:v>
                </c:pt>
                <c:pt idx="2">
                  <c:v>136.16</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一般公共预算财政拨款收入</c:v>
                </c:pt>
                <c:pt idx="2">
                  <c:v>一般公共预算财政拨款支出</c:v>
                </c:pt>
              </c:strCache>
            </c:strRef>
          </c:cat>
          <c:val>
            <c:numRef>
              <c:f>'[新建 XLS 工作表.xls]Sheet1'!$A$12:$C$12</c:f>
              <c:numCache>
                <c:formatCode>General</c:formatCode>
                <c:ptCount val="3"/>
                <c:pt idx="0">
                  <c:v>2025</c:v>
                </c:pt>
                <c:pt idx="1">
                  <c:v>335.11</c:v>
                </c:pt>
                <c:pt idx="2">
                  <c:v>335.11</c:v>
                </c:pt>
              </c:numCache>
            </c:numRef>
          </c:val>
        </c:ser>
        <c:dLbls>
          <c:showLegendKey val="0"/>
          <c:showVal val="1"/>
          <c:showCatName val="0"/>
          <c:showSerName val="0"/>
          <c:showPercent val="0"/>
          <c:showBubbleSize val="0"/>
        </c:dLbls>
        <c:gapWidth val="216"/>
        <c:overlap val="-32"/>
        <c:axId val="49704417"/>
        <c:axId val="157959325"/>
      </c:barChart>
      <c:catAx>
        <c:axId val="4970441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57959325"/>
        <c:crosses val="autoZero"/>
        <c:auto val="1"/>
        <c:lblAlgn val="ctr"/>
        <c:lblOffset val="100"/>
        <c:noMultiLvlLbl val="0"/>
      </c:catAx>
      <c:valAx>
        <c:axId val="157959325"/>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9704417"/>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一般公共预算财政拨款支出</c:v>
                </c:pt>
                <c:pt idx="2">
                  <c:v>一般公共预算财政拨款支出</c:v>
                </c:pt>
              </c:strCache>
            </c:strRef>
          </c:cat>
          <c:val>
            <c:numRef>
              <c:f>'[新建 XLS 工作表.xls]Sheet1'!$A$11:$C$11</c:f>
              <c:numCache>
                <c:formatCode>General</c:formatCode>
                <c:ptCount val="3"/>
                <c:pt idx="0">
                  <c:v>2024</c:v>
                </c:pt>
                <c:pt idx="1">
                  <c:v>136.16</c:v>
                </c:pt>
                <c:pt idx="2">
                  <c:v>136.16</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一般公共预算财政拨款支出</c:v>
                </c:pt>
                <c:pt idx="2">
                  <c:v>一般公共预算财政拨款支出</c:v>
                </c:pt>
              </c:strCache>
            </c:strRef>
          </c:cat>
          <c:val>
            <c:numRef>
              <c:f>'[新建 XLS 工作表.xls]Sheet1'!$A$12:$C$12</c:f>
              <c:numCache>
                <c:formatCode>General</c:formatCode>
                <c:ptCount val="3"/>
                <c:pt idx="0">
                  <c:v>2025</c:v>
                </c:pt>
                <c:pt idx="1">
                  <c:v>335.11</c:v>
                </c:pt>
                <c:pt idx="2">
                  <c:v>335.11</c:v>
                </c:pt>
              </c:numCache>
            </c:numRef>
          </c:val>
        </c:ser>
        <c:dLbls>
          <c:showLegendKey val="0"/>
          <c:showVal val="1"/>
          <c:showCatName val="0"/>
          <c:showSerName val="0"/>
          <c:showPercent val="0"/>
          <c:showBubbleSize val="0"/>
        </c:dLbls>
        <c:gapWidth val="216"/>
        <c:overlap val="-32"/>
        <c:axId val="923554898"/>
        <c:axId val="457987293"/>
      </c:barChart>
      <c:catAx>
        <c:axId val="92355489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57987293"/>
        <c:crosses val="autoZero"/>
        <c:auto val="1"/>
        <c:lblAlgn val="ctr"/>
        <c:lblOffset val="100"/>
        <c:noMultiLvlLbl val="0"/>
      </c:catAx>
      <c:valAx>
        <c:axId val="457987293"/>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23554898"/>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'[新建 XLS 工作表.xls]Sheet1'!$G$10:$G$13</c:f>
              <c:strCache>
                <c:ptCount val="4"/>
                <c:pt idx="0">
                  <c:v>一般公共服务支出</c:v>
                </c:pt>
                <c:pt idx="1">
                  <c:v>社会保障和就业支出</c:v>
                </c:pt>
                <c:pt idx="2">
                  <c:v>卫生健康支出</c:v>
                </c:pt>
                <c:pt idx="3">
                  <c:v>住房保障支出</c:v>
                </c:pt>
              </c:strCache>
            </c:strRef>
          </c:cat>
          <c:val>
            <c:numRef>
              <c:f>'[新建 XLS 工作表.xls]Sheet1'!$H$10:$H$13</c:f>
              <c:numCache>
                <c:formatCode>General</c:formatCode>
                <c:ptCount val="4"/>
                <c:pt idx="0">
                  <c:v>256.08</c:v>
                </c:pt>
                <c:pt idx="1">
                  <c:v>42.38</c:v>
                </c:pt>
                <c:pt idx="2">
                  <c:v>14.56</c:v>
                </c:pt>
                <c:pt idx="3">
                  <c:v>22.09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财政拨款“三公”经费支出结构</a:t>
            </a:r>
          </a:p>
        </c:rich>
      </c:tx>
      <c:layout/>
      <c:overlay val="0"/>
      <c:spPr>
        <a:noFill/>
        <a:ln>
          <a:noFill/>
        </a:ln>
        <a:effectLst/>
      </c:spPr>
    </c:title>
    <c:autoTitleDeleted val="0"/>
    <c:plotArea>
      <c:layout/>
      <c:pieChart>
        <c:varyColors val="1"/>
        <c:ser>
          <c:idx val="1"/>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工作表.xls]Sheet1'!$A$16:$A$18</c:f>
              <c:strCache>
                <c:ptCount val="3"/>
                <c:pt idx="0">
                  <c:v>因公出国（境）费支出</c:v>
                </c:pt>
                <c:pt idx="1">
                  <c:v>公务用车购置及运行维护费支出</c:v>
                </c:pt>
                <c:pt idx="2">
                  <c:v>公务接待费支出</c:v>
                </c:pt>
              </c:strCache>
            </c:strRef>
          </c:cat>
          <c:val>
            <c:numRef>
              <c:f>'[新建 XLS 工作表.xls]Sheet1'!$B$16:$B$18</c:f>
              <c:numCache>
                <c:formatCode>General</c:formatCode>
                <c:ptCount val="3"/>
                <c:pt idx="0">
                  <c:v>0</c:v>
                </c:pt>
                <c:pt idx="1">
                  <c:v>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7420</Words>
  <Characters>7954</Characters>
  <Lines>61</Lines>
  <Paragraphs>17</Paragraphs>
  <TotalTime>6</TotalTime>
  <ScaleCrop>false</ScaleCrop>
  <LinksUpToDate>false</LinksUpToDate>
  <CharactersWithSpaces>8028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2026-10-15T11:21:00Z</cp:lastPrinted>
  <dcterms:modified xsi:type="dcterms:W3CDTF">2026-10-19T15:12:45Z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26A0C3790F6A49CE94D10EE8EA804504_13</vt:lpwstr>
  </property>
  <property fmtid="{D5CDD505-2E9C-101B-9397-08002B2CF9AE}" pid="4" name="KSOTemplateDocerSaveRecord">
    <vt:lpwstr>eyJoZGlkIjoiMzA5MWRjNTE1NWJiZjI2ZTAyNGYzMjM4MzU4MWJmOGYiLCJ1c2VySWQiOiI0MzEwNDY0NjUifQ==</vt:lpwstr>
  </property>
</Properties>
</file>