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6345D"/>
    <w:p w14:paraId="7EB55E66"/>
    <w:p w14:paraId="0E53DF47"/>
    <w:p w14:paraId="22A35050">
      <w:pPr>
        <w:ind w:firstLine="1050" w:firstLineChars="500"/>
      </w:pPr>
    </w:p>
    <w:p w14:paraId="68A254DA">
      <w:pPr>
        <w:ind w:firstLine="1050" w:firstLineChars="500"/>
      </w:pPr>
    </w:p>
    <w:p w14:paraId="58F01F95">
      <w:pPr>
        <w:ind w:firstLine="1760" w:firstLineChars="400"/>
        <w:rPr>
          <w:rFonts w:ascii="黑体" w:eastAsia="黑体"/>
          <w:sz w:val="44"/>
          <w:szCs w:val="44"/>
        </w:rPr>
      </w:pPr>
    </w:p>
    <w:p w14:paraId="1AF5EB75">
      <w:pPr>
        <w:ind w:firstLine="1760" w:firstLineChars="400"/>
        <w:rPr>
          <w:rFonts w:ascii="黑体" w:eastAsia="黑体"/>
          <w:sz w:val="44"/>
          <w:szCs w:val="44"/>
        </w:rPr>
      </w:pPr>
    </w:p>
    <w:p w14:paraId="0FA8CE6F">
      <w:pPr>
        <w:jc w:val="center"/>
        <w:rPr>
          <w:rFonts w:hint="eastAsia" w:ascii="黑体" w:eastAsia="黑体"/>
          <w:sz w:val="44"/>
          <w:szCs w:val="44"/>
          <w:lang w:eastAsia="zh-CN"/>
        </w:rPr>
      </w:pPr>
      <w:r>
        <w:rPr>
          <w:rFonts w:hint="eastAsia" w:ascii="黑体" w:eastAsia="黑体"/>
          <w:sz w:val="44"/>
          <w:szCs w:val="44"/>
          <w:lang w:eastAsia="zh-CN"/>
        </w:rPr>
        <w:t>中共壤塘县委社会工作部</w:t>
      </w:r>
    </w:p>
    <w:p w14:paraId="262BF2E9">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449A43F7">
      <w:pPr>
        <w:ind w:firstLine="1760" w:firstLineChars="400"/>
        <w:rPr>
          <w:rFonts w:ascii="黑体" w:eastAsia="黑体"/>
          <w:sz w:val="44"/>
          <w:szCs w:val="44"/>
        </w:rPr>
      </w:pPr>
    </w:p>
    <w:p w14:paraId="3F950BA1">
      <w:pPr>
        <w:ind w:firstLine="1760" w:firstLineChars="400"/>
        <w:rPr>
          <w:rFonts w:ascii="黑体" w:eastAsia="黑体"/>
          <w:sz w:val="44"/>
          <w:szCs w:val="44"/>
        </w:rPr>
      </w:pPr>
    </w:p>
    <w:p w14:paraId="0B83F0DF">
      <w:pPr>
        <w:ind w:firstLine="1760" w:firstLineChars="400"/>
        <w:rPr>
          <w:rFonts w:ascii="黑体" w:eastAsia="黑体"/>
          <w:sz w:val="44"/>
          <w:szCs w:val="44"/>
        </w:rPr>
      </w:pPr>
    </w:p>
    <w:p w14:paraId="7EBE34C4">
      <w:pPr>
        <w:ind w:firstLine="1760" w:firstLineChars="400"/>
        <w:rPr>
          <w:rFonts w:ascii="黑体" w:eastAsia="黑体"/>
          <w:sz w:val="44"/>
          <w:szCs w:val="44"/>
        </w:rPr>
      </w:pPr>
    </w:p>
    <w:p w14:paraId="6F14FCB1">
      <w:pPr>
        <w:ind w:firstLine="1760" w:firstLineChars="400"/>
        <w:rPr>
          <w:rFonts w:ascii="黑体" w:eastAsia="黑体"/>
          <w:sz w:val="44"/>
          <w:szCs w:val="44"/>
        </w:rPr>
      </w:pPr>
    </w:p>
    <w:p w14:paraId="30E664F2">
      <w:pPr>
        <w:ind w:firstLine="1760" w:firstLineChars="400"/>
        <w:rPr>
          <w:rFonts w:ascii="黑体" w:eastAsia="黑体"/>
          <w:sz w:val="44"/>
          <w:szCs w:val="44"/>
        </w:rPr>
      </w:pPr>
    </w:p>
    <w:p w14:paraId="6EA07034">
      <w:pPr>
        <w:ind w:firstLine="1760" w:firstLineChars="400"/>
        <w:rPr>
          <w:rFonts w:ascii="黑体" w:eastAsia="黑体"/>
          <w:sz w:val="44"/>
          <w:szCs w:val="44"/>
        </w:rPr>
      </w:pPr>
    </w:p>
    <w:p w14:paraId="7BBB566B">
      <w:pPr>
        <w:ind w:firstLine="1760" w:firstLineChars="400"/>
        <w:rPr>
          <w:rFonts w:ascii="黑体" w:eastAsia="黑体"/>
          <w:sz w:val="44"/>
          <w:szCs w:val="44"/>
        </w:rPr>
      </w:pPr>
    </w:p>
    <w:p w14:paraId="6A19FB5B">
      <w:pPr>
        <w:ind w:firstLine="1760" w:firstLineChars="400"/>
        <w:rPr>
          <w:rFonts w:ascii="黑体" w:eastAsia="黑体"/>
          <w:sz w:val="44"/>
          <w:szCs w:val="44"/>
        </w:rPr>
      </w:pPr>
    </w:p>
    <w:p w14:paraId="64B50C37">
      <w:pPr>
        <w:ind w:firstLine="1760" w:firstLineChars="400"/>
        <w:rPr>
          <w:rFonts w:ascii="黑体" w:eastAsia="黑体"/>
          <w:sz w:val="44"/>
          <w:szCs w:val="44"/>
        </w:rPr>
      </w:pPr>
    </w:p>
    <w:p w14:paraId="417B5BA3">
      <w:pPr>
        <w:ind w:firstLine="1760" w:firstLineChars="400"/>
        <w:rPr>
          <w:rFonts w:ascii="黑体" w:eastAsia="黑体"/>
          <w:sz w:val="44"/>
          <w:szCs w:val="44"/>
        </w:rPr>
      </w:pPr>
    </w:p>
    <w:p w14:paraId="4CB186C7">
      <w:pPr>
        <w:ind w:firstLine="1760" w:firstLineChars="400"/>
        <w:rPr>
          <w:rFonts w:ascii="黑体" w:eastAsia="黑体"/>
          <w:sz w:val="44"/>
          <w:szCs w:val="44"/>
        </w:rPr>
      </w:pPr>
    </w:p>
    <w:p w14:paraId="4CFFFEC8">
      <w:pPr>
        <w:ind w:firstLine="1760" w:firstLineChars="400"/>
        <w:rPr>
          <w:rFonts w:ascii="黑体" w:eastAsia="黑体"/>
          <w:sz w:val="44"/>
          <w:szCs w:val="44"/>
        </w:rPr>
      </w:pPr>
    </w:p>
    <w:p w14:paraId="68ABA60D">
      <w:pPr>
        <w:ind w:firstLine="1760" w:firstLineChars="400"/>
        <w:rPr>
          <w:rFonts w:ascii="黑体" w:eastAsia="黑体"/>
          <w:sz w:val="44"/>
          <w:szCs w:val="44"/>
        </w:rPr>
      </w:pPr>
    </w:p>
    <w:p w14:paraId="16924B56">
      <w:pPr>
        <w:jc w:val="center"/>
        <w:rPr>
          <w:rFonts w:hint="default" w:ascii="黑体" w:eastAsia="黑体"/>
          <w:sz w:val="44"/>
          <w:szCs w:val="44"/>
          <w:lang w:val="en-US" w:eastAsia="zh-CN"/>
        </w:rPr>
      </w:pPr>
      <w:r>
        <w:rPr>
          <w:rFonts w:hint="eastAsia" w:ascii="黑体" w:eastAsia="黑体"/>
          <w:sz w:val="44"/>
          <w:szCs w:val="44"/>
          <w:lang w:val="en-US" w:eastAsia="zh-CN"/>
        </w:rPr>
        <w:t>2025年3月6日</w:t>
      </w:r>
    </w:p>
    <w:p w14:paraId="1A24FD08">
      <w:pPr>
        <w:ind w:firstLine="3120" w:firstLineChars="600"/>
        <w:rPr>
          <w:rFonts w:ascii="黑体" w:eastAsia="黑体"/>
          <w:sz w:val="52"/>
          <w:szCs w:val="52"/>
        </w:rPr>
      </w:pPr>
      <w:r>
        <w:rPr>
          <w:rFonts w:hint="eastAsia" w:ascii="黑体" w:eastAsia="黑体"/>
          <w:sz w:val="52"/>
          <w:szCs w:val="52"/>
        </w:rPr>
        <w:t>目录</w:t>
      </w:r>
    </w:p>
    <w:p w14:paraId="1303555C">
      <w:pPr>
        <w:ind w:firstLine="3080" w:firstLineChars="700"/>
        <w:rPr>
          <w:rFonts w:ascii="黑体" w:eastAsia="黑体"/>
          <w:sz w:val="44"/>
          <w:szCs w:val="44"/>
        </w:rPr>
      </w:pPr>
    </w:p>
    <w:p w14:paraId="5A0AAEE9">
      <w:pPr>
        <w:pStyle w:val="13"/>
        <w:ind w:firstLine="0" w:firstLineChars="0"/>
        <w:rPr>
          <w:rFonts w:ascii="黑体" w:eastAsia="黑体"/>
          <w:sz w:val="32"/>
          <w:szCs w:val="32"/>
        </w:rPr>
      </w:pPr>
      <w:r>
        <w:rPr>
          <w:rFonts w:hint="eastAsia" w:ascii="黑体" w:eastAsia="黑体"/>
          <w:sz w:val="32"/>
          <w:szCs w:val="32"/>
        </w:rPr>
        <w:t>一、基本职能及主要工作</w:t>
      </w:r>
    </w:p>
    <w:p w14:paraId="4BEC59A5">
      <w:pPr>
        <w:rPr>
          <w:rFonts w:ascii="楷体" w:eastAsia="楷体"/>
          <w:sz w:val="32"/>
          <w:szCs w:val="32"/>
        </w:rPr>
      </w:pPr>
      <w:r>
        <w:rPr>
          <w:rFonts w:hint="eastAsia" w:ascii="楷体" w:eastAsia="楷体"/>
          <w:sz w:val="32"/>
          <w:szCs w:val="32"/>
        </w:rPr>
        <w:t>（一）部门职能简介</w:t>
      </w:r>
    </w:p>
    <w:p w14:paraId="67EBA675">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06B6A23D">
      <w:pPr>
        <w:rPr>
          <w:rFonts w:ascii="黑体" w:eastAsia="黑体"/>
          <w:sz w:val="32"/>
          <w:szCs w:val="32"/>
        </w:rPr>
      </w:pPr>
      <w:r>
        <w:rPr>
          <w:rFonts w:hint="eastAsia" w:ascii="黑体" w:eastAsia="黑体"/>
          <w:sz w:val="32"/>
          <w:szCs w:val="32"/>
        </w:rPr>
        <w:t>二、部门预算单位构成</w:t>
      </w:r>
    </w:p>
    <w:p w14:paraId="5DE0B557">
      <w:pPr>
        <w:rPr>
          <w:rFonts w:ascii="黑体" w:eastAsia="黑体"/>
          <w:sz w:val="32"/>
          <w:szCs w:val="32"/>
        </w:rPr>
      </w:pPr>
      <w:r>
        <w:rPr>
          <w:rFonts w:hint="eastAsia" w:ascii="黑体" w:eastAsia="黑体"/>
          <w:sz w:val="32"/>
          <w:szCs w:val="32"/>
        </w:rPr>
        <w:t>三、收支预算情况说明</w:t>
      </w:r>
    </w:p>
    <w:p w14:paraId="1A1EF503">
      <w:pPr>
        <w:rPr>
          <w:rFonts w:ascii="楷体" w:eastAsia="楷体"/>
          <w:sz w:val="32"/>
          <w:szCs w:val="32"/>
        </w:rPr>
      </w:pPr>
      <w:r>
        <w:rPr>
          <w:rFonts w:hint="eastAsia" w:ascii="楷体" w:eastAsia="楷体"/>
          <w:sz w:val="32"/>
          <w:szCs w:val="32"/>
        </w:rPr>
        <w:t>（一）收入预算情况</w:t>
      </w:r>
    </w:p>
    <w:p w14:paraId="5BC87B57">
      <w:pPr>
        <w:rPr>
          <w:rFonts w:ascii="楷体" w:eastAsia="楷体"/>
          <w:sz w:val="32"/>
          <w:szCs w:val="32"/>
        </w:rPr>
      </w:pPr>
      <w:r>
        <w:rPr>
          <w:rFonts w:hint="eastAsia" w:ascii="楷体" w:eastAsia="楷体"/>
          <w:sz w:val="32"/>
          <w:szCs w:val="32"/>
        </w:rPr>
        <w:t>（二）支出预算情况</w:t>
      </w:r>
    </w:p>
    <w:p w14:paraId="54F643CA">
      <w:pPr>
        <w:rPr>
          <w:rFonts w:ascii="黑体" w:eastAsia="黑体"/>
          <w:sz w:val="32"/>
          <w:szCs w:val="32"/>
        </w:rPr>
      </w:pPr>
      <w:r>
        <w:rPr>
          <w:rFonts w:hint="eastAsia" w:ascii="黑体" w:eastAsia="黑体"/>
          <w:sz w:val="32"/>
          <w:szCs w:val="32"/>
        </w:rPr>
        <w:t>四、财政拨款收支预算情况说明</w:t>
      </w:r>
    </w:p>
    <w:p w14:paraId="137DCFA9">
      <w:pPr>
        <w:rPr>
          <w:rFonts w:ascii="黑体" w:eastAsia="黑体"/>
          <w:sz w:val="32"/>
          <w:szCs w:val="32"/>
        </w:rPr>
      </w:pPr>
      <w:r>
        <w:rPr>
          <w:rFonts w:hint="eastAsia" w:ascii="黑体" w:eastAsia="黑体"/>
          <w:sz w:val="32"/>
          <w:szCs w:val="32"/>
        </w:rPr>
        <w:t>五、一般公共预算当年拨款情况说明</w:t>
      </w:r>
    </w:p>
    <w:p w14:paraId="7115471D">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179B338">
      <w:pPr>
        <w:rPr>
          <w:rFonts w:ascii="黑体" w:eastAsia="黑体"/>
          <w:sz w:val="32"/>
          <w:szCs w:val="32"/>
        </w:rPr>
      </w:pPr>
    </w:p>
    <w:p w14:paraId="1B995623"/>
    <w:p w14:paraId="7EA8040E">
      <w:pPr>
        <w:pStyle w:val="2"/>
      </w:pPr>
    </w:p>
    <w:p w14:paraId="1F83FB47"/>
    <w:p w14:paraId="4F636EFE">
      <w:pPr>
        <w:pStyle w:val="13"/>
        <w:rPr>
          <w:rFonts w:ascii="黑体" w:eastAsia="黑体"/>
          <w:sz w:val="32"/>
          <w:szCs w:val="32"/>
        </w:rPr>
      </w:pPr>
      <w:r>
        <w:rPr>
          <w:rFonts w:hint="eastAsia" w:ascii="黑体" w:eastAsia="黑体"/>
          <w:sz w:val="32"/>
          <w:szCs w:val="32"/>
        </w:rPr>
        <w:t>一、基本职能及主要工作</w:t>
      </w:r>
    </w:p>
    <w:p w14:paraId="7656C6A6">
      <w:pPr>
        <w:ind w:firstLine="640" w:firstLineChars="200"/>
        <w:rPr>
          <w:rFonts w:ascii="楷体" w:eastAsia="楷体"/>
          <w:sz w:val="32"/>
          <w:szCs w:val="32"/>
        </w:rPr>
      </w:pPr>
      <w:r>
        <w:rPr>
          <w:rFonts w:hint="eastAsia" w:ascii="楷体" w:eastAsia="楷体"/>
          <w:sz w:val="32"/>
          <w:szCs w:val="32"/>
        </w:rPr>
        <w:t>（一）部门职能简介</w:t>
      </w:r>
    </w:p>
    <w:p w14:paraId="170F6500">
      <w:pPr>
        <w:snapToGrid w:val="0"/>
        <w:spacing w:line="52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县委社会工作部负责贯彻落实党中央有关方针和省委、州委、县委决策部署，把坚持和加强党中央的集中统一领导落实到履行职责过程中。</w:t>
      </w:r>
      <w:r>
        <w:rPr>
          <w:rFonts w:hint="eastAsia" w:ascii="Times New Roman" w:hAnsi="Times New Roman" w:eastAsia="仿宋_GB2312" w:cs="Times New Roman"/>
          <w:b/>
          <w:bCs/>
          <w:sz w:val="32"/>
          <w:szCs w:val="40"/>
          <w:lang w:val="en-US" w:eastAsia="zh-CN"/>
        </w:rPr>
        <w:t>一是</w:t>
      </w:r>
      <w:r>
        <w:rPr>
          <w:rFonts w:hint="eastAsia" w:ascii="Times New Roman" w:hAnsi="Times New Roman" w:eastAsia="仿宋_GB2312" w:cs="Times New Roman"/>
          <w:sz w:val="32"/>
          <w:szCs w:val="40"/>
          <w:lang w:val="en-US" w:eastAsia="zh-CN"/>
        </w:rPr>
        <w:t>研究相关理论、政策和规划，贯彻落实地方性法规、政策，拟定相关规范性文件并组织实施。深入调查研究，及时向县委办稿工作情况并提出建议。指导各乡（镇）、县级各部门开展相关工作；</w:t>
      </w:r>
      <w:r>
        <w:rPr>
          <w:rFonts w:hint="eastAsia" w:ascii="Times New Roman" w:hAnsi="Times New Roman" w:eastAsia="仿宋_GB2312" w:cs="Times New Roman"/>
          <w:b/>
          <w:bCs/>
          <w:sz w:val="32"/>
          <w:szCs w:val="40"/>
          <w:lang w:val="en-US" w:eastAsia="zh-CN"/>
        </w:rPr>
        <w:t>二是</w:t>
      </w:r>
      <w:r>
        <w:rPr>
          <w:rFonts w:hint="eastAsia" w:ascii="Times New Roman" w:hAnsi="Times New Roman" w:eastAsia="仿宋_GB2312" w:cs="Times New Roman"/>
          <w:sz w:val="32"/>
          <w:szCs w:val="40"/>
          <w:lang w:val="en-US" w:eastAsia="zh-CN"/>
        </w:rPr>
        <w:t>统筹指导全县群众利益协调、诉求表达、矛盾调处、权益保障等人民信访工作，负责征集、办理公民、法人和其他组织提出的意见建议。向县委、县政府及时反映公民、法人和其他组织对党和国家事业发展提出的重要意见建议；</w:t>
      </w:r>
      <w:r>
        <w:rPr>
          <w:rFonts w:hint="eastAsia" w:ascii="Times New Roman" w:hAnsi="Times New Roman" w:eastAsia="仿宋_GB2312" w:cs="Times New Roman"/>
          <w:b/>
          <w:bCs/>
          <w:sz w:val="32"/>
          <w:szCs w:val="40"/>
          <w:lang w:val="en-US" w:eastAsia="zh-CN"/>
        </w:rPr>
        <w:t>三是</w:t>
      </w:r>
      <w:r>
        <w:rPr>
          <w:rFonts w:hint="eastAsia" w:ascii="Times New Roman" w:hAnsi="Times New Roman" w:eastAsia="仿宋_GB2312" w:cs="Times New Roman"/>
          <w:sz w:val="32"/>
          <w:szCs w:val="40"/>
          <w:lang w:val="en-US" w:eastAsia="zh-CN"/>
        </w:rPr>
        <w:t>统筹推进党建引领基层治理和基层政权建设，协调推进城乡社区治理体系、服务体系和治理能力建设，推动基层民主政治建设，指导监督基层群众自治制度的有效实施，健全基层群众自治制度。</w:t>
      </w:r>
      <w:r>
        <w:rPr>
          <w:rFonts w:hint="eastAsia" w:ascii="Times New Roman" w:hAnsi="Times New Roman" w:eastAsia="仿宋_GB2312" w:cs="Times New Roman"/>
          <w:b/>
          <w:bCs/>
          <w:sz w:val="32"/>
          <w:szCs w:val="40"/>
          <w:lang w:val="en-US" w:eastAsia="zh-CN"/>
        </w:rPr>
        <w:t>四是</w:t>
      </w:r>
      <w:r>
        <w:rPr>
          <w:rFonts w:hint="eastAsia" w:ascii="Times New Roman" w:hAnsi="Times New Roman" w:eastAsia="仿宋_GB2312" w:cs="Times New Roman"/>
          <w:sz w:val="32"/>
          <w:szCs w:val="40"/>
          <w:lang w:val="en-US" w:eastAsia="zh-CN"/>
        </w:rPr>
        <w:t>指导全县性社会组织党建工作，统一领导全县性行业协会商会党的工作，承办全县性行业协会商会负责人人选的审核。协调推动全县性行业协会商会深化改革和转型发展。调查研究相关重大问题。</w:t>
      </w:r>
      <w:r>
        <w:rPr>
          <w:rFonts w:hint="eastAsia" w:ascii="Times New Roman" w:hAnsi="Times New Roman" w:eastAsia="仿宋_GB2312" w:cs="Times New Roman"/>
          <w:b/>
          <w:bCs/>
          <w:sz w:val="32"/>
          <w:szCs w:val="40"/>
          <w:lang w:val="en-US" w:eastAsia="zh-CN"/>
        </w:rPr>
        <w:t>五是</w:t>
      </w:r>
      <w:r>
        <w:rPr>
          <w:rFonts w:hint="eastAsia" w:ascii="Times New Roman" w:hAnsi="Times New Roman" w:eastAsia="仿宋_GB2312" w:cs="Times New Roman"/>
          <w:sz w:val="32"/>
          <w:szCs w:val="40"/>
          <w:lang w:val="en-US" w:eastAsia="zh-CN"/>
        </w:rPr>
        <w:t>指导、推动落实全县混合所有制企业、非公有制企业和新经济组织、新社会组织、新就业群体（以下简称“两企三新”）党建工作，指导协调相关企业单位、社会组织、就业群体中党员的教育、管理、监管和服务工作，研究完善相关领域群众利益协调机制。六是负责全县志愿服务工作的统筹规划、协调指导、督促检查、指导推动社会工作人才队伍建设、志愿服务人才队伍建设和阵地建设，以及志愿者服务组织的规范管理工作，协调推动社会工作服务体系和志愿服务体系。</w:t>
      </w:r>
    </w:p>
    <w:p w14:paraId="3A40C7ED">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5F2694E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方正仿宋_GBK" w:cs="Times New Roman"/>
          <w:b w:val="0"/>
          <w:bCs w:val="0"/>
          <w:i w:val="0"/>
          <w:sz w:val="32"/>
          <w:szCs w:val="36"/>
          <w:lang w:val="en-US" w:eastAsia="zh-CN"/>
        </w:rPr>
      </w:pPr>
      <w:r>
        <w:rPr>
          <w:rFonts w:hint="eastAsia" w:ascii="Times New Roman" w:hAnsi="Times New Roman" w:eastAsia="方正楷体_GBK" w:cs="Times New Roman"/>
          <w:b/>
          <w:bCs/>
          <w:sz w:val="32"/>
          <w:szCs w:val="32"/>
          <w:lang w:val="en-US" w:eastAsia="zh-CN"/>
        </w:rPr>
        <w:t>1.</w:t>
      </w:r>
      <w:r>
        <w:rPr>
          <w:rFonts w:hint="eastAsia" w:ascii="方正仿宋_GBK" w:hAnsi="方正仿宋_GBK" w:eastAsia="方正仿宋_GBK" w:cs="方正仿宋_GBK"/>
          <w:b/>
          <w:bCs/>
          <w:i w:val="0"/>
          <w:sz w:val="32"/>
          <w:szCs w:val="36"/>
          <w:lang w:val="en-US" w:eastAsia="zh-CN"/>
        </w:rPr>
        <w:t>聚焦机制体制建设。</w:t>
      </w:r>
      <w:r>
        <w:rPr>
          <w:rFonts w:hint="eastAsia" w:ascii="Times New Roman" w:hAnsi="Times New Roman" w:eastAsia="方正仿宋_GBK" w:cs="Times New Roman"/>
          <w:b w:val="0"/>
          <w:bCs w:val="0"/>
          <w:i w:val="0"/>
          <w:sz w:val="32"/>
          <w:szCs w:val="36"/>
          <w:lang w:val="en-US" w:eastAsia="zh-CN"/>
        </w:rPr>
        <w:t>逐一</w:t>
      </w:r>
      <w:r>
        <w:rPr>
          <w:rFonts w:hint="default" w:ascii="Times New Roman" w:hAnsi="Times New Roman" w:eastAsia="方正仿宋_GBK" w:cs="Times New Roman"/>
          <w:b w:val="0"/>
          <w:bCs w:val="0"/>
          <w:i w:val="0"/>
          <w:sz w:val="32"/>
          <w:szCs w:val="36"/>
          <w:lang w:val="en-US" w:eastAsia="zh-CN"/>
        </w:rPr>
        <w:t>优化完善党建引领基层治理</w:t>
      </w:r>
      <w:r>
        <w:rPr>
          <w:rFonts w:hint="eastAsia" w:ascii="Times New Roman" w:hAnsi="Times New Roman" w:eastAsia="方正仿宋_GBK" w:cs="Times New Roman"/>
          <w:b w:val="0"/>
          <w:bCs w:val="0"/>
          <w:i w:val="0"/>
          <w:sz w:val="32"/>
          <w:szCs w:val="36"/>
          <w:lang w:val="en-US" w:eastAsia="zh-CN"/>
        </w:rPr>
        <w:t>、</w:t>
      </w:r>
      <w:r>
        <w:rPr>
          <w:rFonts w:hint="default" w:ascii="Times New Roman" w:hAnsi="Times New Roman" w:eastAsia="方正仿宋_GBK" w:cs="Times New Roman"/>
          <w:b w:val="0"/>
          <w:bCs w:val="0"/>
          <w:i w:val="0"/>
          <w:sz w:val="32"/>
          <w:szCs w:val="36"/>
          <w:lang w:val="en-US" w:eastAsia="zh-CN"/>
        </w:rPr>
        <w:t>统一领导信访工作</w:t>
      </w:r>
      <w:r>
        <w:rPr>
          <w:rFonts w:hint="eastAsia" w:ascii="Times New Roman" w:hAnsi="Times New Roman" w:eastAsia="方正仿宋_GBK" w:cs="Times New Roman"/>
          <w:b w:val="0"/>
          <w:bCs w:val="0"/>
          <w:i w:val="0"/>
          <w:sz w:val="32"/>
          <w:szCs w:val="36"/>
          <w:lang w:val="en-US" w:eastAsia="zh-CN"/>
        </w:rPr>
        <w:t>、</w:t>
      </w:r>
      <w:r>
        <w:rPr>
          <w:rFonts w:hint="default" w:ascii="Times New Roman" w:hAnsi="Times New Roman" w:eastAsia="方正仿宋_GBK" w:cs="Times New Roman"/>
          <w:b w:val="0"/>
          <w:bCs w:val="0"/>
          <w:i w:val="0"/>
          <w:sz w:val="32"/>
          <w:szCs w:val="36"/>
          <w:lang w:val="en-US" w:eastAsia="zh-CN"/>
        </w:rPr>
        <w:t>全面加强社会新兴领域党建</w:t>
      </w:r>
      <w:r>
        <w:rPr>
          <w:rFonts w:hint="eastAsia" w:ascii="Times New Roman" w:hAnsi="Times New Roman" w:eastAsia="方正仿宋_GBK" w:cs="Times New Roman"/>
          <w:b w:val="0"/>
          <w:bCs w:val="0"/>
          <w:i w:val="0"/>
          <w:sz w:val="32"/>
          <w:szCs w:val="36"/>
          <w:lang w:val="en-US" w:eastAsia="zh-CN"/>
        </w:rPr>
        <w:t>等方面的</w:t>
      </w:r>
      <w:r>
        <w:rPr>
          <w:rFonts w:hint="default" w:ascii="Times New Roman" w:hAnsi="Times New Roman" w:eastAsia="方正仿宋_GBK" w:cs="Times New Roman"/>
          <w:b w:val="0"/>
          <w:bCs w:val="0"/>
          <w:i w:val="0"/>
          <w:sz w:val="32"/>
          <w:szCs w:val="36"/>
          <w:lang w:val="en-US" w:eastAsia="zh-CN"/>
        </w:rPr>
        <w:t>责任体系和运行机制</w:t>
      </w:r>
      <w:r>
        <w:rPr>
          <w:rFonts w:hint="eastAsia" w:ascii="Times New Roman" w:hAnsi="Times New Roman" w:eastAsia="方正仿宋_GBK" w:cs="Times New Roman"/>
          <w:b w:val="0"/>
          <w:bCs w:val="0"/>
          <w:i w:val="0"/>
          <w:sz w:val="32"/>
          <w:szCs w:val="36"/>
          <w:lang w:val="en-US" w:eastAsia="zh-CN"/>
        </w:rPr>
        <w:t>建设</w:t>
      </w:r>
      <w:r>
        <w:rPr>
          <w:rFonts w:hint="default" w:ascii="Times New Roman" w:hAnsi="Times New Roman" w:eastAsia="方正仿宋_GBK" w:cs="Times New Roman"/>
          <w:b w:val="0"/>
          <w:bCs w:val="0"/>
          <w:i w:val="0"/>
          <w:sz w:val="32"/>
          <w:szCs w:val="36"/>
          <w:lang w:val="en-US" w:eastAsia="zh-CN"/>
        </w:rPr>
        <w:t>，</w:t>
      </w:r>
      <w:r>
        <w:rPr>
          <w:rFonts w:hint="eastAsia" w:ascii="Times New Roman" w:hAnsi="Times New Roman" w:eastAsia="方正仿宋_GBK" w:cs="Times New Roman"/>
          <w:b w:val="0"/>
          <w:bCs w:val="0"/>
          <w:i w:val="0"/>
          <w:sz w:val="32"/>
          <w:szCs w:val="36"/>
          <w:lang w:val="en-US" w:eastAsia="zh-CN"/>
        </w:rPr>
        <w:t>建立工作清单，确保工作闭环，</w:t>
      </w:r>
      <w:r>
        <w:rPr>
          <w:rFonts w:hint="default" w:ascii="Times New Roman" w:hAnsi="Times New Roman" w:eastAsia="方正仿宋_GBK" w:cs="Times New Roman"/>
          <w:b w:val="0"/>
          <w:bCs w:val="0"/>
          <w:i w:val="0"/>
          <w:sz w:val="32"/>
          <w:szCs w:val="36"/>
          <w:lang w:val="en-US" w:eastAsia="zh-CN"/>
        </w:rPr>
        <w:t>推动</w:t>
      </w:r>
      <w:r>
        <w:rPr>
          <w:rFonts w:hint="eastAsia" w:ascii="Times New Roman" w:hAnsi="Times New Roman" w:eastAsia="方正仿宋_GBK" w:cs="Times New Roman"/>
          <w:b w:val="0"/>
          <w:bCs w:val="0"/>
          <w:i w:val="0"/>
          <w:sz w:val="32"/>
          <w:szCs w:val="36"/>
          <w:lang w:val="en-US" w:eastAsia="zh-CN"/>
        </w:rPr>
        <w:t>工作有效开展</w:t>
      </w:r>
      <w:r>
        <w:rPr>
          <w:rFonts w:hint="default" w:ascii="Times New Roman" w:hAnsi="Times New Roman" w:eastAsia="方正仿宋_GBK" w:cs="Times New Roman"/>
          <w:b w:val="0"/>
          <w:bCs w:val="0"/>
          <w:i w:val="0"/>
          <w:sz w:val="32"/>
          <w:szCs w:val="36"/>
          <w:lang w:val="en-US" w:eastAsia="zh-CN"/>
        </w:rPr>
        <w:t>。</w:t>
      </w:r>
    </w:p>
    <w:p w14:paraId="2FF63D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方正仿宋_GBK" w:cs="Times New Roman"/>
          <w:b w:val="0"/>
          <w:bCs w:val="0"/>
          <w:i w:val="0"/>
          <w:sz w:val="32"/>
          <w:szCs w:val="36"/>
          <w:lang w:val="en-US" w:eastAsia="zh-CN"/>
        </w:rPr>
      </w:pPr>
      <w:r>
        <w:rPr>
          <w:rFonts w:hint="eastAsia" w:ascii="Times New Roman" w:hAnsi="Times New Roman" w:eastAsia="方正楷体_GBK" w:cs="Times New Roman"/>
          <w:b/>
          <w:bCs/>
          <w:sz w:val="32"/>
          <w:szCs w:val="32"/>
          <w:lang w:val="en-US" w:eastAsia="zh-CN"/>
        </w:rPr>
        <w:t>2.</w:t>
      </w:r>
      <w:r>
        <w:rPr>
          <w:rFonts w:hint="eastAsia" w:ascii="方正仿宋_GBK" w:hAnsi="方正仿宋_GBK" w:eastAsia="方正仿宋_GBK" w:cs="方正仿宋_GBK"/>
          <w:b/>
          <w:bCs/>
          <w:i w:val="0"/>
          <w:sz w:val="32"/>
          <w:szCs w:val="36"/>
          <w:lang w:val="en-US" w:eastAsia="zh-CN"/>
        </w:rPr>
        <w:t>聚焦工作责任落实。</w:t>
      </w:r>
      <w:r>
        <w:rPr>
          <w:rFonts w:hint="default" w:ascii="Times New Roman" w:hAnsi="Times New Roman" w:eastAsia="方正仿宋_GBK" w:cs="Times New Roman"/>
          <w:b w:val="0"/>
          <w:bCs w:val="0"/>
          <w:i w:val="0"/>
          <w:sz w:val="32"/>
          <w:szCs w:val="36"/>
          <w:lang w:val="en-US" w:eastAsia="zh-CN"/>
        </w:rPr>
        <w:t>坚持党对社会工作的全面领导，树牢“一盘棋”理念，</w:t>
      </w:r>
      <w:r>
        <w:rPr>
          <w:rFonts w:hint="eastAsia" w:ascii="Times New Roman" w:hAnsi="Times New Roman" w:eastAsia="方正仿宋_GBK" w:cs="Times New Roman"/>
          <w:b w:val="0"/>
          <w:bCs w:val="0"/>
          <w:i w:val="0"/>
          <w:sz w:val="32"/>
          <w:szCs w:val="36"/>
          <w:lang w:val="en-US" w:eastAsia="zh-CN"/>
        </w:rPr>
        <w:t>把重点工作</w:t>
      </w:r>
      <w:r>
        <w:rPr>
          <w:rFonts w:hint="default" w:ascii="Times New Roman" w:hAnsi="Times New Roman" w:eastAsia="方正仿宋_GBK" w:cs="Times New Roman"/>
          <w:b w:val="0"/>
          <w:bCs w:val="0"/>
          <w:i w:val="0"/>
          <w:sz w:val="32"/>
          <w:szCs w:val="36"/>
          <w:lang w:val="en-US" w:eastAsia="zh-CN"/>
        </w:rPr>
        <w:t>分解责任、落到人头，做到政策清、底数清、责任清、进展清、成效清、问题清。建立</w:t>
      </w:r>
      <w:r>
        <w:rPr>
          <w:rFonts w:hint="eastAsia" w:ascii="Times New Roman" w:hAnsi="Times New Roman" w:eastAsia="方正仿宋_GBK" w:cs="Times New Roman"/>
          <w:b w:val="0"/>
          <w:bCs w:val="0"/>
          <w:i w:val="0"/>
          <w:sz w:val="32"/>
          <w:szCs w:val="36"/>
          <w:lang w:val="en-US" w:eastAsia="zh-CN"/>
        </w:rPr>
        <w:t>好</w:t>
      </w:r>
      <w:r>
        <w:rPr>
          <w:rFonts w:hint="default" w:ascii="Times New Roman" w:hAnsi="Times New Roman" w:eastAsia="方正仿宋_GBK" w:cs="Times New Roman"/>
          <w:b w:val="0"/>
          <w:bCs w:val="0"/>
          <w:i w:val="0"/>
          <w:sz w:val="32"/>
          <w:szCs w:val="36"/>
          <w:lang w:val="en-US" w:eastAsia="zh-CN"/>
        </w:rPr>
        <w:t>“部署—落实—检查—处置”四循环的工作落实闭环，确保事事得落实、件件有结果，推动工作提质晋级。</w:t>
      </w:r>
    </w:p>
    <w:p w14:paraId="74CAA6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方正仿宋_GBK" w:cs="Times New Roman"/>
          <w:b w:val="0"/>
          <w:bCs w:val="0"/>
          <w:i w:val="0"/>
          <w:sz w:val="32"/>
          <w:szCs w:val="32"/>
          <w:lang w:val="en-US" w:eastAsia="zh-CN"/>
        </w:rPr>
      </w:pPr>
      <w:r>
        <w:rPr>
          <w:rFonts w:hint="eastAsia" w:ascii="Times New Roman" w:hAnsi="Times New Roman" w:eastAsia="方正楷体_GBK" w:cs="Times New Roman"/>
          <w:b/>
          <w:bCs/>
          <w:sz w:val="32"/>
          <w:szCs w:val="32"/>
          <w:lang w:val="en-US" w:eastAsia="zh-CN"/>
        </w:rPr>
        <w:t>3.</w:t>
      </w:r>
      <w:r>
        <w:rPr>
          <w:rFonts w:hint="eastAsia" w:ascii="方正仿宋_GBK" w:hAnsi="方正仿宋_GBK" w:eastAsia="方正仿宋_GBK" w:cs="方正仿宋_GBK"/>
          <w:b/>
          <w:bCs/>
          <w:i w:val="0"/>
          <w:sz w:val="32"/>
          <w:szCs w:val="36"/>
          <w:lang w:val="en-US" w:eastAsia="zh-CN"/>
        </w:rPr>
        <w:t>聚焦重点任务完成。</w:t>
      </w:r>
      <w:r>
        <w:rPr>
          <w:rFonts w:hint="eastAsia" w:ascii="Times New Roman" w:hAnsi="Times New Roman" w:eastAsia="方正仿宋_GBK" w:cs="Times New Roman"/>
          <w:b w:val="0"/>
          <w:bCs w:val="0"/>
          <w:i w:val="0"/>
          <w:kern w:val="0"/>
          <w:sz w:val="32"/>
          <w:szCs w:val="36"/>
          <w:lang w:val="en-US" w:eastAsia="zh-CN" w:bidi="ar"/>
        </w:rPr>
        <w:t>全面完成破解基层治理“小马拉大车”突出问题工作，推动“微网实格”实体运行，开展回头看，持续整治活动阵地内外牌子乱挂、标语乱贴、杂物乱堆问题，建立建强社区工作者队伍、志愿者队伍、社会工作人才队伍三支队伍。发挥“两新”工委作用，压实行业党委责任，开展党的工作“两个覆盖”质量提升行动、推动行业党委配备专职党务工作者，加强规上企业、“专精特新”等重点企业党组织的梯度培育，打造“两新”党建工作品牌。争取县委、县政府支持，依托“壤巴拉志愿协会”，加大志愿者招募和注册，坚持志愿服务“六化”建设，构建起我县“1+10+53”</w:t>
      </w:r>
      <w:r>
        <w:rPr>
          <w:rFonts w:hint="eastAsia" w:ascii="Times New Roman" w:hAnsi="Times New Roman" w:eastAsia="方正仿宋_GBK" w:cs="Times New Roman"/>
          <w:b w:val="0"/>
          <w:bCs w:val="0"/>
          <w:i w:val="0"/>
          <w:sz w:val="32"/>
          <w:szCs w:val="32"/>
          <w:lang w:val="en-US" w:eastAsia="zh-CN"/>
        </w:rPr>
        <w:t>的志愿服务体系。建立人民建议征集办理工作体系。</w:t>
      </w:r>
    </w:p>
    <w:p w14:paraId="3D1E3E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ascii="Times New Roman" w:hAnsi="Times New Roman" w:eastAsia="方正仿宋_GBK" w:cs="Times New Roman"/>
          <w:snapToGrid w:val="0"/>
          <w:sz w:val="32"/>
          <w:szCs w:val="32"/>
        </w:rPr>
      </w:pPr>
      <w:r>
        <w:rPr>
          <w:rFonts w:hint="eastAsia" w:ascii="Times New Roman" w:hAnsi="Times New Roman" w:eastAsia="方正楷体_GBK" w:cs="Times New Roman"/>
          <w:b/>
          <w:bCs/>
          <w:sz w:val="32"/>
          <w:szCs w:val="32"/>
          <w:lang w:val="en-US" w:eastAsia="zh-CN"/>
        </w:rPr>
        <w:t>4.</w:t>
      </w:r>
      <w:r>
        <w:rPr>
          <w:rFonts w:hint="eastAsia" w:ascii="方正仿宋_GBK" w:hAnsi="方正仿宋_GBK" w:eastAsia="方正仿宋_GBK" w:cs="方正仿宋_GBK"/>
          <w:b/>
          <w:bCs/>
          <w:i w:val="0"/>
          <w:sz w:val="32"/>
          <w:szCs w:val="36"/>
          <w:lang w:val="en-US" w:eastAsia="zh-CN"/>
        </w:rPr>
        <w:t>聚焦自身建设加强。</w:t>
      </w:r>
      <w:r>
        <w:rPr>
          <w:rFonts w:hint="default" w:ascii="Times New Roman" w:hAnsi="Times New Roman" w:eastAsia="方正仿宋_GBK" w:cs="Times New Roman"/>
          <w:b w:val="0"/>
          <w:bCs w:val="0"/>
          <w:i w:val="0"/>
          <w:kern w:val="0"/>
          <w:sz w:val="32"/>
          <w:szCs w:val="36"/>
          <w:lang w:val="en-US" w:eastAsia="zh-CN" w:bidi="ar"/>
        </w:rPr>
        <w:t>坚决贯彻落实“政治立部、制度建部、学习强部、从严治部、作风兴部”要求，把自身建设摆在突出位置，努力建设忠诚干净担当的党务工作者、政治工作者、群众工作者队伍</w:t>
      </w:r>
      <w:r>
        <w:rPr>
          <w:rFonts w:hint="eastAsia" w:ascii="Times New Roman" w:hAnsi="Times New Roman" w:eastAsia="方正仿宋_GBK" w:cs="Times New Roman"/>
          <w:b w:val="0"/>
          <w:bCs w:val="0"/>
          <w:i w:val="0"/>
          <w:kern w:val="0"/>
          <w:sz w:val="32"/>
          <w:szCs w:val="36"/>
          <w:lang w:val="en-US" w:eastAsia="zh-CN" w:bidi="ar"/>
        </w:rPr>
        <w:t>。</w:t>
      </w:r>
    </w:p>
    <w:p w14:paraId="05F57669">
      <w:pPr>
        <w:pStyle w:val="13"/>
        <w:numPr>
          <w:ilvl w:val="0"/>
          <w:numId w:val="1"/>
        </w:numPr>
        <w:ind w:firstLineChars="0"/>
        <w:rPr>
          <w:rFonts w:ascii="黑体" w:eastAsia="黑体"/>
          <w:sz w:val="32"/>
          <w:szCs w:val="32"/>
        </w:rPr>
      </w:pPr>
      <w:r>
        <w:rPr>
          <w:rFonts w:hint="eastAsia" w:ascii="黑体" w:eastAsia="黑体"/>
          <w:sz w:val="32"/>
          <w:szCs w:val="32"/>
        </w:rPr>
        <w:t>部门预算单位构成</w:t>
      </w:r>
    </w:p>
    <w:p w14:paraId="02EC67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hint="eastAsia" w:ascii="Times New Roman" w:hAnsi="Times New Roman" w:eastAsia="方正仿宋_GBK" w:cs="Times New Roman"/>
          <w:b w:val="0"/>
          <w:bCs w:val="0"/>
          <w:i w:val="0"/>
          <w:kern w:val="0"/>
          <w:sz w:val="32"/>
          <w:szCs w:val="36"/>
          <w:lang w:val="en-US" w:eastAsia="zh-CN" w:bidi="ar"/>
        </w:rPr>
        <w:t>中共壤塘县委社会工作部属于一级预算单位，无下属二级预算单位。</w:t>
      </w:r>
    </w:p>
    <w:p w14:paraId="7C5B051D">
      <w:pPr>
        <w:pStyle w:val="13"/>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4136F5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eastAsia="黑体"/>
          <w:sz w:val="32"/>
          <w:szCs w:val="32"/>
        </w:rPr>
      </w:pPr>
      <w:r>
        <w:rPr>
          <w:rFonts w:hint="eastAsia" w:ascii="Times New Roman" w:hAnsi="Times New Roman" w:eastAsia="方正仿宋_GBK" w:cs="Times New Roman"/>
          <w:b w:val="0"/>
          <w:bCs w:val="0"/>
          <w:i w:val="0"/>
          <w:kern w:val="0"/>
          <w:sz w:val="32"/>
          <w:szCs w:val="36"/>
          <w:lang w:val="en-US" w:eastAsia="zh-CN" w:bidi="ar"/>
        </w:rPr>
        <w:t>按照综合预算的原则，中共壤塘县委社会工作部所有收入和支出均纳入部门预算管理。收入包括：一般公共预算拨款收入231.56万元，事业收入0万元，其他收入0万元，上年结转0万元；支出包括：一般公共服务支出164.50万元，社会保障和就业支出36.10万元，卫生与健康支出12.91万元，住房保障支出18.05万元。</w:t>
      </w:r>
    </w:p>
    <w:p w14:paraId="612FDCB4">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787E0325">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本单位2025年收入预算231.56万元，其中：上年结转0万元，占0%;一般公共预算拨款收入231.56万元，占100%；事业收入0万元，占0%；其他收入0万元，占0%。</w:t>
      </w:r>
    </w:p>
    <w:p w14:paraId="6500C3B6">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7C8E2F8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kern w:val="2"/>
          <w:sz w:val="32"/>
          <w:szCs w:val="32"/>
          <w:lang w:val="en-US" w:eastAsia="zh-CN" w:bidi="ar-SA"/>
        </w:rPr>
        <w:t>本单位2025年支出预算231.56万元，其中：基本支出231.56万元，占</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val="en-US" w:eastAsia="zh-CN"/>
        </w:rPr>
        <w:t>项目支出0万元，</w:t>
      </w:r>
      <w:r>
        <w:rPr>
          <w:rFonts w:hint="eastAsia" w:ascii="仿宋" w:hAnsi="仿宋" w:eastAsia="仿宋" w:cs="仿宋"/>
          <w:sz w:val="30"/>
          <w:szCs w:val="30"/>
        </w:rPr>
        <w:t>占0%。</w:t>
      </w:r>
    </w:p>
    <w:p w14:paraId="62314EAB">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319" w:leftChars="152" w:right="0" w:firstLine="320" w:firstLineChars="100"/>
        <w:jc w:val="both"/>
        <w:textAlignment w:val="auto"/>
        <w:rPr>
          <w:rFonts w:hint="default" w:ascii="仿宋_GB2312" w:hAnsi="仿宋_GB2312"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hAnsi="仿宋_GB2312" w:eastAsia="仿宋_GB2312" w:cs="仿宋_GB2312"/>
          <w:kern w:val="2"/>
          <w:sz w:val="32"/>
          <w:szCs w:val="32"/>
          <w:lang w:val="en-US" w:eastAsia="zh-CN" w:bidi="ar-SA"/>
        </w:rPr>
        <w:t>本单位2025年财政拨款收支总预算231.56万元，比2024年财政拨款收支总预算增加95.4万元，主要原因：我单位于2024年6月挂牌成立，经费预算期为7个月。</w:t>
      </w:r>
    </w:p>
    <w:p w14:paraId="29B0DC3D">
      <w:pPr>
        <w:ind w:left="638" w:leftChars="304" w:firstLine="0" w:firstLineChars="0"/>
        <w:rPr>
          <w:rFonts w:hint="default" w:ascii="仿宋_GB2312" w:eastAsia="仿宋_GB2312"/>
          <w:sz w:val="32"/>
          <w:szCs w:val="32"/>
          <w:lang w:val="en-US"/>
        </w:rPr>
      </w:pPr>
      <w:r>
        <w:rPr>
          <w:rFonts w:hint="eastAsia" w:ascii="仿宋_GB2312" w:hAnsi="仿宋_GB2312" w:eastAsia="仿宋_GB2312" w:cs="仿宋_GB2312"/>
          <w:sz w:val="32"/>
          <w:szCs w:val="32"/>
          <w:lang w:val="en-US" w:eastAsia="zh-CN"/>
        </w:rPr>
        <w:t xml:space="preserve">                    </w:t>
      </w:r>
    </w:p>
    <w:p w14:paraId="78F61612">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收入包括：</w:t>
      </w:r>
      <w:r>
        <w:rPr>
          <w:rFonts w:hint="eastAsia" w:ascii="仿宋_GB2312" w:hAnsi="仿宋_GB2312" w:eastAsia="仿宋_GB2312" w:cs="仿宋_GB2312"/>
          <w:sz w:val="32"/>
          <w:szCs w:val="32"/>
          <w:lang w:val="en-US" w:eastAsia="zh-CN"/>
        </w:rPr>
        <w:t>本年一般公共预算拨款收入231.56万元，上年结转一般公共预算收入0万元，上年结转财政拨款资金0万元。</w:t>
      </w:r>
    </w:p>
    <w:p w14:paraId="0584BC57">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支出包括：</w:t>
      </w:r>
      <w:r>
        <w:rPr>
          <w:rFonts w:hint="eastAsia" w:ascii="Times New Roman" w:hAnsi="Times New Roman" w:eastAsia="方正仿宋_GBK" w:cs="Times New Roman"/>
          <w:b w:val="0"/>
          <w:bCs w:val="0"/>
          <w:i w:val="0"/>
          <w:kern w:val="0"/>
          <w:sz w:val="32"/>
          <w:szCs w:val="36"/>
          <w:lang w:val="en-US" w:eastAsia="zh-CN" w:bidi="ar"/>
        </w:rPr>
        <w:t>一般公共服务支出164.50万元，</w:t>
      </w:r>
      <w:r>
        <w:rPr>
          <w:rFonts w:hint="eastAsia" w:ascii="仿宋_GB2312" w:hAnsi="仿宋_GB2312" w:eastAsia="仿宋_GB2312" w:cs="仿宋_GB2312"/>
          <w:sz w:val="32"/>
          <w:szCs w:val="32"/>
          <w:lang w:val="en-US" w:eastAsia="zh-CN"/>
        </w:rPr>
        <w:t xml:space="preserve">社会保障和就业支出36.10万元，卫生健康支出12.91万元，住房保障支出18.05万元。    </w:t>
      </w:r>
    </w:p>
    <w:p w14:paraId="43A53ECE">
      <w:pPr>
        <w:ind w:firstLine="640" w:firstLineChars="200"/>
        <w:rPr>
          <w:rFonts w:ascii="黑体" w:eastAsia="黑体"/>
          <w:sz w:val="32"/>
          <w:szCs w:val="32"/>
        </w:rPr>
      </w:pP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五、一般公共预算当年拨款情况说明</w:t>
      </w:r>
    </w:p>
    <w:p w14:paraId="3C4B555B">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1B939ECA">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rPr>
          <w:rFonts w:cs="仿宋_GB2312"/>
          <w:kern w:val="2"/>
          <w:sz w:val="32"/>
          <w:szCs w:val="32"/>
        </w:rPr>
      </w:pPr>
      <w:r>
        <w:rPr>
          <w:rFonts w:hint="eastAsia" w:ascii="仿宋_GB2312" w:hAnsi="仿宋_GB2312" w:eastAsia="仿宋_GB2312" w:cs="仿宋_GB2312"/>
          <w:sz w:val="32"/>
          <w:szCs w:val="32"/>
          <w:lang w:val="en-US" w:eastAsia="zh-CN"/>
        </w:rPr>
        <w:t>本单位202</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年一般公共预算当年拨款</w:t>
      </w:r>
      <w:r>
        <w:rPr>
          <w:rFonts w:hint="eastAsia" w:hAnsi="仿宋_GB2312" w:cs="仿宋_GB2312"/>
          <w:sz w:val="32"/>
          <w:szCs w:val="32"/>
          <w:lang w:val="en-US" w:eastAsia="zh-CN"/>
        </w:rPr>
        <w:t>231.56</w:t>
      </w:r>
      <w:r>
        <w:rPr>
          <w:rFonts w:hint="eastAsia" w:ascii="仿宋_GB2312" w:hAnsi="仿宋_GB2312" w:eastAsia="仿宋_GB2312" w:cs="仿宋_GB2312"/>
          <w:sz w:val="32"/>
          <w:szCs w:val="32"/>
          <w:lang w:val="en-US" w:eastAsia="zh-CN"/>
        </w:rPr>
        <w:t>万元，比202</w:t>
      </w: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年预算数增加</w:t>
      </w:r>
      <w:r>
        <w:rPr>
          <w:rFonts w:hint="eastAsia" w:hAnsi="仿宋_GB2312" w:cs="仿宋_GB2312"/>
          <w:sz w:val="32"/>
          <w:szCs w:val="32"/>
          <w:lang w:val="en-US" w:eastAsia="zh-CN"/>
        </w:rPr>
        <w:t>95.4</w:t>
      </w:r>
      <w:r>
        <w:rPr>
          <w:rFonts w:hint="eastAsia" w:ascii="仿宋_GB2312" w:hAnsi="仿宋_GB2312" w:eastAsia="仿宋_GB2312" w:cs="仿宋_GB2312"/>
          <w:sz w:val="32"/>
          <w:szCs w:val="32"/>
          <w:lang w:val="en-US" w:eastAsia="zh-CN"/>
        </w:rPr>
        <w:t>万元，主要原因：我单位于2024年6月挂牌成立，2024年经费预算期为7个月。</w:t>
      </w:r>
    </w:p>
    <w:p w14:paraId="5E1FA724">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eastAsia="楷体" w:cs="宋体"/>
          <w:sz w:val="32"/>
          <w:szCs w:val="32"/>
        </w:rPr>
        <w:t>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ascii="仿宋_GB2312" w:hAnsi="仿宋_GB2312" w:eastAsia="仿宋_GB2312" w:cs="仿宋_GB2312"/>
          <w:sz w:val="32"/>
          <w:szCs w:val="32"/>
          <w:lang w:val="en-US" w:eastAsia="zh-CN"/>
        </w:rPr>
        <w:t>一般公共服务支出164.50万元，占71.04%；社会保障和就业支出36.10万元，占15.59%；卫生健康支出12.91万元，占5.57%；住房保障支出18.05万元，占7.8%。</w:t>
      </w:r>
    </w:p>
    <w:p w14:paraId="0E9599C0">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一般公共预算当年拨款具体使用情况</w:t>
      </w:r>
    </w:p>
    <w:p w14:paraId="6CF4EB8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一般公共服务支出2025年预算164.50万元，主要用</w:t>
      </w:r>
      <w:bookmarkStart w:id="0" w:name="_GoBack"/>
      <w:bookmarkEnd w:id="0"/>
      <w:r>
        <w:rPr>
          <w:rFonts w:hint="eastAsia" w:ascii="仿宋_GB2312" w:hAnsi="仿宋_GB2312" w:eastAsia="仿宋_GB2312" w:cs="仿宋_GB2312"/>
          <w:sz w:val="32"/>
          <w:szCs w:val="32"/>
          <w:lang w:val="en-US" w:eastAsia="zh-CN"/>
        </w:rPr>
        <w:t>于单位职工工资福利支出（基本工资、津补贴、绩效工资等）、日常公用经费支出、工会经费和公务用车运行维护费。</w:t>
      </w:r>
    </w:p>
    <w:p w14:paraId="60BECCF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社会保障和就业2025年预算数为36.10万元，主要用于工资福利支出。</w:t>
      </w:r>
    </w:p>
    <w:p w14:paraId="63A130E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住房保障2025年预算数为18.05万元，主要用于住房公积金支出。</w:t>
      </w:r>
    </w:p>
    <w:p w14:paraId="38A495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lang w:val="en-US" w:eastAsia="zh-CN"/>
        </w:rPr>
      </w:pPr>
      <w:r>
        <w:rPr>
          <w:rFonts w:hint="eastAsia" w:ascii="仿宋_GB2312" w:hAnsi="仿宋_GB2312" w:eastAsia="仿宋_GB2312" w:cs="仿宋_GB2312"/>
          <w:sz w:val="32"/>
          <w:szCs w:val="32"/>
          <w:lang w:val="en-US" w:eastAsia="zh-CN"/>
        </w:rPr>
        <w:t>4.卫生健康2025年预算数为12.91万元，主要用于医疗保险支出。</w:t>
      </w:r>
    </w:p>
    <w:p w14:paraId="19D12BC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六、一般公共预算基本支出情况说明</w:t>
      </w:r>
    </w:p>
    <w:p w14:paraId="61523EB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2025年一般公共预算基本支出231.56万元，其中：人员经费212.56万元，主要包括：基本工资、津贴补贴、奖金、其他社会保障缴费、绩效工资、机关事业单位基本养老保险缴费、职业年金缴费、其他工资福利支出、离休费、奖励金、住房公积金、其他对个人和家庭的补助支出。</w:t>
      </w:r>
    </w:p>
    <w:p w14:paraId="6D24DF2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仿宋_GB2312" w:hAnsi="仿宋_GB2312" w:eastAsia="仿宋_GB2312" w:cs="仿宋_GB2312"/>
          <w:sz w:val="32"/>
          <w:szCs w:val="32"/>
          <w:lang w:val="en-US" w:eastAsia="zh-CN"/>
        </w:rPr>
        <w:t>公用经费19万元，主要包括</w:t>
      </w:r>
      <w:r>
        <w:rPr>
          <w:rFonts w:hint="eastAsia" w:cs="仿宋_GB2312"/>
          <w:kern w:val="2"/>
          <w:sz w:val="32"/>
          <w:szCs w:val="32"/>
        </w:rPr>
        <w:t>：</w:t>
      </w:r>
      <w:r>
        <w:rPr>
          <w:rFonts w:hint="eastAsia" w:ascii="仿宋_GB2312" w:hAnsi="仿宋_GB2312" w:eastAsia="仿宋_GB2312" w:cs="仿宋_GB2312"/>
          <w:sz w:val="32"/>
          <w:szCs w:val="32"/>
          <w:lang w:val="en-US" w:eastAsia="zh-CN"/>
        </w:rPr>
        <w:t>办公费、印刷费、手续费、水费、电费、邮电费、差旅费、维修（护）费、租赁费、会议费、培训费、劳务费、工会经费、福利费、其他交通工具运行维护费、其他商品和服务支出。</w:t>
      </w:r>
      <w:r>
        <w:rPr>
          <w:rFonts w:hint="eastAsia" w:ascii="仿宋_GB2312" w:hAnsi="仿宋_GB2312" w:eastAsia="仿宋_GB2312" w:cs="仿宋_GB2312"/>
          <w:sz w:val="32"/>
          <w:szCs w:val="32"/>
          <w:lang w:val="en-US" w:eastAsia="zh-CN"/>
        </w:rPr>
        <w:br w:type="textWrapping"/>
      </w:r>
      <w:r>
        <w:rPr>
          <w:rFonts w:hint="eastAsia" w:ascii="黑体" w:eastAsia="黑体"/>
          <w:sz w:val="32"/>
          <w:szCs w:val="32"/>
        </w:rPr>
        <w:t xml:space="preserve">    七、“三公”经费财政拨款预算安排情况说明</w:t>
      </w:r>
    </w:p>
    <w:p w14:paraId="0A51E28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本单位2025年“三公”经费财政拨款预算数4万元，其中：因公出国（境）经费0万元，公务接待费0万元，公务用车购置及运行维护费4万元。</w:t>
      </w:r>
    </w:p>
    <w:p w14:paraId="47FB2E2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cs="仿宋_GB2312"/>
          <w:kern w:val="2"/>
          <w:sz w:val="32"/>
          <w:szCs w:val="32"/>
        </w:rPr>
        <w:t>（一）</w:t>
      </w:r>
      <w:r>
        <w:rPr>
          <w:rFonts w:hint="eastAsia" w:ascii="仿宋_GB2312" w:hAnsi="Calibri" w:eastAsia="仿宋_GB2312" w:cs="仿宋_GB2312"/>
          <w:kern w:val="2"/>
          <w:sz w:val="32"/>
          <w:szCs w:val="32"/>
          <w:lang w:val="en-US" w:eastAsia="zh-CN" w:bidi="ar-SA"/>
        </w:rPr>
        <w:t>2025年因公出国（境）经费0万元。</w:t>
      </w:r>
    </w:p>
    <w:p w14:paraId="120D411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（二）2025年公务接待经费0万元。</w:t>
      </w:r>
    </w:p>
    <w:p w14:paraId="51EBA67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（三）2025年公务用车购置及运行维护费4万元。较2024年预算经费增加2.85万元，增长71.25%，主要原因:我单位于2024年6月挂牌成立，经费预算期为7个月。</w:t>
      </w:r>
    </w:p>
    <w:p w14:paraId="04393C12">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黑体" w:eastAsia="黑体"/>
          <w:sz w:val="32"/>
          <w:szCs w:val="32"/>
        </w:rPr>
        <w:t>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6772AA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本单位2025年政府性基金预算拨款安排的支出0万元。</w:t>
      </w:r>
    </w:p>
    <w:p w14:paraId="3442BFC2">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黑体" w:eastAsia="黑体"/>
          <w:sz w:val="32"/>
          <w:szCs w:val="32"/>
        </w:rPr>
        <w:t>其他重要事项的情况说明</w:t>
      </w:r>
    </w:p>
    <w:p w14:paraId="28EB801A">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楷体" w:eastAsia="楷体" w:cs="仿宋_GB2312"/>
          <w:kern w:val="2"/>
          <w:sz w:val="32"/>
          <w:szCs w:val="32"/>
        </w:rPr>
        <w:t>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Calibri" w:eastAsia="仿宋_GB2312" w:cs="仿宋_GB2312"/>
          <w:kern w:val="2"/>
          <w:sz w:val="32"/>
          <w:szCs w:val="32"/>
          <w:lang w:val="en-US" w:eastAsia="zh-CN" w:bidi="ar-SA"/>
        </w:rPr>
        <w:t xml:space="preserve">本单位2025年机关运行经费财政拨款预算为19万元，比2024年预算增加9.1万元，增加47.89%。 </w:t>
      </w:r>
    </w:p>
    <w:p w14:paraId="4A7774CF">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楷体" w:eastAsia="楷体" w:cs="仿宋_GB2312"/>
          <w:kern w:val="2"/>
          <w:sz w:val="32"/>
          <w:szCs w:val="32"/>
        </w:rPr>
        <w:t>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hAnsi="Calibri" w:eastAsia="仿宋_GB2312" w:cs="仿宋_GB2312"/>
          <w:kern w:val="2"/>
          <w:sz w:val="32"/>
          <w:szCs w:val="32"/>
          <w:lang w:val="en-US" w:eastAsia="zh-CN" w:bidi="ar-SA"/>
        </w:rPr>
        <w:t xml:space="preserve"> 2025年部门（单位）安排政府采购预算0万元。</w:t>
      </w:r>
    </w:p>
    <w:p w14:paraId="4BC94EF9">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eastAsia="楷体" w:cs="仿宋_GB2312"/>
          <w:kern w:val="2"/>
          <w:sz w:val="32"/>
          <w:szCs w:val="32"/>
        </w:rPr>
      </w:pPr>
      <w:r>
        <w:rPr>
          <w:rFonts w:hint="eastAsia" w:ascii="楷体" w:eastAsia="楷体" w:cs="仿宋_GB2312"/>
          <w:kern w:val="2"/>
          <w:sz w:val="32"/>
          <w:szCs w:val="32"/>
        </w:rPr>
        <w:t>国有资产占有使用情况</w:t>
      </w:r>
    </w:p>
    <w:p w14:paraId="4FEA173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cs="仿宋_GB2312"/>
          <w:kern w:val="2"/>
          <w:sz w:val="32"/>
          <w:szCs w:val="32"/>
        </w:rPr>
      </w:pPr>
      <w:r>
        <w:rPr>
          <w:rFonts w:hint="eastAsia" w:ascii="仿宋_GB2312" w:hAnsi="Calibri" w:eastAsia="仿宋_GB2312" w:cs="仿宋_GB2312"/>
          <w:kern w:val="2"/>
          <w:sz w:val="32"/>
          <w:szCs w:val="32"/>
          <w:lang w:val="en-US" w:eastAsia="zh-CN" w:bidi="ar-SA"/>
        </w:rPr>
        <w:t>截至2024年12月31日，我单位固定资产8.5万元</w:t>
      </w:r>
      <w:r>
        <w:rPr>
          <w:rFonts w:hint="eastAsia" w:cs="仿宋_GB2312"/>
          <w:kern w:val="2"/>
          <w:sz w:val="32"/>
          <w:szCs w:val="32"/>
        </w:rPr>
        <w:t>。</w:t>
      </w:r>
    </w:p>
    <w:p w14:paraId="62A3DFBF">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eastAsia="黑体"/>
          <w:sz w:val="32"/>
          <w:szCs w:val="32"/>
        </w:rPr>
      </w:pPr>
      <w:r>
        <w:rPr>
          <w:rFonts w:hint="eastAsia" w:ascii="楷体" w:eastAsia="楷体"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w:t>
      </w:r>
      <w:r>
        <w:rPr>
          <w:rFonts w:hint="eastAsia" w:ascii="仿宋_GB2312" w:hAnsi="Calibri" w:eastAsia="仿宋_GB2312" w:cs="仿宋_GB2312"/>
          <w:kern w:val="2"/>
          <w:sz w:val="32"/>
          <w:szCs w:val="32"/>
          <w:lang w:val="en-US" w:eastAsia="zh-CN" w:bidi="ar-SA"/>
        </w:rPr>
        <w:t>2025年部门（单位）通用项目和专用项目均按要求实行绩效目标管理，涉及一般公共预算当年拨款231.56万元。</w:t>
      </w:r>
    </w:p>
    <w:p w14:paraId="3EF4D8A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w:t>
      </w:r>
      <w:r>
        <w:rPr>
          <w:rFonts w:hint="eastAsia" w:ascii="仿宋_GB2312" w:hAnsi="Calibri" w:eastAsia="仿宋_GB2312" w:cs="仿宋_GB2312"/>
          <w:kern w:val="2"/>
          <w:sz w:val="32"/>
          <w:szCs w:val="32"/>
          <w:lang w:val="en-US" w:eastAsia="zh-CN" w:bidi="ar-SA"/>
        </w:rPr>
        <w:t>财政拨款收入：指由财政拨款形成的部门收入。按现行管理制度，部门预算中反映的财政拨款仅包括一般公共预算拨款和政府性基金预算拨款。</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（二）</w:t>
      </w:r>
      <w:r>
        <w:rPr>
          <w:rFonts w:hint="eastAsia" w:ascii="仿宋_GB2312" w:hAnsi="Calibri" w:eastAsia="仿宋_GB2312" w:cs="仿宋_GB2312"/>
          <w:kern w:val="2"/>
          <w:sz w:val="32"/>
          <w:szCs w:val="32"/>
          <w:lang w:val="en-US" w:eastAsia="zh-CN" w:bidi="ar-SA"/>
        </w:rPr>
        <w:t>事业收入：指所属事业单位开展专业业务活动及辅助活动所取得的收入。</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（三）</w:t>
      </w:r>
      <w:r>
        <w:rPr>
          <w:rFonts w:hint="eastAsia" w:ascii="仿宋_GB2312" w:hAnsi="Calibri" w:eastAsia="仿宋_GB2312" w:cs="仿宋_GB2312"/>
          <w:kern w:val="2"/>
          <w:sz w:val="32"/>
          <w:szCs w:val="32"/>
          <w:lang w:val="en-US" w:eastAsia="zh-CN" w:bidi="ar-SA"/>
        </w:rPr>
        <w:t>事业单位经营收入：指所属事业单位在专业业务活动及其辅助活动之外开展非独立核算经营活动取得的收入。</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（四）</w:t>
      </w:r>
      <w:r>
        <w:rPr>
          <w:rFonts w:hint="eastAsia" w:ascii="仿宋_GB2312" w:hAnsi="Calibri" w:eastAsia="仿宋_GB2312" w:cs="仿宋_GB2312"/>
          <w:kern w:val="2"/>
          <w:sz w:val="32"/>
          <w:szCs w:val="32"/>
          <w:lang w:val="en-US" w:eastAsia="zh-CN" w:bidi="ar-SA"/>
        </w:rPr>
        <w:t>其他收入：指除上述“财政拨款收入”、“事业收入”、“事业单位经营收入”等以外的收入，主要是所属行政事业单位按规定动用的售房收入、存款利息收入等。</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（五）</w:t>
      </w:r>
      <w:r>
        <w:rPr>
          <w:rFonts w:hint="eastAsia" w:ascii="仿宋_GB2312" w:hAnsi="Calibri" w:eastAsia="仿宋_GB2312" w:cs="仿宋_GB2312"/>
          <w:kern w:val="2"/>
          <w:sz w:val="32"/>
          <w:szCs w:val="32"/>
          <w:lang w:val="en-US" w:eastAsia="zh-CN" w:bidi="ar-SA"/>
        </w:rPr>
        <w:t>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EE00C6-6A87-46F3-B632-050C70799D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DA505C5-18AB-4A3A-98D0-3C8A82C2EDB5}"/>
  </w:font>
  <w:font w:name="仿宋_GB2312">
    <w:panose1 w:val="02010609030101010101"/>
    <w:charset w:val="86"/>
    <w:family w:val="modern"/>
    <w:pitch w:val="default"/>
    <w:sig w:usb0="00000001" w:usb1="080E0000" w:usb2="00000000" w:usb3="00000000" w:csb0="00040000" w:csb1="00000000"/>
    <w:embedRegular r:id="rId3" w:fontKey="{BEEB0F7B-73E6-4136-AC19-27DD66EED767}"/>
  </w:font>
  <w:font w:name="楷体">
    <w:panose1 w:val="02010609060101010101"/>
    <w:charset w:val="86"/>
    <w:family w:val="modern"/>
    <w:pitch w:val="default"/>
    <w:sig w:usb0="800002BF" w:usb1="38CF7CFA" w:usb2="00000016" w:usb3="00000000" w:csb0="00040001" w:csb1="00000000"/>
    <w:embedRegular r:id="rId4" w:fontKey="{18212E29-EAE0-4121-8530-B74F717F7EC7}"/>
  </w:font>
  <w:font w:name="??">
    <w:altName w:val="Times New Roman"/>
    <w:panose1 w:val="00000000000000000000"/>
    <w:charset w:val="00"/>
    <w:family w:val="roman"/>
    <w:pitch w:val="default"/>
    <w:sig w:usb0="00000000" w:usb1="00000000" w:usb2="00000000" w:usb3="00000000" w:csb0="00000001" w:csb1="00000000"/>
  </w:font>
  <w:font w:name="方正仿宋_GBK">
    <w:panose1 w:val="02000000000000000000"/>
    <w:charset w:val="86"/>
    <w:family w:val="auto"/>
    <w:pitch w:val="default"/>
    <w:sig w:usb0="00000001" w:usb1="080E0000" w:usb2="00000000" w:usb3="00000000" w:csb0="00040000" w:csb1="00000000"/>
    <w:embedRegular r:id="rId5" w:fontKey="{09D90C96-57E6-432C-9216-3F5061634CA4}"/>
  </w:font>
  <w:font w:name="方正楷体_GBK">
    <w:panose1 w:val="03000509000000000000"/>
    <w:charset w:val="86"/>
    <w:family w:val="script"/>
    <w:pitch w:val="default"/>
    <w:sig w:usb0="00000001" w:usb1="080E0000" w:usb2="00000000" w:usb3="00000000" w:csb0="00040000" w:csb1="00000000"/>
    <w:embedRegular r:id="rId6" w:fontKey="{F690F311-310B-4B25-8554-11BB0798372B}"/>
  </w:font>
  <w:font w:name="仿宋">
    <w:panose1 w:val="02010609060101010101"/>
    <w:charset w:val="86"/>
    <w:family w:val="auto"/>
    <w:pitch w:val="default"/>
    <w:sig w:usb0="800002BF" w:usb1="38CF7CFA" w:usb2="00000016" w:usb3="00000000" w:csb0="00040001" w:csb1="00000000"/>
    <w:embedRegular r:id="rId7" w:fontKey="{987E1811-C6B0-4645-9BE6-49F55DE7CE09}"/>
  </w:font>
  <w:font w:name="ˎ̥">
    <w:altName w:val="Times New Roman"/>
    <w:panose1 w:val="00000000000000000000"/>
    <w:charset w:val="00"/>
    <w:family w:val="roman"/>
    <w:pitch w:val="default"/>
    <w:sig w:usb0="00000000" w:usb1="00000000" w:usb2="00000000" w:usb3="00000000" w:csb0="00000000" w:csb1="00000000"/>
    <w:embedRegular r:id="rId8" w:fontKey="{EF9252D4-EEBB-405A-9272-EC98E7C7B55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58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631E3"/>
    <w:multiLevelType w:val="singleLevel"/>
    <w:tmpl w:val="CB9631E3"/>
    <w:lvl w:ilvl="0" w:tentative="0">
      <w:start w:val="1"/>
      <w:numFmt w:val="chineseCounting"/>
      <w:suff w:val="nothing"/>
      <w:lvlText w:val="（%1）"/>
      <w:lvlJc w:val="left"/>
      <w:rPr>
        <w:rFonts w:hint="eastAsia"/>
      </w:rPr>
    </w:lvl>
  </w:abstractNum>
  <w:abstractNum w:abstractNumId="1">
    <w:nsid w:val="D30697E4"/>
    <w:multiLevelType w:val="singleLevel"/>
    <w:tmpl w:val="D30697E4"/>
    <w:lvl w:ilvl="0" w:tentative="0">
      <w:start w:val="1"/>
      <w:numFmt w:val="chineseCounting"/>
      <w:suff w:val="nothing"/>
      <w:lvlText w:val="（%1）"/>
      <w:lvlJc w:val="left"/>
      <w:rPr>
        <w:rFonts w:hint="eastAsia"/>
      </w:rPr>
    </w:lvl>
  </w:abstractNum>
  <w:abstractNum w:abstractNumId="2">
    <w:nsid w:val="EB1ECB83"/>
    <w:multiLevelType w:val="singleLevel"/>
    <w:tmpl w:val="EB1ECB83"/>
    <w:lvl w:ilvl="0" w:tentative="0">
      <w:start w:val="8"/>
      <w:numFmt w:val="chineseCounting"/>
      <w:suff w:val="nothing"/>
      <w:lvlText w:val="%1、"/>
      <w:lvlJc w:val="left"/>
      <w:rPr>
        <w:rFonts w:hint="eastAsia"/>
      </w:rPr>
    </w:lvl>
  </w:abstractNum>
  <w:abstractNum w:abstractNumId="3">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58E13761"/>
    <w:multiLevelType w:val="singleLevel"/>
    <w:tmpl w:val="58E13761"/>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A2C3E7B"/>
    <w:rsid w:val="13164480"/>
    <w:rsid w:val="570F4371"/>
    <w:rsid w:val="58830ECB"/>
    <w:rsid w:val="596D6E2B"/>
    <w:rsid w:val="59E07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autoSpaceDE/>
      <w:autoSpaceDN/>
      <w:ind w:left="200" w:leftChars="200" w:hanging="200" w:hangingChars="200"/>
      <w:jc w:val="both"/>
    </w:pPr>
    <w:rPr>
      <w:rFonts w:ascii="Calibri" w:hAnsi="Calibri" w:eastAsia="宋体" w:cs="Times New Roman"/>
      <w:kern w:val="2"/>
      <w:sz w:val="21"/>
      <w:lang w:eastAsia="zh-CN"/>
    </w:rPr>
  </w:style>
  <w:style w:type="paragraph" w:styleId="6">
    <w:name w:val="Body Text"/>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6"/>
    <w:qFormat/>
    <w:uiPriority w:val="0"/>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3323</Words>
  <Characters>3605</Characters>
  <Lines>124</Lines>
  <Paragraphs>51</Paragraphs>
  <TotalTime>38</TotalTime>
  <ScaleCrop>false</ScaleCrop>
  <LinksUpToDate>false</LinksUpToDate>
  <CharactersWithSpaces>3663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任雪</cp:lastModifiedBy>
  <cp:lastPrinted>2025-03-05T08:57:00Z</cp:lastPrinted>
  <dcterms:modified xsi:type="dcterms:W3CDTF">2025-04-11T02:35:25Z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eyJoZGlkIjoiMDg2N2Q4ZWZjMzI3NzIzYjU1NzZlZTAwYmM4YTMxNDYiLCJ1c2VySWQiOiI0MzEwNDY0NjUifQ==</vt:lpwstr>
  </property>
  <property fmtid="{D5CDD505-2E9C-101B-9397-08002B2CF9AE}" pid="4" name="ICV">
    <vt:lpwstr>369F80ED9A1E47BCA0D525F89781F0D0_13</vt:lpwstr>
  </property>
</Properties>
</file>