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8B3A2">
      <w:pPr>
        <w:spacing w:line="600" w:lineRule="exact"/>
        <w:jc w:val="center"/>
        <w:outlineLvl w:val="0"/>
        <w:rPr>
          <w:rFonts w:ascii="方正小标宋简体" w:hAnsi="宋体" w:eastAsia="方正小标宋简体"/>
          <w:color w:val="000000"/>
          <w:sz w:val="72"/>
          <w:szCs w:val="72"/>
        </w:rPr>
      </w:pPr>
      <w:bookmarkStart w:id="0" w:name="_Toc15306267"/>
    </w:p>
    <w:p w14:paraId="7DDB491A">
      <w:pPr>
        <w:spacing w:line="600" w:lineRule="exact"/>
        <w:jc w:val="center"/>
        <w:outlineLvl w:val="0"/>
        <w:rPr>
          <w:rFonts w:ascii="方正小标宋简体" w:hAnsi="宋体" w:eastAsia="方正小标宋简体"/>
          <w:color w:val="000000"/>
          <w:sz w:val="72"/>
          <w:szCs w:val="72"/>
        </w:rPr>
      </w:pPr>
    </w:p>
    <w:p w14:paraId="0909633B">
      <w:pPr>
        <w:spacing w:line="600" w:lineRule="exact"/>
        <w:jc w:val="center"/>
        <w:outlineLvl w:val="0"/>
        <w:rPr>
          <w:rFonts w:ascii="方正小标宋简体" w:hAnsi="宋体" w:eastAsia="方正小标宋简体"/>
          <w:color w:val="000000"/>
          <w:sz w:val="72"/>
          <w:szCs w:val="72"/>
        </w:rPr>
      </w:pPr>
    </w:p>
    <w:p w14:paraId="3F7DD444">
      <w:pPr>
        <w:jc w:val="center"/>
        <w:rPr>
          <w:rFonts w:ascii="黑体" w:hAnsi="黑体" w:eastAsia="黑体"/>
          <w:sz w:val="72"/>
          <w:szCs w:val="72"/>
        </w:rPr>
      </w:pPr>
      <w:bookmarkStart w:id="1" w:name="_Toc15378441"/>
      <w:bookmarkStart w:id="2" w:name="_Toc15396597"/>
      <w:bookmarkStart w:id="3" w:name="_Toc15377193"/>
      <w:bookmarkStart w:id="4" w:name="_Toc15377425"/>
      <w:bookmarkStart w:id="5" w:name="_Toc15396475"/>
      <w:r>
        <w:rPr>
          <w:rFonts w:hint="eastAsia" w:ascii="黑体" w:hAnsi="黑体" w:eastAsia="黑体"/>
          <w:sz w:val="72"/>
          <w:szCs w:val="72"/>
          <w:lang w:eastAsia="zh-CN"/>
        </w:rPr>
        <w:t>2023</w:t>
      </w:r>
      <w:r>
        <w:rPr>
          <w:rFonts w:hint="eastAsia" w:ascii="黑体" w:hAnsi="黑体" w:eastAsia="黑体"/>
          <w:sz w:val="72"/>
          <w:szCs w:val="72"/>
        </w:rPr>
        <w:t>年度</w:t>
      </w:r>
      <w:bookmarkEnd w:id="1"/>
      <w:bookmarkEnd w:id="2"/>
      <w:bookmarkEnd w:id="3"/>
      <w:bookmarkEnd w:id="4"/>
      <w:bookmarkEnd w:id="5"/>
    </w:p>
    <w:bookmarkEnd w:id="0"/>
    <w:p w14:paraId="560B2B53">
      <w:pPr>
        <w:jc w:val="center"/>
        <w:rPr>
          <w:rFonts w:ascii="方正小标宋简体" w:eastAsia="方正小标宋简体"/>
          <w:sz w:val="72"/>
          <w:szCs w:val="72"/>
        </w:rPr>
      </w:pPr>
      <w:bookmarkStart w:id="6" w:name="_Toc15306268"/>
      <w:bookmarkStart w:id="7" w:name="_Toc15396598"/>
      <w:bookmarkStart w:id="8" w:name="_Toc15378442"/>
      <w:bookmarkStart w:id="9" w:name="_Toc15377194"/>
      <w:bookmarkStart w:id="10" w:name="_Toc15377426"/>
      <w:bookmarkStart w:id="11" w:name="_Toc15396476"/>
      <w:r>
        <w:rPr>
          <w:rFonts w:hint="eastAsia" w:ascii="方正小标宋简体" w:eastAsia="方正小标宋简体"/>
          <w:sz w:val="72"/>
          <w:szCs w:val="72"/>
        </w:rPr>
        <w:t>阿坝州壤塘县娜泽求宗社区管理委员会部门决算</w:t>
      </w:r>
      <w:bookmarkEnd w:id="6"/>
      <w:bookmarkEnd w:id="7"/>
      <w:bookmarkEnd w:id="8"/>
      <w:bookmarkEnd w:id="9"/>
      <w:bookmarkEnd w:id="10"/>
      <w:bookmarkEnd w:id="11"/>
    </w:p>
    <w:p w14:paraId="4D506173">
      <w:pPr>
        <w:widowControl/>
        <w:jc w:val="center"/>
        <w:rPr>
          <w:rFonts w:ascii="方正小标宋简体" w:hAnsi="宋体" w:eastAsia="方正小标宋简体"/>
          <w:color w:val="000000"/>
          <w:sz w:val="36"/>
          <w:szCs w:val="36"/>
        </w:rPr>
      </w:pPr>
    </w:p>
    <w:p w14:paraId="039C882E">
      <w:pPr>
        <w:rPr>
          <w:rFonts w:ascii="方正小标宋简体" w:hAnsi="宋体" w:eastAsia="方正小标宋简体"/>
          <w:sz w:val="36"/>
          <w:szCs w:val="36"/>
        </w:rPr>
      </w:pPr>
    </w:p>
    <w:p w14:paraId="524A6B93">
      <w:pPr>
        <w:rPr>
          <w:rFonts w:ascii="方正小标宋简体" w:hAnsi="宋体" w:eastAsia="方正小标宋简体"/>
          <w:sz w:val="36"/>
          <w:szCs w:val="36"/>
        </w:rPr>
      </w:pPr>
    </w:p>
    <w:p w14:paraId="0C7E2CD0">
      <w:pPr>
        <w:rPr>
          <w:rFonts w:ascii="方正小标宋简体" w:hAnsi="宋体" w:eastAsia="方正小标宋简体"/>
          <w:sz w:val="36"/>
          <w:szCs w:val="36"/>
        </w:rPr>
      </w:pPr>
    </w:p>
    <w:p w14:paraId="505960E9">
      <w:pPr>
        <w:rPr>
          <w:rFonts w:ascii="方正小标宋简体" w:hAnsi="宋体" w:eastAsia="方正小标宋简体"/>
          <w:sz w:val="36"/>
          <w:szCs w:val="36"/>
        </w:rPr>
      </w:pPr>
    </w:p>
    <w:p w14:paraId="0AD6017F">
      <w:pPr>
        <w:rPr>
          <w:rFonts w:ascii="方正小标宋简体" w:hAnsi="宋体" w:eastAsia="方正小标宋简体"/>
          <w:sz w:val="36"/>
          <w:szCs w:val="36"/>
        </w:rPr>
      </w:pPr>
    </w:p>
    <w:p w14:paraId="47016B87">
      <w:pPr>
        <w:pStyle w:val="2"/>
        <w:ind w:left="1140" w:hanging="720"/>
        <w:rPr>
          <w:rFonts w:ascii="方正小标宋简体" w:hAnsi="宋体" w:eastAsia="方正小标宋简体"/>
          <w:sz w:val="36"/>
          <w:szCs w:val="36"/>
        </w:rPr>
      </w:pPr>
    </w:p>
    <w:p w14:paraId="2C3BCD6B">
      <w:pPr>
        <w:rPr>
          <w:rFonts w:ascii="方正小标宋简体" w:hAnsi="宋体" w:eastAsia="方正小标宋简体"/>
          <w:sz w:val="36"/>
          <w:szCs w:val="36"/>
        </w:rPr>
      </w:pPr>
    </w:p>
    <w:p w14:paraId="12D401EC">
      <w:pPr>
        <w:pStyle w:val="2"/>
        <w:ind w:left="1140" w:hanging="720"/>
        <w:rPr>
          <w:rFonts w:ascii="方正小标宋简体" w:hAnsi="宋体" w:eastAsia="方正小标宋简体"/>
          <w:sz w:val="36"/>
          <w:szCs w:val="36"/>
        </w:rPr>
      </w:pPr>
    </w:p>
    <w:p w14:paraId="14757DA3"/>
    <w:p w14:paraId="549C6864">
      <w:pPr>
        <w:rPr>
          <w:rFonts w:ascii="方正小标宋简体" w:hAnsi="宋体" w:eastAsia="方正小标宋简体"/>
          <w:sz w:val="36"/>
          <w:szCs w:val="36"/>
        </w:rPr>
      </w:pPr>
    </w:p>
    <w:p w14:paraId="629618BB">
      <w:pPr>
        <w:widowControl/>
        <w:jc w:val="center"/>
        <w:rPr>
          <w:rFonts w:ascii="方正小标宋简体" w:hAnsi="宋体" w:eastAsia="方正小标宋简体"/>
          <w:color w:val="000000"/>
          <w:sz w:val="36"/>
          <w:szCs w:val="36"/>
        </w:rPr>
      </w:pPr>
    </w:p>
    <w:p w14:paraId="27335678">
      <w:pPr>
        <w:pStyle w:val="26"/>
        <w:ind w:firstLine="720"/>
        <w:rPr>
          <w:rFonts w:ascii="方正小标宋简体" w:hAnsi="宋体" w:eastAsia="方正小标宋简体"/>
          <w:color w:val="000000"/>
          <w:sz w:val="36"/>
          <w:szCs w:val="36"/>
        </w:rPr>
      </w:pPr>
    </w:p>
    <w:p w14:paraId="0806C67A"/>
    <w:p w14:paraId="6187416D">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21C56CBA">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年10月</w:t>
      </w:r>
      <w:r>
        <w:rPr>
          <w:rFonts w:hint="eastAsia" w:hAnsiTheme="minorHAnsi"/>
          <w:b w:val="0"/>
          <w:bCs w:val="0"/>
          <w:sz w:val="24"/>
          <w:szCs w:val="24"/>
          <w:lang w:val="en-US" w:eastAsia="zh-CN"/>
        </w:rPr>
        <w:t>22</w:t>
      </w:r>
      <w:r>
        <w:rPr>
          <w:rFonts w:hint="eastAsia" w:hAnsiTheme="minorHAnsi"/>
          <w:b w:val="0"/>
          <w:bCs w:val="0"/>
          <w:sz w:val="24"/>
          <w:szCs w:val="24"/>
        </w:rPr>
        <w:t>日</w:t>
      </w:r>
    </w:p>
    <w:p w14:paraId="501C2044">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3</w:t>
      </w:r>
      <w:r>
        <w:fldChar w:fldCharType="end"/>
      </w:r>
    </w:p>
    <w:p w14:paraId="46423FBB">
      <w:pPr>
        <w:pStyle w:val="18"/>
        <w:tabs>
          <w:tab w:val="right" w:leader="dot" w:pos="8296"/>
        </w:tabs>
        <w:rPr>
          <w:rFonts w:hAnsiTheme="minorHAnsi" w:eastAsiaTheme="minorEastAsia" w:cstheme="minorBidi"/>
          <w:sz w:val="21"/>
          <w:szCs w:val="22"/>
        </w:rPr>
      </w:pPr>
      <w:r>
        <w:rPr>
          <w:rFonts w:ascii="黑体" w:hAnsi="黑体" w:eastAsia="黑体"/>
          <w:color w:val="000000"/>
        </w:rPr>
        <w:t>一、</w:t>
      </w:r>
      <w:r>
        <w:rPr>
          <w:rFonts w:hint="eastAsia" w:ascii="黑体" w:hAnsi="黑体" w:eastAsia="黑体"/>
          <w:color w:val="000000"/>
        </w:rPr>
        <w:t>部门职责</w:t>
      </w:r>
      <w:r>
        <w:tab/>
      </w:r>
      <w:r>
        <w:fldChar w:fldCharType="begin"/>
      </w:r>
      <w:r>
        <w:instrText xml:space="preserve"> PAGEREF _Toc79163852 \h </w:instrText>
      </w:r>
      <w:r>
        <w:fldChar w:fldCharType="separate"/>
      </w:r>
      <w:r>
        <w:t>3</w:t>
      </w:r>
      <w:r>
        <w:fldChar w:fldCharType="end"/>
      </w:r>
    </w:p>
    <w:p w14:paraId="1D5E3D0C">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3</w:t>
      </w:r>
      <w:r>
        <w:fldChar w:fldCharType="end"/>
      </w:r>
    </w:p>
    <w:p w14:paraId="3808DB3F">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lang w:eastAsia="zh-CN"/>
        </w:rPr>
        <w:t>2023</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4</w:t>
      </w:r>
      <w:r>
        <w:fldChar w:fldCharType="end"/>
      </w:r>
    </w:p>
    <w:p w14:paraId="533BA870">
      <w:pPr>
        <w:pStyle w:val="18"/>
        <w:tabs>
          <w:tab w:val="left" w:pos="840"/>
          <w:tab w:val="right" w:leader="dot" w:pos="8296"/>
        </w:tabs>
        <w:rPr>
          <w:rFonts w:hAnsiTheme="minorHAnsi"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rPr>
        <w:t>7</w:t>
      </w:r>
    </w:p>
    <w:p w14:paraId="6773BC9F">
      <w:pPr>
        <w:pStyle w:val="18"/>
        <w:tabs>
          <w:tab w:val="left" w:pos="840"/>
          <w:tab w:val="right" w:leader="dot" w:pos="8296"/>
        </w:tabs>
        <w:rPr>
          <w:rFonts w:hAnsiTheme="minorHAnsi"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8</w:t>
      </w:r>
    </w:p>
    <w:p w14:paraId="74827A9A">
      <w:pPr>
        <w:pStyle w:val="18"/>
        <w:tabs>
          <w:tab w:val="left" w:pos="840"/>
          <w:tab w:val="right" w:leader="dot" w:pos="8296"/>
        </w:tabs>
        <w:rPr>
          <w:rFonts w:hAnsiTheme="minorHAnsi"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8</w:t>
      </w:r>
    </w:p>
    <w:p w14:paraId="048226DB">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14:paraId="3EB13E7C">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5A57A672">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9</w:t>
      </w:r>
      <w:r>
        <w:fldChar w:fldCharType="end"/>
      </w:r>
    </w:p>
    <w:p w14:paraId="0C7D9F6F">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14:paraId="154C1F44">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10</w:t>
      </w:r>
      <w:r>
        <w:fldChar w:fldCharType="end"/>
      </w:r>
    </w:p>
    <w:p w14:paraId="1A99A6DC">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10</w:t>
      </w:r>
      <w:r>
        <w:fldChar w:fldCharType="end"/>
      </w:r>
    </w:p>
    <w:p w14:paraId="3AB9B7A4">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10</w:t>
      </w:r>
      <w:r>
        <w:fldChar w:fldCharType="end"/>
      </w:r>
    </w:p>
    <w:p w14:paraId="0162C163">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12</w:t>
      </w:r>
      <w:r>
        <w:fldChar w:fldCharType="end"/>
      </w:r>
    </w:p>
    <w:p w14:paraId="58F5CF15">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15</w:t>
      </w:r>
      <w:r>
        <w:fldChar w:fldCharType="end"/>
      </w:r>
    </w:p>
    <w:p w14:paraId="29486081">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22</w:t>
      </w:r>
      <w:bookmarkStart w:id="146" w:name="_GoBack"/>
      <w:bookmarkEnd w:id="146"/>
    </w:p>
    <w:p w14:paraId="3230B83B">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22</w:t>
      </w:r>
      <w:r>
        <w:fldChar w:fldCharType="end"/>
      </w:r>
    </w:p>
    <w:p w14:paraId="2F8297A2">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22</w:t>
      </w:r>
      <w:r>
        <w:fldChar w:fldCharType="end"/>
      </w:r>
    </w:p>
    <w:p w14:paraId="29C7067D">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22</w:t>
      </w:r>
      <w:r>
        <w:fldChar w:fldCharType="end"/>
      </w:r>
    </w:p>
    <w:p w14:paraId="2C018A49">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22</w:t>
      </w:r>
      <w:r>
        <w:fldChar w:fldCharType="end"/>
      </w:r>
    </w:p>
    <w:p w14:paraId="36AA810A">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22</w:t>
      </w:r>
      <w:r>
        <w:fldChar w:fldCharType="end"/>
      </w:r>
    </w:p>
    <w:p w14:paraId="6B7A3A35">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22</w:t>
      </w:r>
      <w:r>
        <w:fldChar w:fldCharType="end"/>
      </w:r>
    </w:p>
    <w:p w14:paraId="3C8A3490">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22</w:t>
      </w:r>
      <w:r>
        <w:fldChar w:fldCharType="end"/>
      </w:r>
    </w:p>
    <w:p w14:paraId="1E09C024">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22</w:t>
      </w:r>
      <w:r>
        <w:fldChar w:fldCharType="end"/>
      </w:r>
    </w:p>
    <w:p w14:paraId="29254232">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22</w:t>
      </w:r>
      <w:r>
        <w:fldChar w:fldCharType="end"/>
      </w:r>
    </w:p>
    <w:p w14:paraId="5DDBEB20">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22</w:t>
      </w:r>
      <w:r>
        <w:fldChar w:fldCharType="end"/>
      </w:r>
    </w:p>
    <w:p w14:paraId="088BD2BC">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hint="eastAsia" w:ascii="仿宋" w:hAnsi="仿宋" w:eastAsia="仿宋"/>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22</w:t>
      </w:r>
      <w:r>
        <w:fldChar w:fldCharType="end"/>
      </w:r>
    </w:p>
    <w:p w14:paraId="2B98F28E">
      <w:pPr>
        <w:pStyle w:val="18"/>
        <w:tabs>
          <w:tab w:val="right" w:leader="dot" w:pos="8296"/>
        </w:tabs>
      </w:pPr>
      <w:r>
        <w:rPr>
          <w:rFonts w:ascii="仿宋" w:hAnsi="仿宋" w:eastAsia="仿宋"/>
        </w:rPr>
        <w:t>十</w:t>
      </w:r>
      <w:r>
        <w:rPr>
          <w:rFonts w:hint="eastAsia" w:ascii="仿宋" w:hAnsi="仿宋" w:eastAsia="仿宋"/>
        </w:rPr>
        <w:t>二</w:t>
      </w:r>
      <w:r>
        <w:rPr>
          <w:rFonts w:ascii="仿宋" w:hAnsi="仿宋" w:eastAsia="仿宋"/>
        </w:rPr>
        <w:t>、国有资本经营预算财政拨款支出决算表</w:t>
      </w:r>
      <w:r>
        <w:tab/>
      </w:r>
      <w:r>
        <w:fldChar w:fldCharType="begin"/>
      </w:r>
      <w:r>
        <w:instrText xml:space="preserve"> PAGEREF _Toc79163899 \h </w:instrText>
      </w:r>
      <w:r>
        <w:fldChar w:fldCharType="separate"/>
      </w:r>
      <w:r>
        <w:t>22</w:t>
      </w:r>
      <w:r>
        <w:fldChar w:fldCharType="end"/>
      </w:r>
    </w:p>
    <w:p w14:paraId="03F4CEDA">
      <w:pPr>
        <w:pStyle w:val="18"/>
        <w:tabs>
          <w:tab w:val="right" w:leader="dot" w:pos="8296"/>
        </w:tabs>
        <w:rPr>
          <w:rFonts w:ascii="仿宋" w:hAnsi="仿宋" w:eastAsia="仿宋"/>
        </w:rPr>
      </w:pPr>
      <w:r>
        <w:rPr>
          <w:rFonts w:ascii="仿宋" w:hAnsi="仿宋" w:eastAsia="仿宋"/>
        </w:rPr>
        <w:t>十</w:t>
      </w:r>
      <w:r>
        <w:rPr>
          <w:rFonts w:hint="eastAsia" w:ascii="仿宋" w:hAnsi="仿宋" w:eastAsia="仿宋"/>
        </w:rPr>
        <w:t>三</w:t>
      </w:r>
      <w:r>
        <w:rPr>
          <w:rFonts w:ascii="仿宋" w:hAnsi="仿宋" w:eastAsia="仿宋"/>
        </w:rPr>
        <w:t>、</w:t>
      </w:r>
      <w:r>
        <w:rPr>
          <w:rFonts w:hint="eastAsia" w:ascii="仿宋" w:hAnsi="仿宋" w:eastAsia="仿宋"/>
        </w:rPr>
        <w:t>财政拨款“三公”经费支</w:t>
      </w:r>
      <w:r>
        <w:rPr>
          <w:rFonts w:ascii="仿宋" w:hAnsi="仿宋" w:eastAsia="仿宋"/>
        </w:rPr>
        <w:t>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22</w:t>
      </w:r>
      <w:r>
        <w:rPr>
          <w:rFonts w:ascii="仿宋" w:hAnsi="仿宋" w:eastAsia="仿宋"/>
        </w:rPr>
        <w:fldChar w:fldCharType="end"/>
      </w:r>
    </w:p>
    <w:p w14:paraId="32D564F2">
      <w:r>
        <w:rPr>
          <w:rFonts w:asciiTheme="minorHAnsi" w:eastAsiaTheme="minorHAnsi"/>
          <w:b/>
          <w:bCs/>
          <w:caps/>
          <w:sz w:val="20"/>
          <w:szCs w:val="20"/>
        </w:rPr>
        <w:fldChar w:fldCharType="end"/>
      </w:r>
    </w:p>
    <w:p w14:paraId="54A2E91F">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71749F22">
      <w:pPr>
        <w:pStyle w:val="3"/>
        <w:jc w:val="center"/>
        <w:rPr>
          <w:rStyle w:val="28"/>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14:paraId="5210F7C2">
      <w:pPr>
        <w:widowControl/>
        <w:jc w:val="left"/>
        <w:rPr>
          <w:rFonts w:ascii="黑体" w:eastAsia="黑体"/>
          <w:color w:val="000000"/>
          <w:sz w:val="32"/>
          <w:szCs w:val="32"/>
        </w:rPr>
      </w:pPr>
    </w:p>
    <w:p w14:paraId="0C185D33">
      <w:pPr>
        <w:pStyle w:val="4"/>
        <w:numPr>
          <w:ilvl w:val="0"/>
          <w:numId w:val="1"/>
        </w:numPr>
        <w:spacing w:line="560" w:lineRule="exact"/>
        <w:rPr>
          <w:rStyle w:val="29"/>
          <w:rFonts w:ascii="黑体" w:hAnsi="黑体" w:eastAsia="黑体"/>
          <w:b w:val="0"/>
          <w:bCs w:val="0"/>
        </w:rPr>
      </w:pPr>
      <w:bookmarkStart w:id="16" w:name="_Toc15377197"/>
      <w:bookmarkStart w:id="17" w:name="_Toc79163852"/>
      <w:bookmarkStart w:id="18" w:name="_Toc79163602"/>
      <w:bookmarkStart w:id="19" w:name="_Toc15396600"/>
      <w:r>
        <w:rPr>
          <w:rStyle w:val="29"/>
          <w:rFonts w:hint="eastAsia" w:ascii="黑体" w:hAnsi="黑体" w:eastAsia="黑体"/>
          <w:b w:val="0"/>
          <w:bCs w:val="0"/>
        </w:rPr>
        <w:t>部门职责</w:t>
      </w:r>
      <w:bookmarkEnd w:id="16"/>
      <w:bookmarkEnd w:id="17"/>
      <w:bookmarkEnd w:id="18"/>
      <w:bookmarkEnd w:id="19"/>
      <w:bookmarkStart w:id="20" w:name="_Toc79163603"/>
      <w:bookmarkStart w:id="21" w:name="_Toc15378445"/>
      <w:bookmarkStart w:id="22" w:name="_Toc15377198"/>
      <w:bookmarkStart w:id="23" w:name="_Toc79163853"/>
    </w:p>
    <w:bookmarkEnd w:id="20"/>
    <w:bookmarkEnd w:id="21"/>
    <w:bookmarkEnd w:id="22"/>
    <w:bookmarkEnd w:id="23"/>
    <w:p w14:paraId="10C0C913">
      <w:pPr>
        <w:pStyle w:val="7"/>
        <w:spacing w:beforeLines="0" w:line="560" w:lineRule="exact"/>
        <w:ind w:firstLine="640" w:firstLineChars="200"/>
        <w:rPr>
          <w:sz w:val="32"/>
          <w:szCs w:val="32"/>
        </w:rPr>
      </w:pPr>
      <w:r>
        <w:rPr>
          <w:rFonts w:hint="eastAsia"/>
          <w:sz w:val="32"/>
          <w:szCs w:val="32"/>
          <w:lang w:val="en-US"/>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sz w:val="32"/>
          <w:szCs w:val="32"/>
        </w:rPr>
        <w:t>。</w:t>
      </w:r>
    </w:p>
    <w:p w14:paraId="71655A84">
      <w:pPr>
        <w:pStyle w:val="4"/>
        <w:spacing w:line="560" w:lineRule="exact"/>
        <w:rPr>
          <w:rStyle w:val="29"/>
          <w:b w:val="0"/>
          <w:bCs w:val="0"/>
        </w:rPr>
      </w:pPr>
      <w:bookmarkStart w:id="24" w:name="_Toc79163605"/>
      <w:bookmarkStart w:id="25" w:name="_Toc15396601"/>
      <w:bookmarkStart w:id="26" w:name="_Toc79163855"/>
      <w:bookmarkStart w:id="27"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4"/>
      <w:bookmarkEnd w:id="25"/>
      <w:bookmarkEnd w:id="26"/>
      <w:bookmarkEnd w:id="27"/>
    </w:p>
    <w:p w14:paraId="15CBD4A2">
      <w:pPr>
        <w:pStyle w:val="7"/>
        <w:adjustRightInd w:val="0"/>
        <w:snapToGrid w:val="0"/>
        <w:spacing w:before="93" w:line="560" w:lineRule="exact"/>
        <w:ind w:firstLine="672" w:firstLineChars="210"/>
        <w:rPr>
          <w:rFonts w:ascii="仿宋" w:hAnsi="仿宋" w:eastAsia="仿宋"/>
          <w:color w:val="000000"/>
          <w:sz w:val="32"/>
          <w:szCs w:val="32"/>
        </w:rPr>
      </w:pPr>
      <w:bookmarkStart w:id="28" w:name="_Toc10699"/>
      <w:bookmarkStart w:id="29" w:name="_Toc12356"/>
      <w:bookmarkStart w:id="30" w:name="_Toc30939"/>
      <w:r>
        <w:rPr>
          <w:rFonts w:hint="eastAsia" w:hAnsi="仿宋"/>
          <w:kern w:val="2"/>
          <w:sz w:val="32"/>
          <w:szCs w:val="32"/>
          <w:lang w:val="en-US"/>
        </w:rPr>
        <w:t>阿坝州壤塘县娜泽求宗社区管理委员会</w:t>
      </w:r>
      <w:r>
        <w:rPr>
          <w:rFonts w:hint="eastAsia" w:hAnsi="仿宋"/>
          <w:kern w:val="2"/>
          <w:sz w:val="32"/>
          <w:szCs w:val="32"/>
          <w:lang w:val="en-US" w:eastAsia="zh-CN"/>
        </w:rPr>
        <w:t>有两个</w:t>
      </w:r>
      <w:r>
        <w:rPr>
          <w:rFonts w:hint="eastAsia" w:hAnsi="仿宋"/>
          <w:kern w:val="2"/>
          <w:sz w:val="32"/>
          <w:szCs w:val="32"/>
          <w:lang w:val="en-US"/>
        </w:rPr>
        <w:t>下属二级单位，</w:t>
      </w:r>
      <w:bookmarkEnd w:id="28"/>
      <w:bookmarkEnd w:id="29"/>
      <w:bookmarkEnd w:id="30"/>
      <w:r>
        <w:rPr>
          <w:rFonts w:hint="eastAsia" w:hAnsi="仿宋"/>
          <w:kern w:val="2"/>
          <w:sz w:val="32"/>
          <w:szCs w:val="32"/>
          <w:lang w:val="en-US" w:eastAsia="zh-CN"/>
        </w:rPr>
        <w:t>分别为</w:t>
      </w:r>
      <w:r>
        <w:rPr>
          <w:rFonts w:hint="eastAsia" w:hAnsi="仿宋"/>
          <w:kern w:val="2"/>
          <w:sz w:val="32"/>
          <w:szCs w:val="32"/>
          <w:lang w:val="en-US"/>
        </w:rPr>
        <w:t>壤塘县娜泽求宗社区管理委员会</w:t>
      </w:r>
      <w:r>
        <w:rPr>
          <w:rFonts w:hint="eastAsia" w:hAnsi="仿宋"/>
          <w:kern w:val="2"/>
          <w:sz w:val="32"/>
          <w:szCs w:val="32"/>
          <w:lang w:val="en-US" w:eastAsia="zh-CN"/>
        </w:rPr>
        <w:t>和壤塘县娜泽求宗社区综合服务中心。</w:t>
      </w:r>
      <w:r>
        <w:rPr>
          <w:rFonts w:ascii="仿宋" w:hAnsi="仿宋" w:eastAsia="仿宋"/>
          <w:color w:val="000000"/>
          <w:sz w:val="32"/>
          <w:szCs w:val="32"/>
        </w:rPr>
        <w:br w:type="page"/>
      </w:r>
    </w:p>
    <w:p w14:paraId="47497598">
      <w:pPr>
        <w:pStyle w:val="3"/>
        <w:spacing w:line="560" w:lineRule="exact"/>
        <w:ind w:right="440"/>
        <w:jc w:val="right"/>
        <w:rPr>
          <w:rStyle w:val="28"/>
          <w:rFonts w:ascii="黑体" w:hAnsi="黑体" w:eastAsia="黑体"/>
          <w:b w:val="0"/>
          <w:bCs w:val="0"/>
        </w:rPr>
      </w:pPr>
      <w:bookmarkStart w:id="31" w:name="_Toc79163859"/>
      <w:bookmarkStart w:id="32" w:name="_Toc15377204"/>
      <w:bookmarkStart w:id="33" w:name="_Toc15396602"/>
      <w:bookmarkStart w:id="34" w:name="_Toc79163609"/>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lang w:eastAsia="zh-CN"/>
        </w:rPr>
        <w:t>2023</w:t>
      </w:r>
      <w:r>
        <w:rPr>
          <w:rStyle w:val="28"/>
          <w:rFonts w:hint="eastAsia" w:ascii="黑体" w:hAnsi="黑体" w:eastAsia="黑体"/>
          <w:b w:val="0"/>
          <w:bCs w:val="0"/>
        </w:rPr>
        <w:t>年度部门决算情况说明</w:t>
      </w:r>
      <w:bookmarkEnd w:id="31"/>
      <w:bookmarkEnd w:id="32"/>
      <w:bookmarkEnd w:id="33"/>
      <w:bookmarkEnd w:id="34"/>
    </w:p>
    <w:p w14:paraId="66F4C66F">
      <w:pPr>
        <w:pStyle w:val="4"/>
        <w:spacing w:line="560" w:lineRule="exact"/>
        <w:ind w:firstLine="643" w:firstLineChars="200"/>
        <w:rPr>
          <w:rFonts w:ascii="黑体" w:hAnsi="黑体" w:eastAsia="黑体" w:cs="黑体"/>
        </w:rPr>
      </w:pPr>
      <w:r>
        <w:rPr>
          <w:rFonts w:hint="eastAsia" w:ascii="黑体" w:hAnsi="黑体" w:eastAsia="黑体" w:cs="黑体"/>
        </w:rPr>
        <w:t>一、收入支出决算总体情况说明</w:t>
      </w:r>
    </w:p>
    <w:p w14:paraId="457FA5FE">
      <w:pPr>
        <w:pStyle w:val="20"/>
        <w:spacing w:before="0" w:after="0" w:afterAutospacing="0" w:line="360" w:lineRule="auto"/>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年度收入总计</w:t>
      </w:r>
      <w:r>
        <w:rPr>
          <w:rFonts w:hint="eastAsia" w:ascii="仿宋" w:hAnsi="仿宋" w:eastAsia="仿宋" w:cs="仿宋"/>
          <w:color w:val="000000"/>
          <w:sz w:val="32"/>
          <w:szCs w:val="32"/>
          <w:lang w:eastAsia="zh-CN"/>
        </w:rPr>
        <w:t>216.43</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年相比，</w:t>
      </w:r>
      <w:r>
        <w:rPr>
          <w:rFonts w:hint="eastAsia" w:ascii="仿宋" w:hAnsi="仿宋" w:eastAsia="仿宋" w:cs="仿宋"/>
          <w:color w:val="000000"/>
          <w:sz w:val="32"/>
          <w:szCs w:val="32"/>
          <w:lang w:val="en-US" w:eastAsia="zh-CN"/>
        </w:rPr>
        <w:t>增加</w:t>
      </w:r>
      <w:r>
        <w:rPr>
          <w:rFonts w:hint="eastAsia" w:ascii="仿宋" w:hAnsi="仿宋" w:eastAsia="仿宋" w:cs="仿宋"/>
          <w:color w:val="000000"/>
          <w:sz w:val="32"/>
          <w:szCs w:val="32"/>
          <w:lang w:eastAsia="zh-CN"/>
        </w:rPr>
        <w:t>9.97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w:t>
      </w:r>
      <w:r>
        <w:rPr>
          <w:rFonts w:hint="eastAsia" w:ascii="仿宋" w:hAnsi="仿宋" w:eastAsia="仿宋" w:cs="仿宋"/>
          <w:color w:val="000000"/>
          <w:sz w:val="32"/>
          <w:szCs w:val="32"/>
          <w:lang w:eastAsia="zh-CN"/>
        </w:rPr>
        <w:t>4.83</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本年度工资变动导致人员经费增加，相应收支增加</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 支出总计</w:t>
      </w:r>
      <w:r>
        <w:rPr>
          <w:rFonts w:hint="eastAsia" w:ascii="仿宋" w:hAnsi="仿宋" w:eastAsia="仿宋"/>
          <w:color w:val="000000"/>
          <w:sz w:val="32"/>
          <w:szCs w:val="32"/>
          <w:lang w:eastAsia="zh-CN"/>
        </w:rPr>
        <w:t>216.43</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年相比，减少</w:t>
      </w:r>
      <w:r>
        <w:rPr>
          <w:rFonts w:hint="eastAsia" w:ascii="仿宋" w:hAnsi="仿宋" w:eastAsia="仿宋" w:cs="仿宋"/>
          <w:color w:val="000000"/>
          <w:sz w:val="32"/>
          <w:szCs w:val="32"/>
          <w:lang w:eastAsia="zh-CN"/>
        </w:rPr>
        <w:t>3.92</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11.79</w:t>
      </w:r>
      <w:r>
        <w:rPr>
          <w:rFonts w:hint="eastAsia" w:ascii="仿宋" w:hAnsi="仿宋" w:eastAsia="仿宋" w:cs="仿宋"/>
          <w:color w:val="000000"/>
          <w:sz w:val="32"/>
          <w:szCs w:val="32"/>
        </w:rPr>
        <w:t>%。主要变动原因:本年度业务活动减少，相应费用减少</w:t>
      </w:r>
      <w:r>
        <w:rPr>
          <w:rFonts w:hint="eastAsia" w:ascii="仿宋" w:hAnsi="仿宋" w:eastAsia="仿宋" w:cs="仿宋"/>
          <w:color w:val="000000"/>
          <w:sz w:val="32"/>
          <w:szCs w:val="32"/>
          <w:lang w:eastAsia="zh-CN"/>
        </w:rPr>
        <w:t>。</w:t>
      </w:r>
    </w:p>
    <w:p w14:paraId="12F324FB">
      <w:pPr>
        <w:pStyle w:val="20"/>
        <w:spacing w:before="0" w:after="0" w:afterAutospacing="0" w:line="360" w:lineRule="auto"/>
        <w:ind w:firstLine="420" w:firstLineChars="200"/>
        <w:jc w:val="left"/>
        <w:rPr>
          <w:rFonts w:hint="eastAsia" w:ascii="仿宋" w:hAnsi="仿宋" w:eastAsia="仿宋" w:cs="仿宋"/>
          <w:color w:val="000000"/>
          <w:sz w:val="32"/>
          <w:szCs w:val="32"/>
        </w:rPr>
      </w:pPr>
      <w:r>
        <w:drawing>
          <wp:inline distT="0" distB="0" distL="114300" distR="114300">
            <wp:extent cx="4459605" cy="2211705"/>
            <wp:effectExtent l="5080" t="5080" r="5715" b="5715"/>
            <wp:docPr id="13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297A9B0">
      <w:pPr>
        <w:pStyle w:val="20"/>
        <w:spacing w:before="0" w:after="0" w:afterAutospacing="0" w:line="360" w:lineRule="auto"/>
        <w:ind w:firstLine="420" w:firstLineChars="200"/>
        <w:jc w:val="left"/>
        <w:rPr>
          <w:szCs w:val="21"/>
        </w:rPr>
      </w:pPr>
      <w:r>
        <w:rPr>
          <w:szCs w:val="21"/>
        </w:rPr>
        <w:drawing>
          <wp:inline distT="0" distB="0" distL="114300" distR="114300">
            <wp:extent cx="4617085" cy="2406015"/>
            <wp:effectExtent l="4445" t="4445" r="13970" b="1524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88D72C">
      <w:pPr>
        <w:spacing w:line="56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1</w:t>
      </w:r>
      <w:r>
        <w:rPr>
          <w:rFonts w:hint="eastAsia" w:ascii="仿宋" w:hAnsi="仿宋" w:eastAsia="仿宋" w:cs="仿宋"/>
          <w:color w:val="000000"/>
          <w:sz w:val="32"/>
          <w:szCs w:val="32"/>
        </w:rPr>
        <w:t>：收、支决算总计变动情况图）（柱状图）</w:t>
      </w:r>
    </w:p>
    <w:p w14:paraId="030DF84B">
      <w:pPr>
        <w:pStyle w:val="4"/>
        <w:spacing w:line="560" w:lineRule="exact"/>
        <w:ind w:firstLine="640" w:firstLineChars="200"/>
      </w:pPr>
      <w:r>
        <w:rPr>
          <w:rFonts w:hint="eastAsia" w:ascii="黑体" w:hAnsi="黑体" w:eastAsia="黑体"/>
          <w:b w:val="0"/>
          <w:bCs w:val="0"/>
          <w:color w:val="000000"/>
        </w:rPr>
        <w:t>二、收入决算情况说明</w:t>
      </w:r>
    </w:p>
    <w:p w14:paraId="4770C60E">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eastAsia="zh-CN"/>
        </w:rPr>
        <w:t>216.43</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eastAsia="zh-CN"/>
        </w:rPr>
        <w:t>216.43</w:t>
      </w:r>
      <w:r>
        <w:rPr>
          <w:rFonts w:hint="eastAsia" w:ascii="仿宋" w:hAnsi="仿宋" w:eastAsia="仿宋" w:cs="仿宋"/>
          <w:color w:val="000000"/>
          <w:sz w:val="32"/>
          <w:szCs w:val="32"/>
        </w:rPr>
        <w:t>万元，占100</w:t>
      </w:r>
      <w:r>
        <w:rPr>
          <w:rFonts w:hint="eastAsia" w:ascii="仿宋" w:hAnsi="仿宋" w:eastAsia="仿宋"/>
          <w:color w:val="000000"/>
          <w:sz w:val="32"/>
          <w:szCs w:val="32"/>
        </w:rPr>
        <w:t>%</w:t>
      </w:r>
      <w:r>
        <w:rPr>
          <w:rFonts w:hint="eastAsia" w:ascii="仿宋" w:hAnsi="仿宋" w:eastAsia="仿宋" w:cs="仿宋"/>
          <w:color w:val="000000"/>
          <w:sz w:val="32"/>
          <w:szCs w:val="32"/>
        </w:rPr>
        <w:t>。</w:t>
      </w:r>
    </w:p>
    <w:p w14:paraId="70BF31B2">
      <w:pPr>
        <w:pStyle w:val="20"/>
        <w:spacing w:before="0" w:after="120" w:afterAutospacing="0" w:line="360" w:lineRule="auto"/>
        <w:ind w:firstLine="420" w:firstLineChars="200"/>
        <w:jc w:val="center"/>
        <w:rPr>
          <w:szCs w:val="21"/>
        </w:rPr>
      </w:pPr>
      <w:r>
        <w:drawing>
          <wp:inline distT="0" distB="0" distL="114300" distR="114300">
            <wp:extent cx="4165600" cy="1859915"/>
            <wp:effectExtent l="4445" t="4445" r="20955" b="21590"/>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66607A">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2</w:t>
      </w:r>
      <w:r>
        <w:rPr>
          <w:rFonts w:hint="eastAsia" w:ascii="仿宋" w:hAnsi="仿宋" w:eastAsia="仿宋" w:cs="仿宋"/>
          <w:color w:val="000000"/>
          <w:sz w:val="32"/>
          <w:szCs w:val="32"/>
        </w:rPr>
        <w:t>：收入决算结构图）（饼状图）</w:t>
      </w:r>
    </w:p>
    <w:p w14:paraId="440A1D00">
      <w:pPr>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 xml:space="preserve"> </w:t>
      </w:r>
    </w:p>
    <w:p w14:paraId="52A04DDF">
      <w:pPr>
        <w:pStyle w:val="4"/>
        <w:spacing w:line="560" w:lineRule="exact"/>
        <w:ind w:firstLine="640" w:firstLineChars="200"/>
      </w:pPr>
      <w:r>
        <w:rPr>
          <w:rFonts w:hint="eastAsia" w:ascii="黑体" w:hAnsi="黑体" w:eastAsia="黑体"/>
          <w:b w:val="0"/>
          <w:bCs w:val="0"/>
          <w:color w:val="000000"/>
        </w:rPr>
        <w:t>三、支出决算情况说</w:t>
      </w:r>
      <w:r>
        <w:rPr>
          <w:rFonts w:hint="eastAsia"/>
        </w:rPr>
        <w:t>明</w:t>
      </w:r>
    </w:p>
    <w:p w14:paraId="2714F5BE">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cs="仿宋_GB2312"/>
          <w:sz w:val="32"/>
          <w:szCs w:val="32"/>
        </w:rPr>
        <w:t>年本年支出合计</w:t>
      </w:r>
      <w:r>
        <w:rPr>
          <w:rFonts w:hint="eastAsia" w:ascii="仿宋" w:hAnsi="仿宋" w:eastAsia="仿宋"/>
          <w:color w:val="000000"/>
          <w:sz w:val="32"/>
          <w:szCs w:val="32"/>
          <w:lang w:eastAsia="zh-CN"/>
        </w:rPr>
        <w:t>216.43</w:t>
      </w:r>
      <w:r>
        <w:rPr>
          <w:rFonts w:ascii="仿宋_GB2312" w:eastAsia="仿宋_GB2312" w:cs="仿宋_GB2312"/>
          <w:sz w:val="32"/>
          <w:szCs w:val="32"/>
        </w:rPr>
        <w:t>万元</w:t>
      </w:r>
      <w:r>
        <w:rPr>
          <w:rFonts w:hint="eastAsia" w:ascii="仿宋_GB2312" w:eastAsia="仿宋_GB2312"/>
          <w:sz w:val="32"/>
          <w:szCs w:val="32"/>
        </w:rPr>
        <w:t>，其中：基本支出213.72万元，占</w:t>
      </w:r>
      <w:r>
        <w:rPr>
          <w:rFonts w:hint="eastAsia" w:ascii="仿宋_GB2312" w:eastAsia="仿宋_GB2312"/>
          <w:sz w:val="32"/>
          <w:szCs w:val="32"/>
          <w:lang w:val="en-US" w:eastAsia="zh-CN"/>
        </w:rPr>
        <w:t>98.74</w:t>
      </w:r>
      <w:r>
        <w:rPr>
          <w:rFonts w:hint="eastAsia" w:ascii="仿宋_GB2312" w:eastAsia="仿宋_GB2312"/>
          <w:sz w:val="32"/>
          <w:szCs w:val="32"/>
        </w:rPr>
        <w:t>%；项目支出</w:t>
      </w:r>
      <w:r>
        <w:rPr>
          <w:rFonts w:hint="eastAsia" w:ascii="仿宋_GB2312" w:eastAsia="仿宋_GB2312"/>
          <w:sz w:val="32"/>
          <w:szCs w:val="32"/>
          <w:lang w:val="en-US" w:eastAsia="zh-CN"/>
        </w:rPr>
        <w:t>2.72</w:t>
      </w:r>
      <w:r>
        <w:rPr>
          <w:rFonts w:hint="eastAsia" w:ascii="仿宋_GB2312" w:eastAsia="仿宋_GB2312"/>
          <w:sz w:val="32"/>
          <w:szCs w:val="32"/>
        </w:rPr>
        <w:t>万元，占</w:t>
      </w:r>
      <w:r>
        <w:rPr>
          <w:rFonts w:hint="eastAsia" w:ascii="仿宋_GB2312" w:eastAsia="仿宋_GB2312"/>
          <w:sz w:val="32"/>
          <w:szCs w:val="32"/>
          <w:lang w:val="en-US" w:eastAsia="zh-CN"/>
        </w:rPr>
        <w:t>1.26</w:t>
      </w:r>
      <w:r>
        <w:rPr>
          <w:rFonts w:hint="eastAsia" w:ascii="仿宋_GB2312" w:eastAsia="仿宋_GB2312"/>
          <w:sz w:val="32"/>
          <w:szCs w:val="32"/>
        </w:rPr>
        <w:t>%。</w:t>
      </w:r>
    </w:p>
    <w:p w14:paraId="2D95A4C3">
      <w:pPr>
        <w:pStyle w:val="21"/>
        <w:jc w:val="center"/>
        <w:rPr>
          <w:rFonts w:ascii="仿宋" w:hAnsi="仿宋" w:eastAsia="仿宋"/>
          <w:color w:val="000000"/>
          <w:sz w:val="32"/>
          <w:szCs w:val="32"/>
          <w:shd w:val="pct10" w:color="auto" w:fill="FFFFFF"/>
        </w:rPr>
      </w:pPr>
      <w:r>
        <w:drawing>
          <wp:inline distT="0" distB="0" distL="114300" distR="114300">
            <wp:extent cx="4107180" cy="2176145"/>
            <wp:effectExtent l="4445" t="4445" r="15875" b="16510"/>
            <wp:docPr id="134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DBAAF8">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316C7752">
      <w:pPr>
        <w:spacing w:line="560" w:lineRule="exact"/>
        <w:ind w:firstLine="640" w:firstLineChars="200"/>
        <w:rPr>
          <w:rFonts w:ascii="仿宋_GB2312" w:eastAsia="仿宋_GB2312"/>
          <w:color w:val="FF0000"/>
          <w:sz w:val="32"/>
          <w:szCs w:val="32"/>
        </w:rPr>
      </w:pPr>
    </w:p>
    <w:p w14:paraId="177E34CC">
      <w:pPr>
        <w:spacing w:line="560" w:lineRule="exact"/>
        <w:ind w:firstLine="640" w:firstLineChars="200"/>
        <w:outlineLvl w:val="1"/>
        <w:rPr>
          <w:rStyle w:val="29"/>
          <w:rFonts w:ascii="黑体" w:hAnsi="黑体" w:eastAsia="黑体"/>
          <w:b w:val="0"/>
        </w:rPr>
      </w:pPr>
      <w:bookmarkStart w:id="35" w:name="_Toc15377208"/>
      <w:bookmarkStart w:id="36" w:name="_Toc79163863"/>
      <w:bookmarkStart w:id="37" w:name="_Toc15396606"/>
      <w:bookmarkStart w:id="38" w:name="_Toc7916361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5"/>
      <w:bookmarkEnd w:id="36"/>
      <w:bookmarkEnd w:id="37"/>
      <w:bookmarkEnd w:id="38"/>
    </w:p>
    <w:p w14:paraId="31C95AA3">
      <w:pPr>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eastAsia="zh-CN"/>
        </w:rPr>
        <w:t>216.43</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w:t>
      </w:r>
    </w:p>
    <w:p w14:paraId="4EA55EB3">
      <w:pPr>
        <w:spacing w:line="560" w:lineRule="exact"/>
        <w:rPr>
          <w:rFonts w:hint="eastAsia" w:eastAsia="仿宋"/>
          <w:lang w:eastAsia="zh-CN"/>
        </w:rPr>
      </w:pPr>
      <w:r>
        <w:rPr>
          <w:rFonts w:hint="eastAsia" w:ascii="仿宋" w:hAnsi="仿宋" w:eastAsia="仿宋"/>
          <w:color w:val="000000"/>
          <w:sz w:val="32"/>
          <w:szCs w:val="32"/>
          <w:lang w:val="en-US" w:eastAsia="zh-CN"/>
        </w:rPr>
        <w:t>增加</w:t>
      </w:r>
      <w:r>
        <w:rPr>
          <w:rFonts w:hint="eastAsia" w:ascii="仿宋" w:hAnsi="仿宋" w:eastAsia="仿宋" w:cs="仿宋"/>
          <w:color w:val="000000"/>
          <w:sz w:val="32"/>
          <w:szCs w:val="32"/>
          <w:lang w:eastAsia="zh-CN"/>
        </w:rPr>
        <w:t>9.97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w:t>
      </w:r>
      <w:r>
        <w:rPr>
          <w:rFonts w:hint="eastAsia" w:ascii="仿宋" w:hAnsi="仿宋" w:eastAsia="仿宋"/>
          <w:color w:val="000000"/>
          <w:sz w:val="32"/>
          <w:szCs w:val="32"/>
        </w:rPr>
        <w:t>4.83%。主要变动原因：</w:t>
      </w:r>
      <w:r>
        <w:rPr>
          <w:rFonts w:hint="eastAsia" w:ascii="仿宋" w:hAnsi="仿宋" w:eastAsia="仿宋" w:cs="仿宋"/>
          <w:color w:val="000000"/>
          <w:sz w:val="32"/>
          <w:szCs w:val="32"/>
          <w:lang w:eastAsia="zh-CN"/>
        </w:rPr>
        <w:t>本年度工资变动导致人员经费增加，相应收支增加</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eastAsia="zh-CN"/>
        </w:rPr>
        <w:t>216.43</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年相比，减少</w:t>
      </w:r>
      <w:r>
        <w:rPr>
          <w:rFonts w:hint="eastAsia" w:ascii="仿宋" w:hAnsi="仿宋" w:eastAsia="仿宋" w:cs="仿宋"/>
          <w:color w:val="000000"/>
          <w:sz w:val="32"/>
          <w:szCs w:val="32"/>
          <w:lang w:eastAsia="zh-CN"/>
        </w:rPr>
        <w:t>3.92</w:t>
      </w:r>
      <w:r>
        <w:rPr>
          <w:rFonts w:hint="eastAsia" w:ascii="仿宋" w:hAnsi="仿宋" w:eastAsia="仿宋"/>
          <w:color w:val="000000"/>
          <w:sz w:val="32"/>
          <w:szCs w:val="32"/>
        </w:rPr>
        <w:t>万元，下降</w:t>
      </w:r>
      <w:r>
        <w:rPr>
          <w:rFonts w:hint="eastAsia" w:ascii="仿宋" w:hAnsi="仿宋" w:eastAsia="仿宋" w:cs="仿宋"/>
          <w:color w:val="000000"/>
          <w:sz w:val="32"/>
          <w:szCs w:val="32"/>
          <w:lang w:val="en-US" w:eastAsia="zh-CN"/>
        </w:rPr>
        <w:t>11.79</w:t>
      </w:r>
      <w:r>
        <w:rPr>
          <w:rFonts w:hint="eastAsia" w:ascii="仿宋" w:hAnsi="仿宋" w:eastAsia="仿宋"/>
          <w:color w:val="000000"/>
          <w:sz w:val="32"/>
          <w:szCs w:val="32"/>
        </w:rPr>
        <w:t>%。主要变动原因:</w:t>
      </w:r>
      <w:r>
        <w:rPr>
          <w:rFonts w:hint="eastAsia" w:ascii="仿宋" w:hAnsi="仿宋" w:eastAsia="仿宋" w:cs="仿宋"/>
          <w:color w:val="000000"/>
          <w:sz w:val="32"/>
          <w:szCs w:val="32"/>
        </w:rPr>
        <w:t>本年度项目减少，项目支出减少，故本年支出减少</w:t>
      </w:r>
      <w:r>
        <w:rPr>
          <w:rFonts w:hint="eastAsia" w:ascii="仿宋" w:hAnsi="仿宋" w:eastAsia="仿宋" w:cs="仿宋"/>
          <w:color w:val="000000"/>
          <w:sz w:val="32"/>
          <w:szCs w:val="32"/>
          <w:lang w:eastAsia="zh-CN"/>
        </w:rPr>
        <w:t>。</w:t>
      </w:r>
    </w:p>
    <w:p w14:paraId="3B6D1D0E">
      <w:pPr>
        <w:pStyle w:val="2"/>
      </w:pPr>
      <w:r>
        <w:drawing>
          <wp:inline distT="0" distB="0" distL="114300" distR="114300">
            <wp:extent cx="4208780" cy="2270760"/>
            <wp:effectExtent l="4445" t="4445" r="15875" b="10795"/>
            <wp:docPr id="134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012C3F">
      <w:pPr>
        <w:pStyle w:val="21"/>
        <w:jc w:val="left"/>
        <w:rPr>
          <w:rFonts w:ascii="仿宋" w:hAnsi="仿宋" w:eastAsia="仿宋"/>
          <w:color w:val="000000"/>
          <w:sz w:val="32"/>
          <w:szCs w:val="32"/>
        </w:rPr>
      </w:pPr>
      <w:r>
        <w:drawing>
          <wp:inline distT="0" distB="0" distL="114300" distR="114300">
            <wp:extent cx="4339590" cy="2130425"/>
            <wp:effectExtent l="4445" t="4445" r="12065" b="11430"/>
            <wp:docPr id="134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C93CE6">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4E067A4C">
      <w:pPr>
        <w:spacing w:line="560" w:lineRule="exact"/>
        <w:ind w:firstLine="640"/>
        <w:rPr>
          <w:rFonts w:ascii="仿宋" w:hAnsi="仿宋" w:eastAsia="仿宋"/>
          <w:b/>
          <w:color w:val="00B050"/>
          <w:sz w:val="32"/>
          <w:szCs w:val="32"/>
        </w:rPr>
      </w:pPr>
    </w:p>
    <w:p w14:paraId="49151491">
      <w:pPr>
        <w:spacing w:line="560" w:lineRule="exact"/>
        <w:ind w:firstLine="640" w:firstLineChars="200"/>
        <w:outlineLvl w:val="1"/>
        <w:rPr>
          <w:rStyle w:val="29"/>
          <w:rFonts w:ascii="黑体" w:hAnsi="黑体" w:eastAsia="黑体"/>
          <w:b w:val="0"/>
        </w:rPr>
      </w:pPr>
      <w:bookmarkStart w:id="39" w:name="_Toc15377209"/>
      <w:bookmarkStart w:id="40" w:name="_Toc15396607"/>
      <w:bookmarkStart w:id="41" w:name="_Toc79163864"/>
      <w:bookmarkStart w:id="42"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9"/>
      <w:bookmarkEnd w:id="40"/>
      <w:bookmarkEnd w:id="41"/>
      <w:bookmarkEnd w:id="42"/>
    </w:p>
    <w:p w14:paraId="26E98D57">
      <w:pPr>
        <w:spacing w:line="560" w:lineRule="exact"/>
        <w:ind w:firstLine="643" w:firstLineChars="200"/>
        <w:outlineLvl w:val="2"/>
        <w:rPr>
          <w:rFonts w:ascii="仿宋" w:hAnsi="仿宋" w:eastAsia="仿宋"/>
          <w:b/>
          <w:color w:val="000000"/>
          <w:sz w:val="32"/>
          <w:szCs w:val="32"/>
        </w:rPr>
      </w:pPr>
      <w:bookmarkStart w:id="43" w:name="_Toc79163865"/>
      <w:bookmarkStart w:id="44" w:name="_Toc15377210"/>
      <w:bookmarkStart w:id="45" w:name="_Toc79163615"/>
      <w:r>
        <w:rPr>
          <w:rFonts w:hint="eastAsia" w:ascii="仿宋" w:hAnsi="仿宋" w:eastAsia="仿宋"/>
          <w:b/>
          <w:color w:val="000000"/>
          <w:sz w:val="32"/>
          <w:szCs w:val="32"/>
        </w:rPr>
        <w:t>（一）一般公共预算财政拨款支出决算总体情况</w:t>
      </w:r>
      <w:bookmarkEnd w:id="43"/>
      <w:bookmarkEnd w:id="44"/>
      <w:bookmarkEnd w:id="45"/>
    </w:p>
    <w:p w14:paraId="51FB8C98">
      <w:pPr>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216.43</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8.83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w:t>
      </w:r>
      <w:r>
        <w:rPr>
          <w:rFonts w:hint="eastAsia" w:ascii="仿宋" w:hAnsi="仿宋" w:eastAsia="仿宋"/>
          <w:color w:val="000000"/>
          <w:sz w:val="32"/>
          <w:szCs w:val="32"/>
        </w:rPr>
        <w:t>3.92%。主要变动原因:</w:t>
      </w:r>
      <w:r>
        <w:rPr>
          <w:rFonts w:hint="eastAsia" w:ascii="仿宋" w:hAnsi="仿宋" w:eastAsia="仿宋" w:cs="仿宋"/>
          <w:color w:val="000000"/>
          <w:sz w:val="32"/>
          <w:szCs w:val="32"/>
        </w:rPr>
        <w:t>本年度项目减少，项目支出减少，故本年支出减少</w:t>
      </w:r>
      <w:r>
        <w:rPr>
          <w:rFonts w:hint="eastAsia" w:ascii="仿宋" w:hAnsi="仿宋" w:eastAsia="仿宋" w:cs="仿宋"/>
          <w:color w:val="000000"/>
          <w:sz w:val="32"/>
          <w:szCs w:val="32"/>
          <w:lang w:eastAsia="zh-CN"/>
        </w:rPr>
        <w:t>。</w:t>
      </w:r>
    </w:p>
    <w:p w14:paraId="66E87B38">
      <w:pPr>
        <w:jc w:val="center"/>
        <w:rPr>
          <w:rFonts w:ascii="仿宋" w:hAnsi="仿宋" w:eastAsia="仿宋"/>
          <w:color w:val="000000"/>
          <w:sz w:val="32"/>
          <w:szCs w:val="32"/>
        </w:rPr>
      </w:pPr>
      <w:r>
        <w:drawing>
          <wp:inline distT="0" distB="0" distL="114300" distR="114300">
            <wp:extent cx="4451350" cy="2411095"/>
            <wp:effectExtent l="4445" t="4445" r="14605" b="10160"/>
            <wp:docPr id="135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4F14EF">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746AB3C0">
      <w:pPr>
        <w:spacing w:line="560" w:lineRule="exact"/>
        <w:ind w:firstLine="640" w:firstLineChars="200"/>
        <w:rPr>
          <w:rFonts w:ascii="仿宋" w:hAnsi="仿宋" w:eastAsia="仿宋"/>
          <w:color w:val="000000"/>
          <w:sz w:val="32"/>
          <w:szCs w:val="32"/>
        </w:rPr>
      </w:pPr>
    </w:p>
    <w:p w14:paraId="02EFF413">
      <w:pPr>
        <w:spacing w:line="560" w:lineRule="exact"/>
        <w:ind w:firstLine="643" w:firstLineChars="200"/>
        <w:outlineLvl w:val="2"/>
        <w:rPr>
          <w:rFonts w:ascii="仿宋" w:hAnsi="仿宋" w:eastAsia="仿宋"/>
          <w:b/>
          <w:color w:val="000000"/>
          <w:sz w:val="32"/>
          <w:szCs w:val="32"/>
        </w:rPr>
      </w:pPr>
      <w:bookmarkStart w:id="46" w:name="_Toc15377211"/>
      <w:bookmarkStart w:id="47" w:name="_Toc79163866"/>
      <w:bookmarkStart w:id="48" w:name="_Toc79163616"/>
      <w:r>
        <w:rPr>
          <w:rFonts w:hint="eastAsia" w:ascii="仿宋" w:hAnsi="仿宋" w:eastAsia="仿宋"/>
          <w:b/>
          <w:color w:val="000000"/>
          <w:sz w:val="32"/>
          <w:szCs w:val="32"/>
        </w:rPr>
        <w:t>（二）一般公共预算财政拨款支出决算结构情况</w:t>
      </w:r>
      <w:bookmarkEnd w:id="46"/>
      <w:bookmarkEnd w:id="47"/>
      <w:bookmarkEnd w:id="48"/>
    </w:p>
    <w:p w14:paraId="31F957F4">
      <w:pPr>
        <w:spacing w:line="56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216.43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color w:val="000000"/>
          <w:sz w:val="32"/>
          <w:szCs w:val="32"/>
        </w:rPr>
        <w:t>167.66万元，占</w:t>
      </w:r>
      <w:r>
        <w:rPr>
          <w:rFonts w:hint="eastAsia" w:ascii="仿宋" w:hAnsi="仿宋" w:eastAsia="仿宋"/>
          <w:color w:val="000000"/>
          <w:sz w:val="32"/>
          <w:szCs w:val="32"/>
          <w:lang w:val="en-US" w:eastAsia="zh-CN"/>
        </w:rPr>
        <w:t>77.47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社会保障和就业支出</w:t>
      </w:r>
      <w:r>
        <w:rPr>
          <w:rFonts w:hint="eastAsia" w:ascii="仿宋" w:hAnsi="仿宋" w:eastAsia="仿宋"/>
          <w:color w:val="000000"/>
          <w:sz w:val="32"/>
          <w:szCs w:val="32"/>
        </w:rPr>
        <w:t>22.06万元，占</w:t>
      </w:r>
      <w:r>
        <w:rPr>
          <w:rFonts w:hint="eastAsia" w:ascii="仿宋" w:hAnsi="仿宋" w:eastAsia="仿宋"/>
          <w:color w:val="000000"/>
          <w:sz w:val="32"/>
          <w:szCs w:val="32"/>
          <w:lang w:val="en-US" w:eastAsia="zh-CN"/>
        </w:rPr>
        <w:t>10.19</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10.83万元，占</w:t>
      </w:r>
      <w:r>
        <w:rPr>
          <w:rFonts w:hint="eastAsia" w:ascii="仿宋" w:hAnsi="仿宋" w:eastAsia="仿宋"/>
          <w:color w:val="000000"/>
          <w:sz w:val="32"/>
          <w:szCs w:val="32"/>
          <w:lang w:val="en-US" w:eastAsia="zh-CN"/>
        </w:rPr>
        <w:t>5.00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住房保障支出（类）</w:t>
      </w:r>
      <w:r>
        <w:rPr>
          <w:rFonts w:hint="eastAsia" w:ascii="仿宋" w:hAnsi="仿宋" w:eastAsia="仿宋"/>
          <w:color w:val="000000"/>
          <w:sz w:val="32"/>
          <w:szCs w:val="32"/>
        </w:rPr>
        <w:t>支出15.88万元，占</w:t>
      </w:r>
      <w:r>
        <w:rPr>
          <w:rFonts w:hint="eastAsia" w:ascii="仿宋" w:hAnsi="仿宋" w:eastAsia="仿宋"/>
          <w:color w:val="000000"/>
          <w:sz w:val="32"/>
          <w:szCs w:val="32"/>
          <w:lang w:val="en-US" w:eastAsia="zh-CN"/>
        </w:rPr>
        <w:t>7.34</w:t>
      </w:r>
      <w:r>
        <w:rPr>
          <w:rFonts w:hint="eastAsia" w:ascii="仿宋" w:hAnsi="仿宋" w:eastAsia="仿宋"/>
          <w:color w:val="000000"/>
          <w:sz w:val="32"/>
          <w:szCs w:val="32"/>
        </w:rPr>
        <w:t>%。</w:t>
      </w:r>
    </w:p>
    <w:p w14:paraId="2C828522">
      <w:pPr>
        <w:jc w:val="center"/>
        <w:rPr>
          <w:rFonts w:ascii="仿宋" w:hAnsi="仿宋" w:eastAsia="仿宋"/>
          <w:color w:val="000000"/>
          <w:sz w:val="32"/>
          <w:szCs w:val="32"/>
        </w:rPr>
      </w:pPr>
      <w:r>
        <w:drawing>
          <wp:inline distT="0" distB="0" distL="114300" distR="114300">
            <wp:extent cx="4466590" cy="2393950"/>
            <wp:effectExtent l="4445" t="4445" r="12065" b="14605"/>
            <wp:docPr id="135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16422C">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5B76280F">
      <w:pPr>
        <w:spacing w:line="560" w:lineRule="exact"/>
        <w:ind w:firstLine="640" w:firstLineChars="200"/>
        <w:rPr>
          <w:rFonts w:ascii="仿宋" w:hAnsi="仿宋" w:eastAsia="仿宋"/>
          <w:color w:val="000000"/>
          <w:sz w:val="32"/>
          <w:szCs w:val="32"/>
        </w:rPr>
      </w:pPr>
    </w:p>
    <w:p w14:paraId="00AF0CE5">
      <w:pPr>
        <w:spacing w:line="560" w:lineRule="exact"/>
        <w:ind w:firstLine="643" w:firstLineChars="200"/>
        <w:outlineLvl w:val="2"/>
        <w:rPr>
          <w:rFonts w:ascii="仿宋" w:hAnsi="仿宋" w:eastAsia="仿宋"/>
          <w:b/>
          <w:color w:val="000000"/>
          <w:sz w:val="32"/>
          <w:szCs w:val="32"/>
        </w:rPr>
      </w:pPr>
      <w:bookmarkStart w:id="49" w:name="_Toc79163617"/>
      <w:bookmarkStart w:id="50" w:name="_Toc15377212"/>
      <w:bookmarkStart w:id="51" w:name="_Toc79163867"/>
      <w:r>
        <w:rPr>
          <w:rFonts w:hint="eastAsia" w:ascii="仿宋" w:hAnsi="仿宋" w:eastAsia="仿宋"/>
          <w:b/>
          <w:color w:val="000000"/>
          <w:sz w:val="32"/>
          <w:szCs w:val="32"/>
        </w:rPr>
        <w:t>（三）一般公共预算财政拨款支出决算具体情况</w:t>
      </w:r>
      <w:bookmarkEnd w:id="49"/>
      <w:bookmarkEnd w:id="50"/>
      <w:bookmarkEnd w:id="51"/>
    </w:p>
    <w:p w14:paraId="076D5134">
      <w:pPr>
        <w:spacing w:line="560" w:lineRule="exact"/>
        <w:ind w:firstLine="643" w:firstLineChars="200"/>
        <w:rPr>
          <w:rFonts w:ascii="仿宋_GB2312" w:eastAsia="仿宋_GB2312"/>
          <w:b/>
          <w:bCs/>
          <w:sz w:val="32"/>
          <w:szCs w:val="32"/>
        </w:rPr>
      </w:pPr>
      <w:bookmarkStart w:id="52" w:name="_Toc15378460"/>
      <w:bookmarkStart w:id="53" w:name="_Toc15377444"/>
      <w:bookmarkStart w:id="54" w:name="_Toc15377213"/>
      <w:r>
        <w:rPr>
          <w:rFonts w:hint="eastAsia" w:ascii="仿宋_GB2312" w:eastAsia="仿宋_GB2312"/>
          <w:b/>
          <w:bCs/>
          <w:sz w:val="32"/>
          <w:szCs w:val="32"/>
          <w:lang w:eastAsia="zh-CN"/>
        </w:rPr>
        <w:t>2023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216.43</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52"/>
      <w:bookmarkEnd w:id="53"/>
      <w:bookmarkEnd w:id="54"/>
    </w:p>
    <w:p w14:paraId="37F19B58">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一般公共服务（类）民族事务（款）行政运行（项）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93.62</w:t>
      </w:r>
      <w:r>
        <w:rPr>
          <w:rFonts w:ascii="仿宋_GB2312" w:hAnsi="仿宋" w:eastAsia="仿宋_GB2312" w:cs="仿宋_GB2312"/>
          <w:bCs/>
          <w:color w:val="000000"/>
          <w:sz w:val="32"/>
          <w:szCs w:val="32"/>
        </w:rPr>
        <w:t>万元，完成预算100%。</w:t>
      </w:r>
    </w:p>
    <w:p w14:paraId="2CCF2C2D">
      <w:pPr>
        <w:spacing w:line="560" w:lineRule="exact"/>
        <w:ind w:firstLine="643" w:firstLineChars="200"/>
        <w:rPr>
          <w:rFonts w:hint="eastAsia" w:ascii="仿宋_GB2312" w:hAnsi="仿宋" w:eastAsia="仿宋_GB2312" w:cs="仿宋_GB2312"/>
          <w:bCs/>
          <w:color w:val="000000"/>
          <w:sz w:val="32"/>
          <w:szCs w:val="32"/>
        </w:rPr>
      </w:pPr>
      <w:r>
        <w:rPr>
          <w:rFonts w:hint="eastAsia" w:ascii="仿宋_GB2312" w:hAnsi="仿宋" w:eastAsia="仿宋_GB2312" w:cs="仿宋_GB2312"/>
          <w:b/>
          <w:bCs w:val="0"/>
          <w:color w:val="000000"/>
          <w:sz w:val="32"/>
          <w:szCs w:val="32"/>
          <w:lang w:val="en-US" w:eastAsia="zh-CN"/>
        </w:rPr>
        <w:t>2</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w:t>
      </w:r>
      <w:r>
        <w:rPr>
          <w:rFonts w:ascii="仿宋_GB2312" w:hAnsi="仿宋" w:eastAsia="仿宋_GB2312" w:cs="仿宋_GB2312"/>
          <w:b/>
          <w:color w:val="000000"/>
          <w:sz w:val="32"/>
          <w:szCs w:val="32"/>
        </w:rPr>
        <w:t>）民族事务</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rPr>
        <w:t>款</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lang w:val="en-US" w:eastAsia="zh-CN"/>
        </w:rPr>
        <w:t>事业运行</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w:t>
      </w:r>
      <w:r>
        <w:rPr>
          <w:rFonts w:hint="eastAsia" w:ascii="仿宋_GB2312" w:hAnsi="仿宋" w:eastAsia="仿宋_GB2312" w:cs="仿宋_GB2312"/>
          <w:bCs/>
          <w:color w:val="000000"/>
          <w:sz w:val="32"/>
          <w:szCs w:val="32"/>
        </w:rPr>
        <w:t>71.32</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14:paraId="348ECBA9">
      <w:pPr>
        <w:spacing w:line="560" w:lineRule="exact"/>
        <w:ind w:firstLine="643" w:firstLineChars="200"/>
      </w:pPr>
      <w:r>
        <w:rPr>
          <w:rFonts w:hint="eastAsia" w:ascii="仿宋_GB2312" w:hAnsi="仿宋" w:eastAsia="仿宋_GB2312" w:cs="仿宋_GB2312"/>
          <w:b/>
          <w:bCs w:val="0"/>
          <w:color w:val="000000"/>
          <w:sz w:val="32"/>
          <w:szCs w:val="32"/>
          <w:lang w:val="en-US" w:eastAsia="zh-CN"/>
        </w:rPr>
        <w:t>3</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w:t>
      </w:r>
      <w:r>
        <w:rPr>
          <w:rFonts w:ascii="仿宋_GB2312" w:hAnsi="仿宋" w:eastAsia="仿宋_GB2312" w:cs="仿宋_GB2312"/>
          <w:b/>
          <w:color w:val="000000"/>
          <w:sz w:val="32"/>
          <w:szCs w:val="32"/>
        </w:rPr>
        <w:t>）</w:t>
      </w:r>
      <w:r>
        <w:rPr>
          <w:rFonts w:hint="eastAsia" w:ascii="仿宋_GB2312" w:hAnsi="仿宋" w:eastAsia="仿宋_GB2312" w:cs="仿宋_GB2312"/>
          <w:b/>
          <w:color w:val="000000"/>
          <w:sz w:val="32"/>
          <w:szCs w:val="32"/>
        </w:rPr>
        <w:t>统战事务</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rPr>
        <w:t>款</w:t>
      </w:r>
      <w:r>
        <w:rPr>
          <w:rFonts w:hint="eastAsia" w:ascii="仿宋_GB2312" w:hAnsi="仿宋" w:eastAsia="仿宋_GB2312" w:cs="仿宋_GB2312"/>
          <w:b/>
          <w:color w:val="000000"/>
          <w:sz w:val="32"/>
          <w:szCs w:val="32"/>
          <w:lang w:eastAsia="zh-CN"/>
        </w:rPr>
        <w:t>）</w:t>
      </w:r>
      <w:r>
        <w:rPr>
          <w:rFonts w:hint="eastAsia" w:ascii="仿宋_GB2312" w:hAnsi="仿宋" w:eastAsia="仿宋_GB2312" w:cs="仿宋_GB2312"/>
          <w:b/>
          <w:color w:val="000000"/>
          <w:sz w:val="32"/>
          <w:szCs w:val="32"/>
          <w:lang w:val="en-US" w:eastAsia="zh-CN"/>
        </w:rPr>
        <w:t>宗教事务</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w:t>
      </w:r>
      <w:r>
        <w:rPr>
          <w:rFonts w:hint="eastAsia" w:ascii="仿宋_GB2312" w:hAnsi="仿宋" w:eastAsia="仿宋_GB2312" w:cs="仿宋_GB2312"/>
          <w:bCs/>
          <w:color w:val="000000"/>
          <w:sz w:val="32"/>
          <w:szCs w:val="32"/>
        </w:rPr>
        <w:t>2.72</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14:paraId="74E77DCE">
      <w:pPr>
        <w:pStyle w:val="26"/>
        <w:ind w:left="0" w:leftChars="0" w:firstLine="643"/>
        <w:rPr>
          <w:rFonts w:eastAsia="仿宋"/>
        </w:rPr>
      </w:pPr>
      <w:r>
        <w:rPr>
          <w:rStyle w:val="24"/>
          <w:rFonts w:hint="eastAsia" w:ascii="仿宋" w:hAnsi="仿宋" w:eastAsia="仿宋"/>
          <w:bCs/>
          <w:color w:val="000000"/>
          <w:sz w:val="32"/>
          <w:szCs w:val="32"/>
          <w:lang w:val="en-US" w:eastAsia="zh-CN"/>
        </w:rPr>
        <w:t>4</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社会保障和就业支出（类）行政事业单位养老支出（款）机关事业单位基本养老保险缴费支出（项）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支出决算为14.71万元，完成预算100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2CB7A620">
      <w:pPr>
        <w:pStyle w:val="26"/>
        <w:spacing w:after="0" w:line="560" w:lineRule="exact"/>
        <w:ind w:left="0" w:leftChars="0" w:firstLine="643"/>
        <w:rPr>
          <w:rFonts w:eastAsia="仿宋"/>
        </w:rPr>
      </w:pPr>
      <w:r>
        <w:rPr>
          <w:rStyle w:val="24"/>
          <w:rFonts w:hint="eastAsia" w:ascii="仿宋" w:hAnsi="仿宋" w:eastAsia="仿宋"/>
          <w:bCs/>
          <w:color w:val="000000"/>
          <w:sz w:val="32"/>
          <w:szCs w:val="32"/>
          <w:lang w:val="en-US" w:eastAsia="zh-CN"/>
        </w:rPr>
        <w:t>5</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支出决算为7.35万元，完成预算100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6CB556DD">
      <w:pPr>
        <w:spacing w:line="560" w:lineRule="exact"/>
        <w:ind w:firstLine="643" w:firstLineChars="200"/>
        <w:rPr>
          <w:rStyle w:val="24"/>
          <w:rFonts w:hint="eastAsia" w:ascii="仿宋" w:hAnsi="仿宋" w:eastAsia="仿宋"/>
          <w:b w:val="0"/>
          <w:color w:val="000000"/>
          <w:sz w:val="32"/>
          <w:szCs w:val="32"/>
        </w:rPr>
      </w:pPr>
      <w:r>
        <w:rPr>
          <w:rStyle w:val="24"/>
          <w:rFonts w:hint="eastAsia" w:ascii="仿宋" w:hAnsi="仿宋" w:eastAsia="仿宋"/>
          <w:color w:val="000000"/>
          <w:sz w:val="32"/>
          <w:szCs w:val="32"/>
          <w:lang w:val="en-US" w:eastAsia="zh-CN"/>
        </w:rPr>
        <w:t>6</w:t>
      </w:r>
      <w:r>
        <w:rPr>
          <w:rStyle w:val="24"/>
          <w:rFonts w:hint="eastAsia" w:ascii="仿宋" w:hAnsi="仿宋" w:eastAsia="仿宋"/>
          <w:color w:val="000000"/>
          <w:sz w:val="32"/>
          <w:szCs w:val="32"/>
        </w:rPr>
        <w:t>.卫生健康支出（类）行政事业单位医疗（款）行政单位医疗（项）:</w:t>
      </w:r>
      <w:r>
        <w:rPr>
          <w:rStyle w:val="24"/>
          <w:rFonts w:hint="eastAsia" w:ascii="仿宋" w:hAnsi="仿宋" w:eastAsia="仿宋"/>
          <w:b w:val="0"/>
          <w:color w:val="000000"/>
          <w:sz w:val="32"/>
          <w:szCs w:val="32"/>
        </w:rPr>
        <w:t xml:space="preserve"> 支出决算为5.09万元，完成预算100%。</w:t>
      </w:r>
    </w:p>
    <w:p w14:paraId="408520A1">
      <w:pPr>
        <w:spacing w:line="560" w:lineRule="exact"/>
        <w:ind w:firstLine="643" w:firstLineChars="200"/>
      </w:pPr>
      <w:r>
        <w:rPr>
          <w:rStyle w:val="24"/>
          <w:rFonts w:hint="eastAsia" w:ascii="仿宋" w:hAnsi="仿宋" w:eastAsia="仿宋"/>
          <w:color w:val="000000"/>
          <w:sz w:val="32"/>
          <w:szCs w:val="32"/>
          <w:lang w:val="en-US" w:eastAsia="zh-CN"/>
        </w:rPr>
        <w:t>7</w:t>
      </w:r>
      <w:r>
        <w:rPr>
          <w:rStyle w:val="24"/>
          <w:rFonts w:hint="eastAsia" w:ascii="仿宋" w:hAnsi="仿宋" w:eastAsia="仿宋"/>
          <w:color w:val="000000"/>
          <w:sz w:val="32"/>
          <w:szCs w:val="32"/>
        </w:rPr>
        <w:t>.卫生健康支出（类）行政事业单位医疗（款）</w:t>
      </w:r>
      <w:r>
        <w:rPr>
          <w:rStyle w:val="24"/>
          <w:rFonts w:hint="eastAsia" w:ascii="仿宋" w:hAnsi="仿宋" w:eastAsia="仿宋"/>
          <w:color w:val="000000"/>
          <w:sz w:val="32"/>
          <w:szCs w:val="32"/>
          <w:lang w:val="en-US" w:eastAsia="zh-CN"/>
        </w:rPr>
        <w:t>事业</w:t>
      </w:r>
      <w:r>
        <w:rPr>
          <w:rStyle w:val="24"/>
          <w:rFonts w:hint="eastAsia" w:ascii="仿宋" w:hAnsi="仿宋" w:eastAsia="仿宋"/>
          <w:color w:val="000000"/>
          <w:sz w:val="32"/>
          <w:szCs w:val="32"/>
        </w:rPr>
        <w:t>单位医疗（项）:</w:t>
      </w:r>
      <w:r>
        <w:rPr>
          <w:rStyle w:val="24"/>
          <w:rFonts w:hint="eastAsia" w:ascii="仿宋" w:hAnsi="仿宋" w:eastAsia="仿宋"/>
          <w:b w:val="0"/>
          <w:color w:val="000000"/>
          <w:sz w:val="32"/>
          <w:szCs w:val="32"/>
        </w:rPr>
        <w:t xml:space="preserve"> 支出决算为4.01万元，完成预算100%。</w:t>
      </w:r>
    </w:p>
    <w:p w14:paraId="3CD06ABE">
      <w:pPr>
        <w:spacing w:line="56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color w:val="000000"/>
          <w:sz w:val="32"/>
          <w:szCs w:val="32"/>
          <w:lang w:val="en-US" w:eastAsia="zh-CN"/>
        </w:rPr>
        <w:t>8</w:t>
      </w:r>
      <w:r>
        <w:rPr>
          <w:rStyle w:val="24"/>
          <w:rFonts w:hint="eastAsia" w:ascii="仿宋" w:hAnsi="仿宋" w:eastAsia="仿宋"/>
          <w:color w:val="000000"/>
          <w:sz w:val="32"/>
          <w:szCs w:val="32"/>
        </w:rPr>
        <w:t xml:space="preserve">.卫生健康支出（类）行政事业单位医疗（款）公务员医疗补助（项）: </w:t>
      </w:r>
      <w:r>
        <w:rPr>
          <w:rStyle w:val="24"/>
          <w:rFonts w:hint="eastAsia" w:ascii="仿宋" w:hAnsi="仿宋" w:eastAsia="仿宋"/>
          <w:b w:val="0"/>
          <w:color w:val="000000"/>
          <w:sz w:val="32"/>
          <w:szCs w:val="32"/>
        </w:rPr>
        <w:t>支出决算为0.87万元，完成预算100%</w:t>
      </w:r>
      <w:r>
        <w:rPr>
          <w:rStyle w:val="24"/>
          <w:rFonts w:hint="eastAsia" w:ascii="仿宋" w:hAnsi="仿宋" w:eastAsia="仿宋"/>
          <w:b w:val="0"/>
          <w:bCs/>
          <w:color w:val="000000"/>
          <w:sz w:val="32"/>
          <w:szCs w:val="32"/>
        </w:rPr>
        <w:t>。</w:t>
      </w:r>
    </w:p>
    <w:p w14:paraId="68701697">
      <w:pPr>
        <w:spacing w:line="560" w:lineRule="exact"/>
        <w:ind w:firstLine="643" w:firstLineChars="200"/>
      </w:pPr>
      <w:r>
        <w:rPr>
          <w:rStyle w:val="24"/>
          <w:rFonts w:hint="eastAsia" w:ascii="仿宋" w:hAnsi="仿宋" w:eastAsia="仿宋"/>
          <w:color w:val="000000"/>
          <w:sz w:val="32"/>
          <w:szCs w:val="32"/>
          <w:lang w:val="en-US" w:eastAsia="zh-CN"/>
        </w:rPr>
        <w:t>9</w:t>
      </w:r>
      <w:r>
        <w:rPr>
          <w:rStyle w:val="24"/>
          <w:rFonts w:hint="eastAsia" w:ascii="仿宋" w:hAnsi="仿宋" w:eastAsia="仿宋"/>
          <w:color w:val="000000"/>
          <w:sz w:val="32"/>
          <w:szCs w:val="32"/>
        </w:rPr>
        <w:t xml:space="preserve">.卫生健康支出（类）行政事业单位医疗（款）其他行政事业单位医疗支出（项）: </w:t>
      </w:r>
      <w:r>
        <w:rPr>
          <w:rStyle w:val="24"/>
          <w:rFonts w:hint="eastAsia" w:ascii="仿宋" w:hAnsi="仿宋" w:eastAsia="仿宋"/>
          <w:b w:val="0"/>
          <w:color w:val="000000"/>
          <w:sz w:val="32"/>
          <w:szCs w:val="32"/>
        </w:rPr>
        <w:t>支出决算为0.87万元，完成预算100%</w:t>
      </w:r>
      <w:r>
        <w:rPr>
          <w:rStyle w:val="24"/>
          <w:rFonts w:hint="eastAsia" w:ascii="仿宋" w:hAnsi="仿宋" w:eastAsia="仿宋"/>
          <w:b w:val="0"/>
          <w:bCs/>
          <w:color w:val="000000"/>
          <w:sz w:val="32"/>
          <w:szCs w:val="32"/>
        </w:rPr>
        <w:t>。</w:t>
      </w:r>
    </w:p>
    <w:p w14:paraId="4BCF34B5">
      <w:pPr>
        <w:spacing w:line="560" w:lineRule="exact"/>
        <w:ind w:firstLine="643" w:firstLineChars="200"/>
        <w:rPr>
          <w:rFonts w:ascii="仿宋" w:hAnsi="仿宋" w:eastAsia="仿宋"/>
          <w:b/>
          <w:color w:val="000000"/>
          <w:sz w:val="32"/>
          <w:szCs w:val="32"/>
        </w:rPr>
      </w:pPr>
      <w:r>
        <w:rPr>
          <w:rFonts w:hint="eastAsia" w:ascii="仿宋" w:hAnsi="仿宋" w:eastAsia="仿宋" w:cs="仿宋"/>
          <w:b/>
          <w:color w:val="000000"/>
          <w:sz w:val="32"/>
          <w:szCs w:val="32"/>
          <w:lang w:val="en-US" w:eastAsia="zh-CN"/>
        </w:rPr>
        <w:t>10</w:t>
      </w:r>
      <w:r>
        <w:rPr>
          <w:rFonts w:hint="eastAsia" w:ascii="仿宋" w:hAnsi="仿宋" w:eastAsia="仿宋" w:cs="仿宋"/>
          <w:b/>
          <w:color w:val="000000"/>
          <w:sz w:val="32"/>
          <w:szCs w:val="32"/>
        </w:rPr>
        <w:t>.住房保障支出（类）住房改革支出（款）住房公积金（项）:</w:t>
      </w:r>
      <w:r>
        <w:rPr>
          <w:rFonts w:hint="eastAsia" w:ascii="仿宋" w:hAnsi="仿宋" w:eastAsia="仿宋" w:cs="仿宋"/>
          <w:color w:val="000000"/>
          <w:sz w:val="32"/>
          <w:szCs w:val="32"/>
        </w:rPr>
        <w:t>支出决算为15.88万元，完成预算100%。</w:t>
      </w:r>
    </w:p>
    <w:p w14:paraId="2F7755B4">
      <w:pPr>
        <w:tabs>
          <w:tab w:val="right" w:pos="8306"/>
        </w:tabs>
        <w:spacing w:line="560" w:lineRule="exact"/>
        <w:ind w:firstLine="640"/>
        <w:outlineLvl w:val="1"/>
        <w:rPr>
          <w:rStyle w:val="29"/>
        </w:rPr>
      </w:pPr>
      <w:bookmarkStart w:id="55" w:name="_Toc79163868"/>
      <w:bookmarkStart w:id="56" w:name="_Toc15377214"/>
      <w:bookmarkStart w:id="57" w:name="_Toc79163618"/>
      <w:bookmarkStart w:id="5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5"/>
      <w:bookmarkEnd w:id="56"/>
      <w:bookmarkEnd w:id="57"/>
      <w:bookmarkEnd w:id="58"/>
      <w:r>
        <w:rPr>
          <w:rStyle w:val="29"/>
          <w:rFonts w:ascii="黑体" w:hAnsi="黑体" w:eastAsia="黑体"/>
          <w:b w:val="0"/>
        </w:rPr>
        <w:tab/>
      </w:r>
    </w:p>
    <w:p w14:paraId="22DA677F">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eastAsia="zh-CN"/>
        </w:rPr>
        <w:t>213.72</w:t>
      </w:r>
      <w:r>
        <w:rPr>
          <w:rFonts w:hint="eastAsia" w:ascii="仿宋" w:hAnsi="仿宋" w:eastAsia="仿宋"/>
          <w:color w:val="000000"/>
          <w:sz w:val="32"/>
          <w:szCs w:val="32"/>
        </w:rPr>
        <w:t>万元，其中：</w:t>
      </w:r>
    </w:p>
    <w:p w14:paraId="2A4FB029">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人员经费198.10万元，主要包括：基本工资、津贴补贴、奖金、绩效工资、机关事业单位基本养老保险费、职业年金缴费、职工基本医疗保险缴费、其他社会保障缴费、住房公积金、医疗费补助。</w:t>
      </w:r>
    </w:p>
    <w:p w14:paraId="0B8DDB62">
      <w:pPr>
        <w:spacing w:line="56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日常公用经费15.61万元，主要包括：办公费、印刷费、电费、邮电费、差旅费、维修（护）费、劳务费、公务用车运行维护费。</w:t>
      </w:r>
    </w:p>
    <w:p w14:paraId="31059163">
      <w:pPr>
        <w:spacing w:line="560" w:lineRule="exact"/>
        <w:ind w:firstLine="640"/>
        <w:rPr>
          <w:rFonts w:ascii="仿宋" w:hAnsi="仿宋" w:eastAsia="仿宋"/>
          <w:b/>
          <w:color w:val="FF0000"/>
          <w:sz w:val="32"/>
          <w:szCs w:val="32"/>
        </w:rPr>
      </w:pPr>
    </w:p>
    <w:p w14:paraId="1E4F085A">
      <w:pPr>
        <w:spacing w:line="560" w:lineRule="exact"/>
        <w:ind w:firstLine="640"/>
        <w:outlineLvl w:val="1"/>
        <w:rPr>
          <w:rFonts w:ascii="黑体" w:hAnsi="黑体" w:eastAsia="黑体" w:cs="Times New Roman"/>
          <w:b w:val="0"/>
        </w:rPr>
      </w:pPr>
      <w:bookmarkStart w:id="59" w:name="_Toc15396609"/>
      <w:bookmarkStart w:id="60" w:name="_Toc79163619"/>
      <w:bookmarkStart w:id="61" w:name="_Toc79163869"/>
      <w:bookmarkStart w:id="62" w:name="_Toc15377215"/>
      <w:r>
        <w:rPr>
          <w:rFonts w:hint="eastAsia" w:ascii="黑体" w:hAnsi="Times New Roman" w:eastAsia="黑体" w:cs="Times New Roman"/>
          <w:color w:val="000000"/>
          <w:sz w:val="32"/>
          <w:szCs w:val="32"/>
        </w:rPr>
        <w:t>七、</w:t>
      </w:r>
      <w:r>
        <w:rPr>
          <w:rFonts w:hint="eastAsia" w:ascii="黑体" w:hAnsi="黑体" w:eastAsia="黑体" w:cs="Times New Roman"/>
          <w:b/>
          <w:bCs/>
          <w:sz w:val="32"/>
          <w:szCs w:val="32"/>
        </w:rPr>
        <w:t>“</w:t>
      </w:r>
      <w:r>
        <w:rPr>
          <w:rFonts w:hint="eastAsia" w:ascii="黑体" w:hAnsi="黑体" w:eastAsia="黑体" w:cs="Times New Roman"/>
          <w:b w:val="0"/>
          <w:bCs/>
          <w:sz w:val="32"/>
          <w:szCs w:val="32"/>
        </w:rPr>
        <w:t>三公”经费财政拨款支出决算情况说明</w:t>
      </w:r>
      <w:bookmarkEnd w:id="59"/>
      <w:bookmarkEnd w:id="60"/>
      <w:bookmarkEnd w:id="61"/>
      <w:bookmarkEnd w:id="62"/>
    </w:p>
    <w:p w14:paraId="510ED706">
      <w:pPr>
        <w:spacing w:line="560" w:lineRule="exact"/>
        <w:ind w:firstLine="640"/>
        <w:outlineLvl w:val="2"/>
        <w:rPr>
          <w:rFonts w:ascii="仿宋" w:hAnsi="仿宋" w:eastAsia="仿宋" w:cs="Times New Roman"/>
          <w:b/>
          <w:color w:val="000000"/>
          <w:sz w:val="32"/>
          <w:szCs w:val="32"/>
        </w:rPr>
      </w:pPr>
      <w:bookmarkStart w:id="63" w:name="_Toc79163620"/>
      <w:bookmarkStart w:id="64" w:name="_Toc79163870"/>
      <w:bookmarkStart w:id="65" w:name="_Toc15377216"/>
      <w:r>
        <w:rPr>
          <w:rFonts w:hint="eastAsia" w:ascii="仿宋" w:hAnsi="仿宋" w:eastAsia="仿宋" w:cs="Times New Roman"/>
          <w:b/>
          <w:color w:val="000000"/>
          <w:sz w:val="32"/>
          <w:szCs w:val="32"/>
        </w:rPr>
        <w:t>（一）“三公”经费财政拨款支出决算总体情况说明</w:t>
      </w:r>
      <w:bookmarkEnd w:id="63"/>
      <w:bookmarkEnd w:id="64"/>
      <w:bookmarkEnd w:id="65"/>
    </w:p>
    <w:p w14:paraId="3B09441C">
      <w:pPr>
        <w:spacing w:line="560" w:lineRule="exact"/>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lang w:eastAsia="zh-CN"/>
        </w:rPr>
        <w:t>2023</w:t>
      </w:r>
      <w:r>
        <w:rPr>
          <w:rFonts w:hint="eastAsia" w:ascii="仿宋" w:hAnsi="仿宋" w:eastAsia="仿宋" w:cs="Times New Roman"/>
          <w:color w:val="000000"/>
          <w:sz w:val="32"/>
          <w:szCs w:val="32"/>
        </w:rPr>
        <w:t>年“三公”经费财政拨款支出决算为0万元。</w:t>
      </w:r>
    </w:p>
    <w:p w14:paraId="454C7FAE">
      <w:pPr>
        <w:spacing w:line="560" w:lineRule="exact"/>
        <w:ind w:firstLine="640"/>
        <w:outlineLvl w:val="2"/>
        <w:rPr>
          <w:rFonts w:ascii="仿宋" w:hAnsi="仿宋" w:eastAsia="仿宋" w:cs="Times New Roman"/>
          <w:b/>
          <w:color w:val="000000"/>
          <w:sz w:val="32"/>
          <w:szCs w:val="32"/>
        </w:rPr>
      </w:pPr>
      <w:bookmarkStart w:id="66" w:name="_Toc79163621"/>
      <w:bookmarkStart w:id="67" w:name="_Toc79163871"/>
      <w:bookmarkStart w:id="68" w:name="_Toc15377217"/>
      <w:r>
        <w:rPr>
          <w:rFonts w:hint="eastAsia" w:ascii="仿宋" w:hAnsi="仿宋" w:eastAsia="仿宋" w:cs="Times New Roman"/>
          <w:b/>
          <w:color w:val="000000"/>
          <w:sz w:val="32"/>
          <w:szCs w:val="32"/>
        </w:rPr>
        <w:t>（二）“三公”经费财政拨款支出决算具体情况说明</w:t>
      </w:r>
      <w:bookmarkEnd w:id="66"/>
      <w:bookmarkEnd w:id="67"/>
      <w:bookmarkEnd w:id="68"/>
    </w:p>
    <w:p w14:paraId="1FFAF329">
      <w:pPr>
        <w:spacing w:line="560" w:lineRule="exact"/>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lang w:eastAsia="zh-CN"/>
        </w:rPr>
        <w:t>2023</w:t>
      </w:r>
      <w:r>
        <w:rPr>
          <w:rFonts w:hint="eastAsia" w:ascii="仿宋" w:hAnsi="仿宋" w:eastAsia="仿宋" w:cs="Times New Roman"/>
          <w:color w:val="000000"/>
          <w:sz w:val="32"/>
          <w:szCs w:val="32"/>
        </w:rPr>
        <w:t>年“三公”经费财政拨款支出决算中，因公出国（境）费支出决算0万元；公务用车购置及运行维护费支出决算0万元；公务接待费支出决算0万元。</w:t>
      </w:r>
    </w:p>
    <w:p w14:paraId="6796826E">
      <w:pPr>
        <w:spacing w:line="560" w:lineRule="exact"/>
        <w:ind w:firstLine="640"/>
        <w:rPr>
          <w:rFonts w:ascii="仿宋_GB2312" w:hAnsi="Times New Roman" w:eastAsia="仿宋_GB2312" w:cs="Times New Roman"/>
          <w:b/>
          <w:color w:val="000000"/>
          <w:sz w:val="32"/>
          <w:szCs w:val="32"/>
        </w:rPr>
      </w:pPr>
      <w:r>
        <w:rPr>
          <w:rFonts w:ascii="仿宋_GB2312" w:hAnsi="Times New Roman" w:eastAsia="仿宋_GB2312" w:cs="Times New Roman"/>
          <w:b/>
          <w:color w:val="000000"/>
          <w:sz w:val="32"/>
          <w:szCs w:val="32"/>
        </w:rPr>
        <w:t>1.</w:t>
      </w:r>
      <w:r>
        <w:rPr>
          <w:rFonts w:hint="eastAsia" w:ascii="仿宋_GB2312" w:hAnsi="Times New Roman" w:eastAsia="仿宋_GB2312" w:cs="Times New Roman"/>
          <w:b/>
          <w:color w:val="000000"/>
          <w:sz w:val="32"/>
          <w:szCs w:val="32"/>
        </w:rPr>
        <w:t>因公出国（境）经费支出</w:t>
      </w:r>
      <w:r>
        <w:rPr>
          <w:rFonts w:hint="eastAsia" w:ascii="仿宋_GB2312" w:hAnsi="Times New Roman" w:eastAsia="仿宋_GB2312" w:cs="Times New Roman"/>
          <w:color w:val="000000"/>
          <w:sz w:val="32"/>
          <w:szCs w:val="32"/>
        </w:rPr>
        <w:t>0万元</w:t>
      </w:r>
      <w:r>
        <w:rPr>
          <w:rFonts w:hint="eastAsia" w:ascii="仿宋" w:hAnsi="仿宋" w:eastAsia="仿宋" w:cs="Times New Roman"/>
          <w:b w:val="0"/>
          <w:bCs/>
          <w:color w:val="000000"/>
          <w:sz w:val="32"/>
          <w:szCs w:val="32"/>
        </w:rPr>
        <w:t>。</w:t>
      </w:r>
    </w:p>
    <w:p w14:paraId="3FC31B28">
      <w:pPr>
        <w:spacing w:line="560" w:lineRule="exact"/>
        <w:ind w:firstLine="640"/>
        <w:rPr>
          <w:rFonts w:ascii="仿宋_GB2312" w:hAnsi="Times New Roman" w:eastAsia="仿宋_GB2312" w:cs="Times New Roman"/>
          <w:b/>
          <w:color w:val="000000"/>
          <w:sz w:val="32"/>
          <w:szCs w:val="32"/>
        </w:rPr>
      </w:pPr>
      <w:r>
        <w:rPr>
          <w:rFonts w:ascii="仿宋_GB2312" w:hAnsi="Times New Roman" w:eastAsia="仿宋_GB2312" w:cs="Times New Roman"/>
          <w:b/>
          <w:color w:val="000000"/>
          <w:sz w:val="32"/>
          <w:szCs w:val="32"/>
        </w:rPr>
        <w:t>2.</w:t>
      </w:r>
      <w:r>
        <w:rPr>
          <w:rFonts w:hint="eastAsia" w:ascii="仿宋_GB2312" w:hAnsi="Times New Roman" w:eastAsia="仿宋_GB2312" w:cs="Times New Roman"/>
          <w:b/>
          <w:color w:val="000000"/>
          <w:sz w:val="32"/>
          <w:szCs w:val="32"/>
        </w:rPr>
        <w:t>公务用车购置及运行维护费支出</w:t>
      </w:r>
      <w:r>
        <w:rPr>
          <w:rFonts w:hint="eastAsia" w:ascii="仿宋_GB2312" w:hAnsi="Times New Roman" w:eastAsia="仿宋_GB2312" w:cs="Times New Roman"/>
          <w:color w:val="000000"/>
          <w:sz w:val="32"/>
          <w:szCs w:val="32"/>
        </w:rPr>
        <w:t>0万元。</w:t>
      </w:r>
    </w:p>
    <w:p w14:paraId="154678B0">
      <w:pPr>
        <w:spacing w:line="560" w:lineRule="exact"/>
        <w:ind w:firstLine="640" w:firstLineChars="200"/>
        <w:rPr>
          <w:rFonts w:ascii="仿宋_GB2312" w:hAnsi="Times New Roman" w:eastAsia="仿宋_GB2312" w:cs="Times New Roman"/>
          <w:b/>
          <w:color w:val="000000"/>
          <w:sz w:val="32"/>
          <w:szCs w:val="32"/>
        </w:rPr>
      </w:pPr>
      <w:r>
        <w:rPr>
          <w:rFonts w:hint="eastAsia" w:ascii="仿宋_GB2312" w:hAnsi="Times New Roman" w:eastAsia="仿宋_GB2312" w:cs="Times New Roman"/>
          <w:color w:val="000000"/>
          <w:sz w:val="32"/>
          <w:szCs w:val="32"/>
        </w:rPr>
        <w:t>其中：</w:t>
      </w:r>
      <w:r>
        <w:rPr>
          <w:rFonts w:hint="eastAsia" w:ascii="仿宋_GB2312" w:hAnsi="Times New Roman" w:eastAsia="仿宋_GB2312" w:cs="Times New Roman"/>
          <w:b/>
          <w:color w:val="000000"/>
          <w:sz w:val="32"/>
          <w:szCs w:val="32"/>
        </w:rPr>
        <w:t>公务用车购置支出0</w:t>
      </w:r>
      <w:r>
        <w:rPr>
          <w:rFonts w:hint="eastAsia" w:ascii="仿宋_GB2312" w:hAnsi="Times New Roman" w:eastAsia="仿宋_GB2312" w:cs="Times New Roman"/>
          <w:color w:val="000000"/>
          <w:sz w:val="32"/>
          <w:szCs w:val="32"/>
        </w:rPr>
        <w:t>万元。截至</w:t>
      </w:r>
      <w:r>
        <w:rPr>
          <w:rFonts w:hint="eastAsia" w:ascii="仿宋_GB2312" w:hAnsi="Times New Roman" w:eastAsia="仿宋_GB2312" w:cs="Times New Roman"/>
          <w:color w:val="000000"/>
          <w:sz w:val="32"/>
          <w:szCs w:val="32"/>
          <w:lang w:eastAsia="zh-CN"/>
        </w:rPr>
        <w:t>2023</w:t>
      </w:r>
      <w:r>
        <w:rPr>
          <w:rFonts w:hint="eastAsia" w:ascii="仿宋_GB2312" w:hAnsi="Times New Roman" w:eastAsia="仿宋_GB2312" w:cs="Times New Roman"/>
          <w:color w:val="000000"/>
          <w:sz w:val="32"/>
          <w:szCs w:val="32"/>
        </w:rPr>
        <w:t>年</w:t>
      </w:r>
      <w:r>
        <w:rPr>
          <w:rFonts w:ascii="仿宋_GB2312"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月底，单位共有公务用车0辆。</w:t>
      </w:r>
    </w:p>
    <w:p w14:paraId="38E62275">
      <w:pPr>
        <w:spacing w:line="560" w:lineRule="exact"/>
        <w:ind w:firstLine="64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公务用车运行维护费支出</w:t>
      </w:r>
      <w:r>
        <w:rPr>
          <w:rFonts w:hint="eastAsia" w:ascii="仿宋_GB2312" w:hAnsi="Times New Roman" w:eastAsia="仿宋_GB2312" w:cs="Times New Roman"/>
          <w:color w:val="000000"/>
          <w:sz w:val="32"/>
          <w:szCs w:val="32"/>
        </w:rPr>
        <w:t>0万元。</w:t>
      </w:r>
    </w:p>
    <w:p w14:paraId="219C92A3">
      <w:pPr>
        <w:spacing w:line="560" w:lineRule="exact"/>
        <w:ind w:firstLine="643" w:firstLineChars="200"/>
        <w:rPr>
          <w:rFonts w:ascii="仿宋_GB2312" w:hAnsi="Times New Roman" w:eastAsia="仿宋_GB2312" w:cs="Times New Roman"/>
          <w:color w:val="000000"/>
          <w:sz w:val="32"/>
          <w:szCs w:val="32"/>
        </w:rPr>
      </w:pPr>
      <w:r>
        <w:rPr>
          <w:rFonts w:ascii="仿宋_GB2312" w:hAnsi="Times New Roman" w:eastAsia="仿宋_GB2312" w:cs="Times New Roman"/>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hAnsi="Times New Roman" w:eastAsia="仿宋_GB2312" w:cs="Times New Roman"/>
          <w:color w:val="000000"/>
          <w:sz w:val="32"/>
          <w:szCs w:val="32"/>
        </w:rPr>
        <w:t>0万元。</w:t>
      </w:r>
    </w:p>
    <w:p w14:paraId="36282BEE">
      <w:pPr>
        <w:spacing w:line="560" w:lineRule="exact"/>
        <w:ind w:firstLine="640" w:firstLineChars="200"/>
        <w:rPr>
          <w:rFonts w:ascii="仿宋_GB2312" w:eastAsia="仿宋_GB2312"/>
          <w:color w:val="000000"/>
          <w:sz w:val="32"/>
          <w:szCs w:val="32"/>
        </w:rPr>
      </w:pPr>
    </w:p>
    <w:p w14:paraId="2281C427">
      <w:pPr>
        <w:spacing w:line="560" w:lineRule="exact"/>
        <w:ind w:firstLine="640"/>
        <w:outlineLvl w:val="1"/>
        <w:rPr>
          <w:rStyle w:val="29"/>
          <w:rFonts w:ascii="黑体" w:hAnsi="黑体" w:eastAsia="黑体"/>
        </w:rPr>
      </w:pPr>
      <w:bookmarkStart w:id="69" w:name="_Toc15396610"/>
      <w:bookmarkStart w:id="70" w:name="_Toc15377218"/>
      <w:bookmarkStart w:id="71" w:name="_Toc79163622"/>
      <w:bookmarkStart w:id="72" w:name="_Toc7916387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69"/>
      <w:bookmarkEnd w:id="70"/>
      <w:bookmarkEnd w:id="71"/>
      <w:bookmarkEnd w:id="72"/>
    </w:p>
    <w:p w14:paraId="49B42406">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年政府性基金预算拨款支出0万元。</w:t>
      </w:r>
    </w:p>
    <w:p w14:paraId="6ABC4D52">
      <w:pPr>
        <w:spacing w:line="560" w:lineRule="exact"/>
        <w:ind w:firstLine="640"/>
        <w:rPr>
          <w:rFonts w:ascii="仿宋_GB2312" w:eastAsia="仿宋_GB2312"/>
          <w:color w:val="000000"/>
          <w:sz w:val="32"/>
          <w:szCs w:val="32"/>
        </w:rPr>
      </w:pPr>
    </w:p>
    <w:p w14:paraId="50362625">
      <w:pPr>
        <w:numPr>
          <w:ilvl w:val="0"/>
          <w:numId w:val="2"/>
        </w:numPr>
        <w:spacing w:line="560" w:lineRule="exact"/>
        <w:ind w:firstLine="640"/>
        <w:outlineLvl w:val="1"/>
        <w:rPr>
          <w:rStyle w:val="29"/>
          <w:rFonts w:ascii="黑体" w:hAnsi="黑体" w:eastAsia="黑体"/>
          <w:b w:val="0"/>
        </w:rPr>
      </w:pPr>
      <w:bookmarkStart w:id="73" w:name="_Toc15396611"/>
      <w:bookmarkStart w:id="74" w:name="_Toc79163873"/>
      <w:bookmarkStart w:id="75" w:name="_Toc15377219"/>
      <w:bookmarkStart w:id="76" w:name="_Toc79163623"/>
      <w:r>
        <w:rPr>
          <w:rStyle w:val="29"/>
          <w:rFonts w:hint="eastAsia" w:ascii="黑体" w:hAnsi="黑体" w:eastAsia="黑体"/>
          <w:b w:val="0"/>
        </w:rPr>
        <w:t>国有资本经营预算支出决算情况说明</w:t>
      </w:r>
      <w:bookmarkEnd w:id="73"/>
      <w:bookmarkEnd w:id="74"/>
      <w:bookmarkEnd w:id="75"/>
      <w:bookmarkEnd w:id="76"/>
    </w:p>
    <w:p w14:paraId="0FDEBE28">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年国有资本经营预算拨款支出0万元。</w:t>
      </w:r>
    </w:p>
    <w:p w14:paraId="58EAD0A0">
      <w:pPr>
        <w:spacing w:line="560" w:lineRule="exact"/>
        <w:jc w:val="center"/>
        <w:rPr>
          <w:rFonts w:ascii="方正小标宋简体" w:hAnsi="方正小标宋简体" w:eastAsia="方正小标宋简体" w:cs="方正小标宋简体"/>
          <w:sz w:val="44"/>
          <w:szCs w:val="44"/>
        </w:rPr>
      </w:pPr>
    </w:p>
    <w:p w14:paraId="1B0A77CB">
      <w:pPr>
        <w:spacing w:line="560" w:lineRule="exact"/>
        <w:ind w:firstLine="800" w:firstLineChars="250"/>
        <w:outlineLvl w:val="1"/>
        <w:rPr>
          <w:rStyle w:val="29"/>
          <w:rFonts w:ascii="黑体" w:hAnsi="黑体" w:eastAsia="黑体"/>
        </w:rPr>
      </w:pPr>
      <w:bookmarkStart w:id="77" w:name="_Toc15396612"/>
      <w:bookmarkStart w:id="78" w:name="_Toc15377221"/>
      <w:bookmarkStart w:id="79" w:name="_Toc79163624"/>
      <w:bookmarkStart w:id="80" w:name="_Toc7916387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77"/>
      <w:bookmarkEnd w:id="78"/>
      <w:bookmarkEnd w:id="79"/>
      <w:bookmarkEnd w:id="80"/>
    </w:p>
    <w:p w14:paraId="3FFE06DC">
      <w:pPr>
        <w:spacing w:line="560" w:lineRule="exact"/>
        <w:ind w:firstLine="643" w:firstLineChars="200"/>
        <w:outlineLvl w:val="2"/>
        <w:rPr>
          <w:rFonts w:ascii="仿宋" w:hAnsi="仿宋" w:eastAsia="仿宋"/>
          <w:color w:val="000000"/>
          <w:sz w:val="32"/>
          <w:szCs w:val="32"/>
        </w:rPr>
      </w:pPr>
      <w:bookmarkStart w:id="81" w:name="_Toc79163625"/>
      <w:bookmarkStart w:id="82" w:name="_Toc15377222"/>
      <w:bookmarkStart w:id="83" w:name="_Toc79163875"/>
      <w:r>
        <w:rPr>
          <w:rFonts w:hint="eastAsia" w:ascii="仿宋" w:hAnsi="仿宋" w:eastAsia="仿宋"/>
          <w:b/>
          <w:color w:val="000000"/>
          <w:sz w:val="32"/>
          <w:szCs w:val="32"/>
        </w:rPr>
        <w:t>（一）机关运行经费支出情况</w:t>
      </w:r>
      <w:bookmarkEnd w:id="81"/>
      <w:bookmarkEnd w:id="82"/>
      <w:bookmarkEnd w:id="83"/>
    </w:p>
    <w:p w14:paraId="7960E14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年，阿坝州壤塘县娜泽求宗社区管理委员会机关运行经费支出11.04万元，比</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年减少6.05万元，下降35.4%。主要原因是厉行节约。</w:t>
      </w:r>
    </w:p>
    <w:p w14:paraId="5641E293">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4" w:name="_Toc15377223"/>
      <w:bookmarkStart w:id="85" w:name="_Toc79163876"/>
      <w:bookmarkStart w:id="86" w:name="_Toc79163626"/>
      <w:r>
        <w:rPr>
          <w:rFonts w:hint="eastAsia" w:ascii="仿宋" w:hAnsi="仿宋" w:eastAsia="仿宋"/>
          <w:b/>
          <w:color w:val="000000"/>
          <w:sz w:val="32"/>
          <w:szCs w:val="32"/>
        </w:rPr>
        <w:t>（二）政府采购支出情况</w:t>
      </w:r>
      <w:bookmarkEnd w:id="84"/>
      <w:bookmarkEnd w:id="85"/>
      <w:bookmarkEnd w:id="86"/>
    </w:p>
    <w:p w14:paraId="0C90637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阿坝州壤塘县娜泽求宗社区管理委员会政府采购支出总额0万元，其中：政府采购货物支出0万元、政府采购工程支出0万元、政府采购服务支出0万元。授予中小企业合同金额0万元，其中：授予小微企业合同金额0万元。</w:t>
      </w:r>
    </w:p>
    <w:p w14:paraId="48A379A0">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7" w:name="_Toc79163627"/>
      <w:bookmarkStart w:id="88" w:name="_Toc15377224"/>
      <w:bookmarkStart w:id="89" w:name="_Toc79163877"/>
      <w:r>
        <w:rPr>
          <w:rFonts w:hint="eastAsia" w:ascii="仿宋" w:hAnsi="仿宋" w:eastAsia="仿宋"/>
          <w:b/>
          <w:color w:val="000000"/>
          <w:sz w:val="32"/>
          <w:szCs w:val="32"/>
        </w:rPr>
        <w:t>（三）国有资产占有使用情况</w:t>
      </w:r>
      <w:bookmarkEnd w:id="87"/>
      <w:bookmarkEnd w:id="88"/>
      <w:bookmarkEnd w:id="89"/>
    </w:p>
    <w:p w14:paraId="7AC40DF2">
      <w:pPr>
        <w:autoSpaceDE w:val="0"/>
        <w:autoSpaceDN w:val="0"/>
        <w:adjustRightInd w:val="0"/>
        <w:spacing w:line="56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日，阿坝州壤塘县娜泽求宗社区管理委员会共有车辆0辆，其中：主要领导干部用车0辆、机要通信用车0辆、应急保障用车0辆、其他用车0辆，单价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26609029">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90" w:name="_Toc79163628"/>
      <w:bookmarkStart w:id="91" w:name="_Toc79163878"/>
      <w:r>
        <w:rPr>
          <w:rFonts w:hint="eastAsia" w:ascii="仿宋" w:hAnsi="仿宋" w:eastAsia="仿宋"/>
          <w:b/>
          <w:color w:val="000000"/>
          <w:sz w:val="32"/>
          <w:szCs w:val="32"/>
        </w:rPr>
        <w:t>（四）预算绩效管理情况。</w:t>
      </w:r>
      <w:bookmarkEnd w:id="90"/>
      <w:bookmarkEnd w:id="91"/>
    </w:p>
    <w:p w14:paraId="4F88D0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预算编制阶段，组织对</w:t>
      </w:r>
      <w:r>
        <w:rPr>
          <w:rFonts w:hint="eastAsia" w:ascii="仿宋_GB2312" w:hAnsi="仿宋_GB2312" w:eastAsia="仿宋_GB2312" w:cs="仿宋_GB2312"/>
          <w:sz w:val="32"/>
          <w:szCs w:val="32"/>
          <w:lang w:val="en-US" w:eastAsia="zh-CN"/>
        </w:rPr>
        <w:t>单位伙食团经费、民管会补助这2个项目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6B59F6E5">
      <w:pPr>
        <w:widowControl/>
        <w:ind w:firstLine="640" w:firstLineChars="200"/>
        <w:jc w:val="left"/>
        <w:rPr>
          <w:rFonts w:ascii="仿宋_GB2312" w:hAnsi="仿宋_GB2312" w:eastAsia="仿宋_GB2312" w:cs="仿宋_GB2312"/>
          <w:sz w:val="32"/>
          <w:szCs w:val="32"/>
        </w:rPr>
      </w:pPr>
      <w:r>
        <w:rPr>
          <w:rFonts w:hint="eastAsia" w:ascii="仿宋" w:hAnsi="仿宋" w:eastAsia="仿宋" w:cs="仿宋"/>
          <w:sz w:val="32"/>
          <w:szCs w:val="32"/>
        </w:rPr>
        <w:t>组织对2023年度一般公共预算、政府性基金预算、国有资本经营预算、社会保险基金预算以及资本资产、债券资金等全面开展绩效自评，形成壤塘县娜泽求宗社区管理委员会部门整体（含部门预算项目）绩效自评</w:t>
      </w:r>
      <w:r>
        <w:rPr>
          <w:rFonts w:hint="eastAsia" w:ascii="仿宋" w:hAnsi="仿宋" w:eastAsia="仿宋" w:cs="仿宋"/>
          <w:sz w:val="32"/>
          <w:szCs w:val="32"/>
          <w:lang w:val="en-US" w:eastAsia="zh-CN"/>
        </w:rPr>
        <w:t>报告，</w:t>
      </w:r>
      <w:r>
        <w:rPr>
          <w:rFonts w:hint="eastAsia" w:ascii="仿宋" w:hAnsi="仿宋" w:eastAsia="仿宋" w:cs="仿宋"/>
          <w:sz w:val="32"/>
          <w:szCs w:val="32"/>
        </w:rPr>
        <w:t>其中，壤塘县娜泽求宗社区管理委员会部门整体（含部门预算项目）绩效自评得分为</w:t>
      </w:r>
      <w:r>
        <w:rPr>
          <w:rFonts w:hint="eastAsia" w:ascii="仿宋" w:hAnsi="仿宋" w:eastAsia="仿宋" w:cs="仿宋"/>
          <w:sz w:val="32"/>
          <w:szCs w:val="32"/>
          <w:lang w:val="en-US" w:eastAsia="zh-CN"/>
        </w:rPr>
        <w:t>93</w:t>
      </w:r>
      <w:r>
        <w:rPr>
          <w:rFonts w:hint="eastAsia" w:ascii="仿宋" w:hAnsi="仿宋" w:eastAsia="仿宋" w:cs="仿宋"/>
          <w:sz w:val="32"/>
          <w:szCs w:val="32"/>
        </w:rPr>
        <w:t>分，绩效自评综述：本次部门整体支出绩效自评得分为93分</w:t>
      </w:r>
      <w:r>
        <w:rPr>
          <w:rFonts w:hint="eastAsia" w:ascii="仿宋" w:hAnsi="仿宋" w:eastAsia="仿宋" w:cs="仿宋"/>
          <w:sz w:val="32"/>
          <w:szCs w:val="32"/>
          <w:lang w:eastAsia="zh-CN"/>
        </w:rPr>
        <w:t>，</w:t>
      </w:r>
      <w:r>
        <w:rPr>
          <w:rFonts w:hint="eastAsia" w:ascii="仿宋" w:hAnsi="仿宋" w:eastAsia="仿宋" w:cs="仿宋"/>
          <w:sz w:val="32"/>
          <w:szCs w:val="32"/>
        </w:rPr>
        <w:t>总体表现良好</w:t>
      </w:r>
      <w:r>
        <w:rPr>
          <w:rFonts w:hint="eastAsia" w:ascii="仿宋" w:hAnsi="仿宋" w:eastAsia="仿宋" w:cs="仿宋"/>
          <w:sz w:val="32"/>
          <w:szCs w:val="32"/>
          <w:lang w:eastAsia="zh-CN"/>
        </w:rPr>
        <w:t>。本部门无专项预算项目，因此未组织开展项目支出绩效评价。</w:t>
      </w:r>
      <w:r>
        <w:rPr>
          <w:rFonts w:hint="eastAsia" w:ascii="仿宋" w:hAnsi="仿宋" w:eastAsia="仿宋" w:cs="仿宋"/>
          <w:sz w:val="32"/>
          <w:szCs w:val="32"/>
        </w:rPr>
        <w:t>绩效自评报告详见附件</w:t>
      </w:r>
      <w:r>
        <w:rPr>
          <w:rFonts w:hint="eastAsia" w:ascii="仿宋_GB2312" w:hAnsi="仿宋_GB2312" w:eastAsia="仿宋_GB2312" w:cs="仿宋_GB2312"/>
          <w:sz w:val="32"/>
          <w:szCs w:val="32"/>
        </w:rPr>
        <w:t>。</w:t>
      </w:r>
    </w:p>
    <w:p w14:paraId="46C8A327">
      <w:pPr>
        <w:pStyle w:val="26"/>
        <w:ind w:firstLine="420"/>
      </w:pPr>
    </w:p>
    <w:p w14:paraId="59892174">
      <w:pPr>
        <w:numPr>
          <w:ilvl w:val="0"/>
          <w:numId w:val="3"/>
        </w:numPr>
        <w:spacing w:line="600" w:lineRule="exact"/>
        <w:ind w:firstLine="660" w:firstLineChars="150"/>
        <w:jc w:val="center"/>
        <w:outlineLvl w:val="0"/>
        <w:rPr>
          <w:rStyle w:val="28"/>
          <w:rFonts w:ascii="黑体" w:hAnsi="黑体" w:eastAsia="黑体"/>
          <w:b w:val="0"/>
        </w:rPr>
      </w:pPr>
      <w:bookmarkStart w:id="92" w:name="_Toc15396613"/>
      <w:bookmarkStart w:id="93" w:name="_Toc15377225"/>
      <w:bookmarkStart w:id="94" w:name="_Toc79163629"/>
      <w:bookmarkStart w:id="95" w:name="_Toc79163879"/>
      <w:r>
        <w:rPr>
          <w:rFonts w:hint="eastAsia" w:ascii="黑体" w:hAnsi="黑体" w:eastAsia="黑体"/>
          <w:color w:val="000000"/>
          <w:sz w:val="44"/>
          <w:szCs w:val="44"/>
        </w:rPr>
        <w:t>名</w:t>
      </w:r>
      <w:r>
        <w:rPr>
          <w:rStyle w:val="28"/>
          <w:rFonts w:hint="eastAsia" w:ascii="黑体" w:hAnsi="黑体" w:eastAsia="黑体"/>
          <w:b w:val="0"/>
        </w:rPr>
        <w:t>词解释</w:t>
      </w:r>
      <w:bookmarkEnd w:id="92"/>
      <w:bookmarkEnd w:id="93"/>
      <w:bookmarkEnd w:id="94"/>
      <w:bookmarkEnd w:id="95"/>
    </w:p>
    <w:p w14:paraId="5B1A8C68">
      <w:pPr>
        <w:spacing w:line="600" w:lineRule="exact"/>
        <w:jc w:val="left"/>
        <w:rPr>
          <w:rFonts w:ascii="宋体"/>
          <w:b/>
          <w:color w:val="000000"/>
          <w:sz w:val="44"/>
          <w:szCs w:val="44"/>
        </w:rPr>
      </w:pPr>
    </w:p>
    <w:p w14:paraId="4D607A60">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B819F5B">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21630E03">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53388E50">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2218F5A2">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38B6C15D">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758E4BB">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1E301FE">
      <w:pPr>
        <w:pStyle w:val="3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5C0725C2">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9.一般公共服务（类）民族事务（款）行政运行（项）：反映行政单位（包括实行公务员管理的事业单位）的基本支出。</w:t>
      </w:r>
    </w:p>
    <w:p w14:paraId="618A331A">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10.一般公共服务（类）民族事务（款）一般行政管理事务（项）：反映行政单位（包括实行公务员管理的事业单位）未单独设置项级科目的其他项目支出。</w:t>
      </w:r>
    </w:p>
    <w:p w14:paraId="71061029">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11.一般公共服务（类）民族事务（款）民族工作专项（项）：反映用于民族事务管理方面的支出。</w:t>
      </w:r>
    </w:p>
    <w:p w14:paraId="07DDB4A9">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12.社会保障和就业（类）行政事业单位养老支出（款）机关事业单位基本养老保险缴费支出（项）：指机关事业单位实施养老保险制度由单位缴纳的基本养老保险费支出。</w:t>
      </w:r>
    </w:p>
    <w:p w14:paraId="21EFF5F9">
      <w:pPr>
        <w:ind w:firstLine="640" w:firstLineChars="200"/>
        <w:rPr>
          <w:rFonts w:ascii="仿宋_GB2312" w:eastAsia="仿宋_GB2312"/>
          <w:color w:val="000000"/>
          <w:sz w:val="32"/>
          <w:szCs w:val="32"/>
        </w:rPr>
      </w:pPr>
      <w:r>
        <w:rPr>
          <w:rFonts w:hint="eastAsia" w:ascii="仿宋_GB2312" w:eastAsia="仿宋_GB2312"/>
          <w:color w:val="000000"/>
          <w:sz w:val="32"/>
          <w:szCs w:val="32"/>
        </w:rPr>
        <w:t>13. 社会保障和就业（类）行政事业单位养老支出（款）机关事业单位职业年金缴费支出（项）：指机关事业单位养老保险制度由单位缴纳的职业年金支出。</w:t>
      </w:r>
    </w:p>
    <w:p w14:paraId="63C7516F">
      <w:pPr>
        <w:ind w:firstLine="640" w:firstLineChars="200"/>
        <w:rPr>
          <w:rFonts w:ascii="仿宋_GB2312" w:eastAsia="仿宋_GB2312"/>
          <w:color w:val="000000"/>
          <w:sz w:val="32"/>
          <w:szCs w:val="32"/>
        </w:rPr>
      </w:pPr>
      <w:r>
        <w:rPr>
          <w:rFonts w:hint="eastAsia" w:ascii="仿宋_GB2312" w:eastAsia="仿宋_GB2312"/>
          <w:color w:val="000000"/>
          <w:sz w:val="32"/>
          <w:szCs w:val="32"/>
        </w:rPr>
        <w:t>14.卫生健康支出（类）行政事业单位医疗（款）事业单位医疗（项）：指财政部门集中安排的事业单位基本医疗保险缴费。</w:t>
      </w:r>
    </w:p>
    <w:p w14:paraId="2D373EFD">
      <w:pPr>
        <w:ind w:firstLine="640" w:firstLineChars="200"/>
        <w:rPr>
          <w:rFonts w:ascii="仿宋_GB2312" w:eastAsia="仿宋_GB2312"/>
          <w:color w:val="000000"/>
          <w:sz w:val="32"/>
          <w:szCs w:val="32"/>
        </w:rPr>
      </w:pPr>
      <w:r>
        <w:rPr>
          <w:rFonts w:hint="eastAsia" w:ascii="仿宋_GB2312" w:eastAsia="仿宋_GB2312"/>
          <w:color w:val="000000"/>
          <w:sz w:val="32"/>
          <w:szCs w:val="32"/>
        </w:rPr>
        <w:t>15.住房保障（类）住房改革（款）住房公积金（项）：指行政事业单位按规定的标准和比例为职工缴纳的住房公积金。</w:t>
      </w:r>
    </w:p>
    <w:p w14:paraId="0DC90E46">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16.基本支出：指为保障机构正常运转、完成日常工作任务而发生的人员支出和公用支出。</w:t>
      </w:r>
    </w:p>
    <w:p w14:paraId="36B83E00">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17.项目支出：指在基本支出之外为完成特定行政任务和事业发展目标所发生的支出。</w:t>
      </w:r>
    </w:p>
    <w:p w14:paraId="0607F140">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18.经营支出：指事业单位在专业业务活动及其辅助活动之外开展非独立核算经营活动发生的支出。</w:t>
      </w:r>
    </w:p>
    <w:p w14:paraId="79DC1A7E">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DB9C25">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7EBFDB">
      <w:pPr>
        <w:spacing w:line="600" w:lineRule="exact"/>
        <w:jc w:val="center"/>
        <w:outlineLvl w:val="0"/>
        <w:rPr>
          <w:rStyle w:val="28"/>
          <w:rFonts w:ascii="黑体" w:hAnsi="黑体" w:eastAsia="黑体"/>
          <w:b w:val="0"/>
        </w:rPr>
      </w:pPr>
      <w:bookmarkStart w:id="96" w:name="_Toc15377226"/>
      <w:r>
        <w:rPr>
          <w:rFonts w:ascii="宋体"/>
          <w:b/>
          <w:color w:val="000000"/>
          <w:sz w:val="44"/>
          <w:szCs w:val="44"/>
        </w:rPr>
        <w:br w:type="page"/>
      </w:r>
      <w:bookmarkStart w:id="97" w:name="_Toc15396614"/>
      <w:bookmarkStart w:id="98" w:name="_Toc79163880"/>
      <w:bookmarkStart w:id="99" w:name="_Toc79163630"/>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97"/>
      <w:bookmarkEnd w:id="98"/>
      <w:bookmarkEnd w:id="99"/>
    </w:p>
    <w:p w14:paraId="77CA78F6">
      <w:pPr>
        <w:spacing w:line="600" w:lineRule="exact"/>
        <w:jc w:val="left"/>
        <w:outlineLvl w:val="0"/>
        <w:rPr>
          <w:rFonts w:ascii="方正小标宋简体" w:hAnsi="方正小标宋简体" w:eastAsia="方正小标宋简体" w:cs="方正小标宋简体"/>
          <w:sz w:val="32"/>
          <w:szCs w:val="32"/>
        </w:rPr>
      </w:pPr>
      <w:bookmarkStart w:id="100" w:name="_Toc79163881"/>
      <w:bookmarkStart w:id="101" w:name="_Toc79163631"/>
      <w:r>
        <w:rPr>
          <w:rFonts w:hint="eastAsia" w:ascii="黑体" w:hAnsi="黑体" w:eastAsia="黑体" w:cs="黑体"/>
          <w:sz w:val="32"/>
          <w:szCs w:val="32"/>
        </w:rPr>
        <w:t>附件</w:t>
      </w:r>
      <w:r>
        <w:rPr>
          <w:rFonts w:ascii="黑体" w:hAnsi="黑体" w:eastAsia="黑体" w:cs="黑体"/>
          <w:sz w:val="32"/>
          <w:szCs w:val="32"/>
        </w:rPr>
        <w:t>1</w:t>
      </w:r>
      <w:bookmarkEnd w:id="100"/>
      <w:bookmarkEnd w:id="101"/>
    </w:p>
    <w:p w14:paraId="0F611DD8">
      <w:pPr>
        <w:spacing w:line="580" w:lineRule="exact"/>
        <w:jc w:val="center"/>
        <w:rPr>
          <w:rFonts w:ascii="方正小标宋简体" w:hAnsi="方正小标宋简体" w:eastAsia="方正小标宋简体" w:cs="方正小标宋简体"/>
          <w:sz w:val="44"/>
          <w:szCs w:val="44"/>
        </w:rPr>
      </w:pPr>
    </w:p>
    <w:p w14:paraId="57772F43">
      <w:pPr>
        <w:spacing w:line="360" w:lineRule="auto"/>
        <w:jc w:val="center"/>
        <w:rPr>
          <w:rFonts w:hint="eastAsia" w:ascii="宋体" w:hAnsi="宋体" w:cs="宋体"/>
          <w:b/>
          <w:bCs/>
          <w:kern w:val="0"/>
          <w:sz w:val="44"/>
          <w:szCs w:val="44"/>
        </w:rPr>
      </w:pPr>
      <w:bookmarkStart w:id="102" w:name="_Toc79163885"/>
      <w:bookmarkStart w:id="103" w:name="_Toc79163635"/>
      <w:bookmarkStart w:id="104" w:name="_Toc15396618"/>
      <w:r>
        <w:rPr>
          <w:rFonts w:hint="eastAsia" w:ascii="宋体" w:hAnsi="宋体" w:cs="宋体"/>
          <w:b/>
          <w:bCs/>
          <w:kern w:val="0"/>
          <w:sz w:val="44"/>
          <w:szCs w:val="44"/>
        </w:rPr>
        <w:t>壤塘县娜泽求宗社区管理委员会</w:t>
      </w:r>
    </w:p>
    <w:p w14:paraId="02282739">
      <w:pPr>
        <w:spacing w:line="360" w:lineRule="auto"/>
        <w:jc w:val="center"/>
        <w:rPr>
          <w:rFonts w:ascii="宋体" w:hAnsi="宋体" w:cs="宋体"/>
          <w:b/>
          <w:bCs/>
          <w:kern w:val="0"/>
          <w:sz w:val="44"/>
          <w:szCs w:val="44"/>
        </w:rPr>
      </w:pPr>
      <w:r>
        <w:rPr>
          <w:rFonts w:hint="eastAsia" w:ascii="宋体" w:hAnsi="宋体" w:cs="宋体"/>
          <w:b/>
          <w:bCs/>
          <w:kern w:val="0"/>
          <w:sz w:val="44"/>
          <w:szCs w:val="44"/>
          <w:lang w:eastAsia="zh-CN"/>
        </w:rPr>
        <w:t>2023</w:t>
      </w:r>
      <w:r>
        <w:rPr>
          <w:rFonts w:hint="eastAsia" w:ascii="宋体" w:hAnsi="宋体" w:cs="宋体"/>
          <w:b/>
          <w:bCs/>
          <w:kern w:val="0"/>
          <w:sz w:val="44"/>
          <w:szCs w:val="44"/>
        </w:rPr>
        <w:t>年度部门整体支出绩效评价自评报告</w:t>
      </w:r>
    </w:p>
    <w:p w14:paraId="31FF518A">
      <w:pPr>
        <w:spacing w:line="360" w:lineRule="auto"/>
        <w:jc w:val="center"/>
        <w:rPr>
          <w:rFonts w:ascii="宋体" w:hAnsi="宋体" w:cs="宋体"/>
          <w:kern w:val="0"/>
          <w:szCs w:val="21"/>
        </w:rPr>
      </w:pPr>
    </w:p>
    <w:p w14:paraId="4C5A486A">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14:paraId="610939F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壤塘县娜泽求宗社区管理委员会机构性质：机关，机构地址：四川省壤塘县罗吾塘康德巷3号，单位负责人：文梅。</w:t>
      </w:r>
    </w:p>
    <w:p w14:paraId="6CAA0AEF">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14:paraId="52CC7FA5">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olor w:val="000000"/>
          <w:sz w:val="32"/>
          <w:highlight w:val="white"/>
        </w:rPr>
        <w:t>壤塘娜泽求宗社区管理委员会</w:t>
      </w:r>
      <w:r>
        <w:rPr>
          <w:rFonts w:hint="eastAsia" w:ascii="仿宋_GB2312" w:hAnsi="仿宋_GB2312" w:eastAsia="仿宋_GB2312"/>
          <w:color w:val="000000"/>
          <w:sz w:val="32"/>
          <w:highlight w:val="white"/>
          <w:lang w:val="en-US" w:eastAsia="zh-CN"/>
        </w:rPr>
        <w:t>内设2个科室，分别为综合管理办公室、社区综合服务中心（下设：宗教事务管理科、财务监督管理科）</w:t>
      </w:r>
      <w:r>
        <w:rPr>
          <w:rFonts w:hint="eastAsia" w:ascii="仿宋_GB2312" w:hAnsi="仿宋_GB2312" w:eastAsia="仿宋_GB2312" w:cs="仿宋_GB2312"/>
          <w:sz w:val="32"/>
          <w:szCs w:val="32"/>
        </w:rPr>
        <w:t>。</w:t>
      </w:r>
    </w:p>
    <w:p w14:paraId="12BB163A">
      <w:pPr>
        <w:numPr>
          <w:ilvl w:val="0"/>
          <w:numId w:val="4"/>
        </w:num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14:paraId="2E16CC9B">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olor w:val="000000"/>
          <w:sz w:val="32"/>
          <w:highlight w:val="white"/>
        </w:rPr>
        <w:t>依法加强安置点宗教事务管理严守法律底线，坚决</w:t>
      </w:r>
      <w:r>
        <w:rPr>
          <w:rStyle w:val="43"/>
          <w:rFonts w:ascii="仿宋_GB2312" w:hAnsi="仿宋_GB2312" w:eastAsia="仿宋_GB2312"/>
          <w:kern w:val="10"/>
          <w:sz w:val="32"/>
          <w:szCs w:val="32"/>
        </w:rPr>
        <w:t>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ascii="仿宋_GB2312" w:hAnsi="仿宋_GB2312" w:eastAsia="仿宋_GB2312" w:cs="仿宋_GB2312"/>
          <w:sz w:val="32"/>
          <w:szCs w:val="32"/>
        </w:rPr>
        <w:t>。</w:t>
      </w:r>
    </w:p>
    <w:p w14:paraId="6A0A8403">
      <w:pPr>
        <w:numPr>
          <w:ilvl w:val="0"/>
          <w:numId w:val="4"/>
        </w:num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14:paraId="55A4CE68">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人员情况：总编制8名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行政编制4人、事业编制4人</w:t>
      </w:r>
      <w:r>
        <w:rPr>
          <w:rFonts w:hint="eastAsia" w:ascii="仿宋_GB2312" w:hAnsi="仿宋_GB2312" w:eastAsia="仿宋_GB2312" w:cs="仿宋_GB2312"/>
          <w:sz w:val="32"/>
          <w:szCs w:val="32"/>
        </w:rPr>
        <w:t>。</w:t>
      </w:r>
    </w:p>
    <w:p w14:paraId="3817A8FE">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14:paraId="657DAAEE">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14:paraId="1D2A60DE">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年财政下达壤塘县娜泽求宗社区管理委员会年初预算收入</w:t>
      </w:r>
      <w:r>
        <w:rPr>
          <w:rFonts w:hint="eastAsia" w:ascii="仿宋_GB2312" w:hAnsi="仿宋_GB2312" w:eastAsia="仿宋_GB2312" w:cs="仿宋_GB2312"/>
          <w:sz w:val="32"/>
          <w:szCs w:val="32"/>
          <w:lang w:val="en-US" w:eastAsia="zh-CN"/>
        </w:rPr>
        <w:t>174.39</w:t>
      </w:r>
      <w:r>
        <w:rPr>
          <w:rFonts w:hint="eastAsia" w:ascii="仿宋_GB2312" w:hAnsi="仿宋_GB2312" w:eastAsia="仿宋_GB2312" w:cs="仿宋_GB2312"/>
          <w:sz w:val="32"/>
          <w:szCs w:val="32"/>
        </w:rPr>
        <w:t>万元，执行期中追加收入</w:t>
      </w:r>
      <w:r>
        <w:rPr>
          <w:rFonts w:hint="eastAsia" w:ascii="仿宋_GB2312" w:hAnsi="仿宋_GB2312" w:eastAsia="仿宋_GB2312" w:cs="仿宋_GB2312"/>
          <w:sz w:val="32"/>
          <w:szCs w:val="32"/>
          <w:lang w:eastAsia="zh-CN"/>
        </w:rPr>
        <w:t>42.04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全年实际收入合计为216.43万元，本年度无财政应返还额度</w:t>
      </w:r>
      <w:r>
        <w:rPr>
          <w:rFonts w:hint="eastAsia" w:ascii="仿宋_GB2312" w:hAnsi="仿宋_GB2312" w:eastAsia="仿宋_GB2312" w:cs="仿宋_GB2312"/>
          <w:sz w:val="32"/>
          <w:szCs w:val="32"/>
        </w:rPr>
        <w:t xml:space="preserve">。 </w:t>
      </w:r>
    </w:p>
    <w:p w14:paraId="70C0E765">
      <w:pPr>
        <w:pStyle w:val="44"/>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14:paraId="77987E05">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年壤塘县娜泽求宗社区管理委员会支出全年预算数共计</w:t>
      </w:r>
      <w:r>
        <w:rPr>
          <w:rFonts w:hint="eastAsia" w:ascii="仿宋_GB2312" w:hAnsi="仿宋_GB2312" w:eastAsia="仿宋_GB2312" w:cs="仿宋_GB2312"/>
          <w:sz w:val="32"/>
          <w:szCs w:val="32"/>
          <w:lang w:eastAsia="zh-CN"/>
        </w:rPr>
        <w:t>216.43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213.71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万元。</w:t>
      </w:r>
    </w:p>
    <w:p w14:paraId="73182AF6">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14:paraId="22EB060E">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14:paraId="468E8537">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14:paraId="087E104E">
      <w:pPr>
        <w:pStyle w:val="44"/>
        <w:spacing w:line="560" w:lineRule="exact"/>
        <w:ind w:firstLine="640"/>
        <w:rPr>
          <w:rStyle w:val="43"/>
          <w:rFonts w:hint="eastAsia" w:ascii="仿宋_GB2312" w:hAnsi="仿宋_GB2312" w:eastAsia="仿宋_GB2312"/>
          <w:kern w:val="10"/>
          <w:sz w:val="32"/>
          <w:szCs w:val="32"/>
        </w:rPr>
      </w:pPr>
      <w:r>
        <w:rPr>
          <w:rStyle w:val="43"/>
          <w:rFonts w:hint="eastAsia" w:ascii="仿宋_GB2312" w:hAnsi="仿宋_GB2312" w:eastAsia="仿宋_GB2312"/>
          <w:kern w:val="10"/>
          <w:sz w:val="32"/>
          <w:szCs w:val="32"/>
        </w:rPr>
        <w:t>（1）不断深化“两联一进”全覆盖，强化排忧解难办实事，以实干精神推动壤塘“155”战略高质量发。</w:t>
      </w:r>
    </w:p>
    <w:p w14:paraId="41676BC8">
      <w:pPr>
        <w:pStyle w:val="44"/>
        <w:spacing w:line="560" w:lineRule="exact"/>
        <w:ind w:firstLine="640"/>
        <w:rPr>
          <w:rStyle w:val="43"/>
          <w:rFonts w:hint="eastAsia" w:ascii="仿宋_GB2312" w:hAnsi="仿宋_GB2312" w:eastAsia="仿宋_GB2312"/>
          <w:kern w:val="10"/>
          <w:sz w:val="32"/>
          <w:szCs w:val="32"/>
        </w:rPr>
      </w:pPr>
      <w:r>
        <w:rPr>
          <w:rStyle w:val="43"/>
          <w:rFonts w:hint="eastAsia" w:ascii="仿宋_GB2312" w:hAnsi="仿宋_GB2312" w:eastAsia="仿宋_GB2312"/>
          <w:kern w:val="10"/>
          <w:sz w:val="32"/>
          <w:szCs w:val="32"/>
        </w:rPr>
        <w:t>（</w:t>
      </w:r>
      <w:r>
        <w:rPr>
          <w:rStyle w:val="43"/>
          <w:rFonts w:hint="eastAsia" w:ascii="仿宋_GB2312" w:hAnsi="仿宋_GB2312" w:eastAsia="仿宋_GB2312"/>
          <w:kern w:val="10"/>
          <w:sz w:val="32"/>
          <w:szCs w:val="32"/>
          <w:lang w:val="en-US"/>
        </w:rPr>
        <w:t>2</w:t>
      </w:r>
      <w:r>
        <w:rPr>
          <w:rStyle w:val="43"/>
          <w:rFonts w:hint="eastAsia" w:ascii="仿宋_GB2312" w:hAnsi="仿宋_GB2312" w:eastAsia="仿宋_GB2312"/>
          <w:kern w:val="10"/>
          <w:sz w:val="32"/>
          <w:szCs w:val="32"/>
        </w:rPr>
        <w:t>）不断健全“三圈层”防控体系，着重稳控化解、情报信息收集研判，切实维护安置社区安全稳定的良好局面。</w:t>
      </w:r>
    </w:p>
    <w:p w14:paraId="52DF13CC">
      <w:pPr>
        <w:pStyle w:val="44"/>
        <w:spacing w:line="560" w:lineRule="exact"/>
        <w:ind w:firstLine="640"/>
        <w:rPr>
          <w:rStyle w:val="43"/>
          <w:rFonts w:hint="eastAsia" w:ascii="仿宋_GB2312" w:hAnsi="仿宋_GB2312" w:eastAsia="仿宋_GB2312"/>
          <w:kern w:val="10"/>
          <w:sz w:val="32"/>
          <w:szCs w:val="32"/>
        </w:rPr>
      </w:pPr>
      <w:r>
        <w:rPr>
          <w:rStyle w:val="43"/>
          <w:rFonts w:hint="eastAsia" w:ascii="仿宋_GB2312" w:hAnsi="仿宋_GB2312" w:eastAsia="仿宋_GB2312"/>
          <w:kern w:val="10"/>
          <w:sz w:val="32"/>
          <w:szCs w:val="32"/>
        </w:rPr>
        <w:t>（</w:t>
      </w:r>
      <w:r>
        <w:rPr>
          <w:rStyle w:val="43"/>
          <w:rFonts w:hint="eastAsia" w:ascii="仿宋_GB2312" w:hAnsi="仿宋_GB2312" w:eastAsia="仿宋_GB2312"/>
          <w:kern w:val="10"/>
          <w:sz w:val="32"/>
          <w:szCs w:val="32"/>
          <w:lang w:val="en-US"/>
        </w:rPr>
        <w:t>3</w:t>
      </w:r>
      <w:r>
        <w:rPr>
          <w:rStyle w:val="43"/>
          <w:rFonts w:hint="eastAsia" w:ascii="仿宋_GB2312" w:hAnsi="仿宋_GB2312" w:eastAsia="仿宋_GB2312"/>
          <w:kern w:val="10"/>
          <w:sz w:val="32"/>
          <w:szCs w:val="32"/>
        </w:rPr>
        <w:t>）不断强化风险隐患排查化解，坚持“干事不出事，干事出成效”，全力实现全年安全稳定无事故。</w:t>
      </w:r>
    </w:p>
    <w:p w14:paraId="393CA490">
      <w:pPr>
        <w:pStyle w:val="44"/>
        <w:spacing w:line="560" w:lineRule="exact"/>
        <w:ind w:firstLine="640"/>
        <w:rPr>
          <w:rStyle w:val="43"/>
          <w:rFonts w:hint="eastAsia" w:ascii="仿宋_GB2312" w:hAnsi="仿宋_GB2312" w:eastAsia="仿宋_GB2312"/>
          <w:kern w:val="10"/>
          <w:sz w:val="32"/>
          <w:szCs w:val="32"/>
        </w:rPr>
      </w:pPr>
      <w:r>
        <w:rPr>
          <w:rStyle w:val="43"/>
          <w:rFonts w:hint="eastAsia" w:ascii="仿宋_GB2312" w:hAnsi="仿宋_GB2312" w:eastAsia="仿宋_GB2312"/>
          <w:kern w:val="10"/>
          <w:sz w:val="32"/>
          <w:szCs w:val="32"/>
        </w:rPr>
        <w:t>（</w:t>
      </w:r>
      <w:r>
        <w:rPr>
          <w:rStyle w:val="43"/>
          <w:rFonts w:hint="eastAsia" w:ascii="仿宋_GB2312" w:hAnsi="仿宋_GB2312" w:eastAsia="仿宋_GB2312"/>
          <w:kern w:val="10"/>
          <w:sz w:val="32"/>
          <w:szCs w:val="32"/>
          <w:lang w:val="en-US"/>
        </w:rPr>
        <w:t>4</w:t>
      </w:r>
      <w:r>
        <w:rPr>
          <w:rStyle w:val="43"/>
          <w:rFonts w:hint="eastAsia" w:ascii="仿宋_GB2312" w:hAnsi="仿宋_GB2312" w:eastAsia="仿宋_GB2312"/>
          <w:kern w:val="10"/>
          <w:sz w:val="32"/>
          <w:szCs w:val="32"/>
        </w:rPr>
        <w:t>）不断推进“一寺一策”依法规范管理，深化“五美一安”创建，为建设“美丽幸福壤巴拉家园”凝心聚力。</w:t>
      </w:r>
    </w:p>
    <w:p w14:paraId="7DB98782">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w:t>
      </w:r>
      <w:r>
        <w:rPr>
          <w:rStyle w:val="43"/>
          <w:rFonts w:hint="eastAsia" w:ascii="仿宋_GB2312" w:hAnsi="仿宋_GB2312" w:eastAsia="仿宋_GB2312"/>
          <w:kern w:val="10"/>
          <w:sz w:val="32"/>
          <w:szCs w:val="32"/>
          <w:lang w:val="en-US"/>
        </w:rPr>
        <w:t>5</w:t>
      </w:r>
      <w:r>
        <w:rPr>
          <w:rStyle w:val="43"/>
          <w:rFonts w:hint="eastAsia" w:ascii="仿宋_GB2312" w:hAnsi="仿宋_GB2312" w:eastAsia="仿宋_GB2312"/>
          <w:kern w:val="10"/>
          <w:sz w:val="32"/>
          <w:szCs w:val="32"/>
        </w:rPr>
        <w:t>）不断加强工会自身建设，积极为职工办好事办实事，努力打造过硬工会干部队伍。</w:t>
      </w:r>
    </w:p>
    <w:p w14:paraId="5FE0AFBF">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14:paraId="475F2EF4">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一是强化能力提升，让尼姑“得心应手”求进取。</w:t>
      </w:r>
      <w:r>
        <w:rPr>
          <w:rFonts w:hint="eastAsia" w:ascii="仿宋_GB2312" w:hAnsi="仿宋_GB2312" w:eastAsia="仿宋_GB2312" w:cs="仿宋_GB2312"/>
          <w:b w:val="0"/>
          <w:bCs w:val="0"/>
          <w:sz w:val="32"/>
          <w:szCs w:val="32"/>
          <w:lang w:val="en-US" w:eastAsia="zh-CN"/>
        </w:rPr>
        <w:t>在州县妇联、县就业局的全力支持下，开展</w:t>
      </w:r>
      <w:r>
        <w:rPr>
          <w:rFonts w:hint="eastAsia" w:ascii="仿宋_GB2312" w:hAnsi="仿宋_GB2312" w:eastAsia="仿宋_GB2312" w:cs="仿宋_GB2312"/>
          <w:sz w:val="32"/>
          <w:szCs w:val="32"/>
          <w:lang w:val="en-US" w:eastAsia="zh-CN"/>
        </w:rPr>
        <w:t>“同心金兰”妇女手工技能进社区行动，对觉姆餐饮技能、缝纫技术进行提升培训，此次培训进一步增强了尼众自养能力，共计受益40人。</w:t>
      </w:r>
      <w:r>
        <w:rPr>
          <w:rFonts w:hint="eastAsia" w:ascii="仿宋_GB2312" w:hAnsi="仿宋_GB2312" w:eastAsia="仿宋_GB2312" w:cs="仿宋_GB2312"/>
          <w:b/>
          <w:bCs/>
          <w:sz w:val="32"/>
          <w:szCs w:val="32"/>
          <w:lang w:val="en-US" w:eastAsia="zh-CN"/>
        </w:rPr>
        <w:t>二是坚持严管厚爱，让尼姑“安心稳定”共前行。</w:t>
      </w:r>
      <w:r>
        <w:rPr>
          <w:rFonts w:hint="eastAsia" w:ascii="仿宋_GB2312" w:hAnsi="仿宋_GB2312" w:eastAsia="仿宋_GB2312" w:cs="仿宋_GB2312"/>
          <w:b w:val="0"/>
          <w:bCs w:val="0"/>
          <w:sz w:val="32"/>
          <w:szCs w:val="32"/>
          <w:lang w:val="en-US" w:eastAsia="zh-CN"/>
        </w:rPr>
        <w:t>成功申报评定3名县级非遗传承人，同步</w:t>
      </w:r>
      <w:r>
        <w:rPr>
          <w:rFonts w:hint="eastAsia" w:ascii="仿宋_GB2312" w:hAnsi="仿宋_GB2312" w:eastAsia="仿宋_GB2312" w:cs="仿宋_GB2312"/>
          <w:sz w:val="32"/>
          <w:szCs w:val="32"/>
          <w:lang w:val="en-US" w:eastAsia="zh-CN"/>
        </w:rPr>
        <w:t>建设建好藏医药传习所，州妇联捐赠藏医药传习所所需器具及尼姑爱心咖啡屋物资共计17万余元，邀请县卫健局、县人民医院、县藏医院、县妇计中心、县疾控中心到社区开展义诊，</w:t>
      </w:r>
      <w:r>
        <w:rPr>
          <w:rFonts w:hint="eastAsia" w:ascii="仿宋_GB2312" w:hAnsi="仿宋_GB2312" w:eastAsia="仿宋_GB2312" w:cs="仿宋_GB2312"/>
          <w:sz w:val="32"/>
          <w:szCs w:val="32"/>
          <w:lang w:eastAsia="zh-CN"/>
        </w:rPr>
        <w:t>为觉姆免费体检，</w:t>
      </w:r>
      <w:r>
        <w:rPr>
          <w:rFonts w:hint="eastAsia" w:ascii="仿宋_GB2312" w:hAnsi="仿宋_GB2312" w:eastAsia="仿宋_GB2312" w:cs="仿宋_GB2312"/>
          <w:sz w:val="32"/>
          <w:szCs w:val="32"/>
          <w:lang w:val="en-US" w:eastAsia="zh-CN"/>
        </w:rPr>
        <w:t>并进行健康知识宣讲，发放宣传资料300余份，</w:t>
      </w:r>
      <w:r>
        <w:rPr>
          <w:rFonts w:hint="eastAsia" w:ascii="仿宋_GB2312" w:hAnsi="仿宋_GB2312" w:eastAsia="仿宋_GB2312" w:cs="仿宋_GB2312"/>
          <w:sz w:val="32"/>
          <w:szCs w:val="32"/>
          <w:lang w:eastAsia="zh-CN"/>
        </w:rPr>
        <w:t>发放药品价值约</w:t>
      </w:r>
      <w:r>
        <w:rPr>
          <w:rFonts w:hint="eastAsia" w:ascii="仿宋_GB2312" w:hAnsi="仿宋_GB2312" w:eastAsia="仿宋_GB2312" w:cs="仿宋_GB2312"/>
          <w:sz w:val="32"/>
          <w:szCs w:val="32"/>
          <w:lang w:val="en-US" w:eastAsia="zh-CN"/>
        </w:rPr>
        <w:t>5500余元。保障尼众健康安全的同时充实了其业余生活，进一步增强尼众“五个认同”全面铸牢中华民族共同体意识</w:t>
      </w:r>
      <w:r>
        <w:rPr>
          <w:rFonts w:hint="eastAsia" w:ascii="仿宋_GB2312" w:hAnsi="仿宋_GB2312" w:eastAsia="仿宋_GB2312" w:cs="仿宋_GB2312"/>
          <w:sz w:val="32"/>
          <w:szCs w:val="32"/>
        </w:rPr>
        <w:t>。</w:t>
      </w:r>
    </w:p>
    <w:p w14:paraId="2ABF3039">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14:paraId="52A52643">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壤塘县娜泽求宗社区管理委员会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eastAsia="zh-CN"/>
        </w:rPr>
        <w:t>174.39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eastAsia="zh-CN"/>
        </w:rPr>
        <w:t>42.04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eastAsia="zh-CN"/>
        </w:rPr>
        <w:t>216.43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年末无结转结余，</w:t>
      </w:r>
      <w:r>
        <w:rPr>
          <w:rFonts w:ascii="仿宋_GB2312" w:hAnsi="仿宋_GB2312" w:eastAsia="仿宋_GB2312" w:cs="仿宋_GB2312"/>
          <w:sz w:val="32"/>
          <w:szCs w:val="32"/>
        </w:rPr>
        <w:t>预算安排准确。</w:t>
      </w:r>
    </w:p>
    <w:p w14:paraId="07851F92">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14:paraId="3BEE739E">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年壤塘县娜泽求宗社区管理委员会财政拨款执行数</w:t>
      </w:r>
      <w:r>
        <w:rPr>
          <w:rFonts w:hint="eastAsia" w:ascii="仿宋_GB2312" w:hAnsi="仿宋_GB2312" w:eastAsia="仿宋_GB2312" w:cs="仿宋_GB2312"/>
          <w:sz w:val="32"/>
          <w:szCs w:val="32"/>
          <w:lang w:eastAsia="zh-CN"/>
        </w:rPr>
        <w:t>216.43</w:t>
      </w:r>
      <w:r>
        <w:rPr>
          <w:rFonts w:hint="eastAsia" w:ascii="仿宋_GB2312" w:hAnsi="仿宋_GB2312" w:eastAsia="仿宋_GB2312" w:cs="仿宋_GB2312"/>
          <w:sz w:val="32"/>
          <w:szCs w:val="32"/>
        </w:rPr>
        <w:t>万元，财政拨款调整预算数</w:t>
      </w:r>
      <w:r>
        <w:rPr>
          <w:rFonts w:hint="eastAsia" w:ascii="仿宋_GB2312" w:hAnsi="仿宋_GB2312" w:eastAsia="仿宋_GB2312" w:cs="仿宋_GB2312"/>
          <w:sz w:val="32"/>
          <w:szCs w:val="32"/>
          <w:lang w:eastAsia="zh-CN"/>
        </w:rPr>
        <w:t>216.43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部门总体执行达100%，执行进度较高</w:t>
      </w:r>
      <w:r>
        <w:rPr>
          <w:rFonts w:hint="eastAsia" w:ascii="仿宋_GB2312" w:hAnsi="仿宋_GB2312" w:eastAsia="仿宋_GB2312" w:cs="仿宋_GB2312"/>
          <w:sz w:val="32"/>
          <w:szCs w:val="32"/>
        </w:rPr>
        <w:t>。</w:t>
      </w:r>
    </w:p>
    <w:p w14:paraId="25F33173">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14:paraId="7E7C1987">
      <w:pPr>
        <w:pStyle w:val="44"/>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2023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壤塘县娜泽求宗社区管理委员会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eastAsia="zh-CN"/>
        </w:rPr>
        <w:t>174.39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eastAsia="zh-CN"/>
        </w:rPr>
        <w:t>42.04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eastAsia="zh-CN"/>
        </w:rPr>
        <w:t>216.43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，预算完成进度为100%，预算完成度较高。</w:t>
      </w:r>
    </w:p>
    <w:p w14:paraId="1A04C0B6">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14:paraId="6B5908EA">
      <w:pPr>
        <w:pStyle w:val="44"/>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年12月31日，我单位无违规纪录情况。</w:t>
      </w:r>
    </w:p>
    <w:p w14:paraId="24D58B82">
      <w:pPr>
        <w:pStyle w:val="44"/>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7.三公经费</w:t>
      </w:r>
    </w:p>
    <w:p w14:paraId="16207992">
      <w:pPr>
        <w:pStyle w:val="44"/>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壤塘县娜泽求宗社区管理委员会2023年“三公”经费预算0万元，决算支出0万元。其中公务用车购置及运行维护费预算0万元，决算支出0万元（其中公务用车运行维护费0万元）,未发生因公出国（境）费及公务接待费，2023年“三公”经费决算均未超过预算。</w:t>
      </w:r>
    </w:p>
    <w:p w14:paraId="2283A5F1">
      <w:pPr>
        <w:pStyle w:val="44"/>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14:paraId="4435A808">
      <w:pPr>
        <w:pStyle w:val="44"/>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采购规范性。壤塘县娜泽求宗社区管理委员会2023年度政府采购货物支出0万元，政府采购工程支出0万元，政府采购服务支出0万元。</w:t>
      </w:r>
    </w:p>
    <w:p w14:paraId="20A0163C">
      <w:pPr>
        <w:pStyle w:val="44"/>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14:paraId="1FF82E38">
      <w:pPr>
        <w:pStyle w:val="44"/>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固定资产在用率。截止2023年12月31日，壤塘县娜泽求宗社区管理委员会《行政单位资产管理系统》固定资产总计70.74万元，在用的固定资产总计70.74万元，固定资产在用率达100%。</w:t>
      </w:r>
    </w:p>
    <w:p w14:paraId="3D8209AF">
      <w:pPr>
        <w:pStyle w:val="44"/>
        <w:numPr>
          <w:ilvl w:val="0"/>
          <w:numId w:val="5"/>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14:paraId="6F837BF4">
      <w:pPr>
        <w:pStyle w:val="44"/>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14:paraId="5E48D3A9">
      <w:pPr>
        <w:pStyle w:val="44"/>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14:paraId="2DFB8CDC">
      <w:pPr>
        <w:pStyle w:val="44"/>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14:paraId="5B5B92FB">
      <w:pPr>
        <w:pStyle w:val="44"/>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14:paraId="515DD0F9">
      <w:pPr>
        <w:pStyle w:val="44"/>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14:paraId="2DE79F1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w:t>
      </w:r>
      <w:r>
        <w:rPr>
          <w:rFonts w:hint="eastAsia" w:ascii="仿宋_GB2312" w:hAnsi="仿宋_GB2312" w:eastAsia="仿宋_GB2312" w:cs="仿宋_GB2312"/>
          <w:sz w:val="32"/>
          <w:szCs w:val="32"/>
          <w:lang w:val="zh-CN"/>
        </w:rPr>
        <w:t>。</w:t>
      </w:r>
    </w:p>
    <w:p w14:paraId="1E131223">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2.未制定明确的财务监控监督措施。</w:t>
      </w:r>
    </w:p>
    <w:p w14:paraId="7FC320C0">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14:paraId="66D02EE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1.加强预算安排准确性，尽量减少执行中期追加数。</w:t>
      </w:r>
    </w:p>
    <w:p w14:paraId="0088DBB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2.制定明确的财务监控监督措施且确保监控、监督措施执行有效。</w:t>
      </w:r>
    </w:p>
    <w:p w14:paraId="08E89602">
      <w:pPr>
        <w:pStyle w:val="2"/>
        <w:rPr>
          <w:rFonts w:hint="eastAsia" w:ascii="仿宋_GB2312" w:hAnsi="仿宋_GB2312" w:eastAsia="仿宋_GB2312" w:cs="仿宋_GB2312"/>
          <w:sz w:val="32"/>
          <w:szCs w:val="32"/>
          <w:lang w:val="en-US" w:eastAsia="zh-CN"/>
        </w:rPr>
      </w:pPr>
    </w:p>
    <w:p w14:paraId="3114A2A8">
      <w:pPr>
        <w:rPr>
          <w:rFonts w:hint="eastAsia" w:ascii="仿宋_GB2312" w:hAnsi="仿宋_GB2312" w:eastAsia="仿宋_GB2312" w:cs="仿宋_GB2312"/>
          <w:sz w:val="32"/>
          <w:szCs w:val="32"/>
          <w:lang w:val="en-US" w:eastAsia="zh-CN"/>
        </w:rPr>
      </w:pPr>
    </w:p>
    <w:p w14:paraId="5DE3E9E3">
      <w:pPr>
        <w:pStyle w:val="2"/>
        <w:rPr>
          <w:rFonts w:hint="eastAsia" w:ascii="仿宋_GB2312" w:hAnsi="仿宋_GB2312" w:eastAsia="仿宋_GB2312" w:cs="仿宋_GB2312"/>
          <w:sz w:val="32"/>
          <w:szCs w:val="32"/>
          <w:lang w:val="en-US" w:eastAsia="zh-CN"/>
        </w:rPr>
      </w:pPr>
    </w:p>
    <w:p w14:paraId="32A1489A">
      <w:pPr>
        <w:rPr>
          <w:rFonts w:hint="eastAsia" w:ascii="仿宋_GB2312" w:hAnsi="仿宋_GB2312" w:eastAsia="仿宋_GB2312" w:cs="仿宋_GB2312"/>
          <w:sz w:val="32"/>
          <w:szCs w:val="32"/>
          <w:lang w:val="en-US" w:eastAsia="zh-CN"/>
        </w:rPr>
      </w:pPr>
    </w:p>
    <w:p w14:paraId="22508F28">
      <w:pPr>
        <w:pStyle w:val="2"/>
        <w:rPr>
          <w:rFonts w:hint="eastAsia" w:ascii="仿宋_GB2312" w:hAnsi="仿宋_GB2312" w:eastAsia="仿宋_GB2312" w:cs="仿宋_GB2312"/>
          <w:sz w:val="32"/>
          <w:szCs w:val="32"/>
          <w:lang w:val="en-US" w:eastAsia="zh-CN"/>
        </w:rPr>
      </w:pPr>
    </w:p>
    <w:p w14:paraId="08EE7BC2">
      <w:pPr>
        <w:rPr>
          <w:rFonts w:hint="eastAsia" w:ascii="仿宋_GB2312" w:hAnsi="仿宋_GB2312" w:eastAsia="仿宋_GB2312" w:cs="仿宋_GB2312"/>
          <w:sz w:val="32"/>
          <w:szCs w:val="32"/>
          <w:lang w:val="en-US" w:eastAsia="zh-CN"/>
        </w:rPr>
      </w:pPr>
    </w:p>
    <w:p w14:paraId="75D17741">
      <w:pPr>
        <w:pStyle w:val="2"/>
        <w:rPr>
          <w:rFonts w:hint="eastAsia" w:ascii="仿宋_GB2312" w:hAnsi="仿宋_GB2312" w:eastAsia="仿宋_GB2312" w:cs="仿宋_GB2312"/>
          <w:sz w:val="32"/>
          <w:szCs w:val="32"/>
          <w:lang w:val="en-US" w:eastAsia="zh-CN"/>
        </w:rPr>
      </w:pPr>
    </w:p>
    <w:p w14:paraId="181EF094">
      <w:pPr>
        <w:rPr>
          <w:rFonts w:hint="eastAsia" w:ascii="仿宋_GB2312" w:hAnsi="仿宋_GB2312" w:eastAsia="仿宋_GB2312" w:cs="仿宋_GB2312"/>
          <w:sz w:val="32"/>
          <w:szCs w:val="32"/>
          <w:lang w:val="en-US" w:eastAsia="zh-CN"/>
        </w:rPr>
      </w:pPr>
    </w:p>
    <w:p w14:paraId="613BF1A0">
      <w:pPr>
        <w:pStyle w:val="2"/>
        <w:rPr>
          <w:rFonts w:hint="eastAsia" w:ascii="仿宋_GB2312" w:hAnsi="仿宋_GB2312" w:eastAsia="仿宋_GB2312" w:cs="仿宋_GB2312"/>
          <w:sz w:val="32"/>
          <w:szCs w:val="32"/>
          <w:lang w:val="en-US" w:eastAsia="zh-CN"/>
        </w:rPr>
      </w:pPr>
    </w:p>
    <w:p w14:paraId="6E6D790F">
      <w:pPr>
        <w:rPr>
          <w:rFonts w:hint="eastAsia"/>
          <w:lang w:val="en-US" w:eastAsia="zh-CN"/>
        </w:rPr>
      </w:pPr>
    </w:p>
    <w:bookmarkEnd w:id="96"/>
    <w:bookmarkEnd w:id="102"/>
    <w:bookmarkEnd w:id="103"/>
    <w:bookmarkEnd w:id="104"/>
    <w:p w14:paraId="6575C1D0">
      <w:pPr>
        <w:spacing w:line="600" w:lineRule="exact"/>
        <w:jc w:val="center"/>
        <w:outlineLvl w:val="0"/>
        <w:rPr>
          <w:rFonts w:ascii="黑体" w:hAnsi="黑体" w:eastAsia="黑体" w:cs="Times New Roman"/>
          <w:b w:val="0"/>
        </w:rPr>
      </w:pPr>
      <w:r>
        <w:rPr>
          <w:rFonts w:hint="eastAsia" w:ascii="黑体" w:hAnsi="黑体" w:eastAsia="黑体" w:cs="Times New Roman"/>
          <w:color w:val="000000"/>
          <w:sz w:val="44"/>
          <w:szCs w:val="44"/>
        </w:rPr>
        <w:t>第</w:t>
      </w:r>
      <w:r>
        <w:rPr>
          <w:rFonts w:hint="eastAsia" w:ascii="黑体" w:hAnsi="黑体" w:eastAsia="黑体" w:cs="Times New Roman"/>
          <w:b w:val="0"/>
          <w:bCs/>
          <w:kern w:val="44"/>
          <w:sz w:val="44"/>
          <w:szCs w:val="44"/>
        </w:rPr>
        <w:t>四部分</w:t>
      </w:r>
      <w:r>
        <w:rPr>
          <w:rFonts w:ascii="黑体" w:hAnsi="黑体" w:eastAsia="黑体" w:cs="Times New Roman"/>
          <w:b w:val="0"/>
          <w:bCs/>
          <w:kern w:val="44"/>
          <w:sz w:val="44"/>
          <w:szCs w:val="44"/>
        </w:rPr>
        <w:t xml:space="preserve"> </w:t>
      </w:r>
      <w:r>
        <w:rPr>
          <w:rFonts w:hint="eastAsia" w:ascii="黑体" w:hAnsi="黑体" w:eastAsia="黑体" w:cs="Times New Roman"/>
          <w:b w:val="0"/>
          <w:bCs/>
          <w:kern w:val="44"/>
          <w:sz w:val="44"/>
          <w:szCs w:val="44"/>
        </w:rPr>
        <w:t>附件</w:t>
      </w:r>
    </w:p>
    <w:p w14:paraId="317560C3">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ascii="黑体" w:hAnsi="黑体" w:eastAsia="黑体" w:cs="黑体"/>
          <w:sz w:val="32"/>
          <w:szCs w:val="32"/>
        </w:rPr>
        <w:t>1</w:t>
      </w:r>
    </w:p>
    <w:p w14:paraId="7B3CDF18">
      <w:pPr>
        <w:widowControl w:val="0"/>
        <w:ind w:left="0" w:leftChars="0" w:firstLine="0" w:firstLineChars="0"/>
        <w:jc w:val="both"/>
        <w:rPr>
          <w:rFonts w:ascii="Calibri" w:hAnsi="Calibri" w:eastAsia="宋体" w:cs="Times New Roman"/>
          <w:kern w:val="2"/>
          <w:sz w:val="21"/>
          <w:szCs w:val="24"/>
          <w:lang w:val="en-US" w:eastAsia="zh-CN" w:bidi="ar-SA"/>
        </w:rPr>
      </w:pPr>
      <w:r>
        <w:rPr>
          <w:rFonts w:ascii="Calibri" w:hAnsi="Calibri" w:eastAsia="宋体" w:cs="Times New Roman"/>
          <w:kern w:val="2"/>
          <w:sz w:val="21"/>
          <w:szCs w:val="24"/>
          <w:lang w:val="en-US" w:eastAsia="zh-CN" w:bidi="ar-SA"/>
        </w:rPr>
        <w:drawing>
          <wp:inline distT="0" distB="0" distL="114300" distR="114300">
            <wp:extent cx="5271135" cy="8015605"/>
            <wp:effectExtent l="0" t="0" r="1206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8015605"/>
                    </a:xfrm>
                    <a:prstGeom prst="rect">
                      <a:avLst/>
                    </a:prstGeom>
                    <a:noFill/>
                    <a:ln>
                      <a:noFill/>
                    </a:ln>
                  </pic:spPr>
                </pic:pic>
              </a:graphicData>
            </a:graphic>
          </wp:inline>
        </w:drawing>
      </w:r>
    </w:p>
    <w:p w14:paraId="50207620">
      <w:pPr>
        <w:rPr>
          <w:rFonts w:hint="eastAsia" w:ascii="Times New Roman" w:hAnsi="Times New Roman" w:eastAsia="宋体" w:cs="Times New Roman"/>
          <w:lang w:val="en-US" w:eastAsia="zh-CN"/>
        </w:rPr>
      </w:pPr>
    </w:p>
    <w:p w14:paraId="0F23AC43">
      <w:pPr>
        <w:widowControl w:val="0"/>
        <w:ind w:left="840" w:leftChars="200" w:hanging="420" w:hangingChars="200"/>
        <w:jc w:val="both"/>
        <w:rPr>
          <w:rFonts w:ascii="Calibri" w:hAnsi="Calibri" w:eastAsia="宋体" w:cs="Times New Roman"/>
          <w:kern w:val="2"/>
          <w:sz w:val="21"/>
          <w:szCs w:val="24"/>
          <w:lang w:val="en-US" w:eastAsia="zh-CN" w:bidi="ar-SA"/>
        </w:rPr>
      </w:pPr>
    </w:p>
    <w:p w14:paraId="27AB9634">
      <w:pPr>
        <w:rPr>
          <w:rFonts w:hint="default" w:ascii="Times New Roman" w:hAnsi="Times New Roman" w:eastAsia="宋体" w:cs="Times New Roman"/>
          <w:lang w:val="en-US"/>
        </w:rPr>
      </w:pPr>
    </w:p>
    <w:p w14:paraId="534409F5">
      <w:pPr>
        <w:spacing w:line="600" w:lineRule="exact"/>
        <w:jc w:val="center"/>
        <w:outlineLvl w:val="0"/>
        <w:rPr>
          <w:rFonts w:ascii="黑体" w:hAnsi="黑体" w:eastAsia="黑体" w:cs="Times New Roman"/>
          <w:b w:val="0"/>
        </w:rPr>
      </w:pPr>
      <w:r>
        <w:rPr>
          <w:rFonts w:hint="eastAsia" w:ascii="黑体" w:hAnsi="黑体" w:eastAsia="黑体" w:cs="Times New Roman"/>
          <w:color w:val="000000"/>
          <w:sz w:val="44"/>
          <w:szCs w:val="44"/>
        </w:rPr>
        <w:t>第</w:t>
      </w:r>
      <w:r>
        <w:rPr>
          <w:rFonts w:hint="eastAsia" w:ascii="黑体" w:hAnsi="黑体" w:eastAsia="黑体" w:cs="Times New Roman"/>
          <w:b w:val="0"/>
          <w:bCs/>
          <w:kern w:val="44"/>
          <w:sz w:val="44"/>
          <w:szCs w:val="44"/>
        </w:rPr>
        <w:t>五部分</w:t>
      </w:r>
      <w:r>
        <w:rPr>
          <w:rFonts w:ascii="黑体" w:hAnsi="黑体" w:eastAsia="黑体" w:cs="Times New Roman"/>
          <w:b w:val="0"/>
          <w:bCs/>
          <w:kern w:val="44"/>
          <w:sz w:val="44"/>
          <w:szCs w:val="44"/>
        </w:rPr>
        <w:t xml:space="preserve"> </w:t>
      </w:r>
      <w:r>
        <w:rPr>
          <w:rFonts w:hint="eastAsia" w:ascii="黑体" w:hAnsi="黑体" w:eastAsia="黑体" w:cs="Times New Roman"/>
          <w:b w:val="0"/>
          <w:bCs/>
          <w:kern w:val="44"/>
          <w:sz w:val="44"/>
          <w:szCs w:val="44"/>
        </w:rPr>
        <w:t>附表</w:t>
      </w:r>
    </w:p>
    <w:p w14:paraId="7D4D2459">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05" w:name="_Toc79163636"/>
      <w:bookmarkStart w:id="106" w:name="_Toc79163886"/>
      <w:bookmarkStart w:id="107" w:name="_Toc15396619"/>
      <w:r>
        <w:rPr>
          <w:rFonts w:hint="eastAsia" w:ascii="仿宋" w:hAnsi="仿宋" w:eastAsia="仿宋" w:cs="Times New Roman"/>
          <w:b w:val="0"/>
          <w:bCs/>
          <w:color w:val="000000"/>
          <w:kern w:val="2"/>
          <w:sz w:val="32"/>
          <w:szCs w:val="32"/>
          <w:lang w:val="en-US" w:eastAsia="zh-CN" w:bidi="ar-SA"/>
        </w:rPr>
        <w:t>一、收</w:t>
      </w:r>
      <w:r>
        <w:rPr>
          <w:rFonts w:hint="eastAsia" w:ascii="仿宋" w:hAnsi="仿宋" w:eastAsia="仿宋" w:cs="Times New Roman"/>
          <w:b w:val="0"/>
          <w:bCs w:val="0"/>
          <w:kern w:val="2"/>
          <w:sz w:val="32"/>
          <w:szCs w:val="32"/>
          <w:lang w:val="en-US" w:eastAsia="zh-CN" w:bidi="ar-SA"/>
        </w:rPr>
        <w:t>入支出决算总表</w:t>
      </w:r>
      <w:bookmarkEnd w:id="105"/>
      <w:bookmarkEnd w:id="106"/>
      <w:bookmarkEnd w:id="107"/>
    </w:p>
    <w:p w14:paraId="53E041EC">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08" w:name="_Toc15396620"/>
      <w:bookmarkStart w:id="109" w:name="_Toc79163637"/>
      <w:bookmarkStart w:id="110" w:name="_Toc79163887"/>
      <w:r>
        <w:rPr>
          <w:rFonts w:hint="eastAsia" w:ascii="仿宋" w:hAnsi="仿宋" w:eastAsia="仿宋" w:cs="Times New Roman"/>
          <w:b w:val="0"/>
          <w:bCs/>
          <w:color w:val="000000"/>
          <w:kern w:val="2"/>
          <w:sz w:val="32"/>
          <w:szCs w:val="32"/>
          <w:lang w:val="en-US" w:eastAsia="zh-CN" w:bidi="ar-SA"/>
        </w:rPr>
        <w:t>二、收</w:t>
      </w:r>
      <w:r>
        <w:rPr>
          <w:rFonts w:hint="eastAsia" w:ascii="仿宋" w:hAnsi="仿宋" w:eastAsia="仿宋" w:cs="Times New Roman"/>
          <w:b w:val="0"/>
          <w:bCs w:val="0"/>
          <w:kern w:val="2"/>
          <w:sz w:val="32"/>
          <w:szCs w:val="32"/>
          <w:lang w:val="en-US" w:eastAsia="zh-CN" w:bidi="ar-SA"/>
        </w:rPr>
        <w:t>入决算表</w:t>
      </w:r>
      <w:bookmarkEnd w:id="108"/>
      <w:bookmarkEnd w:id="109"/>
      <w:bookmarkEnd w:id="110"/>
    </w:p>
    <w:p w14:paraId="5D4D5EE0">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11" w:name="_Toc79163888"/>
      <w:bookmarkStart w:id="112" w:name="_Toc79163638"/>
      <w:bookmarkStart w:id="113" w:name="_Toc15396621"/>
      <w:r>
        <w:rPr>
          <w:rFonts w:hint="eastAsia" w:ascii="仿宋" w:hAnsi="仿宋" w:eastAsia="仿宋" w:cs="Times New Roman"/>
          <w:b w:val="0"/>
          <w:bCs w:val="0"/>
          <w:kern w:val="2"/>
          <w:sz w:val="32"/>
          <w:szCs w:val="32"/>
          <w:lang w:val="en-US" w:eastAsia="zh-CN" w:bidi="ar-SA"/>
        </w:rPr>
        <w:t>三、</w:t>
      </w:r>
      <w:r>
        <w:rPr>
          <w:rFonts w:hint="eastAsia" w:ascii="仿宋" w:hAnsi="仿宋" w:eastAsia="仿宋" w:cs="Times New Roman"/>
          <w:b w:val="0"/>
          <w:bCs/>
          <w:color w:val="000000"/>
          <w:kern w:val="2"/>
          <w:sz w:val="32"/>
          <w:szCs w:val="32"/>
          <w:lang w:val="en-US" w:eastAsia="zh-CN" w:bidi="ar-SA"/>
        </w:rPr>
        <w:t>支</w:t>
      </w:r>
      <w:r>
        <w:rPr>
          <w:rFonts w:hint="eastAsia" w:ascii="仿宋" w:hAnsi="仿宋" w:eastAsia="仿宋" w:cs="Times New Roman"/>
          <w:b w:val="0"/>
          <w:bCs w:val="0"/>
          <w:kern w:val="2"/>
          <w:sz w:val="32"/>
          <w:szCs w:val="32"/>
          <w:lang w:val="en-US" w:eastAsia="zh-CN" w:bidi="ar-SA"/>
        </w:rPr>
        <w:t>出决算表</w:t>
      </w:r>
      <w:bookmarkEnd w:id="111"/>
      <w:bookmarkEnd w:id="112"/>
      <w:bookmarkEnd w:id="113"/>
    </w:p>
    <w:p w14:paraId="28965682">
      <w:pPr>
        <w:keepNext/>
        <w:keepLines/>
        <w:widowControl w:val="0"/>
        <w:spacing w:before="260" w:after="260" w:line="416" w:lineRule="auto"/>
        <w:jc w:val="both"/>
        <w:outlineLvl w:val="1"/>
        <w:rPr>
          <w:rFonts w:ascii="仿宋" w:hAnsi="仿宋" w:eastAsia="仿宋" w:cs="Times New Roman"/>
          <w:b w:val="0"/>
          <w:bCs/>
          <w:color w:val="000000"/>
          <w:kern w:val="2"/>
          <w:sz w:val="32"/>
          <w:szCs w:val="32"/>
          <w:lang w:val="en-US" w:eastAsia="zh-CN" w:bidi="ar-SA"/>
        </w:rPr>
      </w:pPr>
      <w:bookmarkStart w:id="114" w:name="_Toc79163889"/>
      <w:bookmarkStart w:id="115" w:name="_Toc15396622"/>
      <w:bookmarkStart w:id="116" w:name="_Toc79163639"/>
      <w:r>
        <w:rPr>
          <w:rFonts w:hint="eastAsia" w:ascii="仿宋" w:hAnsi="仿宋" w:eastAsia="仿宋" w:cs="Times New Roman"/>
          <w:b w:val="0"/>
          <w:bCs w:val="0"/>
          <w:kern w:val="2"/>
          <w:sz w:val="32"/>
          <w:szCs w:val="32"/>
          <w:lang w:val="en-US" w:eastAsia="zh-CN" w:bidi="ar-SA"/>
        </w:rPr>
        <w:t>四、</w:t>
      </w:r>
      <w:r>
        <w:rPr>
          <w:rFonts w:hint="eastAsia" w:ascii="仿宋" w:hAnsi="仿宋" w:eastAsia="仿宋" w:cs="Times New Roman"/>
          <w:b w:val="0"/>
          <w:bCs/>
          <w:color w:val="000000"/>
          <w:kern w:val="2"/>
          <w:sz w:val="32"/>
          <w:szCs w:val="32"/>
          <w:lang w:val="en-US" w:eastAsia="zh-CN" w:bidi="ar-SA"/>
        </w:rPr>
        <w:t>财</w:t>
      </w:r>
      <w:r>
        <w:rPr>
          <w:rFonts w:hint="eastAsia" w:ascii="仿宋" w:hAnsi="仿宋" w:eastAsia="仿宋" w:cs="Times New Roman"/>
          <w:b w:val="0"/>
          <w:bCs w:val="0"/>
          <w:kern w:val="2"/>
          <w:sz w:val="32"/>
          <w:szCs w:val="32"/>
          <w:lang w:val="en-US" w:eastAsia="zh-CN" w:bidi="ar-SA"/>
        </w:rPr>
        <w:t>政拨款收入支出决算总表</w:t>
      </w:r>
      <w:bookmarkEnd w:id="114"/>
      <w:bookmarkEnd w:id="115"/>
      <w:bookmarkEnd w:id="116"/>
    </w:p>
    <w:p w14:paraId="5986C6A0">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117" w:name="_Toc15396623"/>
      <w:bookmarkStart w:id="118" w:name="_Toc79163640"/>
      <w:bookmarkStart w:id="119" w:name="_Toc79163890"/>
      <w:r>
        <w:rPr>
          <w:rFonts w:hint="eastAsia" w:ascii="仿宋" w:hAnsi="仿宋" w:eastAsia="仿宋" w:cs="Times New Roman"/>
          <w:b w:val="0"/>
          <w:bCs w:val="0"/>
          <w:kern w:val="2"/>
          <w:sz w:val="32"/>
          <w:szCs w:val="32"/>
          <w:lang w:val="en-US" w:eastAsia="zh-CN" w:bidi="ar-SA"/>
        </w:rPr>
        <w:t>五、</w:t>
      </w:r>
      <w:r>
        <w:rPr>
          <w:rFonts w:hint="eastAsia" w:ascii="仿宋" w:hAnsi="仿宋" w:eastAsia="仿宋" w:cs="Times New Roman"/>
          <w:b w:val="0"/>
          <w:bCs/>
          <w:color w:val="000000"/>
          <w:kern w:val="2"/>
          <w:sz w:val="32"/>
          <w:szCs w:val="32"/>
          <w:lang w:val="en-US" w:eastAsia="zh-CN" w:bidi="ar-SA"/>
        </w:rPr>
        <w:t>财</w:t>
      </w:r>
      <w:r>
        <w:rPr>
          <w:rFonts w:hint="eastAsia" w:ascii="仿宋" w:hAnsi="仿宋" w:eastAsia="仿宋" w:cs="Times New Roman"/>
          <w:b w:val="0"/>
          <w:bCs w:val="0"/>
          <w:kern w:val="2"/>
          <w:sz w:val="32"/>
          <w:szCs w:val="32"/>
          <w:lang w:val="en-US" w:eastAsia="zh-CN" w:bidi="ar-SA"/>
        </w:rPr>
        <w:t>政拨款支出决算明细表</w:t>
      </w:r>
      <w:bookmarkEnd w:id="117"/>
      <w:bookmarkEnd w:id="118"/>
      <w:bookmarkEnd w:id="119"/>
      <w:bookmarkStart w:id="120" w:name="_Toc15396624"/>
    </w:p>
    <w:bookmarkEnd w:id="120"/>
    <w:p w14:paraId="74635C64">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21" w:name="_Toc79163891"/>
      <w:bookmarkStart w:id="122" w:name="_Toc79163641"/>
      <w:r>
        <w:rPr>
          <w:rFonts w:hint="eastAsia" w:ascii="仿宋" w:hAnsi="仿宋" w:eastAsia="仿宋" w:cs="Times New Roman"/>
          <w:b w:val="0"/>
          <w:bCs w:val="0"/>
          <w:kern w:val="2"/>
          <w:sz w:val="32"/>
          <w:szCs w:val="32"/>
          <w:lang w:val="en-US" w:eastAsia="zh-CN" w:bidi="ar-SA"/>
        </w:rPr>
        <w:t>六、</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般公共预算财政拨款支出决算表</w:t>
      </w:r>
      <w:bookmarkEnd w:id="121"/>
      <w:bookmarkEnd w:id="122"/>
    </w:p>
    <w:p w14:paraId="5BE90528">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23" w:name="_Toc15396625"/>
      <w:bookmarkStart w:id="124" w:name="_Toc79163642"/>
      <w:bookmarkStart w:id="125" w:name="_Toc79163892"/>
      <w:r>
        <w:rPr>
          <w:rFonts w:hint="eastAsia" w:ascii="仿宋" w:hAnsi="仿宋" w:eastAsia="仿宋" w:cs="Times New Roman"/>
          <w:b w:val="0"/>
          <w:bCs w:val="0"/>
          <w:kern w:val="2"/>
          <w:sz w:val="32"/>
          <w:szCs w:val="32"/>
          <w:lang w:val="en-US" w:eastAsia="zh-CN" w:bidi="ar-SA"/>
        </w:rPr>
        <w:t>七、</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般公共预算财政拨款支出决算明细表</w:t>
      </w:r>
      <w:bookmarkEnd w:id="123"/>
      <w:bookmarkEnd w:id="124"/>
      <w:bookmarkEnd w:id="125"/>
    </w:p>
    <w:p w14:paraId="5F34882D">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26" w:name="_Toc79163893"/>
      <w:bookmarkStart w:id="127" w:name="_Toc15396626"/>
      <w:bookmarkStart w:id="128" w:name="_Toc79163643"/>
      <w:r>
        <w:rPr>
          <w:rFonts w:hint="eastAsia" w:ascii="仿宋" w:hAnsi="仿宋" w:eastAsia="仿宋" w:cs="Times New Roman"/>
          <w:b w:val="0"/>
          <w:bCs w:val="0"/>
          <w:kern w:val="2"/>
          <w:sz w:val="32"/>
          <w:szCs w:val="32"/>
          <w:lang w:val="en-US" w:eastAsia="zh-CN" w:bidi="ar-SA"/>
        </w:rPr>
        <w:t>八、</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般公共预算财政拨款基本支出决算表</w:t>
      </w:r>
      <w:bookmarkEnd w:id="126"/>
      <w:bookmarkEnd w:id="127"/>
      <w:bookmarkEnd w:id="128"/>
    </w:p>
    <w:p w14:paraId="06095882">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29" w:name="_Toc79163894"/>
      <w:bookmarkStart w:id="130" w:name="_Toc15396627"/>
      <w:bookmarkStart w:id="131" w:name="_Toc79163644"/>
      <w:r>
        <w:rPr>
          <w:rFonts w:hint="eastAsia" w:ascii="仿宋" w:hAnsi="仿宋" w:eastAsia="仿宋" w:cs="Times New Roman"/>
          <w:b w:val="0"/>
          <w:bCs w:val="0"/>
          <w:kern w:val="2"/>
          <w:sz w:val="32"/>
          <w:szCs w:val="32"/>
          <w:lang w:val="en-US" w:eastAsia="zh-CN" w:bidi="ar-SA"/>
        </w:rPr>
        <w:t>九、</w:t>
      </w:r>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般公共预算财政拨款项目支出决算表</w:t>
      </w:r>
      <w:bookmarkEnd w:id="129"/>
      <w:bookmarkEnd w:id="130"/>
      <w:bookmarkEnd w:id="131"/>
    </w:p>
    <w:p w14:paraId="43EC7D86">
      <w:pPr>
        <w:keepNext/>
        <w:keepLines/>
        <w:widowControl w:val="0"/>
        <w:spacing w:before="260" w:after="260" w:line="416" w:lineRule="auto"/>
        <w:jc w:val="both"/>
        <w:outlineLvl w:val="1"/>
        <w:rPr>
          <w:rFonts w:ascii="仿宋" w:hAnsi="仿宋" w:eastAsia="仿宋" w:cs="Times New Roman"/>
          <w:b/>
          <w:bCs/>
          <w:color w:val="000000"/>
          <w:kern w:val="2"/>
          <w:sz w:val="32"/>
          <w:szCs w:val="32"/>
          <w:lang w:val="en-US" w:eastAsia="zh-CN" w:bidi="ar-SA"/>
        </w:rPr>
      </w:pPr>
      <w:bookmarkStart w:id="132" w:name="_Toc15396628"/>
      <w:bookmarkStart w:id="133" w:name="_Toc79163895"/>
      <w:bookmarkStart w:id="134" w:name="_Toc79163645"/>
      <w:r>
        <w:rPr>
          <w:rFonts w:hint="eastAsia" w:ascii="仿宋" w:hAnsi="仿宋" w:eastAsia="仿宋" w:cs="Times New Roman"/>
          <w:b w:val="0"/>
          <w:bCs w:val="0"/>
          <w:kern w:val="2"/>
          <w:sz w:val="32"/>
          <w:szCs w:val="32"/>
          <w:lang w:val="en-US" w:eastAsia="zh-CN" w:bidi="ar-SA"/>
        </w:rPr>
        <w:t>十、</w:t>
      </w:r>
      <w:bookmarkEnd w:id="132"/>
      <w:bookmarkEnd w:id="133"/>
      <w:bookmarkEnd w:id="134"/>
      <w:bookmarkStart w:id="135" w:name="_Toc79163646"/>
      <w:bookmarkStart w:id="136" w:name="_Toc15396629"/>
      <w:bookmarkStart w:id="137" w:name="_Toc79163896"/>
      <w:r>
        <w:rPr>
          <w:rFonts w:hint="eastAsia" w:ascii="仿宋" w:hAnsi="仿宋" w:eastAsia="仿宋" w:cs="Times New Roman"/>
          <w:b w:val="0"/>
          <w:bCs/>
          <w:color w:val="000000"/>
          <w:kern w:val="2"/>
          <w:sz w:val="32"/>
          <w:szCs w:val="32"/>
          <w:lang w:val="en-US" w:eastAsia="zh-CN" w:bidi="ar-SA"/>
        </w:rPr>
        <w:t>政</w:t>
      </w:r>
      <w:r>
        <w:rPr>
          <w:rFonts w:hint="eastAsia" w:ascii="仿宋" w:hAnsi="仿宋" w:eastAsia="仿宋" w:cs="Times New Roman"/>
          <w:b w:val="0"/>
          <w:bCs w:val="0"/>
          <w:kern w:val="2"/>
          <w:sz w:val="32"/>
          <w:szCs w:val="32"/>
          <w:lang w:val="en-US" w:eastAsia="zh-CN" w:bidi="ar-SA"/>
        </w:rPr>
        <w:t>府性基金预算财政拨款收入支出决算表</w:t>
      </w:r>
      <w:bookmarkEnd w:id="135"/>
      <w:bookmarkEnd w:id="136"/>
      <w:bookmarkEnd w:id="137"/>
    </w:p>
    <w:p w14:paraId="70B89B5A">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138" w:name="_Toc15396630"/>
      <w:bookmarkStart w:id="139" w:name="_Toc79163647"/>
      <w:bookmarkStart w:id="140" w:name="_Toc79163897"/>
      <w:r>
        <w:rPr>
          <w:rFonts w:hint="eastAsia" w:ascii="仿宋" w:hAnsi="仿宋" w:eastAsia="仿宋" w:cs="Times New Roman"/>
          <w:b w:val="0"/>
          <w:bCs w:val="0"/>
          <w:kern w:val="2"/>
          <w:sz w:val="32"/>
          <w:szCs w:val="32"/>
          <w:lang w:val="en-US" w:eastAsia="zh-CN" w:bidi="ar-SA"/>
        </w:rPr>
        <w:t>十</w:t>
      </w:r>
      <w:bookmarkEnd w:id="138"/>
      <w:bookmarkEnd w:id="139"/>
      <w:bookmarkEnd w:id="140"/>
      <w:bookmarkStart w:id="141" w:name="_Toc79163898"/>
      <w:bookmarkStart w:id="142" w:name="_Toc79163648"/>
      <w:bookmarkStart w:id="143" w:name="_Toc15396631"/>
      <w:r>
        <w:rPr>
          <w:rFonts w:hint="eastAsia" w:ascii="仿宋" w:hAnsi="仿宋" w:eastAsia="仿宋" w:cs="Times New Roman"/>
          <w:b w:val="0"/>
          <w:bCs w:val="0"/>
          <w:kern w:val="2"/>
          <w:sz w:val="32"/>
          <w:szCs w:val="32"/>
          <w:lang w:val="en-US" w:eastAsia="zh-CN" w:bidi="ar-SA"/>
        </w:rPr>
        <w:t>一、</w:t>
      </w:r>
      <w:r>
        <w:rPr>
          <w:rFonts w:hint="eastAsia" w:ascii="仿宋" w:hAnsi="仿宋" w:eastAsia="仿宋" w:cs="Times New Roman"/>
          <w:b w:val="0"/>
          <w:bCs/>
          <w:color w:val="000000"/>
          <w:kern w:val="2"/>
          <w:sz w:val="32"/>
          <w:szCs w:val="32"/>
          <w:lang w:val="en-US" w:eastAsia="zh-CN" w:bidi="ar-SA"/>
        </w:rPr>
        <w:t>国</w:t>
      </w:r>
      <w:r>
        <w:rPr>
          <w:rFonts w:hint="eastAsia" w:ascii="仿宋" w:hAnsi="仿宋" w:eastAsia="仿宋" w:cs="Times New Roman"/>
          <w:b w:val="0"/>
          <w:bCs w:val="0"/>
          <w:kern w:val="2"/>
          <w:sz w:val="32"/>
          <w:szCs w:val="32"/>
          <w:lang w:val="en-US" w:eastAsia="zh-CN" w:bidi="ar-SA"/>
        </w:rPr>
        <w:t>有资本经营预算财政拨款收入支出决算表</w:t>
      </w:r>
      <w:bookmarkEnd w:id="141"/>
      <w:bookmarkEnd w:id="142"/>
      <w:bookmarkEnd w:id="143"/>
    </w:p>
    <w:p w14:paraId="6AEC1CDB">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144" w:name="_Toc79163649"/>
      <w:bookmarkStart w:id="145" w:name="_Toc79163899"/>
      <w:r>
        <w:rPr>
          <w:rFonts w:hint="eastAsia" w:ascii="仿宋" w:hAnsi="仿宋" w:eastAsia="仿宋" w:cs="Times New Roman"/>
          <w:b w:val="0"/>
          <w:bCs w:val="0"/>
          <w:kern w:val="2"/>
          <w:sz w:val="32"/>
          <w:szCs w:val="32"/>
          <w:lang w:val="en-US" w:eastAsia="zh-CN" w:bidi="ar-SA"/>
        </w:rPr>
        <w:t>十二、国有资本经营预算财政拨款支出决算表</w:t>
      </w:r>
      <w:bookmarkEnd w:id="144"/>
      <w:bookmarkEnd w:id="145"/>
    </w:p>
    <w:p w14:paraId="46A461C1">
      <w:pPr>
        <w:rPr>
          <w:rFonts w:ascii="Times New Roman" w:hAnsi="Times New Roman" w:eastAsia="宋体" w:cs="Times New Roman"/>
        </w:rPr>
      </w:pPr>
      <w:r>
        <w:rPr>
          <w:rFonts w:hint="eastAsia" w:ascii="仿宋" w:hAnsi="仿宋" w:eastAsia="仿宋" w:cs="Times New Roman"/>
          <w:b w:val="0"/>
          <w:bCs w:val="0"/>
          <w:sz w:val="32"/>
          <w:szCs w:val="32"/>
        </w:rPr>
        <w:t>十三、财政拨款“三公”经费支出决算表</w:t>
      </w:r>
    </w:p>
    <w:p w14:paraId="1D80A136">
      <w:pPr>
        <w:pStyle w:val="2"/>
        <w:ind w:left="0" w:leftChars="0" w:firstLine="0" w:firstLineChars="0"/>
        <w:rPr>
          <w:rFonts w:hint="eastAsia"/>
          <w:lang w:val="en-US"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AB94">
    <w:pPr>
      <w:pStyle w:val="13"/>
      <w:jc w:val="center"/>
    </w:pPr>
    <w:r>
      <w:fldChar w:fldCharType="begin"/>
    </w:r>
    <w:r>
      <w:instrText xml:space="preserve">PAGE   \* MERGEFORMAT</w:instrText>
    </w:r>
    <w:r>
      <w:fldChar w:fldCharType="separate"/>
    </w:r>
    <w:r>
      <w:t>2</w:t>
    </w:r>
    <w:r>
      <w:fldChar w:fldCharType="end"/>
    </w:r>
  </w:p>
  <w:p w14:paraId="1C881D8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944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abstractNum w:abstractNumId="4">
    <w:nsid w:val="7EED1195"/>
    <w:multiLevelType w:val="singleLevel"/>
    <w:tmpl w:val="7EED1195"/>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 w:name="KSO_WPS_MARK_KEY" w:val="ace093f6-e392-4ceb-a2eb-7c52908925d1"/>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27634"/>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2DF6"/>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20E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BC7"/>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A2A6B"/>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25313E2"/>
    <w:rsid w:val="02CF7FB2"/>
    <w:rsid w:val="051200B1"/>
    <w:rsid w:val="05B747B5"/>
    <w:rsid w:val="063259C6"/>
    <w:rsid w:val="06FA704F"/>
    <w:rsid w:val="08674270"/>
    <w:rsid w:val="09844198"/>
    <w:rsid w:val="0A2032A3"/>
    <w:rsid w:val="0A5026DB"/>
    <w:rsid w:val="0B20319A"/>
    <w:rsid w:val="0B91295B"/>
    <w:rsid w:val="0C917B0E"/>
    <w:rsid w:val="0D1A52F9"/>
    <w:rsid w:val="0E7C33F3"/>
    <w:rsid w:val="0F452E31"/>
    <w:rsid w:val="0F9B4002"/>
    <w:rsid w:val="10C055FF"/>
    <w:rsid w:val="1134315E"/>
    <w:rsid w:val="114C04A7"/>
    <w:rsid w:val="118107EC"/>
    <w:rsid w:val="11BD58B2"/>
    <w:rsid w:val="11EE432B"/>
    <w:rsid w:val="12C30C3D"/>
    <w:rsid w:val="12D06333"/>
    <w:rsid w:val="13D44FA7"/>
    <w:rsid w:val="169923E1"/>
    <w:rsid w:val="16BB723D"/>
    <w:rsid w:val="18D53478"/>
    <w:rsid w:val="18DA3268"/>
    <w:rsid w:val="19094ED0"/>
    <w:rsid w:val="1A792665"/>
    <w:rsid w:val="1ABD4E76"/>
    <w:rsid w:val="1BD6212C"/>
    <w:rsid w:val="1D155CEE"/>
    <w:rsid w:val="210E5779"/>
    <w:rsid w:val="21640C27"/>
    <w:rsid w:val="22BA200B"/>
    <w:rsid w:val="23B930CA"/>
    <w:rsid w:val="240371BF"/>
    <w:rsid w:val="25EF7E19"/>
    <w:rsid w:val="276E6F72"/>
    <w:rsid w:val="29481B83"/>
    <w:rsid w:val="29FD04D3"/>
    <w:rsid w:val="2B6F5066"/>
    <w:rsid w:val="2C7B2416"/>
    <w:rsid w:val="2E67780F"/>
    <w:rsid w:val="2E6C3ADF"/>
    <w:rsid w:val="2F0401BB"/>
    <w:rsid w:val="2FC101D2"/>
    <w:rsid w:val="303D5733"/>
    <w:rsid w:val="319F7F4E"/>
    <w:rsid w:val="326B7F22"/>
    <w:rsid w:val="34AE30A3"/>
    <w:rsid w:val="361374D2"/>
    <w:rsid w:val="396D4B38"/>
    <w:rsid w:val="3ABB7A95"/>
    <w:rsid w:val="3B4E6126"/>
    <w:rsid w:val="3D0C62A9"/>
    <w:rsid w:val="3D476D75"/>
    <w:rsid w:val="3D477BF1"/>
    <w:rsid w:val="3DBB238D"/>
    <w:rsid w:val="3F47037C"/>
    <w:rsid w:val="3FEA2348"/>
    <w:rsid w:val="40F778EA"/>
    <w:rsid w:val="42755200"/>
    <w:rsid w:val="42864E7C"/>
    <w:rsid w:val="443A53FD"/>
    <w:rsid w:val="4449770F"/>
    <w:rsid w:val="464A0752"/>
    <w:rsid w:val="46AC5EAC"/>
    <w:rsid w:val="47971775"/>
    <w:rsid w:val="48B85449"/>
    <w:rsid w:val="492F4B4D"/>
    <w:rsid w:val="4A235542"/>
    <w:rsid w:val="4A9668B8"/>
    <w:rsid w:val="4ABF3A81"/>
    <w:rsid w:val="4B8B6FE3"/>
    <w:rsid w:val="4C6365C5"/>
    <w:rsid w:val="4E606D65"/>
    <w:rsid w:val="4EBC7D13"/>
    <w:rsid w:val="4ECE2238"/>
    <w:rsid w:val="4F3F2E1E"/>
    <w:rsid w:val="4FB20236"/>
    <w:rsid w:val="501D50B4"/>
    <w:rsid w:val="50CC248F"/>
    <w:rsid w:val="52020AD7"/>
    <w:rsid w:val="521C54F1"/>
    <w:rsid w:val="52350508"/>
    <w:rsid w:val="529B480F"/>
    <w:rsid w:val="53AB0A82"/>
    <w:rsid w:val="595D1779"/>
    <w:rsid w:val="5DC664B8"/>
    <w:rsid w:val="5E0A6709"/>
    <w:rsid w:val="5E3E24F3"/>
    <w:rsid w:val="5F526256"/>
    <w:rsid w:val="5FC37F08"/>
    <w:rsid w:val="600734E4"/>
    <w:rsid w:val="61502C69"/>
    <w:rsid w:val="61F730E4"/>
    <w:rsid w:val="623600B0"/>
    <w:rsid w:val="626616D3"/>
    <w:rsid w:val="631A4274"/>
    <w:rsid w:val="640A35A3"/>
    <w:rsid w:val="64C376FC"/>
    <w:rsid w:val="67B37AAD"/>
    <w:rsid w:val="6850354E"/>
    <w:rsid w:val="69780FAF"/>
    <w:rsid w:val="6C4A05C8"/>
    <w:rsid w:val="6C845EBC"/>
    <w:rsid w:val="70DD3DED"/>
    <w:rsid w:val="71724535"/>
    <w:rsid w:val="71C4275E"/>
    <w:rsid w:val="72020D13"/>
    <w:rsid w:val="72734D90"/>
    <w:rsid w:val="79725A1A"/>
    <w:rsid w:val="79BC6C95"/>
    <w:rsid w:val="79C773E8"/>
    <w:rsid w:val="79D73B2A"/>
    <w:rsid w:val="7A6B246A"/>
    <w:rsid w:val="7ABD2AE5"/>
    <w:rsid w:val="7B580C40"/>
    <w:rsid w:val="7CDB07D2"/>
    <w:rsid w:val="7D44147C"/>
    <w:rsid w:val="7E0429B9"/>
    <w:rsid w:val="7E3239CA"/>
    <w:rsid w:val="7E800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Calibri" w:hAnsi="Calibri"/>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7"/>
    <w:qFormat/>
    <w:uiPriority w:val="99"/>
    <w:pPr>
      <w:spacing w:beforeLines="30"/>
    </w:pPr>
    <w:rPr>
      <w:rFonts w:ascii="仿宋_GB2312" w:eastAsia="仿宋_GB2312"/>
      <w:kern w:val="0"/>
      <w:sz w:val="24"/>
      <w:szCs w:val="20"/>
      <w:lang w:val="zh-CN"/>
    </w:rPr>
  </w:style>
  <w:style w:type="paragraph" w:styleId="8">
    <w:name w:val="Body Text Indent"/>
    <w:basedOn w:val="1"/>
    <w:next w:val="1"/>
    <w:qFormat/>
    <w:uiPriority w:val="0"/>
    <w:pPr>
      <w:spacing w:after="120"/>
      <w:ind w:left="420" w:leftChars="200"/>
    </w:pPr>
    <w:rPr>
      <w:rFonts w:ascii="Calibri" w:hAnsi="Calibri"/>
      <w:szCs w:val="2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2"/>
    <w:semiHidden/>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0"/>
    <w:pPr>
      <w:spacing w:before="100" w:beforeAutospacing="1" w:after="100" w:afterAutospacing="1"/>
    </w:pPr>
  </w:style>
  <w:style w:type="paragraph" w:styleId="21">
    <w:name w:val="Body Text First Indent 2"/>
    <w:basedOn w:val="8"/>
    <w:next w:val="1"/>
    <w:qFormat/>
    <w:uiPriority w:val="0"/>
    <w:pPr>
      <w:spacing w:line="360" w:lineRule="auto"/>
      <w:ind w:left="0" w:leftChars="0" w:firstLine="420" w:firstLineChars="200"/>
    </w:pPr>
    <w:rPr>
      <w:rFonts w:ascii="Times New Roman" w:hAnsi="Times New Roman"/>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paragraph" w:customStyle="1" w:styleId="26">
    <w:name w:val="BodyText1I2"/>
    <w:basedOn w:val="27"/>
    <w:next w:val="1"/>
    <w:qFormat/>
    <w:uiPriority w:val="0"/>
    <w:pPr>
      <w:tabs>
        <w:tab w:val="left" w:pos="960"/>
      </w:tabs>
      <w:ind w:firstLine="200" w:firstLineChars="200"/>
    </w:pPr>
  </w:style>
  <w:style w:type="paragraph" w:customStyle="1" w:styleId="27">
    <w:name w:val="BodyTextIndent"/>
    <w:basedOn w:val="1"/>
    <w:next w:val="26"/>
    <w:qFormat/>
    <w:uiPriority w:val="0"/>
    <w:pPr>
      <w:spacing w:after="120"/>
      <w:ind w:left="420" w:leftChars="200"/>
      <w:textAlignment w:val="baseline"/>
    </w:pPr>
  </w:style>
  <w:style w:type="character" w:customStyle="1" w:styleId="28">
    <w:name w:val="标题 1 Char"/>
    <w:basedOn w:val="23"/>
    <w:link w:val="3"/>
    <w:qFormat/>
    <w:locked/>
    <w:uiPriority w:val="9"/>
    <w:rPr>
      <w:rFonts w:ascii="Times New Roman" w:hAnsi="Times New Roman" w:cs="Times New Roman"/>
      <w:b/>
      <w:bCs/>
      <w:kern w:val="44"/>
      <w:sz w:val="44"/>
      <w:szCs w:val="44"/>
    </w:rPr>
  </w:style>
  <w:style w:type="character" w:customStyle="1" w:styleId="29">
    <w:name w:val="标题 2 Char"/>
    <w:basedOn w:val="23"/>
    <w:link w:val="4"/>
    <w:qFormat/>
    <w:locked/>
    <w:uiPriority w:val="9"/>
    <w:rPr>
      <w:rFonts w:ascii="Cambria" w:hAnsi="Cambria" w:eastAsia="宋体" w:cs="Times New Roman"/>
      <w:b/>
      <w:bCs/>
      <w:kern w:val="2"/>
      <w:sz w:val="32"/>
      <w:szCs w:val="32"/>
    </w:rPr>
  </w:style>
  <w:style w:type="character" w:customStyle="1" w:styleId="30">
    <w:name w:val="标题 3 Char"/>
    <w:basedOn w:val="23"/>
    <w:link w:val="5"/>
    <w:qFormat/>
    <w:locked/>
    <w:uiPriority w:val="9"/>
    <w:rPr>
      <w:rFonts w:ascii="Times New Roman" w:hAnsi="Times New Roman" w:cs="Times New Roman"/>
      <w:b/>
      <w:bCs/>
      <w:kern w:val="2"/>
      <w:sz w:val="32"/>
      <w:szCs w:val="32"/>
    </w:rPr>
  </w:style>
  <w:style w:type="character" w:customStyle="1" w:styleId="31">
    <w:name w:val="Body Text Char"/>
    <w:basedOn w:val="23"/>
    <w:semiHidden/>
    <w:qFormat/>
    <w:uiPriority w:val="99"/>
    <w:rPr>
      <w:rFonts w:ascii="Times New Roman" w:hAnsi="Times New Roman" w:cs="Times New Roman"/>
      <w:sz w:val="24"/>
      <w:szCs w:val="24"/>
    </w:rPr>
  </w:style>
  <w:style w:type="character" w:customStyle="1" w:styleId="32">
    <w:name w:val="批注框文本 Char"/>
    <w:basedOn w:val="23"/>
    <w:link w:val="12"/>
    <w:semiHidden/>
    <w:qFormat/>
    <w:locked/>
    <w:uiPriority w:val="99"/>
    <w:rPr>
      <w:rFonts w:ascii="Times New Roman" w:hAnsi="Times New Roman" w:cs="Times New Roman"/>
      <w:kern w:val="2"/>
      <w:sz w:val="18"/>
      <w:szCs w:val="18"/>
    </w:rPr>
  </w:style>
  <w:style w:type="character" w:customStyle="1" w:styleId="33">
    <w:name w:val="Footer Char"/>
    <w:basedOn w:val="23"/>
    <w:semiHidden/>
    <w:qFormat/>
    <w:uiPriority w:val="99"/>
    <w:rPr>
      <w:rFonts w:ascii="Times New Roman" w:hAnsi="Times New Roman" w:cs="Times New Roman"/>
      <w:sz w:val="18"/>
      <w:szCs w:val="18"/>
    </w:rPr>
  </w:style>
  <w:style w:type="character" w:customStyle="1" w:styleId="34">
    <w:name w:val="Header Char"/>
    <w:basedOn w:val="23"/>
    <w:semiHidden/>
    <w:qFormat/>
    <w:uiPriority w:val="99"/>
    <w:rPr>
      <w:rFonts w:ascii="Times New Roman" w:hAnsi="Times New Roman" w:cs="Times New Roman"/>
      <w:sz w:val="18"/>
      <w:szCs w:val="18"/>
    </w:rPr>
  </w:style>
  <w:style w:type="character" w:customStyle="1" w:styleId="35">
    <w:name w:val="页眉 Char"/>
    <w:link w:val="14"/>
    <w:semiHidden/>
    <w:qFormat/>
    <w:locked/>
    <w:uiPriority w:val="99"/>
    <w:rPr>
      <w:sz w:val="18"/>
    </w:rPr>
  </w:style>
  <w:style w:type="character" w:customStyle="1" w:styleId="36">
    <w:name w:val="页脚 Char"/>
    <w:link w:val="13"/>
    <w:qFormat/>
    <w:locked/>
    <w:uiPriority w:val="99"/>
    <w:rPr>
      <w:sz w:val="18"/>
    </w:rPr>
  </w:style>
  <w:style w:type="character" w:customStyle="1" w:styleId="37">
    <w:name w:val="正文文本 Char"/>
    <w:link w:val="7"/>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4">
    <w:name w:val="列出段落1"/>
    <w:basedOn w:val="1"/>
    <w:qFormat/>
    <w:uiPriority w:val="34"/>
    <w:pPr>
      <w:ind w:firstLine="420" w:firstLineChars="200"/>
    </w:pPr>
    <w:rPr>
      <w:rFonts w:ascii="Calibri" w:hAnsi="Calibri"/>
    </w:rPr>
  </w:style>
  <w:style w:type="character" w:customStyle="1" w:styleId="45">
    <w:name w:val="15"/>
    <w:basedOn w:val="23"/>
    <w:qFormat/>
    <w:uiPriority w:val="0"/>
    <w:rPr>
      <w:rFonts w:hint="default" w:ascii="Cambria" w:hAnsi="Cambria" w:eastAsia="宋体" w:cs="Times New Roman"/>
      <w:b/>
      <w:bCs/>
      <w:kern w:val="2"/>
      <w:sz w:val="32"/>
      <w:szCs w:val="32"/>
    </w:rPr>
  </w:style>
  <w:style w:type="character" w:customStyle="1" w:styleId="46">
    <w:name w:val="10"/>
    <w:basedOn w:val="23"/>
    <w:qFormat/>
    <w:uiPriority w:val="0"/>
    <w:rPr>
      <w:rFonts w:hint="default" w:ascii="Times New Roman" w:hAnsi="Times New Roman" w:cs="Times New Roman"/>
    </w:rPr>
  </w:style>
  <w:style w:type="paragraph" w:customStyle="1" w:styleId="47">
    <w:name w:val="UserStyle_2"/>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2022年</c:v>
                </c:pt>
                <c:pt idx="1">
                  <c:v>2023年</c:v>
                </c:pt>
              </c:strCache>
            </c:strRef>
          </c:cat>
          <c:val>
            <c:numRef>
              <c:f>[决算公开分析图表.xls]Sheet1!$A$4:$B$4</c:f>
              <c:numCache>
                <c:formatCode>#,##0.00</c:formatCode>
                <c:ptCount val="2"/>
                <c:pt idx="0">
                  <c:v>206.47</c:v>
                </c:pt>
                <c:pt idx="1">
                  <c:v>216.43</c:v>
                </c:pt>
              </c:numCache>
            </c:numRef>
          </c:val>
        </c:ser>
        <c:dLbls>
          <c:showLegendKey val="0"/>
          <c:showVal val="0"/>
          <c:showCatName val="0"/>
          <c:showSerName val="0"/>
          <c:showPercent val="0"/>
          <c:showBubbleSize val="0"/>
        </c:dLbls>
        <c:gapWidth val="219"/>
        <c:overlap val="-27"/>
        <c:axId val="318650416"/>
        <c:axId val="618683480"/>
      </c:barChart>
      <c:catAx>
        <c:axId val="3186504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683480"/>
        <c:crosses val="autoZero"/>
        <c:auto val="1"/>
        <c:lblAlgn val="ctr"/>
        <c:lblOffset val="100"/>
        <c:noMultiLvlLbl val="0"/>
      </c:catAx>
      <c:valAx>
        <c:axId val="618683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65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2022年</c:v>
                </c:pt>
                <c:pt idx="1">
                  <c:v>2023年</c:v>
                </c:pt>
              </c:strCache>
            </c:strRef>
          </c:cat>
          <c:val>
            <c:numRef>
              <c:f>[决算公开分析图表.xls]Sheet1!$A$25:$B$25</c:f>
              <c:numCache>
                <c:formatCode>#,##0.00</c:formatCode>
                <c:ptCount val="2"/>
                <c:pt idx="0">
                  <c:v>225.26</c:v>
                </c:pt>
                <c:pt idx="1">
                  <c:v>216.43</c:v>
                </c:pt>
              </c:numCache>
            </c:numRef>
          </c:val>
        </c:ser>
        <c:dLbls>
          <c:showLegendKey val="0"/>
          <c:showVal val="0"/>
          <c:showCatName val="0"/>
          <c:showSerName val="0"/>
          <c:showPercent val="0"/>
          <c:showBubbleSize val="0"/>
        </c:dLbls>
        <c:gapWidth val="219"/>
        <c:overlap val="-27"/>
        <c:axId val="836537050"/>
        <c:axId val="756068125"/>
      </c:barChart>
      <c:catAx>
        <c:axId val="83653705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6068125"/>
        <c:crosses val="autoZero"/>
        <c:auto val="1"/>
        <c:lblAlgn val="ctr"/>
        <c:lblOffset val="100"/>
        <c:noMultiLvlLbl val="0"/>
      </c:catAx>
      <c:valAx>
        <c:axId val="75606812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5370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[决算公开分析图表.xls]Sheet1!$D$45</c:f>
              <c:strCache>
                <c:ptCount val="1"/>
                <c:pt idx="0">
                  <c:v>一般公共预算财政拨款收入</c:v>
                </c:pt>
              </c:strCache>
            </c:strRef>
          </c:tx>
          <c:explosion val="0"/>
          <c:dPt>
            <c:idx val="0"/>
            <c:bubble3D val="0"/>
            <c:spPr>
              <a:solidFill>
                <a:schemeClr val="accent1"/>
              </a:solidFill>
              <a:ln w="19050">
                <a:solidFill>
                  <a:schemeClr val="lt1"/>
                </a:solidFill>
              </a:ln>
              <a:effectLst/>
            </c:spPr>
          </c:dPt>
          <c:dLbls>
            <c:delete val="1"/>
          </c:dLbls>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394543574798779"/>
          <c:y val="0.865198722764838"/>
          <c:w val="0.394170714781402"/>
          <c:h val="0.074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213.72</c:v>
                </c:pt>
                <c:pt idx="1">
                  <c:v>2.72</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[决算公开分析图表.xls]Sheet1!$A$83:$B$83</c:f>
              <c:strCache>
                <c:ptCount val="2"/>
                <c:pt idx="0">
                  <c:v>2022年</c:v>
                </c:pt>
                <c:pt idx="1">
                  <c:v>2023年</c:v>
                </c:pt>
              </c:strCache>
            </c:strRef>
          </c:cat>
          <c:val>
            <c:numRef>
              <c:f>[决算公开分析图表.xls]Sheet1!$A$84:$B$84</c:f>
              <c:numCache>
                <c:formatCode>#,##0.00</c:formatCode>
                <c:ptCount val="2"/>
                <c:pt idx="0">
                  <c:v>206.47</c:v>
                </c:pt>
                <c:pt idx="1">
                  <c:v>216.43</c:v>
                </c:pt>
              </c:numCache>
            </c:numRef>
          </c:val>
        </c:ser>
        <c:dLbls>
          <c:showLegendKey val="0"/>
          <c:showVal val="0"/>
          <c:showCatName val="0"/>
          <c:showSerName val="0"/>
          <c:showPercent val="0"/>
          <c:showBubbleSize val="0"/>
        </c:dLbls>
        <c:gapWidth val="219"/>
        <c:overlap val="-27"/>
        <c:axId val="809475480"/>
        <c:axId val="25316913"/>
      </c:barChart>
      <c:catAx>
        <c:axId val="8094754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16913"/>
        <c:crosses val="autoZero"/>
        <c:auto val="1"/>
        <c:lblAlgn val="ctr"/>
        <c:lblOffset val="100"/>
        <c:noMultiLvlLbl val="0"/>
      </c:catAx>
      <c:valAx>
        <c:axId val="2531691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9475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[决算公开分析图表.xls]Sheet1!$A$100:$B$100</c:f>
              <c:strCache>
                <c:ptCount val="2"/>
                <c:pt idx="0">
                  <c:v>2022年</c:v>
                </c:pt>
                <c:pt idx="1">
                  <c:v>2023年</c:v>
                </c:pt>
              </c:strCache>
            </c:strRef>
          </c:cat>
          <c:val>
            <c:numRef>
              <c:f>[决算公开分析图表.xls]Sheet1!$A$101:$B$101</c:f>
              <c:numCache>
                <c:formatCode>#,##0.00</c:formatCode>
                <c:ptCount val="2"/>
                <c:pt idx="0">
                  <c:v>225.26</c:v>
                </c:pt>
                <c:pt idx="1">
                  <c:v>216.43</c:v>
                </c:pt>
              </c:numCache>
            </c:numRef>
          </c:val>
        </c:ser>
        <c:dLbls>
          <c:showLegendKey val="0"/>
          <c:showVal val="0"/>
          <c:showCatName val="0"/>
          <c:showSerName val="0"/>
          <c:showPercent val="0"/>
          <c:showBubbleSize val="0"/>
        </c:dLbls>
        <c:gapWidth val="219"/>
        <c:overlap val="-27"/>
        <c:axId val="702660303"/>
        <c:axId val="387860235"/>
      </c:barChart>
      <c:catAx>
        <c:axId val="7026603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860235"/>
        <c:crosses val="autoZero"/>
        <c:auto val="1"/>
        <c:lblAlgn val="ctr"/>
        <c:lblOffset val="100"/>
        <c:noMultiLvlLbl val="0"/>
      </c:catAx>
      <c:valAx>
        <c:axId val="38786023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2660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[决算公开分析图表.xls]Sheet1!$A$116:$B$116</c:f>
              <c:strCache>
                <c:ptCount val="2"/>
                <c:pt idx="0">
                  <c:v>2022年</c:v>
                </c:pt>
                <c:pt idx="1">
                  <c:v>2023年</c:v>
                </c:pt>
              </c:strCache>
            </c:strRef>
          </c:cat>
          <c:val>
            <c:numRef>
              <c:f>[决算公开分析图表.xls]Sheet1!$A$117:$B$117</c:f>
              <c:numCache>
                <c:formatCode>#,##0.00</c:formatCode>
                <c:ptCount val="2"/>
                <c:pt idx="0">
                  <c:v>225.26</c:v>
                </c:pt>
                <c:pt idx="1">
                  <c:v>216.43</c:v>
                </c:pt>
              </c:numCache>
            </c:numRef>
          </c:val>
        </c:ser>
        <c:dLbls>
          <c:showLegendKey val="0"/>
          <c:showVal val="0"/>
          <c:showCatName val="0"/>
          <c:showSerName val="0"/>
          <c:showPercent val="0"/>
          <c:showBubbleSize val="0"/>
        </c:dLbls>
        <c:gapWidth val="219"/>
        <c:overlap val="-27"/>
        <c:axId val="481979805"/>
        <c:axId val="951346233"/>
      </c:barChart>
      <c:catAx>
        <c:axId val="4819798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346233"/>
        <c:crosses val="autoZero"/>
        <c:auto val="1"/>
        <c:lblAlgn val="ctr"/>
        <c:lblOffset val="100"/>
        <c:noMultiLvlLbl val="0"/>
      </c:catAx>
      <c:valAx>
        <c:axId val="95134623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979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[决算公开分析图表.xls]Sheet1!$C$140:$C$143</c:f>
              <c:strCache>
                <c:ptCount val="4"/>
                <c:pt idx="0">
                  <c:v>一般公共服务支出</c:v>
                </c:pt>
                <c:pt idx="1">
                  <c:v>社会保障和就业支出</c:v>
                </c:pt>
                <c:pt idx="2">
                  <c:v>卫生健康支出</c:v>
                </c:pt>
                <c:pt idx="3">
                  <c:v>住房保障支出</c:v>
                </c:pt>
              </c:strCache>
            </c:strRef>
          </c:cat>
          <c:val>
            <c:numRef>
              <c:f>[决算公开分析图表.xls]Sheet1!$D$140:$D$143</c:f>
              <c:numCache>
                <c:formatCode>General</c:formatCode>
                <c:ptCount val="4"/>
                <c:pt idx="0">
                  <c:v>167.66</c:v>
                </c:pt>
                <c:pt idx="1" c:formatCode="#,##0.00">
                  <c:v>22.06</c:v>
                </c:pt>
                <c:pt idx="2" c:formatCode="#,##0.00">
                  <c:v>10.83</c:v>
                </c:pt>
                <c:pt idx="3" c:formatCode="#,##0.00">
                  <c:v>15.88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3BA4-4F24-4358-9122-9DF572B0207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7691</Words>
  <Characters>8288</Characters>
  <Lines>14</Lines>
  <Paragraphs>18</Paragraphs>
  <TotalTime>1</TotalTime>
  <ScaleCrop>false</ScaleCrop>
  <LinksUpToDate>false</LinksUpToDate>
  <CharactersWithSpaces>8352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2023-10-20T06:19:00Z</cp:lastPrinted>
  <dcterms:modified xsi:type="dcterms:W3CDTF">2024-10-22T03:47:35Z</dcterms:modified>
  <dc:title>阿坝州部门决算说明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C4FB69EC96074CD3B093AFFE65E636A2</vt:lpwstr>
  </property>
</Properties>
</file>