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0506A">
      <w:pPr>
        <w:spacing w:line="600" w:lineRule="exact"/>
        <w:jc w:val="center"/>
        <w:outlineLvl w:val="0"/>
        <w:rPr>
          <w:rFonts w:ascii="方正小标宋简体" w:hAnsi="宋体" w:eastAsia="方正小标宋简体"/>
          <w:color w:val="000000"/>
          <w:sz w:val="72"/>
          <w:szCs w:val="72"/>
        </w:rPr>
      </w:pPr>
      <w:bookmarkStart w:id="0" w:name="_Toc15306267"/>
    </w:p>
    <w:p w14:paraId="12FAB29A">
      <w:pPr>
        <w:spacing w:line="600" w:lineRule="exact"/>
        <w:jc w:val="center"/>
        <w:outlineLvl w:val="0"/>
        <w:rPr>
          <w:rFonts w:ascii="方正小标宋简体" w:hAnsi="宋体" w:eastAsia="方正小标宋简体"/>
          <w:color w:val="000000"/>
          <w:sz w:val="72"/>
          <w:szCs w:val="72"/>
        </w:rPr>
      </w:pPr>
    </w:p>
    <w:p w14:paraId="4F180105">
      <w:pPr>
        <w:spacing w:line="600" w:lineRule="exact"/>
        <w:jc w:val="center"/>
        <w:outlineLvl w:val="0"/>
        <w:rPr>
          <w:rFonts w:ascii="方正小标宋简体" w:hAnsi="宋体" w:eastAsia="方正小标宋简体"/>
          <w:color w:val="000000"/>
          <w:sz w:val="72"/>
          <w:szCs w:val="72"/>
        </w:rPr>
      </w:pPr>
    </w:p>
    <w:p w14:paraId="3603F2AD">
      <w:pPr>
        <w:jc w:val="center"/>
        <w:rPr>
          <w:rFonts w:ascii="黑体" w:hAnsi="黑体" w:eastAsia="黑体"/>
          <w:sz w:val="72"/>
          <w:szCs w:val="72"/>
        </w:rPr>
      </w:pPr>
      <w:bookmarkStart w:id="1" w:name="_Toc15377425"/>
      <w:bookmarkStart w:id="2" w:name="_Toc15396475"/>
      <w:bookmarkStart w:id="3" w:name="_Toc15377193"/>
      <w:bookmarkStart w:id="4" w:name="_Toc15378441"/>
      <w:bookmarkStart w:id="5" w:name="_Toc15396597"/>
      <w:r>
        <w:rPr>
          <w:rFonts w:hint="eastAsia" w:ascii="黑体" w:hAnsi="黑体" w:eastAsia="黑体"/>
          <w:sz w:val="72"/>
          <w:szCs w:val="72"/>
          <w:lang w:eastAsia="zh-CN"/>
        </w:rPr>
        <w:t>2023</w:t>
      </w:r>
      <w:r>
        <w:rPr>
          <w:rFonts w:hint="eastAsia" w:ascii="黑体" w:hAnsi="黑体" w:eastAsia="黑体"/>
          <w:sz w:val="72"/>
          <w:szCs w:val="72"/>
        </w:rPr>
        <w:t>年度</w:t>
      </w:r>
      <w:bookmarkEnd w:id="1"/>
      <w:bookmarkEnd w:id="2"/>
      <w:bookmarkEnd w:id="3"/>
      <w:bookmarkEnd w:id="4"/>
      <w:bookmarkEnd w:id="5"/>
    </w:p>
    <w:bookmarkEnd w:id="0"/>
    <w:p w14:paraId="0E99CF80">
      <w:pPr>
        <w:jc w:val="center"/>
        <w:rPr>
          <w:rFonts w:ascii="方正小标宋简体" w:eastAsia="方正小标宋简体"/>
          <w:sz w:val="72"/>
          <w:szCs w:val="72"/>
        </w:rPr>
      </w:pPr>
      <w:bookmarkStart w:id="6" w:name="_Toc15306268"/>
      <w:bookmarkStart w:id="7" w:name="_Toc15377194"/>
      <w:bookmarkStart w:id="8" w:name="_Toc15377426"/>
      <w:bookmarkStart w:id="9" w:name="_Toc15378442"/>
      <w:bookmarkStart w:id="10" w:name="_Toc15396598"/>
      <w:bookmarkStart w:id="11" w:name="_Toc15396476"/>
      <w:r>
        <w:rPr>
          <w:rFonts w:hint="eastAsia" w:ascii="方正小标宋简体" w:eastAsia="方正小标宋简体"/>
          <w:sz w:val="72"/>
          <w:szCs w:val="72"/>
        </w:rPr>
        <w:t>阿坝州壤塘县娜泽求宗社区管理委员会</w:t>
      </w:r>
      <w:r>
        <w:rPr>
          <w:rFonts w:hint="eastAsia" w:ascii="方正小标宋简体" w:eastAsia="方正小标宋简体"/>
          <w:sz w:val="72"/>
          <w:szCs w:val="72"/>
          <w:lang w:val="en-US" w:eastAsia="zh-CN"/>
        </w:rPr>
        <w:t>单位</w:t>
      </w:r>
      <w:r>
        <w:rPr>
          <w:rFonts w:hint="eastAsia" w:ascii="方正小标宋简体" w:eastAsia="方正小标宋简体"/>
          <w:sz w:val="72"/>
          <w:szCs w:val="72"/>
        </w:rPr>
        <w:t>决算</w:t>
      </w:r>
      <w:bookmarkEnd w:id="6"/>
      <w:bookmarkEnd w:id="7"/>
      <w:bookmarkEnd w:id="8"/>
      <w:bookmarkEnd w:id="9"/>
      <w:bookmarkEnd w:id="10"/>
      <w:bookmarkEnd w:id="11"/>
    </w:p>
    <w:p w14:paraId="185509EE">
      <w:pPr>
        <w:widowControl/>
        <w:jc w:val="center"/>
        <w:rPr>
          <w:rFonts w:ascii="方正小标宋简体" w:hAnsi="宋体" w:eastAsia="方正小标宋简体"/>
          <w:color w:val="000000"/>
          <w:sz w:val="36"/>
          <w:szCs w:val="36"/>
        </w:rPr>
      </w:pPr>
    </w:p>
    <w:p w14:paraId="05BC5F4A">
      <w:pPr>
        <w:rPr>
          <w:rFonts w:ascii="方正小标宋简体" w:hAnsi="宋体" w:eastAsia="方正小标宋简体"/>
          <w:sz w:val="36"/>
          <w:szCs w:val="36"/>
        </w:rPr>
      </w:pPr>
    </w:p>
    <w:p w14:paraId="377EBD73">
      <w:pPr>
        <w:rPr>
          <w:rFonts w:ascii="方正小标宋简体" w:hAnsi="宋体" w:eastAsia="方正小标宋简体"/>
          <w:sz w:val="36"/>
          <w:szCs w:val="36"/>
        </w:rPr>
      </w:pPr>
    </w:p>
    <w:p w14:paraId="5F71A012">
      <w:pPr>
        <w:rPr>
          <w:rFonts w:ascii="方正小标宋简体" w:hAnsi="宋体" w:eastAsia="方正小标宋简体"/>
          <w:sz w:val="36"/>
          <w:szCs w:val="36"/>
        </w:rPr>
      </w:pPr>
    </w:p>
    <w:p w14:paraId="31FB5C27">
      <w:pPr>
        <w:rPr>
          <w:rFonts w:ascii="方正小标宋简体" w:hAnsi="宋体" w:eastAsia="方正小标宋简体"/>
          <w:sz w:val="36"/>
          <w:szCs w:val="36"/>
        </w:rPr>
      </w:pPr>
    </w:p>
    <w:p w14:paraId="73688457">
      <w:pPr>
        <w:rPr>
          <w:rFonts w:ascii="方正小标宋简体" w:hAnsi="宋体" w:eastAsia="方正小标宋简体"/>
          <w:sz w:val="36"/>
          <w:szCs w:val="36"/>
        </w:rPr>
      </w:pPr>
    </w:p>
    <w:p w14:paraId="4A48B119">
      <w:pPr>
        <w:pStyle w:val="2"/>
        <w:ind w:left="1140" w:hanging="720"/>
        <w:rPr>
          <w:rFonts w:ascii="方正小标宋简体" w:hAnsi="宋体" w:eastAsia="方正小标宋简体"/>
          <w:sz w:val="36"/>
          <w:szCs w:val="36"/>
        </w:rPr>
      </w:pPr>
    </w:p>
    <w:p w14:paraId="6D567477">
      <w:pPr>
        <w:rPr>
          <w:rFonts w:ascii="方正小标宋简体" w:hAnsi="宋体" w:eastAsia="方正小标宋简体"/>
          <w:sz w:val="36"/>
          <w:szCs w:val="36"/>
        </w:rPr>
      </w:pPr>
    </w:p>
    <w:p w14:paraId="0F41951E">
      <w:pPr>
        <w:pStyle w:val="2"/>
        <w:ind w:left="1140" w:hanging="720"/>
        <w:rPr>
          <w:rFonts w:ascii="方正小标宋简体" w:hAnsi="宋体" w:eastAsia="方正小标宋简体"/>
          <w:sz w:val="36"/>
          <w:szCs w:val="36"/>
        </w:rPr>
      </w:pPr>
    </w:p>
    <w:p w14:paraId="7599DA76"/>
    <w:p w14:paraId="0D20FE71">
      <w:pPr>
        <w:rPr>
          <w:rFonts w:ascii="方正小标宋简体" w:hAnsi="宋体" w:eastAsia="方正小标宋简体"/>
          <w:sz w:val="36"/>
          <w:szCs w:val="36"/>
        </w:rPr>
      </w:pPr>
    </w:p>
    <w:p w14:paraId="1E9D1973">
      <w:pPr>
        <w:widowControl/>
        <w:jc w:val="center"/>
        <w:rPr>
          <w:rFonts w:ascii="方正小标宋简体" w:hAnsi="宋体" w:eastAsia="方正小标宋简体"/>
          <w:color w:val="000000"/>
          <w:sz w:val="36"/>
          <w:szCs w:val="36"/>
        </w:rPr>
      </w:pPr>
    </w:p>
    <w:p w14:paraId="1EE1DD2F">
      <w:pPr>
        <w:pStyle w:val="26"/>
        <w:ind w:firstLine="720"/>
        <w:rPr>
          <w:rFonts w:ascii="方正小标宋简体" w:hAnsi="宋体" w:eastAsia="方正小标宋简体"/>
          <w:color w:val="000000"/>
          <w:sz w:val="36"/>
          <w:szCs w:val="36"/>
        </w:rPr>
      </w:pPr>
    </w:p>
    <w:p w14:paraId="0C08760D"/>
    <w:p w14:paraId="2F87290C">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251DC598">
      <w:pPr>
        <w:pStyle w:val="15"/>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4</w:t>
      </w:r>
      <w:r>
        <w:rPr>
          <w:rFonts w:hint="eastAsia" w:hAnsiTheme="minorHAnsi"/>
          <w:b w:val="0"/>
          <w:bCs w:val="0"/>
          <w:sz w:val="24"/>
          <w:szCs w:val="24"/>
        </w:rPr>
        <w:t>年10月2</w:t>
      </w:r>
      <w:r>
        <w:rPr>
          <w:rFonts w:hint="eastAsia" w:hAnsiTheme="minorHAnsi"/>
          <w:b w:val="0"/>
          <w:bCs w:val="0"/>
          <w:sz w:val="24"/>
          <w:szCs w:val="24"/>
          <w:lang w:val="en-US" w:eastAsia="zh-CN"/>
        </w:rPr>
        <w:t>2</w:t>
      </w:r>
      <w:r>
        <w:rPr>
          <w:rFonts w:hint="eastAsia" w:hAnsiTheme="minorHAnsi"/>
          <w:b w:val="0"/>
          <w:bCs w:val="0"/>
          <w:sz w:val="24"/>
          <w:szCs w:val="24"/>
        </w:rPr>
        <w:t>日</w:t>
      </w:r>
    </w:p>
    <w:p w14:paraId="75578F6B">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3</w:t>
      </w:r>
      <w:r>
        <w:fldChar w:fldCharType="end"/>
      </w:r>
    </w:p>
    <w:p w14:paraId="031155D5">
      <w:pPr>
        <w:pStyle w:val="18"/>
        <w:tabs>
          <w:tab w:val="right" w:leader="dot" w:pos="8296"/>
        </w:tabs>
        <w:rPr>
          <w:rFonts w:hAnsiTheme="minorHAnsi" w:eastAsiaTheme="minorEastAsia" w:cstheme="minorBidi"/>
          <w:sz w:val="21"/>
          <w:szCs w:val="22"/>
        </w:rPr>
      </w:pPr>
      <w:r>
        <w:rPr>
          <w:rFonts w:ascii="黑体" w:hAnsi="黑体" w:eastAsia="黑体"/>
          <w:color w:val="000000"/>
        </w:rPr>
        <w:t>一、</w:t>
      </w:r>
      <w:r>
        <w:rPr>
          <w:rFonts w:hint="eastAsia" w:ascii="黑体" w:hAnsi="黑体" w:eastAsia="黑体"/>
          <w:color w:val="000000"/>
        </w:rPr>
        <w:t>部门职责</w:t>
      </w:r>
      <w:r>
        <w:tab/>
      </w:r>
      <w:r>
        <w:fldChar w:fldCharType="begin"/>
      </w:r>
      <w:r>
        <w:instrText xml:space="preserve"> PAGEREF _Toc79163852 \h </w:instrText>
      </w:r>
      <w:r>
        <w:fldChar w:fldCharType="separate"/>
      </w:r>
      <w:r>
        <w:t>3</w:t>
      </w:r>
      <w:r>
        <w:fldChar w:fldCharType="end"/>
      </w:r>
    </w:p>
    <w:p w14:paraId="474A28A1">
      <w:pPr>
        <w:pStyle w:val="18"/>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3</w:t>
      </w:r>
      <w:r>
        <w:fldChar w:fldCharType="end"/>
      </w:r>
    </w:p>
    <w:p w14:paraId="7AD8B5B7">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hint="eastAsia" w:ascii="黑体" w:hAnsi="黑体" w:eastAsia="黑体"/>
          <w:b w:val="0"/>
          <w:bCs w:val="0"/>
          <w:lang w:eastAsia="zh-CN"/>
        </w:rPr>
        <w:t>2023</w:t>
      </w:r>
      <w:r>
        <w:rPr>
          <w:rFonts w:ascii="黑体" w:hAnsi="黑体" w:eastAsia="黑体"/>
          <w:b w:val="0"/>
          <w:bCs w:val="0"/>
        </w:rPr>
        <w:t>年度部门决算情况说明</w:t>
      </w:r>
      <w:r>
        <w:tab/>
      </w:r>
      <w:r>
        <w:fldChar w:fldCharType="begin"/>
      </w:r>
      <w:r>
        <w:instrText xml:space="preserve"> PAGEREF _Toc79163859 \h </w:instrText>
      </w:r>
      <w:r>
        <w:fldChar w:fldCharType="separate"/>
      </w:r>
      <w:r>
        <w:t>4</w:t>
      </w:r>
      <w:r>
        <w:fldChar w:fldCharType="end"/>
      </w:r>
    </w:p>
    <w:p w14:paraId="36A77ED6">
      <w:pPr>
        <w:pStyle w:val="18"/>
        <w:tabs>
          <w:tab w:val="left" w:pos="840"/>
          <w:tab w:val="right" w:leader="dot" w:pos="8296"/>
        </w:tabs>
        <w:rPr>
          <w:rFonts w:hAnsiTheme="minorHAnsi"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rPr>
        <w:t>7</w:t>
      </w:r>
    </w:p>
    <w:p w14:paraId="72E2DD4D">
      <w:pPr>
        <w:pStyle w:val="18"/>
        <w:tabs>
          <w:tab w:val="left" w:pos="840"/>
          <w:tab w:val="right" w:leader="dot" w:pos="8296"/>
        </w:tabs>
        <w:rPr>
          <w:rFonts w:hAnsiTheme="minorHAnsi"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rPr>
        <w:t>8</w:t>
      </w:r>
    </w:p>
    <w:p w14:paraId="2122FC90">
      <w:pPr>
        <w:pStyle w:val="18"/>
        <w:tabs>
          <w:tab w:val="left" w:pos="840"/>
          <w:tab w:val="right" w:leader="dot" w:pos="8296"/>
        </w:tabs>
        <w:rPr>
          <w:rFonts w:hAnsiTheme="minorHAnsi"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rPr>
        <w:t>8</w:t>
      </w:r>
    </w:p>
    <w:p w14:paraId="625857B1">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14:paraId="5FA12C7A">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14:paraId="21670226">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9</w:t>
      </w:r>
      <w:r>
        <w:fldChar w:fldCharType="end"/>
      </w:r>
    </w:p>
    <w:p w14:paraId="405D2AF7">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9</w:t>
      </w:r>
      <w:r>
        <w:fldChar w:fldCharType="end"/>
      </w:r>
    </w:p>
    <w:p w14:paraId="05493365">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10</w:t>
      </w:r>
      <w:r>
        <w:fldChar w:fldCharType="end"/>
      </w:r>
    </w:p>
    <w:p w14:paraId="54D123F0">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10</w:t>
      </w:r>
      <w:r>
        <w:fldChar w:fldCharType="end"/>
      </w:r>
    </w:p>
    <w:p w14:paraId="0032BBF9">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10</w:t>
      </w:r>
      <w:r>
        <w:fldChar w:fldCharType="end"/>
      </w:r>
    </w:p>
    <w:p w14:paraId="62E45040">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12</w:t>
      </w:r>
      <w:r>
        <w:fldChar w:fldCharType="end"/>
      </w:r>
    </w:p>
    <w:p w14:paraId="75CDA8BF">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15</w:t>
      </w:r>
      <w:r>
        <w:fldChar w:fldCharType="end"/>
      </w:r>
    </w:p>
    <w:p w14:paraId="6683CA04">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1</w:t>
      </w:r>
      <w:r>
        <w:rPr>
          <w:rFonts w:hint="eastAsia"/>
          <w:lang w:val="en-US" w:eastAsia="zh-CN"/>
        </w:rPr>
        <w:t>6</w:t>
      </w:r>
      <w:r>
        <w:fldChar w:fldCharType="end"/>
      </w:r>
      <w:bookmarkStart w:id="146" w:name="_GoBack"/>
      <w:bookmarkEnd w:id="146"/>
    </w:p>
    <w:p w14:paraId="299C7179">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16</w:t>
      </w:r>
      <w:r>
        <w:fldChar w:fldCharType="end"/>
      </w:r>
    </w:p>
    <w:p w14:paraId="06B822C5">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16</w:t>
      </w:r>
      <w:r>
        <w:fldChar w:fldCharType="end"/>
      </w:r>
    </w:p>
    <w:p w14:paraId="6BA9587D">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16</w:t>
      </w:r>
      <w:r>
        <w:fldChar w:fldCharType="end"/>
      </w:r>
    </w:p>
    <w:p w14:paraId="22115E48">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16</w:t>
      </w:r>
      <w:r>
        <w:fldChar w:fldCharType="end"/>
      </w:r>
    </w:p>
    <w:p w14:paraId="6CE28690">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16</w:t>
      </w:r>
      <w:r>
        <w:fldChar w:fldCharType="end"/>
      </w:r>
    </w:p>
    <w:p w14:paraId="6E43D108">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16</w:t>
      </w:r>
      <w:r>
        <w:fldChar w:fldCharType="end"/>
      </w:r>
    </w:p>
    <w:p w14:paraId="30CA604E">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16</w:t>
      </w:r>
      <w:r>
        <w:fldChar w:fldCharType="end"/>
      </w:r>
    </w:p>
    <w:p w14:paraId="4E0B1804">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16</w:t>
      </w:r>
      <w:r>
        <w:fldChar w:fldCharType="end"/>
      </w:r>
    </w:p>
    <w:p w14:paraId="1E8F9139">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16</w:t>
      </w:r>
      <w:r>
        <w:fldChar w:fldCharType="end"/>
      </w:r>
    </w:p>
    <w:p w14:paraId="0B4C3507">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16</w:t>
      </w:r>
      <w:r>
        <w:fldChar w:fldCharType="end"/>
      </w:r>
    </w:p>
    <w:p w14:paraId="769B5894">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hint="eastAsia" w:ascii="仿宋" w:hAnsi="仿宋" w:eastAsia="仿宋"/>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16</w:t>
      </w:r>
      <w:r>
        <w:fldChar w:fldCharType="end"/>
      </w:r>
    </w:p>
    <w:p w14:paraId="4AFEDAF9">
      <w:pPr>
        <w:pStyle w:val="18"/>
        <w:tabs>
          <w:tab w:val="right" w:leader="dot" w:pos="8296"/>
        </w:tabs>
      </w:pPr>
      <w:r>
        <w:rPr>
          <w:rFonts w:ascii="仿宋" w:hAnsi="仿宋" w:eastAsia="仿宋"/>
        </w:rPr>
        <w:t>十</w:t>
      </w:r>
      <w:r>
        <w:rPr>
          <w:rFonts w:hint="eastAsia" w:ascii="仿宋" w:hAnsi="仿宋" w:eastAsia="仿宋"/>
        </w:rPr>
        <w:t>二</w:t>
      </w:r>
      <w:r>
        <w:rPr>
          <w:rFonts w:ascii="仿宋" w:hAnsi="仿宋" w:eastAsia="仿宋"/>
        </w:rPr>
        <w:t>、国有资本经营预算财政拨款支出决算表</w:t>
      </w:r>
      <w:r>
        <w:tab/>
      </w:r>
      <w:r>
        <w:fldChar w:fldCharType="begin"/>
      </w:r>
      <w:r>
        <w:instrText xml:space="preserve"> PAGEREF _Toc79163899 \h </w:instrText>
      </w:r>
      <w:r>
        <w:fldChar w:fldCharType="separate"/>
      </w:r>
      <w:r>
        <w:t>16</w:t>
      </w:r>
      <w:r>
        <w:fldChar w:fldCharType="end"/>
      </w:r>
    </w:p>
    <w:p w14:paraId="19EF281A">
      <w:pPr>
        <w:pStyle w:val="18"/>
        <w:tabs>
          <w:tab w:val="right" w:leader="dot" w:pos="8296"/>
        </w:tabs>
        <w:rPr>
          <w:rFonts w:ascii="仿宋" w:hAnsi="仿宋" w:eastAsia="仿宋"/>
        </w:rPr>
      </w:pPr>
      <w:r>
        <w:rPr>
          <w:rFonts w:ascii="仿宋" w:hAnsi="仿宋" w:eastAsia="仿宋"/>
        </w:rPr>
        <w:t>十</w:t>
      </w:r>
      <w:r>
        <w:rPr>
          <w:rFonts w:hint="eastAsia" w:ascii="仿宋" w:hAnsi="仿宋" w:eastAsia="仿宋"/>
        </w:rPr>
        <w:t>三</w:t>
      </w:r>
      <w:r>
        <w:rPr>
          <w:rFonts w:ascii="仿宋" w:hAnsi="仿宋" w:eastAsia="仿宋"/>
        </w:rPr>
        <w:t>、</w:t>
      </w:r>
      <w:r>
        <w:rPr>
          <w:rFonts w:hint="eastAsia" w:ascii="仿宋" w:hAnsi="仿宋" w:eastAsia="仿宋"/>
        </w:rPr>
        <w:t>财政拨款“三公”经费支</w:t>
      </w:r>
      <w:r>
        <w:rPr>
          <w:rFonts w:ascii="仿宋" w:hAnsi="仿宋" w:eastAsia="仿宋"/>
        </w:rPr>
        <w:t>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16</w:t>
      </w:r>
      <w:r>
        <w:rPr>
          <w:rFonts w:ascii="仿宋" w:hAnsi="仿宋" w:eastAsia="仿宋"/>
        </w:rPr>
        <w:fldChar w:fldCharType="end"/>
      </w:r>
    </w:p>
    <w:p w14:paraId="4F5A5951">
      <w:r>
        <w:rPr>
          <w:rFonts w:asciiTheme="minorHAnsi" w:eastAsiaTheme="minorHAnsi"/>
          <w:b/>
          <w:bCs/>
          <w:caps/>
          <w:sz w:val="20"/>
          <w:szCs w:val="20"/>
        </w:rPr>
        <w:fldChar w:fldCharType="end"/>
      </w:r>
    </w:p>
    <w:p w14:paraId="61D31C9A">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5545CD6B">
      <w:pPr>
        <w:pStyle w:val="3"/>
        <w:jc w:val="center"/>
        <w:rPr>
          <w:rStyle w:val="28"/>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14:paraId="660B33CF">
      <w:pPr>
        <w:widowControl/>
        <w:jc w:val="left"/>
        <w:rPr>
          <w:rFonts w:ascii="黑体" w:eastAsia="黑体"/>
          <w:color w:val="000000"/>
          <w:sz w:val="32"/>
          <w:szCs w:val="32"/>
        </w:rPr>
      </w:pPr>
    </w:p>
    <w:p w14:paraId="6AFD3EAA">
      <w:pPr>
        <w:pStyle w:val="4"/>
        <w:numPr>
          <w:ilvl w:val="0"/>
          <w:numId w:val="1"/>
        </w:numPr>
        <w:spacing w:line="560" w:lineRule="exact"/>
        <w:rPr>
          <w:rStyle w:val="29"/>
          <w:rFonts w:ascii="黑体" w:hAnsi="黑体" w:eastAsia="黑体"/>
          <w:b w:val="0"/>
          <w:bCs w:val="0"/>
        </w:rPr>
      </w:pPr>
      <w:bookmarkStart w:id="16" w:name="_Toc15396600"/>
      <w:bookmarkStart w:id="17" w:name="_Toc79163602"/>
      <w:bookmarkStart w:id="18" w:name="_Toc79163852"/>
      <w:bookmarkStart w:id="19" w:name="_Toc15377197"/>
      <w:r>
        <w:rPr>
          <w:rStyle w:val="29"/>
          <w:rFonts w:hint="eastAsia" w:ascii="黑体" w:hAnsi="黑体" w:eastAsia="黑体"/>
          <w:b w:val="0"/>
          <w:bCs w:val="0"/>
        </w:rPr>
        <w:t>部门职责</w:t>
      </w:r>
      <w:bookmarkEnd w:id="16"/>
      <w:bookmarkEnd w:id="17"/>
      <w:bookmarkEnd w:id="18"/>
      <w:bookmarkEnd w:id="19"/>
      <w:bookmarkStart w:id="20" w:name="_Toc15378445"/>
      <w:bookmarkStart w:id="21" w:name="_Toc79163853"/>
      <w:bookmarkStart w:id="22" w:name="_Toc79163603"/>
      <w:bookmarkStart w:id="23" w:name="_Toc15377198"/>
    </w:p>
    <w:bookmarkEnd w:id="20"/>
    <w:bookmarkEnd w:id="21"/>
    <w:bookmarkEnd w:id="22"/>
    <w:bookmarkEnd w:id="23"/>
    <w:p w14:paraId="35933B7C">
      <w:pPr>
        <w:pStyle w:val="7"/>
        <w:spacing w:beforeLines="0" w:line="560" w:lineRule="exact"/>
        <w:ind w:firstLine="640" w:firstLineChars="200"/>
        <w:rPr>
          <w:sz w:val="32"/>
          <w:szCs w:val="32"/>
        </w:rPr>
      </w:pPr>
      <w:r>
        <w:rPr>
          <w:rFonts w:hint="eastAsia"/>
          <w:sz w:val="32"/>
          <w:szCs w:val="32"/>
          <w:lang w:val="en-US"/>
        </w:rPr>
        <w:t>依法加强安置点宗教事务管理严守法律底线，坚决把以安置点、尼姑、宗教佛事活动管理为重点的宗教事务管理纳入依法管理轨道，牢牢掌握安置点领导权和管理权，做到不发生重大安全责任事故和稳定责任事故。推进社会公共服务进安置点充分保障安置点和尼姑普惠性待遇，做到“五通”（通路、通水、通电、通广播电视、通通讯）、“三有”（有党刊党报、有广播电视、有安置点书屋）、“三覆盖”（养老保险全覆盖、医疗保险制度全覆盖、民管会成员补助全覆盖）；落实符合条件僧尼的低保求助、五保供养、扶贫解困政策，实现“应保尽保”</w:t>
      </w:r>
      <w:r>
        <w:rPr>
          <w:rFonts w:hint="eastAsia"/>
          <w:sz w:val="32"/>
          <w:szCs w:val="32"/>
        </w:rPr>
        <w:t>。</w:t>
      </w:r>
    </w:p>
    <w:p w14:paraId="0F02DC80">
      <w:pPr>
        <w:pStyle w:val="4"/>
        <w:spacing w:line="560" w:lineRule="exact"/>
        <w:rPr>
          <w:rStyle w:val="29"/>
          <w:b w:val="0"/>
          <w:bCs w:val="0"/>
        </w:rPr>
      </w:pPr>
      <w:bookmarkStart w:id="24" w:name="_Toc15396601"/>
      <w:bookmarkStart w:id="25" w:name="_Toc79163605"/>
      <w:bookmarkStart w:id="26" w:name="_Toc79163855"/>
      <w:bookmarkStart w:id="27" w:name="_Toc15377200"/>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4"/>
      <w:bookmarkEnd w:id="25"/>
      <w:bookmarkEnd w:id="26"/>
      <w:bookmarkEnd w:id="27"/>
    </w:p>
    <w:p w14:paraId="36619A9B">
      <w:pPr>
        <w:pStyle w:val="7"/>
        <w:adjustRightInd w:val="0"/>
        <w:snapToGrid w:val="0"/>
        <w:spacing w:before="93" w:line="560" w:lineRule="exact"/>
        <w:ind w:firstLine="672" w:firstLineChars="210"/>
        <w:rPr>
          <w:rFonts w:ascii="仿宋" w:hAnsi="仿宋" w:eastAsia="仿宋"/>
          <w:color w:val="000000"/>
          <w:sz w:val="32"/>
          <w:szCs w:val="32"/>
        </w:rPr>
      </w:pPr>
      <w:bookmarkStart w:id="28" w:name="_Toc30939"/>
      <w:bookmarkStart w:id="29" w:name="_Toc10699"/>
      <w:bookmarkStart w:id="30" w:name="_Toc12356"/>
      <w:r>
        <w:rPr>
          <w:rFonts w:hint="eastAsia" w:hAnsi="仿宋"/>
          <w:kern w:val="2"/>
          <w:sz w:val="32"/>
          <w:szCs w:val="32"/>
          <w:lang w:val="en-US"/>
        </w:rPr>
        <w:t>阿坝州壤塘县娜泽求宗社区管理委员会</w:t>
      </w:r>
      <w:r>
        <w:rPr>
          <w:rFonts w:hint="eastAsia" w:hAnsi="仿宋"/>
          <w:kern w:val="2"/>
          <w:sz w:val="32"/>
          <w:szCs w:val="32"/>
          <w:lang w:val="en-US" w:eastAsia="zh-CN"/>
        </w:rPr>
        <w:t>为</w:t>
      </w:r>
      <w:r>
        <w:rPr>
          <w:rFonts w:hint="eastAsia" w:hAnsi="仿宋"/>
          <w:kern w:val="2"/>
          <w:sz w:val="32"/>
          <w:szCs w:val="32"/>
          <w:lang w:val="en-US"/>
        </w:rPr>
        <w:t>下属二级单位，本单位属行政单位。</w:t>
      </w:r>
      <w:bookmarkEnd w:id="28"/>
      <w:bookmarkEnd w:id="29"/>
      <w:bookmarkEnd w:id="30"/>
      <w:r>
        <w:rPr>
          <w:rFonts w:ascii="仿宋" w:hAnsi="仿宋" w:eastAsia="仿宋"/>
          <w:color w:val="000000"/>
          <w:sz w:val="32"/>
          <w:szCs w:val="32"/>
        </w:rPr>
        <w:br w:type="page"/>
      </w:r>
    </w:p>
    <w:p w14:paraId="3E0D39EC">
      <w:pPr>
        <w:pStyle w:val="3"/>
        <w:spacing w:line="560" w:lineRule="exact"/>
        <w:ind w:right="440"/>
        <w:jc w:val="right"/>
        <w:rPr>
          <w:rStyle w:val="28"/>
          <w:rFonts w:ascii="黑体" w:hAnsi="黑体" w:eastAsia="黑体"/>
          <w:b w:val="0"/>
          <w:bCs w:val="0"/>
        </w:rPr>
      </w:pPr>
      <w:bookmarkStart w:id="31" w:name="_Toc15377204"/>
      <w:bookmarkStart w:id="32" w:name="_Toc15396602"/>
      <w:bookmarkStart w:id="33" w:name="_Toc79163859"/>
      <w:bookmarkStart w:id="34" w:name="_Toc79163609"/>
      <w:r>
        <w:rPr>
          <w:rFonts w:hint="eastAsia" w:ascii="黑体" w:hAnsi="黑体" w:eastAsia="黑体"/>
          <w:b w:val="0"/>
          <w:color w:val="000000"/>
        </w:rPr>
        <w:t>第二部分</w:t>
      </w:r>
      <w:r>
        <w:rPr>
          <w:rFonts w:ascii="黑体" w:hAnsi="黑体" w:eastAsia="黑体"/>
          <w:color w:val="000000"/>
        </w:rPr>
        <w:t xml:space="preserve"> </w:t>
      </w:r>
      <w:r>
        <w:rPr>
          <w:rStyle w:val="28"/>
          <w:rFonts w:hint="eastAsia" w:ascii="黑体" w:hAnsi="黑体" w:eastAsia="黑体"/>
          <w:b w:val="0"/>
          <w:bCs w:val="0"/>
          <w:lang w:eastAsia="zh-CN"/>
        </w:rPr>
        <w:t>2023</w:t>
      </w:r>
      <w:r>
        <w:rPr>
          <w:rStyle w:val="28"/>
          <w:rFonts w:hint="eastAsia" w:ascii="黑体" w:hAnsi="黑体" w:eastAsia="黑体"/>
          <w:b w:val="0"/>
          <w:bCs w:val="0"/>
        </w:rPr>
        <w:t>年度部门决算情况说明</w:t>
      </w:r>
      <w:bookmarkEnd w:id="31"/>
      <w:bookmarkEnd w:id="32"/>
      <w:bookmarkEnd w:id="33"/>
      <w:bookmarkEnd w:id="34"/>
    </w:p>
    <w:p w14:paraId="6ABC592D">
      <w:pPr>
        <w:pStyle w:val="4"/>
        <w:spacing w:line="560" w:lineRule="exact"/>
        <w:ind w:firstLine="643" w:firstLineChars="200"/>
        <w:rPr>
          <w:rFonts w:ascii="黑体" w:hAnsi="黑体" w:eastAsia="黑体" w:cs="黑体"/>
        </w:rPr>
      </w:pPr>
      <w:r>
        <w:rPr>
          <w:rFonts w:hint="eastAsia" w:ascii="黑体" w:hAnsi="黑体" w:eastAsia="黑体" w:cs="黑体"/>
        </w:rPr>
        <w:t>一、收入支出决算总体情况说明</w:t>
      </w:r>
    </w:p>
    <w:p w14:paraId="3F525124">
      <w:pPr>
        <w:pStyle w:val="20"/>
        <w:spacing w:before="0" w:after="0" w:afterAutospacing="0" w:line="360" w:lineRule="auto"/>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2023</w:t>
      </w:r>
      <w:r>
        <w:rPr>
          <w:rFonts w:hint="eastAsia" w:ascii="仿宋" w:hAnsi="仿宋" w:eastAsia="仿宋" w:cs="仿宋"/>
          <w:color w:val="000000"/>
          <w:sz w:val="32"/>
          <w:szCs w:val="32"/>
        </w:rPr>
        <w:t>年度收入总计</w:t>
      </w:r>
      <w:r>
        <w:rPr>
          <w:rFonts w:hint="eastAsia" w:ascii="仿宋" w:hAnsi="仿宋" w:eastAsia="仿宋" w:cs="仿宋"/>
          <w:color w:val="000000"/>
          <w:sz w:val="32"/>
          <w:szCs w:val="32"/>
          <w:lang w:eastAsia="zh-CN"/>
        </w:rPr>
        <w:t>123.27</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年相比，</w:t>
      </w:r>
      <w:r>
        <w:rPr>
          <w:rFonts w:hint="eastAsia" w:ascii="仿宋" w:hAnsi="仿宋" w:eastAsia="仿宋" w:cs="仿宋"/>
          <w:color w:val="000000"/>
          <w:sz w:val="32"/>
          <w:szCs w:val="32"/>
          <w:lang w:val="en-US" w:eastAsia="zh-CN"/>
        </w:rPr>
        <w:t>减少</w:t>
      </w:r>
      <w:r>
        <w:rPr>
          <w:rFonts w:hint="eastAsia" w:ascii="仿宋" w:hAnsi="仿宋" w:eastAsia="仿宋" w:cs="仿宋"/>
          <w:color w:val="000000"/>
          <w:sz w:val="32"/>
          <w:szCs w:val="32"/>
        </w:rPr>
        <w:t>4.92万元，</w:t>
      </w:r>
      <w:r>
        <w:rPr>
          <w:rFonts w:hint="eastAsia" w:ascii="仿宋" w:hAnsi="仿宋" w:eastAsia="仿宋" w:cs="仿宋"/>
          <w:color w:val="000000"/>
          <w:sz w:val="32"/>
          <w:szCs w:val="32"/>
          <w:lang w:val="en-US" w:eastAsia="zh-CN"/>
        </w:rPr>
        <w:t>下降</w:t>
      </w:r>
      <w:r>
        <w:rPr>
          <w:rFonts w:hint="eastAsia" w:ascii="仿宋" w:hAnsi="仿宋" w:eastAsia="仿宋" w:cs="仿宋"/>
          <w:color w:val="000000"/>
          <w:sz w:val="32"/>
          <w:szCs w:val="32"/>
        </w:rPr>
        <w:t>3.84%。主要变动原因：本年度项目减少，项目收入减少，故本年收入减少</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 支出总计</w:t>
      </w:r>
      <w:r>
        <w:rPr>
          <w:rFonts w:hint="eastAsia" w:ascii="仿宋" w:hAnsi="仿宋" w:eastAsia="仿宋"/>
          <w:color w:val="000000"/>
          <w:sz w:val="32"/>
          <w:szCs w:val="32"/>
          <w:lang w:eastAsia="zh-CN"/>
        </w:rPr>
        <w:t>123.27</w:t>
      </w:r>
      <w:r>
        <w:rPr>
          <w:rFonts w:hint="eastAsia" w:ascii="仿宋" w:hAnsi="仿宋" w:eastAsia="仿宋" w:cs="仿宋"/>
          <w:color w:val="000000"/>
          <w:sz w:val="32"/>
          <w:szCs w:val="32"/>
        </w:rPr>
        <w:t>万元。与</w:t>
      </w: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年相比，减少16.47万元，下降</w:t>
      </w:r>
      <w:r>
        <w:rPr>
          <w:rFonts w:hint="eastAsia" w:ascii="仿宋" w:hAnsi="仿宋" w:eastAsia="仿宋" w:cs="仿宋"/>
          <w:color w:val="000000"/>
          <w:sz w:val="32"/>
          <w:szCs w:val="32"/>
          <w:lang w:val="en-US" w:eastAsia="zh-CN"/>
        </w:rPr>
        <w:t>11.79</w:t>
      </w:r>
      <w:r>
        <w:rPr>
          <w:rFonts w:hint="eastAsia" w:ascii="仿宋" w:hAnsi="仿宋" w:eastAsia="仿宋" w:cs="仿宋"/>
          <w:color w:val="000000"/>
          <w:sz w:val="32"/>
          <w:szCs w:val="32"/>
        </w:rPr>
        <w:t>%。主要变动原因:本年度业务活动减少，相应费用减少</w:t>
      </w:r>
      <w:r>
        <w:rPr>
          <w:rFonts w:hint="eastAsia" w:ascii="仿宋" w:hAnsi="仿宋" w:eastAsia="仿宋" w:cs="仿宋"/>
          <w:color w:val="000000"/>
          <w:sz w:val="32"/>
          <w:szCs w:val="32"/>
          <w:lang w:eastAsia="zh-CN"/>
        </w:rPr>
        <w:t>。</w:t>
      </w:r>
    </w:p>
    <w:p w14:paraId="00D5DCC1">
      <w:pPr>
        <w:pStyle w:val="20"/>
        <w:spacing w:before="0" w:after="0" w:afterAutospacing="0" w:line="360" w:lineRule="auto"/>
        <w:ind w:firstLine="420" w:firstLineChars="200"/>
        <w:jc w:val="left"/>
        <w:rPr>
          <w:rFonts w:hint="eastAsia" w:ascii="仿宋" w:hAnsi="仿宋" w:eastAsia="仿宋" w:cs="仿宋"/>
          <w:color w:val="000000"/>
          <w:sz w:val="32"/>
          <w:szCs w:val="32"/>
        </w:rPr>
      </w:pPr>
      <w:r>
        <w:drawing>
          <wp:inline distT="0" distB="0" distL="114300" distR="114300">
            <wp:extent cx="4253230" cy="1894205"/>
            <wp:effectExtent l="4445" t="4445" r="9525" b="6350"/>
            <wp:docPr id="134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2127F87">
      <w:pPr>
        <w:pStyle w:val="20"/>
        <w:spacing w:before="0" w:after="0" w:afterAutospacing="0" w:line="360" w:lineRule="auto"/>
        <w:ind w:firstLine="420" w:firstLineChars="200"/>
        <w:jc w:val="left"/>
        <w:rPr>
          <w:szCs w:val="21"/>
        </w:rPr>
      </w:pPr>
      <w:r>
        <w:drawing>
          <wp:inline distT="0" distB="0" distL="114300" distR="114300">
            <wp:extent cx="4236720" cy="2016760"/>
            <wp:effectExtent l="5080" t="4445" r="6350" b="17145"/>
            <wp:docPr id="13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454883">
      <w:p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1</w:t>
      </w:r>
      <w:r>
        <w:rPr>
          <w:rFonts w:hint="eastAsia" w:ascii="仿宋" w:hAnsi="仿宋" w:eastAsia="仿宋" w:cs="仿宋"/>
          <w:color w:val="000000"/>
          <w:sz w:val="32"/>
          <w:szCs w:val="32"/>
        </w:rPr>
        <w:t>：收、支决算总计变动情况图）（柱状图）</w:t>
      </w:r>
    </w:p>
    <w:p w14:paraId="634E5E70">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 xml:space="preserve"> </w:t>
      </w:r>
    </w:p>
    <w:p w14:paraId="086414A0">
      <w:pPr>
        <w:pStyle w:val="4"/>
        <w:spacing w:line="560" w:lineRule="exact"/>
        <w:ind w:firstLine="640" w:firstLineChars="200"/>
      </w:pPr>
      <w:r>
        <w:rPr>
          <w:rFonts w:hint="eastAsia" w:ascii="黑体" w:hAnsi="黑体" w:eastAsia="黑体"/>
          <w:b w:val="0"/>
          <w:bCs w:val="0"/>
          <w:color w:val="000000"/>
        </w:rPr>
        <w:t>二、收入决算情况说明</w:t>
      </w:r>
    </w:p>
    <w:p w14:paraId="58E1743F">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eastAsia="zh-CN"/>
        </w:rPr>
        <w:t>123.27</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eastAsia="zh-CN"/>
        </w:rPr>
        <w:t>123.27</w:t>
      </w:r>
      <w:r>
        <w:rPr>
          <w:rFonts w:hint="eastAsia" w:ascii="仿宋" w:hAnsi="仿宋" w:eastAsia="仿宋" w:cs="仿宋"/>
          <w:color w:val="000000"/>
          <w:sz w:val="32"/>
          <w:szCs w:val="32"/>
        </w:rPr>
        <w:t>万元，占100</w:t>
      </w:r>
      <w:r>
        <w:rPr>
          <w:rFonts w:hint="eastAsia" w:ascii="仿宋" w:hAnsi="仿宋" w:eastAsia="仿宋"/>
          <w:color w:val="000000"/>
          <w:sz w:val="32"/>
          <w:szCs w:val="32"/>
        </w:rPr>
        <w:t>%</w:t>
      </w:r>
      <w:r>
        <w:rPr>
          <w:rFonts w:hint="eastAsia" w:ascii="仿宋" w:hAnsi="仿宋" w:eastAsia="仿宋" w:cs="仿宋"/>
          <w:color w:val="000000"/>
          <w:sz w:val="32"/>
          <w:szCs w:val="32"/>
        </w:rPr>
        <w:t>。</w:t>
      </w:r>
    </w:p>
    <w:p w14:paraId="3265D7CF">
      <w:pPr>
        <w:pStyle w:val="20"/>
        <w:spacing w:before="0" w:after="120" w:afterAutospacing="0" w:line="360" w:lineRule="auto"/>
        <w:ind w:firstLine="420" w:firstLineChars="200"/>
        <w:jc w:val="center"/>
        <w:rPr>
          <w:szCs w:val="21"/>
        </w:rPr>
      </w:pPr>
      <w:r>
        <w:drawing>
          <wp:inline distT="0" distB="0" distL="114300" distR="114300">
            <wp:extent cx="4165600" cy="1859915"/>
            <wp:effectExtent l="4445" t="4445" r="20955" b="21590"/>
            <wp:docPr id="13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A821A7">
      <w:pPr>
        <w:spacing w:line="56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hint="eastAsia" w:ascii="仿宋" w:hAnsi="仿宋" w:eastAsia="仿宋"/>
          <w:color w:val="000000"/>
          <w:sz w:val="32"/>
          <w:szCs w:val="32"/>
        </w:rPr>
        <w:t>2</w:t>
      </w:r>
      <w:r>
        <w:rPr>
          <w:rFonts w:hint="eastAsia" w:ascii="仿宋" w:hAnsi="仿宋" w:eastAsia="仿宋" w:cs="仿宋"/>
          <w:color w:val="000000"/>
          <w:sz w:val="32"/>
          <w:szCs w:val="32"/>
        </w:rPr>
        <w:t>：收入决算结构图）（饼状图）</w:t>
      </w:r>
    </w:p>
    <w:p w14:paraId="7A96D7B4">
      <w:pPr>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 xml:space="preserve"> </w:t>
      </w:r>
    </w:p>
    <w:p w14:paraId="789F17EC">
      <w:pPr>
        <w:pStyle w:val="4"/>
        <w:spacing w:line="560" w:lineRule="exact"/>
        <w:ind w:firstLine="640" w:firstLineChars="200"/>
      </w:pPr>
      <w:r>
        <w:rPr>
          <w:rFonts w:hint="eastAsia" w:ascii="黑体" w:hAnsi="黑体" w:eastAsia="黑体"/>
          <w:b w:val="0"/>
          <w:bCs w:val="0"/>
          <w:color w:val="000000"/>
        </w:rPr>
        <w:t>三、支出决算情况说</w:t>
      </w:r>
      <w:r>
        <w:rPr>
          <w:rFonts w:hint="eastAsia"/>
        </w:rPr>
        <w:t>明</w:t>
      </w:r>
    </w:p>
    <w:p w14:paraId="567ADE00">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cs="仿宋_GB2312"/>
          <w:sz w:val="32"/>
          <w:szCs w:val="32"/>
        </w:rPr>
        <w:t>年本年支出合计</w:t>
      </w:r>
      <w:r>
        <w:rPr>
          <w:rFonts w:hint="eastAsia" w:ascii="仿宋" w:hAnsi="仿宋" w:eastAsia="仿宋"/>
          <w:color w:val="000000"/>
          <w:sz w:val="32"/>
          <w:szCs w:val="32"/>
          <w:lang w:eastAsia="zh-CN"/>
        </w:rPr>
        <w:t>123.27</w:t>
      </w:r>
      <w:r>
        <w:rPr>
          <w:rFonts w:ascii="仿宋_GB2312" w:eastAsia="仿宋_GB2312" w:cs="仿宋_GB2312"/>
          <w:sz w:val="32"/>
          <w:szCs w:val="32"/>
        </w:rPr>
        <w:t>万元</w:t>
      </w:r>
      <w:r>
        <w:rPr>
          <w:rFonts w:hint="eastAsia" w:ascii="仿宋_GB2312" w:eastAsia="仿宋_GB2312"/>
          <w:sz w:val="32"/>
          <w:szCs w:val="32"/>
        </w:rPr>
        <w:t>，其中：基本支出120.56万元，占</w:t>
      </w:r>
      <w:r>
        <w:rPr>
          <w:rFonts w:hint="eastAsia" w:ascii="仿宋_GB2312" w:eastAsia="仿宋_GB2312"/>
          <w:sz w:val="32"/>
          <w:szCs w:val="32"/>
          <w:lang w:val="en-US" w:eastAsia="zh-CN"/>
        </w:rPr>
        <w:t>97.79</w:t>
      </w:r>
      <w:r>
        <w:rPr>
          <w:rFonts w:hint="eastAsia" w:ascii="仿宋_GB2312" w:eastAsia="仿宋_GB2312"/>
          <w:sz w:val="32"/>
          <w:szCs w:val="32"/>
        </w:rPr>
        <w:t>%；项目支出</w:t>
      </w:r>
      <w:r>
        <w:rPr>
          <w:rFonts w:hint="eastAsia" w:ascii="仿宋_GB2312" w:eastAsia="仿宋_GB2312"/>
          <w:sz w:val="32"/>
          <w:szCs w:val="32"/>
          <w:lang w:val="en-US" w:eastAsia="zh-CN"/>
        </w:rPr>
        <w:t>2.72</w:t>
      </w:r>
      <w:r>
        <w:rPr>
          <w:rFonts w:hint="eastAsia" w:ascii="仿宋_GB2312" w:eastAsia="仿宋_GB2312"/>
          <w:sz w:val="32"/>
          <w:szCs w:val="32"/>
        </w:rPr>
        <w:t>万元，占</w:t>
      </w:r>
      <w:r>
        <w:rPr>
          <w:rFonts w:hint="eastAsia" w:ascii="仿宋_GB2312" w:eastAsia="仿宋_GB2312"/>
          <w:sz w:val="32"/>
          <w:szCs w:val="32"/>
          <w:lang w:val="en-US" w:eastAsia="zh-CN"/>
        </w:rPr>
        <w:t>2.21</w:t>
      </w:r>
      <w:r>
        <w:rPr>
          <w:rFonts w:hint="eastAsia" w:ascii="仿宋_GB2312" w:eastAsia="仿宋_GB2312"/>
          <w:sz w:val="32"/>
          <w:szCs w:val="32"/>
        </w:rPr>
        <w:t>%。</w:t>
      </w:r>
    </w:p>
    <w:p w14:paraId="32263C8F">
      <w:pPr>
        <w:pStyle w:val="21"/>
        <w:jc w:val="center"/>
        <w:rPr>
          <w:rFonts w:ascii="仿宋" w:hAnsi="仿宋" w:eastAsia="仿宋"/>
          <w:color w:val="000000"/>
          <w:sz w:val="32"/>
          <w:szCs w:val="32"/>
          <w:shd w:val="pct10" w:color="auto" w:fill="FFFFFF"/>
        </w:rPr>
      </w:pPr>
      <w:r>
        <w:drawing>
          <wp:inline distT="0" distB="0" distL="114300" distR="114300">
            <wp:extent cx="4107180" cy="2176145"/>
            <wp:effectExtent l="4445" t="4445" r="22225" b="1016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59A475">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772DE76C">
      <w:pPr>
        <w:spacing w:line="560" w:lineRule="exact"/>
        <w:ind w:firstLine="640" w:firstLineChars="200"/>
        <w:rPr>
          <w:rFonts w:ascii="仿宋_GB2312" w:eastAsia="仿宋_GB2312"/>
          <w:color w:val="FF0000"/>
          <w:sz w:val="32"/>
          <w:szCs w:val="32"/>
        </w:rPr>
      </w:pPr>
    </w:p>
    <w:p w14:paraId="0B86C38D">
      <w:pPr>
        <w:spacing w:line="560" w:lineRule="exact"/>
        <w:ind w:firstLine="640" w:firstLineChars="200"/>
        <w:outlineLvl w:val="1"/>
        <w:rPr>
          <w:rStyle w:val="29"/>
          <w:rFonts w:ascii="黑体" w:hAnsi="黑体" w:eastAsia="黑体"/>
          <w:b w:val="0"/>
        </w:rPr>
      </w:pPr>
      <w:bookmarkStart w:id="35" w:name="_Toc15377208"/>
      <w:bookmarkStart w:id="36" w:name="_Toc79163613"/>
      <w:bookmarkStart w:id="37" w:name="_Toc15396606"/>
      <w:bookmarkStart w:id="38" w:name="_Toc7916386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5"/>
      <w:bookmarkEnd w:id="36"/>
      <w:bookmarkEnd w:id="37"/>
      <w:bookmarkEnd w:id="38"/>
    </w:p>
    <w:p w14:paraId="5E97E52B">
      <w:pPr>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eastAsia="zh-CN"/>
        </w:rPr>
        <w:t>123.27</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w:t>
      </w:r>
    </w:p>
    <w:p w14:paraId="794F24E7">
      <w:pPr>
        <w:spacing w:line="560" w:lineRule="exac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减少</w:t>
      </w:r>
      <w:r>
        <w:rPr>
          <w:rFonts w:hint="eastAsia" w:ascii="仿宋" w:hAnsi="仿宋" w:eastAsia="仿宋" w:cs="仿宋"/>
          <w:color w:val="000000"/>
          <w:sz w:val="32"/>
          <w:szCs w:val="32"/>
        </w:rPr>
        <w:t>4.92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w:t>
      </w:r>
      <w:r>
        <w:rPr>
          <w:rFonts w:hint="eastAsia" w:ascii="仿宋" w:hAnsi="仿宋" w:eastAsia="仿宋"/>
          <w:color w:val="000000"/>
          <w:sz w:val="32"/>
          <w:szCs w:val="32"/>
        </w:rPr>
        <w:t>4.83%。主要变动原因：</w:t>
      </w:r>
      <w:r>
        <w:rPr>
          <w:rFonts w:hint="eastAsia" w:ascii="仿宋" w:hAnsi="仿宋" w:eastAsia="仿宋" w:cs="仿宋"/>
          <w:color w:val="000000"/>
          <w:sz w:val="32"/>
          <w:szCs w:val="32"/>
        </w:rPr>
        <w:t>本年度项目减少，项目收入减少，故本年收入减少</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年财政拨款支出总计</w:t>
      </w:r>
      <w:r>
        <w:rPr>
          <w:rFonts w:hint="eastAsia" w:ascii="仿宋" w:hAnsi="仿宋" w:eastAsia="仿宋"/>
          <w:color w:val="000000"/>
          <w:sz w:val="32"/>
          <w:szCs w:val="32"/>
          <w:lang w:eastAsia="zh-CN"/>
        </w:rPr>
        <w:t>123.27</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年相比，减少</w:t>
      </w:r>
      <w:r>
        <w:rPr>
          <w:rFonts w:hint="eastAsia" w:ascii="仿宋" w:hAnsi="仿宋" w:eastAsia="仿宋" w:cs="仿宋"/>
          <w:color w:val="000000"/>
          <w:sz w:val="32"/>
          <w:szCs w:val="32"/>
        </w:rPr>
        <w:t>16.47</w:t>
      </w:r>
      <w:r>
        <w:rPr>
          <w:rFonts w:hint="eastAsia" w:ascii="仿宋" w:hAnsi="仿宋" w:eastAsia="仿宋"/>
          <w:color w:val="000000"/>
          <w:sz w:val="32"/>
          <w:szCs w:val="32"/>
        </w:rPr>
        <w:t>万元，下降</w:t>
      </w:r>
      <w:r>
        <w:rPr>
          <w:rFonts w:hint="eastAsia" w:ascii="仿宋" w:hAnsi="仿宋" w:eastAsia="仿宋" w:cs="仿宋"/>
          <w:color w:val="000000"/>
          <w:sz w:val="32"/>
          <w:szCs w:val="32"/>
          <w:lang w:val="en-US" w:eastAsia="zh-CN"/>
        </w:rPr>
        <w:t>11.79</w:t>
      </w:r>
      <w:r>
        <w:rPr>
          <w:rFonts w:hint="eastAsia" w:ascii="仿宋" w:hAnsi="仿宋" w:eastAsia="仿宋"/>
          <w:color w:val="000000"/>
          <w:sz w:val="32"/>
          <w:szCs w:val="32"/>
        </w:rPr>
        <w:t>%。主要变动原因:</w:t>
      </w:r>
      <w:r>
        <w:rPr>
          <w:rFonts w:hint="eastAsia" w:ascii="仿宋" w:hAnsi="仿宋" w:eastAsia="仿宋" w:cs="仿宋"/>
          <w:color w:val="000000"/>
          <w:sz w:val="32"/>
          <w:szCs w:val="32"/>
        </w:rPr>
        <w:t>本年度项目减少，项目支出减少，故本年支出减少</w:t>
      </w:r>
      <w:r>
        <w:rPr>
          <w:rFonts w:hint="eastAsia" w:ascii="仿宋" w:hAnsi="仿宋" w:eastAsia="仿宋" w:cs="仿宋"/>
          <w:color w:val="000000"/>
          <w:sz w:val="32"/>
          <w:szCs w:val="32"/>
          <w:lang w:eastAsia="zh-CN"/>
        </w:rPr>
        <w:t>。</w:t>
      </w:r>
    </w:p>
    <w:p w14:paraId="6283CBEF">
      <w:pPr>
        <w:pStyle w:val="2"/>
        <w:rPr>
          <w:rFonts w:hint="eastAsia"/>
        </w:rPr>
      </w:pPr>
    </w:p>
    <w:p w14:paraId="4ED62CE3">
      <w:pPr>
        <w:pStyle w:val="2"/>
      </w:pPr>
      <w:r>
        <w:drawing>
          <wp:inline distT="0" distB="0" distL="114300" distR="114300">
            <wp:extent cx="4208780" cy="2270760"/>
            <wp:effectExtent l="4445" t="4445" r="15875" b="10795"/>
            <wp:docPr id="133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985F70">
      <w:pPr>
        <w:pStyle w:val="21"/>
        <w:jc w:val="left"/>
        <w:rPr>
          <w:rFonts w:ascii="仿宋" w:hAnsi="仿宋" w:eastAsia="仿宋"/>
          <w:color w:val="000000"/>
          <w:sz w:val="32"/>
          <w:szCs w:val="32"/>
        </w:rPr>
      </w:pPr>
      <w:r>
        <w:drawing>
          <wp:inline distT="0" distB="0" distL="114300" distR="114300">
            <wp:extent cx="4339590" cy="2130425"/>
            <wp:effectExtent l="4445" t="4445" r="18415" b="17780"/>
            <wp:docPr id="133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FC3198">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32B3A0F0">
      <w:pPr>
        <w:spacing w:line="560" w:lineRule="exact"/>
        <w:ind w:firstLine="640"/>
        <w:rPr>
          <w:rFonts w:ascii="仿宋" w:hAnsi="仿宋" w:eastAsia="仿宋"/>
          <w:b/>
          <w:color w:val="00B050"/>
          <w:sz w:val="32"/>
          <w:szCs w:val="32"/>
        </w:rPr>
      </w:pPr>
    </w:p>
    <w:p w14:paraId="47120B22">
      <w:pPr>
        <w:spacing w:line="560" w:lineRule="exact"/>
        <w:ind w:firstLine="640" w:firstLineChars="200"/>
        <w:outlineLvl w:val="1"/>
        <w:rPr>
          <w:rStyle w:val="29"/>
          <w:rFonts w:ascii="黑体" w:hAnsi="黑体" w:eastAsia="黑体"/>
          <w:b w:val="0"/>
        </w:rPr>
      </w:pPr>
      <w:bookmarkStart w:id="39" w:name="_Toc79163614"/>
      <w:bookmarkStart w:id="40" w:name="_Toc15396607"/>
      <w:bookmarkStart w:id="41" w:name="_Toc79163864"/>
      <w:bookmarkStart w:id="42"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9"/>
      <w:bookmarkEnd w:id="40"/>
      <w:bookmarkEnd w:id="41"/>
      <w:bookmarkEnd w:id="42"/>
    </w:p>
    <w:p w14:paraId="2001CB7A">
      <w:pPr>
        <w:spacing w:line="560" w:lineRule="exact"/>
        <w:ind w:firstLine="643" w:firstLineChars="200"/>
        <w:outlineLvl w:val="2"/>
        <w:rPr>
          <w:rFonts w:ascii="仿宋" w:hAnsi="仿宋" w:eastAsia="仿宋"/>
          <w:b/>
          <w:color w:val="000000"/>
          <w:sz w:val="32"/>
          <w:szCs w:val="32"/>
        </w:rPr>
      </w:pPr>
      <w:bookmarkStart w:id="43" w:name="_Toc15377210"/>
      <w:bookmarkStart w:id="44" w:name="_Toc79163865"/>
      <w:bookmarkStart w:id="45" w:name="_Toc79163615"/>
      <w:r>
        <w:rPr>
          <w:rFonts w:hint="eastAsia" w:ascii="仿宋" w:hAnsi="仿宋" w:eastAsia="仿宋"/>
          <w:b/>
          <w:color w:val="000000"/>
          <w:sz w:val="32"/>
          <w:szCs w:val="32"/>
        </w:rPr>
        <w:t>（一）一般公共预算财政拨款支出决算总体情况</w:t>
      </w:r>
      <w:bookmarkEnd w:id="43"/>
      <w:bookmarkEnd w:id="44"/>
      <w:bookmarkEnd w:id="45"/>
    </w:p>
    <w:p w14:paraId="6405FFE6">
      <w:pPr>
        <w:spacing w:line="560" w:lineRule="exact"/>
        <w:ind w:firstLine="640" w:firstLineChars="200"/>
        <w:rPr>
          <w:rFonts w:hint="eastAsia" w:ascii="仿宋" w:hAnsi="仿宋" w:eastAsia="仿宋"/>
          <w:color w:val="0000FF"/>
          <w:sz w:val="32"/>
          <w:szCs w:val="32"/>
          <w:lang w:eastAsia="zh-CN"/>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123.27</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lang w:eastAsia="zh-CN"/>
        </w:rPr>
        <w:t>16.47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w:t>
      </w:r>
      <w:r>
        <w:rPr>
          <w:rFonts w:hint="eastAsia" w:ascii="仿宋" w:hAnsi="仿宋" w:eastAsia="仿宋"/>
          <w:color w:val="000000"/>
          <w:sz w:val="32"/>
          <w:szCs w:val="32"/>
        </w:rPr>
        <w:t>11.79%。主要变动原因:</w:t>
      </w:r>
      <w:r>
        <w:rPr>
          <w:rFonts w:hint="eastAsia" w:ascii="仿宋" w:hAnsi="仿宋" w:eastAsia="仿宋" w:cs="仿宋"/>
          <w:color w:val="000000"/>
          <w:sz w:val="32"/>
          <w:szCs w:val="32"/>
        </w:rPr>
        <w:t>本年度项目减少，项目支出减少，故本年支出减少</w:t>
      </w:r>
      <w:r>
        <w:rPr>
          <w:rFonts w:hint="eastAsia" w:ascii="仿宋" w:hAnsi="仿宋" w:eastAsia="仿宋" w:cs="仿宋"/>
          <w:color w:val="000000"/>
          <w:sz w:val="32"/>
          <w:szCs w:val="32"/>
          <w:lang w:eastAsia="zh-CN"/>
        </w:rPr>
        <w:t>。</w:t>
      </w:r>
    </w:p>
    <w:p w14:paraId="13A3D829">
      <w:pPr>
        <w:jc w:val="center"/>
        <w:rPr>
          <w:rFonts w:ascii="仿宋" w:hAnsi="仿宋" w:eastAsia="仿宋"/>
          <w:color w:val="000000"/>
          <w:sz w:val="32"/>
          <w:szCs w:val="32"/>
        </w:rPr>
      </w:pPr>
      <w:r>
        <w:drawing>
          <wp:inline distT="0" distB="0" distL="114300" distR="114300">
            <wp:extent cx="4451350" cy="2411095"/>
            <wp:effectExtent l="4445" t="4445" r="20955" b="22860"/>
            <wp:docPr id="134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6C12A5">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7EF3B647">
      <w:pPr>
        <w:spacing w:line="560" w:lineRule="exact"/>
        <w:ind w:firstLine="640" w:firstLineChars="200"/>
        <w:rPr>
          <w:rFonts w:ascii="仿宋" w:hAnsi="仿宋" w:eastAsia="仿宋"/>
          <w:color w:val="000000"/>
          <w:sz w:val="32"/>
          <w:szCs w:val="32"/>
        </w:rPr>
      </w:pPr>
    </w:p>
    <w:p w14:paraId="4117ADEB">
      <w:pPr>
        <w:spacing w:line="560" w:lineRule="exact"/>
        <w:ind w:firstLine="643" w:firstLineChars="200"/>
        <w:outlineLvl w:val="2"/>
        <w:rPr>
          <w:rFonts w:ascii="仿宋" w:hAnsi="仿宋" w:eastAsia="仿宋"/>
          <w:b/>
          <w:color w:val="000000"/>
          <w:sz w:val="32"/>
          <w:szCs w:val="32"/>
        </w:rPr>
      </w:pPr>
      <w:bookmarkStart w:id="46" w:name="_Toc15377211"/>
      <w:bookmarkStart w:id="47" w:name="_Toc79163866"/>
      <w:bookmarkStart w:id="48" w:name="_Toc79163616"/>
      <w:r>
        <w:rPr>
          <w:rFonts w:hint="eastAsia" w:ascii="仿宋" w:hAnsi="仿宋" w:eastAsia="仿宋"/>
          <w:b/>
          <w:color w:val="000000"/>
          <w:sz w:val="32"/>
          <w:szCs w:val="32"/>
        </w:rPr>
        <w:t>（二）一般公共预算财政拨款支出决算结构情况</w:t>
      </w:r>
      <w:bookmarkEnd w:id="46"/>
      <w:bookmarkEnd w:id="47"/>
      <w:bookmarkEnd w:id="48"/>
    </w:p>
    <w:p w14:paraId="34F21745">
      <w:pPr>
        <w:spacing w:line="560" w:lineRule="exact"/>
        <w:ind w:firstLine="640"/>
        <w:rPr>
          <w:rFonts w:ascii="仿宋" w:hAnsi="仿宋" w:eastAsia="仿宋"/>
          <w:b/>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123.27</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一般公共服务支出（类）</w:t>
      </w:r>
      <w:r>
        <w:rPr>
          <w:rFonts w:hint="eastAsia" w:ascii="仿宋" w:hAnsi="仿宋" w:eastAsia="仿宋"/>
          <w:color w:val="000000"/>
          <w:sz w:val="32"/>
          <w:szCs w:val="32"/>
        </w:rPr>
        <w:t>96.34万元，占</w:t>
      </w:r>
      <w:r>
        <w:rPr>
          <w:rFonts w:hint="eastAsia" w:ascii="仿宋" w:hAnsi="仿宋" w:eastAsia="仿宋"/>
          <w:color w:val="000000"/>
          <w:sz w:val="32"/>
          <w:szCs w:val="32"/>
          <w:lang w:val="en-US" w:eastAsia="zh-CN"/>
        </w:rPr>
        <w:t>78.15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社会保障和就业支出</w:t>
      </w:r>
      <w:r>
        <w:rPr>
          <w:rFonts w:hint="eastAsia" w:ascii="仿宋" w:hAnsi="仿宋" w:eastAsia="仿宋"/>
          <w:b/>
          <w:bCs/>
          <w:color w:val="000000"/>
          <w:sz w:val="32"/>
          <w:szCs w:val="32"/>
        </w:rPr>
        <w:t>（类）</w:t>
      </w:r>
      <w:r>
        <w:rPr>
          <w:rFonts w:hint="eastAsia" w:ascii="仿宋" w:hAnsi="仿宋" w:eastAsia="仿宋"/>
          <w:color w:val="000000"/>
          <w:sz w:val="32"/>
          <w:szCs w:val="32"/>
        </w:rPr>
        <w:t>12.32万元，占</w:t>
      </w:r>
      <w:r>
        <w:rPr>
          <w:rFonts w:hint="eastAsia" w:ascii="仿宋" w:hAnsi="仿宋" w:eastAsia="仿宋"/>
          <w:color w:val="000000"/>
          <w:sz w:val="32"/>
          <w:szCs w:val="32"/>
          <w:lang w:val="en-US" w:eastAsia="zh-CN"/>
        </w:rPr>
        <w:t>9.99</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卫生健康支出（类）</w:t>
      </w:r>
      <w:r>
        <w:rPr>
          <w:rFonts w:hint="eastAsia" w:ascii="仿宋" w:hAnsi="仿宋" w:eastAsia="仿宋"/>
          <w:color w:val="000000"/>
          <w:sz w:val="32"/>
          <w:szCs w:val="32"/>
        </w:rPr>
        <w:t>5.96万元，占</w:t>
      </w:r>
      <w:r>
        <w:rPr>
          <w:rFonts w:hint="eastAsia" w:ascii="仿宋" w:hAnsi="仿宋" w:eastAsia="仿宋"/>
          <w:color w:val="000000"/>
          <w:sz w:val="32"/>
          <w:szCs w:val="32"/>
          <w:lang w:val="en-US" w:eastAsia="zh-CN"/>
        </w:rPr>
        <w:t>4.83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住房保障支出（类）</w:t>
      </w:r>
      <w:r>
        <w:rPr>
          <w:rFonts w:hint="eastAsia" w:ascii="仿宋" w:hAnsi="仿宋" w:eastAsia="仿宋"/>
          <w:color w:val="000000"/>
          <w:sz w:val="32"/>
          <w:szCs w:val="32"/>
        </w:rPr>
        <w:t>支出8.65万元，占</w:t>
      </w:r>
      <w:r>
        <w:rPr>
          <w:rFonts w:hint="eastAsia" w:ascii="仿宋" w:hAnsi="仿宋" w:eastAsia="仿宋"/>
          <w:color w:val="000000"/>
          <w:sz w:val="32"/>
          <w:szCs w:val="32"/>
          <w:lang w:val="en-US" w:eastAsia="zh-CN"/>
        </w:rPr>
        <w:t>7.02</w:t>
      </w:r>
      <w:r>
        <w:rPr>
          <w:rFonts w:hint="eastAsia" w:ascii="仿宋" w:hAnsi="仿宋" w:eastAsia="仿宋"/>
          <w:color w:val="000000"/>
          <w:sz w:val="32"/>
          <w:szCs w:val="32"/>
        </w:rPr>
        <w:t>%。</w:t>
      </w:r>
    </w:p>
    <w:p w14:paraId="4AD7864B">
      <w:pPr>
        <w:jc w:val="center"/>
        <w:rPr>
          <w:rFonts w:ascii="仿宋" w:hAnsi="仿宋" w:eastAsia="仿宋"/>
          <w:color w:val="000000"/>
          <w:sz w:val="32"/>
          <w:szCs w:val="32"/>
        </w:rPr>
      </w:pPr>
      <w:r>
        <w:drawing>
          <wp:inline distT="0" distB="0" distL="114300" distR="114300">
            <wp:extent cx="4466590" cy="2393950"/>
            <wp:effectExtent l="4445" t="4445" r="5715" b="20955"/>
            <wp:docPr id="134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FC9566">
      <w:pPr>
        <w:spacing w:line="56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312BE858">
      <w:pPr>
        <w:spacing w:line="560" w:lineRule="exact"/>
        <w:ind w:firstLine="640" w:firstLineChars="200"/>
        <w:rPr>
          <w:rFonts w:ascii="仿宋" w:hAnsi="仿宋" w:eastAsia="仿宋"/>
          <w:color w:val="000000"/>
          <w:sz w:val="32"/>
          <w:szCs w:val="32"/>
        </w:rPr>
      </w:pPr>
    </w:p>
    <w:p w14:paraId="354B2922">
      <w:pPr>
        <w:spacing w:line="560" w:lineRule="exact"/>
        <w:ind w:firstLine="643" w:firstLineChars="200"/>
        <w:outlineLvl w:val="2"/>
        <w:rPr>
          <w:rFonts w:ascii="仿宋" w:hAnsi="仿宋" w:eastAsia="仿宋"/>
          <w:b/>
          <w:color w:val="000000"/>
          <w:sz w:val="32"/>
          <w:szCs w:val="32"/>
        </w:rPr>
      </w:pPr>
      <w:bookmarkStart w:id="49" w:name="_Toc79163867"/>
      <w:bookmarkStart w:id="50" w:name="_Toc79163617"/>
      <w:bookmarkStart w:id="51" w:name="_Toc15377212"/>
      <w:r>
        <w:rPr>
          <w:rFonts w:hint="eastAsia" w:ascii="仿宋" w:hAnsi="仿宋" w:eastAsia="仿宋"/>
          <w:b/>
          <w:color w:val="000000"/>
          <w:sz w:val="32"/>
          <w:szCs w:val="32"/>
        </w:rPr>
        <w:t>（三）一般公共预算财政拨款支出决算具体情况</w:t>
      </w:r>
      <w:bookmarkEnd w:id="49"/>
      <w:bookmarkEnd w:id="50"/>
      <w:bookmarkEnd w:id="51"/>
    </w:p>
    <w:p w14:paraId="6898EDC0">
      <w:pPr>
        <w:spacing w:line="560" w:lineRule="exact"/>
        <w:ind w:firstLine="643" w:firstLineChars="200"/>
        <w:rPr>
          <w:rFonts w:ascii="仿宋_GB2312" w:eastAsia="仿宋_GB2312"/>
          <w:b/>
          <w:bCs/>
          <w:sz w:val="32"/>
          <w:szCs w:val="32"/>
        </w:rPr>
      </w:pPr>
      <w:bookmarkStart w:id="52" w:name="_Toc15377444"/>
      <w:bookmarkStart w:id="53" w:name="_Toc15378460"/>
      <w:bookmarkStart w:id="54" w:name="_Toc15377213"/>
      <w:r>
        <w:rPr>
          <w:rFonts w:hint="eastAsia" w:ascii="仿宋_GB2312" w:eastAsia="仿宋_GB2312"/>
          <w:b/>
          <w:bCs/>
          <w:sz w:val="32"/>
          <w:szCs w:val="32"/>
          <w:lang w:eastAsia="zh-CN"/>
        </w:rPr>
        <w:t>2023</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eastAsia="zh-CN"/>
        </w:rPr>
        <w:t>123.27</w:t>
      </w:r>
      <w:r>
        <w:rPr>
          <w:rFonts w:hint="eastAsia" w:ascii="仿宋_GB2312" w:eastAsia="仿宋_GB2312"/>
          <w:b/>
          <w:bCs/>
          <w:sz w:val="32"/>
          <w:szCs w:val="32"/>
        </w:rPr>
        <w:t>万元，完成预算100</w:t>
      </w:r>
      <w:r>
        <w:rPr>
          <w:rFonts w:ascii="仿宋_GB2312" w:eastAsia="仿宋_GB2312"/>
          <w:b/>
          <w:bCs/>
          <w:sz w:val="32"/>
          <w:szCs w:val="32"/>
        </w:rPr>
        <w:t>%</w:t>
      </w:r>
      <w:r>
        <w:rPr>
          <w:rFonts w:hint="eastAsia" w:ascii="仿宋_GB2312" w:eastAsia="仿宋_GB2312"/>
          <w:b/>
          <w:bCs/>
          <w:sz w:val="32"/>
          <w:szCs w:val="32"/>
        </w:rPr>
        <w:t>。其中：</w:t>
      </w:r>
      <w:bookmarkEnd w:id="52"/>
      <w:bookmarkEnd w:id="53"/>
      <w:bookmarkEnd w:id="54"/>
    </w:p>
    <w:p w14:paraId="37D1EEC6">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color w:val="000000"/>
          <w:sz w:val="32"/>
          <w:szCs w:val="32"/>
        </w:rPr>
        <w:t>1.</w:t>
      </w:r>
      <w:r>
        <w:rPr>
          <w:rFonts w:ascii="仿宋_GB2312" w:hAnsi="仿宋" w:eastAsia="仿宋_GB2312" w:cs="仿宋_GB2312"/>
          <w:b/>
          <w:color w:val="000000"/>
          <w:sz w:val="32"/>
          <w:szCs w:val="32"/>
        </w:rPr>
        <w:t>一般公共服务（类）民族事务（款）行政运行（项）</w:t>
      </w:r>
      <w:r>
        <w:rPr>
          <w:rFonts w:ascii="仿宋_GB2312" w:hAnsi="仿宋" w:eastAsia="仿宋_GB2312" w:cs="仿宋_GB2312"/>
          <w:bCs/>
          <w:color w:val="000000"/>
          <w:sz w:val="32"/>
          <w:szCs w:val="32"/>
        </w:rPr>
        <w:t>:支出决算为</w:t>
      </w:r>
      <w:r>
        <w:rPr>
          <w:rFonts w:hint="eastAsia" w:ascii="仿宋_GB2312" w:hAnsi="仿宋" w:eastAsia="仿宋_GB2312" w:cs="仿宋_GB2312"/>
          <w:bCs/>
          <w:color w:val="000000"/>
          <w:sz w:val="32"/>
          <w:szCs w:val="32"/>
        </w:rPr>
        <w:t>93.62</w:t>
      </w:r>
      <w:r>
        <w:rPr>
          <w:rFonts w:ascii="仿宋_GB2312" w:hAnsi="仿宋" w:eastAsia="仿宋_GB2312" w:cs="仿宋_GB2312"/>
          <w:bCs/>
          <w:color w:val="000000"/>
          <w:sz w:val="32"/>
          <w:szCs w:val="32"/>
        </w:rPr>
        <w:t>万元，完成预算100%。</w:t>
      </w:r>
    </w:p>
    <w:p w14:paraId="58C18430">
      <w:pPr>
        <w:spacing w:line="560" w:lineRule="exact"/>
        <w:ind w:firstLine="643" w:firstLineChars="200"/>
        <w:rPr>
          <w:rFonts w:ascii="仿宋_GB2312" w:hAnsi="仿宋" w:eastAsia="仿宋_GB2312" w:cs="仿宋_GB2312"/>
          <w:bCs/>
          <w:color w:val="000000"/>
          <w:sz w:val="32"/>
          <w:szCs w:val="32"/>
        </w:rPr>
      </w:pPr>
      <w:r>
        <w:rPr>
          <w:rFonts w:hint="eastAsia" w:ascii="仿宋_GB2312" w:hAnsi="仿宋" w:eastAsia="仿宋_GB2312" w:cs="仿宋_GB2312"/>
          <w:b/>
          <w:bCs w:val="0"/>
          <w:color w:val="000000"/>
          <w:sz w:val="32"/>
          <w:szCs w:val="32"/>
          <w:lang w:val="en-US" w:eastAsia="zh-CN"/>
        </w:rPr>
        <w:t>2</w:t>
      </w:r>
      <w:r>
        <w:rPr>
          <w:rFonts w:hint="eastAsia" w:ascii="仿宋_GB2312" w:hAnsi="仿宋" w:eastAsia="仿宋_GB2312" w:cs="仿宋_GB2312"/>
          <w:bCs/>
          <w:color w:val="000000"/>
          <w:sz w:val="32"/>
          <w:szCs w:val="32"/>
        </w:rPr>
        <w:t>.一</w:t>
      </w:r>
      <w:r>
        <w:rPr>
          <w:rFonts w:hint="eastAsia" w:ascii="仿宋_GB2312" w:hAnsi="仿宋" w:eastAsia="仿宋_GB2312" w:cs="仿宋_GB2312"/>
          <w:b/>
          <w:color w:val="000000"/>
          <w:sz w:val="32"/>
          <w:szCs w:val="32"/>
        </w:rPr>
        <w:t>般公共服务（类）统战事务（款）宗教事务</w:t>
      </w:r>
      <w:r>
        <w:rPr>
          <w:rFonts w:ascii="仿宋_GB2312" w:hAnsi="仿宋" w:eastAsia="仿宋_GB2312" w:cs="仿宋_GB2312"/>
          <w:b/>
          <w:color w:val="000000"/>
          <w:sz w:val="32"/>
          <w:szCs w:val="32"/>
        </w:rPr>
        <w:t>（项）:</w:t>
      </w:r>
      <w:r>
        <w:rPr>
          <w:rFonts w:ascii="仿宋_GB2312" w:hAnsi="仿宋" w:eastAsia="仿宋_GB2312" w:cs="仿宋_GB2312"/>
          <w:bCs/>
          <w:color w:val="000000"/>
          <w:sz w:val="32"/>
          <w:szCs w:val="32"/>
        </w:rPr>
        <w:t>支出决算为</w:t>
      </w:r>
      <w:r>
        <w:rPr>
          <w:rFonts w:hint="eastAsia" w:ascii="仿宋_GB2312" w:hAnsi="仿宋" w:eastAsia="仿宋_GB2312" w:cs="仿宋_GB2312"/>
          <w:bCs/>
          <w:color w:val="000000"/>
          <w:sz w:val="32"/>
          <w:szCs w:val="32"/>
        </w:rPr>
        <w:t>2.72</w:t>
      </w:r>
      <w:r>
        <w:rPr>
          <w:rFonts w:ascii="仿宋_GB2312" w:hAnsi="仿宋" w:eastAsia="仿宋_GB2312" w:cs="仿宋_GB2312"/>
          <w:bCs/>
          <w:color w:val="000000"/>
          <w:sz w:val="32"/>
          <w:szCs w:val="32"/>
        </w:rPr>
        <w:t>万元，完成预算100%</w:t>
      </w:r>
      <w:r>
        <w:rPr>
          <w:rFonts w:hint="eastAsia" w:ascii="仿宋_GB2312" w:hAnsi="仿宋" w:eastAsia="仿宋_GB2312" w:cs="仿宋_GB2312"/>
          <w:bCs/>
          <w:color w:val="000000"/>
          <w:sz w:val="32"/>
          <w:szCs w:val="32"/>
        </w:rPr>
        <w:t>。</w:t>
      </w:r>
    </w:p>
    <w:p w14:paraId="2F4C66D0">
      <w:pPr>
        <w:pStyle w:val="26"/>
        <w:ind w:left="0" w:leftChars="0" w:firstLine="643"/>
        <w:rPr>
          <w:rFonts w:eastAsia="仿宋"/>
        </w:rPr>
      </w:pPr>
      <w:r>
        <w:rPr>
          <w:rStyle w:val="24"/>
          <w:rFonts w:hint="eastAsia" w:ascii="仿宋" w:hAnsi="仿宋" w:eastAsia="仿宋"/>
          <w:bCs/>
          <w:color w:val="000000"/>
          <w:sz w:val="32"/>
          <w:szCs w:val="32"/>
          <w:lang w:val="en-US" w:eastAsia="zh-CN"/>
        </w:rPr>
        <w:t>3</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社会保障和就业支出（类）行政事业单位养老支出（款）机关事业单位基本养老保险缴费支出（项）</w:t>
      </w:r>
      <w:r>
        <w:rPr>
          <w:rStyle w:val="24"/>
          <w:rFonts w:ascii="仿宋" w:hAnsi="仿宋" w:eastAsia="仿宋"/>
          <w:bCs/>
          <w:color w:val="000000"/>
          <w:sz w:val="32"/>
          <w:szCs w:val="32"/>
        </w:rPr>
        <w:t>:</w:t>
      </w:r>
      <w:r>
        <w:rPr>
          <w:rStyle w:val="24"/>
          <w:rFonts w:ascii="仿宋" w:hAnsi="仿宋" w:eastAsia="仿宋"/>
          <w:b w:val="0"/>
          <w:bCs/>
          <w:color w:val="000000"/>
          <w:sz w:val="32"/>
          <w:szCs w:val="32"/>
        </w:rPr>
        <w:t xml:space="preserve"> </w:t>
      </w:r>
      <w:r>
        <w:rPr>
          <w:rStyle w:val="24"/>
          <w:rFonts w:hint="eastAsia" w:ascii="仿宋" w:hAnsi="仿宋" w:eastAsia="仿宋"/>
          <w:b w:val="0"/>
          <w:bCs/>
          <w:color w:val="000000"/>
          <w:sz w:val="32"/>
          <w:szCs w:val="32"/>
        </w:rPr>
        <w:t>支出决算为8.22万元，完成预算100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605EAF49">
      <w:pPr>
        <w:pStyle w:val="26"/>
        <w:spacing w:after="0" w:line="560" w:lineRule="exact"/>
        <w:ind w:left="0" w:leftChars="0" w:firstLine="643"/>
        <w:rPr>
          <w:rFonts w:eastAsia="仿宋"/>
        </w:rPr>
      </w:pPr>
      <w:r>
        <w:rPr>
          <w:rStyle w:val="24"/>
          <w:rFonts w:hint="eastAsia" w:ascii="仿宋" w:hAnsi="仿宋" w:eastAsia="仿宋"/>
          <w:bCs/>
          <w:color w:val="000000"/>
          <w:sz w:val="32"/>
          <w:szCs w:val="32"/>
          <w:lang w:val="en-US" w:eastAsia="zh-CN"/>
        </w:rPr>
        <w:t>4</w:t>
      </w:r>
      <w:r>
        <w:rPr>
          <w:rStyle w:val="24"/>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4"/>
          <w:rFonts w:ascii="仿宋" w:hAnsi="仿宋" w:eastAsia="仿宋"/>
          <w:bCs/>
          <w:color w:val="000000"/>
          <w:sz w:val="32"/>
          <w:szCs w:val="32"/>
        </w:rPr>
        <w:t>:</w:t>
      </w:r>
      <w:r>
        <w:rPr>
          <w:rStyle w:val="24"/>
          <w:rFonts w:hint="eastAsia" w:ascii="仿宋" w:hAnsi="仿宋" w:eastAsia="仿宋"/>
          <w:b w:val="0"/>
          <w:bCs/>
          <w:color w:val="000000"/>
          <w:sz w:val="32"/>
          <w:szCs w:val="32"/>
        </w:rPr>
        <w:t>支出决算为4.11万元，完成预算100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11D24B75">
      <w:pPr>
        <w:spacing w:line="560" w:lineRule="exact"/>
        <w:ind w:firstLine="643" w:firstLineChars="200"/>
        <w:rPr>
          <w:rFonts w:ascii="仿宋" w:hAnsi="仿宋" w:eastAsia="仿宋"/>
          <w:b/>
          <w:color w:val="000000"/>
          <w:sz w:val="32"/>
          <w:szCs w:val="32"/>
        </w:rPr>
      </w:pPr>
      <w:r>
        <w:rPr>
          <w:rStyle w:val="24"/>
          <w:rFonts w:hint="eastAsia" w:ascii="仿宋" w:hAnsi="仿宋" w:eastAsia="仿宋"/>
          <w:color w:val="000000"/>
          <w:sz w:val="32"/>
          <w:szCs w:val="32"/>
          <w:lang w:val="en-US" w:eastAsia="zh-CN"/>
        </w:rPr>
        <w:t>5</w:t>
      </w:r>
      <w:r>
        <w:rPr>
          <w:rStyle w:val="24"/>
          <w:rFonts w:hint="eastAsia" w:ascii="仿宋" w:hAnsi="仿宋" w:eastAsia="仿宋"/>
          <w:color w:val="000000"/>
          <w:sz w:val="32"/>
          <w:szCs w:val="32"/>
        </w:rPr>
        <w:t>.卫生健康支出（类）行政事业单位医疗（款）行政单位医疗（项）:</w:t>
      </w:r>
      <w:r>
        <w:rPr>
          <w:rStyle w:val="24"/>
          <w:rFonts w:hint="eastAsia" w:ascii="仿宋" w:hAnsi="仿宋" w:eastAsia="仿宋"/>
          <w:b w:val="0"/>
          <w:color w:val="000000"/>
          <w:sz w:val="32"/>
          <w:szCs w:val="32"/>
        </w:rPr>
        <w:t xml:space="preserve"> 支出决算为5.09万元，完成预算100%。</w:t>
      </w:r>
    </w:p>
    <w:p w14:paraId="704D9605">
      <w:pPr>
        <w:spacing w:line="560" w:lineRule="exact"/>
        <w:ind w:firstLine="643" w:firstLineChars="200"/>
        <w:rPr>
          <w:rStyle w:val="24"/>
          <w:rFonts w:ascii="仿宋" w:hAnsi="仿宋" w:eastAsia="仿宋"/>
          <w:b w:val="0"/>
          <w:bCs/>
          <w:color w:val="000000"/>
          <w:sz w:val="32"/>
          <w:szCs w:val="32"/>
        </w:rPr>
      </w:pPr>
      <w:r>
        <w:rPr>
          <w:rStyle w:val="24"/>
          <w:rFonts w:hint="eastAsia" w:ascii="仿宋" w:hAnsi="仿宋" w:eastAsia="仿宋"/>
          <w:color w:val="000000"/>
          <w:sz w:val="32"/>
          <w:szCs w:val="32"/>
          <w:lang w:val="en-US" w:eastAsia="zh-CN"/>
        </w:rPr>
        <w:t>6</w:t>
      </w:r>
      <w:r>
        <w:rPr>
          <w:rStyle w:val="24"/>
          <w:rFonts w:hint="eastAsia" w:ascii="仿宋" w:hAnsi="仿宋" w:eastAsia="仿宋"/>
          <w:color w:val="000000"/>
          <w:sz w:val="32"/>
          <w:szCs w:val="32"/>
        </w:rPr>
        <w:t xml:space="preserve">.卫生健康支出（类）行政事业单位医疗（款）公务员医疗补助（项）: </w:t>
      </w:r>
      <w:r>
        <w:rPr>
          <w:rStyle w:val="24"/>
          <w:rFonts w:hint="eastAsia" w:ascii="仿宋" w:hAnsi="仿宋" w:eastAsia="仿宋"/>
          <w:b w:val="0"/>
          <w:color w:val="000000"/>
          <w:sz w:val="32"/>
          <w:szCs w:val="32"/>
        </w:rPr>
        <w:t>支出决算为0.87万元，完成预算100%</w:t>
      </w:r>
      <w:r>
        <w:rPr>
          <w:rStyle w:val="24"/>
          <w:rFonts w:hint="eastAsia" w:ascii="仿宋" w:hAnsi="仿宋" w:eastAsia="仿宋"/>
          <w:b w:val="0"/>
          <w:bCs/>
          <w:color w:val="000000"/>
          <w:sz w:val="32"/>
          <w:szCs w:val="32"/>
        </w:rPr>
        <w:t>。</w:t>
      </w:r>
    </w:p>
    <w:p w14:paraId="25FE13EA">
      <w:pPr>
        <w:spacing w:line="560" w:lineRule="exact"/>
        <w:ind w:firstLine="643" w:firstLineChars="200"/>
        <w:rPr>
          <w:rFonts w:ascii="仿宋" w:hAnsi="仿宋" w:eastAsia="仿宋"/>
          <w:b/>
          <w:color w:val="FF0000"/>
          <w:sz w:val="32"/>
          <w:szCs w:val="32"/>
        </w:rPr>
      </w:pPr>
      <w:r>
        <w:rPr>
          <w:rFonts w:hint="eastAsia" w:ascii="仿宋" w:hAnsi="仿宋" w:eastAsia="仿宋" w:cs="仿宋"/>
          <w:b/>
          <w:color w:val="000000"/>
          <w:sz w:val="32"/>
          <w:szCs w:val="32"/>
          <w:lang w:val="en-US" w:eastAsia="zh-CN"/>
        </w:rPr>
        <w:t>7</w:t>
      </w:r>
      <w:r>
        <w:rPr>
          <w:rFonts w:hint="eastAsia" w:ascii="仿宋" w:hAnsi="仿宋" w:eastAsia="仿宋" w:cs="仿宋"/>
          <w:b/>
          <w:color w:val="000000"/>
          <w:sz w:val="32"/>
          <w:szCs w:val="32"/>
        </w:rPr>
        <w:t>.住房保障支出（类）住房改革支出（款）住房公积金（项）:</w:t>
      </w:r>
      <w:r>
        <w:rPr>
          <w:rFonts w:hint="eastAsia" w:ascii="仿宋" w:hAnsi="仿宋" w:eastAsia="仿宋" w:cs="仿宋"/>
          <w:color w:val="000000"/>
          <w:sz w:val="32"/>
          <w:szCs w:val="32"/>
        </w:rPr>
        <w:t>支出决算为8.65万元，完成预算100%。</w:t>
      </w:r>
    </w:p>
    <w:p w14:paraId="37776B81">
      <w:pPr>
        <w:spacing w:line="560" w:lineRule="exact"/>
        <w:ind w:firstLine="640"/>
        <w:rPr>
          <w:rFonts w:ascii="仿宋" w:hAnsi="仿宋" w:eastAsia="仿宋"/>
          <w:b/>
          <w:color w:val="000000"/>
          <w:sz w:val="32"/>
          <w:szCs w:val="32"/>
        </w:rPr>
      </w:pPr>
    </w:p>
    <w:p w14:paraId="3CF7FFF3">
      <w:pPr>
        <w:tabs>
          <w:tab w:val="right" w:pos="8306"/>
        </w:tabs>
        <w:spacing w:line="560" w:lineRule="exact"/>
        <w:ind w:firstLine="640"/>
        <w:outlineLvl w:val="1"/>
        <w:rPr>
          <w:rStyle w:val="29"/>
        </w:rPr>
      </w:pPr>
      <w:bookmarkStart w:id="55" w:name="_Toc79163868"/>
      <w:bookmarkStart w:id="56" w:name="_Toc15377214"/>
      <w:bookmarkStart w:id="57" w:name="_Toc79163618"/>
      <w:bookmarkStart w:id="5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55"/>
      <w:bookmarkEnd w:id="56"/>
      <w:bookmarkEnd w:id="57"/>
      <w:bookmarkEnd w:id="58"/>
      <w:r>
        <w:rPr>
          <w:rStyle w:val="29"/>
          <w:rFonts w:ascii="黑体" w:hAnsi="黑体" w:eastAsia="黑体"/>
          <w:b w:val="0"/>
        </w:rPr>
        <w:tab/>
      </w:r>
    </w:p>
    <w:p w14:paraId="55CE35FB">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eastAsia="zh-CN"/>
        </w:rPr>
        <w:t>123.27</w:t>
      </w:r>
      <w:r>
        <w:rPr>
          <w:rFonts w:hint="eastAsia" w:ascii="仿宋" w:hAnsi="仿宋" w:eastAsia="仿宋"/>
          <w:color w:val="000000"/>
          <w:sz w:val="32"/>
          <w:szCs w:val="32"/>
        </w:rPr>
        <w:t>万元，其中：</w:t>
      </w:r>
    </w:p>
    <w:p w14:paraId="55356C3C">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人员经费109.52万元，主要包括：基本工资、津贴补贴、奖金、绩效工资、机关事业单位基本养老保险费、职业年金缴费、职工基本医疗保险缴费、其他社会保障缴费、住房公积金、医疗费补助。</w:t>
      </w:r>
    </w:p>
    <w:p w14:paraId="629D7310">
      <w:pPr>
        <w:spacing w:line="56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日常公用经费11.04万元，主要包括：办公费、印刷费、电费、邮电费、差旅费、维修（护）费、劳务费、公务用车运行维护费。</w:t>
      </w:r>
    </w:p>
    <w:p w14:paraId="7004190D">
      <w:pPr>
        <w:spacing w:line="560" w:lineRule="exact"/>
        <w:ind w:firstLine="640"/>
        <w:rPr>
          <w:rFonts w:ascii="仿宋" w:hAnsi="仿宋" w:eastAsia="仿宋"/>
          <w:b/>
          <w:color w:val="FF0000"/>
          <w:sz w:val="32"/>
          <w:szCs w:val="32"/>
        </w:rPr>
      </w:pPr>
    </w:p>
    <w:p w14:paraId="7C8F59CD">
      <w:pPr>
        <w:spacing w:line="560" w:lineRule="exact"/>
        <w:ind w:firstLine="640"/>
        <w:outlineLvl w:val="1"/>
        <w:rPr>
          <w:rStyle w:val="29"/>
          <w:rFonts w:ascii="黑体" w:hAnsi="黑体" w:eastAsia="黑体"/>
          <w:b w:val="0"/>
        </w:rPr>
      </w:pPr>
      <w:bookmarkStart w:id="59" w:name="_Toc79163869"/>
      <w:bookmarkStart w:id="60" w:name="_Toc15377215"/>
      <w:bookmarkStart w:id="61" w:name="_Toc15396609"/>
      <w:bookmarkStart w:id="62" w:name="_Toc7916361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9"/>
      <w:bookmarkEnd w:id="60"/>
      <w:bookmarkEnd w:id="61"/>
      <w:bookmarkEnd w:id="62"/>
    </w:p>
    <w:p w14:paraId="522C35AE">
      <w:pPr>
        <w:spacing w:line="560" w:lineRule="exact"/>
        <w:ind w:firstLine="640"/>
        <w:outlineLvl w:val="2"/>
        <w:rPr>
          <w:rFonts w:ascii="仿宋" w:hAnsi="仿宋" w:eastAsia="仿宋"/>
          <w:b/>
          <w:color w:val="000000"/>
          <w:sz w:val="32"/>
          <w:szCs w:val="32"/>
        </w:rPr>
      </w:pPr>
      <w:bookmarkStart w:id="63" w:name="_Toc79163620"/>
      <w:bookmarkStart w:id="64" w:name="_Toc79163870"/>
      <w:bookmarkStart w:id="65" w:name="_Toc15377216"/>
      <w:r>
        <w:rPr>
          <w:rFonts w:hint="eastAsia" w:ascii="仿宋" w:hAnsi="仿宋" w:eastAsia="仿宋"/>
          <w:b/>
          <w:color w:val="000000"/>
          <w:sz w:val="32"/>
          <w:szCs w:val="32"/>
        </w:rPr>
        <w:t>（一）“三公”经费财政拨款支出决算总体情况说明</w:t>
      </w:r>
      <w:bookmarkEnd w:id="63"/>
      <w:bookmarkEnd w:id="64"/>
      <w:bookmarkEnd w:id="65"/>
    </w:p>
    <w:p w14:paraId="5FDC3AD4">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年“三公”经费财政拨款支出决算为0万元。</w:t>
      </w:r>
    </w:p>
    <w:p w14:paraId="4205451C">
      <w:pPr>
        <w:spacing w:line="560" w:lineRule="exact"/>
        <w:ind w:firstLine="640"/>
        <w:outlineLvl w:val="2"/>
        <w:rPr>
          <w:rFonts w:ascii="仿宋" w:hAnsi="仿宋" w:eastAsia="仿宋"/>
          <w:b/>
          <w:color w:val="000000"/>
          <w:sz w:val="32"/>
          <w:szCs w:val="32"/>
        </w:rPr>
      </w:pPr>
      <w:bookmarkStart w:id="66" w:name="_Toc15377217"/>
      <w:bookmarkStart w:id="67" w:name="_Toc79163871"/>
      <w:bookmarkStart w:id="68" w:name="_Toc79163621"/>
      <w:r>
        <w:rPr>
          <w:rFonts w:hint="eastAsia" w:ascii="仿宋" w:hAnsi="仿宋" w:eastAsia="仿宋"/>
          <w:b/>
          <w:color w:val="000000"/>
          <w:sz w:val="32"/>
          <w:szCs w:val="32"/>
        </w:rPr>
        <w:t>（二）“三公”经费财政拨款支出决算具体情况说明</w:t>
      </w:r>
      <w:bookmarkEnd w:id="66"/>
      <w:bookmarkEnd w:id="67"/>
      <w:bookmarkEnd w:id="68"/>
    </w:p>
    <w:p w14:paraId="6CC92772">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2023</w:t>
      </w:r>
      <w:r>
        <w:rPr>
          <w:rFonts w:hint="eastAsia" w:ascii="仿宋" w:hAnsi="仿宋" w:eastAsia="仿宋"/>
          <w:color w:val="000000"/>
          <w:sz w:val="32"/>
          <w:szCs w:val="32"/>
        </w:rPr>
        <w:t>年“三公”经费财政拨款支出决算中，因公出国（境）费支出决算0万元；公务用车购置及运行维护费支出决算0万元；公务接待费支出决算0万元。</w:t>
      </w:r>
    </w:p>
    <w:p w14:paraId="3AAA9E52">
      <w:pPr>
        <w:spacing w:line="56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4"/>
          <w:rFonts w:hint="eastAsia" w:ascii="仿宋" w:hAnsi="仿宋" w:eastAsia="仿宋"/>
          <w:b w:val="0"/>
          <w:bCs/>
          <w:color w:val="000000"/>
          <w:sz w:val="32"/>
          <w:szCs w:val="32"/>
        </w:rPr>
        <w:t>。</w:t>
      </w:r>
    </w:p>
    <w:p w14:paraId="724696EB">
      <w:pPr>
        <w:spacing w:line="56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p>
    <w:p w14:paraId="5FA1055F">
      <w:pPr>
        <w:spacing w:line="56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万元。截至</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p>
    <w:p w14:paraId="17F97E31">
      <w:pPr>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63B69518">
      <w:pPr>
        <w:spacing w:line="56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p>
    <w:p w14:paraId="682B05E3">
      <w:pPr>
        <w:spacing w:line="560" w:lineRule="exact"/>
        <w:ind w:firstLine="640" w:firstLineChars="200"/>
        <w:rPr>
          <w:rFonts w:ascii="仿宋_GB2312" w:eastAsia="仿宋_GB2312"/>
          <w:color w:val="000000"/>
          <w:sz w:val="32"/>
          <w:szCs w:val="32"/>
        </w:rPr>
      </w:pPr>
    </w:p>
    <w:p w14:paraId="11114CEF">
      <w:pPr>
        <w:spacing w:line="560" w:lineRule="exact"/>
        <w:ind w:firstLine="640"/>
        <w:outlineLvl w:val="1"/>
        <w:rPr>
          <w:rStyle w:val="29"/>
          <w:rFonts w:ascii="黑体" w:hAnsi="黑体" w:eastAsia="黑体"/>
        </w:rPr>
      </w:pPr>
      <w:bookmarkStart w:id="69" w:name="_Toc15377218"/>
      <w:bookmarkStart w:id="70" w:name="_Toc15396610"/>
      <w:bookmarkStart w:id="71" w:name="_Toc79163872"/>
      <w:bookmarkStart w:id="72" w:name="_Toc79163622"/>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69"/>
      <w:bookmarkEnd w:id="70"/>
      <w:bookmarkEnd w:id="71"/>
      <w:bookmarkEnd w:id="72"/>
    </w:p>
    <w:p w14:paraId="0B213F13">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年政府性基金预算拨款支出0万元。</w:t>
      </w:r>
    </w:p>
    <w:p w14:paraId="1BAF6F2F">
      <w:pPr>
        <w:spacing w:line="560" w:lineRule="exact"/>
        <w:ind w:firstLine="640"/>
        <w:rPr>
          <w:rFonts w:ascii="仿宋_GB2312" w:eastAsia="仿宋_GB2312"/>
          <w:color w:val="000000"/>
          <w:sz w:val="32"/>
          <w:szCs w:val="32"/>
        </w:rPr>
      </w:pPr>
    </w:p>
    <w:p w14:paraId="2CCE8CDA">
      <w:pPr>
        <w:numPr>
          <w:ilvl w:val="0"/>
          <w:numId w:val="2"/>
        </w:numPr>
        <w:spacing w:line="560" w:lineRule="exact"/>
        <w:ind w:firstLine="640"/>
        <w:outlineLvl w:val="1"/>
        <w:rPr>
          <w:rStyle w:val="29"/>
          <w:rFonts w:ascii="黑体" w:hAnsi="黑体" w:eastAsia="黑体"/>
          <w:b w:val="0"/>
        </w:rPr>
      </w:pPr>
      <w:bookmarkStart w:id="73" w:name="_Toc15396611"/>
      <w:bookmarkStart w:id="74" w:name="_Toc15377219"/>
      <w:bookmarkStart w:id="75" w:name="_Toc79163873"/>
      <w:bookmarkStart w:id="76" w:name="_Toc79163623"/>
      <w:r>
        <w:rPr>
          <w:rStyle w:val="29"/>
          <w:rFonts w:hint="eastAsia" w:ascii="黑体" w:hAnsi="黑体" w:eastAsia="黑体"/>
          <w:b w:val="0"/>
        </w:rPr>
        <w:t>国有资本经营预算支出决算情况说明</w:t>
      </w:r>
      <w:bookmarkEnd w:id="73"/>
      <w:bookmarkEnd w:id="74"/>
      <w:bookmarkEnd w:id="75"/>
      <w:bookmarkEnd w:id="76"/>
    </w:p>
    <w:p w14:paraId="7360CC4F">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年国有资本经营预算拨款支出0万元。</w:t>
      </w:r>
    </w:p>
    <w:p w14:paraId="03A3B031">
      <w:pPr>
        <w:spacing w:line="560" w:lineRule="exact"/>
        <w:jc w:val="center"/>
        <w:rPr>
          <w:rFonts w:ascii="方正小标宋简体" w:hAnsi="方正小标宋简体" w:eastAsia="方正小标宋简体" w:cs="方正小标宋简体"/>
          <w:sz w:val="44"/>
          <w:szCs w:val="44"/>
        </w:rPr>
      </w:pPr>
    </w:p>
    <w:p w14:paraId="01D2F4CD">
      <w:pPr>
        <w:spacing w:line="560" w:lineRule="exact"/>
        <w:ind w:firstLine="800" w:firstLineChars="250"/>
        <w:outlineLvl w:val="1"/>
        <w:rPr>
          <w:rStyle w:val="29"/>
          <w:rFonts w:ascii="黑体" w:hAnsi="黑体" w:eastAsia="黑体"/>
        </w:rPr>
      </w:pPr>
      <w:bookmarkStart w:id="77" w:name="_Toc15396612"/>
      <w:bookmarkStart w:id="78" w:name="_Toc79163874"/>
      <w:bookmarkStart w:id="79" w:name="_Toc79163624"/>
      <w:bookmarkStart w:id="80"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77"/>
      <w:bookmarkEnd w:id="78"/>
      <w:bookmarkEnd w:id="79"/>
      <w:bookmarkEnd w:id="80"/>
    </w:p>
    <w:p w14:paraId="749C3529">
      <w:pPr>
        <w:spacing w:line="560" w:lineRule="exact"/>
        <w:ind w:firstLine="643" w:firstLineChars="200"/>
        <w:outlineLvl w:val="2"/>
        <w:rPr>
          <w:rFonts w:ascii="仿宋" w:hAnsi="仿宋" w:eastAsia="仿宋"/>
          <w:color w:val="000000"/>
          <w:sz w:val="32"/>
          <w:szCs w:val="32"/>
        </w:rPr>
      </w:pPr>
      <w:bookmarkStart w:id="81" w:name="_Toc79163625"/>
      <w:bookmarkStart w:id="82" w:name="_Toc79163875"/>
      <w:bookmarkStart w:id="83" w:name="_Toc15377222"/>
      <w:r>
        <w:rPr>
          <w:rFonts w:hint="eastAsia" w:ascii="仿宋" w:hAnsi="仿宋" w:eastAsia="仿宋"/>
          <w:b/>
          <w:color w:val="000000"/>
          <w:sz w:val="32"/>
          <w:szCs w:val="32"/>
        </w:rPr>
        <w:t>（一）机关运行经费支出情况</w:t>
      </w:r>
      <w:bookmarkEnd w:id="81"/>
      <w:bookmarkEnd w:id="82"/>
      <w:bookmarkEnd w:id="83"/>
    </w:p>
    <w:p w14:paraId="15C8F59A">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年，阿坝州壤塘县娜泽求宗社区管理委员会机关运行经费支出11.04万元，比</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年减少6.05万元，下降35.4%。主要原因是厉行节约。</w:t>
      </w:r>
    </w:p>
    <w:p w14:paraId="4B039989">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84" w:name="_Toc79163626"/>
      <w:bookmarkStart w:id="85" w:name="_Toc15377223"/>
      <w:bookmarkStart w:id="86" w:name="_Toc79163876"/>
      <w:r>
        <w:rPr>
          <w:rFonts w:hint="eastAsia" w:ascii="仿宋" w:hAnsi="仿宋" w:eastAsia="仿宋"/>
          <w:b/>
          <w:color w:val="000000"/>
          <w:sz w:val="32"/>
          <w:szCs w:val="32"/>
        </w:rPr>
        <w:t>（二）政府采购支出情况</w:t>
      </w:r>
      <w:bookmarkEnd w:id="84"/>
      <w:bookmarkEnd w:id="85"/>
      <w:bookmarkEnd w:id="86"/>
    </w:p>
    <w:p w14:paraId="048C0A10">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阿坝州壤塘县娜泽求宗社区管理委员会政府采购支出总额0万元，其中：政府采购货物支出0万元、政府采购工程支出0万元、政府采购服务支出0万元。授予中小企业合同金额0万元，其中：授予小微企业合同金额0万元。</w:t>
      </w:r>
    </w:p>
    <w:p w14:paraId="11F46CE4">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87" w:name="_Toc15377224"/>
      <w:bookmarkStart w:id="88" w:name="_Toc79163877"/>
      <w:bookmarkStart w:id="89" w:name="_Toc79163627"/>
      <w:r>
        <w:rPr>
          <w:rFonts w:hint="eastAsia" w:ascii="仿宋" w:hAnsi="仿宋" w:eastAsia="仿宋"/>
          <w:b/>
          <w:color w:val="000000"/>
          <w:sz w:val="32"/>
          <w:szCs w:val="32"/>
        </w:rPr>
        <w:t>（三）国有资产占有使用情况</w:t>
      </w:r>
      <w:bookmarkEnd w:id="87"/>
      <w:bookmarkEnd w:id="88"/>
      <w:bookmarkEnd w:id="89"/>
    </w:p>
    <w:p w14:paraId="3B1B2869">
      <w:pPr>
        <w:autoSpaceDE w:val="0"/>
        <w:autoSpaceDN w:val="0"/>
        <w:adjustRightInd w:val="0"/>
        <w:spacing w:line="56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日，阿坝州壤塘县娜泽求宗社区管理委员会共有车辆0辆，其中：主要领导干部用车0辆、机要通信用车0辆、应急保障用车0辆、其他用车0辆，单价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665E416D">
      <w:pPr>
        <w:autoSpaceDE w:val="0"/>
        <w:autoSpaceDN w:val="0"/>
        <w:adjustRightInd w:val="0"/>
        <w:spacing w:line="560" w:lineRule="exact"/>
        <w:ind w:firstLine="643" w:firstLineChars="200"/>
        <w:jc w:val="left"/>
        <w:outlineLvl w:val="2"/>
        <w:rPr>
          <w:rFonts w:ascii="仿宋" w:hAnsi="仿宋" w:eastAsia="仿宋"/>
          <w:b/>
          <w:color w:val="000000"/>
          <w:sz w:val="32"/>
          <w:szCs w:val="32"/>
        </w:rPr>
      </w:pPr>
      <w:bookmarkStart w:id="90" w:name="_Toc79163628"/>
      <w:bookmarkStart w:id="91" w:name="_Toc79163878"/>
      <w:r>
        <w:rPr>
          <w:rFonts w:hint="eastAsia" w:ascii="仿宋" w:hAnsi="仿宋" w:eastAsia="仿宋"/>
          <w:b/>
          <w:color w:val="000000"/>
          <w:sz w:val="32"/>
          <w:szCs w:val="32"/>
        </w:rPr>
        <w:t>（四）预算绩效管理情况。</w:t>
      </w:r>
      <w:bookmarkEnd w:id="90"/>
      <w:bookmarkEnd w:id="91"/>
    </w:p>
    <w:p w14:paraId="24FD45F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预算编制阶段，组织对</w:t>
      </w:r>
      <w:r>
        <w:rPr>
          <w:rFonts w:hint="eastAsia" w:ascii="仿宋_GB2312" w:hAnsi="仿宋_GB2312" w:eastAsia="仿宋_GB2312" w:cs="仿宋_GB2312"/>
          <w:sz w:val="32"/>
          <w:szCs w:val="32"/>
          <w:lang w:val="en-US" w:eastAsia="zh-CN"/>
        </w:rPr>
        <w:t>单位伙食团经费、民管会补助这2个项目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val="en-US" w:eastAsia="zh-CN"/>
        </w:rPr>
        <w:t>选取对2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绩效自评表详见第四部分附件</w:t>
      </w:r>
      <w:r>
        <w:rPr>
          <w:rFonts w:hint="eastAsia" w:ascii="仿宋_GB2312" w:hAnsi="仿宋_GB2312" w:eastAsia="仿宋_GB2312" w:cs="仿宋_GB2312"/>
          <w:sz w:val="32"/>
          <w:szCs w:val="32"/>
        </w:rPr>
        <w:t>。</w:t>
      </w:r>
    </w:p>
    <w:p w14:paraId="191102E1">
      <w:pPr>
        <w:pStyle w:val="26"/>
        <w:ind w:firstLine="640"/>
        <w:rPr>
          <w:rFonts w:ascii="仿宋_GB2312" w:hAnsi="仿宋_GB2312" w:eastAsia="仿宋_GB2312" w:cs="仿宋_GB2312"/>
          <w:sz w:val="32"/>
          <w:szCs w:val="32"/>
        </w:rPr>
      </w:pPr>
    </w:p>
    <w:p w14:paraId="68E44DD5">
      <w:pPr>
        <w:rPr>
          <w:rFonts w:ascii="仿宋_GB2312" w:hAnsi="仿宋_GB2312" w:eastAsia="仿宋_GB2312" w:cs="仿宋_GB2312"/>
          <w:sz w:val="32"/>
          <w:szCs w:val="32"/>
        </w:rPr>
      </w:pPr>
    </w:p>
    <w:p w14:paraId="337132EB">
      <w:pPr>
        <w:pStyle w:val="26"/>
        <w:ind w:firstLine="640"/>
        <w:rPr>
          <w:rFonts w:ascii="仿宋_GB2312" w:hAnsi="仿宋_GB2312" w:eastAsia="仿宋_GB2312" w:cs="仿宋_GB2312"/>
          <w:sz w:val="32"/>
          <w:szCs w:val="32"/>
        </w:rPr>
      </w:pPr>
    </w:p>
    <w:p w14:paraId="00A01BB9">
      <w:pPr>
        <w:rPr>
          <w:rFonts w:ascii="仿宋_GB2312" w:hAnsi="仿宋_GB2312" w:eastAsia="仿宋_GB2312" w:cs="仿宋_GB2312"/>
          <w:sz w:val="32"/>
          <w:szCs w:val="32"/>
        </w:rPr>
      </w:pPr>
    </w:p>
    <w:p w14:paraId="154EE8E8">
      <w:pPr>
        <w:pStyle w:val="2"/>
        <w:rPr>
          <w:rFonts w:ascii="仿宋_GB2312" w:hAnsi="仿宋_GB2312" w:eastAsia="仿宋_GB2312" w:cs="仿宋_GB2312"/>
          <w:sz w:val="32"/>
          <w:szCs w:val="32"/>
        </w:rPr>
      </w:pPr>
    </w:p>
    <w:p w14:paraId="5090E116">
      <w:pPr>
        <w:rPr>
          <w:rFonts w:ascii="仿宋_GB2312" w:hAnsi="仿宋_GB2312" w:eastAsia="仿宋_GB2312" w:cs="仿宋_GB2312"/>
          <w:sz w:val="32"/>
          <w:szCs w:val="32"/>
        </w:rPr>
      </w:pPr>
    </w:p>
    <w:p w14:paraId="3A15EB6C">
      <w:pPr>
        <w:pStyle w:val="2"/>
        <w:rPr>
          <w:rFonts w:ascii="仿宋_GB2312" w:hAnsi="仿宋_GB2312" w:eastAsia="仿宋_GB2312" w:cs="仿宋_GB2312"/>
          <w:sz w:val="32"/>
          <w:szCs w:val="32"/>
        </w:rPr>
      </w:pPr>
    </w:p>
    <w:p w14:paraId="5E88AD15">
      <w:pPr>
        <w:rPr>
          <w:rFonts w:ascii="仿宋_GB2312" w:hAnsi="仿宋_GB2312" w:eastAsia="仿宋_GB2312" w:cs="仿宋_GB2312"/>
          <w:sz w:val="32"/>
          <w:szCs w:val="32"/>
        </w:rPr>
      </w:pPr>
    </w:p>
    <w:p w14:paraId="2EAE7B00">
      <w:pPr>
        <w:pStyle w:val="2"/>
        <w:rPr>
          <w:rFonts w:ascii="仿宋_GB2312" w:hAnsi="仿宋_GB2312" w:eastAsia="仿宋_GB2312" w:cs="仿宋_GB2312"/>
          <w:sz w:val="32"/>
          <w:szCs w:val="32"/>
        </w:rPr>
      </w:pPr>
    </w:p>
    <w:p w14:paraId="31B35B32">
      <w:pPr>
        <w:rPr>
          <w:rFonts w:ascii="仿宋_GB2312" w:hAnsi="仿宋_GB2312" w:eastAsia="仿宋_GB2312" w:cs="仿宋_GB2312"/>
          <w:sz w:val="32"/>
          <w:szCs w:val="32"/>
        </w:rPr>
      </w:pPr>
    </w:p>
    <w:p w14:paraId="47C0D394">
      <w:pPr>
        <w:pStyle w:val="2"/>
      </w:pPr>
    </w:p>
    <w:p w14:paraId="0B029D12">
      <w:pPr>
        <w:pStyle w:val="2"/>
        <w:rPr>
          <w:rFonts w:ascii="仿宋_GB2312" w:hAnsi="仿宋_GB2312" w:eastAsia="仿宋_GB2312" w:cs="仿宋_GB2312"/>
          <w:sz w:val="32"/>
          <w:szCs w:val="32"/>
        </w:rPr>
      </w:pPr>
    </w:p>
    <w:p w14:paraId="6392F3D6"/>
    <w:p w14:paraId="3ABB3D92">
      <w:pPr>
        <w:rPr>
          <w:rFonts w:ascii="仿宋_GB2312" w:hAnsi="仿宋_GB2312" w:eastAsia="仿宋_GB2312" w:cs="仿宋_GB2312"/>
          <w:sz w:val="32"/>
          <w:szCs w:val="32"/>
        </w:rPr>
      </w:pPr>
    </w:p>
    <w:p w14:paraId="381E55CB">
      <w:pPr>
        <w:pStyle w:val="26"/>
        <w:ind w:firstLine="420"/>
      </w:pPr>
    </w:p>
    <w:p w14:paraId="5D7839A0">
      <w:pPr>
        <w:numPr>
          <w:ilvl w:val="0"/>
          <w:numId w:val="3"/>
        </w:numPr>
        <w:spacing w:line="600" w:lineRule="exact"/>
        <w:ind w:firstLine="660" w:firstLineChars="150"/>
        <w:jc w:val="center"/>
        <w:outlineLvl w:val="0"/>
        <w:rPr>
          <w:rStyle w:val="28"/>
          <w:rFonts w:ascii="黑体" w:hAnsi="黑体" w:eastAsia="黑体"/>
          <w:b w:val="0"/>
        </w:rPr>
      </w:pPr>
      <w:bookmarkStart w:id="92" w:name="_Toc79163629"/>
      <w:bookmarkStart w:id="93" w:name="_Toc79163879"/>
      <w:bookmarkStart w:id="94" w:name="_Toc15377225"/>
      <w:bookmarkStart w:id="95"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92"/>
      <w:bookmarkEnd w:id="93"/>
      <w:bookmarkEnd w:id="94"/>
      <w:bookmarkEnd w:id="95"/>
    </w:p>
    <w:p w14:paraId="17B24548">
      <w:pPr>
        <w:spacing w:line="600" w:lineRule="exact"/>
        <w:jc w:val="left"/>
        <w:rPr>
          <w:rFonts w:ascii="宋体"/>
          <w:b/>
          <w:color w:val="000000"/>
          <w:sz w:val="44"/>
          <w:szCs w:val="44"/>
        </w:rPr>
      </w:pPr>
    </w:p>
    <w:p w14:paraId="2DC2375B">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9245FAD">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14:paraId="19A211B7">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14:paraId="1C7C8A79">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585E7B6D">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70112C92">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A8F5460">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20EE95B9">
      <w:pPr>
        <w:pStyle w:val="3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571DA0FC">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9.一般公共服务（类）民族事务（款）行政运行（项）：反映行政单位（包括实行公务员管理的事业单位）的基本支出。</w:t>
      </w:r>
    </w:p>
    <w:p w14:paraId="66BEB4F3">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10.一般公共服务（类）民族事务（款）一般行政管理事务（项）：反映行政单位（包括实行公务员管理的事业单位）未单独设置项级科目的其他项目支出。</w:t>
      </w:r>
    </w:p>
    <w:p w14:paraId="201F72FB">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11.一般公共服务（类）民族事务（款）民族工作专项（项）：反映用于民族事务管理方面的支出。</w:t>
      </w:r>
    </w:p>
    <w:p w14:paraId="42413526">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12.社会保障和就业（类）行政事业单位养老支出（款）机关事业单位基本养老保险缴费支出（项）：指机关事业单位实施养老保险制度由单位缴纳的基本养老保险费支出。</w:t>
      </w:r>
    </w:p>
    <w:p w14:paraId="6D11AC51">
      <w:pPr>
        <w:ind w:firstLine="640" w:firstLineChars="200"/>
        <w:rPr>
          <w:rFonts w:ascii="仿宋_GB2312" w:eastAsia="仿宋_GB2312"/>
          <w:color w:val="000000"/>
          <w:sz w:val="32"/>
          <w:szCs w:val="32"/>
        </w:rPr>
      </w:pPr>
      <w:r>
        <w:rPr>
          <w:rFonts w:hint="eastAsia" w:ascii="仿宋_GB2312" w:eastAsia="仿宋_GB2312"/>
          <w:color w:val="000000"/>
          <w:sz w:val="32"/>
          <w:szCs w:val="32"/>
        </w:rPr>
        <w:t>13. 社会保障和就业（类）行政事业单位养老支出（款）机关事业单位职业年金缴费支出（项）：指机关事业单位养老保险制度由单位缴纳的职业年金支出。</w:t>
      </w:r>
    </w:p>
    <w:p w14:paraId="65EFFF06">
      <w:pPr>
        <w:ind w:firstLine="640" w:firstLineChars="200"/>
        <w:rPr>
          <w:rFonts w:ascii="仿宋_GB2312" w:eastAsia="仿宋_GB2312"/>
          <w:color w:val="000000"/>
          <w:sz w:val="32"/>
          <w:szCs w:val="32"/>
        </w:rPr>
      </w:pPr>
      <w:r>
        <w:rPr>
          <w:rFonts w:hint="eastAsia" w:ascii="仿宋_GB2312" w:eastAsia="仿宋_GB2312"/>
          <w:color w:val="000000"/>
          <w:sz w:val="32"/>
          <w:szCs w:val="32"/>
        </w:rPr>
        <w:t>14.卫生健康支出（类）行政事业单位医疗（款）事业单位医疗（项）：指财政部门集中安排的事业单位基本医疗保险缴费。</w:t>
      </w:r>
    </w:p>
    <w:p w14:paraId="31AE5BD8">
      <w:pPr>
        <w:ind w:firstLine="640" w:firstLineChars="200"/>
        <w:rPr>
          <w:rFonts w:ascii="仿宋_GB2312" w:eastAsia="仿宋_GB2312"/>
          <w:color w:val="000000"/>
          <w:sz w:val="32"/>
          <w:szCs w:val="32"/>
        </w:rPr>
      </w:pPr>
      <w:r>
        <w:rPr>
          <w:rFonts w:hint="eastAsia" w:ascii="仿宋_GB2312" w:eastAsia="仿宋_GB2312"/>
          <w:color w:val="000000"/>
          <w:sz w:val="32"/>
          <w:szCs w:val="32"/>
        </w:rPr>
        <w:t>15.住房保障（类）住房改革（款）住房公积金（项）：指行政事业单位按规定的标准和比例为职工缴纳的住房公积金。</w:t>
      </w:r>
    </w:p>
    <w:p w14:paraId="262B2DE1">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16.基本支出：指为保障机构正常运转、完成日常工作任务而发生的人员支出和公用支出。</w:t>
      </w:r>
    </w:p>
    <w:p w14:paraId="05DAA3C5">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17.项目支出：指在基本支出之外为完成特定行政任务和事业发展目标所发生的支出。</w:t>
      </w:r>
    </w:p>
    <w:p w14:paraId="723D477A">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18.经营支出：指事业单位在专业业务活动及其辅助活动之外开展非独立核算经营活动发生的支出。</w:t>
      </w:r>
    </w:p>
    <w:p w14:paraId="12CAC6BC">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D6830A">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9FE045">
      <w:pPr>
        <w:spacing w:line="600" w:lineRule="exact"/>
        <w:jc w:val="center"/>
        <w:outlineLvl w:val="0"/>
        <w:rPr>
          <w:rStyle w:val="28"/>
          <w:rFonts w:ascii="黑体" w:hAnsi="黑体" w:eastAsia="黑体"/>
          <w:b w:val="0"/>
        </w:rPr>
      </w:pPr>
      <w:bookmarkStart w:id="96" w:name="_Toc15377226"/>
      <w:r>
        <w:rPr>
          <w:rFonts w:ascii="宋体"/>
          <w:b/>
          <w:color w:val="000000"/>
          <w:sz w:val="44"/>
          <w:szCs w:val="44"/>
        </w:rPr>
        <w:br w:type="page"/>
      </w:r>
      <w:bookmarkStart w:id="97" w:name="_Toc79163630"/>
      <w:bookmarkStart w:id="98" w:name="_Toc79163880"/>
      <w:bookmarkStart w:id="99" w:name="_Toc15396614"/>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97"/>
      <w:bookmarkEnd w:id="98"/>
      <w:bookmarkEnd w:id="99"/>
    </w:p>
    <w:p w14:paraId="4635A02D">
      <w:pPr>
        <w:spacing w:line="600" w:lineRule="exact"/>
        <w:jc w:val="left"/>
        <w:outlineLvl w:val="0"/>
        <w:rPr>
          <w:rFonts w:ascii="方正小标宋简体" w:hAnsi="方正小标宋简体" w:eastAsia="方正小标宋简体" w:cs="方正小标宋简体"/>
          <w:sz w:val="44"/>
          <w:szCs w:val="44"/>
        </w:rPr>
      </w:pPr>
      <w:bookmarkStart w:id="100" w:name="_Toc79163631"/>
      <w:bookmarkStart w:id="101" w:name="_Toc79163881"/>
      <w:r>
        <w:rPr>
          <w:rFonts w:hint="eastAsia" w:ascii="黑体" w:hAnsi="黑体" w:eastAsia="黑体" w:cs="黑体"/>
          <w:sz w:val="32"/>
          <w:szCs w:val="32"/>
        </w:rPr>
        <w:t>附件</w:t>
      </w:r>
      <w:r>
        <w:rPr>
          <w:rFonts w:ascii="黑体" w:hAnsi="黑体" w:eastAsia="黑体" w:cs="黑体"/>
          <w:sz w:val="32"/>
          <w:szCs w:val="32"/>
        </w:rPr>
        <w:t>1</w:t>
      </w:r>
      <w:bookmarkEnd w:id="100"/>
      <w:bookmarkEnd w:id="101"/>
    </w:p>
    <w:p w14:paraId="3ECEC819">
      <w:pPr>
        <w:pStyle w:val="2"/>
        <w:ind w:left="0" w:leftChars="0" w:firstLine="0" w:firstLineChars="0"/>
      </w:pPr>
      <w:bookmarkStart w:id="102" w:name="_Toc15396618"/>
      <w:bookmarkStart w:id="103" w:name="_Toc79163885"/>
      <w:bookmarkStart w:id="104" w:name="_Toc79163635"/>
      <w:r>
        <w:drawing>
          <wp:inline distT="0" distB="0" distL="114300" distR="114300">
            <wp:extent cx="5271135" cy="8015605"/>
            <wp:effectExtent l="0" t="0" r="571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71135" cy="8015605"/>
                    </a:xfrm>
                    <a:prstGeom prst="rect">
                      <a:avLst/>
                    </a:prstGeom>
                    <a:noFill/>
                    <a:ln>
                      <a:noFill/>
                    </a:ln>
                  </pic:spPr>
                </pic:pic>
              </a:graphicData>
            </a:graphic>
          </wp:inline>
        </w:drawing>
      </w:r>
    </w:p>
    <w:p w14:paraId="7B16EEA7">
      <w:pPr>
        <w:rPr>
          <w:rFonts w:hint="eastAsia"/>
          <w:lang w:val="en-US" w:eastAsia="zh-CN"/>
        </w:rPr>
      </w:pPr>
    </w:p>
    <w:p w14:paraId="787F3D10">
      <w:pPr>
        <w:pStyle w:val="2"/>
      </w:pPr>
    </w:p>
    <w:p w14:paraId="6007B811">
      <w:pPr>
        <w:rPr>
          <w:rFonts w:hint="default"/>
          <w:lang w:val="en-US"/>
        </w:rPr>
      </w:pPr>
    </w:p>
    <w:p w14:paraId="45FF7C7E">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96"/>
      <w:bookmarkEnd w:id="102"/>
      <w:bookmarkEnd w:id="103"/>
      <w:bookmarkEnd w:id="104"/>
    </w:p>
    <w:p w14:paraId="50A1F28F">
      <w:pPr>
        <w:pStyle w:val="4"/>
        <w:rPr>
          <w:rFonts w:ascii="仿宋" w:hAnsi="仿宋" w:eastAsia="仿宋"/>
          <w:color w:val="000000"/>
        </w:rPr>
      </w:pPr>
      <w:bookmarkStart w:id="105" w:name="_Toc79163636"/>
      <w:bookmarkStart w:id="106" w:name="_Toc15396619"/>
      <w:bookmarkStart w:id="107" w:name="_Toc79163886"/>
      <w:r>
        <w:rPr>
          <w:rFonts w:hint="eastAsia" w:ascii="仿宋" w:hAnsi="仿宋" w:eastAsia="仿宋"/>
          <w:b w:val="0"/>
          <w:color w:val="000000"/>
        </w:rPr>
        <w:t>一、收</w:t>
      </w:r>
      <w:r>
        <w:rPr>
          <w:rStyle w:val="29"/>
          <w:rFonts w:hint="eastAsia" w:ascii="仿宋" w:hAnsi="仿宋" w:eastAsia="仿宋"/>
          <w:b w:val="0"/>
          <w:bCs w:val="0"/>
        </w:rPr>
        <w:t>入支出决算总表</w:t>
      </w:r>
      <w:bookmarkEnd w:id="105"/>
      <w:bookmarkEnd w:id="106"/>
      <w:bookmarkEnd w:id="107"/>
    </w:p>
    <w:p w14:paraId="2B46CBBB">
      <w:pPr>
        <w:pStyle w:val="4"/>
        <w:rPr>
          <w:rFonts w:ascii="仿宋" w:hAnsi="仿宋" w:eastAsia="仿宋"/>
          <w:color w:val="000000"/>
        </w:rPr>
      </w:pPr>
      <w:bookmarkStart w:id="108" w:name="_Toc79163887"/>
      <w:bookmarkStart w:id="109" w:name="_Toc15396620"/>
      <w:bookmarkStart w:id="110" w:name="_Toc79163637"/>
      <w:r>
        <w:rPr>
          <w:rFonts w:hint="eastAsia" w:ascii="仿宋" w:hAnsi="仿宋" w:eastAsia="仿宋"/>
          <w:b w:val="0"/>
          <w:color w:val="000000"/>
        </w:rPr>
        <w:t>二、收</w:t>
      </w:r>
      <w:r>
        <w:rPr>
          <w:rStyle w:val="29"/>
          <w:rFonts w:hint="eastAsia" w:ascii="仿宋" w:hAnsi="仿宋" w:eastAsia="仿宋"/>
          <w:b w:val="0"/>
          <w:bCs w:val="0"/>
        </w:rPr>
        <w:t>入决算表</w:t>
      </w:r>
      <w:bookmarkEnd w:id="108"/>
      <w:bookmarkEnd w:id="109"/>
      <w:bookmarkEnd w:id="110"/>
    </w:p>
    <w:p w14:paraId="4610B8C5">
      <w:pPr>
        <w:pStyle w:val="4"/>
        <w:rPr>
          <w:rFonts w:ascii="仿宋" w:hAnsi="仿宋" w:eastAsia="仿宋"/>
          <w:color w:val="000000"/>
        </w:rPr>
      </w:pPr>
      <w:bookmarkStart w:id="111" w:name="_Toc15396621"/>
      <w:bookmarkStart w:id="112" w:name="_Toc79163888"/>
      <w:bookmarkStart w:id="113" w:name="_Toc7916363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11"/>
      <w:bookmarkEnd w:id="112"/>
      <w:bookmarkEnd w:id="113"/>
    </w:p>
    <w:p w14:paraId="0F178FDE">
      <w:pPr>
        <w:pStyle w:val="4"/>
        <w:rPr>
          <w:rFonts w:ascii="仿宋" w:hAnsi="仿宋" w:eastAsia="仿宋"/>
          <w:b w:val="0"/>
          <w:color w:val="000000"/>
        </w:rPr>
      </w:pPr>
      <w:bookmarkStart w:id="114" w:name="_Toc79163639"/>
      <w:bookmarkStart w:id="115" w:name="_Toc15396622"/>
      <w:bookmarkStart w:id="116" w:name="_Toc79163889"/>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14"/>
      <w:bookmarkEnd w:id="115"/>
      <w:bookmarkEnd w:id="116"/>
    </w:p>
    <w:p w14:paraId="0D1DEA2C">
      <w:pPr>
        <w:pStyle w:val="4"/>
        <w:rPr>
          <w:rStyle w:val="29"/>
          <w:rFonts w:ascii="仿宋" w:hAnsi="仿宋" w:eastAsia="仿宋"/>
          <w:b w:val="0"/>
          <w:bCs w:val="0"/>
        </w:rPr>
      </w:pPr>
      <w:bookmarkStart w:id="117" w:name="_Toc79163640"/>
      <w:bookmarkStart w:id="118" w:name="_Toc15396623"/>
      <w:bookmarkStart w:id="119" w:name="_Toc79163890"/>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17"/>
      <w:bookmarkEnd w:id="118"/>
      <w:bookmarkEnd w:id="119"/>
      <w:bookmarkStart w:id="120" w:name="_Toc15396624"/>
    </w:p>
    <w:bookmarkEnd w:id="120"/>
    <w:p w14:paraId="78C6A017">
      <w:pPr>
        <w:pStyle w:val="4"/>
        <w:rPr>
          <w:rFonts w:ascii="仿宋" w:hAnsi="仿宋" w:eastAsia="仿宋"/>
          <w:color w:val="000000"/>
        </w:rPr>
      </w:pPr>
      <w:bookmarkStart w:id="121" w:name="_Toc79163891"/>
      <w:bookmarkStart w:id="122" w:name="_Toc79163641"/>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1"/>
      <w:bookmarkEnd w:id="122"/>
    </w:p>
    <w:p w14:paraId="106C5854">
      <w:pPr>
        <w:pStyle w:val="4"/>
        <w:rPr>
          <w:rFonts w:ascii="仿宋" w:hAnsi="仿宋" w:eastAsia="仿宋"/>
          <w:color w:val="000000"/>
        </w:rPr>
      </w:pPr>
      <w:bookmarkStart w:id="123" w:name="_Toc79163892"/>
      <w:bookmarkStart w:id="124" w:name="_Toc79163642"/>
      <w:bookmarkStart w:id="125"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23"/>
      <w:bookmarkEnd w:id="124"/>
      <w:bookmarkEnd w:id="125"/>
    </w:p>
    <w:p w14:paraId="50A4954B">
      <w:pPr>
        <w:pStyle w:val="4"/>
        <w:rPr>
          <w:rFonts w:ascii="仿宋" w:hAnsi="仿宋" w:eastAsia="仿宋"/>
          <w:color w:val="000000"/>
        </w:rPr>
      </w:pPr>
      <w:bookmarkStart w:id="126" w:name="_Toc79163643"/>
      <w:bookmarkStart w:id="127" w:name="_Toc79163893"/>
      <w:bookmarkStart w:id="128"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26"/>
      <w:bookmarkEnd w:id="127"/>
      <w:bookmarkEnd w:id="128"/>
    </w:p>
    <w:p w14:paraId="20C11955">
      <w:pPr>
        <w:pStyle w:val="4"/>
        <w:rPr>
          <w:rFonts w:ascii="仿宋" w:hAnsi="仿宋" w:eastAsia="仿宋"/>
          <w:color w:val="000000"/>
        </w:rPr>
      </w:pPr>
      <w:bookmarkStart w:id="129" w:name="_Toc79163644"/>
      <w:bookmarkStart w:id="130" w:name="_Toc15396627"/>
      <w:bookmarkStart w:id="131" w:name="_Toc79163894"/>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29"/>
      <w:bookmarkEnd w:id="130"/>
      <w:bookmarkEnd w:id="131"/>
    </w:p>
    <w:p w14:paraId="75262B20">
      <w:pPr>
        <w:pStyle w:val="4"/>
        <w:rPr>
          <w:rFonts w:ascii="仿宋" w:hAnsi="仿宋" w:eastAsia="仿宋"/>
          <w:color w:val="000000"/>
        </w:rPr>
      </w:pPr>
      <w:bookmarkStart w:id="132" w:name="_Toc15396628"/>
      <w:bookmarkStart w:id="133" w:name="_Toc79163895"/>
      <w:bookmarkStart w:id="134" w:name="_Toc79163645"/>
      <w:r>
        <w:rPr>
          <w:rStyle w:val="29"/>
          <w:rFonts w:hint="eastAsia" w:ascii="仿宋" w:hAnsi="仿宋" w:eastAsia="仿宋"/>
          <w:b w:val="0"/>
          <w:bCs w:val="0"/>
        </w:rPr>
        <w:t>十、</w:t>
      </w:r>
      <w:bookmarkEnd w:id="132"/>
      <w:bookmarkEnd w:id="133"/>
      <w:bookmarkEnd w:id="134"/>
      <w:bookmarkStart w:id="135" w:name="_Toc79163896"/>
      <w:bookmarkStart w:id="136" w:name="_Toc15396629"/>
      <w:bookmarkStart w:id="137" w:name="_Toc79163646"/>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35"/>
      <w:bookmarkEnd w:id="136"/>
      <w:bookmarkEnd w:id="137"/>
    </w:p>
    <w:p w14:paraId="29C7C439">
      <w:pPr>
        <w:pStyle w:val="4"/>
        <w:rPr>
          <w:rStyle w:val="29"/>
          <w:rFonts w:ascii="仿宋" w:hAnsi="仿宋" w:eastAsia="仿宋"/>
          <w:b w:val="0"/>
          <w:bCs w:val="0"/>
        </w:rPr>
      </w:pPr>
      <w:bookmarkStart w:id="138" w:name="_Toc79163897"/>
      <w:bookmarkStart w:id="139" w:name="_Toc79163647"/>
      <w:bookmarkStart w:id="140" w:name="_Toc15396630"/>
      <w:r>
        <w:rPr>
          <w:rStyle w:val="29"/>
          <w:rFonts w:hint="eastAsia" w:ascii="仿宋" w:hAnsi="仿宋" w:eastAsia="仿宋"/>
          <w:b w:val="0"/>
          <w:bCs w:val="0"/>
        </w:rPr>
        <w:t>十</w:t>
      </w:r>
      <w:bookmarkEnd w:id="138"/>
      <w:bookmarkEnd w:id="139"/>
      <w:bookmarkEnd w:id="140"/>
      <w:bookmarkStart w:id="141" w:name="_Toc79163648"/>
      <w:bookmarkStart w:id="142" w:name="_Toc79163898"/>
      <w:bookmarkStart w:id="143" w:name="_Toc15396631"/>
      <w:r>
        <w:rPr>
          <w:rStyle w:val="29"/>
          <w:rFonts w:hint="eastAsia" w:ascii="仿宋" w:hAnsi="仿宋" w:eastAsia="仿宋"/>
          <w:b w:val="0"/>
          <w:bCs w:val="0"/>
        </w:rPr>
        <w:t>一、</w:t>
      </w:r>
      <w:r>
        <w:rPr>
          <w:rFonts w:hint="eastAsia" w:ascii="仿宋" w:hAnsi="仿宋" w:eastAsia="仿宋"/>
          <w:b w:val="0"/>
          <w:color w:val="000000"/>
        </w:rPr>
        <w:t>国</w:t>
      </w:r>
      <w:r>
        <w:rPr>
          <w:rStyle w:val="29"/>
          <w:rFonts w:hint="eastAsia" w:ascii="仿宋" w:hAnsi="仿宋" w:eastAsia="仿宋"/>
          <w:b w:val="0"/>
          <w:bCs w:val="0"/>
        </w:rPr>
        <w:t>有资本经营预算财政拨款收入支出决算表</w:t>
      </w:r>
      <w:bookmarkEnd w:id="141"/>
      <w:bookmarkEnd w:id="142"/>
      <w:bookmarkEnd w:id="143"/>
    </w:p>
    <w:p w14:paraId="77E0FEA4">
      <w:pPr>
        <w:pStyle w:val="4"/>
        <w:rPr>
          <w:rStyle w:val="29"/>
          <w:rFonts w:ascii="仿宋" w:hAnsi="仿宋" w:eastAsia="仿宋"/>
          <w:b w:val="0"/>
          <w:bCs w:val="0"/>
        </w:rPr>
      </w:pPr>
      <w:bookmarkStart w:id="144" w:name="_Toc79163649"/>
      <w:bookmarkStart w:id="145" w:name="_Toc79163899"/>
      <w:r>
        <w:rPr>
          <w:rStyle w:val="29"/>
          <w:rFonts w:hint="eastAsia" w:ascii="仿宋" w:hAnsi="仿宋" w:eastAsia="仿宋"/>
          <w:b w:val="0"/>
          <w:bCs w:val="0"/>
        </w:rPr>
        <w:t>十二、国有资本经营预算财政拨款支出决算表</w:t>
      </w:r>
      <w:bookmarkEnd w:id="144"/>
      <w:bookmarkEnd w:id="145"/>
    </w:p>
    <w:p w14:paraId="29E273DB">
      <w:r>
        <w:rPr>
          <w:rStyle w:val="29"/>
          <w:rFonts w:hint="eastAsia" w:ascii="仿宋" w:hAnsi="仿宋" w:eastAsia="仿宋"/>
          <w:b w:val="0"/>
          <w:bCs w:val="0"/>
        </w:rPr>
        <w:t>十三、财政拨款“三公”经费支出决算表</w:t>
      </w:r>
    </w:p>
    <w:p w14:paraId="0681B788">
      <w:pPr>
        <w:pStyle w:val="4"/>
        <w:rPr>
          <w:rStyle w:val="29"/>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D10E1">
    <w:pPr>
      <w:pStyle w:val="13"/>
      <w:jc w:val="center"/>
    </w:pPr>
    <w:r>
      <w:fldChar w:fldCharType="begin"/>
    </w:r>
    <w:r>
      <w:instrText xml:space="preserve">PAGE   \* MERGEFORMAT</w:instrText>
    </w:r>
    <w:r>
      <w:fldChar w:fldCharType="separate"/>
    </w:r>
    <w:r>
      <w:t>2</w:t>
    </w:r>
    <w:r>
      <w:fldChar w:fldCharType="end"/>
    </w:r>
  </w:p>
  <w:p w14:paraId="0A029CB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466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7EED1195"/>
    <w:multiLevelType w:val="singleLevel"/>
    <w:tmpl w:val="7EED119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 w:name="KSO_WPS_MARK_KEY" w:val="ace093f6-e392-4ceb-a2eb-7c52908925d1"/>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27634"/>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2DF6"/>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20EE"/>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2BC7"/>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A2A6B"/>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2CF7FB2"/>
    <w:rsid w:val="051200B1"/>
    <w:rsid w:val="05B747B5"/>
    <w:rsid w:val="06FA704F"/>
    <w:rsid w:val="070540F6"/>
    <w:rsid w:val="08674270"/>
    <w:rsid w:val="09844198"/>
    <w:rsid w:val="0A2032A3"/>
    <w:rsid w:val="0A5026DB"/>
    <w:rsid w:val="0B20319A"/>
    <w:rsid w:val="0B91295B"/>
    <w:rsid w:val="0C917B0E"/>
    <w:rsid w:val="0D1A52F9"/>
    <w:rsid w:val="0F9B4002"/>
    <w:rsid w:val="10C055FF"/>
    <w:rsid w:val="1134315E"/>
    <w:rsid w:val="114C04A7"/>
    <w:rsid w:val="118107EC"/>
    <w:rsid w:val="11BD58B2"/>
    <w:rsid w:val="11EE432B"/>
    <w:rsid w:val="12C30C3D"/>
    <w:rsid w:val="13D44FA7"/>
    <w:rsid w:val="154800C5"/>
    <w:rsid w:val="169923E1"/>
    <w:rsid w:val="16BB723D"/>
    <w:rsid w:val="18D53478"/>
    <w:rsid w:val="18DA3268"/>
    <w:rsid w:val="19094ED0"/>
    <w:rsid w:val="1ABD4E76"/>
    <w:rsid w:val="1AC00F0E"/>
    <w:rsid w:val="1BD6212C"/>
    <w:rsid w:val="1C462CDD"/>
    <w:rsid w:val="1D155CEE"/>
    <w:rsid w:val="1E124827"/>
    <w:rsid w:val="1F6B7EA6"/>
    <w:rsid w:val="200A4C9E"/>
    <w:rsid w:val="210E5779"/>
    <w:rsid w:val="22BA200B"/>
    <w:rsid w:val="23B930CA"/>
    <w:rsid w:val="240371BF"/>
    <w:rsid w:val="25EF7E19"/>
    <w:rsid w:val="26054DD2"/>
    <w:rsid w:val="276E6F72"/>
    <w:rsid w:val="29481B83"/>
    <w:rsid w:val="29FD04D3"/>
    <w:rsid w:val="2B6F5066"/>
    <w:rsid w:val="2E67780F"/>
    <w:rsid w:val="2E6C3ADF"/>
    <w:rsid w:val="2F0401BB"/>
    <w:rsid w:val="2F1308B0"/>
    <w:rsid w:val="2FC101D2"/>
    <w:rsid w:val="303D5733"/>
    <w:rsid w:val="319F7F4E"/>
    <w:rsid w:val="324E12D6"/>
    <w:rsid w:val="326B7F22"/>
    <w:rsid w:val="34AE30A3"/>
    <w:rsid w:val="361374D2"/>
    <w:rsid w:val="396D4B38"/>
    <w:rsid w:val="3ABB7A95"/>
    <w:rsid w:val="3AE33D2F"/>
    <w:rsid w:val="3B4E6126"/>
    <w:rsid w:val="3D0C62A9"/>
    <w:rsid w:val="3D476D75"/>
    <w:rsid w:val="3D477BF1"/>
    <w:rsid w:val="3DBB238D"/>
    <w:rsid w:val="3F47037C"/>
    <w:rsid w:val="3FEA2348"/>
    <w:rsid w:val="40F778EA"/>
    <w:rsid w:val="42755200"/>
    <w:rsid w:val="42864E7C"/>
    <w:rsid w:val="43423D4C"/>
    <w:rsid w:val="443A53FD"/>
    <w:rsid w:val="4449770F"/>
    <w:rsid w:val="464A0752"/>
    <w:rsid w:val="46AC5EAC"/>
    <w:rsid w:val="47971775"/>
    <w:rsid w:val="48B85449"/>
    <w:rsid w:val="492F4B4D"/>
    <w:rsid w:val="4A235542"/>
    <w:rsid w:val="4B8B6FE3"/>
    <w:rsid w:val="4C6365C5"/>
    <w:rsid w:val="4E606D65"/>
    <w:rsid w:val="4EBC7D13"/>
    <w:rsid w:val="4ECE2238"/>
    <w:rsid w:val="4F3F2E1E"/>
    <w:rsid w:val="4FB20236"/>
    <w:rsid w:val="501D50B4"/>
    <w:rsid w:val="50CC248F"/>
    <w:rsid w:val="52020AD7"/>
    <w:rsid w:val="521C54F1"/>
    <w:rsid w:val="52350508"/>
    <w:rsid w:val="526B4903"/>
    <w:rsid w:val="529B480F"/>
    <w:rsid w:val="530E4BBE"/>
    <w:rsid w:val="53AB0A82"/>
    <w:rsid w:val="595D1779"/>
    <w:rsid w:val="5BB53EAC"/>
    <w:rsid w:val="5DC664B8"/>
    <w:rsid w:val="5E0A6709"/>
    <w:rsid w:val="5E3E24F3"/>
    <w:rsid w:val="5F526256"/>
    <w:rsid w:val="5FC37F08"/>
    <w:rsid w:val="600734E4"/>
    <w:rsid w:val="61502C69"/>
    <w:rsid w:val="61D05DE7"/>
    <w:rsid w:val="61F730E4"/>
    <w:rsid w:val="623600B0"/>
    <w:rsid w:val="626616D3"/>
    <w:rsid w:val="631A4274"/>
    <w:rsid w:val="640A35A3"/>
    <w:rsid w:val="64C376FC"/>
    <w:rsid w:val="67B37AAD"/>
    <w:rsid w:val="6850354E"/>
    <w:rsid w:val="69780FAF"/>
    <w:rsid w:val="6BAD556A"/>
    <w:rsid w:val="6C4A05C8"/>
    <w:rsid w:val="6C845EBC"/>
    <w:rsid w:val="71724535"/>
    <w:rsid w:val="71C4275E"/>
    <w:rsid w:val="72020D13"/>
    <w:rsid w:val="72734D90"/>
    <w:rsid w:val="79725A1A"/>
    <w:rsid w:val="79BC6C95"/>
    <w:rsid w:val="79C773E8"/>
    <w:rsid w:val="79D73B2A"/>
    <w:rsid w:val="7A6B246A"/>
    <w:rsid w:val="7ABD2AE5"/>
    <w:rsid w:val="7B580C40"/>
    <w:rsid w:val="7CDB07D2"/>
    <w:rsid w:val="7D44147C"/>
    <w:rsid w:val="7E0429B9"/>
    <w:rsid w:val="7E3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rFonts w:ascii="Calibri" w:hAnsi="Calibri"/>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7"/>
    <w:qFormat/>
    <w:uiPriority w:val="99"/>
    <w:pPr>
      <w:spacing w:beforeLines="30"/>
    </w:pPr>
    <w:rPr>
      <w:rFonts w:ascii="仿宋_GB2312" w:eastAsia="仿宋_GB2312"/>
      <w:kern w:val="0"/>
      <w:sz w:val="24"/>
      <w:szCs w:val="20"/>
      <w:lang w:val="zh-CN"/>
    </w:rPr>
  </w:style>
  <w:style w:type="paragraph" w:styleId="8">
    <w:name w:val="Body Text Indent"/>
    <w:basedOn w:val="1"/>
    <w:next w:val="1"/>
    <w:qFormat/>
    <w:uiPriority w:val="0"/>
    <w:pPr>
      <w:spacing w:after="120"/>
      <w:ind w:left="420" w:leftChars="200"/>
    </w:pPr>
    <w:rPr>
      <w:rFonts w:ascii="Calibri" w:hAnsi="Calibri"/>
      <w:szCs w:val="22"/>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2"/>
    <w:semiHidden/>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unhideWhenUsed/>
    <w:qFormat/>
    <w:uiPriority w:val="0"/>
    <w:pPr>
      <w:spacing w:before="100" w:beforeAutospacing="1" w:after="100" w:afterAutospacing="1"/>
    </w:pPr>
  </w:style>
  <w:style w:type="paragraph" w:styleId="21">
    <w:name w:val="Body Text First Indent 2"/>
    <w:basedOn w:val="8"/>
    <w:next w:val="1"/>
    <w:qFormat/>
    <w:uiPriority w:val="0"/>
    <w:pPr>
      <w:spacing w:line="360" w:lineRule="auto"/>
      <w:ind w:left="0" w:leftChars="0" w:firstLine="420" w:firstLineChars="200"/>
    </w:pPr>
    <w:rPr>
      <w:rFonts w:ascii="Times New Roman" w:hAnsi="Times New Roman"/>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paragraph" w:customStyle="1" w:styleId="26">
    <w:name w:val="BodyText1I2"/>
    <w:basedOn w:val="27"/>
    <w:next w:val="1"/>
    <w:qFormat/>
    <w:uiPriority w:val="0"/>
    <w:pPr>
      <w:tabs>
        <w:tab w:val="left" w:pos="960"/>
      </w:tabs>
      <w:ind w:firstLine="200" w:firstLineChars="200"/>
    </w:pPr>
  </w:style>
  <w:style w:type="paragraph" w:customStyle="1" w:styleId="27">
    <w:name w:val="BodyTextIndent"/>
    <w:basedOn w:val="1"/>
    <w:next w:val="26"/>
    <w:qFormat/>
    <w:uiPriority w:val="0"/>
    <w:pPr>
      <w:spacing w:after="120"/>
      <w:ind w:left="420" w:leftChars="200"/>
      <w:textAlignment w:val="baseline"/>
    </w:pPr>
  </w:style>
  <w:style w:type="character" w:customStyle="1" w:styleId="28">
    <w:name w:val="标题 1 Char"/>
    <w:basedOn w:val="23"/>
    <w:link w:val="3"/>
    <w:qFormat/>
    <w:locked/>
    <w:uiPriority w:val="9"/>
    <w:rPr>
      <w:rFonts w:ascii="Times New Roman" w:hAnsi="Times New Roman" w:cs="Times New Roman"/>
      <w:b/>
      <w:bCs/>
      <w:kern w:val="44"/>
      <w:sz w:val="44"/>
      <w:szCs w:val="44"/>
    </w:rPr>
  </w:style>
  <w:style w:type="character" w:customStyle="1" w:styleId="29">
    <w:name w:val="标题 2 Char"/>
    <w:basedOn w:val="23"/>
    <w:link w:val="4"/>
    <w:qFormat/>
    <w:locked/>
    <w:uiPriority w:val="9"/>
    <w:rPr>
      <w:rFonts w:ascii="Cambria" w:hAnsi="Cambria" w:eastAsia="宋体" w:cs="Times New Roman"/>
      <w:b/>
      <w:bCs/>
      <w:kern w:val="2"/>
      <w:sz w:val="32"/>
      <w:szCs w:val="32"/>
    </w:rPr>
  </w:style>
  <w:style w:type="character" w:customStyle="1" w:styleId="30">
    <w:name w:val="标题 3 Char"/>
    <w:basedOn w:val="23"/>
    <w:link w:val="5"/>
    <w:qFormat/>
    <w:locked/>
    <w:uiPriority w:val="9"/>
    <w:rPr>
      <w:rFonts w:ascii="Times New Roman" w:hAnsi="Times New Roman" w:cs="Times New Roman"/>
      <w:b/>
      <w:bCs/>
      <w:kern w:val="2"/>
      <w:sz w:val="32"/>
      <w:szCs w:val="32"/>
    </w:rPr>
  </w:style>
  <w:style w:type="character" w:customStyle="1" w:styleId="31">
    <w:name w:val="Body Text Char"/>
    <w:basedOn w:val="23"/>
    <w:semiHidden/>
    <w:qFormat/>
    <w:uiPriority w:val="99"/>
    <w:rPr>
      <w:rFonts w:ascii="Times New Roman" w:hAnsi="Times New Roman" w:cs="Times New Roman"/>
      <w:sz w:val="24"/>
      <w:szCs w:val="24"/>
    </w:rPr>
  </w:style>
  <w:style w:type="character" w:customStyle="1" w:styleId="32">
    <w:name w:val="批注框文本 Char"/>
    <w:basedOn w:val="23"/>
    <w:link w:val="12"/>
    <w:semiHidden/>
    <w:qFormat/>
    <w:locked/>
    <w:uiPriority w:val="99"/>
    <w:rPr>
      <w:rFonts w:ascii="Times New Roman" w:hAnsi="Times New Roman" w:cs="Times New Roman"/>
      <w:kern w:val="2"/>
      <w:sz w:val="18"/>
      <w:szCs w:val="18"/>
    </w:rPr>
  </w:style>
  <w:style w:type="character" w:customStyle="1" w:styleId="33">
    <w:name w:val="Footer Char"/>
    <w:basedOn w:val="23"/>
    <w:semiHidden/>
    <w:qFormat/>
    <w:uiPriority w:val="99"/>
    <w:rPr>
      <w:rFonts w:ascii="Times New Roman" w:hAnsi="Times New Roman" w:cs="Times New Roman"/>
      <w:sz w:val="18"/>
      <w:szCs w:val="18"/>
    </w:rPr>
  </w:style>
  <w:style w:type="character" w:customStyle="1" w:styleId="34">
    <w:name w:val="Header Char"/>
    <w:basedOn w:val="23"/>
    <w:semiHidden/>
    <w:qFormat/>
    <w:uiPriority w:val="99"/>
    <w:rPr>
      <w:rFonts w:ascii="Times New Roman" w:hAnsi="Times New Roman" w:cs="Times New Roman"/>
      <w:sz w:val="18"/>
      <w:szCs w:val="18"/>
    </w:rPr>
  </w:style>
  <w:style w:type="character" w:customStyle="1" w:styleId="35">
    <w:name w:val="页眉 Char"/>
    <w:link w:val="14"/>
    <w:semiHidden/>
    <w:qFormat/>
    <w:locked/>
    <w:uiPriority w:val="99"/>
    <w:rPr>
      <w:sz w:val="18"/>
    </w:rPr>
  </w:style>
  <w:style w:type="character" w:customStyle="1" w:styleId="36">
    <w:name w:val="页脚 Char"/>
    <w:link w:val="13"/>
    <w:qFormat/>
    <w:locked/>
    <w:uiPriority w:val="99"/>
    <w:rPr>
      <w:sz w:val="18"/>
    </w:rPr>
  </w:style>
  <w:style w:type="character" w:customStyle="1" w:styleId="37">
    <w:name w:val="正文文本 Char"/>
    <w:link w:val="7"/>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4">
    <w:name w:val="列出段落1"/>
    <w:basedOn w:val="1"/>
    <w:qFormat/>
    <w:uiPriority w:val="34"/>
    <w:pPr>
      <w:ind w:firstLine="420" w:firstLineChars="200"/>
    </w:pPr>
    <w:rPr>
      <w:rFonts w:ascii="Calibri" w:hAnsi="Calibri"/>
    </w:rPr>
  </w:style>
  <w:style w:type="character" w:customStyle="1" w:styleId="45">
    <w:name w:val="15"/>
    <w:basedOn w:val="23"/>
    <w:qFormat/>
    <w:uiPriority w:val="0"/>
    <w:rPr>
      <w:rFonts w:hint="default" w:ascii="Cambria" w:hAnsi="Cambria" w:eastAsia="宋体" w:cs="Times New Roman"/>
      <w:b/>
      <w:bCs/>
      <w:kern w:val="2"/>
      <w:sz w:val="32"/>
      <w:szCs w:val="32"/>
    </w:rPr>
  </w:style>
  <w:style w:type="character" w:customStyle="1" w:styleId="46">
    <w:name w:val="10"/>
    <w:basedOn w:val="23"/>
    <w:qFormat/>
    <w:uiPriority w:val="0"/>
    <w:rPr>
      <w:rFonts w:hint="default" w:ascii="Times New Roman" w:hAnsi="Times New Roman" w:cs="Times New Roman"/>
    </w:rPr>
  </w:style>
  <w:style w:type="paragraph" w:customStyle="1" w:styleId="47">
    <w:name w:val="UserStyle_2"/>
    <w:basedOn w:val="1"/>
    <w:qFormat/>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86199\Desktop\&#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2022年</c:v>
                </c:pt>
                <c:pt idx="1">
                  <c:v>2023年</c:v>
                </c:pt>
              </c:strCache>
            </c:strRef>
          </c:cat>
          <c:val>
            <c:numRef>
              <c:f>[决算公开分析图表.xls]Sheet1!$A$4:$B$4</c:f>
              <c:numCache>
                <c:formatCode>#,##0.00</c:formatCode>
                <c:ptCount val="2"/>
                <c:pt idx="0">
                  <c:v>128.2</c:v>
                </c:pt>
                <c:pt idx="1">
                  <c:v>123.27</c:v>
                </c:pt>
              </c:numCache>
            </c:numRef>
          </c:val>
        </c:ser>
        <c:dLbls>
          <c:showLegendKey val="0"/>
          <c:showVal val="0"/>
          <c:showCatName val="0"/>
          <c:showSerName val="0"/>
          <c:showPercent val="0"/>
          <c:showBubbleSize val="0"/>
        </c:dLbls>
        <c:gapWidth val="219"/>
        <c:overlap val="-27"/>
        <c:axId val="661618918"/>
        <c:axId val="804263594"/>
      </c:barChart>
      <c:catAx>
        <c:axId val="66161891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4263594"/>
        <c:crosses val="autoZero"/>
        <c:auto val="1"/>
        <c:lblAlgn val="ctr"/>
        <c:lblOffset val="100"/>
        <c:noMultiLvlLbl val="0"/>
      </c:catAx>
      <c:valAx>
        <c:axId val="80426359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161891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2022年</c:v>
                </c:pt>
                <c:pt idx="1">
                  <c:v>2023年</c:v>
                </c:pt>
              </c:strCache>
            </c:strRef>
          </c:cat>
          <c:val>
            <c:numRef>
              <c:f>[决算公开分析图表.xls]Sheet1!$A$25:$B$25</c:f>
              <c:numCache>
                <c:formatCode>#,##0.00</c:formatCode>
                <c:ptCount val="2"/>
                <c:pt idx="0">
                  <c:v>139.75</c:v>
                </c:pt>
                <c:pt idx="1">
                  <c:v>123.27</c:v>
                </c:pt>
              </c:numCache>
            </c:numRef>
          </c:val>
        </c:ser>
        <c:dLbls>
          <c:showLegendKey val="0"/>
          <c:showVal val="0"/>
          <c:showCatName val="0"/>
          <c:showSerName val="0"/>
          <c:showPercent val="0"/>
          <c:showBubbleSize val="0"/>
        </c:dLbls>
        <c:gapWidth val="219"/>
        <c:overlap val="-27"/>
        <c:axId val="901924826"/>
        <c:axId val="320376743"/>
      </c:barChart>
      <c:catAx>
        <c:axId val="90192482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376743"/>
        <c:crosses val="autoZero"/>
        <c:auto val="1"/>
        <c:lblAlgn val="ctr"/>
        <c:lblOffset val="100"/>
        <c:noMultiLvlLbl val="0"/>
      </c:catAx>
      <c:valAx>
        <c:axId val="32037674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192482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[决算公开分析图表.xls]Sheet1!$D$45</c:f>
              <c:strCache>
                <c:ptCount val="1"/>
                <c:pt idx="0">
                  <c:v>一般公共预算财政拨款收入</c:v>
                </c:pt>
              </c:strCache>
            </c:strRef>
          </c:tx>
          <c:explosion val="0"/>
          <c:dPt>
            <c:idx val="0"/>
            <c:bubble3D val="0"/>
            <c:spPr>
              <a:solidFill>
                <a:schemeClr val="accent1"/>
              </a:solidFill>
              <a:ln w="19050">
                <a:solidFill>
                  <a:schemeClr val="lt1"/>
                </a:solidFill>
              </a:ln>
              <a:effectLst/>
            </c:spPr>
          </c:dPt>
          <c:dLbls>
            <c:delete val="1"/>
          </c:dLbls>
          <c:cat>
            <c:strRef>
              <c:f>[决算公开分析图表.xls]Sheet1!$D$45</c:f>
              <c:strCache>
                <c:ptCount val="1"/>
                <c:pt idx="0">
                  <c:v>一般公共预算财政拨款收入</c:v>
                </c:pt>
              </c:strCache>
            </c:strRef>
          </c:cat>
          <c:val>
            <c:numRef>
              <c:f>[决算公开分析图表.xls]Sheet1!$E$45</c:f>
              <c:numCache>
                <c:formatCode>General</c:formatCode>
                <c:ptCount val="1"/>
                <c:pt idx="0">
                  <c:v>178.1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394543574798779"/>
          <c:y val="0.865198722764838"/>
          <c:w val="0.394170714781402"/>
          <c:h val="0.074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120.56</c:v>
                </c:pt>
                <c:pt idx="1">
                  <c:v>2.72</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[决算公开分析图表.xls]Sheet1!$A$83:$B$83</c:f>
              <c:strCache>
                <c:ptCount val="2"/>
                <c:pt idx="0">
                  <c:v>2022年</c:v>
                </c:pt>
                <c:pt idx="1">
                  <c:v>2023年</c:v>
                </c:pt>
              </c:strCache>
            </c:strRef>
          </c:cat>
          <c:val>
            <c:numRef>
              <c:f>[决算公开分析图表.xls]Sheet1!$A$84:$B$84</c:f>
              <c:numCache>
                <c:formatCode>#,##0.00</c:formatCode>
                <c:ptCount val="2"/>
                <c:pt idx="0">
                  <c:v>128.2</c:v>
                </c:pt>
                <c:pt idx="1">
                  <c:v>123.27</c:v>
                </c:pt>
              </c:numCache>
            </c:numRef>
          </c:val>
        </c:ser>
        <c:dLbls>
          <c:showLegendKey val="0"/>
          <c:showVal val="0"/>
          <c:showCatName val="0"/>
          <c:showSerName val="0"/>
          <c:showPercent val="0"/>
          <c:showBubbleSize val="0"/>
        </c:dLbls>
        <c:gapWidth val="219"/>
        <c:overlap val="-27"/>
        <c:axId val="60049407"/>
        <c:axId val="420439315"/>
      </c:barChart>
      <c:catAx>
        <c:axId val="6004940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439315"/>
        <c:crosses val="autoZero"/>
        <c:auto val="1"/>
        <c:lblAlgn val="ctr"/>
        <c:lblOffset val="100"/>
        <c:noMultiLvlLbl val="0"/>
      </c:catAx>
      <c:valAx>
        <c:axId val="42043931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49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[决算公开分析图表.xls]Sheet1!$A$100:$B$100</c:f>
              <c:strCache>
                <c:ptCount val="2"/>
                <c:pt idx="0">
                  <c:v>2020年</c:v>
                </c:pt>
                <c:pt idx="1">
                  <c:v>2021年</c:v>
                </c:pt>
              </c:strCache>
            </c:strRef>
          </c:cat>
          <c:val>
            <c:numRef>
              <c:f>[决算公开分析图表.xls]Sheet1!$A$101:$B$101</c:f>
              <c:numCache>
                <c:formatCode>#,##0.00</c:formatCode>
                <c:ptCount val="2"/>
                <c:pt idx="0">
                  <c:v>139.75</c:v>
                </c:pt>
                <c:pt idx="1">
                  <c:v>123.27</c:v>
                </c:pt>
              </c:numCache>
            </c:numRef>
          </c:val>
        </c:ser>
        <c:dLbls>
          <c:showLegendKey val="0"/>
          <c:showVal val="0"/>
          <c:showCatName val="0"/>
          <c:showSerName val="0"/>
          <c:showPercent val="0"/>
          <c:showBubbleSize val="0"/>
        </c:dLbls>
        <c:gapWidth val="219"/>
        <c:overlap val="-27"/>
        <c:axId val="659783140"/>
        <c:axId val="902011602"/>
      </c:barChart>
      <c:catAx>
        <c:axId val="6597831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011602"/>
        <c:crosses val="autoZero"/>
        <c:auto val="1"/>
        <c:lblAlgn val="ctr"/>
        <c:lblOffset val="100"/>
        <c:noMultiLvlLbl val="0"/>
      </c:catAx>
      <c:valAx>
        <c:axId val="90201160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7831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[决算公开分析图表.xls]Sheet1!$A$116:$B$116</c:f>
              <c:strCache>
                <c:ptCount val="2"/>
                <c:pt idx="0">
                  <c:v>2022年</c:v>
                </c:pt>
                <c:pt idx="1">
                  <c:v>2023年</c:v>
                </c:pt>
              </c:strCache>
            </c:strRef>
          </c:cat>
          <c:val>
            <c:numRef>
              <c:f>[决算公开分析图表.xls]Sheet1!$A$117:$B$117</c:f>
              <c:numCache>
                <c:formatCode>#,##0.00</c:formatCode>
                <c:ptCount val="2"/>
                <c:pt idx="0">
                  <c:v>139.75</c:v>
                </c:pt>
                <c:pt idx="1">
                  <c:v>123.27</c:v>
                </c:pt>
              </c:numCache>
            </c:numRef>
          </c:val>
        </c:ser>
        <c:dLbls>
          <c:showLegendKey val="0"/>
          <c:showVal val="0"/>
          <c:showCatName val="0"/>
          <c:showSerName val="0"/>
          <c:showPercent val="0"/>
          <c:showBubbleSize val="0"/>
        </c:dLbls>
        <c:gapWidth val="219"/>
        <c:overlap val="-27"/>
        <c:axId val="226205752"/>
        <c:axId val="641519861"/>
      </c:barChart>
      <c:catAx>
        <c:axId val="2262057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519861"/>
        <c:crosses val="autoZero"/>
        <c:auto val="1"/>
        <c:lblAlgn val="ctr"/>
        <c:lblOffset val="100"/>
        <c:noMultiLvlLbl val="0"/>
      </c:catAx>
      <c:valAx>
        <c:axId val="64151986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205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[决算公开分析图表.xls]Sheet1!$C$140:$C$143</c:f>
              <c:strCache>
                <c:ptCount val="4"/>
                <c:pt idx="0">
                  <c:v>一般公共服务支出</c:v>
                </c:pt>
                <c:pt idx="1">
                  <c:v>社会保障和就业支出</c:v>
                </c:pt>
                <c:pt idx="2">
                  <c:v>卫生健康支出</c:v>
                </c:pt>
                <c:pt idx="3">
                  <c:v>住房保障支出</c:v>
                </c:pt>
              </c:strCache>
            </c:strRef>
          </c:cat>
          <c:val>
            <c:numRef>
              <c:f>[决算公开分析图表.xls]Sheet1!$D$140:$D$143</c:f>
              <c:numCache>
                <c:formatCode>General</c:formatCode>
                <c:ptCount val="4"/>
                <c:pt idx="0">
                  <c:v>96.34</c:v>
                </c:pt>
                <c:pt idx="1" c:formatCode="#,##0.00">
                  <c:v>12.32</c:v>
                </c:pt>
                <c:pt idx="2" c:formatCode="#,##0.00">
                  <c:v>5.96</c:v>
                </c:pt>
                <c:pt idx="3" c:formatCode="#,##0.00">
                  <c:v>8.65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3BA4-4F24-4358-9122-9DF572B0207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4275</Words>
  <Characters>4642</Characters>
  <Lines>14</Lines>
  <Paragraphs>18</Paragraphs>
  <TotalTime>19</TotalTime>
  <ScaleCrop>false</ScaleCrop>
  <LinksUpToDate>false</LinksUpToDate>
  <CharactersWithSpaces>4697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九八年生于南方</cp:lastModifiedBy>
  <cp:lastPrinted>2023-10-20T06:19:00Z</cp:lastPrinted>
  <dcterms:modified xsi:type="dcterms:W3CDTF">2024-10-22T03:25:03Z</dcterms:modified>
  <dc:title>阿坝州部门决算说明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633CA39AB61446CBA1BA1E732DBD3C9D</vt:lpwstr>
  </property>
</Properties>
</file>