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96597"/>
      <w:bookmarkStart w:id="3" w:name="_Toc15377193"/>
      <w:bookmarkStart w:id="4" w:name="_Toc15378441"/>
      <w:bookmarkStart w:id="5" w:name="_Toc15396475"/>
      <w:r>
        <w:rPr>
          <w:rFonts w:hint="eastAsia" w:ascii="黑体" w:hAnsi="黑体" w:eastAsia="黑体"/>
          <w:sz w:val="72"/>
          <w:szCs w:val="72"/>
        </w:rPr>
        <w:t>2022年度</w:t>
      </w:r>
      <w:bookmarkEnd w:id="1"/>
      <w:bookmarkEnd w:id="2"/>
      <w:bookmarkEnd w:id="3"/>
      <w:bookmarkEnd w:id="4"/>
      <w:bookmarkEnd w:id="5"/>
    </w:p>
    <w:bookmarkEnd w:id="0"/>
    <w:p>
      <w:pPr>
        <w:jc w:val="center"/>
        <w:rPr>
          <w:rFonts w:ascii="方正小标宋简体" w:eastAsia="方正小标宋简体"/>
          <w:sz w:val="72"/>
          <w:szCs w:val="72"/>
        </w:rPr>
      </w:pPr>
      <w:bookmarkStart w:id="146" w:name="_GoBack"/>
      <w:bookmarkEnd w:id="146"/>
      <w:bookmarkStart w:id="6" w:name="_Toc15377426"/>
      <w:bookmarkStart w:id="7" w:name="_Toc15377194"/>
      <w:bookmarkStart w:id="8" w:name="_Toc15396598"/>
      <w:bookmarkStart w:id="9" w:name="_Toc15396476"/>
      <w:bookmarkStart w:id="10" w:name="_Toc15378442"/>
      <w:bookmarkStart w:id="11" w:name="_Toc15306268"/>
      <w:r>
        <w:rPr>
          <w:rFonts w:hint="eastAsia" w:ascii="方正小标宋简体" w:eastAsia="方正小标宋简体"/>
          <w:sz w:val="72"/>
          <w:szCs w:val="72"/>
        </w:rPr>
        <w:t>阿坝州壤塘县娜泽求宗社区管理委员会部门决算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2"/>
        <w:ind w:left="1140" w:hanging="720"/>
        <w:rPr>
          <w:rFonts w:ascii="方正小标宋简体" w:hAnsi="宋体" w:eastAsia="方正小标宋简体"/>
          <w:sz w:val="36"/>
          <w:szCs w:val="36"/>
        </w:rPr>
      </w:pPr>
    </w:p>
    <w:p>
      <w:pPr>
        <w:rPr>
          <w:rFonts w:ascii="方正小标宋简体" w:hAnsi="宋体" w:eastAsia="方正小标宋简体"/>
          <w:sz w:val="36"/>
          <w:szCs w:val="36"/>
        </w:rPr>
      </w:pPr>
    </w:p>
    <w:p>
      <w:pPr>
        <w:pStyle w:val="2"/>
        <w:ind w:left="1140" w:hanging="720"/>
        <w:rPr>
          <w:rFonts w:ascii="方正小标宋简体" w:hAnsi="宋体" w:eastAsia="方正小标宋简体"/>
          <w:sz w:val="36"/>
          <w:szCs w:val="36"/>
        </w:rPr>
      </w:pPr>
    </w:p>
    <w:p/>
    <w:p>
      <w:pPr>
        <w:rPr>
          <w:rFonts w:ascii="方正小标宋简体" w:hAnsi="宋体" w:eastAsia="方正小标宋简体"/>
          <w:sz w:val="36"/>
          <w:szCs w:val="36"/>
        </w:rPr>
      </w:pPr>
    </w:p>
    <w:p>
      <w:pPr>
        <w:widowControl/>
        <w:jc w:val="center"/>
        <w:rPr>
          <w:rFonts w:ascii="方正小标宋简体" w:hAnsi="宋体" w:eastAsia="方正小标宋简体"/>
          <w:color w:val="000000"/>
          <w:sz w:val="36"/>
          <w:szCs w:val="36"/>
        </w:rPr>
      </w:pPr>
    </w:p>
    <w:p>
      <w:pPr>
        <w:pStyle w:val="26"/>
        <w:ind w:firstLine="720"/>
        <w:rPr>
          <w:rFonts w:ascii="方正小标宋简体" w:hAnsi="宋体" w:eastAsia="方正小标宋简体"/>
          <w:color w:val="000000"/>
          <w:sz w:val="36"/>
          <w:szCs w:val="36"/>
        </w:rPr>
      </w:pPr>
    </w:p>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公开时间：2023年10月20日</w:t>
      </w:r>
    </w:p>
    <w:p>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3</w:t>
      </w:r>
      <w:r>
        <w:fldChar w:fldCharType="end"/>
      </w:r>
    </w:p>
    <w:p>
      <w:pPr>
        <w:pStyle w:val="18"/>
        <w:tabs>
          <w:tab w:val="right" w:leader="dot" w:pos="8296"/>
        </w:tabs>
        <w:rPr>
          <w:rFonts w:hAnsiTheme="minorHAnsi" w:eastAsiaTheme="minorEastAsia" w:cstheme="minorBidi"/>
          <w:sz w:val="21"/>
          <w:szCs w:val="22"/>
        </w:rPr>
      </w:pPr>
      <w:r>
        <w:rPr>
          <w:rFonts w:ascii="黑体" w:hAnsi="黑体" w:eastAsia="黑体"/>
          <w:color w:val="000000"/>
        </w:rPr>
        <w:t>一、</w:t>
      </w:r>
      <w:r>
        <w:rPr>
          <w:rFonts w:hint="eastAsia" w:ascii="黑体" w:hAnsi="黑体" w:eastAsia="黑体"/>
          <w:color w:val="000000"/>
        </w:rPr>
        <w:t>部门职责</w:t>
      </w:r>
      <w:r>
        <w:tab/>
      </w:r>
      <w:r>
        <w:fldChar w:fldCharType="begin"/>
      </w:r>
      <w:r>
        <w:instrText xml:space="preserve"> PAGEREF _Toc79163852 \h </w:instrText>
      </w:r>
      <w:r>
        <w:fldChar w:fldCharType="separate"/>
      </w:r>
      <w:r>
        <w:t>3</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3</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hint="eastAsia" w:ascii="黑体" w:hAnsi="黑体" w:eastAsia="黑体"/>
          <w:b w:val="0"/>
          <w:bCs w:val="0"/>
        </w:rPr>
        <w:t>2022</w:t>
      </w:r>
      <w:r>
        <w:rPr>
          <w:rFonts w:ascii="黑体" w:hAnsi="黑体" w:eastAsia="黑体"/>
          <w:b w:val="0"/>
          <w:bCs w:val="0"/>
        </w:rPr>
        <w:t>年度部门决算情况说明</w:t>
      </w:r>
      <w:r>
        <w:tab/>
      </w:r>
      <w:r>
        <w:fldChar w:fldCharType="begin"/>
      </w:r>
      <w:r>
        <w:instrText xml:space="preserve"> PAGEREF _Toc79163859 \h </w:instrText>
      </w:r>
      <w:r>
        <w:fldChar w:fldCharType="separate"/>
      </w:r>
      <w:r>
        <w:t>4</w:t>
      </w:r>
      <w:r>
        <w:fldChar w:fldCharType="end"/>
      </w:r>
    </w:p>
    <w:p>
      <w:pPr>
        <w:pStyle w:val="18"/>
        <w:tabs>
          <w:tab w:val="left" w:pos="840"/>
          <w:tab w:val="right" w:leader="dot" w:pos="8296"/>
        </w:tabs>
        <w:rPr>
          <w:rFonts w:hAnsiTheme="minorHAnsi"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rPr>
        <w:t>7</w:t>
      </w:r>
    </w:p>
    <w:p>
      <w:pPr>
        <w:pStyle w:val="18"/>
        <w:tabs>
          <w:tab w:val="left" w:pos="840"/>
          <w:tab w:val="right" w:leader="dot" w:pos="8296"/>
        </w:tabs>
        <w:rPr>
          <w:rFonts w:hAnsiTheme="minorHAnsi"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rPr>
        <w:t>8</w:t>
      </w:r>
    </w:p>
    <w:p>
      <w:pPr>
        <w:pStyle w:val="18"/>
        <w:tabs>
          <w:tab w:val="left" w:pos="840"/>
          <w:tab w:val="right" w:leader="dot" w:pos="8296"/>
        </w:tabs>
        <w:rPr>
          <w:rFonts w:hAnsiTheme="minorHAnsi"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rPr>
        <w:t>8</w:t>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9</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10</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11</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11</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13</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16</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22</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hint="eastAsia" w:ascii="仿宋" w:hAnsi="仿宋" w:eastAsia="仿宋"/>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22</w:t>
      </w:r>
      <w:r>
        <w:fldChar w:fldCharType="end"/>
      </w:r>
    </w:p>
    <w:p>
      <w:pPr>
        <w:pStyle w:val="18"/>
        <w:tabs>
          <w:tab w:val="right" w:leader="dot" w:pos="8296"/>
        </w:tabs>
      </w:pPr>
      <w:r>
        <w:rPr>
          <w:rFonts w:ascii="仿宋" w:hAnsi="仿宋" w:eastAsia="仿宋"/>
        </w:rPr>
        <w:t>十</w:t>
      </w:r>
      <w:r>
        <w:rPr>
          <w:rFonts w:hint="eastAsia" w:ascii="仿宋" w:hAnsi="仿宋" w:eastAsia="仿宋"/>
        </w:rPr>
        <w:t>二</w:t>
      </w:r>
      <w:r>
        <w:rPr>
          <w:rFonts w:ascii="仿宋" w:hAnsi="仿宋" w:eastAsia="仿宋"/>
        </w:rPr>
        <w:t>、国有资本经营预算财政拨款支出决算表</w:t>
      </w:r>
      <w:r>
        <w:tab/>
      </w:r>
      <w:r>
        <w:fldChar w:fldCharType="begin"/>
      </w:r>
      <w:r>
        <w:instrText xml:space="preserve"> PAGEREF _Toc79163899 \h </w:instrText>
      </w:r>
      <w:r>
        <w:fldChar w:fldCharType="separate"/>
      </w:r>
      <w:r>
        <w:t>22</w:t>
      </w:r>
      <w:r>
        <w:fldChar w:fldCharType="end"/>
      </w:r>
    </w:p>
    <w:p>
      <w:pPr>
        <w:pStyle w:val="18"/>
        <w:tabs>
          <w:tab w:val="right" w:leader="dot" w:pos="8296"/>
        </w:tabs>
        <w:rPr>
          <w:rFonts w:ascii="仿宋" w:hAnsi="仿宋" w:eastAsia="仿宋"/>
        </w:rPr>
      </w:pPr>
      <w:r>
        <w:rPr>
          <w:rFonts w:ascii="仿宋" w:hAnsi="仿宋" w:eastAsia="仿宋"/>
        </w:rPr>
        <w:t>十</w:t>
      </w:r>
      <w:r>
        <w:rPr>
          <w:rFonts w:hint="eastAsia" w:ascii="仿宋" w:hAnsi="仿宋" w:eastAsia="仿宋"/>
        </w:rPr>
        <w:t>三</w:t>
      </w:r>
      <w:r>
        <w:rPr>
          <w:rFonts w:ascii="仿宋" w:hAnsi="仿宋" w:eastAsia="仿宋"/>
        </w:rPr>
        <w:t>、</w:t>
      </w:r>
      <w:r>
        <w:rPr>
          <w:rFonts w:hint="eastAsia" w:ascii="仿宋" w:hAnsi="仿宋" w:eastAsia="仿宋"/>
        </w:rPr>
        <w:t>财政拨款“三公”经费支</w:t>
      </w:r>
      <w:r>
        <w:rPr>
          <w:rFonts w:ascii="仿宋" w:hAnsi="仿宋" w:eastAsia="仿宋"/>
        </w:rPr>
        <w:t>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22</w:t>
      </w:r>
      <w:r>
        <w:rPr>
          <w:rFonts w:ascii="仿宋" w:hAnsi="仿宋" w:eastAsia="仿宋"/>
        </w:rP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8"/>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numPr>
          <w:ilvl w:val="0"/>
          <w:numId w:val="1"/>
        </w:numPr>
        <w:spacing w:line="560" w:lineRule="exact"/>
        <w:rPr>
          <w:rStyle w:val="29"/>
          <w:rFonts w:ascii="黑体" w:hAnsi="黑体" w:eastAsia="黑体"/>
          <w:b w:val="0"/>
          <w:bCs w:val="0"/>
        </w:rPr>
      </w:pPr>
      <w:bookmarkStart w:id="16" w:name="_Toc79163852"/>
      <w:bookmarkStart w:id="17" w:name="_Toc15377197"/>
      <w:bookmarkStart w:id="18" w:name="_Toc15396600"/>
      <w:bookmarkStart w:id="19" w:name="_Toc79163602"/>
      <w:r>
        <w:rPr>
          <w:rStyle w:val="29"/>
          <w:rFonts w:hint="eastAsia" w:ascii="黑体" w:hAnsi="黑体" w:eastAsia="黑体"/>
          <w:b w:val="0"/>
          <w:bCs w:val="0"/>
        </w:rPr>
        <w:t>部门职责</w:t>
      </w:r>
      <w:bookmarkEnd w:id="16"/>
      <w:bookmarkEnd w:id="17"/>
      <w:bookmarkEnd w:id="18"/>
      <w:bookmarkEnd w:id="19"/>
      <w:bookmarkStart w:id="20" w:name="_Toc15377198"/>
      <w:bookmarkStart w:id="21" w:name="_Toc79163853"/>
      <w:bookmarkStart w:id="22" w:name="_Toc15378445"/>
      <w:bookmarkStart w:id="23" w:name="_Toc79163603"/>
    </w:p>
    <w:bookmarkEnd w:id="20"/>
    <w:bookmarkEnd w:id="21"/>
    <w:bookmarkEnd w:id="22"/>
    <w:bookmarkEnd w:id="23"/>
    <w:p>
      <w:pPr>
        <w:pStyle w:val="7"/>
        <w:spacing w:beforeLines="0" w:line="560" w:lineRule="exact"/>
        <w:ind w:firstLine="640" w:firstLineChars="200"/>
        <w:rPr>
          <w:sz w:val="32"/>
          <w:szCs w:val="32"/>
        </w:rPr>
      </w:pPr>
      <w:r>
        <w:rPr>
          <w:rFonts w:hint="eastAsia"/>
          <w:sz w:val="32"/>
          <w:szCs w:val="32"/>
          <w:lang w:val="en-US"/>
        </w:rPr>
        <w:t>依法加强安置点宗教事务管理严守法律底线，坚决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sz w:val="32"/>
          <w:szCs w:val="32"/>
        </w:rPr>
        <w:t>。</w:t>
      </w:r>
    </w:p>
    <w:p>
      <w:pPr>
        <w:pStyle w:val="4"/>
        <w:spacing w:line="560" w:lineRule="exact"/>
        <w:rPr>
          <w:rStyle w:val="29"/>
          <w:b w:val="0"/>
          <w:bCs w:val="0"/>
        </w:rPr>
      </w:pPr>
      <w:bookmarkStart w:id="24" w:name="_Toc15396601"/>
      <w:bookmarkStart w:id="25" w:name="_Toc79163855"/>
      <w:bookmarkStart w:id="26" w:name="_Toc79163605"/>
      <w:bookmarkStart w:id="27" w:name="_Toc15377200"/>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4"/>
      <w:bookmarkEnd w:id="25"/>
      <w:bookmarkEnd w:id="26"/>
      <w:bookmarkEnd w:id="27"/>
    </w:p>
    <w:p>
      <w:pPr>
        <w:pStyle w:val="7"/>
        <w:adjustRightInd w:val="0"/>
        <w:snapToGrid w:val="0"/>
        <w:spacing w:before="93" w:line="560" w:lineRule="exact"/>
        <w:ind w:firstLine="672" w:firstLineChars="210"/>
        <w:rPr>
          <w:rFonts w:ascii="仿宋" w:hAnsi="仿宋" w:eastAsia="仿宋"/>
          <w:color w:val="000000"/>
          <w:sz w:val="32"/>
          <w:szCs w:val="32"/>
        </w:rPr>
      </w:pPr>
      <w:bookmarkStart w:id="28" w:name="_Toc10699"/>
      <w:bookmarkStart w:id="29" w:name="_Toc30939"/>
      <w:bookmarkStart w:id="30" w:name="_Toc12356"/>
      <w:r>
        <w:rPr>
          <w:rFonts w:hint="eastAsia" w:hAnsi="仿宋"/>
          <w:kern w:val="2"/>
          <w:sz w:val="32"/>
          <w:szCs w:val="32"/>
          <w:lang w:val="en-US"/>
        </w:rPr>
        <w:t>阿坝州壤塘县娜泽求宗社区管理委员会无下属二级单位，本单位属行政单位。</w:t>
      </w:r>
      <w:bookmarkEnd w:id="28"/>
      <w:bookmarkEnd w:id="29"/>
      <w:bookmarkEnd w:id="30"/>
      <w:r>
        <w:rPr>
          <w:rFonts w:ascii="仿宋" w:hAnsi="仿宋" w:eastAsia="仿宋"/>
          <w:color w:val="000000"/>
          <w:sz w:val="32"/>
          <w:szCs w:val="32"/>
        </w:rPr>
        <w:br w:type="page"/>
      </w:r>
    </w:p>
    <w:p>
      <w:pPr>
        <w:pStyle w:val="3"/>
        <w:spacing w:line="560" w:lineRule="exact"/>
        <w:ind w:right="440"/>
        <w:jc w:val="right"/>
        <w:rPr>
          <w:rStyle w:val="28"/>
          <w:rFonts w:ascii="黑体" w:hAnsi="黑体" w:eastAsia="黑体"/>
          <w:b w:val="0"/>
          <w:bCs w:val="0"/>
        </w:rPr>
      </w:pPr>
      <w:bookmarkStart w:id="31" w:name="_Toc79163859"/>
      <w:bookmarkStart w:id="32" w:name="_Toc15377204"/>
      <w:bookmarkStart w:id="33" w:name="_Toc79163609"/>
      <w:bookmarkStart w:id="34" w:name="_Toc15396602"/>
      <w:r>
        <w:rPr>
          <w:rFonts w:hint="eastAsia" w:ascii="黑体" w:hAnsi="黑体" w:eastAsia="黑体"/>
          <w:b w:val="0"/>
          <w:color w:val="000000"/>
        </w:rPr>
        <w:t>第二部分</w:t>
      </w:r>
      <w:r>
        <w:rPr>
          <w:rFonts w:ascii="黑体" w:hAnsi="黑体" w:eastAsia="黑体"/>
          <w:color w:val="000000"/>
        </w:rPr>
        <w:t xml:space="preserve"> </w:t>
      </w:r>
      <w:r>
        <w:rPr>
          <w:rStyle w:val="28"/>
          <w:rFonts w:hint="eastAsia" w:ascii="黑体" w:hAnsi="黑体" w:eastAsia="黑体"/>
          <w:b w:val="0"/>
          <w:bCs w:val="0"/>
        </w:rPr>
        <w:t>2022年度部门决算情况说明</w:t>
      </w:r>
      <w:bookmarkEnd w:id="31"/>
      <w:bookmarkEnd w:id="32"/>
      <w:bookmarkEnd w:id="33"/>
      <w:bookmarkEnd w:id="34"/>
    </w:p>
    <w:p>
      <w:pPr>
        <w:pStyle w:val="4"/>
        <w:spacing w:line="560" w:lineRule="exact"/>
        <w:ind w:firstLine="643" w:firstLineChars="200"/>
        <w:rPr>
          <w:rFonts w:ascii="黑体" w:hAnsi="黑体" w:eastAsia="黑体" w:cs="黑体"/>
        </w:rPr>
      </w:pPr>
      <w:r>
        <w:rPr>
          <w:rFonts w:hint="eastAsia" w:ascii="黑体" w:hAnsi="黑体" w:eastAsia="黑体" w:cs="黑体"/>
        </w:rPr>
        <w:t>一、收入支出决算总体情况说明</w:t>
      </w:r>
    </w:p>
    <w:p>
      <w:pPr>
        <w:pStyle w:val="20"/>
        <w:spacing w:before="0" w:after="0" w:afterAutospacing="0" w:line="36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2022年度收入总计206.47万元，与2021年相比，增加32.22万元，增长18.49%。主要变动原因：人员增加，人员经费收入增加; 支出总计225.26万元。与2021年相比，减少44.08万元，下降16.37%。主要变动原因:项目减少，项目资金支出减少。</w:t>
      </w:r>
    </w:p>
    <w:p>
      <w:pPr>
        <w:pStyle w:val="20"/>
        <w:spacing w:before="0" w:after="0" w:afterAutospacing="0" w:line="360" w:lineRule="auto"/>
        <w:ind w:firstLine="420" w:firstLineChars="200"/>
        <w:jc w:val="center"/>
        <w:rPr>
          <w:szCs w:val="21"/>
        </w:rPr>
      </w:pPr>
      <w:r>
        <w:drawing>
          <wp:inline distT="0" distB="0" distL="114300" distR="114300">
            <wp:extent cx="4705350" cy="2452370"/>
            <wp:effectExtent l="4445" t="4445" r="14605" b="19685"/>
            <wp:docPr id="13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drawing>
          <wp:inline distT="0" distB="0" distL="114300" distR="114300">
            <wp:extent cx="4617085" cy="2290445"/>
            <wp:effectExtent l="4445" t="4445" r="7620" b="10160"/>
            <wp:docPr id="13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1</w:t>
      </w:r>
      <w:r>
        <w:rPr>
          <w:rFonts w:hint="eastAsia" w:ascii="仿宋" w:hAnsi="仿宋" w:eastAsia="仿宋" w:cs="仿宋"/>
          <w:color w:val="000000"/>
          <w:sz w:val="32"/>
          <w:szCs w:val="32"/>
        </w:rPr>
        <w:t>：收、支决算总计变动情况图）（柱状图）</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 xml:space="preserve"> </w:t>
      </w:r>
    </w:p>
    <w:p>
      <w:pPr>
        <w:pStyle w:val="4"/>
        <w:spacing w:line="560" w:lineRule="exact"/>
        <w:ind w:firstLine="640" w:firstLineChars="200"/>
      </w:pPr>
      <w:r>
        <w:rPr>
          <w:rFonts w:hint="eastAsia" w:ascii="黑体" w:hAnsi="黑体" w:eastAsia="黑体"/>
          <w:b w:val="0"/>
          <w:bCs w:val="0"/>
          <w:color w:val="000000"/>
        </w:rPr>
        <w:t>二、收入决算情况说明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hint="eastAsia" w:ascii="仿宋" w:hAnsi="仿宋" w:eastAsia="仿宋" w:cs="仿宋"/>
          <w:color w:val="000000"/>
          <w:sz w:val="32"/>
          <w:szCs w:val="32"/>
        </w:rPr>
        <w:t>年本年收入合计206.47万元，其中：一般公共预算财政拨款收入206.47万元，占100</w:t>
      </w:r>
      <w:r>
        <w:rPr>
          <w:rFonts w:hint="eastAsia" w:ascii="仿宋" w:hAnsi="仿宋" w:eastAsia="仿宋"/>
          <w:color w:val="000000"/>
          <w:sz w:val="32"/>
          <w:szCs w:val="32"/>
        </w:rPr>
        <w:t>%</w:t>
      </w:r>
      <w:r>
        <w:rPr>
          <w:rFonts w:hint="eastAsia" w:ascii="仿宋" w:hAnsi="仿宋" w:eastAsia="仿宋" w:cs="仿宋"/>
          <w:color w:val="000000"/>
          <w:sz w:val="32"/>
          <w:szCs w:val="32"/>
        </w:rPr>
        <w:t>。</w:t>
      </w:r>
    </w:p>
    <w:p>
      <w:pPr>
        <w:pStyle w:val="20"/>
        <w:spacing w:before="0" w:after="120" w:afterAutospacing="0" w:line="360" w:lineRule="auto"/>
        <w:ind w:firstLine="420" w:firstLineChars="200"/>
        <w:jc w:val="center"/>
        <w:rPr>
          <w:szCs w:val="21"/>
        </w:rPr>
      </w:pPr>
      <w:r>
        <w:drawing>
          <wp:inline distT="0" distB="0" distL="114300" distR="114300">
            <wp:extent cx="4165600" cy="1859915"/>
            <wp:effectExtent l="4445" t="4445" r="20955" b="21590"/>
            <wp:docPr id="1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2</w:t>
      </w:r>
      <w:r>
        <w:rPr>
          <w:rFonts w:hint="eastAsia" w:ascii="仿宋" w:hAnsi="仿宋" w:eastAsia="仿宋" w:cs="仿宋"/>
          <w:color w:val="000000"/>
          <w:sz w:val="32"/>
          <w:szCs w:val="32"/>
        </w:rPr>
        <w:t>：收入决算结构图）（饼状图）</w:t>
      </w:r>
    </w:p>
    <w:p>
      <w:pPr>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 xml:space="preserve"> </w:t>
      </w:r>
    </w:p>
    <w:p>
      <w:pPr>
        <w:pStyle w:val="4"/>
        <w:spacing w:line="560" w:lineRule="exact"/>
        <w:ind w:firstLine="640" w:firstLineChars="200"/>
      </w:pPr>
      <w:r>
        <w:rPr>
          <w:rFonts w:hint="eastAsia" w:ascii="黑体" w:hAnsi="黑体" w:eastAsia="黑体"/>
          <w:b w:val="0"/>
          <w:bCs w:val="0"/>
          <w:color w:val="000000"/>
        </w:rPr>
        <w:t>三、支出决算情况说</w:t>
      </w:r>
      <w:r>
        <w:rPr>
          <w:rFonts w:hint="eastAsia"/>
        </w:rPr>
        <w:t>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2022</w:t>
      </w:r>
      <w:r>
        <w:rPr>
          <w:rFonts w:ascii="仿宋_GB2312" w:eastAsia="仿宋_GB2312" w:cs="仿宋_GB2312"/>
          <w:sz w:val="32"/>
          <w:szCs w:val="32"/>
        </w:rPr>
        <w:t>年本年支出合计225.26万元</w:t>
      </w:r>
      <w:r>
        <w:rPr>
          <w:rFonts w:hint="eastAsia" w:ascii="仿宋_GB2312" w:eastAsia="仿宋_GB2312"/>
          <w:sz w:val="32"/>
          <w:szCs w:val="32"/>
        </w:rPr>
        <w:t>，其中：基本支出209.21万元，占92.87%；项目支出16.05万元，占7.13%。</w:t>
      </w:r>
    </w:p>
    <w:p>
      <w:pPr>
        <w:pStyle w:val="21"/>
        <w:jc w:val="center"/>
        <w:rPr>
          <w:rFonts w:ascii="仿宋" w:hAnsi="仿宋" w:eastAsia="仿宋"/>
          <w:color w:val="000000"/>
          <w:sz w:val="32"/>
          <w:szCs w:val="32"/>
          <w:shd w:val="pct10" w:color="auto" w:fill="FFFFFF"/>
        </w:rPr>
      </w:pPr>
      <w:r>
        <w:drawing>
          <wp:inline distT="0" distB="0" distL="114300" distR="114300">
            <wp:extent cx="3959860" cy="1786890"/>
            <wp:effectExtent l="4445" t="4445" r="17145" b="18415"/>
            <wp:docPr id="137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560" w:lineRule="exact"/>
        <w:ind w:firstLine="640" w:firstLineChars="200"/>
        <w:rPr>
          <w:rFonts w:ascii="仿宋_GB2312" w:eastAsia="仿宋_GB2312"/>
          <w:color w:val="FF0000"/>
          <w:sz w:val="32"/>
          <w:szCs w:val="32"/>
        </w:rPr>
      </w:pPr>
    </w:p>
    <w:p>
      <w:pPr>
        <w:spacing w:line="560" w:lineRule="exact"/>
        <w:ind w:firstLine="640" w:firstLineChars="200"/>
        <w:outlineLvl w:val="1"/>
        <w:rPr>
          <w:rStyle w:val="29"/>
          <w:rFonts w:ascii="黑体" w:hAnsi="黑体" w:eastAsia="黑体"/>
          <w:b w:val="0"/>
        </w:rPr>
      </w:pPr>
      <w:bookmarkStart w:id="35" w:name="_Toc15396606"/>
      <w:bookmarkStart w:id="36" w:name="_Toc79163613"/>
      <w:bookmarkStart w:id="37" w:name="_Toc15377208"/>
      <w:bookmarkStart w:id="38" w:name="_Toc7916386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5"/>
      <w:bookmarkEnd w:id="36"/>
      <w:bookmarkEnd w:id="37"/>
      <w:bookmarkEnd w:id="38"/>
    </w:p>
    <w:p>
      <w:pPr>
        <w:spacing w:line="560" w:lineRule="exact"/>
        <w:ind w:firstLine="640"/>
      </w:pPr>
      <w:r>
        <w:rPr>
          <w:rFonts w:hint="eastAsia" w:ascii="仿宋" w:hAnsi="仿宋" w:eastAsia="仿宋"/>
          <w:color w:val="000000"/>
          <w:sz w:val="32"/>
          <w:szCs w:val="32"/>
        </w:rPr>
        <w:t>2022年财政拨款收入总计206.47万元，与2021年相比，增加32.22万元，增长18.49%。主要变动原因：</w:t>
      </w:r>
      <w:r>
        <w:rPr>
          <w:rFonts w:hint="eastAsia" w:ascii="仿宋" w:hAnsi="仿宋" w:eastAsia="仿宋" w:cs="仿宋"/>
          <w:color w:val="000000"/>
          <w:sz w:val="32"/>
          <w:szCs w:val="32"/>
        </w:rPr>
        <w:t>人员增加，人员经费收入增加</w:t>
      </w:r>
      <w:r>
        <w:rPr>
          <w:rFonts w:hint="eastAsia" w:ascii="仿宋" w:hAnsi="仿宋" w:eastAsia="仿宋"/>
          <w:color w:val="000000"/>
          <w:sz w:val="32"/>
          <w:szCs w:val="32"/>
        </w:rPr>
        <w:t>; 2022年财政拨款支出总计225.26万元，与2021年相比，减少44.08万元，下降16.37%。主要变动原因:</w:t>
      </w:r>
      <w:r>
        <w:rPr>
          <w:rFonts w:hint="eastAsia" w:ascii="仿宋" w:hAnsi="仿宋" w:eastAsia="仿宋" w:cs="仿宋"/>
          <w:color w:val="000000"/>
          <w:sz w:val="32"/>
          <w:szCs w:val="32"/>
        </w:rPr>
        <w:t>项目减少，项目资金支出减少</w:t>
      </w:r>
      <w:r>
        <w:rPr>
          <w:rFonts w:hint="eastAsia" w:ascii="仿宋" w:hAnsi="仿宋" w:eastAsia="仿宋"/>
          <w:color w:val="000000"/>
          <w:sz w:val="32"/>
          <w:szCs w:val="32"/>
        </w:rPr>
        <w:t>。</w:t>
      </w:r>
    </w:p>
    <w:p>
      <w:pPr>
        <w:pStyle w:val="21"/>
        <w:jc w:val="center"/>
        <w:rPr>
          <w:rFonts w:ascii="仿宋" w:hAnsi="仿宋" w:eastAsia="仿宋"/>
          <w:color w:val="000000"/>
          <w:sz w:val="32"/>
          <w:szCs w:val="32"/>
        </w:rPr>
      </w:pPr>
      <w:r>
        <w:drawing>
          <wp:inline distT="0" distB="0" distL="114300" distR="114300">
            <wp:extent cx="4705350" cy="1923415"/>
            <wp:effectExtent l="4445" t="4445" r="1460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drawing>
          <wp:inline distT="0" distB="0" distL="114300" distR="114300">
            <wp:extent cx="4775835" cy="1931670"/>
            <wp:effectExtent l="4445" t="4445" r="20320" b="69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560" w:lineRule="exact"/>
        <w:ind w:firstLine="640"/>
        <w:rPr>
          <w:rFonts w:ascii="仿宋" w:hAnsi="仿宋" w:eastAsia="仿宋"/>
          <w:b/>
          <w:color w:val="00B050"/>
          <w:sz w:val="32"/>
          <w:szCs w:val="32"/>
        </w:rPr>
      </w:pPr>
    </w:p>
    <w:p>
      <w:pPr>
        <w:spacing w:line="560" w:lineRule="exact"/>
        <w:ind w:firstLine="640" w:firstLineChars="200"/>
        <w:outlineLvl w:val="1"/>
        <w:rPr>
          <w:rStyle w:val="29"/>
          <w:rFonts w:ascii="黑体" w:hAnsi="黑体" w:eastAsia="黑体"/>
          <w:b w:val="0"/>
        </w:rPr>
      </w:pPr>
      <w:bookmarkStart w:id="39" w:name="_Toc15377209"/>
      <w:bookmarkStart w:id="40" w:name="_Toc15396607"/>
      <w:bookmarkStart w:id="41" w:name="_Toc79163614"/>
      <w:bookmarkStart w:id="42"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9"/>
      <w:bookmarkEnd w:id="40"/>
      <w:bookmarkEnd w:id="41"/>
      <w:bookmarkEnd w:id="42"/>
    </w:p>
    <w:p>
      <w:pPr>
        <w:spacing w:line="560" w:lineRule="exact"/>
        <w:ind w:firstLine="643" w:firstLineChars="200"/>
        <w:outlineLvl w:val="2"/>
        <w:rPr>
          <w:rFonts w:ascii="仿宋" w:hAnsi="仿宋" w:eastAsia="仿宋"/>
          <w:b/>
          <w:color w:val="000000"/>
          <w:sz w:val="32"/>
          <w:szCs w:val="32"/>
        </w:rPr>
      </w:pPr>
      <w:bookmarkStart w:id="43" w:name="_Toc15377210"/>
      <w:bookmarkStart w:id="44" w:name="_Toc79163615"/>
      <w:bookmarkStart w:id="45" w:name="_Toc79163865"/>
      <w:r>
        <w:rPr>
          <w:rFonts w:hint="eastAsia" w:ascii="仿宋" w:hAnsi="仿宋" w:eastAsia="仿宋"/>
          <w:b/>
          <w:color w:val="000000"/>
          <w:sz w:val="32"/>
          <w:szCs w:val="32"/>
        </w:rPr>
        <w:t>（一）一般公共预算财政拨款支出决算总体情况</w:t>
      </w:r>
      <w:bookmarkEnd w:id="43"/>
      <w:bookmarkEnd w:id="44"/>
      <w:bookmarkEnd w:id="45"/>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2022年一般公共预算财政拨款支出225.26万元，占本年支出合计的100</w:t>
      </w:r>
      <w:r>
        <w:rPr>
          <w:rFonts w:ascii="仿宋" w:hAnsi="仿宋" w:eastAsia="仿宋"/>
          <w:color w:val="000000"/>
          <w:sz w:val="32"/>
          <w:szCs w:val="32"/>
        </w:rPr>
        <w:t>%</w:t>
      </w:r>
      <w:r>
        <w:rPr>
          <w:rFonts w:hint="eastAsia" w:ascii="仿宋" w:hAnsi="仿宋" w:eastAsia="仿宋"/>
          <w:color w:val="000000"/>
          <w:sz w:val="32"/>
          <w:szCs w:val="32"/>
        </w:rPr>
        <w:t>。与2021年相比，一般公共预算财政拨款减少44.08万元，下降16.37%。主要变动原因:</w:t>
      </w:r>
      <w:r>
        <w:rPr>
          <w:rFonts w:hint="eastAsia" w:ascii="仿宋" w:hAnsi="仿宋" w:eastAsia="仿宋" w:cs="仿宋"/>
          <w:color w:val="000000"/>
          <w:sz w:val="32"/>
          <w:szCs w:val="32"/>
        </w:rPr>
        <w:t>项目减少，项目资金支出减少</w:t>
      </w:r>
      <w:r>
        <w:rPr>
          <w:rFonts w:hint="eastAsia" w:ascii="仿宋" w:hAnsi="仿宋" w:eastAsia="仿宋"/>
          <w:color w:val="000000"/>
          <w:sz w:val="32"/>
          <w:szCs w:val="32"/>
        </w:rPr>
        <w:t>。</w:t>
      </w:r>
    </w:p>
    <w:p>
      <w:pPr>
        <w:jc w:val="center"/>
        <w:rPr>
          <w:rFonts w:ascii="仿宋" w:hAnsi="仿宋" w:eastAsia="仿宋"/>
          <w:color w:val="000000"/>
          <w:sz w:val="32"/>
          <w:szCs w:val="32"/>
        </w:rPr>
      </w:pPr>
      <w:r>
        <w:drawing>
          <wp:inline distT="0" distB="0" distL="114300" distR="114300">
            <wp:extent cx="4451350" cy="2150110"/>
            <wp:effectExtent l="5080" t="4445" r="20320" b="17145"/>
            <wp:docPr id="138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560" w:lineRule="exact"/>
        <w:ind w:firstLine="640" w:firstLineChars="200"/>
        <w:rPr>
          <w:rFonts w:ascii="仿宋" w:hAnsi="仿宋" w:eastAsia="仿宋"/>
          <w:color w:val="000000"/>
          <w:sz w:val="32"/>
          <w:szCs w:val="32"/>
        </w:rPr>
      </w:pPr>
    </w:p>
    <w:p>
      <w:pPr>
        <w:spacing w:line="560" w:lineRule="exact"/>
        <w:ind w:firstLine="643" w:firstLineChars="200"/>
        <w:outlineLvl w:val="2"/>
        <w:rPr>
          <w:rFonts w:ascii="仿宋" w:hAnsi="仿宋" w:eastAsia="仿宋"/>
          <w:b/>
          <w:color w:val="000000"/>
          <w:sz w:val="32"/>
          <w:szCs w:val="32"/>
        </w:rPr>
      </w:pPr>
      <w:bookmarkStart w:id="46" w:name="_Toc79163866"/>
      <w:bookmarkStart w:id="47" w:name="_Toc15377211"/>
      <w:bookmarkStart w:id="48" w:name="_Toc79163616"/>
      <w:r>
        <w:rPr>
          <w:rFonts w:hint="eastAsia" w:ascii="仿宋" w:hAnsi="仿宋" w:eastAsia="仿宋"/>
          <w:b/>
          <w:color w:val="000000"/>
          <w:sz w:val="32"/>
          <w:szCs w:val="32"/>
        </w:rPr>
        <w:t>（二）一般公共预算财政拨款支出决算结构情况</w:t>
      </w:r>
      <w:bookmarkEnd w:id="46"/>
      <w:bookmarkEnd w:id="47"/>
      <w:bookmarkEnd w:id="48"/>
    </w:p>
    <w:p>
      <w:pPr>
        <w:spacing w:line="560" w:lineRule="exact"/>
        <w:ind w:firstLine="640"/>
        <w:rPr>
          <w:rFonts w:ascii="仿宋" w:hAnsi="仿宋" w:eastAsia="仿宋"/>
          <w:b/>
          <w:color w:val="000000"/>
          <w:sz w:val="32"/>
          <w:szCs w:val="32"/>
        </w:rPr>
      </w:pPr>
      <w:r>
        <w:rPr>
          <w:rFonts w:hint="eastAsia" w:ascii="仿宋" w:hAnsi="仿宋" w:eastAsia="仿宋"/>
          <w:color w:val="000000"/>
          <w:sz w:val="32"/>
          <w:szCs w:val="32"/>
        </w:rPr>
        <w:t>2022年一般公共预算财政拨款支出225.26万元，主要用于以下方面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w:t>
      </w:r>
      <w:r>
        <w:rPr>
          <w:rFonts w:hint="eastAsia" w:ascii="仿宋" w:hAnsi="仿宋" w:eastAsia="仿宋"/>
          <w:color w:val="000000"/>
          <w:sz w:val="32"/>
          <w:szCs w:val="32"/>
        </w:rPr>
        <w:t>168.95万元，占85.34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公共安全支出</w:t>
      </w:r>
      <w:r>
        <w:rPr>
          <w:rFonts w:hint="eastAsia" w:ascii="仿宋" w:hAnsi="仿宋" w:eastAsia="仿宋"/>
          <w:color w:val="000000"/>
          <w:sz w:val="32"/>
          <w:szCs w:val="32"/>
        </w:rPr>
        <w:t>1.60万元，占85.34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社会保障和就业支出</w:t>
      </w:r>
      <w:r>
        <w:rPr>
          <w:rFonts w:hint="eastAsia" w:ascii="仿宋" w:hAnsi="仿宋" w:eastAsia="仿宋"/>
          <w:color w:val="000000"/>
          <w:sz w:val="32"/>
          <w:szCs w:val="32"/>
        </w:rPr>
        <w:t>30.94万元，占6.84%；</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9.07万元，占2.96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住房保障支出（类）</w:t>
      </w:r>
      <w:r>
        <w:rPr>
          <w:rFonts w:hint="eastAsia" w:ascii="仿宋" w:hAnsi="仿宋" w:eastAsia="仿宋"/>
          <w:color w:val="000000"/>
          <w:sz w:val="32"/>
          <w:szCs w:val="32"/>
        </w:rPr>
        <w:t>支出14.70万元，占4.87%。</w:t>
      </w:r>
    </w:p>
    <w:p>
      <w:pPr>
        <w:jc w:val="center"/>
        <w:rPr>
          <w:rFonts w:ascii="仿宋" w:hAnsi="仿宋" w:eastAsia="仿宋"/>
          <w:color w:val="000000"/>
          <w:sz w:val="32"/>
          <w:szCs w:val="32"/>
        </w:rPr>
      </w:pPr>
      <w:r>
        <w:drawing>
          <wp:inline distT="0" distB="0" distL="114300" distR="114300">
            <wp:extent cx="4093845" cy="2296795"/>
            <wp:effectExtent l="5080" t="4445" r="15875" b="22860"/>
            <wp:docPr id="138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560" w:lineRule="exact"/>
        <w:ind w:firstLine="640" w:firstLineChars="200"/>
        <w:rPr>
          <w:rFonts w:ascii="仿宋" w:hAnsi="仿宋" w:eastAsia="仿宋"/>
          <w:color w:val="000000"/>
          <w:sz w:val="32"/>
          <w:szCs w:val="32"/>
        </w:rPr>
      </w:pPr>
    </w:p>
    <w:p>
      <w:pPr>
        <w:spacing w:line="560" w:lineRule="exact"/>
        <w:ind w:firstLine="643" w:firstLineChars="200"/>
        <w:outlineLvl w:val="2"/>
        <w:rPr>
          <w:rFonts w:ascii="仿宋" w:hAnsi="仿宋" w:eastAsia="仿宋"/>
          <w:b/>
          <w:color w:val="000000"/>
          <w:sz w:val="32"/>
          <w:szCs w:val="32"/>
        </w:rPr>
      </w:pPr>
      <w:bookmarkStart w:id="49" w:name="_Toc15377212"/>
      <w:bookmarkStart w:id="50" w:name="_Toc79163617"/>
      <w:bookmarkStart w:id="51" w:name="_Toc79163867"/>
      <w:r>
        <w:rPr>
          <w:rFonts w:hint="eastAsia" w:ascii="仿宋" w:hAnsi="仿宋" w:eastAsia="仿宋"/>
          <w:b/>
          <w:color w:val="000000"/>
          <w:sz w:val="32"/>
          <w:szCs w:val="32"/>
        </w:rPr>
        <w:t>（三）一般公共预算财政拨款支出决算具体情况</w:t>
      </w:r>
      <w:bookmarkEnd w:id="49"/>
      <w:bookmarkEnd w:id="50"/>
      <w:bookmarkEnd w:id="51"/>
    </w:p>
    <w:p>
      <w:pPr>
        <w:spacing w:line="560" w:lineRule="exact"/>
        <w:ind w:firstLine="643" w:firstLineChars="200"/>
        <w:rPr>
          <w:rFonts w:ascii="仿宋_GB2312" w:eastAsia="仿宋_GB2312"/>
          <w:b/>
          <w:bCs/>
          <w:sz w:val="32"/>
          <w:szCs w:val="32"/>
        </w:rPr>
      </w:pPr>
      <w:bookmarkStart w:id="52" w:name="_Toc15377213"/>
      <w:bookmarkStart w:id="53" w:name="_Toc15378460"/>
      <w:bookmarkStart w:id="54" w:name="_Toc15377444"/>
      <w:r>
        <w:rPr>
          <w:rFonts w:hint="eastAsia" w:ascii="仿宋_GB2312" w:eastAsia="仿宋_GB2312"/>
          <w:b/>
          <w:bCs/>
          <w:sz w:val="32"/>
          <w:szCs w:val="32"/>
        </w:rPr>
        <w:t>2022年一般公共预算支出决算数为225.26万元，完成预算100</w:t>
      </w:r>
      <w:r>
        <w:rPr>
          <w:rFonts w:ascii="仿宋_GB2312" w:eastAsia="仿宋_GB2312"/>
          <w:b/>
          <w:bCs/>
          <w:sz w:val="32"/>
          <w:szCs w:val="32"/>
        </w:rPr>
        <w:t>%</w:t>
      </w:r>
      <w:r>
        <w:rPr>
          <w:rFonts w:hint="eastAsia" w:ascii="仿宋_GB2312" w:eastAsia="仿宋_GB2312"/>
          <w:b/>
          <w:bCs/>
          <w:sz w:val="32"/>
          <w:szCs w:val="32"/>
        </w:rPr>
        <w:t>。其中：</w:t>
      </w:r>
      <w:bookmarkEnd w:id="52"/>
      <w:bookmarkEnd w:id="53"/>
      <w:bookmarkEnd w:id="54"/>
    </w:p>
    <w:p>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rPr>
        <w:t>1.</w:t>
      </w:r>
      <w:r>
        <w:rPr>
          <w:rFonts w:ascii="仿宋_GB2312" w:hAnsi="仿宋" w:eastAsia="仿宋_GB2312" w:cs="仿宋_GB2312"/>
          <w:b/>
          <w:color w:val="000000"/>
          <w:sz w:val="32"/>
          <w:szCs w:val="32"/>
        </w:rPr>
        <w:t>一般公共服务（类）民族事务（款）行政运行（项）</w:t>
      </w:r>
      <w:r>
        <w:rPr>
          <w:rFonts w:ascii="仿宋_GB2312" w:hAnsi="仿宋" w:eastAsia="仿宋_GB2312" w:cs="仿宋_GB2312"/>
          <w:bCs/>
          <w:color w:val="000000"/>
          <w:sz w:val="32"/>
          <w:szCs w:val="32"/>
        </w:rPr>
        <w:t>:支出决算为98.40万元，完成预算100%。</w:t>
      </w:r>
    </w:p>
    <w:p>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rPr>
        <w:t>2.一般公共服务（类）民族事务（款）</w:t>
      </w:r>
      <w:r>
        <w:rPr>
          <w:rFonts w:ascii="仿宋_GB2312" w:hAnsi="仿宋" w:eastAsia="仿宋_GB2312" w:cs="仿宋_GB2312"/>
          <w:b/>
          <w:color w:val="000000"/>
          <w:sz w:val="32"/>
          <w:szCs w:val="32"/>
        </w:rPr>
        <w:t>一般行政管理事务（项）</w:t>
      </w:r>
      <w:r>
        <w:rPr>
          <w:rFonts w:ascii="仿宋_GB2312" w:hAnsi="仿宋" w:eastAsia="仿宋_GB2312" w:cs="仿宋_GB2312"/>
          <w:bCs/>
          <w:color w:val="000000"/>
          <w:sz w:val="32"/>
          <w:szCs w:val="32"/>
        </w:rPr>
        <w:t>:支出决算为</w:t>
      </w:r>
      <w:r>
        <w:rPr>
          <w:rFonts w:hint="eastAsia" w:ascii="仿宋_GB2312" w:hAnsi="仿宋" w:eastAsia="仿宋_GB2312" w:cs="仿宋_GB2312"/>
          <w:bCs/>
          <w:color w:val="000000"/>
          <w:sz w:val="32"/>
          <w:szCs w:val="32"/>
        </w:rPr>
        <w:t>2.08</w:t>
      </w:r>
      <w:r>
        <w:rPr>
          <w:rFonts w:ascii="仿宋_GB2312" w:hAnsi="仿宋" w:eastAsia="仿宋_GB2312" w:cs="仿宋_GB2312"/>
          <w:bCs/>
          <w:color w:val="000000"/>
          <w:sz w:val="32"/>
          <w:szCs w:val="32"/>
        </w:rPr>
        <w:t>万元，完成预算100%。</w:t>
      </w:r>
    </w:p>
    <w:p>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rPr>
        <w:t>3</w:t>
      </w:r>
      <w:r>
        <w:rPr>
          <w:rFonts w:hint="eastAsia" w:ascii="仿宋_GB2312" w:hAnsi="仿宋" w:eastAsia="仿宋_GB2312" w:cs="仿宋_GB2312"/>
          <w:bCs/>
          <w:color w:val="000000"/>
          <w:sz w:val="32"/>
          <w:szCs w:val="32"/>
        </w:rPr>
        <w:t>.</w:t>
      </w:r>
      <w:r>
        <w:rPr>
          <w:rFonts w:hint="eastAsia" w:ascii="仿宋_GB2312" w:hAnsi="仿宋" w:eastAsia="仿宋_GB2312" w:cs="仿宋_GB2312"/>
          <w:b/>
          <w:color w:val="000000"/>
          <w:sz w:val="32"/>
          <w:szCs w:val="32"/>
        </w:rPr>
        <w:t>一般公共服务（类）民族事务（款）</w:t>
      </w:r>
      <w:r>
        <w:rPr>
          <w:rFonts w:ascii="仿宋_GB2312" w:hAnsi="仿宋" w:eastAsia="仿宋_GB2312" w:cs="仿宋_GB2312"/>
          <w:b/>
          <w:color w:val="000000"/>
          <w:sz w:val="32"/>
          <w:szCs w:val="32"/>
        </w:rPr>
        <w:t>事业运行（项）:</w:t>
      </w:r>
      <w:r>
        <w:rPr>
          <w:rFonts w:ascii="仿宋_GB2312" w:hAnsi="仿宋" w:eastAsia="仿宋_GB2312" w:cs="仿宋_GB2312"/>
          <w:bCs/>
          <w:color w:val="000000"/>
          <w:sz w:val="32"/>
          <w:szCs w:val="32"/>
        </w:rPr>
        <w:t>支出决算为65.05万元，完成预算100%</w:t>
      </w:r>
      <w:r>
        <w:rPr>
          <w:rFonts w:hint="eastAsia" w:ascii="仿宋_GB2312" w:hAnsi="仿宋" w:eastAsia="仿宋_GB2312" w:cs="仿宋_GB2312"/>
          <w:bCs/>
          <w:color w:val="000000"/>
          <w:sz w:val="32"/>
          <w:szCs w:val="32"/>
        </w:rPr>
        <w:t>。</w:t>
      </w:r>
    </w:p>
    <w:p>
      <w:pPr>
        <w:pStyle w:val="26"/>
        <w:ind w:left="0" w:leftChars="0" w:firstLine="643"/>
      </w:pPr>
      <w:r>
        <w:rPr>
          <w:rFonts w:hint="eastAsia" w:ascii="仿宋_GB2312" w:hAnsi="仿宋" w:eastAsia="仿宋_GB2312" w:cs="仿宋_GB2312"/>
          <w:b/>
          <w:color w:val="000000"/>
          <w:sz w:val="32"/>
          <w:szCs w:val="32"/>
        </w:rPr>
        <w:t>4</w:t>
      </w:r>
      <w:r>
        <w:rPr>
          <w:rFonts w:hint="eastAsia" w:ascii="仿宋_GB2312" w:hAnsi="仿宋" w:eastAsia="仿宋_GB2312" w:cs="仿宋_GB2312"/>
          <w:bCs/>
          <w:color w:val="000000"/>
          <w:sz w:val="32"/>
          <w:szCs w:val="32"/>
        </w:rPr>
        <w:t>.</w:t>
      </w:r>
      <w:r>
        <w:rPr>
          <w:rFonts w:hint="eastAsia" w:ascii="仿宋_GB2312" w:hAnsi="仿宋" w:eastAsia="仿宋_GB2312" w:cs="仿宋_GB2312"/>
          <w:b/>
          <w:color w:val="000000"/>
          <w:sz w:val="32"/>
          <w:szCs w:val="32"/>
        </w:rPr>
        <w:t>一般公共服务（类）民族事务（款）其他民族事务支出</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支出决算为2.06万元，完成预算100%</w:t>
      </w:r>
      <w:r>
        <w:rPr>
          <w:rFonts w:hint="eastAsia" w:ascii="仿宋_GB2312" w:hAnsi="仿宋" w:eastAsia="仿宋_GB2312" w:cs="仿宋_GB2312"/>
          <w:bCs/>
          <w:color w:val="000000"/>
          <w:sz w:val="32"/>
          <w:szCs w:val="32"/>
        </w:rPr>
        <w:t>。</w:t>
      </w:r>
    </w:p>
    <w:p>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rPr>
        <w:t>5</w:t>
      </w:r>
      <w:r>
        <w:rPr>
          <w:rFonts w:hint="eastAsia" w:ascii="仿宋_GB2312" w:hAnsi="仿宋" w:eastAsia="仿宋_GB2312" w:cs="仿宋_GB2312"/>
          <w:bCs/>
          <w:color w:val="000000"/>
          <w:sz w:val="32"/>
          <w:szCs w:val="32"/>
        </w:rPr>
        <w:t>.一</w:t>
      </w:r>
      <w:r>
        <w:rPr>
          <w:rFonts w:hint="eastAsia" w:ascii="仿宋_GB2312" w:hAnsi="仿宋" w:eastAsia="仿宋_GB2312" w:cs="仿宋_GB2312"/>
          <w:b/>
          <w:color w:val="000000"/>
          <w:sz w:val="32"/>
          <w:szCs w:val="32"/>
        </w:rPr>
        <w:t>般公共服务（类）统战事务（款）宗教事务</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支出决算为1.</w:t>
      </w:r>
      <w:r>
        <w:rPr>
          <w:rFonts w:hint="eastAsia" w:ascii="仿宋_GB2312" w:hAnsi="仿宋" w:eastAsia="仿宋_GB2312" w:cs="仿宋_GB2312"/>
          <w:bCs/>
          <w:color w:val="000000"/>
          <w:sz w:val="32"/>
          <w:szCs w:val="32"/>
        </w:rPr>
        <w:t>36</w:t>
      </w:r>
      <w:r>
        <w:rPr>
          <w:rFonts w:ascii="仿宋_GB2312" w:hAnsi="仿宋" w:eastAsia="仿宋_GB2312" w:cs="仿宋_GB2312"/>
          <w:bCs/>
          <w:color w:val="000000"/>
          <w:sz w:val="32"/>
          <w:szCs w:val="32"/>
        </w:rPr>
        <w:t>万元，完成预算100%</w:t>
      </w:r>
      <w:r>
        <w:rPr>
          <w:rFonts w:hint="eastAsia" w:ascii="仿宋_GB2312" w:hAnsi="仿宋" w:eastAsia="仿宋_GB2312" w:cs="仿宋_GB2312"/>
          <w:bCs/>
          <w:color w:val="000000"/>
          <w:sz w:val="32"/>
          <w:szCs w:val="32"/>
        </w:rPr>
        <w:t>。</w:t>
      </w:r>
    </w:p>
    <w:p>
      <w:pPr>
        <w:spacing w:line="560" w:lineRule="exact"/>
        <w:ind w:firstLine="643" w:firstLineChars="200"/>
        <w:rPr>
          <w:rStyle w:val="24"/>
          <w:rFonts w:ascii="仿宋" w:hAnsi="仿宋" w:eastAsia="仿宋"/>
          <w:b w:val="0"/>
          <w:bCs/>
          <w:color w:val="000000"/>
          <w:sz w:val="32"/>
          <w:szCs w:val="32"/>
        </w:rPr>
      </w:pPr>
      <w:r>
        <w:rPr>
          <w:rStyle w:val="24"/>
          <w:rFonts w:hint="eastAsia" w:ascii="仿宋" w:hAnsi="仿宋" w:eastAsia="仿宋"/>
          <w:bCs/>
          <w:color w:val="000000"/>
          <w:sz w:val="32"/>
          <w:szCs w:val="32"/>
        </w:rPr>
        <w:t>6</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公共安全支出（类）其他公共安全支出（款）其他公共安全支出（项）</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支出决算为1.60万元，完成预算100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pStyle w:val="26"/>
        <w:spacing w:after="0" w:line="560" w:lineRule="exact"/>
        <w:ind w:left="0" w:leftChars="0" w:firstLine="643"/>
        <w:rPr>
          <w:rFonts w:eastAsia="仿宋"/>
        </w:rPr>
      </w:pPr>
      <w:r>
        <w:rPr>
          <w:rStyle w:val="24"/>
          <w:rFonts w:hint="eastAsia" w:ascii="仿宋" w:hAnsi="仿宋" w:eastAsia="仿宋"/>
          <w:bCs/>
          <w:color w:val="000000"/>
          <w:sz w:val="32"/>
          <w:szCs w:val="32"/>
        </w:rPr>
        <w:t>7</w:t>
      </w:r>
      <w:r>
        <w:rPr>
          <w:rStyle w:val="24"/>
          <w:rFonts w:ascii="仿宋" w:hAnsi="仿宋" w:eastAsia="仿宋"/>
          <w:bCs/>
          <w:color w:val="000000"/>
          <w:sz w:val="32"/>
          <w:szCs w:val="32"/>
        </w:rPr>
        <w:t>.</w:t>
      </w:r>
      <w:r>
        <w:rPr>
          <w:rFonts w:hint="eastAsia" w:ascii="仿宋" w:hAnsi="仿宋" w:eastAsia="仿宋"/>
          <w:b/>
          <w:bCs/>
          <w:color w:val="000000"/>
          <w:sz w:val="32"/>
          <w:szCs w:val="32"/>
        </w:rPr>
        <w:t>社会保障和就业支出（类）民政管理事务（款）基层政权建设和社区治理（项）</w:t>
      </w:r>
      <w:r>
        <w:rPr>
          <w:rStyle w:val="24"/>
          <w:rFonts w:ascii="仿宋" w:hAnsi="仿宋" w:eastAsia="仿宋"/>
          <w:bCs/>
          <w:color w:val="000000"/>
          <w:sz w:val="32"/>
          <w:szCs w:val="32"/>
        </w:rPr>
        <w:t>:</w:t>
      </w:r>
      <w:r>
        <w:rPr>
          <w:rStyle w:val="24"/>
          <w:rFonts w:hint="eastAsia" w:ascii="仿宋" w:hAnsi="仿宋" w:eastAsia="仿宋"/>
          <w:b w:val="0"/>
          <w:bCs/>
          <w:color w:val="000000"/>
          <w:sz w:val="32"/>
          <w:szCs w:val="32"/>
        </w:rPr>
        <w:t>支出决算为8.95万元，完成预算100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pStyle w:val="26"/>
        <w:ind w:left="0" w:leftChars="0" w:firstLine="643"/>
        <w:rPr>
          <w:rFonts w:eastAsia="仿宋"/>
        </w:rPr>
      </w:pPr>
      <w:r>
        <w:rPr>
          <w:rStyle w:val="24"/>
          <w:rFonts w:hint="eastAsia" w:ascii="仿宋" w:hAnsi="仿宋" w:eastAsia="仿宋"/>
          <w:bCs/>
          <w:color w:val="000000"/>
          <w:sz w:val="32"/>
          <w:szCs w:val="32"/>
        </w:rPr>
        <w:t>8</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社会保障和就业支出（类）行政事业单位养老支出（款）机关事业单位基本养老保险缴费支出（项）</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支出决算为14.66万元，完成预算100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pStyle w:val="26"/>
        <w:spacing w:after="0" w:line="560" w:lineRule="exact"/>
        <w:ind w:left="0" w:leftChars="0" w:firstLine="643"/>
        <w:rPr>
          <w:rFonts w:eastAsia="仿宋"/>
        </w:rPr>
      </w:pPr>
      <w:r>
        <w:rPr>
          <w:rStyle w:val="24"/>
          <w:rFonts w:hint="eastAsia" w:ascii="仿宋" w:hAnsi="仿宋" w:eastAsia="仿宋"/>
          <w:bCs/>
          <w:color w:val="000000"/>
          <w:sz w:val="32"/>
          <w:szCs w:val="32"/>
        </w:rPr>
        <w:t>9</w:t>
      </w:r>
      <w:r>
        <w:rPr>
          <w:rStyle w:val="24"/>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4"/>
          <w:rFonts w:ascii="仿宋" w:hAnsi="仿宋" w:eastAsia="仿宋"/>
          <w:bCs/>
          <w:color w:val="000000"/>
          <w:sz w:val="32"/>
          <w:szCs w:val="32"/>
        </w:rPr>
        <w:t>:</w:t>
      </w:r>
      <w:r>
        <w:rPr>
          <w:rStyle w:val="24"/>
          <w:rFonts w:hint="eastAsia" w:ascii="仿宋" w:hAnsi="仿宋" w:eastAsia="仿宋"/>
          <w:b w:val="0"/>
          <w:bCs/>
          <w:color w:val="000000"/>
          <w:sz w:val="32"/>
          <w:szCs w:val="32"/>
        </w:rPr>
        <w:t>支出决算为7.33万元，完成预算100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spacing w:line="560" w:lineRule="exact"/>
        <w:ind w:firstLine="643" w:firstLineChars="200"/>
        <w:rPr>
          <w:rFonts w:ascii="仿宋" w:hAnsi="仿宋" w:eastAsia="仿宋"/>
          <w:b/>
          <w:color w:val="000000"/>
          <w:sz w:val="32"/>
          <w:szCs w:val="32"/>
        </w:rPr>
      </w:pPr>
      <w:r>
        <w:rPr>
          <w:rStyle w:val="24"/>
          <w:rFonts w:hint="eastAsia" w:ascii="仿宋" w:hAnsi="仿宋" w:eastAsia="仿宋"/>
          <w:color w:val="000000"/>
          <w:sz w:val="32"/>
          <w:szCs w:val="32"/>
        </w:rPr>
        <w:t>10.卫生健康支出（类）行政事业单位医疗（款）行政单位医疗（项）:</w:t>
      </w:r>
      <w:r>
        <w:rPr>
          <w:rStyle w:val="24"/>
          <w:rFonts w:hint="eastAsia" w:ascii="仿宋" w:hAnsi="仿宋" w:eastAsia="仿宋"/>
          <w:b w:val="0"/>
          <w:color w:val="000000"/>
          <w:sz w:val="32"/>
          <w:szCs w:val="32"/>
        </w:rPr>
        <w:t xml:space="preserve"> 支出决算为4.13万元，完成预算100%。</w:t>
      </w:r>
    </w:p>
    <w:p>
      <w:pPr>
        <w:spacing w:line="560" w:lineRule="exact"/>
        <w:ind w:firstLine="643" w:firstLineChars="200"/>
        <w:rPr>
          <w:rStyle w:val="24"/>
          <w:rFonts w:ascii="仿宋" w:hAnsi="仿宋" w:eastAsia="仿宋"/>
          <w:b w:val="0"/>
          <w:bCs/>
          <w:color w:val="000000"/>
          <w:sz w:val="32"/>
          <w:szCs w:val="32"/>
        </w:rPr>
      </w:pPr>
      <w:r>
        <w:rPr>
          <w:rStyle w:val="24"/>
          <w:rFonts w:hint="eastAsia" w:ascii="仿宋" w:hAnsi="仿宋" w:eastAsia="仿宋"/>
          <w:color w:val="000000"/>
          <w:sz w:val="32"/>
          <w:szCs w:val="32"/>
        </w:rPr>
        <w:t xml:space="preserve">11.卫生健康支出（类）行政事业单位医疗（款）公务员医疗补助（项）: </w:t>
      </w:r>
      <w:r>
        <w:rPr>
          <w:rStyle w:val="24"/>
          <w:rFonts w:hint="eastAsia" w:ascii="仿宋" w:hAnsi="仿宋" w:eastAsia="仿宋"/>
          <w:b w:val="0"/>
          <w:color w:val="000000"/>
          <w:sz w:val="32"/>
          <w:szCs w:val="32"/>
        </w:rPr>
        <w:t>支出决算为0.73万元，完成预算100%</w:t>
      </w:r>
      <w:r>
        <w:rPr>
          <w:rStyle w:val="24"/>
          <w:rFonts w:hint="eastAsia" w:ascii="仿宋" w:hAnsi="仿宋" w:eastAsia="仿宋"/>
          <w:b w:val="0"/>
          <w:bCs/>
          <w:color w:val="000000"/>
          <w:sz w:val="32"/>
          <w:szCs w:val="32"/>
        </w:rPr>
        <w:t>。</w:t>
      </w:r>
    </w:p>
    <w:p>
      <w:pPr>
        <w:spacing w:line="560" w:lineRule="exact"/>
        <w:ind w:firstLine="643" w:firstLineChars="200"/>
        <w:rPr>
          <w:rFonts w:ascii="仿宋" w:hAnsi="仿宋" w:eastAsia="仿宋"/>
          <w:b/>
          <w:color w:val="000000"/>
          <w:sz w:val="32"/>
          <w:szCs w:val="32"/>
        </w:rPr>
      </w:pPr>
      <w:r>
        <w:rPr>
          <w:rStyle w:val="24"/>
          <w:rFonts w:hint="eastAsia" w:ascii="仿宋" w:hAnsi="仿宋" w:eastAsia="仿宋"/>
          <w:color w:val="000000"/>
          <w:sz w:val="32"/>
          <w:szCs w:val="32"/>
        </w:rPr>
        <w:t>12.卫生健康支出（类）行政事业单位医疗（款）事业单位医疗（项）:</w:t>
      </w:r>
      <w:r>
        <w:rPr>
          <w:rStyle w:val="24"/>
          <w:rFonts w:hint="eastAsia" w:ascii="仿宋" w:hAnsi="仿宋" w:eastAsia="仿宋"/>
          <w:b w:val="0"/>
          <w:color w:val="000000"/>
          <w:sz w:val="32"/>
          <w:szCs w:val="32"/>
        </w:rPr>
        <w:t xml:space="preserve"> 支出决算为3.48万元，完成预算100%。</w:t>
      </w:r>
    </w:p>
    <w:p>
      <w:pPr>
        <w:spacing w:line="560" w:lineRule="exact"/>
        <w:ind w:firstLine="643" w:firstLineChars="200"/>
        <w:rPr>
          <w:rFonts w:ascii="仿宋" w:hAnsi="仿宋" w:eastAsia="仿宋"/>
          <w:b/>
          <w:color w:val="000000"/>
          <w:sz w:val="32"/>
          <w:szCs w:val="32"/>
        </w:rPr>
      </w:pPr>
      <w:r>
        <w:rPr>
          <w:rStyle w:val="24"/>
          <w:rFonts w:hint="eastAsia" w:ascii="仿宋" w:hAnsi="仿宋" w:eastAsia="仿宋"/>
          <w:color w:val="000000"/>
          <w:sz w:val="32"/>
          <w:szCs w:val="32"/>
        </w:rPr>
        <w:t xml:space="preserve">13.卫生健康支出（类）行政事业单位医疗（款）其他行政事业单位医疗支出（项）: </w:t>
      </w:r>
      <w:r>
        <w:rPr>
          <w:rStyle w:val="24"/>
          <w:rFonts w:hint="eastAsia" w:ascii="仿宋" w:hAnsi="仿宋" w:eastAsia="仿宋"/>
          <w:b w:val="0"/>
          <w:color w:val="000000"/>
          <w:sz w:val="32"/>
          <w:szCs w:val="32"/>
        </w:rPr>
        <w:t>支出决算为0.73万元，完成预算100%。</w:t>
      </w:r>
    </w:p>
    <w:p>
      <w:pPr>
        <w:spacing w:line="560" w:lineRule="exact"/>
        <w:ind w:firstLine="643" w:firstLineChars="200"/>
        <w:rPr>
          <w:rFonts w:ascii="仿宋" w:hAnsi="仿宋" w:eastAsia="仿宋"/>
          <w:b/>
          <w:color w:val="FF0000"/>
          <w:sz w:val="32"/>
          <w:szCs w:val="32"/>
        </w:rPr>
      </w:pPr>
      <w:r>
        <w:rPr>
          <w:rStyle w:val="24"/>
          <w:rFonts w:hint="eastAsia" w:ascii="仿宋" w:hAnsi="仿宋" w:eastAsia="仿宋"/>
          <w:color w:val="000000"/>
          <w:sz w:val="32"/>
          <w:szCs w:val="32"/>
        </w:rPr>
        <w:t>14</w:t>
      </w:r>
      <w:r>
        <w:rPr>
          <w:rFonts w:hint="eastAsia" w:ascii="仿宋" w:hAnsi="仿宋" w:eastAsia="仿宋" w:cs="仿宋"/>
          <w:b/>
          <w:color w:val="000000"/>
          <w:sz w:val="32"/>
          <w:szCs w:val="32"/>
        </w:rPr>
        <w:t>.住房保障支出（类）住房改革支出（款）住房公积金（项）:</w:t>
      </w:r>
      <w:r>
        <w:rPr>
          <w:rFonts w:hint="eastAsia" w:ascii="仿宋" w:hAnsi="仿宋" w:eastAsia="仿宋" w:cs="仿宋"/>
          <w:color w:val="000000"/>
          <w:sz w:val="32"/>
          <w:szCs w:val="32"/>
        </w:rPr>
        <w:t>支出决算为14.70万元，完成预算100%。</w:t>
      </w:r>
    </w:p>
    <w:p>
      <w:pPr>
        <w:spacing w:line="560" w:lineRule="exact"/>
        <w:ind w:firstLine="640"/>
        <w:rPr>
          <w:rFonts w:ascii="仿宋" w:hAnsi="仿宋" w:eastAsia="仿宋"/>
          <w:b/>
          <w:color w:val="000000"/>
          <w:sz w:val="32"/>
          <w:szCs w:val="32"/>
        </w:rPr>
      </w:pPr>
    </w:p>
    <w:p>
      <w:pPr>
        <w:tabs>
          <w:tab w:val="right" w:pos="8306"/>
        </w:tabs>
        <w:spacing w:line="560" w:lineRule="exact"/>
        <w:ind w:firstLine="640"/>
        <w:outlineLvl w:val="1"/>
        <w:rPr>
          <w:rStyle w:val="29"/>
        </w:rPr>
      </w:pPr>
      <w:bookmarkStart w:id="55" w:name="_Toc79163618"/>
      <w:bookmarkStart w:id="56" w:name="_Toc79163868"/>
      <w:bookmarkStart w:id="57" w:name="_Toc15396608"/>
      <w:bookmarkStart w:id="5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55"/>
      <w:bookmarkEnd w:id="56"/>
      <w:bookmarkEnd w:id="57"/>
      <w:bookmarkEnd w:id="58"/>
      <w:r>
        <w:rPr>
          <w:rStyle w:val="29"/>
          <w:rFonts w:ascii="黑体" w:hAnsi="黑体" w:eastAsia="黑体"/>
          <w:b w:val="0"/>
        </w:rPr>
        <w:tab/>
      </w:r>
    </w:p>
    <w:p>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2022年一般公共预算财政拨款基本支出209.21万元，其中：</w:t>
      </w:r>
    </w:p>
    <w:p>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人员经费185.58万元，主要包括：基本工资、津贴补贴、奖金、绩效工资、机关事业单位基本养老保险费、职业年金缴费、职工基本医疗保险缴费、其他社会保障缴费、住房公积金、医疗费补助。</w:t>
      </w:r>
    </w:p>
    <w:p>
      <w:pPr>
        <w:spacing w:line="56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日常公用经费23.63万元，主要包括：办公费、印刷费、电费、邮电费、差旅费、维修（护）费、劳务费、公务用车运行维护费。</w:t>
      </w:r>
    </w:p>
    <w:p>
      <w:pPr>
        <w:spacing w:line="560" w:lineRule="exact"/>
        <w:ind w:firstLine="640"/>
        <w:rPr>
          <w:rFonts w:ascii="仿宋" w:hAnsi="仿宋" w:eastAsia="仿宋"/>
          <w:b/>
          <w:color w:val="FF0000"/>
          <w:sz w:val="32"/>
          <w:szCs w:val="32"/>
        </w:rPr>
      </w:pPr>
    </w:p>
    <w:p>
      <w:pPr>
        <w:spacing w:line="560" w:lineRule="exact"/>
        <w:ind w:firstLine="640"/>
        <w:outlineLvl w:val="1"/>
        <w:rPr>
          <w:rStyle w:val="29"/>
          <w:rFonts w:ascii="黑体" w:hAnsi="黑体" w:eastAsia="黑体"/>
          <w:b w:val="0"/>
        </w:rPr>
      </w:pPr>
      <w:bookmarkStart w:id="59" w:name="_Toc79163619"/>
      <w:bookmarkStart w:id="60" w:name="_Toc15396609"/>
      <w:bookmarkStart w:id="61" w:name="_Toc79163869"/>
      <w:bookmarkStart w:id="62" w:name="_Toc1537721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9"/>
      <w:bookmarkEnd w:id="60"/>
      <w:bookmarkEnd w:id="61"/>
      <w:bookmarkEnd w:id="62"/>
    </w:p>
    <w:p>
      <w:pPr>
        <w:spacing w:line="560" w:lineRule="exact"/>
        <w:ind w:firstLine="640"/>
        <w:outlineLvl w:val="2"/>
        <w:rPr>
          <w:rFonts w:ascii="仿宋" w:hAnsi="仿宋" w:eastAsia="仿宋"/>
          <w:b/>
          <w:color w:val="000000"/>
          <w:sz w:val="32"/>
          <w:szCs w:val="32"/>
        </w:rPr>
      </w:pPr>
      <w:bookmarkStart w:id="63" w:name="_Toc79163620"/>
      <w:bookmarkStart w:id="64" w:name="_Toc15377216"/>
      <w:bookmarkStart w:id="65" w:name="_Toc79163870"/>
      <w:r>
        <w:rPr>
          <w:rFonts w:hint="eastAsia" w:ascii="仿宋" w:hAnsi="仿宋" w:eastAsia="仿宋"/>
          <w:b/>
          <w:color w:val="000000"/>
          <w:sz w:val="32"/>
          <w:szCs w:val="32"/>
        </w:rPr>
        <w:t>（一）“三公”经费财政拨款支出决算总体情况说明</w:t>
      </w:r>
      <w:bookmarkEnd w:id="63"/>
      <w:bookmarkEnd w:id="64"/>
      <w:bookmarkEnd w:id="65"/>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2022年“三公”经费财政拨款支出决算为0万元，完成预算100</w:t>
      </w:r>
      <w:r>
        <w:rPr>
          <w:rFonts w:ascii="仿宋" w:hAnsi="仿宋" w:eastAsia="仿宋"/>
          <w:color w:val="000000"/>
          <w:sz w:val="32"/>
          <w:szCs w:val="32"/>
        </w:rPr>
        <w:t>%</w:t>
      </w:r>
      <w:r>
        <w:rPr>
          <w:rFonts w:hint="eastAsia" w:ascii="仿宋" w:hAnsi="仿宋" w:eastAsia="仿宋"/>
          <w:color w:val="000000"/>
          <w:sz w:val="32"/>
          <w:szCs w:val="32"/>
        </w:rPr>
        <w:t>，决算数或与预算数持平的主要原因是：本年度无“三公”经费财政拨款支出，无相关预算安排。</w:t>
      </w:r>
    </w:p>
    <w:p>
      <w:pPr>
        <w:spacing w:line="560" w:lineRule="exact"/>
        <w:ind w:firstLine="640"/>
        <w:outlineLvl w:val="2"/>
        <w:rPr>
          <w:rFonts w:ascii="仿宋" w:hAnsi="仿宋" w:eastAsia="仿宋"/>
          <w:b/>
          <w:color w:val="000000"/>
          <w:sz w:val="32"/>
          <w:szCs w:val="32"/>
        </w:rPr>
      </w:pPr>
      <w:bookmarkStart w:id="66" w:name="_Toc79163871"/>
      <w:bookmarkStart w:id="67" w:name="_Toc15377217"/>
      <w:bookmarkStart w:id="68" w:name="_Toc79163621"/>
      <w:r>
        <w:rPr>
          <w:rFonts w:hint="eastAsia" w:ascii="仿宋" w:hAnsi="仿宋" w:eastAsia="仿宋"/>
          <w:b/>
          <w:color w:val="000000"/>
          <w:sz w:val="32"/>
          <w:szCs w:val="32"/>
        </w:rPr>
        <w:t>（二）“三公”经费财政拨款支出决算具体情况说明</w:t>
      </w:r>
      <w:bookmarkEnd w:id="66"/>
      <w:bookmarkEnd w:id="67"/>
      <w:bookmarkEnd w:id="68"/>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2022年“三公”经费财政拨款支出决算中，因公出国（境）费支出决算0万元，占0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6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4"/>
          <w:rFonts w:hint="eastAsia" w:ascii="仿宋" w:hAnsi="仿宋" w:eastAsia="仿宋"/>
          <w:b w:val="0"/>
          <w:bCs/>
          <w:color w:val="000000"/>
          <w:sz w:val="32"/>
          <w:szCs w:val="32"/>
        </w:rPr>
        <w:t>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全年安排因公出国（境）团组0次，出国（境）0人。因公出国（境）支出决算比2021年增加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。主要原因是2021年与2022年均无因公出国（境）经费支出。</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开支内容包括：无（团组名称、出访地点、取得成效）等。</w:t>
      </w:r>
    </w:p>
    <w:p>
      <w:pPr>
        <w:spacing w:line="56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24"/>
          <w:rFonts w:hint="eastAsia" w:ascii="仿宋" w:hAnsi="仿宋" w:eastAsia="仿宋"/>
          <w:b w:val="0"/>
          <w:bCs/>
          <w:color w:val="000000"/>
          <w:sz w:val="32"/>
          <w:szCs w:val="32"/>
        </w:rPr>
        <w:t>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公务用车购置及运行维护费支出决算比2021年增加/减少0万元，增长/下降0</w:t>
      </w:r>
      <w:r>
        <w:rPr>
          <w:rFonts w:ascii="仿宋_GB2312" w:eastAsia="仿宋_GB2312"/>
          <w:color w:val="000000"/>
          <w:sz w:val="32"/>
          <w:szCs w:val="32"/>
        </w:rPr>
        <w:t>%</w:t>
      </w:r>
      <w:r>
        <w:rPr>
          <w:rFonts w:hint="eastAsia" w:ascii="仿宋_GB2312" w:eastAsia="仿宋_GB2312"/>
          <w:color w:val="000000"/>
          <w:sz w:val="32"/>
          <w:szCs w:val="32"/>
        </w:rPr>
        <w:t>。主要原因是2021年与2022年均无公务用车购置及运行维护费支出。</w:t>
      </w:r>
    </w:p>
    <w:p>
      <w:pPr>
        <w:spacing w:line="56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万元。全年按规定更新购置公务用车0辆，其中：轿车0辆、金额0万元，越野车0辆、金额0万元，载客汽车0辆、金额0万元。截至2022年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月底，单位共有公务用车0辆，其中：轿车0辆、越野车0辆、载客汽车0辆，其他用车0辆。</w:t>
      </w:r>
    </w:p>
    <w:p>
      <w:pPr>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56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4"/>
          <w:rFonts w:hint="eastAsia" w:ascii="仿宋" w:hAnsi="仿宋" w:eastAsia="仿宋"/>
          <w:b w:val="0"/>
          <w:bCs/>
          <w:color w:val="000000"/>
          <w:sz w:val="32"/>
          <w:szCs w:val="32"/>
        </w:rPr>
        <w:t>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公务接待费支出决算比2021年增加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。主要原因是2021年与2022年均无公务接待费支出。其中：</w:t>
      </w:r>
    </w:p>
    <w:p>
      <w:pPr>
        <w:spacing w:line="56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pPr>
        <w:spacing w:line="56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外事接待支出0</w:t>
      </w:r>
      <w:r>
        <w:rPr>
          <w:rFonts w:hint="eastAsia" w:ascii="仿宋_GB2312" w:eastAsia="仿宋_GB2312"/>
          <w:color w:val="000000"/>
          <w:sz w:val="32"/>
          <w:szCs w:val="32"/>
        </w:rPr>
        <w:t>万元，外事接待0批次，0人，共计支出0万元。</w:t>
      </w:r>
    </w:p>
    <w:p>
      <w:pPr>
        <w:spacing w:line="560" w:lineRule="exact"/>
        <w:ind w:firstLine="640" w:firstLineChars="200"/>
        <w:rPr>
          <w:rFonts w:ascii="仿宋_GB2312" w:eastAsia="仿宋_GB2312"/>
          <w:color w:val="000000"/>
          <w:sz w:val="32"/>
          <w:szCs w:val="32"/>
        </w:rPr>
      </w:pPr>
    </w:p>
    <w:p>
      <w:pPr>
        <w:spacing w:line="560" w:lineRule="exact"/>
        <w:ind w:firstLine="640"/>
        <w:outlineLvl w:val="1"/>
        <w:rPr>
          <w:rStyle w:val="29"/>
          <w:rFonts w:ascii="黑体" w:hAnsi="黑体" w:eastAsia="黑体"/>
        </w:rPr>
      </w:pPr>
      <w:bookmarkStart w:id="69" w:name="_Toc15396610"/>
      <w:bookmarkStart w:id="70" w:name="_Toc15377218"/>
      <w:bookmarkStart w:id="71" w:name="_Toc79163872"/>
      <w:bookmarkStart w:id="72" w:name="_Toc79163622"/>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69"/>
      <w:bookmarkEnd w:id="70"/>
      <w:bookmarkEnd w:id="71"/>
      <w:bookmarkEnd w:id="72"/>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2022年政府性基金预算拨款支出0万元。</w:t>
      </w:r>
    </w:p>
    <w:p>
      <w:pPr>
        <w:spacing w:line="560" w:lineRule="exact"/>
        <w:ind w:firstLine="640"/>
        <w:rPr>
          <w:rFonts w:ascii="仿宋_GB2312" w:eastAsia="仿宋_GB2312"/>
          <w:color w:val="000000"/>
          <w:sz w:val="32"/>
          <w:szCs w:val="32"/>
        </w:rPr>
      </w:pPr>
    </w:p>
    <w:p>
      <w:pPr>
        <w:numPr>
          <w:ilvl w:val="0"/>
          <w:numId w:val="2"/>
        </w:numPr>
        <w:spacing w:line="560" w:lineRule="exact"/>
        <w:ind w:firstLine="640"/>
        <w:outlineLvl w:val="1"/>
        <w:rPr>
          <w:rStyle w:val="29"/>
          <w:rFonts w:ascii="黑体" w:hAnsi="黑体" w:eastAsia="黑体"/>
          <w:b w:val="0"/>
        </w:rPr>
      </w:pPr>
      <w:bookmarkStart w:id="73" w:name="_Toc15377219"/>
      <w:bookmarkStart w:id="74" w:name="_Toc15396611"/>
      <w:bookmarkStart w:id="75" w:name="_Toc79163623"/>
      <w:bookmarkStart w:id="76" w:name="_Toc79163873"/>
      <w:r>
        <w:rPr>
          <w:rStyle w:val="29"/>
          <w:rFonts w:hint="eastAsia" w:ascii="黑体" w:hAnsi="黑体" w:eastAsia="黑体"/>
          <w:b w:val="0"/>
        </w:rPr>
        <w:t>国有资本经营预算支出决算情况说明</w:t>
      </w:r>
      <w:bookmarkEnd w:id="73"/>
      <w:bookmarkEnd w:id="74"/>
      <w:bookmarkEnd w:id="75"/>
      <w:bookmarkEnd w:id="76"/>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2022年国有资本经营预算拨款支出0万元。</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800" w:firstLineChars="250"/>
        <w:outlineLvl w:val="1"/>
        <w:rPr>
          <w:rStyle w:val="29"/>
          <w:rFonts w:ascii="黑体" w:hAnsi="黑体" w:eastAsia="黑体"/>
        </w:rPr>
      </w:pPr>
      <w:bookmarkStart w:id="77" w:name="_Toc15377221"/>
      <w:bookmarkStart w:id="78" w:name="_Toc79163624"/>
      <w:bookmarkStart w:id="79" w:name="_Toc15396612"/>
      <w:bookmarkStart w:id="80" w:name="_Toc79163874"/>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77"/>
      <w:bookmarkEnd w:id="78"/>
      <w:bookmarkEnd w:id="79"/>
      <w:bookmarkEnd w:id="80"/>
    </w:p>
    <w:p>
      <w:pPr>
        <w:spacing w:line="560" w:lineRule="exact"/>
        <w:ind w:firstLine="643" w:firstLineChars="200"/>
        <w:outlineLvl w:val="2"/>
        <w:rPr>
          <w:rFonts w:ascii="仿宋" w:hAnsi="仿宋" w:eastAsia="仿宋"/>
          <w:color w:val="000000"/>
          <w:sz w:val="32"/>
          <w:szCs w:val="32"/>
        </w:rPr>
      </w:pPr>
      <w:bookmarkStart w:id="81" w:name="_Toc15377222"/>
      <w:bookmarkStart w:id="82" w:name="_Toc79163625"/>
      <w:bookmarkStart w:id="83" w:name="_Toc79163875"/>
      <w:r>
        <w:rPr>
          <w:rFonts w:hint="eastAsia" w:ascii="仿宋" w:hAnsi="仿宋" w:eastAsia="仿宋"/>
          <w:b/>
          <w:color w:val="000000"/>
          <w:sz w:val="32"/>
          <w:szCs w:val="32"/>
        </w:rPr>
        <w:t>（一）机关运行经费支出情况</w:t>
      </w:r>
      <w:bookmarkEnd w:id="81"/>
      <w:bookmarkEnd w:id="82"/>
      <w:bookmarkEnd w:id="83"/>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2022年，阿坝州壤塘县娜泽求宗社区管理委员会机关运行经费支出17.09万元，比2021年减少3.78万元，下降18.10%。主要原因是厉行节约。</w:t>
      </w:r>
    </w:p>
    <w:p>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84" w:name="_Toc79163626"/>
      <w:bookmarkStart w:id="85" w:name="_Toc15377223"/>
      <w:bookmarkStart w:id="86" w:name="_Toc79163876"/>
      <w:r>
        <w:rPr>
          <w:rFonts w:hint="eastAsia" w:ascii="仿宋" w:hAnsi="仿宋" w:eastAsia="仿宋"/>
          <w:b/>
          <w:color w:val="000000"/>
          <w:sz w:val="32"/>
          <w:szCs w:val="32"/>
        </w:rPr>
        <w:t>（二）政府采购支出情况</w:t>
      </w:r>
      <w:bookmarkEnd w:id="84"/>
      <w:bookmarkEnd w:id="85"/>
      <w:bookmarkEnd w:id="86"/>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2022年，阿坝州壤塘县娜泽求宗社区管理委员会政府采购支出总额0万元，其中：政府采购货物支出0万元、政府采购工程支出0万元、政府采购服务支出0万元。授予中小企业合同金额0万元，其中：授予小微企业合同金额0万元。</w:t>
      </w:r>
    </w:p>
    <w:p>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87" w:name="_Toc79163627"/>
      <w:bookmarkStart w:id="88" w:name="_Toc79163877"/>
      <w:bookmarkStart w:id="89" w:name="_Toc15377224"/>
      <w:r>
        <w:rPr>
          <w:rFonts w:hint="eastAsia" w:ascii="仿宋" w:hAnsi="仿宋" w:eastAsia="仿宋"/>
          <w:b/>
          <w:color w:val="000000"/>
          <w:sz w:val="32"/>
          <w:szCs w:val="32"/>
        </w:rPr>
        <w:t>（三）国有资产占有使用情况</w:t>
      </w:r>
      <w:bookmarkEnd w:id="87"/>
      <w:bookmarkEnd w:id="88"/>
      <w:bookmarkEnd w:id="89"/>
    </w:p>
    <w:p>
      <w:pPr>
        <w:autoSpaceDE w:val="0"/>
        <w:autoSpaceDN w:val="0"/>
        <w:adjustRightInd w:val="0"/>
        <w:spacing w:line="56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日，阿坝州壤塘县娜泽求宗社区管理委员会共有车辆0辆，其中：主要领导干部用车0辆、机要通信用车0辆、应急保障用车0辆、其他用车0辆，单价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90" w:name="_Toc79163878"/>
      <w:bookmarkStart w:id="91" w:name="_Toc79163628"/>
      <w:r>
        <w:rPr>
          <w:rFonts w:hint="eastAsia" w:ascii="仿宋" w:hAnsi="仿宋" w:eastAsia="仿宋"/>
          <w:b/>
          <w:color w:val="000000"/>
          <w:sz w:val="32"/>
          <w:szCs w:val="32"/>
        </w:rPr>
        <w:t>（四）预算绩效管理情况。</w:t>
      </w:r>
      <w:bookmarkEnd w:id="90"/>
      <w:bookmarkEnd w:id="9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0个项目开展了预算事前绩效评估，对0个项目编制了绩效目标，预算执行过程中，选取0个项目开展绩效监控，年终执行完毕后，对0个项目开展了绩效目标完成情况自评。</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2022年部门整体支出开展绩效自评，从评价情况来看我单位2022年部门整体支出情况良好，从预算到执行和收入、支出管理均严格按照相关要求进行，全年收支平衡，有效保障了单位正常运转，圆满完成了单位目标任务。本部门无专项预算项目，因此未组织开展项目支出绩效评价。</w:t>
      </w:r>
    </w:p>
    <w:p>
      <w:pPr>
        <w:pStyle w:val="26"/>
        <w:ind w:firstLine="640"/>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6"/>
        <w:ind w:firstLine="640"/>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6"/>
        <w:ind w:firstLine="420"/>
      </w:pPr>
    </w:p>
    <w:p>
      <w:pPr>
        <w:numPr>
          <w:ilvl w:val="0"/>
          <w:numId w:val="3"/>
        </w:numPr>
        <w:spacing w:line="600" w:lineRule="exact"/>
        <w:ind w:firstLine="660" w:firstLineChars="150"/>
        <w:jc w:val="center"/>
        <w:outlineLvl w:val="0"/>
        <w:rPr>
          <w:rStyle w:val="28"/>
          <w:rFonts w:ascii="黑体" w:hAnsi="黑体" w:eastAsia="黑体"/>
          <w:b w:val="0"/>
        </w:rPr>
      </w:pPr>
      <w:bookmarkStart w:id="92" w:name="_Toc79163629"/>
      <w:bookmarkStart w:id="93" w:name="_Toc15377225"/>
      <w:bookmarkStart w:id="94" w:name="_Toc79163879"/>
      <w:bookmarkStart w:id="95"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92"/>
      <w:bookmarkEnd w:id="93"/>
      <w:bookmarkEnd w:id="94"/>
      <w:bookmarkEnd w:id="95"/>
    </w:p>
    <w:p>
      <w:pPr>
        <w:spacing w:line="600" w:lineRule="exact"/>
        <w:jc w:val="left"/>
        <w:rPr>
          <w:rFonts w:ascii="宋体"/>
          <w:b/>
          <w:color w:val="000000"/>
          <w:sz w:val="44"/>
          <w:szCs w:val="44"/>
        </w:rPr>
      </w:pPr>
    </w:p>
    <w:p>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9.一般公共服务（类）民族事务（款）行政运行（项）：反映行政单位（包括实行公务员管理的事业单位）的基本支出。</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10.一般公共服务（类）民族事务（款）一般行政管理事务（项）：反映行政单位（包括实行公务员管理的事业单位）未单独设置项级科目的其他项目支出。</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11.一般公共服务（类）民族事务（款）民族工作专项（项）：反映用于民族事务管理方面的支出。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12.社会保障和就业（类）行政事业单位养老支出（款）机关事业单位基本养老保险缴费支出（项）：指机关事业单位实施养老保险制度由单位缴纳的基本养老保险费支出。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 社会保障和就业（类）行政事业单位养老支出（款）机关事业单位职业年金缴费支出（项）：指机关事业单位养老保险制度由单位缴纳的职业年金支出。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14.卫生健康支出（类）行政事业单位医疗（款）事业单位医疗（项）：指财政部门集中安排的事业单位基本医疗保险缴费。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15.住房保障（类）住房改革（款）住房公积金（项）：指行政事业单位按规定的标准和比例为职工缴纳的住房公积金。</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16.基本支出：指为保障机构正常运转、完成日常工作任务而发生的人员支出和公用支出。</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17.项目支出：指在基本支出之外为完成特定行政任务和事业发展目标所发生的支出。</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18.经营支出：指事业单位在专业业务活动及其辅助活动之外开展非独立核算经营活动发生的支出。</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rPr>
      </w:pPr>
      <w:bookmarkStart w:id="96" w:name="_Toc15377226"/>
      <w:r>
        <w:rPr>
          <w:rFonts w:ascii="宋体"/>
          <w:b/>
          <w:color w:val="000000"/>
          <w:sz w:val="44"/>
          <w:szCs w:val="44"/>
        </w:rPr>
        <w:br w:type="page"/>
      </w:r>
      <w:bookmarkStart w:id="97" w:name="_Toc79163880"/>
      <w:bookmarkStart w:id="98" w:name="_Toc79163630"/>
      <w:bookmarkStart w:id="99" w:name="_Toc15396614"/>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97"/>
      <w:bookmarkEnd w:id="98"/>
      <w:bookmarkEnd w:id="99"/>
    </w:p>
    <w:p>
      <w:pPr>
        <w:spacing w:line="600" w:lineRule="exact"/>
        <w:jc w:val="left"/>
        <w:outlineLvl w:val="0"/>
        <w:rPr>
          <w:rFonts w:ascii="方正小标宋简体" w:hAnsi="方正小标宋简体" w:eastAsia="方正小标宋简体" w:cs="方正小标宋简体"/>
          <w:sz w:val="32"/>
          <w:szCs w:val="32"/>
        </w:rPr>
      </w:pPr>
      <w:bookmarkStart w:id="100" w:name="_Toc79163881"/>
      <w:bookmarkStart w:id="101" w:name="_Toc79163631"/>
      <w:r>
        <w:rPr>
          <w:rFonts w:hint="eastAsia" w:ascii="黑体" w:hAnsi="黑体" w:eastAsia="黑体" w:cs="黑体"/>
          <w:sz w:val="32"/>
          <w:szCs w:val="32"/>
        </w:rPr>
        <w:t>附件</w:t>
      </w:r>
      <w:r>
        <w:rPr>
          <w:rFonts w:ascii="黑体" w:hAnsi="黑体" w:eastAsia="黑体" w:cs="黑体"/>
          <w:sz w:val="32"/>
          <w:szCs w:val="32"/>
        </w:rPr>
        <w:t>1</w:t>
      </w:r>
      <w:bookmarkEnd w:id="100"/>
      <w:bookmarkEnd w:id="101"/>
    </w:p>
    <w:p>
      <w:pPr>
        <w:spacing w:line="580" w:lineRule="exact"/>
        <w:jc w:val="center"/>
        <w:rPr>
          <w:rFonts w:ascii="方正小标宋简体" w:hAnsi="方正小标宋简体" w:eastAsia="方正小标宋简体" w:cs="方正小标宋简体"/>
          <w:sz w:val="44"/>
          <w:szCs w:val="44"/>
        </w:rPr>
      </w:pP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壤塘县娜泽求宗社区管理委员会</w:t>
      </w: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2022年度部门整体支出绩效评价自评报告</w:t>
      </w:r>
    </w:p>
    <w:p>
      <w:pPr>
        <w:spacing w:line="360" w:lineRule="auto"/>
        <w:jc w:val="center"/>
        <w:rPr>
          <w:rFonts w:ascii="宋体" w:hAnsi="宋体" w:cs="宋体"/>
          <w:kern w:val="0"/>
          <w:szCs w:val="21"/>
        </w:rPr>
      </w:pP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壤塘县娜泽求宗社区管理委员会机构性质：机关，机构地址：四川省壤塘县罗吾塘康德巷3号，单位负责人：文梅。</w:t>
      </w:r>
    </w:p>
    <w:p>
      <w:pPr>
        <w:spacing w:line="360"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olor w:val="000000"/>
          <w:sz w:val="32"/>
          <w:highlight w:val="white"/>
        </w:rPr>
        <w:t>壤塘娜泽求宗社区管理委员会共有1个股室，办公室</w:t>
      </w:r>
      <w:r>
        <w:rPr>
          <w:rFonts w:hint="eastAsia" w:ascii="仿宋_GB2312" w:hAnsi="仿宋_GB2312" w:eastAsia="仿宋_GB2312" w:cs="仿宋_GB2312"/>
          <w:sz w:val="32"/>
          <w:szCs w:val="32"/>
        </w:rPr>
        <w:t>。</w:t>
      </w:r>
    </w:p>
    <w:p>
      <w:pPr>
        <w:numPr>
          <w:ilvl w:val="0"/>
          <w:numId w:val="4"/>
        </w:num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olor w:val="000000"/>
          <w:sz w:val="32"/>
          <w:highlight w:val="white"/>
        </w:rPr>
        <w:t>依法加强安置点宗教事务管理严守法律底线，坚决</w:t>
      </w:r>
      <w:r>
        <w:rPr>
          <w:rStyle w:val="43"/>
          <w:rFonts w:ascii="仿宋_GB2312" w:hAnsi="仿宋_GB2312" w:eastAsia="仿宋_GB2312"/>
          <w:kern w:val="10"/>
          <w:sz w:val="32"/>
          <w:szCs w:val="32"/>
        </w:rPr>
        <w:t>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ascii="仿宋_GB2312" w:hAnsi="仿宋_GB2312" w:eastAsia="仿宋_GB2312" w:cs="仿宋_GB2312"/>
          <w:sz w:val="32"/>
          <w:szCs w:val="32"/>
        </w:rPr>
        <w:t>。</w:t>
      </w:r>
    </w:p>
    <w:p>
      <w:pPr>
        <w:numPr>
          <w:ilvl w:val="0"/>
          <w:numId w:val="4"/>
        </w:numPr>
        <w:spacing w:line="360"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人员情况：总编制8名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行政编制4人、事业编制4人</w:t>
      </w:r>
      <w:r>
        <w:rPr>
          <w:rFonts w:hint="eastAsia" w:ascii="仿宋_GB2312" w:hAnsi="仿宋_GB2312" w:eastAsia="仿宋_GB2312" w:cs="仿宋_GB2312"/>
          <w:sz w:val="32"/>
          <w:szCs w:val="32"/>
        </w:rPr>
        <w:t>。</w:t>
      </w:r>
    </w:p>
    <w:p>
      <w:pPr>
        <w:spacing w:line="360"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pStyle w:val="44"/>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2022年财政下达壤塘县娜泽求宗社区管理委员会年初预算收入148.33万元，年初结转和结余18.79万元，执行期中追加收入</w:t>
      </w:r>
      <w:r>
        <w:rPr>
          <w:rFonts w:ascii="仿宋_GB2312" w:hAnsi="仿宋_GB2312" w:eastAsia="仿宋_GB2312" w:cs="仿宋_GB2312"/>
          <w:sz w:val="32"/>
          <w:szCs w:val="32"/>
        </w:rPr>
        <w:t>58.14</w:t>
      </w:r>
      <w:r>
        <w:rPr>
          <w:rFonts w:hint="eastAsia" w:ascii="仿宋_GB2312" w:hAnsi="仿宋_GB2312" w:eastAsia="仿宋_GB2312" w:cs="仿宋_GB2312"/>
          <w:sz w:val="32"/>
          <w:szCs w:val="32"/>
        </w:rPr>
        <w:t xml:space="preserve">万元，全年实际收入合计为225.56万元，本年度无财政应返还额度。 </w:t>
      </w:r>
    </w:p>
    <w:p>
      <w:pPr>
        <w:pStyle w:val="44"/>
        <w:spacing w:line="360" w:lineRule="auto"/>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pPr>
        <w:pStyle w:val="44"/>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2022年壤塘县娜泽求宗社区管理委员会支出全年预算数共计</w:t>
      </w:r>
      <w:r>
        <w:rPr>
          <w:rFonts w:ascii="仿宋_GB2312" w:hAnsi="仿宋_GB2312" w:eastAsia="仿宋_GB2312" w:cs="仿宋_GB2312"/>
          <w:sz w:val="32"/>
          <w:szCs w:val="32"/>
        </w:rPr>
        <w:t>225.56</w:t>
      </w:r>
      <w:r>
        <w:rPr>
          <w:rFonts w:hint="eastAsia" w:ascii="仿宋_GB2312" w:hAnsi="仿宋_GB2312" w:eastAsia="仿宋_GB2312" w:cs="仿宋_GB2312"/>
          <w:sz w:val="32"/>
          <w:szCs w:val="32"/>
        </w:rPr>
        <w:t>万元，其中基本支出209.21万元，项目支出16.05万元。</w:t>
      </w:r>
    </w:p>
    <w:p>
      <w:pPr>
        <w:spacing w:line="360"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pPr>
        <w:pStyle w:val="44"/>
        <w:spacing w:line="360" w:lineRule="auto"/>
        <w:ind w:firstLine="643"/>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pPr>
        <w:pStyle w:val="44"/>
        <w:spacing w:line="360" w:lineRule="auto"/>
        <w:ind w:firstLine="643"/>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1.部门整体绩效目标制定情况</w:t>
      </w:r>
    </w:p>
    <w:p>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（1）不断巩固拓展学习教育成果，加强作风纪律整顿推动廉政建设，以优异成绩喜迎二十大胜利召开。</w:t>
      </w:r>
    </w:p>
    <w:p>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（2）不断深化“两联一进”全覆盖，强化排忧解难办实事，以实干精神推动壤塘“155”战略高质量发。</w:t>
      </w:r>
    </w:p>
    <w:p>
      <w:pPr>
        <w:widowControl/>
        <w:tabs>
          <w:tab w:val="left" w:pos="5865"/>
        </w:tabs>
        <w:spacing w:line="560" w:lineRule="exact"/>
        <w:ind w:firstLine="640" w:firstLineChars="20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（3）不断强化疫情管控，扎实做好核酸检测、防疫消杀、卡点值守、人员排查等工作，坚决筑牢防疫屏障巩固好防疫成果。</w:t>
      </w:r>
    </w:p>
    <w:p>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（4）不断强化意识形态阵地管理，通过宣传教育、舆论引导、分析研判，牢牢掌握意识形态主动权和话语权。</w:t>
      </w:r>
    </w:p>
    <w:p>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（5）不断健全“三圈层”防控体系，着重稳控化解、情报信息收集研判，切实维护安置社区安全稳定的良好局面。</w:t>
      </w:r>
    </w:p>
    <w:p>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（6）不断加强法制宣传教育，着重卫生健康知识、民族团结进步教育，进一步夯实安置社区法治根基。</w:t>
      </w:r>
    </w:p>
    <w:p>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（7）不断强化风险隐患排查化解，坚持“干事不出事，干事出成效”，全力实现全年安全稳定无事故。</w:t>
      </w:r>
    </w:p>
    <w:p>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（8）不断推进“一寺一策”依法规范管理，深化“五美一安”创建，为建设“美丽幸福壤巴拉家园”凝心聚力。</w:t>
      </w:r>
    </w:p>
    <w:p>
      <w:pPr>
        <w:pStyle w:val="44"/>
        <w:spacing w:line="560" w:lineRule="exact"/>
        <w:ind w:firstLine="640"/>
        <w:rPr>
          <w:rStyle w:val="43"/>
          <w:rFonts w:ascii="仿宋_GB2312" w:hAnsi="仿宋_GB2312" w:eastAsia="仿宋_GB2312"/>
          <w:kern w:val="10"/>
          <w:sz w:val="32"/>
          <w:szCs w:val="32"/>
        </w:rPr>
      </w:pPr>
      <w:r>
        <w:rPr>
          <w:rStyle w:val="43"/>
          <w:rFonts w:hint="eastAsia" w:ascii="仿宋_GB2312" w:hAnsi="仿宋_GB2312" w:eastAsia="仿宋_GB2312"/>
          <w:kern w:val="10"/>
          <w:sz w:val="32"/>
          <w:szCs w:val="32"/>
        </w:rPr>
        <w:t>（9）不断加强工会自身建设，积极为职工办好事办实事，努力打造过硬工会干部队伍。</w:t>
      </w:r>
    </w:p>
    <w:p>
      <w:pPr>
        <w:pStyle w:val="44"/>
        <w:spacing w:line="360" w:lineRule="auto"/>
        <w:ind w:firstLine="643"/>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2.部门整体绩效目标完成情况</w:t>
      </w:r>
    </w:p>
    <w:p>
      <w:pPr>
        <w:widowControl/>
        <w:tabs>
          <w:tab w:val="left" w:pos="5865"/>
        </w:tabs>
        <w:spacing w:line="600" w:lineRule="exact"/>
        <w:ind w:firstLine="640" w:firstLineChars="200"/>
        <w:rPr>
          <w:rFonts w:ascii="仿宋_GB2312" w:hAnsi="楷体_GB2312" w:eastAsia="仿宋_GB2312" w:cs="宋体"/>
          <w:color w:val="000000"/>
          <w:sz w:val="32"/>
          <w:szCs w:val="32"/>
        </w:rPr>
      </w:pPr>
      <w:r>
        <w:rPr>
          <w:rFonts w:hint="eastAsia" w:ascii="楷体" w:hAnsi="楷体" w:eastAsia="楷体" w:cs="楷体"/>
          <w:sz w:val="32"/>
          <w:szCs w:val="32"/>
        </w:rPr>
        <w:t>一是聚焦“政治三力”提升，不断深化“干+僧”管理模式。</w:t>
      </w:r>
      <w:r>
        <w:rPr>
          <w:rFonts w:hint="eastAsia" w:ascii="仿宋_GB2312" w:eastAsia="仿宋_GB2312"/>
          <w:sz w:val="32"/>
          <w:szCs w:val="32"/>
        </w:rPr>
        <w:t>今年以来，我委始终保持推进县委寺庙宗教工作“6个方向、14项重点任务”落地落实的战略定力，</w:t>
      </w:r>
      <w:r>
        <w:rPr>
          <w:rFonts w:hint="eastAsia" w:ascii="仿宋_GB2312" w:hAnsi="楷体_GB2312" w:eastAsia="仿宋_GB2312" w:cs="宋体"/>
          <w:color w:val="000000"/>
          <w:sz w:val="32"/>
          <w:szCs w:val="32"/>
        </w:rPr>
        <w:t>与社区民管会班子先后召开了6次“一寺一策”工作专题会，签订了“森林草原防灭火承诺书”“佛事活动安全承诺书”“疫情防控承诺书”，确保了“一寺一策”工作不断推进，在疫情防控期间、二十大召开期间，我委干部职工与社区民管会成员同抗疫、同巡逻、同执勤，形成了共同努力、共同维护、共同进步的强大合力；</w:t>
      </w:r>
    </w:p>
    <w:p>
      <w:pPr>
        <w:pStyle w:val="44"/>
        <w:spacing w:line="360" w:lineRule="auto"/>
        <w:ind w:firstLine="640"/>
        <w:rPr>
          <w:rFonts w:ascii="仿宋_GB2312" w:hAnsi="仿宋_GB2312" w:eastAsia="仿宋_GB2312" w:cs="仿宋_GB2312"/>
          <w:sz w:val="32"/>
          <w:szCs w:val="32"/>
        </w:rPr>
      </w:pPr>
      <w:r>
        <w:rPr>
          <w:rFonts w:hint="eastAsia" w:ascii="楷体" w:hAnsi="楷体" w:eastAsia="楷体" w:cs="楷体"/>
          <w:sz w:val="32"/>
          <w:szCs w:val="32"/>
        </w:rPr>
        <w:t>二是聚焦“五美一安”创建，持续整治社区环境卫生。</w:t>
      </w:r>
      <w:r>
        <w:rPr>
          <w:rFonts w:hint="eastAsia" w:ascii="仿宋_GB2312" w:hAnsi="楷体_GB2312" w:eastAsia="仿宋_GB2312" w:cs="宋体"/>
          <w:color w:val="000000"/>
          <w:sz w:val="32"/>
          <w:szCs w:val="32"/>
        </w:rPr>
        <w:t>深入践行习近平总书记生态保护发展理念，不断推进环境持续美、规划建设美、僧尼心灵美、遵纪守法美、文明礼貌美的社区创建工作，先后组织开展了20余次环境卫生大整治活动，开展了10余次环境卫生宣传教育活动，累计清理了30余处破旧经幡、清理了90余车垃圾，进一步增强了社区尼众的卫生意识、环保意识，形成了人人关心、人人参与的良好氛围，营造了干净、整洁、舒适的人居环境，有效推动了“美丽幸福壤巴拉”家园建设</w:t>
      </w:r>
      <w:r>
        <w:rPr>
          <w:rFonts w:hint="eastAsia" w:ascii="仿宋_GB2312" w:hAnsi="仿宋_GB2312" w:eastAsia="仿宋_GB2312" w:cs="仿宋_GB2312"/>
          <w:sz w:val="32"/>
          <w:szCs w:val="32"/>
        </w:rPr>
        <w:t>。</w:t>
      </w:r>
    </w:p>
    <w:p>
      <w:pPr>
        <w:pStyle w:val="44"/>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pPr>
        <w:pStyle w:val="44"/>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壤塘县娜泽求宗社区管理委员会</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rPr>
        <w:t>148.33万元，年初结转和结余18.79万元，执行期中追加收入</w:t>
      </w:r>
      <w:r>
        <w:rPr>
          <w:rFonts w:ascii="仿宋_GB2312" w:hAnsi="仿宋_GB2312" w:eastAsia="仿宋_GB2312" w:cs="仿宋_GB2312"/>
          <w:sz w:val="32"/>
          <w:szCs w:val="32"/>
        </w:rPr>
        <w:t>58.14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rPr>
        <w:t>225.26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年末无结转结余，</w:t>
      </w:r>
      <w:r>
        <w:rPr>
          <w:rFonts w:ascii="仿宋_GB2312" w:hAnsi="仿宋_GB2312" w:eastAsia="仿宋_GB2312" w:cs="仿宋_GB2312"/>
          <w:sz w:val="32"/>
          <w:szCs w:val="32"/>
        </w:rPr>
        <w:t>预算安排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为准确。</w:t>
      </w:r>
    </w:p>
    <w:p>
      <w:pPr>
        <w:pStyle w:val="44"/>
        <w:spacing w:line="360" w:lineRule="auto"/>
        <w:ind w:firstLine="643"/>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4.执行进度</w:t>
      </w:r>
    </w:p>
    <w:p>
      <w:pPr>
        <w:pStyle w:val="44"/>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2022年壤塘县娜泽求宗社区管理委员会财政拨款执行数</w:t>
      </w:r>
      <w:r>
        <w:rPr>
          <w:rFonts w:ascii="仿宋_GB2312" w:hAnsi="仿宋_GB2312" w:eastAsia="仿宋_GB2312" w:cs="仿宋_GB2312"/>
          <w:sz w:val="32"/>
          <w:szCs w:val="32"/>
        </w:rPr>
        <w:t>225.26</w:t>
      </w:r>
      <w:r>
        <w:rPr>
          <w:rFonts w:hint="eastAsia" w:ascii="仿宋_GB2312" w:hAnsi="仿宋_GB2312" w:eastAsia="仿宋_GB2312" w:cs="仿宋_GB2312"/>
          <w:sz w:val="32"/>
          <w:szCs w:val="32"/>
        </w:rPr>
        <w:t>万元，财政拨款调整预算数225.26万元，执行进度较高。</w:t>
      </w:r>
    </w:p>
    <w:p>
      <w:pPr>
        <w:pStyle w:val="44"/>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5.预算完成情况</w:t>
      </w:r>
    </w:p>
    <w:p>
      <w:pPr>
        <w:pStyle w:val="44"/>
        <w:spacing w:line="360" w:lineRule="auto"/>
        <w:ind w:firstLine="640"/>
        <w:rPr>
          <w:rFonts w:ascii="仿宋_GB2312" w:hAnsi="仿宋_GB2312" w:eastAsia="仿宋_GB2312" w:cs="仿宋_GB2312"/>
          <w:b/>
          <w:bCs/>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壤塘县娜泽求宗社区管理委员会</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rPr>
        <w:t>148.33万元，年初结转和结余18.79万元，执行期中追加收入</w:t>
      </w:r>
      <w:r>
        <w:rPr>
          <w:rFonts w:ascii="仿宋_GB2312" w:hAnsi="仿宋_GB2312" w:eastAsia="仿宋_GB2312" w:cs="仿宋_GB2312"/>
          <w:sz w:val="32"/>
          <w:szCs w:val="32"/>
        </w:rPr>
        <w:t>58.14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rPr>
        <w:t>225.26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，预算完成进度为100%，预算完成度较高。</w:t>
      </w:r>
    </w:p>
    <w:p>
      <w:pPr>
        <w:pStyle w:val="44"/>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6.违规纪录</w:t>
      </w:r>
    </w:p>
    <w:p>
      <w:pPr>
        <w:pStyle w:val="44"/>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截至2022年12月31日，我单位无违规纪录情况。</w:t>
      </w:r>
    </w:p>
    <w:p>
      <w:pPr>
        <w:pStyle w:val="44"/>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7.三公经费</w:t>
      </w:r>
    </w:p>
    <w:p>
      <w:pPr>
        <w:pStyle w:val="44"/>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控制。壤塘县娜泽求宗社区管理委员会2022年“三公”经费预算0万元，决算支出0万元。其中公务用车购置及运行维护费预算0万元，决算支出0万元（其中公务用车运行维护费0万元）,未发生因公出国（境）费及公务接待费，2022年“三公”经费决算均未超过预算。</w:t>
      </w:r>
    </w:p>
    <w:p>
      <w:pPr>
        <w:pStyle w:val="44"/>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8.政府采购</w:t>
      </w:r>
    </w:p>
    <w:p>
      <w:pPr>
        <w:pStyle w:val="44"/>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采购规范性。壤塘县娜泽求宗社区管理委员会2022年度政府采购货物支出0万元，政府采购工程支出0万元，政府采购服务支出0万元。</w:t>
      </w:r>
    </w:p>
    <w:p>
      <w:pPr>
        <w:pStyle w:val="44"/>
        <w:spacing w:line="360" w:lineRule="auto"/>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9.资产管理</w:t>
      </w:r>
      <w:r>
        <w:rPr>
          <w:rFonts w:hint="eastAsia" w:ascii="仿宋_GB2312" w:hAnsi="仿宋_GB2312" w:eastAsia="仿宋_GB2312" w:cs="仿宋_GB2312"/>
          <w:sz w:val="32"/>
          <w:szCs w:val="32"/>
        </w:rPr>
        <w:t xml:space="preserve">  </w:t>
      </w:r>
    </w:p>
    <w:p>
      <w:pPr>
        <w:pStyle w:val="44"/>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固定资产在用率。截止2022年12月31日，壤塘县娜泽求宗社区管理委员会《行政单位资产管理系统》固定资产总计70.74万元，在用的固定资产总计70.74万元，固定资产在用率达100%。</w:t>
      </w:r>
    </w:p>
    <w:p>
      <w:pPr>
        <w:pStyle w:val="44"/>
        <w:numPr>
          <w:ilvl w:val="0"/>
          <w:numId w:val="5"/>
        </w:numPr>
        <w:spacing w:line="360" w:lineRule="auto"/>
        <w:ind w:firstLine="643"/>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结果应用情况</w:t>
      </w:r>
    </w:p>
    <w:p>
      <w:pPr>
        <w:pStyle w:val="44"/>
        <w:spacing w:line="360" w:lineRule="auto"/>
        <w:ind w:firstLine="0" w:firstLineChars="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根据县财政局要求，我单位成立自评工作小组，组织实施本单位2022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pPr>
        <w:pStyle w:val="44"/>
        <w:spacing w:line="360" w:lineRule="auto"/>
        <w:ind w:firstLine="643"/>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pPr>
        <w:pStyle w:val="44"/>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pPr>
        <w:pStyle w:val="44"/>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我单位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单位将继续努力，科学合理编制预决算，进行绩效评价，加强精细管理，完善不足</w:t>
      </w:r>
      <w:r>
        <w:rPr>
          <w:rFonts w:hint="eastAsia" w:ascii="仿宋_GB2312" w:hAnsi="仿宋_GB2312" w:eastAsia="仿宋_GB2312" w:cs="仿宋_GB2312"/>
          <w:sz w:val="32"/>
          <w:szCs w:val="32"/>
        </w:rPr>
        <w:t>。</w:t>
      </w:r>
    </w:p>
    <w:p>
      <w:pPr>
        <w:pStyle w:val="44"/>
        <w:spacing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（二）存在问题</w:t>
      </w:r>
    </w:p>
    <w:p>
      <w:pPr>
        <w:widowControl/>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1.执行期间根据工作安排和开展情况追加收入较多，年初预算数与调整预算数差别较大，预算安排不为准确</w:t>
      </w:r>
      <w:r>
        <w:rPr>
          <w:rFonts w:hint="eastAsia" w:ascii="仿宋_GB2312" w:hAnsi="仿宋_GB2312" w:eastAsia="仿宋_GB2312" w:cs="仿宋_GB2312"/>
          <w:sz w:val="32"/>
          <w:szCs w:val="32"/>
          <w:lang w:val="zh-CN"/>
        </w:rPr>
        <w:t>。</w:t>
      </w:r>
    </w:p>
    <w:p>
      <w:pPr>
        <w:widowControl/>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（三）改进建议</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1.加强预算安排准确性，尽量减少执行中期追加数。</w:t>
      </w:r>
    </w:p>
    <w:p>
      <w:pPr>
        <w:pStyle w:val="2"/>
        <w:ind w:left="0" w:leftChars="0" w:firstLine="0" w:firstLineChars="0"/>
      </w:pPr>
    </w:p>
    <w:p>
      <w:pPr>
        <w:spacing w:line="600" w:lineRule="exact"/>
        <w:jc w:val="center"/>
        <w:outlineLvl w:val="0"/>
        <w:rPr>
          <w:rStyle w:val="28"/>
          <w:rFonts w:ascii="黑体" w:hAnsi="黑体" w:eastAsia="黑体"/>
          <w:b w:val="0"/>
        </w:rPr>
      </w:pPr>
      <w:bookmarkStart w:id="102" w:name="_Toc79163635"/>
      <w:bookmarkStart w:id="103" w:name="_Toc15396618"/>
      <w:bookmarkStart w:id="104" w:name="_Toc79163885"/>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96"/>
      <w:bookmarkEnd w:id="102"/>
      <w:bookmarkEnd w:id="103"/>
      <w:bookmarkEnd w:id="104"/>
    </w:p>
    <w:p>
      <w:pPr>
        <w:pStyle w:val="4"/>
        <w:rPr>
          <w:rFonts w:ascii="仿宋" w:hAnsi="仿宋" w:eastAsia="仿宋"/>
          <w:color w:val="000000"/>
        </w:rPr>
      </w:pPr>
      <w:bookmarkStart w:id="105" w:name="_Toc79163886"/>
      <w:bookmarkStart w:id="106" w:name="_Toc79163636"/>
      <w:bookmarkStart w:id="107"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105"/>
      <w:bookmarkEnd w:id="106"/>
      <w:bookmarkEnd w:id="107"/>
    </w:p>
    <w:p>
      <w:pPr>
        <w:pStyle w:val="4"/>
        <w:rPr>
          <w:rFonts w:ascii="仿宋" w:hAnsi="仿宋" w:eastAsia="仿宋"/>
          <w:color w:val="000000"/>
        </w:rPr>
      </w:pPr>
      <w:bookmarkStart w:id="108" w:name="_Toc79163887"/>
      <w:bookmarkStart w:id="109" w:name="_Toc79163637"/>
      <w:bookmarkStart w:id="110"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108"/>
      <w:bookmarkEnd w:id="109"/>
      <w:bookmarkEnd w:id="110"/>
    </w:p>
    <w:p>
      <w:pPr>
        <w:pStyle w:val="4"/>
        <w:rPr>
          <w:rFonts w:ascii="仿宋" w:hAnsi="仿宋" w:eastAsia="仿宋"/>
          <w:color w:val="000000"/>
        </w:rPr>
      </w:pPr>
      <w:bookmarkStart w:id="111" w:name="_Toc79163638"/>
      <w:bookmarkStart w:id="112" w:name="_Toc15396621"/>
      <w:bookmarkStart w:id="113" w:name="_Toc7916388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11"/>
      <w:bookmarkEnd w:id="112"/>
      <w:bookmarkEnd w:id="113"/>
    </w:p>
    <w:p>
      <w:pPr>
        <w:pStyle w:val="4"/>
        <w:rPr>
          <w:rFonts w:ascii="仿宋" w:hAnsi="仿宋" w:eastAsia="仿宋"/>
          <w:b w:val="0"/>
          <w:color w:val="000000"/>
        </w:rPr>
      </w:pPr>
      <w:bookmarkStart w:id="114" w:name="_Toc15396622"/>
      <w:bookmarkStart w:id="115" w:name="_Toc79163639"/>
      <w:bookmarkStart w:id="116" w:name="_Toc79163889"/>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14"/>
      <w:bookmarkEnd w:id="115"/>
      <w:bookmarkEnd w:id="116"/>
    </w:p>
    <w:p>
      <w:pPr>
        <w:pStyle w:val="4"/>
        <w:rPr>
          <w:rStyle w:val="29"/>
          <w:rFonts w:ascii="仿宋" w:hAnsi="仿宋" w:eastAsia="仿宋"/>
          <w:b w:val="0"/>
          <w:bCs w:val="0"/>
        </w:rPr>
      </w:pPr>
      <w:bookmarkStart w:id="117" w:name="_Toc79163640"/>
      <w:bookmarkStart w:id="118" w:name="_Toc79163890"/>
      <w:bookmarkStart w:id="119"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17"/>
      <w:bookmarkEnd w:id="118"/>
      <w:bookmarkEnd w:id="119"/>
      <w:bookmarkStart w:id="120" w:name="_Toc15396624"/>
    </w:p>
    <w:bookmarkEnd w:id="120"/>
    <w:p>
      <w:pPr>
        <w:pStyle w:val="4"/>
        <w:rPr>
          <w:rFonts w:ascii="仿宋" w:hAnsi="仿宋" w:eastAsia="仿宋"/>
          <w:color w:val="000000"/>
        </w:rPr>
      </w:pPr>
      <w:bookmarkStart w:id="121" w:name="_Toc79163641"/>
      <w:bookmarkStart w:id="122" w:name="_Toc79163891"/>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1"/>
      <w:bookmarkEnd w:id="122"/>
    </w:p>
    <w:p>
      <w:pPr>
        <w:pStyle w:val="4"/>
        <w:rPr>
          <w:rFonts w:ascii="仿宋" w:hAnsi="仿宋" w:eastAsia="仿宋"/>
          <w:color w:val="000000"/>
        </w:rPr>
      </w:pPr>
      <w:bookmarkStart w:id="123" w:name="_Toc79163642"/>
      <w:bookmarkStart w:id="124" w:name="_Toc15396625"/>
      <w:bookmarkStart w:id="125" w:name="_Toc79163892"/>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23"/>
      <w:bookmarkEnd w:id="124"/>
      <w:bookmarkEnd w:id="125"/>
    </w:p>
    <w:p>
      <w:pPr>
        <w:pStyle w:val="4"/>
        <w:rPr>
          <w:rFonts w:ascii="仿宋" w:hAnsi="仿宋" w:eastAsia="仿宋"/>
          <w:color w:val="000000"/>
        </w:rPr>
      </w:pPr>
      <w:bookmarkStart w:id="126" w:name="_Toc79163643"/>
      <w:bookmarkStart w:id="127" w:name="_Toc79163893"/>
      <w:bookmarkStart w:id="128"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26"/>
      <w:bookmarkEnd w:id="127"/>
      <w:bookmarkEnd w:id="128"/>
    </w:p>
    <w:p>
      <w:pPr>
        <w:pStyle w:val="4"/>
        <w:rPr>
          <w:rFonts w:ascii="仿宋" w:hAnsi="仿宋" w:eastAsia="仿宋"/>
          <w:color w:val="000000"/>
        </w:rPr>
      </w:pPr>
      <w:bookmarkStart w:id="129" w:name="_Toc79163644"/>
      <w:bookmarkStart w:id="130" w:name="_Toc79163894"/>
      <w:bookmarkStart w:id="131"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29"/>
      <w:bookmarkEnd w:id="130"/>
      <w:bookmarkEnd w:id="131"/>
    </w:p>
    <w:p>
      <w:pPr>
        <w:pStyle w:val="4"/>
        <w:rPr>
          <w:rFonts w:ascii="仿宋" w:hAnsi="仿宋" w:eastAsia="仿宋"/>
          <w:color w:val="000000"/>
        </w:rPr>
      </w:pPr>
      <w:bookmarkStart w:id="132" w:name="_Toc15396628"/>
      <w:bookmarkStart w:id="133" w:name="_Toc79163895"/>
      <w:bookmarkStart w:id="134" w:name="_Toc79163645"/>
      <w:r>
        <w:rPr>
          <w:rStyle w:val="29"/>
          <w:rFonts w:hint="eastAsia" w:ascii="仿宋" w:hAnsi="仿宋" w:eastAsia="仿宋"/>
          <w:b w:val="0"/>
          <w:bCs w:val="0"/>
        </w:rPr>
        <w:t>十、</w:t>
      </w:r>
      <w:bookmarkEnd w:id="132"/>
      <w:bookmarkEnd w:id="133"/>
      <w:bookmarkEnd w:id="134"/>
      <w:bookmarkStart w:id="135" w:name="_Toc79163646"/>
      <w:bookmarkStart w:id="136" w:name="_Toc79163896"/>
      <w:bookmarkStart w:id="137" w:name="_Toc15396629"/>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35"/>
      <w:bookmarkEnd w:id="136"/>
      <w:bookmarkEnd w:id="137"/>
    </w:p>
    <w:p>
      <w:pPr>
        <w:pStyle w:val="4"/>
        <w:rPr>
          <w:rStyle w:val="29"/>
          <w:rFonts w:ascii="仿宋" w:hAnsi="仿宋" w:eastAsia="仿宋"/>
          <w:b w:val="0"/>
          <w:bCs w:val="0"/>
        </w:rPr>
      </w:pPr>
      <w:bookmarkStart w:id="138" w:name="_Toc79163897"/>
      <w:bookmarkStart w:id="139" w:name="_Toc79163647"/>
      <w:bookmarkStart w:id="140" w:name="_Toc15396630"/>
      <w:r>
        <w:rPr>
          <w:rStyle w:val="29"/>
          <w:rFonts w:hint="eastAsia" w:ascii="仿宋" w:hAnsi="仿宋" w:eastAsia="仿宋"/>
          <w:b w:val="0"/>
          <w:bCs w:val="0"/>
        </w:rPr>
        <w:t>十</w:t>
      </w:r>
      <w:bookmarkEnd w:id="138"/>
      <w:bookmarkEnd w:id="139"/>
      <w:bookmarkEnd w:id="140"/>
      <w:bookmarkStart w:id="141" w:name="_Toc79163648"/>
      <w:bookmarkStart w:id="142" w:name="_Toc15396631"/>
      <w:bookmarkStart w:id="143" w:name="_Toc79163898"/>
      <w:r>
        <w:rPr>
          <w:rStyle w:val="29"/>
          <w:rFonts w:hint="eastAsia" w:ascii="仿宋" w:hAnsi="仿宋" w:eastAsia="仿宋"/>
          <w:b w:val="0"/>
          <w:bCs w:val="0"/>
        </w:rPr>
        <w:t>一、</w:t>
      </w:r>
      <w:r>
        <w:rPr>
          <w:rFonts w:hint="eastAsia" w:ascii="仿宋" w:hAnsi="仿宋" w:eastAsia="仿宋"/>
          <w:b w:val="0"/>
          <w:color w:val="000000"/>
        </w:rPr>
        <w:t>国</w:t>
      </w:r>
      <w:r>
        <w:rPr>
          <w:rStyle w:val="29"/>
          <w:rFonts w:hint="eastAsia" w:ascii="仿宋" w:hAnsi="仿宋" w:eastAsia="仿宋"/>
          <w:b w:val="0"/>
          <w:bCs w:val="0"/>
        </w:rPr>
        <w:t>有资本经营预算财政拨款收入支出决算表</w:t>
      </w:r>
      <w:bookmarkEnd w:id="141"/>
      <w:bookmarkEnd w:id="142"/>
      <w:bookmarkEnd w:id="143"/>
    </w:p>
    <w:p>
      <w:pPr>
        <w:pStyle w:val="4"/>
        <w:rPr>
          <w:rStyle w:val="29"/>
          <w:rFonts w:ascii="仿宋" w:hAnsi="仿宋" w:eastAsia="仿宋"/>
          <w:b w:val="0"/>
          <w:bCs w:val="0"/>
        </w:rPr>
      </w:pPr>
      <w:bookmarkStart w:id="144" w:name="_Toc79163649"/>
      <w:bookmarkStart w:id="145" w:name="_Toc79163899"/>
      <w:r>
        <w:rPr>
          <w:rStyle w:val="29"/>
          <w:rFonts w:hint="eastAsia" w:ascii="仿宋" w:hAnsi="仿宋" w:eastAsia="仿宋"/>
          <w:b w:val="0"/>
          <w:bCs w:val="0"/>
        </w:rPr>
        <w:t>十二、国有资本经营预算财政拨款支出决算表</w:t>
      </w:r>
      <w:bookmarkEnd w:id="144"/>
      <w:bookmarkEnd w:id="145"/>
    </w:p>
    <w:p>
      <w:r>
        <w:rPr>
          <w:rStyle w:val="29"/>
          <w:rFonts w:hint="eastAsia" w:ascii="仿宋" w:hAnsi="仿宋" w:eastAsia="仿宋"/>
          <w:b w:val="0"/>
          <w:bCs w:val="0"/>
        </w:rPr>
        <w:t>十三、财政拨款“三公”经费支出决算表</w:t>
      </w:r>
    </w:p>
    <w:p>
      <w:pPr>
        <w:pStyle w:val="4"/>
        <w:rPr>
          <w:rStyle w:val="29"/>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33080"/>
    <w:multiLevelType w:val="singleLevel"/>
    <w:tmpl w:val="ACE3308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27BE6324"/>
    <w:multiLevelType w:val="singleLevel"/>
    <w:tmpl w:val="27BE6324"/>
    <w:lvl w:ilvl="0" w:tentative="0">
      <w:start w:val="2"/>
      <w:numFmt w:val="chineseCounting"/>
      <w:suff w:val="nothing"/>
      <w:lvlText w:val="（%1）"/>
      <w:lvlJc w:val="left"/>
      <w:rPr>
        <w:rFonts w:hint="eastAsia"/>
      </w:rPr>
    </w:lvl>
  </w:abstractNum>
  <w:abstractNum w:abstractNumId="4">
    <w:nsid w:val="7EED1195"/>
    <w:multiLevelType w:val="singleLevel"/>
    <w:tmpl w:val="7EED1195"/>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VhNGFmY2RjOTA2YWM3MDZjMGM3NzMyOWZiOWU3Mj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27634"/>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2DF6"/>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20EE"/>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2BC7"/>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A2A6B"/>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51200B1"/>
    <w:rsid w:val="05B747B5"/>
    <w:rsid w:val="06FA704F"/>
    <w:rsid w:val="08674270"/>
    <w:rsid w:val="09844198"/>
    <w:rsid w:val="0A2032A3"/>
    <w:rsid w:val="0A5026DB"/>
    <w:rsid w:val="0B91295B"/>
    <w:rsid w:val="0C917B0E"/>
    <w:rsid w:val="0D1A52F9"/>
    <w:rsid w:val="0F9B4002"/>
    <w:rsid w:val="10C055FF"/>
    <w:rsid w:val="114C04A7"/>
    <w:rsid w:val="118107EC"/>
    <w:rsid w:val="11BD58B2"/>
    <w:rsid w:val="12C30C3D"/>
    <w:rsid w:val="13D44FA7"/>
    <w:rsid w:val="169923E1"/>
    <w:rsid w:val="16BB723D"/>
    <w:rsid w:val="18D53478"/>
    <w:rsid w:val="19094ED0"/>
    <w:rsid w:val="1D155CEE"/>
    <w:rsid w:val="210E5779"/>
    <w:rsid w:val="22BA200B"/>
    <w:rsid w:val="23B930CA"/>
    <w:rsid w:val="240371BF"/>
    <w:rsid w:val="29481B83"/>
    <w:rsid w:val="29FD04D3"/>
    <w:rsid w:val="2B6F5066"/>
    <w:rsid w:val="2E67780F"/>
    <w:rsid w:val="2E6C3ADF"/>
    <w:rsid w:val="2F0401BB"/>
    <w:rsid w:val="2FC101D2"/>
    <w:rsid w:val="303D5733"/>
    <w:rsid w:val="319F7F4E"/>
    <w:rsid w:val="326B7F22"/>
    <w:rsid w:val="34AE30A3"/>
    <w:rsid w:val="361374D2"/>
    <w:rsid w:val="396D4B38"/>
    <w:rsid w:val="3B4E6126"/>
    <w:rsid w:val="3D0C62A9"/>
    <w:rsid w:val="3D477BF1"/>
    <w:rsid w:val="3F47037C"/>
    <w:rsid w:val="3FEA2348"/>
    <w:rsid w:val="40F778EA"/>
    <w:rsid w:val="42755200"/>
    <w:rsid w:val="42864E7C"/>
    <w:rsid w:val="4449770F"/>
    <w:rsid w:val="464A0752"/>
    <w:rsid w:val="47971775"/>
    <w:rsid w:val="48B85449"/>
    <w:rsid w:val="4A235542"/>
    <w:rsid w:val="4C6365C5"/>
    <w:rsid w:val="4E606D65"/>
    <w:rsid w:val="4EBC7D13"/>
    <w:rsid w:val="4ECE2238"/>
    <w:rsid w:val="4F3F2E1E"/>
    <w:rsid w:val="50CC248F"/>
    <w:rsid w:val="52020AD7"/>
    <w:rsid w:val="52350508"/>
    <w:rsid w:val="529B480F"/>
    <w:rsid w:val="53AB0A82"/>
    <w:rsid w:val="595D1779"/>
    <w:rsid w:val="5DC664B8"/>
    <w:rsid w:val="5E0A6709"/>
    <w:rsid w:val="5E3E24F3"/>
    <w:rsid w:val="5F526256"/>
    <w:rsid w:val="5FC37F08"/>
    <w:rsid w:val="600734E4"/>
    <w:rsid w:val="61502C69"/>
    <w:rsid w:val="61F730E4"/>
    <w:rsid w:val="623600B0"/>
    <w:rsid w:val="626616D3"/>
    <w:rsid w:val="631A4274"/>
    <w:rsid w:val="67B37AAD"/>
    <w:rsid w:val="6850354E"/>
    <w:rsid w:val="69780FAF"/>
    <w:rsid w:val="6C4A05C8"/>
    <w:rsid w:val="6C845EBC"/>
    <w:rsid w:val="71724535"/>
    <w:rsid w:val="72020D13"/>
    <w:rsid w:val="72734D90"/>
    <w:rsid w:val="79725A1A"/>
    <w:rsid w:val="79BC6C95"/>
    <w:rsid w:val="79C773E8"/>
    <w:rsid w:val="7A6B246A"/>
    <w:rsid w:val="7B580C40"/>
    <w:rsid w:val="7D44147C"/>
    <w:rsid w:val="7E0429B9"/>
    <w:rsid w:val="7E3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rFonts w:ascii="Calibri" w:hAnsi="Calibri"/>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7"/>
    <w:qFormat/>
    <w:uiPriority w:val="99"/>
    <w:pPr>
      <w:spacing w:beforeLines="30"/>
    </w:pPr>
    <w:rPr>
      <w:rFonts w:ascii="仿宋_GB2312" w:eastAsia="仿宋_GB2312"/>
      <w:kern w:val="0"/>
      <w:sz w:val="24"/>
      <w:szCs w:val="20"/>
      <w:lang w:val="zh-CN"/>
    </w:rPr>
  </w:style>
  <w:style w:type="paragraph" w:styleId="8">
    <w:name w:val="Body Text Indent"/>
    <w:basedOn w:val="1"/>
    <w:next w:val="1"/>
    <w:qFormat/>
    <w:uiPriority w:val="0"/>
    <w:pPr>
      <w:spacing w:after="120"/>
      <w:ind w:left="420" w:leftChars="200"/>
    </w:pPr>
    <w:rPr>
      <w:rFonts w:ascii="Calibri" w:hAnsi="Calibri"/>
      <w:szCs w:val="2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2"/>
    <w:semiHidden/>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unhideWhenUsed/>
    <w:qFormat/>
    <w:uiPriority w:val="0"/>
    <w:pPr>
      <w:spacing w:before="100" w:beforeAutospacing="1" w:after="100" w:afterAutospacing="1"/>
    </w:pPr>
  </w:style>
  <w:style w:type="paragraph" w:styleId="21">
    <w:name w:val="Body Text First Indent 2"/>
    <w:basedOn w:val="8"/>
    <w:next w:val="1"/>
    <w:qFormat/>
    <w:uiPriority w:val="0"/>
    <w:pPr>
      <w:spacing w:line="360" w:lineRule="auto"/>
      <w:ind w:left="0" w:leftChars="0" w:firstLine="420" w:firstLineChars="200"/>
    </w:pPr>
    <w:rPr>
      <w:rFonts w:ascii="Times New Roman" w:hAnsi="Times New Roman"/>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paragraph" w:customStyle="1" w:styleId="26">
    <w:name w:val="BodyText1I2"/>
    <w:basedOn w:val="27"/>
    <w:next w:val="1"/>
    <w:qFormat/>
    <w:uiPriority w:val="0"/>
    <w:pPr>
      <w:tabs>
        <w:tab w:val="left" w:pos="960"/>
      </w:tabs>
      <w:ind w:firstLine="200" w:firstLineChars="200"/>
    </w:pPr>
  </w:style>
  <w:style w:type="paragraph" w:customStyle="1" w:styleId="27">
    <w:name w:val="BodyTextIndent"/>
    <w:basedOn w:val="1"/>
    <w:next w:val="26"/>
    <w:qFormat/>
    <w:uiPriority w:val="0"/>
    <w:pPr>
      <w:spacing w:after="120"/>
      <w:ind w:left="420" w:leftChars="200"/>
      <w:textAlignment w:val="baseline"/>
    </w:pPr>
  </w:style>
  <w:style w:type="character" w:customStyle="1" w:styleId="28">
    <w:name w:val="标题 1 Char"/>
    <w:basedOn w:val="23"/>
    <w:link w:val="3"/>
    <w:qFormat/>
    <w:locked/>
    <w:uiPriority w:val="9"/>
    <w:rPr>
      <w:rFonts w:ascii="Times New Roman" w:hAnsi="Times New Roman" w:cs="Times New Roman"/>
      <w:b/>
      <w:bCs/>
      <w:kern w:val="44"/>
      <w:sz w:val="44"/>
      <w:szCs w:val="44"/>
    </w:rPr>
  </w:style>
  <w:style w:type="character" w:customStyle="1" w:styleId="29">
    <w:name w:val="标题 2 Char"/>
    <w:basedOn w:val="23"/>
    <w:link w:val="4"/>
    <w:qFormat/>
    <w:locked/>
    <w:uiPriority w:val="9"/>
    <w:rPr>
      <w:rFonts w:ascii="Cambria" w:hAnsi="Cambria" w:eastAsia="宋体" w:cs="Times New Roman"/>
      <w:b/>
      <w:bCs/>
      <w:kern w:val="2"/>
      <w:sz w:val="32"/>
      <w:szCs w:val="32"/>
    </w:rPr>
  </w:style>
  <w:style w:type="character" w:customStyle="1" w:styleId="30">
    <w:name w:val="标题 3 Char"/>
    <w:basedOn w:val="23"/>
    <w:link w:val="5"/>
    <w:qFormat/>
    <w:locked/>
    <w:uiPriority w:val="9"/>
    <w:rPr>
      <w:rFonts w:ascii="Times New Roman" w:hAnsi="Times New Roman" w:cs="Times New Roman"/>
      <w:b/>
      <w:bCs/>
      <w:kern w:val="2"/>
      <w:sz w:val="32"/>
      <w:szCs w:val="32"/>
    </w:rPr>
  </w:style>
  <w:style w:type="character" w:customStyle="1" w:styleId="31">
    <w:name w:val="Body Text Char"/>
    <w:basedOn w:val="23"/>
    <w:semiHidden/>
    <w:qFormat/>
    <w:uiPriority w:val="99"/>
    <w:rPr>
      <w:rFonts w:ascii="Times New Roman" w:hAnsi="Times New Roman" w:cs="Times New Roman"/>
      <w:sz w:val="24"/>
      <w:szCs w:val="24"/>
    </w:rPr>
  </w:style>
  <w:style w:type="character" w:customStyle="1" w:styleId="32">
    <w:name w:val="批注框文本 Char"/>
    <w:basedOn w:val="23"/>
    <w:link w:val="12"/>
    <w:semiHidden/>
    <w:qFormat/>
    <w:locked/>
    <w:uiPriority w:val="99"/>
    <w:rPr>
      <w:rFonts w:ascii="Times New Roman" w:hAnsi="Times New Roman" w:cs="Times New Roman"/>
      <w:kern w:val="2"/>
      <w:sz w:val="18"/>
      <w:szCs w:val="18"/>
    </w:rPr>
  </w:style>
  <w:style w:type="character" w:customStyle="1" w:styleId="33">
    <w:name w:val="Footer Char"/>
    <w:basedOn w:val="23"/>
    <w:semiHidden/>
    <w:qFormat/>
    <w:uiPriority w:val="99"/>
    <w:rPr>
      <w:rFonts w:ascii="Times New Roman" w:hAnsi="Times New Roman" w:cs="Times New Roman"/>
      <w:sz w:val="18"/>
      <w:szCs w:val="18"/>
    </w:rPr>
  </w:style>
  <w:style w:type="character" w:customStyle="1" w:styleId="34">
    <w:name w:val="Header Char"/>
    <w:basedOn w:val="23"/>
    <w:semiHidden/>
    <w:qFormat/>
    <w:uiPriority w:val="99"/>
    <w:rPr>
      <w:rFonts w:ascii="Times New Roman" w:hAnsi="Times New Roman" w:cs="Times New Roman"/>
      <w:sz w:val="18"/>
      <w:szCs w:val="18"/>
    </w:rPr>
  </w:style>
  <w:style w:type="character" w:customStyle="1" w:styleId="35">
    <w:name w:val="页眉 Char"/>
    <w:link w:val="14"/>
    <w:semiHidden/>
    <w:qFormat/>
    <w:locked/>
    <w:uiPriority w:val="99"/>
    <w:rPr>
      <w:sz w:val="18"/>
    </w:rPr>
  </w:style>
  <w:style w:type="character" w:customStyle="1" w:styleId="36">
    <w:name w:val="页脚 Char"/>
    <w:link w:val="13"/>
    <w:qFormat/>
    <w:locked/>
    <w:uiPriority w:val="99"/>
    <w:rPr>
      <w:sz w:val="18"/>
    </w:rPr>
  </w:style>
  <w:style w:type="character" w:customStyle="1" w:styleId="37">
    <w:name w:val="正文文本 Char"/>
    <w:link w:val="7"/>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3">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4">
    <w:name w:val="列出段落1"/>
    <w:basedOn w:val="1"/>
    <w:qFormat/>
    <w:uiPriority w:val="34"/>
    <w:pPr>
      <w:ind w:firstLine="420" w:firstLineChars="200"/>
    </w:pPr>
    <w:rPr>
      <w:rFonts w:ascii="Calibri" w:hAnsi="Calibri"/>
    </w:rPr>
  </w:style>
  <w:style w:type="character" w:customStyle="1" w:styleId="45">
    <w:name w:val="15"/>
    <w:basedOn w:val="23"/>
    <w:qFormat/>
    <w:uiPriority w:val="0"/>
    <w:rPr>
      <w:rFonts w:hint="default" w:ascii="Cambria" w:hAnsi="Cambria" w:eastAsia="宋体" w:cs="Times New Roman"/>
      <w:b/>
      <w:bCs/>
      <w:kern w:val="2"/>
      <w:sz w:val="32"/>
      <w:szCs w:val="32"/>
    </w:rPr>
  </w:style>
  <w:style w:type="character" w:customStyle="1" w:styleId="46">
    <w:name w:val="10"/>
    <w:basedOn w:val="23"/>
    <w:qFormat/>
    <w:uiPriority w:val="0"/>
    <w:rPr>
      <w:rFonts w:hint="default" w:ascii="Times New Roman" w:hAnsi="Times New Roman" w:cs="Times New Roman"/>
    </w:rPr>
  </w:style>
  <w:style w:type="paragraph" w:customStyle="1" w:styleId="47">
    <w:name w:val="UserStyle_2"/>
    <w:basedOn w:val="1"/>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2021年</c:v>
                </c:pt>
                <c:pt idx="1">
                  <c:v>2022年</c:v>
                </c:pt>
              </c:strCache>
            </c:strRef>
          </c:cat>
          <c:val>
            <c:numRef>
              <c:f>[决算公开分析图表.xls]Sheet1!$A$4:$B$4</c:f>
              <c:numCache>
                <c:formatCode>#,##0.00</c:formatCode>
                <c:ptCount val="2"/>
                <c:pt idx="0">
                  <c:v>174.24</c:v>
                </c:pt>
                <c:pt idx="1">
                  <c:v>206.47</c:v>
                </c:pt>
              </c:numCache>
            </c:numRef>
          </c:val>
        </c:ser>
        <c:dLbls>
          <c:showLegendKey val="0"/>
          <c:showVal val="0"/>
          <c:showCatName val="0"/>
          <c:showSerName val="0"/>
          <c:showPercent val="0"/>
          <c:showBubbleSize val="0"/>
        </c:dLbls>
        <c:gapWidth val="219"/>
        <c:overlap val="-27"/>
        <c:axId val="81049472"/>
        <c:axId val="81051008"/>
      </c:barChart>
      <c:catAx>
        <c:axId val="810494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51008"/>
        <c:crosses val="autoZero"/>
        <c:auto val="1"/>
        <c:lblAlgn val="ctr"/>
        <c:lblOffset val="100"/>
        <c:noMultiLvlLbl val="0"/>
      </c:catAx>
      <c:valAx>
        <c:axId val="810510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49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2021年</c:v>
                </c:pt>
                <c:pt idx="1">
                  <c:v>2022年</c:v>
                </c:pt>
              </c:strCache>
            </c:strRef>
          </c:cat>
          <c:val>
            <c:numRef>
              <c:f>[决算公开分析图表.xls]Sheet1!$A$25:$B$25</c:f>
              <c:numCache>
                <c:formatCode>General</c:formatCode>
                <c:ptCount val="2"/>
                <c:pt idx="0">
                  <c:v>269.34</c:v>
                </c:pt>
                <c:pt idx="1" c:formatCode="#,##0.00">
                  <c:v>225.26</c:v>
                </c:pt>
              </c:numCache>
            </c:numRef>
          </c:val>
        </c:ser>
        <c:dLbls>
          <c:showLegendKey val="0"/>
          <c:showVal val="0"/>
          <c:showCatName val="0"/>
          <c:showSerName val="0"/>
          <c:showPercent val="0"/>
          <c:showBubbleSize val="0"/>
        </c:dLbls>
        <c:gapWidth val="219"/>
        <c:overlap val="-27"/>
        <c:axId val="81223040"/>
        <c:axId val="81241216"/>
      </c:barChart>
      <c:catAx>
        <c:axId val="812230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41216"/>
        <c:crosses val="autoZero"/>
        <c:auto val="1"/>
        <c:lblAlgn val="ctr"/>
        <c:lblOffset val="100"/>
        <c:noMultiLvlLbl val="0"/>
      </c:catAx>
      <c:valAx>
        <c:axId val="812412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2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[决算公开分析图表.xls]Sheet1!$D$45</c:f>
              <c:strCache>
                <c:ptCount val="1"/>
                <c:pt idx="0">
                  <c:v>一般公共预算财政拨款收入</c:v>
                </c:pt>
              </c:strCache>
            </c:strRef>
          </c:tx>
          <c:explosion val="0"/>
          <c:dPt>
            <c:idx val="0"/>
            <c:bubble3D val="0"/>
            <c:spPr>
              <a:solidFill>
                <a:schemeClr val="accent1"/>
              </a:solidFill>
              <a:ln w="19050">
                <a:solidFill>
                  <a:schemeClr val="lt1"/>
                </a:solidFill>
              </a:ln>
              <a:effectLst/>
            </c:spPr>
          </c:dPt>
          <c:dLbls>
            <c:delete val="1"/>
          </c:dLbls>
          <c:cat>
            <c:strRef>
              <c:f>[决算公开分析图表.xls]Sheet1!$D$45</c:f>
              <c:strCache>
                <c:ptCount val="1"/>
                <c:pt idx="0">
                  <c:v>一般公共预算财政拨款收入</c:v>
                </c:pt>
              </c:strCache>
            </c:strRef>
          </c:cat>
          <c:val>
            <c:numRef>
              <c:f>[决算公开分析图表.xls]Sheet1!$E$45</c:f>
              <c:numCache>
                <c:formatCode>General</c:formatCode>
                <c:ptCount val="1"/>
                <c:pt idx="0">
                  <c:v>178.1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394543574798779"/>
          <c:y val="0.865198722764838"/>
          <c:w val="0.394170714781402"/>
          <c:h val="0.074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[决算公开分析图表.xls]Sheet1!$C$62:$C$63</c:f>
              <c:strCache>
                <c:ptCount val="2"/>
                <c:pt idx="0">
                  <c:v>基本支出</c:v>
                </c:pt>
                <c:pt idx="1">
                  <c:v>项目支出</c:v>
                </c:pt>
              </c:strCache>
            </c:strRef>
          </c:cat>
          <c:val>
            <c:numRef>
              <c:f>[决算公开分析图表.xls]Sheet1!$D$62:$D$63</c:f>
              <c:numCache>
                <c:formatCode>#,##0.00</c:formatCode>
                <c:ptCount val="2"/>
                <c:pt idx="0">
                  <c:v>209.21</c:v>
                </c:pt>
                <c:pt idx="1">
                  <c:v>16.05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75618548254957"/>
          <c:y val="0.821440764766132"/>
          <c:w val="0.370965099131575"/>
          <c:h val="0.16319562990781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2021年</c:v>
                </c:pt>
                <c:pt idx="1">
                  <c:v>2022年</c:v>
                </c:pt>
              </c:strCache>
            </c:strRef>
          </c:cat>
          <c:val>
            <c:numRef>
              <c:f>[决算公开分析图表.xls]Sheet1!$A$4:$B$4</c:f>
              <c:numCache>
                <c:formatCode>#,##0.00</c:formatCode>
                <c:ptCount val="2"/>
                <c:pt idx="0">
                  <c:v>174.24</c:v>
                </c:pt>
                <c:pt idx="1">
                  <c:v>206.47</c:v>
                </c:pt>
              </c:numCache>
            </c:numRef>
          </c:val>
        </c:ser>
        <c:dLbls>
          <c:showLegendKey val="0"/>
          <c:showVal val="0"/>
          <c:showCatName val="0"/>
          <c:showSerName val="0"/>
          <c:showPercent val="0"/>
          <c:showBubbleSize val="0"/>
        </c:dLbls>
        <c:gapWidth val="219"/>
        <c:overlap val="-27"/>
        <c:axId val="82629376"/>
        <c:axId val="82630912"/>
      </c:barChart>
      <c:catAx>
        <c:axId val="826293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630912"/>
        <c:crosses val="autoZero"/>
        <c:auto val="1"/>
        <c:lblAlgn val="ctr"/>
        <c:lblOffset val="100"/>
        <c:noMultiLvlLbl val="0"/>
      </c:catAx>
      <c:valAx>
        <c:axId val="826309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62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2021年</c:v>
                </c:pt>
                <c:pt idx="1">
                  <c:v>2022年</c:v>
                </c:pt>
              </c:strCache>
            </c:strRef>
          </c:cat>
          <c:val>
            <c:numRef>
              <c:f>[决算公开分析图表.xls]Sheet1!$A$25:$B$25</c:f>
              <c:numCache>
                <c:formatCode>General</c:formatCode>
                <c:ptCount val="2"/>
                <c:pt idx="0">
                  <c:v>269.34</c:v>
                </c:pt>
                <c:pt idx="1" c:formatCode="#,##0.00">
                  <c:v>225.26</c:v>
                </c:pt>
              </c:numCache>
            </c:numRef>
          </c:val>
        </c:ser>
        <c:dLbls>
          <c:showLegendKey val="0"/>
          <c:showVal val="0"/>
          <c:showCatName val="0"/>
          <c:showSerName val="0"/>
          <c:showPercent val="0"/>
          <c:showBubbleSize val="0"/>
        </c:dLbls>
        <c:gapWidth val="219"/>
        <c:overlap val="-27"/>
        <c:axId val="84633088"/>
        <c:axId val="84634624"/>
      </c:barChart>
      <c:catAx>
        <c:axId val="846330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34624"/>
        <c:crosses val="autoZero"/>
        <c:auto val="1"/>
        <c:lblAlgn val="ctr"/>
        <c:lblOffset val="100"/>
        <c:noMultiLvlLbl val="0"/>
      </c:catAx>
      <c:valAx>
        <c:axId val="846346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33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[决算公开分析图表.xls]Sheet1!$A$120:$B$120</c:f>
              <c:strCache>
                <c:ptCount val="2"/>
                <c:pt idx="0">
                  <c:v>2021年</c:v>
                </c:pt>
                <c:pt idx="1">
                  <c:v>2022年</c:v>
                </c:pt>
              </c:strCache>
            </c:strRef>
          </c:cat>
          <c:val>
            <c:numRef>
              <c:f>[决算公开分析图表.xls]Sheet1!$A$121:$B$121</c:f>
              <c:numCache>
                <c:formatCode>General</c:formatCode>
                <c:ptCount val="2"/>
                <c:pt idx="0">
                  <c:v>269.34</c:v>
                </c:pt>
                <c:pt idx="1" c:formatCode="#,##0.00">
                  <c:v>225.26</c:v>
                </c:pt>
              </c:numCache>
            </c:numRef>
          </c:val>
        </c:ser>
        <c:dLbls>
          <c:showLegendKey val="0"/>
          <c:showVal val="0"/>
          <c:showCatName val="0"/>
          <c:showSerName val="0"/>
          <c:showPercent val="0"/>
          <c:showBubbleSize val="0"/>
        </c:dLbls>
        <c:gapWidth val="219"/>
        <c:overlap val="-27"/>
        <c:axId val="84657664"/>
        <c:axId val="84659200"/>
      </c:barChart>
      <c:catAx>
        <c:axId val="846576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59200"/>
        <c:crosses val="autoZero"/>
        <c:auto val="1"/>
        <c:lblAlgn val="ctr"/>
        <c:lblOffset val="100"/>
        <c:noMultiLvlLbl val="0"/>
      </c:catAx>
      <c:valAx>
        <c:axId val="84659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57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15802075019952"/>
          <c:y val="0.164305349968281"/>
          <c:w val="0.498403830806065"/>
          <c:h val="0.792345104673292"/>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delete val="1"/>
          </c:dLbls>
          <c:cat>
            <c:strRef>
              <c:f>[决算公开分析图表.xls]Sheet1!$C$144:$C$148</c:f>
              <c:strCache>
                <c:ptCount val="5"/>
                <c:pt idx="0">
                  <c:v>一般公共服务支出</c:v>
                </c:pt>
                <c:pt idx="1">
                  <c:v>公共安全支出</c:v>
                </c:pt>
                <c:pt idx="2">
                  <c:v>社会保障和就业支出</c:v>
                </c:pt>
                <c:pt idx="3">
                  <c:v>卫生健康支出</c:v>
                </c:pt>
                <c:pt idx="4">
                  <c:v>住房保障支出</c:v>
                </c:pt>
              </c:strCache>
            </c:strRef>
          </c:cat>
          <c:val>
            <c:numRef>
              <c:f>[决算公开分析图表.xls]Sheet1!$D$144:$D$148</c:f>
              <c:numCache>
                <c:formatCode>General</c:formatCode>
                <c:ptCount val="5"/>
                <c:pt idx="0">
                  <c:v>168.95</c:v>
                </c:pt>
                <c:pt idx="1">
                  <c:v>1.6</c:v>
                </c:pt>
                <c:pt idx="2">
                  <c:v>30.94</c:v>
                </c:pt>
                <c:pt idx="3">
                  <c:v>9.07</c:v>
                </c:pt>
                <c:pt idx="4">
                  <c:v>14.7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14964170296473"/>
          <c:y val="0.636029411764706"/>
          <c:w val="0.480820570465084"/>
          <c:h val="0.3341262975778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3BA4-4F24-4358-9122-9DF572B0207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7694</Words>
  <Characters>1738</Characters>
  <Lines>14</Lines>
  <Paragraphs>18</Paragraphs>
  <TotalTime>4</TotalTime>
  <ScaleCrop>false</ScaleCrop>
  <LinksUpToDate>false</LinksUpToDate>
  <CharactersWithSpaces>9414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苦才是人生</cp:lastModifiedBy>
  <cp:lastPrinted>2023-10-20T06:19:00Z</cp:lastPrinted>
  <dcterms:modified xsi:type="dcterms:W3CDTF">2023-10-20T06:41:37Z</dcterms:modified>
  <dc:title>阿坝州部门决算说明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39AA771BBC704703B4562F7665AD3080</vt:lpwstr>
  </property>
</Properties>
</file>