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193"/>
      <w:bookmarkStart w:id="2" w:name="_Toc15396475"/>
      <w:bookmarkStart w:id="3" w:name="_Toc15378441"/>
      <w:bookmarkStart w:id="4" w:name="_Toc15396597"/>
      <w:bookmarkStart w:id="5" w:name="_Toc15377425"/>
      <w:r>
        <w:rPr>
          <w:rFonts w:ascii="黑体" w:hAnsi="黑体" w:eastAsia="黑体"/>
          <w:sz w:val="72"/>
          <w:szCs w:val="72"/>
        </w:rPr>
        <w:t>202</w:t>
      </w:r>
      <w:r>
        <w:rPr>
          <w:rFonts w:hint="eastAsia" w:ascii="黑体" w:hAnsi="黑体" w:eastAsia="黑体"/>
          <w:sz w:val="72"/>
          <w:szCs w:val="72"/>
        </w:rPr>
        <w:t>1年度</w:t>
      </w:r>
      <w:bookmarkEnd w:id="1"/>
      <w:bookmarkEnd w:id="2"/>
      <w:bookmarkEnd w:id="3"/>
      <w:bookmarkEnd w:id="4"/>
      <w:bookmarkEnd w:id="5"/>
    </w:p>
    <w:bookmarkEnd w:id="0"/>
    <w:p>
      <w:pPr>
        <w:jc w:val="center"/>
        <w:rPr>
          <w:rFonts w:ascii="方正小标宋简体" w:eastAsia="方正小标宋简体"/>
          <w:sz w:val="72"/>
          <w:szCs w:val="72"/>
        </w:rPr>
      </w:pPr>
      <w:bookmarkStart w:id="6" w:name="_Toc15378442"/>
      <w:bookmarkStart w:id="7" w:name="_Toc15396598"/>
      <w:bookmarkStart w:id="8" w:name="_Toc15377426"/>
      <w:bookmarkStart w:id="9" w:name="_Toc15377194"/>
      <w:bookmarkStart w:id="10" w:name="_Toc15396476"/>
      <w:bookmarkStart w:id="11" w:name="_Toc15306268"/>
      <w:r>
        <w:rPr>
          <w:rFonts w:hint="eastAsia" w:ascii="方正小标宋简体" w:eastAsia="方正小标宋简体"/>
          <w:sz w:val="72"/>
          <w:szCs w:val="72"/>
          <w:lang w:eastAsia="zh-CN"/>
        </w:rPr>
        <w:t>阿坝州壤塘县娜泽求宗社区管理委员会</w:t>
      </w: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pStyle w:val="19"/>
        <w:rPr>
          <w:rFonts w:ascii="方正小标宋简体" w:hAnsi="宋体" w:eastAsia="方正小标宋简体"/>
          <w:sz w:val="36"/>
          <w:szCs w:val="36"/>
        </w:rPr>
      </w:pPr>
    </w:p>
    <w:p>
      <w:pPr>
        <w:rPr>
          <w:rFonts w:ascii="方正小标宋简体" w:hAnsi="宋体" w:eastAsia="方正小标宋简体"/>
          <w:sz w:val="36"/>
          <w:szCs w:val="36"/>
        </w:rPr>
      </w:pPr>
    </w:p>
    <w:p>
      <w:pPr>
        <w:pStyle w:val="19"/>
        <w:rPr>
          <w:rFonts w:ascii="方正小标宋简体" w:hAnsi="宋体" w:eastAsia="方正小标宋简体"/>
          <w:sz w:val="36"/>
          <w:szCs w:val="36"/>
        </w:rPr>
      </w:pPr>
    </w:p>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pStyle w:val="16"/>
        <w:jc w:val="center"/>
        <w:rPr>
          <w:rFonts w:hAnsiTheme="minorHAnsi"/>
          <w:b w:val="0"/>
          <w:bCs w:val="0"/>
          <w:sz w:val="24"/>
          <w:szCs w:val="24"/>
        </w:rPr>
      </w:pPr>
      <w:r>
        <w:rPr>
          <w:rFonts w:hint="eastAsia" w:hAnsiTheme="minorHAnsi"/>
          <w:b w:val="0"/>
          <w:bCs w:val="0"/>
          <w:sz w:val="24"/>
          <w:szCs w:val="24"/>
        </w:rPr>
        <w:t>公开时间：2022年</w:t>
      </w:r>
      <w:r>
        <w:rPr>
          <w:rFonts w:hint="eastAsia" w:hAnsiTheme="minorHAnsi"/>
          <w:b w:val="0"/>
          <w:bCs w:val="0"/>
          <w:sz w:val="24"/>
          <w:szCs w:val="24"/>
          <w:lang w:val="en-US" w:eastAsia="zh-CN"/>
        </w:rPr>
        <w:t>10</w:t>
      </w:r>
      <w:r>
        <w:rPr>
          <w:rFonts w:hint="eastAsia" w:hAnsiTheme="minorHAnsi"/>
          <w:b w:val="0"/>
          <w:bCs w:val="0"/>
          <w:sz w:val="24"/>
          <w:szCs w:val="24"/>
        </w:rPr>
        <w:t>月</w:t>
      </w:r>
      <w:r>
        <w:rPr>
          <w:rFonts w:hint="eastAsia" w:hAnsiTheme="minorHAnsi"/>
          <w:b w:val="0"/>
          <w:bCs w:val="0"/>
          <w:sz w:val="24"/>
          <w:szCs w:val="24"/>
          <w:lang w:val="en-US" w:eastAsia="zh-CN"/>
        </w:rPr>
        <w:t>19</w:t>
      </w:r>
      <w:r>
        <w:rPr>
          <w:rFonts w:hint="eastAsia" w:hAnsiTheme="minorHAnsi"/>
          <w:b w:val="0"/>
          <w:bCs w:val="0"/>
          <w:sz w:val="24"/>
          <w:szCs w:val="24"/>
        </w:rPr>
        <w:t>日</w:t>
      </w:r>
    </w:p>
    <w:p>
      <w:pPr>
        <w:pStyle w:val="16"/>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4</w:t>
      </w:r>
      <w:r>
        <w:fldChar w:fldCharType="end"/>
      </w:r>
    </w:p>
    <w:p>
      <w:pPr>
        <w:pStyle w:val="20"/>
        <w:tabs>
          <w:tab w:val="right" w:leader="dot" w:pos="8296"/>
        </w:tabs>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4</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Cs/>
          <w:color w:val="000000"/>
        </w:rPr>
        <w:t>（一）主要职能。</w:t>
      </w:r>
      <w:r>
        <w:tab/>
      </w:r>
      <w:r>
        <w:fldChar w:fldCharType="begin"/>
      </w:r>
      <w:r>
        <w:instrText xml:space="preserve"> PAGEREF _Toc79163853 \h </w:instrText>
      </w:r>
      <w:r>
        <w:fldChar w:fldCharType="separate"/>
      </w:r>
      <w:r>
        <w:t>4</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Cs/>
          <w:color w:val="000000"/>
        </w:rPr>
        <w:t>（二）202</w:t>
      </w:r>
      <w:r>
        <w:rPr>
          <w:rFonts w:hint="eastAsia" w:ascii="仿宋" w:hAnsi="仿宋" w:eastAsia="仿宋"/>
          <w:bCs/>
          <w:color w:val="000000"/>
        </w:rPr>
        <w:t>1</w:t>
      </w:r>
      <w:r>
        <w:rPr>
          <w:rFonts w:ascii="仿宋" w:hAnsi="仿宋" w:eastAsia="仿宋"/>
          <w:bCs/>
          <w:color w:val="000000"/>
        </w:rPr>
        <w:t>年重点工作完成情况。</w:t>
      </w:r>
      <w:r>
        <w:tab/>
      </w:r>
      <w:r>
        <w:fldChar w:fldCharType="begin"/>
      </w:r>
      <w:r>
        <w:instrText xml:space="preserve"> PAGEREF _Toc79163854 \h </w:instrText>
      </w:r>
      <w:r>
        <w:fldChar w:fldCharType="separate"/>
      </w:r>
      <w:r>
        <w:t>4</w:t>
      </w:r>
      <w:r>
        <w:fldChar w:fldCharType="end"/>
      </w:r>
    </w:p>
    <w:p>
      <w:pPr>
        <w:pStyle w:val="20"/>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6</w:t>
      </w:r>
      <w:r>
        <w:fldChar w:fldCharType="end"/>
      </w:r>
    </w:p>
    <w:p>
      <w:pPr>
        <w:pStyle w:val="16"/>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rPr>
        <w:t>1</w:t>
      </w:r>
      <w:r>
        <w:rPr>
          <w:rFonts w:ascii="黑体" w:hAnsi="黑体" w:eastAsia="黑体"/>
          <w:b w:val="0"/>
          <w:bCs w:val="0"/>
        </w:rPr>
        <w:t>年度部门决算情况说明</w:t>
      </w:r>
      <w:r>
        <w:tab/>
      </w:r>
      <w:r>
        <w:fldChar w:fldCharType="begin"/>
      </w:r>
      <w:r>
        <w:instrText xml:space="preserve"> PAGEREF _Toc79163859 \h </w:instrText>
      </w:r>
      <w:r>
        <w:fldChar w:fldCharType="separate"/>
      </w:r>
      <w:r>
        <w:t>7</w:t>
      </w:r>
      <w:r>
        <w:fldChar w:fldCharType="end"/>
      </w:r>
    </w:p>
    <w:p>
      <w:pPr>
        <w:pStyle w:val="20"/>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 xml:space="preserve">  </w:t>
      </w:r>
      <w:bookmarkStart w:id="150" w:name="_GoBack"/>
      <w:bookmarkEnd w:id="150"/>
      <w:r>
        <w:rPr>
          <w:rFonts w:hint="eastAsia"/>
          <w:lang w:val="en-US" w:eastAsia="zh-CN"/>
        </w:rPr>
        <w:t xml:space="preserve"> 7</w:t>
      </w:r>
    </w:p>
    <w:p>
      <w:pPr>
        <w:pStyle w:val="20"/>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8</w:t>
      </w:r>
    </w:p>
    <w:p>
      <w:pPr>
        <w:pStyle w:val="20"/>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8</w:t>
      </w:r>
    </w:p>
    <w:p>
      <w:pPr>
        <w:pStyle w:val="20"/>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9</w:t>
      </w:r>
      <w:r>
        <w:fldChar w:fldCharType="end"/>
      </w:r>
    </w:p>
    <w:p>
      <w:pPr>
        <w:pStyle w:val="20"/>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10</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10</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10</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11</w:t>
      </w:r>
      <w:r>
        <w:fldChar w:fldCharType="end"/>
      </w:r>
    </w:p>
    <w:p>
      <w:pPr>
        <w:pStyle w:val="20"/>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12</w:t>
      </w:r>
      <w:r>
        <w:fldChar w:fldCharType="end"/>
      </w:r>
    </w:p>
    <w:p>
      <w:pPr>
        <w:pStyle w:val="20"/>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13</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13</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13</w:t>
      </w:r>
      <w:r>
        <w:fldChar w:fldCharType="end"/>
      </w:r>
    </w:p>
    <w:p>
      <w:pPr>
        <w:pStyle w:val="20"/>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14</w:t>
      </w:r>
      <w:r>
        <w:fldChar w:fldCharType="end"/>
      </w:r>
    </w:p>
    <w:p>
      <w:pPr>
        <w:pStyle w:val="20"/>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14</w:t>
      </w:r>
      <w:r>
        <w:fldChar w:fldCharType="end"/>
      </w:r>
    </w:p>
    <w:p>
      <w:pPr>
        <w:pStyle w:val="20"/>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14</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14</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14</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15</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15</w:t>
      </w:r>
      <w:r>
        <w:fldChar w:fldCharType="end"/>
      </w:r>
    </w:p>
    <w:p>
      <w:pPr>
        <w:pStyle w:val="16"/>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17</w:t>
      </w:r>
      <w:r>
        <w:fldChar w:fldCharType="end"/>
      </w:r>
    </w:p>
    <w:p>
      <w:pPr>
        <w:pStyle w:val="16"/>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20</w:t>
      </w:r>
      <w:r>
        <w:fldChar w:fldCharType="end"/>
      </w:r>
    </w:p>
    <w:p>
      <w:pPr>
        <w:pStyle w:val="16"/>
        <w:tabs>
          <w:tab w:val="right" w:leader="dot" w:pos="8296"/>
        </w:tabs>
        <w:rPr>
          <w:rFonts w:hAnsiTheme="minorHAnsi" w:eastAsiaTheme="minorEastAsia" w:cstheme="minorBidi"/>
          <w:b w:val="0"/>
          <w:bCs w:val="0"/>
          <w:caps w:val="0"/>
          <w:sz w:val="21"/>
          <w:szCs w:val="22"/>
        </w:rPr>
      </w:pPr>
      <w:r>
        <w:rPr>
          <w:rFonts w:ascii="黑体" w:hAnsi="黑体" w:eastAsia="黑体" w:cs="黑体"/>
        </w:rPr>
        <w:t>附件1</w:t>
      </w:r>
      <w:r>
        <w:rPr>
          <w:rFonts w:hint="eastAsia" w:ascii="黑体" w:hAnsi="黑体" w:eastAsia="黑体" w:cs="黑体"/>
          <w:lang w:val="en-US" w:eastAsia="zh-CN"/>
        </w:rPr>
        <w:t>阿坝州壤塘县娜泽求宗社区管理委员会</w:t>
      </w:r>
      <w:r>
        <w:rPr>
          <w:rFonts w:ascii="黑体" w:hAnsi="黑体" w:eastAsia="黑体" w:cs="黑体"/>
        </w:rPr>
        <w:t>202</w:t>
      </w:r>
      <w:r>
        <w:rPr>
          <w:rFonts w:hint="eastAsia" w:ascii="黑体" w:hAnsi="黑体" w:eastAsia="黑体" w:cs="黑体"/>
        </w:rPr>
        <w:t>1年部门整体支出绩效评价</w:t>
      </w:r>
      <w:r>
        <w:rPr>
          <w:rFonts w:hint="eastAsia" w:ascii="黑体" w:hAnsi="黑体" w:eastAsia="黑体" w:cs="黑体"/>
          <w:lang w:val="en-US" w:eastAsia="zh-CN"/>
        </w:rPr>
        <w:t>报告</w:t>
      </w:r>
      <w:r>
        <w:rPr>
          <w:rFonts w:hint="eastAsia" w:ascii="黑体" w:hAnsi="黑体" w:eastAsia="黑体" w:cs="黑体"/>
          <w:lang w:val="en-US" w:eastAsia="zh-CN"/>
        </w:rPr>
        <w:tab/>
      </w:r>
      <w:r>
        <w:fldChar w:fldCharType="begin"/>
      </w:r>
      <w:r>
        <w:instrText xml:space="preserve"> PAGEREF _Toc79163881 \h </w:instrText>
      </w:r>
      <w:r>
        <w:fldChar w:fldCharType="separate"/>
      </w:r>
      <w:r>
        <w:t>20</w:t>
      </w:r>
      <w:r>
        <w:fldChar w:fldCharType="end"/>
      </w:r>
    </w:p>
    <w:p>
      <w:pPr>
        <w:pStyle w:val="16"/>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28</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28</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28</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28</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28</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28</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28</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28</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28</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28</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28</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28</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28</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rPr>
        <w:t>收入</w:t>
      </w:r>
      <w:r>
        <w:rPr>
          <w:rFonts w:ascii="仿宋" w:hAnsi="仿宋" w:eastAsia="仿宋"/>
        </w:rPr>
        <w:t>支出决算表</w:t>
      </w:r>
      <w:r>
        <w:tab/>
      </w:r>
      <w:r>
        <w:fldChar w:fldCharType="begin"/>
      </w:r>
      <w:r>
        <w:instrText xml:space="preserve"> PAGEREF _Toc79163898 \h </w:instrText>
      </w:r>
      <w:r>
        <w:fldChar w:fldCharType="separate"/>
      </w:r>
      <w:r>
        <w:t>28</w:t>
      </w:r>
      <w:r>
        <w:fldChar w:fldCharType="end"/>
      </w:r>
    </w:p>
    <w:p>
      <w:pPr>
        <w:pStyle w:val="20"/>
        <w:tabs>
          <w:tab w:val="right" w:leader="dot" w:pos="8296"/>
        </w:tabs>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28</w:t>
      </w:r>
      <w:r>
        <w:fldChar w:fldCharType="end"/>
      </w:r>
    </w:p>
    <w:p>
      <w:r>
        <w:rPr>
          <w:rFonts w:asciiTheme="minorHAnsi" w:eastAsiaTheme="minorHAnsi"/>
          <w:b/>
          <w:bCs/>
          <w:caps/>
          <w:sz w:val="20"/>
          <w:szCs w:val="20"/>
        </w:rPr>
        <w:fldChar w:fldCharType="end"/>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4"/>
        <w:jc w:val="center"/>
        <w:rPr>
          <w:rStyle w:val="28"/>
          <w:rFonts w:ascii="黑体" w:hAnsi="黑体" w:eastAsia="黑体"/>
          <w:b/>
          <w:bCs w:val="0"/>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8"/>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5"/>
        <w:keepNext/>
        <w:keepLines/>
        <w:pageBreakBefore w:val="0"/>
        <w:widowControl w:val="0"/>
        <w:numPr>
          <w:ilvl w:val="0"/>
          <w:numId w:val="1"/>
        </w:numPr>
        <w:kinsoku/>
        <w:wordWrap/>
        <w:overflowPunct/>
        <w:topLinePunct w:val="0"/>
        <w:autoSpaceDE/>
        <w:autoSpaceDN/>
        <w:bidi w:val="0"/>
        <w:adjustRightInd/>
        <w:snapToGrid/>
        <w:spacing w:line="560" w:lineRule="exact"/>
        <w:textAlignment w:val="auto"/>
        <w:rPr>
          <w:rStyle w:val="29"/>
          <w:rFonts w:hint="eastAsia" w:ascii="黑体" w:hAnsi="黑体" w:eastAsia="黑体"/>
          <w:b w:val="0"/>
          <w:bCs w:val="0"/>
        </w:rPr>
      </w:pPr>
      <w:bookmarkStart w:id="16" w:name="_Toc15377197"/>
      <w:bookmarkStart w:id="17" w:name="_Toc79163602"/>
      <w:bookmarkStart w:id="18" w:name="_Toc79163852"/>
      <w:bookmarkStart w:id="19" w:name="_Toc15396600"/>
      <w:r>
        <w:rPr>
          <w:rFonts w:hint="eastAsia" w:ascii="黑体" w:hAnsi="黑体" w:eastAsia="黑体"/>
          <w:b w:val="0"/>
          <w:color w:val="000000"/>
        </w:rPr>
        <w:t>基</w:t>
      </w:r>
      <w:r>
        <w:rPr>
          <w:rStyle w:val="29"/>
          <w:rFonts w:hint="eastAsia" w:ascii="黑体" w:hAnsi="黑体" w:eastAsia="黑体"/>
          <w:b w:val="0"/>
          <w:bCs w:val="0"/>
        </w:rPr>
        <w:t>本职能及主要工作</w:t>
      </w:r>
      <w:bookmarkEnd w:id="16"/>
      <w:bookmarkEnd w:id="17"/>
      <w:bookmarkEnd w:id="18"/>
      <w:bookmarkEnd w:id="19"/>
      <w:bookmarkStart w:id="20" w:name="_Toc79163603"/>
      <w:bookmarkStart w:id="21" w:name="_Toc79163853"/>
      <w:bookmarkStart w:id="22" w:name="_Toc15377198"/>
      <w:bookmarkStart w:id="23" w:name="_Toc15378445"/>
    </w:p>
    <w:p>
      <w:pPr>
        <w:pStyle w:val="5"/>
        <w:keepNext/>
        <w:keepLines/>
        <w:pageBreakBefore w:val="0"/>
        <w:widowControl w:val="0"/>
        <w:numPr>
          <w:ilvl w:val="0"/>
          <w:numId w:val="0"/>
        </w:numPr>
        <w:kinsoku/>
        <w:wordWrap/>
        <w:overflowPunct/>
        <w:topLinePunct w:val="0"/>
        <w:autoSpaceDE/>
        <w:autoSpaceDN/>
        <w:bidi w:val="0"/>
        <w:adjustRightInd/>
        <w:snapToGrid/>
        <w:spacing w:line="560" w:lineRule="exact"/>
        <w:textAlignment w:val="auto"/>
        <w:rPr>
          <w:rFonts w:ascii="仿宋" w:hAnsi="仿宋" w:eastAsia="仿宋"/>
          <w:bCs/>
          <w:color w:val="000000"/>
          <w:sz w:val="32"/>
          <w:szCs w:val="32"/>
        </w:rPr>
      </w:pPr>
      <w:r>
        <w:rPr>
          <w:rFonts w:hint="eastAsia" w:ascii="仿宋" w:hAnsi="仿宋" w:eastAsia="仿宋"/>
          <w:bCs/>
          <w:color w:val="000000"/>
          <w:sz w:val="32"/>
          <w:szCs w:val="32"/>
        </w:rPr>
        <w:t>（一）主要职能。</w:t>
      </w:r>
      <w:bookmarkEnd w:id="20"/>
      <w:bookmarkEnd w:id="21"/>
    </w:p>
    <w:bookmarkEnd w:id="22"/>
    <w:bookmarkEnd w:id="23"/>
    <w:p>
      <w:pPr>
        <w:pStyle w:val="8"/>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hAnsi="Times New Roman" w:cs="Times New Roman"/>
          <w:sz w:val="32"/>
          <w:szCs w:val="32"/>
        </w:rPr>
      </w:pPr>
      <w:r>
        <w:rPr>
          <w:rFonts w:hint="eastAsia"/>
          <w:sz w:val="32"/>
          <w:szCs w:val="32"/>
          <w:lang w:val="en-US" w:eastAsia="zh-CN"/>
        </w:rPr>
        <w:t>依法加强安置点宗教事务管理严守法律底线，坚决把以安置点、尼姑、宗教佛事活动管理为重点的宗教事务管理纳入依法管理轨道，牢牢掌握安置点领导权和管理权，做到不发生重大安全责任事故和稳定责任事故。推进社会公共服务进安置点充分保障安置点和尼姑普惠性待遇，做到“五通”（通路、通水、通电、通广播电视、通通讯）、“三有”（有党刊党报、有广播电视、有安置点书屋）、“三覆盖”（养老保险全覆盖、医疗保险制度全覆盖、民管会成员补助全覆盖）；落实符合条件僧尼的低保求助、五保供养、扶贫解困政策，实现“应保尽保”</w:t>
      </w:r>
      <w:r>
        <w:rPr>
          <w:rFonts w:hint="eastAsia" w:hAnsi="Times New Roman" w:cs="Times New Roman"/>
          <w:sz w:val="32"/>
          <w:szCs w:val="32"/>
          <w:lang w:eastAsia="zh-CN"/>
        </w:rPr>
        <w:t>。</w:t>
      </w:r>
    </w:p>
    <w:p>
      <w:pPr>
        <w:pStyle w:val="5"/>
        <w:bidi w:val="0"/>
        <w:rPr>
          <w:rFonts w:hint="eastAsia" w:ascii="宋体" w:hAnsi="宋体" w:eastAsia="宋体" w:cs="宋体"/>
        </w:rPr>
      </w:pPr>
      <w:bookmarkStart w:id="24" w:name="_Toc79163854"/>
      <w:bookmarkStart w:id="25" w:name="_Toc15378446"/>
      <w:bookmarkStart w:id="26" w:name="_Toc15377199"/>
      <w:bookmarkStart w:id="27" w:name="_Toc79163604"/>
      <w:r>
        <w:rPr>
          <w:rFonts w:hint="eastAsia" w:ascii="仿宋" w:hAnsi="仿宋" w:eastAsia="仿宋" w:cs="仿宋"/>
        </w:rPr>
        <w:t>（二）2021年重点工作完成情况</w:t>
      </w:r>
      <w:r>
        <w:rPr>
          <w:rFonts w:hint="eastAsia" w:ascii="宋体" w:hAnsi="宋体" w:eastAsia="宋体" w:cs="宋体"/>
        </w:rPr>
        <w:t>。</w:t>
      </w:r>
      <w:bookmarkEnd w:id="24"/>
      <w:bookmarkEnd w:id="25"/>
      <w:bookmarkEnd w:id="26"/>
      <w:bookmarkEnd w:id="27"/>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1、重点工作任务一：全面深入开展“两联一进”工作全覆盖，推动寺庙群众工作走深走细走实。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工作任务的内容：自“两联一进”寺庙群众工作全覆盖开展以来，我委干部职工始终一手抓业务工作，一手抓寺庙群众工作，先后20多次走村入户开展“联户联情”工作，150多次深入安置社区与尼众面对面交心谈心（集体座谈20余次，个别交谈70余次），认真倾听尼姑和群众在日常生活中存在的困难和诉求，并向他们送去党和政府的关怀和温暖，形成了主要领导负总责、分管领导具体抓、全体干部职工参与的工作格局。一是打好“法律、政策”牌。通过进觉康、入牧场，结合尼众和群众关心的问题，大力宣传党的十九大精神、《民法典》、医保政策、计生政策等惠民政策，为加快建设“一州两区三家园”奠定了坚实的群众基础保障；二是打好“感情、团结”牌。今年以来，州妇联和县妇联先后为安置社区觉姆姐妹送来160份爱心礼包（价值6万元），我委组织干部职工先后7次走访慰问困难尼姑和群众，为他们送去了米面油等价值1万元的生活物资，并通过与尼姑、群众共庆“三八”“七一”“国庆”等重大节日，开展丰富多彩的联谊活动，干尼关系、干群关系更加密切，安置社区更加稳定，尼众和群众生活更加幸福；三是办实事、解难题。今年我委积极协调县科农局为安置社区建设蔬菜暖棚3个（价值10万元），解决了尼姑长期吃不到新鲜菜的难题，协调上级部门为尼姑解决安置社区散水维修改造资金96余万元，解决了安置社区污水排放的难题，协调民政局、乡政府为5名困难尼姑申请办理了低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2、重点工作任务二：严格落实疫情防控要求，不断铸牢防疫安全屏障。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bCs/>
          <w:color w:val="000000"/>
          <w:sz w:val="32"/>
          <w:szCs w:val="32"/>
        </w:rPr>
      </w:pPr>
      <w:r>
        <w:rPr>
          <w:rFonts w:hint="eastAsia" w:ascii="仿宋_GB2312" w:hAnsi="Calibri" w:eastAsia="仿宋_GB2312" w:cs="仿宋_GB2312"/>
          <w:kern w:val="2"/>
          <w:sz w:val="32"/>
          <w:szCs w:val="32"/>
          <w:lang w:val="en-US" w:eastAsia="zh-CN" w:bidi="ar"/>
        </w:rPr>
        <w:t>工作任务的内容：一是高度重视、周密安排部署，严格落实防控工作责任制。今年以来，我委始终以对尼众负责的态度，不断完善防控方案，强化防控措施，先后13次深入安置社区开展防疫知识专题讲座，先后5次组织社区尼众到乡卫生院和县医院进行新冠疫苗接种，截止目前，安置社区疫苗全程接种率已达到100%；二是以最严措施、最严作风做好防疫工作。根据县委、县政府对疫情防控工作的部署要求，我委及时设置防疫卡点，认真排查外来人员、车辆出入登记，严格落实24小时值班值守制度，时刻保持信息畅通，及时向县应急指挥部申领防疫物资，先后为社区尼众发放防疫口罩2000个、消毒液200公斤、防疫手套100双、消毒凝胶30瓶、藏汉双语宣传资料300余份，组织干部职工和社区尼众开展全覆盖消毒50余次</w:t>
      </w:r>
      <w:r>
        <w:rPr>
          <w:rFonts w:hint="eastAsia" w:ascii="仿宋_GB2312" w:hAnsi="仿宋_GB2312" w:eastAsia="仿宋_GB2312" w:cs="仿宋_GB2312"/>
          <w:sz w:val="32"/>
          <w:szCs w:val="32"/>
          <w:lang w:val="en-US" w:eastAsia="zh-CN"/>
        </w:rPr>
        <w:t>。</w:t>
      </w:r>
    </w:p>
    <w:p>
      <w:pPr>
        <w:pStyle w:val="5"/>
        <w:pageBreakBefore w:val="0"/>
        <w:widowControl w:val="0"/>
        <w:kinsoku/>
        <w:wordWrap/>
        <w:overflowPunct/>
        <w:topLinePunct w:val="0"/>
        <w:bidi w:val="0"/>
        <w:spacing w:line="560" w:lineRule="exact"/>
        <w:textAlignment w:val="auto"/>
        <w:rPr>
          <w:rStyle w:val="29"/>
          <w:b w:val="0"/>
          <w:bCs w:val="0"/>
        </w:rPr>
      </w:pPr>
      <w:bookmarkStart w:id="28" w:name="_Toc15396601"/>
      <w:bookmarkStart w:id="29" w:name="_Toc15377200"/>
      <w:bookmarkStart w:id="30" w:name="_Toc79163605"/>
      <w:bookmarkStart w:id="31" w:name="_Toc79163855"/>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28"/>
      <w:bookmarkEnd w:id="29"/>
      <w:bookmarkEnd w:id="30"/>
      <w:bookmarkEnd w:id="31"/>
    </w:p>
    <w:p>
      <w:pPr>
        <w:pStyle w:val="8"/>
        <w:pageBreakBefore w:val="0"/>
        <w:widowControl w:val="0"/>
        <w:kinsoku/>
        <w:wordWrap/>
        <w:overflowPunct/>
        <w:topLinePunct w:val="0"/>
        <w:bidi w:val="0"/>
        <w:adjustRightInd w:val="0"/>
        <w:snapToGrid w:val="0"/>
        <w:spacing w:before="93" w:line="560" w:lineRule="exact"/>
        <w:ind w:firstLine="672" w:firstLineChars="210"/>
        <w:textAlignment w:val="auto"/>
        <w:rPr>
          <w:rFonts w:ascii="仿宋" w:hAnsi="仿宋" w:eastAsia="仿宋"/>
          <w:color w:val="000000"/>
          <w:kern w:val="0"/>
          <w:sz w:val="32"/>
          <w:szCs w:val="32"/>
        </w:rPr>
      </w:pPr>
      <w:bookmarkStart w:id="32" w:name="_Toc30939"/>
      <w:bookmarkStart w:id="33" w:name="_Toc12356"/>
      <w:bookmarkStart w:id="34" w:name="_Toc10699"/>
      <w:r>
        <w:rPr>
          <w:rFonts w:hint="eastAsia" w:hAnsi="仿宋" w:cs="Times New Roman"/>
          <w:b w:val="0"/>
          <w:bCs w:val="0"/>
          <w:kern w:val="2"/>
          <w:sz w:val="32"/>
          <w:szCs w:val="32"/>
          <w:highlight w:val="none"/>
          <w:lang w:val="en-US" w:eastAsia="zh-CN" w:bidi="ar-SA"/>
        </w:rPr>
        <w:t>阿坝州壤塘县娜泽求宗社区管理委员会</w:t>
      </w:r>
      <w:r>
        <w:rPr>
          <w:rFonts w:hint="eastAsia" w:ascii="仿宋_GB2312" w:hAnsi="仿宋" w:eastAsia="仿宋_GB2312" w:cs="Times New Roman"/>
          <w:b w:val="0"/>
          <w:bCs w:val="0"/>
          <w:kern w:val="2"/>
          <w:sz w:val="32"/>
          <w:szCs w:val="32"/>
          <w:highlight w:val="none"/>
          <w:lang w:val="en-US" w:eastAsia="zh-CN" w:bidi="ar-SA"/>
        </w:rPr>
        <w:t>无下属二级单位，本单位属</w:t>
      </w:r>
      <w:r>
        <w:rPr>
          <w:rFonts w:hint="eastAsia" w:hAnsi="仿宋" w:cs="Times New Roman"/>
          <w:b w:val="0"/>
          <w:bCs w:val="0"/>
          <w:kern w:val="2"/>
          <w:sz w:val="32"/>
          <w:szCs w:val="32"/>
          <w:highlight w:val="none"/>
          <w:lang w:val="en-US" w:eastAsia="zh-CN" w:bidi="ar-SA"/>
        </w:rPr>
        <w:t>行政</w:t>
      </w:r>
      <w:r>
        <w:rPr>
          <w:rFonts w:hint="eastAsia" w:ascii="仿宋_GB2312" w:hAnsi="仿宋" w:eastAsia="仿宋_GB2312" w:cs="Times New Roman"/>
          <w:b w:val="0"/>
          <w:bCs w:val="0"/>
          <w:kern w:val="2"/>
          <w:sz w:val="32"/>
          <w:szCs w:val="32"/>
          <w:highlight w:val="none"/>
          <w:lang w:val="en-US" w:eastAsia="zh-CN" w:bidi="ar-SA"/>
        </w:rPr>
        <w:t>单位。</w:t>
      </w:r>
      <w:bookmarkEnd w:id="32"/>
      <w:bookmarkEnd w:id="33"/>
      <w:bookmarkEnd w:id="34"/>
      <w:r>
        <w:rPr>
          <w:rFonts w:ascii="仿宋" w:hAnsi="仿宋" w:eastAsia="仿宋"/>
          <w:color w:val="000000"/>
          <w:sz w:val="32"/>
          <w:szCs w:val="32"/>
        </w:rPr>
        <w:br w:type="page"/>
      </w:r>
    </w:p>
    <w:p>
      <w:pPr>
        <w:pStyle w:val="4"/>
        <w:pageBreakBefore w:val="0"/>
        <w:widowControl w:val="0"/>
        <w:kinsoku/>
        <w:wordWrap/>
        <w:overflowPunct/>
        <w:topLinePunct w:val="0"/>
        <w:bidi w:val="0"/>
        <w:spacing w:line="560" w:lineRule="exact"/>
        <w:ind w:right="440"/>
        <w:jc w:val="right"/>
        <w:textAlignment w:val="auto"/>
        <w:rPr>
          <w:rStyle w:val="28"/>
          <w:rFonts w:ascii="黑体" w:hAnsi="黑体" w:eastAsia="黑体"/>
          <w:b w:val="0"/>
          <w:bCs w:val="0"/>
        </w:rPr>
      </w:pPr>
      <w:bookmarkStart w:id="35" w:name="_Toc15377204"/>
      <w:bookmarkStart w:id="36" w:name="_Toc79163609"/>
      <w:bookmarkStart w:id="37" w:name="_Toc15396602"/>
      <w:bookmarkStart w:id="38" w:name="_Toc79163859"/>
      <w:r>
        <w:rPr>
          <w:rFonts w:hint="eastAsia" w:ascii="黑体" w:hAnsi="黑体" w:eastAsia="黑体"/>
          <w:b w:val="0"/>
          <w:color w:val="000000"/>
        </w:rPr>
        <w:t>第二部分</w:t>
      </w:r>
      <w:r>
        <w:rPr>
          <w:rFonts w:ascii="黑体" w:hAnsi="黑体" w:eastAsia="黑体"/>
          <w:color w:val="000000"/>
        </w:rPr>
        <w:t xml:space="preserve"> </w:t>
      </w:r>
      <w:r>
        <w:rPr>
          <w:rStyle w:val="28"/>
          <w:rFonts w:ascii="黑体" w:hAnsi="黑体" w:eastAsia="黑体"/>
          <w:b w:val="0"/>
          <w:bCs w:val="0"/>
        </w:rPr>
        <w:t>202</w:t>
      </w:r>
      <w:r>
        <w:rPr>
          <w:rStyle w:val="28"/>
          <w:rFonts w:hint="eastAsia" w:ascii="黑体" w:hAnsi="黑体" w:eastAsia="黑体"/>
          <w:b w:val="0"/>
          <w:bCs w:val="0"/>
        </w:rPr>
        <w:t>1年度部门决算情况说明</w:t>
      </w:r>
      <w:bookmarkEnd w:id="35"/>
      <w:bookmarkEnd w:id="36"/>
      <w:bookmarkEnd w:id="37"/>
      <w:bookmarkEnd w:id="38"/>
    </w:p>
    <w:p>
      <w:pPr>
        <w:pStyle w:val="5"/>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一、收入支出决算总体情况说明</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2021年度收入总计174.24万元，与2020年相比，增加87.77万元，增长101.5%。主要变动原因：上年度7月成立，业务活动增加，相关经费增加; 支出总计269.34万元。与2020年相比，增加171.38万元，增长174.95%。主要变动原因:上年度7月成立，业务活动增加，相关经费支出增加。</w:t>
      </w:r>
    </w:p>
    <w:p>
      <w:pPr>
        <w:pStyle w:val="22"/>
        <w:keepNext w:val="0"/>
        <w:keepLines w:val="0"/>
        <w:widowControl w:val="0"/>
        <w:suppressLineNumbers w:val="0"/>
        <w:spacing w:before="0" w:beforeAutospacing="1" w:after="0" w:afterAutospacing="0" w:line="360" w:lineRule="auto"/>
        <w:ind w:left="0" w:leftChars="0" w:right="0" w:firstLine="0" w:firstLineChars="0"/>
        <w:jc w:val="right"/>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drawing>
          <wp:inline distT="0" distB="0" distL="114300" distR="114300">
            <wp:extent cx="4705350" cy="2576195"/>
            <wp:effectExtent l="4445" t="4445" r="14605" b="10160"/>
            <wp:docPr id="134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eastAsia" w:ascii="Times New Roman" w:hAnsi="Times New Roman" w:eastAsia="宋体" w:cs="Times New Roman"/>
          <w:kern w:val="2"/>
          <w:sz w:val="21"/>
          <w:szCs w:val="21"/>
          <w:lang w:val="en-US" w:eastAsia="zh-CN" w:bidi="ar"/>
        </w:rPr>
        <w:t xml:space="preserve"> </w:t>
      </w:r>
      <w:r>
        <w:rPr>
          <w:rFonts w:hint="eastAsia" w:ascii="Times New Roman" w:hAnsi="Times New Roman" w:eastAsia="宋体" w:cs="Times New Roman"/>
          <w:kern w:val="2"/>
          <w:sz w:val="21"/>
          <w:szCs w:val="21"/>
          <w:lang w:val="en-US" w:eastAsia="zh-CN" w:bidi="ar"/>
        </w:rPr>
        <w:drawing>
          <wp:inline distT="0" distB="0" distL="114300" distR="114300">
            <wp:extent cx="4617085" cy="2406015"/>
            <wp:effectExtent l="4445" t="4445" r="13970" b="15240"/>
            <wp:docPr id="133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1</w:t>
      </w:r>
      <w:r>
        <w:rPr>
          <w:rFonts w:hint="eastAsia" w:ascii="仿宋" w:hAnsi="仿宋" w:eastAsia="仿宋" w:cs="仿宋"/>
          <w:color w:val="000000"/>
          <w:kern w:val="2"/>
          <w:sz w:val="32"/>
          <w:szCs w:val="32"/>
          <w:lang w:val="en-US" w:eastAsia="zh-CN" w:bidi="ar"/>
        </w:rPr>
        <w:t>：收、支决算总计变动情况图）（柱状图）</w:t>
      </w:r>
    </w:p>
    <w:p>
      <w:pPr>
        <w:keepNext w:val="0"/>
        <w:keepLines w:val="0"/>
        <w:widowControl w:val="0"/>
        <w:suppressLineNumbers w:val="0"/>
        <w:spacing w:before="0" w:beforeAutospacing="0" w:after="0" w:afterAutospacing="0" w:line="560" w:lineRule="exact"/>
        <w:ind w:left="0" w:right="0" w:firstLine="640" w:firstLineChars="200"/>
        <w:jc w:val="left"/>
        <w:rPr>
          <w:rFonts w:hint="default" w:ascii="仿宋_GB2312" w:hAnsi="Times New Roman" w:eastAsia="仿宋_GB2312" w:cs="Times New Roman"/>
          <w:color w:val="000000"/>
          <w:kern w:val="2"/>
          <w:sz w:val="32"/>
          <w:szCs w:val="32"/>
        </w:rPr>
      </w:pPr>
      <w:r>
        <w:rPr>
          <w:rFonts w:hint="default" w:ascii="仿宋_GB2312" w:hAnsi="Times New Roman" w:eastAsia="仿宋_GB2312" w:cs="Times New Roman"/>
          <w:color w:val="000000"/>
          <w:kern w:val="2"/>
          <w:sz w:val="32"/>
          <w:szCs w:val="32"/>
          <w:lang w:val="en-US" w:eastAsia="zh-CN" w:bidi="ar"/>
        </w:rPr>
        <w:t xml:space="preserve"> </w:t>
      </w:r>
    </w:p>
    <w:p>
      <w:pPr>
        <w:pStyle w:val="5"/>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黑体" w:hAnsi="黑体" w:eastAsia="黑体" w:cs="Times New Roman"/>
          <w:b w:val="0"/>
          <w:bCs w:val="0"/>
          <w:color w:val="000000"/>
          <w:kern w:val="2"/>
          <w:sz w:val="32"/>
          <w:szCs w:val="32"/>
          <w:lang w:val="en-US" w:eastAsia="zh-CN" w:bidi="ar-SA"/>
        </w:rPr>
        <w:t>二、收入决算情况说明</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Times New Roman"/>
          <w:color w:val="000000"/>
          <w:kern w:val="2"/>
          <w:sz w:val="32"/>
          <w:szCs w:val="32"/>
          <w:lang w:val="en-US" w:eastAsia="zh-CN" w:bidi="ar"/>
        </w:rPr>
        <w:t>202</w:t>
      </w:r>
      <w:r>
        <w:rPr>
          <w:rFonts w:hint="eastAsia" w:ascii="仿宋" w:hAnsi="仿宋" w:eastAsia="仿宋" w:cs="仿宋"/>
          <w:color w:val="000000"/>
          <w:kern w:val="2"/>
          <w:sz w:val="32"/>
          <w:szCs w:val="32"/>
          <w:lang w:val="en-US" w:eastAsia="zh-CN" w:bidi="ar"/>
        </w:rPr>
        <w:t>1年本年收入合计174.24万元，其中：一般公共预算财政拨款收入174.24万元，占100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；政府性基金预算财政拨款收入0万元，占0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；上级补助收入0万元，占0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；事业收入0万元，占0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；经营收入0万元，占0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；附属单位上缴收入0万元，占0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；其他收入0万元，占0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w:t>
      </w:r>
    </w:p>
    <w:p>
      <w:pPr>
        <w:pStyle w:val="22"/>
        <w:keepNext w:val="0"/>
        <w:keepLines w:val="0"/>
        <w:widowControl w:val="0"/>
        <w:suppressLineNumbers w:val="0"/>
        <w:spacing w:before="0" w:beforeAutospacing="1" w:after="120" w:afterAutospacing="0" w:line="360" w:lineRule="auto"/>
        <w:ind w:left="0" w:leftChars="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drawing>
          <wp:inline distT="0" distB="0" distL="114300" distR="114300">
            <wp:extent cx="4371975" cy="2468880"/>
            <wp:effectExtent l="0" t="0" r="9525" b="762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tretch>
                      <a:fillRect/>
                    </a:stretch>
                  </pic:blipFill>
                  <pic:spPr>
                    <a:xfrm>
                      <a:off x="0" y="0"/>
                      <a:ext cx="4371975" cy="2468880"/>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2</w:t>
      </w:r>
      <w:r>
        <w:rPr>
          <w:rFonts w:hint="eastAsia" w:ascii="仿宋" w:hAnsi="仿宋" w:eastAsia="仿宋" w:cs="仿宋"/>
          <w:color w:val="000000"/>
          <w:kern w:val="2"/>
          <w:sz w:val="32"/>
          <w:szCs w:val="32"/>
          <w:lang w:val="en-US" w:eastAsia="zh-CN" w:bidi="ar"/>
        </w:rPr>
        <w:t>：收入决算结构图）（饼状图）</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color w:val="FF0000"/>
          <w:kern w:val="2"/>
          <w:sz w:val="32"/>
          <w:szCs w:val="32"/>
        </w:rPr>
      </w:pPr>
      <w:r>
        <w:rPr>
          <w:rFonts w:hint="default" w:ascii="仿宋_GB2312" w:hAnsi="Times New Roman" w:eastAsia="仿宋_GB2312" w:cs="Times New Roman"/>
          <w:color w:val="FF0000"/>
          <w:kern w:val="2"/>
          <w:sz w:val="32"/>
          <w:szCs w:val="32"/>
          <w:lang w:val="en-US" w:eastAsia="zh-CN" w:bidi="ar"/>
        </w:rPr>
        <w:t xml:space="preserve"> </w:t>
      </w:r>
    </w:p>
    <w:p>
      <w:pPr>
        <w:pStyle w:val="5"/>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Times New Roman"/>
          <w:b w:val="0"/>
          <w:bCs w:val="0"/>
          <w:color w:val="000000"/>
          <w:kern w:val="2"/>
          <w:sz w:val="32"/>
          <w:szCs w:val="32"/>
          <w:lang w:val="en-US" w:eastAsia="zh-CN" w:bidi="ar-SA"/>
        </w:rPr>
        <w:t>三、支出决算情况说</w:t>
      </w:r>
      <w:r>
        <w:rPr>
          <w:rFonts w:hint="eastAsia"/>
          <w:lang w:val="en-US" w:eastAsia="zh-CN"/>
        </w:rPr>
        <w:t>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sz w:val="32"/>
          <w:szCs w:val="32"/>
        </w:rPr>
      </w:pPr>
      <w:r>
        <w:rPr>
          <w:rFonts w:hint="default" w:ascii="仿宋_GB2312" w:hAnsi="Times New Roman" w:eastAsia="仿宋_GB2312" w:cs="Times New Roman"/>
          <w:kern w:val="2"/>
          <w:sz w:val="32"/>
          <w:szCs w:val="32"/>
          <w:lang w:val="en-US" w:eastAsia="zh-CN" w:bidi="ar"/>
        </w:rPr>
        <w:t>202</w:t>
      </w:r>
      <w:r>
        <w:rPr>
          <w:rFonts w:hint="default" w:ascii="仿宋_GB2312" w:hAnsi="Times New Roman" w:eastAsia="仿宋_GB2312" w:cs="仿宋_GB2312"/>
          <w:kern w:val="2"/>
          <w:sz w:val="32"/>
          <w:szCs w:val="32"/>
          <w:lang w:val="en-US" w:eastAsia="zh-CN" w:bidi="ar"/>
        </w:rPr>
        <w:t>1年本年支出合计269.34万元</w:t>
      </w:r>
      <w:r>
        <w:rPr>
          <w:rFonts w:hint="eastAsia" w:ascii="仿宋_GB2312" w:eastAsia="仿宋_GB2312"/>
          <w:sz w:val="32"/>
          <w:szCs w:val="32"/>
        </w:rPr>
        <w:t>，其中：基本支出185.24万元，占68.78%；项目支出84.09万元，占</w:t>
      </w:r>
      <w:r>
        <w:rPr>
          <w:rFonts w:hint="eastAsia" w:ascii="仿宋_GB2312" w:eastAsia="仿宋_GB2312"/>
          <w:sz w:val="32"/>
          <w:szCs w:val="32"/>
          <w:lang w:val="en-US" w:eastAsia="zh-CN"/>
        </w:rPr>
        <w:t>31.22</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rPr>
          <w:rFonts w:hint="eastAsia" w:ascii="仿宋_GB2312" w:eastAsia="仿宋_GB2312"/>
          <w:sz w:val="32"/>
          <w:szCs w:val="32"/>
        </w:rPr>
      </w:pPr>
    </w:p>
    <w:p>
      <w:pPr>
        <w:pStyle w:val="23"/>
        <w:jc w:val="center"/>
        <w:rPr>
          <w:rFonts w:ascii="仿宋" w:hAnsi="仿宋" w:eastAsia="仿宋"/>
          <w:color w:val="000000"/>
          <w:sz w:val="32"/>
          <w:szCs w:val="32"/>
          <w:shd w:val="pct10" w:color="auto" w:fill="FFFFFF"/>
        </w:rPr>
      </w:pPr>
      <w:r>
        <w:rPr>
          <w:rFonts w:ascii="仿宋" w:hAnsi="仿宋" w:eastAsia="仿宋"/>
          <w:color w:val="000000"/>
          <w:sz w:val="32"/>
          <w:szCs w:val="32"/>
          <w:shd w:val="pct10" w:color="auto" w:fill="FFFFFF"/>
        </w:rPr>
        <w:drawing>
          <wp:inline distT="0" distB="0" distL="114300" distR="114300">
            <wp:extent cx="4107180" cy="2176145"/>
            <wp:effectExtent l="4445" t="4445" r="15875" b="16510"/>
            <wp:docPr id="133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pageBreakBefore w:val="0"/>
        <w:widowControl w:val="0"/>
        <w:kinsoku/>
        <w:wordWrap/>
        <w:overflowPunct/>
        <w:topLinePunct w:val="0"/>
        <w:bidi w:val="0"/>
        <w:spacing w:line="560"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bidi w:val="0"/>
        <w:spacing w:line="560" w:lineRule="exact"/>
        <w:ind w:firstLine="640" w:firstLineChars="200"/>
        <w:textAlignment w:val="auto"/>
        <w:outlineLvl w:val="1"/>
        <w:rPr>
          <w:rStyle w:val="29"/>
          <w:rFonts w:ascii="黑体" w:hAnsi="黑体" w:eastAsia="黑体"/>
          <w:b w:val="0"/>
        </w:rPr>
      </w:pPr>
      <w:bookmarkStart w:id="39" w:name="_Toc15377208"/>
      <w:bookmarkStart w:id="40" w:name="_Toc79163613"/>
      <w:bookmarkStart w:id="41" w:name="_Toc15396606"/>
      <w:bookmarkStart w:id="42" w:name="_Toc79163863"/>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9"/>
      <w:bookmarkEnd w:id="40"/>
      <w:bookmarkEnd w:id="41"/>
      <w:bookmarkEnd w:id="42"/>
    </w:p>
    <w:p>
      <w:pPr>
        <w:pageBreakBefore w:val="0"/>
        <w:widowControl w:val="0"/>
        <w:kinsoku/>
        <w:wordWrap/>
        <w:overflowPunct/>
        <w:topLinePunct w:val="0"/>
        <w:bidi w:val="0"/>
        <w:spacing w:line="560" w:lineRule="exact"/>
        <w:ind w:firstLine="64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年财政拨款</w:t>
      </w:r>
      <w:r>
        <w:rPr>
          <w:rFonts w:hint="eastAsia" w:ascii="仿宋" w:hAnsi="仿宋" w:eastAsia="仿宋"/>
          <w:color w:val="000000"/>
          <w:sz w:val="32"/>
          <w:szCs w:val="32"/>
          <w:lang w:eastAsia="zh-CN"/>
        </w:rPr>
        <w:t>收入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 xml:space="preserve">174.24万元，与2020年相比，增加87.77万元，增长101.5%。主要变动原因：上年度7月成立，业务活动增加，相关经费增加; </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年财政拨款支出总计</w:t>
      </w:r>
      <w:r>
        <w:rPr>
          <w:rFonts w:hint="eastAsia" w:ascii="仿宋" w:hAnsi="仿宋" w:eastAsia="仿宋"/>
          <w:color w:val="000000"/>
          <w:sz w:val="32"/>
          <w:szCs w:val="32"/>
          <w:lang w:val="en-US" w:eastAsia="zh-CN"/>
        </w:rPr>
        <w:t>269.34万元，与2020年相比，增加171.38万元，增长174.95%。主要变动原因:上年度7月成立，业务活动增加，相关经费支出增加</w:t>
      </w:r>
      <w:r>
        <w:rPr>
          <w:rFonts w:hint="eastAsia" w:ascii="仿宋" w:hAnsi="仿宋" w:eastAsia="仿宋"/>
          <w:color w:val="000000"/>
          <w:sz w:val="32"/>
          <w:szCs w:val="32"/>
          <w:lang w:eastAsia="zh-CN"/>
        </w:rPr>
        <w:t>。</w:t>
      </w:r>
    </w:p>
    <w:p>
      <w:pPr>
        <w:pStyle w:val="23"/>
        <w:jc w:val="center"/>
        <w:rPr>
          <w:rFonts w:ascii="仿宋" w:hAnsi="仿宋" w:eastAsia="仿宋"/>
          <w:color w:val="000000"/>
          <w:sz w:val="32"/>
          <w:szCs w:val="32"/>
        </w:rPr>
      </w:pPr>
      <w:r>
        <w:rPr>
          <w:rFonts w:ascii="仿宋" w:hAnsi="仿宋" w:eastAsia="仿宋"/>
          <w:color w:val="000000"/>
          <w:sz w:val="32"/>
          <w:szCs w:val="32"/>
        </w:rPr>
        <w:drawing>
          <wp:inline distT="0" distB="0" distL="114300" distR="114300">
            <wp:extent cx="4208780" cy="2270760"/>
            <wp:effectExtent l="4445" t="4445" r="15875" b="10795"/>
            <wp:docPr id="133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仿宋" w:hAnsi="仿宋" w:eastAsia="仿宋"/>
          <w:color w:val="000000"/>
          <w:sz w:val="32"/>
          <w:szCs w:val="32"/>
        </w:rPr>
        <w:drawing>
          <wp:inline distT="0" distB="0" distL="114300" distR="114300">
            <wp:extent cx="4339590" cy="2130425"/>
            <wp:effectExtent l="4445" t="4445" r="12065" b="11430"/>
            <wp:docPr id="133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pageBreakBefore w:val="0"/>
        <w:widowControl w:val="0"/>
        <w:kinsoku/>
        <w:wordWrap/>
        <w:overflowPunct/>
        <w:topLinePunct w:val="0"/>
        <w:bidi w:val="0"/>
        <w:spacing w:line="560" w:lineRule="exact"/>
        <w:ind w:firstLine="640"/>
        <w:textAlignment w:val="auto"/>
        <w:rPr>
          <w:rFonts w:ascii="仿宋" w:hAnsi="仿宋" w:eastAsia="仿宋"/>
          <w:b/>
          <w:color w:val="00B050"/>
          <w:sz w:val="32"/>
          <w:szCs w:val="32"/>
        </w:rPr>
      </w:pPr>
    </w:p>
    <w:p>
      <w:pPr>
        <w:pageBreakBefore w:val="0"/>
        <w:widowControl w:val="0"/>
        <w:kinsoku/>
        <w:wordWrap/>
        <w:overflowPunct/>
        <w:topLinePunct w:val="0"/>
        <w:bidi w:val="0"/>
        <w:spacing w:line="560" w:lineRule="exact"/>
        <w:ind w:firstLine="640" w:firstLineChars="200"/>
        <w:textAlignment w:val="auto"/>
        <w:outlineLvl w:val="1"/>
        <w:rPr>
          <w:rStyle w:val="29"/>
          <w:rFonts w:ascii="黑体" w:hAnsi="黑体" w:eastAsia="黑体"/>
          <w:b w:val="0"/>
        </w:rPr>
      </w:pPr>
      <w:bookmarkStart w:id="43" w:name="_Toc79163864"/>
      <w:bookmarkStart w:id="44" w:name="_Toc79163614"/>
      <w:bookmarkStart w:id="45" w:name="_Toc15377209"/>
      <w:bookmarkStart w:id="46"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43"/>
      <w:bookmarkEnd w:id="44"/>
      <w:bookmarkEnd w:id="45"/>
      <w:bookmarkEnd w:id="46"/>
    </w:p>
    <w:p>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b/>
          <w:color w:val="000000"/>
          <w:sz w:val="32"/>
          <w:szCs w:val="32"/>
        </w:rPr>
      </w:pPr>
      <w:bookmarkStart w:id="47" w:name="_Toc79163615"/>
      <w:bookmarkStart w:id="48" w:name="_Toc15377210"/>
      <w:bookmarkStart w:id="49" w:name="_Toc79163865"/>
      <w:r>
        <w:rPr>
          <w:rFonts w:hint="eastAsia" w:ascii="仿宋" w:hAnsi="仿宋" w:eastAsia="仿宋"/>
          <w:b/>
          <w:color w:val="000000"/>
          <w:sz w:val="32"/>
          <w:szCs w:val="32"/>
        </w:rPr>
        <w:t>（一）一般公共预算财政拨款支出决算总体情况</w:t>
      </w:r>
      <w:bookmarkEnd w:id="47"/>
      <w:bookmarkEnd w:id="48"/>
      <w:bookmarkEnd w:id="49"/>
    </w:p>
    <w:p>
      <w:pPr>
        <w:pageBreakBefore w:val="0"/>
        <w:widowControl w:val="0"/>
        <w:kinsoku/>
        <w:wordWrap/>
        <w:overflowPunct/>
        <w:topLinePunct w:val="0"/>
        <w:bidi w:val="0"/>
        <w:spacing w:line="560" w:lineRule="exact"/>
        <w:ind w:firstLine="640" w:firstLineChars="200"/>
        <w:textAlignment w:val="auto"/>
        <w:rPr>
          <w:rFonts w:hint="eastAsia" w:ascii="仿宋" w:hAnsi="仿宋" w:eastAsia="仿宋"/>
          <w:color w:val="000000"/>
          <w:sz w:val="32"/>
          <w:szCs w:val="32"/>
          <w:lang w:val="en-US" w:eastAsia="zh-CN"/>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w:t>
      </w:r>
      <w:r>
        <w:rPr>
          <w:rFonts w:hint="eastAsia" w:ascii="仿宋" w:hAnsi="仿宋" w:eastAsia="仿宋"/>
          <w:color w:val="000000"/>
          <w:sz w:val="32"/>
          <w:szCs w:val="32"/>
          <w:lang w:val="en-US" w:eastAsia="zh-CN"/>
        </w:rPr>
        <w:t>269.34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20年相比，一般公共预算财政拨款</w:t>
      </w:r>
      <w:r>
        <w:rPr>
          <w:rFonts w:hint="eastAsia" w:ascii="仿宋" w:hAnsi="仿宋" w:eastAsia="仿宋"/>
          <w:color w:val="000000"/>
          <w:sz w:val="32"/>
          <w:szCs w:val="32"/>
          <w:lang w:val="en-US" w:eastAsia="zh-CN"/>
        </w:rPr>
        <w:t>增加171.38万元，增长174.95%。主要变动原因:上年度7月成立，业务活动增加，相关经费支出增加。</w:t>
      </w:r>
    </w:p>
    <w:p>
      <w:pPr>
        <w:jc w:val="center"/>
        <w:rPr>
          <w:rFonts w:ascii="仿宋" w:hAnsi="仿宋" w:eastAsia="仿宋"/>
          <w:color w:val="000000"/>
          <w:sz w:val="32"/>
          <w:szCs w:val="32"/>
        </w:rPr>
      </w:pPr>
      <w:r>
        <w:rPr>
          <w:rFonts w:ascii="仿宋" w:hAnsi="仿宋" w:eastAsia="仿宋"/>
          <w:color w:val="000000"/>
          <w:sz w:val="32"/>
          <w:szCs w:val="32"/>
        </w:rPr>
        <w:drawing>
          <wp:inline distT="0" distB="0" distL="114300" distR="114300">
            <wp:extent cx="4451350" cy="2411095"/>
            <wp:effectExtent l="4445" t="4445" r="14605" b="10160"/>
            <wp:docPr id="134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p>
    <w:p>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b/>
          <w:color w:val="000000"/>
          <w:sz w:val="32"/>
          <w:szCs w:val="32"/>
        </w:rPr>
      </w:pPr>
      <w:bookmarkStart w:id="50" w:name="_Toc15377211"/>
      <w:bookmarkStart w:id="51" w:name="_Toc79163616"/>
      <w:bookmarkStart w:id="52" w:name="_Toc79163866"/>
      <w:r>
        <w:rPr>
          <w:rFonts w:hint="eastAsia" w:ascii="仿宋" w:hAnsi="仿宋" w:eastAsia="仿宋"/>
          <w:b/>
          <w:color w:val="000000"/>
          <w:sz w:val="32"/>
          <w:szCs w:val="32"/>
        </w:rPr>
        <w:t>（二）一般公共预算财政拨款支出决算结构情况</w:t>
      </w:r>
      <w:bookmarkEnd w:id="50"/>
      <w:bookmarkEnd w:id="51"/>
      <w:bookmarkEnd w:id="52"/>
    </w:p>
    <w:p>
      <w:pPr>
        <w:pageBreakBefore w:val="0"/>
        <w:widowControl w:val="0"/>
        <w:kinsoku/>
        <w:wordWrap/>
        <w:overflowPunct/>
        <w:topLinePunct w:val="0"/>
        <w:bidi w:val="0"/>
        <w:spacing w:line="560" w:lineRule="exact"/>
        <w:ind w:firstLine="640"/>
        <w:textAlignment w:val="auto"/>
        <w:rPr>
          <w:rFonts w:hint="eastAsia" w:ascii="仿宋" w:hAnsi="仿宋" w:eastAsia="仿宋"/>
          <w:b/>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w:t>
      </w:r>
      <w:r>
        <w:rPr>
          <w:rFonts w:hint="eastAsia" w:ascii="仿宋" w:hAnsi="仿宋" w:eastAsia="仿宋"/>
          <w:color w:val="000000"/>
          <w:sz w:val="32"/>
          <w:szCs w:val="32"/>
          <w:lang w:val="en-US" w:eastAsia="zh-CN"/>
        </w:rPr>
        <w:t>269.34</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bCs/>
          <w:color w:val="000000"/>
          <w:sz w:val="32"/>
          <w:szCs w:val="32"/>
        </w:rPr>
        <w:t>一般公共服务支出</w:t>
      </w:r>
      <w:r>
        <w:rPr>
          <w:rFonts w:hint="eastAsia" w:ascii="仿宋" w:hAnsi="仿宋" w:eastAsia="仿宋"/>
          <w:b/>
          <w:color w:val="000000"/>
          <w:sz w:val="32"/>
          <w:szCs w:val="32"/>
        </w:rPr>
        <w:t>（类）</w:t>
      </w:r>
      <w:r>
        <w:rPr>
          <w:rFonts w:hint="eastAsia" w:ascii="仿宋" w:hAnsi="仿宋" w:eastAsia="仿宋"/>
          <w:color w:val="000000"/>
          <w:sz w:val="32"/>
          <w:szCs w:val="32"/>
        </w:rPr>
        <w:t>支出229.83万元，占</w:t>
      </w:r>
      <w:r>
        <w:rPr>
          <w:rFonts w:hint="eastAsia" w:ascii="仿宋" w:hAnsi="仿宋" w:eastAsia="仿宋"/>
          <w:color w:val="000000"/>
          <w:sz w:val="32"/>
          <w:szCs w:val="32"/>
          <w:lang w:val="en-US" w:eastAsia="zh-CN"/>
        </w:rPr>
        <w:t>85.34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支出18.41万元，占6.84%；</w:t>
      </w:r>
      <w:r>
        <w:rPr>
          <w:rFonts w:hint="eastAsia" w:ascii="仿宋" w:hAnsi="仿宋" w:eastAsia="仿宋"/>
          <w:b/>
          <w:bCs/>
          <w:color w:val="000000"/>
          <w:sz w:val="32"/>
          <w:szCs w:val="32"/>
        </w:rPr>
        <w:t>卫生健康支出（类）</w:t>
      </w:r>
      <w:r>
        <w:rPr>
          <w:rFonts w:hint="eastAsia" w:ascii="仿宋" w:hAnsi="仿宋" w:eastAsia="仿宋"/>
          <w:b w:val="0"/>
          <w:bCs w:val="0"/>
          <w:color w:val="000000"/>
          <w:sz w:val="32"/>
          <w:szCs w:val="32"/>
          <w:lang w:val="en-US" w:eastAsia="zh-CN"/>
        </w:rPr>
        <w:t>支出</w:t>
      </w:r>
      <w:r>
        <w:rPr>
          <w:rFonts w:hint="eastAsia" w:ascii="仿宋" w:hAnsi="仿宋" w:eastAsia="仿宋"/>
          <w:b w:val="0"/>
          <w:bCs w:val="0"/>
          <w:color w:val="000000"/>
          <w:sz w:val="32"/>
          <w:szCs w:val="32"/>
        </w:rPr>
        <w:t>7.97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2.96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lang w:eastAsia="zh-CN"/>
        </w:rPr>
        <w:t>住房保障支出（类）</w:t>
      </w:r>
      <w:r>
        <w:rPr>
          <w:rFonts w:hint="eastAsia" w:ascii="仿宋" w:hAnsi="仿宋" w:eastAsia="仿宋"/>
          <w:b w:val="0"/>
          <w:bCs w:val="0"/>
          <w:color w:val="000000"/>
          <w:sz w:val="32"/>
          <w:szCs w:val="32"/>
          <w:lang w:val="en-US" w:eastAsia="zh-CN"/>
        </w:rPr>
        <w:t>支出</w:t>
      </w:r>
      <w:r>
        <w:rPr>
          <w:rFonts w:hint="eastAsia" w:ascii="仿宋" w:hAnsi="仿宋" w:eastAsia="仿宋"/>
          <w:color w:val="000000"/>
          <w:sz w:val="32"/>
          <w:szCs w:val="32"/>
          <w:lang w:eastAsia="zh-CN"/>
        </w:rPr>
        <w:t>13.</w:t>
      </w:r>
      <w:r>
        <w:rPr>
          <w:rFonts w:hint="eastAsia" w:ascii="仿宋" w:hAnsi="仿宋" w:eastAsia="仿宋"/>
          <w:color w:val="000000"/>
          <w:sz w:val="32"/>
          <w:szCs w:val="32"/>
          <w:lang w:val="en-US" w:eastAsia="zh-CN"/>
        </w:rPr>
        <w:t>11</w:t>
      </w:r>
      <w:r>
        <w:rPr>
          <w:rFonts w:hint="eastAsia" w:ascii="仿宋" w:hAnsi="仿宋" w:eastAsia="仿宋"/>
          <w:color w:val="000000"/>
          <w:sz w:val="32"/>
          <w:szCs w:val="32"/>
          <w:lang w:eastAsia="zh-CN"/>
        </w:rPr>
        <w:t>万元，占</w:t>
      </w:r>
      <w:r>
        <w:rPr>
          <w:rFonts w:hint="eastAsia" w:ascii="仿宋" w:hAnsi="仿宋" w:eastAsia="仿宋"/>
          <w:color w:val="000000"/>
          <w:sz w:val="32"/>
          <w:szCs w:val="32"/>
          <w:lang w:val="en-US" w:eastAsia="zh-CN"/>
        </w:rPr>
        <w:t>4.87%</w:t>
      </w:r>
      <w:r>
        <w:rPr>
          <w:rFonts w:hint="eastAsia" w:ascii="仿宋" w:hAnsi="仿宋" w:eastAsia="仿宋"/>
          <w:color w:val="000000"/>
          <w:sz w:val="32"/>
          <w:szCs w:val="32"/>
          <w:lang w:eastAsia="zh-CN"/>
        </w:rPr>
        <w:t>。</w:t>
      </w:r>
    </w:p>
    <w:p>
      <w:pPr>
        <w:jc w:val="center"/>
        <w:rPr>
          <w:rFonts w:ascii="仿宋" w:hAnsi="仿宋" w:eastAsia="仿宋"/>
          <w:color w:val="000000"/>
          <w:sz w:val="32"/>
          <w:szCs w:val="32"/>
        </w:rPr>
      </w:pPr>
      <w:r>
        <w:rPr>
          <w:rFonts w:ascii="仿宋" w:hAnsi="仿宋" w:eastAsia="仿宋"/>
          <w:color w:val="000000"/>
          <w:sz w:val="32"/>
          <w:szCs w:val="32"/>
        </w:rPr>
        <w:drawing>
          <wp:inline distT="0" distB="0" distL="114300" distR="114300">
            <wp:extent cx="4466590" cy="2393950"/>
            <wp:effectExtent l="4445" t="4445" r="12065" b="14605"/>
            <wp:docPr id="134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p>
    <w:p>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b/>
          <w:color w:val="000000"/>
          <w:sz w:val="32"/>
          <w:szCs w:val="32"/>
        </w:rPr>
      </w:pPr>
      <w:bookmarkStart w:id="53" w:name="_Toc79163867"/>
      <w:bookmarkStart w:id="54" w:name="_Toc15377212"/>
      <w:bookmarkStart w:id="55" w:name="_Toc79163617"/>
      <w:r>
        <w:rPr>
          <w:rFonts w:hint="eastAsia" w:ascii="仿宋" w:hAnsi="仿宋" w:eastAsia="仿宋"/>
          <w:b/>
          <w:color w:val="000000"/>
          <w:sz w:val="32"/>
          <w:szCs w:val="32"/>
        </w:rPr>
        <w:t>（三）一般公共预算财政拨款支出决算具体情况</w:t>
      </w:r>
      <w:bookmarkEnd w:id="53"/>
      <w:bookmarkEnd w:id="54"/>
      <w:bookmarkEnd w:id="55"/>
    </w:p>
    <w:p>
      <w:pPr>
        <w:pageBreakBefore w:val="0"/>
        <w:widowControl w:val="0"/>
        <w:kinsoku/>
        <w:wordWrap/>
        <w:overflowPunct/>
        <w:topLinePunct w:val="0"/>
        <w:bidi w:val="0"/>
        <w:spacing w:line="560" w:lineRule="exact"/>
        <w:ind w:firstLine="643" w:firstLineChars="200"/>
        <w:textAlignment w:val="auto"/>
        <w:rPr>
          <w:rFonts w:hint="eastAsia" w:ascii="仿宋_GB2312" w:eastAsia="仿宋_GB2312"/>
          <w:b/>
          <w:bCs/>
          <w:sz w:val="32"/>
          <w:szCs w:val="32"/>
        </w:rPr>
      </w:pPr>
      <w:bookmarkStart w:id="56" w:name="_Toc15378460"/>
      <w:bookmarkStart w:id="57" w:name="_Toc15377444"/>
      <w:bookmarkStart w:id="58" w:name="_Toc15377213"/>
      <w:r>
        <w:rPr>
          <w:rFonts w:ascii="仿宋_GB2312" w:eastAsia="仿宋_GB2312"/>
          <w:b/>
          <w:bCs/>
          <w:sz w:val="32"/>
          <w:szCs w:val="32"/>
        </w:rPr>
        <w:t>202</w:t>
      </w:r>
      <w:r>
        <w:rPr>
          <w:rFonts w:hint="eastAsia" w:ascii="仿宋_GB2312" w:eastAsia="仿宋_GB2312"/>
          <w:b/>
          <w:bCs/>
          <w:sz w:val="32"/>
          <w:szCs w:val="32"/>
        </w:rPr>
        <w:t>1年一般公共预算支出决算数为</w:t>
      </w:r>
      <w:r>
        <w:rPr>
          <w:rFonts w:hint="eastAsia" w:ascii="仿宋_GB2312" w:eastAsia="仿宋_GB2312"/>
          <w:b/>
          <w:bCs/>
          <w:sz w:val="32"/>
          <w:szCs w:val="32"/>
          <w:lang w:val="en-US" w:eastAsia="zh-CN"/>
        </w:rPr>
        <w:t>269.34万元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56"/>
      <w:bookmarkEnd w:id="57"/>
      <w:bookmarkEnd w:id="58"/>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仿宋_GB2312" w:hAnsi="仿宋" w:eastAsia="仿宋_GB2312" w:cs="仿宋_GB2312"/>
          <w:b w:val="0"/>
          <w:bCs/>
          <w:color w:val="000000"/>
          <w:kern w:val="2"/>
          <w:sz w:val="32"/>
          <w:szCs w:val="32"/>
          <w:lang w:val="en-US" w:eastAsia="zh-CN" w:bidi="ar"/>
        </w:rPr>
      </w:pPr>
      <w:r>
        <w:rPr>
          <w:rFonts w:hint="eastAsia" w:ascii="仿宋_GB2312" w:hAnsi="仿宋" w:eastAsia="仿宋_GB2312" w:cs="仿宋_GB2312"/>
          <w:b/>
          <w:bCs w:val="0"/>
          <w:color w:val="000000"/>
          <w:kern w:val="2"/>
          <w:sz w:val="32"/>
          <w:szCs w:val="32"/>
          <w:lang w:val="en-US" w:eastAsia="zh-CN" w:bidi="ar"/>
        </w:rPr>
        <w:t>1.</w:t>
      </w:r>
      <w:r>
        <w:rPr>
          <w:rFonts w:hint="default" w:ascii="仿宋_GB2312" w:hAnsi="仿宋" w:eastAsia="仿宋_GB2312" w:cs="仿宋_GB2312"/>
          <w:b/>
          <w:bCs w:val="0"/>
          <w:color w:val="000000"/>
          <w:kern w:val="2"/>
          <w:sz w:val="32"/>
          <w:szCs w:val="32"/>
          <w:lang w:val="en-US" w:eastAsia="zh-CN" w:bidi="ar"/>
        </w:rPr>
        <w:t>一般公共服务（类）民族事务（款）行政运行（项）</w:t>
      </w:r>
      <w:r>
        <w:rPr>
          <w:rFonts w:hint="default" w:ascii="仿宋_GB2312" w:hAnsi="仿宋" w:eastAsia="仿宋_GB2312" w:cs="仿宋_GB2312"/>
          <w:b w:val="0"/>
          <w:bCs/>
          <w:color w:val="000000"/>
          <w:kern w:val="2"/>
          <w:sz w:val="32"/>
          <w:szCs w:val="32"/>
          <w:lang w:val="en-US" w:eastAsia="zh-CN" w:bidi="ar"/>
        </w:rPr>
        <w:t>:支出决算为145.74万元，完成预算100%。</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default" w:ascii="仿宋_GB2312" w:hAnsi="仿宋" w:eastAsia="仿宋_GB2312" w:cs="仿宋_GB2312"/>
          <w:b w:val="0"/>
          <w:bCs/>
          <w:color w:val="000000"/>
          <w:kern w:val="2"/>
          <w:sz w:val="32"/>
          <w:szCs w:val="32"/>
          <w:lang w:val="en-US" w:eastAsia="zh-CN" w:bidi="ar"/>
        </w:rPr>
      </w:pPr>
      <w:r>
        <w:rPr>
          <w:rFonts w:hint="eastAsia" w:ascii="仿宋_GB2312" w:hAnsi="仿宋" w:eastAsia="仿宋_GB2312" w:cs="仿宋_GB2312"/>
          <w:b/>
          <w:bCs w:val="0"/>
          <w:color w:val="000000"/>
          <w:kern w:val="2"/>
          <w:sz w:val="32"/>
          <w:szCs w:val="32"/>
          <w:lang w:val="en-US" w:eastAsia="zh-CN" w:bidi="ar"/>
        </w:rPr>
        <w:t>2.一般公共服务（类）民族事务（款）</w:t>
      </w:r>
      <w:r>
        <w:rPr>
          <w:rFonts w:hint="default" w:ascii="仿宋_GB2312" w:hAnsi="仿宋" w:eastAsia="仿宋_GB2312" w:cs="仿宋_GB2312"/>
          <w:b/>
          <w:bCs w:val="0"/>
          <w:color w:val="000000"/>
          <w:kern w:val="2"/>
          <w:sz w:val="32"/>
          <w:szCs w:val="32"/>
          <w:lang w:val="en-US" w:eastAsia="zh-CN" w:bidi="ar"/>
        </w:rPr>
        <w:t>一般行政管理事务（项）</w:t>
      </w:r>
      <w:r>
        <w:rPr>
          <w:rFonts w:hint="default" w:ascii="仿宋_GB2312" w:hAnsi="仿宋" w:eastAsia="仿宋_GB2312" w:cs="仿宋_GB2312"/>
          <w:b w:val="0"/>
          <w:bCs/>
          <w:color w:val="000000"/>
          <w:kern w:val="2"/>
          <w:sz w:val="32"/>
          <w:szCs w:val="32"/>
          <w:lang w:val="en-US" w:eastAsia="zh-CN" w:bidi="ar"/>
        </w:rPr>
        <w:t>:支出决算为</w:t>
      </w:r>
      <w:r>
        <w:rPr>
          <w:rFonts w:hint="eastAsia" w:ascii="仿宋_GB2312" w:hAnsi="仿宋" w:eastAsia="仿宋_GB2312" w:cs="仿宋_GB2312"/>
          <w:b w:val="0"/>
          <w:bCs/>
          <w:color w:val="000000"/>
          <w:kern w:val="2"/>
          <w:sz w:val="32"/>
          <w:szCs w:val="32"/>
          <w:lang w:val="en-US" w:eastAsia="zh-CN" w:bidi="ar"/>
        </w:rPr>
        <w:t>80.10</w:t>
      </w:r>
      <w:r>
        <w:rPr>
          <w:rFonts w:hint="default" w:ascii="仿宋_GB2312" w:hAnsi="仿宋" w:eastAsia="仿宋_GB2312" w:cs="仿宋_GB2312"/>
          <w:b w:val="0"/>
          <w:bCs/>
          <w:color w:val="000000"/>
          <w:kern w:val="2"/>
          <w:sz w:val="32"/>
          <w:szCs w:val="32"/>
          <w:lang w:val="en-US" w:eastAsia="zh-CN" w:bidi="ar"/>
        </w:rPr>
        <w:t>万元，完成预算100%。</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eastAsia" w:ascii="仿宋_GB2312" w:hAnsi="仿宋" w:eastAsia="仿宋_GB2312" w:cs="仿宋_GB2312"/>
          <w:b w:val="0"/>
          <w:bCs/>
          <w:color w:val="000000"/>
          <w:kern w:val="2"/>
          <w:sz w:val="32"/>
          <w:szCs w:val="32"/>
          <w:lang w:val="en-US" w:eastAsia="zh-CN" w:bidi="ar"/>
        </w:rPr>
      </w:pPr>
      <w:r>
        <w:rPr>
          <w:rFonts w:hint="eastAsia" w:ascii="仿宋_GB2312" w:hAnsi="仿宋" w:eastAsia="仿宋_GB2312" w:cs="仿宋_GB2312"/>
          <w:b/>
          <w:bCs w:val="0"/>
          <w:color w:val="000000"/>
          <w:kern w:val="2"/>
          <w:sz w:val="32"/>
          <w:szCs w:val="32"/>
          <w:lang w:val="en-US" w:eastAsia="zh-CN" w:bidi="ar"/>
        </w:rPr>
        <w:t>3</w:t>
      </w:r>
      <w:r>
        <w:rPr>
          <w:rFonts w:hint="eastAsia" w:ascii="仿宋_GB2312" w:hAnsi="仿宋" w:eastAsia="仿宋_GB2312" w:cs="仿宋_GB2312"/>
          <w:b w:val="0"/>
          <w:bCs/>
          <w:color w:val="000000"/>
          <w:kern w:val="2"/>
          <w:sz w:val="32"/>
          <w:szCs w:val="32"/>
          <w:lang w:val="en-US" w:eastAsia="zh-CN" w:bidi="ar"/>
        </w:rPr>
        <w:t>.</w:t>
      </w:r>
      <w:r>
        <w:rPr>
          <w:rFonts w:hint="eastAsia" w:ascii="仿宋_GB2312" w:hAnsi="仿宋" w:eastAsia="仿宋_GB2312" w:cs="仿宋_GB2312"/>
          <w:b/>
          <w:bCs w:val="0"/>
          <w:color w:val="000000"/>
          <w:kern w:val="2"/>
          <w:sz w:val="32"/>
          <w:szCs w:val="32"/>
          <w:lang w:val="en-US" w:eastAsia="zh-CN" w:bidi="ar"/>
        </w:rPr>
        <w:t>一般公共服务（类）民族事务（款）</w:t>
      </w:r>
      <w:r>
        <w:rPr>
          <w:rFonts w:hint="default" w:ascii="仿宋_GB2312" w:hAnsi="仿宋" w:eastAsia="仿宋_GB2312" w:cs="仿宋_GB2312"/>
          <w:b/>
          <w:bCs w:val="0"/>
          <w:color w:val="000000"/>
          <w:kern w:val="2"/>
          <w:sz w:val="32"/>
          <w:szCs w:val="32"/>
          <w:lang w:val="en-US" w:eastAsia="zh-CN" w:bidi="ar"/>
        </w:rPr>
        <w:t>民族工作专项（项）:</w:t>
      </w:r>
      <w:r>
        <w:rPr>
          <w:rFonts w:hint="default" w:ascii="仿宋_GB2312" w:hAnsi="仿宋" w:eastAsia="仿宋_GB2312" w:cs="仿宋_GB2312"/>
          <w:b w:val="0"/>
          <w:bCs/>
          <w:color w:val="000000"/>
          <w:kern w:val="2"/>
          <w:sz w:val="32"/>
          <w:szCs w:val="32"/>
          <w:lang w:val="en-US" w:eastAsia="zh-CN" w:bidi="ar"/>
        </w:rPr>
        <w:t>支出决算为2.55万元，完成预算100%</w:t>
      </w:r>
      <w:r>
        <w:rPr>
          <w:rFonts w:hint="eastAsia" w:ascii="仿宋_GB2312" w:hAnsi="仿宋" w:eastAsia="仿宋_GB2312" w:cs="仿宋_GB2312"/>
          <w:b w:val="0"/>
          <w:bCs/>
          <w:color w:val="000000"/>
          <w:kern w:val="2"/>
          <w:sz w:val="32"/>
          <w:szCs w:val="32"/>
          <w:lang w:val="en-US" w:eastAsia="zh-CN" w:bidi="ar"/>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baseline"/>
        <w:rPr>
          <w:rFonts w:hint="default"/>
          <w:lang w:val="en-US"/>
        </w:rPr>
      </w:pPr>
      <w:r>
        <w:rPr>
          <w:rFonts w:hint="eastAsia" w:ascii="仿宋_GB2312" w:hAnsi="仿宋" w:eastAsia="仿宋_GB2312" w:cs="仿宋_GB2312"/>
          <w:b/>
          <w:bCs w:val="0"/>
          <w:color w:val="000000"/>
          <w:kern w:val="2"/>
          <w:sz w:val="32"/>
          <w:szCs w:val="32"/>
          <w:lang w:val="en-US" w:eastAsia="zh-CN" w:bidi="ar"/>
        </w:rPr>
        <w:t>4</w:t>
      </w:r>
      <w:r>
        <w:rPr>
          <w:rFonts w:hint="eastAsia" w:ascii="仿宋_GB2312" w:hAnsi="仿宋" w:eastAsia="仿宋_GB2312" w:cs="仿宋_GB2312"/>
          <w:b w:val="0"/>
          <w:bCs/>
          <w:color w:val="000000"/>
          <w:kern w:val="2"/>
          <w:sz w:val="32"/>
          <w:szCs w:val="32"/>
          <w:lang w:val="en-US" w:eastAsia="zh-CN" w:bidi="ar"/>
        </w:rPr>
        <w:t>.</w:t>
      </w:r>
      <w:r>
        <w:rPr>
          <w:rFonts w:hint="eastAsia" w:ascii="仿宋_GB2312" w:hAnsi="仿宋" w:eastAsia="仿宋_GB2312" w:cs="仿宋_GB2312"/>
          <w:b/>
          <w:bCs w:val="0"/>
          <w:color w:val="000000"/>
          <w:kern w:val="2"/>
          <w:sz w:val="32"/>
          <w:szCs w:val="32"/>
          <w:lang w:val="en-US" w:eastAsia="zh-CN" w:bidi="ar"/>
        </w:rPr>
        <w:t>一般公共服务（类）统战事务（款）一般行政管理事务</w:t>
      </w:r>
      <w:r>
        <w:rPr>
          <w:rFonts w:hint="default" w:ascii="仿宋_GB2312" w:hAnsi="仿宋" w:eastAsia="仿宋_GB2312" w:cs="仿宋_GB2312"/>
          <w:b/>
          <w:bCs w:val="0"/>
          <w:color w:val="000000"/>
          <w:kern w:val="2"/>
          <w:sz w:val="32"/>
          <w:szCs w:val="32"/>
          <w:lang w:val="en-US" w:eastAsia="zh-CN" w:bidi="ar"/>
        </w:rPr>
        <w:t>（项）:</w:t>
      </w:r>
      <w:r>
        <w:rPr>
          <w:rFonts w:hint="default" w:ascii="仿宋_GB2312" w:hAnsi="仿宋" w:eastAsia="仿宋_GB2312" w:cs="仿宋_GB2312"/>
          <w:b w:val="0"/>
          <w:bCs/>
          <w:color w:val="000000"/>
          <w:kern w:val="2"/>
          <w:sz w:val="32"/>
          <w:szCs w:val="32"/>
          <w:lang w:val="en-US" w:eastAsia="zh-CN" w:bidi="ar"/>
        </w:rPr>
        <w:t>支出决算为1.45万元，完成预算100%</w:t>
      </w:r>
      <w:r>
        <w:rPr>
          <w:rFonts w:hint="eastAsia" w:ascii="仿宋_GB2312" w:hAnsi="仿宋" w:eastAsia="仿宋_GB2312" w:cs="仿宋_GB2312"/>
          <w:b w:val="0"/>
          <w:bCs/>
          <w:color w:val="000000"/>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color w:val="000000"/>
          <w:sz w:val="32"/>
          <w:szCs w:val="32"/>
        </w:rPr>
      </w:pPr>
      <w:r>
        <w:rPr>
          <w:rStyle w:val="26"/>
          <w:rFonts w:hint="eastAsia" w:ascii="仿宋" w:hAnsi="仿宋" w:eastAsia="仿宋"/>
          <w:bCs/>
          <w:color w:val="000000"/>
          <w:sz w:val="32"/>
          <w:szCs w:val="32"/>
          <w:lang w:val="en-US" w:eastAsia="zh-CN"/>
        </w:rPr>
        <w:t>5</w:t>
      </w:r>
      <w:r>
        <w:rPr>
          <w:rStyle w:val="26"/>
          <w:rFonts w:ascii="仿宋" w:hAnsi="仿宋" w:eastAsia="仿宋"/>
          <w:bCs/>
          <w:color w:val="000000"/>
          <w:sz w:val="32"/>
          <w:szCs w:val="32"/>
        </w:rPr>
        <w:t>.</w:t>
      </w:r>
      <w:r>
        <w:rPr>
          <w:rStyle w:val="26"/>
          <w:rFonts w:hint="eastAsia" w:ascii="仿宋" w:hAnsi="仿宋" w:eastAsia="仿宋"/>
          <w:bCs/>
          <w:color w:val="000000"/>
          <w:sz w:val="32"/>
          <w:szCs w:val="32"/>
        </w:rPr>
        <w:t>社会保障和就业支出（类）行政事业单位养老支出（款）机关事业单位基本养老保险缴费支出（项）</w:t>
      </w:r>
      <w:r>
        <w:rPr>
          <w:rStyle w:val="26"/>
          <w:rFonts w:ascii="仿宋" w:hAnsi="仿宋" w:eastAsia="仿宋"/>
          <w:bCs/>
          <w:color w:val="000000"/>
          <w:sz w:val="32"/>
          <w:szCs w:val="32"/>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支出决算为12.28万元，完成预算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rPr>
          <w:rStyle w:val="26"/>
          <w:rFonts w:hint="eastAsia" w:ascii="仿宋" w:hAnsi="仿宋" w:eastAsia="仿宋"/>
          <w:b w:val="0"/>
          <w:bCs/>
          <w:color w:val="000000"/>
          <w:sz w:val="32"/>
          <w:szCs w:val="32"/>
        </w:rPr>
      </w:pPr>
      <w:r>
        <w:rPr>
          <w:rStyle w:val="26"/>
          <w:rFonts w:hint="eastAsia" w:ascii="仿宋" w:hAnsi="仿宋" w:eastAsia="仿宋"/>
          <w:bCs/>
          <w:color w:val="000000"/>
          <w:sz w:val="32"/>
          <w:szCs w:val="32"/>
          <w:lang w:val="en-US" w:eastAsia="zh-CN"/>
        </w:rPr>
        <w:t>6</w:t>
      </w:r>
      <w:r>
        <w:rPr>
          <w:rStyle w:val="26"/>
          <w:rFonts w:ascii="仿宋" w:hAnsi="仿宋" w:eastAsia="仿宋"/>
          <w:bCs/>
          <w:color w:val="000000"/>
          <w:sz w:val="32"/>
          <w:szCs w:val="32"/>
        </w:rPr>
        <w:t>.</w:t>
      </w:r>
      <w:r>
        <w:rPr>
          <w:rFonts w:hint="eastAsia" w:ascii="仿宋" w:hAnsi="仿宋" w:eastAsia="仿宋"/>
          <w:b/>
          <w:bCs/>
          <w:color w:val="000000"/>
          <w:sz w:val="32"/>
          <w:szCs w:val="32"/>
        </w:rPr>
        <w:t>社会保障和就业支出（类）行政事业单位养老支出（款）机关事业单位职业年金缴费支出（项）</w:t>
      </w:r>
      <w:r>
        <w:rPr>
          <w:rStyle w:val="26"/>
          <w:rFonts w:ascii="仿宋" w:hAnsi="仿宋" w:eastAsia="仿宋"/>
          <w:bCs/>
          <w:color w:val="000000"/>
          <w:sz w:val="32"/>
          <w:szCs w:val="32"/>
        </w:rPr>
        <w:t>:</w:t>
      </w:r>
      <w:r>
        <w:rPr>
          <w:rStyle w:val="26"/>
          <w:rFonts w:hint="eastAsia" w:ascii="仿宋" w:hAnsi="仿宋" w:eastAsia="仿宋"/>
          <w:b w:val="0"/>
          <w:bCs/>
          <w:color w:val="000000"/>
          <w:sz w:val="32"/>
          <w:szCs w:val="32"/>
        </w:rPr>
        <w:t>支出决算为6.14万元，完成预算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rPr>
          <w:rFonts w:hint="eastAsia" w:ascii="仿宋" w:hAnsi="仿宋" w:eastAsia="仿宋"/>
          <w:b/>
          <w:color w:val="000000"/>
          <w:sz w:val="32"/>
          <w:szCs w:val="32"/>
        </w:rPr>
      </w:pPr>
      <w:r>
        <w:rPr>
          <w:rStyle w:val="26"/>
          <w:rFonts w:hint="eastAsia" w:ascii="仿宋" w:hAnsi="仿宋" w:eastAsia="仿宋"/>
          <w:color w:val="000000"/>
          <w:sz w:val="32"/>
          <w:szCs w:val="32"/>
          <w:lang w:val="en-US" w:eastAsia="zh-CN"/>
        </w:rPr>
        <w:t>7</w:t>
      </w:r>
      <w:r>
        <w:rPr>
          <w:rStyle w:val="26"/>
          <w:rFonts w:hint="eastAsia" w:ascii="仿宋" w:hAnsi="仿宋" w:eastAsia="仿宋"/>
          <w:color w:val="000000"/>
          <w:sz w:val="32"/>
          <w:szCs w:val="32"/>
        </w:rPr>
        <w:t>.卫生健康支出（类）行政事业单位医疗（款）行政单位医疗（项）:</w:t>
      </w:r>
      <w:r>
        <w:rPr>
          <w:rStyle w:val="26"/>
          <w:rFonts w:hint="eastAsia" w:ascii="仿宋" w:hAnsi="仿宋" w:eastAsia="仿宋"/>
          <w:b w:val="0"/>
          <w:color w:val="000000"/>
          <w:sz w:val="32"/>
          <w:szCs w:val="32"/>
        </w:rPr>
        <w:t xml:space="preserve"> 支出决算为6.51万元，完成预算100%。</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rPr>
          <w:rFonts w:hint="eastAsia" w:ascii="仿宋" w:hAnsi="仿宋" w:eastAsia="仿宋"/>
          <w:b/>
          <w:color w:val="000000"/>
          <w:sz w:val="32"/>
          <w:szCs w:val="32"/>
        </w:rPr>
      </w:pPr>
      <w:r>
        <w:rPr>
          <w:rStyle w:val="26"/>
          <w:rFonts w:hint="eastAsia" w:ascii="仿宋" w:hAnsi="仿宋" w:eastAsia="仿宋"/>
          <w:color w:val="000000"/>
          <w:sz w:val="32"/>
          <w:szCs w:val="32"/>
          <w:lang w:val="en-US" w:eastAsia="zh-CN"/>
        </w:rPr>
        <w:t>8</w:t>
      </w:r>
      <w:r>
        <w:rPr>
          <w:rStyle w:val="26"/>
          <w:rFonts w:hint="eastAsia" w:ascii="仿宋" w:hAnsi="仿宋" w:eastAsia="仿宋"/>
          <w:color w:val="000000"/>
          <w:sz w:val="32"/>
          <w:szCs w:val="32"/>
        </w:rPr>
        <w:t xml:space="preserve">.卫生健康支出（类）行政事业单位医疗（款）公务员医疗补助（项）: </w:t>
      </w:r>
      <w:r>
        <w:rPr>
          <w:rStyle w:val="26"/>
          <w:rFonts w:hint="eastAsia" w:ascii="仿宋" w:hAnsi="仿宋" w:eastAsia="仿宋"/>
          <w:b w:val="0"/>
          <w:color w:val="000000"/>
          <w:sz w:val="32"/>
          <w:szCs w:val="32"/>
        </w:rPr>
        <w:t>支出决算为1.46万元，完成预算100%。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color w:val="FF0000"/>
          <w:sz w:val="32"/>
          <w:szCs w:val="32"/>
        </w:rPr>
      </w:pPr>
      <w:r>
        <w:rPr>
          <w:rStyle w:val="26"/>
          <w:rFonts w:hint="eastAsia" w:ascii="仿宋" w:hAnsi="仿宋" w:eastAsia="仿宋"/>
          <w:color w:val="000000"/>
          <w:sz w:val="32"/>
          <w:szCs w:val="32"/>
          <w:lang w:val="en-US" w:eastAsia="zh-CN"/>
        </w:rPr>
        <w:t>9</w:t>
      </w:r>
      <w:r>
        <w:rPr>
          <w:rFonts w:hint="eastAsia" w:ascii="仿宋" w:hAnsi="仿宋" w:eastAsia="仿宋" w:cs="仿宋"/>
          <w:b/>
          <w:bCs w:val="0"/>
          <w:color w:val="000000"/>
          <w:kern w:val="2"/>
          <w:sz w:val="32"/>
          <w:szCs w:val="32"/>
          <w:lang w:val="en-US" w:eastAsia="zh-CN" w:bidi="ar"/>
        </w:rPr>
        <w:t>.住房保障支出（类）住房改革支出（款）住房公积金（项）:</w:t>
      </w:r>
      <w:r>
        <w:rPr>
          <w:rFonts w:hint="eastAsia" w:ascii="仿宋" w:hAnsi="仿宋" w:eastAsia="仿宋" w:cs="仿宋"/>
          <w:b w:val="0"/>
          <w:color w:val="000000"/>
          <w:kern w:val="2"/>
          <w:sz w:val="32"/>
          <w:szCs w:val="32"/>
          <w:lang w:val="en-US" w:eastAsia="zh-CN" w:bidi="ar"/>
        </w:rPr>
        <w:t>支出决算为13.11万元，完成预算100%。</w:t>
      </w:r>
    </w:p>
    <w:p>
      <w:pPr>
        <w:pageBreakBefore w:val="0"/>
        <w:widowControl w:val="0"/>
        <w:kinsoku/>
        <w:wordWrap/>
        <w:overflowPunct/>
        <w:topLinePunct w:val="0"/>
        <w:bidi w:val="0"/>
        <w:spacing w:line="560" w:lineRule="exact"/>
        <w:ind w:firstLine="640"/>
        <w:textAlignment w:val="auto"/>
        <w:rPr>
          <w:rFonts w:ascii="仿宋" w:hAnsi="仿宋" w:eastAsia="仿宋"/>
          <w:b/>
          <w:color w:val="000000"/>
          <w:sz w:val="32"/>
          <w:szCs w:val="32"/>
        </w:rPr>
      </w:pPr>
    </w:p>
    <w:p>
      <w:pPr>
        <w:pageBreakBefore w:val="0"/>
        <w:widowControl w:val="0"/>
        <w:tabs>
          <w:tab w:val="right" w:pos="8306"/>
        </w:tabs>
        <w:kinsoku/>
        <w:wordWrap/>
        <w:overflowPunct/>
        <w:topLinePunct w:val="0"/>
        <w:bidi w:val="0"/>
        <w:spacing w:line="560" w:lineRule="exact"/>
        <w:ind w:firstLine="640"/>
        <w:textAlignment w:val="auto"/>
        <w:outlineLvl w:val="1"/>
        <w:rPr>
          <w:rStyle w:val="29"/>
        </w:rPr>
      </w:pPr>
      <w:bookmarkStart w:id="59" w:name="_Toc15396608"/>
      <w:bookmarkStart w:id="60" w:name="_Toc15377214"/>
      <w:bookmarkStart w:id="61" w:name="_Toc79163868"/>
      <w:bookmarkStart w:id="62" w:name="_Toc7916361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59"/>
      <w:bookmarkEnd w:id="60"/>
      <w:bookmarkEnd w:id="61"/>
      <w:bookmarkEnd w:id="62"/>
      <w:r>
        <w:rPr>
          <w:rStyle w:val="29"/>
          <w:rFonts w:ascii="黑体" w:hAnsi="黑体" w:eastAsia="黑体"/>
          <w:b w:val="0"/>
        </w:rPr>
        <w:tab/>
      </w:r>
    </w:p>
    <w:p>
      <w:pPr>
        <w:pageBreakBefore w:val="0"/>
        <w:widowControl w:val="0"/>
        <w:kinsoku/>
        <w:wordWrap/>
        <w:overflowPunct/>
        <w:topLinePunct w:val="0"/>
        <w:bidi w:val="0"/>
        <w:spacing w:line="560" w:lineRule="exact"/>
        <w:ind w:firstLine="645"/>
        <w:textAlignment w:val="auto"/>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1年一般公共预算财政拨款基本支出185.24万元，其中：</w:t>
      </w:r>
    </w:p>
    <w:p>
      <w:pPr>
        <w:pageBreakBefore w:val="0"/>
        <w:widowControl w:val="0"/>
        <w:kinsoku/>
        <w:wordWrap/>
        <w:overflowPunct/>
        <w:topLinePunct w:val="0"/>
        <w:bidi w:val="0"/>
        <w:spacing w:line="560" w:lineRule="exact"/>
        <w:ind w:firstLine="645"/>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人员经费164.38万元，主要包括：基本工资、津贴补贴</w:t>
      </w:r>
      <w:r>
        <w:rPr>
          <w:rFonts w:hint="eastAsia" w:ascii="仿宋" w:hAnsi="仿宋" w:eastAsia="仿宋"/>
          <w:color w:val="000000"/>
          <w:sz w:val="32"/>
          <w:szCs w:val="32"/>
          <w:lang w:eastAsia="zh-CN"/>
        </w:rPr>
        <w:t>、奖金、</w:t>
      </w:r>
      <w:r>
        <w:rPr>
          <w:rFonts w:hint="eastAsia" w:ascii="仿宋" w:hAnsi="仿宋" w:eastAsia="仿宋"/>
          <w:color w:val="000000"/>
          <w:sz w:val="32"/>
          <w:szCs w:val="32"/>
          <w:lang w:val="en-US" w:eastAsia="zh-CN"/>
        </w:rPr>
        <w:t>绩效工资、</w:t>
      </w:r>
      <w:r>
        <w:rPr>
          <w:rFonts w:hint="eastAsia" w:ascii="仿宋" w:hAnsi="仿宋" w:eastAsia="仿宋"/>
          <w:color w:val="000000"/>
          <w:sz w:val="32"/>
          <w:szCs w:val="32"/>
          <w:lang w:eastAsia="zh-CN"/>
        </w:rPr>
        <w:t>机关事业单位基本养老保险费、职业年金缴费、职工基本医疗保险缴费、其他社会保障缴费、住房公积金、医疗费补助</w:t>
      </w:r>
      <w:r>
        <w:rPr>
          <w:rFonts w:hint="eastAsia" w:ascii="仿宋" w:hAnsi="仿宋" w:eastAsia="仿宋"/>
          <w:color w:val="000000"/>
          <w:sz w:val="32"/>
          <w:szCs w:val="32"/>
        </w:rPr>
        <w:t>。</w:t>
      </w:r>
    </w:p>
    <w:p>
      <w:pPr>
        <w:pageBreakBefore w:val="0"/>
        <w:widowControl w:val="0"/>
        <w:kinsoku/>
        <w:wordWrap/>
        <w:overflowPunct/>
        <w:topLinePunct w:val="0"/>
        <w:bidi w:val="0"/>
        <w:spacing w:line="560" w:lineRule="exact"/>
        <w:ind w:firstLine="645"/>
        <w:textAlignment w:val="auto"/>
        <w:rPr>
          <w:rFonts w:ascii="仿宋" w:hAnsi="仿宋" w:eastAsia="仿宋"/>
          <w:b/>
          <w:color w:val="FF0000"/>
          <w:sz w:val="32"/>
          <w:szCs w:val="32"/>
        </w:rPr>
      </w:pPr>
      <w:r>
        <w:rPr>
          <w:rFonts w:hint="eastAsia" w:ascii="仿宋" w:hAnsi="仿宋" w:eastAsia="仿宋"/>
          <w:color w:val="000000"/>
          <w:sz w:val="32"/>
          <w:szCs w:val="32"/>
        </w:rPr>
        <w:t>日常公用经费20.87万元，主要包括：办公费、</w:t>
      </w:r>
      <w:r>
        <w:rPr>
          <w:rFonts w:hint="eastAsia" w:ascii="仿宋" w:hAnsi="仿宋" w:eastAsia="仿宋"/>
          <w:color w:val="000000"/>
          <w:sz w:val="32"/>
          <w:szCs w:val="32"/>
          <w:lang w:eastAsia="zh-CN"/>
        </w:rPr>
        <w:t>印刷</w:t>
      </w:r>
      <w:r>
        <w:rPr>
          <w:rFonts w:hint="eastAsia" w:ascii="仿宋" w:hAnsi="仿宋" w:eastAsia="仿宋"/>
          <w:color w:val="000000"/>
          <w:sz w:val="32"/>
          <w:szCs w:val="32"/>
        </w:rPr>
        <w:t>费</w:t>
      </w:r>
      <w:r>
        <w:rPr>
          <w:rFonts w:hint="eastAsia" w:ascii="仿宋" w:hAnsi="仿宋" w:eastAsia="仿宋"/>
          <w:color w:val="000000"/>
          <w:sz w:val="32"/>
          <w:szCs w:val="32"/>
          <w:lang w:eastAsia="zh-CN"/>
        </w:rPr>
        <w:t>、电费、</w:t>
      </w:r>
      <w:r>
        <w:rPr>
          <w:rFonts w:hint="eastAsia" w:ascii="仿宋" w:hAnsi="仿宋" w:eastAsia="仿宋"/>
          <w:color w:val="000000"/>
          <w:sz w:val="32"/>
          <w:szCs w:val="32"/>
          <w:lang w:val="en-US" w:eastAsia="zh-CN"/>
        </w:rPr>
        <w:t>邮电费、</w:t>
      </w:r>
      <w:r>
        <w:rPr>
          <w:rFonts w:hint="eastAsia" w:ascii="仿宋" w:hAnsi="仿宋" w:eastAsia="仿宋"/>
          <w:color w:val="000000"/>
          <w:sz w:val="32"/>
          <w:szCs w:val="32"/>
          <w:lang w:eastAsia="zh-CN"/>
        </w:rPr>
        <w:t>差旅费、</w:t>
      </w:r>
      <w:r>
        <w:rPr>
          <w:rFonts w:hint="eastAsia" w:ascii="仿宋" w:hAnsi="仿宋" w:eastAsia="仿宋"/>
          <w:color w:val="000000"/>
          <w:sz w:val="32"/>
          <w:szCs w:val="32"/>
          <w:lang w:val="en-US" w:eastAsia="zh-CN"/>
        </w:rPr>
        <w:t>维修（护）费、</w:t>
      </w:r>
      <w:r>
        <w:rPr>
          <w:rFonts w:hint="eastAsia" w:ascii="仿宋" w:hAnsi="仿宋" w:eastAsia="仿宋"/>
          <w:color w:val="000000"/>
          <w:sz w:val="32"/>
          <w:szCs w:val="32"/>
          <w:lang w:eastAsia="zh-CN"/>
        </w:rPr>
        <w:t>劳务费、公务用车运行维护费</w:t>
      </w:r>
      <w:r>
        <w:rPr>
          <w:rFonts w:hint="eastAsia" w:ascii="仿宋" w:hAnsi="仿宋" w:eastAsia="仿宋"/>
          <w:color w:val="000000"/>
          <w:sz w:val="32"/>
          <w:szCs w:val="32"/>
        </w:rPr>
        <w:t>。</w:t>
      </w:r>
    </w:p>
    <w:p>
      <w:pPr>
        <w:pageBreakBefore w:val="0"/>
        <w:widowControl w:val="0"/>
        <w:kinsoku/>
        <w:wordWrap/>
        <w:overflowPunct/>
        <w:topLinePunct w:val="0"/>
        <w:bidi w:val="0"/>
        <w:spacing w:line="560" w:lineRule="exact"/>
        <w:ind w:firstLine="640"/>
        <w:textAlignment w:val="auto"/>
        <w:rPr>
          <w:rFonts w:ascii="仿宋" w:hAnsi="仿宋" w:eastAsia="仿宋"/>
          <w:b/>
          <w:color w:val="FF0000"/>
          <w:sz w:val="32"/>
          <w:szCs w:val="32"/>
        </w:rPr>
      </w:pPr>
    </w:p>
    <w:p>
      <w:pPr>
        <w:pageBreakBefore w:val="0"/>
        <w:widowControl w:val="0"/>
        <w:kinsoku/>
        <w:wordWrap/>
        <w:overflowPunct/>
        <w:topLinePunct w:val="0"/>
        <w:bidi w:val="0"/>
        <w:spacing w:line="560" w:lineRule="exact"/>
        <w:ind w:firstLine="640"/>
        <w:textAlignment w:val="auto"/>
        <w:outlineLvl w:val="1"/>
        <w:rPr>
          <w:rStyle w:val="29"/>
          <w:rFonts w:ascii="黑体" w:hAnsi="黑体" w:eastAsia="黑体"/>
          <w:b w:val="0"/>
        </w:rPr>
      </w:pPr>
      <w:bookmarkStart w:id="63" w:name="_Toc79163619"/>
      <w:bookmarkStart w:id="64" w:name="_Toc15377215"/>
      <w:bookmarkStart w:id="65" w:name="_Toc15396609"/>
      <w:bookmarkStart w:id="66" w:name="_Toc79163869"/>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63"/>
      <w:bookmarkEnd w:id="64"/>
      <w:bookmarkEnd w:id="65"/>
      <w:bookmarkEnd w:id="66"/>
    </w:p>
    <w:p>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67" w:name="_Toc15377216"/>
      <w:bookmarkStart w:id="68" w:name="_Toc79163870"/>
      <w:bookmarkStart w:id="69" w:name="_Toc79163620"/>
      <w:r>
        <w:rPr>
          <w:rFonts w:hint="eastAsia" w:ascii="仿宋" w:hAnsi="仿宋" w:eastAsia="仿宋"/>
          <w:b/>
          <w:color w:val="000000"/>
          <w:sz w:val="32"/>
          <w:szCs w:val="32"/>
        </w:rPr>
        <w:t>（一）“三公”经费财政拨款支出决算总体情况说明</w:t>
      </w:r>
      <w:bookmarkEnd w:id="67"/>
      <w:bookmarkEnd w:id="68"/>
      <w:bookmarkEnd w:id="69"/>
    </w:p>
    <w:p>
      <w:pPr>
        <w:pageBreakBefore w:val="0"/>
        <w:widowControl w:val="0"/>
        <w:kinsoku/>
        <w:wordWrap/>
        <w:overflowPunct/>
        <w:topLinePunct w:val="0"/>
        <w:bidi w:val="0"/>
        <w:spacing w:line="560" w:lineRule="exact"/>
        <w:ind w:firstLine="640"/>
        <w:textAlignment w:val="auto"/>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，决算数或与预算数持平的主要原因是</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本年度无“三公”经费财政拨款支出，无相关预算安排</w:t>
      </w:r>
      <w:r>
        <w:rPr>
          <w:rFonts w:hint="eastAsia" w:ascii="仿宋" w:hAnsi="仿宋" w:eastAsia="仿宋"/>
          <w:color w:val="000000"/>
          <w:sz w:val="32"/>
          <w:szCs w:val="32"/>
        </w:rPr>
        <w:t>。</w:t>
      </w:r>
    </w:p>
    <w:p>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70" w:name="_Toc15377217"/>
      <w:bookmarkStart w:id="71" w:name="_Toc79163871"/>
      <w:bookmarkStart w:id="72" w:name="_Toc79163621"/>
      <w:r>
        <w:rPr>
          <w:rFonts w:hint="eastAsia" w:ascii="仿宋" w:hAnsi="仿宋" w:eastAsia="仿宋"/>
          <w:b/>
          <w:color w:val="000000"/>
          <w:sz w:val="32"/>
          <w:szCs w:val="32"/>
        </w:rPr>
        <w:t>（二）“三公”经费财政拨款支出决算具体情况说明</w:t>
      </w:r>
      <w:bookmarkEnd w:id="70"/>
      <w:bookmarkEnd w:id="71"/>
      <w:bookmarkEnd w:id="72"/>
    </w:p>
    <w:p>
      <w:pPr>
        <w:pageBreakBefore w:val="0"/>
        <w:widowControl w:val="0"/>
        <w:kinsoku/>
        <w:wordWrap/>
        <w:overflowPunct/>
        <w:topLinePunct w:val="0"/>
        <w:bidi w:val="0"/>
        <w:spacing w:line="560" w:lineRule="exact"/>
        <w:ind w:firstLine="640"/>
        <w:textAlignment w:val="auto"/>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6"/>
          <w:rFonts w:hint="eastAsia" w:ascii="仿宋" w:hAnsi="仿宋" w:eastAsia="仿宋"/>
          <w:b w:val="0"/>
          <w:bCs/>
          <w:color w:val="000000"/>
          <w:sz w:val="32"/>
          <w:szCs w:val="32"/>
        </w:rPr>
        <w:t>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w:t>
      </w:r>
      <w:r>
        <w:rPr>
          <w:rFonts w:hint="eastAsia" w:ascii="仿宋_GB2312" w:eastAsia="仿宋_GB2312"/>
          <w:color w:val="000000"/>
          <w:sz w:val="32"/>
          <w:szCs w:val="32"/>
        </w:rPr>
        <w:t>20年增加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2020年与2021年均无因公出国（境）经费支出</w:t>
      </w:r>
      <w:r>
        <w:rPr>
          <w:rFonts w:hint="eastAsia" w:ascii="仿宋_GB2312" w:eastAsia="仿宋_GB2312"/>
          <w:color w:val="000000"/>
          <w:sz w:val="32"/>
          <w:szCs w:val="32"/>
        </w:rPr>
        <w:t>。</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rPr>
        <w:t>开支内容包括：</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（团组名称、出访地点、取得成效）等。</w:t>
      </w:r>
    </w:p>
    <w:p>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26"/>
          <w:rFonts w:hint="eastAsia" w:ascii="仿宋" w:hAnsi="仿宋" w:eastAsia="仿宋"/>
          <w:b w:val="0"/>
          <w:bCs/>
          <w:color w:val="000000"/>
          <w:sz w:val="32"/>
          <w:szCs w:val="32"/>
        </w:rPr>
        <w:t>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rPr>
        <w:t>20年增加</w:t>
      </w:r>
      <w:r>
        <w:rPr>
          <w:rFonts w:hint="eastAsia" w:ascii="仿宋_GB2312" w:eastAsia="仿宋_GB2312"/>
          <w:color w:val="000000"/>
          <w:sz w:val="32"/>
          <w:szCs w:val="32"/>
          <w:lang w:val="en-US" w:eastAsia="zh-CN"/>
        </w:rPr>
        <w:t>/减少0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/下降0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2020年与2021年均无公务用车购置及运行维护费支出</w:t>
      </w:r>
      <w:r>
        <w:rPr>
          <w:rFonts w:hint="eastAsia" w:ascii="仿宋_GB2312" w:eastAsia="仿宋_GB2312"/>
          <w:color w:val="000000"/>
          <w:sz w:val="32"/>
          <w:szCs w:val="32"/>
        </w:rPr>
        <w:t>。</w:t>
      </w:r>
    </w:p>
    <w:p>
      <w:pPr>
        <w:pageBreakBefore w:val="0"/>
        <w:widowControl w:val="0"/>
        <w:kinsoku/>
        <w:wordWrap/>
        <w:overflowPunct/>
        <w:topLinePunct w:val="0"/>
        <w:bidi w:val="0"/>
        <w:spacing w:line="560" w:lineRule="exact"/>
        <w:ind w:firstLine="640" w:firstLineChars="200"/>
        <w:textAlignment w:val="auto"/>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其他用车0辆</w:t>
      </w:r>
      <w:r>
        <w:rPr>
          <w:rFonts w:hint="eastAsia" w:ascii="仿宋_GB2312" w:eastAsia="仿宋_GB2312"/>
          <w:color w:val="000000"/>
          <w:sz w:val="32"/>
          <w:szCs w:val="32"/>
        </w:rPr>
        <w:t>。</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6"/>
          <w:rFonts w:hint="eastAsia" w:ascii="仿宋" w:hAnsi="仿宋" w:eastAsia="仿宋"/>
          <w:b w:val="0"/>
          <w:bCs/>
          <w:color w:val="000000"/>
          <w:sz w:val="32"/>
          <w:szCs w:val="32"/>
        </w:rPr>
        <w:t>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rPr>
        <w:t>20年增加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2020年与2021年均无公务接待费支出</w:t>
      </w:r>
      <w:r>
        <w:rPr>
          <w:rFonts w:hint="eastAsia" w:ascii="仿宋_GB2312" w:eastAsia="仿宋_GB2312"/>
          <w:color w:val="000000"/>
          <w:sz w:val="32"/>
          <w:szCs w:val="32"/>
        </w:rPr>
        <w:t>。其中：</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ind w:firstLine="643" w:firstLineChars="200"/>
        <w:textAlignment w:val="auto"/>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ind w:firstLine="640" w:firstLineChars="200"/>
        <w:textAlignment w:val="auto"/>
        <w:rPr>
          <w:rFonts w:ascii="仿宋_GB2312" w:eastAsia="仿宋_GB2312"/>
          <w:color w:val="000000"/>
          <w:sz w:val="32"/>
          <w:szCs w:val="32"/>
        </w:rPr>
      </w:pPr>
    </w:p>
    <w:p>
      <w:pPr>
        <w:pageBreakBefore w:val="0"/>
        <w:widowControl w:val="0"/>
        <w:kinsoku/>
        <w:wordWrap/>
        <w:overflowPunct/>
        <w:topLinePunct w:val="0"/>
        <w:bidi w:val="0"/>
        <w:spacing w:line="560" w:lineRule="exact"/>
        <w:ind w:firstLine="640"/>
        <w:textAlignment w:val="auto"/>
        <w:outlineLvl w:val="1"/>
        <w:rPr>
          <w:rStyle w:val="29"/>
          <w:rFonts w:ascii="黑体" w:hAnsi="黑体" w:eastAsia="黑体"/>
        </w:rPr>
      </w:pPr>
      <w:bookmarkStart w:id="73" w:name="_Toc15396610"/>
      <w:bookmarkStart w:id="74" w:name="_Toc79163872"/>
      <w:bookmarkStart w:id="75" w:name="_Toc15377218"/>
      <w:bookmarkStart w:id="76" w:name="_Toc79163622"/>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73"/>
      <w:bookmarkEnd w:id="74"/>
      <w:bookmarkEnd w:id="75"/>
      <w:bookmarkEnd w:id="76"/>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p>
    <w:p>
      <w:pPr>
        <w:pageBreakBefore w:val="0"/>
        <w:widowControl w:val="0"/>
        <w:numPr>
          <w:ilvl w:val="0"/>
          <w:numId w:val="2"/>
        </w:numPr>
        <w:kinsoku/>
        <w:wordWrap/>
        <w:overflowPunct/>
        <w:topLinePunct w:val="0"/>
        <w:bidi w:val="0"/>
        <w:spacing w:line="560" w:lineRule="exact"/>
        <w:ind w:firstLine="640"/>
        <w:textAlignment w:val="auto"/>
        <w:outlineLvl w:val="1"/>
        <w:rPr>
          <w:rStyle w:val="29"/>
          <w:rFonts w:ascii="黑体" w:hAnsi="黑体" w:eastAsia="黑体"/>
          <w:b w:val="0"/>
        </w:rPr>
      </w:pPr>
      <w:bookmarkStart w:id="77" w:name="_Toc15396611"/>
      <w:bookmarkStart w:id="78" w:name="_Toc79163873"/>
      <w:bookmarkStart w:id="79" w:name="_Toc15377219"/>
      <w:bookmarkStart w:id="80" w:name="_Toc79163623"/>
      <w:r>
        <w:rPr>
          <w:rStyle w:val="29"/>
          <w:rFonts w:hint="eastAsia" w:ascii="黑体" w:hAnsi="黑体" w:eastAsia="黑体"/>
          <w:b w:val="0"/>
        </w:rPr>
        <w:t>国有资本经营预算支出决算情况说明</w:t>
      </w:r>
      <w:bookmarkEnd w:id="77"/>
      <w:bookmarkEnd w:id="78"/>
      <w:bookmarkEnd w:id="79"/>
      <w:bookmarkEnd w:id="80"/>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jc w:val="center"/>
        <w:textAlignment w:val="auto"/>
        <w:rPr>
          <w:rFonts w:ascii="方正小标宋简体" w:hAnsi="方正小标宋简体" w:eastAsia="方正小标宋简体" w:cs="方正小标宋简体"/>
          <w:sz w:val="44"/>
          <w:szCs w:val="44"/>
        </w:rPr>
      </w:pPr>
    </w:p>
    <w:p>
      <w:pPr>
        <w:pageBreakBefore w:val="0"/>
        <w:widowControl w:val="0"/>
        <w:kinsoku/>
        <w:wordWrap/>
        <w:overflowPunct/>
        <w:topLinePunct w:val="0"/>
        <w:bidi w:val="0"/>
        <w:spacing w:line="560" w:lineRule="exact"/>
        <w:ind w:firstLine="800" w:firstLineChars="250"/>
        <w:textAlignment w:val="auto"/>
        <w:outlineLvl w:val="1"/>
        <w:rPr>
          <w:rStyle w:val="29"/>
          <w:rFonts w:ascii="黑体" w:hAnsi="黑体" w:eastAsia="黑体"/>
        </w:rPr>
      </w:pPr>
      <w:bookmarkStart w:id="81" w:name="_Toc15396612"/>
      <w:bookmarkStart w:id="82" w:name="_Toc15377221"/>
      <w:bookmarkStart w:id="83" w:name="_Toc79163874"/>
      <w:bookmarkStart w:id="84" w:name="_Toc79163624"/>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81"/>
      <w:bookmarkEnd w:id="82"/>
      <w:bookmarkEnd w:id="83"/>
      <w:bookmarkEnd w:id="84"/>
    </w:p>
    <w:p>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color w:val="000000"/>
          <w:sz w:val="32"/>
          <w:szCs w:val="32"/>
        </w:rPr>
      </w:pPr>
      <w:bookmarkStart w:id="85" w:name="_Toc79163875"/>
      <w:bookmarkStart w:id="86" w:name="_Toc15377222"/>
      <w:bookmarkStart w:id="87" w:name="_Toc79163625"/>
      <w:r>
        <w:rPr>
          <w:rFonts w:hint="eastAsia" w:ascii="仿宋" w:hAnsi="仿宋" w:eastAsia="仿宋"/>
          <w:b/>
          <w:color w:val="000000"/>
          <w:sz w:val="32"/>
          <w:szCs w:val="32"/>
        </w:rPr>
        <w:t>（一）机关运行经费支出情况</w:t>
      </w:r>
      <w:bookmarkEnd w:id="85"/>
      <w:bookmarkEnd w:id="86"/>
      <w:bookmarkEnd w:id="87"/>
    </w:p>
    <w:p>
      <w:pPr>
        <w:pageBreakBefore w:val="0"/>
        <w:widowControl w:val="0"/>
        <w:kinsoku/>
        <w:wordWrap/>
        <w:overflowPunct/>
        <w:topLinePunct w:val="0"/>
        <w:bidi w:val="0"/>
        <w:spacing w:line="560" w:lineRule="exact"/>
        <w:ind w:firstLine="640" w:firstLineChars="200"/>
        <w:textAlignment w:val="auto"/>
        <w:rPr>
          <w:rFonts w:hint="eastAsia" w:ascii="仿宋_GB2312" w:eastAsia="仿宋_GB2312"/>
          <w:color w:val="000000"/>
          <w:sz w:val="32"/>
          <w:szCs w:val="32"/>
          <w:lang w:val="en-US" w:eastAsia="zh-CN"/>
        </w:rPr>
      </w:pPr>
      <w:r>
        <w:rPr>
          <w:rFonts w:ascii="仿宋_GB2312" w:eastAsia="仿宋_GB2312"/>
          <w:color w:val="000000"/>
          <w:sz w:val="32"/>
          <w:szCs w:val="32"/>
        </w:rPr>
        <w:t>202</w:t>
      </w:r>
      <w:r>
        <w:rPr>
          <w:rFonts w:hint="eastAsia" w:ascii="仿宋_GB2312" w:eastAsia="仿宋_GB2312"/>
          <w:color w:val="000000"/>
          <w:sz w:val="32"/>
          <w:szCs w:val="32"/>
        </w:rPr>
        <w:t>1年，</w:t>
      </w:r>
      <w:r>
        <w:rPr>
          <w:rFonts w:hint="eastAsia" w:ascii="仿宋_GB2312" w:eastAsia="仿宋_GB2312"/>
          <w:color w:val="000000"/>
          <w:sz w:val="32"/>
          <w:szCs w:val="32"/>
          <w:lang w:eastAsia="zh-CN"/>
        </w:rPr>
        <w:t>阿坝州壤塘县娜泽求宗社区管理委员会</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20.87</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rPr>
        <w:t>20年增加12.07万元，增长137.22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上年度7月成立，业务活动增加，相关经费支出增加</w:t>
      </w:r>
      <w:r>
        <w:rPr>
          <w:rFonts w:hint="eastAsia" w:ascii="仿宋_GB2312" w:eastAsia="仿宋_GB2312"/>
          <w:color w:val="000000"/>
          <w:sz w:val="32"/>
          <w:szCs w:val="32"/>
          <w:lang w:eastAsia="zh-CN"/>
        </w:rPr>
        <w:t>。</w:t>
      </w:r>
    </w:p>
    <w:p>
      <w:pPr>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88" w:name="_Toc15377223"/>
      <w:bookmarkStart w:id="89" w:name="_Toc79163626"/>
      <w:bookmarkStart w:id="90" w:name="_Toc79163876"/>
      <w:r>
        <w:rPr>
          <w:rFonts w:hint="eastAsia" w:ascii="仿宋" w:hAnsi="仿宋" w:eastAsia="仿宋"/>
          <w:b/>
          <w:color w:val="000000"/>
          <w:sz w:val="32"/>
          <w:szCs w:val="32"/>
        </w:rPr>
        <w:t>（二）政府采购支出情况</w:t>
      </w:r>
      <w:bookmarkEnd w:id="88"/>
      <w:bookmarkEnd w:id="89"/>
      <w:bookmarkEnd w:id="90"/>
    </w:p>
    <w:p>
      <w:pPr>
        <w:pageBreakBefore w:val="0"/>
        <w:widowControl w:val="0"/>
        <w:kinsoku/>
        <w:wordWrap/>
        <w:overflowPunct/>
        <w:topLinePunct w:val="0"/>
        <w:bidi w:val="0"/>
        <w:spacing w:line="56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w:t>
      </w:r>
      <w:r>
        <w:rPr>
          <w:rFonts w:hint="eastAsia" w:ascii="仿宋_GB2312" w:eastAsia="仿宋_GB2312"/>
          <w:color w:val="000000"/>
          <w:sz w:val="32"/>
          <w:szCs w:val="32"/>
          <w:lang w:eastAsia="zh-CN"/>
        </w:rPr>
        <w:t>阿坝州壤塘县娜泽求宗社区管理委员会</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91" w:name="_Toc15377224"/>
      <w:bookmarkStart w:id="92" w:name="_Toc79163877"/>
      <w:bookmarkStart w:id="93" w:name="_Toc79163627"/>
      <w:r>
        <w:rPr>
          <w:rFonts w:hint="eastAsia" w:ascii="仿宋" w:hAnsi="仿宋" w:eastAsia="仿宋"/>
          <w:b/>
          <w:color w:val="000000"/>
          <w:sz w:val="32"/>
          <w:szCs w:val="32"/>
        </w:rPr>
        <w:t>（三）国有资产占有使用情况</w:t>
      </w:r>
      <w:bookmarkEnd w:id="91"/>
      <w:bookmarkEnd w:id="92"/>
      <w:bookmarkEnd w:id="93"/>
    </w:p>
    <w:p>
      <w:pPr>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阿坝州壤塘县娜泽求宗社区管理委员会</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94" w:name="_Toc79163878"/>
      <w:bookmarkStart w:id="95" w:name="_Toc79163628"/>
      <w:r>
        <w:rPr>
          <w:rFonts w:hint="eastAsia" w:ascii="仿宋" w:hAnsi="仿宋" w:eastAsia="仿宋"/>
          <w:b/>
          <w:color w:val="000000"/>
          <w:sz w:val="32"/>
          <w:szCs w:val="32"/>
        </w:rPr>
        <w:t>（四）预算绩效管理情况。</w:t>
      </w:r>
      <w:bookmarkEnd w:id="94"/>
      <w:bookmarkEnd w:id="95"/>
    </w:p>
    <w:p>
      <w:pPr>
        <w:pageBreakBefore w:val="0"/>
        <w:widowControl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val="en-US" w:eastAsia="zh-CN"/>
        </w:rPr>
        <w:t>0个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个项目开展了绩效目标完成情况自评。</w:t>
      </w:r>
    </w:p>
    <w:p>
      <w:pPr>
        <w:pageBreakBefore w:val="0"/>
        <w:widowControl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1年部门整体支出开展绩效自评，从评价情况来看我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整体支出情况良好，从预算到执行和收入、支出管理均严格按照相关要求进行，全年收支平衡，有效保障了单位正常运转，圆满完成了单位目标任务。本部门无专项预算项目，因此未组织开展项目支出绩效评价。</w:t>
      </w:r>
    </w:p>
    <w:p>
      <w:pPr>
        <w:pageBreakBefore w:val="0"/>
        <w:widowControl w:val="0"/>
        <w:kinsoku/>
        <w:wordWrap/>
        <w:overflowPunct/>
        <w:topLinePunct w:val="0"/>
        <w:bidi w:val="0"/>
        <w:spacing w:line="560" w:lineRule="exact"/>
        <w:ind w:firstLine="640" w:firstLineChars="200"/>
        <w:textAlignment w:val="auto"/>
        <w:rPr>
          <w:rFonts w:hint="eastAsia" w:ascii="楷体_GB2312" w:hAnsi="楷体_GB2312" w:eastAsia="楷体_GB2312" w:cs="楷体_GB2312"/>
          <w:sz w:val="32"/>
          <w:szCs w:val="32"/>
          <w:lang w:eastAsia="zh-CN"/>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1年度部门决算中反映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个项目绩效目标实际完成情况。（本单位部门项目绩效目标个数在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个以上的，选取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个项目进行公开，目标个数在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个以下的，全部进行公开，公开内容包括选取的全部项目完成情况综述和完成情况表）。</w:t>
      </w: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1年部门整体支出绩效评价情况开展自评，《</w:t>
      </w:r>
      <w:r>
        <w:rPr>
          <w:rFonts w:hint="eastAsia" w:ascii="仿宋_GB2312" w:hAnsi="仿宋_GB2312" w:eastAsia="仿宋_GB2312" w:cs="仿宋_GB2312"/>
          <w:sz w:val="32"/>
          <w:szCs w:val="32"/>
          <w:lang w:eastAsia="zh-CN"/>
        </w:rPr>
        <w:t>阿坝州壤塘县娜泽求宗社区管理委员会</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0个</w:t>
      </w:r>
      <w:r>
        <w:rPr>
          <w:rFonts w:hint="eastAsia" w:ascii="仿宋_GB2312" w:hAnsi="仿宋_GB2312" w:eastAsia="仿宋_GB2312" w:cs="仿宋_GB2312"/>
          <w:sz w:val="32"/>
          <w:szCs w:val="32"/>
        </w:rPr>
        <w:t>项目开展了绩效评价。</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8"/>
          <w:rFonts w:ascii="黑体" w:hAnsi="黑体" w:eastAsia="黑体"/>
          <w:b w:val="0"/>
        </w:rPr>
      </w:pPr>
      <w:bookmarkStart w:id="96" w:name="_Toc15377225"/>
      <w:bookmarkStart w:id="97" w:name="_Toc79163629"/>
      <w:bookmarkStart w:id="98" w:name="_Toc79163879"/>
      <w:bookmarkStart w:id="99" w:name="_Toc15396613"/>
      <w:r>
        <w:rPr>
          <w:rFonts w:hint="eastAsia" w:ascii="黑体" w:hAnsi="黑体" w:eastAsia="黑体"/>
          <w:color w:val="000000"/>
          <w:sz w:val="44"/>
          <w:szCs w:val="44"/>
        </w:rPr>
        <w:t>名</w:t>
      </w:r>
      <w:r>
        <w:rPr>
          <w:rStyle w:val="28"/>
          <w:rFonts w:hint="eastAsia" w:ascii="黑体" w:hAnsi="黑体" w:eastAsia="黑体"/>
          <w:b w:val="0"/>
        </w:rPr>
        <w:t>词解释</w:t>
      </w:r>
      <w:bookmarkEnd w:id="96"/>
      <w:bookmarkEnd w:id="97"/>
      <w:bookmarkEnd w:id="98"/>
      <w:bookmarkEnd w:id="99"/>
    </w:p>
    <w:p>
      <w:pPr>
        <w:spacing w:line="600" w:lineRule="exact"/>
        <w:jc w:val="left"/>
        <w:rPr>
          <w:rFonts w:ascii="宋体"/>
          <w:b/>
          <w:color w:val="000000"/>
          <w:sz w:val="44"/>
          <w:szCs w:val="44"/>
        </w:rPr>
      </w:pPr>
    </w:p>
    <w:p>
      <w:pPr>
        <w:pStyle w:val="3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事业收入：指事业单位开展专业业务活动及辅助活动取得的收入。（二级预算单位事业收入情况）等。</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经营收入：指事业单位在专业业务活动及其辅助活动之外开展非独立核算经营活动取得的收入。（二级预算单位经营收入情况）等。</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8"/>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38"/>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9.一般公共服务（类）民族事务（款）行政运行（项）：反映行政单位（包括实行公务员管理的事业单位）的基本支出。</w:t>
      </w:r>
    </w:p>
    <w:p>
      <w:pPr>
        <w:pStyle w:val="38"/>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10.一般公共服务（类）民族事务（款）一般行政管理事务（项）：反映行政单位（包括实行公务员管理的事业单位）未单独设置项级科目的其他项目支出。</w:t>
      </w:r>
    </w:p>
    <w:p>
      <w:pPr>
        <w:pStyle w:val="3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11.一般公共服务（类）民族事务（款）民族工作专项（项）：反映用于民族事务管理方面的支出。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.社会保障和就业（类）行政事业单位养老支出（款）机关事业单位基本养老保险缴费支出（项）：指机关事业单位实施养老保险制度由单位缴纳的基本养老保险费支出。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 社会保障和就业（类）行政事业单位养老支出（款）机关事业单位职业年金缴费支出（项）：指机关事业单位养老保险制度由单位缴纳的职业年金支出。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.卫生健康支出（类）行政事业单位医疗（款）事业单位医疗（项）：指财政部门集中安排的事业单位基本医疗保险缴费。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.住房保障（类）住房改革（款）住房公积金（项）：指行政事业单位按规定的标准和比例为职工缴纳的住房公积金。</w:t>
      </w:r>
    </w:p>
    <w:p>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.基本支出：指为保障机构正常运转、完成日常工作任务而发生的人员支出和公用支出。</w:t>
      </w:r>
    </w:p>
    <w:p>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.项目支出：指在基本支出之外为完成特定行政任务和事业发展目标所发生的支出。</w:t>
      </w:r>
    </w:p>
    <w:p>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.经营支出：指事业单位在专业业务活动及其辅助活动之外开展非独立核算经营活动发生的支出。</w:t>
      </w:r>
    </w:p>
    <w:p>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8"/>
        <w:spacing w:line="560"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pPr>
        <w:spacing w:line="600" w:lineRule="exact"/>
        <w:jc w:val="center"/>
        <w:outlineLvl w:val="0"/>
        <w:rPr>
          <w:rStyle w:val="28"/>
          <w:rFonts w:ascii="黑体" w:hAnsi="黑体" w:eastAsia="黑体"/>
          <w:b w:val="0"/>
        </w:rPr>
      </w:pPr>
      <w:bookmarkStart w:id="100" w:name="_Toc15377226"/>
      <w:r>
        <w:rPr>
          <w:rFonts w:ascii="宋体"/>
          <w:b/>
          <w:color w:val="000000"/>
          <w:sz w:val="44"/>
          <w:szCs w:val="44"/>
        </w:rPr>
        <w:br w:type="page"/>
      </w:r>
      <w:bookmarkStart w:id="101" w:name="_Toc15396614"/>
      <w:bookmarkStart w:id="102" w:name="_Toc79163630"/>
      <w:bookmarkStart w:id="103" w:name="_Toc79163880"/>
      <w:r>
        <w:rPr>
          <w:rFonts w:hint="eastAsia" w:ascii="黑体" w:hAnsi="黑体" w:eastAsia="黑体"/>
          <w:color w:val="000000"/>
          <w:sz w:val="44"/>
          <w:szCs w:val="44"/>
        </w:rPr>
        <w:t>第</w:t>
      </w:r>
      <w:r>
        <w:rPr>
          <w:rStyle w:val="28"/>
          <w:rFonts w:hint="eastAsia" w:ascii="黑体" w:hAnsi="黑体" w:eastAsia="黑体"/>
          <w:b w:val="0"/>
        </w:rPr>
        <w:t>四部分</w:t>
      </w:r>
      <w:r>
        <w:rPr>
          <w:rStyle w:val="28"/>
          <w:rFonts w:ascii="黑体" w:hAnsi="黑体" w:eastAsia="黑体"/>
          <w:b w:val="0"/>
        </w:rPr>
        <w:t xml:space="preserve"> </w:t>
      </w:r>
      <w:r>
        <w:rPr>
          <w:rStyle w:val="28"/>
          <w:rFonts w:hint="eastAsia" w:ascii="黑体" w:hAnsi="黑体" w:eastAsia="黑体"/>
          <w:b w:val="0"/>
        </w:rPr>
        <w:t>附件</w:t>
      </w:r>
      <w:bookmarkEnd w:id="101"/>
      <w:bookmarkEnd w:id="102"/>
      <w:bookmarkEnd w:id="103"/>
    </w:p>
    <w:p>
      <w:pPr>
        <w:spacing w:line="600" w:lineRule="exact"/>
        <w:jc w:val="left"/>
        <w:outlineLvl w:val="0"/>
        <w:rPr>
          <w:rFonts w:ascii="方正小标宋简体" w:hAnsi="方正小标宋简体" w:eastAsia="方正小标宋简体" w:cs="方正小标宋简体"/>
          <w:sz w:val="32"/>
          <w:szCs w:val="32"/>
        </w:rPr>
      </w:pPr>
      <w:bookmarkStart w:id="104" w:name="_Toc79163881"/>
      <w:bookmarkStart w:id="105" w:name="_Toc79163631"/>
      <w:r>
        <w:rPr>
          <w:rFonts w:hint="eastAsia" w:ascii="黑体" w:hAnsi="黑体" w:eastAsia="黑体" w:cs="黑体"/>
          <w:sz w:val="32"/>
          <w:szCs w:val="32"/>
        </w:rPr>
        <w:t>附件</w:t>
      </w:r>
      <w:r>
        <w:rPr>
          <w:rFonts w:ascii="黑体" w:hAnsi="黑体" w:eastAsia="黑体" w:cs="黑体"/>
          <w:sz w:val="32"/>
          <w:szCs w:val="32"/>
        </w:rPr>
        <w:t>1</w:t>
      </w:r>
      <w:bookmarkEnd w:id="104"/>
      <w:bookmarkEnd w:id="105"/>
    </w:p>
    <w:p>
      <w:pPr>
        <w:spacing w:line="580" w:lineRule="exact"/>
        <w:jc w:val="center"/>
        <w:rPr>
          <w:rFonts w:ascii="方正小标宋简体" w:hAnsi="方正小标宋简体" w:eastAsia="方正小标宋简体" w:cs="方正小标宋简体"/>
          <w:sz w:val="44"/>
          <w:szCs w:val="44"/>
        </w:rPr>
      </w:pPr>
    </w:p>
    <w:p>
      <w:pPr>
        <w:keepNext w:val="0"/>
        <w:keepLines w:val="0"/>
        <w:widowControl/>
        <w:suppressLineNumbers w:val="0"/>
        <w:spacing w:before="0" w:beforeAutospacing="0" w:after="0" w:afterAutospacing="0" w:line="360" w:lineRule="auto"/>
        <w:ind w:left="0" w:right="0"/>
        <w:jc w:val="center"/>
        <w:textAlignment w:val="baseline"/>
        <w:rPr>
          <w:rFonts w:hint="eastAsia" w:ascii="宋体" w:hAnsi="宋体" w:eastAsia="宋体" w:cs="宋体"/>
          <w:b/>
          <w:bCs/>
          <w:i w:val="0"/>
          <w:caps w:val="0"/>
          <w:spacing w:val="0"/>
          <w:kern w:val="0"/>
          <w:sz w:val="44"/>
          <w:szCs w:val="44"/>
          <w:vertAlign w:val="baseline"/>
        </w:rPr>
      </w:pPr>
      <w:r>
        <w:rPr>
          <w:rFonts w:hint="eastAsia" w:ascii="宋体" w:hAnsi="宋体" w:eastAsia="宋体" w:cs="宋体"/>
          <w:b/>
          <w:bCs/>
          <w:i w:val="0"/>
          <w:caps w:val="0"/>
          <w:spacing w:val="0"/>
          <w:kern w:val="0"/>
          <w:sz w:val="44"/>
          <w:szCs w:val="44"/>
          <w:vertAlign w:val="baseline"/>
          <w:lang w:val="en-US" w:eastAsia="zh-CN" w:bidi="ar"/>
        </w:rPr>
        <w:t>2021年度壤塘县娜泽求宗社区管理委员会部门整体支出绩效评价自评报告</w:t>
      </w:r>
    </w:p>
    <w:p>
      <w:pPr>
        <w:keepNext w:val="0"/>
        <w:keepLines w:val="0"/>
        <w:widowControl/>
        <w:suppressLineNumbers w:val="0"/>
        <w:spacing w:before="0" w:beforeAutospacing="0" w:after="0" w:afterAutospacing="0" w:line="360" w:lineRule="auto"/>
        <w:ind w:left="0" w:right="0"/>
        <w:jc w:val="center"/>
        <w:textAlignment w:val="baseline"/>
        <w:rPr>
          <w:rFonts w:hint="eastAsia" w:ascii="宋体" w:hAnsi="宋体" w:eastAsia="宋体" w:cs="Times New Roman"/>
          <w:b w:val="0"/>
          <w:i w:val="0"/>
          <w:caps w:val="0"/>
          <w:spacing w:val="0"/>
          <w:kern w:val="0"/>
          <w:sz w:val="21"/>
          <w:szCs w:val="21"/>
          <w:vertAlign w:val="baseline"/>
        </w:rPr>
      </w:pPr>
      <w:r>
        <w:rPr>
          <w:rFonts w:hint="eastAsia" w:ascii="宋体" w:hAnsi="宋体" w:eastAsia="宋体" w:cs="Times New Roman"/>
          <w:b w:val="0"/>
          <w:i w:val="0"/>
          <w:caps w:val="0"/>
          <w:spacing w:val="0"/>
          <w:kern w:val="0"/>
          <w:sz w:val="21"/>
          <w:szCs w:val="21"/>
          <w:vertAlign w:val="baseline"/>
          <w:lang w:val="en-US" w:eastAsia="zh-CN" w:bidi="ar"/>
        </w:rPr>
        <w:t xml:space="preserve"> </w:t>
      </w:r>
    </w:p>
    <w:p>
      <w:pPr>
        <w:keepNext w:val="0"/>
        <w:keepLines w:val="0"/>
        <w:widowControl/>
        <w:suppressLineNumbers w:val="0"/>
        <w:spacing w:before="0" w:beforeAutospacing="0" w:after="0" w:afterAutospacing="0" w:line="360" w:lineRule="auto"/>
        <w:ind w:left="0" w:right="0" w:firstLine="643" w:firstLineChars="200"/>
        <w:jc w:val="both"/>
        <w:textAlignment w:val="baseline"/>
        <w:rPr>
          <w:rFonts w:hint="default" w:ascii="仿宋_GB2312" w:eastAsia="仿宋_GB2312" w:cs="仿宋_GB2312"/>
          <w:b/>
          <w:bCs/>
          <w:i w:val="0"/>
          <w:caps w:val="0"/>
          <w:spacing w:val="0"/>
          <w:kern w:val="2"/>
          <w:sz w:val="32"/>
          <w:szCs w:val="32"/>
          <w:vertAlign w:val="baseline"/>
        </w:rPr>
      </w:pPr>
      <w:r>
        <w:rPr>
          <w:rFonts w:hint="default" w:ascii="仿宋_GB2312" w:hAnsi="Calibri" w:eastAsia="仿宋_GB2312" w:cs="仿宋_GB2312"/>
          <w:b/>
          <w:bCs/>
          <w:i w:val="0"/>
          <w:caps w:val="0"/>
          <w:spacing w:val="0"/>
          <w:kern w:val="0"/>
          <w:sz w:val="32"/>
          <w:szCs w:val="32"/>
          <w:vertAlign w:val="baseline"/>
          <w:lang w:val="en-US" w:eastAsia="zh-CN" w:bidi="ar"/>
        </w:rPr>
        <w:t>一、部门（单位）概况</w:t>
      </w:r>
    </w:p>
    <w:p>
      <w:pPr>
        <w:keepNext w:val="0"/>
        <w:keepLines w:val="0"/>
        <w:widowControl/>
        <w:suppressLineNumbers w:val="0"/>
        <w:spacing w:before="0" w:beforeAutospacing="0" w:after="0" w:afterAutospacing="0" w:line="360" w:lineRule="auto"/>
        <w:ind w:left="0" w:righ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仿宋_GB2312"/>
          <w:b w:val="0"/>
          <w:i w:val="0"/>
          <w:caps w:val="0"/>
          <w:spacing w:val="0"/>
          <w:kern w:val="2"/>
          <w:sz w:val="32"/>
          <w:szCs w:val="32"/>
          <w:vertAlign w:val="baseline"/>
          <w:lang w:val="en-US" w:eastAsia="zh-CN" w:bidi="ar"/>
        </w:rPr>
        <w:t>壤塘县娜泽求宗社区管理委员</w:t>
      </w:r>
      <w:r>
        <w:rPr>
          <w:rFonts w:hint="default" w:ascii="仿宋_GB2312" w:hAnsi="Calibri" w:eastAsia="仿宋_GB2312" w:cs="仿宋_GB2312"/>
          <w:b w:val="0"/>
          <w:i w:val="0"/>
          <w:caps w:val="0"/>
          <w:color w:val="000000"/>
          <w:spacing w:val="0"/>
          <w:kern w:val="2"/>
          <w:sz w:val="32"/>
          <w:szCs w:val="32"/>
          <w:highlight w:val="white"/>
          <w:vertAlign w:val="baseline"/>
          <w:lang w:val="en-US" w:eastAsia="zh-CN" w:bidi="ar"/>
        </w:rPr>
        <w:t>会机构性质：机关，机构地址：四川省壤塘县上杜柯乡吉拉村</w:t>
      </w:r>
      <w:r>
        <w:rPr>
          <w:rFonts w:hint="default" w:ascii="仿宋_GB2312" w:hAnsi="Calibri" w:eastAsia="仿宋_GB2312" w:cs="Times New Roman"/>
          <w:b w:val="0"/>
          <w:i w:val="0"/>
          <w:caps w:val="0"/>
          <w:color w:val="000000"/>
          <w:spacing w:val="0"/>
          <w:kern w:val="2"/>
          <w:sz w:val="32"/>
          <w:szCs w:val="32"/>
          <w:highlight w:val="white"/>
          <w:vertAlign w:val="baseline"/>
          <w:lang w:val="en-US" w:eastAsia="zh-CN" w:bidi="ar"/>
        </w:rPr>
        <w:t>1号，单位负责人：文梅。</w:t>
      </w:r>
    </w:p>
    <w:p>
      <w:pPr>
        <w:keepNext w:val="0"/>
        <w:keepLines w:val="0"/>
        <w:widowControl/>
        <w:suppressLineNumbers w:val="0"/>
        <w:spacing w:before="0" w:beforeAutospacing="0" w:after="0" w:afterAutospacing="0" w:line="360" w:lineRule="auto"/>
        <w:ind w:left="0" w:right="0" w:firstLine="643" w:firstLineChars="200"/>
        <w:jc w:val="both"/>
        <w:textAlignment w:val="baseline"/>
        <w:rPr>
          <w:rFonts w:hint="default" w:ascii="仿宋_GB2312" w:eastAsia="仿宋_GB2312" w:cs="仿宋_GB2312"/>
          <w:b/>
          <w:bCs/>
          <w:i w:val="0"/>
          <w:caps w:val="0"/>
          <w:spacing w:val="0"/>
          <w:kern w:val="0"/>
          <w:sz w:val="32"/>
          <w:szCs w:val="32"/>
          <w:vertAlign w:val="baseline"/>
        </w:rPr>
      </w:pPr>
      <w:r>
        <w:rPr>
          <w:rFonts w:hint="default" w:ascii="仿宋_GB2312" w:hAnsi="Calibri" w:eastAsia="仿宋_GB2312" w:cs="仿宋_GB2312"/>
          <w:b/>
          <w:bCs w:val="0"/>
          <w:i w:val="0"/>
          <w:caps w:val="0"/>
          <w:color w:val="000000"/>
          <w:spacing w:val="0"/>
          <w:kern w:val="2"/>
          <w:sz w:val="32"/>
          <w:szCs w:val="32"/>
          <w:highlight w:val="white"/>
          <w:vertAlign w:val="baseline"/>
          <w:lang w:val="en-US" w:eastAsia="zh-CN" w:bidi="ar"/>
        </w:rPr>
        <w:t>（一）机构组成</w:t>
      </w:r>
    </w:p>
    <w:p>
      <w:pPr>
        <w:keepNext w:val="0"/>
        <w:keepLines w:val="0"/>
        <w:widowControl/>
        <w:suppressLineNumbers w:val="0"/>
        <w:spacing w:before="0" w:beforeAutospacing="0" w:after="0" w:afterAutospacing="0" w:line="360" w:lineRule="auto"/>
        <w:ind w:left="0" w:righ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仿宋_GB2312"/>
          <w:b w:val="0"/>
          <w:i w:val="0"/>
          <w:caps w:val="0"/>
          <w:color w:val="000000"/>
          <w:spacing w:val="0"/>
          <w:kern w:val="2"/>
          <w:sz w:val="32"/>
          <w:szCs w:val="32"/>
          <w:highlight w:val="white"/>
          <w:vertAlign w:val="baseline"/>
          <w:lang w:val="en-US" w:eastAsia="zh-CN" w:bidi="ar"/>
        </w:rPr>
        <w:t>壤塘娜泽求宗社区管理委员会共有</w:t>
      </w:r>
      <w:r>
        <w:rPr>
          <w:rFonts w:hint="default" w:ascii="仿宋_GB2312" w:hAnsi="Calibri" w:eastAsia="仿宋_GB2312" w:cs="Times New Roman"/>
          <w:b w:val="0"/>
          <w:i w:val="0"/>
          <w:caps w:val="0"/>
          <w:color w:val="000000"/>
          <w:spacing w:val="0"/>
          <w:kern w:val="2"/>
          <w:sz w:val="32"/>
          <w:szCs w:val="32"/>
          <w:highlight w:val="white"/>
          <w:vertAlign w:val="baseline"/>
          <w:lang w:val="en-US" w:eastAsia="zh-CN" w:bidi="ar"/>
        </w:rPr>
        <w:t>1个股室，办公室。</w:t>
      </w:r>
    </w:p>
    <w:p>
      <w:pPr>
        <w:keepNext w:val="0"/>
        <w:keepLines w:val="0"/>
        <w:widowControl/>
        <w:numPr>
          <w:ilvl w:val="0"/>
          <w:numId w:val="4"/>
        </w:numPr>
        <w:suppressLineNumbers w:val="0"/>
        <w:spacing w:before="0" w:beforeAutospacing="0" w:after="0" w:afterAutospacing="0" w:line="360" w:lineRule="auto"/>
        <w:ind w:left="0" w:right="0" w:firstLine="643" w:firstLineChars="200"/>
        <w:jc w:val="both"/>
        <w:textAlignment w:val="baseline"/>
        <w:rPr>
          <w:rFonts w:hint="default" w:ascii="仿宋_GB2312" w:eastAsia="仿宋_GB2312" w:cs="仿宋_GB2312"/>
          <w:b/>
          <w:bCs/>
          <w:i w:val="0"/>
          <w:caps w:val="0"/>
          <w:spacing w:val="0"/>
          <w:kern w:val="2"/>
          <w:sz w:val="32"/>
          <w:szCs w:val="32"/>
          <w:vertAlign w:val="baseline"/>
        </w:rPr>
      </w:pPr>
      <w:r>
        <w:rPr>
          <w:rFonts w:hint="default" w:ascii="仿宋_GB2312" w:hAnsi="Calibri" w:eastAsia="仿宋_GB2312" w:cs="仿宋_GB2312"/>
          <w:b/>
          <w:bCs w:val="0"/>
          <w:i w:val="0"/>
          <w:caps w:val="0"/>
          <w:color w:val="000000"/>
          <w:spacing w:val="0"/>
          <w:kern w:val="2"/>
          <w:sz w:val="32"/>
          <w:szCs w:val="32"/>
          <w:highlight w:val="white"/>
          <w:vertAlign w:val="baseline"/>
          <w:lang w:val="en-US" w:eastAsia="zh-CN" w:bidi="ar"/>
        </w:rPr>
        <w:t>机构职能</w:t>
      </w:r>
    </w:p>
    <w:p>
      <w:pPr>
        <w:keepNext w:val="0"/>
        <w:keepLines w:val="0"/>
        <w:widowControl/>
        <w:suppressLineNumbers w:val="0"/>
        <w:spacing w:before="0" w:beforeAutospacing="0" w:after="0" w:afterAutospacing="0" w:line="360" w:lineRule="auto"/>
        <w:ind w:left="0" w:righ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仿宋_GB2312"/>
          <w:b w:val="0"/>
          <w:i w:val="0"/>
          <w:caps w:val="0"/>
          <w:color w:val="000000"/>
          <w:spacing w:val="0"/>
          <w:kern w:val="2"/>
          <w:sz w:val="32"/>
          <w:szCs w:val="32"/>
          <w:highlight w:val="white"/>
          <w:vertAlign w:val="baseline"/>
          <w:lang w:val="en-US" w:eastAsia="zh-CN" w:bidi="ar"/>
        </w:rPr>
        <w:t>依法加强安置点宗教事务管理严守法律底线，坚决</w:t>
      </w:r>
      <w:r>
        <w:rPr>
          <w:rFonts w:hint="default" w:ascii="仿宋_GB2312" w:hAnsi="Calibri" w:eastAsia="仿宋_GB2312" w:cs="仿宋_GB2312"/>
          <w:b w:val="0"/>
          <w:i w:val="0"/>
          <w:caps w:val="0"/>
          <w:spacing w:val="0"/>
          <w:kern w:val="10"/>
          <w:sz w:val="32"/>
          <w:szCs w:val="32"/>
          <w:vertAlign w:val="baseline"/>
          <w:lang w:val="en-US" w:eastAsia="zh-CN" w:bidi="ar"/>
        </w:rPr>
        <w:t>把以安置点、尼姑、宗教佛事活动管理为重点的宗教事务管理纳入依法管理轨道，牢牢掌握安置点领导权和管理权，做到不发生重大安全责任事故和稳定责任事故。推进社会公共服务进安置点充分保障安置点和尼姑普惠性待遇，做到“五通”（通路、通水、通电、通广播电视、通通讯）、“三有”（有党刊党报、有广播电视、有安置点书屋）、“三覆盖”（养老保险全覆盖、医疗保险制度全覆盖、民管会成员补助全覆盖）；落实符合条件僧尼的低保求助、五保供养、扶贫解困政策，实现“应保尽保”</w:t>
      </w:r>
      <w:r>
        <w:rPr>
          <w:rFonts w:hint="default" w:ascii="仿宋_GB2312" w:hAnsi="Calibri" w:eastAsia="仿宋_GB2312" w:cs="仿宋_GB2312"/>
          <w:b w:val="0"/>
          <w:i w:val="0"/>
          <w:caps w:val="0"/>
          <w:spacing w:val="0"/>
          <w:kern w:val="2"/>
          <w:sz w:val="32"/>
          <w:szCs w:val="32"/>
          <w:vertAlign w:val="baseline"/>
          <w:lang w:val="en-US" w:eastAsia="zh-CN" w:bidi="ar"/>
        </w:rPr>
        <w:t>。</w:t>
      </w:r>
    </w:p>
    <w:p>
      <w:pPr>
        <w:keepNext w:val="0"/>
        <w:keepLines w:val="0"/>
        <w:widowControl/>
        <w:numPr>
          <w:ilvl w:val="0"/>
          <w:numId w:val="4"/>
        </w:numPr>
        <w:suppressLineNumbers w:val="0"/>
        <w:spacing w:before="0" w:beforeAutospacing="0" w:after="0" w:afterAutospacing="0" w:line="360" w:lineRule="auto"/>
        <w:ind w:left="0" w:right="0" w:firstLine="643" w:firstLineChars="200"/>
        <w:jc w:val="both"/>
        <w:textAlignment w:val="baseline"/>
        <w:rPr>
          <w:rFonts w:hint="default" w:ascii="仿宋_GB2312" w:eastAsia="仿宋_GB2312" w:cs="仿宋_GB2312"/>
          <w:b/>
          <w:bCs/>
          <w:i w:val="0"/>
          <w:caps w:val="0"/>
          <w:spacing w:val="0"/>
          <w:kern w:val="0"/>
          <w:sz w:val="32"/>
          <w:szCs w:val="32"/>
          <w:vertAlign w:val="baseline"/>
        </w:rPr>
      </w:pPr>
      <w:r>
        <w:rPr>
          <w:rFonts w:hint="default" w:ascii="仿宋_GB2312" w:hAnsi="Calibri" w:eastAsia="仿宋_GB2312" w:cs="仿宋_GB2312"/>
          <w:b/>
          <w:bCs/>
          <w:i w:val="0"/>
          <w:caps w:val="0"/>
          <w:spacing w:val="0"/>
          <w:kern w:val="0"/>
          <w:sz w:val="32"/>
          <w:szCs w:val="32"/>
          <w:vertAlign w:val="baseline"/>
          <w:lang w:val="en-US" w:eastAsia="zh-CN" w:bidi="ar"/>
        </w:rPr>
        <w:t>人员概况</w:t>
      </w:r>
    </w:p>
    <w:p>
      <w:pPr>
        <w:keepNext w:val="0"/>
        <w:keepLines w:val="0"/>
        <w:widowControl/>
        <w:suppressLineNumbers w:val="0"/>
        <w:spacing w:before="0" w:beforeAutospacing="0" w:after="0" w:afterAutospacing="0"/>
        <w:ind w:left="0" w:right="0" w:firstLine="800" w:firstLineChars="25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宋体" w:eastAsia="仿宋_GB2312" w:cs="仿宋_GB2312"/>
          <w:b w:val="0"/>
          <w:i w:val="0"/>
          <w:caps w:val="0"/>
          <w:spacing w:val="0"/>
          <w:kern w:val="0"/>
          <w:sz w:val="32"/>
          <w:szCs w:val="32"/>
          <w:vertAlign w:val="baseline"/>
          <w:lang w:val="en-US" w:eastAsia="zh-CN" w:bidi="ar"/>
        </w:rPr>
        <w:t>人员情况：总编制</w:t>
      </w:r>
      <w:r>
        <w:rPr>
          <w:rFonts w:hint="default" w:ascii="仿宋_GB2312" w:hAnsi="宋体" w:eastAsia="仿宋_GB2312" w:cs="Times New Roman"/>
          <w:b w:val="0"/>
          <w:i w:val="0"/>
          <w:caps w:val="0"/>
          <w:spacing w:val="0"/>
          <w:kern w:val="0"/>
          <w:sz w:val="32"/>
          <w:szCs w:val="32"/>
          <w:vertAlign w:val="baseline"/>
          <w:lang w:val="en-US" w:eastAsia="zh-CN" w:bidi="ar"/>
        </w:rPr>
        <w:t>8名</w:t>
      </w:r>
      <w:r>
        <w:rPr>
          <w:rFonts w:hint="default" w:ascii="仿宋_GB2312" w:hAnsi="Calibri" w:eastAsia="仿宋_GB2312" w:cs="仿宋_GB2312"/>
          <w:b w:val="0"/>
          <w:i w:val="0"/>
          <w:caps w:val="0"/>
          <w:spacing w:val="0"/>
          <w:kern w:val="2"/>
          <w:sz w:val="32"/>
          <w:szCs w:val="32"/>
          <w:vertAlign w:val="baseline"/>
          <w:lang w:val="en-US" w:eastAsia="zh-CN" w:bidi="ar"/>
        </w:rPr>
        <w:t>。</w:t>
      </w:r>
    </w:p>
    <w:p>
      <w:pPr>
        <w:keepNext w:val="0"/>
        <w:keepLines w:val="0"/>
        <w:widowControl/>
        <w:suppressLineNumbers w:val="0"/>
        <w:spacing w:before="0" w:beforeAutospacing="0" w:after="0" w:afterAutospacing="0" w:line="360" w:lineRule="auto"/>
        <w:ind w:left="0" w:right="0" w:firstLine="643" w:firstLineChars="200"/>
        <w:jc w:val="both"/>
        <w:textAlignment w:val="baseline"/>
        <w:rPr>
          <w:rFonts w:hint="default" w:ascii="仿宋_GB2312" w:eastAsia="仿宋_GB2312" w:cs="仿宋_GB2312"/>
          <w:b/>
          <w:bCs/>
          <w:i w:val="0"/>
          <w:caps w:val="0"/>
          <w:spacing w:val="0"/>
          <w:kern w:val="0"/>
          <w:sz w:val="32"/>
          <w:szCs w:val="32"/>
          <w:vertAlign w:val="baseline"/>
        </w:rPr>
      </w:pPr>
      <w:r>
        <w:rPr>
          <w:rFonts w:hint="default" w:ascii="仿宋_GB2312" w:hAnsi="Calibri" w:eastAsia="仿宋_GB2312" w:cs="仿宋_GB2312"/>
          <w:b/>
          <w:bCs/>
          <w:i w:val="0"/>
          <w:caps w:val="0"/>
          <w:spacing w:val="0"/>
          <w:kern w:val="0"/>
          <w:sz w:val="32"/>
          <w:szCs w:val="32"/>
          <w:vertAlign w:val="baseline"/>
          <w:lang w:val="en-US" w:eastAsia="zh-CN" w:bidi="ar"/>
        </w:rPr>
        <w:t>二、预算管理情况</w:t>
      </w:r>
    </w:p>
    <w:p>
      <w:pPr>
        <w:keepNext w:val="0"/>
        <w:keepLines w:val="0"/>
        <w:widowControl/>
        <w:suppressLineNumbers w:val="0"/>
        <w:spacing w:before="0" w:beforeAutospacing="0" w:after="0" w:afterAutospacing="0" w:line="360" w:lineRule="auto"/>
        <w:ind w:left="0" w:right="0" w:firstLine="321" w:firstLineChars="100"/>
        <w:jc w:val="both"/>
        <w:textAlignment w:val="baseline"/>
        <w:rPr>
          <w:rFonts w:hint="default" w:ascii="仿宋_GB2312" w:eastAsia="仿宋_GB2312" w:cs="仿宋_GB2312"/>
          <w:b/>
          <w:bCs/>
          <w:i w:val="0"/>
          <w:caps w:val="0"/>
          <w:color w:val="000000"/>
          <w:spacing w:val="0"/>
          <w:kern w:val="0"/>
          <w:sz w:val="32"/>
          <w:szCs w:val="32"/>
          <w:vertAlign w:val="baseline"/>
        </w:rPr>
      </w:pPr>
      <w:r>
        <w:rPr>
          <w:rFonts w:hint="default" w:ascii="仿宋_GB2312" w:hAnsi="Calibri" w:eastAsia="仿宋_GB2312" w:cs="仿宋_GB2312"/>
          <w:b/>
          <w:bCs/>
          <w:i w:val="0"/>
          <w:caps w:val="0"/>
          <w:spacing w:val="0"/>
          <w:kern w:val="0"/>
          <w:sz w:val="32"/>
          <w:szCs w:val="32"/>
          <w:vertAlign w:val="baseline"/>
          <w:lang w:val="en-US" w:eastAsia="zh-CN" w:bidi="ar"/>
        </w:rPr>
        <w:t>（一）</w:t>
      </w:r>
      <w:r>
        <w:rPr>
          <w:rFonts w:hint="default" w:ascii="仿宋_GB2312" w:hAnsi="Calibri" w:eastAsia="仿宋_GB2312" w:cs="仿宋_GB2312"/>
          <w:b/>
          <w:bCs/>
          <w:i w:val="0"/>
          <w:caps w:val="0"/>
          <w:color w:val="000000"/>
          <w:spacing w:val="0"/>
          <w:kern w:val="0"/>
          <w:sz w:val="32"/>
          <w:szCs w:val="32"/>
          <w:vertAlign w:val="baseline"/>
          <w:lang w:val="en-US" w:eastAsia="zh-CN" w:bidi="ar"/>
        </w:rPr>
        <w:t>预算编制情况</w:t>
      </w:r>
    </w:p>
    <w:p>
      <w:pPr>
        <w:pStyle w:val="47"/>
        <w:keepNext w:val="0"/>
        <w:keepLines w:val="0"/>
        <w:widowControl/>
        <w:suppressLineNumbers w:val="0"/>
        <w:spacing w:before="0" w:beforeAutospacing="0" w:after="0" w:afterAutospacing="0" w:line="360" w:lineRule="auto"/>
        <w:ind w:lef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Times New Roman"/>
          <w:b w:val="0"/>
          <w:i w:val="0"/>
          <w:caps w:val="0"/>
          <w:spacing w:val="0"/>
          <w:kern w:val="2"/>
          <w:sz w:val="32"/>
          <w:szCs w:val="32"/>
          <w:vertAlign w:val="baseline"/>
        </w:rPr>
        <w:t xml:space="preserve">2021年财政下达壤塘县娜泽求宗社区管理委员会年初预算收入122.54万元，执行期中追加收入51.7万元。   </w:t>
      </w:r>
    </w:p>
    <w:p>
      <w:pPr>
        <w:pStyle w:val="47"/>
        <w:keepNext w:val="0"/>
        <w:keepLines w:val="0"/>
        <w:widowControl/>
        <w:suppressLineNumbers w:val="0"/>
        <w:spacing w:before="0" w:beforeAutospacing="0" w:after="0" w:afterAutospacing="0" w:line="360" w:lineRule="auto"/>
        <w:ind w:lef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Times New Roman"/>
          <w:b w:val="0"/>
          <w:i w:val="0"/>
          <w:caps w:val="0"/>
          <w:spacing w:val="0"/>
          <w:kern w:val="2"/>
          <w:sz w:val="32"/>
          <w:szCs w:val="32"/>
          <w:vertAlign w:val="baseline"/>
        </w:rPr>
        <w:t>2021年壤塘娜泽求宗社区管理委员会共计预算支出122.54万元，基本支出119.54万元，项目支出3.00万元。</w:t>
      </w:r>
    </w:p>
    <w:p>
      <w:pPr>
        <w:keepNext w:val="0"/>
        <w:keepLines w:val="0"/>
        <w:widowControl/>
        <w:numPr>
          <w:ilvl w:val="0"/>
          <w:numId w:val="5"/>
        </w:numPr>
        <w:suppressLineNumbers w:val="0"/>
        <w:spacing w:before="0" w:beforeAutospacing="0" w:after="0" w:afterAutospacing="0" w:line="360" w:lineRule="auto"/>
        <w:ind w:left="0" w:right="0" w:firstLine="643" w:firstLineChars="200"/>
        <w:jc w:val="both"/>
        <w:textAlignment w:val="baseline"/>
        <w:rPr>
          <w:rFonts w:hint="default" w:ascii="仿宋_GB2312" w:eastAsia="仿宋_GB2312" w:cs="仿宋_GB2312"/>
          <w:b/>
          <w:bCs/>
          <w:i w:val="0"/>
          <w:caps w:val="0"/>
          <w:color w:val="000000"/>
          <w:spacing w:val="0"/>
          <w:kern w:val="0"/>
          <w:sz w:val="32"/>
          <w:szCs w:val="32"/>
          <w:vertAlign w:val="baseline"/>
        </w:rPr>
      </w:pPr>
      <w:r>
        <w:rPr>
          <w:rFonts w:hint="default" w:ascii="仿宋_GB2312" w:hAnsi="Calibri" w:eastAsia="仿宋_GB2312" w:cs="仿宋_GB2312"/>
          <w:b/>
          <w:bCs/>
          <w:i w:val="0"/>
          <w:caps w:val="0"/>
          <w:color w:val="000000"/>
          <w:spacing w:val="0"/>
          <w:kern w:val="0"/>
          <w:sz w:val="32"/>
          <w:szCs w:val="32"/>
          <w:vertAlign w:val="baseline"/>
          <w:lang w:val="en-US" w:eastAsia="zh-CN" w:bidi="ar"/>
        </w:rPr>
        <w:t>预算执行情况</w:t>
      </w:r>
    </w:p>
    <w:p>
      <w:pPr>
        <w:pStyle w:val="47"/>
        <w:keepNext w:val="0"/>
        <w:keepLines w:val="0"/>
        <w:widowControl/>
        <w:suppressLineNumbers w:val="0"/>
        <w:spacing w:before="0" w:beforeAutospacing="0" w:after="0" w:afterAutospacing="0" w:line="360" w:lineRule="auto"/>
        <w:ind w:lef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仿宋_GB2312"/>
          <w:b w:val="0"/>
          <w:i w:val="0"/>
          <w:caps w:val="0"/>
          <w:spacing w:val="0"/>
          <w:kern w:val="2"/>
          <w:sz w:val="32"/>
          <w:szCs w:val="32"/>
          <w:vertAlign w:val="baseline"/>
        </w:rPr>
        <w:t>壤塘县娜泽求宗社区管理委员会</w:t>
      </w:r>
      <w:r>
        <w:rPr>
          <w:rFonts w:hint="default" w:ascii="仿宋_GB2312" w:hAnsi="Calibri" w:eastAsia="仿宋_GB2312" w:cs="Times New Roman"/>
          <w:b w:val="0"/>
          <w:i w:val="0"/>
          <w:caps w:val="0"/>
          <w:spacing w:val="0"/>
          <w:kern w:val="2"/>
          <w:sz w:val="32"/>
          <w:szCs w:val="32"/>
          <w:vertAlign w:val="baseline"/>
        </w:rPr>
        <w:t>2021年财政拨款收入：共计174.24万元，2020年财政拨款86.47万元，比上年增加87.77万元，增长101.50%，主要变动原因是人员经费增加。</w:t>
      </w:r>
    </w:p>
    <w:p>
      <w:pPr>
        <w:keepNext w:val="0"/>
        <w:keepLines w:val="0"/>
        <w:widowControl/>
        <w:suppressLineNumbers w:val="0"/>
        <w:spacing w:before="0" w:beforeAutospacing="0" w:after="0" w:afterAutospacing="0" w:line="360" w:lineRule="auto"/>
        <w:ind w:left="0" w:right="0" w:firstLine="643" w:firstLineChars="200"/>
        <w:jc w:val="both"/>
        <w:textAlignment w:val="baseline"/>
        <w:rPr>
          <w:rFonts w:hint="default" w:ascii="仿宋_GB2312" w:eastAsia="仿宋_GB2312" w:cs="仿宋_GB2312"/>
          <w:b/>
          <w:bCs/>
          <w:i w:val="0"/>
          <w:caps w:val="0"/>
          <w:spacing w:val="0"/>
          <w:kern w:val="0"/>
          <w:sz w:val="32"/>
          <w:szCs w:val="32"/>
          <w:vertAlign w:val="baseline"/>
        </w:rPr>
      </w:pPr>
      <w:r>
        <w:rPr>
          <w:rFonts w:hint="default" w:ascii="仿宋_GB2312" w:hAnsi="Calibri" w:eastAsia="仿宋_GB2312" w:cs="仿宋_GB2312"/>
          <w:b/>
          <w:bCs/>
          <w:i w:val="0"/>
          <w:caps w:val="0"/>
          <w:spacing w:val="0"/>
          <w:kern w:val="0"/>
          <w:sz w:val="32"/>
          <w:szCs w:val="32"/>
          <w:vertAlign w:val="baseline"/>
          <w:lang w:val="en-US" w:eastAsia="zh-CN" w:bidi="ar"/>
        </w:rPr>
        <w:t>三、部门管理情况</w:t>
      </w:r>
    </w:p>
    <w:p>
      <w:pPr>
        <w:pStyle w:val="47"/>
        <w:keepNext w:val="0"/>
        <w:keepLines w:val="0"/>
        <w:widowControl/>
        <w:suppressLineNumbers w:val="0"/>
        <w:spacing w:before="0" w:beforeAutospacing="0" w:after="0" w:afterAutospacing="0" w:line="360" w:lineRule="auto"/>
        <w:ind w:left="0" w:firstLine="643" w:firstLineChars="200"/>
        <w:jc w:val="both"/>
        <w:textAlignment w:val="baseline"/>
        <w:rPr>
          <w:rFonts w:hint="default" w:ascii="仿宋_GB2312" w:eastAsia="仿宋_GB2312" w:cs="仿宋_GB2312"/>
          <w:b/>
          <w:bCs/>
          <w:i w:val="0"/>
          <w:caps w:val="0"/>
          <w:spacing w:val="0"/>
          <w:kern w:val="0"/>
          <w:sz w:val="32"/>
          <w:szCs w:val="32"/>
          <w:vertAlign w:val="baseline"/>
        </w:rPr>
      </w:pPr>
      <w:r>
        <w:rPr>
          <w:rFonts w:hint="default" w:ascii="仿宋_GB2312" w:hAnsi="Calibri" w:eastAsia="仿宋_GB2312" w:cs="仿宋_GB2312"/>
          <w:b/>
          <w:bCs/>
          <w:i w:val="0"/>
          <w:caps w:val="0"/>
          <w:spacing w:val="0"/>
          <w:kern w:val="0"/>
          <w:sz w:val="32"/>
          <w:szCs w:val="32"/>
          <w:vertAlign w:val="baseline"/>
        </w:rPr>
        <w:t>（一）基础管理</w:t>
      </w:r>
    </w:p>
    <w:p>
      <w:pPr>
        <w:pStyle w:val="47"/>
        <w:keepNext w:val="0"/>
        <w:keepLines w:val="0"/>
        <w:widowControl/>
        <w:suppressLineNumbers w:val="0"/>
        <w:spacing w:before="0" w:beforeAutospacing="0" w:after="0" w:afterAutospacing="0" w:line="360" w:lineRule="auto"/>
        <w:ind w:left="0" w:firstLine="643" w:firstLineChars="200"/>
        <w:jc w:val="both"/>
        <w:textAlignment w:val="baseline"/>
        <w:rPr>
          <w:rFonts w:hint="default" w:ascii="仿宋_GB2312" w:eastAsia="仿宋_GB2312" w:cs="Times New Roman"/>
          <w:b w:val="0"/>
          <w:i w:val="0"/>
          <w:caps w:val="0"/>
          <w:spacing w:val="0"/>
          <w:kern w:val="0"/>
          <w:sz w:val="32"/>
          <w:szCs w:val="32"/>
          <w:vertAlign w:val="baseline"/>
        </w:rPr>
      </w:pPr>
      <w:r>
        <w:rPr>
          <w:rFonts w:hint="default" w:ascii="仿宋_GB2312" w:hAnsi="Calibri" w:eastAsia="仿宋_GB2312" w:cs="仿宋_GB2312"/>
          <w:b/>
          <w:bCs/>
          <w:i w:val="0"/>
          <w:caps w:val="0"/>
          <w:spacing w:val="0"/>
          <w:kern w:val="0"/>
          <w:sz w:val="32"/>
          <w:szCs w:val="32"/>
          <w:vertAlign w:val="baseline"/>
        </w:rPr>
        <w:t>1、管理制度健全性</w:t>
      </w:r>
    </w:p>
    <w:p>
      <w:pPr>
        <w:pStyle w:val="47"/>
        <w:keepNext w:val="0"/>
        <w:keepLines w:val="0"/>
        <w:widowControl/>
        <w:suppressLineNumbers w:val="0"/>
        <w:spacing w:before="0" w:beforeAutospacing="0" w:after="0" w:afterAutospacing="0" w:line="360" w:lineRule="auto"/>
        <w:ind w:lef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仿宋_GB2312"/>
          <w:b w:val="0"/>
          <w:i w:val="0"/>
          <w:caps w:val="0"/>
          <w:spacing w:val="0"/>
          <w:kern w:val="2"/>
          <w:sz w:val="32"/>
          <w:szCs w:val="32"/>
          <w:vertAlign w:val="baseline"/>
        </w:rPr>
        <w:t>壤塘县娜泽求宗社区管理委员会根据财政部颁布《行政单位内部控制规范》、《关于全部推进行政单位内部控制建设的指导意见》文件要求等法律法规及规章制度规定，结合单位实际情况，在对单位主要经济活动及业务流程梳理分析的基础上，初步建立覆盖本单位经济活动的内部控制体系，形成一系列的内部管理制度。主要包括有值班管理制度、档案管理制度、印章管理制度、会计核算管理制度、厉行节约管理措施、内部财务管理制度、预算资金管理办法等内部管理制度</w:t>
      </w:r>
      <w:r>
        <w:rPr>
          <w:rFonts w:hint="default" w:ascii="仿宋_GB2312" w:hAnsi="Calibri" w:eastAsia="仿宋_GB2312" w:cs="Times New Roman"/>
          <w:b w:val="0"/>
          <w:i w:val="0"/>
          <w:caps w:val="0"/>
          <w:spacing w:val="0"/>
          <w:kern w:val="2"/>
          <w:sz w:val="32"/>
          <w:szCs w:val="32"/>
          <w:vertAlign w:val="baseline"/>
        </w:rPr>
        <w:t>,另还有公文管理制度、督查管理制度在建；以上相关管理制度合法、合规、完整，均得到了有效执行。</w:t>
      </w:r>
    </w:p>
    <w:p>
      <w:pPr>
        <w:pStyle w:val="47"/>
        <w:keepNext w:val="0"/>
        <w:keepLines w:val="0"/>
        <w:widowControl/>
        <w:suppressLineNumbers w:val="0"/>
        <w:spacing w:before="0" w:beforeAutospacing="0" w:after="0" w:afterAutospacing="0" w:line="360" w:lineRule="auto"/>
        <w:ind w:left="420" w:leftChars="200" w:firstLine="420" w:firstLineChars="0"/>
        <w:jc w:val="both"/>
        <w:textAlignment w:val="baseline"/>
        <w:rPr>
          <w:rFonts w:hint="default" w:ascii="仿宋_GB2312" w:eastAsia="仿宋_GB2312" w:cs="仿宋_GB2312"/>
          <w:b/>
          <w:bCs/>
          <w:i w:val="0"/>
          <w:caps w:val="0"/>
          <w:spacing w:val="0"/>
          <w:kern w:val="0"/>
          <w:sz w:val="32"/>
          <w:szCs w:val="32"/>
          <w:vertAlign w:val="baseline"/>
        </w:rPr>
      </w:pPr>
      <w:r>
        <w:rPr>
          <w:rFonts w:hint="default" w:ascii="仿宋_GB2312" w:hAnsi="Calibri" w:eastAsia="仿宋_GB2312" w:cs="仿宋_GB2312"/>
          <w:b/>
          <w:bCs/>
          <w:i w:val="0"/>
          <w:caps w:val="0"/>
          <w:spacing w:val="0"/>
          <w:kern w:val="0"/>
          <w:sz w:val="32"/>
          <w:szCs w:val="32"/>
          <w:vertAlign w:val="baseline"/>
        </w:rPr>
        <w:t>2、财务管理以及资金使用合规性</w:t>
      </w:r>
    </w:p>
    <w:p>
      <w:pPr>
        <w:keepNext w:val="0"/>
        <w:keepLines w:val="0"/>
        <w:widowControl/>
        <w:suppressLineNumbers w:val="0"/>
        <w:spacing w:before="0" w:beforeAutospacing="0" w:after="0" w:afterAutospacing="0" w:line="360" w:lineRule="auto"/>
        <w:ind w:left="0" w:righ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仿宋_GB2312"/>
          <w:b w:val="0"/>
          <w:i w:val="0"/>
          <w:caps w:val="0"/>
          <w:spacing w:val="0"/>
          <w:kern w:val="2"/>
          <w:sz w:val="32"/>
          <w:szCs w:val="32"/>
          <w:vertAlign w:val="baseline"/>
          <w:lang w:val="en-US" w:eastAsia="zh-CN" w:bidi="ar"/>
        </w:rPr>
        <w:t>壤塘娜泽求宗社区管理委员会本年度资金使用过程中严格按照单位财务管理制度要求执行，资金使用的合规性体现在：</w:t>
      </w:r>
    </w:p>
    <w:p>
      <w:pPr>
        <w:keepNext w:val="0"/>
        <w:keepLines w:val="0"/>
        <w:widowControl/>
        <w:suppressLineNumbers w:val="0"/>
        <w:spacing w:before="0" w:beforeAutospacing="0" w:after="0" w:afterAutospacing="0" w:line="360" w:lineRule="auto"/>
        <w:ind w:left="0" w:righ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Times New Roman"/>
          <w:b w:val="0"/>
          <w:i w:val="0"/>
          <w:caps w:val="0"/>
          <w:spacing w:val="0"/>
          <w:kern w:val="2"/>
          <w:sz w:val="32"/>
          <w:szCs w:val="32"/>
          <w:vertAlign w:val="baseline"/>
          <w:lang w:val="en-US" w:eastAsia="zh-CN" w:bidi="ar"/>
        </w:rPr>
        <w:t>1.所有经费开支坚持财务审批制度，重大资金支出由镇党组会、职工大会、村两委会议研究决定。</w:t>
      </w:r>
    </w:p>
    <w:p>
      <w:pPr>
        <w:keepNext w:val="0"/>
        <w:keepLines w:val="0"/>
        <w:widowControl/>
        <w:suppressLineNumbers w:val="0"/>
        <w:spacing w:before="0" w:beforeAutospacing="0" w:after="0" w:afterAutospacing="0" w:line="360" w:lineRule="auto"/>
        <w:ind w:left="0" w:righ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Times New Roman"/>
          <w:b w:val="0"/>
          <w:i w:val="0"/>
          <w:caps w:val="0"/>
          <w:spacing w:val="0"/>
          <w:kern w:val="2"/>
          <w:sz w:val="32"/>
          <w:szCs w:val="32"/>
          <w:vertAlign w:val="baseline"/>
          <w:lang w:val="en-US" w:eastAsia="zh-CN" w:bidi="ar"/>
        </w:rPr>
        <w:t>2.在报销经费时，经办人使用统一规范的审批单，在审批单上写明用途、经办人员、股室负责人、财务负责人、单位领导、金额、报销日期等内容。</w:t>
      </w:r>
    </w:p>
    <w:p>
      <w:pPr>
        <w:keepNext w:val="0"/>
        <w:keepLines w:val="0"/>
        <w:widowControl/>
        <w:suppressLineNumbers w:val="0"/>
        <w:spacing w:before="0" w:beforeAutospacing="0" w:after="0" w:afterAutospacing="0" w:line="360" w:lineRule="auto"/>
        <w:ind w:left="0" w:righ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Times New Roman"/>
          <w:b w:val="0"/>
          <w:i w:val="0"/>
          <w:caps w:val="0"/>
          <w:spacing w:val="0"/>
          <w:kern w:val="2"/>
          <w:sz w:val="32"/>
          <w:szCs w:val="32"/>
          <w:vertAlign w:val="baseline"/>
          <w:lang w:val="en-US" w:eastAsia="zh-CN" w:bidi="ar"/>
        </w:rPr>
        <w:t xml:space="preserve">3.费用报销审批程序  </w:t>
      </w:r>
    </w:p>
    <w:p>
      <w:pPr>
        <w:keepNext w:val="0"/>
        <w:keepLines w:val="0"/>
        <w:widowControl/>
        <w:suppressLineNumbers w:val="0"/>
        <w:spacing w:before="0" w:beforeAutospacing="0" w:after="0" w:afterAutospacing="0" w:line="360" w:lineRule="auto"/>
        <w:ind w:left="0" w:righ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仿宋_GB2312"/>
          <w:b w:val="0"/>
          <w:i w:val="0"/>
          <w:caps w:val="0"/>
          <w:spacing w:val="0"/>
          <w:kern w:val="2"/>
          <w:sz w:val="32"/>
          <w:szCs w:val="32"/>
          <w:vertAlign w:val="baseline"/>
          <w:lang w:val="en-US" w:eastAsia="zh-CN" w:bidi="ar"/>
        </w:rPr>
        <w:t>经办人填写报销单→由业务科室负责人确认签字→财务人员核签字→财务分管领导确认签字批准后，到财务出纳处办理支付手续。</w:t>
      </w:r>
    </w:p>
    <w:p>
      <w:pPr>
        <w:keepNext w:val="0"/>
        <w:keepLines w:val="0"/>
        <w:widowControl/>
        <w:suppressLineNumbers w:val="0"/>
        <w:spacing w:before="0" w:beforeAutospacing="0" w:after="0" w:afterAutospacing="0" w:line="360" w:lineRule="auto"/>
        <w:ind w:left="0" w:righ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仿宋_GB2312"/>
          <w:b w:val="0"/>
          <w:i w:val="0"/>
          <w:caps w:val="0"/>
          <w:spacing w:val="0"/>
          <w:kern w:val="2"/>
          <w:sz w:val="32"/>
          <w:szCs w:val="32"/>
          <w:vertAlign w:val="baseline"/>
          <w:lang w:val="en-US" w:eastAsia="zh-CN" w:bidi="ar"/>
        </w:rPr>
        <w:t>各个审批环节的具体职责：</w:t>
      </w:r>
    </w:p>
    <w:p>
      <w:pPr>
        <w:keepNext w:val="0"/>
        <w:keepLines w:val="0"/>
        <w:widowControl/>
        <w:suppressLineNumbers w:val="0"/>
        <w:spacing w:before="0" w:beforeAutospacing="0" w:after="0" w:afterAutospacing="0" w:line="360" w:lineRule="auto"/>
        <w:ind w:left="0" w:righ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仿宋_GB2312"/>
          <w:b w:val="0"/>
          <w:i w:val="0"/>
          <w:caps w:val="0"/>
          <w:spacing w:val="0"/>
          <w:kern w:val="2"/>
          <w:sz w:val="32"/>
          <w:szCs w:val="32"/>
          <w:vertAlign w:val="baseline"/>
          <w:lang w:val="en-US" w:eastAsia="zh-CN" w:bidi="ar"/>
        </w:rPr>
        <w:t>业务科室负责人及其分管领导对其发生的支出用途及金额的真实性、准确性负责，并对其科室填写的支出审批单内容、大小写金额、票据张数进行审核。经济业务发生后，原则上在</w:t>
      </w:r>
      <w:r>
        <w:rPr>
          <w:rFonts w:hint="default" w:ascii="仿宋_GB2312" w:hAnsi="Calibri" w:eastAsia="仿宋_GB2312" w:cs="Times New Roman"/>
          <w:b w:val="0"/>
          <w:i w:val="0"/>
          <w:caps w:val="0"/>
          <w:spacing w:val="0"/>
          <w:kern w:val="2"/>
          <w:sz w:val="32"/>
          <w:szCs w:val="32"/>
          <w:vertAlign w:val="baseline"/>
          <w:lang w:val="en-US" w:eastAsia="zh-CN" w:bidi="ar"/>
        </w:rPr>
        <w:t>30天之内报账完毕。不得将几个经济事项的票据合并填报。</w:t>
      </w:r>
    </w:p>
    <w:p>
      <w:pPr>
        <w:keepNext w:val="0"/>
        <w:keepLines w:val="0"/>
        <w:widowControl/>
        <w:suppressLineNumbers w:val="0"/>
        <w:spacing w:before="0" w:beforeAutospacing="0" w:after="0" w:afterAutospacing="0" w:line="360" w:lineRule="auto"/>
        <w:ind w:left="0" w:righ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仿宋_GB2312"/>
          <w:b w:val="0"/>
          <w:i w:val="0"/>
          <w:caps w:val="0"/>
          <w:spacing w:val="0"/>
          <w:kern w:val="2"/>
          <w:sz w:val="32"/>
          <w:szCs w:val="32"/>
          <w:vertAlign w:val="baseline"/>
          <w:lang w:val="en-US" w:eastAsia="zh-CN" w:bidi="ar"/>
        </w:rPr>
        <w:t>财务室对提供的原始票据的合法性进行审核监督。审核发票是否真实合法、填写是否规范、印章是否齐全、报销金额与原始票据是否相符；审核是否符合审批程序；审核是否在预算额度内、在审计金额内按进度、按比例、按范围付款。对不符合规定的票据，财务有权拒绝受理。</w:t>
      </w:r>
    </w:p>
    <w:p>
      <w:pPr>
        <w:keepNext w:val="0"/>
        <w:keepLines w:val="0"/>
        <w:widowControl/>
        <w:suppressLineNumbers w:val="0"/>
        <w:spacing w:before="0" w:beforeAutospacing="0" w:after="0" w:afterAutospacing="0" w:line="360" w:lineRule="auto"/>
        <w:ind w:left="0" w:righ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仿宋_GB2312"/>
          <w:b w:val="0"/>
          <w:i w:val="0"/>
          <w:caps w:val="0"/>
          <w:spacing w:val="0"/>
          <w:kern w:val="2"/>
          <w:sz w:val="32"/>
          <w:szCs w:val="32"/>
          <w:vertAlign w:val="baseline"/>
          <w:lang w:val="en-US" w:eastAsia="zh-CN" w:bidi="ar"/>
        </w:rPr>
        <w:t>各审批领导审查财务收支的真实性、合法性、必要性，并在报销凭证上明确签署报销意见。</w:t>
      </w:r>
    </w:p>
    <w:p>
      <w:pPr>
        <w:keepNext w:val="0"/>
        <w:keepLines w:val="0"/>
        <w:widowControl/>
        <w:suppressLineNumbers w:val="0"/>
        <w:spacing w:before="0" w:beforeAutospacing="0" w:after="0" w:afterAutospacing="0" w:line="360" w:lineRule="auto"/>
        <w:ind w:left="0" w:righ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仿宋_GB2312"/>
          <w:b w:val="0"/>
          <w:i w:val="0"/>
          <w:caps w:val="0"/>
          <w:spacing w:val="0"/>
          <w:kern w:val="2"/>
          <w:sz w:val="32"/>
          <w:szCs w:val="32"/>
          <w:vertAlign w:val="baseline"/>
          <w:lang w:val="en-US" w:eastAsia="zh-CN" w:bidi="ar"/>
        </w:rPr>
        <w:t>所有费用报销实行单位负责人“一支笔”签批制度。</w:t>
      </w:r>
    </w:p>
    <w:p>
      <w:pPr>
        <w:keepNext w:val="0"/>
        <w:keepLines w:val="0"/>
        <w:widowControl/>
        <w:suppressLineNumbers w:val="0"/>
        <w:spacing w:before="0" w:beforeAutospacing="0" w:after="0" w:afterAutospacing="0" w:line="360" w:lineRule="auto"/>
        <w:ind w:left="0" w:righ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仿宋_GB2312"/>
          <w:b w:val="0"/>
          <w:i w:val="0"/>
          <w:caps w:val="0"/>
          <w:spacing w:val="0"/>
          <w:kern w:val="2"/>
          <w:sz w:val="32"/>
          <w:szCs w:val="32"/>
          <w:vertAlign w:val="baseline"/>
          <w:lang w:val="en-US" w:eastAsia="zh-CN" w:bidi="ar"/>
        </w:rPr>
        <w:t>出纳人员对已经审批后的支出票据必须进行复核（复核票据张数、金额、审批程序），对不符合规定的票据有权拒绝支付并立即向机关领导报告。严格控制现金支付，原则上采用公务卡和转账结算。会计人员进行会计核算时，对不符合财经管理规定的票据有权拒绝接受并应立即报告。</w:t>
      </w:r>
    </w:p>
    <w:p>
      <w:pPr>
        <w:pStyle w:val="47"/>
        <w:keepNext w:val="0"/>
        <w:keepLines w:val="0"/>
        <w:widowControl/>
        <w:suppressLineNumbers w:val="0"/>
        <w:spacing w:before="0" w:beforeAutospacing="0" w:after="0" w:afterAutospacing="0" w:line="360" w:lineRule="auto"/>
        <w:ind w:left="0" w:firstLine="643" w:firstLineChars="200"/>
        <w:jc w:val="both"/>
        <w:textAlignment w:val="baseline"/>
        <w:rPr>
          <w:rFonts w:hint="default" w:ascii="仿宋_GB2312" w:eastAsia="仿宋_GB2312" w:cs="仿宋_GB2312"/>
          <w:b/>
          <w:bCs/>
          <w:i w:val="0"/>
          <w:caps w:val="0"/>
          <w:spacing w:val="0"/>
          <w:kern w:val="2"/>
          <w:sz w:val="32"/>
          <w:szCs w:val="32"/>
          <w:vertAlign w:val="baseline"/>
        </w:rPr>
      </w:pPr>
      <w:r>
        <w:rPr>
          <w:rFonts w:hint="default" w:ascii="仿宋_GB2312" w:hAnsi="Calibri" w:eastAsia="仿宋_GB2312" w:cs="仿宋_GB2312"/>
          <w:b/>
          <w:bCs/>
          <w:i w:val="0"/>
          <w:caps w:val="0"/>
          <w:spacing w:val="0"/>
          <w:kern w:val="0"/>
          <w:sz w:val="32"/>
          <w:szCs w:val="32"/>
          <w:vertAlign w:val="baseline"/>
        </w:rPr>
        <w:t>（二）行政成本</w:t>
      </w:r>
    </w:p>
    <w:p>
      <w:pPr>
        <w:pStyle w:val="47"/>
        <w:keepNext w:val="0"/>
        <w:keepLines w:val="0"/>
        <w:widowControl/>
        <w:suppressLineNumbers w:val="0"/>
        <w:spacing w:before="0" w:beforeAutospacing="0" w:after="0" w:afterAutospacing="0" w:line="360" w:lineRule="auto"/>
        <w:ind w:lef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仿宋_GB2312"/>
          <w:b w:val="0"/>
          <w:i w:val="0"/>
          <w:caps w:val="0"/>
          <w:spacing w:val="0"/>
          <w:kern w:val="2"/>
          <w:sz w:val="32"/>
          <w:szCs w:val="32"/>
          <w:vertAlign w:val="baseline"/>
        </w:rPr>
        <w:t>“三公”经费控制。壤塘县娜泽求宗社区管理委员会2021年“三公”经费预算0万元，决算支出0万元。其中公务用车购置及运行维护费预算0万元，决算支出0万元（其中公务用车运行维护费0万元）,未发生因公出国（境）费及公务接待费，2021年“三公”经费决算均未超过预算。</w:t>
      </w:r>
    </w:p>
    <w:p>
      <w:pPr>
        <w:pStyle w:val="47"/>
        <w:keepNext w:val="0"/>
        <w:keepLines w:val="0"/>
        <w:widowControl/>
        <w:suppressLineNumbers w:val="0"/>
        <w:spacing w:before="0" w:beforeAutospacing="0" w:after="0" w:afterAutospacing="0" w:line="360" w:lineRule="auto"/>
        <w:ind w:left="0" w:firstLine="643" w:firstLineChars="200"/>
        <w:jc w:val="both"/>
        <w:textAlignment w:val="baseline"/>
        <w:rPr>
          <w:rFonts w:hint="default" w:ascii="仿宋_GB2312" w:eastAsia="仿宋_GB2312" w:cs="仿宋_GB2312"/>
          <w:b/>
          <w:bCs/>
          <w:i w:val="0"/>
          <w:caps w:val="0"/>
          <w:spacing w:val="0"/>
          <w:kern w:val="0"/>
          <w:sz w:val="32"/>
          <w:szCs w:val="32"/>
          <w:vertAlign w:val="baseline"/>
        </w:rPr>
      </w:pPr>
      <w:r>
        <w:rPr>
          <w:rFonts w:hint="default" w:ascii="仿宋_GB2312" w:hAnsi="Calibri" w:eastAsia="仿宋_GB2312" w:cs="仿宋_GB2312"/>
          <w:b/>
          <w:bCs/>
          <w:i w:val="0"/>
          <w:caps w:val="0"/>
          <w:spacing w:val="0"/>
          <w:kern w:val="0"/>
          <w:sz w:val="32"/>
          <w:szCs w:val="32"/>
          <w:vertAlign w:val="baseline"/>
        </w:rPr>
        <w:t>（三）政府采购</w:t>
      </w:r>
    </w:p>
    <w:p>
      <w:pPr>
        <w:pStyle w:val="47"/>
        <w:keepNext w:val="0"/>
        <w:keepLines w:val="0"/>
        <w:widowControl/>
        <w:suppressLineNumbers w:val="0"/>
        <w:spacing w:before="0" w:beforeAutospacing="0" w:after="0" w:afterAutospacing="0" w:line="360" w:lineRule="auto"/>
        <w:ind w:lef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仿宋_GB2312"/>
          <w:b w:val="0"/>
          <w:i w:val="0"/>
          <w:caps w:val="0"/>
          <w:spacing w:val="0"/>
          <w:kern w:val="2"/>
          <w:sz w:val="32"/>
          <w:szCs w:val="32"/>
          <w:vertAlign w:val="baseline"/>
        </w:rPr>
        <w:t>采购规范性。壤塘县娜泽求宗社区管理委员会</w:t>
      </w:r>
      <w:r>
        <w:rPr>
          <w:rFonts w:hint="default" w:ascii="仿宋_GB2312" w:hAnsi="Calibri" w:eastAsia="仿宋_GB2312" w:cs="Times New Roman"/>
          <w:b w:val="0"/>
          <w:i w:val="0"/>
          <w:caps w:val="0"/>
          <w:spacing w:val="0"/>
          <w:kern w:val="2"/>
          <w:sz w:val="32"/>
          <w:szCs w:val="32"/>
          <w:vertAlign w:val="baseline"/>
        </w:rPr>
        <w:t>2021年度政府采购货物支出0万元，政府采购工程支出0万元，政府采购服务支出0万元。</w:t>
      </w:r>
    </w:p>
    <w:p>
      <w:pPr>
        <w:keepNext w:val="0"/>
        <w:keepLines w:val="0"/>
        <w:widowControl/>
        <w:suppressLineNumbers w:val="0"/>
        <w:snapToGrid w:val="0"/>
        <w:spacing w:before="0" w:beforeAutospacing="0" w:after="0" w:afterAutospacing="0" w:line="360" w:lineRule="auto"/>
        <w:ind w:left="0" w:right="0" w:firstLine="643" w:firstLineChars="200"/>
        <w:jc w:val="both"/>
        <w:textAlignment w:val="baseline"/>
        <w:rPr>
          <w:rFonts w:hint="default" w:ascii="仿宋_GB2312" w:eastAsia="仿宋_GB2312" w:cs="仿宋_GB2312"/>
          <w:b/>
          <w:bCs/>
          <w:i w:val="0"/>
          <w:caps w:val="0"/>
          <w:spacing w:val="0"/>
          <w:kern w:val="2"/>
          <w:sz w:val="32"/>
          <w:szCs w:val="32"/>
          <w:vertAlign w:val="baseline"/>
        </w:rPr>
      </w:pPr>
      <w:r>
        <w:rPr>
          <w:rFonts w:hint="default" w:ascii="仿宋_GB2312" w:hAnsi="Calibri" w:eastAsia="仿宋_GB2312" w:cs="仿宋_GB2312"/>
          <w:b/>
          <w:bCs/>
          <w:i w:val="0"/>
          <w:caps w:val="0"/>
          <w:spacing w:val="0"/>
          <w:kern w:val="0"/>
          <w:sz w:val="32"/>
          <w:szCs w:val="32"/>
          <w:vertAlign w:val="baseline"/>
          <w:lang w:val="en-US" w:eastAsia="zh-CN" w:bidi="ar"/>
        </w:rPr>
        <w:t xml:space="preserve">（四）资产管理 </w:t>
      </w:r>
      <w:r>
        <w:rPr>
          <w:rFonts w:hint="default" w:ascii="仿宋_GB2312" w:hAnsi="Calibri" w:eastAsia="仿宋_GB2312" w:cs="仿宋_GB2312"/>
          <w:b/>
          <w:bCs/>
          <w:i w:val="0"/>
          <w:caps w:val="0"/>
          <w:spacing w:val="0"/>
          <w:kern w:val="2"/>
          <w:sz w:val="32"/>
          <w:szCs w:val="32"/>
          <w:vertAlign w:val="baseline"/>
          <w:lang w:val="en-US" w:eastAsia="zh-CN" w:bidi="ar"/>
        </w:rPr>
        <w:t xml:space="preserve"> </w:t>
      </w:r>
    </w:p>
    <w:p>
      <w:pPr>
        <w:pStyle w:val="47"/>
        <w:keepNext w:val="0"/>
        <w:keepLines w:val="0"/>
        <w:widowControl/>
        <w:suppressLineNumbers w:val="0"/>
        <w:spacing w:before="0" w:beforeAutospacing="0" w:after="0" w:afterAutospacing="0" w:line="360" w:lineRule="auto"/>
        <w:ind w:lef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仿宋_GB2312"/>
          <w:b w:val="0"/>
          <w:i w:val="0"/>
          <w:caps w:val="0"/>
          <w:spacing w:val="0"/>
          <w:kern w:val="2"/>
          <w:sz w:val="32"/>
          <w:szCs w:val="32"/>
          <w:vertAlign w:val="baseline"/>
        </w:rPr>
        <w:t>固定资产在用率。截止</w:t>
      </w:r>
      <w:r>
        <w:rPr>
          <w:rFonts w:hint="default" w:ascii="仿宋_GB2312" w:hAnsi="Calibri" w:eastAsia="仿宋_GB2312" w:cs="Times New Roman"/>
          <w:b w:val="0"/>
          <w:i w:val="0"/>
          <w:caps w:val="0"/>
          <w:spacing w:val="0"/>
          <w:kern w:val="2"/>
          <w:sz w:val="32"/>
          <w:szCs w:val="32"/>
          <w:vertAlign w:val="baseline"/>
        </w:rPr>
        <w:t>2021年12月31日，壤塘县娜泽求宗社区管理委员会《行政单位资产管理系统》固定资产总计40.67万元，在用的固定资产总计40.67万元，固定资产在用率达100%。</w:t>
      </w:r>
    </w:p>
    <w:p>
      <w:pPr>
        <w:pStyle w:val="47"/>
        <w:keepNext w:val="0"/>
        <w:keepLines w:val="0"/>
        <w:widowControl/>
        <w:suppressLineNumbers w:val="0"/>
        <w:spacing w:before="0" w:beforeAutospacing="0" w:after="0" w:afterAutospacing="0" w:line="360" w:lineRule="auto"/>
        <w:ind w:left="420" w:leftChars="200" w:firstLine="420" w:firstLineChars="0"/>
        <w:jc w:val="both"/>
        <w:textAlignment w:val="baseline"/>
        <w:rPr>
          <w:rFonts w:hint="default" w:ascii="仿宋_GB2312" w:eastAsia="仿宋_GB2312" w:cs="仿宋_GB2312"/>
          <w:b/>
          <w:bCs/>
          <w:i w:val="0"/>
          <w:caps w:val="0"/>
          <w:spacing w:val="0"/>
          <w:kern w:val="0"/>
          <w:sz w:val="32"/>
          <w:szCs w:val="32"/>
          <w:vertAlign w:val="baseline"/>
        </w:rPr>
      </w:pPr>
      <w:r>
        <w:rPr>
          <w:rFonts w:hint="default" w:ascii="仿宋_GB2312" w:hAnsi="Calibri" w:eastAsia="仿宋_GB2312" w:cs="仿宋_GB2312"/>
          <w:b/>
          <w:bCs/>
          <w:i w:val="0"/>
          <w:caps w:val="0"/>
          <w:spacing w:val="0"/>
          <w:kern w:val="0"/>
          <w:sz w:val="32"/>
          <w:szCs w:val="32"/>
          <w:vertAlign w:val="baseline"/>
        </w:rPr>
        <w:t>（五）信息公开</w:t>
      </w:r>
    </w:p>
    <w:p>
      <w:pPr>
        <w:pStyle w:val="47"/>
        <w:keepNext w:val="0"/>
        <w:keepLines w:val="0"/>
        <w:widowControl/>
        <w:suppressLineNumbers w:val="0"/>
        <w:spacing w:before="0" w:beforeAutospacing="0" w:after="0" w:afterAutospacing="0" w:line="360" w:lineRule="auto"/>
        <w:ind w:lef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仿宋_GB2312"/>
          <w:b w:val="0"/>
          <w:i w:val="0"/>
          <w:caps w:val="0"/>
          <w:spacing w:val="0"/>
          <w:kern w:val="2"/>
          <w:sz w:val="32"/>
          <w:szCs w:val="32"/>
          <w:vertAlign w:val="baseline"/>
        </w:rPr>
        <w:t>信息公开。壤塘县娜泽求宗社区管理委员会已经按财政要求及时完成预算、决算、绩效等信息公开工作，信息公开在壤塘县门户网站中。</w:t>
      </w:r>
    </w:p>
    <w:p>
      <w:pPr>
        <w:pStyle w:val="47"/>
        <w:keepNext w:val="0"/>
        <w:keepLines w:val="0"/>
        <w:widowControl/>
        <w:suppressLineNumbers w:val="0"/>
        <w:spacing w:before="0" w:beforeAutospacing="0" w:after="0" w:afterAutospacing="0" w:line="360" w:lineRule="auto"/>
        <w:ind w:left="0" w:firstLine="643" w:firstLineChars="200"/>
        <w:jc w:val="both"/>
        <w:textAlignment w:val="baseline"/>
        <w:rPr>
          <w:rFonts w:hint="default" w:ascii="仿宋_GB2312" w:eastAsia="仿宋_GB2312" w:cs="仿宋_GB2312"/>
          <w:b/>
          <w:bCs/>
          <w:i w:val="0"/>
          <w:caps w:val="0"/>
          <w:spacing w:val="0"/>
          <w:kern w:val="0"/>
          <w:sz w:val="32"/>
          <w:szCs w:val="32"/>
          <w:vertAlign w:val="baseline"/>
        </w:rPr>
      </w:pPr>
      <w:r>
        <w:rPr>
          <w:rFonts w:hint="default" w:ascii="仿宋_GB2312" w:hAnsi="Calibri" w:eastAsia="仿宋_GB2312" w:cs="仿宋_GB2312"/>
          <w:b/>
          <w:bCs/>
          <w:i w:val="0"/>
          <w:caps w:val="0"/>
          <w:spacing w:val="0"/>
          <w:kern w:val="0"/>
          <w:sz w:val="32"/>
          <w:szCs w:val="32"/>
          <w:vertAlign w:val="baseline"/>
        </w:rPr>
        <w:t>四、部门履职效能</w:t>
      </w:r>
    </w:p>
    <w:p>
      <w:pPr>
        <w:pStyle w:val="47"/>
        <w:keepNext w:val="0"/>
        <w:keepLines w:val="0"/>
        <w:widowControl/>
        <w:suppressLineNumbers w:val="0"/>
        <w:spacing w:before="0" w:beforeAutospacing="0" w:after="0" w:afterAutospacing="0" w:line="360" w:lineRule="auto"/>
        <w:ind w:left="0" w:firstLine="420" w:firstLineChars="0"/>
        <w:jc w:val="both"/>
        <w:textAlignment w:val="baseline"/>
        <w:rPr>
          <w:rFonts w:hint="default" w:ascii="仿宋_GB2312" w:eastAsia="仿宋_GB2312" w:cs="仿宋_GB2312"/>
          <w:b/>
          <w:bCs/>
          <w:i w:val="0"/>
          <w:caps w:val="0"/>
          <w:spacing w:val="0"/>
          <w:kern w:val="0"/>
          <w:sz w:val="32"/>
          <w:szCs w:val="32"/>
          <w:vertAlign w:val="baseline"/>
        </w:rPr>
      </w:pPr>
      <w:r>
        <w:rPr>
          <w:rFonts w:hint="default" w:ascii="仿宋_GB2312" w:hAnsi="Calibri" w:eastAsia="仿宋_GB2312" w:cs="Times New Roman"/>
          <w:b w:val="0"/>
          <w:i w:val="0"/>
          <w:caps w:val="0"/>
          <w:spacing w:val="0"/>
          <w:kern w:val="0"/>
          <w:sz w:val="32"/>
          <w:szCs w:val="32"/>
          <w:vertAlign w:val="baseline"/>
        </w:rPr>
        <w:t xml:space="preserve">   </w:t>
      </w:r>
      <w:r>
        <w:rPr>
          <w:rFonts w:hint="default" w:ascii="仿宋_GB2312" w:hAnsi="Calibri" w:eastAsia="仿宋_GB2312" w:cs="仿宋_GB2312"/>
          <w:b/>
          <w:bCs/>
          <w:i w:val="0"/>
          <w:caps w:val="0"/>
          <w:spacing w:val="0"/>
          <w:kern w:val="0"/>
          <w:sz w:val="32"/>
          <w:szCs w:val="32"/>
          <w:vertAlign w:val="baseline"/>
        </w:rPr>
        <w:t>（一）部门履职的年度总体目标</w:t>
      </w:r>
    </w:p>
    <w:p>
      <w:pPr>
        <w:keepNext w:val="0"/>
        <w:keepLines w:val="0"/>
        <w:widowControl/>
        <w:suppressLineNumbers w:val="0"/>
        <w:spacing w:before="0" w:beforeAutospacing="0" w:after="0" w:afterAutospacing="0" w:line="576" w:lineRule="exact"/>
        <w:ind w:left="0" w:right="0" w:firstLine="320" w:firstLineChars="100"/>
        <w:jc w:val="both"/>
        <w:textAlignment w:val="baseline"/>
        <w:rPr>
          <w:rFonts w:hint="default" w:ascii="仿宋_GB2312" w:eastAsia="仿宋_GB2312" w:cs="仿宋_GB2312"/>
          <w:b/>
          <w:bCs/>
          <w:i w:val="0"/>
          <w:caps w:val="0"/>
          <w:color w:val="000000"/>
          <w:spacing w:val="0"/>
          <w:kern w:val="2"/>
          <w:sz w:val="32"/>
          <w:szCs w:val="32"/>
          <w:vertAlign w:val="baseline"/>
        </w:rPr>
      </w:pPr>
      <w:r>
        <w:rPr>
          <w:rFonts w:hint="default" w:ascii="仿宋_GB2312" w:hAnsi="Calibri" w:eastAsia="仿宋_GB2312" w:cs="仿宋_GB2312"/>
          <w:b w:val="0"/>
          <w:bCs w:val="0"/>
          <w:i w:val="0"/>
          <w:caps w:val="0"/>
          <w:spacing w:val="0"/>
          <w:kern w:val="2"/>
          <w:sz w:val="32"/>
          <w:szCs w:val="32"/>
          <w:vertAlign w:val="baseline"/>
          <w:lang w:val="en-US" w:eastAsia="zh-CN" w:bidi="ar"/>
        </w:rPr>
        <w:t>总体目标：</w:t>
      </w:r>
      <w:r>
        <w:rPr>
          <w:rFonts w:hint="default" w:ascii="仿宋_GB2312" w:hAnsi="Calibri" w:eastAsia="仿宋_GB2312" w:cs="Times New Roman"/>
          <w:b w:val="0"/>
          <w:bCs w:val="0"/>
          <w:i w:val="0"/>
          <w:caps w:val="0"/>
          <w:spacing w:val="0"/>
          <w:kern w:val="2"/>
          <w:sz w:val="32"/>
          <w:szCs w:val="32"/>
          <w:vertAlign w:val="baseline"/>
          <w:lang w:val="en-US" w:eastAsia="zh-CN" w:bidi="ar"/>
        </w:rPr>
        <w:t>1.扎实开展党风廉政建设。2.持续开展法制宣传教育工作，在深度和广度上下功夫。3.关心关怀服务工作稳步推进，增强干尼关系。4.安全管理工作扎实推进。5.开展信息核实工作。6.优化环境，营造美丽安置点。7.加强民管会班子建设，规范安置点管理。8.加强稳控、舆情收集，确保安置点持续和谐稳定。9.继续完善各项管理制度，提升管理水平。10.深入推进“一寺一策”常态化治理。11.疫情</w:t>
      </w:r>
      <w:r>
        <w:rPr>
          <w:rFonts w:hint="default" w:ascii="仿宋_GB2312" w:hAnsi="Calibri" w:eastAsia="仿宋_GB2312" w:cs="仿宋_GB2312"/>
          <w:b w:val="0"/>
          <w:bCs w:val="0"/>
          <w:i w:val="0"/>
          <w:caps w:val="0"/>
          <w:color w:val="000000"/>
          <w:spacing w:val="0"/>
          <w:kern w:val="2"/>
          <w:sz w:val="32"/>
          <w:szCs w:val="32"/>
          <w:vertAlign w:val="baseline"/>
          <w:lang w:val="en-US" w:eastAsia="zh-CN" w:bidi="ar"/>
        </w:rPr>
        <w:t>防控工作持续推进。</w:t>
      </w:r>
      <w:r>
        <w:rPr>
          <w:rFonts w:hint="default" w:ascii="仿宋_GB2312" w:hAnsi="Calibri" w:eastAsia="仿宋_GB2312" w:cs="Times New Roman"/>
          <w:b w:val="0"/>
          <w:bCs w:val="0"/>
          <w:i w:val="0"/>
          <w:caps w:val="0"/>
          <w:color w:val="000000"/>
          <w:spacing w:val="0"/>
          <w:kern w:val="2"/>
          <w:sz w:val="32"/>
          <w:szCs w:val="32"/>
          <w:vertAlign w:val="baseline"/>
          <w:lang w:val="en-US" w:eastAsia="zh-CN" w:bidi="ar"/>
        </w:rPr>
        <w:t>12.扎实开展部门帮村工作。</w:t>
      </w:r>
    </w:p>
    <w:p>
      <w:pPr>
        <w:keepNext w:val="0"/>
        <w:keepLines w:val="0"/>
        <w:widowControl/>
        <w:suppressLineNumbers w:val="0"/>
        <w:spacing w:before="0" w:beforeAutospacing="0" w:after="0" w:afterAutospacing="0" w:line="560" w:lineRule="exact"/>
        <w:ind w:left="0" w:right="0" w:firstLine="640" w:firstLineChars="200"/>
        <w:jc w:val="both"/>
        <w:textAlignment w:val="baseline"/>
        <w:rPr>
          <w:rFonts w:hint="default" w:ascii="仿宋_GB2312" w:eastAsia="仿宋_GB2312" w:cs="Times New Roman"/>
          <w:b w:val="0"/>
          <w:i w:val="0"/>
          <w:caps w:val="0"/>
          <w:color w:val="000000"/>
          <w:spacing w:val="0"/>
          <w:kern w:val="2"/>
          <w:sz w:val="32"/>
          <w:szCs w:val="32"/>
          <w:vertAlign w:val="baseline"/>
        </w:rPr>
      </w:pPr>
      <w:r>
        <w:rPr>
          <w:rFonts w:hint="default" w:ascii="仿宋_GB2312" w:hAnsi="Calibri" w:eastAsia="仿宋_GB2312" w:cs="仿宋_GB2312"/>
          <w:b w:val="0"/>
          <w:i w:val="0"/>
          <w:caps w:val="0"/>
          <w:color w:val="000000"/>
          <w:spacing w:val="0"/>
          <w:kern w:val="2"/>
          <w:sz w:val="32"/>
          <w:szCs w:val="32"/>
          <w:vertAlign w:val="baseline"/>
          <w:lang w:val="en-US" w:eastAsia="zh-CN" w:bidi="ar"/>
        </w:rPr>
        <w:t>（二）重点工作任务绩效目标完成情况</w:t>
      </w:r>
    </w:p>
    <w:p>
      <w:pPr>
        <w:keepNext w:val="0"/>
        <w:keepLines w:val="0"/>
        <w:widowControl/>
        <w:suppressLineNumbers w:val="0"/>
        <w:spacing w:before="0" w:beforeAutospacing="0" w:after="0" w:afterAutospacing="0" w:line="560" w:lineRule="exact"/>
        <w:ind w:left="0" w:right="0" w:firstLine="640" w:firstLineChars="200"/>
        <w:jc w:val="both"/>
        <w:textAlignment w:val="baseline"/>
        <w:rPr>
          <w:rFonts w:hint="default" w:ascii="仿宋_GB2312" w:eastAsia="仿宋_GB2312" w:cs="Times New Roman"/>
          <w:b w:val="0"/>
          <w:i w:val="0"/>
          <w:caps w:val="0"/>
          <w:color w:val="000000"/>
          <w:spacing w:val="0"/>
          <w:kern w:val="2"/>
          <w:sz w:val="32"/>
          <w:szCs w:val="32"/>
          <w:vertAlign w:val="baseline"/>
        </w:rPr>
      </w:pPr>
      <w:r>
        <w:rPr>
          <w:rFonts w:hint="default" w:ascii="仿宋_GB2312" w:hAnsi="Calibri" w:eastAsia="仿宋_GB2312" w:cs="Times New Roman"/>
          <w:b w:val="0"/>
          <w:i w:val="0"/>
          <w:caps w:val="0"/>
          <w:color w:val="000000"/>
          <w:spacing w:val="0"/>
          <w:kern w:val="2"/>
          <w:sz w:val="32"/>
          <w:szCs w:val="32"/>
          <w:vertAlign w:val="baseline"/>
          <w:lang w:val="en-US" w:eastAsia="zh-CN" w:bidi="ar"/>
        </w:rPr>
        <w:t xml:space="preserve"> 1、重点工作任务一：</w:t>
      </w:r>
      <w:r>
        <w:rPr>
          <w:rFonts w:hint="default" w:ascii="仿宋_GB2312" w:hAnsi="Calibri" w:eastAsia="仿宋_GB2312" w:cs="仿宋_GB2312"/>
          <w:b/>
          <w:bCs/>
          <w:i w:val="0"/>
          <w:caps w:val="0"/>
          <w:color w:val="000000"/>
          <w:spacing w:val="0"/>
          <w:kern w:val="2"/>
          <w:sz w:val="32"/>
          <w:szCs w:val="32"/>
          <w:vertAlign w:val="baseline"/>
          <w:lang w:val="en-US" w:eastAsia="zh-CN" w:bidi="ar"/>
        </w:rPr>
        <w:t>全面深入开展“两联一进”工作全覆盖，推动寺庙群众工作走深走细走实。</w:t>
      </w:r>
    </w:p>
    <w:p>
      <w:pPr>
        <w:keepNext w:val="0"/>
        <w:keepLines w:val="0"/>
        <w:widowControl/>
        <w:suppressLineNumbers w:val="0"/>
        <w:spacing w:before="0" w:beforeAutospacing="0" w:after="0" w:afterAutospacing="0" w:line="560" w:lineRule="exact"/>
        <w:ind w:left="0" w:right="0" w:firstLine="640" w:firstLineChars="200"/>
        <w:jc w:val="both"/>
        <w:textAlignment w:val="baseline"/>
        <w:rPr>
          <w:rFonts w:hint="default" w:ascii="Calibri" w:hAnsi="Calibri" w:eastAsia="宋体" w:cs="Times New Roman"/>
          <w:b w:val="0"/>
          <w:i w:val="0"/>
          <w:caps w:val="0"/>
          <w:color w:val="000000"/>
          <w:spacing w:val="0"/>
          <w:kern w:val="2"/>
          <w:sz w:val="21"/>
          <w:szCs w:val="21"/>
          <w:vertAlign w:val="baseline"/>
        </w:rPr>
      </w:pPr>
      <w:r>
        <w:rPr>
          <w:rFonts w:hint="default" w:ascii="仿宋_GB2312" w:hAnsi="Calibri" w:eastAsia="仿宋_GB2312" w:cs="仿宋_GB2312"/>
          <w:b w:val="0"/>
          <w:i w:val="0"/>
          <w:caps w:val="0"/>
          <w:color w:val="000000"/>
          <w:spacing w:val="0"/>
          <w:kern w:val="2"/>
          <w:sz w:val="32"/>
          <w:szCs w:val="32"/>
          <w:vertAlign w:val="baseline"/>
          <w:lang w:val="en-US" w:eastAsia="zh-CN" w:bidi="ar"/>
        </w:rPr>
        <w:t>工作任务的内容：自“两联一进”寺庙群众工作全覆盖开展以来，我委干部职工始终一手抓业务工作，一手抓寺庙群众工作，先后20多次走村入户开展“联户联情”工作，150多次深入安置社区与尼众面对面交心谈心（集体座谈20余次，个别交谈70余次），认真倾听尼姑和群众在日常生活中存在的困难和诉求，并向他们送去党和政府的关怀和温暖，形成了主要领导负总责、分管领导具体抓、全体干部职工参与的工作格局。一是打好“法律、政策”牌。通过进觉康、入牧场，结合尼众和群众关心的问题，大力宣传党的十九大精神、《民法典》、医保政策、计生政策等惠民政策，为加快建设“一州两区三家园”奠定了坚实的群众基础保障；二是打好“感情、团结”牌。今年以来，州妇联和县妇联先后为安置社区觉姆姐妹送来160份爱心礼包（价值6万元），我委组织干部职工先后7次走访慰问困难尼姑和群众，为他们送去了米面油等价值1万元的生活物资，并通过与尼姑、群众共庆“三八”“七一”“国庆”等重大节日，开展丰富多彩的联谊活动，干尼关系、干群关系更加密切，安置社区更加稳定，尼众和群众生活更加幸福；三是办实事、解难题。今年我委积极协调县科农局为安置社区建设蔬菜暖棚3个（价值10万元），解决了尼姑长期吃不到新鲜菜的难题，协调上级部门为尼姑解决安置社区散水维修改造资金96余万元，解决了安置社区污水排放的难题，协调民政局、乡政府为5名困难尼姑申请办理了低保。。</w:t>
      </w:r>
    </w:p>
    <w:p>
      <w:pPr>
        <w:keepNext w:val="0"/>
        <w:keepLines w:val="0"/>
        <w:widowControl/>
        <w:suppressLineNumbers w:val="0"/>
        <w:spacing w:before="0" w:beforeAutospacing="0" w:after="0" w:afterAutospacing="0" w:line="560" w:lineRule="exact"/>
        <w:ind w:left="0" w:right="0" w:firstLine="640" w:firstLineChars="200"/>
        <w:jc w:val="both"/>
        <w:textAlignment w:val="baseline"/>
        <w:rPr>
          <w:rFonts w:hint="default" w:ascii="仿宋_GB2312" w:eastAsia="仿宋_GB2312" w:cs="Times New Roman"/>
          <w:b/>
          <w:bCs w:val="0"/>
          <w:i w:val="0"/>
          <w:caps w:val="0"/>
          <w:color w:val="000000"/>
          <w:spacing w:val="0"/>
          <w:kern w:val="2"/>
          <w:sz w:val="32"/>
          <w:szCs w:val="32"/>
          <w:vertAlign w:val="baseline"/>
        </w:rPr>
      </w:pPr>
      <w:r>
        <w:rPr>
          <w:rFonts w:hint="default" w:ascii="仿宋_GB2312" w:hAnsi="Calibri" w:eastAsia="仿宋_GB2312" w:cs="Times New Roman"/>
          <w:b w:val="0"/>
          <w:i w:val="0"/>
          <w:caps w:val="0"/>
          <w:color w:val="000000"/>
          <w:spacing w:val="0"/>
          <w:kern w:val="2"/>
          <w:sz w:val="32"/>
          <w:szCs w:val="32"/>
          <w:vertAlign w:val="baseline"/>
          <w:lang w:val="en-US" w:eastAsia="zh-CN" w:bidi="ar"/>
        </w:rPr>
        <w:t>2、重点工作任务二：</w:t>
      </w:r>
      <w:r>
        <w:rPr>
          <w:rFonts w:hint="default" w:ascii="仿宋_GB2312" w:hAnsi="Calibri" w:eastAsia="仿宋_GB2312" w:cs="仿宋_GB2312"/>
          <w:b/>
          <w:bCs w:val="0"/>
          <w:i w:val="0"/>
          <w:caps w:val="0"/>
          <w:color w:val="000000"/>
          <w:spacing w:val="0"/>
          <w:kern w:val="2"/>
          <w:sz w:val="32"/>
          <w:szCs w:val="32"/>
          <w:vertAlign w:val="baseline"/>
          <w:lang w:val="en-US" w:eastAsia="zh-CN" w:bidi="ar"/>
        </w:rPr>
        <w:t>严格落实疫情防控要求，不断铸牢防疫安全屏障。</w:t>
      </w:r>
    </w:p>
    <w:p>
      <w:pPr>
        <w:keepNext w:val="0"/>
        <w:keepLines w:val="0"/>
        <w:widowControl/>
        <w:suppressLineNumbers w:val="0"/>
        <w:spacing w:before="0" w:beforeAutospacing="0" w:after="0" w:afterAutospacing="0" w:line="560" w:lineRule="exact"/>
        <w:ind w:left="0" w:right="0" w:firstLine="640" w:firstLineChars="200"/>
        <w:jc w:val="both"/>
        <w:textAlignment w:val="baseline"/>
        <w:rPr>
          <w:rFonts w:hint="default" w:ascii="仿宋_GB2312" w:eastAsia="仿宋_GB2312" w:cs="仿宋_GB2312"/>
          <w:b/>
          <w:bCs/>
          <w:i w:val="0"/>
          <w:caps w:val="0"/>
          <w:color w:val="000000"/>
          <w:spacing w:val="0"/>
          <w:kern w:val="2"/>
          <w:sz w:val="32"/>
          <w:szCs w:val="32"/>
          <w:vertAlign w:val="baseline"/>
        </w:rPr>
      </w:pPr>
      <w:r>
        <w:rPr>
          <w:rFonts w:hint="default" w:ascii="仿宋_GB2312" w:hAnsi="Calibri" w:eastAsia="仿宋_GB2312" w:cs="仿宋_GB2312"/>
          <w:b w:val="0"/>
          <w:i w:val="0"/>
          <w:caps w:val="0"/>
          <w:color w:val="000000"/>
          <w:spacing w:val="0"/>
          <w:kern w:val="2"/>
          <w:sz w:val="32"/>
          <w:szCs w:val="32"/>
          <w:vertAlign w:val="baseline"/>
          <w:lang w:val="en-US" w:eastAsia="zh-CN" w:bidi="ar"/>
        </w:rPr>
        <w:t>工作任务的内容：一是高度重视、周密安排部署，严格落实防控工作责任制。今年以来，我委始终以对尼众负责的态度，不断完善防控方案，强化防控措施，先后</w:t>
      </w:r>
      <w:r>
        <w:rPr>
          <w:rFonts w:hint="default" w:ascii="仿宋_GB2312" w:hAnsi="Calibri" w:eastAsia="仿宋_GB2312" w:cs="Times New Roman"/>
          <w:b w:val="0"/>
          <w:i w:val="0"/>
          <w:caps w:val="0"/>
          <w:color w:val="000000"/>
          <w:spacing w:val="0"/>
          <w:kern w:val="2"/>
          <w:sz w:val="32"/>
          <w:szCs w:val="32"/>
          <w:vertAlign w:val="baseline"/>
          <w:lang w:val="en-US" w:eastAsia="zh-CN" w:bidi="ar"/>
        </w:rPr>
        <w:t>13次深入安置社区开展防疫知识专题讲座，先后5次组织社区尼众到乡卫生院和县医院进行新冠疫苗接种，截止目前，安置社区疫苗全程接种率已达到100%；二是以最严措施、最严作风做好防疫工作。根据县委、县政府对疫情防控工作的部署要求，我委及时设置防疫卡点，认真排查外来人员、车辆出入登记，严格落实24小时值班值守制度，时刻保持信息畅通，及时向县应急指挥部申领防疫物资，先后为社区尼众发放防疫口罩2000个、消毒液200公斤、防疫手套100双、消毒凝胶30瓶、藏汉双语宣传资料300余份，组织干部职工和社区尼众开展全覆盖消毒50余次</w:t>
      </w:r>
      <w:r>
        <w:rPr>
          <w:rFonts w:hint="default" w:ascii="仿宋_GB2312" w:hAnsi="Calibri" w:eastAsia="仿宋_GB2312" w:cs="仿宋_GB2312"/>
          <w:b w:val="0"/>
          <w:i w:val="0"/>
          <w:caps w:val="0"/>
          <w:color w:val="000000"/>
          <w:spacing w:val="0"/>
          <w:kern w:val="2"/>
          <w:sz w:val="32"/>
          <w:szCs w:val="32"/>
          <w:vertAlign w:val="baseline"/>
          <w:lang w:val="en-US" w:eastAsia="zh-CN" w:bidi="ar"/>
        </w:rPr>
        <w:t>。</w:t>
      </w:r>
    </w:p>
    <w:p>
      <w:pPr>
        <w:pStyle w:val="47"/>
        <w:keepNext w:val="0"/>
        <w:keepLines w:val="0"/>
        <w:widowControl/>
        <w:suppressLineNumbers w:val="0"/>
        <w:spacing w:before="0" w:beforeAutospacing="0" w:after="0" w:afterAutospacing="0" w:line="360" w:lineRule="auto"/>
        <w:ind w:left="0" w:firstLine="643" w:firstLineChars="200"/>
        <w:jc w:val="both"/>
        <w:textAlignment w:val="baseline"/>
        <w:rPr>
          <w:rFonts w:hint="default" w:ascii="仿宋_GB2312" w:eastAsia="仿宋_GB2312" w:cs="仿宋_GB2312"/>
          <w:b/>
          <w:bCs/>
          <w:i w:val="0"/>
          <w:caps w:val="0"/>
          <w:color w:val="000000"/>
          <w:spacing w:val="0"/>
          <w:kern w:val="0"/>
          <w:sz w:val="32"/>
          <w:szCs w:val="32"/>
          <w:vertAlign w:val="baseline"/>
        </w:rPr>
      </w:pPr>
      <w:r>
        <w:rPr>
          <w:rFonts w:hint="default" w:ascii="仿宋_GB2312" w:hAnsi="Calibri" w:eastAsia="仿宋_GB2312" w:cs="仿宋_GB2312"/>
          <w:b/>
          <w:bCs/>
          <w:i w:val="0"/>
          <w:caps w:val="0"/>
          <w:color w:val="000000"/>
          <w:spacing w:val="0"/>
          <w:kern w:val="0"/>
          <w:sz w:val="32"/>
          <w:szCs w:val="32"/>
          <w:vertAlign w:val="baseline"/>
        </w:rPr>
        <w:t>五、评价结论及措施</w:t>
      </w:r>
    </w:p>
    <w:p>
      <w:pPr>
        <w:pStyle w:val="47"/>
        <w:keepNext w:val="0"/>
        <w:keepLines w:val="0"/>
        <w:widowControl/>
        <w:suppressLineNumbers w:val="0"/>
        <w:spacing w:before="0" w:beforeAutospacing="0" w:after="0" w:afterAutospacing="0" w:line="360" w:lineRule="auto"/>
        <w:ind w:left="0" w:firstLine="643" w:firstLineChars="200"/>
        <w:jc w:val="both"/>
        <w:textAlignment w:val="baseline"/>
        <w:rPr>
          <w:rFonts w:hint="default" w:ascii="仿宋_GB2312" w:eastAsia="仿宋_GB2312" w:cs="仿宋_GB2312"/>
          <w:b/>
          <w:bCs/>
          <w:i w:val="0"/>
          <w:caps w:val="0"/>
          <w:spacing w:val="0"/>
          <w:kern w:val="2"/>
          <w:sz w:val="32"/>
          <w:szCs w:val="32"/>
          <w:vertAlign w:val="baseline"/>
        </w:rPr>
      </w:pPr>
      <w:r>
        <w:rPr>
          <w:rFonts w:hint="default" w:ascii="仿宋_GB2312" w:hAnsi="Calibri" w:eastAsia="仿宋_GB2312" w:cs="仿宋_GB2312"/>
          <w:b/>
          <w:bCs/>
          <w:i w:val="0"/>
          <w:caps w:val="0"/>
          <w:spacing w:val="0"/>
          <w:kern w:val="2"/>
          <w:sz w:val="32"/>
          <w:szCs w:val="32"/>
          <w:vertAlign w:val="baseline"/>
        </w:rPr>
        <w:t>（一）评价结论：见附表</w:t>
      </w:r>
    </w:p>
    <w:p>
      <w:pPr>
        <w:pStyle w:val="47"/>
        <w:keepNext w:val="0"/>
        <w:keepLines w:val="0"/>
        <w:widowControl/>
        <w:suppressLineNumbers w:val="0"/>
        <w:spacing w:before="0" w:beforeAutospacing="0" w:after="0" w:afterAutospacing="0" w:line="360" w:lineRule="auto"/>
        <w:ind w:left="0" w:firstLine="643" w:firstLineChars="200"/>
        <w:jc w:val="both"/>
        <w:textAlignment w:val="baseline"/>
        <w:rPr>
          <w:rFonts w:hint="default" w:ascii="仿宋_GB2312" w:eastAsia="仿宋_GB2312" w:cs="仿宋_GB2312"/>
          <w:b/>
          <w:bCs/>
          <w:i w:val="0"/>
          <w:caps w:val="0"/>
          <w:spacing w:val="0"/>
          <w:kern w:val="2"/>
          <w:sz w:val="32"/>
          <w:szCs w:val="32"/>
          <w:vertAlign w:val="baseline"/>
        </w:rPr>
      </w:pPr>
      <w:r>
        <w:rPr>
          <w:rFonts w:hint="default" w:ascii="仿宋_GB2312" w:hAnsi="Calibri" w:eastAsia="仿宋_GB2312" w:cs="仿宋_GB2312"/>
          <w:b/>
          <w:bCs/>
          <w:i w:val="0"/>
          <w:caps w:val="0"/>
          <w:spacing w:val="0"/>
          <w:kern w:val="2"/>
          <w:sz w:val="32"/>
          <w:szCs w:val="32"/>
          <w:vertAlign w:val="baseline"/>
        </w:rPr>
        <w:t>（二）存在问题</w:t>
      </w:r>
    </w:p>
    <w:p>
      <w:pPr>
        <w:pStyle w:val="47"/>
        <w:keepNext w:val="0"/>
        <w:keepLines w:val="0"/>
        <w:widowControl/>
        <w:suppressLineNumbers w:val="0"/>
        <w:spacing w:before="0" w:beforeAutospacing="0" w:after="0" w:afterAutospacing="0" w:line="360" w:lineRule="auto"/>
        <w:ind w:lef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Times New Roman"/>
          <w:b w:val="0"/>
          <w:i w:val="0"/>
          <w:caps w:val="0"/>
          <w:spacing w:val="0"/>
          <w:kern w:val="2"/>
          <w:sz w:val="32"/>
          <w:szCs w:val="32"/>
          <w:vertAlign w:val="baseline"/>
        </w:rPr>
        <w:t>1、办公用品耗材使用量大，存在一定浪费的情况。</w:t>
      </w:r>
    </w:p>
    <w:p>
      <w:pPr>
        <w:pStyle w:val="47"/>
        <w:keepNext w:val="0"/>
        <w:keepLines w:val="0"/>
        <w:widowControl/>
        <w:suppressLineNumbers w:val="0"/>
        <w:spacing w:before="0" w:beforeAutospacing="0" w:after="0" w:afterAutospacing="0" w:line="360" w:lineRule="auto"/>
        <w:ind w:lef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Times New Roman"/>
          <w:b w:val="0"/>
          <w:i w:val="0"/>
          <w:caps w:val="0"/>
          <w:spacing w:val="0"/>
          <w:kern w:val="2"/>
          <w:sz w:val="32"/>
          <w:szCs w:val="32"/>
          <w:vertAlign w:val="baseline"/>
        </w:rPr>
        <w:t>2、我单位基础设施项目较多且急任务重，资金拨付率较慢。</w:t>
      </w:r>
    </w:p>
    <w:p>
      <w:pPr>
        <w:pStyle w:val="47"/>
        <w:keepNext w:val="0"/>
        <w:keepLines w:val="0"/>
        <w:widowControl/>
        <w:suppressLineNumbers w:val="0"/>
        <w:spacing w:before="0" w:beforeAutospacing="0" w:after="0" w:afterAutospacing="0" w:line="360" w:lineRule="auto"/>
        <w:ind w:left="0" w:firstLine="643" w:firstLineChars="200"/>
        <w:jc w:val="both"/>
        <w:textAlignment w:val="baseline"/>
        <w:rPr>
          <w:rFonts w:hint="default" w:ascii="仿宋_GB2312" w:eastAsia="仿宋_GB2312" w:cs="仿宋_GB2312"/>
          <w:b/>
          <w:bCs/>
          <w:i w:val="0"/>
          <w:caps w:val="0"/>
          <w:spacing w:val="0"/>
          <w:kern w:val="2"/>
          <w:sz w:val="32"/>
          <w:szCs w:val="32"/>
          <w:vertAlign w:val="baseline"/>
        </w:rPr>
      </w:pPr>
      <w:r>
        <w:rPr>
          <w:rFonts w:hint="default" w:ascii="仿宋_GB2312" w:hAnsi="Calibri" w:eastAsia="仿宋_GB2312" w:cs="仿宋_GB2312"/>
          <w:b/>
          <w:bCs/>
          <w:i w:val="0"/>
          <w:caps w:val="0"/>
          <w:spacing w:val="0"/>
          <w:kern w:val="2"/>
          <w:sz w:val="32"/>
          <w:szCs w:val="32"/>
          <w:vertAlign w:val="baseline"/>
        </w:rPr>
        <w:t>（三）改进措施</w:t>
      </w:r>
    </w:p>
    <w:p>
      <w:pPr>
        <w:pStyle w:val="47"/>
        <w:keepNext w:val="0"/>
        <w:keepLines w:val="0"/>
        <w:widowControl/>
        <w:suppressLineNumbers w:val="0"/>
        <w:spacing w:before="0" w:beforeAutospacing="0" w:after="0" w:afterAutospacing="0" w:line="360" w:lineRule="auto"/>
        <w:ind w:left="0" w:firstLine="640" w:firstLineChars="200"/>
        <w:jc w:val="both"/>
        <w:textAlignment w:val="baseline"/>
        <w:rPr>
          <w:rFonts w:hint="default" w:ascii="仿宋_GB2312" w:eastAsia="仿宋_GB2312" w:cs="Times New Roman"/>
          <w:b w:val="0"/>
          <w:i w:val="0"/>
          <w:caps w:val="0"/>
          <w:spacing w:val="0"/>
          <w:kern w:val="2"/>
          <w:sz w:val="32"/>
          <w:szCs w:val="32"/>
          <w:vertAlign w:val="baseline"/>
        </w:rPr>
      </w:pPr>
      <w:r>
        <w:rPr>
          <w:rFonts w:hint="default" w:ascii="仿宋_GB2312" w:hAnsi="Calibri" w:eastAsia="仿宋_GB2312" w:cs="Times New Roman"/>
          <w:b w:val="0"/>
          <w:i w:val="0"/>
          <w:caps w:val="0"/>
          <w:spacing w:val="0"/>
          <w:kern w:val="2"/>
          <w:sz w:val="32"/>
          <w:szCs w:val="32"/>
          <w:vertAlign w:val="baseline"/>
        </w:rPr>
        <w:t>1、合理安排办公耗材使用，切实做到物尽其用，尽可能减少浪费的情况。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baseline"/>
        <w:rPr>
          <w:rFonts w:hint="eastAsia" w:ascii="仿宋_GB2312" w:hAnsi="仿宋_GB2312" w:eastAsia="仿宋_GB2312" w:cs="仿宋_GB2312"/>
          <w:sz w:val="32"/>
          <w:szCs w:val="32"/>
          <w:lang w:eastAsia="zh-CN"/>
        </w:rPr>
      </w:pPr>
      <w:r>
        <w:rPr>
          <w:rFonts w:hint="default" w:ascii="仿宋_GB2312" w:hAnsi="Calibri" w:eastAsia="仿宋_GB2312" w:cs="Times New Roman"/>
          <w:b w:val="0"/>
          <w:i w:val="0"/>
          <w:caps w:val="0"/>
          <w:spacing w:val="0"/>
          <w:kern w:val="2"/>
          <w:sz w:val="32"/>
          <w:szCs w:val="32"/>
          <w:lang w:val="en-US" w:eastAsia="zh-CN" w:bidi="ar"/>
        </w:rPr>
        <w:t>2、加强对基础设施项目管理，及时拨付项目资金进度</w:t>
      </w:r>
      <w:r>
        <w:rPr>
          <w:rFonts w:hint="eastAsia" w:ascii="仿宋_GB2312" w:hAnsi="Times New Roman" w:eastAsia="仿宋_GB2312" w:cs="仿宋_GB2312"/>
          <w:kern w:val="2"/>
          <w:sz w:val="32"/>
          <w:szCs w:val="32"/>
          <w:lang w:val="en-US" w:eastAsia="zh-CN" w:bidi="ar"/>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仿宋_GB2312" w:eastAsia="仿宋_GB2312" w:cs="仿宋_GB2312"/>
          <w:sz w:val="32"/>
          <w:szCs w:val="32"/>
        </w:rPr>
      </w:pPr>
    </w:p>
    <w:p>
      <w:pPr>
        <w:pStyle w:val="19"/>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19"/>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19"/>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19"/>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19"/>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19"/>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19"/>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19"/>
        <w:rPr>
          <w:rFonts w:ascii="仿宋_GB2312" w:hAnsi="仿宋_GB2312" w:eastAsia="仿宋_GB2312" w:cs="仿宋_GB2312"/>
          <w:sz w:val="32"/>
          <w:szCs w:val="32"/>
        </w:rPr>
      </w:pPr>
    </w:p>
    <w:p>
      <w:pPr>
        <w:pStyle w:val="19"/>
        <w:ind w:left="0" w:leftChars="0" w:firstLine="0" w:firstLineChars="0"/>
      </w:pPr>
    </w:p>
    <w:p>
      <w:pPr>
        <w:spacing w:line="600" w:lineRule="exact"/>
        <w:jc w:val="center"/>
        <w:outlineLvl w:val="0"/>
        <w:rPr>
          <w:rStyle w:val="28"/>
          <w:rFonts w:ascii="黑体" w:hAnsi="黑体" w:eastAsia="黑体"/>
          <w:b w:val="0"/>
        </w:rPr>
      </w:pPr>
      <w:bookmarkStart w:id="106" w:name="_Toc79163885"/>
      <w:bookmarkStart w:id="107" w:name="_Toc15396618"/>
      <w:bookmarkStart w:id="108" w:name="_Toc79163635"/>
      <w:r>
        <w:rPr>
          <w:rFonts w:hint="eastAsia" w:ascii="黑体" w:hAnsi="黑体" w:eastAsia="黑体"/>
          <w:color w:val="000000"/>
          <w:sz w:val="44"/>
          <w:szCs w:val="44"/>
        </w:rPr>
        <w:t>第</w:t>
      </w:r>
      <w:r>
        <w:rPr>
          <w:rStyle w:val="28"/>
          <w:rFonts w:hint="eastAsia" w:ascii="黑体" w:hAnsi="黑体" w:eastAsia="黑体"/>
          <w:b w:val="0"/>
        </w:rPr>
        <w:t>五部分</w:t>
      </w:r>
      <w:r>
        <w:rPr>
          <w:rStyle w:val="28"/>
          <w:rFonts w:ascii="黑体" w:hAnsi="黑体" w:eastAsia="黑体"/>
          <w:b w:val="0"/>
        </w:rPr>
        <w:t xml:space="preserve"> </w:t>
      </w:r>
      <w:r>
        <w:rPr>
          <w:rStyle w:val="28"/>
          <w:rFonts w:hint="eastAsia" w:ascii="黑体" w:hAnsi="黑体" w:eastAsia="黑体"/>
          <w:b w:val="0"/>
        </w:rPr>
        <w:t>附表</w:t>
      </w:r>
      <w:bookmarkEnd w:id="100"/>
      <w:bookmarkEnd w:id="106"/>
      <w:bookmarkEnd w:id="107"/>
      <w:bookmarkEnd w:id="108"/>
    </w:p>
    <w:p>
      <w:pPr>
        <w:pStyle w:val="5"/>
        <w:rPr>
          <w:rFonts w:ascii="仿宋" w:hAnsi="仿宋" w:eastAsia="仿宋"/>
          <w:color w:val="000000"/>
        </w:rPr>
      </w:pPr>
      <w:bookmarkStart w:id="109" w:name="_Toc15396619"/>
      <w:bookmarkStart w:id="110" w:name="_Toc79163636"/>
      <w:bookmarkStart w:id="111" w:name="_Toc79163886"/>
      <w:r>
        <w:rPr>
          <w:rFonts w:hint="eastAsia" w:ascii="仿宋" w:hAnsi="仿宋" w:eastAsia="仿宋"/>
          <w:b w:val="0"/>
          <w:color w:val="000000"/>
        </w:rPr>
        <w:t>一、收</w:t>
      </w:r>
      <w:r>
        <w:rPr>
          <w:rStyle w:val="29"/>
          <w:rFonts w:hint="eastAsia" w:ascii="仿宋" w:hAnsi="仿宋" w:eastAsia="仿宋"/>
          <w:b w:val="0"/>
          <w:bCs w:val="0"/>
        </w:rPr>
        <w:t>入支出决算总表</w:t>
      </w:r>
      <w:bookmarkEnd w:id="109"/>
      <w:bookmarkEnd w:id="110"/>
      <w:bookmarkEnd w:id="111"/>
    </w:p>
    <w:p>
      <w:pPr>
        <w:pStyle w:val="5"/>
        <w:rPr>
          <w:rFonts w:ascii="仿宋" w:hAnsi="仿宋" w:eastAsia="仿宋"/>
          <w:color w:val="000000"/>
        </w:rPr>
      </w:pPr>
      <w:bookmarkStart w:id="112" w:name="_Toc79163637"/>
      <w:bookmarkStart w:id="113" w:name="_Toc79163887"/>
      <w:bookmarkStart w:id="114" w:name="_Toc15396620"/>
      <w:r>
        <w:rPr>
          <w:rFonts w:hint="eastAsia" w:ascii="仿宋" w:hAnsi="仿宋" w:eastAsia="仿宋"/>
          <w:b w:val="0"/>
          <w:color w:val="000000"/>
        </w:rPr>
        <w:t>二、收</w:t>
      </w:r>
      <w:r>
        <w:rPr>
          <w:rStyle w:val="29"/>
          <w:rFonts w:hint="eastAsia" w:ascii="仿宋" w:hAnsi="仿宋" w:eastAsia="仿宋"/>
          <w:b w:val="0"/>
          <w:bCs w:val="0"/>
        </w:rPr>
        <w:t>入决算表</w:t>
      </w:r>
      <w:bookmarkEnd w:id="112"/>
      <w:bookmarkEnd w:id="113"/>
      <w:bookmarkEnd w:id="114"/>
    </w:p>
    <w:p>
      <w:pPr>
        <w:pStyle w:val="5"/>
        <w:rPr>
          <w:rFonts w:ascii="仿宋" w:hAnsi="仿宋" w:eastAsia="仿宋"/>
          <w:color w:val="000000"/>
        </w:rPr>
      </w:pPr>
      <w:bookmarkStart w:id="115" w:name="_Toc79163638"/>
      <w:bookmarkStart w:id="116" w:name="_Toc15396621"/>
      <w:bookmarkStart w:id="117" w:name="_Toc79163888"/>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115"/>
      <w:bookmarkEnd w:id="116"/>
      <w:bookmarkEnd w:id="117"/>
    </w:p>
    <w:p>
      <w:pPr>
        <w:pStyle w:val="5"/>
        <w:rPr>
          <w:rFonts w:ascii="仿宋" w:hAnsi="仿宋" w:eastAsia="仿宋"/>
          <w:b w:val="0"/>
          <w:color w:val="000000"/>
        </w:rPr>
      </w:pPr>
      <w:bookmarkStart w:id="118" w:name="_Toc79163639"/>
      <w:bookmarkStart w:id="119" w:name="_Toc79163889"/>
      <w:bookmarkStart w:id="120" w:name="_Toc15396622"/>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118"/>
      <w:bookmarkEnd w:id="119"/>
      <w:bookmarkEnd w:id="120"/>
    </w:p>
    <w:p>
      <w:pPr>
        <w:pStyle w:val="5"/>
        <w:rPr>
          <w:rStyle w:val="29"/>
          <w:rFonts w:ascii="仿宋" w:hAnsi="仿宋" w:eastAsia="仿宋"/>
          <w:b w:val="0"/>
          <w:bCs w:val="0"/>
        </w:rPr>
      </w:pPr>
      <w:bookmarkStart w:id="121" w:name="_Toc79163640"/>
      <w:bookmarkStart w:id="122" w:name="_Toc15396623"/>
      <w:bookmarkStart w:id="123" w:name="_Toc79163890"/>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121"/>
      <w:bookmarkEnd w:id="122"/>
      <w:bookmarkEnd w:id="123"/>
      <w:bookmarkStart w:id="124" w:name="_Toc15396624"/>
    </w:p>
    <w:p>
      <w:pPr>
        <w:pStyle w:val="5"/>
        <w:rPr>
          <w:rFonts w:ascii="仿宋" w:hAnsi="仿宋" w:eastAsia="仿宋"/>
          <w:color w:val="000000"/>
        </w:rPr>
      </w:pPr>
      <w:bookmarkStart w:id="125" w:name="_Toc79163891"/>
      <w:bookmarkStart w:id="126" w:name="_Toc79163641"/>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124"/>
      <w:bookmarkEnd w:id="125"/>
      <w:bookmarkEnd w:id="126"/>
    </w:p>
    <w:p>
      <w:pPr>
        <w:pStyle w:val="5"/>
        <w:rPr>
          <w:rFonts w:ascii="仿宋" w:hAnsi="仿宋" w:eastAsia="仿宋"/>
          <w:color w:val="000000"/>
        </w:rPr>
      </w:pPr>
      <w:bookmarkStart w:id="127" w:name="_Toc15396625"/>
      <w:bookmarkStart w:id="128" w:name="_Toc79163642"/>
      <w:bookmarkStart w:id="129" w:name="_Toc79163892"/>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127"/>
      <w:bookmarkEnd w:id="128"/>
      <w:bookmarkEnd w:id="129"/>
    </w:p>
    <w:p>
      <w:pPr>
        <w:pStyle w:val="5"/>
        <w:rPr>
          <w:rFonts w:ascii="仿宋" w:hAnsi="仿宋" w:eastAsia="仿宋"/>
          <w:color w:val="000000"/>
        </w:rPr>
      </w:pPr>
      <w:bookmarkStart w:id="130" w:name="_Toc79163643"/>
      <w:bookmarkStart w:id="131" w:name="_Toc15396626"/>
      <w:bookmarkStart w:id="132" w:name="_Toc79163893"/>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130"/>
      <w:bookmarkEnd w:id="131"/>
      <w:bookmarkEnd w:id="132"/>
    </w:p>
    <w:p>
      <w:pPr>
        <w:pStyle w:val="5"/>
        <w:rPr>
          <w:rFonts w:ascii="仿宋" w:hAnsi="仿宋" w:eastAsia="仿宋"/>
          <w:color w:val="000000"/>
        </w:rPr>
      </w:pPr>
      <w:bookmarkStart w:id="133" w:name="_Toc15396627"/>
      <w:bookmarkStart w:id="134" w:name="_Toc79163644"/>
      <w:bookmarkStart w:id="135" w:name="_Toc79163894"/>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133"/>
      <w:bookmarkEnd w:id="134"/>
      <w:bookmarkEnd w:id="135"/>
    </w:p>
    <w:p>
      <w:pPr>
        <w:pStyle w:val="5"/>
        <w:rPr>
          <w:rFonts w:ascii="仿宋" w:hAnsi="仿宋" w:eastAsia="仿宋"/>
          <w:color w:val="000000"/>
        </w:rPr>
      </w:pPr>
      <w:bookmarkStart w:id="136" w:name="_Toc15396628"/>
      <w:bookmarkStart w:id="137" w:name="_Toc79163645"/>
      <w:bookmarkStart w:id="138" w:name="_Toc79163895"/>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136"/>
      <w:bookmarkEnd w:id="137"/>
      <w:bookmarkEnd w:id="138"/>
    </w:p>
    <w:p>
      <w:pPr>
        <w:pStyle w:val="5"/>
        <w:rPr>
          <w:rFonts w:ascii="仿宋" w:hAnsi="仿宋" w:eastAsia="仿宋"/>
          <w:color w:val="000000"/>
        </w:rPr>
      </w:pPr>
      <w:bookmarkStart w:id="139" w:name="_Toc15396629"/>
      <w:bookmarkStart w:id="140" w:name="_Toc79163646"/>
      <w:bookmarkStart w:id="141" w:name="_Toc79163896"/>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139"/>
      <w:bookmarkEnd w:id="140"/>
      <w:bookmarkEnd w:id="141"/>
    </w:p>
    <w:p>
      <w:pPr>
        <w:pStyle w:val="5"/>
        <w:rPr>
          <w:rFonts w:ascii="仿宋" w:hAnsi="仿宋" w:eastAsia="仿宋"/>
          <w:color w:val="000000"/>
        </w:rPr>
      </w:pPr>
      <w:bookmarkStart w:id="142" w:name="_Toc79163897"/>
      <w:bookmarkStart w:id="143" w:name="_Toc79163647"/>
      <w:bookmarkStart w:id="144" w:name="_Toc15396630"/>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142"/>
      <w:bookmarkEnd w:id="143"/>
      <w:bookmarkEnd w:id="144"/>
    </w:p>
    <w:p>
      <w:pPr>
        <w:pStyle w:val="5"/>
        <w:rPr>
          <w:rStyle w:val="29"/>
          <w:rFonts w:ascii="仿宋" w:hAnsi="仿宋" w:eastAsia="仿宋"/>
          <w:b w:val="0"/>
          <w:bCs w:val="0"/>
        </w:rPr>
      </w:pPr>
      <w:bookmarkStart w:id="145" w:name="_Toc79163898"/>
      <w:bookmarkStart w:id="146" w:name="_Toc79163648"/>
      <w:bookmarkStart w:id="147" w:name="_Toc15396631"/>
      <w:r>
        <w:rPr>
          <w:rStyle w:val="29"/>
          <w:rFonts w:hint="eastAsia" w:ascii="仿宋" w:hAnsi="仿宋" w:eastAsia="仿宋"/>
          <w:b w:val="0"/>
          <w:bCs w:val="0"/>
        </w:rPr>
        <w:t>十三、</w:t>
      </w:r>
      <w:r>
        <w:rPr>
          <w:rFonts w:hint="eastAsia" w:ascii="仿宋" w:hAnsi="仿宋" w:eastAsia="仿宋"/>
          <w:b w:val="0"/>
          <w:color w:val="000000"/>
        </w:rPr>
        <w:t>国</w:t>
      </w:r>
      <w:r>
        <w:rPr>
          <w:rStyle w:val="29"/>
          <w:rFonts w:hint="eastAsia" w:ascii="仿宋" w:hAnsi="仿宋" w:eastAsia="仿宋"/>
          <w:b w:val="0"/>
          <w:bCs w:val="0"/>
        </w:rPr>
        <w:t>有资本经营预算财政拨款支出决算表</w:t>
      </w:r>
      <w:bookmarkEnd w:id="145"/>
      <w:bookmarkEnd w:id="146"/>
      <w:bookmarkEnd w:id="147"/>
    </w:p>
    <w:p>
      <w:pPr>
        <w:pStyle w:val="5"/>
        <w:rPr>
          <w:rStyle w:val="29"/>
          <w:rFonts w:ascii="仿宋" w:hAnsi="仿宋" w:eastAsia="仿宋"/>
          <w:b w:val="0"/>
          <w:bCs w:val="0"/>
        </w:rPr>
      </w:pPr>
      <w:bookmarkStart w:id="148" w:name="_Toc79163899"/>
      <w:bookmarkStart w:id="149" w:name="_Toc79163649"/>
      <w:r>
        <w:rPr>
          <w:rStyle w:val="29"/>
          <w:rFonts w:hint="eastAsia" w:ascii="仿宋" w:hAnsi="仿宋" w:eastAsia="仿宋"/>
          <w:b w:val="0"/>
          <w:bCs w:val="0"/>
        </w:rPr>
        <w:t>十四、国有资本经营预算财政拨款支出决算表</w:t>
      </w:r>
      <w:bookmarkEnd w:id="148"/>
      <w:bookmarkEnd w:id="14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t>25</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F04002"/>
    <w:multiLevelType w:val="multilevel"/>
    <w:tmpl w:val="12F04002"/>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443417DC"/>
    <w:multiLevelType w:val="multilevel"/>
    <w:tmpl w:val="443417DC"/>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7EED1195"/>
    <w:multiLevelType w:val="singleLevel"/>
    <w:tmpl w:val="7EED1195"/>
    <w:lvl w:ilvl="0" w:tentative="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05477"/>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14C4DA3"/>
    <w:rsid w:val="016D3530"/>
    <w:rsid w:val="051200B1"/>
    <w:rsid w:val="05B747B5"/>
    <w:rsid w:val="06FA704F"/>
    <w:rsid w:val="08674270"/>
    <w:rsid w:val="09844198"/>
    <w:rsid w:val="0A2032A3"/>
    <w:rsid w:val="0A5026DB"/>
    <w:rsid w:val="0B91295B"/>
    <w:rsid w:val="0C917B0E"/>
    <w:rsid w:val="0D1A52F9"/>
    <w:rsid w:val="10C055FF"/>
    <w:rsid w:val="114C04A7"/>
    <w:rsid w:val="118107EC"/>
    <w:rsid w:val="11BD58B2"/>
    <w:rsid w:val="12C30C3D"/>
    <w:rsid w:val="13D44FA7"/>
    <w:rsid w:val="169923E1"/>
    <w:rsid w:val="16BB723D"/>
    <w:rsid w:val="18D53478"/>
    <w:rsid w:val="19094ED0"/>
    <w:rsid w:val="1D155CEE"/>
    <w:rsid w:val="210E5779"/>
    <w:rsid w:val="22BA200B"/>
    <w:rsid w:val="240371BF"/>
    <w:rsid w:val="29481B83"/>
    <w:rsid w:val="29FD04D3"/>
    <w:rsid w:val="2B6F5066"/>
    <w:rsid w:val="2E67780F"/>
    <w:rsid w:val="2E6C3ADF"/>
    <w:rsid w:val="2F0401BB"/>
    <w:rsid w:val="2FC101D2"/>
    <w:rsid w:val="303D5733"/>
    <w:rsid w:val="319F7F4E"/>
    <w:rsid w:val="326B7F22"/>
    <w:rsid w:val="34AE30A3"/>
    <w:rsid w:val="361374D2"/>
    <w:rsid w:val="396D4B38"/>
    <w:rsid w:val="3B4E6126"/>
    <w:rsid w:val="3D0C62A9"/>
    <w:rsid w:val="3D477BF1"/>
    <w:rsid w:val="3F47037C"/>
    <w:rsid w:val="3FEA2348"/>
    <w:rsid w:val="40F778EA"/>
    <w:rsid w:val="42755200"/>
    <w:rsid w:val="42864E7C"/>
    <w:rsid w:val="464A0752"/>
    <w:rsid w:val="47971775"/>
    <w:rsid w:val="48B85449"/>
    <w:rsid w:val="4A235542"/>
    <w:rsid w:val="4C6365C5"/>
    <w:rsid w:val="4E606D65"/>
    <w:rsid w:val="4EBC7D13"/>
    <w:rsid w:val="4ECE2238"/>
    <w:rsid w:val="4F3F2E1E"/>
    <w:rsid w:val="50CC248F"/>
    <w:rsid w:val="52020AD7"/>
    <w:rsid w:val="52350508"/>
    <w:rsid w:val="529B480F"/>
    <w:rsid w:val="53AB0A82"/>
    <w:rsid w:val="595D1779"/>
    <w:rsid w:val="5DC664B8"/>
    <w:rsid w:val="5E0A6709"/>
    <w:rsid w:val="5E3E24F3"/>
    <w:rsid w:val="5F526256"/>
    <w:rsid w:val="5FC37F08"/>
    <w:rsid w:val="600734E4"/>
    <w:rsid w:val="61502C69"/>
    <w:rsid w:val="61F730E4"/>
    <w:rsid w:val="623600B0"/>
    <w:rsid w:val="626616D3"/>
    <w:rsid w:val="631A4274"/>
    <w:rsid w:val="67B37AAD"/>
    <w:rsid w:val="6850354E"/>
    <w:rsid w:val="69780FAF"/>
    <w:rsid w:val="6C4A05C8"/>
    <w:rsid w:val="6C845EBC"/>
    <w:rsid w:val="71724535"/>
    <w:rsid w:val="72020D13"/>
    <w:rsid w:val="72734D90"/>
    <w:rsid w:val="79725A1A"/>
    <w:rsid w:val="79BC6C95"/>
    <w:rsid w:val="79C773E8"/>
    <w:rsid w:val="7A6B246A"/>
    <w:rsid w:val="7B580C40"/>
    <w:rsid w:val="7D44147C"/>
    <w:rsid w:val="7E0429B9"/>
    <w:rsid w:val="7E3239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tabs>
        <w:tab w:val="left" w:pos="960"/>
      </w:tabs>
      <w:spacing w:after="120"/>
      <w:ind w:left="420" w:leftChars="200" w:firstLine="200" w:firstLineChars="200"/>
      <w:jc w:val="both"/>
      <w:textAlignment w:val="baseline"/>
    </w:pPr>
  </w:style>
  <w:style w:type="paragraph" w:customStyle="1" w:styleId="3">
    <w:name w:val="BodyTextIndent"/>
    <w:basedOn w:val="1"/>
    <w:next w:val="2"/>
    <w:qFormat/>
    <w:uiPriority w:val="0"/>
    <w:pPr>
      <w:spacing w:after="120"/>
      <w:ind w:left="420" w:leftChars="200"/>
      <w:jc w:val="both"/>
      <w:textAlignment w:val="baseline"/>
    </w:p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7"/>
    <w:qFormat/>
    <w:uiPriority w:val="99"/>
    <w:pPr>
      <w:spacing w:beforeLines="30"/>
    </w:pPr>
    <w:rPr>
      <w:rFonts w:ascii="仿宋_GB2312" w:eastAsia="仿宋_GB2312"/>
      <w:kern w:val="0"/>
      <w:sz w:val="24"/>
      <w:szCs w:val="20"/>
      <w:lang w:val="zh-CN"/>
    </w:rPr>
  </w:style>
  <w:style w:type="paragraph" w:styleId="9">
    <w:name w:val="Body Text Indent"/>
    <w:basedOn w:val="1"/>
    <w:next w:val="1"/>
    <w:qFormat/>
    <w:uiPriority w:val="0"/>
    <w:pPr>
      <w:spacing w:after="120"/>
      <w:ind w:left="420" w:leftChars="200"/>
    </w:pPr>
    <w:rPr>
      <w:rFonts w:ascii="Calibri" w:hAnsi="Calibri"/>
      <w:szCs w:val="22"/>
    </w:rPr>
  </w:style>
  <w:style w:type="paragraph" w:styleId="10">
    <w:name w:val="toc 5"/>
    <w:basedOn w:val="1"/>
    <w:next w:val="1"/>
    <w:unhideWhenUsed/>
    <w:qFormat/>
    <w:uiPriority w:val="39"/>
    <w:pPr>
      <w:ind w:left="840"/>
      <w:jc w:val="left"/>
    </w:pPr>
    <w:rPr>
      <w:rFonts w:asciiTheme="minorHAnsi" w:eastAsiaTheme="minorHAnsi"/>
      <w:sz w:val="18"/>
      <w:szCs w:val="18"/>
    </w:rPr>
  </w:style>
  <w:style w:type="paragraph" w:styleId="11">
    <w:name w:val="toc 3"/>
    <w:basedOn w:val="1"/>
    <w:next w:val="1"/>
    <w:unhideWhenUsed/>
    <w:qFormat/>
    <w:uiPriority w:val="39"/>
    <w:pPr>
      <w:ind w:left="420"/>
      <w:jc w:val="left"/>
    </w:pPr>
    <w:rPr>
      <w:rFonts w:asciiTheme="minorHAnsi" w:eastAsiaTheme="minorHAnsi"/>
      <w:i/>
      <w:iCs/>
      <w:sz w:val="20"/>
      <w:szCs w:val="20"/>
    </w:rPr>
  </w:style>
  <w:style w:type="paragraph" w:styleId="12">
    <w:name w:val="toc 8"/>
    <w:basedOn w:val="1"/>
    <w:next w:val="1"/>
    <w:unhideWhenUsed/>
    <w:qFormat/>
    <w:uiPriority w:val="39"/>
    <w:pPr>
      <w:ind w:left="1470"/>
      <w:jc w:val="left"/>
    </w:pPr>
    <w:rPr>
      <w:rFonts w:asciiTheme="minorHAnsi" w:eastAsiaTheme="minorHAnsi"/>
      <w:sz w:val="18"/>
      <w:szCs w:val="18"/>
    </w:rPr>
  </w:style>
  <w:style w:type="paragraph" w:styleId="13">
    <w:name w:val="Balloon Text"/>
    <w:basedOn w:val="1"/>
    <w:link w:val="32"/>
    <w:semiHidden/>
    <w:unhideWhenUsed/>
    <w:qFormat/>
    <w:uiPriority w:val="99"/>
    <w:rPr>
      <w:sz w:val="18"/>
      <w:szCs w:val="18"/>
    </w:rPr>
  </w:style>
  <w:style w:type="paragraph" w:styleId="14">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5">
    <w:name w:val="header"/>
    <w:basedOn w:val="1"/>
    <w:link w:val="35"/>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20">
    <w:name w:val="toc 2"/>
    <w:basedOn w:val="1"/>
    <w:next w:val="1"/>
    <w:unhideWhenUsed/>
    <w:qFormat/>
    <w:uiPriority w:val="39"/>
    <w:pPr>
      <w:ind w:left="210"/>
      <w:jc w:val="left"/>
    </w:pPr>
    <w:rPr>
      <w:rFonts w:asciiTheme="minorHAnsi" w:eastAsiaTheme="minorHAnsi"/>
      <w:smallCaps/>
      <w:sz w:val="20"/>
      <w:szCs w:val="20"/>
    </w:rPr>
  </w:style>
  <w:style w:type="paragraph" w:styleId="21">
    <w:name w:val="toc 9"/>
    <w:basedOn w:val="1"/>
    <w:next w:val="1"/>
    <w:unhideWhenUsed/>
    <w:qFormat/>
    <w:uiPriority w:val="39"/>
    <w:pPr>
      <w:ind w:left="1680"/>
      <w:jc w:val="left"/>
    </w:pPr>
    <w:rPr>
      <w:rFonts w:asciiTheme="minorHAnsi" w:eastAsiaTheme="minorHAnsi"/>
      <w:sz w:val="18"/>
      <w:szCs w:val="18"/>
    </w:rPr>
  </w:style>
  <w:style w:type="paragraph" w:styleId="22">
    <w:name w:val="Normal (Web)"/>
    <w:basedOn w:val="1"/>
    <w:unhideWhenUsed/>
    <w:qFormat/>
    <w:uiPriority w:val="0"/>
    <w:pPr>
      <w:spacing w:before="100" w:beforeAutospacing="1" w:after="100" w:afterAutospacing="1"/>
    </w:pPr>
  </w:style>
  <w:style w:type="paragraph" w:styleId="23">
    <w:name w:val="Body Text First Indent 2"/>
    <w:basedOn w:val="9"/>
    <w:next w:val="1"/>
    <w:qFormat/>
    <w:uiPriority w:val="0"/>
    <w:pPr>
      <w:spacing w:line="360" w:lineRule="auto"/>
      <w:ind w:left="0" w:leftChars="0" w:firstLine="420" w:firstLineChars="200"/>
    </w:pPr>
    <w:rPr>
      <w:rFonts w:ascii="Times New Roman" w:hAnsi="Times New Roman" w:eastAsia="宋体"/>
    </w:rPr>
  </w:style>
  <w:style w:type="character" w:styleId="26">
    <w:name w:val="Strong"/>
    <w:basedOn w:val="25"/>
    <w:qFormat/>
    <w:uiPriority w:val="99"/>
    <w:rPr>
      <w:rFonts w:cs="Times New Roman"/>
      <w:b/>
    </w:rPr>
  </w:style>
  <w:style w:type="character" w:styleId="27">
    <w:name w:val="Hyperlink"/>
    <w:basedOn w:val="25"/>
    <w:unhideWhenUsed/>
    <w:qFormat/>
    <w:uiPriority w:val="99"/>
    <w:rPr>
      <w:rFonts w:cs="Times New Roman"/>
      <w:color w:val="0000FF"/>
      <w:u w:val="single"/>
    </w:rPr>
  </w:style>
  <w:style w:type="character" w:customStyle="1" w:styleId="28">
    <w:name w:val="标题 1 Char"/>
    <w:basedOn w:val="25"/>
    <w:link w:val="4"/>
    <w:qFormat/>
    <w:locked/>
    <w:uiPriority w:val="9"/>
    <w:rPr>
      <w:rFonts w:ascii="Times New Roman" w:hAnsi="Times New Roman" w:cs="Times New Roman"/>
      <w:b/>
      <w:bCs/>
      <w:kern w:val="44"/>
      <w:sz w:val="44"/>
      <w:szCs w:val="44"/>
    </w:rPr>
  </w:style>
  <w:style w:type="character" w:customStyle="1" w:styleId="29">
    <w:name w:val="标题 2 Char"/>
    <w:basedOn w:val="25"/>
    <w:link w:val="5"/>
    <w:qFormat/>
    <w:locked/>
    <w:uiPriority w:val="9"/>
    <w:rPr>
      <w:rFonts w:ascii="Cambria" w:hAnsi="Cambria" w:eastAsia="宋体" w:cs="Times New Roman"/>
      <w:b/>
      <w:bCs/>
      <w:kern w:val="2"/>
      <w:sz w:val="32"/>
      <w:szCs w:val="32"/>
    </w:rPr>
  </w:style>
  <w:style w:type="character" w:customStyle="1" w:styleId="30">
    <w:name w:val="标题 3 Char"/>
    <w:basedOn w:val="25"/>
    <w:link w:val="6"/>
    <w:qFormat/>
    <w:locked/>
    <w:uiPriority w:val="9"/>
    <w:rPr>
      <w:rFonts w:ascii="Times New Roman" w:hAnsi="Times New Roman" w:cs="Times New Roman"/>
      <w:b/>
      <w:bCs/>
      <w:kern w:val="2"/>
      <w:sz w:val="32"/>
      <w:szCs w:val="32"/>
    </w:rPr>
  </w:style>
  <w:style w:type="character" w:customStyle="1" w:styleId="31">
    <w:name w:val="Body Text Char"/>
    <w:basedOn w:val="25"/>
    <w:semiHidden/>
    <w:qFormat/>
    <w:uiPriority w:val="99"/>
    <w:rPr>
      <w:rFonts w:ascii="Times New Roman" w:hAnsi="Times New Roman" w:cs="Times New Roman"/>
      <w:sz w:val="24"/>
      <w:szCs w:val="24"/>
    </w:rPr>
  </w:style>
  <w:style w:type="character" w:customStyle="1" w:styleId="32">
    <w:name w:val="批注框文本 Char"/>
    <w:basedOn w:val="25"/>
    <w:link w:val="13"/>
    <w:semiHidden/>
    <w:qFormat/>
    <w:locked/>
    <w:uiPriority w:val="99"/>
    <w:rPr>
      <w:rFonts w:ascii="Times New Roman" w:hAnsi="Times New Roman" w:cs="Times New Roman"/>
      <w:kern w:val="2"/>
      <w:sz w:val="18"/>
      <w:szCs w:val="18"/>
    </w:rPr>
  </w:style>
  <w:style w:type="character" w:customStyle="1" w:styleId="33">
    <w:name w:val="Footer Char"/>
    <w:basedOn w:val="25"/>
    <w:semiHidden/>
    <w:qFormat/>
    <w:uiPriority w:val="99"/>
    <w:rPr>
      <w:rFonts w:ascii="Times New Roman" w:hAnsi="Times New Roman" w:cs="Times New Roman"/>
      <w:sz w:val="18"/>
      <w:szCs w:val="18"/>
    </w:rPr>
  </w:style>
  <w:style w:type="character" w:customStyle="1" w:styleId="34">
    <w:name w:val="Header Char"/>
    <w:basedOn w:val="25"/>
    <w:semiHidden/>
    <w:qFormat/>
    <w:uiPriority w:val="99"/>
    <w:rPr>
      <w:rFonts w:ascii="Times New Roman" w:hAnsi="Times New Roman" w:cs="Times New Roman"/>
      <w:sz w:val="18"/>
      <w:szCs w:val="18"/>
    </w:rPr>
  </w:style>
  <w:style w:type="character" w:customStyle="1" w:styleId="35">
    <w:name w:val="页眉 Char"/>
    <w:link w:val="15"/>
    <w:semiHidden/>
    <w:qFormat/>
    <w:locked/>
    <w:uiPriority w:val="99"/>
    <w:rPr>
      <w:sz w:val="18"/>
    </w:rPr>
  </w:style>
  <w:style w:type="character" w:customStyle="1" w:styleId="36">
    <w:name w:val="页脚 Char"/>
    <w:link w:val="14"/>
    <w:qFormat/>
    <w:locked/>
    <w:uiPriority w:val="99"/>
    <w:rPr>
      <w:sz w:val="18"/>
    </w:rPr>
  </w:style>
  <w:style w:type="character" w:customStyle="1" w:styleId="37">
    <w:name w:val="正文文本 Char"/>
    <w:link w:val="8"/>
    <w:qFormat/>
    <w:locked/>
    <w:uiPriority w:val="99"/>
    <w:rPr>
      <w:rFonts w:ascii="仿宋_GB2312" w:hAnsi="Times New Roman" w:eastAsia="仿宋_GB2312"/>
      <w:sz w:val="24"/>
    </w:rPr>
  </w:style>
  <w:style w:type="paragraph" w:customStyle="1" w:styleId="3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9">
    <w:name w:val="列表段落1"/>
    <w:basedOn w:val="1"/>
    <w:qFormat/>
    <w:uiPriority w:val="34"/>
    <w:pPr>
      <w:ind w:firstLine="420" w:firstLineChars="200"/>
    </w:pPr>
  </w:style>
  <w:style w:type="paragraph" w:customStyle="1" w:styleId="40">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3">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44">
    <w:name w:val="列出段落1"/>
    <w:basedOn w:val="1"/>
    <w:qFormat/>
    <w:uiPriority w:val="34"/>
    <w:pPr>
      <w:ind w:firstLine="420" w:firstLineChars="200"/>
    </w:pPr>
    <w:rPr>
      <w:rFonts w:ascii="Calibri" w:hAnsi="Calibri" w:eastAsia="宋体" w:cs="Times New Roman"/>
    </w:rPr>
  </w:style>
  <w:style w:type="character" w:customStyle="1" w:styleId="45">
    <w:name w:val="15"/>
    <w:basedOn w:val="25"/>
    <w:qFormat/>
    <w:uiPriority w:val="0"/>
    <w:rPr>
      <w:rFonts w:hint="default" w:ascii="Cambria" w:hAnsi="Cambria" w:eastAsia="宋体" w:cs="Times New Roman"/>
      <w:b/>
      <w:bCs/>
      <w:kern w:val="2"/>
      <w:sz w:val="32"/>
      <w:szCs w:val="32"/>
    </w:rPr>
  </w:style>
  <w:style w:type="character" w:customStyle="1" w:styleId="46">
    <w:name w:val="10"/>
    <w:basedOn w:val="25"/>
    <w:qFormat/>
    <w:uiPriority w:val="0"/>
    <w:rPr>
      <w:rFonts w:hint="default" w:ascii="Times New Roman" w:hAnsi="Times New Roman" w:cs="Times New Roman"/>
    </w:rPr>
  </w:style>
  <w:style w:type="paragraph" w:customStyle="1" w:styleId="47">
    <w:name w:val="UserStyle_2"/>
    <w:basedOn w:val="1"/>
    <w:uiPriority w:val="0"/>
    <w:pPr>
      <w:spacing w:before="0" w:beforeAutospacing="0" w:after="0" w:afterAutospacing="0"/>
      <w:ind w:left="0" w:right="0" w:firstLine="420" w:firstLineChars="200"/>
      <w:jc w:val="both"/>
      <w:textAlignment w:val="baseline"/>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image" Target="media/image1.jpeg"/><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[2020年决算公开分析图表.xls]Sheet1!$A$3:$B$3</c:f>
              <c:strCache>
                <c:ptCount val="2"/>
                <c:pt idx="0">
                  <c:v>2020年</c:v>
                </c:pt>
                <c:pt idx="1">
                  <c:v>2021年</c:v>
                </c:pt>
              </c:strCache>
            </c:strRef>
          </c:cat>
          <c:val>
            <c:numRef>
              <c:f>[2020年决算公开分析图表.xls]Sheet1!$A$4:$B$4</c:f>
              <c:numCache>
                <c:formatCode>#,##0.00</c:formatCode>
                <c:ptCount val="2"/>
                <c:pt idx="0">
                  <c:v>86.47</c:v>
                </c:pt>
                <c:pt idx="1">
                  <c:v>174.24</c:v>
                </c:pt>
              </c:numCache>
            </c:numRef>
          </c:val>
        </c:ser>
        <c:dLbls>
          <c:showLegendKey val="0"/>
          <c:showVal val="0"/>
          <c:showCatName val="0"/>
          <c:showSerName val="0"/>
          <c:showPercent val="0"/>
          <c:showBubbleSize val="0"/>
        </c:dLbls>
        <c:gapWidth val="219"/>
        <c:overlap val="-27"/>
        <c:axId val="705978299"/>
        <c:axId val="104472091"/>
      </c:barChart>
      <c:catAx>
        <c:axId val="70597829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472091"/>
        <c:crosses val="autoZero"/>
        <c:auto val="1"/>
        <c:lblAlgn val="ctr"/>
        <c:lblOffset val="100"/>
        <c:noMultiLvlLbl val="0"/>
      </c:catAx>
      <c:valAx>
        <c:axId val="10447209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59782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[2020年决算公开分析图表.xls]Sheet1!$A$24:$B$24</c:f>
              <c:strCache>
                <c:ptCount val="2"/>
                <c:pt idx="0">
                  <c:v>2020年</c:v>
                </c:pt>
                <c:pt idx="1">
                  <c:v>2021年</c:v>
                </c:pt>
              </c:strCache>
            </c:strRef>
          </c:cat>
          <c:val>
            <c:numRef>
              <c:f>[2020年决算公开分析图表.xls]Sheet1!$A$25:$B$25</c:f>
              <c:numCache>
                <c:formatCode>#,##0.00</c:formatCode>
                <c:ptCount val="2"/>
                <c:pt idx="0">
                  <c:v>97.96</c:v>
                </c:pt>
                <c:pt idx="1">
                  <c:v>269.34</c:v>
                </c:pt>
              </c:numCache>
            </c:numRef>
          </c:val>
        </c:ser>
        <c:dLbls>
          <c:showLegendKey val="0"/>
          <c:showVal val="0"/>
          <c:showCatName val="0"/>
          <c:showSerName val="0"/>
          <c:showPercent val="0"/>
          <c:showBubbleSize val="0"/>
        </c:dLbls>
        <c:gapWidth val="219"/>
        <c:overlap val="-27"/>
        <c:axId val="551907305"/>
        <c:axId val="548821634"/>
      </c:barChart>
      <c:catAx>
        <c:axId val="55190730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8821634"/>
        <c:crosses val="autoZero"/>
        <c:auto val="1"/>
        <c:lblAlgn val="ctr"/>
        <c:lblOffset val="100"/>
        <c:noMultiLvlLbl val="0"/>
      </c:catAx>
      <c:valAx>
        <c:axId val="5488216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190730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delete val="1"/>
          </c:dLbls>
          <c:cat>
            <c:strRef>
              <c:f>[2020年决算公开分析图表.xls]Sheet1!$C$58:$C$62</c:f>
              <c:strCache>
                <c:ptCount val="5"/>
                <c:pt idx="0">
                  <c:v>基本支出</c:v>
                </c:pt>
                <c:pt idx="1">
                  <c:v>项目支出</c:v>
                </c:pt>
                <c:pt idx="2">
                  <c:v>上缴上级支出</c:v>
                </c:pt>
                <c:pt idx="3">
                  <c:v>经营支出</c:v>
                </c:pt>
                <c:pt idx="4">
                  <c:v>对附属单位补助支出</c:v>
                </c:pt>
              </c:strCache>
            </c:strRef>
          </c:cat>
          <c:val>
            <c:numRef>
              <c:f>[2020年决算公开分析图表.xls]Sheet1!$D$58:$D$62</c:f>
              <c:numCache>
                <c:formatCode>#,##0.00</c:formatCode>
                <c:ptCount val="5"/>
                <c:pt idx="0">
                  <c:v>185.24</c:v>
                </c:pt>
                <c:pt idx="1">
                  <c:v>84.09</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220883534136546"/>
          <c:y val="0.894951852932594"/>
          <c:w val="0.928328699413037"/>
          <c:h val="0.09600233440326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[2020年决算公开分析图表.xls]Sheet1!$A$83:$B$83</c:f>
              <c:strCache>
                <c:ptCount val="2"/>
                <c:pt idx="0">
                  <c:v>2020年</c:v>
                </c:pt>
                <c:pt idx="1">
                  <c:v>2021年</c:v>
                </c:pt>
              </c:strCache>
            </c:strRef>
          </c:cat>
          <c:val>
            <c:numRef>
              <c:f>[2020年决算公开分析图表.xls]Sheet1!$A$84:$B$84</c:f>
              <c:numCache>
                <c:formatCode>#,##0.00</c:formatCode>
                <c:ptCount val="2"/>
                <c:pt idx="0">
                  <c:v>86.47</c:v>
                </c:pt>
                <c:pt idx="1">
                  <c:v>174.24</c:v>
                </c:pt>
              </c:numCache>
            </c:numRef>
          </c:val>
        </c:ser>
        <c:dLbls>
          <c:showLegendKey val="0"/>
          <c:showVal val="0"/>
          <c:showCatName val="0"/>
          <c:showSerName val="0"/>
          <c:showPercent val="0"/>
          <c:showBubbleSize val="0"/>
        </c:dLbls>
        <c:gapWidth val="219"/>
        <c:overlap val="-27"/>
        <c:axId val="494538087"/>
        <c:axId val="726106016"/>
      </c:barChart>
      <c:catAx>
        <c:axId val="49453808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6106016"/>
        <c:crosses val="autoZero"/>
        <c:auto val="1"/>
        <c:lblAlgn val="ctr"/>
        <c:lblOffset val="100"/>
        <c:noMultiLvlLbl val="0"/>
      </c:catAx>
      <c:valAx>
        <c:axId val="7261060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45380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[2020年决算公开分析图表.xls]Sheet1!$A$100:$B$100</c:f>
              <c:strCache>
                <c:ptCount val="2"/>
                <c:pt idx="0">
                  <c:v>2020年</c:v>
                </c:pt>
                <c:pt idx="1">
                  <c:v>2021年</c:v>
                </c:pt>
              </c:strCache>
            </c:strRef>
          </c:cat>
          <c:val>
            <c:numRef>
              <c:f>[2020年决算公开分析图表.xls]Sheet1!$A$101:$B$101</c:f>
              <c:numCache>
                <c:formatCode>#,##0.00</c:formatCode>
                <c:ptCount val="2"/>
                <c:pt idx="0">
                  <c:v>97.96</c:v>
                </c:pt>
                <c:pt idx="1">
                  <c:v>269.34</c:v>
                </c:pt>
              </c:numCache>
            </c:numRef>
          </c:val>
        </c:ser>
        <c:dLbls>
          <c:showLegendKey val="0"/>
          <c:showVal val="0"/>
          <c:showCatName val="0"/>
          <c:showSerName val="0"/>
          <c:showPercent val="0"/>
          <c:showBubbleSize val="0"/>
        </c:dLbls>
        <c:gapWidth val="219"/>
        <c:overlap val="-27"/>
        <c:axId val="401113984"/>
        <c:axId val="563312275"/>
      </c:barChart>
      <c:catAx>
        <c:axId val="4011139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312275"/>
        <c:crosses val="autoZero"/>
        <c:auto val="1"/>
        <c:lblAlgn val="ctr"/>
        <c:lblOffset val="100"/>
        <c:noMultiLvlLbl val="0"/>
      </c:catAx>
      <c:valAx>
        <c:axId val="56331227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113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[2020年决算公开分析图表.20221018173749532.xls]Sheet1!$A$116:$B$116</c:f>
              <c:strCache>
                <c:ptCount val="2"/>
                <c:pt idx="0">
                  <c:v>2020年</c:v>
                </c:pt>
                <c:pt idx="1">
                  <c:v>2021年</c:v>
                </c:pt>
              </c:strCache>
            </c:strRef>
          </c:cat>
          <c:val>
            <c:numRef>
              <c:f>[2020年决算公开分析图表.xls]Sheet1!$A$117:$B$117</c:f>
              <c:numCache>
                <c:formatCode>#,##0.00</c:formatCode>
                <c:ptCount val="2"/>
                <c:pt idx="0">
                  <c:v>97.96</c:v>
                </c:pt>
                <c:pt idx="1">
                  <c:v>269.34</c:v>
                </c:pt>
              </c:numCache>
            </c:numRef>
          </c:val>
        </c:ser>
        <c:dLbls>
          <c:showLegendKey val="0"/>
          <c:showVal val="0"/>
          <c:showCatName val="0"/>
          <c:showSerName val="0"/>
          <c:showPercent val="0"/>
          <c:showBubbleSize val="0"/>
        </c:dLbls>
        <c:gapWidth val="219"/>
        <c:overlap val="-27"/>
        <c:axId val="176526759"/>
        <c:axId val="363182399"/>
      </c:barChart>
      <c:catAx>
        <c:axId val="17652675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3182399"/>
        <c:crosses val="autoZero"/>
        <c:auto val="1"/>
        <c:lblAlgn val="ctr"/>
        <c:lblOffset val="100"/>
        <c:noMultiLvlLbl val="0"/>
      </c:catAx>
      <c:valAx>
        <c:axId val="36318239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65267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elete val="1"/>
          </c:dLbls>
          <c:cat>
            <c:strRef>
              <c:f>[2020年决算公开分析图表.xls]Sheet1!$C$140:$C$143</c:f>
              <c:strCache>
                <c:ptCount val="4"/>
                <c:pt idx="0">
                  <c:v>一般公共服务支出</c:v>
                </c:pt>
                <c:pt idx="1">
                  <c:v>社会保障和就业支出</c:v>
                </c:pt>
                <c:pt idx="2">
                  <c:v>卫生健康支出</c:v>
                </c:pt>
                <c:pt idx="3">
                  <c:v>住房保障支出</c:v>
                </c:pt>
              </c:strCache>
            </c:strRef>
          </c:cat>
          <c:val>
            <c:numRef>
              <c:f>[2020年决算公开分析图表.xls]Sheet1!$D$140:$D$143</c:f>
              <c:numCache>
                <c:formatCode>#,##0.00</c:formatCode>
                <c:ptCount val="4"/>
                <c:pt idx="0">
                  <c:v>229.83</c:v>
                </c:pt>
                <c:pt idx="1">
                  <c:v>18.41</c:v>
                </c:pt>
                <c:pt idx="2">
                  <c:v>7.97</c:v>
                </c:pt>
                <c:pt idx="3">
                  <c:v>13.11</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0A26A-4F96-4E33-A4F8-80E1B883F3E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15845</Words>
  <Characters>16547</Characters>
  <Lines>1</Lines>
  <Paragraphs>1</Paragraphs>
  <TotalTime>2</TotalTime>
  <ScaleCrop>false</ScaleCrop>
  <LinksUpToDate>false</LinksUpToDate>
  <CharactersWithSpaces>20601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九八年生于南方</cp:lastModifiedBy>
  <cp:lastPrinted>2021-07-29T03:56:00Z</cp:lastPrinted>
  <dcterms:modified xsi:type="dcterms:W3CDTF">2022-10-19T07:58:13Z</dcterms:modified>
  <dc:title>阿坝州部门决算说明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39AA771BBC704703B4562F7665AD3080</vt:lpwstr>
  </property>
</Properties>
</file>