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outlineLvl w:val="0"/>
        <w:rPr>
          <w:rFonts w:ascii="方正小标宋简体" w:hAnsi="宋体" w:eastAsia="方正小标宋简体"/>
          <w:color w:val="000000"/>
          <w:sz w:val="72"/>
          <w:szCs w:val="72"/>
        </w:rPr>
      </w:pPr>
      <w:bookmarkStart w:id="194" w:name="_GoBack"/>
      <w:bookmarkEnd w:id="194"/>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475"/>
      <w:bookmarkStart w:id="2" w:name="_Toc15377425"/>
      <w:bookmarkStart w:id="3" w:name="_Toc15378441"/>
      <w:bookmarkStart w:id="4" w:name="_Toc7075"/>
      <w:bookmarkStart w:id="5" w:name="_Toc15377193"/>
      <w:bookmarkStart w:id="6" w:name="_Toc15396597"/>
      <w:bookmarkStart w:id="7" w:name="_Toc22649"/>
      <w:r>
        <w:rPr>
          <w:rFonts w:ascii="黑体" w:hAnsi="黑体" w:eastAsia="黑体"/>
          <w:color w:val="000000"/>
          <w:sz w:val="72"/>
          <w:szCs w:val="72"/>
        </w:rPr>
        <w:t>20</w:t>
      </w:r>
      <w:r>
        <w:rPr>
          <w:rFonts w:hint="eastAsia" w:ascii="黑体" w:hAnsi="黑体" w:eastAsia="黑体"/>
          <w:color w:val="000000"/>
          <w:sz w:val="72"/>
          <w:szCs w:val="72"/>
          <w:lang w:val="en-US" w:eastAsia="zh-CN"/>
        </w:rPr>
        <w:t>20</w:t>
      </w:r>
      <w:r>
        <w:rPr>
          <w:rFonts w:hint="eastAsia" w:ascii="方正小标宋简体" w:hAnsi="宋体" w:eastAsia="方正小标宋简体"/>
          <w:color w:val="000000"/>
          <w:sz w:val="72"/>
          <w:szCs w:val="72"/>
        </w:rPr>
        <w:t>年度</w:t>
      </w:r>
      <w:bookmarkEnd w:id="1"/>
      <w:bookmarkEnd w:id="2"/>
      <w:bookmarkEnd w:id="3"/>
      <w:bookmarkEnd w:id="4"/>
      <w:bookmarkEnd w:id="5"/>
      <w:bookmarkEnd w:id="6"/>
      <w:bookmarkEnd w:id="7"/>
    </w:p>
    <w:bookmarkEnd w:id="0"/>
    <w:p>
      <w:pPr>
        <w:adjustRightInd w:val="0"/>
        <w:snapToGrid w:val="0"/>
        <w:spacing w:line="360" w:lineRule="auto"/>
        <w:jc w:val="center"/>
        <w:outlineLvl w:val="0"/>
        <w:rPr>
          <w:rFonts w:ascii="方正小标宋简体" w:hAnsi="宋体" w:eastAsia="方正小标宋简体"/>
          <w:color w:val="000000"/>
          <w:sz w:val="72"/>
          <w:szCs w:val="72"/>
        </w:rPr>
      </w:pPr>
      <w:bookmarkStart w:id="8" w:name="_Toc15396598"/>
      <w:bookmarkStart w:id="9" w:name="_Toc15378442"/>
      <w:bookmarkStart w:id="10" w:name="_Toc15377426"/>
      <w:bookmarkStart w:id="11" w:name="_Toc15396476"/>
      <w:bookmarkStart w:id="12" w:name="_Toc15377194"/>
      <w:bookmarkStart w:id="13" w:name="_Toc15306268"/>
      <w:bookmarkStart w:id="14" w:name="_Toc20352"/>
      <w:bookmarkStart w:id="15" w:name="_Toc27739"/>
      <w:r>
        <w:rPr>
          <w:rFonts w:hint="eastAsia" w:ascii="方正小标宋简体" w:hAnsi="宋体" w:eastAsia="方正小标宋简体"/>
          <w:color w:val="000000"/>
          <w:sz w:val="72"/>
          <w:szCs w:val="72"/>
          <w:lang w:eastAsia="zh-CN"/>
        </w:rPr>
        <w:t>壤塘县娜泽求宗社区管理委员会</w:t>
      </w:r>
      <w:r>
        <w:rPr>
          <w:rFonts w:hint="eastAsia" w:ascii="方正小标宋简体" w:hAnsi="宋体" w:eastAsia="方正小标宋简体"/>
          <w:color w:val="000000"/>
          <w:sz w:val="72"/>
          <w:szCs w:val="72"/>
        </w:rPr>
        <w:t>部门决算</w:t>
      </w:r>
      <w:bookmarkEnd w:id="8"/>
      <w:bookmarkEnd w:id="9"/>
      <w:bookmarkEnd w:id="10"/>
      <w:bookmarkEnd w:id="11"/>
      <w:bookmarkEnd w:id="12"/>
      <w:bookmarkEnd w:id="13"/>
      <w:bookmarkEnd w:id="14"/>
      <w:bookmarkEnd w:id="15"/>
    </w:p>
    <w:p>
      <w:pPr>
        <w:widowControl/>
        <w:jc w:val="center"/>
        <w:rPr>
          <w:rFonts w:ascii="方正小标宋简体" w:hAnsi="宋体" w:eastAsia="方正小标宋简体"/>
          <w:color w:val="000000"/>
          <w:sz w:val="36"/>
          <w:szCs w:val="36"/>
        </w:rPr>
      </w:pPr>
    </w:p>
    <w:p>
      <w:pPr>
        <w:widowControl/>
        <w:jc w:val="center"/>
        <w:rPr>
          <w:rFonts w:ascii="方正小标宋简体" w:hAnsi="宋体" w:eastAsia="方正小标宋简体"/>
          <w:color w:val="000000"/>
          <w:sz w:val="36"/>
          <w:szCs w:val="36"/>
        </w:rPr>
      </w:pPr>
    </w:p>
    <w:p>
      <w:pPr>
        <w:widowControl/>
        <w:jc w:val="center"/>
        <w:rPr>
          <w:rFonts w:ascii="方正小标宋简体" w:hAnsi="宋体" w:eastAsia="方正小标宋简体"/>
          <w:color w:val="000000"/>
          <w:sz w:val="36"/>
          <w:szCs w:val="36"/>
        </w:rPr>
      </w:pPr>
    </w:p>
    <w:p>
      <w:pPr>
        <w:widowControl/>
        <w:jc w:val="center"/>
        <w:rPr>
          <w:rFonts w:ascii="方正小标宋简体" w:hAnsi="宋体" w:eastAsia="方正小标宋简体"/>
          <w:color w:val="000000"/>
          <w:sz w:val="36"/>
          <w:szCs w:val="36"/>
        </w:rPr>
      </w:pPr>
    </w:p>
    <w:p>
      <w:pPr>
        <w:pStyle w:val="21"/>
        <w:ind w:left="0" w:leftChars="0" w:firstLine="0" w:firstLineChars="0"/>
        <w:rPr>
          <w:rFonts w:ascii="方正小标宋简体" w:hAnsi="宋体" w:eastAsia="方正小标宋简体"/>
          <w:color w:val="000000"/>
          <w:sz w:val="36"/>
          <w:szCs w:val="36"/>
        </w:rPr>
      </w:pPr>
    </w:p>
    <w:p>
      <w:pPr>
        <w:pStyle w:val="21"/>
        <w:ind w:left="0" w:leftChars="0" w:firstLine="0" w:firstLineChars="0"/>
        <w:rPr>
          <w:rFonts w:ascii="方正小标宋简体" w:hAnsi="宋体" w:eastAsia="方正小标宋简体"/>
          <w:color w:val="000000"/>
          <w:sz w:val="36"/>
          <w:szCs w:val="36"/>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pStyle w:val="13"/>
        <w:ind w:firstLine="640" w:firstLineChars="200"/>
        <w:jc w:val="both"/>
        <w:rPr>
          <w:rFonts w:hAnsiTheme="minorHAnsi"/>
          <w:b w:val="0"/>
          <w:bCs w:val="0"/>
          <w:sz w:val="32"/>
          <w:szCs w:val="32"/>
        </w:rPr>
      </w:pPr>
      <w:r>
        <w:rPr>
          <w:rFonts w:hint="eastAsia" w:hAnsiTheme="minorHAnsi"/>
          <w:b w:val="0"/>
          <w:bCs w:val="0"/>
          <w:sz w:val="32"/>
          <w:szCs w:val="32"/>
        </w:rPr>
        <w:t>公开时间：2021年</w:t>
      </w:r>
      <w:r>
        <w:rPr>
          <w:rFonts w:hint="eastAsia" w:hAnsiTheme="minorHAnsi"/>
          <w:b w:val="0"/>
          <w:bCs w:val="0"/>
          <w:sz w:val="32"/>
          <w:szCs w:val="32"/>
          <w:lang w:val="en-US" w:eastAsia="zh-CN"/>
        </w:rPr>
        <w:t>10</w:t>
      </w:r>
      <w:r>
        <w:rPr>
          <w:rFonts w:hint="eastAsia" w:hAnsiTheme="minorHAnsi"/>
          <w:b w:val="0"/>
          <w:bCs w:val="0"/>
          <w:sz w:val="32"/>
          <w:szCs w:val="32"/>
        </w:rPr>
        <w:t xml:space="preserve"> 月</w:t>
      </w:r>
      <w:r>
        <w:rPr>
          <w:rFonts w:hint="eastAsia" w:hAnsiTheme="minorHAnsi"/>
          <w:b w:val="0"/>
          <w:bCs w:val="0"/>
          <w:sz w:val="32"/>
          <w:szCs w:val="32"/>
          <w:lang w:val="en-US" w:eastAsia="zh-CN"/>
        </w:rPr>
        <w:t>22</w:t>
      </w:r>
      <w:r>
        <w:rPr>
          <w:rFonts w:hint="eastAsia" w:hAnsiTheme="minorHAnsi"/>
          <w:b w:val="0"/>
          <w:bCs w:val="0"/>
          <w:sz w:val="32"/>
          <w:szCs w:val="32"/>
        </w:rPr>
        <w:t xml:space="preserve"> 日</w:t>
      </w:r>
    </w:p>
    <w:p>
      <w:pPr>
        <w:widowControl/>
        <w:jc w:val="center"/>
        <w:rPr>
          <w:rFonts w:hint="eastAsia" w:ascii="黑体" w:hAnsi="黑体" w:eastAsia="黑体"/>
          <w:color w:val="000000"/>
          <w:sz w:val="48"/>
          <w:szCs w:val="48"/>
        </w:rPr>
      </w:pPr>
    </w:p>
    <w:p>
      <w:pPr>
        <w:pStyle w:val="2"/>
        <w:rPr>
          <w:rFonts w:hint="eastAsia"/>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pPr>
      <w:r>
        <w:rPr>
          <w:rFonts w:hint="eastAsia" w:ascii="黑体" w:hAnsi="黑体" w:eastAsia="黑体"/>
          <w:color w:val="000000"/>
          <w:sz w:val="48"/>
          <w:szCs w:val="48"/>
        </w:rPr>
        <w:t>目录</w:t>
      </w:r>
      <w:r>
        <w:rPr>
          <w:b w:val="0"/>
          <w:bCs w:val="0"/>
          <w:caps w:val="0"/>
        </w:rPr>
        <w:fldChar w:fldCharType="begin"/>
      </w:r>
      <w:r>
        <w:rPr>
          <w:b w:val="0"/>
          <w:bCs w:val="0"/>
          <w:caps w:val="0"/>
        </w:rPr>
        <w:instrText xml:space="preserve"> TOC \o \u </w:instrText>
      </w:r>
      <w:r>
        <w:rPr>
          <w:b w:val="0"/>
          <w:bCs w:val="0"/>
          <w:caps w:val="0"/>
        </w:rPr>
        <w:fldChar w:fldCharType="separate"/>
      </w:r>
    </w:p>
    <w:p>
      <w:pPr>
        <w:pStyle w:val="13"/>
        <w:tabs>
          <w:tab w:val="right" w:leader="dot" w:pos="8306"/>
          <w:tab w:val="clear" w:pos="8296"/>
        </w:tabs>
      </w:pPr>
      <w:r>
        <w:rPr>
          <w:rFonts w:hint="eastAsia" w:ascii="黑体" w:hAnsi="黑体" w:eastAsia="黑体" w:cs="Times New Roman"/>
        </w:rPr>
        <w:t>第一部分 部门概况</w:t>
      </w:r>
      <w:r>
        <w:tab/>
      </w:r>
      <w:r>
        <w:fldChar w:fldCharType="begin"/>
      </w:r>
      <w:r>
        <w:instrText xml:space="preserve"> PAGEREF _Toc18557 </w:instrText>
      </w:r>
      <w:r>
        <w:fldChar w:fldCharType="separate"/>
      </w:r>
      <w:r>
        <w:t>3</w:t>
      </w:r>
      <w:r>
        <w:fldChar w:fldCharType="end"/>
      </w:r>
    </w:p>
    <w:p>
      <w:pPr>
        <w:pStyle w:val="14"/>
        <w:tabs>
          <w:tab w:val="right" w:leader="dot" w:pos="8306"/>
          <w:tab w:val="clear" w:pos="8296"/>
        </w:tabs>
      </w:pPr>
      <w:r>
        <w:rPr>
          <w:rFonts w:hint="eastAsia" w:ascii="黑体" w:hAnsi="黑体" w:eastAsia="黑体" w:cs="Times New Roman"/>
          <w:color w:val="000000"/>
        </w:rPr>
        <w:t>一、基本职能及主要工作</w:t>
      </w:r>
      <w:r>
        <w:tab/>
      </w:r>
      <w:r>
        <w:fldChar w:fldCharType="begin"/>
      </w:r>
      <w:r>
        <w:instrText xml:space="preserve"> PAGEREF _Toc16937 </w:instrText>
      </w:r>
      <w:r>
        <w:fldChar w:fldCharType="separate"/>
      </w:r>
      <w:r>
        <w:t>3</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二、机构</w:t>
      </w:r>
      <w:r>
        <w:rPr>
          <w:rFonts w:hint="eastAsia" w:ascii="黑体" w:hAnsi="Cambria" w:eastAsia="黑体" w:cs="Times New Roman"/>
          <w:color w:val="000000"/>
        </w:rPr>
        <w:t>设置</w:t>
      </w:r>
      <w:r>
        <w:tab/>
      </w:r>
      <w:r>
        <w:fldChar w:fldCharType="begin"/>
      </w:r>
      <w:r>
        <w:instrText xml:space="preserve"> PAGEREF _Toc30995 </w:instrText>
      </w:r>
      <w:r>
        <w:fldChar w:fldCharType="separate"/>
      </w:r>
      <w:r>
        <w:t>9</w:t>
      </w:r>
      <w:r>
        <w:fldChar w:fldCharType="end"/>
      </w:r>
    </w:p>
    <w:p>
      <w:pPr>
        <w:pStyle w:val="13"/>
        <w:tabs>
          <w:tab w:val="right" w:leader="dot" w:pos="8306"/>
          <w:tab w:val="clear" w:pos="8296"/>
        </w:tabs>
      </w:pPr>
      <w:r>
        <w:rPr>
          <w:rFonts w:hint="eastAsia" w:ascii="黑体" w:hAnsi="黑体" w:eastAsia="黑体" w:cs="Times New Roman"/>
        </w:rPr>
        <w:t>第二部分20</w:t>
      </w:r>
      <w:r>
        <w:rPr>
          <w:rFonts w:hint="eastAsia" w:ascii="黑体" w:hAnsi="黑体" w:eastAsia="黑体" w:cs="Times New Roman"/>
          <w:lang w:val="en-US" w:eastAsia="zh-CN"/>
        </w:rPr>
        <w:t>20</w:t>
      </w:r>
      <w:r>
        <w:rPr>
          <w:rFonts w:hint="eastAsia" w:ascii="黑体" w:hAnsi="黑体" w:eastAsia="黑体" w:cs="Times New Roman"/>
        </w:rPr>
        <w:t>年度部门决算情况说明</w:t>
      </w:r>
      <w:r>
        <w:tab/>
      </w:r>
      <w:r>
        <w:fldChar w:fldCharType="begin"/>
      </w:r>
      <w:r>
        <w:instrText xml:space="preserve"> PAGEREF _Toc25985 </w:instrText>
      </w:r>
      <w:r>
        <w:fldChar w:fldCharType="separate"/>
      </w:r>
      <w:r>
        <w:t>9</w:t>
      </w:r>
      <w:r>
        <w:fldChar w:fldCharType="end"/>
      </w:r>
    </w:p>
    <w:p>
      <w:pPr>
        <w:pStyle w:val="14"/>
        <w:tabs>
          <w:tab w:val="right" w:leader="dot" w:pos="8306"/>
          <w:tab w:val="clear" w:pos="8296"/>
        </w:tabs>
      </w:pPr>
      <w:r>
        <w:rPr>
          <w:rFonts w:hint="eastAsia" w:ascii="黑体" w:hAnsi="黑体" w:eastAsia="黑体" w:cs="Times New Roman"/>
          <w:bCs/>
          <w:color w:val="000000"/>
          <w:szCs w:val="32"/>
        </w:rPr>
        <w:t xml:space="preserve">一、 </w:t>
      </w:r>
      <w:r>
        <w:rPr>
          <w:rFonts w:hint="eastAsia" w:ascii="黑体" w:hAnsi="黑体" w:eastAsia="黑体" w:cs="Times New Roman"/>
          <w:color w:val="000000"/>
          <w:szCs w:val="32"/>
        </w:rPr>
        <w:t>收入支出决算总体情况说明</w:t>
      </w:r>
      <w:r>
        <w:tab/>
      </w:r>
      <w:r>
        <w:fldChar w:fldCharType="begin"/>
      </w:r>
      <w:r>
        <w:instrText xml:space="preserve"> PAGEREF _Toc27592 </w:instrText>
      </w:r>
      <w:r>
        <w:fldChar w:fldCharType="separate"/>
      </w:r>
      <w:r>
        <w:t>9</w:t>
      </w:r>
      <w:r>
        <w:fldChar w:fldCharType="end"/>
      </w:r>
    </w:p>
    <w:p>
      <w:pPr>
        <w:pStyle w:val="14"/>
        <w:tabs>
          <w:tab w:val="right" w:leader="dot" w:pos="8306"/>
          <w:tab w:val="clear" w:pos="8296"/>
        </w:tabs>
      </w:pPr>
      <w:r>
        <w:rPr>
          <w:rFonts w:hint="eastAsia" w:ascii="黑体" w:hAnsi="黑体" w:eastAsia="黑体" w:cs="Times New Roman"/>
          <w:bCs/>
          <w:color w:val="000000"/>
          <w:szCs w:val="32"/>
        </w:rPr>
        <w:t xml:space="preserve">二、 </w:t>
      </w:r>
      <w:r>
        <w:rPr>
          <w:rFonts w:hint="eastAsia" w:ascii="黑体" w:hAnsi="黑体" w:eastAsia="黑体" w:cs="Times New Roman"/>
          <w:color w:val="000000"/>
          <w:szCs w:val="32"/>
        </w:rPr>
        <w:t>收入决算情况说明</w:t>
      </w:r>
      <w:r>
        <w:tab/>
      </w:r>
      <w:r>
        <w:fldChar w:fldCharType="begin"/>
      </w:r>
      <w:r>
        <w:instrText xml:space="preserve"> PAGEREF _Toc25264 </w:instrText>
      </w:r>
      <w:r>
        <w:fldChar w:fldCharType="separate"/>
      </w:r>
      <w:r>
        <w:t>11</w:t>
      </w:r>
      <w:r>
        <w:fldChar w:fldCharType="end"/>
      </w:r>
    </w:p>
    <w:p>
      <w:pPr>
        <w:pStyle w:val="14"/>
        <w:tabs>
          <w:tab w:val="right" w:leader="dot" w:pos="8306"/>
          <w:tab w:val="clear" w:pos="8296"/>
        </w:tabs>
      </w:pPr>
      <w:r>
        <w:rPr>
          <w:rFonts w:hint="eastAsia" w:ascii="黑体" w:hAnsi="黑体" w:eastAsia="黑体" w:cs="Times New Roman"/>
          <w:bCs/>
          <w:color w:val="000000"/>
          <w:szCs w:val="32"/>
        </w:rPr>
        <w:t xml:space="preserve">三、 </w:t>
      </w:r>
      <w:r>
        <w:rPr>
          <w:rFonts w:hint="eastAsia" w:ascii="黑体" w:hAnsi="黑体" w:eastAsia="黑体" w:cs="Times New Roman"/>
          <w:color w:val="000000"/>
          <w:szCs w:val="32"/>
        </w:rPr>
        <w:t>支出决算情况说明</w:t>
      </w:r>
      <w:r>
        <w:tab/>
      </w:r>
      <w:r>
        <w:fldChar w:fldCharType="begin"/>
      </w:r>
      <w:r>
        <w:instrText xml:space="preserve"> PAGEREF _Toc23404 </w:instrText>
      </w:r>
      <w:r>
        <w:fldChar w:fldCharType="separate"/>
      </w:r>
      <w:r>
        <w:t>11</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四、财政拨款收入支出决算总体情况说明</w:t>
      </w:r>
      <w:r>
        <w:tab/>
      </w:r>
      <w:r>
        <w:fldChar w:fldCharType="begin"/>
      </w:r>
      <w:r>
        <w:instrText xml:space="preserve"> PAGEREF _Toc10448 </w:instrText>
      </w:r>
      <w:r>
        <w:fldChar w:fldCharType="separate"/>
      </w:r>
      <w:r>
        <w:t>12</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五、一般公共预算财政拨款支出决算情况说明</w:t>
      </w:r>
      <w:r>
        <w:tab/>
      </w:r>
      <w:r>
        <w:fldChar w:fldCharType="begin"/>
      </w:r>
      <w:r>
        <w:instrText xml:space="preserve"> PAGEREF _Toc27153 </w:instrText>
      </w:r>
      <w:r>
        <w:fldChar w:fldCharType="separate"/>
      </w:r>
      <w:r>
        <w:t>13</w:t>
      </w:r>
      <w:r>
        <w:fldChar w:fldCharType="end"/>
      </w:r>
    </w:p>
    <w:p>
      <w:pPr>
        <w:pStyle w:val="9"/>
        <w:tabs>
          <w:tab w:val="right" w:leader="dot" w:pos="8306"/>
          <w:tab w:val="clear" w:pos="8296"/>
        </w:tabs>
      </w:pPr>
      <w:r>
        <w:rPr>
          <w:rFonts w:hint="eastAsia" w:ascii="仿宋_GB2312" w:hAnsi="仿宋" w:eastAsia="仿宋_GB2312"/>
          <w:color w:val="000000"/>
          <w:szCs w:val="32"/>
        </w:rPr>
        <w:t>（一）一般公共预算财政拨款支出决算总体情况</w:t>
      </w:r>
      <w:r>
        <w:tab/>
      </w:r>
      <w:r>
        <w:fldChar w:fldCharType="begin"/>
      </w:r>
      <w:r>
        <w:instrText xml:space="preserve"> PAGEREF _Toc31093 </w:instrText>
      </w:r>
      <w:r>
        <w:fldChar w:fldCharType="separate"/>
      </w:r>
      <w:r>
        <w:t>13</w:t>
      </w:r>
      <w:r>
        <w:fldChar w:fldCharType="end"/>
      </w:r>
    </w:p>
    <w:p>
      <w:pPr>
        <w:pStyle w:val="9"/>
        <w:tabs>
          <w:tab w:val="right" w:leader="dot" w:pos="8306"/>
          <w:tab w:val="clear" w:pos="8296"/>
        </w:tabs>
      </w:pPr>
      <w:r>
        <w:rPr>
          <w:rFonts w:hint="eastAsia" w:ascii="仿宋_GB2312" w:hAnsi="仿宋" w:eastAsia="仿宋_GB2312"/>
          <w:color w:val="000000"/>
          <w:szCs w:val="32"/>
        </w:rPr>
        <w:t>（二）一般公共预算财政拨款支出决算结构情况</w:t>
      </w:r>
      <w:r>
        <w:tab/>
      </w:r>
      <w:r>
        <w:fldChar w:fldCharType="begin"/>
      </w:r>
      <w:r>
        <w:instrText xml:space="preserve"> PAGEREF _Toc9087 </w:instrText>
      </w:r>
      <w:r>
        <w:fldChar w:fldCharType="separate"/>
      </w:r>
      <w:r>
        <w:t>14</w:t>
      </w:r>
      <w:r>
        <w:fldChar w:fldCharType="end"/>
      </w:r>
    </w:p>
    <w:p>
      <w:pPr>
        <w:pStyle w:val="9"/>
        <w:tabs>
          <w:tab w:val="right" w:leader="dot" w:pos="8306"/>
          <w:tab w:val="clear" w:pos="8296"/>
        </w:tabs>
      </w:pPr>
      <w:r>
        <w:rPr>
          <w:rFonts w:hint="eastAsia" w:ascii="仿宋_GB2312" w:hAnsi="仿宋" w:eastAsia="仿宋_GB2312"/>
          <w:color w:val="000000"/>
          <w:szCs w:val="32"/>
        </w:rPr>
        <w:t>（三）一般公共预算财政拨款支出决算具体情况</w:t>
      </w:r>
      <w:r>
        <w:tab/>
      </w:r>
      <w:r>
        <w:fldChar w:fldCharType="begin"/>
      </w:r>
      <w:r>
        <w:instrText xml:space="preserve"> PAGEREF _Toc26545 </w:instrText>
      </w:r>
      <w:r>
        <w:fldChar w:fldCharType="separate"/>
      </w:r>
      <w:r>
        <w:t>15</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六、一般公共预算财政拨款基本支出决算情况说明</w:t>
      </w:r>
      <w:r>
        <w:tab/>
      </w:r>
      <w:r>
        <w:fldChar w:fldCharType="begin"/>
      </w:r>
      <w:r>
        <w:instrText xml:space="preserve"> PAGEREF _Toc13152 </w:instrText>
      </w:r>
      <w:r>
        <w:fldChar w:fldCharType="separate"/>
      </w:r>
      <w:r>
        <w:t>16</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七、“三公”经费财政拨款支出决算情况说明</w:t>
      </w:r>
      <w:r>
        <w:tab/>
      </w:r>
      <w:r>
        <w:fldChar w:fldCharType="begin"/>
      </w:r>
      <w:r>
        <w:instrText xml:space="preserve"> PAGEREF _Toc10737 </w:instrText>
      </w:r>
      <w:r>
        <w:fldChar w:fldCharType="separate"/>
      </w:r>
      <w:r>
        <w:t>16</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八、政府性基金预算支出决算情况说明</w:t>
      </w:r>
      <w:r>
        <w:tab/>
      </w:r>
      <w:r>
        <w:fldChar w:fldCharType="begin"/>
      </w:r>
      <w:r>
        <w:instrText xml:space="preserve"> PAGEREF _Toc1234 </w:instrText>
      </w:r>
      <w:r>
        <w:fldChar w:fldCharType="separate"/>
      </w:r>
      <w:r>
        <w:t>18</w:t>
      </w:r>
      <w:r>
        <w:fldChar w:fldCharType="end"/>
      </w:r>
    </w:p>
    <w:p>
      <w:pPr>
        <w:pStyle w:val="14"/>
        <w:tabs>
          <w:tab w:val="right" w:leader="dot" w:pos="8306"/>
          <w:tab w:val="clear" w:pos="8296"/>
        </w:tabs>
      </w:pPr>
      <w:r>
        <w:rPr>
          <w:rFonts w:hint="eastAsia" w:ascii="黑体" w:hAnsi="黑体" w:eastAsia="黑体" w:cs="Times New Roman"/>
          <w:b w:val="0"/>
          <w:bCs w:val="0"/>
          <w:color w:val="000000"/>
          <w:szCs w:val="32"/>
          <w:lang w:val="en-US" w:eastAsia="zh-CN"/>
        </w:rPr>
        <w:t>九、 国有资本经营预算支出决算情况说明</w:t>
      </w:r>
      <w:r>
        <w:tab/>
      </w:r>
      <w:r>
        <w:fldChar w:fldCharType="begin"/>
      </w:r>
      <w:r>
        <w:instrText xml:space="preserve"> PAGEREF _Toc27547 </w:instrText>
      </w:r>
      <w:r>
        <w:fldChar w:fldCharType="separate"/>
      </w:r>
      <w:r>
        <w:t>18</w:t>
      </w:r>
      <w:r>
        <w:fldChar w:fldCharType="end"/>
      </w:r>
    </w:p>
    <w:p>
      <w:pPr>
        <w:pStyle w:val="14"/>
        <w:tabs>
          <w:tab w:val="right" w:leader="dot" w:pos="8306"/>
          <w:tab w:val="clear" w:pos="829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_Toc29777 </w:instrText>
      </w:r>
      <w:r>
        <w:fldChar w:fldCharType="separate"/>
      </w:r>
      <w:r>
        <w:t>18</w:t>
      </w:r>
      <w:r>
        <w:fldChar w:fldCharType="end"/>
      </w:r>
    </w:p>
    <w:p>
      <w:pPr>
        <w:pStyle w:val="9"/>
        <w:tabs>
          <w:tab w:val="right" w:leader="dot" w:pos="8306"/>
          <w:tab w:val="clear" w:pos="8296"/>
        </w:tabs>
      </w:pPr>
      <w:r>
        <w:rPr>
          <w:rFonts w:hint="eastAsia" w:ascii="仿宋" w:hAnsi="仿宋" w:eastAsia="仿宋"/>
          <w:color w:val="000000"/>
          <w:szCs w:val="32"/>
        </w:rPr>
        <w:t>（一）机关运行经费支出情况</w:t>
      </w:r>
      <w:r>
        <w:tab/>
      </w:r>
      <w:r>
        <w:fldChar w:fldCharType="begin"/>
      </w:r>
      <w:r>
        <w:instrText xml:space="preserve"> PAGEREF _Toc13297 </w:instrText>
      </w:r>
      <w:r>
        <w:fldChar w:fldCharType="separate"/>
      </w:r>
      <w:r>
        <w:t>18</w:t>
      </w:r>
      <w:r>
        <w:fldChar w:fldCharType="end"/>
      </w:r>
    </w:p>
    <w:p>
      <w:pPr>
        <w:pStyle w:val="9"/>
        <w:tabs>
          <w:tab w:val="right" w:leader="dot" w:pos="8306"/>
          <w:tab w:val="clear" w:pos="8296"/>
        </w:tabs>
      </w:pPr>
      <w:r>
        <w:rPr>
          <w:rFonts w:hint="eastAsia" w:ascii="仿宋" w:hAnsi="仿宋" w:eastAsia="仿宋"/>
          <w:color w:val="000000"/>
          <w:szCs w:val="32"/>
        </w:rPr>
        <w:t>（二）政府采购支出情况</w:t>
      </w:r>
      <w:r>
        <w:tab/>
      </w:r>
      <w:r>
        <w:fldChar w:fldCharType="begin"/>
      </w:r>
      <w:r>
        <w:instrText xml:space="preserve"> PAGEREF _Toc29946 </w:instrText>
      </w:r>
      <w:r>
        <w:fldChar w:fldCharType="separate"/>
      </w:r>
      <w:r>
        <w:t>18</w:t>
      </w:r>
      <w:r>
        <w:fldChar w:fldCharType="end"/>
      </w:r>
    </w:p>
    <w:p>
      <w:pPr>
        <w:pStyle w:val="9"/>
        <w:tabs>
          <w:tab w:val="right" w:leader="dot" w:pos="8306"/>
          <w:tab w:val="clear" w:pos="8296"/>
        </w:tabs>
      </w:pPr>
      <w:r>
        <w:rPr>
          <w:rFonts w:hint="eastAsia" w:ascii="仿宋" w:hAnsi="仿宋" w:eastAsia="仿宋"/>
          <w:color w:val="000000"/>
          <w:szCs w:val="32"/>
        </w:rPr>
        <w:t>（三）国有资产占有使用情况</w:t>
      </w:r>
      <w:r>
        <w:tab/>
      </w:r>
      <w:r>
        <w:fldChar w:fldCharType="begin"/>
      </w:r>
      <w:r>
        <w:instrText xml:space="preserve"> PAGEREF _Toc19086 </w:instrText>
      </w:r>
      <w:r>
        <w:fldChar w:fldCharType="separate"/>
      </w:r>
      <w:r>
        <w:t>19</w:t>
      </w:r>
      <w:r>
        <w:fldChar w:fldCharType="end"/>
      </w:r>
    </w:p>
    <w:p>
      <w:pPr>
        <w:pStyle w:val="9"/>
        <w:tabs>
          <w:tab w:val="right" w:leader="dot" w:pos="8306"/>
          <w:tab w:val="clear" w:pos="8296"/>
        </w:tabs>
      </w:pPr>
      <w:r>
        <w:rPr>
          <w:rFonts w:hint="eastAsia" w:ascii="仿宋" w:hAnsi="仿宋" w:eastAsia="仿宋"/>
          <w:color w:val="000000"/>
          <w:szCs w:val="32"/>
        </w:rPr>
        <w:t>（四）预算绩效管理情况。</w:t>
      </w:r>
      <w:r>
        <w:tab/>
      </w:r>
      <w:r>
        <w:fldChar w:fldCharType="begin"/>
      </w:r>
      <w:r>
        <w:instrText xml:space="preserve"> PAGEREF _Toc30328 </w:instrText>
      </w:r>
      <w:r>
        <w:fldChar w:fldCharType="separate"/>
      </w:r>
      <w:r>
        <w:t>19</w:t>
      </w:r>
      <w:r>
        <w:fldChar w:fldCharType="end"/>
      </w:r>
    </w:p>
    <w:p>
      <w:pPr>
        <w:pStyle w:val="13"/>
        <w:tabs>
          <w:tab w:val="right" w:leader="dot" w:pos="8306"/>
          <w:tab w:val="clear" w:pos="8296"/>
        </w:tabs>
      </w:pPr>
      <w:r>
        <w:rPr>
          <w:rFonts w:hint="eastAsia" w:ascii="黑体" w:hAnsi="黑体" w:eastAsia="黑体"/>
        </w:rPr>
        <w:t xml:space="preserve">第三部分 </w:t>
      </w:r>
      <w:r>
        <w:rPr>
          <w:rFonts w:hint="eastAsia" w:ascii="黑体" w:hAnsi="黑体" w:eastAsia="黑体"/>
          <w:color w:val="000000"/>
          <w:szCs w:val="44"/>
        </w:rPr>
        <w:t>名</w:t>
      </w:r>
      <w:r>
        <w:rPr>
          <w:rFonts w:hint="eastAsia" w:ascii="黑体" w:hAnsi="黑体" w:eastAsia="黑体"/>
        </w:rPr>
        <w:t>词解释</w:t>
      </w:r>
      <w:r>
        <w:tab/>
      </w:r>
      <w:r>
        <w:fldChar w:fldCharType="begin"/>
      </w:r>
      <w:r>
        <w:instrText xml:space="preserve"> PAGEREF _Toc18616 </w:instrText>
      </w:r>
      <w:r>
        <w:fldChar w:fldCharType="separate"/>
      </w:r>
      <w:r>
        <w:t>20</w:t>
      </w:r>
      <w:r>
        <w:fldChar w:fldCharType="end"/>
      </w:r>
    </w:p>
    <w:p>
      <w:pPr>
        <w:pStyle w:val="13"/>
        <w:tabs>
          <w:tab w:val="right" w:leader="dot" w:pos="8306"/>
          <w:tab w:val="clear" w:pos="8296"/>
        </w:tabs>
      </w:pPr>
      <w:r>
        <w:rPr>
          <w:rFonts w:hint="eastAsia" w:ascii="黑体" w:hAnsi="黑体" w:eastAsia="黑体"/>
          <w:color w:val="000000"/>
          <w:szCs w:val="44"/>
        </w:rPr>
        <w:t>第</w:t>
      </w:r>
      <w:r>
        <w:rPr>
          <w:rFonts w:hint="eastAsia" w:ascii="黑体" w:hAnsi="黑体" w:eastAsia="黑体"/>
        </w:rPr>
        <w:t>四部分 附件</w:t>
      </w:r>
      <w:r>
        <w:tab/>
      </w:r>
      <w:r>
        <w:fldChar w:fldCharType="begin"/>
      </w:r>
      <w:r>
        <w:instrText xml:space="preserve"> PAGEREF _Toc31793 </w:instrText>
      </w:r>
      <w:r>
        <w:fldChar w:fldCharType="separate"/>
      </w:r>
      <w:r>
        <w:t>23</w:t>
      </w:r>
      <w:r>
        <w:fldChar w:fldCharType="end"/>
      </w:r>
    </w:p>
    <w:p>
      <w:pPr>
        <w:pStyle w:val="13"/>
        <w:tabs>
          <w:tab w:val="right" w:leader="dot" w:pos="8306"/>
          <w:tab w:val="clear" w:pos="8296"/>
        </w:tabs>
      </w:pPr>
      <w:r>
        <w:rPr>
          <w:rFonts w:hint="eastAsia" w:ascii="黑体" w:hAnsi="黑体" w:eastAsia="黑体" w:cs="黑体"/>
          <w:szCs w:val="32"/>
        </w:rPr>
        <w:t>附件1</w:t>
      </w:r>
      <w:r>
        <w:tab/>
      </w:r>
      <w:r>
        <w:fldChar w:fldCharType="begin"/>
      </w:r>
      <w:r>
        <w:instrText xml:space="preserve"> PAGEREF _Toc7821 </w:instrText>
      </w:r>
      <w:r>
        <w:fldChar w:fldCharType="separate"/>
      </w:r>
      <w:r>
        <w:t>23</w:t>
      </w:r>
      <w:r>
        <w:fldChar w:fldCharType="end"/>
      </w:r>
    </w:p>
    <w:p>
      <w:pPr>
        <w:pStyle w:val="13"/>
        <w:tabs>
          <w:tab w:val="right" w:leader="dot" w:pos="8306"/>
          <w:tab w:val="clear" w:pos="8296"/>
        </w:tabs>
      </w:pPr>
      <w:r>
        <w:rPr>
          <w:rFonts w:hint="eastAsia" w:ascii="黑体" w:hAnsi="黑体" w:eastAsia="黑体"/>
          <w:color w:val="000000"/>
          <w:szCs w:val="44"/>
        </w:rPr>
        <w:t>第</w:t>
      </w:r>
      <w:r>
        <w:rPr>
          <w:rFonts w:hint="eastAsia" w:ascii="黑体" w:hAnsi="黑体" w:eastAsia="黑体"/>
        </w:rPr>
        <w:t>五部分</w:t>
      </w:r>
      <w:r>
        <w:rPr>
          <w:rFonts w:ascii="黑体" w:hAnsi="黑体" w:eastAsia="黑体"/>
        </w:rPr>
        <w:t xml:space="preserve"> </w:t>
      </w:r>
      <w:r>
        <w:rPr>
          <w:rFonts w:hint="eastAsia" w:ascii="黑体" w:hAnsi="黑体" w:eastAsia="黑体"/>
        </w:rPr>
        <w:t>附表</w:t>
      </w:r>
      <w:r>
        <w:tab/>
      </w:r>
      <w:r>
        <w:fldChar w:fldCharType="begin"/>
      </w:r>
      <w:r>
        <w:instrText xml:space="preserve"> PAGEREF _Toc3795 </w:instrText>
      </w:r>
      <w:r>
        <w:fldChar w:fldCharType="separate"/>
      </w:r>
      <w:r>
        <w:t>32</w:t>
      </w:r>
      <w:r>
        <w:fldChar w:fldCharType="end"/>
      </w:r>
    </w:p>
    <w:p>
      <w:pPr>
        <w:widowControl/>
        <w:jc w:val="left"/>
        <w:rPr>
          <w:rFonts w:hint="eastAsia" w:ascii="黑体" w:hAnsi="黑体" w:eastAsia="黑体"/>
          <w:sz w:val="28"/>
          <w:szCs w:val="28"/>
        </w:rPr>
      </w:pPr>
      <w:r>
        <w:rPr>
          <w:rFonts w:asciiTheme="minorHAnsi" w:eastAsiaTheme="minorHAnsi"/>
          <w:bCs/>
          <w:caps/>
          <w:szCs w:val="20"/>
        </w:rPr>
        <w:fldChar w:fldCharType="end"/>
      </w:r>
      <w:r>
        <w:rPr>
          <w:rFonts w:hint="eastAsia" w:ascii="仿宋" w:hAnsi="仿宋" w:eastAsia="仿宋"/>
          <w:color w:val="000000"/>
          <w:sz w:val="24"/>
        </w:rPr>
        <w:t xml:space="preserve">   </w:t>
      </w:r>
      <w:bookmarkStart w:id="16" w:name="_Toc15377196"/>
      <w:bookmarkStart w:id="17" w:name="_Toc15396599"/>
    </w:p>
    <w:p>
      <w:pPr>
        <w:widowControl/>
        <w:jc w:val="left"/>
        <w:rPr>
          <w:rFonts w:hint="eastAsia" w:ascii="黑体" w:hAnsi="黑体" w:eastAsia="黑体"/>
          <w:b/>
        </w:rPr>
      </w:pPr>
    </w:p>
    <w:p>
      <w:pPr>
        <w:pStyle w:val="3"/>
        <w:jc w:val="center"/>
        <w:rPr>
          <w:rFonts w:hint="eastAsia" w:ascii="黑体" w:hAnsi="黑体" w:eastAsia="黑体" w:cs="Times New Roman"/>
          <w:b w:val="0"/>
        </w:rPr>
      </w:pPr>
      <w:bookmarkStart w:id="18" w:name="_Toc18557"/>
      <w:r>
        <w:rPr>
          <w:rFonts w:hint="eastAsia" w:ascii="黑体" w:hAnsi="黑体" w:eastAsia="黑体" w:cs="Times New Roman"/>
          <w:b w:val="0"/>
        </w:rPr>
        <w:t>第一部分 部门概况</w:t>
      </w:r>
      <w:bookmarkEnd w:id="16"/>
      <w:bookmarkEnd w:id="17"/>
      <w:bookmarkEnd w:id="18"/>
    </w:p>
    <w:p>
      <w:pPr>
        <w:pStyle w:val="4"/>
        <w:rPr>
          <w:rFonts w:hint="eastAsia" w:ascii="黑体" w:hAnsi="黑体" w:eastAsia="黑体" w:cs="Times New Roman"/>
          <w:b w:val="0"/>
          <w:color w:val="000000"/>
        </w:rPr>
      </w:pPr>
      <w:bookmarkStart w:id="19" w:name="_Toc15396600"/>
      <w:bookmarkStart w:id="20" w:name="_Toc16937"/>
      <w:bookmarkStart w:id="21" w:name="_Toc15377197"/>
      <w:r>
        <w:rPr>
          <w:rFonts w:hint="eastAsia" w:ascii="黑体" w:hAnsi="黑体" w:eastAsia="黑体" w:cs="Times New Roman"/>
          <w:b w:val="0"/>
          <w:color w:val="000000"/>
        </w:rPr>
        <w:t>一、基本职能及主要工作</w:t>
      </w:r>
      <w:bookmarkEnd w:id="19"/>
      <w:bookmarkEnd w:id="20"/>
      <w:bookmarkEnd w:id="21"/>
    </w:p>
    <w:p>
      <w:pPr>
        <w:pStyle w:val="7"/>
        <w:adjustRightInd w:val="0"/>
        <w:snapToGrid w:val="0"/>
        <w:spacing w:before="93" w:line="600" w:lineRule="exact"/>
        <w:ind w:firstLine="672" w:firstLineChars="210"/>
        <w:outlineLvl w:val="2"/>
        <w:rPr>
          <w:rFonts w:hAnsi="仿宋"/>
          <w:bCs/>
          <w:color w:val="000000"/>
          <w:sz w:val="32"/>
          <w:szCs w:val="32"/>
        </w:rPr>
      </w:pPr>
      <w:bookmarkStart w:id="22" w:name="_Toc15378445"/>
      <w:bookmarkStart w:id="23" w:name="_Toc26"/>
      <w:bookmarkStart w:id="24" w:name="_Toc15377198"/>
      <w:r>
        <w:rPr>
          <w:rFonts w:hint="eastAsia" w:hAnsi="仿宋"/>
          <w:bCs/>
          <w:color w:val="000000"/>
          <w:sz w:val="32"/>
          <w:szCs w:val="32"/>
        </w:rPr>
        <w:t>（一）主要职能。</w:t>
      </w:r>
      <w:bookmarkEnd w:id="22"/>
      <w:bookmarkEnd w:id="23"/>
      <w:bookmarkEnd w:id="24"/>
    </w:p>
    <w:p>
      <w:pPr>
        <w:spacing w:line="560" w:lineRule="exact"/>
        <w:ind w:firstLine="960" w:firstLineChars="300"/>
        <w:rPr>
          <w:rFonts w:hint="eastAsia" w:ascii="仿宋" w:hAnsi="仿宋" w:eastAsia="仿宋" w:cs="仿宋"/>
          <w:sz w:val="32"/>
          <w:szCs w:val="32"/>
        </w:rPr>
      </w:pPr>
      <w:bookmarkStart w:id="25" w:name="_Toc15377199"/>
      <w:bookmarkStart w:id="26" w:name="_Toc15378446"/>
      <w:r>
        <w:rPr>
          <w:rFonts w:hint="eastAsia" w:ascii="仿宋" w:hAnsi="仿宋" w:eastAsia="仿宋" w:cs="仿宋"/>
          <w:sz w:val="32"/>
          <w:szCs w:val="32"/>
        </w:rPr>
        <w:t>依法加强安置点宗教事务管理严守法律底线，坚决把以安置点、尼姑、宗教佛事活动管理为重点的宗教事务管理纳入依法管理轨道，牢牢掌握安置点领导权和管理权，做到不发生重大安全责任事故和稳定责任事故。推进社会公共服务进安置点充分保障安置点和尼姑普惠性待遇，做到“五通”（通路、通水、通电、通广播电视、通通讯）、“三有”（有党刊党报、有广播电视、有安置点书屋）、“三覆盖”（养老保险全覆盖、医疗保险制度全覆盖、民管会成员补助全覆盖）；落实符合条件僧尼的低保求助、五保供养、扶贫解困政策，实现“应保尽保”。</w:t>
      </w:r>
    </w:p>
    <w:p>
      <w:pPr>
        <w:pStyle w:val="7"/>
        <w:adjustRightInd w:val="0"/>
        <w:snapToGrid w:val="0"/>
        <w:spacing w:before="93" w:line="600" w:lineRule="exact"/>
        <w:ind w:firstLine="672" w:firstLineChars="210"/>
        <w:outlineLvl w:val="2"/>
        <w:rPr>
          <w:rFonts w:hint="eastAsia" w:hAnsi="仿宋"/>
          <w:bCs/>
          <w:color w:val="000000"/>
          <w:sz w:val="32"/>
          <w:szCs w:val="32"/>
        </w:rPr>
      </w:pPr>
      <w:bookmarkStart w:id="27" w:name="_Toc1495"/>
      <w:r>
        <w:rPr>
          <w:rFonts w:hint="eastAsia" w:hAnsi="仿宋"/>
          <w:bCs/>
          <w:color w:val="000000"/>
          <w:sz w:val="32"/>
          <w:szCs w:val="32"/>
        </w:rPr>
        <w:t>（二）20</w:t>
      </w:r>
      <w:r>
        <w:rPr>
          <w:rFonts w:hint="eastAsia" w:hAnsi="仿宋"/>
          <w:bCs/>
          <w:color w:val="000000"/>
          <w:sz w:val="32"/>
          <w:szCs w:val="32"/>
          <w:lang w:val="en-US" w:eastAsia="zh-CN"/>
        </w:rPr>
        <w:t>20</w:t>
      </w:r>
      <w:r>
        <w:rPr>
          <w:rFonts w:hint="eastAsia" w:hAnsi="仿宋"/>
          <w:bCs/>
          <w:color w:val="000000"/>
          <w:sz w:val="32"/>
          <w:szCs w:val="32"/>
        </w:rPr>
        <w:t>年重点工作完成情况。</w:t>
      </w:r>
      <w:bookmarkEnd w:id="25"/>
      <w:bookmarkEnd w:id="26"/>
      <w:bookmarkEnd w:id="27"/>
      <w:bookmarkStart w:id="28" w:name="_Toc15377200"/>
      <w:bookmarkStart w:id="29" w:name="_Toc15396601"/>
    </w:p>
    <w:p>
      <w:pPr>
        <w:pStyle w:val="7"/>
        <w:numPr>
          <w:ilvl w:val="0"/>
          <w:numId w:val="1"/>
        </w:numPr>
        <w:adjustRightInd w:val="0"/>
        <w:snapToGrid w:val="0"/>
        <w:spacing w:before="93" w:line="600" w:lineRule="exact"/>
        <w:ind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30" w:name="_Toc11423"/>
      <w:bookmarkStart w:id="31" w:name="_Toc13472"/>
      <w:r>
        <w:rPr>
          <w:rFonts w:hint="eastAsia" w:ascii="仿宋_GB2312" w:hAnsi="仿宋_GB2312" w:eastAsia="仿宋_GB2312" w:cs="仿宋_GB2312"/>
          <w:b w:val="0"/>
          <w:bCs w:val="0"/>
          <w:color w:val="auto"/>
          <w:sz w:val="32"/>
          <w:szCs w:val="32"/>
          <w:shd w:val="clear" w:color="auto" w:fill="auto"/>
          <w:lang w:val="en-US" w:eastAsia="zh-CN"/>
        </w:rPr>
        <w:t>扎实开展党风廉政建设</w:t>
      </w:r>
      <w:r>
        <w:rPr>
          <w:rFonts w:hint="eastAsia" w:hAnsi="仿宋_GB2312" w:cs="仿宋_GB2312"/>
          <w:b w:val="0"/>
          <w:bCs w:val="0"/>
          <w:color w:val="auto"/>
          <w:sz w:val="32"/>
          <w:szCs w:val="32"/>
          <w:shd w:val="clear" w:color="auto" w:fill="auto"/>
          <w:lang w:val="en-US" w:eastAsia="zh-CN"/>
        </w:rPr>
        <w:t>：</w:t>
      </w:r>
      <w:r>
        <w:rPr>
          <w:rFonts w:hint="eastAsia" w:ascii="仿宋_GB2312" w:hAnsi="仿宋_GB2312" w:eastAsia="仿宋_GB2312" w:cs="仿宋_GB2312"/>
          <w:b w:val="0"/>
          <w:bCs w:val="0"/>
          <w:color w:val="auto"/>
          <w:sz w:val="32"/>
          <w:szCs w:val="32"/>
          <w:shd w:val="clear" w:color="auto" w:fill="auto"/>
          <w:lang w:val="en-US" w:eastAsia="zh-CN"/>
        </w:rPr>
        <w:t>一是我委高度重视，及时召开会议进行专题研究部署，将党风廉政建设和反腐败工作纳入重要议事日程，明确了进一步严明党的政治纪律，加强干部作风建设，深化领导干部廉洁自律，开展党风廉政宣传教育，化解矛盾维护稳定，开展执法监察，落实党风廉政建设责任。二是结合我委实际情况，成立了党风廉政建设领导小组，施行“一岗双责”；关于“三重一大”事项监督管理实施办法；“七严格”规章制度、机关管理制度、财务管理制度、内控制度和廉政建设制度等一系列制度办法。3月初，召开了全体干部学习贯彻中纪委二中全会精神和习近平同志讲话精神的动员大会，集中学习，明确了专人负责，并将改进干部工作作风、密切联系尼姑纳入重点工作。三是扎实开展学习教育活动。1.每周一组织干部集中学习《廉政准则》、《党的纪律处分条例》、《习近平总书记系列重要讲话精神》；</w:t>
      </w:r>
      <w:r>
        <w:rPr>
          <w:rFonts w:hint="eastAsia" w:hAnsi="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动员部署学习《暂行办法》，做到了全体干部知晓度100%。</w:t>
      </w:r>
      <w:bookmarkEnd w:id="30"/>
      <w:bookmarkEnd w:id="31"/>
      <w:r>
        <w:rPr>
          <w:rFonts w:hint="eastAsia" w:hAnsi="仿宋_GB2312" w:cs="仿宋_GB2312"/>
          <w:b w:val="0"/>
          <w:bCs w:val="0"/>
          <w:color w:val="auto"/>
          <w:sz w:val="32"/>
          <w:szCs w:val="32"/>
          <w:shd w:val="clear" w:color="auto" w:fill="auto"/>
          <w:lang w:val="en-US" w:eastAsia="zh-CN"/>
        </w:rPr>
        <w:t xml:space="preserve"> </w:t>
      </w:r>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32" w:name="_Toc28201"/>
      <w:bookmarkStart w:id="33" w:name="_Toc11317"/>
      <w:r>
        <w:rPr>
          <w:rFonts w:hint="eastAsia" w:ascii="仿宋_GB2312" w:hAnsi="仿宋_GB2312" w:eastAsia="仿宋_GB2312" w:cs="仿宋_GB2312"/>
          <w:b w:val="0"/>
          <w:bCs w:val="0"/>
          <w:color w:val="auto"/>
          <w:sz w:val="32"/>
          <w:szCs w:val="32"/>
          <w:shd w:val="clear" w:color="auto" w:fill="auto"/>
          <w:lang w:val="en-US" w:eastAsia="zh-CN"/>
        </w:rPr>
        <w:t>持续开展法制宣传教育工作，在深度和广度上下功夫。一年来，我委扎实开展了安置点法制宣传教育工作。对重点尼姑、贫困尼姑的家访慰问工作，有针对性制定了对堪姆、民管会成员、普通尼众等的法治宣传教育实施方案，做到工作有人管、有人抓、有人落实。联合统战民宗、司法局等部门，组织以“双语”干部为骨干的法治宣传队伍深入安置点开展了5次大型的法制、防灾减灾等宣传教育工作。一是利用宣讲新型冠状病毒感染的肺炎防控知识，向尼众宣传了《宪法》、《宗教事务管理条例》、劝返安置相关政策等法律法规。二是讲解了安置点财务管理制度、宗教教职人员的权利和义务、党的宗教工作基本方针、民管会职责、法律援助等法律法规。三是就团结，教育引导尼众要心存感恩、积极配合我委工作、爱护环境卫生等方面，民管会班子要发挥作用，在爱国爱教维护祖国统一及大是大非面前要起表率作用等。有力促进了依法规范管理，进一步提高了尼众的法律意识、公民意识、爱国意识、国家安全统一意识。四是为进一步加强对尼众的教育引导，严防违法乱纪的事情发生；联合县委统战部、县民宗局及上级相关部门开展就“教育整顿”与安置社区尼姑进行座谈，教育引导尼众在反对分裂、维护祖国统一的关键时刻，要始终坚持正确的政治站位，积极响应党的号召与党同心同德，站得出来、说得上话、起的了作用；教育尼众，要积极配合管委会干部开展各项工作，自觉遵守国家法律法规；持续加强消防安全隐患排查，进一步做好森林草原防灭火工作；五是联合县司法局、北京安博（成都）律师事务所、四川路标律师事务所开展普法宣讲。强调现代社会“知法、懂法”的重要性，通过藏汉双语和以案释法等方式，深入浅出的宣讲《中华人民共和国民法典》、《中央第七次西藏工作座谈会精神》，以及如何申请法律援助等与尼姑自身利益密切相关的法律法规。切实有效提高尼众的法律意识、公民意识、爱国意识；六是为进一步增强觉姆们的爱国意识，帮助广大尼姑学习新知识，感受新变化，体验新生活，增加对伟大祖国及中华民族的认同感和归属感。我委积极组织40名尼姑参加阿坝州首次举办的觉姆培训班，要求珍惜机遇，认真学习，遵守纪律，感恩奋进，学以致用。通过集中学习国家法律法规、党的民族宗教政策，切实有效提高了尼众的法律意识、国家意识，为依法规范管理安置社区奠定了良好的基础；结合觉姆们的实际情况，开展健康体检和赴峨眉山、乐山等地参观考察。</w:t>
      </w:r>
      <w:bookmarkEnd w:id="32"/>
      <w:bookmarkEnd w:id="33"/>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34" w:name="_Toc11736"/>
      <w:bookmarkStart w:id="35" w:name="_Toc6794"/>
      <w:r>
        <w:rPr>
          <w:rFonts w:hint="eastAsia" w:ascii="仿宋_GB2312" w:hAnsi="仿宋_GB2312" w:eastAsia="仿宋_GB2312" w:cs="仿宋_GB2312"/>
          <w:b w:val="0"/>
          <w:bCs w:val="0"/>
          <w:color w:val="auto"/>
          <w:sz w:val="32"/>
          <w:szCs w:val="32"/>
          <w:shd w:val="clear" w:color="auto" w:fill="auto"/>
          <w:lang w:val="en-US" w:eastAsia="zh-CN"/>
        </w:rPr>
        <w:t>关心关怀服务工作稳步推进，增强干</w:t>
      </w:r>
      <w:r>
        <w:rPr>
          <w:rFonts w:hint="eastAsia" w:hAnsi="仿宋_GB2312" w:cs="仿宋_GB2312"/>
          <w:b w:val="0"/>
          <w:bCs w:val="0"/>
          <w:color w:val="auto"/>
          <w:sz w:val="32"/>
          <w:szCs w:val="32"/>
          <w:shd w:val="clear" w:color="auto" w:fill="auto"/>
          <w:lang w:val="en-US" w:eastAsia="zh-CN"/>
        </w:rPr>
        <w:t>部</w:t>
      </w:r>
      <w:r>
        <w:rPr>
          <w:rFonts w:hint="eastAsia" w:ascii="仿宋_GB2312" w:hAnsi="仿宋_GB2312" w:eastAsia="仿宋_GB2312" w:cs="仿宋_GB2312"/>
          <w:b w:val="0"/>
          <w:bCs w:val="0"/>
          <w:color w:val="auto"/>
          <w:sz w:val="32"/>
          <w:szCs w:val="32"/>
          <w:shd w:val="clear" w:color="auto" w:fill="auto"/>
          <w:lang w:val="en-US" w:eastAsia="zh-CN"/>
        </w:rPr>
        <w:t>尼</w:t>
      </w:r>
      <w:r>
        <w:rPr>
          <w:rFonts w:hint="eastAsia" w:hAnsi="仿宋_GB2312" w:cs="仿宋_GB2312"/>
          <w:b w:val="0"/>
          <w:bCs w:val="0"/>
          <w:color w:val="auto"/>
          <w:sz w:val="32"/>
          <w:szCs w:val="32"/>
          <w:shd w:val="clear" w:color="auto" w:fill="auto"/>
          <w:lang w:val="en-US" w:eastAsia="zh-CN"/>
        </w:rPr>
        <w:t>众</w:t>
      </w:r>
      <w:r>
        <w:rPr>
          <w:rFonts w:hint="eastAsia" w:ascii="仿宋_GB2312" w:hAnsi="仿宋_GB2312" w:eastAsia="仿宋_GB2312" w:cs="仿宋_GB2312"/>
          <w:b w:val="0"/>
          <w:bCs w:val="0"/>
          <w:color w:val="auto"/>
          <w:sz w:val="32"/>
          <w:szCs w:val="32"/>
          <w:shd w:val="clear" w:color="auto" w:fill="auto"/>
          <w:lang w:val="en-US" w:eastAsia="zh-CN"/>
        </w:rPr>
        <w:t>关系。为让安置点尼姑切身感受到党和政府的温暖，自服务工作开展以来，我委干部把尼姑当成自己的亲人、朋友，积极组织干部职工深入安置社区100余次，采取集体座谈20余次，个别交谈70余人，进行面对面交心谈心，认真倾听尼姑在日常生活中存在的困难或问题，切身倾听尼姑亟需解决的难题，积极协调相关部门为尼姑解决实际困难10余件，始终把尼姑最关心、最直接的利益问题放在首位；在三八妇女节、春节、藏历新年期间召开座谈会，对患病、困难尼姑进行20余次探望和慰问，送上慰问金、大米、油、面粉、毛毯等适用物；送医送药10余次。</w:t>
      </w:r>
      <w:bookmarkEnd w:id="34"/>
      <w:bookmarkEnd w:id="35"/>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36" w:name="_Toc21305"/>
      <w:bookmarkStart w:id="37" w:name="_Toc25689"/>
      <w:r>
        <w:rPr>
          <w:rFonts w:hint="eastAsia" w:ascii="仿宋_GB2312" w:hAnsi="仿宋_GB2312" w:eastAsia="仿宋_GB2312" w:cs="仿宋_GB2312"/>
          <w:b w:val="0"/>
          <w:bCs w:val="0"/>
          <w:color w:val="auto"/>
          <w:sz w:val="32"/>
          <w:szCs w:val="32"/>
          <w:shd w:val="clear" w:color="auto" w:fill="auto"/>
          <w:lang w:val="en-US" w:eastAsia="zh-CN"/>
        </w:rPr>
        <w:t>安全管理工作扎实推进。进一步加强排查力度，除了日常的排查之外，还在节假日、敏感时期加强巡逻值守；组织干部更新消防安全标语，邀请县消防队和应急管理局到安置点开展开展消防安全知识宣讲、应急演练，发放消防安全宣传手册60余份；进行消防安全、地灾隐患排查，更换60余个失效干粉灭火器，处理存在较大安全隐患的6棵枯树，消除隐患确保安全；定期对安置点食品、药品安全进行监督管理；规范教职人员外出的请销假制度，建立健全请销假台账，同时做好外来人员登记信息台账。</w:t>
      </w:r>
      <w:bookmarkEnd w:id="36"/>
      <w:bookmarkEnd w:id="37"/>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38" w:name="_Toc29769"/>
      <w:bookmarkStart w:id="39" w:name="_Toc31208"/>
      <w:r>
        <w:rPr>
          <w:rFonts w:hint="eastAsia" w:ascii="仿宋_GB2312" w:hAnsi="仿宋_GB2312" w:eastAsia="仿宋_GB2312" w:cs="仿宋_GB2312"/>
          <w:b w:val="0"/>
          <w:bCs w:val="0"/>
          <w:color w:val="auto"/>
          <w:sz w:val="32"/>
          <w:szCs w:val="32"/>
          <w:shd w:val="clear" w:color="auto" w:fill="auto"/>
          <w:lang w:val="en-US" w:eastAsia="zh-CN"/>
        </w:rPr>
        <w:t>开展信息核实工作。为实现全覆盖享受惠民政策，先后组织干部赴尼姑所涉六县，走访各县统战民宗争取各项惠民政策，督促和帮助尼姑购买养老、医疗保险，做到了应保尽保；实现低保全覆盖，使他们充分感受到党和政府对她们的关心和关爱。</w:t>
      </w:r>
      <w:bookmarkEnd w:id="38"/>
      <w:bookmarkEnd w:id="39"/>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40" w:name="_Toc16466"/>
      <w:bookmarkStart w:id="41" w:name="_Toc11728"/>
      <w:r>
        <w:rPr>
          <w:rFonts w:hint="eastAsia" w:ascii="仿宋_GB2312" w:hAnsi="仿宋_GB2312" w:eastAsia="仿宋_GB2312" w:cs="仿宋_GB2312"/>
          <w:b w:val="0"/>
          <w:bCs w:val="0"/>
          <w:color w:val="auto"/>
          <w:sz w:val="32"/>
          <w:szCs w:val="32"/>
          <w:shd w:val="clear" w:color="auto" w:fill="auto"/>
          <w:lang w:val="en-US" w:eastAsia="zh-CN"/>
        </w:rPr>
        <w:t>优化环境，营造美丽安置点。为进一步改善安置点及周边环境卫生，创建和谐美丽安置点。为确保无垃圾、无卫生死角，营造干净舒适的生活环境，组织环境卫生大整治活动10余次，参与人数共计200余人次；五一劳动节精心组织干部职工、民管会班子及广大尼姑开展植树活动，践行“绿水青山就是金山银山”的发展理念；同时，动员尼姑平整安置点内的空余土地，建设小菜园，种植蔬菜、花卉，增加绿化覆盖面；在安置点内教育引导尼众养成良好的卫生习惯，逐步降低尼姑群体包虫病、结核病等疾病的发病率。</w:t>
      </w:r>
      <w:bookmarkEnd w:id="40"/>
      <w:bookmarkEnd w:id="41"/>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42" w:name="_Toc225"/>
      <w:bookmarkStart w:id="43" w:name="_Toc28903"/>
      <w:r>
        <w:rPr>
          <w:rFonts w:hint="eastAsia" w:ascii="仿宋_GB2312" w:hAnsi="仿宋_GB2312" w:eastAsia="仿宋_GB2312" w:cs="仿宋_GB2312"/>
          <w:b w:val="0"/>
          <w:bCs w:val="0"/>
          <w:color w:val="auto"/>
          <w:sz w:val="32"/>
          <w:szCs w:val="32"/>
          <w:shd w:val="clear" w:color="auto" w:fill="auto"/>
          <w:lang w:val="en-US" w:eastAsia="zh-CN"/>
        </w:rPr>
        <w:t>加强民管会班子建设，规范安置点管理。不断加强对民管会班子建设管理，严格审查成员履职情况，积极培养后备人才；拟定事项管理责任书，将管理责任落实到民管会成员身上，实现专人监管，并与民管会签订安全管理“责任书”。</w:t>
      </w:r>
      <w:bookmarkEnd w:id="42"/>
      <w:bookmarkEnd w:id="43"/>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44" w:name="_Toc31300"/>
      <w:bookmarkStart w:id="45" w:name="_Toc5523"/>
      <w:r>
        <w:rPr>
          <w:rFonts w:hint="eastAsia" w:ascii="仿宋_GB2312" w:hAnsi="仿宋_GB2312" w:eastAsia="仿宋_GB2312" w:cs="仿宋_GB2312"/>
          <w:b w:val="0"/>
          <w:bCs w:val="0"/>
          <w:color w:val="auto"/>
          <w:sz w:val="32"/>
          <w:szCs w:val="32"/>
          <w:shd w:val="clear" w:color="auto" w:fill="auto"/>
          <w:lang w:val="en-US" w:eastAsia="zh-CN"/>
        </w:rPr>
        <w:t>加强稳控、舆情收集，确保安置点持续和谐稳定。积极组织干部职工深入安置点进行摸排50余次，了解掌握每名尼姑的思想状况和现实表现，清楚人员身份信息、家庭背景及社会关系，逐一登记造册，切实做到底数清，情况明；建立重点人员台账，制定监管措施，落实监管责任，开展“一对一、一帮一、多帮一”的思想教育，密切关注其思想行为动向。</w:t>
      </w:r>
      <w:bookmarkEnd w:id="44"/>
      <w:bookmarkEnd w:id="45"/>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46" w:name="_Toc26349"/>
      <w:bookmarkStart w:id="47" w:name="_Toc14748"/>
      <w:r>
        <w:rPr>
          <w:rFonts w:hint="eastAsia" w:ascii="仿宋_GB2312" w:hAnsi="仿宋_GB2312" w:eastAsia="仿宋_GB2312" w:cs="仿宋_GB2312"/>
          <w:b w:val="0"/>
          <w:bCs w:val="0"/>
          <w:color w:val="auto"/>
          <w:sz w:val="32"/>
          <w:szCs w:val="32"/>
          <w:shd w:val="clear" w:color="auto" w:fill="auto"/>
          <w:lang w:val="en-US" w:eastAsia="zh-CN"/>
        </w:rPr>
        <w:t>继续完善各项管理制度，提升管理水平。不断规范和完善各项管理制度，使管理提供者更加科学、规范；持续深化“四项管理”责任，签订四项管理责任书，落实责任主体，督促民管会积极履职，实现依法管理，自我管理，稳步推进“五美”寺庙创建工作。</w:t>
      </w:r>
      <w:bookmarkEnd w:id="46"/>
      <w:bookmarkEnd w:id="47"/>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48" w:name="_Toc22836"/>
      <w:bookmarkStart w:id="49" w:name="_Toc8958"/>
      <w:r>
        <w:rPr>
          <w:rFonts w:hint="eastAsia" w:ascii="仿宋_GB2312" w:hAnsi="仿宋_GB2312" w:eastAsia="仿宋_GB2312" w:cs="仿宋_GB2312"/>
          <w:b w:val="0"/>
          <w:bCs w:val="0"/>
          <w:color w:val="auto"/>
          <w:sz w:val="32"/>
          <w:szCs w:val="32"/>
          <w:shd w:val="clear" w:color="auto" w:fill="auto"/>
          <w:lang w:val="en-US" w:eastAsia="zh-CN"/>
        </w:rPr>
        <w:t>深入推进“一寺一策”常态化治理。以此次开展的“一寺一策”整治活动为契机，对标省委统战部八项问题、省委巡视组反馈宗教领域问题及县委提出的三个方面问题，逐一查找，针对发现的问题逐个落实整改。</w:t>
      </w:r>
      <w:bookmarkEnd w:id="48"/>
      <w:bookmarkEnd w:id="49"/>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50" w:name="_Toc13000"/>
      <w:bookmarkStart w:id="51" w:name="_Toc8719"/>
      <w:r>
        <w:rPr>
          <w:rFonts w:hint="eastAsia" w:ascii="仿宋_GB2312" w:hAnsi="仿宋_GB2312" w:eastAsia="仿宋_GB2312" w:cs="仿宋_GB2312"/>
          <w:b w:val="0"/>
          <w:bCs w:val="0"/>
          <w:color w:val="auto"/>
          <w:sz w:val="32"/>
          <w:szCs w:val="32"/>
          <w:shd w:val="clear" w:color="auto" w:fill="auto"/>
          <w:lang w:val="en-US" w:eastAsia="zh-CN"/>
        </w:rPr>
        <w:t>疫情防控工作持续推进。为持续做好疫情防控工作，按照上级下发相关文件指示精神，深入安置点50余次开展排查外出外来人员、测体温、宣讲疫情防控知识10余次、发放藏汉双语宣传资料300余份、全覆盖消毒20余次；对困难和患病尼姑发放慰问品、送药等价值6000余元，购运生活物资20余次；教育引导尼众不聚集、不外出、必须外出要戴口罩，要勤洗手、勤通风、适当锻炼身体增强体质、提高自防、自控意识，降低或避免被感染的风险，加强自我防护；建立劝导点，施行24小时值班值守；与民管会签订责任书，要求密切关注离开社区尼姑动向，回社区要第一时间上报我委；积极主动配合我委摸排工作人员，详细告诉有无武汉籍亲友接触史等相关重要事项。</w:t>
      </w:r>
      <w:bookmarkEnd w:id="50"/>
      <w:bookmarkEnd w:id="51"/>
    </w:p>
    <w:p>
      <w:pPr>
        <w:pStyle w:val="7"/>
        <w:numPr>
          <w:ilvl w:val="0"/>
          <w:numId w:val="1"/>
        </w:numPr>
        <w:adjustRightInd w:val="0"/>
        <w:snapToGrid w:val="0"/>
        <w:spacing w:before="93" w:line="600" w:lineRule="exact"/>
        <w:ind w:left="0" w:leftChars="0" w:firstLine="672" w:firstLineChars="210"/>
        <w:outlineLvl w:val="2"/>
        <w:rPr>
          <w:rFonts w:hint="eastAsia" w:ascii="仿宋_GB2312" w:hAnsi="仿宋_GB2312" w:eastAsia="仿宋_GB2312" w:cs="仿宋_GB2312"/>
          <w:b w:val="0"/>
          <w:bCs w:val="0"/>
          <w:color w:val="auto"/>
          <w:sz w:val="32"/>
          <w:szCs w:val="32"/>
          <w:shd w:val="clear" w:color="auto" w:fill="auto"/>
          <w:lang w:val="en-US" w:eastAsia="zh-CN"/>
        </w:rPr>
      </w:pPr>
      <w:bookmarkStart w:id="52" w:name="_Toc12378"/>
      <w:bookmarkStart w:id="53" w:name="_Toc6409"/>
      <w:r>
        <w:rPr>
          <w:rFonts w:hint="eastAsia" w:ascii="仿宋_GB2312" w:hAnsi="仿宋_GB2312" w:eastAsia="仿宋_GB2312" w:cs="仿宋_GB2312"/>
          <w:b w:val="0"/>
          <w:bCs w:val="0"/>
          <w:color w:val="auto"/>
          <w:sz w:val="32"/>
          <w:szCs w:val="32"/>
          <w:shd w:val="clear" w:color="auto" w:fill="auto"/>
          <w:lang w:val="en-US" w:eastAsia="zh-CN"/>
        </w:rPr>
        <w:t>扎实开展部门帮村工作。围绕驻村工作各项目标任务扎实开展了帮村工作。一是及时传达动员。在召开干部职工会上，组织集中学习了相关文件的精神，主任对帮村工作进行了具体的安排部署，对于“部门帮村”工作，要求全体干部积极参与，吃透村情，广泛征求结对村干部的意见，科学制订帮扶计划，确保帮在点子上，帮在关键处。二是及时分解任务。根据实际情况，确立了结对帮扶工作的目标任务，在日科村筛选出最困难的特困户，实行一对一的结对帮扶，把帮扶任务具体落实到每一位干部身上；三是摸清情况，制订规划。自落实帮扶责任以来，深入日柯村20余次，宣传县委、政府领导对他们的关心及精准扶贫举措，座谈了解村情民情，共商脱贫规划，制订帮扶方案和措施。通过与村两委干部和部分农牧民群众的反复商议，为该村脱贫想办法，出点子，为农牧民群众的生产生活做出了自己最大的努力。</w:t>
      </w:r>
      <w:bookmarkEnd w:id="52"/>
      <w:bookmarkEnd w:id="53"/>
    </w:p>
    <w:p>
      <w:pPr>
        <w:pStyle w:val="4"/>
        <w:numPr>
          <w:ilvl w:val="0"/>
          <w:numId w:val="0"/>
        </w:numPr>
        <w:rPr>
          <w:rFonts w:hint="eastAsia" w:ascii="仿宋_GB2312" w:hAnsi="黑体" w:eastAsia="仿宋_GB2312"/>
          <w:b/>
          <w:bCs w:val="0"/>
          <w:color w:val="000000"/>
        </w:rPr>
      </w:pPr>
      <w:bookmarkStart w:id="54" w:name="_Toc30995"/>
      <w:r>
        <w:rPr>
          <w:rFonts w:hint="eastAsia" w:ascii="仿宋_GB2312" w:hAnsi="黑体" w:eastAsia="仿宋_GB2312"/>
          <w:b/>
          <w:bCs w:val="0"/>
          <w:color w:val="000000"/>
        </w:rPr>
        <w:t>二</w:t>
      </w:r>
      <w:r>
        <w:rPr>
          <w:rFonts w:hint="eastAsia" w:ascii="黑体" w:hAnsi="Cambria" w:eastAsia="黑体" w:cs="Times New Roman"/>
          <w:b w:val="0"/>
          <w:color w:val="000000"/>
        </w:rPr>
        <w:t>、机构设置</w:t>
      </w:r>
      <w:bookmarkEnd w:id="28"/>
      <w:bookmarkEnd w:id="29"/>
      <w:bookmarkEnd w:id="54"/>
    </w:p>
    <w:p>
      <w:pPr>
        <w:ind w:firstLine="800" w:firstLineChars="250"/>
        <w:rPr>
          <w:rFonts w:hint="eastAsia" w:ascii="仿宋_GB2312" w:hAnsi="仿宋" w:eastAsia="仿宋_GB2312"/>
          <w:color w:val="FF0000"/>
          <w:sz w:val="32"/>
          <w:szCs w:val="32"/>
          <w:highlight w:val="none"/>
          <w:lang w:eastAsia="zh-CN"/>
        </w:rPr>
      </w:pPr>
      <w:r>
        <w:rPr>
          <w:rFonts w:hint="eastAsia" w:ascii="仿宋_GB2312" w:hAnsi="仿宋" w:eastAsia="仿宋_GB2312"/>
          <w:sz w:val="32"/>
          <w:szCs w:val="32"/>
          <w:highlight w:val="none"/>
          <w:lang w:eastAsia="zh-CN"/>
        </w:rPr>
        <w:t>壤塘县娜泽求宗社区管理委员会无</w:t>
      </w:r>
      <w:r>
        <w:rPr>
          <w:rFonts w:hint="eastAsia" w:ascii="仿宋_GB2312" w:hAnsi="仿宋" w:eastAsia="仿宋_GB2312"/>
          <w:sz w:val="32"/>
          <w:szCs w:val="32"/>
          <w:highlight w:val="none"/>
        </w:rPr>
        <w:t>下属二级单位</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本单位属</w:t>
      </w:r>
      <w:r>
        <w:rPr>
          <w:rFonts w:hint="eastAsia" w:ascii="仿宋_GB2312" w:hAnsi="仿宋" w:eastAsia="仿宋_GB2312"/>
          <w:sz w:val="32"/>
          <w:szCs w:val="32"/>
          <w:highlight w:val="none"/>
          <w:lang w:eastAsia="zh-CN"/>
        </w:rPr>
        <w:t>行政</w:t>
      </w:r>
      <w:r>
        <w:rPr>
          <w:rFonts w:hint="eastAsia" w:ascii="仿宋_GB2312" w:hAnsi="仿宋" w:eastAsia="仿宋_GB2312"/>
          <w:sz w:val="32"/>
          <w:szCs w:val="32"/>
          <w:highlight w:val="none"/>
        </w:rPr>
        <w:t>单位</w:t>
      </w:r>
      <w:r>
        <w:rPr>
          <w:rFonts w:hint="eastAsia" w:ascii="仿宋_GB2312" w:hAnsi="仿宋" w:eastAsia="仿宋_GB2312"/>
          <w:sz w:val="32"/>
          <w:szCs w:val="32"/>
          <w:highlight w:val="none"/>
          <w:lang w:eastAsia="zh-CN"/>
        </w:rPr>
        <w:t>。</w:t>
      </w:r>
    </w:p>
    <w:p>
      <w:pPr>
        <w:pStyle w:val="3"/>
        <w:ind w:right="440"/>
        <w:jc w:val="center"/>
        <w:rPr>
          <w:rFonts w:hint="eastAsia" w:ascii="黑体" w:hAnsi="黑体" w:eastAsia="黑体" w:cs="Times New Roman"/>
          <w:b w:val="0"/>
        </w:rPr>
      </w:pPr>
      <w:bookmarkStart w:id="55" w:name="_Toc15377204"/>
      <w:bookmarkStart w:id="56" w:name="_Toc15396602"/>
      <w:r>
        <w:rPr>
          <w:rFonts w:hint="eastAsia" w:ascii="仿宋_GB2312" w:hAnsi="黑体" w:eastAsia="仿宋_GB2312"/>
          <w:color w:val="000000"/>
        </w:rPr>
        <w:t xml:space="preserve">  </w:t>
      </w:r>
      <w:bookmarkStart w:id="57" w:name="_Toc25985"/>
      <w:r>
        <w:rPr>
          <w:rFonts w:hint="eastAsia" w:ascii="仿宋_GB2312" w:hAnsi="黑体" w:eastAsia="仿宋_GB2312"/>
          <w:color w:val="000000"/>
        </w:rPr>
        <w:t>第</w:t>
      </w:r>
      <w:r>
        <w:rPr>
          <w:rFonts w:hint="eastAsia" w:ascii="黑体" w:hAnsi="黑体" w:eastAsia="黑体" w:cs="Times New Roman"/>
          <w:b w:val="0"/>
        </w:rPr>
        <w:t>二部分20</w:t>
      </w:r>
      <w:r>
        <w:rPr>
          <w:rFonts w:hint="eastAsia" w:ascii="黑体" w:hAnsi="黑体" w:eastAsia="黑体" w:cs="Times New Roman"/>
          <w:b w:val="0"/>
          <w:lang w:val="en-US" w:eastAsia="zh-CN"/>
        </w:rPr>
        <w:t>20</w:t>
      </w:r>
      <w:r>
        <w:rPr>
          <w:rFonts w:hint="eastAsia" w:ascii="黑体" w:hAnsi="黑体" w:eastAsia="黑体" w:cs="Times New Roman"/>
          <w:b w:val="0"/>
        </w:rPr>
        <w:t>年度部门决算情况说明</w:t>
      </w:r>
      <w:bookmarkEnd w:id="55"/>
      <w:bookmarkEnd w:id="56"/>
      <w:bookmarkEnd w:id="57"/>
    </w:p>
    <w:p>
      <w:pPr>
        <w:rPr>
          <w:rFonts w:ascii="仿宋_GB2312" w:eastAsia="仿宋_GB2312"/>
          <w:sz w:val="32"/>
          <w:szCs w:val="32"/>
        </w:rPr>
      </w:pPr>
    </w:p>
    <w:p>
      <w:pPr>
        <w:pStyle w:val="35"/>
        <w:numPr>
          <w:ilvl w:val="0"/>
          <w:numId w:val="2"/>
        </w:numPr>
        <w:spacing w:line="600" w:lineRule="exact"/>
        <w:ind w:firstLineChars="0"/>
        <w:outlineLvl w:val="1"/>
        <w:rPr>
          <w:rFonts w:hint="eastAsia" w:ascii="黑体" w:hAnsi="黑体" w:eastAsia="黑体" w:cs="Times New Roman"/>
          <w:color w:val="000000"/>
          <w:sz w:val="32"/>
          <w:szCs w:val="32"/>
        </w:rPr>
      </w:pPr>
      <w:bookmarkStart w:id="58" w:name="_Toc27592"/>
      <w:bookmarkStart w:id="59" w:name="_Toc15396603"/>
      <w:bookmarkStart w:id="60" w:name="_Toc15377205"/>
      <w:r>
        <w:rPr>
          <w:rFonts w:hint="eastAsia" w:ascii="黑体" w:hAnsi="黑体" w:eastAsia="黑体" w:cs="Times New Roman"/>
          <w:color w:val="000000"/>
          <w:sz w:val="32"/>
          <w:szCs w:val="32"/>
        </w:rPr>
        <w:t>收入支出决算总体情况说明</w:t>
      </w:r>
      <w:bookmarkEnd w:id="58"/>
      <w:bookmarkEnd w:id="59"/>
      <w:bookmarkEnd w:id="60"/>
    </w:p>
    <w:p>
      <w:pPr>
        <w:spacing w:line="60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年度收入总计</w:t>
      </w:r>
      <w:r>
        <w:rPr>
          <w:rFonts w:hint="eastAsia" w:ascii="仿宋_GB2312" w:hAnsi="仿宋" w:eastAsia="仿宋_GB2312"/>
          <w:color w:val="000000"/>
          <w:sz w:val="32"/>
          <w:szCs w:val="32"/>
          <w:lang w:val="en-US" w:eastAsia="zh-CN"/>
        </w:rPr>
        <w:t>86.47</w:t>
      </w:r>
      <w:r>
        <w:rPr>
          <w:rFonts w:hint="eastAsia" w:ascii="仿宋_GB2312" w:hAnsi="仿宋" w:eastAsia="仿宋_GB2312"/>
          <w:color w:val="000000"/>
          <w:sz w:val="32"/>
          <w:szCs w:val="32"/>
        </w:rPr>
        <w:t>万元，与201</w:t>
      </w:r>
      <w:r>
        <w:rPr>
          <w:rFonts w:hint="eastAsia" w:ascii="仿宋_GB2312" w:hAnsi="仿宋" w:eastAsia="仿宋_GB2312"/>
          <w:color w:val="000000"/>
          <w:sz w:val="32"/>
          <w:szCs w:val="32"/>
          <w:lang w:val="en-US" w:eastAsia="zh-CN"/>
        </w:rPr>
        <w:t>9</w:t>
      </w:r>
      <w:r>
        <w:rPr>
          <w:rFonts w:hint="eastAsia" w:ascii="仿宋_GB2312" w:hAnsi="仿宋" w:eastAsia="仿宋_GB2312"/>
          <w:color w:val="000000"/>
          <w:sz w:val="32"/>
          <w:szCs w:val="32"/>
        </w:rPr>
        <w:t>年相比，</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lang w:val="en-US" w:eastAsia="zh-CN"/>
        </w:rPr>
        <w:t>86.47</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增长</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。主要变动原因</w:t>
      </w:r>
      <w:r>
        <w:rPr>
          <w:rFonts w:hint="eastAsia" w:ascii="仿宋_GB2312" w:hAnsi="仿宋" w:eastAsia="仿宋_GB2312"/>
          <w:color w:val="000000"/>
          <w:sz w:val="32"/>
          <w:szCs w:val="32"/>
          <w:lang w:eastAsia="zh-CN"/>
        </w:rPr>
        <w:t>：本单位是7月新成立单位</w:t>
      </w:r>
      <w:r>
        <w:rPr>
          <w:rFonts w:hint="eastAsia" w:ascii="仿宋_GB2312" w:hAnsi="仿宋" w:eastAsia="仿宋_GB2312"/>
          <w:color w:val="000000"/>
          <w:sz w:val="32"/>
          <w:szCs w:val="32"/>
        </w:rPr>
        <w:t>; 支出总计</w:t>
      </w:r>
      <w:r>
        <w:rPr>
          <w:rFonts w:hint="eastAsia" w:ascii="仿宋_GB2312" w:hAnsi="仿宋" w:eastAsia="仿宋_GB2312"/>
          <w:color w:val="000000"/>
          <w:sz w:val="32"/>
          <w:szCs w:val="32"/>
          <w:lang w:val="en-US" w:eastAsia="zh-CN"/>
        </w:rPr>
        <w:t>97.96</w:t>
      </w:r>
      <w:r>
        <w:rPr>
          <w:rFonts w:hint="eastAsia" w:ascii="仿宋_GB2312" w:hAnsi="仿宋" w:eastAsia="仿宋_GB2312"/>
          <w:color w:val="000000"/>
          <w:sz w:val="32"/>
          <w:szCs w:val="32"/>
        </w:rPr>
        <w:t>万元。与201</w:t>
      </w:r>
      <w:r>
        <w:rPr>
          <w:rFonts w:hint="eastAsia" w:ascii="仿宋_GB2312" w:hAnsi="仿宋" w:eastAsia="仿宋_GB2312"/>
          <w:color w:val="000000"/>
          <w:sz w:val="32"/>
          <w:szCs w:val="32"/>
          <w:lang w:val="en-US" w:eastAsia="zh-CN"/>
        </w:rPr>
        <w:t>9</w:t>
      </w:r>
      <w:r>
        <w:rPr>
          <w:rFonts w:hint="eastAsia" w:ascii="仿宋_GB2312" w:hAnsi="仿宋" w:eastAsia="仿宋_GB2312"/>
          <w:color w:val="000000"/>
          <w:sz w:val="32"/>
          <w:szCs w:val="32"/>
        </w:rPr>
        <w:t>年相比，</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lang w:val="en-US" w:eastAsia="zh-CN"/>
        </w:rPr>
        <w:t>97.96</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增长</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。主要变动原因是</w:t>
      </w:r>
      <w:r>
        <w:rPr>
          <w:rFonts w:hint="eastAsia" w:ascii="仿宋_GB2312" w:hAnsi="仿宋" w:eastAsia="仿宋_GB2312"/>
          <w:color w:val="000000"/>
          <w:sz w:val="32"/>
          <w:szCs w:val="32"/>
          <w:lang w:eastAsia="zh-CN"/>
        </w:rPr>
        <w:t>本单位是7月新成立单位。</w:t>
      </w:r>
    </w:p>
    <w:p>
      <w:pPr>
        <w:pStyle w:val="21"/>
        <w:rPr>
          <w:rFonts w:hint="eastAsia" w:ascii="仿宋_GB2312" w:hAnsi="仿宋" w:eastAsia="仿宋_GB2312"/>
          <w:color w:val="000000"/>
          <w:sz w:val="32"/>
          <w:szCs w:val="32"/>
          <w:lang w:eastAsia="zh-CN"/>
        </w:rPr>
      </w:pPr>
    </w:p>
    <w:p>
      <w:pPr>
        <w:pStyle w:val="21"/>
        <w:jc w:val="both"/>
      </w:pPr>
      <w:r>
        <w:drawing>
          <wp:inline distT="0" distB="0" distL="114300" distR="114300">
            <wp:extent cx="4465320" cy="2712720"/>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4465320" cy="2712720"/>
                    </a:xfrm>
                    <a:prstGeom prst="rect">
                      <a:avLst/>
                    </a:prstGeom>
                    <a:noFill/>
                    <a:ln>
                      <a:noFill/>
                    </a:ln>
                  </pic:spPr>
                </pic:pic>
              </a:graphicData>
            </a:graphic>
          </wp:inline>
        </w:drawing>
      </w:r>
    </w:p>
    <w:p>
      <w:pPr>
        <w:pStyle w:val="21"/>
        <w:ind w:left="0" w:leftChars="0" w:firstLine="0" w:firstLineChars="0"/>
        <w:rPr>
          <w:rFonts w:hint="eastAsia"/>
        </w:rPr>
      </w:pPr>
    </w:p>
    <w:p>
      <w:pPr>
        <w:pStyle w:val="21"/>
        <w:rPr>
          <w:rFonts w:hint="eastAsia"/>
        </w:rPr>
      </w:pPr>
      <w:r>
        <w:drawing>
          <wp:inline distT="0" distB="0" distL="114300" distR="114300">
            <wp:extent cx="4503420" cy="2682240"/>
            <wp:effectExtent l="0" t="0" r="762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7"/>
                    <a:stretch>
                      <a:fillRect/>
                    </a:stretch>
                  </pic:blipFill>
                  <pic:spPr>
                    <a:xfrm>
                      <a:off x="0" y="0"/>
                      <a:ext cx="4503420" cy="2682240"/>
                    </a:xfrm>
                    <a:prstGeom prst="rect">
                      <a:avLst/>
                    </a:prstGeom>
                    <a:noFill/>
                    <a:ln>
                      <a:noFill/>
                    </a:ln>
                  </pic:spPr>
                </pic:pic>
              </a:graphicData>
            </a:graphic>
          </wp:inline>
        </w:drawing>
      </w:r>
    </w:p>
    <w:p>
      <w:pPr>
        <w:pStyle w:val="21"/>
        <w:rPr>
          <w:rFonts w:hint="eastAsia"/>
        </w:rPr>
      </w:pPr>
    </w:p>
    <w:p>
      <w:pPr>
        <w:spacing w:line="600" w:lineRule="exact"/>
        <w:rPr>
          <w:rFonts w:hint="eastAsia" w:ascii="仿宋_GB2312" w:hAnsi="仿宋" w:eastAsia="仿宋_GB2312"/>
          <w:color w:val="000000" w:themeColor="text1"/>
          <w:sz w:val="32"/>
          <w:szCs w:val="32"/>
          <w14:textFill>
            <w14:solidFill>
              <w14:schemeClr w14:val="tx1"/>
            </w14:solidFill>
          </w14:textFill>
        </w:rPr>
      </w:pPr>
    </w:p>
    <w:p>
      <w:pPr>
        <w:spacing w:line="600" w:lineRule="exact"/>
        <w:jc w:val="center"/>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图1：（收、支决算总计变动情况图）（柱状图）</w:t>
      </w:r>
    </w:p>
    <w:p>
      <w:pPr>
        <w:pStyle w:val="35"/>
        <w:numPr>
          <w:ilvl w:val="0"/>
          <w:numId w:val="2"/>
        </w:numPr>
        <w:spacing w:line="600" w:lineRule="exact"/>
        <w:ind w:firstLineChars="0"/>
        <w:outlineLvl w:val="1"/>
        <w:rPr>
          <w:rFonts w:hint="eastAsia" w:ascii="黑体" w:hAnsi="黑体" w:eastAsia="黑体" w:cs="Times New Roman"/>
          <w:color w:val="000000"/>
          <w:sz w:val="32"/>
          <w:szCs w:val="32"/>
        </w:rPr>
      </w:pPr>
      <w:bookmarkStart w:id="61" w:name="_Toc15396604"/>
      <w:bookmarkStart w:id="62" w:name="_Toc15377206"/>
      <w:bookmarkStart w:id="63" w:name="_Toc25264"/>
      <w:r>
        <w:rPr>
          <w:rFonts w:hint="eastAsia" w:ascii="黑体" w:hAnsi="黑体" w:eastAsia="黑体" w:cs="Times New Roman"/>
          <w:color w:val="000000"/>
          <w:sz w:val="32"/>
          <w:szCs w:val="32"/>
        </w:rPr>
        <w:t>收入决算情况说明</w:t>
      </w:r>
      <w:bookmarkEnd w:id="61"/>
      <w:bookmarkEnd w:id="62"/>
      <w:bookmarkEnd w:id="63"/>
    </w:p>
    <w:p>
      <w:pPr>
        <w:spacing w:line="600" w:lineRule="exact"/>
        <w:ind w:firstLine="640"/>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lang w:val="en-US" w:eastAsia="zh-CN"/>
        </w:rPr>
        <w:t>2020年本年收入合计86.47万元，其中：一般公共预算财政拨款收入86.47万元，占100%；政府性基金预算财政拨款收入0万元，占0%；国有资本经营预算财政拨款收入0万元，占0%；事业收入0万元，占0%；经营收入0万元，占0%；附属单位上缴收入0万元，占0%；其他收入0万元，占0%。</w:t>
      </w:r>
    </w:p>
    <w:p>
      <w:pPr>
        <w:pStyle w:val="16"/>
        <w:rPr>
          <w:rFonts w:hint="eastAsia"/>
          <w:lang w:val="en-US" w:eastAsia="zh-CN"/>
        </w:rPr>
      </w:pPr>
      <w:r>
        <w:drawing>
          <wp:anchor distT="0" distB="0" distL="114935" distR="114935" simplePos="0" relativeHeight="251659264" behindDoc="0" locked="0" layoutInCell="1" allowOverlap="1">
            <wp:simplePos x="0" y="0"/>
            <wp:positionH relativeFrom="column">
              <wp:posOffset>102870</wp:posOffset>
            </wp:positionH>
            <wp:positionV relativeFrom="paragraph">
              <wp:posOffset>72390</wp:posOffset>
            </wp:positionV>
            <wp:extent cx="5239385" cy="3140075"/>
            <wp:effectExtent l="0" t="0" r="3175" b="14605"/>
            <wp:wrapSquare wrapText="bothSides"/>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5239385" cy="3140075"/>
                    </a:xfrm>
                    <a:prstGeom prst="rect">
                      <a:avLst/>
                    </a:prstGeom>
                    <a:noFill/>
                    <a:ln>
                      <a:noFill/>
                    </a:ln>
                  </pic:spPr>
                </pic:pic>
              </a:graphicData>
            </a:graphic>
          </wp:anchor>
        </w:drawing>
      </w:r>
    </w:p>
    <w:p>
      <w:pPr>
        <w:spacing w:line="600" w:lineRule="exact"/>
        <w:ind w:firstLine="640" w:firstLineChars="200"/>
        <w:jc w:val="center"/>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（图2：收入决算结构图）（饼状图）</w:t>
      </w:r>
    </w:p>
    <w:p>
      <w:pPr>
        <w:spacing w:line="600" w:lineRule="exact"/>
        <w:ind w:firstLine="640" w:firstLineChars="200"/>
        <w:rPr>
          <w:rFonts w:ascii="仿宋_GB2312" w:eastAsia="仿宋_GB2312"/>
          <w:color w:val="FF0000"/>
          <w:sz w:val="32"/>
          <w:szCs w:val="32"/>
        </w:rPr>
      </w:pPr>
    </w:p>
    <w:p>
      <w:pPr>
        <w:pStyle w:val="35"/>
        <w:numPr>
          <w:ilvl w:val="0"/>
          <w:numId w:val="2"/>
        </w:numPr>
        <w:spacing w:line="600" w:lineRule="exact"/>
        <w:ind w:firstLineChars="0"/>
        <w:outlineLvl w:val="1"/>
        <w:rPr>
          <w:rFonts w:hint="eastAsia" w:ascii="黑体" w:hAnsi="黑体" w:eastAsia="黑体" w:cs="Times New Roman"/>
          <w:color w:val="000000"/>
          <w:sz w:val="32"/>
          <w:szCs w:val="32"/>
        </w:rPr>
      </w:pPr>
      <w:bookmarkStart w:id="64" w:name="_Toc23404"/>
      <w:bookmarkStart w:id="65" w:name="_Toc15377207"/>
      <w:bookmarkStart w:id="66" w:name="_Toc15396605"/>
      <w:r>
        <w:rPr>
          <w:rFonts w:hint="eastAsia" w:ascii="黑体" w:hAnsi="黑体" w:eastAsia="黑体" w:cs="Times New Roman"/>
          <w:color w:val="000000"/>
          <w:sz w:val="32"/>
          <w:szCs w:val="32"/>
        </w:rPr>
        <w:t>支出决算情况说明</w:t>
      </w:r>
      <w:bookmarkEnd w:id="64"/>
      <w:bookmarkEnd w:id="65"/>
      <w:bookmarkEnd w:id="66"/>
    </w:p>
    <w:p>
      <w:pPr>
        <w:spacing w:line="600" w:lineRule="exact"/>
        <w:ind w:firstLine="640"/>
        <w:rPr>
          <w:rFonts w:hint="eastAsia" w:ascii="仿宋_GB2312" w:hAnsi="仿宋" w:eastAsia="仿宋_GB2312"/>
          <w:color w:val="000000"/>
          <w:sz w:val="32"/>
          <w:szCs w:val="32"/>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年本年支出合计</w:t>
      </w:r>
      <w:r>
        <w:rPr>
          <w:rFonts w:hint="eastAsia" w:ascii="仿宋_GB2312" w:hAnsi="仿宋" w:eastAsia="仿宋_GB2312"/>
          <w:color w:val="000000"/>
          <w:sz w:val="32"/>
          <w:szCs w:val="32"/>
          <w:lang w:val="en-US" w:eastAsia="zh-CN"/>
        </w:rPr>
        <w:t>97.96</w:t>
      </w:r>
      <w:r>
        <w:rPr>
          <w:rFonts w:hint="eastAsia" w:ascii="仿宋_GB2312" w:hAnsi="仿宋" w:eastAsia="仿宋_GB2312"/>
          <w:color w:val="000000"/>
          <w:sz w:val="32"/>
          <w:szCs w:val="32"/>
        </w:rPr>
        <w:t>万元，其中：基本支出</w:t>
      </w:r>
      <w:r>
        <w:rPr>
          <w:rFonts w:hint="eastAsia" w:ascii="仿宋_GB2312" w:hAnsi="仿宋" w:eastAsia="仿宋_GB2312"/>
          <w:color w:val="000000"/>
          <w:sz w:val="32"/>
          <w:szCs w:val="32"/>
          <w:lang w:val="en-US" w:eastAsia="zh-CN"/>
        </w:rPr>
        <w:t>61.82</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63.11</w:t>
      </w:r>
      <w:r>
        <w:rPr>
          <w:rFonts w:hint="eastAsia" w:ascii="仿宋_GB2312" w:hAnsi="仿宋" w:eastAsia="仿宋_GB2312"/>
          <w:color w:val="000000"/>
          <w:sz w:val="32"/>
          <w:szCs w:val="32"/>
        </w:rPr>
        <w:t>%；项目支出</w:t>
      </w:r>
      <w:r>
        <w:rPr>
          <w:rFonts w:hint="eastAsia" w:ascii="仿宋_GB2312" w:hAnsi="仿宋" w:eastAsia="仿宋_GB2312"/>
          <w:color w:val="000000"/>
          <w:sz w:val="32"/>
          <w:szCs w:val="32"/>
          <w:lang w:val="en-US" w:eastAsia="zh-CN"/>
        </w:rPr>
        <w:t>36.14</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36.89</w:t>
      </w:r>
      <w:r>
        <w:rPr>
          <w:rFonts w:hint="eastAsia" w:ascii="仿宋_GB2312" w:hAnsi="仿宋" w:eastAsia="仿宋_GB2312"/>
          <w:color w:val="000000"/>
          <w:sz w:val="32"/>
          <w:szCs w:val="32"/>
        </w:rPr>
        <w:t>%；上缴上级支出</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%；经营支出</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%；对附属单位补助支出</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w:t>
      </w:r>
    </w:p>
    <w:p>
      <w:pPr>
        <w:pStyle w:val="21"/>
        <w:rPr>
          <w:rFonts w:hint="eastAsia" w:ascii="仿宋_GB2312" w:hAnsi="仿宋" w:eastAsia="仿宋_GB2312"/>
          <w:color w:val="000000"/>
          <w:sz w:val="32"/>
          <w:szCs w:val="32"/>
        </w:rPr>
      </w:pPr>
      <w:r>
        <w:drawing>
          <wp:inline distT="0" distB="0" distL="114300" distR="114300">
            <wp:extent cx="4480560" cy="2727960"/>
            <wp:effectExtent l="0" t="0" r="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9"/>
                    <a:stretch>
                      <a:fillRect/>
                    </a:stretch>
                  </pic:blipFill>
                  <pic:spPr>
                    <a:xfrm>
                      <a:off x="0" y="0"/>
                      <a:ext cx="4480560" cy="2727960"/>
                    </a:xfrm>
                    <a:prstGeom prst="rect">
                      <a:avLst/>
                    </a:prstGeom>
                    <a:noFill/>
                    <a:ln>
                      <a:noFill/>
                    </a:ln>
                  </pic:spPr>
                </pic:pic>
              </a:graphicData>
            </a:graphic>
          </wp:inline>
        </w:drawing>
      </w:r>
    </w:p>
    <w:p>
      <w:pPr>
        <w:spacing w:line="600" w:lineRule="exact"/>
        <w:ind w:firstLine="640" w:firstLineChars="200"/>
        <w:jc w:val="center"/>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（图3：支出决算结构图）（饼状图）</w:t>
      </w:r>
    </w:p>
    <w:p>
      <w:pPr>
        <w:spacing w:line="600" w:lineRule="exact"/>
        <w:ind w:firstLine="640" w:firstLineChars="200"/>
        <w:rPr>
          <w:rFonts w:ascii="仿宋_GB2312" w:eastAsia="仿宋_GB2312"/>
          <w:color w:val="FF0000"/>
          <w:sz w:val="32"/>
          <w:szCs w:val="32"/>
        </w:rPr>
      </w:pPr>
    </w:p>
    <w:p>
      <w:pPr>
        <w:spacing w:line="600" w:lineRule="exact"/>
        <w:ind w:firstLine="640" w:firstLineChars="200"/>
        <w:outlineLvl w:val="1"/>
        <w:rPr>
          <w:rFonts w:hint="eastAsia" w:ascii="黑体" w:hAnsi="黑体" w:eastAsia="黑体" w:cs="Times New Roman"/>
          <w:color w:val="000000"/>
          <w:sz w:val="32"/>
          <w:szCs w:val="32"/>
          <w:lang w:val="en-US" w:eastAsia="zh-CN"/>
        </w:rPr>
      </w:pPr>
      <w:bookmarkStart w:id="67" w:name="_Toc10448"/>
      <w:bookmarkStart w:id="68" w:name="_Toc15396606"/>
      <w:bookmarkStart w:id="69" w:name="_Toc15377208"/>
      <w:r>
        <w:rPr>
          <w:rFonts w:hint="eastAsia" w:ascii="黑体" w:hAnsi="黑体" w:eastAsia="黑体" w:cs="Times New Roman"/>
          <w:color w:val="000000"/>
          <w:sz w:val="32"/>
          <w:szCs w:val="32"/>
          <w:lang w:val="en-US" w:eastAsia="zh-CN"/>
        </w:rPr>
        <w:t>四、财政拨款收入支出决算总体情况说明</w:t>
      </w:r>
      <w:bookmarkEnd w:id="67"/>
      <w:bookmarkEnd w:id="68"/>
      <w:bookmarkEnd w:id="69"/>
    </w:p>
    <w:p>
      <w:pPr>
        <w:spacing w:line="600" w:lineRule="exact"/>
        <w:ind w:firstLine="640" w:firstLineChars="200"/>
        <w:rPr>
          <w:rFonts w:hint="eastAsia" w:ascii="仿宋_GB2312" w:hAnsi="仿宋" w:eastAsia="仿宋_GB2312"/>
          <w:color w:val="000000"/>
          <w:sz w:val="32"/>
          <w:szCs w:val="32"/>
          <w:highlight w:val="none"/>
        </w:rPr>
      </w:pPr>
      <w:r>
        <w:rPr>
          <w:rFonts w:hint="eastAsia" w:ascii="仿宋_GB2312" w:hAnsi="仿宋" w:eastAsia="仿宋_GB2312"/>
          <w:color w:val="000000"/>
          <w:sz w:val="32"/>
          <w:szCs w:val="32"/>
          <w:highlight w:val="none"/>
        </w:rPr>
        <w:t>20</w:t>
      </w:r>
      <w:r>
        <w:rPr>
          <w:rFonts w:hint="eastAsia" w:ascii="仿宋_GB2312" w:hAnsi="仿宋" w:eastAsia="仿宋_GB2312"/>
          <w:color w:val="000000"/>
          <w:sz w:val="32"/>
          <w:szCs w:val="32"/>
          <w:highlight w:val="none"/>
          <w:lang w:val="en-US" w:eastAsia="zh-CN"/>
        </w:rPr>
        <w:t>20</w:t>
      </w:r>
      <w:r>
        <w:rPr>
          <w:rFonts w:hint="eastAsia" w:ascii="仿宋_GB2312" w:hAnsi="仿宋" w:eastAsia="仿宋_GB2312"/>
          <w:color w:val="000000"/>
          <w:sz w:val="32"/>
          <w:szCs w:val="32"/>
          <w:highlight w:val="none"/>
        </w:rPr>
        <w:t>年财政拨款</w:t>
      </w:r>
      <w:r>
        <w:rPr>
          <w:rFonts w:hint="eastAsia" w:ascii="仿宋_GB2312" w:hAnsi="仿宋" w:eastAsia="仿宋_GB2312"/>
          <w:color w:val="000000"/>
          <w:sz w:val="32"/>
          <w:szCs w:val="32"/>
          <w:highlight w:val="none"/>
          <w:lang w:eastAsia="zh-CN"/>
        </w:rPr>
        <w:t>收入</w:t>
      </w:r>
      <w:r>
        <w:rPr>
          <w:rFonts w:hint="eastAsia" w:ascii="仿宋_GB2312" w:hAnsi="仿宋" w:eastAsia="仿宋_GB2312"/>
          <w:color w:val="000000"/>
          <w:sz w:val="32"/>
          <w:szCs w:val="32"/>
          <w:highlight w:val="none"/>
        </w:rPr>
        <w:t>总计</w:t>
      </w:r>
      <w:r>
        <w:rPr>
          <w:rFonts w:hint="eastAsia" w:ascii="仿宋_GB2312" w:hAnsi="仿宋" w:eastAsia="仿宋_GB2312"/>
          <w:color w:val="000000"/>
          <w:sz w:val="32"/>
          <w:szCs w:val="32"/>
          <w:highlight w:val="none"/>
          <w:lang w:val="en-US" w:eastAsia="zh-CN"/>
        </w:rPr>
        <w:t>86.47</w:t>
      </w:r>
      <w:r>
        <w:rPr>
          <w:rFonts w:hint="eastAsia" w:ascii="仿宋_GB2312" w:hAnsi="仿宋" w:eastAsia="仿宋_GB2312"/>
          <w:color w:val="000000"/>
          <w:sz w:val="32"/>
          <w:szCs w:val="32"/>
          <w:highlight w:val="none"/>
        </w:rPr>
        <w:t>万元。与201</w:t>
      </w:r>
      <w:r>
        <w:rPr>
          <w:rFonts w:hint="eastAsia" w:ascii="仿宋_GB2312" w:hAnsi="仿宋" w:eastAsia="仿宋_GB2312"/>
          <w:color w:val="000000"/>
          <w:sz w:val="32"/>
          <w:szCs w:val="32"/>
          <w:highlight w:val="none"/>
          <w:lang w:val="en-US" w:eastAsia="zh-CN"/>
        </w:rPr>
        <w:t>9</w:t>
      </w:r>
      <w:r>
        <w:rPr>
          <w:rFonts w:hint="eastAsia" w:ascii="仿宋_GB2312" w:hAnsi="仿宋" w:eastAsia="仿宋_GB2312"/>
          <w:color w:val="000000"/>
          <w:sz w:val="32"/>
          <w:szCs w:val="32"/>
          <w:highlight w:val="none"/>
        </w:rPr>
        <w:t>年相比，财政拨款收</w:t>
      </w:r>
      <w:r>
        <w:rPr>
          <w:rFonts w:hint="eastAsia" w:ascii="仿宋_GB2312" w:hAnsi="仿宋" w:eastAsia="仿宋_GB2312"/>
          <w:color w:val="000000"/>
          <w:sz w:val="32"/>
          <w:szCs w:val="32"/>
          <w:highlight w:val="none"/>
          <w:lang w:eastAsia="zh-CN"/>
        </w:rPr>
        <w:t>入</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lang w:val="en-US" w:eastAsia="zh-CN"/>
        </w:rPr>
        <w:t>86.47</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增长</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。主要变动原因</w:t>
      </w:r>
      <w:r>
        <w:rPr>
          <w:rFonts w:hint="eastAsia" w:ascii="仿宋_GB2312" w:hAnsi="仿宋" w:eastAsia="仿宋_GB2312"/>
          <w:color w:val="000000"/>
          <w:sz w:val="32"/>
          <w:szCs w:val="32"/>
          <w:lang w:eastAsia="zh-CN"/>
        </w:rPr>
        <w:t>：本单位是7月新成立单位</w:t>
      </w:r>
      <w:r>
        <w:rPr>
          <w:rFonts w:hint="eastAsia" w:ascii="仿宋_GB2312" w:hAnsi="仿宋" w:eastAsia="仿宋_GB2312"/>
          <w:color w:val="000000"/>
          <w:sz w:val="32"/>
          <w:szCs w:val="32"/>
          <w:highlight w:val="none"/>
          <w:lang w:eastAsia="zh-CN"/>
        </w:rPr>
        <w:t>。</w:t>
      </w:r>
      <w:r>
        <w:rPr>
          <w:rFonts w:hint="eastAsia" w:ascii="仿宋_GB2312" w:hAnsi="仿宋" w:eastAsia="仿宋_GB2312"/>
          <w:color w:val="000000"/>
          <w:sz w:val="32"/>
          <w:szCs w:val="32"/>
          <w:highlight w:val="none"/>
        </w:rPr>
        <w:t>20</w:t>
      </w:r>
      <w:r>
        <w:rPr>
          <w:rFonts w:hint="eastAsia" w:ascii="仿宋_GB2312" w:hAnsi="仿宋" w:eastAsia="仿宋_GB2312"/>
          <w:color w:val="000000"/>
          <w:sz w:val="32"/>
          <w:szCs w:val="32"/>
          <w:highlight w:val="none"/>
          <w:lang w:val="en-US" w:eastAsia="zh-CN"/>
        </w:rPr>
        <w:t>20</w:t>
      </w:r>
      <w:r>
        <w:rPr>
          <w:rFonts w:hint="eastAsia" w:ascii="仿宋_GB2312" w:hAnsi="仿宋" w:eastAsia="仿宋_GB2312"/>
          <w:color w:val="000000"/>
          <w:sz w:val="32"/>
          <w:szCs w:val="32"/>
          <w:highlight w:val="none"/>
        </w:rPr>
        <w:t>年财政拨款支出支出总计</w:t>
      </w:r>
      <w:r>
        <w:rPr>
          <w:rFonts w:hint="eastAsia" w:ascii="仿宋_GB2312" w:hAnsi="仿宋" w:eastAsia="仿宋_GB2312"/>
          <w:color w:val="000000"/>
          <w:sz w:val="32"/>
          <w:szCs w:val="32"/>
          <w:highlight w:val="none"/>
          <w:lang w:val="en-US" w:eastAsia="zh-CN"/>
        </w:rPr>
        <w:t>97.96</w:t>
      </w:r>
      <w:r>
        <w:rPr>
          <w:rFonts w:hint="eastAsia" w:ascii="仿宋_GB2312" w:hAnsi="仿宋" w:eastAsia="仿宋_GB2312"/>
          <w:color w:val="000000"/>
          <w:sz w:val="32"/>
          <w:szCs w:val="32"/>
          <w:highlight w:val="none"/>
        </w:rPr>
        <w:t>万元。与2019年相比，增加</w:t>
      </w:r>
      <w:r>
        <w:rPr>
          <w:rFonts w:hint="eastAsia" w:ascii="仿宋_GB2312" w:hAnsi="仿宋" w:eastAsia="仿宋_GB2312"/>
          <w:color w:val="000000"/>
          <w:sz w:val="32"/>
          <w:szCs w:val="32"/>
          <w:highlight w:val="none"/>
          <w:lang w:val="en-US" w:eastAsia="zh-CN"/>
        </w:rPr>
        <w:t>97.96</w:t>
      </w:r>
      <w:r>
        <w:rPr>
          <w:rFonts w:hint="eastAsia" w:ascii="仿宋_GB2312" w:hAnsi="仿宋" w:eastAsia="仿宋_GB2312"/>
          <w:color w:val="000000"/>
          <w:sz w:val="32"/>
          <w:szCs w:val="32"/>
          <w:highlight w:val="none"/>
        </w:rPr>
        <w:t>万元，增长</w:t>
      </w:r>
      <w:r>
        <w:rPr>
          <w:rFonts w:hint="eastAsia" w:ascii="仿宋_GB2312" w:hAnsi="仿宋" w:eastAsia="仿宋_GB2312"/>
          <w:color w:val="000000"/>
          <w:sz w:val="32"/>
          <w:szCs w:val="32"/>
          <w:highlight w:val="none"/>
          <w:lang w:val="en-US" w:eastAsia="zh-CN"/>
        </w:rPr>
        <w:t>100</w:t>
      </w:r>
      <w:r>
        <w:rPr>
          <w:rFonts w:hint="eastAsia" w:ascii="仿宋_GB2312" w:hAnsi="仿宋" w:eastAsia="仿宋_GB2312"/>
          <w:color w:val="000000"/>
          <w:sz w:val="32"/>
          <w:szCs w:val="32"/>
          <w:highlight w:val="none"/>
        </w:rPr>
        <w:t>%。主要变动原因是</w:t>
      </w:r>
      <w:r>
        <w:rPr>
          <w:rFonts w:hint="eastAsia" w:ascii="仿宋_GB2312" w:hAnsi="仿宋" w:eastAsia="仿宋_GB2312"/>
          <w:color w:val="000000"/>
          <w:sz w:val="32"/>
          <w:szCs w:val="32"/>
          <w:lang w:eastAsia="zh-CN"/>
        </w:rPr>
        <w:t>本单位是7月新成立单位。</w:t>
      </w: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rPr>
          <w:rFonts w:hint="eastAsia" w:ascii="仿宋_GB2312" w:hAnsi="仿宋" w:eastAsia="仿宋_GB2312"/>
          <w:color w:val="000000"/>
          <w:sz w:val="32"/>
          <w:szCs w:val="32"/>
          <w:highlight w:val="none"/>
        </w:rPr>
      </w:pPr>
    </w:p>
    <w:p>
      <w:pPr>
        <w:pStyle w:val="21"/>
        <w:jc w:val="center"/>
      </w:pPr>
      <w:r>
        <w:drawing>
          <wp:inline distT="0" distB="0" distL="114300" distR="114300">
            <wp:extent cx="4457700" cy="2712720"/>
            <wp:effectExtent l="0" t="0" r="762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0"/>
                    <a:stretch>
                      <a:fillRect/>
                    </a:stretch>
                  </pic:blipFill>
                  <pic:spPr>
                    <a:xfrm>
                      <a:off x="0" y="0"/>
                      <a:ext cx="4457700" cy="2712720"/>
                    </a:xfrm>
                    <a:prstGeom prst="rect">
                      <a:avLst/>
                    </a:prstGeom>
                    <a:noFill/>
                    <a:ln>
                      <a:noFill/>
                    </a:ln>
                  </pic:spPr>
                </pic:pic>
              </a:graphicData>
            </a:graphic>
          </wp:inline>
        </w:drawing>
      </w:r>
    </w:p>
    <w:p>
      <w:pPr>
        <w:pStyle w:val="21"/>
        <w:jc w:val="center"/>
        <w:rPr>
          <w:rFonts w:hint="eastAsia"/>
        </w:rPr>
      </w:pPr>
      <w:r>
        <w:drawing>
          <wp:inline distT="0" distB="0" distL="114300" distR="114300">
            <wp:extent cx="4465320" cy="2644140"/>
            <wp:effectExtent l="0" t="0" r="0" b="762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4465320" cy="2644140"/>
                    </a:xfrm>
                    <a:prstGeom prst="rect">
                      <a:avLst/>
                    </a:prstGeom>
                    <a:noFill/>
                    <a:ln>
                      <a:noFill/>
                    </a:ln>
                  </pic:spPr>
                </pic:pic>
              </a:graphicData>
            </a:graphic>
          </wp:inline>
        </w:drawing>
      </w:r>
    </w:p>
    <w:p>
      <w:pPr>
        <w:spacing w:line="600" w:lineRule="exact"/>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（图4：财政拨款收、支决算总计变动情况）（柱状图）</w:t>
      </w:r>
    </w:p>
    <w:p>
      <w:pPr>
        <w:pStyle w:val="16"/>
      </w:pPr>
    </w:p>
    <w:p>
      <w:pPr>
        <w:pStyle w:val="16"/>
      </w:pPr>
    </w:p>
    <w:p>
      <w:pPr>
        <w:spacing w:line="600" w:lineRule="exact"/>
        <w:ind w:firstLine="642" w:firstLineChars="200"/>
        <w:outlineLvl w:val="1"/>
        <w:rPr>
          <w:rStyle w:val="31"/>
          <w:rFonts w:ascii="仿宋_GB2312" w:hAnsi="黑体" w:eastAsia="仿宋_GB2312"/>
          <w:b/>
          <w:bCs/>
        </w:rPr>
      </w:pPr>
      <w:bookmarkStart w:id="70" w:name="_Toc27153"/>
      <w:bookmarkStart w:id="71" w:name="_Toc15377209"/>
      <w:bookmarkStart w:id="72" w:name="_Toc15396607"/>
      <w:r>
        <w:rPr>
          <w:rFonts w:hint="eastAsia" w:ascii="仿宋_GB2312" w:hAnsi="黑体" w:eastAsia="仿宋_GB2312"/>
          <w:b/>
          <w:bCs/>
          <w:color w:val="000000"/>
          <w:sz w:val="32"/>
          <w:szCs w:val="32"/>
        </w:rPr>
        <w:t>五、一</w:t>
      </w:r>
      <w:r>
        <w:rPr>
          <w:rStyle w:val="31"/>
          <w:rFonts w:hint="eastAsia" w:ascii="仿宋_GB2312" w:hAnsi="黑体" w:eastAsia="仿宋_GB2312"/>
          <w:b/>
          <w:bCs/>
        </w:rPr>
        <w:t>般公共预算财政拨款支出决算情况说明</w:t>
      </w:r>
      <w:bookmarkEnd w:id="70"/>
      <w:bookmarkEnd w:id="71"/>
      <w:bookmarkEnd w:id="72"/>
    </w:p>
    <w:p>
      <w:pPr>
        <w:spacing w:line="600" w:lineRule="exact"/>
        <w:ind w:firstLine="642" w:firstLineChars="200"/>
        <w:outlineLvl w:val="2"/>
        <w:rPr>
          <w:rFonts w:ascii="仿宋_GB2312" w:hAnsi="仿宋" w:eastAsia="仿宋_GB2312"/>
          <w:b/>
          <w:color w:val="000000"/>
          <w:sz w:val="32"/>
          <w:szCs w:val="32"/>
        </w:rPr>
      </w:pPr>
      <w:bookmarkStart w:id="73" w:name="_Toc31093"/>
      <w:bookmarkStart w:id="74" w:name="_Toc15377210"/>
      <w:r>
        <w:rPr>
          <w:rFonts w:hint="eastAsia" w:ascii="仿宋_GB2312" w:hAnsi="仿宋" w:eastAsia="仿宋_GB2312"/>
          <w:b/>
          <w:color w:val="000000"/>
          <w:sz w:val="32"/>
          <w:szCs w:val="32"/>
        </w:rPr>
        <w:t>（一）一般公共预算财政拨款支出决算总体情况</w:t>
      </w:r>
      <w:bookmarkEnd w:id="73"/>
      <w:bookmarkEnd w:id="74"/>
    </w:p>
    <w:p>
      <w:pPr>
        <w:spacing w:line="600" w:lineRule="exact"/>
        <w:ind w:firstLine="640" w:firstLineChars="200"/>
        <w:rPr>
          <w:rFonts w:hint="eastAsia" w:ascii="仿宋_GB2312" w:hAnsi="仿宋" w:eastAsia="仿宋_GB2312"/>
          <w:color w:val="000000"/>
          <w:sz w:val="32"/>
          <w:szCs w:val="32"/>
          <w:highlight w:val="none"/>
          <w:lang w:eastAsia="zh-CN"/>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年一般公共预算财政拨款支出</w:t>
      </w:r>
      <w:r>
        <w:rPr>
          <w:rFonts w:hint="eastAsia" w:ascii="仿宋_GB2312" w:hAnsi="仿宋" w:eastAsia="仿宋_GB2312"/>
          <w:color w:val="000000"/>
          <w:sz w:val="32"/>
          <w:szCs w:val="32"/>
          <w:highlight w:val="none"/>
          <w:lang w:val="en-US" w:eastAsia="zh-CN"/>
        </w:rPr>
        <w:t>97.96</w:t>
      </w:r>
      <w:r>
        <w:rPr>
          <w:rFonts w:hint="eastAsia" w:ascii="仿宋_GB2312" w:hAnsi="仿宋" w:eastAsia="仿宋_GB2312"/>
          <w:color w:val="000000"/>
          <w:sz w:val="32"/>
          <w:szCs w:val="32"/>
        </w:rPr>
        <w:t>万元，占本年支出合计的</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%。与201</w:t>
      </w:r>
      <w:r>
        <w:rPr>
          <w:rFonts w:hint="eastAsia" w:ascii="仿宋_GB2312" w:hAnsi="仿宋" w:eastAsia="仿宋_GB2312"/>
          <w:color w:val="000000"/>
          <w:sz w:val="32"/>
          <w:szCs w:val="32"/>
          <w:lang w:val="en-US" w:eastAsia="zh-CN"/>
        </w:rPr>
        <w:t>9</w:t>
      </w:r>
      <w:r>
        <w:rPr>
          <w:rFonts w:hint="eastAsia" w:ascii="仿宋_GB2312" w:hAnsi="仿宋" w:eastAsia="仿宋_GB2312"/>
          <w:color w:val="000000"/>
          <w:sz w:val="32"/>
          <w:szCs w:val="32"/>
        </w:rPr>
        <w:t>年相比，一般公共预算财政拨款</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highlight w:val="none"/>
          <w:lang w:val="en-US" w:eastAsia="zh-CN"/>
        </w:rPr>
        <w:t>97.96</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增长</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。主要变动原因</w:t>
      </w:r>
      <w:r>
        <w:rPr>
          <w:rFonts w:hint="eastAsia" w:ascii="仿宋_GB2312" w:hAnsi="仿宋" w:eastAsia="仿宋_GB2312"/>
          <w:color w:val="000000"/>
          <w:sz w:val="32"/>
          <w:szCs w:val="32"/>
          <w:lang w:eastAsia="zh-CN"/>
        </w:rPr>
        <w:t>：本单位是7月新成立单位</w:t>
      </w:r>
      <w:r>
        <w:rPr>
          <w:rFonts w:hint="eastAsia" w:ascii="仿宋_GB2312" w:hAnsi="仿宋" w:eastAsia="仿宋_GB2312"/>
          <w:color w:val="000000"/>
          <w:sz w:val="32"/>
          <w:szCs w:val="32"/>
          <w:highlight w:val="none"/>
          <w:lang w:eastAsia="zh-CN"/>
        </w:rPr>
        <w:t>。</w:t>
      </w:r>
    </w:p>
    <w:p>
      <w:pPr>
        <w:spacing w:line="600" w:lineRule="exact"/>
        <w:rPr>
          <w:rFonts w:hint="eastAsia"/>
          <w:lang w:val="en-US" w:eastAsia="zh-CN"/>
        </w:rPr>
      </w:pPr>
    </w:p>
    <w:p>
      <w:pPr>
        <w:spacing w:line="600" w:lineRule="exact"/>
        <w:ind w:firstLine="420" w:firstLineChars="200"/>
        <w:rPr>
          <w:rFonts w:ascii="仿宋_GB2312" w:hAnsi="仿宋" w:eastAsia="仿宋_GB2312"/>
          <w:color w:val="000000" w:themeColor="text1"/>
          <w:sz w:val="32"/>
          <w:szCs w:val="32"/>
          <w14:textFill>
            <w14:solidFill>
              <w14:schemeClr w14:val="tx1"/>
            </w14:solidFill>
          </w14:textFill>
        </w:rPr>
      </w:pPr>
      <w:r>
        <w:drawing>
          <wp:anchor distT="0" distB="0" distL="114935" distR="114935" simplePos="0" relativeHeight="251660288" behindDoc="0" locked="0" layoutInCell="1" allowOverlap="1">
            <wp:simplePos x="0" y="0"/>
            <wp:positionH relativeFrom="column">
              <wp:posOffset>297180</wp:posOffset>
            </wp:positionH>
            <wp:positionV relativeFrom="paragraph">
              <wp:posOffset>4445</wp:posOffset>
            </wp:positionV>
            <wp:extent cx="4533900" cy="2781300"/>
            <wp:effectExtent l="0" t="0" r="7620" b="7620"/>
            <wp:wrapTopAndBottom/>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2"/>
                    <a:stretch>
                      <a:fillRect/>
                    </a:stretch>
                  </pic:blipFill>
                  <pic:spPr>
                    <a:xfrm>
                      <a:off x="0" y="0"/>
                      <a:ext cx="4533900" cy="2781300"/>
                    </a:xfrm>
                    <a:prstGeom prst="rect">
                      <a:avLst/>
                    </a:prstGeom>
                    <a:noFill/>
                    <a:ln>
                      <a:noFill/>
                    </a:ln>
                  </pic:spPr>
                </pic:pic>
              </a:graphicData>
            </a:graphic>
          </wp:anchor>
        </w:drawing>
      </w:r>
      <w:r>
        <w:rPr>
          <w:rFonts w:hint="eastAsia" w:ascii="仿宋_GB2312" w:hAnsi="仿宋" w:eastAsia="仿宋_GB2312"/>
          <w:color w:val="000000" w:themeColor="text1"/>
          <w:sz w:val="32"/>
          <w:szCs w:val="32"/>
          <w14:textFill>
            <w14:solidFill>
              <w14:schemeClr w14:val="tx1"/>
            </w14:solidFill>
          </w14:textFill>
        </w:rPr>
        <w:t>（图5：一般公共预算财政拨款支出决算变动情况）（柱状图）</w:t>
      </w:r>
    </w:p>
    <w:p>
      <w:pPr>
        <w:spacing w:line="600" w:lineRule="exact"/>
        <w:ind w:firstLine="642" w:firstLineChars="200"/>
        <w:outlineLvl w:val="2"/>
        <w:rPr>
          <w:rFonts w:ascii="仿宋_GB2312" w:hAnsi="仿宋" w:eastAsia="仿宋_GB2312"/>
          <w:b/>
          <w:color w:val="000000"/>
          <w:sz w:val="32"/>
          <w:szCs w:val="32"/>
        </w:rPr>
      </w:pPr>
      <w:bookmarkStart w:id="75" w:name="_Toc9087"/>
      <w:bookmarkStart w:id="76" w:name="_Toc15377211"/>
      <w:r>
        <w:rPr>
          <w:rFonts w:hint="eastAsia" w:ascii="仿宋_GB2312" w:hAnsi="仿宋" w:eastAsia="仿宋_GB2312"/>
          <w:b/>
          <w:color w:val="000000"/>
          <w:sz w:val="32"/>
          <w:szCs w:val="32"/>
        </w:rPr>
        <w:t>（二）一般公共预算财政拨款支出决算结构情况</w:t>
      </w:r>
      <w:bookmarkEnd w:id="75"/>
      <w:bookmarkEnd w:id="76"/>
    </w:p>
    <w:p>
      <w:pPr>
        <w:spacing w:line="600" w:lineRule="exact"/>
        <w:ind w:firstLine="640"/>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pPr>
      <w:r>
        <w:rPr>
          <w:rFonts w:hint="eastAsia" w:ascii="仿宋_GB2312" w:hAnsi="仿宋" w:eastAsia="仿宋_GB2312"/>
          <w:b w:val="0"/>
          <w:bCs w:val="0"/>
          <w:color w:val="000000"/>
          <w:sz w:val="32"/>
          <w:szCs w:val="32"/>
        </w:rPr>
        <w:t>20</w:t>
      </w:r>
      <w:r>
        <w:rPr>
          <w:rFonts w:hint="eastAsia" w:ascii="仿宋_GB2312" w:hAnsi="仿宋" w:eastAsia="仿宋_GB2312"/>
          <w:b w:val="0"/>
          <w:bCs w:val="0"/>
          <w:color w:val="000000"/>
          <w:sz w:val="32"/>
          <w:szCs w:val="32"/>
          <w:lang w:val="en-US" w:eastAsia="zh-CN"/>
        </w:rPr>
        <w:t>20</w:t>
      </w:r>
      <w:r>
        <w:rPr>
          <w:rFonts w:hint="eastAsia" w:ascii="仿宋_GB2312" w:hAnsi="仿宋" w:eastAsia="仿宋_GB2312"/>
          <w:b w:val="0"/>
          <w:bCs w:val="0"/>
          <w:color w:val="000000"/>
          <w:sz w:val="32"/>
          <w:szCs w:val="32"/>
        </w:rPr>
        <w:t>年一般公共预算财</w:t>
      </w:r>
      <w:r>
        <w:rPr>
          <w:rFonts w:hint="eastAsia" w:ascii="仿宋_GB2312" w:hAnsi="仿宋" w:eastAsia="仿宋_GB2312"/>
          <w:b w:val="0"/>
          <w:bCs w:val="0"/>
          <w:color w:val="000000" w:themeColor="text1"/>
          <w:sz w:val="32"/>
          <w:szCs w:val="32"/>
          <w14:textFill>
            <w14:solidFill>
              <w14:schemeClr w14:val="tx1"/>
            </w14:solidFill>
          </w14:textFill>
        </w:rPr>
        <w:t>政拨款支出</w:t>
      </w:r>
      <w:r>
        <w:rPr>
          <w:rFonts w:hint="eastAsia" w:ascii="仿宋_GB2312" w:hAnsi="仿宋" w:eastAsia="仿宋_GB2312"/>
          <w:b w:val="0"/>
          <w:bCs w:val="0"/>
          <w:color w:val="000000"/>
          <w:sz w:val="32"/>
          <w:szCs w:val="32"/>
          <w:highlight w:val="none"/>
          <w:lang w:val="en-US" w:eastAsia="zh-CN"/>
        </w:rPr>
        <w:t>97.96</w:t>
      </w:r>
      <w:r>
        <w:rPr>
          <w:rFonts w:hint="eastAsia" w:ascii="仿宋_GB2312" w:hAnsi="仿宋" w:eastAsia="仿宋_GB2312"/>
          <w:b w:val="0"/>
          <w:bCs w:val="0"/>
          <w:color w:val="000000" w:themeColor="text1"/>
          <w:sz w:val="32"/>
          <w:szCs w:val="32"/>
          <w14:textFill>
            <w14:solidFill>
              <w14:schemeClr w14:val="tx1"/>
            </w14:solidFill>
          </w14:textFill>
        </w:rPr>
        <w:t>万元，主要用于以下方面</w:t>
      </w:r>
      <w:r>
        <w:rPr>
          <w:rFonts w:hint="eastAsia" w:ascii="仿宋_GB2312" w:hAnsi="仿宋" w:eastAsia="仿宋_GB2312"/>
          <w:b w:val="0"/>
          <w:bCs w:val="0"/>
          <w:color w:val="000000" w:themeColor="text1"/>
          <w:sz w:val="32"/>
          <w:szCs w:val="32"/>
          <w:highlight w:val="none"/>
          <w14:textFill>
            <w14:solidFill>
              <w14:schemeClr w14:val="tx1"/>
            </w14:solidFill>
          </w14:textFill>
        </w:rPr>
        <w:t>:一般公共服务（类）支出</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82.75</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84.47</w:t>
      </w:r>
      <w:r>
        <w:rPr>
          <w:rFonts w:hint="eastAsia" w:ascii="仿宋_GB2312" w:hAnsi="仿宋" w:eastAsia="仿宋_GB2312"/>
          <w:b w:val="0"/>
          <w:bCs w:val="0"/>
          <w:color w:val="000000" w:themeColor="text1"/>
          <w:sz w:val="32"/>
          <w:szCs w:val="32"/>
          <w:highlight w:val="none"/>
          <w14:textFill>
            <w14:solidFill>
              <w14:schemeClr w14:val="tx1"/>
            </w14:solidFill>
          </w14:textFill>
        </w:rPr>
        <w:t>%；教育支出（类）支出</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0</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0</w:t>
      </w:r>
      <w:r>
        <w:rPr>
          <w:rFonts w:hint="eastAsia" w:ascii="仿宋_GB2312" w:hAnsi="仿宋" w:eastAsia="仿宋_GB2312"/>
          <w:b w:val="0"/>
          <w:bCs w:val="0"/>
          <w:color w:val="000000" w:themeColor="text1"/>
          <w:sz w:val="32"/>
          <w:szCs w:val="32"/>
          <w:highlight w:val="none"/>
          <w14:textFill>
            <w14:solidFill>
              <w14:schemeClr w14:val="tx1"/>
            </w14:solidFill>
          </w14:textFill>
        </w:rPr>
        <w:t>%；科学技术（类）支出</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0</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0</w:t>
      </w:r>
      <w:r>
        <w:rPr>
          <w:rFonts w:hint="eastAsia" w:ascii="仿宋_GB2312" w:hAnsi="仿宋" w:eastAsia="仿宋_GB2312"/>
          <w:b w:val="0"/>
          <w:bCs w:val="0"/>
          <w:color w:val="000000" w:themeColor="text1"/>
          <w:sz w:val="32"/>
          <w:szCs w:val="32"/>
          <w:highlight w:val="none"/>
          <w14:textFill>
            <w14:solidFill>
              <w14:schemeClr w14:val="tx1"/>
            </w14:solidFill>
          </w14:textFill>
        </w:rPr>
        <w:t>%；社会保障和就业（类）支出</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7.52</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7.68</w:t>
      </w:r>
      <w:r>
        <w:rPr>
          <w:rFonts w:hint="eastAsia" w:ascii="仿宋_GB2312" w:hAnsi="仿宋" w:eastAsia="仿宋_GB2312"/>
          <w:b w:val="0"/>
          <w:bCs w:val="0"/>
          <w:color w:val="000000" w:themeColor="text1"/>
          <w:sz w:val="32"/>
          <w:szCs w:val="32"/>
          <w:highlight w:val="none"/>
          <w14:textFill>
            <w14:solidFill>
              <w14:schemeClr w14:val="tx1"/>
            </w14:solidFill>
          </w14:textFill>
        </w:rPr>
        <w:t>%；</w:t>
      </w:r>
      <w:r>
        <w:rPr>
          <w:rFonts w:hint="eastAsia" w:ascii="仿宋_GB2312" w:hAnsi="仿宋" w:eastAsia="仿宋_GB2312" w:cs="Times New Roman"/>
          <w:b w:val="0"/>
          <w:bCs w:val="0"/>
          <w:color w:val="000000" w:themeColor="text1"/>
          <w:sz w:val="32"/>
          <w:szCs w:val="32"/>
          <w:highlight w:val="none"/>
          <w14:textFill>
            <w14:solidFill>
              <w14:schemeClr w14:val="tx1"/>
            </w14:solidFill>
          </w14:textFill>
        </w:rPr>
        <w:t>卫生健康</w:t>
      </w:r>
      <w:r>
        <w:rPr>
          <w:rFonts w:hint="eastAsia" w:ascii="仿宋_GB2312" w:hAnsi="仿宋" w:eastAsia="仿宋_GB2312"/>
          <w:b w:val="0"/>
          <w:bCs w:val="0"/>
          <w:color w:val="000000" w:themeColor="text1"/>
          <w:sz w:val="32"/>
          <w:szCs w:val="32"/>
          <w:highlight w:val="none"/>
          <w14:textFill>
            <w14:solidFill>
              <w14:schemeClr w14:val="tx1"/>
            </w14:solidFill>
          </w14:textFill>
        </w:rPr>
        <w:t>（类）</w:t>
      </w:r>
      <w:r>
        <w:rPr>
          <w:rFonts w:hint="eastAsia" w:ascii="仿宋_GB2312" w:hAnsi="仿宋" w:eastAsia="仿宋_GB2312" w:cs="Times New Roman"/>
          <w:b w:val="0"/>
          <w:bCs w:val="0"/>
          <w:color w:val="000000" w:themeColor="text1"/>
          <w:sz w:val="32"/>
          <w:szCs w:val="32"/>
          <w:highlight w:val="none"/>
          <w:lang w:eastAsia="zh-CN"/>
          <w14:textFill>
            <w14:solidFill>
              <w14:schemeClr w14:val="tx1"/>
            </w14:solidFill>
          </w14:textFill>
        </w:rPr>
        <w:t>支出</w:t>
      </w:r>
      <w:r>
        <w:rPr>
          <w:rFonts w:hint="eastAsia" w:ascii="仿宋_GB2312" w:hAnsi="仿宋" w:eastAsia="仿宋_GB2312" w:cs="Times New Roman"/>
          <w:b w:val="0"/>
          <w:bCs w:val="0"/>
          <w:color w:val="000000" w:themeColor="text1"/>
          <w:sz w:val="32"/>
          <w:szCs w:val="32"/>
          <w:highlight w:val="none"/>
          <w:lang w:val="en-US" w:eastAsia="zh-CN"/>
          <w14:textFill>
            <w14:solidFill>
              <w14:schemeClr w14:val="tx1"/>
            </w14:solidFill>
          </w14:textFill>
        </w:rPr>
        <w:t>2.48</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2.53</w:t>
      </w:r>
      <w:r>
        <w:rPr>
          <w:rFonts w:hint="eastAsia" w:ascii="仿宋_GB2312" w:hAnsi="仿宋" w:eastAsia="仿宋_GB2312"/>
          <w:b w:val="0"/>
          <w:bCs w:val="0"/>
          <w:color w:val="000000" w:themeColor="text1"/>
          <w:sz w:val="32"/>
          <w:szCs w:val="32"/>
          <w:highlight w:val="none"/>
          <w14:textFill>
            <w14:solidFill>
              <w14:schemeClr w14:val="tx1"/>
            </w14:solidFill>
          </w14:textFill>
        </w:rPr>
        <w:t>%；</w:t>
      </w:r>
      <w:r>
        <w:rPr>
          <w:rFonts w:hint="eastAsia" w:ascii="仿宋_GB2312" w:hAnsi="仿宋" w:eastAsia="仿宋_GB2312" w:cs="Times New Roman"/>
          <w:b w:val="0"/>
          <w:bCs w:val="0"/>
          <w:color w:val="000000" w:themeColor="text1"/>
          <w:sz w:val="32"/>
          <w:szCs w:val="32"/>
          <w:highlight w:val="none"/>
          <w14:textFill>
            <w14:solidFill>
              <w14:schemeClr w14:val="tx1"/>
            </w14:solidFill>
          </w14:textFill>
        </w:rPr>
        <w:t>住房保障</w:t>
      </w:r>
      <w:r>
        <w:rPr>
          <w:rFonts w:hint="eastAsia" w:ascii="仿宋_GB2312" w:hAnsi="仿宋" w:eastAsia="仿宋_GB2312"/>
          <w:b w:val="0"/>
          <w:bCs w:val="0"/>
          <w:color w:val="000000" w:themeColor="text1"/>
          <w:sz w:val="32"/>
          <w:szCs w:val="32"/>
          <w:highlight w:val="none"/>
          <w14:textFill>
            <w14:solidFill>
              <w14:schemeClr w14:val="tx1"/>
            </w14:solidFill>
          </w14:textFill>
        </w:rPr>
        <w:t>（类）</w:t>
      </w:r>
      <w:r>
        <w:rPr>
          <w:rFonts w:hint="eastAsia" w:ascii="仿宋_GB2312" w:hAnsi="仿宋" w:eastAsia="仿宋_GB2312" w:cs="Times New Roman"/>
          <w:b w:val="0"/>
          <w:bCs w:val="0"/>
          <w:color w:val="000000" w:themeColor="text1"/>
          <w:sz w:val="32"/>
          <w:szCs w:val="32"/>
          <w:highlight w:val="none"/>
          <w:lang w:eastAsia="zh-CN"/>
          <w14:textFill>
            <w14:solidFill>
              <w14:schemeClr w14:val="tx1"/>
            </w14:solidFill>
          </w14:textFill>
        </w:rPr>
        <w:t>支出</w:t>
      </w:r>
      <w:r>
        <w:rPr>
          <w:rFonts w:hint="eastAsia" w:ascii="仿宋_GB2312" w:hAnsi="仿宋" w:eastAsia="仿宋_GB2312" w:cs="Times New Roman"/>
          <w:b w:val="0"/>
          <w:bCs w:val="0"/>
          <w:color w:val="000000" w:themeColor="text1"/>
          <w:sz w:val="32"/>
          <w:szCs w:val="32"/>
          <w:highlight w:val="none"/>
          <w:lang w:val="en-US" w:eastAsia="zh-CN"/>
          <w14:textFill>
            <w14:solidFill>
              <w14:schemeClr w14:val="tx1"/>
            </w14:solidFill>
          </w14:textFill>
        </w:rPr>
        <w:t>5.20</w:t>
      </w:r>
      <w:r>
        <w:rPr>
          <w:rFonts w:hint="eastAsia" w:ascii="仿宋_GB2312" w:hAnsi="仿宋" w:eastAsia="仿宋_GB2312"/>
          <w:b w:val="0"/>
          <w:bCs w:val="0"/>
          <w:color w:val="000000" w:themeColor="text1"/>
          <w:sz w:val="32"/>
          <w:szCs w:val="32"/>
          <w:highlight w:val="none"/>
          <w14:textFill>
            <w14:solidFill>
              <w14:schemeClr w14:val="tx1"/>
            </w14:solidFill>
          </w14:textFill>
        </w:rPr>
        <w:t>万元，占</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5.31</w:t>
      </w:r>
      <w:r>
        <w:rPr>
          <w:rFonts w:hint="eastAsia" w:ascii="仿宋_GB2312" w:hAnsi="仿宋" w:eastAsia="仿宋_GB2312"/>
          <w:b w:val="0"/>
          <w:bCs w:val="0"/>
          <w:color w:val="000000" w:themeColor="text1"/>
          <w:sz w:val="32"/>
          <w:szCs w:val="32"/>
          <w:highlight w:val="none"/>
          <w14:textFill>
            <w14:solidFill>
              <w14:schemeClr w14:val="tx1"/>
            </w14:solidFill>
          </w14:textFill>
        </w:rPr>
        <w:t>%</w:t>
      </w:r>
      <w:r>
        <w:rPr>
          <w:rFonts w:hint="eastAsia" w:ascii="仿宋_GB2312" w:hAnsi="仿宋" w:eastAsia="仿宋_GB2312"/>
          <w:b w:val="0"/>
          <w:bCs w:val="0"/>
          <w:color w:val="000000" w:themeColor="text1"/>
          <w:sz w:val="32"/>
          <w:szCs w:val="32"/>
          <w:highlight w:val="none"/>
          <w:lang w:val="en-US" w:eastAsia="zh-CN"/>
          <w14:textFill>
            <w14:solidFill>
              <w14:schemeClr w14:val="tx1"/>
            </w14:solidFill>
          </w14:textFill>
        </w:rPr>
        <w:t>。</w:t>
      </w:r>
    </w:p>
    <w:p>
      <w:pPr>
        <w:pStyle w:val="21"/>
        <w:rPr>
          <w:rFonts w:hint="default"/>
          <w:lang w:val="en-US" w:eastAsia="zh-CN"/>
        </w:rPr>
      </w:pPr>
    </w:p>
    <w:p>
      <w:pPr>
        <w:pStyle w:val="21"/>
        <w:rPr>
          <w:rFonts w:hint="eastAsia" w:ascii="仿宋_GB2312" w:hAnsi="仿宋" w:eastAsia="仿宋_GB2312"/>
          <w:color w:val="000000"/>
          <w:sz w:val="32"/>
          <w:szCs w:val="32"/>
        </w:rPr>
      </w:pPr>
      <w:r>
        <w:drawing>
          <wp:inline distT="0" distB="0" distL="114300" distR="114300">
            <wp:extent cx="4244340" cy="2484120"/>
            <wp:effectExtent l="0" t="0" r="7620" b="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3"/>
                    <a:stretch>
                      <a:fillRect/>
                    </a:stretch>
                  </pic:blipFill>
                  <pic:spPr>
                    <a:xfrm>
                      <a:off x="0" y="0"/>
                      <a:ext cx="4244340" cy="2484120"/>
                    </a:xfrm>
                    <a:prstGeom prst="rect">
                      <a:avLst/>
                    </a:prstGeom>
                    <a:noFill/>
                    <a:ln>
                      <a:noFill/>
                    </a:ln>
                  </pic:spPr>
                </pic:pic>
              </a:graphicData>
            </a:graphic>
          </wp:inline>
        </w:drawing>
      </w:r>
    </w:p>
    <w:p>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（图6：一般公共预算财政拨款支出决算结构）（饼状图）</w:t>
      </w:r>
    </w:p>
    <w:p>
      <w:pPr>
        <w:spacing w:line="600" w:lineRule="exact"/>
        <w:rPr>
          <w:rFonts w:ascii="仿宋_GB2312" w:hAnsi="仿宋" w:eastAsia="仿宋_GB2312"/>
          <w:color w:val="000000"/>
          <w:sz w:val="32"/>
          <w:szCs w:val="32"/>
        </w:rPr>
      </w:pPr>
    </w:p>
    <w:p>
      <w:pPr>
        <w:spacing w:line="600" w:lineRule="exact"/>
        <w:ind w:firstLine="642" w:firstLineChars="200"/>
        <w:outlineLvl w:val="2"/>
        <w:rPr>
          <w:rFonts w:ascii="仿宋_GB2312" w:hAnsi="仿宋" w:eastAsia="仿宋_GB2312"/>
          <w:b/>
          <w:color w:val="000000"/>
          <w:sz w:val="32"/>
          <w:szCs w:val="32"/>
        </w:rPr>
      </w:pPr>
      <w:bookmarkStart w:id="77" w:name="_Toc15377212"/>
      <w:bookmarkStart w:id="78" w:name="_Toc26545"/>
      <w:r>
        <w:rPr>
          <w:rFonts w:hint="eastAsia" w:ascii="仿宋_GB2312" w:hAnsi="仿宋" w:eastAsia="仿宋_GB2312"/>
          <w:b/>
          <w:color w:val="000000"/>
          <w:sz w:val="32"/>
          <w:szCs w:val="32"/>
        </w:rPr>
        <w:t>（三）一般公共预算财政拨款支出决算具体情况</w:t>
      </w:r>
      <w:bookmarkEnd w:id="77"/>
      <w:bookmarkEnd w:id="78"/>
    </w:p>
    <w:p>
      <w:pPr>
        <w:bidi w:val="0"/>
        <w:ind w:firstLine="640" w:firstLineChars="200"/>
        <w:rPr>
          <w:rFonts w:ascii="仿宋_GB2312" w:hAnsi="仿宋" w:eastAsia="仿宋_GB2312"/>
          <w:b w:val="0"/>
          <w:bCs/>
          <w:color w:val="FF0000"/>
          <w:sz w:val="32"/>
          <w:szCs w:val="32"/>
          <w:highlight w:val="none"/>
        </w:rPr>
      </w:pPr>
      <w:bookmarkStart w:id="79" w:name="_Toc15377444"/>
      <w:bookmarkStart w:id="80" w:name="_Toc15377213"/>
      <w:bookmarkStart w:id="81" w:name="_Toc15378460"/>
      <w:r>
        <w:rPr>
          <w:rFonts w:hint="eastAsia" w:ascii="仿宋_GB2312" w:hAnsi="仿宋" w:eastAsia="仿宋_GB2312"/>
          <w:b w:val="0"/>
          <w:bCs/>
          <w:color w:val="000000" w:themeColor="text1"/>
          <w:sz w:val="32"/>
          <w:szCs w:val="32"/>
          <w14:textFill>
            <w14:solidFill>
              <w14:schemeClr w14:val="tx1"/>
            </w14:solidFill>
          </w14:textFill>
        </w:rPr>
        <w:t>20</w:t>
      </w:r>
      <w:r>
        <w:rPr>
          <w:rFonts w:hint="eastAsia" w:ascii="仿宋_GB2312" w:hAnsi="仿宋" w:eastAsia="仿宋_GB2312"/>
          <w:b w:val="0"/>
          <w:bCs/>
          <w:color w:val="000000" w:themeColor="text1"/>
          <w:sz w:val="32"/>
          <w:szCs w:val="32"/>
          <w:lang w:val="en-US" w:eastAsia="zh-CN"/>
          <w14:textFill>
            <w14:solidFill>
              <w14:schemeClr w14:val="tx1"/>
            </w14:solidFill>
          </w14:textFill>
        </w:rPr>
        <w:t>20</w:t>
      </w:r>
      <w:r>
        <w:rPr>
          <w:rFonts w:hint="eastAsia" w:ascii="仿宋_GB2312" w:hAnsi="仿宋" w:eastAsia="仿宋_GB2312"/>
          <w:b w:val="0"/>
          <w:bCs/>
          <w:color w:val="000000" w:themeColor="text1"/>
          <w:sz w:val="32"/>
          <w:szCs w:val="32"/>
          <w14:textFill>
            <w14:solidFill>
              <w14:schemeClr w14:val="tx1"/>
            </w14:solidFill>
          </w14:textFill>
        </w:rPr>
        <w:t>年</w:t>
      </w:r>
      <w:r>
        <w:rPr>
          <w:rFonts w:hint="eastAsia" w:ascii="仿宋_GB2312" w:hAnsi="仿宋" w:eastAsia="仿宋_GB2312"/>
          <w:b w:val="0"/>
          <w:bCs/>
          <w:color w:val="000000" w:themeColor="text1"/>
          <w:sz w:val="32"/>
          <w:szCs w:val="32"/>
          <w:lang w:eastAsia="zh-CN"/>
          <w14:textFill>
            <w14:solidFill>
              <w14:schemeClr w14:val="tx1"/>
            </w14:solidFill>
          </w14:textFill>
        </w:rPr>
        <w:t>一</w:t>
      </w:r>
      <w:r>
        <w:rPr>
          <w:rFonts w:hint="eastAsia" w:ascii="仿宋_GB2312" w:hAnsi="仿宋" w:eastAsia="仿宋_GB2312"/>
          <w:b w:val="0"/>
          <w:bCs/>
          <w:color w:val="000000" w:themeColor="text1"/>
          <w:sz w:val="32"/>
          <w:szCs w:val="32"/>
          <w14:textFill>
            <w14:solidFill>
              <w14:schemeClr w14:val="tx1"/>
            </w14:solidFill>
          </w14:textFill>
        </w:rPr>
        <w:t>般公共预算支出决算数为</w:t>
      </w:r>
      <w:r>
        <w:rPr>
          <w:rFonts w:hint="eastAsia" w:ascii="仿宋_GB2312" w:hAnsi="仿宋" w:eastAsia="仿宋_GB2312"/>
          <w:b w:val="0"/>
          <w:bCs/>
          <w:color w:val="000000" w:themeColor="text1"/>
          <w:sz w:val="32"/>
          <w:szCs w:val="32"/>
          <w:lang w:val="en-US" w:eastAsia="zh-CN"/>
          <w14:textFill>
            <w14:solidFill>
              <w14:schemeClr w14:val="tx1"/>
            </w14:solidFill>
          </w14:textFill>
        </w:rPr>
        <w:t>97.96</w:t>
      </w:r>
      <w:r>
        <w:rPr>
          <w:rFonts w:hint="eastAsia" w:ascii="仿宋_GB2312" w:hAnsi="仿宋" w:eastAsia="仿宋_GB2312"/>
          <w:b w:val="0"/>
          <w:bCs/>
          <w:color w:val="000000" w:themeColor="text1"/>
          <w:sz w:val="32"/>
          <w:szCs w:val="32"/>
          <w14:textFill>
            <w14:solidFill>
              <w14:schemeClr w14:val="tx1"/>
            </w14:solidFill>
          </w14:textFill>
        </w:rPr>
        <w:t>，</w:t>
      </w:r>
      <w:r>
        <w:rPr>
          <w:rStyle w:val="19"/>
          <w:rFonts w:hint="eastAsia" w:ascii="仿宋_GB2312" w:hAnsi="仿宋" w:eastAsia="仿宋_GB2312"/>
          <w:b w:val="0"/>
          <w:bCs/>
          <w:color w:val="000000" w:themeColor="text1"/>
          <w:sz w:val="32"/>
          <w:szCs w:val="32"/>
          <w14:textFill>
            <w14:solidFill>
              <w14:schemeClr w14:val="tx1"/>
            </w14:solidFill>
          </w14:textFill>
        </w:rPr>
        <w:t>完成</w:t>
      </w:r>
      <w:r>
        <w:rPr>
          <w:rStyle w:val="19"/>
          <w:rFonts w:hint="eastAsia" w:ascii="仿宋_GB2312" w:hAnsi="仿宋" w:eastAsia="仿宋_GB2312"/>
          <w:b w:val="0"/>
          <w:bCs/>
          <w:color w:val="000000"/>
          <w:sz w:val="32"/>
          <w:szCs w:val="32"/>
        </w:rPr>
        <w:t>预算</w:t>
      </w:r>
      <w:r>
        <w:rPr>
          <w:rStyle w:val="19"/>
          <w:rFonts w:hint="eastAsia" w:ascii="仿宋_GB2312" w:hAnsi="仿宋" w:eastAsia="仿宋_GB2312"/>
          <w:b w:val="0"/>
          <w:bCs/>
          <w:color w:val="000000"/>
          <w:sz w:val="32"/>
          <w:szCs w:val="32"/>
          <w:highlight w:val="none"/>
          <w:lang w:val="en-US" w:eastAsia="zh-CN"/>
        </w:rPr>
        <w:t>100</w:t>
      </w:r>
      <w:r>
        <w:rPr>
          <w:rStyle w:val="19"/>
          <w:rFonts w:hint="eastAsia" w:ascii="仿宋_GB2312" w:hAnsi="仿宋" w:eastAsia="仿宋_GB2312"/>
          <w:b w:val="0"/>
          <w:bCs/>
          <w:color w:val="000000"/>
          <w:sz w:val="32"/>
          <w:szCs w:val="32"/>
          <w:highlight w:val="none"/>
        </w:rPr>
        <w:t>%。其中：</w:t>
      </w:r>
      <w:bookmarkEnd w:id="79"/>
      <w:bookmarkEnd w:id="80"/>
      <w:bookmarkEnd w:id="81"/>
    </w:p>
    <w:p>
      <w:pPr>
        <w:numPr>
          <w:ilvl w:val="0"/>
          <w:numId w:val="3"/>
        </w:numPr>
        <w:spacing w:line="600" w:lineRule="exact"/>
        <w:ind w:firstLine="640" w:firstLineChars="200"/>
        <w:rPr>
          <w:rFonts w:hint="eastAsia"/>
          <w:b w:val="0"/>
          <w:bCs/>
        </w:rPr>
      </w:pPr>
      <w:r>
        <w:rPr>
          <w:rStyle w:val="19"/>
          <w:rFonts w:hint="eastAsia" w:ascii="仿宋_GB2312" w:hAnsi="仿宋" w:eastAsia="仿宋_GB2312"/>
          <w:b w:val="0"/>
          <w:bCs/>
          <w:color w:val="000000"/>
          <w:sz w:val="32"/>
          <w:szCs w:val="32"/>
          <w:highlight w:val="none"/>
        </w:rPr>
        <w:t>一般公共服务（类）民族事务（款） 行政运行（项）:支出决算为</w:t>
      </w:r>
      <w:r>
        <w:rPr>
          <w:rStyle w:val="19"/>
          <w:rFonts w:hint="eastAsia" w:ascii="仿宋_GB2312" w:hAnsi="仿宋" w:eastAsia="仿宋_GB2312"/>
          <w:b w:val="0"/>
          <w:bCs/>
          <w:color w:val="000000"/>
          <w:sz w:val="32"/>
          <w:szCs w:val="32"/>
          <w:highlight w:val="none"/>
          <w:lang w:val="en-US" w:eastAsia="zh-CN"/>
        </w:rPr>
        <w:t>46.61</w:t>
      </w:r>
      <w:r>
        <w:rPr>
          <w:rStyle w:val="19"/>
          <w:rFonts w:hint="eastAsia" w:ascii="仿宋_GB2312" w:hAnsi="仿宋" w:eastAsia="仿宋_GB2312"/>
          <w:b w:val="0"/>
          <w:bCs/>
          <w:color w:val="000000"/>
          <w:sz w:val="32"/>
          <w:szCs w:val="32"/>
          <w:highlight w:val="none"/>
        </w:rPr>
        <w:t>万元，完成预算</w:t>
      </w:r>
      <w:r>
        <w:rPr>
          <w:rStyle w:val="19"/>
          <w:rFonts w:hint="eastAsia" w:ascii="仿宋_GB2312" w:hAnsi="仿宋" w:eastAsia="仿宋_GB2312"/>
          <w:b w:val="0"/>
          <w:bCs/>
          <w:color w:val="000000"/>
          <w:sz w:val="32"/>
          <w:szCs w:val="32"/>
          <w:highlight w:val="none"/>
          <w:lang w:val="en-US" w:eastAsia="zh-CN"/>
        </w:rPr>
        <w:t>100</w:t>
      </w:r>
      <w:r>
        <w:rPr>
          <w:rStyle w:val="19"/>
          <w:rFonts w:hint="eastAsia" w:ascii="仿宋_GB2312" w:hAnsi="仿宋" w:eastAsia="仿宋_GB2312"/>
          <w:b w:val="0"/>
          <w:bCs/>
          <w:color w:val="000000"/>
          <w:sz w:val="32"/>
          <w:szCs w:val="32"/>
          <w:highlight w:val="none"/>
        </w:rPr>
        <w:t>%，决算数等于预算数的主要原因是</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highlight w:val="none"/>
        </w:rPr>
        <w:t>。一般行政管理事务（项）:支出决算为</w:t>
      </w:r>
      <w:r>
        <w:rPr>
          <w:rStyle w:val="19"/>
          <w:rFonts w:hint="eastAsia" w:ascii="仿宋_GB2312" w:hAnsi="仿宋" w:eastAsia="仿宋_GB2312"/>
          <w:b w:val="0"/>
          <w:bCs/>
          <w:color w:val="000000"/>
          <w:sz w:val="32"/>
          <w:szCs w:val="32"/>
          <w:highlight w:val="none"/>
          <w:lang w:val="en-US" w:eastAsia="zh-CN"/>
        </w:rPr>
        <w:t>2.96</w:t>
      </w:r>
      <w:r>
        <w:rPr>
          <w:rStyle w:val="19"/>
          <w:rFonts w:hint="eastAsia" w:ascii="仿宋_GB2312" w:hAnsi="仿宋" w:eastAsia="仿宋_GB2312"/>
          <w:b w:val="0"/>
          <w:bCs/>
          <w:color w:val="000000"/>
          <w:sz w:val="32"/>
          <w:szCs w:val="32"/>
          <w:highlight w:val="none"/>
        </w:rPr>
        <w:t>万元，完成预算</w:t>
      </w:r>
      <w:r>
        <w:rPr>
          <w:rStyle w:val="19"/>
          <w:rFonts w:hint="eastAsia" w:ascii="仿宋_GB2312" w:hAnsi="仿宋" w:eastAsia="仿宋_GB2312"/>
          <w:b w:val="0"/>
          <w:bCs/>
          <w:color w:val="000000"/>
          <w:sz w:val="32"/>
          <w:szCs w:val="32"/>
          <w:highlight w:val="none"/>
          <w:lang w:val="en-US" w:eastAsia="zh-CN"/>
        </w:rPr>
        <w:t>100</w:t>
      </w:r>
      <w:r>
        <w:rPr>
          <w:rStyle w:val="19"/>
          <w:rFonts w:hint="eastAsia" w:ascii="仿宋_GB2312" w:hAnsi="仿宋" w:eastAsia="仿宋_GB2312"/>
          <w:b w:val="0"/>
          <w:bCs/>
          <w:color w:val="000000"/>
          <w:sz w:val="32"/>
          <w:szCs w:val="32"/>
          <w:highlight w:val="none"/>
        </w:rPr>
        <w:t>%，决算数等于预算数的主要原因是</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highlight w:val="none"/>
        </w:rPr>
        <w:t>。  民族工作专项（项）:支出决算为</w:t>
      </w:r>
      <w:r>
        <w:rPr>
          <w:rStyle w:val="19"/>
          <w:rFonts w:hint="eastAsia" w:ascii="仿宋_GB2312" w:hAnsi="仿宋" w:eastAsia="仿宋_GB2312"/>
          <w:b w:val="0"/>
          <w:bCs/>
          <w:color w:val="000000"/>
          <w:sz w:val="32"/>
          <w:szCs w:val="32"/>
          <w:highlight w:val="none"/>
          <w:lang w:val="en-US" w:eastAsia="zh-CN"/>
        </w:rPr>
        <w:t>13.94</w:t>
      </w:r>
      <w:r>
        <w:rPr>
          <w:rStyle w:val="19"/>
          <w:rFonts w:hint="eastAsia" w:ascii="仿宋_GB2312" w:hAnsi="仿宋" w:eastAsia="仿宋_GB2312"/>
          <w:b w:val="0"/>
          <w:bCs/>
          <w:color w:val="000000"/>
          <w:sz w:val="32"/>
          <w:szCs w:val="32"/>
          <w:highlight w:val="none"/>
        </w:rPr>
        <w:t>万元，完成预算</w:t>
      </w:r>
      <w:r>
        <w:rPr>
          <w:rStyle w:val="19"/>
          <w:rFonts w:hint="eastAsia" w:ascii="仿宋_GB2312" w:hAnsi="仿宋" w:eastAsia="仿宋_GB2312"/>
          <w:b w:val="0"/>
          <w:bCs/>
          <w:color w:val="000000"/>
          <w:sz w:val="32"/>
          <w:szCs w:val="32"/>
          <w:highlight w:val="none"/>
          <w:lang w:val="en-US" w:eastAsia="zh-CN"/>
        </w:rPr>
        <w:t>100</w:t>
      </w:r>
      <w:r>
        <w:rPr>
          <w:rStyle w:val="19"/>
          <w:rFonts w:hint="eastAsia" w:ascii="仿宋_GB2312" w:hAnsi="仿宋" w:eastAsia="仿宋_GB2312"/>
          <w:b w:val="0"/>
          <w:bCs/>
          <w:color w:val="000000"/>
          <w:sz w:val="32"/>
          <w:szCs w:val="32"/>
          <w:highlight w:val="none"/>
        </w:rPr>
        <w:t>%，决算数等于预算数的主要原因是</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highlight w:val="none"/>
        </w:rPr>
        <w:t>。 其他民族事务支出（项）:支出决算为</w:t>
      </w:r>
      <w:r>
        <w:rPr>
          <w:rStyle w:val="19"/>
          <w:rFonts w:hint="eastAsia" w:ascii="仿宋_GB2312" w:hAnsi="仿宋" w:eastAsia="仿宋_GB2312"/>
          <w:b w:val="0"/>
          <w:bCs/>
          <w:color w:val="000000"/>
          <w:sz w:val="32"/>
          <w:szCs w:val="32"/>
          <w:highlight w:val="none"/>
          <w:lang w:val="en-US" w:eastAsia="zh-CN"/>
        </w:rPr>
        <w:t>19.23</w:t>
      </w:r>
      <w:r>
        <w:rPr>
          <w:rStyle w:val="19"/>
          <w:rFonts w:hint="eastAsia" w:ascii="仿宋_GB2312" w:hAnsi="仿宋" w:eastAsia="仿宋_GB2312"/>
          <w:b w:val="0"/>
          <w:bCs/>
          <w:color w:val="000000"/>
          <w:sz w:val="32"/>
          <w:szCs w:val="32"/>
          <w:highlight w:val="none"/>
        </w:rPr>
        <w:t>万元，完成预算</w:t>
      </w:r>
      <w:r>
        <w:rPr>
          <w:rStyle w:val="19"/>
          <w:rFonts w:hint="eastAsia" w:ascii="仿宋_GB2312" w:hAnsi="仿宋" w:eastAsia="仿宋_GB2312"/>
          <w:b w:val="0"/>
          <w:bCs/>
          <w:color w:val="000000"/>
          <w:sz w:val="32"/>
          <w:szCs w:val="32"/>
          <w:highlight w:val="none"/>
          <w:lang w:val="en-US" w:eastAsia="zh-CN"/>
        </w:rPr>
        <w:t>100</w:t>
      </w:r>
      <w:r>
        <w:rPr>
          <w:rStyle w:val="19"/>
          <w:rFonts w:hint="eastAsia" w:ascii="仿宋_GB2312" w:hAnsi="仿宋" w:eastAsia="仿宋_GB2312"/>
          <w:b w:val="0"/>
          <w:bCs/>
          <w:color w:val="000000"/>
          <w:sz w:val="32"/>
          <w:szCs w:val="32"/>
          <w:highlight w:val="none"/>
        </w:rPr>
        <w:t>%，决算数等于预算数的主要原因是</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highlight w:val="none"/>
        </w:rPr>
        <w:t>。</w:t>
      </w:r>
    </w:p>
    <w:p>
      <w:pPr>
        <w:numPr>
          <w:ilvl w:val="0"/>
          <w:numId w:val="3"/>
        </w:numPr>
        <w:spacing w:line="600" w:lineRule="exact"/>
        <w:ind w:left="0" w:leftChars="0" w:firstLine="640" w:firstLineChars="200"/>
        <w:rPr>
          <w:rFonts w:ascii="仿宋_GB2312" w:hAnsi="仿宋" w:eastAsia="仿宋_GB2312"/>
          <w:b w:val="0"/>
          <w:bCs/>
          <w:color w:val="000000"/>
          <w:sz w:val="32"/>
          <w:szCs w:val="32"/>
        </w:rPr>
      </w:pPr>
      <w:r>
        <w:rPr>
          <w:rStyle w:val="19"/>
          <w:rFonts w:hint="eastAsia" w:ascii="仿宋_GB2312" w:hAnsi="仿宋" w:eastAsia="仿宋_GB2312"/>
          <w:b w:val="0"/>
          <w:bCs/>
          <w:color w:val="000000"/>
          <w:sz w:val="32"/>
          <w:szCs w:val="32"/>
        </w:rPr>
        <w:t>社会保障和就业（类）行政事业单位养老支出（款）机关事业单位基本养老保险缴费支出（项）:支出决算为</w:t>
      </w:r>
      <w:r>
        <w:rPr>
          <w:rStyle w:val="19"/>
          <w:rFonts w:hint="eastAsia" w:ascii="仿宋_GB2312" w:hAnsi="仿宋" w:eastAsia="仿宋_GB2312"/>
          <w:b w:val="0"/>
          <w:bCs/>
          <w:color w:val="000000"/>
          <w:sz w:val="32"/>
          <w:szCs w:val="32"/>
          <w:lang w:val="en-US" w:eastAsia="zh-CN"/>
        </w:rPr>
        <w:t>5.01</w:t>
      </w:r>
      <w:r>
        <w:rPr>
          <w:rStyle w:val="19"/>
          <w:rFonts w:hint="eastAsia" w:ascii="仿宋_GB2312" w:hAnsi="仿宋" w:eastAsia="仿宋_GB2312"/>
          <w:b w:val="0"/>
          <w:bCs/>
          <w:color w:val="000000"/>
          <w:sz w:val="32"/>
          <w:szCs w:val="32"/>
        </w:rPr>
        <w:t>万元，完成预算</w:t>
      </w:r>
      <w:r>
        <w:rPr>
          <w:rStyle w:val="19"/>
          <w:rFonts w:hint="eastAsia" w:ascii="仿宋_GB2312" w:hAnsi="仿宋" w:eastAsia="仿宋_GB2312"/>
          <w:b w:val="0"/>
          <w:bCs/>
          <w:color w:val="000000"/>
          <w:sz w:val="32"/>
          <w:szCs w:val="32"/>
          <w:lang w:val="en-US" w:eastAsia="zh-CN"/>
        </w:rPr>
        <w:t>100</w:t>
      </w:r>
      <w:r>
        <w:rPr>
          <w:rStyle w:val="19"/>
          <w:rFonts w:hint="eastAsia" w:ascii="仿宋_GB2312" w:hAnsi="仿宋" w:eastAsia="仿宋_GB2312"/>
          <w:b w:val="0"/>
          <w:bCs/>
          <w:color w:val="000000"/>
          <w:sz w:val="32"/>
          <w:szCs w:val="32"/>
        </w:rPr>
        <w:t>%，决算数等于预算数</w:t>
      </w:r>
      <w:r>
        <w:rPr>
          <w:rStyle w:val="19"/>
          <w:rFonts w:hint="eastAsia" w:ascii="仿宋_GB2312" w:hAnsi="仿宋" w:eastAsia="仿宋_GB2312"/>
          <w:b w:val="0"/>
          <w:bCs/>
          <w:color w:val="000000"/>
          <w:sz w:val="32"/>
          <w:szCs w:val="32"/>
          <w:lang w:eastAsia="zh-CN"/>
        </w:rPr>
        <w:t>，</w:t>
      </w:r>
      <w:r>
        <w:rPr>
          <w:rStyle w:val="19"/>
          <w:rFonts w:hint="eastAsia" w:ascii="仿宋_GB2312" w:hAnsi="仿宋" w:eastAsia="仿宋_GB2312"/>
          <w:b w:val="0"/>
          <w:bCs/>
          <w:color w:val="000000"/>
          <w:sz w:val="32"/>
          <w:szCs w:val="32"/>
        </w:rPr>
        <w:t>主要原因</w:t>
      </w:r>
      <w:r>
        <w:rPr>
          <w:rStyle w:val="19"/>
          <w:rFonts w:hint="eastAsia" w:ascii="仿宋_GB2312" w:hAnsi="仿宋" w:eastAsia="仿宋_GB2312"/>
          <w:b w:val="0"/>
          <w:bCs/>
          <w:color w:val="000000"/>
          <w:sz w:val="32"/>
          <w:szCs w:val="32"/>
          <w:lang w:eastAsia="zh-CN"/>
        </w:rPr>
        <w:t>：</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rPr>
        <w:t>。机关事业单位职业年金缴费支出（项）:支出决算为</w:t>
      </w:r>
      <w:r>
        <w:rPr>
          <w:rStyle w:val="19"/>
          <w:rFonts w:hint="eastAsia" w:ascii="仿宋_GB2312" w:hAnsi="仿宋" w:eastAsia="仿宋_GB2312"/>
          <w:b w:val="0"/>
          <w:bCs/>
          <w:color w:val="000000"/>
          <w:sz w:val="32"/>
          <w:szCs w:val="32"/>
          <w:lang w:val="en-US" w:eastAsia="zh-CN"/>
        </w:rPr>
        <w:t>2.51</w:t>
      </w:r>
      <w:r>
        <w:rPr>
          <w:rStyle w:val="19"/>
          <w:rFonts w:hint="eastAsia" w:ascii="仿宋_GB2312" w:hAnsi="仿宋" w:eastAsia="仿宋_GB2312"/>
          <w:b w:val="0"/>
          <w:bCs/>
          <w:color w:val="000000"/>
          <w:sz w:val="32"/>
          <w:szCs w:val="32"/>
        </w:rPr>
        <w:t>万元，完成预算</w:t>
      </w:r>
      <w:r>
        <w:rPr>
          <w:rStyle w:val="19"/>
          <w:rFonts w:hint="eastAsia" w:ascii="仿宋_GB2312" w:hAnsi="仿宋" w:eastAsia="仿宋_GB2312"/>
          <w:b w:val="0"/>
          <w:bCs/>
          <w:color w:val="000000"/>
          <w:sz w:val="32"/>
          <w:szCs w:val="32"/>
          <w:lang w:val="en-US" w:eastAsia="zh-CN"/>
        </w:rPr>
        <w:t>100</w:t>
      </w:r>
      <w:r>
        <w:rPr>
          <w:rStyle w:val="19"/>
          <w:rFonts w:hint="eastAsia" w:ascii="仿宋_GB2312" w:hAnsi="仿宋" w:eastAsia="仿宋_GB2312"/>
          <w:b w:val="0"/>
          <w:bCs/>
          <w:color w:val="000000"/>
          <w:sz w:val="32"/>
          <w:szCs w:val="32"/>
        </w:rPr>
        <w:t>%，决算数等于预算数</w:t>
      </w:r>
      <w:r>
        <w:rPr>
          <w:rStyle w:val="19"/>
          <w:rFonts w:hint="eastAsia" w:ascii="仿宋_GB2312" w:hAnsi="仿宋" w:eastAsia="仿宋_GB2312"/>
          <w:b w:val="0"/>
          <w:bCs/>
          <w:color w:val="000000"/>
          <w:sz w:val="32"/>
          <w:szCs w:val="32"/>
          <w:lang w:eastAsia="zh-CN"/>
        </w:rPr>
        <w:t>，</w:t>
      </w:r>
      <w:r>
        <w:rPr>
          <w:rStyle w:val="19"/>
          <w:rFonts w:hint="eastAsia" w:ascii="仿宋_GB2312" w:hAnsi="仿宋" w:eastAsia="仿宋_GB2312"/>
          <w:b w:val="0"/>
          <w:bCs/>
          <w:color w:val="000000"/>
          <w:sz w:val="32"/>
          <w:szCs w:val="32"/>
        </w:rPr>
        <w:t>主要原因</w:t>
      </w:r>
      <w:r>
        <w:rPr>
          <w:rStyle w:val="19"/>
          <w:rFonts w:hint="eastAsia" w:ascii="仿宋_GB2312" w:hAnsi="仿宋" w:eastAsia="仿宋_GB2312"/>
          <w:b w:val="0"/>
          <w:bCs/>
          <w:color w:val="000000"/>
          <w:sz w:val="32"/>
          <w:szCs w:val="32"/>
          <w:lang w:eastAsia="zh-CN"/>
        </w:rPr>
        <w:t>：</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rPr>
        <w:t>。</w:t>
      </w:r>
    </w:p>
    <w:p>
      <w:pPr>
        <w:numPr>
          <w:ilvl w:val="0"/>
          <w:numId w:val="3"/>
        </w:numPr>
        <w:spacing w:line="600" w:lineRule="exact"/>
        <w:ind w:left="0" w:leftChars="0" w:firstLine="640" w:firstLineChars="200"/>
        <w:rPr>
          <w:rFonts w:ascii="仿宋_GB2312" w:hAnsi="仿宋" w:eastAsia="仿宋_GB2312"/>
          <w:b w:val="0"/>
          <w:bCs/>
          <w:color w:val="000000"/>
          <w:sz w:val="32"/>
          <w:szCs w:val="32"/>
        </w:rPr>
      </w:pPr>
      <w:r>
        <w:rPr>
          <w:rStyle w:val="19"/>
          <w:rFonts w:hint="eastAsia" w:ascii="仿宋_GB2312" w:hAnsi="仿宋" w:eastAsia="仿宋_GB2312" w:cs="Times New Roman"/>
          <w:b w:val="0"/>
          <w:bCs/>
          <w:color w:val="000000"/>
          <w:sz w:val="32"/>
          <w:szCs w:val="32"/>
          <w:lang w:val="en-US" w:eastAsia="zh-CN"/>
        </w:rPr>
        <w:t>住房保障支出（类）住房改革支出（款）住房公积金（项）</w:t>
      </w:r>
      <w:r>
        <w:rPr>
          <w:rStyle w:val="19"/>
          <w:rFonts w:hint="eastAsia" w:hAnsi="仿宋"/>
          <w:b w:val="0"/>
          <w:bCs/>
          <w:color w:val="auto"/>
          <w:sz w:val="32"/>
          <w:szCs w:val="32"/>
          <w:lang w:val="en-US" w:eastAsia="zh-CN"/>
        </w:rPr>
        <w:t>:</w:t>
      </w:r>
      <w:r>
        <w:rPr>
          <w:rStyle w:val="19"/>
          <w:rFonts w:hint="eastAsia" w:ascii="仿宋_GB2312" w:hAnsi="仿宋" w:eastAsia="仿宋_GB2312" w:cs="Times New Roman"/>
          <w:b w:val="0"/>
          <w:bCs/>
          <w:color w:val="000000"/>
          <w:sz w:val="32"/>
          <w:szCs w:val="32"/>
          <w:lang w:val="en-US" w:eastAsia="zh-CN"/>
        </w:rPr>
        <w:t>支出决算为5.2万元,完成预算100%，决算数等于预算数，主要原因：</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rPr>
        <w:t>。</w:t>
      </w:r>
    </w:p>
    <w:p>
      <w:pPr>
        <w:numPr>
          <w:ilvl w:val="0"/>
          <w:numId w:val="3"/>
        </w:numPr>
        <w:spacing w:line="600" w:lineRule="exact"/>
        <w:ind w:left="0" w:leftChars="0" w:firstLine="640" w:firstLineChars="200"/>
        <w:rPr>
          <w:rStyle w:val="19"/>
          <w:rFonts w:hint="eastAsia" w:ascii="仿宋_GB2312" w:hAnsi="仿宋" w:eastAsia="仿宋_GB2312"/>
          <w:b w:val="0"/>
          <w:bCs/>
          <w:color w:val="000000"/>
          <w:sz w:val="32"/>
          <w:szCs w:val="32"/>
        </w:rPr>
      </w:pPr>
      <w:r>
        <w:rPr>
          <w:rStyle w:val="19"/>
          <w:rFonts w:hint="eastAsia" w:ascii="仿宋_GB2312" w:hAnsi="仿宋" w:eastAsia="仿宋_GB2312"/>
          <w:b w:val="0"/>
          <w:bCs/>
          <w:color w:val="000000"/>
          <w:sz w:val="32"/>
          <w:szCs w:val="32"/>
        </w:rPr>
        <w:t>卫生健康支出（类）行政事业单位医疗（款）</w:t>
      </w:r>
      <w:r>
        <w:rPr>
          <w:rStyle w:val="19"/>
          <w:rFonts w:hint="eastAsia" w:ascii="仿宋_GB2312" w:hAnsi="仿宋" w:eastAsia="仿宋_GB2312"/>
          <w:b w:val="0"/>
          <w:bCs/>
          <w:color w:val="000000"/>
          <w:sz w:val="32"/>
          <w:szCs w:val="32"/>
          <w:lang w:eastAsia="zh-CN"/>
        </w:rPr>
        <w:t>事业</w:t>
      </w:r>
      <w:r>
        <w:rPr>
          <w:rStyle w:val="19"/>
          <w:rFonts w:hint="eastAsia" w:ascii="仿宋_GB2312" w:hAnsi="仿宋" w:eastAsia="仿宋_GB2312"/>
          <w:b w:val="0"/>
          <w:bCs/>
          <w:color w:val="000000"/>
          <w:sz w:val="32"/>
          <w:szCs w:val="32"/>
        </w:rPr>
        <w:t>单位医疗（项）:支出决算为</w:t>
      </w:r>
      <w:r>
        <w:rPr>
          <w:rStyle w:val="19"/>
          <w:rFonts w:hint="eastAsia" w:ascii="仿宋_GB2312" w:hAnsi="仿宋" w:eastAsia="仿宋_GB2312"/>
          <w:b w:val="0"/>
          <w:bCs/>
          <w:color w:val="000000"/>
          <w:sz w:val="32"/>
          <w:szCs w:val="32"/>
          <w:lang w:val="en-US" w:eastAsia="zh-CN"/>
        </w:rPr>
        <w:t>2.48</w:t>
      </w:r>
      <w:r>
        <w:rPr>
          <w:rStyle w:val="19"/>
          <w:rFonts w:hint="eastAsia" w:ascii="仿宋_GB2312" w:hAnsi="仿宋" w:eastAsia="仿宋_GB2312"/>
          <w:b w:val="0"/>
          <w:bCs/>
          <w:color w:val="000000"/>
          <w:sz w:val="32"/>
          <w:szCs w:val="32"/>
        </w:rPr>
        <w:t>万元，完成预算100%，决算数等于预算数，主要原因：</w:t>
      </w:r>
      <w:r>
        <w:rPr>
          <w:rStyle w:val="19"/>
          <w:rFonts w:hint="eastAsia" w:ascii="仿宋_GB2312" w:hAnsi="仿宋" w:eastAsia="仿宋_GB2312"/>
          <w:b w:val="0"/>
          <w:bCs/>
          <w:color w:val="000000"/>
          <w:sz w:val="32"/>
          <w:szCs w:val="32"/>
          <w:highlight w:val="none"/>
          <w:lang w:eastAsia="zh-CN"/>
        </w:rPr>
        <w:t>按照预算执行</w:t>
      </w:r>
      <w:r>
        <w:rPr>
          <w:rStyle w:val="19"/>
          <w:rFonts w:hint="eastAsia" w:ascii="仿宋_GB2312" w:hAnsi="仿宋" w:eastAsia="仿宋_GB2312"/>
          <w:b w:val="0"/>
          <w:bCs/>
          <w:color w:val="000000"/>
          <w:sz w:val="32"/>
          <w:szCs w:val="32"/>
        </w:rPr>
        <w:t>。</w:t>
      </w:r>
    </w:p>
    <w:p>
      <w:pPr>
        <w:tabs>
          <w:tab w:val="right" w:pos="8306"/>
        </w:tabs>
        <w:spacing w:line="600" w:lineRule="exact"/>
        <w:ind w:firstLine="640"/>
        <w:outlineLvl w:val="1"/>
        <w:rPr>
          <w:rStyle w:val="31"/>
          <w:rFonts w:ascii="仿宋_GB2312" w:eastAsia="仿宋_GB2312"/>
          <w:b/>
          <w:bCs/>
        </w:rPr>
      </w:pPr>
      <w:bookmarkStart w:id="82" w:name="_Toc13152"/>
      <w:bookmarkStart w:id="83" w:name="_Toc15377214"/>
      <w:bookmarkStart w:id="84" w:name="_Toc15396608"/>
      <w:r>
        <w:rPr>
          <w:rFonts w:hint="eastAsia" w:ascii="仿宋_GB2312" w:eastAsia="仿宋_GB2312"/>
          <w:b/>
          <w:bCs/>
          <w:color w:val="000000"/>
          <w:sz w:val="32"/>
          <w:szCs w:val="32"/>
        </w:rPr>
        <w:t>六、</w:t>
      </w:r>
      <w:r>
        <w:rPr>
          <w:rFonts w:hint="eastAsia" w:ascii="仿宋_GB2312" w:hAnsi="黑体" w:eastAsia="仿宋_GB2312"/>
          <w:b/>
          <w:bCs/>
          <w:color w:val="000000"/>
          <w:sz w:val="32"/>
          <w:szCs w:val="32"/>
        </w:rPr>
        <w:t>一</w:t>
      </w:r>
      <w:r>
        <w:rPr>
          <w:rStyle w:val="31"/>
          <w:rFonts w:hint="eastAsia" w:ascii="仿宋_GB2312" w:hAnsi="黑体" w:eastAsia="仿宋_GB2312"/>
          <w:b/>
          <w:bCs/>
        </w:rPr>
        <w:t>般公共预算财政拨款基本支出决算情况说明</w:t>
      </w:r>
      <w:bookmarkEnd w:id="82"/>
      <w:bookmarkEnd w:id="83"/>
      <w:bookmarkEnd w:id="84"/>
      <w:r>
        <w:rPr>
          <w:rStyle w:val="31"/>
          <w:rFonts w:hint="eastAsia" w:ascii="仿宋_GB2312" w:hAnsi="黑体" w:eastAsia="仿宋_GB2312"/>
          <w:b/>
          <w:bCs/>
        </w:rPr>
        <w:tab/>
      </w:r>
    </w:p>
    <w:p>
      <w:pPr>
        <w:spacing w:line="600" w:lineRule="exact"/>
        <w:ind w:firstLine="645"/>
        <w:rPr>
          <w:rFonts w:ascii="仿宋_GB2312" w:hAnsi="仿宋" w:eastAsia="仿宋_GB2312"/>
          <w:color w:val="000000"/>
          <w:sz w:val="32"/>
          <w:szCs w:val="32"/>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年一般公共预算财政拨款基本支出</w:t>
      </w:r>
      <w:r>
        <w:rPr>
          <w:rFonts w:hint="eastAsia" w:ascii="仿宋_GB2312" w:hAnsi="仿宋" w:eastAsia="仿宋_GB2312"/>
          <w:color w:val="000000"/>
          <w:sz w:val="32"/>
          <w:szCs w:val="32"/>
          <w:lang w:val="en-US" w:eastAsia="zh-CN"/>
        </w:rPr>
        <w:t>351.05</w:t>
      </w:r>
      <w:r>
        <w:rPr>
          <w:rFonts w:hint="eastAsia" w:ascii="仿宋_GB2312" w:hAnsi="仿宋" w:eastAsia="仿宋_GB2312"/>
          <w:color w:val="000000"/>
          <w:sz w:val="32"/>
          <w:szCs w:val="32"/>
        </w:rPr>
        <w:t>万元，其中：</w:t>
      </w:r>
    </w:p>
    <w:p>
      <w:pPr>
        <w:spacing w:line="600" w:lineRule="exact"/>
        <w:ind w:firstLine="645"/>
        <w:rPr>
          <w:rFonts w:ascii="仿宋_GB2312" w:hAnsi="仿宋" w:eastAsia="仿宋_GB2312"/>
          <w:b/>
          <w:color w:val="FF0000"/>
          <w:sz w:val="32"/>
          <w:szCs w:val="32"/>
        </w:rPr>
      </w:pPr>
      <w:r>
        <w:rPr>
          <w:rFonts w:hint="eastAsia" w:ascii="仿宋_GB2312" w:hAnsi="仿宋" w:eastAsia="仿宋_GB2312"/>
          <w:color w:val="000000"/>
          <w:sz w:val="32"/>
          <w:szCs w:val="32"/>
        </w:rPr>
        <w:t>人员经费</w:t>
      </w:r>
      <w:r>
        <w:rPr>
          <w:rFonts w:hint="eastAsia" w:ascii="仿宋_GB2312" w:hAnsi="仿宋" w:eastAsia="仿宋_GB2312"/>
          <w:color w:val="000000"/>
          <w:sz w:val="32"/>
          <w:szCs w:val="32"/>
          <w:lang w:val="en-US" w:eastAsia="zh-CN"/>
        </w:rPr>
        <w:t>314.79</w:t>
      </w:r>
      <w:r>
        <w:rPr>
          <w:rFonts w:hint="eastAsia" w:ascii="仿宋_GB2312" w:hAnsi="仿宋" w:eastAsia="仿宋_GB2312"/>
          <w:color w:val="000000"/>
          <w:sz w:val="32"/>
          <w:szCs w:val="32"/>
        </w:rPr>
        <w:t>万元，主要包括：</w:t>
      </w:r>
      <w:r>
        <w:rPr>
          <w:rFonts w:hint="eastAsia" w:ascii="仿宋_GB2312" w:hAnsi="仿宋" w:eastAsia="仿宋_GB2312"/>
          <w:color w:val="000000"/>
          <w:sz w:val="32"/>
          <w:szCs w:val="32"/>
          <w:highlight w:val="none"/>
        </w:rPr>
        <w:t>基本工资、津贴补贴</w:t>
      </w:r>
      <w:r>
        <w:rPr>
          <w:rFonts w:hint="eastAsia" w:ascii="仿宋_GB2312" w:hAnsi="仿宋" w:eastAsia="仿宋_GB2312"/>
          <w:color w:val="000000"/>
          <w:sz w:val="32"/>
          <w:szCs w:val="32"/>
          <w:highlight w:val="none"/>
          <w:lang w:eastAsia="zh-CN"/>
        </w:rPr>
        <w:t>、奖金、机关事业单位基本养老保险费、职业年金缴费、职工基本医疗保险缴费、其他社会保障缴费、住房公积金、生活补助、医疗费补助、奖励金</w:t>
      </w:r>
      <w:r>
        <w:rPr>
          <w:rFonts w:hint="eastAsia" w:ascii="仿宋_GB2312" w:hAnsi="仿宋" w:eastAsia="仿宋_GB2312"/>
          <w:color w:val="000000"/>
          <w:sz w:val="32"/>
          <w:szCs w:val="32"/>
          <w:highlight w:val="none"/>
        </w:rPr>
        <w:t>。</w:t>
      </w:r>
      <w:r>
        <w:rPr>
          <w:rFonts w:hint="eastAsia" w:ascii="仿宋_GB2312" w:hAnsi="仿宋" w:eastAsia="仿宋_GB2312"/>
          <w:color w:val="000000"/>
          <w:sz w:val="32"/>
          <w:szCs w:val="32"/>
          <w:highlight w:val="none"/>
        </w:rPr>
        <w:br w:type="textWrapping"/>
      </w:r>
      <w:r>
        <w:rPr>
          <w:rFonts w:hint="eastAsia" w:ascii="仿宋_GB2312" w:hAnsi="仿宋" w:eastAsia="仿宋_GB2312"/>
          <w:color w:val="000000"/>
          <w:sz w:val="32"/>
          <w:szCs w:val="32"/>
        </w:rPr>
        <w:t>　　公用经费</w:t>
      </w:r>
      <w:r>
        <w:rPr>
          <w:rFonts w:hint="eastAsia" w:ascii="仿宋_GB2312" w:hAnsi="仿宋" w:eastAsia="仿宋_GB2312"/>
          <w:color w:val="000000"/>
          <w:sz w:val="32"/>
          <w:szCs w:val="32"/>
          <w:lang w:val="en-US" w:eastAsia="zh-CN"/>
        </w:rPr>
        <w:t>36.26</w:t>
      </w:r>
      <w:r>
        <w:rPr>
          <w:rFonts w:hint="eastAsia" w:ascii="仿宋_GB2312" w:hAnsi="仿宋" w:eastAsia="仿宋_GB2312"/>
          <w:color w:val="000000"/>
          <w:sz w:val="32"/>
          <w:szCs w:val="32"/>
        </w:rPr>
        <w:t>万元，主要包</w:t>
      </w:r>
      <w:r>
        <w:rPr>
          <w:rFonts w:hint="eastAsia" w:ascii="仿宋_GB2312" w:hAnsi="仿宋" w:eastAsia="仿宋_GB2312" w:cs="Times New Roman"/>
          <w:color w:val="000000"/>
          <w:sz w:val="32"/>
          <w:szCs w:val="32"/>
          <w:highlight w:val="none"/>
        </w:rPr>
        <w:t>括：办公费、物业管理费</w:t>
      </w:r>
      <w:r>
        <w:rPr>
          <w:rFonts w:hint="eastAsia" w:ascii="仿宋_GB2312" w:hAnsi="仿宋" w:eastAsia="仿宋_GB2312" w:cs="Times New Roman"/>
          <w:color w:val="000000"/>
          <w:sz w:val="32"/>
          <w:szCs w:val="32"/>
          <w:highlight w:val="none"/>
          <w:lang w:eastAsia="zh-CN"/>
        </w:rPr>
        <w:t>、</w:t>
      </w:r>
      <w:r>
        <w:rPr>
          <w:rFonts w:hint="eastAsia" w:ascii="仿宋_GB2312" w:hAnsi="仿宋" w:eastAsia="仿宋_GB2312" w:cs="Times New Roman"/>
          <w:color w:val="000000"/>
          <w:sz w:val="32"/>
          <w:szCs w:val="32"/>
          <w:highlight w:val="none"/>
        </w:rPr>
        <w:t>差旅费、</w:t>
      </w:r>
      <w:r>
        <w:rPr>
          <w:rFonts w:hint="eastAsia" w:ascii="仿宋_GB2312" w:hAnsi="仿宋" w:eastAsia="仿宋_GB2312" w:cs="Times New Roman"/>
          <w:color w:val="000000"/>
          <w:sz w:val="32"/>
          <w:szCs w:val="32"/>
          <w:highlight w:val="none"/>
          <w:lang w:eastAsia="zh-CN"/>
        </w:rPr>
        <w:t>公务用车运行维护费、办公设备购置</w:t>
      </w:r>
      <w:r>
        <w:rPr>
          <w:rFonts w:hint="eastAsia" w:ascii="仿宋_GB2312" w:hAnsi="仿宋" w:eastAsia="仿宋_GB2312" w:cs="Times New Roman"/>
          <w:color w:val="000000"/>
          <w:sz w:val="32"/>
          <w:szCs w:val="32"/>
          <w:highlight w:val="none"/>
        </w:rPr>
        <w:t>。</w:t>
      </w:r>
    </w:p>
    <w:p>
      <w:pPr>
        <w:spacing w:line="600" w:lineRule="exact"/>
        <w:ind w:firstLine="640"/>
        <w:outlineLvl w:val="1"/>
        <w:rPr>
          <w:rStyle w:val="31"/>
          <w:rFonts w:ascii="仿宋_GB2312" w:hAnsi="黑体" w:eastAsia="仿宋_GB2312"/>
          <w:b/>
          <w:bCs/>
        </w:rPr>
      </w:pPr>
      <w:bookmarkStart w:id="85" w:name="_Toc10737"/>
      <w:bookmarkStart w:id="86" w:name="_Toc15396609"/>
      <w:bookmarkStart w:id="87" w:name="_Toc15377215"/>
      <w:r>
        <w:rPr>
          <w:rFonts w:hint="eastAsia" w:ascii="仿宋_GB2312" w:eastAsia="仿宋_GB2312"/>
          <w:b/>
          <w:bCs/>
          <w:color w:val="000000"/>
          <w:sz w:val="32"/>
          <w:szCs w:val="32"/>
        </w:rPr>
        <w:t>七、</w:t>
      </w:r>
      <w:r>
        <w:rPr>
          <w:rStyle w:val="31"/>
          <w:rFonts w:hint="eastAsia" w:ascii="仿宋_GB2312" w:hAnsi="黑体" w:eastAsia="仿宋_GB2312"/>
          <w:b/>
          <w:bCs/>
        </w:rPr>
        <w:t>“三公”经费财政拨款支出决算情况说明</w:t>
      </w:r>
      <w:bookmarkEnd w:id="85"/>
      <w:bookmarkEnd w:id="86"/>
      <w:bookmarkEnd w:id="87"/>
    </w:p>
    <w:p>
      <w:pPr>
        <w:spacing w:line="600" w:lineRule="exact"/>
        <w:ind w:firstLine="640"/>
        <w:outlineLvl w:val="2"/>
        <w:rPr>
          <w:rFonts w:ascii="仿宋_GB2312" w:hAnsi="仿宋" w:eastAsia="仿宋_GB2312"/>
          <w:b/>
          <w:color w:val="000000"/>
          <w:sz w:val="32"/>
          <w:szCs w:val="32"/>
        </w:rPr>
      </w:pPr>
      <w:bookmarkStart w:id="88" w:name="_Toc15377216"/>
      <w:bookmarkStart w:id="89" w:name="_Toc4626"/>
      <w:r>
        <w:rPr>
          <w:rFonts w:hint="eastAsia" w:ascii="仿宋_GB2312" w:hAnsi="仿宋" w:eastAsia="仿宋_GB2312"/>
          <w:b/>
          <w:color w:val="000000"/>
          <w:sz w:val="32"/>
          <w:szCs w:val="32"/>
        </w:rPr>
        <w:t>（一）“三公”经费财政拨款支出决算总体情况说明</w:t>
      </w:r>
      <w:bookmarkEnd w:id="88"/>
      <w:bookmarkEnd w:id="89"/>
    </w:p>
    <w:p>
      <w:pPr>
        <w:spacing w:line="60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年“三公”经费财政拨款支出决算为</w:t>
      </w:r>
      <w:r>
        <w:rPr>
          <w:rFonts w:hint="eastAsia" w:ascii="仿宋_GB2312" w:hAnsi="仿宋" w:eastAsia="仿宋_GB2312"/>
          <w:color w:val="000000"/>
          <w:sz w:val="32"/>
          <w:szCs w:val="32"/>
          <w:lang w:val="en-US" w:eastAsia="zh-CN"/>
        </w:rPr>
        <w:t>10.82</w:t>
      </w:r>
      <w:r>
        <w:rPr>
          <w:rFonts w:hint="eastAsia" w:ascii="仿宋_GB2312" w:hAnsi="仿宋" w:eastAsia="仿宋_GB2312"/>
          <w:color w:val="000000"/>
          <w:sz w:val="32"/>
          <w:szCs w:val="32"/>
        </w:rPr>
        <w:t>万元，完成预算</w:t>
      </w:r>
      <w:r>
        <w:rPr>
          <w:rFonts w:hint="eastAsia" w:ascii="仿宋_GB2312" w:hAnsi="仿宋" w:eastAsia="仿宋_GB2312"/>
          <w:color w:val="000000"/>
          <w:sz w:val="32"/>
          <w:szCs w:val="32"/>
          <w:lang w:val="en-US" w:eastAsia="zh-CN"/>
        </w:rPr>
        <w:t>100</w:t>
      </w:r>
      <w:r>
        <w:rPr>
          <w:rFonts w:hint="eastAsia" w:ascii="仿宋_GB2312" w:hAnsi="仿宋" w:eastAsia="仿宋_GB2312"/>
          <w:color w:val="000000"/>
          <w:sz w:val="32"/>
          <w:szCs w:val="32"/>
        </w:rPr>
        <w:t>%。</w:t>
      </w:r>
    </w:p>
    <w:p>
      <w:pPr>
        <w:spacing w:line="600" w:lineRule="exact"/>
        <w:ind w:firstLine="640"/>
        <w:rPr>
          <w:rFonts w:ascii="仿宋_GB2312" w:hAnsi="仿宋" w:eastAsia="仿宋_GB2312"/>
          <w:b/>
          <w:color w:val="000000" w:themeColor="text1"/>
          <w:sz w:val="32"/>
          <w:szCs w:val="32"/>
          <w14:textFill>
            <w14:solidFill>
              <w14:schemeClr w14:val="tx1"/>
            </w14:solidFill>
          </w14:textFill>
        </w:rPr>
      </w:pPr>
      <w:r>
        <w:rPr>
          <w:rFonts w:hint="eastAsia" w:ascii="仿宋_GB2312" w:hAnsi="仿宋" w:eastAsia="仿宋_GB2312"/>
          <w:b/>
          <w:color w:val="000000"/>
          <w:sz w:val="32"/>
          <w:szCs w:val="32"/>
        </w:rPr>
        <w:t>（上述“预算”口径为调整预</w:t>
      </w:r>
      <w:r>
        <w:rPr>
          <w:rFonts w:hint="eastAsia" w:ascii="仿宋_GB2312" w:hAnsi="仿宋" w:eastAsia="仿宋_GB2312"/>
          <w:b/>
          <w:color w:val="000000" w:themeColor="text1"/>
          <w:sz w:val="32"/>
          <w:szCs w:val="32"/>
          <w14:textFill>
            <w14:solidFill>
              <w14:schemeClr w14:val="tx1"/>
            </w14:solidFill>
          </w14:textFill>
        </w:rPr>
        <w:t>算数，包括政府性基金支出决算情况。）</w:t>
      </w:r>
    </w:p>
    <w:p>
      <w:pPr>
        <w:spacing w:line="600" w:lineRule="exact"/>
        <w:ind w:firstLine="640"/>
        <w:outlineLvl w:val="2"/>
        <w:rPr>
          <w:rFonts w:ascii="仿宋_GB2312" w:hAnsi="仿宋" w:eastAsia="仿宋_GB2312"/>
          <w:b/>
          <w:color w:val="000000"/>
          <w:sz w:val="32"/>
          <w:szCs w:val="32"/>
        </w:rPr>
      </w:pPr>
      <w:bookmarkStart w:id="90" w:name="_Toc11296"/>
      <w:bookmarkStart w:id="91" w:name="_Toc15377217"/>
      <w:r>
        <w:rPr>
          <w:rFonts w:hint="eastAsia" w:ascii="仿宋_GB2312" w:hAnsi="仿宋" w:eastAsia="仿宋_GB2312"/>
          <w:b/>
          <w:color w:val="000000"/>
          <w:sz w:val="32"/>
          <w:szCs w:val="32"/>
        </w:rPr>
        <w:t>（二）“三公”经费财政拨款支出决算具体情况说明</w:t>
      </w:r>
      <w:bookmarkEnd w:id="90"/>
      <w:bookmarkEnd w:id="91"/>
    </w:p>
    <w:p>
      <w:pPr>
        <w:spacing w:line="60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20</w:t>
      </w:r>
      <w:r>
        <w:rPr>
          <w:rFonts w:hint="eastAsia" w:ascii="仿宋_GB2312" w:hAnsi="仿宋" w:eastAsia="仿宋_GB2312"/>
          <w:color w:val="000000"/>
          <w:sz w:val="32"/>
          <w:szCs w:val="32"/>
          <w:lang w:val="en-US" w:eastAsia="zh-CN"/>
        </w:rPr>
        <w:t>20</w:t>
      </w:r>
      <w:r>
        <w:rPr>
          <w:rFonts w:hint="eastAsia" w:ascii="仿宋_GB2312" w:hAnsi="仿宋" w:eastAsia="仿宋_GB2312"/>
          <w:color w:val="000000"/>
          <w:sz w:val="32"/>
          <w:szCs w:val="32"/>
        </w:rPr>
        <w:t>年“三公”经费财政拨款支出决算中，因公出国（境）费支出决算</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万元，；公务用车购置及运行维护费支出决算</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万元，；公务接待费支出决算</w:t>
      </w:r>
      <w:r>
        <w:rPr>
          <w:rFonts w:hint="eastAsia" w:ascii="仿宋_GB2312" w:hAnsi="仿宋" w:eastAsia="仿宋_GB2312"/>
          <w:color w:val="000000"/>
          <w:sz w:val="32"/>
          <w:szCs w:val="32"/>
          <w:lang w:val="en-US" w:eastAsia="zh-CN"/>
        </w:rPr>
        <w:t>0</w:t>
      </w:r>
      <w:r>
        <w:rPr>
          <w:rFonts w:hint="eastAsia" w:ascii="仿宋_GB2312" w:hAnsi="仿宋" w:eastAsia="仿宋_GB2312"/>
          <w:color w:val="000000"/>
          <w:sz w:val="32"/>
          <w:szCs w:val="32"/>
        </w:rPr>
        <w:t>万元。</w:t>
      </w:r>
    </w:p>
    <w:p>
      <w:pPr>
        <w:spacing w:line="600" w:lineRule="exact"/>
        <w:ind w:firstLine="640"/>
        <w:rPr>
          <w:rFonts w:ascii="仿宋_GB2312" w:eastAsia="仿宋_GB2312"/>
          <w:b/>
          <w:color w:val="000000"/>
          <w:sz w:val="32"/>
          <w:szCs w:val="32"/>
        </w:rPr>
      </w:pPr>
      <w:r>
        <w:rPr>
          <w:rFonts w:hint="eastAsia" w:ascii="仿宋_GB2312" w:eastAsia="仿宋_GB2312"/>
          <w:b/>
          <w:color w:val="000000"/>
          <w:sz w:val="32"/>
          <w:szCs w:val="32"/>
        </w:rPr>
        <w:t>1.因公出国（境）经费支出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9"/>
          <w:rFonts w:hint="eastAsia" w:ascii="仿宋_GB2312" w:hAnsi="仿宋" w:eastAsia="仿宋_GB2312"/>
          <w:b w:val="0"/>
          <w:bCs/>
          <w:color w:val="000000"/>
          <w:sz w:val="32"/>
          <w:szCs w:val="32"/>
        </w:rPr>
        <w:t>完成预算</w:t>
      </w:r>
      <w:r>
        <w:rPr>
          <w:rStyle w:val="19"/>
          <w:rFonts w:hint="eastAsia" w:ascii="仿宋_GB2312" w:hAnsi="仿宋" w:eastAsia="仿宋_GB2312"/>
          <w:b w:val="0"/>
          <w:bCs/>
          <w:color w:val="000000"/>
          <w:sz w:val="32"/>
          <w:szCs w:val="32"/>
          <w:lang w:val="en-US" w:eastAsia="zh-CN"/>
        </w:rPr>
        <w:t>100</w:t>
      </w:r>
      <w:r>
        <w:rPr>
          <w:rStyle w:val="19"/>
          <w:rFonts w:hint="eastAsia" w:ascii="仿宋_GB2312" w:hAnsi="仿宋" w:eastAsia="仿宋_GB2312"/>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人。因公出国（境）支出决算比201</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年增加/减少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万元，增长/下降</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：无</w:t>
      </w:r>
      <w:r>
        <w:rPr>
          <w:rFonts w:hint="eastAsia" w:ascii="仿宋_GB2312" w:eastAsia="仿宋_GB2312"/>
          <w:color w:val="000000"/>
          <w:sz w:val="32"/>
          <w:szCs w:val="32"/>
        </w:rPr>
        <w:t>。</w:t>
      </w:r>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rPr>
        <w:t>开支内容包括：</w:t>
      </w:r>
      <w:r>
        <w:rPr>
          <w:rFonts w:hint="eastAsia" w:ascii="仿宋_GB2312" w:eastAsia="仿宋_GB2312"/>
          <w:color w:val="000000"/>
          <w:sz w:val="32"/>
          <w:szCs w:val="32"/>
          <w:lang w:eastAsia="zh-CN"/>
        </w:rPr>
        <w:t>无</w:t>
      </w:r>
      <w:r>
        <w:rPr>
          <w:rFonts w:hint="eastAsia" w:ascii="仿宋_GB2312" w:eastAsia="仿宋_GB2312"/>
          <w:color w:val="000000"/>
          <w:sz w:val="32"/>
          <w:szCs w:val="32"/>
        </w:rPr>
        <w:t>（团组名称、出访地点、取得成效）等。</w:t>
      </w:r>
    </w:p>
    <w:p>
      <w:pPr>
        <w:spacing w:line="600" w:lineRule="exact"/>
        <w:ind w:firstLine="640"/>
        <w:rPr>
          <w:rFonts w:ascii="仿宋_GB2312" w:eastAsia="仿宋_GB2312"/>
          <w:b/>
          <w:color w:val="000000"/>
          <w:sz w:val="32"/>
          <w:szCs w:val="32"/>
        </w:rPr>
      </w:pPr>
      <w:r>
        <w:rPr>
          <w:rFonts w:hint="eastAsia" w:ascii="仿宋_GB2312" w:eastAsia="仿宋_GB2312"/>
          <w:b/>
          <w:color w:val="000000"/>
          <w:sz w:val="32"/>
          <w:szCs w:val="32"/>
        </w:rPr>
        <w:t>2.公务用车购置及运行维护费支出</w:t>
      </w:r>
      <w:r>
        <w:rPr>
          <w:rFonts w:hint="eastAsia" w:ascii="仿宋_GB2312" w:hAnsi="仿宋" w:eastAsia="仿宋_GB2312"/>
          <w:color w:val="000000"/>
          <w:sz w:val="32"/>
          <w:szCs w:val="32"/>
          <w:lang w:val="en-US" w:eastAsia="zh-CN"/>
        </w:rPr>
        <w:t>0</w:t>
      </w:r>
      <w:r>
        <w:rPr>
          <w:rFonts w:hint="eastAsia" w:ascii="仿宋_GB2312" w:eastAsia="仿宋_GB2312"/>
          <w:color w:val="000000"/>
          <w:sz w:val="32"/>
          <w:szCs w:val="32"/>
        </w:rPr>
        <w:t>万元,</w:t>
      </w:r>
      <w:r>
        <w:rPr>
          <w:rStyle w:val="19"/>
          <w:rFonts w:hint="eastAsia" w:ascii="仿宋_GB2312" w:hAnsi="仿宋" w:eastAsia="仿宋_GB2312"/>
          <w:b w:val="0"/>
          <w:bCs/>
          <w:color w:val="000000"/>
          <w:sz w:val="32"/>
          <w:szCs w:val="32"/>
        </w:rPr>
        <w:t>完成预算</w:t>
      </w:r>
      <w:r>
        <w:rPr>
          <w:rStyle w:val="19"/>
          <w:rFonts w:hint="eastAsia" w:ascii="仿宋_GB2312" w:hAnsi="仿宋" w:eastAsia="仿宋_GB2312"/>
          <w:b w:val="0"/>
          <w:bCs/>
          <w:color w:val="000000"/>
          <w:sz w:val="32"/>
          <w:szCs w:val="32"/>
          <w:lang w:val="en-US" w:eastAsia="zh-CN"/>
        </w:rPr>
        <w:t>100</w:t>
      </w:r>
      <w:r>
        <w:rPr>
          <w:rStyle w:val="19"/>
          <w:rFonts w:hint="eastAsia" w:ascii="仿宋_GB2312" w:hAnsi="仿宋" w:eastAsia="仿宋_GB2312"/>
          <w:b w:val="0"/>
          <w:bCs/>
          <w:color w:val="000000"/>
          <w:sz w:val="32"/>
          <w:szCs w:val="32"/>
        </w:rPr>
        <w:t>%。</w:t>
      </w:r>
      <w:r>
        <w:rPr>
          <w:rFonts w:hint="eastAsia" w:ascii="仿宋_GB2312" w:eastAsia="仿宋_GB2312"/>
          <w:color w:val="000000"/>
          <w:sz w:val="32"/>
          <w:szCs w:val="32"/>
        </w:rPr>
        <w:t>公务用车购置及运行维护费支出决算比201</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增加</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增长</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：无</w:t>
      </w:r>
      <w:r>
        <w:rPr>
          <w:rFonts w:hint="eastAsia" w:ascii="仿宋_GB2312" w:eastAsia="仿宋_GB2312"/>
          <w:color w:val="000000"/>
          <w:sz w:val="32"/>
          <w:szCs w:val="32"/>
        </w:rPr>
        <w:t>。</w:t>
      </w:r>
    </w:p>
    <w:p>
      <w:pPr>
        <w:spacing w:line="600" w:lineRule="exact"/>
        <w:ind w:firstLine="640" w:firstLineChars="200"/>
        <w:rPr>
          <w:rFonts w:ascii="仿宋_GB2312" w:eastAsia="仿宋_GB2312"/>
          <w:b/>
          <w:color w:val="000000"/>
          <w:sz w:val="32"/>
          <w:szCs w:val="32"/>
          <w:highlight w:val="none"/>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highlight w:val="none"/>
        </w:rPr>
        <w:t>截至20</w:t>
      </w:r>
      <w:r>
        <w:rPr>
          <w:rFonts w:hint="eastAsia" w:ascii="仿宋_GB2312" w:eastAsia="仿宋_GB2312"/>
          <w:color w:val="000000"/>
          <w:sz w:val="32"/>
          <w:szCs w:val="32"/>
          <w:highlight w:val="none"/>
          <w:lang w:val="en-US" w:eastAsia="zh-CN"/>
        </w:rPr>
        <w:t>20</w:t>
      </w:r>
      <w:r>
        <w:rPr>
          <w:rFonts w:hint="eastAsia" w:ascii="仿宋_GB2312" w:eastAsia="仿宋_GB2312"/>
          <w:color w:val="000000"/>
          <w:sz w:val="32"/>
          <w:szCs w:val="32"/>
          <w:highlight w:val="none"/>
        </w:rPr>
        <w:t>年12月底，单位共有公务用车</w:t>
      </w:r>
      <w:r>
        <w:rPr>
          <w:rFonts w:hint="eastAsia" w:ascii="仿宋_GB2312" w:eastAsia="仿宋_GB2312"/>
          <w:color w:val="000000"/>
          <w:sz w:val="32"/>
          <w:szCs w:val="32"/>
          <w:highlight w:val="none"/>
          <w:lang w:val="en-US" w:eastAsia="zh-CN"/>
        </w:rPr>
        <w:t>0</w:t>
      </w:r>
      <w:r>
        <w:rPr>
          <w:rFonts w:hint="eastAsia" w:ascii="仿宋_GB2312" w:eastAsia="仿宋_GB2312"/>
          <w:color w:val="000000"/>
          <w:sz w:val="32"/>
          <w:szCs w:val="32"/>
          <w:highlight w:val="none"/>
        </w:rPr>
        <w:t>辆，其中：轿车</w:t>
      </w:r>
      <w:r>
        <w:rPr>
          <w:rFonts w:hint="eastAsia" w:ascii="仿宋_GB2312" w:eastAsia="仿宋_GB2312"/>
          <w:color w:val="000000"/>
          <w:sz w:val="32"/>
          <w:szCs w:val="32"/>
          <w:highlight w:val="none"/>
          <w:lang w:val="en-US" w:eastAsia="zh-CN"/>
        </w:rPr>
        <w:t>0</w:t>
      </w:r>
      <w:r>
        <w:rPr>
          <w:rFonts w:hint="eastAsia" w:ascii="仿宋_GB2312" w:eastAsia="仿宋_GB2312"/>
          <w:color w:val="000000"/>
          <w:sz w:val="32"/>
          <w:szCs w:val="32"/>
          <w:highlight w:val="none"/>
        </w:rPr>
        <w:t>辆、越野车</w:t>
      </w:r>
      <w:r>
        <w:rPr>
          <w:rFonts w:hint="eastAsia" w:ascii="仿宋_GB2312" w:eastAsia="仿宋_GB2312"/>
          <w:color w:val="000000"/>
          <w:sz w:val="32"/>
          <w:szCs w:val="32"/>
          <w:highlight w:val="none"/>
          <w:lang w:val="en-US" w:eastAsia="zh-CN"/>
        </w:rPr>
        <w:t>0</w:t>
      </w:r>
      <w:r>
        <w:rPr>
          <w:rFonts w:hint="eastAsia" w:ascii="仿宋_GB2312" w:eastAsia="仿宋_GB2312"/>
          <w:color w:val="000000"/>
          <w:sz w:val="32"/>
          <w:szCs w:val="32"/>
          <w:highlight w:val="none"/>
        </w:rPr>
        <w:t>辆、载客汽车</w:t>
      </w:r>
      <w:r>
        <w:rPr>
          <w:rFonts w:hint="eastAsia" w:ascii="仿宋_GB2312" w:eastAsia="仿宋_GB2312"/>
          <w:color w:val="000000"/>
          <w:sz w:val="32"/>
          <w:szCs w:val="32"/>
          <w:highlight w:val="none"/>
          <w:lang w:val="en-US" w:eastAsia="zh-CN"/>
        </w:rPr>
        <w:t>0</w:t>
      </w:r>
      <w:r>
        <w:rPr>
          <w:rFonts w:hint="eastAsia" w:ascii="仿宋_GB2312" w:eastAsia="仿宋_GB2312"/>
          <w:color w:val="000000"/>
          <w:sz w:val="32"/>
          <w:szCs w:val="32"/>
          <w:highlight w:val="none"/>
        </w:rPr>
        <w:t>辆。</w:t>
      </w:r>
    </w:p>
    <w:p>
      <w:pPr>
        <w:spacing w:line="600" w:lineRule="exact"/>
        <w:ind w:firstLine="640"/>
        <w:rPr>
          <w:rFonts w:hint="eastAsia"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hAnsi="仿宋"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3.公务接待费支出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9"/>
          <w:rFonts w:hint="eastAsia" w:ascii="仿宋_GB2312" w:hAnsi="仿宋" w:eastAsia="仿宋_GB2312"/>
          <w:b w:val="0"/>
          <w:bCs/>
          <w:color w:val="000000"/>
          <w:sz w:val="32"/>
          <w:szCs w:val="32"/>
        </w:rPr>
        <w:t>完成预算</w:t>
      </w:r>
      <w:r>
        <w:rPr>
          <w:rStyle w:val="19"/>
          <w:rFonts w:hint="eastAsia" w:ascii="仿宋_GB2312" w:hAnsi="仿宋" w:eastAsia="仿宋_GB2312"/>
          <w:b w:val="0"/>
          <w:bCs/>
          <w:color w:val="000000"/>
          <w:sz w:val="32"/>
          <w:szCs w:val="32"/>
          <w:lang w:val="en-US" w:eastAsia="zh-CN"/>
        </w:rPr>
        <w:t>100</w:t>
      </w:r>
      <w:r>
        <w:rPr>
          <w:rStyle w:val="19"/>
          <w:rFonts w:hint="eastAsia" w:ascii="仿宋_GB2312" w:hAnsi="仿宋" w:eastAsia="仿宋_GB2312"/>
          <w:b w:val="0"/>
          <w:bCs/>
          <w:color w:val="000000"/>
          <w:sz w:val="32"/>
          <w:szCs w:val="32"/>
        </w:rPr>
        <w:t>%。</w:t>
      </w:r>
      <w:r>
        <w:rPr>
          <w:rFonts w:hint="eastAsia" w:ascii="仿宋_GB2312" w:eastAsia="仿宋_GB2312"/>
          <w:color w:val="000000"/>
          <w:sz w:val="32"/>
          <w:szCs w:val="32"/>
        </w:rPr>
        <w:t>公务接待费支出决算比201</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年增加/减少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万元，增长/下降</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：无</w:t>
      </w:r>
      <w:r>
        <w:rPr>
          <w:rFonts w:hint="eastAsia" w:ascii="仿宋_GB2312" w:eastAsia="仿宋_GB2312"/>
          <w:color w:val="000000"/>
          <w:sz w:val="32"/>
          <w:szCs w:val="32"/>
        </w:rPr>
        <w:t>。</w:t>
      </w:r>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主要用于执行公务、开展业务活动开支的交通费、住宿费、用餐费等。国内公务接待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w:t>
      </w:r>
    </w:p>
    <w:p>
      <w:pPr>
        <w:spacing w:line="600" w:lineRule="exact"/>
        <w:ind w:firstLine="642" w:firstLineChars="200"/>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b/>
          <w:color w:val="000000"/>
          <w:sz w:val="32"/>
          <w:szCs w:val="32"/>
        </w:rPr>
        <w:t>外事接待支出</w:t>
      </w:r>
      <w:r>
        <w:rPr>
          <w:rFonts w:hint="eastAsia" w:ascii="仿宋_GB2312" w:hAnsi="仿宋"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，外事接待</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批次，</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人，共计支出</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万元。</w:t>
      </w:r>
    </w:p>
    <w:p>
      <w:pPr>
        <w:spacing w:line="600" w:lineRule="exact"/>
        <w:ind w:firstLine="642" w:firstLineChars="200"/>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b/>
          <w:color w:val="000000"/>
          <w:sz w:val="32"/>
          <w:szCs w:val="32"/>
        </w:rPr>
        <w:t>其他国内公务接待支出</w:t>
      </w:r>
      <w:r>
        <w:rPr>
          <w:rFonts w:hint="eastAsia" w:ascii="仿宋_GB2312" w:hAnsi="仿宋"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w:t>
      </w:r>
    </w:p>
    <w:p>
      <w:pPr>
        <w:spacing w:line="600" w:lineRule="exact"/>
        <w:outlineLvl w:val="1"/>
        <w:rPr>
          <w:rFonts w:ascii="仿宋_GB2312" w:eastAsia="仿宋_GB2312"/>
          <w:color w:val="000000"/>
          <w:sz w:val="32"/>
          <w:szCs w:val="32"/>
        </w:rPr>
      </w:pPr>
      <w:bookmarkStart w:id="92" w:name="_Toc15377218"/>
      <w:bookmarkStart w:id="93" w:name="_Toc15396610"/>
    </w:p>
    <w:p>
      <w:pPr>
        <w:spacing w:line="600" w:lineRule="exact"/>
        <w:ind w:firstLine="640"/>
        <w:outlineLvl w:val="1"/>
        <w:rPr>
          <w:rStyle w:val="31"/>
          <w:rFonts w:ascii="仿宋_GB2312" w:hAnsi="黑体" w:eastAsia="仿宋_GB2312"/>
          <w:b/>
          <w:bCs/>
        </w:rPr>
      </w:pPr>
      <w:bookmarkStart w:id="94" w:name="_Toc1234"/>
      <w:r>
        <w:rPr>
          <w:rFonts w:hint="eastAsia" w:ascii="仿宋_GB2312" w:eastAsia="仿宋_GB2312"/>
          <w:b/>
          <w:bCs/>
          <w:color w:val="000000"/>
          <w:sz w:val="32"/>
          <w:szCs w:val="32"/>
        </w:rPr>
        <w:t>八、</w:t>
      </w:r>
      <w:r>
        <w:rPr>
          <w:rStyle w:val="31"/>
          <w:rFonts w:hint="eastAsia" w:ascii="仿宋_GB2312" w:hAnsi="黑体" w:eastAsia="仿宋_GB2312"/>
          <w:b/>
          <w:bCs/>
        </w:rPr>
        <w:t>政府性基金预算支出决算情况说明</w:t>
      </w:r>
      <w:bookmarkEnd w:id="92"/>
      <w:bookmarkEnd w:id="93"/>
      <w:bookmarkEnd w:id="94"/>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rPr>
          <w:rFonts w:ascii="仿宋_GB2312" w:eastAsia="仿宋_GB2312"/>
          <w:color w:val="000000"/>
          <w:sz w:val="32"/>
          <w:szCs w:val="32"/>
        </w:rPr>
      </w:pPr>
    </w:p>
    <w:p>
      <w:pPr>
        <w:numPr>
          <w:ilvl w:val="0"/>
          <w:numId w:val="4"/>
        </w:numPr>
        <w:spacing w:line="600" w:lineRule="exact"/>
        <w:ind w:firstLine="640"/>
        <w:outlineLvl w:val="1"/>
        <w:rPr>
          <w:rStyle w:val="31"/>
          <w:rFonts w:ascii="仿宋_GB2312" w:hAnsi="黑体" w:eastAsia="仿宋_GB2312"/>
          <w:b/>
          <w:bCs w:val="0"/>
        </w:rPr>
      </w:pPr>
      <w:bookmarkStart w:id="95" w:name="_Toc15396611"/>
      <w:bookmarkStart w:id="96" w:name="_Toc27547"/>
      <w:bookmarkStart w:id="97" w:name="_Toc15377219"/>
      <w:r>
        <w:rPr>
          <w:rStyle w:val="31"/>
          <w:rFonts w:hint="eastAsia" w:ascii="仿宋_GB2312" w:hAnsi="黑体" w:eastAsia="仿宋_GB2312"/>
          <w:b/>
          <w:bCs w:val="0"/>
        </w:rPr>
        <w:t>国有资本经营预算支出决算情况说明</w:t>
      </w:r>
      <w:bookmarkEnd w:id="95"/>
      <w:bookmarkEnd w:id="96"/>
      <w:bookmarkEnd w:id="97"/>
    </w:p>
    <w:p>
      <w:pPr>
        <w:spacing w:line="600" w:lineRule="exact"/>
        <w:ind w:firstLine="640"/>
        <w:rPr>
          <w:rFonts w:hint="eastAsia" w:ascii="仿宋_GB2312" w:eastAsia="仿宋_GB2312"/>
          <w:color w:val="000000"/>
          <w:sz w:val="32"/>
          <w:szCs w:val="32"/>
        </w:rPr>
      </w:pP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Style w:val="21"/>
        <w:rPr>
          <w:rFonts w:hint="eastAsia"/>
        </w:rPr>
      </w:pPr>
    </w:p>
    <w:p>
      <w:pPr>
        <w:pStyle w:val="21"/>
        <w:rPr>
          <w:rFonts w:hint="eastAsia"/>
        </w:rPr>
      </w:pPr>
    </w:p>
    <w:p>
      <w:pPr>
        <w:spacing w:line="600" w:lineRule="exact"/>
        <w:ind w:firstLine="800" w:firstLineChars="250"/>
        <w:outlineLvl w:val="1"/>
        <w:rPr>
          <w:rStyle w:val="36"/>
          <w:rFonts w:ascii="黑体" w:hAnsi="黑体" w:eastAsia="黑体"/>
        </w:rPr>
      </w:pPr>
      <w:bookmarkStart w:id="98" w:name="_Toc29777"/>
      <w:bookmarkStart w:id="99" w:name="_Toc79163624"/>
      <w:bookmarkStart w:id="100" w:name="_Toc79163874"/>
      <w:r>
        <w:rPr>
          <w:rFonts w:hint="eastAsia" w:ascii="黑体" w:hAnsi="黑体" w:eastAsia="黑体"/>
          <w:color w:val="000000"/>
          <w:sz w:val="32"/>
          <w:szCs w:val="32"/>
        </w:rPr>
        <w:t>十</w:t>
      </w:r>
      <w:r>
        <w:rPr>
          <w:rStyle w:val="36"/>
          <w:rFonts w:hint="eastAsia" w:ascii="黑体" w:hAnsi="黑体" w:eastAsia="黑体"/>
        </w:rPr>
        <w:t>、</w:t>
      </w:r>
      <w:r>
        <w:rPr>
          <w:rStyle w:val="36"/>
          <w:rFonts w:hint="eastAsia" w:ascii="黑体" w:hAnsi="黑体" w:eastAsia="黑体"/>
          <w:b w:val="0"/>
        </w:rPr>
        <w:t>其他重要事项的情况说明</w:t>
      </w:r>
      <w:bookmarkEnd w:id="98"/>
      <w:bookmarkEnd w:id="99"/>
      <w:bookmarkEnd w:id="100"/>
    </w:p>
    <w:p>
      <w:pPr>
        <w:spacing w:line="600" w:lineRule="exact"/>
        <w:ind w:firstLine="642" w:firstLineChars="200"/>
        <w:outlineLvl w:val="2"/>
        <w:rPr>
          <w:rFonts w:ascii="仿宋" w:hAnsi="仿宋" w:eastAsia="仿宋"/>
          <w:color w:val="000000"/>
          <w:sz w:val="32"/>
          <w:szCs w:val="32"/>
        </w:rPr>
      </w:pPr>
      <w:bookmarkStart w:id="101" w:name="_Toc13297"/>
      <w:bookmarkStart w:id="102" w:name="_Toc79163625"/>
      <w:bookmarkStart w:id="103" w:name="_Toc79163875"/>
      <w:r>
        <w:rPr>
          <w:rFonts w:hint="eastAsia" w:ascii="仿宋" w:hAnsi="仿宋" w:eastAsia="仿宋"/>
          <w:b/>
          <w:color w:val="000000"/>
          <w:sz w:val="32"/>
          <w:szCs w:val="32"/>
        </w:rPr>
        <w:t>（一）机关运行经费支出情况</w:t>
      </w:r>
      <w:bookmarkEnd w:id="101"/>
      <w:bookmarkEnd w:id="102"/>
      <w:bookmarkEnd w:id="103"/>
    </w:p>
    <w:p>
      <w:pPr>
        <w:spacing w:line="600" w:lineRule="exact"/>
        <w:ind w:firstLine="640" w:firstLineChars="200"/>
        <w:rPr>
          <w:rFonts w:hint="eastAsia" w:ascii="仿宋_GB2312" w:eastAsia="仿宋_GB2312"/>
          <w:color w:val="000000" w:themeColor="text1"/>
          <w:sz w:val="32"/>
          <w:szCs w:val="32"/>
          <w:lang w:eastAsia="zh-CN"/>
          <w14:textFill>
            <w14:solidFill>
              <w14:schemeClr w14:val="tx1"/>
            </w14:solidFill>
          </w14:textFill>
        </w:rPr>
      </w:pPr>
      <w:bookmarkStart w:id="104" w:name="_Toc79163626"/>
      <w:bookmarkStart w:id="105" w:name="_Toc79163876"/>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壤塘县娜泽求宗社区管理委员会</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8.8</w:t>
      </w:r>
      <w:r>
        <w:rPr>
          <w:rFonts w:hint="eastAsia" w:ascii="仿宋_GB2312" w:eastAsia="仿宋_GB2312"/>
          <w:color w:val="000000"/>
          <w:sz w:val="32"/>
          <w:szCs w:val="32"/>
        </w:rPr>
        <w:t>万元，比201</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增加</w:t>
      </w:r>
      <w:r>
        <w:rPr>
          <w:rFonts w:hint="eastAsia" w:ascii="仿宋_GB2312" w:eastAsia="仿宋_GB2312"/>
          <w:color w:val="000000"/>
          <w:sz w:val="32"/>
          <w:szCs w:val="32"/>
          <w:lang w:val="en-US" w:eastAsia="zh-CN"/>
        </w:rPr>
        <w:t>8.8</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增长</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w:t>
      </w:r>
      <w:r>
        <w:rPr>
          <w:rFonts w:hint="eastAsia" w:ascii="仿宋_GB2312" w:eastAsia="仿宋_GB2312"/>
          <w:color w:val="000000" w:themeColor="text1"/>
          <w:sz w:val="32"/>
          <w:szCs w:val="32"/>
          <w14:textFill>
            <w14:solidFill>
              <w14:schemeClr w14:val="tx1"/>
            </w14:solidFill>
          </w14:textFill>
        </w:rPr>
        <w:t>主要原因</w:t>
      </w:r>
      <w:r>
        <w:rPr>
          <w:rFonts w:hint="eastAsia" w:ascii="仿宋_GB2312" w:eastAsia="仿宋_GB2312"/>
          <w:color w:val="000000" w:themeColor="text1"/>
          <w:sz w:val="32"/>
          <w:szCs w:val="32"/>
          <w:lang w:val="en-US" w:eastAsia="zh-CN"/>
          <w14:textFill>
            <w14:solidFill>
              <w14:schemeClr w14:val="tx1"/>
            </w14:solidFill>
          </w14:textFill>
        </w:rPr>
        <w:t>:本单位为7月份新成立单位</w:t>
      </w:r>
      <w:r>
        <w:rPr>
          <w:rFonts w:hint="eastAsia" w:ascii="仿宋_GB2312" w:eastAsia="仿宋_GB2312"/>
          <w:color w:val="000000" w:themeColor="text1"/>
          <w:sz w:val="32"/>
          <w:szCs w:val="32"/>
          <w:lang w:eastAsia="zh-CN"/>
          <w14:textFill>
            <w14:solidFill>
              <w14:schemeClr w14:val="tx1"/>
            </w14:solidFill>
          </w14:textFill>
        </w:rPr>
        <w:t>。</w:t>
      </w:r>
    </w:p>
    <w:p>
      <w:pPr>
        <w:autoSpaceDE w:val="0"/>
        <w:autoSpaceDN w:val="0"/>
        <w:adjustRightInd w:val="0"/>
        <w:spacing w:line="600" w:lineRule="exact"/>
        <w:ind w:firstLine="642" w:firstLineChars="200"/>
        <w:jc w:val="left"/>
        <w:outlineLvl w:val="2"/>
        <w:rPr>
          <w:rFonts w:ascii="仿宋" w:hAnsi="仿宋" w:eastAsia="仿宋"/>
          <w:b/>
          <w:color w:val="000000"/>
          <w:sz w:val="32"/>
          <w:szCs w:val="32"/>
        </w:rPr>
      </w:pPr>
      <w:bookmarkStart w:id="106" w:name="_Toc29946"/>
      <w:r>
        <w:rPr>
          <w:rFonts w:hint="eastAsia" w:ascii="仿宋" w:hAnsi="仿宋" w:eastAsia="仿宋"/>
          <w:b/>
          <w:color w:val="000000"/>
          <w:sz w:val="32"/>
          <w:szCs w:val="32"/>
        </w:rPr>
        <w:t>（二）政府采购支出情况</w:t>
      </w:r>
      <w:bookmarkEnd w:id="104"/>
      <w:bookmarkEnd w:id="105"/>
      <w:bookmarkEnd w:id="106"/>
    </w:p>
    <w:p>
      <w:pPr>
        <w:spacing w:line="600" w:lineRule="exact"/>
        <w:ind w:firstLine="640" w:firstLineChars="200"/>
        <w:rPr>
          <w:rFonts w:ascii="仿宋_GB2312" w:eastAsia="仿宋_GB2312"/>
          <w:color w:val="000000"/>
          <w:sz w:val="32"/>
          <w:szCs w:val="32"/>
        </w:rPr>
      </w:pPr>
      <w:bookmarkStart w:id="107" w:name="_Toc79163627"/>
      <w:bookmarkStart w:id="108" w:name="_Toc79163877"/>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壤塘县娜泽求宗社区管理委员会</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w:t>
      </w:r>
    </w:p>
    <w:p>
      <w:pPr>
        <w:autoSpaceDE w:val="0"/>
        <w:autoSpaceDN w:val="0"/>
        <w:adjustRightInd w:val="0"/>
        <w:spacing w:line="600" w:lineRule="exact"/>
        <w:ind w:firstLine="642" w:firstLineChars="200"/>
        <w:jc w:val="left"/>
        <w:outlineLvl w:val="2"/>
        <w:rPr>
          <w:rFonts w:ascii="仿宋" w:hAnsi="仿宋" w:eastAsia="仿宋"/>
          <w:b/>
          <w:color w:val="000000"/>
          <w:sz w:val="32"/>
          <w:szCs w:val="32"/>
        </w:rPr>
      </w:pPr>
      <w:bookmarkStart w:id="109" w:name="_Toc19086"/>
      <w:r>
        <w:rPr>
          <w:rFonts w:hint="eastAsia" w:ascii="仿宋" w:hAnsi="仿宋" w:eastAsia="仿宋"/>
          <w:b/>
          <w:color w:val="000000"/>
          <w:sz w:val="32"/>
          <w:szCs w:val="32"/>
        </w:rPr>
        <w:t>（三）国有资产占有使用情况</w:t>
      </w:r>
      <w:bookmarkEnd w:id="107"/>
      <w:bookmarkEnd w:id="108"/>
      <w:bookmarkEnd w:id="109"/>
    </w:p>
    <w:p>
      <w:pPr>
        <w:autoSpaceDE w:val="0"/>
        <w:autoSpaceDN w:val="0"/>
        <w:adjustRightInd w:val="0"/>
        <w:spacing w:line="600" w:lineRule="exact"/>
        <w:ind w:firstLine="640" w:firstLineChars="200"/>
        <w:jc w:val="left"/>
        <w:rPr>
          <w:rFonts w:ascii="仿宋_GB2312" w:eastAsia="仿宋_GB2312"/>
          <w:color w:val="000000"/>
          <w:sz w:val="32"/>
          <w:szCs w:val="32"/>
        </w:rPr>
      </w:pPr>
      <w:bookmarkStart w:id="110" w:name="_Toc79163628"/>
      <w:bookmarkStart w:id="111" w:name="_Toc79163878"/>
      <w:r>
        <w:rPr>
          <w:rFonts w:hint="eastAsia" w:ascii="仿宋_GB2312" w:eastAsia="仿宋_GB2312"/>
          <w:color w:val="000000"/>
          <w:sz w:val="32"/>
          <w:szCs w:val="32"/>
        </w:rPr>
        <w:t>截至20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年12月31日，</w:t>
      </w:r>
      <w:r>
        <w:rPr>
          <w:rFonts w:hint="eastAsia" w:ascii="仿宋_GB2312" w:eastAsia="仿宋_GB2312"/>
          <w:color w:val="000000"/>
          <w:sz w:val="32"/>
          <w:szCs w:val="32"/>
          <w:lang w:eastAsia="zh-CN"/>
        </w:rPr>
        <w:t>壤塘县娜泽求宗社区管理委员会</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辆，其中：部级领导干部用车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辆、一般公务用车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辆、一般执法执勤用车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辆、特种专业技术用车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themeColor="text1"/>
          <w:sz w:val="32"/>
          <w:szCs w:val="32"/>
          <w14:textFill>
            <w14:solidFill>
              <w14:schemeClr w14:val="tx1"/>
            </w14:solidFill>
          </w14:textFill>
        </w:rPr>
        <w:t>单价50万元以上通用设备</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台（套），单价100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pPr>
        <w:autoSpaceDE w:val="0"/>
        <w:autoSpaceDN w:val="0"/>
        <w:adjustRightInd w:val="0"/>
        <w:spacing w:line="600" w:lineRule="exact"/>
        <w:ind w:firstLine="642" w:firstLineChars="200"/>
        <w:jc w:val="left"/>
        <w:outlineLvl w:val="2"/>
        <w:rPr>
          <w:rFonts w:ascii="仿宋" w:hAnsi="仿宋" w:eastAsia="仿宋"/>
          <w:b/>
          <w:color w:val="000000"/>
          <w:sz w:val="32"/>
          <w:szCs w:val="32"/>
        </w:rPr>
      </w:pPr>
      <w:bookmarkStart w:id="112" w:name="_Toc30328"/>
      <w:r>
        <w:rPr>
          <w:rFonts w:hint="eastAsia" w:ascii="仿宋" w:hAnsi="仿宋" w:eastAsia="仿宋"/>
          <w:b/>
          <w:color w:val="000000"/>
          <w:sz w:val="32"/>
          <w:szCs w:val="32"/>
        </w:rPr>
        <w:t>（四）预算绩效管理情况。</w:t>
      </w:r>
      <w:bookmarkEnd w:id="110"/>
      <w:bookmarkEnd w:id="111"/>
      <w:bookmarkEnd w:id="112"/>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根据预算绩效管理要求，本单位在年初预算编制阶段，</w:t>
      </w:r>
      <w:r>
        <w:rPr>
          <w:rFonts w:hint="eastAsia" w:ascii="仿宋_GB2312" w:hAnsi="仿宋_GB2312" w:eastAsia="仿宋_GB2312" w:cs="仿宋_GB2312"/>
          <w:sz w:val="32"/>
          <w:szCs w:val="32"/>
          <w:lang w:eastAsia="zh-CN"/>
        </w:rPr>
        <w:t>未</w:t>
      </w:r>
      <w:r>
        <w:rPr>
          <w:rFonts w:hint="eastAsia" w:ascii="仿宋_GB2312" w:hAnsi="仿宋_GB2312" w:eastAsia="仿宋_GB2312" w:cs="仿宋_GB2312"/>
          <w:sz w:val="32"/>
          <w:szCs w:val="32"/>
        </w:rPr>
        <w:t>开展预算事前绩效评估，对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个项目开展了绩效目标完成情况自评。</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按要求对20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年部门整体支出开展绩效自评，从评价情况来看我局20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年部门整体支出情况良好，从预算到执行和收入、支出管理均严格按照相关要求进行，全年收支平衡，有效保障了单位正常运转，圆满完成了单位目标任务。</w:t>
      </w:r>
    </w:p>
    <w:p>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本部门无专项预算项目，因此未组织开展项目支出绩效评价。</w:t>
      </w:r>
    </w:p>
    <w:p>
      <w:pPr>
        <w:pStyle w:val="21"/>
      </w:pPr>
    </w:p>
    <w:p>
      <w:pPr>
        <w:spacing w:line="580" w:lineRule="exact"/>
        <w:jc w:val="center"/>
        <w:rPr>
          <w:rFonts w:ascii="仿宋_GB2312" w:hAnsi="方正小标宋简体" w:eastAsia="仿宋_GB2312" w:cs="方正小标宋简体"/>
          <w:sz w:val="32"/>
          <w:szCs w:val="32"/>
        </w:rPr>
      </w:pPr>
    </w:p>
    <w:p>
      <w:pPr>
        <w:pStyle w:val="21"/>
        <w:rPr>
          <w:rFonts w:hint="eastAsia" w:ascii="仿宋_GB2312" w:eastAsia="仿宋_GB2312"/>
          <w:b/>
          <w:color w:val="000000"/>
          <w:sz w:val="32"/>
          <w:szCs w:val="32"/>
        </w:rPr>
      </w:pPr>
    </w:p>
    <w:p>
      <w:pPr>
        <w:numPr>
          <w:ilvl w:val="0"/>
          <w:numId w:val="5"/>
        </w:numPr>
        <w:spacing w:line="600" w:lineRule="exact"/>
        <w:ind w:firstLine="660" w:firstLineChars="150"/>
        <w:jc w:val="center"/>
        <w:outlineLvl w:val="0"/>
        <w:rPr>
          <w:rStyle w:val="37"/>
          <w:rFonts w:ascii="黑体" w:hAnsi="黑体" w:eastAsia="黑体"/>
          <w:b w:val="0"/>
        </w:rPr>
      </w:pPr>
      <w:bookmarkStart w:id="113" w:name="_Toc15396613"/>
      <w:bookmarkStart w:id="114" w:name="_Toc15377225"/>
      <w:bookmarkStart w:id="115" w:name="_Toc18616"/>
      <w:bookmarkStart w:id="116" w:name="_Toc79163629"/>
      <w:r>
        <w:rPr>
          <w:rFonts w:hint="eastAsia" w:ascii="黑体" w:hAnsi="黑体" w:eastAsia="黑体"/>
          <w:color w:val="000000"/>
          <w:sz w:val="44"/>
          <w:szCs w:val="44"/>
        </w:rPr>
        <w:t>名</w:t>
      </w:r>
      <w:r>
        <w:rPr>
          <w:rStyle w:val="37"/>
          <w:rFonts w:hint="eastAsia" w:ascii="黑体" w:hAnsi="黑体" w:eastAsia="黑体"/>
          <w:b w:val="0"/>
        </w:rPr>
        <w:t>词解释</w:t>
      </w:r>
      <w:bookmarkEnd w:id="113"/>
      <w:bookmarkEnd w:id="114"/>
      <w:bookmarkEnd w:id="115"/>
      <w:bookmarkEnd w:id="116"/>
    </w:p>
    <w:p>
      <w:pPr>
        <w:spacing w:line="600" w:lineRule="exact"/>
        <w:jc w:val="left"/>
        <w:rPr>
          <w:rFonts w:ascii="宋体"/>
          <w:b/>
          <w:color w:val="000000"/>
          <w:sz w:val="44"/>
          <w:szCs w:val="44"/>
        </w:rPr>
      </w:pPr>
    </w:p>
    <w:p>
      <w:pPr>
        <w:pStyle w:val="28"/>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8"/>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28"/>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9. 社会保障和就业（类）人力资源和社会保障管理事务（款）社会保险经办机构（项）：指社会保险经办机构开展业务工作的支出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10.社会保障和就业（类）行政事业单位离退休（款）机关事业单位基本养老保险缴费支出（项）：指机关事业单位实施养老保险制度由单位缴纳的基本养老保险费支出。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11. 社会保障和就业（类）行政事业单位离退休（款）机关事业单位职业年金缴费支出（项）：指机关事业单位养老保险制度由单位缴纳的职业年金支出。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12.医疗卫生与计划生育（类）行政事业单位医疗（款）事业单位医疗（项）：指财政部门集中安排的事业单位基本医疗保险缴费。</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13.住房保障（类）住房改革（款）住房公积金（项）：指行政事业单位按规定的标准和比例为职工缴纳的住房公积金。</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14.基本支出：指为保障机构正常运转、完成日常工作任务而发生的人员支出和公用支出。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15.项目支出：指在基本支出之外为完成特定行政任务和事业发展目标所发生的支出。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16.经营支出：指事业单位在专业业务活动及其辅助活动之外开展非独立核算经营活动发生的支出。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outlineLvl w:val="0"/>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pStyle w:val="21"/>
        <w:rPr>
          <w:rFonts w:ascii="仿宋" w:hAnsi="仿宋" w:eastAsia="仿宋"/>
          <w:color w:val="000000" w:themeColor="text1"/>
          <w14:textFill>
            <w14:solidFill>
              <w14:schemeClr w14:val="tx1"/>
            </w14:solidFill>
          </w14:textFill>
        </w:rPr>
      </w:pPr>
    </w:p>
    <w:p>
      <w:pPr>
        <w:spacing w:line="600" w:lineRule="exact"/>
        <w:jc w:val="center"/>
        <w:outlineLvl w:val="0"/>
        <w:rPr>
          <w:rStyle w:val="37"/>
          <w:rFonts w:ascii="黑体" w:hAnsi="黑体" w:eastAsia="黑体"/>
          <w:b w:val="0"/>
        </w:rPr>
      </w:pPr>
      <w:bookmarkStart w:id="117" w:name="_Toc31793"/>
      <w:r>
        <w:rPr>
          <w:rFonts w:hint="eastAsia" w:ascii="黑体" w:hAnsi="黑体" w:eastAsia="黑体"/>
          <w:color w:val="000000"/>
          <w:sz w:val="44"/>
          <w:szCs w:val="44"/>
        </w:rPr>
        <w:t>第</w:t>
      </w:r>
      <w:r>
        <w:rPr>
          <w:rStyle w:val="37"/>
          <w:rFonts w:hint="eastAsia" w:ascii="黑体" w:hAnsi="黑体" w:eastAsia="黑体"/>
          <w:b w:val="0"/>
        </w:rPr>
        <w:t>四部分 附件</w:t>
      </w:r>
      <w:bookmarkEnd w:id="117"/>
    </w:p>
    <w:p>
      <w:pPr>
        <w:spacing w:line="600" w:lineRule="exact"/>
        <w:jc w:val="left"/>
        <w:outlineLvl w:val="0"/>
        <w:rPr>
          <w:rFonts w:ascii="方正小标宋简体" w:hAnsi="方正小标宋简体" w:eastAsia="方正小标宋简体" w:cs="方正小标宋简体"/>
          <w:sz w:val="32"/>
          <w:szCs w:val="32"/>
        </w:rPr>
      </w:pPr>
      <w:bookmarkStart w:id="118" w:name="_Toc7821"/>
      <w:r>
        <w:rPr>
          <w:rFonts w:hint="eastAsia" w:ascii="黑体" w:hAnsi="黑体" w:eastAsia="黑体" w:cs="黑体"/>
          <w:sz w:val="32"/>
          <w:szCs w:val="32"/>
        </w:rPr>
        <w:t>附件1</w:t>
      </w:r>
      <w:bookmarkEnd w:id="118"/>
    </w:p>
    <w:p>
      <w:pPr>
        <w:spacing w:line="580" w:lineRule="exact"/>
        <w:jc w:val="center"/>
        <w:rPr>
          <w:rFonts w:ascii="方正小标宋简体" w:hAnsi="方正小标宋简体" w:eastAsia="方正小标宋简体" w:cs="方正小标宋简体"/>
          <w:sz w:val="44"/>
          <w:szCs w:val="44"/>
        </w:rPr>
      </w:pPr>
    </w:p>
    <w:p>
      <w:pPr>
        <w:spacing w:line="600" w:lineRule="exact"/>
        <w:jc w:val="center"/>
        <w:rPr>
          <w:rFonts w:hint="eastAsia"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lang w:eastAsia="zh-CN"/>
        </w:rPr>
        <w:t>壤塘</w:t>
      </w:r>
      <w:r>
        <w:rPr>
          <w:rFonts w:hint="eastAsia" w:ascii="方正小标宋简体" w:hAnsi="宋体" w:eastAsia="方正小标宋简体"/>
          <w:color w:val="000000"/>
          <w:kern w:val="0"/>
          <w:sz w:val="40"/>
          <w:szCs w:val="44"/>
          <w:lang w:val="zh-CN" w:eastAsia="zh-CN"/>
        </w:rPr>
        <w:t>县</w:t>
      </w:r>
      <w:r>
        <w:rPr>
          <w:rFonts w:hint="eastAsia" w:ascii="方正小标宋简体" w:hAnsi="宋体" w:eastAsia="方正小标宋简体"/>
          <w:color w:val="000000"/>
          <w:kern w:val="0"/>
          <w:sz w:val="40"/>
          <w:szCs w:val="44"/>
          <w:lang w:val="zh-CN"/>
        </w:rPr>
        <w:t>娜泽求宗社区管理委员会2</w:t>
      </w:r>
      <w:r>
        <w:rPr>
          <w:rFonts w:hint="eastAsia" w:ascii="方正小标宋简体" w:hAnsi="宋体" w:eastAsia="方正小标宋简体"/>
          <w:color w:val="000000"/>
          <w:kern w:val="0"/>
          <w:sz w:val="40"/>
          <w:szCs w:val="44"/>
          <w:lang w:val="en-US" w:eastAsia="zh-CN"/>
        </w:rPr>
        <w:t>020</w:t>
      </w:r>
      <w:r>
        <w:rPr>
          <w:rFonts w:hint="eastAsia" w:ascii="方正小标宋简体" w:hAnsi="宋体" w:eastAsia="方正小标宋简体"/>
          <w:color w:val="000000"/>
          <w:kern w:val="0"/>
          <w:sz w:val="40"/>
          <w:szCs w:val="44"/>
          <w:lang w:val="zh-CN"/>
        </w:rPr>
        <w:t>年部门整体支出绩效评价报告</w:t>
      </w:r>
    </w:p>
    <w:p>
      <w:pPr>
        <w:spacing w:line="560" w:lineRule="exact"/>
        <w:ind w:firstLine="642" w:firstLineChars="200"/>
        <w:rPr>
          <w:rFonts w:ascii="仿宋_GB2312" w:eastAsia="仿宋_GB2312" w:cs="仿宋_GB2312"/>
          <w:b/>
          <w:bCs/>
          <w:sz w:val="32"/>
          <w:szCs w:val="32"/>
        </w:rPr>
      </w:pPr>
      <w:r>
        <w:rPr>
          <w:rFonts w:ascii="仿宋_GB2312" w:eastAsia="仿宋_GB2312" w:cs="仿宋_GB2312"/>
          <w:b/>
          <w:bCs/>
          <w:kern w:val="0"/>
          <w:sz w:val="32"/>
          <w:szCs w:val="32"/>
        </w:rPr>
        <w:t>一、</w:t>
      </w:r>
      <w:r>
        <w:rPr>
          <w:rFonts w:hint="eastAsia" w:ascii="仿宋_GB2312" w:eastAsia="仿宋_GB2312" w:cs="仿宋_GB2312"/>
          <w:b/>
          <w:bCs/>
          <w:kern w:val="0"/>
          <w:sz w:val="32"/>
          <w:szCs w:val="32"/>
        </w:rPr>
        <w:t>部门（单位）概况</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娜泽求宗社区管理委员会，机构性质：机关，机构地址：壤塘县上杜柯乡吉拉村 负责人：文梅</w:t>
      </w:r>
    </w:p>
    <w:p>
      <w:pPr>
        <w:widowControl/>
        <w:spacing w:line="560" w:lineRule="exact"/>
        <w:ind w:firstLine="640" w:firstLineChars="200"/>
        <w:jc w:val="left"/>
        <w:rPr>
          <w:rFonts w:ascii="仿宋_GB2312" w:eastAsia="仿宋_GB2312" w:cs="仿宋_GB2312"/>
          <w:b/>
          <w:bCs/>
          <w:kern w:val="0"/>
          <w:sz w:val="32"/>
          <w:szCs w:val="32"/>
        </w:rPr>
      </w:pPr>
      <w:r>
        <w:rPr>
          <w:rFonts w:ascii="仿宋_GB2312" w:eastAsia="仿宋_GB2312" w:cs="仿宋_GB2312"/>
          <w:sz w:val="32"/>
          <w:szCs w:val="32"/>
        </w:rPr>
        <w:t>（一）</w:t>
      </w:r>
      <w:r>
        <w:rPr>
          <w:rFonts w:hint="eastAsia" w:ascii="仿宋_GB2312" w:eastAsia="仿宋_GB2312" w:cs="仿宋_GB2312"/>
          <w:b/>
          <w:bCs/>
          <w:kern w:val="0"/>
          <w:sz w:val="32"/>
          <w:szCs w:val="32"/>
        </w:rPr>
        <w:t>机构组成</w:t>
      </w:r>
    </w:p>
    <w:p>
      <w:pPr>
        <w:widowControl/>
        <w:spacing w:line="560" w:lineRule="exact"/>
        <w:ind w:firstLine="640" w:firstLineChars="200"/>
        <w:jc w:val="left"/>
        <w:rPr>
          <w:rFonts w:ascii="仿宋_GB2312" w:eastAsia="仿宋_GB2312" w:cs="宋体"/>
          <w:b/>
          <w:kern w:val="0"/>
          <w:sz w:val="32"/>
          <w:szCs w:val="32"/>
        </w:rPr>
      </w:pPr>
      <w:r>
        <w:rPr>
          <w:rFonts w:hint="eastAsia" w:ascii="仿宋_GB2312" w:eastAsia="仿宋_GB2312" w:cs="宋体"/>
          <w:kern w:val="0"/>
          <w:sz w:val="32"/>
          <w:szCs w:val="32"/>
        </w:rPr>
        <w:t>行政</w:t>
      </w:r>
    </w:p>
    <w:p>
      <w:pPr>
        <w:spacing w:line="560" w:lineRule="exact"/>
        <w:ind w:firstLine="640" w:firstLineChars="200"/>
        <w:rPr>
          <w:rFonts w:ascii="仿宋_GB2312" w:eastAsia="仿宋_GB2312" w:cs="仿宋_GB2312"/>
          <w:b/>
          <w:bCs/>
          <w:sz w:val="32"/>
          <w:szCs w:val="32"/>
        </w:rPr>
      </w:pPr>
      <w:r>
        <w:rPr>
          <w:rFonts w:ascii="仿宋_GB2312" w:eastAsia="仿宋_GB2312" w:cs="宋体"/>
          <w:kern w:val="0"/>
          <w:sz w:val="32"/>
          <w:szCs w:val="32"/>
        </w:rPr>
        <w:t>（二）</w:t>
      </w:r>
      <w:r>
        <w:rPr>
          <w:rFonts w:hint="eastAsia" w:ascii="仿宋_GB2312" w:eastAsia="仿宋_GB2312" w:cs="仿宋_GB2312"/>
          <w:b/>
          <w:bCs/>
          <w:kern w:val="0"/>
          <w:sz w:val="32"/>
          <w:szCs w:val="32"/>
        </w:rPr>
        <w:t>机构职能</w:t>
      </w:r>
    </w:p>
    <w:p>
      <w:pPr>
        <w:snapToGrid w:val="0"/>
        <w:spacing w:line="560" w:lineRule="exact"/>
        <w:ind w:firstLine="642" w:firstLineChars="200"/>
        <w:rPr>
          <w:rFonts w:ascii="仿宋_GB2312" w:eastAsia="仿宋_GB2312" w:cs="仿宋_GB2312"/>
          <w:sz w:val="32"/>
          <w:szCs w:val="32"/>
        </w:rPr>
      </w:pPr>
      <w:r>
        <w:rPr>
          <w:rFonts w:hint="eastAsia" w:ascii="楷体" w:eastAsia="楷体" w:cs="楷体"/>
          <w:b/>
          <w:bCs/>
          <w:sz w:val="32"/>
          <w:szCs w:val="32"/>
        </w:rPr>
        <w:t>1、</w:t>
      </w:r>
      <w:r>
        <w:rPr>
          <w:rFonts w:hint="eastAsia" w:ascii="仿宋" w:hAnsi="仿宋" w:eastAsia="仿宋" w:cs="仿宋"/>
          <w:sz w:val="32"/>
          <w:szCs w:val="32"/>
        </w:rPr>
        <w:t>依法加强安置点宗教事务管理严守法律底线，坚决把以安置点、尼姑、宗教佛事活动管理为重点</w:t>
      </w:r>
      <w:r>
        <w:rPr>
          <w:rFonts w:hint="eastAsia" w:ascii="仿宋_GB2312" w:eastAsia="仿宋_GB2312"/>
          <w:sz w:val="32"/>
          <w:szCs w:val="32"/>
        </w:rPr>
        <w:t>；</w:t>
      </w:r>
      <w:r>
        <w:rPr>
          <w:rFonts w:hint="eastAsia" w:eastAsia="仿宋_GB2312"/>
          <w:sz w:val="32"/>
          <w:szCs w:val="32"/>
        </w:rPr>
        <w:t>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hint="eastAsia" w:ascii="仿宋" w:hAnsi="仿宋" w:eastAsia="仿宋" w:cs="仿宋"/>
          <w:sz w:val="32"/>
          <w:szCs w:val="32"/>
        </w:rPr>
        <w:t>牢牢掌握安置点领导权和管理权，做到不发生重大安全责任事故和稳定责任事故</w:t>
      </w:r>
      <w:r>
        <w:rPr>
          <w:rFonts w:hint="eastAsia" w:ascii="仿宋_GB2312" w:eastAsia="仿宋_GB2312"/>
          <w:sz w:val="32"/>
          <w:szCs w:val="32"/>
        </w:rPr>
        <w:t>；</w:t>
      </w:r>
      <w:r>
        <w:rPr>
          <w:rFonts w:hint="eastAsia" w:eastAsia="仿宋_GB2312"/>
          <w:sz w:val="32"/>
          <w:szCs w:val="32"/>
        </w:rPr>
        <w:t>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hint="eastAsia" w:ascii="仿宋" w:hAnsi="仿宋" w:eastAsia="仿宋" w:cs="仿宋"/>
          <w:sz w:val="32"/>
          <w:szCs w:val="32"/>
        </w:rPr>
        <w:t>推进社会公共服务进安置点充分保障安置点和尼姑普惠性待遇，做到“五通”（通路、通水、通电、通广播电视、通通讯）、“三有”（有党刊党报、有广播电视、有安置点书屋）、“三覆盖”（养老保险全覆盖、医疗保险制度全覆盖、民管会成员补助全覆盖）</w:t>
      </w:r>
      <w:r>
        <w:rPr>
          <w:rFonts w:hint="eastAsia" w:ascii="仿宋_GB2312" w:eastAsia="仿宋_GB2312"/>
          <w:sz w:val="32"/>
          <w:szCs w:val="32"/>
        </w:rPr>
        <w:t>；</w:t>
      </w:r>
      <w:r>
        <w:rPr>
          <w:rFonts w:hint="eastAsia" w:eastAsia="仿宋_GB2312"/>
          <w:sz w:val="32"/>
          <w:szCs w:val="32"/>
        </w:rPr>
        <w:t> </w:t>
      </w:r>
    </w:p>
    <w:p>
      <w:pPr>
        <w:spacing w:line="560" w:lineRule="exact"/>
        <w:ind w:firstLine="960" w:firstLineChars="300"/>
        <w:rPr>
          <w:rFonts w:ascii="仿宋" w:hAnsi="仿宋" w:eastAsia="仿宋" w:cs="仿宋"/>
          <w:sz w:val="32"/>
          <w:szCs w:val="32"/>
        </w:rPr>
      </w:pPr>
      <w:r>
        <w:rPr>
          <w:rFonts w:hint="eastAsia" w:ascii="仿宋_GB2312" w:eastAsia="仿宋_GB2312"/>
          <w:sz w:val="32"/>
          <w:szCs w:val="32"/>
        </w:rPr>
        <w:t>4、</w:t>
      </w:r>
      <w:r>
        <w:rPr>
          <w:rFonts w:hint="eastAsia" w:ascii="仿宋" w:hAnsi="仿宋" w:eastAsia="仿宋" w:cs="仿宋"/>
          <w:sz w:val="32"/>
          <w:szCs w:val="32"/>
        </w:rPr>
        <w:t>落实符合条件僧尼的低保求助、五保供养、扶贫解困政策，实现“应保尽保”。</w:t>
      </w:r>
    </w:p>
    <w:p>
      <w:pPr>
        <w:spacing w:line="560" w:lineRule="exact"/>
        <w:ind w:firstLine="640" w:firstLineChars="200"/>
        <w:rPr>
          <w:rFonts w:ascii="仿宋_GB2312" w:eastAsia="仿宋_GB2312" w:cs="仿宋_GB2312"/>
          <w:kern w:val="0"/>
          <w:sz w:val="32"/>
          <w:szCs w:val="32"/>
        </w:rPr>
      </w:pPr>
      <w:r>
        <w:rPr>
          <w:rFonts w:hint="eastAsia" w:ascii="仿宋_GB2312" w:eastAsia="仿宋_GB2312" w:cs="仿宋_GB2312"/>
          <w:sz w:val="32"/>
          <w:szCs w:val="32"/>
        </w:rPr>
        <w:t>（三）</w:t>
      </w:r>
      <w:r>
        <w:rPr>
          <w:rFonts w:hint="eastAsia" w:ascii="仿宋_GB2312" w:eastAsia="仿宋_GB2312" w:cs="仿宋_GB2312"/>
          <w:kern w:val="0"/>
          <w:sz w:val="32"/>
          <w:szCs w:val="32"/>
        </w:rPr>
        <w:t xml:space="preserve">人员概况  </w:t>
      </w:r>
    </w:p>
    <w:p>
      <w:pPr>
        <w:widowControl/>
        <w:spacing w:line="56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总编制</w:t>
      </w:r>
      <w:r>
        <w:rPr>
          <w:rFonts w:hint="eastAsia" w:ascii="仿宋_GB2312" w:eastAsia="仿宋_GB2312" w:cs="宋体"/>
          <w:kern w:val="0"/>
          <w:sz w:val="32"/>
          <w:szCs w:val="32"/>
          <w:u w:val="single"/>
        </w:rPr>
        <w:t>8</w:t>
      </w:r>
      <w:r>
        <w:rPr>
          <w:rFonts w:hint="eastAsia" w:ascii="仿宋_GB2312" w:eastAsia="仿宋_GB2312" w:cs="宋体"/>
          <w:kern w:val="0"/>
          <w:sz w:val="32"/>
          <w:szCs w:val="32"/>
        </w:rPr>
        <w:t>名,其中:行政编制4人、事业编制4人.</w:t>
      </w:r>
    </w:p>
    <w:p>
      <w:pPr>
        <w:spacing w:line="560" w:lineRule="exact"/>
        <w:ind w:firstLine="642" w:firstLineChars="200"/>
        <w:rPr>
          <w:rFonts w:ascii="仿宋_GB2312" w:eastAsia="仿宋_GB2312" w:cs="仿宋_GB2312"/>
          <w:b/>
          <w:bCs/>
          <w:kern w:val="0"/>
          <w:sz w:val="32"/>
          <w:szCs w:val="32"/>
        </w:rPr>
      </w:pPr>
      <w:r>
        <w:rPr>
          <w:rFonts w:hint="eastAsia" w:ascii="仿宋_GB2312" w:eastAsia="仿宋_GB2312" w:cs="仿宋_GB2312"/>
          <w:b/>
          <w:bCs/>
          <w:kern w:val="0"/>
          <w:sz w:val="32"/>
          <w:szCs w:val="32"/>
        </w:rPr>
        <w:t>二、预算管理情况</w:t>
      </w:r>
    </w:p>
    <w:p>
      <w:pPr>
        <w:pStyle w:val="21"/>
        <w:spacing w:line="560" w:lineRule="exact"/>
        <w:ind w:firstLine="643"/>
      </w:pPr>
      <w:r>
        <w:rPr>
          <w:rFonts w:hint="eastAsia" w:ascii="仿宋_GB2312" w:eastAsia="仿宋_GB2312" w:cs="仿宋_GB2312"/>
          <w:b/>
          <w:bCs/>
          <w:kern w:val="0"/>
          <w:sz w:val="32"/>
          <w:szCs w:val="32"/>
        </w:rPr>
        <w:t>（一）预算编制情况</w:t>
      </w:r>
    </w:p>
    <w:p>
      <w:pPr>
        <w:pStyle w:val="21"/>
        <w:spacing w:line="560" w:lineRule="exact"/>
        <w:ind w:firstLine="643"/>
        <w:rPr>
          <w:rFonts w:ascii="楷体_GB2312" w:eastAsia="楷体_GB2312"/>
          <w:b/>
          <w:sz w:val="32"/>
          <w:szCs w:val="32"/>
        </w:rPr>
      </w:pPr>
      <w:r>
        <w:rPr>
          <w:rFonts w:hint="eastAsia" w:ascii="楷体_GB2312" w:eastAsia="楷体_GB2312"/>
          <w:b/>
          <w:sz w:val="32"/>
          <w:szCs w:val="32"/>
        </w:rPr>
        <w:t>1收入支出预算安排情况。</w:t>
      </w:r>
      <w:r>
        <w:rPr>
          <w:rFonts w:hint="eastAsia" w:ascii="仿宋_GB2312" w:eastAsia="仿宋_GB2312" w:cs="仿宋_GB2312"/>
          <w:color w:val="000000"/>
          <w:sz w:val="32"/>
          <w:szCs w:val="32"/>
        </w:rPr>
        <w:t>1.本年预算收入864726.63元，2019年预算收入0元，比去年增加了100%；本年支出预算数为864726.63元，2019年支出预算数为0元，比去年增加100%。</w:t>
      </w:r>
    </w:p>
    <w:p>
      <w:pPr>
        <w:snapToGrid w:val="0"/>
        <w:spacing w:line="560" w:lineRule="exact"/>
        <w:ind w:firstLine="642" w:firstLineChars="200"/>
        <w:rPr>
          <w:rFonts w:ascii="楷体_GB2312" w:eastAsia="楷体_GB2312"/>
          <w:b/>
          <w:color w:val="000000"/>
          <w:sz w:val="32"/>
          <w:szCs w:val="32"/>
        </w:rPr>
      </w:pPr>
      <w:r>
        <w:rPr>
          <w:rFonts w:hint="eastAsia" w:ascii="楷体_GB2312" w:eastAsia="楷体_GB2312"/>
          <w:b/>
          <w:color w:val="000000"/>
          <w:sz w:val="32"/>
          <w:szCs w:val="32"/>
        </w:rPr>
        <w:t>（二）收入支出预算执行情况。</w:t>
      </w:r>
    </w:p>
    <w:p>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本年收入864726.63元，总支出864726.63元，具体情况如下：其中：一般公共服务支出</w:t>
      </w:r>
      <w:r>
        <w:rPr>
          <w:rFonts w:ascii="Times New Roman" w:hAnsi="Times New Roman" w:cs="宋体"/>
          <w:color w:val="000000"/>
          <w:sz w:val="32"/>
          <w:szCs w:val="32"/>
        </w:rPr>
        <w:t>618,152.42</w:t>
      </w:r>
      <w:r>
        <w:rPr>
          <w:rFonts w:hint="eastAsia" w:ascii="仿宋_GB2312" w:eastAsia="仿宋_GB2312" w:cs="仿宋_GB2312"/>
          <w:color w:val="000000"/>
          <w:sz w:val="32"/>
          <w:szCs w:val="32"/>
        </w:rPr>
        <w:t>元；</w:t>
      </w:r>
      <w:r>
        <w:rPr>
          <w:rFonts w:hint="eastAsia" w:ascii="Times New Roman" w:hAnsi="Times New Roman" w:cs="宋体"/>
          <w:color w:val="000000"/>
          <w:sz w:val="32"/>
          <w:szCs w:val="32"/>
        </w:rPr>
        <w:t>项目支出</w:t>
      </w:r>
      <w:r>
        <w:rPr>
          <w:rFonts w:ascii="Times New Roman" w:hAnsi="Times New Roman" w:cs="Times New Roman"/>
          <w:color w:val="000000"/>
          <w:sz w:val="32"/>
          <w:szCs w:val="32"/>
        </w:rPr>
        <w:t>361,425.21</w:t>
      </w:r>
      <w:r>
        <w:rPr>
          <w:rFonts w:hint="eastAsia" w:ascii="Times New Roman" w:hAnsi="Times New Roman" w:cs="宋体"/>
          <w:color w:val="000000"/>
          <w:sz w:val="32"/>
          <w:szCs w:val="32"/>
        </w:rPr>
        <w:t>元，</w:t>
      </w:r>
      <w:r>
        <w:rPr>
          <w:rFonts w:hint="eastAsia" w:ascii="仿宋_GB2312" w:eastAsia="仿宋_GB2312" w:cs="仿宋_GB2312"/>
          <w:color w:val="000000"/>
          <w:sz w:val="32"/>
          <w:szCs w:val="32"/>
        </w:rPr>
        <w:t>较上年相比，支出减少0元，主要原因是我单位2020年7月新成立。</w:t>
      </w:r>
    </w:p>
    <w:p>
      <w:pPr>
        <w:snapToGrid w:val="0"/>
        <w:spacing w:line="560" w:lineRule="exact"/>
        <w:ind w:firstLine="642" w:firstLineChars="200"/>
        <w:rPr>
          <w:rFonts w:ascii="仿宋_GB2312" w:eastAsia="仿宋_GB2312"/>
          <w:b/>
          <w:color w:val="FF0000"/>
          <w:sz w:val="32"/>
          <w:szCs w:val="32"/>
        </w:rPr>
      </w:pPr>
      <w:r>
        <w:rPr>
          <w:rFonts w:hint="eastAsia" w:ascii="仿宋_GB2312" w:eastAsia="仿宋_GB2312"/>
          <w:b/>
          <w:sz w:val="32"/>
          <w:szCs w:val="32"/>
        </w:rPr>
        <w:t>1．收入支出与预算对比分析。</w:t>
      </w:r>
    </w:p>
    <w:p>
      <w:pPr>
        <w:spacing w:line="560" w:lineRule="exact"/>
        <w:ind w:firstLine="640" w:firstLineChars="200"/>
        <w:rPr>
          <w:rFonts w:ascii="仿宋_GB2312" w:eastAsia="仿宋_GB2312" w:cs="仿宋_GB2312"/>
          <w:color w:val="FF0000"/>
          <w:sz w:val="32"/>
          <w:szCs w:val="32"/>
        </w:rPr>
      </w:pPr>
      <w:r>
        <w:rPr>
          <w:rFonts w:hint="eastAsia" w:ascii="仿宋_GB2312" w:eastAsia="仿宋_GB2312"/>
          <w:sz w:val="32"/>
          <w:szCs w:val="32"/>
        </w:rPr>
        <w:t>（1）</w:t>
      </w:r>
      <w:r>
        <w:rPr>
          <w:rFonts w:hint="eastAsia" w:ascii="仿宋_GB2312" w:eastAsia="仿宋_GB2312" w:cs="仿宋_GB2312"/>
          <w:sz w:val="32"/>
          <w:szCs w:val="32"/>
        </w:rPr>
        <w:t>预、决算差异情况：我委年初收入预算数为</w:t>
      </w:r>
      <w:r>
        <w:rPr>
          <w:rFonts w:ascii="??_GB2312" w:hAnsi="仿宋" w:cs="??_GB2312"/>
          <w:color w:val="000000"/>
          <w:sz w:val="32"/>
          <w:szCs w:val="32"/>
        </w:rPr>
        <w:t>864,726.63</w:t>
      </w:r>
      <w:r>
        <w:rPr>
          <w:rFonts w:hint="eastAsia" w:ascii="仿宋_GB2312" w:eastAsia="仿宋_GB2312" w:cs="仿宋_GB2312"/>
          <w:sz w:val="32"/>
          <w:szCs w:val="32"/>
        </w:rPr>
        <w:t>元，决算数</w:t>
      </w:r>
      <w:r>
        <w:rPr>
          <w:rFonts w:ascii="??_GB2312" w:hAnsi="仿宋" w:cs="??_GB2312"/>
          <w:color w:val="000000"/>
          <w:sz w:val="32"/>
          <w:szCs w:val="32"/>
        </w:rPr>
        <w:t>864,726.63</w:t>
      </w:r>
      <w:r>
        <w:rPr>
          <w:rFonts w:hint="eastAsia" w:ascii="仿宋_GB2312" w:eastAsia="仿宋_GB2312" w:cs="仿宋_GB2312"/>
          <w:sz w:val="32"/>
          <w:szCs w:val="32"/>
        </w:rPr>
        <w:t>元，决算数比预算数相等。（2）差异的主要原因为我单位2020年7月新成立</w:t>
      </w:r>
      <w:r>
        <w:rPr>
          <w:rFonts w:hint="eastAsia" w:ascii="仿宋_GB2312" w:eastAsia="仿宋_GB2312" w:cs="仿宋_GB2312"/>
          <w:color w:val="FF0000"/>
          <w:sz w:val="32"/>
          <w:szCs w:val="32"/>
        </w:rPr>
        <w:t>。</w:t>
      </w:r>
    </w:p>
    <w:p>
      <w:pPr>
        <w:snapToGrid w:val="0"/>
        <w:spacing w:line="560" w:lineRule="exact"/>
        <w:rPr>
          <w:rFonts w:ascii="仿宋_GB2312" w:eastAsia="仿宋_GB2312"/>
          <w:b/>
          <w:color w:val="000000"/>
          <w:sz w:val="32"/>
          <w:szCs w:val="32"/>
        </w:rPr>
      </w:pPr>
      <w:r>
        <w:rPr>
          <w:rFonts w:hint="eastAsia" w:ascii="仿宋_GB2312" w:eastAsia="仿宋_GB2312"/>
          <w:b/>
          <w:color w:val="000000"/>
          <w:sz w:val="32"/>
          <w:szCs w:val="32"/>
        </w:rPr>
        <w:t>2．支出按经济分类科目分析。</w:t>
      </w:r>
    </w:p>
    <w:p>
      <w:pPr>
        <w:spacing w:line="560" w:lineRule="exact"/>
        <w:ind w:firstLine="640" w:firstLineChars="200"/>
        <w:rPr>
          <w:rFonts w:ascii="仿宋_GB2312" w:eastAsia="仿宋_GB2312"/>
          <w:color w:val="FF0000"/>
          <w:sz w:val="32"/>
          <w:szCs w:val="32"/>
        </w:rPr>
      </w:pPr>
      <w:r>
        <w:rPr>
          <w:rFonts w:hint="eastAsia" w:ascii="仿宋_GB2312" w:eastAsia="仿宋_GB2312" w:cs="仿宋_GB2312"/>
          <w:sz w:val="32"/>
          <w:szCs w:val="32"/>
        </w:rPr>
        <w:t>（1）“三公”经费支出情况：本年度支出0元</w:t>
      </w:r>
      <w:r>
        <w:rPr>
          <w:rFonts w:hint="eastAsia" w:ascii="仿宋_GB2312" w:eastAsia="仿宋_GB2312" w:cs="仿宋_GB2312"/>
          <w:color w:val="FF0000"/>
          <w:sz w:val="32"/>
          <w:szCs w:val="32"/>
        </w:rPr>
        <w:t>（</w:t>
      </w:r>
      <w:r>
        <w:rPr>
          <w:rFonts w:hint="eastAsia" w:ascii="仿宋_GB2312" w:eastAsia="仿宋_GB2312" w:cs="仿宋_GB2312"/>
          <w:sz w:val="32"/>
          <w:szCs w:val="32"/>
        </w:rPr>
        <w:t>其中公务用车购置及运行维护费为0元），上年度支出0元（原因是我单位2020年7月新成立</w:t>
      </w:r>
      <w:r>
        <w:rPr>
          <w:rFonts w:hint="eastAsia" w:ascii="仿宋_GB2312" w:eastAsia="仿宋_GB2312" w:cs="仿宋_GB2312"/>
          <w:color w:val="FF0000"/>
          <w:sz w:val="32"/>
          <w:szCs w:val="32"/>
        </w:rPr>
        <w:t>。</w:t>
      </w:r>
    </w:p>
    <w:p>
      <w:pPr>
        <w:snapToGrid w:val="0"/>
        <w:spacing w:line="560" w:lineRule="exact"/>
        <w:rPr>
          <w:rFonts w:ascii="仿宋_GB2312" w:eastAsia="仿宋_GB2312"/>
          <w:b/>
          <w:sz w:val="32"/>
          <w:szCs w:val="32"/>
        </w:rPr>
      </w:pPr>
      <w:r>
        <w:rPr>
          <w:rFonts w:hint="eastAsia" w:ascii="仿宋_GB2312" w:eastAsia="仿宋_GB2312"/>
          <w:b/>
          <w:sz w:val="32"/>
          <w:szCs w:val="32"/>
        </w:rPr>
        <w:t>3.财政拨款收入、支出分析。</w:t>
      </w:r>
    </w:p>
    <w:p>
      <w:pPr>
        <w:rPr>
          <w:rFonts w:hint="eastAsia" w:ascii="Times New Roman" w:hAnsi="Times New Roman" w:cs="宋体"/>
          <w:color w:val="000000"/>
          <w:sz w:val="32"/>
          <w:szCs w:val="32"/>
        </w:rPr>
      </w:pPr>
      <w:r>
        <w:rPr>
          <w:rFonts w:hint="eastAsia" w:ascii="仿宋_GB2312" w:eastAsia="仿宋_GB2312" w:cs="仿宋_GB2312"/>
          <w:sz w:val="32"/>
          <w:szCs w:val="32"/>
        </w:rPr>
        <w:t>本年度财政拨款收入</w:t>
      </w:r>
      <w:r>
        <w:rPr>
          <w:rFonts w:hint="eastAsia" w:ascii="仿宋_GB2312" w:eastAsia="仿宋_GB2312" w:cs="仿宋_GB2312"/>
          <w:color w:val="000000"/>
          <w:sz w:val="32"/>
          <w:szCs w:val="32"/>
        </w:rPr>
        <w:t>864726.63元</w:t>
      </w:r>
      <w:r>
        <w:rPr>
          <w:rFonts w:hint="eastAsia" w:ascii="仿宋_GB2312" w:eastAsia="仿宋_GB2312" w:cs="仿宋_GB2312"/>
          <w:sz w:val="32"/>
          <w:szCs w:val="32"/>
        </w:rPr>
        <w:t>，支出</w:t>
      </w:r>
      <w:r>
        <w:rPr>
          <w:rFonts w:hint="eastAsia" w:ascii="仿宋_GB2312" w:eastAsia="仿宋_GB2312" w:cs="仿宋_GB2312"/>
          <w:color w:val="000000"/>
          <w:sz w:val="32"/>
          <w:szCs w:val="32"/>
        </w:rPr>
        <w:t>864726.63元</w:t>
      </w:r>
      <w:r>
        <w:rPr>
          <w:rFonts w:hint="eastAsia" w:ascii="仿宋_GB2312" w:eastAsia="仿宋_GB2312" w:cs="仿宋_GB2312"/>
          <w:sz w:val="32"/>
          <w:szCs w:val="32"/>
        </w:rPr>
        <w:t>，其中</w:t>
      </w:r>
      <w:r>
        <w:rPr>
          <w:rFonts w:hint="eastAsia" w:ascii="Times New Roman" w:hAnsi="Times New Roman" w:cs="宋体"/>
          <w:color w:val="000000"/>
          <w:sz w:val="32"/>
          <w:szCs w:val="32"/>
        </w:rPr>
        <w:t>基本支出</w:t>
      </w:r>
      <w:r>
        <w:rPr>
          <w:rFonts w:ascii="Times New Roman" w:hAnsi="Times New Roman" w:cs="宋体"/>
          <w:color w:val="000000"/>
          <w:sz w:val="32"/>
          <w:szCs w:val="32"/>
        </w:rPr>
        <w:t>618,152.42</w:t>
      </w:r>
      <w:r>
        <w:rPr>
          <w:rFonts w:hint="eastAsia" w:ascii="Times New Roman" w:hAnsi="Times New Roman" w:cs="宋体"/>
          <w:color w:val="000000"/>
          <w:sz w:val="32"/>
          <w:szCs w:val="32"/>
        </w:rPr>
        <w:t>元（其中办公费</w:t>
      </w:r>
      <w:r>
        <w:rPr>
          <w:rFonts w:ascii="Times New Roman" w:hAnsi="Times New Roman" w:cs="Times New Roman"/>
          <w:color w:val="000000"/>
          <w:sz w:val="32"/>
          <w:szCs w:val="32"/>
        </w:rPr>
        <w:t>53,406.00</w:t>
      </w:r>
      <w:r>
        <w:rPr>
          <w:rFonts w:hint="eastAsia" w:ascii="Times New Roman" w:hAnsi="Times New Roman" w:cs="宋体"/>
          <w:color w:val="000000"/>
          <w:sz w:val="32"/>
          <w:szCs w:val="32"/>
        </w:rPr>
        <w:t>元、其他交通费</w:t>
      </w:r>
      <w:r>
        <w:rPr>
          <w:rFonts w:ascii="Times New Roman" w:hAnsi="Times New Roman" w:cs="宋体"/>
          <w:color w:val="000000"/>
          <w:sz w:val="32"/>
          <w:szCs w:val="32"/>
        </w:rPr>
        <w:t>24,729.81</w:t>
      </w:r>
      <w:r>
        <w:rPr>
          <w:rFonts w:hint="eastAsia" w:ascii="Times New Roman" w:hAnsi="Times New Roman" w:cs="宋体"/>
          <w:color w:val="000000"/>
          <w:sz w:val="32"/>
          <w:szCs w:val="32"/>
        </w:rPr>
        <w:t>元、差旅费</w:t>
      </w:r>
      <w:r>
        <w:rPr>
          <w:rFonts w:ascii="Times New Roman" w:hAnsi="Times New Roman" w:cs="宋体"/>
          <w:color w:val="000000"/>
          <w:sz w:val="32"/>
          <w:szCs w:val="32"/>
        </w:rPr>
        <w:t>9,825.40</w:t>
      </w:r>
      <w:r>
        <w:rPr>
          <w:rFonts w:hint="eastAsia" w:ascii="Times New Roman" w:hAnsi="Times New Roman" w:cs="宋体"/>
          <w:color w:val="000000"/>
          <w:sz w:val="32"/>
          <w:szCs w:val="32"/>
        </w:rPr>
        <w:t>元）。项目支出</w:t>
      </w:r>
      <w:r>
        <w:rPr>
          <w:rFonts w:ascii="Times New Roman" w:hAnsi="Times New Roman" w:cs="Times New Roman"/>
          <w:color w:val="000000"/>
          <w:sz w:val="32"/>
          <w:szCs w:val="32"/>
        </w:rPr>
        <w:t>361,425.21</w:t>
      </w:r>
      <w:r>
        <w:rPr>
          <w:rFonts w:hint="eastAsia" w:ascii="Times New Roman" w:hAnsi="Times New Roman" w:cs="宋体"/>
          <w:color w:val="000000"/>
          <w:sz w:val="32"/>
          <w:szCs w:val="32"/>
        </w:rPr>
        <w:t>元</w:t>
      </w:r>
    </w:p>
    <w:p>
      <w:pPr>
        <w:rPr>
          <w:rFonts w:ascii="楷体_GB2312" w:eastAsia="楷体_GB2312"/>
          <w:b/>
          <w:sz w:val="32"/>
          <w:szCs w:val="32"/>
        </w:rPr>
      </w:pPr>
      <w:r>
        <w:rPr>
          <w:rFonts w:hint="eastAsia" w:ascii="楷体_GB2312" w:eastAsia="楷体_GB2312"/>
          <w:b/>
          <w:sz w:val="32"/>
          <w:szCs w:val="32"/>
        </w:rPr>
        <w:t>（三）年末结转和结余情况。</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1．我单位年初结转金额为：0元，年末结转金额为0元。原因是:我单位于2020年7月新成立。</w:t>
      </w:r>
    </w:p>
    <w:p>
      <w:pPr>
        <w:snapToGrid w:val="0"/>
        <w:spacing w:line="560" w:lineRule="exact"/>
        <w:rPr>
          <w:rFonts w:ascii="楷体_GB2312" w:eastAsia="楷体_GB2312"/>
          <w:b/>
          <w:sz w:val="32"/>
          <w:szCs w:val="32"/>
        </w:rPr>
      </w:pPr>
      <w:r>
        <w:rPr>
          <w:rFonts w:hint="eastAsia" w:ascii="楷体_GB2312" w:eastAsia="楷体_GB2312"/>
          <w:b/>
          <w:sz w:val="32"/>
          <w:szCs w:val="32"/>
        </w:rPr>
        <w:t>（四）绩效目标完成情况。</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1.我单位本年项目支出达到支出的标准。</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2.我单位项目支出严格按照国家财经法规、预算资金管理办法、财务管理制度以及专项资金管理办法的规定支出。</w:t>
      </w:r>
    </w:p>
    <w:p>
      <w:pPr>
        <w:snapToGrid w:val="0"/>
        <w:spacing w:line="560" w:lineRule="exact"/>
        <w:ind w:firstLine="642" w:firstLineChars="200"/>
        <w:rPr>
          <w:rFonts w:ascii="楷体_GB2312" w:eastAsia="楷体_GB2312"/>
          <w:b/>
          <w:sz w:val="32"/>
          <w:szCs w:val="32"/>
        </w:rPr>
      </w:pPr>
      <w:r>
        <w:rPr>
          <w:rFonts w:hint="eastAsia" w:ascii="楷体_GB2312" w:eastAsia="楷体_GB2312"/>
          <w:b/>
          <w:sz w:val="32"/>
          <w:szCs w:val="32"/>
        </w:rPr>
        <w:t>（五）当年预算执行及绩效管理中存在问题、原因及改进措施。</w:t>
      </w:r>
    </w:p>
    <w:p>
      <w:pPr>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我单位今年存在预算还不够全面的问题，在今后财政预算中，我单位将全面考虑，统筹计划，以减少预决算差额。</w:t>
      </w:r>
    </w:p>
    <w:p>
      <w:pPr>
        <w:snapToGrid w:val="0"/>
        <w:spacing w:line="560" w:lineRule="exact"/>
        <w:ind w:firstLine="640" w:firstLineChars="200"/>
        <w:rPr>
          <w:rFonts w:ascii="黑体" w:eastAsia="黑体"/>
          <w:sz w:val="32"/>
          <w:szCs w:val="32"/>
        </w:rPr>
      </w:pPr>
      <w:bookmarkStart w:id="119" w:name="YS060103"/>
      <w:r>
        <w:rPr>
          <w:rFonts w:hint="eastAsia" w:ascii="黑体" w:eastAsia="黑体"/>
          <w:sz w:val="32"/>
          <w:szCs w:val="32"/>
        </w:rPr>
        <w:t>三、资产负债情况分析</w:t>
      </w:r>
    </w:p>
    <w:bookmarkEnd w:id="119"/>
    <w:p>
      <w:pPr>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我单位年末资产合计0元，其中流动资产0元，固定资产406745元</w:t>
      </w:r>
      <w:r>
        <w:rPr>
          <w:rFonts w:hint="eastAsia" w:ascii="仿宋_GB2312" w:eastAsia="仿宋_GB2312" w:cs="仿宋_GB2312"/>
          <w:color w:val="FF0000"/>
          <w:sz w:val="32"/>
          <w:szCs w:val="32"/>
        </w:rPr>
        <w:t>，</w:t>
      </w:r>
      <w:r>
        <w:rPr>
          <w:rFonts w:hint="eastAsia" w:ascii="仿宋_GB2312" w:eastAsia="仿宋_GB2312" w:cs="仿宋_GB2312"/>
          <w:sz w:val="32"/>
          <w:szCs w:val="32"/>
        </w:rPr>
        <w:t>与上年相比增加了406745元，增加了100%，主要原因我单位2020年7月新成立。</w:t>
      </w:r>
    </w:p>
    <w:p>
      <w:pPr>
        <w:snapToGrid w:val="0"/>
        <w:spacing w:line="560" w:lineRule="exact"/>
        <w:ind w:firstLine="642" w:firstLineChars="200"/>
        <w:rPr>
          <w:rFonts w:ascii="楷体_GB2312" w:eastAsia="楷体_GB2312"/>
          <w:b/>
          <w:sz w:val="32"/>
          <w:szCs w:val="32"/>
        </w:rPr>
      </w:pPr>
      <w:r>
        <w:rPr>
          <w:rFonts w:hint="eastAsia" w:ascii="楷体_GB2312" w:eastAsia="楷体_GB2312"/>
          <w:b/>
          <w:sz w:val="32"/>
          <w:szCs w:val="32"/>
        </w:rPr>
        <w:t>（一）资产负债结构情况。</w:t>
      </w:r>
    </w:p>
    <w:p>
      <w:pPr>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我单位年末资产合计406745元，其中流动资产0元，固定资产406745元；</w:t>
      </w:r>
    </w:p>
    <w:p>
      <w:pPr>
        <w:snapToGrid w:val="0"/>
        <w:spacing w:line="560" w:lineRule="exact"/>
        <w:ind w:firstLine="642" w:firstLineChars="200"/>
        <w:rPr>
          <w:rFonts w:ascii="楷体_GB2312" w:eastAsia="楷体_GB2312"/>
          <w:b/>
          <w:sz w:val="32"/>
          <w:szCs w:val="32"/>
        </w:rPr>
      </w:pPr>
      <w:r>
        <w:rPr>
          <w:rFonts w:hint="eastAsia" w:ascii="楷体_GB2312" w:eastAsia="楷体_GB2312"/>
          <w:b/>
          <w:sz w:val="32"/>
          <w:szCs w:val="32"/>
        </w:rPr>
        <w:t>（二）资产负债对比分析。</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我单位本年资产负债率为0%，2019年我单位的资产负债率为0%，比去年减少了0%，主要原因是我单位2020年7月新成立。</w:t>
      </w:r>
    </w:p>
    <w:p>
      <w:pPr>
        <w:spacing w:line="560" w:lineRule="exact"/>
        <w:ind w:firstLine="642" w:firstLineChars="200"/>
        <w:rPr>
          <w:rFonts w:ascii="仿宋_GB2312" w:eastAsia="仿宋_GB2312" w:cs="仿宋_GB2312"/>
          <w:b/>
          <w:bCs/>
          <w:kern w:val="0"/>
          <w:sz w:val="32"/>
          <w:szCs w:val="32"/>
        </w:rPr>
      </w:pPr>
      <w:r>
        <w:rPr>
          <w:rFonts w:hint="eastAsia" w:ascii="仿宋_GB2312" w:eastAsia="仿宋_GB2312" w:cs="仿宋_GB2312"/>
          <w:b/>
          <w:bCs/>
          <w:kern w:val="0"/>
          <w:sz w:val="32"/>
          <w:szCs w:val="32"/>
        </w:rPr>
        <w:t>四、部门管理情况</w:t>
      </w:r>
    </w:p>
    <w:p>
      <w:pPr>
        <w:pStyle w:val="21"/>
        <w:spacing w:line="560" w:lineRule="exact"/>
        <w:ind w:firstLine="643"/>
        <w:rPr>
          <w:rFonts w:ascii="仿宋_GB2312" w:eastAsia="仿宋_GB2312" w:cs="仿宋_GB2312"/>
          <w:b/>
          <w:bCs/>
          <w:kern w:val="0"/>
          <w:sz w:val="32"/>
          <w:szCs w:val="32"/>
        </w:rPr>
      </w:pPr>
      <w:r>
        <w:rPr>
          <w:rFonts w:hint="eastAsia" w:ascii="仿宋_GB2312" w:eastAsia="仿宋_GB2312" w:cs="仿宋_GB2312"/>
          <w:b/>
          <w:bCs/>
          <w:kern w:val="0"/>
          <w:sz w:val="32"/>
          <w:szCs w:val="32"/>
        </w:rPr>
        <w:t>（一）基础管理</w:t>
      </w:r>
    </w:p>
    <w:p>
      <w:pPr>
        <w:pStyle w:val="21"/>
        <w:spacing w:line="560" w:lineRule="exact"/>
        <w:ind w:firstLine="643"/>
        <w:rPr>
          <w:rFonts w:ascii="仿宋_GB2312" w:eastAsia="仿宋_GB2312" w:cs="仿宋_GB2312"/>
          <w:kern w:val="0"/>
          <w:sz w:val="32"/>
          <w:szCs w:val="32"/>
        </w:rPr>
      </w:pPr>
      <w:r>
        <w:rPr>
          <w:rFonts w:hint="eastAsia" w:ascii="仿宋_GB2312" w:eastAsia="仿宋_GB2312" w:cs="仿宋_GB2312"/>
          <w:b/>
          <w:bCs/>
          <w:kern w:val="0"/>
          <w:sz w:val="32"/>
          <w:szCs w:val="32"/>
        </w:rPr>
        <w:t>1、管理制度健全性</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娜泽求宗社区管理委员会根据财政部颁布《行政单位内部控制规范》、《关于全部推进行政单位内部控制建设的指导意见》文件要求等法律法规及规章制度规定，结合单位实际情况，在对单位主要经济活动及业务流程梳理分析的基础上，初步建立覆盖本单位经济活动的内部控制体系，形成一系列的内部管理制度。主要包括有值班管理制度、档案管理制度、印章管理制度、会计核算管理制度、厉行节约管理措施、内部财务管理制度、预算资金管理办法等内部管理制度,另还有公文管理制度、督查管理制度在建；以上相关管理制度合法、合规、完整，均得到了有效执行。</w:t>
      </w:r>
    </w:p>
    <w:p>
      <w:pPr>
        <w:pStyle w:val="21"/>
        <w:spacing w:line="560" w:lineRule="exact"/>
        <w:ind w:left="420" w:leftChars="200" w:firstLine="643"/>
        <w:rPr>
          <w:rFonts w:ascii="仿宋_GB2312" w:eastAsia="仿宋_GB2312" w:cs="仿宋_GB2312"/>
          <w:b/>
          <w:bCs/>
          <w:kern w:val="0"/>
          <w:sz w:val="32"/>
          <w:szCs w:val="32"/>
        </w:rPr>
      </w:pPr>
      <w:r>
        <w:rPr>
          <w:rFonts w:hint="eastAsia" w:ascii="仿宋_GB2312" w:eastAsia="仿宋_GB2312" w:cs="仿宋_GB2312"/>
          <w:b/>
          <w:bCs/>
          <w:kern w:val="0"/>
          <w:sz w:val="32"/>
          <w:szCs w:val="32"/>
        </w:rPr>
        <w:t>2、财务管理以及资金使用合规性</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娜泽求宗社区管理委员会本年度收到预算资金</w:t>
      </w:r>
      <w:r>
        <w:rPr>
          <w:rFonts w:hint="eastAsia" w:ascii="仿宋_GB2312" w:eastAsia="仿宋_GB2312" w:cs="仿宋_GB2312"/>
          <w:color w:val="000000"/>
          <w:sz w:val="32"/>
          <w:szCs w:val="32"/>
        </w:rPr>
        <w:t>864726.63元</w:t>
      </w:r>
      <w:r>
        <w:rPr>
          <w:rFonts w:hint="eastAsia" w:ascii="仿宋_GB2312" w:eastAsia="仿宋_GB2312" w:cs="仿宋_GB2312"/>
          <w:sz w:val="32"/>
          <w:szCs w:val="32"/>
        </w:rPr>
        <w:t>，实际使用</w:t>
      </w:r>
      <w:r>
        <w:rPr>
          <w:rFonts w:hint="eastAsia" w:ascii="仿宋_GB2312" w:eastAsia="仿宋_GB2312" w:cs="仿宋_GB2312"/>
          <w:color w:val="000000"/>
          <w:sz w:val="32"/>
          <w:szCs w:val="32"/>
        </w:rPr>
        <w:t>864726.63元</w:t>
      </w:r>
      <w:r>
        <w:rPr>
          <w:rFonts w:hint="eastAsia" w:ascii="仿宋_GB2312" w:eastAsia="仿宋_GB2312" w:cs="仿宋_GB2312"/>
          <w:sz w:val="32"/>
          <w:szCs w:val="32"/>
        </w:rPr>
        <w:t>。资金使用过程中严格按照单位财务管理制度要求执行，资金使用的合规性体现在：</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1.所有经费开支坚持财务审批制度，重大资金支出（日常公用经费在2万元及以上）由我委全体职工经会议研究决定。</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2.在报销经费时，经办人使用统一规范的审批单，在审批单上写明用途、经办人员、证明人员、科室负责人、金额、报销日期、单据张数等内容。</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 xml:space="preserve">3.费用报销审批程序  </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经办人填写《支出审批单》→由业务科室负责人确认签字</w:t>
      </w:r>
      <w:r>
        <w:rPr>
          <w:rFonts w:hint="eastAsia" w:ascii="仿宋_GB2312" w:eastAsia="仿宋_GB2312"/>
          <w:sz w:val="32"/>
          <w:szCs w:val="32"/>
        </w:rPr>
        <w:t>→分管领导确认签字→财务科科长审核签字→审计科科长审核签字→分管财务、审计领导签字→局长批准后，到财务科出纳处办理支付手续。</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各个审批环节的具体职责：</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业务科室负责人及其分管领导对其发生的支出用途及金额的真实性、准确性负责，并对其科室填写的支出审批单内容、大小写金额、票据张数进行审核。经济业务发生后，原则上在15天之内报账完毕。不得将几个经济事项的票据合并填报。</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财务科对科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各审批领导审查财务收支的真实性、合法性、必要性，并在报销凭证上明确签署报销意见。</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所有费用报销实行局长“一支笔”签批制度。</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pPr>
        <w:pStyle w:val="21"/>
        <w:numPr>
          <w:ilvl w:val="0"/>
          <w:numId w:val="6"/>
        </w:numPr>
        <w:spacing w:line="560" w:lineRule="exact"/>
        <w:ind w:firstLine="643"/>
        <w:rPr>
          <w:rFonts w:ascii="仿宋_GB2312" w:eastAsia="仿宋_GB2312" w:cs="仿宋_GB2312"/>
          <w:b/>
          <w:bCs/>
          <w:sz w:val="32"/>
          <w:szCs w:val="32"/>
        </w:rPr>
      </w:pPr>
      <w:r>
        <w:rPr>
          <w:rFonts w:hint="eastAsia" w:ascii="仿宋_GB2312" w:eastAsia="仿宋_GB2312" w:cs="仿宋_GB2312"/>
          <w:b/>
          <w:bCs/>
          <w:kern w:val="0"/>
          <w:sz w:val="32"/>
          <w:szCs w:val="32"/>
        </w:rPr>
        <w:t>财务监控有效性</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cs="仿宋_GB2312"/>
          <w:sz w:val="32"/>
          <w:szCs w:val="32"/>
        </w:rPr>
        <w:t>财务科负责单位内控评价与监督工作，具体职责如下：</w:t>
      </w:r>
      <w:r>
        <w:rPr>
          <w:rFonts w:hint="eastAsia" w:ascii="仿宋_GB2312" w:eastAsia="仿宋_GB2312"/>
          <w:sz w:val="32"/>
          <w:szCs w:val="32"/>
        </w:rPr>
        <w:t>负责制定单位内部控制监督评价相关制度；负责制订内部控制评价方案；负责组织对单位年度内部控制工作自评工作；负责对本单位风险管理工作的实施情况和有效性进行监督和检查；负责对各个部门各业务流程的执行情况进行监督和检查；审计科每年组织开展内部审计工作。</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娜泽求宗社区管理委员会制定的管理制度，包括不限于财务管理制度、采购管理制度，这些制度同样适用于宗科乡人民政府的下属的单位：信息中心、不动产登记中心、展览馆、新农办、土储中心。下属的单位的资金报销通过局领导统一审批，拨付工作统一交由局机关财务处理，监控、监督措施执行有效，2020年度娜泽求宗社区管理委员会财务人员按要求执行了监控职能。</w:t>
      </w:r>
    </w:p>
    <w:p>
      <w:pPr>
        <w:pStyle w:val="21"/>
        <w:spacing w:line="560" w:lineRule="exact"/>
        <w:ind w:firstLine="643"/>
        <w:rPr>
          <w:rFonts w:ascii="仿宋_GB2312" w:eastAsia="仿宋_GB2312" w:cs="仿宋_GB2312"/>
          <w:b/>
          <w:bCs/>
          <w:kern w:val="0"/>
          <w:sz w:val="32"/>
          <w:szCs w:val="32"/>
        </w:rPr>
      </w:pPr>
      <w:r>
        <w:rPr>
          <w:rFonts w:hint="eastAsia" w:ascii="仿宋_GB2312" w:eastAsia="仿宋_GB2312" w:cs="仿宋_GB2312"/>
          <w:b/>
          <w:bCs/>
          <w:kern w:val="0"/>
          <w:sz w:val="32"/>
          <w:szCs w:val="32"/>
        </w:rPr>
        <w:t>（二）政府采购</w:t>
      </w:r>
    </w:p>
    <w:p>
      <w:pPr>
        <w:pStyle w:val="21"/>
        <w:spacing w:line="560" w:lineRule="exact"/>
        <w:ind w:left="420" w:leftChars="200" w:firstLine="640"/>
        <w:rPr>
          <w:rFonts w:ascii="仿宋_GB2312" w:eastAsia="仿宋_GB2312" w:cs="仿宋_GB2312"/>
          <w:sz w:val="32"/>
          <w:szCs w:val="32"/>
        </w:rPr>
      </w:pPr>
      <w:r>
        <w:rPr>
          <w:rFonts w:hint="eastAsia" w:ascii="仿宋_GB2312" w:eastAsia="仿宋_GB2312" w:cs="仿宋_GB2312"/>
          <w:sz w:val="32"/>
          <w:szCs w:val="32"/>
        </w:rPr>
        <w:t>无</w:t>
      </w:r>
    </w:p>
    <w:p>
      <w:pPr>
        <w:snapToGrid w:val="0"/>
        <w:spacing w:line="560" w:lineRule="exact"/>
        <w:ind w:firstLine="642" w:firstLineChars="200"/>
        <w:rPr>
          <w:rFonts w:ascii="仿宋_GB2312" w:eastAsia="仿宋_GB2312" w:cs="仿宋_GB2312"/>
          <w:b/>
          <w:bCs/>
          <w:sz w:val="32"/>
          <w:szCs w:val="32"/>
        </w:rPr>
      </w:pPr>
      <w:r>
        <w:rPr>
          <w:rFonts w:hint="eastAsia" w:ascii="仿宋_GB2312" w:eastAsia="仿宋_GB2312" w:cs="仿宋_GB2312"/>
          <w:b/>
          <w:bCs/>
          <w:kern w:val="0"/>
          <w:sz w:val="32"/>
          <w:szCs w:val="32"/>
        </w:rPr>
        <w:t>（三）</w:t>
      </w:r>
      <w:r>
        <w:rPr>
          <w:rFonts w:hint="eastAsia" w:ascii="仿宋_GB2312" w:eastAsia="仿宋_GB2312" w:cs="仿宋_GB2312"/>
          <w:sz w:val="32"/>
          <w:szCs w:val="32"/>
        </w:rPr>
        <w:t xml:space="preserve">资产管理 </w:t>
      </w:r>
      <w:r>
        <w:rPr>
          <w:rFonts w:hint="eastAsia" w:ascii="仿宋_GB2312" w:eastAsia="仿宋_GB2312" w:cs="仿宋_GB2312"/>
          <w:b/>
          <w:bCs/>
          <w:sz w:val="32"/>
          <w:szCs w:val="32"/>
        </w:rPr>
        <w:t xml:space="preserve"> </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固定资产在用率。截止2020年12月31日，娜泽求宗社区管理委员会《行政单位资产管理系统》固定资产总计406745元，在用的固定资产总计406745元，固定资产在用率达100%</w:t>
      </w:r>
    </w:p>
    <w:p>
      <w:pPr>
        <w:pStyle w:val="21"/>
        <w:spacing w:line="560" w:lineRule="exact"/>
        <w:ind w:left="420" w:leftChars="200" w:firstLine="643"/>
        <w:rPr>
          <w:rFonts w:ascii="仿宋_GB2312" w:eastAsia="仿宋_GB2312" w:cs="仿宋_GB2312"/>
          <w:b/>
          <w:bCs/>
          <w:kern w:val="0"/>
          <w:sz w:val="32"/>
          <w:szCs w:val="32"/>
        </w:rPr>
      </w:pPr>
      <w:r>
        <w:rPr>
          <w:rFonts w:hint="eastAsia" w:ascii="仿宋_GB2312" w:eastAsia="仿宋_GB2312" w:cs="仿宋_GB2312"/>
          <w:b/>
          <w:bCs/>
          <w:kern w:val="0"/>
          <w:sz w:val="32"/>
          <w:szCs w:val="32"/>
        </w:rPr>
        <w:t>（四）信息公开</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信息公开。娜泽求宗社区管理委员会已经按财政要求及时完成预算、决算、绩效等信息公开工作，信息公开在壤塘县人民政府门户网站中。</w:t>
      </w:r>
    </w:p>
    <w:p>
      <w:pPr>
        <w:pStyle w:val="21"/>
        <w:spacing w:line="560" w:lineRule="exact"/>
        <w:ind w:firstLine="643"/>
        <w:rPr>
          <w:rFonts w:ascii="仿宋_GB2312" w:eastAsia="仿宋_GB2312" w:cs="仿宋_GB2312"/>
          <w:b/>
          <w:bCs/>
          <w:kern w:val="0"/>
          <w:sz w:val="32"/>
          <w:szCs w:val="32"/>
          <w:highlight w:val="yellow"/>
        </w:rPr>
      </w:pPr>
      <w:r>
        <w:rPr>
          <w:rFonts w:hint="eastAsia" w:ascii="仿宋_GB2312" w:eastAsia="仿宋_GB2312" w:cs="仿宋_GB2312"/>
          <w:b/>
          <w:bCs/>
          <w:kern w:val="0"/>
          <w:sz w:val="32"/>
          <w:szCs w:val="32"/>
        </w:rPr>
        <w:t>五、</w:t>
      </w:r>
      <w:r>
        <w:rPr>
          <w:rFonts w:hint="eastAsia" w:ascii="Times New Roman" w:hAnsi="Times New Roman" w:eastAsia="仿宋_GB2312"/>
          <w:color w:val="000000"/>
          <w:sz w:val="32"/>
          <w:szCs w:val="32"/>
        </w:rPr>
        <w:t>部门履职效能</w:t>
      </w:r>
    </w:p>
    <w:p>
      <w:pPr>
        <w:pStyle w:val="21"/>
        <w:spacing w:line="560" w:lineRule="exact"/>
        <w:ind w:firstLine="640"/>
        <w:rPr>
          <w:rFonts w:ascii="仿宋_GB2312" w:eastAsia="仿宋_GB2312" w:cs="仿宋_GB2312"/>
          <w:b/>
          <w:bCs/>
          <w:kern w:val="0"/>
          <w:sz w:val="32"/>
          <w:szCs w:val="32"/>
          <w:highlight w:val="yellow"/>
        </w:rPr>
      </w:pPr>
      <w:r>
        <w:rPr>
          <w:rFonts w:hint="eastAsia" w:ascii="仿宋_GB2312" w:eastAsia="仿宋_GB2312" w:cs="仿宋_GB2312"/>
          <w:kern w:val="0"/>
          <w:sz w:val="32"/>
          <w:szCs w:val="32"/>
        </w:rPr>
        <w:t xml:space="preserve">   </w:t>
      </w:r>
      <w:r>
        <w:rPr>
          <w:rFonts w:hint="eastAsia" w:ascii="仿宋_GB2312" w:eastAsia="仿宋_GB2312" w:cs="仿宋_GB2312"/>
          <w:b/>
          <w:bCs/>
          <w:kern w:val="0"/>
          <w:sz w:val="32"/>
          <w:szCs w:val="32"/>
        </w:rPr>
        <w:t>（一</w:t>
      </w:r>
      <w:r>
        <w:rPr>
          <w:rFonts w:hint="eastAsia" w:ascii="Times New Roman" w:hAnsi="Times New Roman" w:eastAsia="仿宋_GB2312"/>
          <w:color w:val="000000"/>
          <w:sz w:val="32"/>
          <w:szCs w:val="32"/>
        </w:rPr>
        <w:t>）部门履职的年度总体目标</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壤塘县娜泽求宗社区管理委员会已于《关于印发《娜泽求宗社区管理委员会目标管理考核方案》的通知》文件对机关股室进行考核。</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修正了《壤塘县娜泽求宗社区管理委员会机关事务管理制度（试行）合订本》包括日常管理、财务管理、专项资金管理、资产管理、档案管理等规章制度。</w:t>
      </w:r>
    </w:p>
    <w:p>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主要从部门整体支出的经济性、效率性、有效性和可持续性等方面进行量化、具体分析。其中：经济性分析主要是对成本（预算）控制、节约等情况进行分析；效率性分析主要是对各项工作、专项完成的进度及质量等情况进行分析；有效性分析主要是对反映部门整体支出使用效果的个性指标进行分析；可持续性分析主要是对支出完成后，后续政策、资金、人员机构安排和管理措施等影响项目持续发展的因素进行分析。</w:t>
      </w:r>
    </w:p>
    <w:p>
      <w:pPr>
        <w:widowControl/>
        <w:spacing w:line="560" w:lineRule="exact"/>
        <w:ind w:firstLine="642" w:firstLineChars="200"/>
        <w:jc w:val="left"/>
        <w:rPr>
          <w:rFonts w:ascii="仿宋_GB2312" w:eastAsia="仿宋_GB2312" w:cs="仿宋_GB2312"/>
          <w:b/>
          <w:bCs/>
          <w:kern w:val="0"/>
          <w:sz w:val="32"/>
          <w:szCs w:val="32"/>
        </w:rPr>
      </w:pPr>
      <w:r>
        <w:rPr>
          <w:rFonts w:hint="eastAsia" w:ascii="仿宋_GB2312" w:eastAsia="仿宋_GB2312" w:cs="仿宋_GB2312"/>
          <w:b/>
          <w:bCs/>
          <w:kern w:val="0"/>
          <w:sz w:val="32"/>
          <w:szCs w:val="32"/>
        </w:rPr>
        <w:t>（二）重点工作任务绩效目标完成情况</w:t>
      </w:r>
    </w:p>
    <w:p>
      <w:pPr>
        <w:pStyle w:val="21"/>
        <w:spacing w:line="560" w:lineRule="exact"/>
        <w:ind w:firstLine="420"/>
      </w:pPr>
    </w:p>
    <w:p>
      <w:pPr>
        <w:spacing w:line="560" w:lineRule="exact"/>
        <w:ind w:firstLine="642" w:firstLineChars="200"/>
        <w:rPr>
          <w:rFonts w:hint="eastAsia" w:ascii="Times New Roman" w:hAnsi="Times New Roman" w:eastAsia="仿宋_GB2312"/>
          <w:sz w:val="32"/>
          <w:szCs w:val="32"/>
        </w:rPr>
      </w:pPr>
      <w:r>
        <w:rPr>
          <w:rFonts w:hint="eastAsia" w:ascii="楷体_GB2312" w:eastAsia="楷体_GB2312"/>
          <w:b/>
          <w:bCs/>
          <w:sz w:val="32"/>
          <w:szCs w:val="32"/>
        </w:rPr>
        <w:t>主要经济指标完成情况：</w:t>
      </w:r>
      <w:r>
        <w:rPr>
          <w:rFonts w:hint="eastAsia" w:ascii="Times New Roman" w:hAnsi="Times New Roman" w:eastAsia="仿宋_GB2312"/>
          <w:sz w:val="32"/>
          <w:szCs w:val="32"/>
        </w:rPr>
        <w:t>我单位2020年7月新成立，没有对比。</w:t>
      </w:r>
    </w:p>
    <w:p>
      <w:pPr>
        <w:spacing w:line="560" w:lineRule="exact"/>
        <w:ind w:firstLine="642" w:firstLineChars="200"/>
        <w:rPr>
          <w:rFonts w:ascii="Times New Roman" w:hAnsi="Times New Roman" w:eastAsia="仿宋_GB2312"/>
          <w:sz w:val="32"/>
          <w:szCs w:val="32"/>
        </w:rPr>
      </w:pPr>
      <w:r>
        <w:rPr>
          <w:rFonts w:ascii="仿宋_GB2312" w:eastAsia="仿宋_GB2312"/>
          <w:b/>
          <w:bCs/>
          <w:sz w:val="32"/>
          <w:szCs w:val="32"/>
        </w:rPr>
        <w:t>民族团结互助进步。</w:t>
      </w:r>
      <w:r>
        <w:rPr>
          <w:rFonts w:ascii="Times New Roman" w:hAnsi="Times New Roman" w:eastAsia="仿宋_GB2312"/>
          <w:sz w:val="32"/>
          <w:szCs w:val="32"/>
        </w:rPr>
        <w:t>扎实巩固州级民族团结进步示范，积极引导藏传佛教与社会主义社会相适应，深入开展“爱国爱教爱家乡”主题教育，教育僧尼</w:t>
      </w:r>
      <w:r>
        <w:rPr>
          <w:rFonts w:hint="eastAsia" w:ascii="Times New Roman" w:hAnsi="Times New Roman" w:eastAsia="仿宋_GB2312"/>
          <w:sz w:val="32"/>
          <w:szCs w:val="32"/>
        </w:rPr>
        <w:t>166</w:t>
      </w:r>
      <w:r>
        <w:rPr>
          <w:rFonts w:ascii="Times New Roman" w:hAnsi="Times New Roman" w:eastAsia="仿宋_GB2312"/>
          <w:sz w:val="32"/>
          <w:szCs w:val="32"/>
        </w:rPr>
        <w:t>余人次。“一寺一策”依法规范管理全覆盖，寺庙人员、活动、场所、财务、教务管理更加有序，解决地灾治理等难题</w:t>
      </w:r>
      <w:r>
        <w:rPr>
          <w:rFonts w:hint="eastAsia" w:ascii="Times New Roman" w:hAnsi="Times New Roman" w:eastAsia="仿宋_GB2312"/>
          <w:sz w:val="32"/>
          <w:szCs w:val="32"/>
        </w:rPr>
        <w:t>10</w:t>
      </w:r>
      <w:r>
        <w:rPr>
          <w:rFonts w:ascii="Times New Roman" w:hAnsi="Times New Roman" w:eastAsia="仿宋_GB2312"/>
          <w:sz w:val="32"/>
          <w:szCs w:val="32"/>
        </w:rPr>
        <w:t>个、</w:t>
      </w:r>
      <w:r>
        <w:rPr>
          <w:rFonts w:hint="eastAsia" w:ascii="Times New Roman" w:hAnsi="Times New Roman" w:eastAsia="仿宋_GB2312"/>
          <w:sz w:val="32"/>
          <w:szCs w:val="32"/>
        </w:rPr>
        <w:t>尼姑</w:t>
      </w:r>
      <w:r>
        <w:rPr>
          <w:rFonts w:ascii="Times New Roman" w:hAnsi="Times New Roman" w:eastAsia="仿宋_GB2312"/>
          <w:sz w:val="32"/>
          <w:szCs w:val="32"/>
        </w:rPr>
        <w:t>诉求</w:t>
      </w:r>
      <w:r>
        <w:rPr>
          <w:rFonts w:hint="eastAsia" w:ascii="Times New Roman" w:hAnsi="Times New Roman" w:eastAsia="仿宋_GB2312"/>
          <w:sz w:val="32"/>
          <w:szCs w:val="32"/>
        </w:rPr>
        <w:t>10</w:t>
      </w:r>
      <w:r>
        <w:rPr>
          <w:rFonts w:ascii="Times New Roman" w:hAnsi="Times New Roman" w:eastAsia="仿宋_GB2312"/>
          <w:sz w:val="32"/>
          <w:szCs w:val="32"/>
        </w:rPr>
        <w:t>余件。积极普及推广国家通用语言文字，完成省级验收督导，中华民族共同体意识越铸越牢。</w:t>
      </w:r>
    </w:p>
    <w:p>
      <w:pPr>
        <w:spacing w:line="560" w:lineRule="exact"/>
        <w:ind w:firstLine="642" w:firstLineChars="200"/>
        <w:rPr>
          <w:rFonts w:ascii="Times New Roman" w:hAnsi="Times New Roman" w:eastAsia="仿宋_GB2312"/>
          <w:sz w:val="32"/>
          <w:szCs w:val="32"/>
        </w:rPr>
      </w:pPr>
      <w:r>
        <w:rPr>
          <w:rFonts w:ascii="仿宋_GB2312" w:eastAsia="仿宋_GB2312"/>
          <w:b/>
          <w:bCs/>
          <w:sz w:val="32"/>
          <w:szCs w:val="32"/>
        </w:rPr>
        <w:t>加强效能建设。</w:t>
      </w:r>
      <w:r>
        <w:rPr>
          <w:rFonts w:ascii="Times New Roman" w:hAnsi="Times New Roman" w:eastAsia="仿宋_GB2312"/>
          <w:sz w:val="32"/>
          <w:szCs w:val="32"/>
        </w:rPr>
        <w:t>推进政府管理服务化，提高政府办事效率，方便人民群众</w:t>
      </w:r>
      <w:r>
        <w:rPr>
          <w:rFonts w:hint="eastAsia" w:ascii="Times New Roman" w:hAnsi="Times New Roman" w:eastAsia="仿宋_GB2312"/>
          <w:sz w:val="32"/>
          <w:szCs w:val="32"/>
        </w:rPr>
        <w:t>，方便安置点僧尼</w:t>
      </w:r>
      <w:r>
        <w:rPr>
          <w:rFonts w:ascii="Times New Roman" w:hAnsi="Times New Roman" w:eastAsia="仿宋_GB2312"/>
          <w:sz w:val="32"/>
          <w:szCs w:val="32"/>
        </w:rPr>
        <w:t>。将党风廉政建设各项任务与</w:t>
      </w:r>
      <w:r>
        <w:rPr>
          <w:rFonts w:hint="eastAsia" w:ascii="Times New Roman" w:hAnsi="Times New Roman" w:eastAsia="仿宋_GB2312"/>
          <w:sz w:val="32"/>
          <w:szCs w:val="32"/>
        </w:rPr>
        <w:t>我委</w:t>
      </w:r>
      <w:r>
        <w:rPr>
          <w:rFonts w:ascii="Times New Roman" w:hAnsi="Times New Roman" w:eastAsia="仿宋_GB2312"/>
          <w:sz w:val="32"/>
          <w:szCs w:val="32"/>
        </w:rPr>
        <w:t>中心工作、经济工作同谋划、同部署、同调度。对“三资”管理、扶贫救济、低保资金管理使用等进行审查，严控与压缩三公经费支出。坚持问题导向，严厉查处发生在群众身边的“四风”问题和干部违纪违法行为，营造了风清气正、干事创业的良好氛围。</w:t>
      </w:r>
    </w:p>
    <w:p>
      <w:pPr>
        <w:spacing w:line="560" w:lineRule="exact"/>
        <w:ind w:firstLine="642" w:firstLineChars="200"/>
        <w:rPr>
          <w:rFonts w:hint="eastAsia" w:ascii="Times New Roman" w:hAnsi="Times New Roman" w:eastAsia="仿宋_GB2312"/>
          <w:sz w:val="32"/>
          <w:szCs w:val="32"/>
        </w:rPr>
      </w:pPr>
      <w:r>
        <w:rPr>
          <w:rFonts w:ascii="仿宋_GB2312" w:eastAsia="仿宋_GB2312"/>
          <w:b/>
          <w:bCs/>
          <w:sz w:val="32"/>
          <w:szCs w:val="32"/>
        </w:rPr>
        <w:t>——抓好作风建设。</w:t>
      </w:r>
      <w:r>
        <w:rPr>
          <w:rFonts w:ascii="Times New Roman" w:hAnsi="Times New Roman" w:eastAsia="仿宋_GB2312"/>
          <w:sz w:val="32"/>
          <w:szCs w:val="32"/>
        </w:rPr>
        <w:t>完善制度建设，继续落实权力清单和责任清单，对作风专项整治和“小四风”问题开展回头看，坚决遏制，防止抬头。加强对各项制度和各项决策部署执行情况的监督检查，定期、不定期到各村各单位开展督查，强化检查结果的运用，持续提高政府工作执行力。</w:t>
      </w:r>
    </w:p>
    <w:p>
      <w:pPr>
        <w:spacing w:line="560" w:lineRule="exact"/>
        <w:ind w:firstLine="642" w:firstLineChars="200"/>
        <w:rPr>
          <w:rFonts w:ascii="Times New Roman" w:hAnsi="Times New Roman" w:eastAsia="仿宋_GB2312"/>
          <w:sz w:val="32"/>
          <w:szCs w:val="32"/>
        </w:rPr>
      </w:pPr>
      <w:r>
        <w:rPr>
          <w:rFonts w:ascii="仿宋_GB2312" w:eastAsia="仿宋_GB2312"/>
          <w:b/>
          <w:bCs/>
          <w:sz w:val="32"/>
          <w:szCs w:val="32"/>
        </w:rPr>
        <w:t>各位代表，</w:t>
      </w:r>
      <w:r>
        <w:rPr>
          <w:rFonts w:ascii="Times New Roman" w:hAnsi="Times New Roman" w:eastAsia="仿宋_GB2312"/>
          <w:sz w:val="32"/>
          <w:szCs w:val="32"/>
        </w:rPr>
        <w:t>回顾极不平凡的2020，</w:t>
      </w:r>
      <w:r>
        <w:rPr>
          <w:rFonts w:hint="eastAsia" w:ascii="Times New Roman" w:hAnsi="Times New Roman" w:eastAsia="仿宋_GB2312"/>
          <w:sz w:val="32"/>
          <w:szCs w:val="32"/>
        </w:rPr>
        <w:t>全安置点</w:t>
      </w:r>
      <w:r>
        <w:rPr>
          <w:rFonts w:ascii="Times New Roman" w:hAnsi="Times New Roman" w:eastAsia="仿宋_GB2312"/>
          <w:sz w:val="32"/>
          <w:szCs w:val="32"/>
        </w:rPr>
        <w:t>上下在应对挑战中开创了新局面，在克服困难中实现了新发展。这些成绩的取得，得益于</w:t>
      </w:r>
      <w:r>
        <w:rPr>
          <w:rFonts w:hint="eastAsia" w:eastAsia="仿宋_GB2312"/>
          <w:sz w:val="32"/>
          <w:szCs w:val="32"/>
          <w:lang w:eastAsia="zh-CN"/>
        </w:rPr>
        <w:t>县委县政府</w:t>
      </w:r>
      <w:r>
        <w:rPr>
          <w:rFonts w:ascii="Times New Roman" w:hAnsi="Times New Roman" w:eastAsia="仿宋_GB2312"/>
          <w:sz w:val="32"/>
          <w:szCs w:val="32"/>
        </w:rPr>
        <w:t>坚强领导，得益于社会各界的有效监督和大力支持，取决于全</w:t>
      </w:r>
      <w:r>
        <w:rPr>
          <w:rFonts w:hint="eastAsia" w:ascii="Times New Roman" w:hAnsi="Times New Roman" w:eastAsia="仿宋_GB2312"/>
          <w:sz w:val="32"/>
          <w:szCs w:val="32"/>
        </w:rPr>
        <w:t>委</w:t>
      </w:r>
      <w:r>
        <w:rPr>
          <w:rFonts w:ascii="Times New Roman" w:hAnsi="Times New Roman" w:eastAsia="仿宋_GB2312"/>
          <w:sz w:val="32"/>
          <w:szCs w:val="32"/>
        </w:rPr>
        <w:t>上下</w:t>
      </w:r>
      <w:r>
        <w:rPr>
          <w:rFonts w:ascii="Times New Roman" w:hAnsi="Times New Roman" w:eastAsia="微软雅黑"/>
          <w:sz w:val="32"/>
          <w:szCs w:val="32"/>
        </w:rPr>
        <w:t>勠</w:t>
      </w:r>
      <w:r>
        <w:rPr>
          <w:rFonts w:ascii="Times New Roman" w:hAnsi="Times New Roman" w:eastAsia="仿宋_GB2312"/>
          <w:sz w:val="32"/>
          <w:szCs w:val="32"/>
        </w:rPr>
        <w:t>力同心、群策群力的工作局面的结果。在此，我代表</w:t>
      </w:r>
      <w:r>
        <w:rPr>
          <w:rFonts w:hint="eastAsia" w:ascii="Times New Roman" w:hAnsi="Times New Roman" w:eastAsia="仿宋_GB2312"/>
          <w:sz w:val="32"/>
          <w:szCs w:val="32"/>
        </w:rPr>
        <w:t>娜泽求宗社区管理委员会</w:t>
      </w:r>
      <w:r>
        <w:rPr>
          <w:rFonts w:ascii="Times New Roman" w:hAnsi="Times New Roman" w:eastAsia="仿宋_GB2312"/>
          <w:sz w:val="32"/>
          <w:szCs w:val="32"/>
        </w:rPr>
        <w:t>，向全</w:t>
      </w:r>
      <w:r>
        <w:rPr>
          <w:rFonts w:hint="eastAsia" w:ascii="Times New Roman" w:hAnsi="Times New Roman" w:eastAsia="仿宋_GB2312"/>
          <w:sz w:val="32"/>
          <w:szCs w:val="32"/>
        </w:rPr>
        <w:t>安置点</w:t>
      </w:r>
      <w:r>
        <w:rPr>
          <w:rFonts w:ascii="Times New Roman" w:hAnsi="Times New Roman" w:eastAsia="仿宋_GB2312"/>
          <w:sz w:val="32"/>
          <w:szCs w:val="32"/>
        </w:rPr>
        <w:t>干部</w:t>
      </w:r>
      <w:r>
        <w:rPr>
          <w:rFonts w:hint="eastAsia" w:ascii="Times New Roman" w:hAnsi="Times New Roman" w:eastAsia="仿宋_GB2312"/>
          <w:sz w:val="32"/>
          <w:szCs w:val="32"/>
        </w:rPr>
        <w:t>、尼众</w:t>
      </w:r>
      <w:r>
        <w:rPr>
          <w:rFonts w:ascii="Times New Roman" w:hAnsi="Times New Roman" w:eastAsia="仿宋_GB2312"/>
          <w:sz w:val="32"/>
          <w:szCs w:val="32"/>
        </w:rPr>
        <w:t>，向理解关心支持政府工作的离退休老同志和社会各界人士，致以崇高的敬意和衷心的感谢！</w:t>
      </w:r>
    </w:p>
    <w:p>
      <w:pPr>
        <w:spacing w:line="560" w:lineRule="exact"/>
        <w:ind w:firstLine="640" w:firstLineChars="200"/>
        <w:rPr>
          <w:rFonts w:ascii="Times New Roman" w:hAnsi="Times New Roman" w:eastAsia="黑体"/>
          <w:sz w:val="32"/>
          <w:szCs w:val="32"/>
        </w:rPr>
      </w:pPr>
    </w:p>
    <w:p>
      <w:pPr>
        <w:pStyle w:val="21"/>
        <w:spacing w:line="560" w:lineRule="exact"/>
        <w:ind w:firstLine="643"/>
        <w:rPr>
          <w:rFonts w:ascii="仿宋_GB2312" w:eastAsia="仿宋_GB2312" w:cs="仿宋_GB2312"/>
          <w:b/>
          <w:bCs/>
          <w:sz w:val="32"/>
          <w:szCs w:val="32"/>
        </w:rPr>
      </w:pPr>
      <w:r>
        <w:rPr>
          <w:rFonts w:hint="eastAsia" w:ascii="仿宋_GB2312" w:eastAsia="仿宋_GB2312" w:cs="仿宋_GB2312"/>
          <w:b/>
          <w:bCs/>
          <w:sz w:val="32"/>
          <w:szCs w:val="32"/>
        </w:rPr>
        <w:t>（一）存在问题</w:t>
      </w:r>
    </w:p>
    <w:p>
      <w:pPr>
        <w:spacing w:line="560" w:lineRule="exact"/>
        <w:ind w:firstLine="642" w:firstLineChars="200"/>
        <w:rPr>
          <w:rFonts w:hint="eastAsia" w:ascii="仿宋_GB2312" w:eastAsia="仿宋_GB2312" w:cs="仿宋_GB2312"/>
          <w:sz w:val="32"/>
          <w:szCs w:val="32"/>
        </w:rPr>
      </w:pPr>
      <w:r>
        <w:rPr>
          <w:rFonts w:hint="eastAsia" w:ascii="仿宋_GB2312" w:eastAsia="仿宋_GB2312" w:cs="仿宋_GB2312"/>
          <w:b/>
          <w:bCs/>
          <w:sz w:val="32"/>
          <w:szCs w:val="32"/>
        </w:rPr>
        <w:t>1.尼众对财务管理不重视。</w:t>
      </w:r>
      <w:r>
        <w:rPr>
          <w:rFonts w:hint="eastAsia" w:ascii="仿宋_GB2312" w:eastAsia="仿宋_GB2312" w:cs="仿宋_GB2312"/>
          <w:bCs/>
          <w:sz w:val="32"/>
          <w:szCs w:val="32"/>
        </w:rPr>
        <w:t>尼众普遍对财务管理不重视，对国有资产的保护不重视，对公共资产缺乏管理意识。</w:t>
      </w:r>
    </w:p>
    <w:p>
      <w:pPr>
        <w:pStyle w:val="21"/>
        <w:spacing w:line="560" w:lineRule="exact"/>
        <w:ind w:firstLine="643"/>
        <w:rPr>
          <w:rFonts w:ascii="仿宋_GB2312" w:eastAsia="仿宋_GB2312" w:cs="仿宋_GB2312"/>
          <w:b/>
          <w:sz w:val="32"/>
          <w:szCs w:val="32"/>
        </w:rPr>
      </w:pPr>
      <w:r>
        <w:rPr>
          <w:rFonts w:hint="eastAsia" w:ascii="仿宋_GB2312" w:eastAsia="仿宋_GB2312" w:cs="仿宋_GB2312"/>
          <w:b/>
          <w:sz w:val="32"/>
          <w:szCs w:val="32"/>
        </w:rPr>
        <w:t>2.尼众对政策了解不全面。</w:t>
      </w:r>
    </w:p>
    <w:p>
      <w:pPr>
        <w:pStyle w:val="21"/>
        <w:spacing w:line="560" w:lineRule="exact"/>
        <w:ind w:firstLine="643"/>
        <w:rPr>
          <w:rFonts w:hint="eastAsia" w:ascii="仿宋_GB2312" w:eastAsia="仿宋_GB2312" w:cs="仿宋_GB2312"/>
          <w:b/>
          <w:bCs/>
          <w:sz w:val="32"/>
          <w:szCs w:val="32"/>
        </w:rPr>
      </w:pPr>
      <w:r>
        <w:rPr>
          <w:rFonts w:hint="eastAsia" w:ascii="仿宋_GB2312" w:eastAsia="仿宋_GB2312" w:cs="仿宋_GB2312"/>
          <w:b/>
          <w:bCs/>
          <w:sz w:val="32"/>
          <w:szCs w:val="32"/>
        </w:rPr>
        <w:t>（三）改进措施</w:t>
      </w:r>
    </w:p>
    <w:p>
      <w:pPr>
        <w:pStyle w:val="21"/>
        <w:spacing w:line="560" w:lineRule="exact"/>
        <w:ind w:firstLine="643"/>
        <w:rPr>
          <w:rFonts w:hint="eastAsia" w:ascii="仿宋_GB2312" w:eastAsia="仿宋_GB2312" w:cs="仿宋_GB2312"/>
          <w:bCs/>
          <w:sz w:val="32"/>
          <w:szCs w:val="32"/>
        </w:rPr>
      </w:pPr>
      <w:r>
        <w:rPr>
          <w:rFonts w:hint="eastAsia" w:ascii="仿宋_GB2312" w:eastAsia="仿宋_GB2312" w:cs="仿宋_GB2312"/>
          <w:b/>
          <w:bCs/>
          <w:sz w:val="32"/>
          <w:szCs w:val="32"/>
        </w:rPr>
        <w:t>1.</w:t>
      </w:r>
      <w:r>
        <w:rPr>
          <w:rFonts w:hint="eastAsia" w:ascii="仿宋_GB2312" w:eastAsia="仿宋_GB2312" w:cs="仿宋_GB2312"/>
          <w:bCs/>
          <w:sz w:val="32"/>
          <w:szCs w:val="32"/>
        </w:rPr>
        <w:t>对尼众开展专业性的财务宣讲，增进尼众对国有资产的保护，提升对公共资产管理的意识。</w:t>
      </w:r>
    </w:p>
    <w:p>
      <w:pPr>
        <w:pStyle w:val="21"/>
        <w:spacing w:line="560" w:lineRule="exact"/>
        <w:ind w:firstLine="643"/>
        <w:rPr>
          <w:rFonts w:ascii="仿宋_GB2312" w:eastAsia="仿宋_GB2312" w:cs="仿宋_GB2312"/>
          <w:bCs/>
          <w:sz w:val="32"/>
          <w:szCs w:val="32"/>
        </w:rPr>
      </w:pPr>
      <w:r>
        <w:rPr>
          <w:rFonts w:hint="eastAsia" w:ascii="仿宋_GB2312" w:eastAsia="仿宋_GB2312" w:cs="仿宋_GB2312"/>
          <w:b/>
          <w:bCs/>
          <w:sz w:val="32"/>
          <w:szCs w:val="32"/>
        </w:rPr>
        <w:t>2.</w:t>
      </w:r>
      <w:r>
        <w:rPr>
          <w:rFonts w:hint="eastAsia" w:ascii="仿宋_GB2312" w:eastAsia="仿宋_GB2312" w:cs="仿宋_GB2312"/>
          <w:bCs/>
          <w:sz w:val="32"/>
          <w:szCs w:val="32"/>
        </w:rPr>
        <w:t>宣讲新政策，新法规。提升尼众对政策的了解，</w:t>
      </w:r>
      <w:r>
        <w:rPr>
          <w:rFonts w:hint="eastAsia" w:ascii="仿宋_GB2312" w:eastAsia="仿宋_GB2312" w:cs="仿宋_GB2312"/>
          <w:sz w:val="32"/>
          <w:szCs w:val="32"/>
        </w:rPr>
        <w:t>教育引导工作</w:t>
      </w:r>
      <w:r>
        <w:rPr>
          <w:rFonts w:hint="eastAsia" w:ascii="仿宋_GB2312" w:eastAsia="仿宋_GB2312" w:cs="仿宋_GB2312"/>
          <w:bCs/>
          <w:sz w:val="32"/>
          <w:szCs w:val="32"/>
        </w:rPr>
        <w:t>。</w:t>
      </w:r>
    </w:p>
    <w:p>
      <w:pPr>
        <w:pStyle w:val="21"/>
        <w:spacing w:line="360" w:lineRule="auto"/>
        <w:ind w:firstLine="640"/>
        <w:rPr>
          <w:rFonts w:ascii="仿宋_GB2312" w:eastAsia="仿宋_GB2312" w:cs="仿宋_GB2312"/>
          <w:sz w:val="32"/>
          <w:szCs w:val="32"/>
        </w:rPr>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pStyle w:val="21"/>
        <w:ind w:firstLine="420"/>
      </w:pPr>
    </w:p>
    <w:p>
      <w:pPr>
        <w:spacing w:line="600" w:lineRule="exact"/>
        <w:jc w:val="center"/>
        <w:outlineLvl w:val="0"/>
        <w:rPr>
          <w:rStyle w:val="37"/>
          <w:rFonts w:ascii="黑体" w:hAnsi="黑体" w:eastAsia="黑体"/>
          <w:b w:val="0"/>
        </w:rPr>
      </w:pPr>
      <w:bookmarkStart w:id="120" w:name="_Toc79163885"/>
      <w:bookmarkStart w:id="121" w:name="_Toc18306"/>
      <w:bookmarkStart w:id="122" w:name="_Toc79163635"/>
      <w:bookmarkStart w:id="123" w:name="_Toc3795"/>
      <w:bookmarkStart w:id="124" w:name="_Toc15396618"/>
      <w:r>
        <w:rPr>
          <w:rFonts w:hint="eastAsia" w:ascii="黑体" w:hAnsi="黑体" w:eastAsia="黑体"/>
          <w:color w:val="000000"/>
          <w:sz w:val="44"/>
          <w:szCs w:val="44"/>
        </w:rPr>
        <w:t>第</w:t>
      </w:r>
      <w:r>
        <w:rPr>
          <w:rStyle w:val="37"/>
          <w:rFonts w:hint="eastAsia" w:ascii="黑体" w:hAnsi="黑体" w:eastAsia="黑体"/>
          <w:b w:val="0"/>
        </w:rPr>
        <w:t>五部分</w:t>
      </w:r>
      <w:r>
        <w:rPr>
          <w:rStyle w:val="37"/>
          <w:rFonts w:ascii="黑体" w:hAnsi="黑体" w:eastAsia="黑体"/>
          <w:b w:val="0"/>
        </w:rPr>
        <w:t xml:space="preserve"> </w:t>
      </w:r>
      <w:r>
        <w:rPr>
          <w:rStyle w:val="37"/>
          <w:rFonts w:hint="eastAsia" w:ascii="黑体" w:hAnsi="黑体" w:eastAsia="黑体"/>
          <w:b w:val="0"/>
        </w:rPr>
        <w:t>附表</w:t>
      </w:r>
      <w:bookmarkEnd w:id="120"/>
      <w:bookmarkEnd w:id="121"/>
      <w:bookmarkEnd w:id="122"/>
      <w:bookmarkEnd w:id="123"/>
      <w:bookmarkEnd w:id="124"/>
    </w:p>
    <w:p>
      <w:pPr>
        <w:pStyle w:val="4"/>
        <w:rPr>
          <w:rFonts w:ascii="仿宋" w:hAnsi="仿宋" w:eastAsia="仿宋"/>
          <w:color w:val="000000"/>
        </w:rPr>
      </w:pPr>
      <w:bookmarkStart w:id="125" w:name="_Toc15396619"/>
      <w:bookmarkStart w:id="126" w:name="_Toc15297"/>
      <w:bookmarkStart w:id="127" w:name="_Toc20198"/>
      <w:bookmarkStart w:id="128" w:name="_Toc79163886"/>
      <w:bookmarkStart w:id="129" w:name="_Toc79163636"/>
      <w:r>
        <w:rPr>
          <w:rFonts w:hint="eastAsia" w:ascii="仿宋" w:hAnsi="仿宋" w:eastAsia="仿宋"/>
          <w:b w:val="0"/>
          <w:color w:val="000000"/>
        </w:rPr>
        <w:t>一、收</w:t>
      </w:r>
      <w:r>
        <w:rPr>
          <w:rStyle w:val="36"/>
          <w:rFonts w:hint="eastAsia" w:ascii="仿宋" w:hAnsi="仿宋" w:eastAsia="仿宋"/>
          <w:b w:val="0"/>
          <w:bCs w:val="0"/>
        </w:rPr>
        <w:t>入支出决算总表</w:t>
      </w:r>
      <w:bookmarkEnd w:id="125"/>
      <w:bookmarkEnd w:id="126"/>
      <w:bookmarkEnd w:id="127"/>
      <w:bookmarkEnd w:id="128"/>
      <w:bookmarkEnd w:id="129"/>
    </w:p>
    <w:p>
      <w:pPr>
        <w:pStyle w:val="4"/>
        <w:rPr>
          <w:rFonts w:ascii="仿宋" w:hAnsi="仿宋" w:eastAsia="仿宋"/>
          <w:color w:val="000000"/>
        </w:rPr>
      </w:pPr>
      <w:bookmarkStart w:id="130" w:name="_Toc79163637"/>
      <w:bookmarkStart w:id="131" w:name="_Toc79163887"/>
      <w:bookmarkStart w:id="132" w:name="_Toc15396620"/>
      <w:bookmarkStart w:id="133" w:name="_Toc18945"/>
      <w:bookmarkStart w:id="134" w:name="_Toc22317"/>
      <w:r>
        <w:rPr>
          <w:rFonts w:hint="eastAsia" w:ascii="仿宋" w:hAnsi="仿宋" w:eastAsia="仿宋"/>
          <w:b w:val="0"/>
          <w:color w:val="000000"/>
        </w:rPr>
        <w:t>二、收</w:t>
      </w:r>
      <w:r>
        <w:rPr>
          <w:rStyle w:val="36"/>
          <w:rFonts w:hint="eastAsia" w:ascii="仿宋" w:hAnsi="仿宋" w:eastAsia="仿宋"/>
          <w:b w:val="0"/>
          <w:bCs w:val="0"/>
        </w:rPr>
        <w:t>入决算表</w:t>
      </w:r>
      <w:bookmarkEnd w:id="130"/>
      <w:bookmarkEnd w:id="131"/>
      <w:bookmarkEnd w:id="132"/>
      <w:bookmarkEnd w:id="133"/>
      <w:bookmarkEnd w:id="134"/>
    </w:p>
    <w:p>
      <w:pPr>
        <w:pStyle w:val="4"/>
        <w:rPr>
          <w:rFonts w:ascii="仿宋" w:hAnsi="仿宋" w:eastAsia="仿宋"/>
          <w:color w:val="000000"/>
        </w:rPr>
      </w:pPr>
      <w:bookmarkStart w:id="135" w:name="_Toc13370"/>
      <w:bookmarkStart w:id="136" w:name="_Toc15396621"/>
      <w:bookmarkStart w:id="137" w:name="_Toc13124"/>
      <w:bookmarkStart w:id="138" w:name="_Toc79163888"/>
      <w:bookmarkStart w:id="139" w:name="_Toc79163638"/>
      <w:r>
        <w:rPr>
          <w:rStyle w:val="36"/>
          <w:rFonts w:hint="eastAsia" w:ascii="仿宋" w:hAnsi="仿宋" w:eastAsia="仿宋"/>
          <w:b w:val="0"/>
          <w:bCs w:val="0"/>
        </w:rPr>
        <w:t>三、</w:t>
      </w:r>
      <w:r>
        <w:rPr>
          <w:rFonts w:hint="eastAsia" w:ascii="仿宋" w:hAnsi="仿宋" w:eastAsia="仿宋"/>
          <w:b w:val="0"/>
          <w:color w:val="000000"/>
        </w:rPr>
        <w:t>支</w:t>
      </w:r>
      <w:r>
        <w:rPr>
          <w:rStyle w:val="36"/>
          <w:rFonts w:hint="eastAsia" w:ascii="仿宋" w:hAnsi="仿宋" w:eastAsia="仿宋"/>
          <w:b w:val="0"/>
          <w:bCs w:val="0"/>
        </w:rPr>
        <w:t>出决算表</w:t>
      </w:r>
      <w:bookmarkEnd w:id="135"/>
      <w:bookmarkEnd w:id="136"/>
      <w:bookmarkEnd w:id="137"/>
      <w:bookmarkEnd w:id="138"/>
      <w:bookmarkEnd w:id="139"/>
    </w:p>
    <w:p>
      <w:pPr>
        <w:pStyle w:val="4"/>
        <w:rPr>
          <w:rFonts w:ascii="仿宋" w:hAnsi="仿宋" w:eastAsia="仿宋"/>
          <w:b w:val="0"/>
          <w:color w:val="000000"/>
        </w:rPr>
      </w:pPr>
      <w:bookmarkStart w:id="140" w:name="_Toc29907"/>
      <w:bookmarkStart w:id="141" w:name="_Toc5352"/>
      <w:bookmarkStart w:id="142" w:name="_Toc79163639"/>
      <w:bookmarkStart w:id="143" w:name="_Toc15396622"/>
      <w:bookmarkStart w:id="144" w:name="_Toc79163889"/>
      <w:r>
        <w:rPr>
          <w:rStyle w:val="36"/>
          <w:rFonts w:hint="eastAsia" w:ascii="仿宋" w:hAnsi="仿宋" w:eastAsia="仿宋"/>
          <w:b w:val="0"/>
          <w:bCs w:val="0"/>
        </w:rPr>
        <w:t>四、</w:t>
      </w:r>
      <w:r>
        <w:rPr>
          <w:rFonts w:hint="eastAsia" w:ascii="仿宋" w:hAnsi="仿宋" w:eastAsia="仿宋"/>
          <w:b w:val="0"/>
          <w:color w:val="000000"/>
        </w:rPr>
        <w:t>财</w:t>
      </w:r>
      <w:r>
        <w:rPr>
          <w:rStyle w:val="36"/>
          <w:rFonts w:hint="eastAsia" w:ascii="仿宋" w:hAnsi="仿宋" w:eastAsia="仿宋"/>
          <w:b w:val="0"/>
          <w:bCs w:val="0"/>
        </w:rPr>
        <w:t>政拨款收入支出决算总表</w:t>
      </w:r>
      <w:bookmarkEnd w:id="140"/>
      <w:bookmarkEnd w:id="141"/>
      <w:bookmarkEnd w:id="142"/>
      <w:bookmarkEnd w:id="143"/>
      <w:bookmarkEnd w:id="144"/>
    </w:p>
    <w:p>
      <w:pPr>
        <w:pStyle w:val="4"/>
        <w:rPr>
          <w:rStyle w:val="36"/>
          <w:rFonts w:ascii="仿宋" w:hAnsi="仿宋" w:eastAsia="仿宋"/>
          <w:b w:val="0"/>
          <w:bCs w:val="0"/>
        </w:rPr>
      </w:pPr>
      <w:bookmarkStart w:id="145" w:name="_Toc15023"/>
      <w:bookmarkStart w:id="146" w:name="_Toc20532"/>
      <w:bookmarkStart w:id="147" w:name="_Toc15396623"/>
      <w:bookmarkStart w:id="148" w:name="_Toc79163640"/>
      <w:bookmarkStart w:id="149" w:name="_Toc79163890"/>
      <w:r>
        <w:rPr>
          <w:rStyle w:val="36"/>
          <w:rFonts w:hint="eastAsia" w:ascii="仿宋" w:hAnsi="仿宋" w:eastAsia="仿宋"/>
          <w:b w:val="0"/>
          <w:bCs w:val="0"/>
        </w:rPr>
        <w:t>五、</w:t>
      </w:r>
      <w:r>
        <w:rPr>
          <w:rFonts w:hint="eastAsia" w:ascii="仿宋" w:hAnsi="仿宋" w:eastAsia="仿宋"/>
          <w:b w:val="0"/>
          <w:color w:val="000000"/>
        </w:rPr>
        <w:t>财</w:t>
      </w:r>
      <w:r>
        <w:rPr>
          <w:rStyle w:val="36"/>
          <w:rFonts w:hint="eastAsia" w:ascii="仿宋" w:hAnsi="仿宋" w:eastAsia="仿宋"/>
          <w:b w:val="0"/>
          <w:bCs w:val="0"/>
        </w:rPr>
        <w:t>政拨款支出决算明细表</w:t>
      </w:r>
      <w:bookmarkEnd w:id="145"/>
      <w:bookmarkEnd w:id="146"/>
      <w:bookmarkEnd w:id="147"/>
      <w:bookmarkEnd w:id="148"/>
      <w:bookmarkEnd w:id="149"/>
      <w:bookmarkStart w:id="150" w:name="_Toc15396624"/>
    </w:p>
    <w:p>
      <w:pPr>
        <w:pStyle w:val="4"/>
        <w:rPr>
          <w:rFonts w:ascii="仿宋" w:hAnsi="仿宋" w:eastAsia="仿宋"/>
          <w:color w:val="000000"/>
        </w:rPr>
      </w:pPr>
      <w:bookmarkStart w:id="151" w:name="_Toc30678"/>
      <w:bookmarkStart w:id="152" w:name="_Toc468"/>
      <w:bookmarkStart w:id="153" w:name="_Toc79163641"/>
      <w:bookmarkStart w:id="154" w:name="_Toc79163891"/>
      <w:r>
        <w:rPr>
          <w:rStyle w:val="36"/>
          <w:rFonts w:hint="eastAsia" w:ascii="仿宋" w:hAnsi="仿宋" w:eastAsia="仿宋"/>
          <w:b w:val="0"/>
          <w:bCs w:val="0"/>
        </w:rPr>
        <w:t>六、</w:t>
      </w:r>
      <w:r>
        <w:rPr>
          <w:rFonts w:hint="eastAsia" w:ascii="仿宋" w:hAnsi="仿宋" w:eastAsia="仿宋"/>
          <w:b w:val="0"/>
          <w:color w:val="000000"/>
        </w:rPr>
        <w:t>一</w:t>
      </w:r>
      <w:r>
        <w:rPr>
          <w:rStyle w:val="36"/>
          <w:rFonts w:hint="eastAsia" w:ascii="仿宋" w:hAnsi="仿宋" w:eastAsia="仿宋"/>
          <w:b w:val="0"/>
          <w:bCs w:val="0"/>
        </w:rPr>
        <w:t>般公共预算财政拨款支出决算表</w:t>
      </w:r>
      <w:bookmarkEnd w:id="150"/>
      <w:bookmarkEnd w:id="151"/>
      <w:bookmarkEnd w:id="152"/>
      <w:bookmarkEnd w:id="153"/>
      <w:bookmarkEnd w:id="154"/>
    </w:p>
    <w:p>
      <w:pPr>
        <w:pStyle w:val="4"/>
        <w:rPr>
          <w:rFonts w:ascii="仿宋" w:hAnsi="仿宋" w:eastAsia="仿宋"/>
          <w:color w:val="000000"/>
        </w:rPr>
      </w:pPr>
      <w:bookmarkStart w:id="155" w:name="_Toc79163892"/>
      <w:bookmarkStart w:id="156" w:name="_Toc4910"/>
      <w:bookmarkStart w:id="157" w:name="_Toc79163642"/>
      <w:bookmarkStart w:id="158" w:name="_Toc15396625"/>
      <w:bookmarkStart w:id="159" w:name="_Toc17872"/>
      <w:r>
        <w:rPr>
          <w:rStyle w:val="36"/>
          <w:rFonts w:hint="eastAsia" w:ascii="仿宋" w:hAnsi="仿宋" w:eastAsia="仿宋"/>
          <w:b w:val="0"/>
          <w:bCs w:val="0"/>
        </w:rPr>
        <w:t>七、</w:t>
      </w:r>
      <w:r>
        <w:rPr>
          <w:rFonts w:hint="eastAsia" w:ascii="仿宋" w:hAnsi="仿宋" w:eastAsia="仿宋"/>
          <w:b w:val="0"/>
          <w:color w:val="000000"/>
        </w:rPr>
        <w:t>一</w:t>
      </w:r>
      <w:r>
        <w:rPr>
          <w:rStyle w:val="36"/>
          <w:rFonts w:hint="eastAsia" w:ascii="仿宋" w:hAnsi="仿宋" w:eastAsia="仿宋"/>
          <w:b w:val="0"/>
          <w:bCs w:val="0"/>
        </w:rPr>
        <w:t>般公共预算财政拨款支出决算明细表</w:t>
      </w:r>
      <w:bookmarkEnd w:id="155"/>
      <w:bookmarkEnd w:id="156"/>
      <w:bookmarkEnd w:id="157"/>
      <w:bookmarkEnd w:id="158"/>
      <w:bookmarkEnd w:id="159"/>
    </w:p>
    <w:p>
      <w:pPr>
        <w:pStyle w:val="4"/>
        <w:rPr>
          <w:rFonts w:ascii="仿宋" w:hAnsi="仿宋" w:eastAsia="仿宋"/>
          <w:color w:val="000000"/>
        </w:rPr>
      </w:pPr>
      <w:bookmarkStart w:id="160" w:name="_Toc22771"/>
      <w:bookmarkStart w:id="161" w:name="_Toc22515"/>
      <w:bookmarkStart w:id="162" w:name="_Toc79163643"/>
      <w:bookmarkStart w:id="163" w:name="_Toc15396626"/>
      <w:bookmarkStart w:id="164" w:name="_Toc79163893"/>
      <w:r>
        <w:rPr>
          <w:rStyle w:val="36"/>
          <w:rFonts w:hint="eastAsia" w:ascii="仿宋" w:hAnsi="仿宋" w:eastAsia="仿宋"/>
          <w:b w:val="0"/>
          <w:bCs w:val="0"/>
        </w:rPr>
        <w:t>八、</w:t>
      </w:r>
      <w:r>
        <w:rPr>
          <w:rFonts w:hint="eastAsia" w:ascii="仿宋" w:hAnsi="仿宋" w:eastAsia="仿宋"/>
          <w:b w:val="0"/>
          <w:color w:val="000000"/>
        </w:rPr>
        <w:t>一</w:t>
      </w:r>
      <w:r>
        <w:rPr>
          <w:rStyle w:val="36"/>
          <w:rFonts w:hint="eastAsia" w:ascii="仿宋" w:hAnsi="仿宋" w:eastAsia="仿宋"/>
          <w:b w:val="0"/>
          <w:bCs w:val="0"/>
        </w:rPr>
        <w:t>般公共预算财政拨款基本支出决算表</w:t>
      </w:r>
      <w:bookmarkEnd w:id="160"/>
      <w:bookmarkEnd w:id="161"/>
      <w:bookmarkEnd w:id="162"/>
      <w:bookmarkEnd w:id="163"/>
      <w:bookmarkEnd w:id="164"/>
    </w:p>
    <w:p>
      <w:pPr>
        <w:pStyle w:val="4"/>
        <w:rPr>
          <w:rFonts w:ascii="仿宋" w:hAnsi="仿宋" w:eastAsia="仿宋"/>
          <w:color w:val="000000"/>
        </w:rPr>
      </w:pPr>
      <w:bookmarkStart w:id="165" w:name="_Toc79163894"/>
      <w:bookmarkStart w:id="166" w:name="_Toc15396627"/>
      <w:bookmarkStart w:id="167" w:name="_Toc22425"/>
      <w:bookmarkStart w:id="168" w:name="_Toc1349"/>
      <w:bookmarkStart w:id="169" w:name="_Toc79163644"/>
      <w:r>
        <w:rPr>
          <w:rStyle w:val="36"/>
          <w:rFonts w:hint="eastAsia" w:ascii="仿宋" w:hAnsi="仿宋" w:eastAsia="仿宋"/>
          <w:b w:val="0"/>
          <w:bCs w:val="0"/>
        </w:rPr>
        <w:t>九、</w:t>
      </w:r>
      <w:r>
        <w:rPr>
          <w:rFonts w:hint="eastAsia" w:ascii="仿宋" w:hAnsi="仿宋" w:eastAsia="仿宋"/>
          <w:b w:val="0"/>
          <w:color w:val="000000"/>
        </w:rPr>
        <w:t>一</w:t>
      </w:r>
      <w:r>
        <w:rPr>
          <w:rStyle w:val="36"/>
          <w:rFonts w:hint="eastAsia" w:ascii="仿宋" w:hAnsi="仿宋" w:eastAsia="仿宋"/>
          <w:b w:val="0"/>
          <w:bCs w:val="0"/>
        </w:rPr>
        <w:t>般公共预算财政拨款项目支出决算表</w:t>
      </w:r>
      <w:bookmarkEnd w:id="165"/>
      <w:bookmarkEnd w:id="166"/>
      <w:bookmarkEnd w:id="167"/>
      <w:bookmarkEnd w:id="168"/>
      <w:bookmarkEnd w:id="169"/>
    </w:p>
    <w:p>
      <w:pPr>
        <w:pStyle w:val="4"/>
        <w:rPr>
          <w:rFonts w:ascii="仿宋" w:hAnsi="仿宋" w:eastAsia="仿宋"/>
          <w:color w:val="000000"/>
        </w:rPr>
      </w:pPr>
      <w:bookmarkStart w:id="170" w:name="_Toc1397"/>
      <w:bookmarkStart w:id="171" w:name="_Toc79163645"/>
      <w:bookmarkStart w:id="172" w:name="_Toc79163895"/>
      <w:bookmarkStart w:id="173" w:name="_Toc30804"/>
      <w:bookmarkStart w:id="174" w:name="_Toc15396628"/>
      <w:r>
        <w:rPr>
          <w:rStyle w:val="36"/>
          <w:rFonts w:hint="eastAsia" w:ascii="仿宋" w:hAnsi="仿宋" w:eastAsia="仿宋"/>
          <w:b w:val="0"/>
          <w:bCs w:val="0"/>
        </w:rPr>
        <w:t>十、</w:t>
      </w:r>
      <w:r>
        <w:rPr>
          <w:rFonts w:hint="eastAsia" w:ascii="仿宋" w:hAnsi="仿宋" w:eastAsia="仿宋"/>
          <w:b w:val="0"/>
          <w:color w:val="000000"/>
        </w:rPr>
        <w:t>一</w:t>
      </w:r>
      <w:r>
        <w:rPr>
          <w:rStyle w:val="36"/>
          <w:rFonts w:hint="eastAsia" w:ascii="仿宋" w:hAnsi="仿宋" w:eastAsia="仿宋"/>
          <w:b w:val="0"/>
          <w:bCs w:val="0"/>
        </w:rPr>
        <w:t>般公共预算财政拨款“三公”经费支出决算表</w:t>
      </w:r>
      <w:bookmarkEnd w:id="170"/>
      <w:bookmarkEnd w:id="171"/>
      <w:bookmarkEnd w:id="172"/>
      <w:bookmarkEnd w:id="173"/>
      <w:bookmarkEnd w:id="174"/>
    </w:p>
    <w:p>
      <w:pPr>
        <w:pStyle w:val="4"/>
        <w:rPr>
          <w:rFonts w:ascii="仿宋" w:hAnsi="仿宋" w:eastAsia="仿宋"/>
          <w:color w:val="000000"/>
        </w:rPr>
      </w:pPr>
      <w:bookmarkStart w:id="175" w:name="_Toc15396629"/>
      <w:bookmarkStart w:id="176" w:name="_Toc79163896"/>
      <w:bookmarkStart w:id="177" w:name="_Toc31618"/>
      <w:bookmarkStart w:id="178" w:name="_Toc79163646"/>
      <w:bookmarkStart w:id="179" w:name="_Toc29030"/>
      <w:r>
        <w:rPr>
          <w:rStyle w:val="36"/>
          <w:rFonts w:hint="eastAsia" w:ascii="仿宋" w:hAnsi="仿宋" w:eastAsia="仿宋"/>
          <w:b w:val="0"/>
          <w:bCs w:val="0"/>
        </w:rPr>
        <w:t>十一、</w:t>
      </w:r>
      <w:r>
        <w:rPr>
          <w:rFonts w:hint="eastAsia" w:ascii="仿宋" w:hAnsi="仿宋" w:eastAsia="仿宋"/>
          <w:b w:val="0"/>
          <w:color w:val="000000"/>
        </w:rPr>
        <w:t>政</w:t>
      </w:r>
      <w:r>
        <w:rPr>
          <w:rStyle w:val="36"/>
          <w:rFonts w:hint="eastAsia" w:ascii="仿宋" w:hAnsi="仿宋" w:eastAsia="仿宋"/>
          <w:b w:val="0"/>
          <w:bCs w:val="0"/>
        </w:rPr>
        <w:t>府性基金预算财政拨款收入支出决算表</w:t>
      </w:r>
      <w:bookmarkEnd w:id="175"/>
      <w:bookmarkEnd w:id="176"/>
      <w:bookmarkEnd w:id="177"/>
      <w:bookmarkEnd w:id="178"/>
      <w:bookmarkEnd w:id="179"/>
    </w:p>
    <w:p>
      <w:pPr>
        <w:pStyle w:val="4"/>
        <w:rPr>
          <w:rFonts w:ascii="仿宋" w:hAnsi="仿宋" w:eastAsia="仿宋"/>
          <w:color w:val="000000"/>
        </w:rPr>
      </w:pPr>
      <w:bookmarkStart w:id="180" w:name="_Toc15396630"/>
      <w:bookmarkStart w:id="181" w:name="_Toc79163897"/>
      <w:bookmarkStart w:id="182" w:name="_Toc79163647"/>
      <w:bookmarkStart w:id="183" w:name="_Toc6452"/>
      <w:bookmarkStart w:id="184" w:name="_Toc20370"/>
      <w:r>
        <w:rPr>
          <w:rStyle w:val="36"/>
          <w:rFonts w:hint="eastAsia" w:ascii="仿宋" w:hAnsi="仿宋" w:eastAsia="仿宋"/>
          <w:b w:val="0"/>
          <w:bCs w:val="0"/>
        </w:rPr>
        <w:t>十二、</w:t>
      </w:r>
      <w:r>
        <w:rPr>
          <w:rFonts w:hint="eastAsia" w:ascii="仿宋" w:hAnsi="仿宋" w:eastAsia="仿宋"/>
          <w:b w:val="0"/>
          <w:color w:val="000000"/>
        </w:rPr>
        <w:t>政</w:t>
      </w:r>
      <w:r>
        <w:rPr>
          <w:rStyle w:val="36"/>
          <w:rFonts w:hint="eastAsia" w:ascii="仿宋" w:hAnsi="仿宋" w:eastAsia="仿宋"/>
          <w:b w:val="0"/>
          <w:bCs w:val="0"/>
        </w:rPr>
        <w:t>府性基金预算财政拨款“三公”经费支出决算表</w:t>
      </w:r>
      <w:bookmarkEnd w:id="180"/>
      <w:bookmarkEnd w:id="181"/>
      <w:bookmarkEnd w:id="182"/>
      <w:bookmarkEnd w:id="183"/>
      <w:bookmarkEnd w:id="184"/>
    </w:p>
    <w:p>
      <w:pPr>
        <w:pStyle w:val="4"/>
        <w:rPr>
          <w:rStyle w:val="36"/>
          <w:rFonts w:ascii="仿宋" w:hAnsi="仿宋" w:eastAsia="仿宋"/>
          <w:b w:val="0"/>
          <w:bCs w:val="0"/>
        </w:rPr>
      </w:pPr>
      <w:bookmarkStart w:id="185" w:name="_Toc79163898"/>
      <w:bookmarkStart w:id="186" w:name="_Toc15396631"/>
      <w:bookmarkStart w:id="187" w:name="_Toc8838"/>
      <w:bookmarkStart w:id="188" w:name="_Toc14938"/>
      <w:bookmarkStart w:id="189" w:name="_Toc79163648"/>
      <w:r>
        <w:rPr>
          <w:rStyle w:val="36"/>
          <w:rFonts w:hint="eastAsia" w:ascii="仿宋" w:hAnsi="仿宋" w:eastAsia="仿宋"/>
          <w:b w:val="0"/>
          <w:bCs w:val="0"/>
        </w:rPr>
        <w:t>十三、</w:t>
      </w:r>
      <w:r>
        <w:rPr>
          <w:rFonts w:hint="eastAsia" w:ascii="仿宋" w:hAnsi="仿宋" w:eastAsia="仿宋"/>
          <w:b w:val="0"/>
          <w:color w:val="000000"/>
        </w:rPr>
        <w:t>国</w:t>
      </w:r>
      <w:r>
        <w:rPr>
          <w:rStyle w:val="36"/>
          <w:rFonts w:hint="eastAsia" w:ascii="仿宋" w:hAnsi="仿宋" w:eastAsia="仿宋"/>
          <w:b w:val="0"/>
          <w:bCs w:val="0"/>
        </w:rPr>
        <w:t>有资本经营预算财政拨款支出决算表</w:t>
      </w:r>
      <w:bookmarkEnd w:id="185"/>
      <w:bookmarkEnd w:id="186"/>
      <w:bookmarkEnd w:id="187"/>
      <w:bookmarkEnd w:id="188"/>
      <w:bookmarkEnd w:id="189"/>
    </w:p>
    <w:p>
      <w:pPr>
        <w:pStyle w:val="4"/>
        <w:rPr>
          <w:rStyle w:val="36"/>
          <w:rFonts w:ascii="仿宋" w:hAnsi="仿宋" w:eastAsia="仿宋"/>
          <w:b w:val="0"/>
          <w:bCs w:val="0"/>
        </w:rPr>
      </w:pPr>
      <w:bookmarkStart w:id="190" w:name="_Toc79163899"/>
      <w:bookmarkStart w:id="191" w:name="_Toc17517"/>
      <w:bookmarkStart w:id="192" w:name="_Toc15079"/>
      <w:bookmarkStart w:id="193" w:name="_Toc79163649"/>
      <w:r>
        <w:rPr>
          <w:rStyle w:val="36"/>
          <w:rFonts w:hint="eastAsia" w:ascii="仿宋" w:hAnsi="仿宋" w:eastAsia="仿宋"/>
          <w:b w:val="0"/>
          <w:bCs w:val="0"/>
        </w:rPr>
        <w:t>十四、国有资本经营预算财政拨款支出决算表</w:t>
      </w:r>
      <w:bookmarkEnd w:id="190"/>
      <w:bookmarkEnd w:id="191"/>
      <w:bookmarkEnd w:id="192"/>
      <w:bookmarkEnd w:id="193"/>
    </w:p>
    <w:p>
      <w:pPr>
        <w:pStyle w:val="21"/>
        <w:ind w:firstLine="420"/>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微软雅黑">
    <w:altName w:val="黑体"/>
    <w:panose1 w:val="020B0503020204020204"/>
    <w:charset w:val="86"/>
    <w:family w:val="swiss"/>
    <w:pitch w:val="default"/>
    <w:sig w:usb0="00000000" w:usb1="00000000" w:usb2="00000016" w:usb3="00000000" w:csb0="0004001F"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11"/>
          <w:jc w:val="center"/>
        </w:pPr>
        <w:r>
          <w:fldChar w:fldCharType="begin"/>
        </w:r>
        <w:r>
          <w:instrText xml:space="preserve">PAGE   \* MERGEFORMAT</w:instrText>
        </w:r>
        <w:r>
          <w:fldChar w:fldCharType="separate"/>
        </w:r>
        <w:r>
          <w:rPr>
            <w:lang w:val="zh-CN"/>
          </w:rPr>
          <w:t>2</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5766E"/>
    <w:multiLevelType w:val="singleLevel"/>
    <w:tmpl w:val="B3B5766E"/>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D4B74A53"/>
    <w:multiLevelType w:val="singleLevel"/>
    <w:tmpl w:val="D4B74A53"/>
    <w:lvl w:ilvl="0" w:tentative="0">
      <w:start w:val="1"/>
      <w:numFmt w:val="decimal"/>
      <w:suff w:val="nothing"/>
      <w:lvlText w:val="%1、"/>
      <w:lvlJc w:val="left"/>
      <w:pPr>
        <w:tabs>
          <w:tab w:val="left" w:pos="0"/>
        </w:tabs>
        <w:ind w:left="0" w:firstLine="0"/>
      </w:pPr>
    </w:lvl>
  </w:abstractNum>
  <w:abstractNum w:abstractNumId="3">
    <w:nsid w:val="E2FA047D"/>
    <w:multiLevelType w:val="singleLevel"/>
    <w:tmpl w:val="E2FA047D"/>
    <w:lvl w:ilvl="0" w:tentative="0">
      <w:start w:val="3"/>
      <w:numFmt w:val="chineseCounting"/>
      <w:suff w:val="space"/>
      <w:lvlText w:val="第%1部分"/>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eastAsia"/>
        <w:b/>
        <w:bC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1FF06321"/>
    <w:multiLevelType w:val="singleLevel"/>
    <w:tmpl w:val="1FF06321"/>
    <w:lvl w:ilvl="0" w:tentative="0">
      <w:start w:val="1"/>
      <w:numFmt w:val="decimal"/>
      <w:lvlText w:val="%1."/>
      <w:lvlJc w:val="left"/>
      <w:pPr>
        <w:tabs>
          <w:tab w:val="left" w:pos="312"/>
        </w:tabs>
      </w:pPr>
      <w:rPr>
        <w:rFonts w:hint="default"/>
        <w:b/>
        <w:bCs/>
      </w:r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0792"/>
    <w:rsid w:val="000222C6"/>
    <w:rsid w:val="0002549F"/>
    <w:rsid w:val="0002749D"/>
    <w:rsid w:val="0006487A"/>
    <w:rsid w:val="00065F8F"/>
    <w:rsid w:val="000768F2"/>
    <w:rsid w:val="0009184B"/>
    <w:rsid w:val="0009593C"/>
    <w:rsid w:val="000B047F"/>
    <w:rsid w:val="000B202D"/>
    <w:rsid w:val="000B5923"/>
    <w:rsid w:val="000B5A48"/>
    <w:rsid w:val="000B6FF3"/>
    <w:rsid w:val="000C3467"/>
    <w:rsid w:val="000C3CA6"/>
    <w:rsid w:val="000D1267"/>
    <w:rsid w:val="000D1D50"/>
    <w:rsid w:val="000D5782"/>
    <w:rsid w:val="000E6613"/>
    <w:rsid w:val="000E7119"/>
    <w:rsid w:val="00114E9B"/>
    <w:rsid w:val="0014729F"/>
    <w:rsid w:val="00157BAB"/>
    <w:rsid w:val="001654D1"/>
    <w:rsid w:val="0018106D"/>
    <w:rsid w:val="001877A7"/>
    <w:rsid w:val="00191536"/>
    <w:rsid w:val="00196687"/>
    <w:rsid w:val="001B1FA9"/>
    <w:rsid w:val="001C0962"/>
    <w:rsid w:val="001D6C1E"/>
    <w:rsid w:val="001D7531"/>
    <w:rsid w:val="001E737D"/>
    <w:rsid w:val="001F0592"/>
    <w:rsid w:val="001F7506"/>
    <w:rsid w:val="002006CD"/>
    <w:rsid w:val="00202B36"/>
    <w:rsid w:val="00204B7A"/>
    <w:rsid w:val="0021101A"/>
    <w:rsid w:val="00220536"/>
    <w:rsid w:val="00235629"/>
    <w:rsid w:val="00260C38"/>
    <w:rsid w:val="002616C0"/>
    <w:rsid w:val="002662AA"/>
    <w:rsid w:val="00280496"/>
    <w:rsid w:val="00295495"/>
    <w:rsid w:val="002B2613"/>
    <w:rsid w:val="002F1818"/>
    <w:rsid w:val="002F567B"/>
    <w:rsid w:val="003216A9"/>
    <w:rsid w:val="0037013F"/>
    <w:rsid w:val="00380C92"/>
    <w:rsid w:val="003A484F"/>
    <w:rsid w:val="003B0BE0"/>
    <w:rsid w:val="003B0C1B"/>
    <w:rsid w:val="003B688C"/>
    <w:rsid w:val="003C0291"/>
    <w:rsid w:val="003C39AE"/>
    <w:rsid w:val="003C7B60"/>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7481D"/>
    <w:rsid w:val="0058486E"/>
    <w:rsid w:val="00597919"/>
    <w:rsid w:val="005C52C6"/>
    <w:rsid w:val="005D1C8B"/>
    <w:rsid w:val="005D5CED"/>
    <w:rsid w:val="005E3365"/>
    <w:rsid w:val="005F1A4C"/>
    <w:rsid w:val="00605688"/>
    <w:rsid w:val="006070AF"/>
    <w:rsid w:val="00607E6C"/>
    <w:rsid w:val="006101B1"/>
    <w:rsid w:val="00614E44"/>
    <w:rsid w:val="00622830"/>
    <w:rsid w:val="0062663B"/>
    <w:rsid w:val="00630AEF"/>
    <w:rsid w:val="006325F8"/>
    <w:rsid w:val="00634C9A"/>
    <w:rsid w:val="00643C0A"/>
    <w:rsid w:val="006440E4"/>
    <w:rsid w:val="0066343B"/>
    <w:rsid w:val="00664777"/>
    <w:rsid w:val="006748A4"/>
    <w:rsid w:val="00683E73"/>
    <w:rsid w:val="006A3141"/>
    <w:rsid w:val="006A5E34"/>
    <w:rsid w:val="006B2422"/>
    <w:rsid w:val="006B2B9A"/>
    <w:rsid w:val="006C1937"/>
    <w:rsid w:val="006F020C"/>
    <w:rsid w:val="007127B7"/>
    <w:rsid w:val="0071537A"/>
    <w:rsid w:val="007416B6"/>
    <w:rsid w:val="00746F48"/>
    <w:rsid w:val="0075404D"/>
    <w:rsid w:val="0076182A"/>
    <w:rsid w:val="00767B7E"/>
    <w:rsid w:val="007770C3"/>
    <w:rsid w:val="00784D24"/>
    <w:rsid w:val="00785FBA"/>
    <w:rsid w:val="00786E4A"/>
    <w:rsid w:val="007875EB"/>
    <w:rsid w:val="0079426B"/>
    <w:rsid w:val="007D312A"/>
    <w:rsid w:val="007D3F19"/>
    <w:rsid w:val="007E23B0"/>
    <w:rsid w:val="007F1991"/>
    <w:rsid w:val="007F2C2F"/>
    <w:rsid w:val="007F55FC"/>
    <w:rsid w:val="007F5665"/>
    <w:rsid w:val="00800112"/>
    <w:rsid w:val="00807797"/>
    <w:rsid w:val="008253BB"/>
    <w:rsid w:val="0083706E"/>
    <w:rsid w:val="008423A5"/>
    <w:rsid w:val="00850625"/>
    <w:rsid w:val="00853718"/>
    <w:rsid w:val="00855221"/>
    <w:rsid w:val="00860645"/>
    <w:rsid w:val="00871F71"/>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7F3"/>
    <w:rsid w:val="00946945"/>
    <w:rsid w:val="00951248"/>
    <w:rsid w:val="0095152F"/>
    <w:rsid w:val="00954C49"/>
    <w:rsid w:val="0097099F"/>
    <w:rsid w:val="00971997"/>
    <w:rsid w:val="00971FFC"/>
    <w:rsid w:val="0098660A"/>
    <w:rsid w:val="009931C3"/>
    <w:rsid w:val="009B2C43"/>
    <w:rsid w:val="009B4EAE"/>
    <w:rsid w:val="009B7573"/>
    <w:rsid w:val="009C22F4"/>
    <w:rsid w:val="009C2E98"/>
    <w:rsid w:val="009D3447"/>
    <w:rsid w:val="009D4711"/>
    <w:rsid w:val="009F1185"/>
    <w:rsid w:val="009F18CD"/>
    <w:rsid w:val="009F2A13"/>
    <w:rsid w:val="00A04EB0"/>
    <w:rsid w:val="00A13CC1"/>
    <w:rsid w:val="00A16847"/>
    <w:rsid w:val="00A237D8"/>
    <w:rsid w:val="00A268C4"/>
    <w:rsid w:val="00A307CD"/>
    <w:rsid w:val="00A40A00"/>
    <w:rsid w:val="00A4142F"/>
    <w:rsid w:val="00A52260"/>
    <w:rsid w:val="00A56DF2"/>
    <w:rsid w:val="00A57F63"/>
    <w:rsid w:val="00A67AB5"/>
    <w:rsid w:val="00A91760"/>
    <w:rsid w:val="00A93B00"/>
    <w:rsid w:val="00A93C21"/>
    <w:rsid w:val="00AC3C6A"/>
    <w:rsid w:val="00AD5620"/>
    <w:rsid w:val="00AD7C1B"/>
    <w:rsid w:val="00AE16BA"/>
    <w:rsid w:val="00AE1EBE"/>
    <w:rsid w:val="00AE7003"/>
    <w:rsid w:val="00B03C9D"/>
    <w:rsid w:val="00B060AE"/>
    <w:rsid w:val="00B10517"/>
    <w:rsid w:val="00B14E76"/>
    <w:rsid w:val="00B15718"/>
    <w:rsid w:val="00B161B8"/>
    <w:rsid w:val="00B2048C"/>
    <w:rsid w:val="00B310B9"/>
    <w:rsid w:val="00B35F3F"/>
    <w:rsid w:val="00B36CBB"/>
    <w:rsid w:val="00B425E0"/>
    <w:rsid w:val="00B440AA"/>
    <w:rsid w:val="00B44B70"/>
    <w:rsid w:val="00B53C56"/>
    <w:rsid w:val="00B77EA6"/>
    <w:rsid w:val="00B81598"/>
    <w:rsid w:val="00B841F1"/>
    <w:rsid w:val="00B8480B"/>
    <w:rsid w:val="00B944D6"/>
    <w:rsid w:val="00BB4DF0"/>
    <w:rsid w:val="00BC289F"/>
    <w:rsid w:val="00BC5361"/>
    <w:rsid w:val="00BC5460"/>
    <w:rsid w:val="00BC6B50"/>
    <w:rsid w:val="00BD0E25"/>
    <w:rsid w:val="00BF5BD6"/>
    <w:rsid w:val="00C03E31"/>
    <w:rsid w:val="00C13B26"/>
    <w:rsid w:val="00C33E72"/>
    <w:rsid w:val="00C34EED"/>
    <w:rsid w:val="00C354B2"/>
    <w:rsid w:val="00C35554"/>
    <w:rsid w:val="00C42709"/>
    <w:rsid w:val="00C533CC"/>
    <w:rsid w:val="00C5751C"/>
    <w:rsid w:val="00C61BFC"/>
    <w:rsid w:val="00C62B85"/>
    <w:rsid w:val="00C65438"/>
    <w:rsid w:val="00C663B4"/>
    <w:rsid w:val="00C91CBB"/>
    <w:rsid w:val="00CA1D7E"/>
    <w:rsid w:val="00CC09B6"/>
    <w:rsid w:val="00CC666F"/>
    <w:rsid w:val="00CD1E3F"/>
    <w:rsid w:val="00CE44F6"/>
    <w:rsid w:val="00CE49DA"/>
    <w:rsid w:val="00CE7B61"/>
    <w:rsid w:val="00D00095"/>
    <w:rsid w:val="00D20620"/>
    <w:rsid w:val="00D26091"/>
    <w:rsid w:val="00D34E7C"/>
    <w:rsid w:val="00D35489"/>
    <w:rsid w:val="00D43BB3"/>
    <w:rsid w:val="00D51276"/>
    <w:rsid w:val="00D7035F"/>
    <w:rsid w:val="00DA65AC"/>
    <w:rsid w:val="00DB1913"/>
    <w:rsid w:val="00DC410D"/>
    <w:rsid w:val="00DC68CA"/>
    <w:rsid w:val="00DC7CBA"/>
    <w:rsid w:val="00DD2D64"/>
    <w:rsid w:val="00DD73B7"/>
    <w:rsid w:val="00DF28BC"/>
    <w:rsid w:val="00DF34B9"/>
    <w:rsid w:val="00DF36DA"/>
    <w:rsid w:val="00E01053"/>
    <w:rsid w:val="00E07ACF"/>
    <w:rsid w:val="00E331A1"/>
    <w:rsid w:val="00E33202"/>
    <w:rsid w:val="00E336A9"/>
    <w:rsid w:val="00E50624"/>
    <w:rsid w:val="00E568DF"/>
    <w:rsid w:val="00E64269"/>
    <w:rsid w:val="00E82267"/>
    <w:rsid w:val="00EA010F"/>
    <w:rsid w:val="00ED1B63"/>
    <w:rsid w:val="00ED3C1F"/>
    <w:rsid w:val="00ED4085"/>
    <w:rsid w:val="00ED420E"/>
    <w:rsid w:val="00EE2F57"/>
    <w:rsid w:val="00EF4C34"/>
    <w:rsid w:val="00EF77C6"/>
    <w:rsid w:val="00F05438"/>
    <w:rsid w:val="00F1361C"/>
    <w:rsid w:val="00F160C7"/>
    <w:rsid w:val="00F301B6"/>
    <w:rsid w:val="00F36D8F"/>
    <w:rsid w:val="00F417B1"/>
    <w:rsid w:val="00F602DF"/>
    <w:rsid w:val="00F81FD9"/>
    <w:rsid w:val="00F841AA"/>
    <w:rsid w:val="00FA23E8"/>
    <w:rsid w:val="00FD3CC1"/>
    <w:rsid w:val="00FE17BC"/>
    <w:rsid w:val="00FF1E02"/>
    <w:rsid w:val="00FF30B4"/>
    <w:rsid w:val="0100359D"/>
    <w:rsid w:val="018C6D0A"/>
    <w:rsid w:val="01B523E3"/>
    <w:rsid w:val="02156525"/>
    <w:rsid w:val="022E7AB2"/>
    <w:rsid w:val="027C684F"/>
    <w:rsid w:val="02906E4F"/>
    <w:rsid w:val="02951C88"/>
    <w:rsid w:val="02DB653C"/>
    <w:rsid w:val="030F534B"/>
    <w:rsid w:val="03190BFF"/>
    <w:rsid w:val="0329103D"/>
    <w:rsid w:val="037006E9"/>
    <w:rsid w:val="03910B34"/>
    <w:rsid w:val="03C0405B"/>
    <w:rsid w:val="03C45140"/>
    <w:rsid w:val="043C7ABA"/>
    <w:rsid w:val="044461FF"/>
    <w:rsid w:val="04520949"/>
    <w:rsid w:val="046D0884"/>
    <w:rsid w:val="04C70D4F"/>
    <w:rsid w:val="053479EC"/>
    <w:rsid w:val="05B7792F"/>
    <w:rsid w:val="05B9112D"/>
    <w:rsid w:val="05CF0D11"/>
    <w:rsid w:val="05E655A4"/>
    <w:rsid w:val="06466408"/>
    <w:rsid w:val="066002A6"/>
    <w:rsid w:val="06722096"/>
    <w:rsid w:val="06C364D9"/>
    <w:rsid w:val="06D02805"/>
    <w:rsid w:val="07840394"/>
    <w:rsid w:val="07E24618"/>
    <w:rsid w:val="07F30755"/>
    <w:rsid w:val="0849793C"/>
    <w:rsid w:val="08583B46"/>
    <w:rsid w:val="086C1487"/>
    <w:rsid w:val="08A929DF"/>
    <w:rsid w:val="08FE4AE2"/>
    <w:rsid w:val="09456966"/>
    <w:rsid w:val="09986558"/>
    <w:rsid w:val="09BD025A"/>
    <w:rsid w:val="09E50333"/>
    <w:rsid w:val="09ED503A"/>
    <w:rsid w:val="0A541B24"/>
    <w:rsid w:val="0B033319"/>
    <w:rsid w:val="0B2B3018"/>
    <w:rsid w:val="0B4C4447"/>
    <w:rsid w:val="0B5B6AC7"/>
    <w:rsid w:val="0C205D41"/>
    <w:rsid w:val="0C5B0535"/>
    <w:rsid w:val="0C941F55"/>
    <w:rsid w:val="0CDE7578"/>
    <w:rsid w:val="0D1E5A69"/>
    <w:rsid w:val="0D3E64D2"/>
    <w:rsid w:val="0D6353D7"/>
    <w:rsid w:val="0DB47B27"/>
    <w:rsid w:val="0DD36937"/>
    <w:rsid w:val="0E2E419D"/>
    <w:rsid w:val="0E3A3D38"/>
    <w:rsid w:val="0EEA0B9D"/>
    <w:rsid w:val="0F045569"/>
    <w:rsid w:val="0F5D3DE3"/>
    <w:rsid w:val="0FC30A0A"/>
    <w:rsid w:val="0FD9506D"/>
    <w:rsid w:val="0FE52755"/>
    <w:rsid w:val="107567A8"/>
    <w:rsid w:val="108E16B4"/>
    <w:rsid w:val="109065E6"/>
    <w:rsid w:val="109138D3"/>
    <w:rsid w:val="109F5DF2"/>
    <w:rsid w:val="10A1163E"/>
    <w:rsid w:val="10C055FF"/>
    <w:rsid w:val="10F7429A"/>
    <w:rsid w:val="1128649F"/>
    <w:rsid w:val="11D65EF2"/>
    <w:rsid w:val="11EE1622"/>
    <w:rsid w:val="120874B0"/>
    <w:rsid w:val="123B2361"/>
    <w:rsid w:val="12466E66"/>
    <w:rsid w:val="126A5CF5"/>
    <w:rsid w:val="12BB2612"/>
    <w:rsid w:val="12FB2A91"/>
    <w:rsid w:val="130B1B6E"/>
    <w:rsid w:val="13214430"/>
    <w:rsid w:val="13537A8C"/>
    <w:rsid w:val="135B0E8F"/>
    <w:rsid w:val="136C68F0"/>
    <w:rsid w:val="13B301CC"/>
    <w:rsid w:val="13C472A1"/>
    <w:rsid w:val="13CD33F2"/>
    <w:rsid w:val="13F03948"/>
    <w:rsid w:val="1483224E"/>
    <w:rsid w:val="1492672E"/>
    <w:rsid w:val="14BE3213"/>
    <w:rsid w:val="14CA67A0"/>
    <w:rsid w:val="14D301E8"/>
    <w:rsid w:val="14F4667E"/>
    <w:rsid w:val="151F0024"/>
    <w:rsid w:val="15332B7E"/>
    <w:rsid w:val="155F7DBA"/>
    <w:rsid w:val="158A1175"/>
    <w:rsid w:val="15FD1168"/>
    <w:rsid w:val="1602497B"/>
    <w:rsid w:val="16BB723D"/>
    <w:rsid w:val="16C63581"/>
    <w:rsid w:val="16DC595C"/>
    <w:rsid w:val="16FF3123"/>
    <w:rsid w:val="172941DA"/>
    <w:rsid w:val="177D4FAC"/>
    <w:rsid w:val="17A23E30"/>
    <w:rsid w:val="183C2898"/>
    <w:rsid w:val="18483122"/>
    <w:rsid w:val="185A7AB2"/>
    <w:rsid w:val="189C16FE"/>
    <w:rsid w:val="19116FAB"/>
    <w:rsid w:val="19242A46"/>
    <w:rsid w:val="1967276F"/>
    <w:rsid w:val="19772438"/>
    <w:rsid w:val="19BB5503"/>
    <w:rsid w:val="19CB0143"/>
    <w:rsid w:val="19DD63FD"/>
    <w:rsid w:val="19EA7205"/>
    <w:rsid w:val="19F63DF0"/>
    <w:rsid w:val="1A3103FC"/>
    <w:rsid w:val="1A8D5679"/>
    <w:rsid w:val="1AA4667C"/>
    <w:rsid w:val="1ABA40AC"/>
    <w:rsid w:val="1ABC51F0"/>
    <w:rsid w:val="1AC67F64"/>
    <w:rsid w:val="1B0B4114"/>
    <w:rsid w:val="1B1E1DEE"/>
    <w:rsid w:val="1C001B5E"/>
    <w:rsid w:val="1C9E415A"/>
    <w:rsid w:val="1CED20E8"/>
    <w:rsid w:val="1D1E32B2"/>
    <w:rsid w:val="1D2608C5"/>
    <w:rsid w:val="1D277F90"/>
    <w:rsid w:val="1D432C2A"/>
    <w:rsid w:val="1E2F3EDB"/>
    <w:rsid w:val="1E8077A4"/>
    <w:rsid w:val="1E902C34"/>
    <w:rsid w:val="1E9879BE"/>
    <w:rsid w:val="1EA668F1"/>
    <w:rsid w:val="1ECD292E"/>
    <w:rsid w:val="1ED8346F"/>
    <w:rsid w:val="1EE65BC0"/>
    <w:rsid w:val="1EFC05A0"/>
    <w:rsid w:val="1F712D53"/>
    <w:rsid w:val="1F91659F"/>
    <w:rsid w:val="1FB7399C"/>
    <w:rsid w:val="2048654A"/>
    <w:rsid w:val="204F39E6"/>
    <w:rsid w:val="20800DC2"/>
    <w:rsid w:val="20C25028"/>
    <w:rsid w:val="20D93D6F"/>
    <w:rsid w:val="20DA2EF8"/>
    <w:rsid w:val="20ED4460"/>
    <w:rsid w:val="20F413D9"/>
    <w:rsid w:val="213E5C1E"/>
    <w:rsid w:val="2157139F"/>
    <w:rsid w:val="21716F29"/>
    <w:rsid w:val="219701BC"/>
    <w:rsid w:val="21A61C89"/>
    <w:rsid w:val="21D455EB"/>
    <w:rsid w:val="21DE5162"/>
    <w:rsid w:val="2205431D"/>
    <w:rsid w:val="22285E02"/>
    <w:rsid w:val="22633A26"/>
    <w:rsid w:val="227F1D25"/>
    <w:rsid w:val="228369A7"/>
    <w:rsid w:val="22895EE4"/>
    <w:rsid w:val="228D1389"/>
    <w:rsid w:val="229D44D9"/>
    <w:rsid w:val="22BA1246"/>
    <w:rsid w:val="23803BDC"/>
    <w:rsid w:val="23B826AC"/>
    <w:rsid w:val="240371BF"/>
    <w:rsid w:val="241B161D"/>
    <w:rsid w:val="242E3D06"/>
    <w:rsid w:val="24822019"/>
    <w:rsid w:val="248C7F61"/>
    <w:rsid w:val="24933F2E"/>
    <w:rsid w:val="24A00AB6"/>
    <w:rsid w:val="24A763D8"/>
    <w:rsid w:val="24A77F3F"/>
    <w:rsid w:val="24C10FFB"/>
    <w:rsid w:val="24EA0951"/>
    <w:rsid w:val="252447A8"/>
    <w:rsid w:val="25395453"/>
    <w:rsid w:val="254D6DAE"/>
    <w:rsid w:val="25A44E10"/>
    <w:rsid w:val="25E95BD4"/>
    <w:rsid w:val="26052D83"/>
    <w:rsid w:val="26330B01"/>
    <w:rsid w:val="2658113D"/>
    <w:rsid w:val="265B66A1"/>
    <w:rsid w:val="26705557"/>
    <w:rsid w:val="26982A47"/>
    <w:rsid w:val="26D23598"/>
    <w:rsid w:val="26EC18AA"/>
    <w:rsid w:val="27565C11"/>
    <w:rsid w:val="276F1834"/>
    <w:rsid w:val="277D4939"/>
    <w:rsid w:val="27DC4E9E"/>
    <w:rsid w:val="27E85432"/>
    <w:rsid w:val="281A663F"/>
    <w:rsid w:val="281F4DAA"/>
    <w:rsid w:val="284A79EA"/>
    <w:rsid w:val="28554A67"/>
    <w:rsid w:val="28647284"/>
    <w:rsid w:val="28904A1E"/>
    <w:rsid w:val="292B0827"/>
    <w:rsid w:val="29CD7C87"/>
    <w:rsid w:val="29EA07B4"/>
    <w:rsid w:val="29F74516"/>
    <w:rsid w:val="29FD04D3"/>
    <w:rsid w:val="2A797CCB"/>
    <w:rsid w:val="2AC521C0"/>
    <w:rsid w:val="2AD04DDF"/>
    <w:rsid w:val="2AD07736"/>
    <w:rsid w:val="2B5163B0"/>
    <w:rsid w:val="2B5D03B3"/>
    <w:rsid w:val="2B747C17"/>
    <w:rsid w:val="2B971075"/>
    <w:rsid w:val="2BA549AF"/>
    <w:rsid w:val="2BFB7991"/>
    <w:rsid w:val="2C03285E"/>
    <w:rsid w:val="2C166154"/>
    <w:rsid w:val="2C2439C5"/>
    <w:rsid w:val="2C2E415F"/>
    <w:rsid w:val="2C7C1134"/>
    <w:rsid w:val="2CA33264"/>
    <w:rsid w:val="2CAF2984"/>
    <w:rsid w:val="2D13139A"/>
    <w:rsid w:val="2D545D20"/>
    <w:rsid w:val="2D6C7DF4"/>
    <w:rsid w:val="2DB254D3"/>
    <w:rsid w:val="2DBF24E7"/>
    <w:rsid w:val="2DCB6097"/>
    <w:rsid w:val="2DF02A12"/>
    <w:rsid w:val="2E373206"/>
    <w:rsid w:val="2E3C0949"/>
    <w:rsid w:val="2E416CE9"/>
    <w:rsid w:val="2E6D4BD9"/>
    <w:rsid w:val="2EB06632"/>
    <w:rsid w:val="2EB258B0"/>
    <w:rsid w:val="2F011F6F"/>
    <w:rsid w:val="2F097F41"/>
    <w:rsid w:val="2F1B3093"/>
    <w:rsid w:val="2F2D3A6F"/>
    <w:rsid w:val="2F5523ED"/>
    <w:rsid w:val="2F633513"/>
    <w:rsid w:val="2F7460F0"/>
    <w:rsid w:val="2F7B68F8"/>
    <w:rsid w:val="2FAF3B0F"/>
    <w:rsid w:val="2FAF4757"/>
    <w:rsid w:val="2FB50474"/>
    <w:rsid w:val="2FDF6060"/>
    <w:rsid w:val="30010A69"/>
    <w:rsid w:val="3003348D"/>
    <w:rsid w:val="30327DC2"/>
    <w:rsid w:val="303960B1"/>
    <w:rsid w:val="3059361A"/>
    <w:rsid w:val="30894BD5"/>
    <w:rsid w:val="30905871"/>
    <w:rsid w:val="30F1532F"/>
    <w:rsid w:val="319F7F4E"/>
    <w:rsid w:val="31E51CA1"/>
    <w:rsid w:val="323F3C5C"/>
    <w:rsid w:val="3285203F"/>
    <w:rsid w:val="32881605"/>
    <w:rsid w:val="32DE1E22"/>
    <w:rsid w:val="32E74EA5"/>
    <w:rsid w:val="32FA179E"/>
    <w:rsid w:val="33055B15"/>
    <w:rsid w:val="334D373F"/>
    <w:rsid w:val="339102D7"/>
    <w:rsid w:val="33A9581F"/>
    <w:rsid w:val="33CB3968"/>
    <w:rsid w:val="34476BE1"/>
    <w:rsid w:val="34655C88"/>
    <w:rsid w:val="3533072C"/>
    <w:rsid w:val="35B61E9E"/>
    <w:rsid w:val="35DF4410"/>
    <w:rsid w:val="35E42EB5"/>
    <w:rsid w:val="35FF51A8"/>
    <w:rsid w:val="372565EC"/>
    <w:rsid w:val="37571898"/>
    <w:rsid w:val="379473C2"/>
    <w:rsid w:val="37BB25DC"/>
    <w:rsid w:val="37C44D04"/>
    <w:rsid w:val="37D0644D"/>
    <w:rsid w:val="38167272"/>
    <w:rsid w:val="38384A73"/>
    <w:rsid w:val="38D02817"/>
    <w:rsid w:val="38F8371D"/>
    <w:rsid w:val="38F9683A"/>
    <w:rsid w:val="39001F73"/>
    <w:rsid w:val="39745DDD"/>
    <w:rsid w:val="397D0F62"/>
    <w:rsid w:val="398A463C"/>
    <w:rsid w:val="398A601C"/>
    <w:rsid w:val="39A562BC"/>
    <w:rsid w:val="39AC0147"/>
    <w:rsid w:val="39B35274"/>
    <w:rsid w:val="39C11B45"/>
    <w:rsid w:val="39F958DC"/>
    <w:rsid w:val="3A270226"/>
    <w:rsid w:val="3A54296F"/>
    <w:rsid w:val="3A5B2A0C"/>
    <w:rsid w:val="3AB21618"/>
    <w:rsid w:val="3AB52CB5"/>
    <w:rsid w:val="3AED246C"/>
    <w:rsid w:val="3AF33866"/>
    <w:rsid w:val="3B082387"/>
    <w:rsid w:val="3B2525EF"/>
    <w:rsid w:val="3B3B7E5C"/>
    <w:rsid w:val="3B494774"/>
    <w:rsid w:val="3B6D0AA1"/>
    <w:rsid w:val="3BA86E2B"/>
    <w:rsid w:val="3BEF0CE0"/>
    <w:rsid w:val="3C011A3F"/>
    <w:rsid w:val="3C2362A7"/>
    <w:rsid w:val="3CF52B25"/>
    <w:rsid w:val="3D0658D9"/>
    <w:rsid w:val="3D7D4DB1"/>
    <w:rsid w:val="3DB65664"/>
    <w:rsid w:val="3DE041E3"/>
    <w:rsid w:val="3E1808A7"/>
    <w:rsid w:val="3E2A19A0"/>
    <w:rsid w:val="3E6A6093"/>
    <w:rsid w:val="3E907579"/>
    <w:rsid w:val="3EC47A2C"/>
    <w:rsid w:val="3F5E5763"/>
    <w:rsid w:val="3F931DFC"/>
    <w:rsid w:val="3FC84647"/>
    <w:rsid w:val="40142615"/>
    <w:rsid w:val="40395916"/>
    <w:rsid w:val="404D54F8"/>
    <w:rsid w:val="405B254E"/>
    <w:rsid w:val="405E534A"/>
    <w:rsid w:val="40961DB0"/>
    <w:rsid w:val="40B57A5C"/>
    <w:rsid w:val="415070CD"/>
    <w:rsid w:val="41732C07"/>
    <w:rsid w:val="41DB3D32"/>
    <w:rsid w:val="41DC0473"/>
    <w:rsid w:val="420F3A94"/>
    <w:rsid w:val="426660C5"/>
    <w:rsid w:val="42710CEF"/>
    <w:rsid w:val="4282352A"/>
    <w:rsid w:val="42A36158"/>
    <w:rsid w:val="42B62CDC"/>
    <w:rsid w:val="42BC4EF8"/>
    <w:rsid w:val="42CE11B2"/>
    <w:rsid w:val="42EA77AA"/>
    <w:rsid w:val="43432560"/>
    <w:rsid w:val="43E82373"/>
    <w:rsid w:val="4411543D"/>
    <w:rsid w:val="447E1681"/>
    <w:rsid w:val="44F900F9"/>
    <w:rsid w:val="454331F9"/>
    <w:rsid w:val="4554762C"/>
    <w:rsid w:val="45E4251E"/>
    <w:rsid w:val="46052F59"/>
    <w:rsid w:val="461C592D"/>
    <w:rsid w:val="46391FAF"/>
    <w:rsid w:val="46697DB1"/>
    <w:rsid w:val="467D1D6C"/>
    <w:rsid w:val="46934684"/>
    <w:rsid w:val="46A05E54"/>
    <w:rsid w:val="46AB1B57"/>
    <w:rsid w:val="46B57B7C"/>
    <w:rsid w:val="46FC2345"/>
    <w:rsid w:val="47C8437C"/>
    <w:rsid w:val="47CA3C02"/>
    <w:rsid w:val="47EA40E6"/>
    <w:rsid w:val="488A42F3"/>
    <w:rsid w:val="48CF58C8"/>
    <w:rsid w:val="4A6E7995"/>
    <w:rsid w:val="4B0A6E08"/>
    <w:rsid w:val="4BA11450"/>
    <w:rsid w:val="4BAC3FC3"/>
    <w:rsid w:val="4BAE0D12"/>
    <w:rsid w:val="4BF56302"/>
    <w:rsid w:val="4C211B4C"/>
    <w:rsid w:val="4C6223B0"/>
    <w:rsid w:val="4C6B2990"/>
    <w:rsid w:val="4C8433C6"/>
    <w:rsid w:val="4CD76895"/>
    <w:rsid w:val="4CE961AB"/>
    <w:rsid w:val="4D610D96"/>
    <w:rsid w:val="4D70737C"/>
    <w:rsid w:val="4D7C7C30"/>
    <w:rsid w:val="4DAD6801"/>
    <w:rsid w:val="4DE148BF"/>
    <w:rsid w:val="4E5B00FD"/>
    <w:rsid w:val="4EEE2C1C"/>
    <w:rsid w:val="4F02710B"/>
    <w:rsid w:val="4F3736D6"/>
    <w:rsid w:val="4F645BDB"/>
    <w:rsid w:val="4F882BB0"/>
    <w:rsid w:val="4F8E2738"/>
    <w:rsid w:val="4FD2432E"/>
    <w:rsid w:val="4FEC5BDF"/>
    <w:rsid w:val="50653BD0"/>
    <w:rsid w:val="5098377D"/>
    <w:rsid w:val="50E90DD5"/>
    <w:rsid w:val="51516016"/>
    <w:rsid w:val="518205E0"/>
    <w:rsid w:val="51C90DC7"/>
    <w:rsid w:val="51E07598"/>
    <w:rsid w:val="51FB608D"/>
    <w:rsid w:val="52375CBB"/>
    <w:rsid w:val="52ED6284"/>
    <w:rsid w:val="52F0161B"/>
    <w:rsid w:val="52F92792"/>
    <w:rsid w:val="5330133E"/>
    <w:rsid w:val="53501D79"/>
    <w:rsid w:val="537A115A"/>
    <w:rsid w:val="539C4613"/>
    <w:rsid w:val="53F048C2"/>
    <w:rsid w:val="546C622C"/>
    <w:rsid w:val="54B76DDA"/>
    <w:rsid w:val="54EC5302"/>
    <w:rsid w:val="55811A25"/>
    <w:rsid w:val="55820460"/>
    <w:rsid w:val="559021AA"/>
    <w:rsid w:val="55E5472D"/>
    <w:rsid w:val="55FD5DB1"/>
    <w:rsid w:val="56427B98"/>
    <w:rsid w:val="56E2439D"/>
    <w:rsid w:val="57244B7B"/>
    <w:rsid w:val="573A1E9C"/>
    <w:rsid w:val="577B5106"/>
    <w:rsid w:val="57BD482D"/>
    <w:rsid w:val="57DC6817"/>
    <w:rsid w:val="580C4CB7"/>
    <w:rsid w:val="580C6E46"/>
    <w:rsid w:val="58130942"/>
    <w:rsid w:val="583224B3"/>
    <w:rsid w:val="58A93170"/>
    <w:rsid w:val="58CE1747"/>
    <w:rsid w:val="58F06378"/>
    <w:rsid w:val="59207A11"/>
    <w:rsid w:val="595909E5"/>
    <w:rsid w:val="595C7735"/>
    <w:rsid w:val="59CA6F37"/>
    <w:rsid w:val="5A2B508C"/>
    <w:rsid w:val="5A523D22"/>
    <w:rsid w:val="5A616F50"/>
    <w:rsid w:val="5A716AE6"/>
    <w:rsid w:val="5A7C0E79"/>
    <w:rsid w:val="5A8946AF"/>
    <w:rsid w:val="5A9507BB"/>
    <w:rsid w:val="5AAA757B"/>
    <w:rsid w:val="5AC27908"/>
    <w:rsid w:val="5AEC5B07"/>
    <w:rsid w:val="5AF27F53"/>
    <w:rsid w:val="5B6A30A3"/>
    <w:rsid w:val="5BAA6987"/>
    <w:rsid w:val="5BB74722"/>
    <w:rsid w:val="5BE876B2"/>
    <w:rsid w:val="5BF61737"/>
    <w:rsid w:val="5C4706BC"/>
    <w:rsid w:val="5C8E66B9"/>
    <w:rsid w:val="5CE93525"/>
    <w:rsid w:val="5D451184"/>
    <w:rsid w:val="5D8407E2"/>
    <w:rsid w:val="5DB255EE"/>
    <w:rsid w:val="5DBF0406"/>
    <w:rsid w:val="5DD6583F"/>
    <w:rsid w:val="5E2B6374"/>
    <w:rsid w:val="5F302CF2"/>
    <w:rsid w:val="5F6C0EC6"/>
    <w:rsid w:val="60021079"/>
    <w:rsid w:val="601D6215"/>
    <w:rsid w:val="6036304B"/>
    <w:rsid w:val="6060395B"/>
    <w:rsid w:val="60FC59F9"/>
    <w:rsid w:val="612D391A"/>
    <w:rsid w:val="61492924"/>
    <w:rsid w:val="6166746F"/>
    <w:rsid w:val="62053890"/>
    <w:rsid w:val="62C85D8E"/>
    <w:rsid w:val="632A557F"/>
    <w:rsid w:val="63471F16"/>
    <w:rsid w:val="639F1DD4"/>
    <w:rsid w:val="63C6003A"/>
    <w:rsid w:val="63C77EE3"/>
    <w:rsid w:val="63F450A9"/>
    <w:rsid w:val="63FB034D"/>
    <w:rsid w:val="64134D0F"/>
    <w:rsid w:val="641546C3"/>
    <w:rsid w:val="6426258B"/>
    <w:rsid w:val="64553647"/>
    <w:rsid w:val="645E79E7"/>
    <w:rsid w:val="6460020C"/>
    <w:rsid w:val="64830796"/>
    <w:rsid w:val="648F3F65"/>
    <w:rsid w:val="64C5534B"/>
    <w:rsid w:val="64C656C1"/>
    <w:rsid w:val="6523036B"/>
    <w:rsid w:val="652B6FC3"/>
    <w:rsid w:val="65364B42"/>
    <w:rsid w:val="65BB74D7"/>
    <w:rsid w:val="66AE46D9"/>
    <w:rsid w:val="67073D18"/>
    <w:rsid w:val="672C605B"/>
    <w:rsid w:val="673415C0"/>
    <w:rsid w:val="67755B48"/>
    <w:rsid w:val="67EC215D"/>
    <w:rsid w:val="68087D95"/>
    <w:rsid w:val="6882744A"/>
    <w:rsid w:val="68A72570"/>
    <w:rsid w:val="68B2616B"/>
    <w:rsid w:val="68CD7BC5"/>
    <w:rsid w:val="68EF4A80"/>
    <w:rsid w:val="68F70167"/>
    <w:rsid w:val="69052C05"/>
    <w:rsid w:val="690D0526"/>
    <w:rsid w:val="69472405"/>
    <w:rsid w:val="694C1AA8"/>
    <w:rsid w:val="697543FD"/>
    <w:rsid w:val="697839F2"/>
    <w:rsid w:val="6A680F43"/>
    <w:rsid w:val="6A8A0933"/>
    <w:rsid w:val="6A9C0E28"/>
    <w:rsid w:val="6AB72D9C"/>
    <w:rsid w:val="6AD02018"/>
    <w:rsid w:val="6AFC5784"/>
    <w:rsid w:val="6B1F4ED3"/>
    <w:rsid w:val="6B2335F6"/>
    <w:rsid w:val="6B3D4D20"/>
    <w:rsid w:val="6B7B7EC5"/>
    <w:rsid w:val="6BB75B36"/>
    <w:rsid w:val="6BB84D44"/>
    <w:rsid w:val="6BEB5668"/>
    <w:rsid w:val="6BF02244"/>
    <w:rsid w:val="6C303F33"/>
    <w:rsid w:val="6C58708A"/>
    <w:rsid w:val="6C801A3F"/>
    <w:rsid w:val="6C984DC3"/>
    <w:rsid w:val="6CA5489C"/>
    <w:rsid w:val="6CFB7419"/>
    <w:rsid w:val="6D4D3041"/>
    <w:rsid w:val="6D8A2B7A"/>
    <w:rsid w:val="6D9B5052"/>
    <w:rsid w:val="6DBB20AE"/>
    <w:rsid w:val="6DE62B30"/>
    <w:rsid w:val="6DEE4E76"/>
    <w:rsid w:val="6E163F24"/>
    <w:rsid w:val="6E2D42AC"/>
    <w:rsid w:val="6E304C71"/>
    <w:rsid w:val="6E3B0A6B"/>
    <w:rsid w:val="6EA1500A"/>
    <w:rsid w:val="6EFE2510"/>
    <w:rsid w:val="6F2C7486"/>
    <w:rsid w:val="6F334BED"/>
    <w:rsid w:val="6F363620"/>
    <w:rsid w:val="6F6C2C84"/>
    <w:rsid w:val="701F5A15"/>
    <w:rsid w:val="70202A42"/>
    <w:rsid w:val="70271481"/>
    <w:rsid w:val="70DA03FB"/>
    <w:rsid w:val="71317AA7"/>
    <w:rsid w:val="71541A1E"/>
    <w:rsid w:val="715D377D"/>
    <w:rsid w:val="715F7FC2"/>
    <w:rsid w:val="718D7D96"/>
    <w:rsid w:val="71A4441F"/>
    <w:rsid w:val="71CA0A45"/>
    <w:rsid w:val="727F4DC6"/>
    <w:rsid w:val="72BE6041"/>
    <w:rsid w:val="72CD4700"/>
    <w:rsid w:val="730A29B8"/>
    <w:rsid w:val="734B3BBF"/>
    <w:rsid w:val="73B43629"/>
    <w:rsid w:val="73B5549D"/>
    <w:rsid w:val="73C96F82"/>
    <w:rsid w:val="73E06D80"/>
    <w:rsid w:val="73F07233"/>
    <w:rsid w:val="73F91AF8"/>
    <w:rsid w:val="74085B38"/>
    <w:rsid w:val="741D1FF2"/>
    <w:rsid w:val="74526F13"/>
    <w:rsid w:val="7512378C"/>
    <w:rsid w:val="751B0368"/>
    <w:rsid w:val="75352D39"/>
    <w:rsid w:val="75567C95"/>
    <w:rsid w:val="756D7681"/>
    <w:rsid w:val="757D7217"/>
    <w:rsid w:val="759A0A9A"/>
    <w:rsid w:val="75AD15B0"/>
    <w:rsid w:val="75B26BFF"/>
    <w:rsid w:val="75E868BA"/>
    <w:rsid w:val="763A5241"/>
    <w:rsid w:val="76A6194F"/>
    <w:rsid w:val="76CD4EFB"/>
    <w:rsid w:val="76FE793D"/>
    <w:rsid w:val="779B4687"/>
    <w:rsid w:val="77A95F16"/>
    <w:rsid w:val="77F633C3"/>
    <w:rsid w:val="77FB6A92"/>
    <w:rsid w:val="77FC5039"/>
    <w:rsid w:val="78162AF0"/>
    <w:rsid w:val="78666263"/>
    <w:rsid w:val="78941216"/>
    <w:rsid w:val="78D22BE8"/>
    <w:rsid w:val="790F11B1"/>
    <w:rsid w:val="791046B7"/>
    <w:rsid w:val="7975331B"/>
    <w:rsid w:val="79797F66"/>
    <w:rsid w:val="7988737A"/>
    <w:rsid w:val="79DA7152"/>
    <w:rsid w:val="79E01E9B"/>
    <w:rsid w:val="7A5B4EB3"/>
    <w:rsid w:val="7A8F166F"/>
    <w:rsid w:val="7A9A39A3"/>
    <w:rsid w:val="7B853B8E"/>
    <w:rsid w:val="7B9B783D"/>
    <w:rsid w:val="7BC75526"/>
    <w:rsid w:val="7BF817B5"/>
    <w:rsid w:val="7C56578C"/>
    <w:rsid w:val="7C691409"/>
    <w:rsid w:val="7D471E5B"/>
    <w:rsid w:val="7D59153B"/>
    <w:rsid w:val="7D8F2BD1"/>
    <w:rsid w:val="7DD5474A"/>
    <w:rsid w:val="7E566FBD"/>
    <w:rsid w:val="7E68262D"/>
    <w:rsid w:val="7E9D0959"/>
    <w:rsid w:val="7F4E28B8"/>
    <w:rsid w:val="7F610CDF"/>
    <w:rsid w:val="7F6171A4"/>
    <w:rsid w:val="7FA374D7"/>
    <w:rsid w:val="7FD350D8"/>
    <w:rsid w:val="7FDD10DD"/>
    <w:rsid w:val="DEB29D4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annotation text"/>
    <w:basedOn w:val="1"/>
    <w:semiHidden/>
    <w:unhideWhenUsed/>
    <w:qFormat/>
    <w:uiPriority w:val="99"/>
    <w:pPr>
      <w:jc w:val="left"/>
    </w:p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420" w:left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0"/>
    <w:pPr>
      <w:spacing w:before="100" w:beforeAutospacing="1" w:after="100" w:afterAutospacing="1"/>
    </w:pPr>
  </w:style>
  <w:style w:type="paragraph" w:styleId="16">
    <w:name w:val="Body Text First Indent 2"/>
    <w:basedOn w:val="8"/>
    <w:qFormat/>
    <w:uiPriority w:val="0"/>
    <w:pPr>
      <w:tabs>
        <w:tab w:val="left" w:pos="960"/>
      </w:tabs>
      <w:spacing w:after="0" w:line="540" w:lineRule="exact"/>
      <w:ind w:left="0" w:leftChars="0" w:firstLine="420" w:firstLineChars="200"/>
    </w:pPr>
    <w:rPr>
      <w:rFonts w:ascii="Calibri" w:hAnsi="Calibri" w:eastAsia="宋体" w:cs="Times New Roman"/>
      <w:sz w:val="32"/>
      <w:szCs w:val="32"/>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列出段落1"/>
    <w:basedOn w:val="1"/>
    <w:qFormat/>
    <w:uiPriority w:val="34"/>
    <w:pPr>
      <w:ind w:firstLine="420" w:firstLineChars="200"/>
    </w:pPr>
    <w:rPr>
      <w:rFonts w:ascii="Calibri" w:hAnsi="Calibri" w:eastAsia="宋体" w:cs="Times New Roman"/>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列表段落1"/>
    <w:basedOn w:val="1"/>
    <w:qFormat/>
    <w:uiPriority w:val="34"/>
    <w:pPr>
      <w:ind w:firstLine="420" w:firstLineChars="200"/>
    </w:pPr>
  </w:style>
  <w:style w:type="character" w:customStyle="1" w:styleId="36">
    <w:name w:val="标题 2 字符"/>
    <w:basedOn w:val="18"/>
    <w:link w:val="4"/>
    <w:qFormat/>
    <w:locked/>
    <w:uiPriority w:val="9"/>
    <w:rPr>
      <w:rFonts w:ascii="Cambria" w:hAnsi="Cambria" w:eastAsia="宋体" w:cs="Times New Roman"/>
      <w:b/>
      <w:bCs/>
      <w:kern w:val="2"/>
      <w:sz w:val="32"/>
      <w:szCs w:val="32"/>
    </w:rPr>
  </w:style>
  <w:style w:type="character" w:customStyle="1" w:styleId="37">
    <w:name w:val="标题 1 字符"/>
    <w:basedOn w:val="18"/>
    <w:link w:val="3"/>
    <w:qFormat/>
    <w:locked/>
    <w:uiPriority w:val="9"/>
    <w:rPr>
      <w:rFonts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B78A8-CECF-4704-8E09-F5F882B437A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8055</Words>
  <Characters>8609</Characters>
  <Lines>62</Lines>
  <Paragraphs>17</Paragraphs>
  <TotalTime>6</TotalTime>
  <ScaleCrop>false</ScaleCrop>
  <LinksUpToDate>false</LinksUpToDate>
  <CharactersWithSpaces>8674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2019-08-01T09:14:00Z</dcterms:created>
  <dc:creator>张彬茜</dc:creator>
  <cp:lastModifiedBy>user</cp:lastModifiedBy>
  <cp:lastPrinted>2019-08-01T08:48:00Z</cp:lastPrinted>
  <dcterms:modified xsi:type="dcterms:W3CDTF">2026-10-20T19:22:58Z</dcterms:modified>
  <dc:title>四川省***</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B8325BD47A14481F889526821AB4EA5A</vt:lpwstr>
  </property>
</Properties>
</file>