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8441"/>
      <w:bookmarkStart w:id="3" w:name="_Toc15377425"/>
      <w:bookmarkStart w:id="4" w:name="_Toc15377193"/>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rPr>
      </w:pPr>
      <w:bookmarkStart w:id="6" w:name="_Toc15378442"/>
      <w:bookmarkStart w:id="7" w:name="_Toc15396598"/>
      <w:bookmarkStart w:id="8" w:name="_Toc15377194"/>
      <w:bookmarkStart w:id="9" w:name="_Toc15377426"/>
      <w:bookmarkStart w:id="10" w:name="_Toc1539647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eastAsia="zh-CN"/>
        </w:rPr>
        <w:t>壤塘县上壤塘乡</w:t>
      </w:r>
      <w:r>
        <w:rPr>
          <w:rFonts w:hint="eastAsia" w:ascii="方正小标宋简体" w:eastAsia="方正小标宋简体"/>
          <w:sz w:val="72"/>
          <w:szCs w:val="72"/>
          <w:lang w:val="en-US" w:eastAsia="zh-CN"/>
        </w:rPr>
        <w:t>人民政府</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hint="eastAsia" w:ascii="方正小标宋简体" w:eastAsia="方正小标宋简体"/>
          <w:sz w:val="72"/>
          <w:szCs w:val="72"/>
          <w:lang w:val="en-US" w:eastAsia="zh-CN"/>
        </w:rPr>
      </w:pPr>
      <w:r>
        <w:rPr>
          <w:rFonts w:hint="eastAsia" w:ascii="方正小标宋简体" w:eastAsia="方正小标宋简体"/>
          <w:sz w:val="72"/>
          <w:szCs w:val="72"/>
          <w:lang w:eastAsia="zh-CN"/>
        </w:rPr>
        <w:t>公开</w:t>
      </w:r>
    </w:p>
    <w:p>
      <w:pPr>
        <w:widowControl/>
        <w:jc w:val="center"/>
        <w:rPr>
          <w:rFonts w:hint="eastAsia" w:ascii="方正小标宋简体" w:hAnsi="宋体" w:eastAsia="方正小标宋简体"/>
          <w:color w:val="000000"/>
          <w:sz w:val="36"/>
          <w:szCs w:val="36"/>
          <w:lang w:val="en-US" w:eastAsia="zh-CN"/>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4"/>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10</w:t>
      </w:r>
      <w:r>
        <w:rPr>
          <w:rFonts w:hint="eastAsia" w:hAnsiTheme="minorHAnsi"/>
          <w:b w:val="0"/>
          <w:bCs w:val="0"/>
          <w:sz w:val="24"/>
          <w:szCs w:val="24"/>
        </w:rPr>
        <w:t xml:space="preserve"> 月</w:t>
      </w:r>
      <w:r>
        <w:rPr>
          <w:rFonts w:hint="eastAsia" w:hAnsiTheme="minorHAnsi"/>
          <w:b w:val="0"/>
          <w:bCs w:val="0"/>
          <w:sz w:val="24"/>
          <w:szCs w:val="24"/>
          <w:lang w:val="en-US" w:eastAsia="zh-CN"/>
        </w:rPr>
        <w:t>20</w:t>
      </w:r>
      <w:r>
        <w:rPr>
          <w:rFonts w:hint="eastAsia" w:hAnsiTheme="minorHAnsi"/>
          <w:b w:val="0"/>
          <w:bCs w:val="0"/>
          <w:sz w:val="24"/>
          <w:szCs w:val="24"/>
        </w:rPr>
        <w:t xml:space="preserve"> 日</w:t>
      </w:r>
    </w:p>
    <w:p>
      <w:pPr>
        <w:pStyle w:val="14"/>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5</w:t>
      </w:r>
    </w:p>
    <w:p>
      <w:pPr>
        <w:pStyle w:val="18"/>
        <w:tabs>
          <w:tab w:val="right" w:leader="dot" w:pos="8296"/>
        </w:tabs>
        <w:rPr>
          <w:rFonts w:hint="eastAsia" w:hAnsiTheme="minorHAnsi" w:eastAsiaTheme="minorHAnsi" w:cstheme="minorBidi"/>
          <w:smallCaps w:val="0"/>
          <w:sz w:val="21"/>
          <w:szCs w:val="22"/>
          <w:lang w:val="en-US"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5</w:t>
      </w:r>
    </w:p>
    <w:p>
      <w:pPr>
        <w:pStyle w:val="9"/>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（一）主要职能。</w:t>
      </w:r>
      <w:r>
        <w:tab/>
      </w:r>
      <w:r>
        <w:rPr>
          <w:rFonts w:hint="eastAsia"/>
          <w:lang w:val="en-US" w:eastAsia="zh-CN"/>
        </w:rPr>
        <w:t>5</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Cs/>
          <w:color w:val="000000"/>
        </w:rPr>
        <w:t>（二）2020年重点工作完成情况。</w:t>
      </w:r>
      <w:r>
        <w:tab/>
      </w:r>
      <w:r>
        <w:rPr>
          <w:rFonts w:hint="eastAsia"/>
          <w:lang w:val="en-US" w:eastAsia="zh-CN"/>
        </w:rPr>
        <w:t>15</w:t>
      </w:r>
    </w:p>
    <w:p>
      <w:pPr>
        <w:pStyle w:val="18"/>
        <w:tabs>
          <w:tab w:val="right" w:leader="dot" w:pos="8296"/>
        </w:tabs>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pPr>
        <w:pStyle w:val="18"/>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18</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18</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19</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20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20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21</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21</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21</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25</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26</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（一）“三公”经费财政拨款支出决算总体情况说明</w:t>
      </w:r>
      <w:r>
        <w:tab/>
      </w:r>
      <w:r>
        <w:rPr>
          <w:rFonts w:hint="eastAsia"/>
          <w:lang w:val="en-US" w:eastAsia="zh-CN"/>
        </w:rPr>
        <w:t>26</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26</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27</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27</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27</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28</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（二）政府采购支出情况</w:t>
      </w:r>
      <w:r>
        <w:tab/>
      </w:r>
      <w:r>
        <w:rPr>
          <w:rFonts w:hint="eastAsia"/>
          <w:lang w:val="en-US" w:eastAsia="zh-CN"/>
        </w:rPr>
        <w:t>28</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28</w:t>
      </w:r>
    </w:p>
    <w:p>
      <w:pPr>
        <w:pStyle w:val="9"/>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28</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35</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38</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38</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上壤塘乡人民政府</w:t>
      </w:r>
      <w:r>
        <w:rPr>
          <w:rFonts w:ascii="方正小标宋简体" w:hAnsi="黑体" w:eastAsia="方正小标宋简体" w:cs="黑体"/>
        </w:rPr>
        <w:t>部门2020年部门整体支出绩效评价报告</w:t>
      </w:r>
      <w:r>
        <w:tab/>
      </w:r>
      <w:r>
        <w:rPr>
          <w:rFonts w:hint="eastAsia"/>
          <w:lang w:val="en-US" w:eastAsia="zh-CN"/>
        </w:rPr>
        <w:t>41</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附件2</w:t>
      </w:r>
      <w:r>
        <w:tab/>
      </w:r>
      <w:r>
        <w:rPr>
          <w:rFonts w:hint="eastAsia"/>
          <w:lang w:val="en-US" w:eastAsia="zh-CN"/>
        </w:rPr>
        <w:t>41</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康垄村小桥等</w:t>
      </w:r>
      <w:r>
        <w:rPr>
          <w:rFonts w:ascii="方正小标宋简体" w:hAnsi="黑体" w:eastAsia="方正小标宋简体" w:cs="黑体"/>
        </w:rPr>
        <w:t>项目2020年绩效评价报告</w:t>
      </w:r>
      <w:r>
        <w:tab/>
      </w:r>
      <w:r>
        <w:rPr>
          <w:rFonts w:hint="eastAsia"/>
          <w:lang w:val="en-US" w:eastAsia="zh-CN"/>
        </w:rPr>
        <w:t>41</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44</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45</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45</w:t>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6"/>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7"/>
          <w:rFonts w:ascii="仿宋" w:hAnsi="仿宋" w:eastAsia="仿宋"/>
          <w:b w:val="0"/>
          <w:bCs w:val="0"/>
        </w:rPr>
      </w:pPr>
      <w:bookmarkStart w:id="16" w:name="_Toc79163602"/>
      <w:bookmarkStart w:id="17" w:name="_Toc15377197"/>
      <w:bookmarkStart w:id="18" w:name="_Toc15396600"/>
      <w:bookmarkStart w:id="19" w:name="_Toc7916385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6"/>
      <w:bookmarkEnd w:id="17"/>
      <w:bookmarkEnd w:id="18"/>
      <w:bookmarkEnd w:id="19"/>
    </w:p>
    <w:p>
      <w:pPr>
        <w:pStyle w:val="7"/>
        <w:pageBreakBefore w:val="0"/>
        <w:widowControl w:val="0"/>
        <w:kinsoku/>
        <w:wordWrap/>
        <w:overflowPunct/>
        <w:topLinePunct w:val="0"/>
        <w:autoSpaceDE/>
        <w:autoSpaceDN/>
        <w:bidi w:val="0"/>
        <w:adjustRightInd w:val="0"/>
        <w:snapToGrid w:val="0"/>
        <w:spacing w:beforeLines="0" w:line="560" w:lineRule="exact"/>
        <w:ind w:firstLine="674" w:firstLineChars="210"/>
        <w:textAlignment w:val="auto"/>
        <w:outlineLvl w:val="2"/>
        <w:rPr>
          <w:rFonts w:ascii="仿宋" w:hAnsi="仿宋" w:eastAsia="仿宋"/>
          <w:bCs/>
          <w:color w:val="000000"/>
          <w:sz w:val="32"/>
          <w:szCs w:val="32"/>
        </w:rPr>
      </w:pPr>
      <w:bookmarkStart w:id="20" w:name="_Toc79163853"/>
      <w:bookmarkStart w:id="21" w:name="_Toc79163603"/>
      <w:bookmarkStart w:id="22" w:name="_Toc15377198"/>
      <w:bookmarkStart w:id="23" w:name="_Toc15378445"/>
      <w:r>
        <w:rPr>
          <w:rFonts w:hint="eastAsia" w:ascii="楷体" w:hAnsi="楷体" w:eastAsia="楷体" w:cs="楷体"/>
          <w:b/>
          <w:bCs w:val="0"/>
          <w:color w:val="000000"/>
          <w:sz w:val="32"/>
          <w:szCs w:val="32"/>
        </w:rPr>
        <w:t>（一）主要职能。</w:t>
      </w:r>
      <w:bookmarkEnd w:id="20"/>
      <w:bookmarkEnd w:id="21"/>
    </w:p>
    <w:bookmarkEnd w:id="22"/>
    <w:bookmarkEnd w:id="23"/>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lang w:val="en-US" w:eastAsia="zh-CN"/>
        </w:rPr>
      </w:pPr>
      <w:bookmarkStart w:id="24" w:name="_Toc79163604"/>
      <w:bookmarkStart w:id="25" w:name="_Toc15377199"/>
      <w:bookmarkStart w:id="26" w:name="_Toc79163854"/>
      <w:bookmarkStart w:id="27" w:name="_Toc15378446"/>
      <w:r>
        <w:rPr>
          <w:rFonts w:hint="eastAsia" w:ascii="仿宋_GB2312" w:eastAsia="仿宋_GB2312"/>
          <w:b/>
          <w:bCs/>
          <w:sz w:val="32"/>
          <w:szCs w:val="32"/>
          <w:lang w:val="en-US" w:eastAsia="zh-CN"/>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根据</w:t>
      </w:r>
      <w:r>
        <w:rPr>
          <w:rFonts w:hint="eastAsia" w:ascii="仿宋_GB2312" w:eastAsia="仿宋_GB2312"/>
          <w:sz w:val="32"/>
          <w:szCs w:val="32"/>
          <w:lang w:eastAsia="zh-CN"/>
        </w:rPr>
        <w:t>《</w:t>
      </w:r>
      <w:r>
        <w:rPr>
          <w:rFonts w:hint="eastAsia" w:ascii="仿宋_GB2312" w:eastAsia="仿宋_GB2312"/>
          <w:sz w:val="32"/>
          <w:szCs w:val="32"/>
          <w:lang w:val="en-US" w:eastAsia="zh-CN"/>
        </w:rPr>
        <w:t>四川省人民政府关于同意阿坝州调整阿坝县等6个县部分乡镇行政区划的批复</w:t>
      </w:r>
      <w:r>
        <w:rPr>
          <w:rFonts w:hint="eastAsia" w:ascii="仿宋_GB2312" w:eastAsia="仿宋_GB2312"/>
          <w:sz w:val="32"/>
          <w:szCs w:val="32"/>
          <w:lang w:eastAsia="zh-CN"/>
        </w:rPr>
        <w:t>》（</w:t>
      </w:r>
      <w:r>
        <w:rPr>
          <w:rFonts w:hint="eastAsia" w:ascii="仿宋_GB2312" w:eastAsia="仿宋_GB2312"/>
          <w:sz w:val="32"/>
          <w:szCs w:val="32"/>
          <w:lang w:val="en-US" w:eastAsia="zh-CN"/>
        </w:rPr>
        <w:t>川府民政【2020】6号</w:t>
      </w:r>
      <w:r>
        <w:rPr>
          <w:rFonts w:hint="eastAsia" w:ascii="仿宋_GB2312" w:eastAsia="仿宋_GB2312"/>
          <w:sz w:val="32"/>
          <w:szCs w:val="32"/>
          <w:lang w:eastAsia="zh-CN"/>
        </w:rPr>
        <w:t>）、《</w:t>
      </w:r>
      <w:r>
        <w:rPr>
          <w:rFonts w:hint="eastAsia" w:ascii="仿宋_GB2312" w:eastAsia="仿宋_GB2312"/>
          <w:sz w:val="32"/>
          <w:szCs w:val="32"/>
          <w:lang w:val="en-US" w:eastAsia="zh-CN"/>
        </w:rPr>
        <w:t>阿坝州乡镇机构改革实施意见</w:t>
      </w:r>
      <w:r>
        <w:rPr>
          <w:rFonts w:hint="eastAsia" w:ascii="仿宋_GB2312" w:eastAsia="仿宋_GB2312"/>
          <w:sz w:val="32"/>
          <w:szCs w:val="32"/>
          <w:lang w:eastAsia="zh-CN"/>
        </w:rPr>
        <w:t>》（</w:t>
      </w:r>
      <w:r>
        <w:rPr>
          <w:rFonts w:hint="eastAsia" w:ascii="仿宋_GB2312" w:eastAsia="仿宋_GB2312"/>
          <w:sz w:val="32"/>
          <w:szCs w:val="32"/>
          <w:lang w:val="en-US" w:eastAsia="zh-CN"/>
        </w:rPr>
        <w:t>阿编办【2019】152号</w:t>
      </w:r>
      <w:r>
        <w:rPr>
          <w:rFonts w:hint="eastAsia" w:ascii="仿宋_GB2312" w:eastAsia="仿宋_GB2312"/>
          <w:sz w:val="32"/>
          <w:szCs w:val="32"/>
          <w:lang w:eastAsia="zh-CN"/>
        </w:rPr>
        <w:t>）</w:t>
      </w:r>
      <w:r>
        <w:rPr>
          <w:rFonts w:hint="eastAsia" w:ascii="仿宋_GB2312" w:eastAsia="仿宋_GB2312"/>
          <w:sz w:val="32"/>
          <w:szCs w:val="32"/>
          <w:lang w:val="en-US" w:eastAsia="zh-CN"/>
        </w:rPr>
        <w:t>和《壤塘县乡镇机构改革方案》</w:t>
      </w:r>
      <w:r>
        <w:rPr>
          <w:rFonts w:hint="eastAsia" w:ascii="仿宋_GB2312" w:eastAsia="仿宋_GB2312"/>
          <w:sz w:val="32"/>
          <w:szCs w:val="32"/>
          <w:lang w:eastAsia="zh-CN"/>
        </w:rPr>
        <w:t>（</w:t>
      </w:r>
      <w:r>
        <w:rPr>
          <w:rFonts w:hint="eastAsia" w:ascii="仿宋_GB2312" w:eastAsia="仿宋_GB2312"/>
          <w:sz w:val="32"/>
          <w:szCs w:val="32"/>
          <w:lang w:val="en-US" w:eastAsia="zh-CN"/>
        </w:rPr>
        <w:t>壤委办【2020】58号</w:t>
      </w:r>
      <w:r>
        <w:rPr>
          <w:rFonts w:hint="eastAsia" w:ascii="仿宋_GB2312" w:eastAsia="仿宋_GB2312"/>
          <w:sz w:val="32"/>
          <w:szCs w:val="32"/>
          <w:lang w:eastAsia="zh-CN"/>
        </w:rPr>
        <w:t>），</w:t>
      </w:r>
      <w:r>
        <w:rPr>
          <w:rFonts w:hint="eastAsia" w:ascii="仿宋_GB2312" w:eastAsia="仿宋_GB2312"/>
          <w:sz w:val="32"/>
          <w:szCs w:val="32"/>
          <w:lang w:val="en-US" w:eastAsia="zh-CN"/>
        </w:rPr>
        <w:t>制定本规定：</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 xml:space="preserve">第二条  </w:t>
      </w:r>
      <w:r>
        <w:rPr>
          <w:rFonts w:hint="eastAsia" w:ascii="仿宋_GB2312" w:eastAsia="仿宋_GB2312"/>
          <w:b w:val="0"/>
          <w:bCs w:val="0"/>
          <w:sz w:val="32"/>
          <w:szCs w:val="32"/>
          <w:lang w:val="en-US" w:eastAsia="zh-CN"/>
        </w:rPr>
        <w:t>中国共产党壤塘县上壤塘乡委员会（简称上壤塘乡党委）是乡各种组织、县级部门延伸机构和各项工作的领导核心，全面领导本乡政治、经济、文化、社会、生态文明建设，对本乡党的建设全面负责。壤塘县上壤塘乡人民政府（简称上壤塘乡政府）是我国最基层的行政机关，是党和政府联系人民群众的桥梁和纽带，依法行使行政职权。</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 xml:space="preserve">第三条  </w:t>
      </w:r>
      <w:r>
        <w:rPr>
          <w:rFonts w:hint="eastAsia" w:ascii="仿宋_GB2312" w:eastAsia="仿宋_GB2312"/>
          <w:b w:val="0"/>
          <w:bCs w:val="0"/>
          <w:sz w:val="32"/>
          <w:szCs w:val="32"/>
          <w:lang w:val="en-US" w:eastAsia="zh-CN"/>
        </w:rPr>
        <w:t>乡党委、政府主要职责是：</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sz w:val="32"/>
          <w:szCs w:val="32"/>
        </w:rPr>
      </w:pPr>
      <w:r>
        <w:rPr>
          <w:rFonts w:hint="eastAsia" w:ascii="仿宋_GB2312" w:eastAsia="仿宋_GB2312"/>
          <w:b/>
          <w:sz w:val="32"/>
          <w:szCs w:val="32"/>
        </w:rPr>
        <w:t>（一）乡党委主要职责</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1.认真贯彻执行党中央和上级组织的指示，积极宣传贯彻执行党的路线、方针、政策；</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2.建立必要的学习制度，抓好领导班子的学习，使党委领导成员深刻领会党的路线、方针、政策的精神实质；</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3.紧密联系本乡实际，认真倾听各方面的意见，周密地制定出贯彻执行党中央和上级党组织指示的实施方案和具体措施；</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4.做好督促、检查工作，使党的路线、方针、政策得到切实地贯彻执行；</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5、保证上级党委政府指示在本乡的实施，把握本乡经济发展和改革的全局；</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6.负责对本乡的重大问题提出决策，保证各项社会发展和经济发展规划、措施符合党的路线、方针、政策及经济发展规律；</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7.按照</w:t>
      </w:r>
      <w:r>
        <w:rPr>
          <w:rFonts w:hint="eastAsia" w:ascii="仿宋_GB2312" w:eastAsia="仿宋_GB2312"/>
          <w:color w:val="auto"/>
          <w:sz w:val="32"/>
          <w:szCs w:val="32"/>
        </w:rPr>
        <w:t>干部“四化”方针，</w:t>
      </w:r>
      <w:r>
        <w:rPr>
          <w:rFonts w:hint="eastAsia" w:ascii="仿宋_GB2312" w:eastAsia="仿宋_GB2312"/>
          <w:sz w:val="32"/>
          <w:szCs w:val="32"/>
        </w:rPr>
        <w:t>加强对干部的管理、教育、培养，向上级组织推荐德才兼备的优秀干部；</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8.充分发挥领导核心作用，积极主动地做好班子间的协调工作，使班子成员团结、协作、勤政为民；</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9.认真搞好发展党员、教育党员、管理党员的工作，切实加强对乡、村支部的领导、监督和检查工作，充分发挥其作用；</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10.加强乡党委领导班子建设，要重点抓好思想建设、组织建设、作风建设、制度建设和廉政建设；</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11.运用行政和法律手段，有效维护社会治安；</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加强统战、民族宗教、寺庙等工作的管理</w:t>
      </w:r>
      <w:r>
        <w:rPr>
          <w:rFonts w:hint="eastAsia" w:ascii="仿宋_GB2312" w:eastAsia="仿宋_GB2312"/>
          <w:sz w:val="32"/>
          <w:szCs w:val="32"/>
          <w:lang w:eastAsia="zh-CN"/>
        </w:rPr>
        <w:t>；</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13.领导乡人大、武装部、政法及群团组织工作。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sz w:val="32"/>
          <w:szCs w:val="32"/>
        </w:rPr>
      </w:pPr>
      <w:r>
        <w:rPr>
          <w:rFonts w:hint="eastAsia" w:ascii="仿宋_GB2312" w:eastAsia="仿宋_GB2312"/>
          <w:b/>
          <w:sz w:val="32"/>
          <w:szCs w:val="32"/>
        </w:rPr>
        <w:t>（二）乡人大主席团主要职责</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1.检查宪法、法律、法规及本级人民代表大会和上级人民代表大会及常务委员会的决议、决定在本行政区域内的遵守和执行情况；</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2.听取本级人民政府的工作汇报，提出意见和建议，调查研究本行政区域内的重大问题；</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3.审查本级人民政府对本级人民代表大会通过的财政预算的部分变更，并向下次代表大会报告；</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4.将代表向人民代表大会提出的议案和对各方面工作的建议、意见和批评交有关机关或组织研究处理，督促有关机关或组织将办理情况答复代表；</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5.受理人民群众对本级人民政府和国家工作人员的申诉和意见；</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6.召集选民依法罢免、补选本级人民代表大会代表和本选区的县级人民代表大会代表；</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7.办理上级人民代表大会常务委员会交办的其他事项。</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sz w:val="32"/>
          <w:szCs w:val="32"/>
        </w:rPr>
      </w:pPr>
      <w:r>
        <w:rPr>
          <w:rFonts w:hint="eastAsia" w:ascii="仿宋_GB2312" w:eastAsia="仿宋_GB2312"/>
          <w:b/>
          <w:sz w:val="32"/>
          <w:szCs w:val="32"/>
        </w:rPr>
        <w:t>（三）乡人民政府主要职责</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1.执行本级人民代表大会的决议和上级国家行政机关的决定和命令，在辖区内发布决定和命令；</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2.按照国家宪法和法律，行使对本辖区内的行政及民政事务的管理,推进计划生育工作；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3.制定本乡的经济和社会发展规划，并组织实施；组织和领导行政经济体制改革，协调本行政区域村民委员会与各经济组织之间的关系；</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4.组织规划乡财政管理的各项收入，管理乡范围内的各项财政支出和行政筹集、分配和使用的资金；</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5.负责管理对外经济技术交流与合作，开展经济信息预测工作，推广科学技术成果；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6.对本乡各项社会建设进行宏观管理，抓好环境卫生整治工作；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7.加强基本农田水利建设和道路、桥梁等的建设，加强土地的统一管理、统筹规划，协助有关部门做好地质灾害的防治工作;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8.负责农村土地承包管理、农民负担监督管理、农村集体资产财务管理；</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9.组织和开展社会主义精神文明活动，正确调解和处理人民内部矛盾，认真调解民事纠纷；</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充分发挥行政职能，组织和开展本乡的文化、教育、卫生、民政和科技等工作；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11.根据经济发展需要，建立经济、技术咨询服务机构，向经济组织和农牧民提供全面服务。</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在乡党委的领导下做好民族宗教、寺庙的管理等工作。</w:t>
      </w:r>
    </w:p>
    <w:p>
      <w:pPr>
        <w:pageBreakBefore w:val="0"/>
        <w:widowControl w:val="0"/>
        <w:kinsoku/>
        <w:wordWrap/>
        <w:overflowPunct/>
        <w:topLinePunct w:val="0"/>
        <w:autoSpaceDE/>
        <w:autoSpaceDN/>
        <w:bidi w:val="0"/>
        <w:spacing w:line="560" w:lineRule="exact"/>
        <w:ind w:firstLine="481" w:firstLineChars="150"/>
        <w:textAlignment w:val="auto"/>
        <w:rPr>
          <w:rFonts w:hint="eastAsia" w:ascii="仿宋_GB2312" w:eastAsia="仿宋_GB2312"/>
          <w:b/>
          <w:sz w:val="32"/>
          <w:szCs w:val="32"/>
        </w:rPr>
      </w:pPr>
      <w:r>
        <w:rPr>
          <w:rFonts w:hint="eastAsia" w:ascii="仿宋_GB2312" w:eastAsia="仿宋_GB2312"/>
          <w:b/>
          <w:sz w:val="32"/>
          <w:szCs w:val="32"/>
        </w:rPr>
        <w:t>（四）乡纪委主要职责</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1.负责全乡党的纪律检查工作。认真贯彻落实州、县纪委关于加强党风廉政建设的决定，维护党的章程和其他党内法规，检查党的路线、方针、政策和决议的执行情况；</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2.负责贯彻落实党中央、省、州和县委、县政府有关行政监察工作的决定，监督检查乡政府及其负责人执行国家政策和法律法规、国民经济和社会发展计划及县政府发布的决议和命令，保证政令畅通；</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3.负责调查处理全乡党的组织和党员领导干部违反党的章程及其他党内法规的案件，认真受理群众来信来访；</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4.负责配合有关部门调查处理乡政府及其主要负责人违反国家法律、法规、政策及政纪的行为；</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5.按照上级党委和县委的要求，组织制定全乡党风党纪教育规划，配合有关部门做好党的纪检工作方针、政策的宣传工作和对党员遵守纪律的教育工作；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6.会同有关部门做好行政监察工作的方针、政策和法律、法规的宣传工作，教育机关工作人员和公务员遵纪守法，为政清廉；</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7.承办县委、县政府、县纪委、县监察局以及乡党委、政府交办的其他工作。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sz w:val="32"/>
          <w:szCs w:val="32"/>
        </w:rPr>
      </w:pPr>
      <w:r>
        <w:rPr>
          <w:rFonts w:hint="eastAsia" w:ascii="仿宋_GB2312" w:eastAsia="仿宋_GB2312"/>
          <w:b/>
          <w:sz w:val="32"/>
          <w:szCs w:val="32"/>
        </w:rPr>
        <w:t>（五）乡武装部主要职责</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1.认真贯彻党管武装的原则，做好民兵的组织建设和思想建设，做好民兵训练和民兵整组工作；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2.组织民兵积极参加社会主义两个文明建设，组织民兵维护社会治安，维护公共秩序和抢险救灾；</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3.协助有关部门做好征兵工作,复员、退伍军人的安置工作，搞好军烈属、复员退休军人的优抚工作；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.深入实际，调查研究，及时解决基层民主队伍中的新问题，加强对基层民兵组织的领导，研究和探索民兵建设中的新问题、新方法，抓好民兵的思想政治工作；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.承办领导临时交办的其他任务。</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6.完成法律、法规、规章规定和上级交办的其他事项。</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第四条</w:t>
      </w:r>
      <w:r>
        <w:rPr>
          <w:rFonts w:hint="eastAsia" w:ascii="仿宋_GB2312" w:eastAsia="仿宋_GB2312"/>
          <w:sz w:val="32"/>
          <w:szCs w:val="32"/>
          <w:lang w:val="en-US" w:eastAsia="zh-CN"/>
        </w:rPr>
        <w:t xml:space="preserve">  党政综合办事机构设置如下：</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sz w:val="32"/>
          <w:szCs w:val="32"/>
        </w:rPr>
      </w:pPr>
      <w:r>
        <w:rPr>
          <w:rFonts w:hint="eastAsia" w:ascii="仿宋_GB2312" w:eastAsia="仿宋_GB2312"/>
          <w:b/>
          <w:sz w:val="32"/>
          <w:szCs w:val="32"/>
        </w:rPr>
        <w:t>（一）党政办公室（挂乡群众工作办公室和综治维稳办公室牌子</w:t>
      </w:r>
      <w:r>
        <w:rPr>
          <w:rFonts w:hint="eastAsia" w:ascii="仿宋_GB2312" w:eastAsia="仿宋_GB2312"/>
          <w:sz w:val="32"/>
          <w:szCs w:val="32"/>
        </w:rPr>
        <w:t>）</w:t>
      </w:r>
      <w:r>
        <w:rPr>
          <w:rFonts w:hint="eastAsia" w:ascii="仿宋_GB2312" w:eastAsia="仿宋_GB2312"/>
          <w:b/>
          <w:sz w:val="32"/>
          <w:szCs w:val="32"/>
        </w:rPr>
        <w:t>主要职责</w:t>
      </w: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1.负责乡党委、人大、政府的日常政事务，做好组织、人事（老干）、宣传、纪检监察、信访、稳定、武装、综治、文秘、工会、共青团、妇联、民政、计划、科协等工作； </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hAnsi="ˎ̥" w:eastAsia="仿宋_GB2312"/>
          <w:sz w:val="32"/>
          <w:szCs w:val="32"/>
        </w:rPr>
        <w:t>2.承办上级部门文件的收发登记、拟办送阅督办工作和乡党委、人大、政府文件报告的起草、审核及上报、下发工作，</w:t>
      </w:r>
      <w:r>
        <w:rPr>
          <w:rFonts w:hint="eastAsia" w:ascii="仿宋_GB2312" w:eastAsia="仿宋_GB2312"/>
          <w:sz w:val="32"/>
          <w:szCs w:val="32"/>
        </w:rPr>
        <w:t>组织草拟综合性报告、政策性文件；</w:t>
      </w:r>
    </w:p>
    <w:p>
      <w:pPr>
        <w:pageBreakBefore w:val="0"/>
        <w:widowControl w:val="0"/>
        <w:kinsoku/>
        <w:wordWrap/>
        <w:overflowPunct/>
        <w:topLinePunct w:val="0"/>
        <w:autoSpaceDE/>
        <w:autoSpaceDN/>
        <w:bidi w:val="0"/>
        <w:spacing w:line="560"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 xml:space="preserve">3.负责乡党委、人大、政府各种会议的准备、记录工作，协助乡领导组织会议并对会议决定事项进行督促落实； </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hAnsi="ˎ̥" w:eastAsia="仿宋_GB2312"/>
          <w:sz w:val="32"/>
          <w:szCs w:val="32"/>
        </w:rPr>
        <w:t>4.负责群众的来访接待，协助领导处理信访案件，抓好对外宣传、信息的收集、报送等工作；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hAnsi="ˎ̥" w:eastAsia="仿宋_GB2312"/>
          <w:sz w:val="32"/>
          <w:szCs w:val="32"/>
        </w:rPr>
        <w:t>6.负责党员的教育、管理、基层组织建设工作，承办党员年报、党费收缴及党报党刊的征订发行工作；做好对纪检案件的查办工作；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7.承办机关干部的政治学习、机关考勤、公务员考核工作；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8.负责乡人武部各项日常工作及正规化建设工作；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9.负责人大年度和阶段性工作安排及筹备组织人大有关会议事宜，搞好人大档案管理和代表联络工作；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hAnsi="ˎ̥" w:eastAsia="仿宋_GB2312"/>
          <w:sz w:val="32"/>
          <w:szCs w:val="32"/>
        </w:rPr>
        <w:t>10.</w:t>
      </w:r>
      <w:r>
        <w:rPr>
          <w:rFonts w:hint="eastAsia" w:ascii="仿宋_GB2312" w:eastAsia="仿宋_GB2312"/>
          <w:sz w:val="32"/>
          <w:szCs w:val="32"/>
        </w:rPr>
        <w:t>组织落实辖区单位综合治理责任制和考核验收工作.在党委、政府的领导下抓好纪检监察工作、工会、妇联、共青团等群团工作和统战、民族宗教、寺庙管理、关心下一代等工作；</w:t>
      </w:r>
    </w:p>
    <w:p>
      <w:pPr>
        <w:pageBreakBefore w:val="0"/>
        <w:widowControl w:val="0"/>
        <w:kinsoku/>
        <w:wordWrap/>
        <w:overflowPunct/>
        <w:topLinePunct w:val="0"/>
        <w:autoSpaceDE/>
        <w:autoSpaceDN/>
        <w:bidi w:val="0"/>
        <w:spacing w:line="560"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11</w:t>
      </w:r>
      <w:r>
        <w:rPr>
          <w:rFonts w:hint="eastAsia" w:ascii="仿宋_GB2312" w:hAnsi="ˎ̥" w:eastAsia="仿宋_GB2312"/>
          <w:sz w:val="32"/>
          <w:szCs w:val="32"/>
          <w:lang w:eastAsia="zh-CN"/>
        </w:rPr>
        <w:t>.</w:t>
      </w:r>
      <w:r>
        <w:rPr>
          <w:rFonts w:hint="eastAsia" w:ascii="仿宋_GB2312" w:hAnsi="ˎ̥" w:eastAsia="仿宋_GB2312"/>
          <w:sz w:val="32"/>
          <w:szCs w:val="32"/>
        </w:rPr>
        <w:t>负责建立健全各项规章制度和管理办法；</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做好文秘、政务信息、档案、保密、调研、督查、接待、会议安排、后勤等工作；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w:t>
      </w:r>
      <w:r>
        <w:rPr>
          <w:rFonts w:hint="eastAsia" w:ascii="仿宋_GB2312" w:eastAsia="仿宋_GB2312"/>
          <w:sz w:val="32"/>
          <w:szCs w:val="32"/>
          <w:lang w:eastAsia="zh-CN"/>
        </w:rPr>
        <w:t>.</w:t>
      </w:r>
      <w:r>
        <w:rPr>
          <w:rFonts w:hint="eastAsia" w:ascii="仿宋_GB2312" w:eastAsia="仿宋_GB2312"/>
          <w:sz w:val="32"/>
          <w:szCs w:val="32"/>
        </w:rPr>
        <w:t>负责重大活动的组织协调等工作；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14</w:t>
      </w:r>
      <w:r>
        <w:rPr>
          <w:rFonts w:hint="eastAsia" w:ascii="仿宋_GB2312" w:eastAsia="仿宋_GB2312"/>
          <w:sz w:val="32"/>
          <w:szCs w:val="32"/>
          <w:lang w:eastAsia="zh-CN"/>
        </w:rPr>
        <w:t>.</w:t>
      </w:r>
      <w:r>
        <w:rPr>
          <w:rFonts w:hint="eastAsia" w:ascii="仿宋_GB2312" w:eastAsia="仿宋_GB2312"/>
          <w:sz w:val="32"/>
          <w:szCs w:val="32"/>
        </w:rPr>
        <w:t>负责机关效能建设；负责文化、体育、广播电视和精神文明建设等工作，做好宣传工作；贯彻执行有关社会治安综合治理工作的法律法规和方针、政策；</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15</w:t>
      </w:r>
      <w:r>
        <w:rPr>
          <w:rFonts w:hint="eastAsia" w:ascii="仿宋_GB2312" w:eastAsia="仿宋_GB2312"/>
          <w:sz w:val="32"/>
          <w:szCs w:val="32"/>
          <w:lang w:eastAsia="zh-CN"/>
        </w:rPr>
        <w:t>.</w:t>
      </w:r>
      <w:r>
        <w:rPr>
          <w:rFonts w:hint="eastAsia" w:ascii="仿宋_GB2312" w:eastAsia="仿宋_GB2312"/>
          <w:sz w:val="32"/>
          <w:szCs w:val="32"/>
        </w:rPr>
        <w:t>负责维护辖区内社会秩序稳定，做好社会治安综合治理工作；制定辖区内社会治安综合治理工作规划，并组织实施，做到依法治理；</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16</w:t>
      </w:r>
      <w:r>
        <w:rPr>
          <w:rFonts w:hint="eastAsia" w:ascii="仿宋_GB2312" w:eastAsia="仿宋_GB2312"/>
          <w:sz w:val="32"/>
          <w:szCs w:val="32"/>
          <w:lang w:eastAsia="zh-CN"/>
        </w:rPr>
        <w:t>.</w:t>
      </w:r>
      <w:r>
        <w:rPr>
          <w:rFonts w:hint="eastAsia" w:ascii="仿宋_GB2312" w:eastAsia="仿宋_GB2312"/>
          <w:sz w:val="32"/>
          <w:szCs w:val="32"/>
        </w:rPr>
        <w:t>负责辖区内法制教育、矛盾纠纷调处、社区矫正、安置帮教和法律服务、治安保卫等工作；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17</w:t>
      </w:r>
      <w:r>
        <w:rPr>
          <w:rFonts w:hint="eastAsia" w:ascii="仿宋_GB2312" w:eastAsia="仿宋_GB2312"/>
          <w:sz w:val="32"/>
          <w:szCs w:val="32"/>
          <w:lang w:eastAsia="zh-CN"/>
        </w:rPr>
        <w:t>.</w:t>
      </w:r>
      <w:r>
        <w:rPr>
          <w:rFonts w:hint="eastAsia" w:ascii="仿宋_GB2312" w:eastAsia="仿宋_GB2312"/>
          <w:sz w:val="32"/>
          <w:szCs w:val="32"/>
        </w:rPr>
        <w:t>处理人民群众的来信来访，维护居民（村民）的合法权益；依照有关规定做好出租屋和外来暂住人员的管理工作；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sz w:val="32"/>
          <w:szCs w:val="32"/>
        </w:rPr>
        <w:t>18</w:t>
      </w:r>
      <w:r>
        <w:rPr>
          <w:rFonts w:hint="eastAsia" w:ascii="仿宋_GB2312" w:eastAsia="仿宋_GB2312"/>
          <w:sz w:val="32"/>
          <w:szCs w:val="32"/>
          <w:lang w:eastAsia="zh-CN"/>
        </w:rPr>
        <w:t>.</w:t>
      </w:r>
      <w:r>
        <w:rPr>
          <w:rFonts w:hint="eastAsia" w:ascii="仿宋_GB2312" w:eastAsia="仿宋_GB2312"/>
          <w:sz w:val="32"/>
          <w:szCs w:val="32"/>
        </w:rPr>
        <w:t>指导村委会依法自治；</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19</w:t>
      </w:r>
      <w:r>
        <w:rPr>
          <w:rFonts w:hint="eastAsia" w:ascii="仿宋_GB2312" w:eastAsia="仿宋_GB2312"/>
          <w:sz w:val="32"/>
          <w:szCs w:val="32"/>
          <w:lang w:eastAsia="zh-CN"/>
        </w:rPr>
        <w:t>.</w:t>
      </w:r>
      <w:r>
        <w:rPr>
          <w:rFonts w:hint="eastAsia" w:ascii="仿宋_GB2312" w:hAnsi="ˎ̥" w:eastAsia="仿宋_GB2312"/>
          <w:sz w:val="32"/>
          <w:szCs w:val="32"/>
        </w:rPr>
        <w:t>承办党委、人大、政府和上级部门交办的其它工作任务。</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b/>
          <w:sz w:val="32"/>
          <w:szCs w:val="32"/>
        </w:rPr>
      </w:pPr>
      <w:r>
        <w:rPr>
          <w:rFonts w:hint="eastAsia" w:ascii="仿宋_GB2312" w:eastAsia="仿宋_GB2312"/>
          <w:b/>
          <w:sz w:val="32"/>
          <w:szCs w:val="32"/>
        </w:rPr>
        <w:t>（二）综合发展办公室主要职责</w:t>
      </w:r>
    </w:p>
    <w:p>
      <w:pPr>
        <w:pageBreakBefore w:val="0"/>
        <w:widowControl w:val="0"/>
        <w:kinsoku/>
        <w:wordWrap/>
        <w:overflowPunct/>
        <w:topLinePunct w:val="0"/>
        <w:autoSpaceDE/>
        <w:autoSpaceDN/>
        <w:bidi w:val="0"/>
        <w:spacing w:line="560" w:lineRule="exact"/>
        <w:ind w:firstLine="646"/>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起草综合办公室职责范围内的各种专项制度；做好信息收集，起草工作计划、总结、情况汇报等；</w:t>
      </w:r>
      <w:r>
        <w:rPr>
          <w:rFonts w:hint="eastAsia" w:ascii="仿宋_GB2312" w:eastAsia="仿宋_GB2312"/>
          <w:sz w:val="32"/>
          <w:szCs w:val="32"/>
        </w:rPr>
        <w:t>指导监督本乡企业贯彻执行国家有关法律、法规和政策；</w:t>
      </w:r>
    </w:p>
    <w:p>
      <w:pPr>
        <w:pageBreakBefore w:val="0"/>
        <w:widowControl w:val="0"/>
        <w:kinsoku/>
        <w:wordWrap/>
        <w:overflowPunct/>
        <w:topLinePunct w:val="0"/>
        <w:autoSpaceDE/>
        <w:autoSpaceDN/>
        <w:bidi w:val="0"/>
        <w:spacing w:line="560" w:lineRule="exact"/>
        <w:ind w:firstLine="646"/>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2</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组织编制全乡基本建设的规划和基本建设项目的申报、实施和验收；</w:t>
      </w:r>
    </w:p>
    <w:p>
      <w:pPr>
        <w:pageBreakBefore w:val="0"/>
        <w:widowControl w:val="0"/>
        <w:kinsoku/>
        <w:wordWrap/>
        <w:overflowPunct/>
        <w:topLinePunct w:val="0"/>
        <w:autoSpaceDE/>
        <w:autoSpaceDN/>
        <w:bidi w:val="0"/>
        <w:spacing w:line="560" w:lineRule="exact"/>
        <w:ind w:firstLine="646"/>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负责国有资产的管理与使用，确保乡国有资产不流失；</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负责编报和执行本乡经济发展计划；负责本乡内重大经济建设项目开发的协调工作；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cs="宋体"/>
          <w:color w:val="000000"/>
          <w:kern w:val="0"/>
          <w:sz w:val="32"/>
          <w:szCs w:val="32"/>
        </w:rPr>
        <w:t>5</w:t>
      </w:r>
      <w:r>
        <w:rPr>
          <w:rFonts w:hint="eastAsia" w:ascii="仿宋_GB2312" w:eastAsia="仿宋_GB2312" w:cs="宋体"/>
          <w:color w:val="000000"/>
          <w:kern w:val="0"/>
          <w:sz w:val="32"/>
          <w:szCs w:val="32"/>
          <w:lang w:eastAsia="zh-CN"/>
        </w:rPr>
        <w:t>.</w:t>
      </w:r>
      <w:r>
        <w:rPr>
          <w:rFonts w:hint="eastAsia" w:ascii="仿宋_GB2312" w:eastAsia="仿宋_GB2312"/>
          <w:sz w:val="32"/>
          <w:szCs w:val="32"/>
        </w:rPr>
        <w:t>协调解决经济发展中的突出问题；负责劳动和社会保障工作；做好劳动力资源登记管理、就业管理和职业技能培训等工作；协助做好劳动关系协调、劳动争议调解处理工作；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负责民政优抚、社会救济、社区管理、残疾人保障工作；做好农村最低生活保障、“五保”对象供养、敬老院管理、双拥与优抚安置工作及其他社会福利事业，做好农村基层政权建设和村委会民主管理、社区建设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组织开展全民爱国卫生宣传教育活动，做好辖区内卫生保洁和除四害工作；负责人口和计划生育的政策法规宣传、规划统计、协会组织和查处违反计划生育法规案件工作等；</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做好流动人口管理服务、技术服务和计生指导服务工作等。贯彻执行有关村建设方面的法律、法规和方针、政策；</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负责土地综合规划和开发管理；协助有关部门做好地质灾害的防治工作；做好辖区内市容环卫、园林绿化、综合整治等管理工作；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协助有关部门做好城区规划、建设、管理和土地管理工作；做好开发建设项目的征地拆迁和安置工作；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eastAsia="zh-CN"/>
        </w:rPr>
        <w:t>.</w:t>
      </w:r>
      <w:r>
        <w:rPr>
          <w:rFonts w:hint="eastAsia" w:ascii="仿宋_GB2312" w:eastAsia="仿宋_GB2312"/>
          <w:sz w:val="32"/>
          <w:szCs w:val="32"/>
        </w:rPr>
        <w:t>负责生态环保目标任务的分解落实和管理、日常环境保护的监管、生态村创建和有关信访投诉的处理，协助做好辖区内环境质量指标、污染事故处理等；</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贯彻执行党和国家有关农业和农村工作的方针、政策和法律、法规；负责农林业科技推广、市场信息服务等工作；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w:t>
      </w:r>
      <w:r>
        <w:rPr>
          <w:rFonts w:hint="eastAsia" w:ascii="仿宋_GB2312" w:eastAsia="仿宋_GB2312"/>
          <w:sz w:val="32"/>
          <w:szCs w:val="32"/>
          <w:lang w:eastAsia="zh-CN"/>
        </w:rPr>
        <w:t>.</w:t>
      </w:r>
      <w:r>
        <w:rPr>
          <w:rFonts w:hint="eastAsia" w:ascii="仿宋_GB2312" w:eastAsia="仿宋_GB2312"/>
          <w:sz w:val="32"/>
          <w:szCs w:val="32"/>
        </w:rPr>
        <w:t>搞好农牧业资源开发和保护；做好多种经营的规划、引导，推进农业产业化进程；</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14</w:t>
      </w:r>
      <w:r>
        <w:rPr>
          <w:rFonts w:hint="eastAsia" w:ascii="仿宋_GB2312" w:eastAsia="仿宋_GB2312"/>
          <w:sz w:val="32"/>
          <w:szCs w:val="32"/>
          <w:lang w:eastAsia="zh-CN"/>
        </w:rPr>
        <w:t>.</w:t>
      </w:r>
      <w:r>
        <w:rPr>
          <w:rFonts w:hint="eastAsia" w:ascii="仿宋_GB2312" w:eastAsia="仿宋_GB2312"/>
          <w:sz w:val="32"/>
          <w:szCs w:val="32"/>
        </w:rPr>
        <w:t>做好水土保护与河道资源管理及防洪、防火、抗旱、防疫等工作；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15</w:t>
      </w:r>
      <w:r>
        <w:rPr>
          <w:rFonts w:hint="eastAsia" w:ascii="仿宋_GB2312" w:eastAsia="仿宋_GB2312"/>
          <w:sz w:val="32"/>
          <w:szCs w:val="32"/>
          <w:lang w:eastAsia="zh-CN"/>
        </w:rPr>
        <w:t>.</w:t>
      </w:r>
      <w:r>
        <w:rPr>
          <w:rFonts w:hint="eastAsia" w:ascii="仿宋_GB2312" w:eastAsia="仿宋_GB2312"/>
          <w:sz w:val="32"/>
          <w:szCs w:val="32"/>
        </w:rPr>
        <w:t>做好林业政策法规宣传、森林资源管理、绿化造林、生态公益林保护、森林防火、林业有害生物防治等工作，协助林业主管部门做好林业行政执法工作；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16</w:t>
      </w:r>
      <w:r>
        <w:rPr>
          <w:rFonts w:hint="eastAsia" w:ascii="仿宋_GB2312" w:eastAsia="仿宋_GB2312"/>
          <w:sz w:val="32"/>
          <w:szCs w:val="32"/>
          <w:lang w:eastAsia="zh-CN"/>
        </w:rPr>
        <w:t>.</w:t>
      </w:r>
      <w:r>
        <w:rPr>
          <w:rFonts w:hint="eastAsia" w:ascii="仿宋_GB2312" w:eastAsia="仿宋_GB2312"/>
          <w:sz w:val="32"/>
          <w:szCs w:val="32"/>
        </w:rPr>
        <w:t>做好旅游业、现代服务业等第三产业管理工作，提供市场信息，创造良好环境等；</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17</w:t>
      </w:r>
      <w:r>
        <w:rPr>
          <w:rFonts w:hint="eastAsia" w:ascii="仿宋_GB2312" w:eastAsia="仿宋_GB2312"/>
          <w:sz w:val="32"/>
          <w:szCs w:val="32"/>
          <w:lang w:eastAsia="zh-CN"/>
        </w:rPr>
        <w:t>.</w:t>
      </w:r>
      <w:r>
        <w:rPr>
          <w:rFonts w:hint="eastAsia" w:ascii="仿宋_GB2312" w:eastAsia="仿宋_GB2312"/>
          <w:sz w:val="32"/>
          <w:szCs w:val="32"/>
        </w:rPr>
        <w:t>做好农村土地承包管理、农民负担监督管理、农村集体资产财务管理；</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18</w:t>
      </w:r>
      <w:r>
        <w:rPr>
          <w:rFonts w:hint="eastAsia" w:ascii="仿宋_GB2312" w:eastAsia="仿宋_GB2312"/>
          <w:sz w:val="32"/>
          <w:szCs w:val="32"/>
          <w:lang w:eastAsia="zh-CN"/>
        </w:rPr>
        <w:t>.</w:t>
      </w:r>
      <w:r>
        <w:rPr>
          <w:rFonts w:hint="eastAsia" w:ascii="仿宋_GB2312" w:eastAsia="仿宋_GB2312"/>
          <w:sz w:val="32"/>
          <w:szCs w:val="32"/>
        </w:rPr>
        <w:t>调查、分析和规划农、林、牧、副等产业的长、短期生产计划，及时反映生产工作中存在的问题，并提出合理化的建议；</w:t>
      </w:r>
    </w:p>
    <w:p>
      <w:pPr>
        <w:pageBreakBefore w:val="0"/>
        <w:widowControl w:val="0"/>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19</w:t>
      </w:r>
      <w:r>
        <w:rPr>
          <w:rFonts w:hint="eastAsia" w:ascii="仿宋_GB2312" w:eastAsia="仿宋_GB2312"/>
          <w:sz w:val="32"/>
          <w:szCs w:val="32"/>
          <w:lang w:eastAsia="zh-CN"/>
        </w:rPr>
        <w:t>.</w:t>
      </w:r>
      <w:r>
        <w:rPr>
          <w:rFonts w:hint="eastAsia" w:ascii="仿宋_GB2312" w:eastAsia="仿宋_GB2312"/>
          <w:sz w:val="32"/>
          <w:szCs w:val="32"/>
        </w:rPr>
        <w:t>协助有关部门搞好农牧民实用技术培训和各项技术推广项目；</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20</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完成领导交办的其他工作。</w:t>
      </w:r>
    </w:p>
    <w:p>
      <w:pPr>
        <w:pageBreakBefore w:val="0"/>
        <w:widowControl w:val="0"/>
        <w:kinsoku/>
        <w:wordWrap/>
        <w:overflowPunct/>
        <w:topLinePunct w:val="0"/>
        <w:autoSpaceDE/>
        <w:autoSpaceDN/>
        <w:bidi w:val="0"/>
        <w:spacing w:line="560" w:lineRule="exact"/>
        <w:ind w:firstLine="642" w:firstLineChars="200"/>
        <w:textAlignment w:val="auto"/>
        <w:rPr>
          <w:rFonts w:hint="eastAsia" w:ascii="仿宋_GB2312" w:eastAsia="仿宋_GB2312" w:cs="宋体"/>
          <w:color w:val="000000"/>
          <w:kern w:val="0"/>
          <w:sz w:val="32"/>
          <w:szCs w:val="32"/>
          <w:lang w:eastAsia="zh-CN"/>
        </w:rPr>
      </w:pPr>
      <w:r>
        <w:rPr>
          <w:rFonts w:hint="eastAsia" w:ascii="黑体" w:eastAsia="黑体" w:cs="宋体"/>
          <w:b/>
          <w:color w:val="000000"/>
          <w:kern w:val="0"/>
          <w:sz w:val="32"/>
          <w:szCs w:val="32"/>
        </w:rPr>
        <w:t>群团组织</w:t>
      </w:r>
    </w:p>
    <w:p>
      <w:pPr>
        <w:pageBreakBefore w:val="0"/>
        <w:widowControl w:val="0"/>
        <w:kinsoku/>
        <w:wordWrap/>
        <w:overflowPunct/>
        <w:topLinePunct w:val="0"/>
        <w:autoSpaceDE/>
        <w:autoSpaceDN/>
        <w:bidi w:val="0"/>
        <w:spacing w:line="560" w:lineRule="exact"/>
        <w:ind w:firstLine="642" w:firstLineChars="200"/>
        <w:textAlignment w:val="auto"/>
        <w:rPr>
          <w:rFonts w:hint="eastAsia" w:ascii="仿宋_GB2312" w:eastAsia="仿宋_GB2312"/>
          <w:b/>
          <w:sz w:val="32"/>
          <w:szCs w:val="32"/>
        </w:rPr>
      </w:pPr>
      <w:r>
        <w:rPr>
          <w:rFonts w:hint="eastAsia" w:ascii="仿宋_GB2312" w:eastAsia="仿宋_GB2312"/>
          <w:b/>
          <w:sz w:val="32"/>
          <w:szCs w:val="32"/>
        </w:rPr>
        <w:t>（一）乡工会主要职责：</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建立健全各级工会组织，建立和发展工会积极分子队伍，做好新会员的接收、教育工作；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对职工进行爱国主义、集体主义、社会主义、民主法制、纪律、科学、文化、技术教育，提高职工的思想、道德和科学、文化、技术、业务素质；</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组织和教育职工依法行使民主权利，参与企业管理。组织职工开展劳动竞赛，开展群众性的合理化建议，技术革新和技术协作活动；</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依法维护职工的合法权益。维护女职工的特殊权益，组织开展健康的文化体育活动；</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协助和督促行政部门做好劳动保护、劳动保险工作，办好职工集体福利事业，改善职工生活；</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用好工会经费，管好工会财产；</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承办上级主管部门领导交办的其他工作任务。</w:t>
      </w:r>
    </w:p>
    <w:p>
      <w:pPr>
        <w:pageBreakBefore w:val="0"/>
        <w:widowControl w:val="0"/>
        <w:kinsoku/>
        <w:wordWrap/>
        <w:overflowPunct/>
        <w:topLinePunct w:val="0"/>
        <w:autoSpaceDE/>
        <w:autoSpaceDN/>
        <w:bidi w:val="0"/>
        <w:spacing w:line="560" w:lineRule="exact"/>
        <w:ind w:firstLine="642" w:firstLineChars="200"/>
        <w:textAlignment w:val="auto"/>
        <w:rPr>
          <w:rFonts w:hint="eastAsia" w:ascii="仿宋_GB2312" w:eastAsia="仿宋_GB2312"/>
          <w:b/>
          <w:sz w:val="32"/>
          <w:szCs w:val="32"/>
        </w:rPr>
      </w:pPr>
      <w:r>
        <w:rPr>
          <w:rFonts w:hint="eastAsia" w:ascii="仿宋_GB2312" w:eastAsia="仿宋_GB2312"/>
          <w:b/>
          <w:sz w:val="32"/>
          <w:szCs w:val="32"/>
        </w:rPr>
        <w:t>（二）乡团委主要职责：</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以共产主义精神教育青年，帮助青年用先进的思想武装自己，引导广大青年投身于社会主义建设；</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了解团员的思想、工作情况，并对其进行思想教育和纪律教育；</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了解掌握各团支部的组织状况，督促、报告、指导基层团支部的各项工作；</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搞好团员的统计，转移组织关系，按照有关规定收缴团费，办理团员的超龄离团手续；</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组织召开团员代表大会，监督团员行使权利和履行义务；</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承办领导临时交办的其它工作。</w:t>
      </w:r>
    </w:p>
    <w:p>
      <w:pPr>
        <w:pageBreakBefore w:val="0"/>
        <w:widowControl w:val="0"/>
        <w:kinsoku/>
        <w:wordWrap/>
        <w:overflowPunct/>
        <w:topLinePunct w:val="0"/>
        <w:autoSpaceDE/>
        <w:autoSpaceDN/>
        <w:bidi w:val="0"/>
        <w:spacing w:line="560" w:lineRule="exact"/>
        <w:ind w:firstLine="642" w:firstLineChars="200"/>
        <w:textAlignment w:val="auto"/>
        <w:rPr>
          <w:rFonts w:hint="eastAsia" w:ascii="仿宋_GB2312" w:eastAsia="仿宋_GB2312"/>
          <w:b/>
          <w:sz w:val="32"/>
          <w:szCs w:val="32"/>
        </w:rPr>
      </w:pPr>
      <w:r>
        <w:rPr>
          <w:rFonts w:hint="eastAsia" w:ascii="仿宋_GB2312" w:eastAsia="仿宋_GB2312"/>
          <w:b/>
          <w:sz w:val="32"/>
          <w:szCs w:val="32"/>
        </w:rPr>
        <w:t>（三）乡妇联主要职责：</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搞好本级妇联的日常工作；</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调查研究本级妇女、儿童的情况，发展问题，并及时向上级反映和提出建议；</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带领妇女积极开展“双学双赛”活动和 “巾帼建功”、“五好文明家庭”等活动，提高妇女思想道德素质、科技文化素质、民主法制素质，弘扬社会公德、职业道德和家庭美德；</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负责搞好本级妇联的宣传舆论工作。教育、引导广大妇女增强自尊、自强、自信、自立精神，表彰先进，开展职业技术培训和妇女干部的培训，全面提高素质，促进妇女人才的成长；</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促进妇女参政、议政,维护妇女儿童的合法权益；</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为妇女儿童服务。加强与社会各界的关系，巩固各族妇女大团结；</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承办领导临时交办的其它工作。</w:t>
      </w:r>
    </w:p>
    <w:p>
      <w:pPr>
        <w:pageBreakBefore w:val="0"/>
        <w:widowControl w:val="0"/>
        <w:kinsoku/>
        <w:wordWrap/>
        <w:overflowPunct/>
        <w:topLinePunct w:val="0"/>
        <w:autoSpaceDE/>
        <w:autoSpaceDN/>
        <w:bidi w:val="0"/>
        <w:spacing w:line="560" w:lineRule="exact"/>
        <w:ind w:firstLine="602" w:firstLineChars="200"/>
        <w:textAlignment w:val="auto"/>
        <w:rPr>
          <w:rFonts w:hint="eastAsia" w:ascii="仿宋_GB2312" w:eastAsia="仿宋_GB2312"/>
          <w:b w:val="0"/>
          <w:bCs w:val="0"/>
          <w:color w:val="000000"/>
          <w:sz w:val="30"/>
          <w:szCs w:val="30"/>
          <w:lang w:val="en-US" w:eastAsia="zh-CN"/>
        </w:rPr>
      </w:pPr>
      <w:r>
        <w:rPr>
          <w:rFonts w:hint="eastAsia" w:ascii="仿宋_GB2312" w:eastAsia="仿宋_GB2312"/>
          <w:b/>
          <w:bCs/>
          <w:color w:val="000000"/>
          <w:sz w:val="30"/>
          <w:szCs w:val="30"/>
          <w:lang w:val="en-US" w:eastAsia="zh-CN"/>
        </w:rPr>
        <w:t xml:space="preserve">第五条  </w:t>
      </w:r>
      <w:r>
        <w:rPr>
          <w:rFonts w:hint="eastAsia" w:ascii="Times New Roman" w:hAnsi="Times New Roman" w:eastAsia="仿宋_GB2312" w:cs="Times New Roman"/>
          <w:sz w:val="32"/>
          <w:szCs w:val="32"/>
          <w:lang w:val="en-US" w:eastAsia="zh-CN"/>
        </w:rPr>
        <w:t>乡人大、纪委监察、人民武装部和工会、共青团、妇联等群团组织的设置按相关规定执行。</w:t>
      </w:r>
    </w:p>
    <w:p>
      <w:pPr>
        <w:pageBreakBefore w:val="0"/>
        <w:widowControl w:val="0"/>
        <w:kinsoku/>
        <w:wordWrap/>
        <w:overflowPunct/>
        <w:topLinePunct w:val="0"/>
        <w:autoSpaceDE/>
        <w:autoSpaceDN/>
        <w:bidi w:val="0"/>
        <w:spacing w:line="560" w:lineRule="exact"/>
        <w:ind w:firstLine="602" w:firstLineChars="200"/>
        <w:textAlignment w:val="auto"/>
        <w:rPr>
          <w:rFonts w:hint="eastAsia" w:ascii="Times New Roman" w:hAnsi="Times New Roman" w:eastAsia="仿宋_GB2312" w:cs="Times New Roman"/>
          <w:sz w:val="32"/>
          <w:szCs w:val="32"/>
          <w:lang w:val="en-US" w:eastAsia="zh-CN"/>
        </w:rPr>
      </w:pPr>
      <w:r>
        <w:rPr>
          <w:rFonts w:hint="eastAsia" w:ascii="仿宋_GB2312" w:eastAsia="仿宋_GB2312"/>
          <w:b/>
          <w:bCs/>
          <w:color w:val="000000"/>
          <w:sz w:val="30"/>
          <w:szCs w:val="30"/>
          <w:lang w:val="en-US" w:eastAsia="zh-CN"/>
        </w:rPr>
        <w:t>第六</w:t>
      </w:r>
      <w:r>
        <w:rPr>
          <w:rFonts w:hint="eastAsia" w:ascii="Times New Roman" w:hAnsi="Times New Roman" w:eastAsia="仿宋_GB2312" w:cs="Times New Roman"/>
          <w:sz w:val="32"/>
          <w:szCs w:val="32"/>
          <w:lang w:val="en-US" w:eastAsia="zh-CN"/>
        </w:rPr>
        <w:t>条  上壤塘乡寺庙管理所继续按照中央、省、州有关要求执行，</w:t>
      </w:r>
      <w:r>
        <w:rPr>
          <w:rFonts w:hint="eastAsia" w:eastAsia="仿宋_GB2312" w:cs="Times New Roman"/>
          <w:sz w:val="32"/>
          <w:szCs w:val="32"/>
          <w:lang w:val="en-US" w:eastAsia="zh-CN"/>
        </w:rPr>
        <w:t>受</w:t>
      </w:r>
      <w:r>
        <w:rPr>
          <w:rFonts w:hint="eastAsia" w:ascii="Times New Roman" w:hAnsi="Times New Roman" w:eastAsia="仿宋_GB2312" w:cs="Times New Roman"/>
          <w:sz w:val="32"/>
          <w:szCs w:val="32"/>
          <w:lang w:val="en-US" w:eastAsia="zh-CN"/>
        </w:rPr>
        <w:t>县宗教工作部门委托，行使宗教事务管理执法权。</w:t>
      </w:r>
    </w:p>
    <w:p>
      <w:pPr>
        <w:pStyle w:val="7"/>
        <w:pageBreakBefore w:val="0"/>
        <w:widowControl w:val="0"/>
        <w:kinsoku/>
        <w:wordWrap/>
        <w:overflowPunct/>
        <w:topLinePunct w:val="0"/>
        <w:autoSpaceDE/>
        <w:autoSpaceDN/>
        <w:bidi w:val="0"/>
        <w:adjustRightInd w:val="0"/>
        <w:snapToGrid w:val="0"/>
        <w:spacing w:beforeLines="0" w:line="560" w:lineRule="exact"/>
        <w:ind w:firstLine="674" w:firstLineChars="210"/>
        <w:textAlignment w:val="auto"/>
        <w:outlineLvl w:val="2"/>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（二）2020年重点工作完成情况。</w:t>
      </w:r>
      <w:bookmarkEnd w:id="24"/>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乡政府各项工作制度建设得到加强。在全乡上下的共同努力下，完成了“十三五”规划的各项建设制度。</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群众收入明显增加。通过公益性岗位、就业技能培训等方式，引导群众参与工程自建、文化技艺传承、外出务工，“十三五”实现农村劳动力转移4000余人次，全乡人均收入预计7000余元，同比增长翻一番。</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脱贫攻坚稳步推进，不断健全乡村扶贫体系，充实“六个一”力量，精准施策，“十三五”期间圆满完成4个贫困村、1个非贫困村248户1166人的减贫任务，预计2020年底1户3人脱贫。</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补齐短板，“十三五”期间，</w:t>
      </w:r>
      <w:r>
        <w:rPr>
          <w:rFonts w:hint="eastAsia" w:ascii="Times New Roman" w:hAnsi="Times New Roman" w:eastAsia="仿宋_GB2312" w:cs="Times New Roman"/>
          <w:b w:val="0"/>
          <w:bCs w:val="0"/>
          <w:sz w:val="32"/>
          <w:szCs w:val="32"/>
          <w:lang w:val="en-US" w:eastAsia="zh-CN"/>
        </w:rPr>
        <w:t>新建和修缮</w:t>
      </w:r>
      <w:r>
        <w:rPr>
          <w:rFonts w:hint="default" w:ascii="Times New Roman" w:hAnsi="Times New Roman" w:eastAsia="仿宋_GB2312" w:cs="Times New Roman"/>
          <w:b w:val="0"/>
          <w:bCs w:val="0"/>
          <w:sz w:val="32"/>
          <w:szCs w:val="32"/>
          <w:lang w:val="en-US" w:eastAsia="zh-CN"/>
        </w:rPr>
        <w:t>水、电、路、通讯等基础项目。</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b w:val="0"/>
          <w:bCs w:val="0"/>
          <w:sz w:val="32"/>
          <w:szCs w:val="32"/>
          <w:lang w:val="en-US" w:eastAsia="zh-CN"/>
        </w:rPr>
        <w:t>人人有安全住房，通过实施无房户清零、危房加固，全乡“十三五”期间藏区新居152户、居家环境改善147户、易地搬迁103户，保障农牧民住上了好房子。</w:t>
      </w: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b w:val="0"/>
          <w:bCs w:val="0"/>
          <w:sz w:val="32"/>
          <w:szCs w:val="32"/>
          <w:lang w:val="en-US" w:eastAsia="zh-CN"/>
        </w:rPr>
        <w:t>生育秩序整治有序开展，共50名乡、村干部参加了包村包户工作；共6名专业技术人员参与“一对一”联系育龄群众工作。落实包村包户责任制，包户落实率达100%，落实专业技术人员“一对一”联系育龄群众，联系率100%。</w:t>
      </w:r>
      <w:r>
        <w:rPr>
          <w:rFonts w:hint="default" w:ascii="Times New Roman" w:hAnsi="Times New Roman" w:eastAsia="仿宋_GB2312" w:cs="Times New Roman"/>
          <w:b/>
          <w:bCs/>
          <w:sz w:val="32"/>
          <w:szCs w:val="32"/>
          <w:lang w:val="en-US" w:eastAsia="zh-CN"/>
        </w:rPr>
        <w:t>七是</w:t>
      </w:r>
      <w:r>
        <w:rPr>
          <w:rFonts w:hint="default" w:ascii="Times New Roman" w:hAnsi="Times New Roman" w:eastAsia="仿宋_GB2312" w:cs="Times New Roman"/>
          <w:b w:val="0"/>
          <w:bCs w:val="0"/>
          <w:sz w:val="32"/>
          <w:szCs w:val="32"/>
          <w:lang w:val="en-US" w:eastAsia="zh-CN"/>
        </w:rPr>
        <w:t>抓好产业发展。通过政策资金、帮扶单位帮扶等方式，“十三五”期间五村共投入448.78万元建立五个联户牧场，共有牦牛1486头，盈利57余万元，使1169名贫困人口享受年均分红480余元，“十三五”打破村集体为零的现状。查卡村集体经济投入100万用于扩宽销售渠道，提升查卡村集体经济的效益。</w:t>
      </w:r>
      <w:r>
        <w:rPr>
          <w:rFonts w:hint="default" w:ascii="Times New Roman" w:hAnsi="Times New Roman" w:eastAsia="仿宋_GB2312" w:cs="Times New Roman"/>
          <w:b/>
          <w:bCs/>
          <w:sz w:val="32"/>
          <w:szCs w:val="32"/>
          <w:lang w:val="en-US" w:eastAsia="zh-CN"/>
        </w:rPr>
        <w:t>八是</w:t>
      </w:r>
      <w:r>
        <w:rPr>
          <w:rFonts w:hint="default" w:ascii="Times New Roman" w:hAnsi="Times New Roman" w:eastAsia="仿宋_GB2312" w:cs="Times New Roman"/>
          <w:b w:val="0"/>
          <w:bCs w:val="0"/>
          <w:sz w:val="32"/>
          <w:szCs w:val="32"/>
          <w:lang w:val="en-US" w:eastAsia="zh-CN"/>
        </w:rPr>
        <w:t>卫生健康扎实有效，家庭医生签约全覆盖，“十三五”期间义诊巡诊9000余人次，包虫病筛查1000余人，严格防控艾滋、结合等传染病。</w:t>
      </w:r>
      <w:r>
        <w:rPr>
          <w:rFonts w:hint="default" w:ascii="Times New Roman" w:hAnsi="Times New Roman" w:eastAsia="仿宋_GB2312" w:cs="Times New Roman"/>
          <w:b/>
          <w:bCs/>
          <w:sz w:val="32"/>
          <w:szCs w:val="32"/>
          <w:lang w:val="en-US" w:eastAsia="zh-CN"/>
        </w:rPr>
        <w:t>九是</w:t>
      </w:r>
      <w:r>
        <w:rPr>
          <w:rFonts w:hint="default" w:ascii="Times New Roman" w:hAnsi="Times New Roman" w:eastAsia="仿宋_GB2312" w:cs="Times New Roman"/>
          <w:b w:val="0"/>
          <w:bCs w:val="0"/>
          <w:sz w:val="32"/>
          <w:szCs w:val="32"/>
          <w:lang w:val="en-US" w:eastAsia="zh-CN"/>
        </w:rPr>
        <w:t>教育质量提高，打好“控辍保学”战，7-12岁全入学，13-15岁开设文化补习班，我乡学生入学率98.11%，同比增长了近4个百分点。</w:t>
      </w:r>
      <w:r>
        <w:rPr>
          <w:rFonts w:hint="default" w:ascii="Times New Roman" w:hAnsi="Times New Roman" w:eastAsia="仿宋_GB2312" w:cs="Times New Roman"/>
          <w:b/>
          <w:bCs/>
          <w:sz w:val="32"/>
          <w:szCs w:val="32"/>
          <w:lang w:val="en-US" w:eastAsia="zh-CN"/>
        </w:rPr>
        <w:t>十是</w:t>
      </w:r>
      <w:r>
        <w:rPr>
          <w:rFonts w:hint="default" w:ascii="Times New Roman" w:hAnsi="Times New Roman" w:eastAsia="仿宋_GB2312" w:cs="Times New Roman"/>
          <w:b w:val="0"/>
          <w:bCs w:val="0"/>
          <w:sz w:val="32"/>
          <w:szCs w:val="32"/>
          <w:lang w:val="en-US" w:eastAsia="zh-CN"/>
        </w:rPr>
        <w:t>社会稳定，通过“两联一进”、扫黑除恶等工作，全乡无不稳定因素。</w:t>
      </w:r>
      <w:r>
        <w:rPr>
          <w:rFonts w:hint="default" w:ascii="Times New Roman" w:hAnsi="Times New Roman" w:eastAsia="仿宋_GB2312" w:cs="Times New Roman"/>
          <w:b/>
          <w:bCs/>
          <w:sz w:val="32"/>
          <w:szCs w:val="32"/>
          <w:lang w:val="en-US" w:eastAsia="zh-CN"/>
        </w:rPr>
        <w:t>十一是</w:t>
      </w:r>
      <w:r>
        <w:rPr>
          <w:rFonts w:hint="default" w:ascii="Times New Roman" w:hAnsi="Times New Roman" w:eastAsia="仿宋_GB2312" w:cs="Times New Roman"/>
          <w:b w:val="0"/>
          <w:bCs w:val="0"/>
          <w:sz w:val="32"/>
          <w:szCs w:val="32"/>
          <w:lang w:val="en-US" w:eastAsia="zh-CN"/>
        </w:rPr>
        <w:t>社会保障全面提升，全乡99%购买农村医疗保险，</w:t>
      </w:r>
      <w:r>
        <w:rPr>
          <w:rFonts w:hint="eastAsia" w:ascii="Times New Roman" w:hAnsi="Times New Roman" w:eastAsia="仿宋_GB2312" w:cs="Times New Roman"/>
          <w:b w:val="0"/>
          <w:bCs w:val="0"/>
          <w:sz w:val="32"/>
          <w:szCs w:val="32"/>
          <w:lang w:val="en-US" w:eastAsia="zh-CN"/>
        </w:rPr>
        <w:t>重大疾病及困难人员享受</w:t>
      </w:r>
      <w:r>
        <w:rPr>
          <w:rFonts w:hint="default" w:ascii="Times New Roman" w:hAnsi="Times New Roman" w:eastAsia="仿宋_GB2312" w:cs="Times New Roman"/>
          <w:b w:val="0"/>
          <w:bCs w:val="0"/>
          <w:sz w:val="32"/>
          <w:szCs w:val="32"/>
          <w:lang w:val="en-US" w:eastAsia="zh-CN"/>
        </w:rPr>
        <w:t>各类民政救助。</w:t>
      </w:r>
      <w:r>
        <w:rPr>
          <w:rFonts w:hint="default" w:ascii="Times New Roman" w:hAnsi="Times New Roman" w:eastAsia="仿宋_GB2312" w:cs="Times New Roman"/>
          <w:b/>
          <w:bCs/>
          <w:sz w:val="32"/>
          <w:szCs w:val="32"/>
          <w:lang w:val="en-US" w:eastAsia="zh-CN"/>
        </w:rPr>
        <w:t>十二是</w:t>
      </w:r>
      <w:r>
        <w:rPr>
          <w:rFonts w:hint="default" w:ascii="Times New Roman" w:hAnsi="Times New Roman" w:eastAsia="仿宋_GB2312" w:cs="Times New Roman"/>
          <w:b w:val="0"/>
          <w:bCs w:val="0"/>
          <w:sz w:val="32"/>
          <w:szCs w:val="32"/>
          <w:lang w:val="en-US" w:eastAsia="zh-CN"/>
        </w:rPr>
        <w:t>教育增幅大，五村都建立幼儿园，新修建幼儿园2所，中心小学建立图书阅览室、食堂、住宿楼等硬件设备。</w:t>
      </w:r>
      <w:r>
        <w:rPr>
          <w:rFonts w:hint="default" w:ascii="Times New Roman" w:hAnsi="Times New Roman" w:eastAsia="仿宋_GB2312" w:cs="Times New Roman"/>
          <w:b/>
          <w:bCs/>
          <w:sz w:val="32"/>
          <w:szCs w:val="32"/>
          <w:lang w:val="en-US" w:eastAsia="zh-CN"/>
        </w:rPr>
        <w:t>十三是</w:t>
      </w:r>
      <w:r>
        <w:rPr>
          <w:rFonts w:hint="default" w:ascii="Times New Roman" w:hAnsi="Times New Roman" w:eastAsia="仿宋_GB2312" w:cs="Times New Roman"/>
          <w:b w:val="0"/>
          <w:bCs w:val="0"/>
          <w:sz w:val="32"/>
          <w:szCs w:val="32"/>
          <w:lang w:val="en-US" w:eastAsia="zh-CN"/>
        </w:rPr>
        <w:t>公共安全有保障，深化“一岗双责”，建立健全应急管理机制，开展救灾减灾演练，全乡为发生较大以上安全事故。</w:t>
      </w:r>
      <w:bookmarkStart w:id="164" w:name="_GoBack"/>
      <w:bookmarkEnd w:id="164"/>
    </w:p>
    <w:p>
      <w:pPr>
        <w:pStyle w:val="7"/>
        <w:pageBreakBefore w:val="0"/>
        <w:widowControl w:val="0"/>
        <w:kinsoku/>
        <w:wordWrap/>
        <w:overflowPunct/>
        <w:topLinePunct w:val="0"/>
        <w:autoSpaceDE/>
        <w:autoSpaceDN/>
        <w:bidi w:val="0"/>
        <w:adjustRightInd w:val="0"/>
        <w:snapToGrid w:val="0"/>
        <w:spacing w:beforeLines="0" w:line="560" w:lineRule="exact"/>
        <w:ind w:firstLine="674" w:firstLineChars="210"/>
        <w:textAlignment w:val="auto"/>
        <w:outlineLvl w:val="2"/>
        <w:rPr>
          <w:rFonts w:hint="default" w:ascii="楷体" w:hAnsi="楷体" w:eastAsia="楷体" w:cs="楷体"/>
          <w:b/>
          <w:bCs w:val="0"/>
          <w:color w:val="000000"/>
          <w:sz w:val="32"/>
          <w:szCs w:val="32"/>
          <w:lang w:val="en-US" w:eastAsia="zh-CN"/>
        </w:rPr>
      </w:pPr>
      <w:r>
        <w:rPr>
          <w:rFonts w:hint="eastAsia" w:ascii="楷体" w:hAnsi="楷体" w:eastAsia="楷体" w:cs="楷体"/>
          <w:b/>
          <w:bCs w:val="0"/>
          <w:color w:val="000000"/>
          <w:sz w:val="32"/>
          <w:szCs w:val="32"/>
          <w:lang w:val="en-US" w:eastAsia="zh-CN"/>
        </w:rPr>
        <w:t>（三）</w:t>
      </w:r>
      <w:r>
        <w:rPr>
          <w:rFonts w:hint="default" w:ascii="楷体" w:hAnsi="楷体" w:eastAsia="楷体" w:cs="楷体"/>
          <w:b/>
          <w:bCs w:val="0"/>
          <w:color w:val="000000"/>
          <w:sz w:val="32"/>
          <w:szCs w:val="32"/>
          <w:lang w:val="en-US" w:eastAsia="zh-CN"/>
        </w:rPr>
        <w:t>主要成效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群众生活条件改善。一是</w:t>
      </w:r>
      <w:r>
        <w:rPr>
          <w:rFonts w:hint="default" w:ascii="Times New Roman" w:hAnsi="Times New Roman" w:eastAsia="仿宋_GB2312" w:cs="Times New Roman"/>
          <w:b w:val="0"/>
          <w:bCs w:val="0"/>
          <w:sz w:val="32"/>
          <w:szCs w:val="32"/>
          <w:lang w:val="en-US" w:eastAsia="zh-CN"/>
        </w:rPr>
        <w:t>用水便捷，通过安全饮水、自建水井项目全乡打井</w:t>
      </w:r>
      <w:r>
        <w:rPr>
          <w:rFonts w:hint="eastAsia" w:ascii="Times New Roman" w:hAnsi="Times New Roman" w:eastAsia="仿宋_GB2312" w:cs="Times New Roman"/>
          <w:b w:val="0"/>
          <w:bCs w:val="0"/>
          <w:sz w:val="32"/>
          <w:szCs w:val="32"/>
          <w:lang w:val="en-US" w:eastAsia="zh-CN"/>
        </w:rPr>
        <w:t>50余</w:t>
      </w:r>
      <w:r>
        <w:rPr>
          <w:rFonts w:hint="default" w:ascii="Times New Roman" w:hAnsi="Times New Roman" w:eastAsia="仿宋_GB2312" w:cs="Times New Roman"/>
          <w:b w:val="0"/>
          <w:bCs w:val="0"/>
          <w:sz w:val="32"/>
          <w:szCs w:val="32"/>
          <w:lang w:val="en-US" w:eastAsia="zh-CN"/>
        </w:rPr>
        <w:t>口，修建蓄水池</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个，实现冬季群众也能在30分钟内取水。</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用电安全，通过线路改造工程，维修、新建电线</w:t>
      </w:r>
      <w:r>
        <w:rPr>
          <w:rFonts w:hint="eastAsia" w:ascii="Times New Roman" w:hAnsi="Times New Roman" w:eastAsia="仿宋_GB2312" w:cs="Times New Roman"/>
          <w:b w:val="0"/>
          <w:bCs w:val="0"/>
          <w:sz w:val="32"/>
          <w:szCs w:val="32"/>
          <w:lang w:val="en-US" w:eastAsia="zh-CN"/>
        </w:rPr>
        <w:t>2000余</w:t>
      </w:r>
      <w:r>
        <w:rPr>
          <w:rFonts w:hint="default" w:ascii="Times New Roman" w:hAnsi="Times New Roman" w:eastAsia="仿宋_GB2312" w:cs="Times New Roman"/>
          <w:b w:val="0"/>
          <w:bCs w:val="0"/>
          <w:sz w:val="32"/>
          <w:szCs w:val="32"/>
          <w:lang w:val="en-US" w:eastAsia="zh-CN"/>
        </w:rPr>
        <w:t>米，家家户户通电。</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住房安全，通过易地搬迁、藏区新居等项目，农牧民有安全住房。四是交通便利，修建防灭火道、村道300余公里，解决群众出行难问题。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2.群众收入途径增多。一是</w:t>
      </w:r>
      <w:r>
        <w:rPr>
          <w:rFonts w:hint="default" w:ascii="Times New Roman" w:hAnsi="Times New Roman" w:eastAsia="仿宋_GB2312" w:cs="Times New Roman"/>
          <w:b w:val="0"/>
          <w:bCs w:val="0"/>
          <w:sz w:val="32"/>
          <w:szCs w:val="32"/>
          <w:lang w:val="en-US" w:eastAsia="zh-CN"/>
        </w:rPr>
        <w:t>务工收入，通过公益性岗位、县内务工等方式，就业的人数从几十名到现在几百名。</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药材收入，夏季工作组动员农牧民上山挖取药材，每年药材收入人均约从2016年的1000余元到目前的2000余元。</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产业收入，集体经济从无到有，群众通过入股方式、投劳投工的方式，加入到村集体经济249户贫困户享受年分红480余元。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3.群众办事更便捷。一是</w:t>
      </w:r>
      <w:r>
        <w:rPr>
          <w:rFonts w:hint="default" w:ascii="Times New Roman" w:hAnsi="Times New Roman" w:eastAsia="仿宋_GB2312" w:cs="Times New Roman"/>
          <w:b w:val="0"/>
          <w:bCs w:val="0"/>
          <w:sz w:val="32"/>
          <w:szCs w:val="32"/>
          <w:lang w:val="en-US" w:eastAsia="zh-CN"/>
        </w:rPr>
        <w:t>设立便民服务中心，乡政府设立60平方米的便民服务中心一体化办公，便于群众咨询和办事，服务中心设有休息椅、急救箱、无障碍通道、无线网络全覆盖，各村还设有代办服务点。</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探索开放式服务中心模式，有推行节假日不关门，正常提供饮水、充电、阅览等便民服务。</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建立制度，</w:t>
      </w:r>
      <w:r>
        <w:rPr>
          <w:rFonts w:hint="default" w:ascii="Times New Roman" w:hAnsi="Times New Roman" w:eastAsia="仿宋_GB2312" w:cs="Times New Roman"/>
          <w:b w:val="0"/>
          <w:bCs/>
          <w:color w:val="000000"/>
          <w:kern w:val="0"/>
          <w:sz w:val="32"/>
          <w:szCs w:val="32"/>
          <w:lang w:val="en-US" w:eastAsia="zh-CN" w:bidi="ar"/>
        </w:rPr>
        <w:t>大力推行首问负责制、服务承诺制、限时办结以及“一站式服务、一次性告知”等便民服务机制，广泛推行预约服务、延时服务、代办服务等新服务方式。建立社区工作者“全岗通”工作机制，优化服务流程，压缩办事时限，提高便民服务效率，推进“最多跑一次”改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bCs/>
          <w:color w:val="000000"/>
          <w:sz w:val="32"/>
          <w:szCs w:val="32"/>
        </w:rPr>
      </w:pPr>
      <w:r>
        <w:rPr>
          <w:rFonts w:hint="default" w:ascii="Times New Roman" w:hAnsi="Times New Roman" w:eastAsia="仿宋_GB2312" w:cs="Times New Roman"/>
          <w:b/>
          <w:bCs/>
          <w:sz w:val="32"/>
          <w:szCs w:val="32"/>
          <w:lang w:val="en-US" w:eastAsia="zh-CN"/>
        </w:rPr>
        <w:t>4.社会和谐更稳定。一是</w:t>
      </w:r>
      <w:r>
        <w:rPr>
          <w:rFonts w:hint="default" w:ascii="Times New Roman" w:hAnsi="Times New Roman" w:eastAsia="仿宋_GB2312" w:cs="Times New Roman"/>
          <w:b w:val="0"/>
          <w:bCs w:val="0"/>
          <w:sz w:val="32"/>
          <w:szCs w:val="32"/>
          <w:lang w:val="en-US" w:eastAsia="zh-CN"/>
        </w:rPr>
        <w:t>遵纪守法意识强，乡党委通过“七五”普法、讲座等方式使群众树立懂法、守法、用法的意识，打架斗殴现象明显减少。</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矛盾纠纷渠道畅通，乡党委通过乡村微信群、走访等方式多渠道收集矛盾信息，及时化解各类婚姻、草场、债务等纠纷。</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反偷牛盗马卡点，每年10月设立卡点到各村寨进行巡逻，登记出入大型车辆，杜绝出现偷盗现象，保障农牧民财产不受损失。</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7"/>
          <w:b w:val="0"/>
          <w:bCs w:val="0"/>
        </w:rPr>
      </w:pPr>
      <w:bookmarkStart w:id="28" w:name="_Toc79163855"/>
      <w:bookmarkStart w:id="29" w:name="_Toc79163605"/>
      <w:bookmarkStart w:id="30" w:name="_Toc15396601"/>
      <w:bookmarkStart w:id="3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bookmarkStart w:id="32" w:name="_Toc15396602"/>
      <w:bookmarkStart w:id="33" w:name="_Toc15377204"/>
      <w:bookmarkStart w:id="34" w:name="_Toc79163609"/>
      <w:bookmarkStart w:id="35" w:name="_Toc79163859"/>
      <w:r>
        <w:rPr>
          <w:rFonts w:hint="eastAsia" w:ascii="Times New Roman" w:hAnsi="Times New Roman" w:eastAsia="仿宋_GB2312" w:cs="Times New Roman"/>
          <w:b w:val="0"/>
          <w:bCs w:val="0"/>
          <w:sz w:val="32"/>
          <w:szCs w:val="32"/>
          <w:lang w:val="en-US" w:eastAsia="zh-CN"/>
        </w:rPr>
        <w:t>我乡为行政机构,上壤塘乡行政编制32名（含寺管所2名）。其中党委书记1名，党委副书记兼乡长1名，人大主席1名；党委副书记2名（其中1名兼任政法统战委员），纪委书记1名，组织宣传委员1名，副乡长3名（其中1名由人武部长兼任）。机关工勤人员事业编制1名，事业编制7人。</w:t>
      </w:r>
      <w:r>
        <w:rPr>
          <w:rFonts w:hint="eastAsia" w:ascii="仿宋_GB2312" w:hAnsi="Times New Roman" w:eastAsia="仿宋_GB2312" w:cs="Times New Roman"/>
          <w:b w:val="0"/>
          <w:bCs w:val="0"/>
          <w:color w:val="000000"/>
          <w:kern w:val="0"/>
          <w:sz w:val="32"/>
          <w:szCs w:val="32"/>
          <w:lang w:val="zh-CN" w:eastAsia="zh-CN" w:bidi="ar-SA"/>
        </w:rPr>
        <w:t>纳入壤塘县上壤塘乡2</w:t>
      </w:r>
      <w:r>
        <w:rPr>
          <w:rFonts w:hint="eastAsia" w:cs="Times New Roman"/>
          <w:b w:val="0"/>
          <w:bCs w:val="0"/>
          <w:color w:val="000000"/>
          <w:kern w:val="0"/>
          <w:sz w:val="32"/>
          <w:szCs w:val="32"/>
          <w:lang w:val="en-US" w:eastAsia="zh-CN" w:bidi="ar-SA"/>
        </w:rPr>
        <w:t>020</w:t>
      </w:r>
      <w:r>
        <w:rPr>
          <w:rFonts w:hint="eastAsia" w:ascii="仿宋_GB2312" w:hAnsi="Times New Roman" w:eastAsia="仿宋_GB2312" w:cs="Times New Roman"/>
          <w:b w:val="0"/>
          <w:bCs w:val="0"/>
          <w:color w:val="000000"/>
          <w:kern w:val="0"/>
          <w:sz w:val="32"/>
          <w:szCs w:val="32"/>
          <w:lang w:val="zh-CN" w:eastAsia="zh-CN" w:bidi="ar-SA"/>
        </w:rPr>
        <w:t>年度部门决算编制范围的二级预算单位无</w:t>
      </w:r>
      <w:r>
        <w:rPr>
          <w:rFonts w:hint="eastAsia" w:ascii="仿宋" w:hAnsi="仿宋" w:eastAsia="仿宋"/>
          <w:color w:val="000000"/>
          <w:sz w:val="32"/>
          <w:szCs w:val="32"/>
        </w:rPr>
        <w:t>。</w:t>
      </w:r>
    </w:p>
    <w:p>
      <w:pPr>
        <w:pStyle w:val="7"/>
        <w:adjustRightInd w:val="0"/>
        <w:snapToGrid w:val="0"/>
        <w:spacing w:before="93" w:line="600" w:lineRule="exact"/>
        <w:ind w:firstLine="480" w:firstLineChars="200"/>
        <w:rPr>
          <w:rFonts w:hint="eastAsia" w:ascii="黑体" w:hAnsi="黑体" w:eastAsia="黑体"/>
          <w:b w:val="0"/>
          <w:color w:val="000000"/>
        </w:rPr>
      </w:pPr>
    </w:p>
    <w:p>
      <w:pPr>
        <w:pStyle w:val="7"/>
        <w:adjustRightInd w:val="0"/>
        <w:snapToGrid w:val="0"/>
        <w:spacing w:before="93" w:line="600" w:lineRule="exact"/>
        <w:ind w:firstLine="480" w:firstLineChars="200"/>
        <w:rPr>
          <w:rFonts w:hint="eastAsia" w:ascii="黑体" w:hAnsi="黑体" w:eastAsia="黑体"/>
          <w:b w:val="0"/>
          <w:color w:val="000000"/>
        </w:rPr>
      </w:pPr>
    </w:p>
    <w:p>
      <w:pPr>
        <w:pStyle w:val="7"/>
        <w:adjustRightInd w:val="0"/>
        <w:snapToGrid w:val="0"/>
        <w:spacing w:before="93" w:line="600" w:lineRule="exact"/>
        <w:ind w:firstLine="480" w:firstLineChars="200"/>
        <w:rPr>
          <w:rFonts w:hint="eastAsia" w:ascii="黑体" w:hAnsi="黑体" w:eastAsia="黑体"/>
          <w:b w:val="0"/>
          <w:color w:val="000000"/>
        </w:rPr>
      </w:pPr>
    </w:p>
    <w:p>
      <w:pPr>
        <w:pStyle w:val="7"/>
        <w:adjustRightInd w:val="0"/>
        <w:snapToGrid w:val="0"/>
        <w:spacing w:before="93" w:line="600" w:lineRule="exact"/>
        <w:ind w:firstLine="480" w:firstLineChars="200"/>
        <w:rPr>
          <w:rStyle w:val="26"/>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32"/>
      <w:bookmarkEnd w:id="33"/>
      <w:bookmarkEnd w:id="34"/>
      <w:bookmarkEnd w:id="35"/>
    </w:p>
    <w:p/>
    <w:p>
      <w:pPr>
        <w:pStyle w:val="36"/>
        <w:numPr>
          <w:ilvl w:val="0"/>
          <w:numId w:val="1"/>
        </w:numPr>
        <w:spacing w:line="600" w:lineRule="exact"/>
        <w:ind w:firstLineChars="0"/>
        <w:outlineLvl w:val="1"/>
        <w:rPr>
          <w:rStyle w:val="27"/>
          <w:rFonts w:ascii="黑体" w:hAnsi="黑体" w:eastAsia="黑体"/>
          <w:b w:val="0"/>
        </w:rPr>
      </w:pPr>
      <w:bookmarkStart w:id="36" w:name="_Toc79163610"/>
      <w:bookmarkStart w:id="37" w:name="_Toc79163860"/>
      <w:bookmarkStart w:id="38" w:name="_Toc15377205"/>
      <w:bookmarkStart w:id="39"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仿宋_GB2312" w:cs="Times New Roman"/>
          <w:b w:val="0"/>
          <w:bCs w:val="0"/>
          <w:sz w:val="32"/>
          <w:szCs w:val="32"/>
          <w:lang w:val="en-US" w:eastAsia="zh-CN"/>
        </w:rPr>
      </w:pPr>
      <w:r>
        <w:drawing>
          <wp:anchor distT="0" distB="0" distL="114300" distR="114300" simplePos="0" relativeHeight="251659264" behindDoc="0" locked="0" layoutInCell="1" allowOverlap="1">
            <wp:simplePos x="0" y="0"/>
            <wp:positionH relativeFrom="column">
              <wp:posOffset>4445</wp:posOffset>
            </wp:positionH>
            <wp:positionV relativeFrom="paragraph">
              <wp:posOffset>1394460</wp:posOffset>
            </wp:positionV>
            <wp:extent cx="5010150" cy="2933700"/>
            <wp:effectExtent l="5080" t="4445" r="13970"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仿宋_GB2312" w:cs="Times New Roman"/>
          <w:b w:val="0"/>
          <w:bCs w:val="0"/>
          <w:sz w:val="32"/>
          <w:szCs w:val="32"/>
          <w:lang w:val="en-US" w:eastAsia="zh-CN"/>
        </w:rPr>
        <w:t>2020年度收、支总计1167.59万元。与2019年相比，收、支总计各减少1588.1万元，下降57.63%。主要变动原因是:严格管理财政资金，厉行节俭，项目等支出比例减少。</w:t>
      </w:r>
    </w:p>
    <w:p>
      <w:pPr>
        <w:pStyle w:val="2"/>
        <w:rPr>
          <w:rFonts w:ascii="仿宋_GB2312" w:eastAsia="仿宋_GB2312"/>
          <w:color w:val="000000"/>
          <w:sz w:val="32"/>
          <w:szCs w:val="32"/>
        </w:rPr>
      </w:pPr>
    </w:p>
    <w:p>
      <w:pPr>
        <w:pStyle w:val="36"/>
        <w:numPr>
          <w:ilvl w:val="0"/>
          <w:numId w:val="1"/>
        </w:numPr>
        <w:spacing w:line="600" w:lineRule="exact"/>
        <w:ind w:firstLineChars="0"/>
        <w:outlineLvl w:val="1"/>
        <w:rPr>
          <w:rStyle w:val="27"/>
          <w:rFonts w:ascii="黑体" w:hAnsi="黑体" w:eastAsia="黑体"/>
          <w:b w:val="0"/>
        </w:rPr>
      </w:pPr>
      <w:bookmarkStart w:id="40" w:name="_Toc79163611"/>
      <w:bookmarkStart w:id="41" w:name="_Toc79163861"/>
      <w:bookmarkStart w:id="42" w:name="_Toc15377206"/>
      <w:bookmarkStart w:id="43"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2020年本年收入合计977.89万元，其中：一般公共预算财政拨款收入977.89万元，占100%；政府性基金预算财政拨款收入0万元，占0%；上级补助收入0万元，占0%；事业收入0万元，占0%；经营收入0万元，占0%；附属单位上缴收入0万元，占0%；其他收入0万元，占0%。</w:t>
      </w:r>
    </w:p>
    <w:p>
      <w:pPr>
        <w:pStyle w:val="2"/>
        <w:rPr>
          <w:rFonts w:ascii="仿宋_GB2312" w:eastAsia="仿宋_GB2312"/>
          <w:color w:val="FF0000"/>
          <w:sz w:val="32"/>
          <w:szCs w:val="32"/>
        </w:rPr>
      </w:pPr>
      <w:r>
        <w:drawing>
          <wp:inline distT="0" distB="0" distL="114300" distR="114300">
            <wp:extent cx="5076825" cy="2816225"/>
            <wp:effectExtent l="4445" t="4445" r="5080" b="177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6"/>
        <w:numPr>
          <w:ilvl w:val="0"/>
          <w:numId w:val="1"/>
        </w:numPr>
        <w:spacing w:line="600" w:lineRule="exact"/>
        <w:ind w:firstLineChars="0"/>
        <w:outlineLvl w:val="1"/>
        <w:rPr>
          <w:rStyle w:val="27"/>
          <w:rFonts w:ascii="黑体" w:hAnsi="黑体" w:eastAsia="黑体"/>
          <w:b w:val="0"/>
        </w:rPr>
      </w:pPr>
      <w:bookmarkStart w:id="44" w:name="_Toc15377207"/>
      <w:bookmarkStart w:id="45" w:name="_Toc15396605"/>
      <w:bookmarkStart w:id="46" w:name="_Toc79163862"/>
      <w:bookmarkStart w:id="47" w:name="_Toc79163612"/>
      <w:r>
        <w:rPr>
          <w:rFonts w:hint="eastAsia" w:ascii="黑体" w:hAnsi="黑体" w:eastAsia="黑体"/>
          <w:color w:val="000000"/>
          <w:sz w:val="32"/>
          <w:szCs w:val="32"/>
        </w:rPr>
        <w:t>支</w:t>
      </w:r>
      <w:r>
        <w:rPr>
          <w:rStyle w:val="27"/>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hint="default"/>
          <w:lang w:val="en-US" w:eastAsia="zh-CN"/>
        </w:rPr>
      </w:pPr>
      <w:r>
        <w:rPr>
          <w:rFonts w:ascii="仿宋_GB2312" w:eastAsia="仿宋_GB2312"/>
          <w:sz w:val="32"/>
          <w:szCs w:val="32"/>
        </w:rPr>
        <w:t>2020</w:t>
      </w:r>
      <w:r>
        <w:rPr>
          <w:rFonts w:hint="eastAsia" w:ascii="仿宋_GB2312" w:eastAsia="仿宋_GB2312"/>
          <w:sz w:val="32"/>
          <w:szCs w:val="32"/>
        </w:rPr>
        <w:t>年本年支出合计1153.64万元，其中：基本支出587.71万元，占</w:t>
      </w:r>
      <w:r>
        <w:rPr>
          <w:rFonts w:hint="eastAsia" w:ascii="仿宋_GB2312" w:eastAsia="仿宋_GB2312"/>
          <w:sz w:val="32"/>
          <w:szCs w:val="32"/>
          <w:lang w:val="en-US" w:eastAsia="zh-CN"/>
        </w:rPr>
        <w:t>50.94</w:t>
      </w:r>
      <w:r>
        <w:rPr>
          <w:rFonts w:ascii="仿宋_GB2312" w:eastAsia="仿宋_GB2312"/>
          <w:sz w:val="32"/>
          <w:szCs w:val="32"/>
        </w:rPr>
        <w:t>%</w:t>
      </w:r>
      <w:r>
        <w:rPr>
          <w:rFonts w:hint="eastAsia" w:ascii="仿宋_GB2312" w:eastAsia="仿宋_GB2312"/>
          <w:sz w:val="32"/>
          <w:szCs w:val="32"/>
        </w:rPr>
        <w:t>；项目支出565.93万元，占</w:t>
      </w:r>
      <w:r>
        <w:rPr>
          <w:rFonts w:hint="eastAsia" w:ascii="仿宋_GB2312" w:eastAsia="仿宋_GB2312"/>
          <w:sz w:val="32"/>
          <w:szCs w:val="32"/>
          <w:lang w:val="en-US" w:eastAsia="zh-CN"/>
        </w:rPr>
        <w:t>49.06</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lang w:val="en-US" w:eastAsia="zh-CN"/>
        </w:rPr>
        <w:t xml:space="preserve">                                                                                   </w:t>
      </w:r>
    </w:p>
    <w:p>
      <w:pPr>
        <w:pStyle w:val="2"/>
        <w:rPr>
          <w:rFonts w:ascii="仿宋_GB2312" w:eastAsia="仿宋_GB2312"/>
          <w:color w:val="FF0000"/>
          <w:sz w:val="32"/>
          <w:szCs w:val="32"/>
        </w:rPr>
      </w:pPr>
      <w:r>
        <w:drawing>
          <wp:inline distT="0" distB="0" distL="114300" distR="114300">
            <wp:extent cx="4989195" cy="2207895"/>
            <wp:effectExtent l="4445" t="4445" r="1651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7"/>
          <w:rFonts w:ascii="黑体" w:hAnsi="黑体" w:eastAsia="黑体"/>
          <w:b w:val="0"/>
        </w:rPr>
      </w:pPr>
      <w:bookmarkStart w:id="48" w:name="_Toc15377208"/>
      <w:bookmarkStart w:id="49" w:name="_Toc79163863"/>
      <w:bookmarkStart w:id="50" w:name="_Toc79163613"/>
      <w:bookmarkStart w:id="5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rPr>
        <w:t>2020年财政拨款收977.89</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rPr>
        <w:t>、支总计1153.64万元。与2019年相比，财政拨款收入减少</w:t>
      </w:r>
      <w:r>
        <w:rPr>
          <w:rFonts w:hint="eastAsia" w:ascii="仿宋_GB2312" w:hAnsi="仿宋_GB2312" w:eastAsia="仿宋_GB2312" w:cs="仿宋_GB2312"/>
          <w:color w:val="000000"/>
          <w:sz w:val="32"/>
          <w:szCs w:val="32"/>
          <w:lang w:val="en-US" w:eastAsia="zh-CN"/>
        </w:rPr>
        <w:t>1743.5</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178.29</w:t>
      </w:r>
      <w:r>
        <w:rPr>
          <w:rFonts w:hint="eastAsia" w:ascii="仿宋_GB2312" w:hAnsi="仿宋_GB2312" w:eastAsia="仿宋_GB2312" w:cs="仿宋_GB2312"/>
          <w:color w:val="000000"/>
          <w:sz w:val="32"/>
          <w:szCs w:val="32"/>
        </w:rPr>
        <w:t>%。财政拨款支出</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1274.05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110.44</w:t>
      </w:r>
      <w:r>
        <w:rPr>
          <w:rFonts w:hint="eastAsia" w:ascii="仿宋_GB2312" w:hAnsi="仿宋_GB2312" w:eastAsia="仿宋_GB2312" w:cs="仿宋_GB2312"/>
          <w:color w:val="000000"/>
          <w:sz w:val="32"/>
          <w:szCs w:val="32"/>
        </w:rPr>
        <w:t>%。主要变动原因：县</w:t>
      </w:r>
      <w:r>
        <w:rPr>
          <w:rFonts w:hint="eastAsia" w:ascii="仿宋_GB2312" w:hAnsi="仿宋_GB2312" w:eastAsia="仿宋_GB2312" w:cs="仿宋_GB2312"/>
          <w:color w:val="000000" w:themeColor="text1"/>
          <w:sz w:val="32"/>
          <w:szCs w:val="32"/>
          <w14:textFill>
            <w14:solidFill>
              <w14:schemeClr w14:val="tx1"/>
            </w14:solidFill>
          </w14:textFill>
        </w:rPr>
        <w:t>财政收回两年以上专项资金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和脱贫攻坚项目资金均在财政局农财股拨付。</w:t>
      </w:r>
    </w:p>
    <w:p>
      <w:pPr>
        <w:pStyle w:val="2"/>
        <w:rPr>
          <w:rFonts w:hint="eastAsia" w:ascii="仿宋" w:hAnsi="仿宋" w:eastAsia="仿宋"/>
          <w:color w:val="000000" w:themeColor="text1"/>
          <w:sz w:val="32"/>
          <w:szCs w:val="32"/>
          <w:lang w:eastAsia="zh-CN"/>
          <w14:textFill>
            <w14:solidFill>
              <w14:schemeClr w14:val="tx1"/>
            </w14:solidFill>
          </w14:textFill>
        </w:rPr>
      </w:pPr>
      <w:r>
        <w:drawing>
          <wp:inline distT="0" distB="0" distL="114300" distR="114300">
            <wp:extent cx="4967605" cy="2101850"/>
            <wp:effectExtent l="5080" t="4445" r="18415" b="825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hint="eastAsia" w:ascii="仿宋" w:hAnsi="仿宋" w:eastAsia="仿宋"/>
          <w:b/>
          <w:color w:val="00B050"/>
          <w:sz w:val="32"/>
          <w:szCs w:val="32"/>
          <w:lang w:val="en-US" w:eastAsia="zh-CN"/>
        </w:rPr>
      </w:pPr>
      <w:r>
        <w:rPr>
          <w:rFonts w:hint="eastAsia" w:ascii="仿宋" w:hAnsi="仿宋" w:eastAsia="仿宋"/>
          <w:b/>
          <w:color w:val="00B050"/>
          <w:sz w:val="32"/>
          <w:szCs w:val="32"/>
          <w:lang w:val="en-US" w:eastAsia="zh-CN"/>
        </w:rPr>
        <w:t xml:space="preserve"> </w:t>
      </w:r>
    </w:p>
    <w:p>
      <w:pPr>
        <w:spacing w:line="600" w:lineRule="exact"/>
        <w:ind w:firstLine="640" w:firstLineChars="200"/>
        <w:outlineLvl w:val="1"/>
        <w:rPr>
          <w:rStyle w:val="27"/>
          <w:rFonts w:ascii="黑体" w:hAnsi="黑体" w:eastAsia="黑体"/>
          <w:b w:val="0"/>
        </w:rPr>
      </w:pPr>
      <w:bookmarkStart w:id="52" w:name="_Toc79163864"/>
      <w:bookmarkStart w:id="53" w:name="_Toc15396607"/>
      <w:bookmarkStart w:id="54" w:name="_Toc15377209"/>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ascii="仿宋" w:hAnsi="仿宋" w:eastAsia="仿宋"/>
          <w:b/>
          <w:color w:val="000000"/>
          <w:sz w:val="32"/>
          <w:szCs w:val="32"/>
        </w:rPr>
      </w:pPr>
      <w:bookmarkStart w:id="56" w:name="_Toc79163865"/>
      <w:bookmarkStart w:id="57" w:name="_Toc7916361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rPr>
        <w:t>2020年一般公共预算财政拨款支出1153.64万元，占本年支出合计的</w:t>
      </w:r>
      <w:r>
        <w:rPr>
          <w:rFonts w:hint="eastAsia" w:ascii="仿宋_GB2312" w:hAnsi="仿宋_GB2312" w:eastAsia="仿宋_GB2312" w:cs="仿宋_GB2312"/>
          <w:color w:val="000000"/>
          <w:sz w:val="32"/>
          <w:szCs w:val="32"/>
          <w:lang w:val="en-US" w:eastAsia="zh-CN"/>
        </w:rPr>
        <w:t>98.81</w:t>
      </w:r>
      <w:r>
        <w:rPr>
          <w:rFonts w:hint="eastAsia" w:ascii="仿宋_GB2312" w:hAnsi="仿宋_GB2312" w:eastAsia="仿宋_GB2312" w:cs="仿宋_GB2312"/>
          <w:color w:val="000000"/>
          <w:sz w:val="32"/>
          <w:szCs w:val="32"/>
        </w:rPr>
        <w:t>%。与2019年相比，财政拨款支出</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1274.05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110.44</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themeColor="text1"/>
          <w:sz w:val="32"/>
          <w:szCs w:val="32"/>
          <w:lang w:eastAsia="zh-CN"/>
          <w14:textFill>
            <w14:solidFill>
              <w14:schemeClr w14:val="tx1"/>
            </w14:solidFill>
          </w14:textFill>
        </w:rPr>
        <w:t>脱贫攻坚项目资金均在财政局农财股拨付。</w:t>
      </w:r>
    </w:p>
    <w:p>
      <w:pPr>
        <w:pStyle w:val="2"/>
        <w:rPr>
          <w:rFonts w:hint="eastAsia"/>
          <w:lang w:val="en-US" w:eastAsia="zh-CN"/>
        </w:rPr>
      </w:pPr>
      <w:r>
        <w:drawing>
          <wp:anchor distT="0" distB="0" distL="114300" distR="114300" simplePos="0" relativeHeight="251660288" behindDoc="1" locked="0" layoutInCell="1" allowOverlap="1">
            <wp:simplePos x="0" y="0"/>
            <wp:positionH relativeFrom="column">
              <wp:posOffset>4445</wp:posOffset>
            </wp:positionH>
            <wp:positionV relativeFrom="paragraph">
              <wp:posOffset>146050</wp:posOffset>
            </wp:positionV>
            <wp:extent cx="5113655" cy="2553335"/>
            <wp:effectExtent l="4445" t="4445" r="6350" b="13970"/>
            <wp:wrapThrough wrapText="bothSides">
              <wp:wrapPolygon>
                <wp:start x="-19" y="-38"/>
                <wp:lineTo x="-19" y="21557"/>
                <wp:lineTo x="21546" y="21557"/>
                <wp:lineTo x="21546" y="-38"/>
                <wp:lineTo x="-19" y="-38"/>
              </wp:wrapPolygon>
            </wp:wrapThrough>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59" w:name="_Toc79163616"/>
      <w:bookmarkStart w:id="60" w:name="_Toc79163866"/>
      <w:bookmarkStart w:id="61" w:name="_Toc15377211"/>
      <w:r>
        <w:rPr>
          <w:rFonts w:hint="eastAsia"/>
          <w:lang w:val="en-US" w:eastAsia="zh-CN"/>
        </w:rPr>
        <w:t xml:space="preserve">    </w:t>
      </w:r>
    </w:p>
    <w:p>
      <w:pPr>
        <w:pStyle w:val="2"/>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textAlignment w:val="auto"/>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9"/>
      <w:bookmarkEnd w:id="60"/>
      <w:bookmarkEnd w:id="61"/>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2020年一般公共预算财政拨款支出1153.64万元，主要用于以下方面:</w:t>
      </w:r>
      <w:r>
        <w:rPr>
          <w:rFonts w:hint="eastAsia" w:ascii="仿宋_GB2312" w:hAnsi="仿宋_GB2312" w:eastAsia="仿宋_GB2312" w:cs="仿宋_GB2312"/>
          <w:b/>
          <w:color w:val="000000"/>
          <w:sz w:val="32"/>
          <w:szCs w:val="32"/>
        </w:rPr>
        <w:t>一般公共服务（类）</w:t>
      </w:r>
      <w:r>
        <w:rPr>
          <w:rFonts w:hint="eastAsia" w:ascii="仿宋_GB2312" w:hAnsi="仿宋_GB2312" w:eastAsia="仿宋_GB2312" w:cs="仿宋_GB2312"/>
          <w:b/>
          <w:color w:val="000000"/>
          <w:sz w:val="32"/>
          <w:szCs w:val="32"/>
          <w:lang w:val="en-US" w:eastAsia="zh-CN"/>
        </w:rPr>
        <w:t>201</w:t>
      </w:r>
      <w:r>
        <w:rPr>
          <w:rFonts w:hint="eastAsia" w:ascii="仿宋_GB2312" w:hAnsi="仿宋_GB2312" w:eastAsia="仿宋_GB2312" w:cs="仿宋_GB2312"/>
          <w:color w:val="000000"/>
          <w:sz w:val="32"/>
          <w:szCs w:val="32"/>
        </w:rPr>
        <w:t>支出493.07万元，占</w:t>
      </w:r>
      <w:r>
        <w:rPr>
          <w:rFonts w:hint="eastAsia" w:ascii="仿宋_GB2312" w:hAnsi="仿宋_GB2312" w:eastAsia="仿宋_GB2312" w:cs="仿宋_GB2312"/>
          <w:color w:val="000000"/>
          <w:sz w:val="32"/>
          <w:szCs w:val="32"/>
          <w:lang w:val="en-US" w:eastAsia="zh-CN"/>
        </w:rPr>
        <w:t>42.74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themeColor="text1"/>
          <w:sz w:val="32"/>
          <w:szCs w:val="32"/>
          <w14:textFill>
            <w14:solidFill>
              <w14:schemeClr w14:val="tx1"/>
            </w14:solidFill>
          </w14:textFill>
        </w:rPr>
        <w:t>国防（类）2</w:t>
      </w:r>
      <w:r>
        <w:rPr>
          <w:rFonts w:hint="eastAsia" w:ascii="仿宋_GB2312" w:hAnsi="仿宋_GB2312" w:eastAsia="仿宋_GB2312" w:cs="仿宋_GB2312"/>
          <w:b/>
          <w:color w:val="000000"/>
          <w:sz w:val="32"/>
          <w:szCs w:val="32"/>
          <w:lang w:val="en-US" w:eastAsia="zh-CN"/>
        </w:rPr>
        <w:t>03</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4.91万元，占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sz w:val="32"/>
          <w:szCs w:val="32"/>
        </w:rPr>
        <w:t>科学技术（类）</w:t>
      </w:r>
      <w:r>
        <w:rPr>
          <w:rFonts w:hint="eastAsia" w:ascii="仿宋_GB2312" w:hAnsi="仿宋_GB2312" w:eastAsia="仿宋_GB2312" w:cs="仿宋_GB2312"/>
          <w:b/>
          <w:color w:val="000000"/>
          <w:sz w:val="32"/>
          <w:szCs w:val="32"/>
          <w:lang w:val="en-US" w:eastAsia="zh-CN"/>
        </w:rPr>
        <w:t>206</w:t>
      </w:r>
      <w:r>
        <w:rPr>
          <w:rFonts w:hint="eastAsia" w:ascii="仿宋_GB2312" w:hAnsi="仿宋_GB2312" w:eastAsia="仿宋_GB2312" w:cs="仿宋_GB2312"/>
          <w:color w:val="000000"/>
          <w:sz w:val="32"/>
          <w:szCs w:val="32"/>
        </w:rPr>
        <w:t>支出10万元，占</w:t>
      </w:r>
      <w:r>
        <w:rPr>
          <w:rFonts w:hint="eastAsia" w:ascii="仿宋_GB2312" w:hAnsi="仿宋_GB2312" w:eastAsia="仿宋_GB2312" w:cs="仿宋_GB2312"/>
          <w:color w:val="000000"/>
          <w:sz w:val="32"/>
          <w:szCs w:val="32"/>
          <w:lang w:val="en-US" w:eastAsia="zh-CN"/>
        </w:rPr>
        <w:t>0.87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社会保障和就业（类）</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color w:val="000000"/>
          <w:sz w:val="32"/>
          <w:szCs w:val="32"/>
        </w:rPr>
        <w:t>支出88.07万元，占</w:t>
      </w:r>
      <w:r>
        <w:rPr>
          <w:rFonts w:hint="eastAsia" w:ascii="仿宋_GB2312" w:hAnsi="仿宋_GB2312" w:eastAsia="仿宋_GB2312" w:cs="仿宋_GB2312"/>
          <w:color w:val="000000"/>
          <w:sz w:val="32"/>
          <w:szCs w:val="32"/>
          <w:lang w:val="en-US" w:eastAsia="zh-CN"/>
        </w:rPr>
        <w:t>7.63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b/>
          <w:color w:val="000000"/>
          <w:sz w:val="32"/>
          <w:szCs w:val="32"/>
          <w:lang w:val="en-US" w:eastAsia="zh-CN"/>
        </w:rPr>
        <w:t>210</w:t>
      </w:r>
      <w:r>
        <w:rPr>
          <w:rFonts w:hint="eastAsia" w:ascii="仿宋_GB2312" w:hAnsi="仿宋_GB2312" w:eastAsia="仿宋_GB2312" w:cs="仿宋_GB2312"/>
          <w:color w:val="000000"/>
          <w:sz w:val="32"/>
          <w:szCs w:val="32"/>
        </w:rPr>
        <w:t>支出24.63万元，占</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节能环保（类)211</w:t>
      </w:r>
      <w:r>
        <w:rPr>
          <w:rFonts w:hint="eastAsia" w:ascii="仿宋_GB2312" w:hAnsi="仿宋_GB2312" w:eastAsia="仿宋_GB2312" w:cs="仿宋_GB2312"/>
          <w:color w:val="000000"/>
          <w:sz w:val="32"/>
          <w:szCs w:val="32"/>
        </w:rPr>
        <w:t>支出1.99</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农林水（类）213</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themeColor="text1"/>
          <w:sz w:val="32"/>
          <w:szCs w:val="32"/>
          <w14:textFill>
            <w14:solidFill>
              <w14:schemeClr w14:val="tx1"/>
            </w14:solidFill>
          </w14:textFill>
        </w:rPr>
        <w:t>478.19万元，占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41.45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住房保障（类）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221</w:t>
      </w:r>
      <w:r>
        <w:rPr>
          <w:rFonts w:hint="eastAsia" w:ascii="仿宋_GB2312" w:hAnsi="仿宋_GB2312" w:eastAsia="仿宋_GB2312" w:cs="仿宋_GB2312"/>
          <w:color w:val="000000"/>
          <w:sz w:val="32"/>
          <w:szCs w:val="32"/>
        </w:rPr>
        <w:t>支出51.79</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灾害防治及应急管理（类）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224</w:t>
      </w:r>
      <w:r>
        <w:rPr>
          <w:rFonts w:hint="eastAsia" w:ascii="仿宋_GB2312" w:hAnsi="仿宋_GB2312" w:eastAsia="仿宋_GB2312" w:cs="仿宋_GB2312"/>
          <w:color w:val="000000" w:themeColor="text1"/>
          <w:sz w:val="32"/>
          <w:szCs w:val="32"/>
          <w14:textFill>
            <w14:solidFill>
              <w14:schemeClr w14:val="tx1"/>
            </w14:solidFill>
          </w14:textFill>
        </w:rPr>
        <w:t>支出0.99万元，占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0.64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color w:val="000000"/>
          <w:sz w:val="32"/>
          <w:szCs w:val="32"/>
        </w:rPr>
      </w:pPr>
      <w:r>
        <w:drawing>
          <wp:anchor distT="0" distB="0" distL="114300" distR="114300" simplePos="0" relativeHeight="251661312" behindDoc="0" locked="0" layoutInCell="1" allowOverlap="1">
            <wp:simplePos x="0" y="0"/>
            <wp:positionH relativeFrom="column">
              <wp:posOffset>4445</wp:posOffset>
            </wp:positionH>
            <wp:positionV relativeFrom="paragraph">
              <wp:posOffset>60960</wp:posOffset>
            </wp:positionV>
            <wp:extent cx="5135880" cy="2816225"/>
            <wp:effectExtent l="4445" t="4445" r="22225" b="1778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62" w:name="_Toc79163867"/>
      <w:bookmarkStart w:id="63" w:name="_Toc15377212"/>
      <w:bookmarkStart w:id="64" w:name="_Toc79163617"/>
      <w:r>
        <w:rPr>
          <w:rFonts w:hint="eastAsia"/>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color w:val="000000"/>
          <w:sz w:val="32"/>
          <w:szCs w:val="32"/>
        </w:rPr>
        <w:t>（三）一般公共预算财政拨款支出决算具体情况</w:t>
      </w:r>
      <w:bookmarkEnd w:id="62"/>
      <w:bookmarkEnd w:id="63"/>
      <w:bookmarkEnd w:id="64"/>
    </w:p>
    <w:p>
      <w:pPr>
        <w:keepNext w:val="0"/>
        <w:keepLines w:val="0"/>
        <w:pageBreakBefore w:val="0"/>
        <w:widowControl w:val="0"/>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b/>
          <w:bCs/>
          <w:sz w:val="32"/>
          <w:szCs w:val="32"/>
        </w:rPr>
      </w:pPr>
      <w:bookmarkStart w:id="65" w:name="_Toc15378460"/>
      <w:bookmarkStart w:id="66" w:name="_Toc15377444"/>
      <w:bookmarkStart w:id="67" w:name="_Toc15377213"/>
      <w:r>
        <w:rPr>
          <w:rFonts w:hint="eastAsia" w:ascii="仿宋_GB2312" w:hAnsi="仿宋_GB2312" w:eastAsia="仿宋_GB2312" w:cs="仿宋_GB2312"/>
          <w:b/>
          <w:bCs/>
          <w:sz w:val="32"/>
          <w:szCs w:val="32"/>
        </w:rPr>
        <w:t>2020年一般公共预算支出决算数为</w:t>
      </w:r>
      <w:r>
        <w:rPr>
          <w:rFonts w:hint="eastAsia" w:ascii="仿宋_GB2312" w:hAnsi="仿宋_GB2312" w:eastAsia="仿宋_GB2312" w:cs="仿宋_GB2312"/>
          <w:color w:val="000000"/>
          <w:sz w:val="32"/>
          <w:szCs w:val="32"/>
        </w:rPr>
        <w:t>1153.64</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b/>
          <w:bCs/>
          <w:sz w:val="32"/>
          <w:szCs w:val="32"/>
        </w:rPr>
        <w:t>，完成预算</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%。其中：</w:t>
      </w:r>
      <w:bookmarkEnd w:id="65"/>
      <w:bookmarkEnd w:id="66"/>
      <w:bookmarkEnd w:id="67"/>
    </w:p>
    <w:p>
      <w:pPr>
        <w:pStyle w:val="2"/>
        <w:keepNext w:val="0"/>
        <w:keepLines w:val="0"/>
        <w:pageBreakBefore w:val="0"/>
        <w:widowControl w:val="0"/>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Cs/>
          <w:color w:val="000000"/>
          <w:sz w:val="32"/>
          <w:szCs w:val="32"/>
        </w:rPr>
        <w:t>一般公共服务（类）</w:t>
      </w:r>
      <w:r>
        <w:rPr>
          <w:rStyle w:val="23"/>
          <w:rFonts w:hint="eastAsia" w:ascii="仿宋_GB2312" w:hAnsi="仿宋_GB2312" w:eastAsia="仿宋_GB2312" w:cs="仿宋_GB2312"/>
          <w:bCs/>
          <w:color w:val="000000"/>
          <w:sz w:val="32"/>
          <w:szCs w:val="32"/>
          <w:lang w:val="en-US" w:eastAsia="zh-CN"/>
        </w:rPr>
        <w:t>201</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其中</w:t>
      </w:r>
      <w:r>
        <w:rPr>
          <w:rFonts w:hint="eastAsia" w:ascii="仿宋_GB2312" w:hAnsi="仿宋_GB2312" w:eastAsia="仿宋_GB2312" w:cs="仿宋_GB2312"/>
          <w:color w:val="000000"/>
          <w:sz w:val="32"/>
          <w:szCs w:val="32"/>
        </w:rPr>
        <w:t>（01款）人大事务中的（01项）行政运行13.17万元、（04项）人大会议4.81万元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（03款）政府办公厅（室）及相关机构事务中的（01项）行政运行301.73万元、(</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项）一般行政管理事务支出13.19万元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款）财政事务</w:t>
      </w:r>
      <w:r>
        <w:rPr>
          <w:rFonts w:hint="eastAsia" w:ascii="仿宋_GB2312" w:hAnsi="仿宋_GB2312" w:eastAsia="仿宋_GB2312" w:cs="仿宋_GB2312"/>
          <w:color w:val="000000"/>
          <w:sz w:val="32"/>
          <w:szCs w:val="32"/>
          <w:lang w:eastAsia="zh-CN"/>
        </w:rPr>
        <w:t>中的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项）事业运行91.8万元、(</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其他财政事务支出0.7万元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款） 群众团体事务</w:t>
      </w:r>
      <w:r>
        <w:rPr>
          <w:rFonts w:hint="eastAsia" w:ascii="仿宋_GB2312" w:hAnsi="仿宋_GB2312" w:eastAsia="仿宋_GB2312" w:cs="仿宋_GB2312"/>
          <w:color w:val="000000"/>
          <w:sz w:val="32"/>
          <w:szCs w:val="32"/>
          <w:lang w:eastAsia="zh-CN"/>
        </w:rPr>
        <w:t>中的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项）其他群众团体事务支出</w:t>
      </w:r>
      <w:r>
        <w:rPr>
          <w:rFonts w:hint="eastAsia" w:ascii="仿宋_GB2312" w:hAnsi="仿宋_GB2312" w:eastAsia="仿宋_GB2312" w:cs="仿宋_GB2312"/>
          <w:color w:val="000000"/>
          <w:sz w:val="32"/>
          <w:szCs w:val="32"/>
          <w:lang w:val="en-US" w:eastAsia="zh-CN"/>
        </w:rPr>
        <w:t>2万元,</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款） 党委办公厅（室）及相关机构事务</w:t>
      </w:r>
      <w:r>
        <w:rPr>
          <w:rFonts w:hint="eastAsia" w:ascii="仿宋_GB2312" w:hAnsi="仿宋_GB2312" w:eastAsia="仿宋_GB2312" w:cs="仿宋_GB2312"/>
          <w:color w:val="000000"/>
          <w:sz w:val="32"/>
          <w:szCs w:val="32"/>
          <w:lang w:eastAsia="zh-CN"/>
        </w:rPr>
        <w:t>中的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行政运行支出53.62万元。</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32</w:t>
      </w:r>
      <w:r>
        <w:rPr>
          <w:rFonts w:hint="eastAsia" w:ascii="仿宋_GB2312" w:hAnsi="仿宋_GB2312" w:eastAsia="仿宋_GB2312" w:cs="仿宋_GB2312"/>
          <w:color w:val="000000"/>
          <w:sz w:val="32"/>
          <w:szCs w:val="32"/>
        </w:rPr>
        <w:t>款）组织事务中的（99项）其他组织事务支出2.1万元。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款）其他一般公共服务支出中的（</w:t>
      </w:r>
      <w:r>
        <w:rPr>
          <w:rFonts w:hint="eastAsia" w:ascii="仿宋_GB2312" w:hAnsi="仿宋_GB2312" w:eastAsia="仿宋_GB2312" w:cs="仿宋_GB2312"/>
          <w:color w:val="000000"/>
          <w:sz w:val="32"/>
          <w:szCs w:val="32"/>
          <w:lang w:val="en-US" w:eastAsia="zh-CN"/>
        </w:rPr>
        <w:t>999</w:t>
      </w:r>
      <w:r>
        <w:rPr>
          <w:rFonts w:hint="eastAsia" w:ascii="仿宋_GB2312" w:hAnsi="仿宋_GB2312" w:eastAsia="仿宋_GB2312" w:cs="仿宋_GB2312"/>
          <w:color w:val="000000"/>
          <w:sz w:val="32"/>
          <w:szCs w:val="32"/>
        </w:rPr>
        <w:t>项） 其他一般公共服务支出9.95</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99.53</w:t>
      </w:r>
      <w:r>
        <w:rPr>
          <w:rFonts w:hint="eastAsia" w:ascii="仿宋_GB2312" w:hAnsi="仿宋_GB2312" w:eastAsia="仿宋_GB2312" w:cs="仿宋_GB2312"/>
          <w:color w:val="000000" w:themeColor="text1"/>
          <w:sz w:val="32"/>
          <w:szCs w:val="32"/>
          <w14:textFill>
            <w14:solidFill>
              <w14:schemeClr w14:val="tx1"/>
            </w14:solidFill>
          </w14:textFill>
        </w:rPr>
        <w:t>%，预算数大于决算数。</w:t>
      </w:r>
    </w:p>
    <w:p>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rPr>
        <w:t xml:space="preserve">     </w:t>
      </w:r>
      <w:r>
        <w:rPr>
          <w:rStyle w:val="23"/>
          <w:rFonts w:hint="eastAsia" w:ascii="仿宋_GB2312" w:hAnsi="仿宋_GB2312" w:eastAsia="仿宋_GB2312" w:cs="仿宋_GB2312"/>
          <w:bCs/>
          <w:color w:val="000000"/>
          <w:kern w:val="2"/>
          <w:sz w:val="32"/>
          <w:szCs w:val="32"/>
          <w:lang w:val="en-US" w:eastAsia="zh-CN" w:bidi="ar-SA"/>
        </w:rPr>
        <w:t xml:space="preserve"> 2.国</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防支出（类）203</w:t>
      </w:r>
      <w:r>
        <w:rPr>
          <w:rStyle w:val="23"/>
          <w:rFonts w:hint="eastAsia" w:ascii="仿宋_GB2312" w:hAnsi="仿宋_GB2312" w:eastAsia="仿宋_GB2312" w:cs="仿宋_GB2312"/>
          <w:bCs/>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其中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06款）国防动员中的（07项）民兵</w:t>
      </w:r>
      <w:r>
        <w:rPr>
          <w:rFonts w:hint="eastAsia" w:ascii="仿宋_GB2312" w:hAnsi="仿宋_GB2312" w:eastAsia="仿宋_GB2312" w:cs="仿宋_GB2312"/>
          <w:color w:val="000000"/>
          <w:sz w:val="32"/>
          <w:szCs w:val="32"/>
          <w:lang w:eastAsia="zh-CN"/>
        </w:rPr>
        <w:t>支出为：</w:t>
      </w:r>
      <w:r>
        <w:rPr>
          <w:rFonts w:hint="eastAsia" w:ascii="仿宋_GB2312" w:hAnsi="仿宋_GB2312" w:eastAsia="仿宋_GB2312" w:cs="仿宋_GB2312"/>
          <w:color w:val="000000"/>
          <w:sz w:val="32"/>
          <w:szCs w:val="32"/>
        </w:rPr>
        <w:t>4.91万元。</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98.2</w:t>
      </w:r>
      <w:r>
        <w:rPr>
          <w:rFonts w:hint="eastAsia" w:ascii="仿宋_GB2312" w:hAnsi="仿宋_GB2312" w:eastAsia="仿宋_GB2312" w:cs="仿宋_GB2312"/>
          <w:color w:val="000000" w:themeColor="text1"/>
          <w:sz w:val="32"/>
          <w:szCs w:val="32"/>
          <w14:textFill>
            <w14:solidFill>
              <w14:schemeClr w14:val="tx1"/>
            </w14:solidFill>
          </w14:textFill>
        </w:rPr>
        <w:t>%，预算数大于决算数。</w:t>
      </w:r>
    </w:p>
    <w:p>
      <w:pPr>
        <w:pStyle w:val="2"/>
        <w:keepNext w:val="0"/>
        <w:keepLines w:val="0"/>
        <w:pageBreakBefore w:val="0"/>
        <w:widowControl w:val="0"/>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23"/>
          <w:rFonts w:hint="eastAsia" w:ascii="仿宋_GB2312" w:hAnsi="仿宋_GB2312" w:eastAsia="仿宋_GB2312" w:cs="仿宋_GB2312"/>
          <w:bCs/>
          <w:color w:val="000000"/>
          <w:sz w:val="32"/>
          <w:szCs w:val="32"/>
        </w:rPr>
        <w:t>3.科学技术（类）</w:t>
      </w:r>
      <w:r>
        <w:rPr>
          <w:rStyle w:val="23"/>
          <w:rFonts w:hint="eastAsia" w:ascii="仿宋_GB2312" w:hAnsi="仿宋_GB2312" w:eastAsia="仿宋_GB2312" w:cs="仿宋_GB2312"/>
          <w:bCs/>
          <w:color w:val="000000"/>
          <w:sz w:val="32"/>
          <w:szCs w:val="32"/>
          <w:lang w:val="en-US" w:eastAsia="zh-CN"/>
        </w:rPr>
        <w:t>206</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其中（07款）科学技术普及中的    （99项）其他科学技术普及支出</w:t>
      </w:r>
      <w:r>
        <w:rPr>
          <w:rStyle w:val="23"/>
          <w:rFonts w:hint="eastAsia" w:ascii="仿宋_GB2312" w:hAnsi="仿宋_GB2312" w:eastAsia="仿宋_GB2312" w:cs="仿宋_GB2312"/>
          <w:b w:val="0"/>
          <w:bCs/>
          <w:color w:val="000000"/>
          <w:sz w:val="32"/>
          <w:szCs w:val="32"/>
        </w:rPr>
        <w:t>支出决算为10万元，完成预算</w:t>
      </w:r>
      <w:r>
        <w:rPr>
          <w:rStyle w:val="23"/>
          <w:rFonts w:hint="eastAsia" w:ascii="仿宋_GB2312" w:hAnsi="仿宋_GB2312" w:eastAsia="仿宋_GB2312" w:cs="仿宋_GB2312"/>
          <w:b w:val="0"/>
          <w:bCs/>
          <w:color w:val="000000"/>
          <w:sz w:val="32"/>
          <w:szCs w:val="32"/>
          <w:lang w:val="en-US" w:eastAsia="zh-CN"/>
        </w:rPr>
        <w:t>100</w:t>
      </w:r>
      <w:r>
        <w:rPr>
          <w:rStyle w:val="23"/>
          <w:rFonts w:hint="eastAsia" w:ascii="仿宋_GB2312" w:hAnsi="仿宋_GB2312" w:eastAsia="仿宋_GB2312" w:cs="仿宋_GB2312"/>
          <w:b w:val="0"/>
          <w:bCs/>
          <w:color w:val="000000"/>
          <w:sz w:val="32"/>
          <w:szCs w:val="32"/>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b/>
          <w:color w:val="000000"/>
          <w:sz w:val="32"/>
          <w:szCs w:val="32"/>
        </w:rPr>
      </w:pPr>
      <w:r>
        <w:rPr>
          <w:rStyle w:val="23"/>
          <w:rFonts w:hint="eastAsia" w:ascii="仿宋_GB2312" w:hAnsi="仿宋_GB2312" w:eastAsia="仿宋_GB2312" w:cs="仿宋_GB2312"/>
          <w:bCs/>
          <w:color w:val="000000"/>
          <w:sz w:val="32"/>
          <w:szCs w:val="32"/>
          <w:lang w:val="en-US" w:eastAsia="zh-CN"/>
        </w:rPr>
        <w:t>4</w:t>
      </w:r>
      <w:r>
        <w:rPr>
          <w:rStyle w:val="23"/>
          <w:rFonts w:hint="eastAsia" w:ascii="仿宋_GB2312" w:hAnsi="仿宋_GB2312" w:eastAsia="仿宋_GB2312" w:cs="仿宋_GB2312"/>
          <w:bCs/>
          <w:color w:val="000000"/>
          <w:sz w:val="32"/>
          <w:szCs w:val="32"/>
        </w:rPr>
        <w:t>.社会保障和就业（类）</w:t>
      </w:r>
      <w:r>
        <w:rPr>
          <w:rStyle w:val="23"/>
          <w:rFonts w:hint="eastAsia" w:ascii="仿宋_GB2312" w:hAnsi="仿宋_GB2312" w:eastAsia="仿宋_GB2312" w:cs="仿宋_GB2312"/>
          <w:bCs/>
          <w:color w:val="000000"/>
          <w:sz w:val="32"/>
          <w:szCs w:val="32"/>
          <w:lang w:val="en-US" w:eastAsia="zh-CN"/>
        </w:rPr>
        <w:t>208：其</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中（02款）民政管理事务中的（08项）基层政权建设和社区治理支出决算为31.96万元，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行政事业单位养老支出</w:t>
      </w:r>
      <w:r>
        <w:rPr>
          <w:rFonts w:hint="eastAsia"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项）机关事业单位基本养老保险缴费</w:t>
      </w:r>
      <w:r>
        <w:rPr>
          <w:rStyle w:val="23"/>
          <w:rFonts w:hint="eastAsia" w:ascii="仿宋_GB2312" w:hAnsi="仿宋_GB2312" w:eastAsia="仿宋_GB2312" w:cs="仿宋_GB2312"/>
          <w:b w:val="0"/>
          <w:bCs/>
          <w:color w:val="000000"/>
          <w:sz w:val="32"/>
          <w:szCs w:val="32"/>
        </w:rPr>
        <w:t>支出决算为37.19万元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项） 机关事业单位职业年金缴费</w:t>
      </w:r>
      <w:r>
        <w:rPr>
          <w:rStyle w:val="23"/>
          <w:rFonts w:hint="eastAsia" w:ascii="仿宋_GB2312" w:hAnsi="仿宋_GB2312" w:eastAsia="仿宋_GB2312" w:cs="仿宋_GB2312"/>
          <w:b w:val="0"/>
          <w:bCs/>
          <w:color w:val="000000"/>
          <w:sz w:val="32"/>
          <w:szCs w:val="32"/>
        </w:rPr>
        <w:t>支出决算为</w:t>
      </w:r>
      <w:r>
        <w:rPr>
          <w:rFonts w:hint="eastAsia" w:ascii="仿宋_GB2312" w:hAnsi="仿宋_GB2312" w:eastAsia="仿宋_GB2312" w:cs="仿宋_GB2312"/>
          <w:color w:val="000000"/>
          <w:sz w:val="32"/>
          <w:szCs w:val="32"/>
        </w:rPr>
        <w:t>18.92万元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kinsoku/>
        <w:wordWrap/>
        <w:overflowPunct/>
        <w:topLinePunct w:val="0"/>
        <w:bidi w:val="0"/>
        <w:snapToGrid/>
        <w:spacing w:line="560" w:lineRule="exact"/>
        <w:ind w:firstLine="963"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23"/>
          <w:rFonts w:hint="eastAsia" w:ascii="仿宋_GB2312" w:hAnsi="仿宋_GB2312" w:eastAsia="仿宋_GB2312" w:cs="仿宋_GB2312"/>
          <w:bCs/>
          <w:color w:val="000000"/>
          <w:sz w:val="32"/>
          <w:szCs w:val="32"/>
          <w:lang w:val="en-US" w:eastAsia="zh-CN"/>
        </w:rPr>
        <w:t>5.</w:t>
      </w:r>
      <w:r>
        <w:rPr>
          <w:rStyle w:val="23"/>
          <w:rFonts w:hint="eastAsia" w:ascii="仿宋_GB2312" w:hAnsi="仿宋_GB2312" w:eastAsia="仿宋_GB2312" w:cs="仿宋_GB2312"/>
          <w:bCs/>
          <w:color w:val="000000"/>
          <w:sz w:val="32"/>
          <w:szCs w:val="32"/>
        </w:rPr>
        <w:t>卫生健康支出（类）</w:t>
      </w:r>
      <w:r>
        <w:rPr>
          <w:rStyle w:val="23"/>
          <w:rFonts w:hint="eastAsia" w:ascii="仿宋_GB2312" w:hAnsi="仿宋_GB2312" w:eastAsia="仿宋_GB2312" w:cs="仿宋_GB2312"/>
          <w:bCs/>
          <w:color w:val="000000"/>
          <w:sz w:val="32"/>
          <w:szCs w:val="32"/>
          <w:lang w:val="en-US" w:eastAsia="zh-CN"/>
        </w:rPr>
        <w:t>210：其</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中（04款）公共卫生（09项）重大公共卫生服务支出决算为2万元，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行政事业单位医疗</w:t>
      </w:r>
      <w:r>
        <w:rPr>
          <w:rFonts w:hint="eastAsia"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项）行政单位医疗</w:t>
      </w:r>
      <w:r>
        <w:rPr>
          <w:rStyle w:val="23"/>
          <w:rFonts w:hint="eastAsia" w:ascii="仿宋_GB2312" w:hAnsi="仿宋_GB2312" w:eastAsia="仿宋_GB2312" w:cs="仿宋_GB2312"/>
          <w:b w:val="0"/>
          <w:bCs/>
          <w:color w:val="000000"/>
          <w:sz w:val="32"/>
          <w:szCs w:val="32"/>
        </w:rPr>
        <w:t>支出决算为15.79万元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项）事业单位医疗</w:t>
      </w:r>
      <w:r>
        <w:rPr>
          <w:rStyle w:val="23"/>
          <w:rFonts w:hint="eastAsia" w:ascii="仿宋_GB2312" w:hAnsi="仿宋_GB2312" w:eastAsia="仿宋_GB2312" w:cs="仿宋_GB2312"/>
          <w:b w:val="0"/>
          <w:bCs/>
          <w:color w:val="000000"/>
          <w:sz w:val="32"/>
          <w:szCs w:val="32"/>
        </w:rPr>
        <w:t>支出决算为</w:t>
      </w:r>
      <w:r>
        <w:rPr>
          <w:rFonts w:hint="eastAsia" w:ascii="仿宋_GB2312" w:hAnsi="仿宋_GB2312" w:eastAsia="仿宋_GB2312" w:cs="仿宋_GB2312"/>
          <w:color w:val="000000"/>
          <w:sz w:val="32"/>
          <w:szCs w:val="32"/>
          <w:lang w:val="en-US" w:eastAsia="zh-CN"/>
        </w:rPr>
        <w:t>6.84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firstLine="963"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23"/>
          <w:rFonts w:hint="eastAsia" w:ascii="仿宋_GB2312" w:hAnsi="仿宋_GB2312" w:eastAsia="仿宋_GB2312" w:cs="仿宋_GB2312"/>
          <w:bCs/>
          <w:color w:val="000000"/>
          <w:sz w:val="32"/>
          <w:szCs w:val="32"/>
          <w:lang w:val="en-US" w:eastAsia="zh-CN"/>
        </w:rPr>
        <w:t>6.</w:t>
      </w:r>
      <w:r>
        <w:rPr>
          <w:rStyle w:val="23"/>
          <w:rFonts w:hint="eastAsia" w:ascii="仿宋_GB2312" w:hAnsi="仿宋_GB2312" w:eastAsia="仿宋_GB2312" w:cs="仿宋_GB2312"/>
          <w:bCs/>
          <w:color w:val="000000"/>
          <w:sz w:val="32"/>
          <w:szCs w:val="32"/>
        </w:rPr>
        <w:t>节能环保支出（类）</w:t>
      </w:r>
      <w:r>
        <w:rPr>
          <w:rStyle w:val="23"/>
          <w:rFonts w:hint="eastAsia" w:ascii="仿宋_GB2312" w:hAnsi="仿宋_GB2312" w:eastAsia="仿宋_GB2312" w:cs="仿宋_GB2312"/>
          <w:bCs/>
          <w:color w:val="000000"/>
          <w:sz w:val="32"/>
          <w:szCs w:val="32"/>
          <w:lang w:val="en-US" w:eastAsia="zh-CN"/>
        </w:rPr>
        <w:t>211：其</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中（04款）自然生态保护（02项）  农村环境保护支出决算为1.99万元，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firstLine="963"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23"/>
          <w:rFonts w:hint="eastAsia" w:ascii="仿宋_GB2312" w:hAnsi="仿宋_GB2312" w:eastAsia="仿宋_GB2312" w:cs="仿宋_GB2312"/>
          <w:bCs/>
          <w:color w:val="000000"/>
          <w:sz w:val="32"/>
          <w:szCs w:val="32"/>
          <w:lang w:val="en-US" w:eastAsia="zh-CN"/>
        </w:rPr>
        <w:t>7.</w:t>
      </w:r>
      <w:r>
        <w:rPr>
          <w:rStyle w:val="23"/>
          <w:rFonts w:hint="eastAsia" w:ascii="仿宋_GB2312" w:hAnsi="仿宋_GB2312" w:eastAsia="仿宋_GB2312" w:cs="仿宋_GB2312"/>
          <w:bCs/>
          <w:color w:val="000000"/>
          <w:sz w:val="32"/>
          <w:szCs w:val="32"/>
        </w:rPr>
        <w:t>农林水支出（类）</w:t>
      </w:r>
      <w:r>
        <w:rPr>
          <w:rStyle w:val="23"/>
          <w:rFonts w:hint="eastAsia" w:ascii="仿宋_GB2312" w:hAnsi="仿宋_GB2312" w:eastAsia="仿宋_GB2312" w:cs="仿宋_GB2312"/>
          <w:bCs/>
          <w:color w:val="000000"/>
          <w:sz w:val="32"/>
          <w:szCs w:val="32"/>
          <w:lang w:val="en-US" w:eastAsia="zh-CN"/>
        </w:rPr>
        <w:t>213：其</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中（01款）农业农村（99项）其他农业农村支出支出决算为1.99万元，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林业和草原</w:t>
      </w:r>
      <w:r>
        <w:rPr>
          <w:rFonts w:hint="eastAsia"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项）自然保护区等管理</w:t>
      </w:r>
      <w:r>
        <w:rPr>
          <w:rStyle w:val="23"/>
          <w:rFonts w:hint="eastAsia" w:ascii="仿宋_GB2312" w:hAnsi="仿宋_GB2312" w:eastAsia="仿宋_GB2312" w:cs="仿宋_GB2312"/>
          <w:b w:val="0"/>
          <w:bCs/>
          <w:color w:val="000000"/>
          <w:sz w:val="32"/>
          <w:szCs w:val="32"/>
        </w:rPr>
        <w:t>支出决算为1.72万元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项）林业草原防灾减灾</w:t>
      </w:r>
      <w:r>
        <w:rPr>
          <w:rStyle w:val="23"/>
          <w:rFonts w:hint="eastAsia" w:ascii="仿宋_GB2312" w:hAnsi="仿宋_GB2312" w:eastAsia="仿宋_GB2312" w:cs="仿宋_GB2312"/>
          <w:b w:val="0"/>
          <w:bCs/>
          <w:color w:val="000000"/>
          <w:sz w:val="32"/>
          <w:szCs w:val="32"/>
        </w:rPr>
        <w:t>支出决算</w:t>
      </w:r>
      <w:r>
        <w:rPr>
          <w:rStyle w:val="23"/>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水利</w:t>
      </w:r>
      <w:r>
        <w:rPr>
          <w:rFonts w:hint="eastAsia"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项） 防汛</w:t>
      </w:r>
      <w:r>
        <w:rPr>
          <w:rStyle w:val="23"/>
          <w:rFonts w:hint="eastAsia" w:ascii="仿宋_GB2312" w:hAnsi="仿宋_GB2312" w:eastAsia="仿宋_GB2312" w:cs="仿宋_GB2312"/>
          <w:b w:val="0"/>
          <w:bCs/>
          <w:color w:val="000000"/>
          <w:sz w:val="32"/>
          <w:szCs w:val="32"/>
        </w:rPr>
        <w:t>支出决算为</w:t>
      </w:r>
      <w:r>
        <w:rPr>
          <w:rStyle w:val="23"/>
          <w:rFonts w:hint="eastAsia" w:ascii="仿宋_GB2312" w:hAnsi="仿宋_GB2312" w:eastAsia="仿宋_GB2312" w:cs="仿宋_GB2312"/>
          <w:b w:val="0"/>
          <w:bCs/>
          <w:color w:val="000000"/>
          <w:sz w:val="32"/>
          <w:szCs w:val="32"/>
          <w:lang w:val="en-US" w:eastAsia="zh-CN"/>
        </w:rPr>
        <w:t>4</w:t>
      </w:r>
      <w:r>
        <w:rPr>
          <w:rStyle w:val="23"/>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扶贫</w:t>
      </w:r>
      <w:r>
        <w:rPr>
          <w:rFonts w:hint="eastAsia"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项）农村基础设施建设</w:t>
      </w:r>
      <w:r>
        <w:rPr>
          <w:rStyle w:val="23"/>
          <w:rFonts w:hint="eastAsia" w:ascii="仿宋_GB2312" w:hAnsi="仿宋_GB2312" w:eastAsia="仿宋_GB2312" w:cs="仿宋_GB2312"/>
          <w:b w:val="0"/>
          <w:bCs/>
          <w:color w:val="000000"/>
          <w:sz w:val="32"/>
          <w:szCs w:val="32"/>
        </w:rPr>
        <w:t>支出决算为212.06万元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项）生产发展</w:t>
      </w:r>
      <w:r>
        <w:rPr>
          <w:rStyle w:val="23"/>
          <w:rFonts w:hint="eastAsia" w:ascii="仿宋_GB2312" w:hAnsi="仿宋_GB2312" w:eastAsia="仿宋_GB2312" w:cs="仿宋_GB2312"/>
          <w:b w:val="0"/>
          <w:bCs/>
          <w:color w:val="000000"/>
          <w:sz w:val="32"/>
          <w:szCs w:val="32"/>
        </w:rPr>
        <w:t>支出决算</w:t>
      </w:r>
      <w:r>
        <w:rPr>
          <w:rStyle w:val="23"/>
          <w:rFonts w:hint="eastAsia" w:ascii="仿宋_GB2312" w:hAnsi="仿宋_GB2312" w:eastAsia="仿宋_GB2312" w:cs="仿宋_GB2312"/>
          <w:b w:val="0"/>
          <w:bCs/>
          <w:color w:val="000000"/>
          <w:sz w:val="32"/>
          <w:szCs w:val="32"/>
          <w:lang w:val="en-US" w:eastAsia="zh-CN"/>
        </w:rPr>
        <w:t>77.04</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项） 其他扶贫</w:t>
      </w:r>
      <w:r>
        <w:rPr>
          <w:rStyle w:val="23"/>
          <w:rFonts w:hint="eastAsia" w:ascii="仿宋_GB2312" w:hAnsi="仿宋_GB2312" w:eastAsia="仿宋_GB2312" w:cs="仿宋_GB2312"/>
          <w:b w:val="0"/>
          <w:bCs/>
          <w:color w:val="000000"/>
          <w:sz w:val="32"/>
          <w:szCs w:val="32"/>
        </w:rPr>
        <w:t>支出决算为8.5万元</w:t>
      </w:r>
      <w:r>
        <w:rPr>
          <w:rStyle w:val="23"/>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07</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农村综合改革</w:t>
      </w:r>
      <w:r>
        <w:rPr>
          <w:rFonts w:hint="eastAsia"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项）对村民委员会和村党支部的补助</w:t>
      </w:r>
      <w:r>
        <w:rPr>
          <w:rStyle w:val="23"/>
          <w:rFonts w:hint="eastAsia" w:ascii="仿宋_GB2312" w:hAnsi="仿宋_GB2312" w:eastAsia="仿宋_GB2312" w:cs="仿宋_GB2312"/>
          <w:b w:val="0"/>
          <w:bCs/>
          <w:color w:val="000000"/>
          <w:sz w:val="32"/>
          <w:szCs w:val="32"/>
        </w:rPr>
        <w:t>支出决算为</w:t>
      </w:r>
      <w:r>
        <w:rPr>
          <w:rStyle w:val="23"/>
          <w:rFonts w:hint="eastAsia" w:ascii="仿宋_GB2312" w:hAnsi="仿宋_GB2312" w:eastAsia="仿宋_GB2312" w:cs="仿宋_GB2312"/>
          <w:b w:val="0"/>
          <w:bCs/>
          <w:color w:val="000000"/>
          <w:sz w:val="32"/>
          <w:szCs w:val="32"/>
          <w:lang w:val="en-US" w:eastAsia="zh-CN"/>
        </w:rPr>
        <w:t>90.87</w:t>
      </w:r>
      <w:r>
        <w:rPr>
          <w:rStyle w:val="23"/>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项）对村集体经济组织的补助</w:t>
      </w:r>
      <w:r>
        <w:rPr>
          <w:rStyle w:val="23"/>
          <w:rFonts w:hint="eastAsia" w:ascii="仿宋_GB2312" w:hAnsi="仿宋_GB2312" w:eastAsia="仿宋_GB2312" w:cs="仿宋_GB2312"/>
          <w:b w:val="0"/>
          <w:bCs/>
          <w:color w:val="000000"/>
          <w:sz w:val="32"/>
          <w:szCs w:val="32"/>
        </w:rPr>
        <w:t>支出决算</w:t>
      </w:r>
      <w:r>
        <w:rPr>
          <w:rStyle w:val="23"/>
          <w:rFonts w:hint="eastAsia" w:ascii="仿宋_GB2312" w:hAnsi="仿宋_GB2312" w:eastAsia="仿宋_GB2312" w:cs="仿宋_GB2312"/>
          <w:b w:val="0"/>
          <w:bCs/>
          <w:color w:val="000000"/>
          <w:sz w:val="32"/>
          <w:szCs w:val="32"/>
          <w:lang w:val="en-US" w:eastAsia="zh-CN"/>
        </w:rPr>
        <w:t>10</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07</w:t>
      </w:r>
      <w:r>
        <w:rPr>
          <w:rFonts w:hint="eastAsia" w:ascii="仿宋_GB2312" w:hAnsi="仿宋_GB2312" w:eastAsia="仿宋_GB2312" w:cs="仿宋_GB2312"/>
          <w:color w:val="000000"/>
          <w:sz w:val="32"/>
          <w:szCs w:val="32"/>
        </w:rPr>
        <w:t>项） 农村综合改革示范试点补助支出</w:t>
      </w:r>
      <w:r>
        <w:rPr>
          <w:rStyle w:val="23"/>
          <w:rFonts w:hint="eastAsia" w:ascii="仿宋_GB2312" w:hAnsi="仿宋_GB2312" w:eastAsia="仿宋_GB2312" w:cs="仿宋_GB2312"/>
          <w:b w:val="0"/>
          <w:bCs/>
          <w:color w:val="000000"/>
          <w:sz w:val="32"/>
          <w:szCs w:val="32"/>
        </w:rPr>
        <w:t>支出决算为69万元</w:t>
      </w:r>
      <w:r>
        <w:rPr>
          <w:rStyle w:val="23"/>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23"/>
          <w:rFonts w:hint="eastAsia" w:ascii="仿宋_GB2312" w:hAnsi="仿宋_GB2312" w:eastAsia="仿宋_GB2312" w:cs="仿宋_GB2312"/>
          <w:bCs/>
          <w:color w:val="000000"/>
          <w:sz w:val="32"/>
          <w:szCs w:val="32"/>
          <w:lang w:val="en-US" w:eastAsia="zh-CN"/>
        </w:rPr>
        <w:t>8.</w:t>
      </w:r>
      <w:r>
        <w:rPr>
          <w:rStyle w:val="23"/>
          <w:rFonts w:hint="eastAsia" w:ascii="仿宋_GB2312" w:hAnsi="仿宋_GB2312" w:eastAsia="仿宋_GB2312" w:cs="仿宋_GB2312"/>
          <w:bCs/>
          <w:color w:val="000000"/>
          <w:sz w:val="32"/>
          <w:szCs w:val="32"/>
        </w:rPr>
        <w:t>住房保障支出（类）</w:t>
      </w:r>
      <w:r>
        <w:rPr>
          <w:rStyle w:val="23"/>
          <w:rFonts w:hint="eastAsia" w:ascii="仿宋_GB2312" w:hAnsi="仿宋_GB2312" w:eastAsia="仿宋_GB2312" w:cs="仿宋_GB2312"/>
          <w:bCs/>
          <w:color w:val="000000"/>
          <w:sz w:val="32"/>
          <w:szCs w:val="32"/>
          <w:lang w:val="en-US" w:eastAsia="zh-CN"/>
        </w:rPr>
        <w:t>221：其</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中（01款）保障性安居工程支出（05项）农村危房改造支出决算为3.14万元，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themeColor="text1"/>
          <w:sz w:val="32"/>
          <w:szCs w:val="32"/>
          <w14:textFill>
            <w14:solidFill>
              <w14:schemeClr w14:val="tx1"/>
            </w14:solidFill>
          </w14:textFill>
        </w:rPr>
        <w:t>住房改革支出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项）住房公积金</w:t>
      </w:r>
      <w:r>
        <w:rPr>
          <w:rStyle w:val="23"/>
          <w:rFonts w:hint="eastAsia" w:ascii="仿宋_GB2312" w:hAnsi="仿宋_GB2312" w:eastAsia="仿宋_GB2312" w:cs="仿宋_GB2312"/>
          <w:b w:val="0"/>
          <w:bCs/>
          <w:color w:val="000000"/>
          <w:sz w:val="32"/>
          <w:szCs w:val="32"/>
        </w:rPr>
        <w:t>支出决算为</w:t>
      </w:r>
      <w:r>
        <w:rPr>
          <w:rFonts w:hint="eastAsia" w:ascii="仿宋_GB2312" w:hAnsi="仿宋_GB2312" w:eastAsia="仿宋_GB2312" w:cs="仿宋_GB2312"/>
          <w:color w:val="000000"/>
          <w:sz w:val="32"/>
          <w:szCs w:val="32"/>
        </w:rPr>
        <w:t>47.63</w:t>
      </w:r>
      <w:r>
        <w:rPr>
          <w:rStyle w:val="23"/>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项） 购房补贴</w:t>
      </w:r>
      <w:r>
        <w:rPr>
          <w:rStyle w:val="23"/>
          <w:rFonts w:hint="eastAsia" w:ascii="仿宋_GB2312" w:hAnsi="仿宋_GB2312" w:eastAsia="仿宋_GB2312" w:cs="仿宋_GB2312"/>
          <w:b w:val="0"/>
          <w:bCs/>
          <w:color w:val="000000"/>
          <w:sz w:val="32"/>
          <w:szCs w:val="32"/>
        </w:rPr>
        <w:t>支出决算</w:t>
      </w:r>
      <w:r>
        <w:rPr>
          <w:rStyle w:val="23"/>
          <w:rFonts w:hint="eastAsia" w:ascii="仿宋_GB2312" w:hAnsi="仿宋_GB2312" w:eastAsia="仿宋_GB2312" w:cs="仿宋_GB2312"/>
          <w:b w:val="0"/>
          <w:bCs/>
          <w:color w:val="000000"/>
          <w:sz w:val="32"/>
          <w:szCs w:val="32"/>
          <w:lang w:val="en-US" w:eastAsia="zh-CN"/>
        </w:rPr>
        <w:t>1.02</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p>
    <w:p>
      <w:pPr>
        <w:pStyle w:val="2"/>
        <w:keepNext w:val="0"/>
        <w:keepLines w:val="0"/>
        <w:pageBreakBefore w:val="0"/>
        <w:widowControl w:val="0"/>
        <w:numPr>
          <w:ilvl w:val="0"/>
          <w:numId w:val="0"/>
        </w:numPr>
        <w:kinsoku/>
        <w:wordWrap/>
        <w:overflowPunct/>
        <w:topLinePunct w:val="0"/>
        <w:bidi w:val="0"/>
        <w:snapToGrid/>
        <w:spacing w:line="560" w:lineRule="exact"/>
        <w:ind w:leftChars="200" w:firstLine="642" w:firstLineChars="200"/>
        <w:textAlignment w:val="auto"/>
        <w:rPr>
          <w:rFonts w:hint="eastAsia" w:ascii="仿宋_GB2312" w:hAnsi="仿宋_GB2312" w:eastAsia="仿宋_GB2312" w:cs="仿宋_GB2312"/>
          <w:b/>
          <w:color w:val="000000"/>
          <w:sz w:val="32"/>
          <w:szCs w:val="32"/>
        </w:rPr>
      </w:pPr>
      <w:r>
        <w:rPr>
          <w:rStyle w:val="23"/>
          <w:rFonts w:hint="eastAsia" w:ascii="仿宋_GB2312" w:hAnsi="仿宋_GB2312" w:eastAsia="仿宋_GB2312" w:cs="仿宋_GB2312"/>
          <w:bCs/>
          <w:color w:val="000000"/>
          <w:sz w:val="32"/>
          <w:szCs w:val="32"/>
          <w:lang w:val="en-US" w:eastAsia="zh-CN"/>
        </w:rPr>
        <w:t>9.</w:t>
      </w:r>
      <w:r>
        <w:rPr>
          <w:rStyle w:val="23"/>
          <w:rFonts w:hint="eastAsia" w:ascii="仿宋_GB2312" w:hAnsi="仿宋_GB2312" w:eastAsia="仿宋_GB2312" w:cs="仿宋_GB2312"/>
          <w:bCs/>
          <w:color w:val="000000"/>
          <w:sz w:val="32"/>
          <w:szCs w:val="32"/>
        </w:rPr>
        <w:t>灾害防治及应急管理支出（类）</w:t>
      </w:r>
      <w:r>
        <w:rPr>
          <w:rStyle w:val="23"/>
          <w:rFonts w:hint="eastAsia" w:ascii="仿宋_GB2312" w:hAnsi="仿宋_GB2312" w:eastAsia="仿宋_GB2312" w:cs="仿宋_GB2312"/>
          <w:bCs/>
          <w:color w:val="000000"/>
          <w:sz w:val="32"/>
          <w:szCs w:val="32"/>
          <w:lang w:val="en-US" w:eastAsia="zh-CN"/>
        </w:rPr>
        <w:t>224：其</w:t>
      </w:r>
      <w:r>
        <w:rPr>
          <w:rStyle w:val="23"/>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中（01款）应急管理事务（07项）安全生产基础支出决算为0.99万元，</w:t>
      </w:r>
      <w:r>
        <w:rPr>
          <w:rFonts w:hint="eastAsia" w:ascii="仿宋_GB2312" w:hAnsi="仿宋_GB2312" w:eastAsia="仿宋_GB2312" w:cs="仿宋_GB2312"/>
          <w:color w:val="000000" w:themeColor="text1"/>
          <w:sz w:val="32"/>
          <w:szCs w:val="32"/>
          <w14:textFill>
            <w14:solidFill>
              <w14:schemeClr w14:val="tx1"/>
            </w14:solidFill>
          </w14:textFill>
        </w:rPr>
        <w:t>完成预算100%，预算数与决算数持平。</w:t>
      </w:r>
    </w:p>
    <w:p>
      <w:pPr>
        <w:keepNext w:val="0"/>
        <w:keepLines w:val="0"/>
        <w:pageBreakBefore w:val="0"/>
        <w:widowControl w:val="0"/>
        <w:tabs>
          <w:tab w:val="right" w:pos="8306"/>
        </w:tabs>
        <w:kinsoku/>
        <w:wordWrap/>
        <w:overflowPunct/>
        <w:topLinePunct w:val="0"/>
        <w:bidi w:val="0"/>
        <w:snapToGrid/>
        <w:spacing w:line="560" w:lineRule="exact"/>
        <w:ind w:firstLine="640"/>
        <w:textAlignment w:val="auto"/>
        <w:outlineLvl w:val="1"/>
        <w:rPr>
          <w:rStyle w:val="27"/>
          <w:rFonts w:hint="eastAsia" w:ascii="仿宋_GB2312" w:hAnsi="仿宋_GB2312" w:eastAsia="仿宋_GB2312" w:cs="仿宋_GB2312"/>
        </w:rPr>
      </w:pPr>
      <w:bookmarkStart w:id="68" w:name="_Toc15396608"/>
      <w:bookmarkStart w:id="69" w:name="_Toc79163618"/>
      <w:bookmarkStart w:id="70" w:name="_Toc15377214"/>
      <w:bookmarkStart w:id="71" w:name="_Toc79163868"/>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color w:val="000000"/>
          <w:sz w:val="32"/>
          <w:szCs w:val="32"/>
        </w:rPr>
        <w:t>、一</w:t>
      </w:r>
      <w:r>
        <w:rPr>
          <w:rStyle w:val="27"/>
          <w:rFonts w:hint="eastAsia" w:ascii="仿宋_GB2312" w:hAnsi="仿宋_GB2312" w:eastAsia="仿宋_GB2312" w:cs="仿宋_GB2312"/>
          <w:b w:val="0"/>
        </w:rPr>
        <w:t>般公共预算财政拨款基本支出决算情况说明</w:t>
      </w:r>
      <w:bookmarkEnd w:id="68"/>
      <w:bookmarkEnd w:id="69"/>
      <w:bookmarkEnd w:id="70"/>
      <w:bookmarkEnd w:id="71"/>
      <w:r>
        <w:rPr>
          <w:rStyle w:val="27"/>
          <w:rFonts w:hint="eastAsia" w:ascii="仿宋_GB2312" w:hAnsi="仿宋_GB2312" w:eastAsia="仿宋_GB2312" w:cs="仿宋_GB2312"/>
          <w:b w:val="0"/>
        </w:rPr>
        <w:tab/>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2020年一般公共预算财政拨款基本支出587.71万元，其中：人员经费550.76万元，主要包括：基本工资、津贴补贴、奖金、绩效工资、机关事业单位基本养老保险缴费、职业年金缴费、其他社会保障缴费、</w:t>
      </w:r>
      <w:r>
        <w:rPr>
          <w:rFonts w:hint="eastAsia" w:ascii="仿宋_GB2312" w:hAnsi="仿宋_GB2312" w:eastAsia="仿宋_GB2312" w:cs="仿宋_GB2312"/>
          <w:color w:val="000000"/>
          <w:sz w:val="32"/>
          <w:szCs w:val="32"/>
          <w:lang w:eastAsia="zh-CN"/>
        </w:rPr>
        <w:t>职工基本医疗保险</w:t>
      </w:r>
      <w:r>
        <w:rPr>
          <w:rFonts w:hint="eastAsia" w:ascii="仿宋_GB2312" w:hAnsi="仿宋_GB2312" w:eastAsia="仿宋_GB2312" w:cs="仿宋_GB2312"/>
          <w:color w:val="000000"/>
          <w:sz w:val="32"/>
          <w:szCs w:val="32"/>
        </w:rPr>
        <w:t>、生活补助、医疗费补助、住房公积金支出等。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日常公用经费36.95万元，主要包括：办公费、印刷费、电费、邮电费、取暖费、差旅费、维修（护）费、租赁费、培训费、劳务费、公务用车运行维护费支出等。</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27"/>
          <w:rFonts w:hint="eastAsia" w:ascii="仿宋_GB2312" w:hAnsi="仿宋_GB2312" w:eastAsia="仿宋_GB2312" w:cs="仿宋_GB2312"/>
          <w:b w:val="0"/>
        </w:rPr>
      </w:pPr>
      <w:bookmarkStart w:id="72" w:name="_Toc79163619"/>
      <w:bookmarkStart w:id="73" w:name="_Toc15396609"/>
      <w:bookmarkStart w:id="74" w:name="_Toc15377215"/>
      <w:bookmarkStart w:id="75" w:name="_Toc79163869"/>
      <w:r>
        <w:rPr>
          <w:rFonts w:hint="eastAsia" w:ascii="仿宋_GB2312" w:hAnsi="仿宋_GB2312" w:eastAsia="仿宋_GB2312" w:cs="仿宋_GB2312"/>
          <w:color w:val="000000"/>
          <w:sz w:val="32"/>
          <w:szCs w:val="32"/>
        </w:rPr>
        <w:t>七、</w:t>
      </w:r>
      <w:r>
        <w:rPr>
          <w:rStyle w:val="27"/>
          <w:rFonts w:hint="eastAsia" w:ascii="仿宋_GB2312" w:hAnsi="仿宋_GB2312" w:eastAsia="仿宋_GB2312" w:cs="仿宋_GB2312"/>
        </w:rPr>
        <w:t>“</w:t>
      </w:r>
      <w:r>
        <w:rPr>
          <w:rStyle w:val="27"/>
          <w:rFonts w:hint="eastAsia" w:ascii="仿宋_GB2312" w:hAnsi="仿宋_GB2312" w:eastAsia="仿宋_GB2312" w:cs="仿宋_GB2312"/>
          <w:b w:val="0"/>
        </w:rPr>
        <w:t>三公”经费财政拨款支出决算情况说明</w:t>
      </w:r>
      <w:bookmarkEnd w:id="72"/>
      <w:bookmarkEnd w:id="73"/>
      <w:bookmarkEnd w:id="74"/>
      <w:bookmarkEnd w:id="75"/>
    </w:p>
    <w:p>
      <w:pPr>
        <w:keepNext w:val="0"/>
        <w:keepLines w:val="0"/>
        <w:pageBreakBefore w:val="0"/>
        <w:widowControl w:val="0"/>
        <w:kinsoku/>
        <w:wordWrap/>
        <w:overflowPunct/>
        <w:topLinePunct w:val="0"/>
        <w:bidi w:val="0"/>
        <w:snapToGrid/>
        <w:spacing w:line="560" w:lineRule="exact"/>
        <w:ind w:firstLine="640"/>
        <w:textAlignment w:val="auto"/>
        <w:outlineLvl w:val="2"/>
        <w:rPr>
          <w:rFonts w:hint="eastAsia" w:ascii="仿宋_GB2312" w:hAnsi="仿宋_GB2312" w:eastAsia="仿宋_GB2312" w:cs="仿宋_GB2312"/>
          <w:b/>
          <w:color w:val="000000"/>
          <w:sz w:val="32"/>
          <w:szCs w:val="32"/>
        </w:rPr>
      </w:pPr>
      <w:bookmarkStart w:id="76" w:name="_Toc79163870"/>
      <w:bookmarkStart w:id="77" w:name="_Toc15377216"/>
      <w:bookmarkStart w:id="78" w:name="_Toc79163620"/>
      <w:r>
        <w:rPr>
          <w:rFonts w:hint="eastAsia" w:ascii="仿宋_GB2312" w:hAnsi="仿宋_GB2312" w:eastAsia="仿宋_GB2312" w:cs="仿宋_GB2312"/>
          <w:b/>
          <w:color w:val="000000"/>
          <w:sz w:val="32"/>
          <w:szCs w:val="32"/>
        </w:rPr>
        <w:t>（一）“三公”经费财政拨款支出决算总体情况说明</w:t>
      </w:r>
      <w:bookmarkEnd w:id="76"/>
      <w:bookmarkEnd w:id="77"/>
      <w:bookmarkEnd w:id="78"/>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2020年“三公”经费财政拨款支出决算为4.78万元，完成预算</w:t>
      </w:r>
      <w:r>
        <w:rPr>
          <w:rFonts w:hint="eastAsia" w:ascii="仿宋_GB2312" w:hAnsi="仿宋_GB2312" w:eastAsia="仿宋_GB2312" w:cs="仿宋_GB2312"/>
          <w:color w:val="000000"/>
          <w:sz w:val="32"/>
          <w:szCs w:val="32"/>
          <w:lang w:val="en-US" w:eastAsia="zh-CN"/>
        </w:rPr>
        <w:t>95.6</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000000"/>
          <w:sz w:val="32"/>
          <w:szCs w:val="32"/>
          <w:lang w:eastAsia="zh-CN"/>
        </w:rPr>
        <w:t>未产生公务接待费和公务用车运行费实际发生经济业务减少</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firstLine="640"/>
        <w:textAlignment w:val="auto"/>
        <w:outlineLvl w:val="2"/>
        <w:rPr>
          <w:rFonts w:hint="eastAsia" w:ascii="仿宋_GB2312" w:hAnsi="仿宋_GB2312" w:eastAsia="仿宋_GB2312" w:cs="仿宋_GB2312"/>
          <w:b/>
          <w:color w:val="000000"/>
          <w:sz w:val="32"/>
          <w:szCs w:val="32"/>
        </w:rPr>
      </w:pPr>
      <w:bookmarkStart w:id="79" w:name="_Toc79163871"/>
      <w:bookmarkStart w:id="80" w:name="_Toc79163621"/>
      <w:bookmarkStart w:id="81" w:name="_Toc15377217"/>
      <w:r>
        <w:rPr>
          <w:rFonts w:hint="eastAsia" w:ascii="仿宋_GB2312" w:hAnsi="仿宋_GB2312" w:eastAsia="仿宋_GB2312" w:cs="仿宋_GB2312"/>
          <w:b/>
          <w:color w:val="000000"/>
          <w:sz w:val="32"/>
          <w:szCs w:val="32"/>
        </w:rPr>
        <w:t>（二）“三公”经费财政拨款支出决算具体情况说明</w:t>
      </w:r>
      <w:bookmarkEnd w:id="79"/>
      <w:bookmarkEnd w:id="80"/>
      <w:bookmarkEnd w:id="81"/>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%。具体情况如下：</w:t>
      </w:r>
    </w:p>
    <w:p>
      <w:pPr>
        <w:pStyle w:val="2"/>
        <w:rPr>
          <w:rFonts w:hint="eastAsia" w:ascii="仿宋" w:hAnsi="仿宋" w:eastAsia="仿宋"/>
          <w:color w:val="000000"/>
          <w:sz w:val="32"/>
          <w:szCs w:val="32"/>
        </w:rPr>
      </w:pPr>
      <w:r>
        <w:drawing>
          <wp:inline distT="0" distB="0" distL="114300" distR="114300">
            <wp:extent cx="5382895" cy="2122805"/>
            <wp:effectExtent l="4445" t="4445" r="22860" b="635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23"/>
          <w:rFonts w:hint="eastAsia" w:ascii="仿宋_GB2312" w:hAnsi="仿宋_GB2312" w:eastAsia="仿宋_GB2312" w:cs="仿宋_GB2312"/>
          <w:b w:val="0"/>
          <w:bCs/>
          <w:color w:val="000000"/>
          <w:sz w:val="32"/>
          <w:szCs w:val="32"/>
        </w:rPr>
        <w:t>完成预算</w:t>
      </w:r>
      <w:r>
        <w:rPr>
          <w:rStyle w:val="23"/>
          <w:rFonts w:hint="eastAsia" w:ascii="仿宋_GB2312" w:hAnsi="仿宋_GB2312" w:eastAsia="仿宋_GB2312" w:cs="仿宋_GB2312"/>
          <w:b w:val="0"/>
          <w:bCs/>
          <w:color w:val="000000"/>
          <w:sz w:val="32"/>
          <w:szCs w:val="32"/>
          <w:lang w:val="en-US" w:eastAsia="zh-CN"/>
        </w:rPr>
        <w:t>0</w:t>
      </w:r>
      <w:r>
        <w:rPr>
          <w:rStyle w:val="23"/>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全年安排因公出国（境）团组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次，出国（境）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4.78</w:t>
      </w:r>
      <w:r>
        <w:rPr>
          <w:rFonts w:hint="eastAsia" w:ascii="仿宋_GB2312" w:hAnsi="仿宋_GB2312" w:eastAsia="仿宋_GB2312" w:cs="仿宋_GB2312"/>
          <w:color w:val="000000"/>
          <w:sz w:val="32"/>
          <w:szCs w:val="32"/>
        </w:rPr>
        <w:t>万元,</w:t>
      </w:r>
      <w:r>
        <w:rPr>
          <w:rStyle w:val="23"/>
          <w:rFonts w:hint="eastAsia" w:ascii="仿宋_GB2312" w:hAnsi="仿宋_GB2312" w:eastAsia="仿宋_GB2312" w:cs="仿宋_GB2312"/>
          <w:b w:val="0"/>
          <w:bCs/>
          <w:color w:val="000000"/>
          <w:sz w:val="32"/>
          <w:szCs w:val="32"/>
        </w:rPr>
        <w:t>完成预算</w:t>
      </w:r>
      <w:r>
        <w:rPr>
          <w:rStyle w:val="23"/>
          <w:rFonts w:hint="eastAsia" w:ascii="仿宋_GB2312" w:hAnsi="仿宋_GB2312" w:eastAsia="仿宋_GB2312" w:cs="仿宋_GB2312"/>
          <w:b w:val="0"/>
          <w:bCs/>
          <w:color w:val="000000"/>
          <w:sz w:val="32"/>
          <w:szCs w:val="32"/>
          <w:lang w:val="en-US" w:eastAsia="zh-CN"/>
        </w:rPr>
        <w:t>95.6</w:t>
      </w:r>
      <w:r>
        <w:rPr>
          <w:rStyle w:val="23"/>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公务用车购置及运行维护费支出决算比20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0.22</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4.6</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未产生公务用车购置费</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万元。截至2020年12月底，单位共有公务用车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辆，其中：越野车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lang w:val="en-US" w:eastAsia="zh-CN"/>
        </w:rPr>
        <w:t>4.78</w:t>
      </w:r>
      <w:r>
        <w:rPr>
          <w:rFonts w:hint="eastAsia" w:ascii="仿宋_GB2312" w:hAnsi="仿宋_GB2312" w:eastAsia="仿宋_GB2312" w:cs="仿宋_GB2312"/>
          <w:color w:val="000000"/>
          <w:sz w:val="32"/>
          <w:szCs w:val="32"/>
        </w:rPr>
        <w:t>万元。主要用于开展脱贫攻坚工作、保障民生、易地搬迁、惠民惠农财政补贴资金“一卡通”等下村、上县所需的公务用车燃料费、维修费、买保险等支出。</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23"/>
          <w:rFonts w:hint="eastAsia" w:ascii="仿宋_GB2312" w:hAnsi="仿宋_GB2312" w:eastAsia="仿宋_GB2312" w:cs="仿宋_GB2312"/>
          <w:b w:val="0"/>
          <w:bCs/>
          <w:color w:val="000000"/>
          <w:sz w:val="32"/>
          <w:szCs w:val="32"/>
        </w:rPr>
        <w:t>完成预算</w:t>
      </w:r>
      <w:r>
        <w:rPr>
          <w:rStyle w:val="23"/>
          <w:rFonts w:hint="eastAsia" w:ascii="仿宋_GB2312" w:hAnsi="仿宋_GB2312" w:eastAsia="仿宋_GB2312" w:cs="仿宋_GB2312"/>
          <w:b w:val="0"/>
          <w:bCs/>
          <w:color w:val="000000"/>
          <w:sz w:val="32"/>
          <w:szCs w:val="32"/>
          <w:lang w:val="en-US" w:eastAsia="zh-CN"/>
        </w:rPr>
        <w:t>0</w:t>
      </w:r>
      <w:r>
        <w:rPr>
          <w:rStyle w:val="23"/>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公务接待费支出决算比20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年增加/减少</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万元，增长/下降</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%。主要原因是我单位2019年度</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2020年均</w:t>
      </w:r>
      <w:r>
        <w:rPr>
          <w:rFonts w:hint="eastAsia" w:ascii="仿宋_GB2312" w:hAnsi="仿宋_GB2312" w:eastAsia="仿宋_GB2312" w:cs="仿宋_GB2312"/>
          <w:color w:val="000000"/>
          <w:sz w:val="32"/>
          <w:szCs w:val="32"/>
          <w:lang w:eastAsia="zh-CN"/>
        </w:rPr>
        <w:t>未产生</w:t>
      </w:r>
      <w:r>
        <w:rPr>
          <w:rFonts w:hint="eastAsia" w:ascii="仿宋_GB2312" w:hAnsi="仿宋_GB2312" w:eastAsia="仿宋_GB2312" w:cs="仿宋_GB2312"/>
          <w:color w:val="000000"/>
          <w:sz w:val="32"/>
          <w:szCs w:val="32"/>
        </w:rPr>
        <w:t>公务接待。</w:t>
      </w: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万元，主要</w:t>
      </w:r>
      <w:r>
        <w:rPr>
          <w:rFonts w:hint="eastAsia" w:ascii="仿宋_GB2312" w:hAnsi="仿宋_GB2312" w:eastAsia="仿宋_GB2312" w:cs="仿宋_GB2312"/>
          <w:color w:val="000000"/>
          <w:sz w:val="32"/>
          <w:szCs w:val="32"/>
          <w:lang w:eastAsia="zh-CN"/>
        </w:rPr>
        <w:t>未产生。</w:t>
      </w: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万元，外事接待</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人，共计支出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w:t>
      </w:r>
      <w:r>
        <w:rPr>
          <w:rFonts w:hint="eastAsia" w:ascii="仿宋_GB2312" w:hAnsi="仿宋_GB2312" w:eastAsia="仿宋_GB2312" w:cs="仿宋_GB2312"/>
          <w:color w:val="000000"/>
          <w:sz w:val="32"/>
          <w:szCs w:val="32"/>
          <w:lang w:eastAsia="zh-CN"/>
        </w:rPr>
        <w:t>未产生。</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27"/>
          <w:rFonts w:hint="eastAsia" w:ascii="仿宋_GB2312" w:hAnsi="仿宋_GB2312" w:eastAsia="仿宋_GB2312" w:cs="仿宋_GB2312"/>
        </w:rPr>
      </w:pPr>
      <w:bookmarkStart w:id="82" w:name="_Toc15396610"/>
      <w:bookmarkStart w:id="83" w:name="_Toc79163872"/>
      <w:bookmarkStart w:id="84" w:name="_Toc79163622"/>
      <w:bookmarkStart w:id="85" w:name="_Toc15377218"/>
      <w:r>
        <w:rPr>
          <w:rFonts w:hint="eastAsia" w:ascii="仿宋_GB2312" w:hAnsi="仿宋_GB2312" w:eastAsia="仿宋_GB2312" w:cs="仿宋_GB2312"/>
          <w:color w:val="000000"/>
          <w:sz w:val="32"/>
          <w:szCs w:val="32"/>
        </w:rPr>
        <w:t>八、</w:t>
      </w:r>
      <w:r>
        <w:rPr>
          <w:rStyle w:val="27"/>
          <w:rFonts w:hint="eastAsia" w:ascii="仿宋_GB2312" w:hAnsi="仿宋_GB2312" w:eastAsia="仿宋_GB2312" w:cs="仿宋_GB2312"/>
          <w:b w:val="0"/>
        </w:rPr>
        <w:t>政府性基金预算支出决算情况说明</w:t>
      </w:r>
      <w:bookmarkEnd w:id="82"/>
      <w:bookmarkEnd w:id="83"/>
      <w:bookmarkEnd w:id="84"/>
      <w:bookmarkEnd w:id="85"/>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2"/>
        </w:numPr>
        <w:kinsoku/>
        <w:wordWrap/>
        <w:overflowPunct/>
        <w:topLinePunct w:val="0"/>
        <w:bidi w:val="0"/>
        <w:snapToGrid/>
        <w:spacing w:line="560" w:lineRule="exact"/>
        <w:ind w:firstLine="640"/>
        <w:textAlignment w:val="auto"/>
        <w:outlineLvl w:val="1"/>
        <w:rPr>
          <w:rStyle w:val="27"/>
          <w:rFonts w:hint="eastAsia" w:ascii="仿宋_GB2312" w:hAnsi="仿宋_GB2312" w:eastAsia="仿宋_GB2312" w:cs="仿宋_GB2312"/>
          <w:b w:val="0"/>
        </w:rPr>
      </w:pPr>
      <w:bookmarkStart w:id="86" w:name="_Toc79163623"/>
      <w:bookmarkStart w:id="87" w:name="_Toc79163873"/>
      <w:bookmarkStart w:id="88" w:name="_Toc15396611"/>
      <w:bookmarkStart w:id="89" w:name="_Toc15377219"/>
      <w:r>
        <w:rPr>
          <w:rStyle w:val="27"/>
          <w:rFonts w:hint="eastAsia" w:ascii="仿宋_GB2312" w:hAnsi="仿宋_GB2312" w:eastAsia="仿宋_GB2312" w:cs="仿宋_GB2312"/>
          <w:b w:val="0"/>
        </w:rPr>
        <w:t>国有资本经营预算支出决算情况说明</w:t>
      </w:r>
      <w:bookmarkEnd w:id="86"/>
      <w:bookmarkEnd w:id="87"/>
      <w:bookmarkEnd w:id="88"/>
      <w:bookmarkEnd w:id="89"/>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sz w:val="44"/>
          <w:szCs w:val="44"/>
        </w:rPr>
      </w:pPr>
      <w:r>
        <w:rPr>
          <w:rFonts w:hint="eastAsia" w:ascii="仿宋_GB2312" w:hAnsi="仿宋_GB2312" w:eastAsia="仿宋_GB2312" w:cs="仿宋_GB2312"/>
          <w:color w:val="000000"/>
          <w:sz w:val="32"/>
          <w:szCs w:val="32"/>
        </w:rPr>
        <w:t>2020年国有资本经营预算拨款支出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bidi w:val="0"/>
        <w:snapToGrid/>
        <w:spacing w:line="560" w:lineRule="exact"/>
        <w:ind w:firstLine="800" w:firstLineChars="250"/>
        <w:textAlignment w:val="auto"/>
        <w:outlineLvl w:val="1"/>
        <w:rPr>
          <w:rStyle w:val="27"/>
          <w:rFonts w:hint="eastAsia" w:ascii="仿宋_GB2312" w:hAnsi="仿宋_GB2312" w:eastAsia="仿宋_GB2312" w:cs="仿宋_GB2312"/>
        </w:rPr>
      </w:pPr>
      <w:bookmarkStart w:id="90" w:name="_Toc15377221"/>
      <w:bookmarkStart w:id="91" w:name="_Toc79163624"/>
      <w:bookmarkStart w:id="92" w:name="_Toc15396612"/>
      <w:bookmarkStart w:id="93" w:name="_Toc79163874"/>
      <w:r>
        <w:rPr>
          <w:rFonts w:hint="eastAsia" w:ascii="仿宋_GB2312" w:hAnsi="仿宋_GB2312" w:eastAsia="仿宋_GB2312" w:cs="仿宋_GB2312"/>
          <w:color w:val="000000"/>
          <w:sz w:val="32"/>
          <w:szCs w:val="32"/>
        </w:rPr>
        <w:t>十</w:t>
      </w:r>
      <w:r>
        <w:rPr>
          <w:rStyle w:val="27"/>
          <w:rFonts w:hint="eastAsia" w:ascii="仿宋_GB2312" w:hAnsi="仿宋_GB2312" w:eastAsia="仿宋_GB2312" w:cs="仿宋_GB2312"/>
        </w:rPr>
        <w:t>、</w:t>
      </w:r>
      <w:r>
        <w:rPr>
          <w:rStyle w:val="27"/>
          <w:rFonts w:hint="eastAsia" w:ascii="仿宋_GB2312" w:hAnsi="仿宋_GB2312" w:eastAsia="仿宋_GB2312" w:cs="仿宋_GB2312"/>
          <w:b w:val="0"/>
        </w:rPr>
        <w:t>其他重要事项的情况说明</w:t>
      </w:r>
      <w:bookmarkEnd w:id="90"/>
      <w:bookmarkEnd w:id="91"/>
      <w:bookmarkEnd w:id="92"/>
      <w:bookmarkEnd w:id="93"/>
    </w:p>
    <w:p>
      <w:pPr>
        <w:keepNext w:val="0"/>
        <w:keepLines w:val="0"/>
        <w:pageBreakBefore w:val="0"/>
        <w:widowControl w:val="0"/>
        <w:kinsoku/>
        <w:wordWrap/>
        <w:overflowPunct/>
        <w:topLinePunct w:val="0"/>
        <w:bidi w:val="0"/>
        <w:snapToGrid/>
        <w:spacing w:line="560" w:lineRule="exact"/>
        <w:ind w:firstLine="642" w:firstLineChars="200"/>
        <w:textAlignment w:val="auto"/>
        <w:outlineLvl w:val="2"/>
        <w:rPr>
          <w:rFonts w:hint="eastAsia" w:ascii="仿宋_GB2312" w:hAnsi="仿宋_GB2312" w:eastAsia="仿宋_GB2312" w:cs="仿宋_GB2312"/>
          <w:color w:val="000000"/>
          <w:sz w:val="32"/>
          <w:szCs w:val="32"/>
        </w:rPr>
      </w:pPr>
      <w:bookmarkStart w:id="94" w:name="_Toc79163625"/>
      <w:bookmarkStart w:id="95" w:name="_Toc79163875"/>
      <w:bookmarkStart w:id="96" w:name="_Toc15377222"/>
      <w:r>
        <w:rPr>
          <w:rFonts w:hint="eastAsia" w:ascii="仿宋_GB2312" w:hAnsi="仿宋_GB2312" w:eastAsia="仿宋_GB2312" w:cs="仿宋_GB2312"/>
          <w:b/>
          <w:color w:val="000000"/>
          <w:sz w:val="32"/>
          <w:szCs w:val="32"/>
        </w:rPr>
        <w:t>（一）机关运行经费支出情况</w:t>
      </w:r>
      <w:bookmarkEnd w:id="94"/>
      <w:bookmarkEnd w:id="95"/>
      <w:bookmarkEnd w:id="96"/>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2020年，壤塘县上壤塘乡人民政府机关运行经费支出36.95万元，比2019年减少</w:t>
      </w:r>
      <w:r>
        <w:rPr>
          <w:rFonts w:hint="eastAsia" w:ascii="仿宋_GB2312" w:hAnsi="仿宋_GB2312" w:eastAsia="仿宋_GB2312" w:cs="仿宋_GB2312"/>
          <w:color w:val="000000"/>
          <w:sz w:val="32"/>
          <w:szCs w:val="32"/>
          <w:lang w:val="en-US" w:eastAsia="zh-CN"/>
        </w:rPr>
        <w:t>22.13</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59.89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2020年未产生公务用车购置费等。</w:t>
      </w:r>
      <w:bookmarkStart w:id="97" w:name="_Toc79163876"/>
      <w:bookmarkStart w:id="98" w:name="_Toc15377223"/>
      <w:bookmarkStart w:id="99" w:name="_Toc79163626"/>
    </w:p>
    <w:p>
      <w:pPr>
        <w:keepNext w:val="0"/>
        <w:keepLines w:val="0"/>
        <w:pageBreakBefore w:val="0"/>
        <w:widowControl w:val="0"/>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（二）政府采购支出情况</w:t>
      </w:r>
      <w:bookmarkEnd w:id="97"/>
      <w:bookmarkEnd w:id="98"/>
      <w:bookmarkEnd w:id="99"/>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lang w:val="en-US" w:eastAsia="zh-CN"/>
        </w:rPr>
        <w:t>上壤塘乡人民政府</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jc w:val="left"/>
        <w:textAlignment w:val="auto"/>
        <w:outlineLvl w:val="2"/>
        <w:rPr>
          <w:rFonts w:hint="eastAsia" w:ascii="仿宋_GB2312" w:hAnsi="仿宋_GB2312" w:eastAsia="仿宋_GB2312" w:cs="仿宋_GB2312"/>
          <w:b/>
          <w:color w:val="000000"/>
          <w:sz w:val="32"/>
          <w:szCs w:val="32"/>
        </w:rPr>
      </w:pPr>
      <w:bookmarkStart w:id="100" w:name="_Toc79163627"/>
      <w:bookmarkStart w:id="101" w:name="_Toc15377224"/>
      <w:bookmarkStart w:id="102" w:name="_Toc79163877"/>
      <w:r>
        <w:rPr>
          <w:rFonts w:hint="eastAsia" w:ascii="仿宋_GB2312" w:hAnsi="仿宋_GB2312" w:eastAsia="仿宋_GB2312" w:cs="仿宋_GB2312"/>
          <w:b/>
          <w:color w:val="000000"/>
          <w:sz w:val="32"/>
          <w:szCs w:val="32"/>
        </w:rPr>
        <w:t>（三）国有资产占有使用情况</w:t>
      </w:r>
      <w:bookmarkEnd w:id="100"/>
      <w:bookmarkEnd w:id="101"/>
      <w:bookmarkEnd w:id="102"/>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
          <w:color w:val="FF0000"/>
          <w:sz w:val="32"/>
          <w:szCs w:val="32"/>
        </w:rPr>
      </w:pPr>
      <w:bookmarkStart w:id="103" w:name="_Toc79163878"/>
      <w:bookmarkStart w:id="104" w:name="_Toc79163628"/>
      <w:r>
        <w:rPr>
          <w:rFonts w:hint="eastAsia" w:ascii="仿宋_GB2312" w:hAnsi="仿宋_GB2312" w:eastAsia="仿宋_GB2312" w:cs="仿宋_GB2312"/>
          <w:color w:val="000000"/>
          <w:sz w:val="32"/>
          <w:szCs w:val="32"/>
        </w:rPr>
        <w:t>截至20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年12月31日，壤塘县上壤塘乡人民政府，共有车辆1辆，其中：</w:t>
      </w:r>
      <w:r>
        <w:rPr>
          <w:rFonts w:hint="eastAsia" w:ascii="仿宋_GB2312" w:hAnsi="仿宋_GB2312" w:eastAsia="仿宋_GB2312" w:cs="仿宋_GB2312"/>
          <w:sz w:val="32"/>
          <w:szCs w:val="32"/>
        </w:rPr>
        <w:t>部级领导干部用车0辆、一般公务用车0辆、一般执法执勤用车0辆、特种专业技术用车0辆、其他用车1辆，其他用车主要是用于下村、上县，开展脱贫攻坚工作、保障民生、易地搬迁等，单价50万元以上通用设备0台（套），单价100万元以上专用设备0台（套）</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jc w:val="left"/>
        <w:textAlignment w:val="auto"/>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bookmarkEnd w:id="103"/>
      <w:bookmarkEnd w:id="104"/>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jc w:val="left"/>
        <w:textAlignment w:val="auto"/>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三）预算绩效管理情况。</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eastAsia" w:ascii="仿宋_GB2312" w:hAnsi="仿宋_GB2312" w:eastAsia="仿宋_GB2312" w:cs="仿宋_GB2312"/>
          <w:b w:val="0"/>
          <w:bCs/>
          <w:color w:val="000000"/>
          <w:sz w:val="32"/>
          <w:szCs w:val="32"/>
        </w:rPr>
      </w:pPr>
      <w:r>
        <w:rPr>
          <w:rStyle w:val="23"/>
          <w:rFonts w:hint="eastAsia" w:ascii="仿宋_GB2312" w:hAnsi="仿宋_GB2312" w:eastAsia="仿宋_GB2312" w:cs="仿宋_GB2312"/>
          <w:b w:val="0"/>
          <w:bCs/>
          <w:color w:val="000000"/>
          <w:sz w:val="32"/>
          <w:szCs w:val="32"/>
        </w:rPr>
        <w:t>根据预算绩效管理要求，我乡在年初预算编制阶段，组织对各村</w:t>
      </w:r>
      <w:r>
        <w:rPr>
          <w:rStyle w:val="23"/>
          <w:rFonts w:hint="eastAsia" w:ascii="仿宋_GB2312" w:hAnsi="仿宋_GB2312" w:eastAsia="仿宋_GB2312" w:cs="仿宋_GB2312"/>
          <w:b w:val="0"/>
          <w:bCs/>
          <w:color w:val="000000"/>
          <w:sz w:val="32"/>
          <w:szCs w:val="32"/>
          <w:lang w:val="en-US" w:eastAsia="zh-CN"/>
        </w:rPr>
        <w:t>5</w:t>
      </w:r>
      <w:r>
        <w:rPr>
          <w:rStyle w:val="23"/>
          <w:rFonts w:hint="eastAsia" w:ascii="仿宋_GB2312" w:hAnsi="仿宋_GB2312" w:eastAsia="仿宋_GB2312" w:cs="仿宋_GB2312"/>
          <w:b w:val="0"/>
          <w:bCs/>
          <w:color w:val="000000"/>
          <w:sz w:val="32"/>
          <w:szCs w:val="32"/>
        </w:rPr>
        <w:t>个项目开展预算事前绩效评估，对</w:t>
      </w:r>
      <w:r>
        <w:rPr>
          <w:rStyle w:val="23"/>
          <w:rFonts w:hint="eastAsia" w:ascii="仿宋_GB2312" w:hAnsi="仿宋_GB2312" w:eastAsia="仿宋_GB2312" w:cs="仿宋_GB2312"/>
          <w:b w:val="0"/>
          <w:bCs/>
          <w:color w:val="000000"/>
          <w:sz w:val="32"/>
          <w:szCs w:val="32"/>
          <w:lang w:val="en-US" w:eastAsia="zh-CN"/>
        </w:rPr>
        <w:t>4</w:t>
      </w:r>
      <w:r>
        <w:rPr>
          <w:rStyle w:val="23"/>
          <w:rFonts w:hint="eastAsia" w:ascii="仿宋_GB2312" w:hAnsi="仿宋_GB2312" w:eastAsia="仿宋_GB2312" w:cs="仿宋_GB2312"/>
          <w:b w:val="0"/>
          <w:bCs/>
          <w:color w:val="000000"/>
          <w:sz w:val="32"/>
          <w:szCs w:val="32"/>
        </w:rPr>
        <w:t>个项目编制了绩效目标，预算执行过程中，选取了</w:t>
      </w:r>
      <w:r>
        <w:rPr>
          <w:rStyle w:val="23"/>
          <w:rFonts w:hint="eastAsia" w:ascii="仿宋_GB2312" w:hAnsi="仿宋_GB2312" w:eastAsia="仿宋_GB2312" w:cs="仿宋_GB2312"/>
          <w:b w:val="0"/>
          <w:bCs/>
          <w:color w:val="000000"/>
          <w:sz w:val="32"/>
          <w:szCs w:val="32"/>
          <w:lang w:val="en-US" w:eastAsia="zh-CN"/>
        </w:rPr>
        <w:t>4</w:t>
      </w:r>
      <w:r>
        <w:rPr>
          <w:rStyle w:val="23"/>
          <w:rFonts w:hint="eastAsia" w:ascii="仿宋_GB2312" w:hAnsi="仿宋_GB2312" w:eastAsia="仿宋_GB2312" w:cs="仿宋_GB2312"/>
          <w:b w:val="0"/>
          <w:bCs/>
          <w:color w:val="000000"/>
          <w:sz w:val="32"/>
          <w:szCs w:val="32"/>
        </w:rPr>
        <w:t>个项目开展绩效监控，年终执行完毕后</w:t>
      </w:r>
      <w:r>
        <w:rPr>
          <w:rStyle w:val="23"/>
          <w:rFonts w:hint="eastAsia" w:ascii="仿宋_GB2312" w:hAnsi="仿宋_GB2312" w:eastAsia="仿宋_GB2312" w:cs="仿宋_GB2312"/>
          <w:b w:val="0"/>
          <w:bCs/>
          <w:color w:val="000000"/>
          <w:sz w:val="32"/>
          <w:szCs w:val="32"/>
          <w:lang w:val="en-US" w:eastAsia="zh-CN"/>
        </w:rPr>
        <w:t>4</w:t>
      </w:r>
      <w:r>
        <w:rPr>
          <w:rStyle w:val="23"/>
          <w:rFonts w:hint="eastAsia" w:ascii="仿宋_GB2312" w:hAnsi="仿宋_GB2312" w:eastAsia="仿宋_GB2312" w:cs="仿宋_GB2312"/>
          <w:b w:val="0"/>
          <w:bCs/>
          <w:color w:val="000000"/>
          <w:sz w:val="32"/>
          <w:szCs w:val="32"/>
        </w:rPr>
        <w:t>个项目开展了绩效目标完成情况梳理填报。</w:t>
      </w:r>
    </w:p>
    <w:p>
      <w:pPr>
        <w:keepNext w:val="0"/>
        <w:keepLines w:val="0"/>
        <w:pageBreakBefore w:val="0"/>
        <w:widowControl w:val="0"/>
        <w:numPr>
          <w:ilvl w:val="0"/>
          <w:numId w:val="3"/>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p>
    <w:p>
      <w:pPr>
        <w:pStyle w:val="17"/>
        <w:widowControl w:val="0"/>
        <w:numPr>
          <w:ilvl w:val="0"/>
          <w:numId w:val="0"/>
        </w:numPr>
        <w:jc w:val="both"/>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2020年上壤塘乡查卡村脱贫攻坚巩固提升设施建设项目绩效目标完成情况表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2020年上壤塘乡查卡村脱贫攻坚巩固提升设施建设项目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171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162.196571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171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162.196571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改造排水沟1.2公里，维修寨内路800米等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2020年完成项目建设任务，项目验收合格，项目投资预算171万元，项目财评价1629281.6元，项目审计结算价1549389.71元、项目实际支付165.196571万元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产出指标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★新增贫困村硬化路里程（ ≥**公里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0.8公里</w:t>
            </w:r>
          </w:p>
        </w:tc>
      </w:tr>
      <w:tr>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★贫困村公路危桥处置数量（ ≥**座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0座</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★★★贫困村新建改建公路里程（ ≥**公里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0.8公里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kern w:val="0"/>
                <w:sz w:val="24"/>
                <w:lang w:bidi="ar"/>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★★★项目（工程）验收合格率 （100%）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★道路补助标准（**万元/公里）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=75万元/公里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75万元/公里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贫困地区建制村通客车率（ ≥**%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具备条件的建档立卡贫困村通硬化路率（≥**%)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kern w:val="0"/>
                <w:sz w:val="24"/>
                <w:lang w:bidi="ar"/>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贫困地区居民出行平均缩短时间(≥**小时)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&gt;=0.1小时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0.1小时</w:t>
            </w:r>
          </w:p>
        </w:tc>
      </w:tr>
      <w:tr>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工程设计使用年限（≥**年）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&gt;=15年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15年</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kern w:val="0"/>
                <w:sz w:val="24"/>
                <w:lang w:bidi="ar"/>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新建公路列养率（≥**%）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受益贫困人口满意度（≥**%）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bl>
    <w:p>
      <w:pPr>
        <w:spacing w:line="580" w:lineRule="exact"/>
        <w:ind w:left="630"/>
        <w:rPr>
          <w:rFonts w:ascii="仿宋_GB2312" w:hAnsi="仿宋_GB2312" w:eastAsia="仿宋_GB2312" w:cs="仿宋_GB2312"/>
          <w:sz w:val="32"/>
          <w:szCs w:val="32"/>
        </w:rPr>
      </w:pPr>
    </w:p>
    <w:p/>
    <w:p>
      <w:pPr>
        <w:pStyle w:val="17"/>
      </w:pPr>
    </w:p>
    <w:p/>
    <w:p>
      <w:pPr>
        <w:pStyle w:val="17"/>
      </w:pPr>
    </w:p>
    <w:p/>
    <w:p>
      <w:pPr>
        <w:pStyle w:val="17"/>
      </w:pPr>
    </w:p>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2020年上壤塘乡雪木达村老宅子寨内路维修提升建设项目绩效目标完成情况表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2020年上壤塘乡雪木达村老宅子寨内路维修提升建设项目阿州财农[2019]131号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发展和改革局</w:t>
            </w:r>
          </w:p>
        </w:tc>
      </w:tr>
      <w:tr>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110.0337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110.0337</w:t>
            </w:r>
          </w:p>
        </w:tc>
      </w:tr>
      <w:tr>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110.0337</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改扩建雪木达村老宅子寨内路维修3公里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2020年度内完成项目建设既定任务，项目验收合格，项目预算总金额140万元，项目财评价1158534.46元，项目中标价1135000元，项目审计结算价1010970元，项目实际支出金额110.0337万元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产出指标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★新增贫困村硬化路里程（ ≥**公里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&gt;=3公里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3公里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★★★贫困村新建改建公路里程（ ≥**公里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&gt;=3公里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3公里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★★★项目（工程）验收合格率 （100%）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kern w:val="0"/>
                <w:sz w:val="24"/>
                <w:lang w:bidi="ar"/>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★道路补助标准（**万元/公里）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=65万元/公里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65万元/公里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贫困地区建制村通客车率（ ≥**%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具备条件的建档立卡贫困村通硬化路率（≥**%)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贫困地区居民出行平均缩短时间(≥**小时)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&gt;=0.1小时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0.3小时</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kern w:val="0"/>
                <w:sz w:val="24"/>
                <w:lang w:bidi="ar"/>
              </w:rPr>
            </w:pP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工程设计使用年限（≥**年）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&gt;=15年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15年</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新建公路列养率（≥**%）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受益贫困人口满意度（≥**%）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bl>
    <w:p>
      <w:pPr>
        <w:spacing w:line="580" w:lineRule="exact"/>
        <w:ind w:left="630"/>
        <w:rPr>
          <w:rFonts w:ascii="仿宋_GB2312" w:hAnsi="仿宋_GB2312" w:eastAsia="仿宋_GB2312" w:cs="仿宋_GB2312"/>
          <w:sz w:val="32"/>
          <w:szCs w:val="32"/>
        </w:rPr>
      </w:pPr>
    </w:p>
    <w:p/>
    <w:p>
      <w:pPr>
        <w:pStyle w:val="17"/>
      </w:pPr>
    </w:p>
    <w:p/>
    <w:p>
      <w:pPr>
        <w:pStyle w:val="17"/>
      </w:pPr>
    </w:p>
    <w:p/>
    <w:p>
      <w:pPr>
        <w:pStyle w:val="17"/>
      </w:pPr>
    </w:p>
    <w:p/>
    <w:p>
      <w:pPr>
        <w:pStyle w:val="17"/>
      </w:pPr>
    </w:p>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2020年壤塘县脱贫攻坚上壤塘乡康垄村小桥建设项目绩效目标完成情况表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2020年壤塘县脱贫攻坚上壤塘乡康垄村小桥建设项目阿州财农[2019]143号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20.629137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20.629137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康垄村安拉尔措小桥6米长，3.5米宽。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2020年度项目完成既定项目建设内容，项目验收合格，项目预算总金额21万元，项目财评价191949.37元，项目中标金额191949.37元，项目实际支付金额20.629137</w:t>
            </w:r>
            <w:r>
              <w:rPr>
                <w:rFonts w:hint="eastAsia" w:ascii="宋体" w:cs="宋体"/>
                <w:color w:val="000000"/>
                <w:sz w:val="24"/>
                <w:lang w:eastAsia="zh-CN"/>
              </w:rPr>
              <w:t>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产出指标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★贫困村公路危桥处置数量（ ≥**座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1座</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★★★贫困村新建改建公路里程（ ≥**公里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0公里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★★★项目（工程）验收合格率 （100%）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kern w:val="0"/>
                <w:sz w:val="24"/>
                <w:lang w:bidi="ar"/>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★道路补助标准（**万元/公里）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=65万元/公里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65万元/公里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贫困地区建制村通客车率（ ≥**%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具备条件的建档立卡贫困村通硬化路率（≥**%)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贫困地区居民出行平均缩短时间(≥**小时)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&gt;=0.1小时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0.1小时</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kern w:val="0"/>
                <w:sz w:val="24"/>
                <w:lang w:bidi="ar"/>
              </w:rPr>
            </w:pP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工程设计使用年限（≥**年）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&gt;=15年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15年</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新建公路列养率（≥**%）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受益贫困人口满意度（≥**%）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2020年上壤塘乡仁朋村脱贫攻坚基础设施提升改造项目绩效目标完成情况表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2020年上壤塘乡仁朋村脱贫攻坚基础设施提升改造项目阿州财农[2019]131号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257.0357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257.0357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基础巩固提升蓄水池1个，新建防洪河堤1500米，定居点排水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该项目2020年度内完成项目建设，项目验收合格，项目预算总投资280万，项目财评价2525399.77元，项目中标金额2496500元，项目审计结算价2433031元，项目实际完成支付257.0357万元。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★★★贫困村新建改建公路里程（ ≥**公里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&gt;=0公里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0公里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★★★项目（工程）验收合格率 （100%）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项目（工程）完成及时率（≥**%）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贫困地区建制村通客车率（ ≥**%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具备条件的建档立卡贫困村通硬化路率（≥**%)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工程设计使用年限（≥**年）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&gt;=15年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15年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新建公路列养率（≥**%）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受益贫困人口满意度（≥**%）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bookmarkStart w:id="105" w:name="_Toc15396613"/>
      <w:bookmarkStart w:id="106" w:name="_Toc15377225"/>
      <w:bookmarkStart w:id="107" w:name="_Toc79163879"/>
      <w:bookmarkStart w:id="108" w:name="_Toc79163629"/>
      <w:r>
        <w:rPr>
          <w:rFonts w:hint="eastAsia" w:ascii="楷体_GB2312" w:hAnsi="楷体_GB2312" w:eastAsia="楷体_GB2312" w:cs="楷体_GB2312"/>
          <w:sz w:val="32"/>
          <w:szCs w:val="32"/>
        </w:rPr>
        <w:t>2.部门绩效评价结果。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年部门整体支出绩效评价情况开展自评，《壤塘县上壤塘乡人民政府</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我乡自行组织对查卡村道路维修建设项目开展绩效评价。</w:t>
      </w:r>
    </w:p>
    <w:p>
      <w:pPr>
        <w:pStyle w:val="1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7"/>
      </w:pPr>
    </w:p>
    <w:p>
      <w:pPr>
        <w:numPr>
          <w:ilvl w:val="0"/>
          <w:numId w:val="4"/>
        </w:numPr>
        <w:spacing w:line="600" w:lineRule="exact"/>
        <w:ind w:firstLine="660" w:firstLineChars="150"/>
        <w:jc w:val="center"/>
        <w:outlineLvl w:val="0"/>
        <w:rPr>
          <w:rStyle w:val="26"/>
          <w:rFonts w:ascii="黑体" w:hAnsi="黑体" w:eastAsia="黑体"/>
          <w:b w:val="0"/>
        </w:rPr>
      </w:pPr>
      <w:r>
        <w:rPr>
          <w:rFonts w:hint="eastAsia" w:ascii="黑体" w:hAnsi="黑体" w:eastAsia="黑体"/>
          <w:color w:val="000000"/>
          <w:sz w:val="44"/>
          <w:szCs w:val="44"/>
        </w:rPr>
        <w:t>名</w:t>
      </w:r>
      <w:r>
        <w:rPr>
          <w:rStyle w:val="26"/>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9.一般公共服务201：指反映政府提供一般公共服务的支出。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10.外交202：指反映政府外交事务支出。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11.公共安全204：指反映政府维护社会公共安全方面的支出。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 205：指反映政府教育事务支出。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13.科学技术 206：指反映科学技术方面的支出。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14.文化体育与传媒 207：指反映政府在文化、体育、文物、广播影视、新闻出版等方面的支出。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 208：指反映政府在社会保障与就业方面的支出。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16.医疗卫生与计划生育210：指反映医疗卫生与计划生育、中医等管理事务方面的支出。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17.节能环保84：指反映政府节能环保支出。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18.城乡社区（类）212：指反映政府城乡管理事务支出。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19.农林水213：指反映政府农林水支出。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20.交通运输214：指反映交通运输和邮政业务相关的支出。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21.资源勘探信息等215：指反映用于资源勘探、制造业、建筑业、工业信息等方面的支出。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22.商业服务业216：指反映商业服务等方面的支出。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23.金融217：指反映金融方面的支出。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24.国土海洋气象220：指反映政府用于国土资源、海洋、测绘、地震、气象等公益服务事业方面的支出。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25.住房保障221：指集中反映政府用于住房方面的支出。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26.粮油物资储备222：指反映政府用于粮油物资储备方面的支出。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28.项目支出：指在基本支出之外为完成特定行政任务和事业发展目标所发生的支出。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29.经营支出：指事业单位在专业业务活动及其辅助活动之外开展非独立核算经营活动发生的支出。</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3080" w:firstLineChars="700"/>
        <w:jc w:val="both"/>
        <w:outlineLvl w:val="0"/>
        <w:rPr>
          <w:rFonts w:hint="eastAsia" w:ascii="黑体" w:hAnsi="黑体" w:eastAsia="黑体"/>
          <w:color w:val="000000"/>
          <w:sz w:val="44"/>
          <w:szCs w:val="44"/>
        </w:rPr>
      </w:pPr>
      <w:bookmarkStart w:id="109" w:name="_Toc79163880"/>
      <w:bookmarkStart w:id="110" w:name="_Toc15396614"/>
      <w:bookmarkStart w:id="111" w:name="_Toc79163630"/>
      <w:bookmarkStart w:id="112" w:name="_Toc15377226"/>
    </w:p>
    <w:p>
      <w:pPr>
        <w:spacing w:line="600" w:lineRule="exact"/>
        <w:ind w:firstLine="3080" w:firstLineChars="700"/>
        <w:jc w:val="both"/>
        <w:outlineLvl w:val="0"/>
        <w:rPr>
          <w:rFonts w:hint="eastAsia" w:ascii="黑体" w:hAnsi="黑体" w:eastAsia="黑体"/>
          <w:color w:val="000000"/>
          <w:sz w:val="44"/>
          <w:szCs w:val="44"/>
        </w:rPr>
      </w:pPr>
    </w:p>
    <w:p>
      <w:pPr>
        <w:spacing w:line="600" w:lineRule="exact"/>
        <w:ind w:firstLine="3080" w:firstLineChars="700"/>
        <w:jc w:val="both"/>
        <w:outlineLvl w:val="0"/>
        <w:rPr>
          <w:rFonts w:hint="eastAsia" w:ascii="黑体" w:hAnsi="黑体" w:eastAsia="黑体"/>
          <w:color w:val="000000"/>
          <w:sz w:val="44"/>
          <w:szCs w:val="44"/>
        </w:rPr>
      </w:pPr>
    </w:p>
    <w:p>
      <w:pPr>
        <w:spacing w:line="600" w:lineRule="exact"/>
        <w:ind w:firstLine="3080" w:firstLineChars="700"/>
        <w:jc w:val="both"/>
        <w:outlineLvl w:val="0"/>
        <w:rPr>
          <w:rFonts w:hint="eastAsia" w:ascii="黑体" w:hAnsi="黑体" w:eastAsia="黑体"/>
          <w:color w:val="000000"/>
          <w:sz w:val="44"/>
          <w:szCs w:val="44"/>
        </w:rPr>
      </w:pPr>
    </w:p>
    <w:p>
      <w:pPr>
        <w:spacing w:line="600" w:lineRule="exact"/>
        <w:ind w:firstLine="3080" w:firstLineChars="700"/>
        <w:jc w:val="both"/>
        <w:outlineLvl w:val="0"/>
        <w:rPr>
          <w:rFonts w:hint="eastAsia" w:ascii="黑体" w:hAnsi="黑体" w:eastAsia="黑体"/>
          <w:color w:val="000000"/>
          <w:sz w:val="44"/>
          <w:szCs w:val="44"/>
        </w:rPr>
      </w:pPr>
    </w:p>
    <w:p>
      <w:pPr>
        <w:spacing w:line="600" w:lineRule="exact"/>
        <w:ind w:firstLine="3080" w:firstLineChars="700"/>
        <w:jc w:val="both"/>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四部分附件</w:t>
      </w:r>
      <w:bookmarkEnd w:id="109"/>
      <w:bookmarkEnd w:id="110"/>
      <w:bookmarkEnd w:id="111"/>
    </w:p>
    <w:p>
      <w:pPr>
        <w:keepNext w:val="0"/>
        <w:keepLines w:val="0"/>
        <w:pageBreakBefore w:val="0"/>
        <w:kinsoku/>
        <w:wordWrap/>
        <w:overflowPunct/>
        <w:topLinePunct w:val="0"/>
        <w:autoSpaceDE/>
        <w:autoSpaceDN/>
        <w:bidi w:val="0"/>
        <w:spacing w:line="560" w:lineRule="exact"/>
        <w:jc w:val="left"/>
        <w:textAlignment w:val="auto"/>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jc w:val="center"/>
        <w:textAlignment w:val="auto"/>
        <w:outlineLvl w:val="0"/>
        <w:rPr>
          <w:rFonts w:ascii="黑体" w:hAnsi="黑体" w:eastAsia="黑体" w:cs="方正小标宋简体"/>
          <w:sz w:val="36"/>
          <w:szCs w:val="36"/>
        </w:rPr>
      </w:pPr>
      <w:bookmarkStart w:id="115" w:name="_Toc15396616"/>
      <w:r>
        <w:rPr>
          <w:rFonts w:hint="eastAsia" w:ascii="黑体" w:hAnsi="黑体" w:eastAsia="黑体" w:cs="方正小标宋简体"/>
          <w:sz w:val="36"/>
          <w:szCs w:val="36"/>
        </w:rPr>
        <w:t>壤塘县上壤塘乡人民政府</w:t>
      </w:r>
    </w:p>
    <w:p>
      <w:pPr>
        <w:keepNext w:val="0"/>
        <w:keepLines w:val="0"/>
        <w:pageBreakBefore w:val="0"/>
        <w:kinsoku/>
        <w:wordWrap/>
        <w:overflowPunct/>
        <w:topLinePunct w:val="0"/>
        <w:autoSpaceDE/>
        <w:autoSpaceDN/>
        <w:bidi w:val="0"/>
        <w:spacing w:line="560" w:lineRule="exact"/>
        <w:jc w:val="center"/>
        <w:textAlignment w:val="auto"/>
        <w:outlineLvl w:val="0"/>
        <w:rPr>
          <w:rFonts w:ascii="黑体" w:hAnsi="宋体" w:eastAsia="黑体" w:cs="宋体"/>
          <w:color w:val="000000"/>
          <w:kern w:val="0"/>
          <w:sz w:val="24"/>
          <w:szCs w:val="32"/>
          <w:shd w:val="clear" w:color="auto" w:fill="FFFFFF"/>
        </w:rPr>
      </w:pPr>
      <w:r>
        <w:rPr>
          <w:rFonts w:hint="eastAsia" w:ascii="黑体" w:hAnsi="黑体" w:eastAsia="黑体" w:cs="方正小标宋简体"/>
          <w:sz w:val="36"/>
          <w:szCs w:val="36"/>
          <w:lang w:val="en-US" w:eastAsia="zh-CN"/>
        </w:rPr>
        <w:t>2020</w:t>
      </w:r>
      <w:r>
        <w:rPr>
          <w:rFonts w:hint="eastAsia" w:ascii="黑体" w:hAnsi="黑体" w:eastAsia="黑体" w:cs="方正小标宋简体"/>
          <w:sz w:val="36"/>
          <w:szCs w:val="36"/>
        </w:rPr>
        <w:t>年部门整体支出绩效评价报告</w:t>
      </w:r>
      <w:bookmarkEnd w:id="115"/>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（一）机构组成。</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壤塘县上壤塘乡人民政府</w:t>
      </w:r>
      <w:r>
        <w:rPr>
          <w:rFonts w:ascii="仿宋_GB2312" w:hAnsi="Calibri" w:eastAsia="仿宋_GB2312" w:cs="仿宋"/>
          <w:color w:val="000000"/>
          <w:kern w:val="0"/>
          <w:sz w:val="32"/>
          <w:szCs w:val="32"/>
        </w:rPr>
        <w:t>属一级预算单位，</w:t>
      </w:r>
      <w:r>
        <w:rPr>
          <w:rFonts w:hint="eastAsia" w:ascii="仿宋_GB2312" w:hAnsi="Calibri" w:eastAsia="仿宋_GB2312" w:cs="仿宋"/>
          <w:color w:val="000000"/>
          <w:kern w:val="0"/>
          <w:sz w:val="32"/>
          <w:szCs w:val="32"/>
        </w:rPr>
        <w:t>独立编制机构3个党委、人大、政府</w:t>
      </w:r>
      <w:r>
        <w:rPr>
          <w:rFonts w:ascii="仿宋_GB2312" w:hAnsi="Calibri" w:eastAsia="仿宋_GB2312" w:cs="仿宋"/>
          <w:color w:val="000000"/>
          <w:kern w:val="0"/>
          <w:sz w:val="32"/>
          <w:szCs w:val="32"/>
        </w:rPr>
        <w:t>。</w:t>
      </w:r>
    </w:p>
    <w:p>
      <w:pPr>
        <w:pStyle w:val="7"/>
        <w:keepNext w:val="0"/>
        <w:keepLines w:val="0"/>
        <w:pageBreakBefore w:val="0"/>
        <w:kinsoku/>
        <w:wordWrap/>
        <w:overflowPunct/>
        <w:topLinePunct w:val="0"/>
        <w:autoSpaceDE/>
        <w:autoSpaceDN/>
        <w:bidi w:val="0"/>
        <w:adjustRightInd w:val="0"/>
        <w:snapToGrid w:val="0"/>
        <w:spacing w:before="93" w:line="560" w:lineRule="exact"/>
        <w:ind w:firstLine="640" w:firstLineChars="200"/>
        <w:textAlignment w:val="auto"/>
        <w:rPr>
          <w:rFonts w:hAnsi="Calibri" w:cs="仿宋"/>
          <w:color w:val="000000"/>
          <w:sz w:val="32"/>
          <w:szCs w:val="32"/>
        </w:rPr>
      </w:pPr>
      <w:r>
        <w:rPr>
          <w:rFonts w:hint="eastAsia" w:hAnsi="Calibri" w:cs="仿宋"/>
          <w:color w:val="000000"/>
          <w:sz w:val="32"/>
          <w:szCs w:val="32"/>
        </w:rPr>
        <w:t>（二）机构职能:</w:t>
      </w:r>
    </w:p>
    <w:p>
      <w:pPr>
        <w:pStyle w:val="7"/>
        <w:keepNext w:val="0"/>
        <w:keepLines w:val="0"/>
        <w:pageBreakBefore w:val="0"/>
        <w:kinsoku/>
        <w:wordWrap/>
        <w:overflowPunct/>
        <w:topLinePunct w:val="0"/>
        <w:autoSpaceDE/>
        <w:autoSpaceDN/>
        <w:bidi w:val="0"/>
        <w:adjustRightInd w:val="0"/>
        <w:snapToGrid w:val="0"/>
        <w:spacing w:before="93" w:line="560" w:lineRule="exact"/>
        <w:ind w:firstLine="640" w:firstLineChars="200"/>
        <w:textAlignment w:val="auto"/>
        <w:rPr>
          <w:rFonts w:hAnsi="Calibri" w:cs="仿宋"/>
          <w:color w:val="000000"/>
          <w:sz w:val="32"/>
          <w:szCs w:val="32"/>
        </w:rPr>
      </w:pPr>
      <w:r>
        <w:rPr>
          <w:rFonts w:hint="eastAsia" w:hAnsi="Calibri" w:cs="仿宋"/>
          <w:color w:val="000000"/>
          <w:sz w:val="32"/>
          <w:szCs w:val="32"/>
        </w:rPr>
        <w:t>1、执行本级人民代表大会的决议和上级国家行政机关的决定和命令，发布决定和命令。</w:t>
      </w:r>
    </w:p>
    <w:p>
      <w:pPr>
        <w:pStyle w:val="7"/>
        <w:keepNext w:val="0"/>
        <w:keepLines w:val="0"/>
        <w:pageBreakBefore w:val="0"/>
        <w:kinsoku/>
        <w:wordWrap/>
        <w:overflowPunct/>
        <w:topLinePunct w:val="0"/>
        <w:autoSpaceDE/>
        <w:autoSpaceDN/>
        <w:bidi w:val="0"/>
        <w:adjustRightInd w:val="0"/>
        <w:snapToGrid w:val="0"/>
        <w:spacing w:before="93" w:line="560" w:lineRule="exact"/>
        <w:ind w:firstLine="640" w:firstLineChars="200"/>
        <w:textAlignment w:val="auto"/>
        <w:rPr>
          <w:rFonts w:hAnsi="Calibri" w:cs="仿宋"/>
          <w:color w:val="000000"/>
          <w:sz w:val="32"/>
          <w:szCs w:val="32"/>
        </w:rPr>
      </w:pPr>
      <w:r>
        <w:rPr>
          <w:rFonts w:hint="eastAsia" w:hAnsi="Calibri" w:cs="仿宋"/>
          <w:color w:val="000000"/>
          <w:sz w:val="32"/>
          <w:szCs w:val="32"/>
        </w:rPr>
        <w:t>2、执行本行政区域内的经济和社会发展计划、预算，管理本行政区域内的经济、教育、科学、文化、卫生、体育事业和财政、民政等行政工作；</w:t>
      </w:r>
    </w:p>
    <w:p>
      <w:pPr>
        <w:pStyle w:val="7"/>
        <w:keepNext w:val="0"/>
        <w:keepLines w:val="0"/>
        <w:pageBreakBefore w:val="0"/>
        <w:kinsoku/>
        <w:wordWrap/>
        <w:overflowPunct/>
        <w:topLinePunct w:val="0"/>
        <w:autoSpaceDE/>
        <w:autoSpaceDN/>
        <w:bidi w:val="0"/>
        <w:adjustRightInd w:val="0"/>
        <w:snapToGrid w:val="0"/>
        <w:spacing w:before="93" w:line="560" w:lineRule="exact"/>
        <w:ind w:firstLine="640" w:firstLineChars="200"/>
        <w:textAlignment w:val="auto"/>
        <w:rPr>
          <w:rFonts w:hAnsi="Calibri" w:cs="仿宋"/>
          <w:color w:val="000000"/>
          <w:sz w:val="32"/>
          <w:szCs w:val="32"/>
        </w:rPr>
      </w:pPr>
      <w:r>
        <w:rPr>
          <w:rFonts w:hint="eastAsia" w:hAnsi="Calibri" w:cs="仿宋"/>
          <w:color w:val="000000"/>
          <w:sz w:val="32"/>
          <w:szCs w:val="32"/>
        </w:rPr>
        <w:t>3、保障少数民族的权利和尊重少数民族的风俗习惯；</w:t>
      </w:r>
    </w:p>
    <w:p>
      <w:pPr>
        <w:pStyle w:val="7"/>
        <w:keepNext w:val="0"/>
        <w:keepLines w:val="0"/>
        <w:pageBreakBefore w:val="0"/>
        <w:kinsoku/>
        <w:wordWrap/>
        <w:overflowPunct/>
        <w:topLinePunct w:val="0"/>
        <w:autoSpaceDE/>
        <w:autoSpaceDN/>
        <w:bidi w:val="0"/>
        <w:adjustRightInd w:val="0"/>
        <w:snapToGrid w:val="0"/>
        <w:spacing w:before="93" w:line="560" w:lineRule="exact"/>
        <w:ind w:firstLine="640" w:firstLineChars="200"/>
        <w:textAlignment w:val="auto"/>
        <w:rPr>
          <w:rFonts w:hAnsi="Calibri" w:cs="仿宋"/>
          <w:color w:val="000000"/>
          <w:sz w:val="32"/>
          <w:szCs w:val="32"/>
        </w:rPr>
      </w:pPr>
      <w:r>
        <w:rPr>
          <w:rFonts w:hint="eastAsia" w:hAnsi="Calibri" w:cs="仿宋"/>
          <w:color w:val="000000"/>
          <w:sz w:val="32"/>
          <w:szCs w:val="32"/>
        </w:rPr>
        <w:t>4、保障宪法和法律赋予妇女的男女平等、同工同酬和婚姻自由等各项。</w:t>
      </w:r>
    </w:p>
    <w:p>
      <w:pPr>
        <w:pStyle w:val="7"/>
        <w:keepNext w:val="0"/>
        <w:keepLines w:val="0"/>
        <w:pageBreakBefore w:val="0"/>
        <w:kinsoku/>
        <w:wordWrap/>
        <w:overflowPunct/>
        <w:topLinePunct w:val="0"/>
        <w:autoSpaceDE/>
        <w:autoSpaceDN/>
        <w:bidi w:val="0"/>
        <w:adjustRightInd w:val="0"/>
        <w:snapToGrid w:val="0"/>
        <w:spacing w:before="93" w:line="560" w:lineRule="exact"/>
        <w:ind w:firstLine="672" w:firstLineChars="21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（三）人员概况:我乡为行政机构，其中行政编制总编制</w:t>
      </w: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rPr>
        <w:t>人，其中，行政编制</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人，事业编制7人，</w:t>
      </w:r>
      <w:r>
        <w:rPr>
          <w:rFonts w:hint="eastAsia" w:ascii="仿宋" w:hAnsi="仿宋" w:eastAsia="仿宋" w:cs="仿宋"/>
          <w:color w:val="000000"/>
          <w:sz w:val="32"/>
          <w:szCs w:val="32"/>
          <w:lang w:eastAsia="zh-CN"/>
        </w:rPr>
        <w:t>机关工勤</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人。</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3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年当年我乡预算收入977.89万元，上年结转189.7万元，合计1167.59万元</w:t>
      </w:r>
      <w:r>
        <w:rPr>
          <w:rFonts w:hint="eastAsia" w:ascii="仿宋_GB2312" w:hAnsi="Calibri" w:eastAsia="仿宋_GB2312" w:cs="仿宋"/>
          <w:color w:val="000000"/>
          <w:kern w:val="0"/>
          <w:sz w:val="32"/>
          <w:szCs w:val="32"/>
          <w:lang w:val="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（二）部门财政资金支出情况。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lang w:val="zh-CN"/>
        </w:rPr>
        <w:t>年我乡决算支出</w:t>
      </w:r>
      <w:r>
        <w:rPr>
          <w:rFonts w:hint="eastAsia" w:ascii="仿宋_GB2312" w:hAnsi="Calibri" w:eastAsia="仿宋_GB2312" w:cs="仿宋"/>
          <w:color w:val="000000"/>
          <w:kern w:val="0"/>
          <w:sz w:val="32"/>
          <w:szCs w:val="32"/>
        </w:rPr>
        <w:t>1167.59</w:t>
      </w:r>
      <w:r>
        <w:rPr>
          <w:rFonts w:hint="eastAsia" w:ascii="仿宋_GB2312" w:hAnsi="Calibri" w:eastAsia="仿宋_GB2312" w:cs="仿宋"/>
          <w:color w:val="000000"/>
          <w:kern w:val="0"/>
          <w:sz w:val="32"/>
          <w:szCs w:val="32"/>
          <w:lang w:val="zh-CN"/>
        </w:rPr>
        <w:t>万元，按功能分类，主要用于</w:t>
      </w:r>
      <w:r>
        <w:rPr>
          <w:rFonts w:hint="eastAsia" w:ascii="仿宋_GB2312" w:hAnsi="Calibri" w:eastAsia="仿宋_GB2312" w:cs="仿宋"/>
          <w:color w:val="000000"/>
          <w:kern w:val="0"/>
          <w:sz w:val="32"/>
          <w:szCs w:val="32"/>
        </w:rPr>
        <w:t>一般公共预算财政拨款支出13.95万元，主要用于以下</w:t>
      </w:r>
      <w:r>
        <w:rPr>
          <w:rFonts w:hint="eastAsia" w:ascii="仿宋_GB2312" w:hAnsi="Calibri" w:eastAsia="仿宋_GB2312" w:cs="仿宋"/>
          <w:color w:val="000000"/>
          <w:kern w:val="0"/>
          <w:sz w:val="32"/>
          <w:szCs w:val="32"/>
          <w:lang w:val="zh-CN"/>
        </w:rPr>
        <w:t>方面:用于以下方面:一般公共服务（类）</w:t>
      </w:r>
      <w:r>
        <w:rPr>
          <w:rFonts w:hint="eastAsia" w:ascii="仿宋_GB2312" w:hAnsi="Calibri" w:eastAsia="仿宋_GB2312" w:cs="仿宋"/>
          <w:color w:val="000000"/>
          <w:kern w:val="0"/>
          <w:sz w:val="32"/>
          <w:szCs w:val="32"/>
          <w:lang w:val="en-US" w:eastAsia="zh-CN"/>
        </w:rPr>
        <w:t>201</w:t>
      </w:r>
      <w:r>
        <w:rPr>
          <w:rFonts w:hint="eastAsia" w:ascii="仿宋_GB2312" w:hAnsi="Calibri" w:eastAsia="仿宋_GB2312" w:cs="仿宋"/>
          <w:color w:val="000000"/>
          <w:kern w:val="0"/>
          <w:sz w:val="32"/>
          <w:szCs w:val="32"/>
          <w:lang w:val="zh-CN"/>
        </w:rPr>
        <w:t>支出493.07万元，占</w:t>
      </w:r>
      <w:r>
        <w:rPr>
          <w:rFonts w:hint="eastAsia" w:ascii="仿宋_GB2312" w:hAnsi="Calibri" w:eastAsia="仿宋_GB2312" w:cs="仿宋"/>
          <w:color w:val="000000"/>
          <w:kern w:val="0"/>
          <w:sz w:val="32"/>
          <w:szCs w:val="32"/>
          <w:lang w:val="en-US" w:eastAsia="zh-CN"/>
        </w:rPr>
        <w:t>42.74</w:t>
      </w:r>
      <w:r>
        <w:rPr>
          <w:rFonts w:hint="eastAsia" w:ascii="仿宋_GB2312" w:hAnsi="Calibri" w:eastAsia="仿宋_GB2312" w:cs="仿宋"/>
          <w:color w:val="000000"/>
          <w:kern w:val="0"/>
          <w:sz w:val="32"/>
          <w:szCs w:val="32"/>
          <w:lang w:val="zh-CN"/>
        </w:rPr>
        <w:t>%；国防（类）2</w:t>
      </w:r>
      <w:r>
        <w:rPr>
          <w:rFonts w:hint="eastAsia" w:ascii="仿宋_GB2312" w:hAnsi="Calibri" w:eastAsia="仿宋_GB2312" w:cs="仿宋"/>
          <w:color w:val="000000"/>
          <w:kern w:val="0"/>
          <w:sz w:val="32"/>
          <w:szCs w:val="32"/>
          <w:lang w:val="en-US" w:eastAsia="zh-CN"/>
        </w:rPr>
        <w:t>03</w:t>
      </w:r>
      <w:r>
        <w:rPr>
          <w:rFonts w:hint="eastAsia" w:ascii="仿宋_GB2312" w:hAnsi="Calibri" w:eastAsia="仿宋_GB2312" w:cs="仿宋"/>
          <w:color w:val="000000"/>
          <w:kern w:val="0"/>
          <w:sz w:val="32"/>
          <w:szCs w:val="32"/>
          <w:lang w:val="zh-CN"/>
        </w:rPr>
        <w:t>支出：4.91万元，占</w:t>
      </w:r>
      <w:r>
        <w:rPr>
          <w:rFonts w:hint="eastAsia" w:ascii="仿宋_GB2312" w:hAnsi="Calibri" w:eastAsia="仿宋_GB2312" w:cs="仿宋"/>
          <w:color w:val="000000"/>
          <w:kern w:val="0"/>
          <w:sz w:val="32"/>
          <w:szCs w:val="32"/>
          <w:lang w:val="en-US" w:eastAsia="zh-CN"/>
        </w:rPr>
        <w:t>0.43</w:t>
      </w:r>
      <w:r>
        <w:rPr>
          <w:rFonts w:hint="eastAsia" w:ascii="仿宋_GB2312" w:hAnsi="Calibri" w:eastAsia="仿宋_GB2312" w:cs="仿宋"/>
          <w:color w:val="000000"/>
          <w:kern w:val="0"/>
          <w:sz w:val="32"/>
          <w:szCs w:val="32"/>
          <w:lang w:val="zh-CN"/>
        </w:rPr>
        <w:t>%；科学技术（类）</w:t>
      </w:r>
      <w:r>
        <w:rPr>
          <w:rFonts w:hint="eastAsia" w:ascii="仿宋_GB2312" w:hAnsi="Calibri" w:eastAsia="仿宋_GB2312" w:cs="仿宋"/>
          <w:color w:val="000000"/>
          <w:kern w:val="0"/>
          <w:sz w:val="32"/>
          <w:szCs w:val="32"/>
          <w:lang w:val="en-US" w:eastAsia="zh-CN"/>
        </w:rPr>
        <w:t>206</w:t>
      </w:r>
      <w:r>
        <w:rPr>
          <w:rFonts w:hint="eastAsia" w:ascii="仿宋_GB2312" w:hAnsi="Calibri" w:eastAsia="仿宋_GB2312" w:cs="仿宋"/>
          <w:color w:val="000000"/>
          <w:kern w:val="0"/>
          <w:sz w:val="32"/>
          <w:szCs w:val="32"/>
          <w:lang w:val="zh-CN"/>
        </w:rPr>
        <w:t>支出10万元，占</w:t>
      </w:r>
      <w:r>
        <w:rPr>
          <w:rFonts w:hint="eastAsia" w:ascii="仿宋_GB2312" w:hAnsi="Calibri" w:eastAsia="仿宋_GB2312" w:cs="仿宋"/>
          <w:color w:val="000000"/>
          <w:kern w:val="0"/>
          <w:sz w:val="32"/>
          <w:szCs w:val="32"/>
          <w:lang w:val="en-US" w:eastAsia="zh-CN"/>
        </w:rPr>
        <w:t>0.87</w:t>
      </w:r>
      <w:r>
        <w:rPr>
          <w:rFonts w:hint="eastAsia" w:ascii="仿宋_GB2312" w:hAnsi="Calibri" w:eastAsia="仿宋_GB2312" w:cs="仿宋"/>
          <w:color w:val="000000"/>
          <w:kern w:val="0"/>
          <w:sz w:val="32"/>
          <w:szCs w:val="32"/>
          <w:lang w:val="zh-CN"/>
        </w:rPr>
        <w:t>%；社会保障和就业（类）</w:t>
      </w:r>
      <w:r>
        <w:rPr>
          <w:rFonts w:hint="eastAsia" w:ascii="仿宋_GB2312" w:hAnsi="Calibri" w:eastAsia="仿宋_GB2312" w:cs="仿宋"/>
          <w:color w:val="000000"/>
          <w:kern w:val="0"/>
          <w:sz w:val="32"/>
          <w:szCs w:val="32"/>
          <w:lang w:val="en-US" w:eastAsia="zh-CN"/>
        </w:rPr>
        <w:t>208</w:t>
      </w:r>
      <w:r>
        <w:rPr>
          <w:rFonts w:hint="eastAsia" w:ascii="仿宋_GB2312" w:hAnsi="Calibri" w:eastAsia="仿宋_GB2312" w:cs="仿宋"/>
          <w:color w:val="000000"/>
          <w:kern w:val="0"/>
          <w:sz w:val="32"/>
          <w:szCs w:val="32"/>
          <w:lang w:val="zh-CN"/>
        </w:rPr>
        <w:t>支出88.07万元，占</w:t>
      </w:r>
      <w:r>
        <w:rPr>
          <w:rFonts w:hint="eastAsia" w:ascii="仿宋_GB2312" w:hAnsi="Calibri" w:eastAsia="仿宋_GB2312" w:cs="仿宋"/>
          <w:color w:val="000000"/>
          <w:kern w:val="0"/>
          <w:sz w:val="32"/>
          <w:szCs w:val="32"/>
          <w:lang w:val="en-US" w:eastAsia="zh-CN"/>
        </w:rPr>
        <w:t>7.63</w:t>
      </w:r>
      <w:r>
        <w:rPr>
          <w:rFonts w:hint="eastAsia" w:ascii="仿宋_GB2312" w:hAnsi="Calibri" w:eastAsia="仿宋_GB2312" w:cs="仿宋"/>
          <w:color w:val="000000"/>
          <w:kern w:val="0"/>
          <w:sz w:val="32"/>
          <w:szCs w:val="32"/>
          <w:lang w:val="zh-CN"/>
        </w:rPr>
        <w:t>%；卫生健康（类）</w:t>
      </w:r>
      <w:r>
        <w:rPr>
          <w:rFonts w:hint="eastAsia" w:ascii="仿宋_GB2312" w:hAnsi="Calibri" w:eastAsia="仿宋_GB2312" w:cs="仿宋"/>
          <w:color w:val="000000"/>
          <w:kern w:val="0"/>
          <w:sz w:val="32"/>
          <w:szCs w:val="32"/>
          <w:lang w:val="en-US" w:eastAsia="zh-CN"/>
        </w:rPr>
        <w:t>210</w:t>
      </w:r>
      <w:r>
        <w:rPr>
          <w:rFonts w:hint="eastAsia" w:ascii="仿宋_GB2312" w:hAnsi="Calibri" w:eastAsia="仿宋_GB2312" w:cs="仿宋"/>
          <w:color w:val="000000"/>
          <w:kern w:val="0"/>
          <w:sz w:val="32"/>
          <w:szCs w:val="32"/>
          <w:lang w:val="zh-CN"/>
        </w:rPr>
        <w:t>支出24.63万元，占</w:t>
      </w:r>
      <w:r>
        <w:rPr>
          <w:rFonts w:hint="eastAsia" w:ascii="仿宋_GB2312" w:hAnsi="Calibri" w:eastAsia="仿宋_GB2312" w:cs="仿宋"/>
          <w:color w:val="000000"/>
          <w:kern w:val="0"/>
          <w:sz w:val="32"/>
          <w:szCs w:val="32"/>
          <w:lang w:val="en-US" w:eastAsia="zh-CN"/>
        </w:rPr>
        <w:t>2.13</w:t>
      </w:r>
      <w:r>
        <w:rPr>
          <w:rFonts w:hint="eastAsia" w:ascii="仿宋_GB2312" w:hAnsi="Calibri" w:eastAsia="仿宋_GB2312" w:cs="仿宋"/>
          <w:color w:val="000000"/>
          <w:kern w:val="0"/>
          <w:sz w:val="32"/>
          <w:szCs w:val="32"/>
          <w:lang w:val="zh-CN"/>
        </w:rPr>
        <w:t>%；节能环保（类)211支出1.99万元，占</w:t>
      </w:r>
      <w:r>
        <w:rPr>
          <w:rFonts w:hint="eastAsia" w:ascii="仿宋_GB2312" w:hAnsi="Calibri" w:eastAsia="仿宋_GB2312" w:cs="仿宋"/>
          <w:color w:val="000000"/>
          <w:kern w:val="0"/>
          <w:sz w:val="32"/>
          <w:szCs w:val="32"/>
          <w:lang w:val="en-US" w:eastAsia="zh-CN"/>
        </w:rPr>
        <w:t>0.17</w:t>
      </w:r>
      <w:r>
        <w:rPr>
          <w:rFonts w:hint="eastAsia" w:ascii="仿宋_GB2312" w:hAnsi="Calibri" w:eastAsia="仿宋_GB2312" w:cs="仿宋"/>
          <w:color w:val="000000"/>
          <w:kern w:val="0"/>
          <w:sz w:val="32"/>
          <w:szCs w:val="32"/>
          <w:lang w:val="zh-CN"/>
        </w:rPr>
        <w:t>%；农林水（类）213支出478.19万元，占</w:t>
      </w:r>
      <w:r>
        <w:rPr>
          <w:rFonts w:hint="eastAsia" w:ascii="仿宋_GB2312" w:hAnsi="Calibri" w:eastAsia="仿宋_GB2312" w:cs="仿宋"/>
          <w:color w:val="000000"/>
          <w:kern w:val="0"/>
          <w:sz w:val="32"/>
          <w:szCs w:val="32"/>
          <w:lang w:val="en-US" w:eastAsia="zh-CN"/>
        </w:rPr>
        <w:t>41.45</w:t>
      </w:r>
      <w:r>
        <w:rPr>
          <w:rFonts w:hint="eastAsia" w:ascii="仿宋_GB2312" w:hAnsi="Calibri" w:eastAsia="仿宋_GB2312" w:cs="仿宋"/>
          <w:color w:val="000000"/>
          <w:kern w:val="0"/>
          <w:sz w:val="32"/>
          <w:szCs w:val="32"/>
          <w:lang w:val="zh-CN"/>
        </w:rPr>
        <w:t>%。住房保障（类）</w:t>
      </w:r>
      <w:r>
        <w:rPr>
          <w:rFonts w:hint="eastAsia" w:ascii="仿宋_GB2312" w:hAnsi="Calibri" w:eastAsia="仿宋_GB2312" w:cs="仿宋"/>
          <w:color w:val="000000"/>
          <w:kern w:val="0"/>
          <w:sz w:val="32"/>
          <w:szCs w:val="32"/>
          <w:lang w:val="en-US" w:eastAsia="zh-CN"/>
        </w:rPr>
        <w:t>221</w:t>
      </w:r>
      <w:r>
        <w:rPr>
          <w:rFonts w:hint="eastAsia" w:ascii="仿宋_GB2312" w:hAnsi="Calibri" w:eastAsia="仿宋_GB2312" w:cs="仿宋"/>
          <w:color w:val="000000"/>
          <w:kern w:val="0"/>
          <w:sz w:val="32"/>
          <w:szCs w:val="32"/>
          <w:lang w:val="zh-CN"/>
        </w:rPr>
        <w:t>支出51.79万元，占</w:t>
      </w:r>
      <w:r>
        <w:rPr>
          <w:rFonts w:hint="eastAsia" w:ascii="仿宋_GB2312" w:hAnsi="Calibri" w:eastAsia="仿宋_GB2312" w:cs="仿宋"/>
          <w:color w:val="000000"/>
          <w:kern w:val="0"/>
          <w:sz w:val="32"/>
          <w:szCs w:val="32"/>
          <w:lang w:val="en-US" w:eastAsia="zh-CN"/>
        </w:rPr>
        <w:t>4.49</w:t>
      </w:r>
      <w:r>
        <w:rPr>
          <w:rFonts w:hint="eastAsia" w:ascii="仿宋_GB2312" w:hAnsi="Calibri" w:eastAsia="仿宋_GB2312" w:cs="仿宋"/>
          <w:color w:val="000000"/>
          <w:kern w:val="0"/>
          <w:sz w:val="32"/>
          <w:szCs w:val="32"/>
          <w:lang w:val="zh-CN"/>
        </w:rPr>
        <w:t>%；灾害防治及应急管理（类）</w:t>
      </w:r>
      <w:r>
        <w:rPr>
          <w:rFonts w:hint="eastAsia" w:ascii="仿宋_GB2312" w:hAnsi="Calibri" w:eastAsia="仿宋_GB2312" w:cs="仿宋"/>
          <w:color w:val="000000"/>
          <w:kern w:val="0"/>
          <w:sz w:val="32"/>
          <w:szCs w:val="32"/>
          <w:lang w:val="en-US" w:eastAsia="zh-CN"/>
        </w:rPr>
        <w:t>224</w:t>
      </w:r>
      <w:r>
        <w:rPr>
          <w:rFonts w:hint="eastAsia" w:ascii="仿宋_GB2312" w:hAnsi="Calibri" w:eastAsia="仿宋_GB2312" w:cs="仿宋"/>
          <w:color w:val="000000"/>
          <w:kern w:val="0"/>
          <w:sz w:val="32"/>
          <w:szCs w:val="32"/>
          <w:lang w:val="zh-CN"/>
        </w:rPr>
        <w:t>支出0.99万元，占</w:t>
      </w:r>
      <w:r>
        <w:rPr>
          <w:rFonts w:hint="eastAsia" w:ascii="仿宋_GB2312" w:hAnsi="Calibri" w:eastAsia="仿宋_GB2312" w:cs="仿宋"/>
          <w:color w:val="000000"/>
          <w:kern w:val="0"/>
          <w:sz w:val="32"/>
          <w:szCs w:val="32"/>
          <w:lang w:val="en-US" w:eastAsia="zh-CN"/>
        </w:rPr>
        <w:t>0.64</w:t>
      </w:r>
      <w:r>
        <w:rPr>
          <w:rFonts w:hint="eastAsia" w:ascii="仿宋_GB2312" w:hAnsi="Calibri" w:eastAsia="仿宋_GB2312" w:cs="仿宋"/>
          <w:color w:val="000000"/>
          <w:kern w:val="0"/>
          <w:sz w:val="32"/>
          <w:szCs w:val="32"/>
          <w:lang w:val="zh-CN"/>
        </w:rPr>
        <w:t>%</w:t>
      </w:r>
      <w:r>
        <w:rPr>
          <w:rFonts w:hint="eastAsia" w:ascii="仿宋_GB2312" w:hAnsi="Calibri" w:eastAsia="仿宋_GB2312" w:cs="仿宋"/>
          <w:color w:val="000000"/>
          <w:kern w:val="0"/>
          <w:sz w:val="32"/>
          <w:szCs w:val="32"/>
          <w:lang w:val="zh-CN" w:eastAsia="zh-CN"/>
        </w:rPr>
        <w:t>。</w:t>
      </w:r>
      <w:r>
        <w:rPr>
          <w:rFonts w:hint="eastAsia" w:ascii="仿宋_GB2312" w:hAnsi="Calibri" w:eastAsia="仿宋_GB2312" w:cs="仿宋"/>
          <w:color w:val="000000"/>
          <w:kern w:val="0"/>
          <w:sz w:val="32"/>
          <w:szCs w:val="32"/>
          <w:lang w:val="zh-CN"/>
        </w:rPr>
        <w:t>年末结转13.95万元，主要是项目结转，无超预算支出的现象。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Calibri" w:eastAsia="仿宋_GB2312" w:cs="仿宋"/>
          <w:color w:val="000000"/>
          <w:kern w:val="0"/>
          <w:sz w:val="32"/>
          <w:szCs w:val="32"/>
        </w:rPr>
        <w:t>（一）部门预算管理。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年我乡的绩效目标制定、目标完成、预决算编制等均按照县财政局下达的相关文件指标进行了编制，均按相关要求严格执行预算范围内开支，并完成所有预定目标。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（二）专项预算管理。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年我乡严格执行专项资金管理办法，实施专款专用原则根据各项目进展、完成情况，合理规划、科学分配专项资金。完成专项预算绩效目标，无违规记录。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（三）结果应用情况。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zh-CN"/>
        </w:rPr>
        <w:t>内控制度管理信息公开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我乡</w:t>
      </w: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lang w:val="zh-CN"/>
        </w:rPr>
        <w:t>年预算通过政府门户网站公开，在本级政府门户网站上设立预决算公开统一平台。公开的数据，不存在虚列支出的问题，按照实际支出填报。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lang w:val="zh-CN"/>
        </w:rPr>
        <w:t>绩效评价及依法接受财政监督情况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日常业务经费和机关运行经费包括“三公”经费严格按照部门当年预算执行，无因出差费用发生，我单位无公务接待费、公务用车运行维护费按照。</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lang w:val="zh-CN"/>
        </w:rPr>
        <w:t>整体绩效。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_GB2312" w:hAnsi="Calibri" w:eastAsia="仿宋_GB2312" w:cs="仿宋"/>
          <w:color w:val="000000"/>
          <w:kern w:val="0"/>
          <w:sz w:val="32"/>
          <w:szCs w:val="32"/>
        </w:rPr>
        <w:t>认真落实上级决策部署，按照保进度、重质量、求实效的要求，</w:t>
      </w:r>
      <w:r>
        <w:rPr>
          <w:rFonts w:hint="eastAsia" w:ascii="仿宋" w:hAnsi="仿宋" w:eastAsia="仿宋" w:cs="仿宋"/>
          <w:color w:val="000000"/>
          <w:kern w:val="0"/>
          <w:sz w:val="32"/>
          <w:szCs w:val="32"/>
        </w:rPr>
        <w:t>全面推进各项重点工作，较好地完成了各项目标任务。整体支出绩效评价指标体系自评得分</w:t>
      </w:r>
      <w:r>
        <w:rPr>
          <w:rFonts w:hint="eastAsia" w:ascii="仿宋" w:hAnsi="仿宋" w:eastAsia="仿宋" w:cs="仿宋"/>
          <w:color w:val="000000"/>
          <w:kern w:val="0"/>
          <w:sz w:val="32"/>
          <w:szCs w:val="32"/>
          <w:lang w:val="en-US" w:eastAsia="zh-CN"/>
        </w:rPr>
        <w:t>92.5</w:t>
      </w:r>
      <w:r>
        <w:rPr>
          <w:rFonts w:hint="eastAsia" w:ascii="仿宋" w:hAnsi="仿宋" w:eastAsia="仿宋" w:cs="仿宋"/>
          <w:color w:val="000000"/>
          <w:kern w:val="0"/>
          <w:sz w:val="32"/>
          <w:szCs w:val="32"/>
        </w:rPr>
        <w:t>分，部门整体支出绩效为“良好”。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zh-CN"/>
        </w:rPr>
        <w:t>科学合理编制预算，</w:t>
      </w:r>
      <w:r>
        <w:rPr>
          <w:rFonts w:hint="eastAsia" w:ascii="仿宋_GB2312" w:hAnsi="Calibri" w:eastAsia="仿宋_GB2312" w:cs="仿宋"/>
          <w:color w:val="000000"/>
          <w:kern w:val="0"/>
          <w:sz w:val="32"/>
          <w:szCs w:val="32"/>
          <w:lang w:val="en-US" w:eastAsia="zh-CN"/>
        </w:rPr>
        <w:t>保证完整性、真实性、合法性并且</w:t>
      </w:r>
      <w:r>
        <w:rPr>
          <w:rFonts w:hint="eastAsia" w:ascii="仿宋_GB2312" w:hAnsi="Calibri" w:eastAsia="仿宋_GB2312" w:cs="仿宋"/>
          <w:color w:val="000000"/>
          <w:kern w:val="0"/>
          <w:sz w:val="32"/>
          <w:szCs w:val="32"/>
          <w:lang w:val="zh-CN"/>
        </w:rPr>
        <w:t>严格执行预算。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（二）存在问题。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账务处理和管理制度</w:t>
      </w:r>
      <w:r>
        <w:rPr>
          <w:rFonts w:hint="eastAsia" w:ascii="仿宋_GB2312" w:hAnsi="Calibri" w:eastAsia="仿宋_GB2312" w:cs="仿宋"/>
          <w:color w:val="000000"/>
          <w:kern w:val="0"/>
          <w:sz w:val="32"/>
          <w:szCs w:val="32"/>
          <w:lang w:val="en-US" w:eastAsia="zh-CN"/>
        </w:rPr>
        <w:t>不够</w:t>
      </w:r>
      <w:r>
        <w:rPr>
          <w:rFonts w:hint="eastAsia" w:ascii="仿宋_GB2312" w:hAnsi="Calibri" w:eastAsia="仿宋_GB2312" w:cs="仿宋"/>
          <w:color w:val="000000"/>
          <w:kern w:val="0"/>
          <w:sz w:val="32"/>
          <w:szCs w:val="32"/>
          <w:lang w:val="zh-CN"/>
        </w:rPr>
        <w:t>完善</w:t>
      </w:r>
      <w:r>
        <w:rPr>
          <w:rFonts w:hint="eastAsia" w:ascii="仿宋_GB2312" w:hAnsi="Calibri" w:eastAsia="仿宋_GB2312" w:cs="仿宋"/>
          <w:color w:val="000000"/>
          <w:kern w:val="0"/>
          <w:sz w:val="32"/>
          <w:szCs w:val="32"/>
          <w:lang w:val="en-US" w:eastAsia="zh-CN"/>
        </w:rPr>
        <w:t>和</w:t>
      </w:r>
      <w:r>
        <w:rPr>
          <w:rFonts w:hint="eastAsia" w:ascii="仿宋_GB2312" w:hAnsi="Calibri" w:eastAsia="仿宋_GB2312" w:cs="仿宋"/>
          <w:color w:val="000000"/>
          <w:kern w:val="0"/>
          <w:sz w:val="32"/>
          <w:szCs w:val="32"/>
          <w:lang w:val="zh-CN"/>
        </w:rPr>
        <w:t>规范，资产管理待加强。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（三）改进建议。</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zh-CN"/>
        </w:rPr>
        <w:t>科学合理</w:t>
      </w:r>
      <w:r>
        <w:rPr>
          <w:rFonts w:hint="eastAsia" w:ascii="仿宋_GB2312" w:hAnsi="Calibri" w:eastAsia="仿宋_GB2312" w:cs="仿宋"/>
          <w:color w:val="000000"/>
          <w:kern w:val="0"/>
          <w:sz w:val="32"/>
          <w:szCs w:val="32"/>
          <w:lang w:val="en-US" w:eastAsia="zh-CN"/>
        </w:rPr>
        <w:t>合法</w:t>
      </w:r>
      <w:r>
        <w:rPr>
          <w:rFonts w:hint="eastAsia" w:ascii="仿宋_GB2312" w:hAnsi="Calibri" w:eastAsia="仿宋_GB2312" w:cs="仿宋"/>
          <w:color w:val="000000"/>
          <w:kern w:val="0"/>
          <w:sz w:val="32"/>
          <w:szCs w:val="32"/>
          <w:lang w:val="zh-CN"/>
        </w:rPr>
        <w:t>编制</w:t>
      </w:r>
      <w:r>
        <w:rPr>
          <w:rFonts w:hint="eastAsia" w:ascii="仿宋_GB2312" w:hAnsi="Calibri" w:eastAsia="仿宋_GB2312" w:cs="仿宋"/>
          <w:color w:val="000000"/>
          <w:kern w:val="0"/>
          <w:sz w:val="32"/>
          <w:szCs w:val="32"/>
          <w:lang w:val="en-US" w:eastAsia="zh-CN"/>
        </w:rPr>
        <w:t>本单位</w:t>
      </w:r>
      <w:r>
        <w:rPr>
          <w:rFonts w:hint="eastAsia" w:ascii="仿宋_GB2312" w:hAnsi="Calibri" w:eastAsia="仿宋_GB2312" w:cs="仿宋"/>
          <w:color w:val="000000"/>
          <w:kern w:val="0"/>
          <w:sz w:val="32"/>
          <w:szCs w:val="32"/>
          <w:lang w:val="zh-CN"/>
        </w:rPr>
        <w:t>预算，严格执行预算，规范账务处理，提高财务信息质量，完善管理制度，进一步加强资产管理。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jc w:val="left"/>
        <w:textAlignment w:val="auto"/>
        <w:outlineLvl w:val="0"/>
        <w:rPr>
          <w:rFonts w:ascii="黑体" w:hAnsi="黑体" w:eastAsia="黑体" w:cs="黑体"/>
          <w:sz w:val="32"/>
          <w:szCs w:val="32"/>
        </w:rPr>
      </w:pPr>
      <w:bookmarkStart w:id="116" w:name="_Toc79163883"/>
      <w:bookmarkStart w:id="117" w:name="_Toc79163633"/>
      <w:r>
        <w:rPr>
          <w:rFonts w:hint="eastAsia" w:ascii="黑体" w:hAnsi="黑体" w:eastAsia="黑体" w:cs="黑体"/>
          <w:sz w:val="32"/>
          <w:szCs w:val="32"/>
        </w:rPr>
        <w:t>附件</w:t>
      </w:r>
      <w:r>
        <w:rPr>
          <w:rFonts w:ascii="黑体" w:hAnsi="黑体" w:eastAsia="黑体" w:cs="黑体"/>
          <w:sz w:val="32"/>
          <w:szCs w:val="32"/>
        </w:rPr>
        <w:t>2</w:t>
      </w:r>
      <w:bookmarkEnd w:id="116"/>
      <w:bookmarkEnd w:id="117"/>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sz w:val="44"/>
          <w:szCs w:val="44"/>
        </w:rPr>
      </w:pPr>
      <w:bookmarkStart w:id="118" w:name="_Toc79163634"/>
      <w:bookmarkStart w:id="119" w:name="_Toc79163884"/>
      <w:r>
        <w:rPr>
          <w:rFonts w:hint="eastAsia" w:ascii="方正小标宋简体" w:hAnsi="黑体" w:eastAsia="方正小标宋简体" w:cs="黑体"/>
          <w:sz w:val="44"/>
          <w:szCs w:val="44"/>
          <w:lang w:val="en-US" w:eastAsia="zh-CN"/>
        </w:rPr>
        <w:t>上壤塘乡</w:t>
      </w:r>
      <w:r>
        <w:rPr>
          <w:rFonts w:hint="eastAsia" w:ascii="方正小标宋简体" w:hAnsi="黑体" w:eastAsia="方正小标宋简体" w:cs="黑体"/>
          <w:sz w:val="44"/>
          <w:szCs w:val="44"/>
        </w:rPr>
        <w:t>项目2020年绩效评价报告</w:t>
      </w:r>
      <w:bookmarkEnd w:id="118"/>
      <w:bookmarkEnd w:id="119"/>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firstLine="640" w:firstLineChars="200"/>
        <w:jc w:val="left"/>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上壤塘乡2020年上壤塘乡仁朋村脱贫攻坚基础设施提升改造项目、2020年上壤塘乡雪木达村老宅子寨内路维修提升建设项目、2020年壤塘县脱贫攻坚上壤塘乡康垄村小桥建设项目、2020年上壤塘乡查卡村脱贫攻坚巩固提升设施建设项目等项目主管单位</w:t>
      </w:r>
      <w:r>
        <w:rPr>
          <w:rFonts w:hint="eastAsia" w:ascii="仿宋_GB2312" w:eastAsia="仿宋_GB2312"/>
          <w:sz w:val="32"/>
          <w:szCs w:val="32"/>
          <w:lang w:val="en-US" w:eastAsia="zh-CN"/>
        </w:rPr>
        <w:t>（部门）</w:t>
      </w:r>
      <w:r>
        <w:rPr>
          <w:rFonts w:hint="eastAsia" w:ascii="仿宋_GB2312" w:hAnsi="宋体" w:eastAsia="仿宋_GB2312"/>
          <w:sz w:val="32"/>
          <w:szCs w:val="32"/>
          <w:lang w:val="en-US" w:eastAsia="zh-CN"/>
        </w:rPr>
        <w:t>在项目管理中一直贯彻执行相关法律、法规、政策，严格落实基本建设资金管理规定，审核下达基本建设支出预算、审批年度基本建设财务决算，参与基本建设项目年度投资计划安排，组织调度预算内建设资金，根据项目建设程序、年度基本建设支出预算、年度投资计划及工程进度核拨资金</w:t>
      </w:r>
      <w:r>
        <w:rPr>
          <w:rFonts w:hint="eastAsia" w:ascii="仿宋_GB2312" w:eastAsia="仿宋_GB2312"/>
          <w:sz w:val="32"/>
          <w:szCs w:val="32"/>
          <w:lang w:val="en-US" w:eastAsia="zh-CN"/>
        </w:rPr>
        <w:t>，</w:t>
      </w:r>
      <w:r>
        <w:rPr>
          <w:rFonts w:hint="eastAsia" w:ascii="仿宋_GB2312" w:hAnsi="宋体" w:eastAsia="仿宋_GB2312"/>
          <w:sz w:val="32"/>
          <w:szCs w:val="32"/>
          <w:lang w:val="en-US" w:eastAsia="zh-CN"/>
        </w:rPr>
        <w:t>审查并确定投资项目的工程概预(结)算，监督检查基本建设资金的使用与管理，并对发现的问题做出处理，审批基本建设项目竣工财务决算，参加项目竣工验收。</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为改善农牧民群众生产生活条件、保障群众出行安全故而申请</w:t>
      </w:r>
      <w:r>
        <w:rPr>
          <w:rFonts w:hint="eastAsia" w:ascii="仿宋_GB2312" w:hAnsi="宋体" w:eastAsia="仿宋_GB2312"/>
          <w:sz w:val="32"/>
          <w:szCs w:val="32"/>
          <w:lang w:val="zh-CN"/>
        </w:rPr>
        <w:t>项目立项；</w:t>
      </w:r>
      <w:r>
        <w:rPr>
          <w:rFonts w:hint="eastAsia" w:ascii="仿宋_GB2312" w:hAnsi="宋体" w:eastAsia="仿宋_GB2312"/>
          <w:sz w:val="32"/>
          <w:szCs w:val="32"/>
          <w:lang w:val="en-US" w:eastAsia="zh-CN"/>
        </w:rPr>
        <w:t>依照相关法律法规政策要求</w:t>
      </w:r>
      <w:r>
        <w:rPr>
          <w:rFonts w:hint="eastAsia" w:ascii="仿宋_GB2312" w:hAnsi="宋体" w:eastAsia="仿宋_GB2312"/>
          <w:sz w:val="32"/>
          <w:szCs w:val="32"/>
          <w:lang w:val="zh-CN"/>
        </w:rPr>
        <w:t>资金申报的依据。</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 w:hAnsi="仿宋" w:eastAsia="仿宋"/>
          <w:sz w:val="32"/>
          <w:szCs w:val="32"/>
        </w:rPr>
        <w:t>制订严格的资金投入使用管理制度，加强监督与管理，保证各项资金及时到位，努力提高投资效益。要十分珍惜项目建设机遇和使用好、管理好项目建设资金。工程经费支出严格实行县级财政报帐制，实行县级财政统一核算。</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cs="Times New Roman"/>
          <w:sz w:val="32"/>
          <w:szCs w:val="32"/>
          <w:lang w:val="zh-CN"/>
        </w:rPr>
        <w:t>2020年上壤塘乡仁朋村脱贫攻坚基础设施提升改造项目</w:t>
      </w:r>
      <w:r>
        <w:rPr>
          <w:rFonts w:hint="eastAsia" w:ascii="仿宋_GB2312" w:hAnsi="宋体" w:eastAsia="仿宋_GB2312" w:cs="Times New Roman"/>
          <w:sz w:val="32"/>
          <w:szCs w:val="32"/>
          <w:lang w:val="en-US" w:eastAsia="zh-CN"/>
        </w:rPr>
        <w:t>主要内容为</w:t>
      </w:r>
      <w:r>
        <w:rPr>
          <w:rFonts w:hint="eastAsia" w:ascii="仿宋_GB2312" w:hAnsi="宋体" w:eastAsia="仿宋_GB2312" w:cs="Times New Roman"/>
          <w:sz w:val="32"/>
          <w:szCs w:val="32"/>
          <w:lang w:val="zh-CN"/>
        </w:rPr>
        <w:t>基础巩固提升蓄水池1个,维修加固防洪河堤370米，新建1×1m排水沟2条共计397m，新建寨内0.4×0.5m盖板排水沟2条共计312.7m,维修加固挡墙50m</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2020年上壤塘乡雪木达村老宅子寨内路维修提升建设项目</w:t>
      </w:r>
      <w:r>
        <w:rPr>
          <w:rFonts w:hint="eastAsia" w:ascii="仿宋_GB2312" w:hAnsi="宋体" w:eastAsia="仿宋_GB2312" w:cs="Times New Roman"/>
          <w:sz w:val="32"/>
          <w:szCs w:val="32"/>
          <w:lang w:val="en-US" w:eastAsia="zh-CN"/>
        </w:rPr>
        <w:t>主要内容为</w:t>
      </w:r>
      <w:r>
        <w:rPr>
          <w:rFonts w:hint="eastAsia" w:ascii="仿宋_GB2312" w:hAnsi="宋体" w:eastAsia="仿宋_GB2312" w:cs="Times New Roman"/>
          <w:sz w:val="32"/>
          <w:szCs w:val="32"/>
          <w:lang w:val="zh-CN"/>
        </w:rPr>
        <w:t>改扩建雪木达村老宅子寨内路维修2.026公里,新建边沟259m</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2020年壤塘县脱贫攻坚上壤塘乡康垄村小桥建设项目</w:t>
      </w:r>
      <w:r>
        <w:rPr>
          <w:rFonts w:hint="eastAsia" w:ascii="仿宋_GB2312" w:hAnsi="宋体" w:eastAsia="仿宋_GB2312" w:cs="Times New Roman"/>
          <w:sz w:val="32"/>
          <w:szCs w:val="32"/>
          <w:lang w:val="en-US" w:eastAsia="zh-CN"/>
        </w:rPr>
        <w:t>主要内容为</w:t>
      </w:r>
      <w:r>
        <w:rPr>
          <w:rFonts w:hint="eastAsia" w:ascii="仿宋_GB2312" w:hAnsi="宋体" w:eastAsia="仿宋_GB2312" w:cs="Times New Roman"/>
          <w:sz w:val="32"/>
          <w:szCs w:val="32"/>
          <w:lang w:val="zh-CN"/>
        </w:rPr>
        <w:t>康垄村安尔措小桥1-8m长，3m宽</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2020年上壤塘乡查卡村脱贫攻坚巩固提升设施建设项目</w:t>
      </w:r>
      <w:r>
        <w:rPr>
          <w:rFonts w:hint="eastAsia" w:ascii="仿宋_GB2312" w:hAnsi="宋体" w:eastAsia="仿宋_GB2312" w:cs="Times New Roman"/>
          <w:sz w:val="32"/>
          <w:szCs w:val="32"/>
          <w:lang w:val="en-US" w:eastAsia="zh-CN"/>
        </w:rPr>
        <w:t>主要内容为</w:t>
      </w:r>
      <w:r>
        <w:rPr>
          <w:rFonts w:hint="eastAsia" w:ascii="仿宋_GB2312" w:hAnsi="宋体" w:eastAsia="仿宋_GB2312" w:cs="Times New Roman"/>
          <w:sz w:val="32"/>
          <w:szCs w:val="32"/>
          <w:lang w:val="zh-CN"/>
        </w:rPr>
        <w:t>道路硬化915m，新建排水沟1216m，新建挡墙121m</w:t>
      </w:r>
      <w:r>
        <w:rPr>
          <w:rFonts w:hint="eastAsia" w:ascii="仿宋_GB2312" w:hAnsi="宋体" w:eastAsia="仿宋_GB2312" w:cs="Times New Roman"/>
          <w:sz w:val="32"/>
          <w:szCs w:val="32"/>
          <w:lang w:val="zh-CN" w:eastAsia="zh-CN"/>
        </w:rPr>
        <w:t>。</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r>
        <w:rPr>
          <w:rFonts w:hint="eastAsia" w:ascii="仿宋" w:hAnsi="仿宋" w:eastAsia="仿宋" w:cs="仿宋"/>
          <w:b w:val="0"/>
          <w:bCs w:val="0"/>
          <w:kern w:val="2"/>
          <w:sz w:val="32"/>
          <w:szCs w:val="21"/>
          <w:lang w:val="en-US" w:eastAsia="zh-CN" w:bidi="ar-SA"/>
        </w:rPr>
        <w:t>进一步改善农牧民群众生产生活条件，推动加强生态环境保护和改善民生，充分发挥国家财政支付的政策导向功能，提高资金的使用绩效。</w:t>
      </w:r>
    </w:p>
    <w:p>
      <w:pPr>
        <w:adjustRightInd w:val="0"/>
        <w:snapToGrid w:val="0"/>
        <w:spacing w:line="600" w:lineRule="exact"/>
        <w:ind w:firstLine="720"/>
        <w:rPr>
          <w:rFonts w:hint="eastAsia" w:ascii="楷体_GB2312" w:hAnsi="宋体" w:eastAsia="楷体_GB2312"/>
          <w:b/>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项目绩效自评采用</w:t>
      </w:r>
      <w:r>
        <w:rPr>
          <w:rFonts w:hint="eastAsia" w:ascii="仿宋_GB2312" w:hAnsi="宋体" w:eastAsia="仿宋_GB2312"/>
          <w:sz w:val="32"/>
          <w:szCs w:val="32"/>
          <w:lang w:val="en-US" w:eastAsia="zh-CN"/>
        </w:rPr>
        <w:t>随机抽取群众进行调查问卷的方式进行</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w:t>
      </w:r>
      <w:r>
        <w:rPr>
          <w:rFonts w:hint="eastAsia" w:ascii="仿宋_GB2312" w:hAnsi="宋体" w:eastAsia="仿宋_GB2312"/>
          <w:sz w:val="32"/>
          <w:szCs w:val="32"/>
          <w:lang w:val="en-US" w:eastAsia="zh-CN"/>
        </w:rPr>
        <w:t>由乡党委政府</w:t>
      </w:r>
      <w:r>
        <w:rPr>
          <w:rFonts w:hint="eastAsia" w:ascii="仿宋_GB2312" w:hAnsi="宋体" w:eastAsia="仿宋_GB2312"/>
          <w:sz w:val="32"/>
          <w:szCs w:val="32"/>
          <w:lang w:val="zh-CN"/>
        </w:rPr>
        <w:t>申报</w:t>
      </w:r>
      <w:r>
        <w:rPr>
          <w:rFonts w:hint="eastAsia" w:ascii="仿宋_GB2312" w:hAnsi="宋体" w:eastAsia="仿宋_GB2312"/>
          <w:sz w:val="32"/>
          <w:szCs w:val="32"/>
          <w:lang w:val="en-US" w:eastAsia="zh-CN"/>
        </w:rPr>
        <w:t>后报发改局立项</w:t>
      </w:r>
      <w:r>
        <w:rPr>
          <w:rFonts w:hint="eastAsia" w:ascii="仿宋_GB2312" w:hAnsi="宋体" w:eastAsia="仿宋_GB2312"/>
          <w:sz w:val="32"/>
          <w:szCs w:val="32"/>
          <w:lang w:val="zh-CN"/>
        </w:rPr>
        <w:t>批复，</w:t>
      </w:r>
      <w:r>
        <w:rPr>
          <w:rFonts w:hint="eastAsia" w:ascii="仿宋_GB2312" w:hAnsi="宋体" w:eastAsia="仿宋_GB2312"/>
          <w:sz w:val="32"/>
          <w:szCs w:val="32"/>
          <w:lang w:val="en-US" w:eastAsia="zh-CN"/>
        </w:rPr>
        <w:t>财政局</w:t>
      </w:r>
      <w:r>
        <w:rPr>
          <w:rFonts w:hint="eastAsia" w:ascii="仿宋_GB2312" w:hAnsi="宋体" w:eastAsia="仿宋_GB2312"/>
          <w:sz w:val="32"/>
          <w:szCs w:val="32"/>
          <w:lang w:val="zh-CN"/>
        </w:rPr>
        <w:t>预算调整。</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default" w:ascii="楷体_GB2312" w:hAnsi="宋体" w:eastAsia="楷体_GB2312"/>
          <w:b/>
          <w:sz w:val="32"/>
          <w:szCs w:val="32"/>
          <w:lang w:val="en-US" w:eastAsia="zh-CN"/>
        </w:rPr>
      </w:pPr>
      <w:r>
        <w:rPr>
          <w:rFonts w:hint="eastAsia" w:ascii="仿宋_GB2312" w:hAnsi="宋体" w:eastAsia="仿宋_GB2312" w:cs="Times New Roman"/>
          <w:sz w:val="32"/>
          <w:szCs w:val="32"/>
          <w:lang w:val="en-US" w:eastAsia="zh-CN"/>
        </w:rPr>
        <w:t>附项目资金情况明细表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5"/>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spacing w:line="560" w:lineRule="exact"/>
        <w:ind w:firstLine="640" w:firstLineChars="200"/>
        <w:rPr>
          <w:rFonts w:hint="default" w:eastAsia="仿宋"/>
          <w:lang w:val="en-US" w:eastAsia="zh-CN"/>
        </w:rPr>
      </w:pPr>
      <w:r>
        <w:rPr>
          <w:rFonts w:hint="eastAsia" w:ascii="仿宋" w:hAnsi="仿宋" w:eastAsia="仿宋" w:cs="Times New Roman"/>
          <w:sz w:val="32"/>
          <w:szCs w:val="32"/>
          <w:lang w:val="en-US" w:eastAsia="zh-CN"/>
        </w:rPr>
        <w:t>成立领导小组、实施小组、监督小组。</w:t>
      </w:r>
      <w:r>
        <w:rPr>
          <w:rFonts w:hint="eastAsia" w:ascii="仿宋" w:hAnsi="仿宋" w:eastAsia="仿宋"/>
          <w:sz w:val="32"/>
          <w:szCs w:val="32"/>
        </w:rPr>
        <w:t>领导小组负责项目整体运筹，政策制定，部门协调，配套资金筹措和督促检查，并解决项目建设中的重大问题，负责项目资金管理、调度、审计等，为项目的顺利实施提供组织保证。实施小组主要负责项目实施的方案制定，技术指导，技术实施，施工指导和检查验收、资料收集整理等工作。</w:t>
      </w:r>
      <w:r>
        <w:rPr>
          <w:rFonts w:hint="eastAsia" w:ascii="仿宋" w:hAnsi="仿宋" w:eastAsia="仿宋"/>
          <w:sz w:val="32"/>
          <w:szCs w:val="32"/>
          <w:lang w:val="en-US" w:eastAsia="zh-CN"/>
        </w:rPr>
        <w:t>监督小组</w:t>
      </w:r>
      <w:r>
        <w:rPr>
          <w:rFonts w:hint="eastAsia" w:ascii="仿宋" w:hAnsi="仿宋" w:eastAsia="仿宋"/>
          <w:sz w:val="32"/>
          <w:szCs w:val="32"/>
        </w:rPr>
        <w:t>加强资金和项目建设管理，监督管理项目资金使用执行情况，确保资金安全有效。定期对项目建设资金使用情况进行监督并公示。</w:t>
      </w:r>
    </w:p>
    <w:p>
      <w:pPr>
        <w:numPr>
          <w:ilvl w:val="0"/>
          <w:numId w:val="5"/>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在项目</w:t>
      </w:r>
      <w:r>
        <w:rPr>
          <w:rFonts w:hint="eastAsia" w:ascii="仿宋_GB2312" w:hAnsi="宋体" w:eastAsia="仿宋_GB2312"/>
          <w:sz w:val="32"/>
          <w:szCs w:val="32"/>
          <w:lang w:val="zh-CN"/>
        </w:rPr>
        <w:t>招投标、政府采购、项目公示</w:t>
      </w:r>
      <w:r>
        <w:rPr>
          <w:rFonts w:hint="eastAsia" w:ascii="仿宋_GB2312" w:hAnsi="宋体" w:eastAsia="仿宋_GB2312"/>
          <w:sz w:val="32"/>
          <w:szCs w:val="32"/>
          <w:lang w:val="en-US" w:eastAsia="zh-CN"/>
        </w:rPr>
        <w:t>过程中严格</w:t>
      </w:r>
      <w:r>
        <w:rPr>
          <w:rFonts w:hint="eastAsia" w:ascii="仿宋_GB2312" w:hAnsi="宋体" w:eastAsia="仿宋_GB2312"/>
          <w:sz w:val="32"/>
          <w:szCs w:val="32"/>
          <w:lang w:val="zh-CN"/>
        </w:rPr>
        <w:t>执行相关法律法规及项目管理制度。</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en-US" w:eastAsia="zh-CN"/>
        </w:rPr>
        <w:t>严格按照签订合同内容推动项目实施，按时保质保量完成项目内容</w:t>
      </w:r>
      <w:r>
        <w:rPr>
          <w:rFonts w:hint="eastAsia" w:ascii="仿宋_GB2312" w:hAnsi="宋体" w:eastAsia="仿宋_GB2312"/>
          <w:sz w:val="32"/>
          <w:szCs w:val="32"/>
          <w:lang w:val="zh-CN"/>
        </w:rPr>
        <w:t>，对照项目计划完成目标，对截止评价时点的任务量完成、质量标准、进度计划、成本控制目标的实现程度进行评价，并进行分析说明。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21"/>
          <w:lang w:val="en-US" w:eastAsia="zh-CN" w:bidi="ar-SA"/>
        </w:rPr>
      </w:pPr>
      <w:r>
        <w:rPr>
          <w:rFonts w:hint="eastAsia" w:ascii="仿宋" w:hAnsi="仿宋" w:eastAsia="仿宋" w:cs="仿宋"/>
          <w:b w:val="0"/>
          <w:bCs w:val="0"/>
          <w:kern w:val="2"/>
          <w:sz w:val="32"/>
          <w:szCs w:val="21"/>
          <w:lang w:val="en-US" w:eastAsia="zh-CN" w:bidi="ar-SA"/>
        </w:rPr>
        <w:t>1．科学性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21"/>
          <w:lang w:val="en-US" w:eastAsia="zh-CN" w:bidi="ar-SA"/>
        </w:rPr>
      </w:pPr>
      <w:r>
        <w:rPr>
          <w:rFonts w:hint="eastAsia" w:ascii="仿宋" w:hAnsi="仿宋" w:eastAsia="仿宋" w:cs="仿宋"/>
          <w:b w:val="0"/>
          <w:bCs w:val="0"/>
          <w:kern w:val="2"/>
          <w:sz w:val="32"/>
          <w:szCs w:val="21"/>
          <w:lang w:val="en-US" w:eastAsia="zh-CN" w:bidi="ar-SA"/>
        </w:rPr>
        <w:t>经评价，该项目旨在健全集体经济建设，进一步改善农牧民群众生产生活条件，推动加强生态环境保护和改善民生，充分发挥国家财政支付的政策导向功能，提高资金的使用绩效。项目符合国家地方政策及发展战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21"/>
          <w:lang w:val="en-US" w:eastAsia="zh-CN" w:bidi="ar-SA"/>
        </w:rPr>
      </w:pPr>
      <w:r>
        <w:rPr>
          <w:rFonts w:hint="eastAsia" w:ascii="仿宋" w:hAnsi="仿宋" w:eastAsia="仿宋" w:cs="仿宋"/>
          <w:b w:val="0"/>
          <w:bCs w:val="0"/>
          <w:kern w:val="2"/>
          <w:sz w:val="32"/>
          <w:szCs w:val="21"/>
          <w:lang w:val="en-US" w:eastAsia="zh-CN" w:bidi="ar-SA"/>
        </w:rPr>
        <w:t>2．合理性</w:t>
      </w:r>
    </w:p>
    <w:p>
      <w:pPr>
        <w:adjustRightInd w:val="0"/>
        <w:snapToGrid w:val="0"/>
        <w:spacing w:line="600" w:lineRule="exact"/>
        <w:ind w:firstLine="720"/>
        <w:rPr>
          <w:rFonts w:hint="eastAsia" w:ascii="仿宋" w:hAnsi="仿宋" w:eastAsia="仿宋" w:cs="仿宋"/>
          <w:b w:val="0"/>
          <w:bCs w:val="0"/>
          <w:kern w:val="2"/>
          <w:sz w:val="32"/>
          <w:szCs w:val="21"/>
          <w:lang w:val="en-US" w:eastAsia="zh-CN" w:bidi="ar-SA"/>
        </w:rPr>
      </w:pPr>
      <w:r>
        <w:rPr>
          <w:rFonts w:hint="eastAsia" w:ascii="仿宋" w:hAnsi="仿宋" w:eastAsia="仿宋" w:cs="仿宋"/>
          <w:b w:val="0"/>
          <w:bCs w:val="0"/>
          <w:kern w:val="2"/>
          <w:sz w:val="32"/>
          <w:szCs w:val="21"/>
          <w:lang w:val="en-US" w:eastAsia="zh-CN" w:bidi="ar-SA"/>
        </w:rPr>
        <w:t>评价小组对已实施的项目随机抽取群众进行调查问卷。调查结果显示：当地群众对民生保障项目表示“十分满意”,有效增加群众增收渠道。</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 w:hAnsi="仿宋" w:eastAsia="仿宋" w:cs="仿宋"/>
          <w:b w:val="0"/>
          <w:bCs w:val="0"/>
          <w:kern w:val="2"/>
          <w:sz w:val="32"/>
          <w:szCs w:val="21"/>
          <w:lang w:val="en-US" w:eastAsia="zh-CN" w:bidi="ar-SA"/>
        </w:rPr>
        <w:t>上壤塘乡2020年度财政政策绩效评价项目按照项目实施方案的规划进行项目建设，资金使用与申报相符，各项支出审批程序合规。在项目实施过程中进行了公示和监督考核。项目实施后能有效满足目标需求，有效保障了民生、改善了基础设施条件以及保护了生态环境</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21"/>
          <w:lang w:val="en-US" w:eastAsia="zh-CN" w:bidi="ar-SA"/>
        </w:rPr>
      </w:pPr>
      <w:r>
        <w:rPr>
          <w:rFonts w:hint="eastAsia" w:ascii="仿宋" w:hAnsi="仿宋" w:eastAsia="仿宋" w:cs="仿宋"/>
          <w:b w:val="0"/>
          <w:bCs w:val="0"/>
          <w:kern w:val="2"/>
          <w:sz w:val="32"/>
          <w:szCs w:val="21"/>
          <w:lang w:val="en-US" w:eastAsia="zh-CN" w:bidi="ar-SA"/>
        </w:rPr>
        <w:t>一是部分项目实施未根据单位自身情况和业务特点制定后续项目管理办法。</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cs="仿宋"/>
          <w:b w:val="0"/>
          <w:bCs w:val="0"/>
          <w:kern w:val="2"/>
          <w:sz w:val="32"/>
          <w:szCs w:val="21"/>
          <w:lang w:val="en-US" w:eastAsia="zh-CN" w:bidi="ar-SA"/>
        </w:rPr>
        <w:t>二是部分项目后期管护较差。</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21"/>
          <w:lang w:val="en-US" w:eastAsia="zh-CN" w:bidi="ar-SA"/>
        </w:rPr>
      </w:pPr>
      <w:r>
        <w:rPr>
          <w:rFonts w:hint="eastAsia" w:ascii="仿宋" w:hAnsi="仿宋" w:eastAsia="仿宋" w:cs="仿宋"/>
          <w:b w:val="0"/>
          <w:bCs w:val="0"/>
          <w:kern w:val="2"/>
          <w:sz w:val="32"/>
          <w:szCs w:val="21"/>
          <w:lang w:val="en-US" w:eastAsia="zh-CN" w:bidi="ar-SA"/>
        </w:rPr>
        <w:t>项目实施单位在参照国家、省、州相关文件执行外，还应根据本身业务特点和实际遇到的具体情况制定适应的项目管理制度和后期管理制度。</w:t>
      </w:r>
    </w:p>
    <w:p>
      <w:pPr>
        <w:spacing w:line="580" w:lineRule="exact"/>
        <w:ind w:firstLine="640"/>
        <w:rPr>
          <w:rFonts w:ascii="仿宋_GB2312" w:hAnsi="仿宋_GB2312" w:eastAsia="仿宋_GB2312" w:cs="仿宋_GB2312"/>
          <w:sz w:val="32"/>
          <w:szCs w:val="32"/>
        </w:rPr>
      </w:pPr>
    </w:p>
    <w:p/>
    <w:p>
      <w:pPr>
        <w:spacing w:line="580" w:lineRule="exact"/>
        <w:ind w:firstLine="640"/>
        <w:rPr>
          <w:rFonts w:ascii="仿宋_GB2312" w:hAnsi="仿宋_GB2312" w:eastAsia="仿宋_GB2312" w:cs="仿宋_GB2312"/>
          <w:sz w:val="32"/>
          <w:szCs w:val="32"/>
        </w:rPr>
      </w:pPr>
    </w:p>
    <w:p>
      <w:pPr>
        <w:widowControl/>
        <w:jc w:val="center"/>
        <w:rPr>
          <w:rStyle w:val="26"/>
          <w:rFonts w:ascii="黑体" w:hAnsi="黑体" w:eastAsia="黑体"/>
          <w:b w:val="0"/>
        </w:rPr>
      </w:pPr>
      <w:bookmarkStart w:id="120" w:name="_Toc79163635"/>
      <w:bookmarkStart w:id="121" w:name="_Toc15396618"/>
      <w:bookmarkStart w:id="122" w:name="_Toc79163885"/>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12"/>
      <w:bookmarkEnd w:id="120"/>
      <w:bookmarkEnd w:id="121"/>
      <w:bookmarkEnd w:id="122"/>
    </w:p>
    <w:p>
      <w:pPr>
        <w:pStyle w:val="4"/>
        <w:rPr>
          <w:rFonts w:hint="eastAsia" w:ascii="仿宋_GB2312" w:hAnsi="仿宋_GB2312" w:eastAsia="仿宋_GB2312" w:cs="仿宋_GB2312"/>
          <w:color w:val="000000"/>
        </w:rPr>
      </w:pPr>
      <w:bookmarkStart w:id="123" w:name="_Toc15396619"/>
      <w:bookmarkStart w:id="124" w:name="_Toc79163886"/>
      <w:bookmarkStart w:id="125" w:name="_Toc79163636"/>
      <w:r>
        <w:rPr>
          <w:rFonts w:hint="eastAsia" w:ascii="仿宋_GB2312" w:hAnsi="仿宋_GB2312" w:eastAsia="仿宋_GB2312" w:cs="仿宋_GB2312"/>
          <w:b w:val="0"/>
          <w:color w:val="000000"/>
        </w:rPr>
        <w:t>一、收</w:t>
      </w:r>
      <w:r>
        <w:rPr>
          <w:rStyle w:val="27"/>
          <w:rFonts w:hint="eastAsia" w:ascii="仿宋_GB2312" w:hAnsi="仿宋_GB2312" w:eastAsia="仿宋_GB2312" w:cs="仿宋_GB2312"/>
          <w:b w:val="0"/>
          <w:bCs w:val="0"/>
        </w:rPr>
        <w:t>入支出决算总表</w:t>
      </w:r>
      <w:bookmarkEnd w:id="123"/>
      <w:bookmarkEnd w:id="124"/>
      <w:bookmarkEnd w:id="125"/>
    </w:p>
    <w:p>
      <w:pPr>
        <w:pStyle w:val="4"/>
        <w:rPr>
          <w:rFonts w:hint="eastAsia" w:ascii="仿宋_GB2312" w:hAnsi="仿宋_GB2312" w:eastAsia="仿宋_GB2312" w:cs="仿宋_GB2312"/>
          <w:color w:val="000000"/>
        </w:rPr>
      </w:pPr>
      <w:bookmarkStart w:id="126" w:name="_Toc79163887"/>
      <w:bookmarkStart w:id="127" w:name="_Toc79163637"/>
      <w:bookmarkStart w:id="128" w:name="_Toc15396620"/>
      <w:r>
        <w:rPr>
          <w:rFonts w:hint="eastAsia" w:ascii="仿宋_GB2312" w:hAnsi="仿宋_GB2312" w:eastAsia="仿宋_GB2312" w:cs="仿宋_GB2312"/>
          <w:b w:val="0"/>
          <w:color w:val="000000"/>
        </w:rPr>
        <w:t>二、收</w:t>
      </w:r>
      <w:r>
        <w:rPr>
          <w:rStyle w:val="27"/>
          <w:rFonts w:hint="eastAsia" w:ascii="仿宋_GB2312" w:hAnsi="仿宋_GB2312" w:eastAsia="仿宋_GB2312" w:cs="仿宋_GB2312"/>
          <w:b w:val="0"/>
          <w:bCs w:val="0"/>
        </w:rPr>
        <w:t>入决算表</w:t>
      </w:r>
      <w:bookmarkEnd w:id="126"/>
      <w:bookmarkEnd w:id="127"/>
      <w:bookmarkEnd w:id="128"/>
    </w:p>
    <w:p>
      <w:pPr>
        <w:pStyle w:val="4"/>
        <w:rPr>
          <w:rFonts w:hint="eastAsia" w:ascii="仿宋_GB2312" w:hAnsi="仿宋_GB2312" w:eastAsia="仿宋_GB2312" w:cs="仿宋_GB2312"/>
          <w:color w:val="000000"/>
        </w:rPr>
      </w:pPr>
      <w:bookmarkStart w:id="129" w:name="_Toc79163638"/>
      <w:bookmarkStart w:id="130" w:name="_Toc79163888"/>
      <w:bookmarkStart w:id="131" w:name="_Toc15396621"/>
      <w:r>
        <w:rPr>
          <w:rStyle w:val="27"/>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7"/>
          <w:rFonts w:hint="eastAsia" w:ascii="仿宋_GB2312" w:hAnsi="仿宋_GB2312" w:eastAsia="仿宋_GB2312" w:cs="仿宋_GB2312"/>
          <w:b w:val="0"/>
          <w:bCs w:val="0"/>
        </w:rPr>
        <w:t>出决算表</w:t>
      </w:r>
      <w:bookmarkEnd w:id="129"/>
      <w:bookmarkEnd w:id="130"/>
      <w:bookmarkEnd w:id="131"/>
    </w:p>
    <w:p>
      <w:pPr>
        <w:pStyle w:val="4"/>
        <w:rPr>
          <w:rFonts w:hint="eastAsia" w:ascii="仿宋_GB2312" w:hAnsi="仿宋_GB2312" w:eastAsia="仿宋_GB2312" w:cs="仿宋_GB2312"/>
          <w:b w:val="0"/>
          <w:color w:val="000000"/>
        </w:rPr>
      </w:pPr>
      <w:bookmarkStart w:id="132" w:name="_Toc79163639"/>
      <w:bookmarkStart w:id="133" w:name="_Toc79163889"/>
      <w:bookmarkStart w:id="134" w:name="_Toc15396622"/>
      <w:r>
        <w:rPr>
          <w:rStyle w:val="27"/>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7"/>
          <w:rFonts w:hint="eastAsia" w:ascii="仿宋_GB2312" w:hAnsi="仿宋_GB2312" w:eastAsia="仿宋_GB2312" w:cs="仿宋_GB2312"/>
          <w:b w:val="0"/>
          <w:bCs w:val="0"/>
        </w:rPr>
        <w:t>政拨款收入支出决算总表</w:t>
      </w:r>
      <w:bookmarkEnd w:id="132"/>
      <w:bookmarkEnd w:id="133"/>
      <w:bookmarkEnd w:id="134"/>
    </w:p>
    <w:p>
      <w:pPr>
        <w:pStyle w:val="4"/>
        <w:rPr>
          <w:rStyle w:val="27"/>
          <w:rFonts w:hint="eastAsia" w:ascii="仿宋_GB2312" w:hAnsi="仿宋_GB2312" w:eastAsia="仿宋_GB2312" w:cs="仿宋_GB2312"/>
          <w:b w:val="0"/>
          <w:bCs w:val="0"/>
        </w:rPr>
      </w:pPr>
      <w:bookmarkStart w:id="135" w:name="_Toc15396623"/>
      <w:bookmarkStart w:id="136" w:name="_Toc79163640"/>
      <w:bookmarkStart w:id="137" w:name="_Toc79163890"/>
      <w:r>
        <w:rPr>
          <w:rStyle w:val="27"/>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7"/>
          <w:rFonts w:hint="eastAsia" w:ascii="仿宋_GB2312" w:hAnsi="仿宋_GB2312" w:eastAsia="仿宋_GB2312" w:cs="仿宋_GB2312"/>
          <w:b w:val="0"/>
          <w:bCs w:val="0"/>
        </w:rPr>
        <w:t>政拨款支出决算明细表</w:t>
      </w:r>
      <w:bookmarkEnd w:id="135"/>
      <w:bookmarkEnd w:id="136"/>
      <w:bookmarkEnd w:id="137"/>
      <w:bookmarkStart w:id="138" w:name="_Toc15396624"/>
    </w:p>
    <w:p>
      <w:pPr>
        <w:pStyle w:val="4"/>
        <w:rPr>
          <w:rFonts w:hint="eastAsia" w:ascii="仿宋_GB2312" w:hAnsi="仿宋_GB2312" w:eastAsia="仿宋_GB2312" w:cs="仿宋_GB2312"/>
          <w:color w:val="000000"/>
        </w:rPr>
      </w:pPr>
      <w:bookmarkStart w:id="139" w:name="_Toc79163891"/>
      <w:bookmarkStart w:id="140" w:name="_Toc79163641"/>
      <w:r>
        <w:rPr>
          <w:rStyle w:val="27"/>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般公共预算财政拨款支出决算表</w:t>
      </w:r>
      <w:bookmarkEnd w:id="138"/>
      <w:bookmarkEnd w:id="139"/>
      <w:bookmarkEnd w:id="140"/>
    </w:p>
    <w:p>
      <w:pPr>
        <w:pStyle w:val="4"/>
        <w:rPr>
          <w:rFonts w:hint="eastAsia" w:ascii="仿宋_GB2312" w:hAnsi="仿宋_GB2312" w:eastAsia="仿宋_GB2312" w:cs="仿宋_GB2312"/>
          <w:color w:val="000000"/>
        </w:rPr>
      </w:pPr>
      <w:bookmarkStart w:id="141" w:name="_Toc15396625"/>
      <w:bookmarkStart w:id="142" w:name="_Toc79163642"/>
      <w:bookmarkStart w:id="143" w:name="_Toc79163892"/>
      <w:r>
        <w:rPr>
          <w:rStyle w:val="27"/>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般公共预算财政拨款支出决算明细表</w:t>
      </w:r>
      <w:bookmarkEnd w:id="141"/>
      <w:bookmarkEnd w:id="142"/>
      <w:bookmarkEnd w:id="143"/>
    </w:p>
    <w:p>
      <w:pPr>
        <w:pStyle w:val="4"/>
        <w:rPr>
          <w:rFonts w:hint="eastAsia" w:ascii="仿宋_GB2312" w:hAnsi="仿宋_GB2312" w:eastAsia="仿宋_GB2312" w:cs="仿宋_GB2312"/>
          <w:color w:val="000000"/>
        </w:rPr>
      </w:pPr>
      <w:bookmarkStart w:id="144" w:name="_Toc79163643"/>
      <w:bookmarkStart w:id="145" w:name="_Toc79163893"/>
      <w:bookmarkStart w:id="146" w:name="_Toc15396626"/>
      <w:r>
        <w:rPr>
          <w:rStyle w:val="27"/>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般公共预算财政拨款基本支出决算表</w:t>
      </w:r>
      <w:bookmarkEnd w:id="144"/>
      <w:bookmarkEnd w:id="145"/>
      <w:bookmarkEnd w:id="146"/>
    </w:p>
    <w:p>
      <w:pPr>
        <w:pStyle w:val="4"/>
        <w:rPr>
          <w:rFonts w:hint="eastAsia" w:ascii="仿宋_GB2312" w:hAnsi="仿宋_GB2312" w:eastAsia="仿宋_GB2312" w:cs="仿宋_GB2312"/>
          <w:color w:val="000000"/>
        </w:rPr>
      </w:pPr>
      <w:bookmarkStart w:id="147" w:name="_Toc79163894"/>
      <w:bookmarkStart w:id="148" w:name="_Toc79163644"/>
      <w:bookmarkStart w:id="149" w:name="_Toc15396627"/>
      <w:r>
        <w:rPr>
          <w:rStyle w:val="27"/>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般公共预算财政拨款项目支出决算表</w:t>
      </w:r>
      <w:bookmarkEnd w:id="147"/>
      <w:bookmarkEnd w:id="148"/>
      <w:bookmarkEnd w:id="149"/>
    </w:p>
    <w:p>
      <w:pPr>
        <w:pStyle w:val="4"/>
        <w:rPr>
          <w:rFonts w:hint="eastAsia" w:ascii="仿宋_GB2312" w:hAnsi="仿宋_GB2312" w:eastAsia="仿宋_GB2312" w:cs="仿宋_GB2312"/>
          <w:color w:val="000000"/>
        </w:rPr>
      </w:pPr>
      <w:bookmarkStart w:id="150" w:name="_Toc15396628"/>
      <w:bookmarkStart w:id="151" w:name="_Toc79163645"/>
      <w:bookmarkStart w:id="152" w:name="_Toc79163895"/>
      <w:r>
        <w:rPr>
          <w:rStyle w:val="27"/>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般公共预算财政拨款“三公”经费支出决算表</w:t>
      </w:r>
      <w:bookmarkEnd w:id="150"/>
      <w:bookmarkEnd w:id="151"/>
      <w:bookmarkEnd w:id="152"/>
    </w:p>
    <w:p>
      <w:pPr>
        <w:pStyle w:val="4"/>
        <w:rPr>
          <w:rFonts w:hint="eastAsia" w:ascii="仿宋_GB2312" w:hAnsi="仿宋_GB2312" w:eastAsia="仿宋_GB2312" w:cs="仿宋_GB2312"/>
          <w:color w:val="000000"/>
        </w:rPr>
      </w:pPr>
      <w:bookmarkStart w:id="153" w:name="_Toc79163896"/>
      <w:bookmarkStart w:id="154" w:name="_Toc79163646"/>
      <w:bookmarkStart w:id="155" w:name="_Toc15396629"/>
      <w:r>
        <w:rPr>
          <w:rStyle w:val="27"/>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7"/>
          <w:rFonts w:hint="eastAsia" w:ascii="仿宋_GB2312" w:hAnsi="仿宋_GB2312" w:eastAsia="仿宋_GB2312" w:cs="仿宋_GB2312"/>
          <w:b w:val="0"/>
          <w:bCs w:val="0"/>
        </w:rPr>
        <w:t>府性基金预算财政拨款收入支出决算表</w:t>
      </w:r>
      <w:bookmarkEnd w:id="153"/>
      <w:bookmarkEnd w:id="154"/>
      <w:bookmarkEnd w:id="155"/>
    </w:p>
    <w:p>
      <w:pPr>
        <w:pStyle w:val="4"/>
        <w:rPr>
          <w:rFonts w:hint="eastAsia" w:ascii="仿宋_GB2312" w:hAnsi="仿宋_GB2312" w:eastAsia="仿宋_GB2312" w:cs="仿宋_GB2312"/>
          <w:color w:val="000000"/>
        </w:rPr>
      </w:pPr>
      <w:bookmarkStart w:id="156" w:name="_Toc15396630"/>
      <w:bookmarkStart w:id="157" w:name="_Toc79163647"/>
      <w:bookmarkStart w:id="158" w:name="_Toc79163897"/>
      <w:r>
        <w:rPr>
          <w:rStyle w:val="27"/>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7"/>
          <w:rFonts w:hint="eastAsia" w:ascii="仿宋_GB2312" w:hAnsi="仿宋_GB2312" w:eastAsia="仿宋_GB2312" w:cs="仿宋_GB2312"/>
          <w:b w:val="0"/>
          <w:bCs w:val="0"/>
        </w:rPr>
        <w:t>府性基金预算财政拨款“三公”经费支出决算表</w:t>
      </w:r>
      <w:bookmarkEnd w:id="156"/>
      <w:bookmarkEnd w:id="157"/>
      <w:bookmarkEnd w:id="158"/>
    </w:p>
    <w:p>
      <w:pPr>
        <w:pStyle w:val="4"/>
        <w:rPr>
          <w:rStyle w:val="27"/>
          <w:rFonts w:hint="eastAsia" w:ascii="仿宋_GB2312" w:hAnsi="仿宋_GB2312" w:eastAsia="仿宋_GB2312" w:cs="仿宋_GB2312"/>
          <w:b w:val="0"/>
          <w:bCs w:val="0"/>
        </w:rPr>
      </w:pPr>
      <w:bookmarkStart w:id="159" w:name="_Toc79163898"/>
      <w:bookmarkStart w:id="160" w:name="_Toc15396631"/>
      <w:bookmarkStart w:id="161" w:name="_Toc79163648"/>
      <w:r>
        <w:rPr>
          <w:rStyle w:val="27"/>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7"/>
          <w:rFonts w:hint="eastAsia" w:ascii="仿宋_GB2312" w:hAnsi="仿宋_GB2312" w:eastAsia="仿宋_GB2312" w:cs="仿宋_GB2312"/>
          <w:b w:val="0"/>
          <w:bCs w:val="0"/>
        </w:rPr>
        <w:t>有资本经营预算财政拨款支出决算表</w:t>
      </w:r>
      <w:bookmarkEnd w:id="159"/>
      <w:bookmarkEnd w:id="160"/>
      <w:bookmarkEnd w:id="161"/>
    </w:p>
    <w:p>
      <w:pPr>
        <w:pStyle w:val="4"/>
        <w:rPr>
          <w:rStyle w:val="27"/>
          <w:rFonts w:hint="eastAsia" w:ascii="仿宋_GB2312" w:hAnsi="仿宋_GB2312" w:eastAsia="仿宋_GB2312" w:cs="仿宋_GB2312"/>
          <w:b w:val="0"/>
          <w:bCs w:val="0"/>
        </w:rPr>
      </w:pPr>
      <w:bookmarkStart w:id="162" w:name="_Toc79163899"/>
      <w:bookmarkStart w:id="163" w:name="_Toc79163649"/>
      <w:r>
        <w:rPr>
          <w:rStyle w:val="27"/>
          <w:rFonts w:hint="eastAsia" w:ascii="仿宋_GB2312" w:hAnsi="仿宋_GB2312" w:eastAsia="仿宋_GB2312" w:cs="仿宋_GB2312"/>
          <w:b w:val="0"/>
          <w:bCs w:val="0"/>
        </w:rPr>
        <w:t>十四、国有资本经营预算财政拨款支出决算表</w:t>
      </w:r>
      <w:bookmarkEnd w:id="162"/>
      <w:bookmarkEnd w:id="16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8A71951"/>
    <w:multiLevelType w:val="singleLevel"/>
    <w:tmpl w:val="E8A71951"/>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71DC2AD6"/>
    <w:multiLevelType w:val="singleLevel"/>
    <w:tmpl w:val="71DC2AD6"/>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3639"/>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75D05"/>
    <w:rsid w:val="0232061D"/>
    <w:rsid w:val="02841896"/>
    <w:rsid w:val="033D58BD"/>
    <w:rsid w:val="03522352"/>
    <w:rsid w:val="06023462"/>
    <w:rsid w:val="06510C3E"/>
    <w:rsid w:val="068A2C8D"/>
    <w:rsid w:val="06E52860"/>
    <w:rsid w:val="071F0467"/>
    <w:rsid w:val="0785240B"/>
    <w:rsid w:val="07D96EEB"/>
    <w:rsid w:val="085E60BC"/>
    <w:rsid w:val="08792D88"/>
    <w:rsid w:val="08EA09B7"/>
    <w:rsid w:val="08EA7248"/>
    <w:rsid w:val="0A2032A3"/>
    <w:rsid w:val="0B003FA3"/>
    <w:rsid w:val="0B1E7466"/>
    <w:rsid w:val="0B2E46E9"/>
    <w:rsid w:val="0C5264D2"/>
    <w:rsid w:val="0C893059"/>
    <w:rsid w:val="0CD5168C"/>
    <w:rsid w:val="0D3C1869"/>
    <w:rsid w:val="0D753E91"/>
    <w:rsid w:val="0DBA500E"/>
    <w:rsid w:val="0E73173F"/>
    <w:rsid w:val="0F3F3FD6"/>
    <w:rsid w:val="0F7A063F"/>
    <w:rsid w:val="0F7E0A49"/>
    <w:rsid w:val="10C055FF"/>
    <w:rsid w:val="118107EC"/>
    <w:rsid w:val="11AD4739"/>
    <w:rsid w:val="12D07C33"/>
    <w:rsid w:val="136E34A7"/>
    <w:rsid w:val="13B04625"/>
    <w:rsid w:val="14750939"/>
    <w:rsid w:val="15613D4C"/>
    <w:rsid w:val="15996944"/>
    <w:rsid w:val="15B36F7D"/>
    <w:rsid w:val="16BB723D"/>
    <w:rsid w:val="17666EF2"/>
    <w:rsid w:val="184073D7"/>
    <w:rsid w:val="187C53FD"/>
    <w:rsid w:val="196121CE"/>
    <w:rsid w:val="19B01E8C"/>
    <w:rsid w:val="1AEF6D19"/>
    <w:rsid w:val="1BB01B6D"/>
    <w:rsid w:val="1BE04FC0"/>
    <w:rsid w:val="1D155CEE"/>
    <w:rsid w:val="1DA36B19"/>
    <w:rsid w:val="1E25679A"/>
    <w:rsid w:val="1F7023A3"/>
    <w:rsid w:val="20AA0DEE"/>
    <w:rsid w:val="21BF5EA3"/>
    <w:rsid w:val="220A1FC7"/>
    <w:rsid w:val="232666BD"/>
    <w:rsid w:val="235F5AEC"/>
    <w:rsid w:val="23AB4D76"/>
    <w:rsid w:val="240371BF"/>
    <w:rsid w:val="245D0C9E"/>
    <w:rsid w:val="26B05F0F"/>
    <w:rsid w:val="27AB432E"/>
    <w:rsid w:val="27E907CA"/>
    <w:rsid w:val="28121D26"/>
    <w:rsid w:val="29FD04D3"/>
    <w:rsid w:val="2C3F2A26"/>
    <w:rsid w:val="2E4058FC"/>
    <w:rsid w:val="2EC74DD0"/>
    <w:rsid w:val="2F250737"/>
    <w:rsid w:val="2F270D93"/>
    <w:rsid w:val="2F5A4E5D"/>
    <w:rsid w:val="2F837A05"/>
    <w:rsid w:val="2FA211F1"/>
    <w:rsid w:val="309B2320"/>
    <w:rsid w:val="30C0685F"/>
    <w:rsid w:val="31182641"/>
    <w:rsid w:val="319F7F4E"/>
    <w:rsid w:val="326B7F22"/>
    <w:rsid w:val="32E77371"/>
    <w:rsid w:val="33AE36BB"/>
    <w:rsid w:val="33D526C6"/>
    <w:rsid w:val="347F5B62"/>
    <w:rsid w:val="34A86FD2"/>
    <w:rsid w:val="34D44047"/>
    <w:rsid w:val="34F16AF7"/>
    <w:rsid w:val="35E74098"/>
    <w:rsid w:val="37B05307"/>
    <w:rsid w:val="38AC2C7D"/>
    <w:rsid w:val="393119E6"/>
    <w:rsid w:val="39A43258"/>
    <w:rsid w:val="3AC362B9"/>
    <w:rsid w:val="3BAA193D"/>
    <w:rsid w:val="3BD43EBE"/>
    <w:rsid w:val="3C20399F"/>
    <w:rsid w:val="3C224026"/>
    <w:rsid w:val="3D064CF2"/>
    <w:rsid w:val="3DBA133B"/>
    <w:rsid w:val="3DDC77BE"/>
    <w:rsid w:val="3F0B3B62"/>
    <w:rsid w:val="3F1B173B"/>
    <w:rsid w:val="40E6203B"/>
    <w:rsid w:val="42DA3F6E"/>
    <w:rsid w:val="43CE520C"/>
    <w:rsid w:val="445259D2"/>
    <w:rsid w:val="451230F4"/>
    <w:rsid w:val="45857564"/>
    <w:rsid w:val="45DB7282"/>
    <w:rsid w:val="463015B0"/>
    <w:rsid w:val="470841D2"/>
    <w:rsid w:val="482842A0"/>
    <w:rsid w:val="495D2221"/>
    <w:rsid w:val="4A3D4DF2"/>
    <w:rsid w:val="4A9362C3"/>
    <w:rsid w:val="4AD1367A"/>
    <w:rsid w:val="4C6A614B"/>
    <w:rsid w:val="4C903585"/>
    <w:rsid w:val="4D1F392D"/>
    <w:rsid w:val="4DBC4433"/>
    <w:rsid w:val="4DCB2AC9"/>
    <w:rsid w:val="4E191B2B"/>
    <w:rsid w:val="4ECE2238"/>
    <w:rsid w:val="4ED968F6"/>
    <w:rsid w:val="4F444FF8"/>
    <w:rsid w:val="4F466BD7"/>
    <w:rsid w:val="507E3C28"/>
    <w:rsid w:val="50E15DB2"/>
    <w:rsid w:val="51926B47"/>
    <w:rsid w:val="51B919B8"/>
    <w:rsid w:val="5225312E"/>
    <w:rsid w:val="52503003"/>
    <w:rsid w:val="52C82E8E"/>
    <w:rsid w:val="53F66F70"/>
    <w:rsid w:val="547736BC"/>
    <w:rsid w:val="55012B0E"/>
    <w:rsid w:val="55112390"/>
    <w:rsid w:val="5561795B"/>
    <w:rsid w:val="55A05470"/>
    <w:rsid w:val="569204C1"/>
    <w:rsid w:val="56EE0E29"/>
    <w:rsid w:val="585D250A"/>
    <w:rsid w:val="59265D86"/>
    <w:rsid w:val="5BBA3210"/>
    <w:rsid w:val="5C140825"/>
    <w:rsid w:val="5F7B4B10"/>
    <w:rsid w:val="6004056E"/>
    <w:rsid w:val="61427F0F"/>
    <w:rsid w:val="62544FEE"/>
    <w:rsid w:val="62DE509E"/>
    <w:rsid w:val="62DE7ABD"/>
    <w:rsid w:val="635D635E"/>
    <w:rsid w:val="63B83525"/>
    <w:rsid w:val="64077B8C"/>
    <w:rsid w:val="642077E2"/>
    <w:rsid w:val="6796123D"/>
    <w:rsid w:val="684D345A"/>
    <w:rsid w:val="6943236F"/>
    <w:rsid w:val="6A0E0F84"/>
    <w:rsid w:val="6A1673BC"/>
    <w:rsid w:val="6A510EE2"/>
    <w:rsid w:val="6A7F03B3"/>
    <w:rsid w:val="6A9C23D8"/>
    <w:rsid w:val="6B1D656D"/>
    <w:rsid w:val="6B2D741D"/>
    <w:rsid w:val="6BCD7D76"/>
    <w:rsid w:val="6C4A05C8"/>
    <w:rsid w:val="6CAB65A8"/>
    <w:rsid w:val="6D474452"/>
    <w:rsid w:val="6D5813A3"/>
    <w:rsid w:val="6E7175AF"/>
    <w:rsid w:val="6EFA309F"/>
    <w:rsid w:val="6F825EAE"/>
    <w:rsid w:val="6FF67251"/>
    <w:rsid w:val="70C73E58"/>
    <w:rsid w:val="70CA5CEF"/>
    <w:rsid w:val="713D2715"/>
    <w:rsid w:val="71676BFC"/>
    <w:rsid w:val="716E2E69"/>
    <w:rsid w:val="72734D90"/>
    <w:rsid w:val="72852BCE"/>
    <w:rsid w:val="746B2DA8"/>
    <w:rsid w:val="77123720"/>
    <w:rsid w:val="7730769B"/>
    <w:rsid w:val="77463097"/>
    <w:rsid w:val="78F22C98"/>
    <w:rsid w:val="7901487D"/>
    <w:rsid w:val="79422C2B"/>
    <w:rsid w:val="7A431EF4"/>
    <w:rsid w:val="7A4353CF"/>
    <w:rsid w:val="7AC7614E"/>
    <w:rsid w:val="7B144814"/>
    <w:rsid w:val="7B1B1EB8"/>
    <w:rsid w:val="7C1E26FA"/>
    <w:rsid w:val="7C300087"/>
    <w:rsid w:val="7CC14BD4"/>
    <w:rsid w:val="7DFE6A1D"/>
    <w:rsid w:val="7E3E2BD8"/>
    <w:rsid w:val="7E702802"/>
    <w:rsid w:val="7EB32778"/>
    <w:rsid w:val="7F5E1A59"/>
    <w:rsid w:val="7F981F2E"/>
    <w:rsid w:val="DBFE8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lang w:val="zh-CN" w:eastAsia="zh-CN"/>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30"/>
    <w:semiHidden/>
    <w:unhideWhenUsed/>
    <w:qFormat/>
    <w:uiPriority w:val="99"/>
    <w:rPr>
      <w:sz w:val="18"/>
      <w:szCs w:val="18"/>
    </w:rPr>
  </w:style>
  <w:style w:type="paragraph" w:styleId="12">
    <w:name w:val="footer"/>
    <w:basedOn w:val="1"/>
    <w:link w:val="34"/>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3">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able of figures"/>
    <w:basedOn w:val="1"/>
    <w:next w:val="1"/>
    <w:qFormat/>
    <w:uiPriority w:val="99"/>
    <w:pPr>
      <w:ind w:left="200" w:leftChars="200" w:hanging="200" w:hangingChars="200"/>
    </w:pPr>
    <w:rPr>
      <w:rFonts w:ascii="Calibri" w:hAnsi="Calibri" w:eastAsia="仿宋"/>
      <w:sz w:val="32"/>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3">
    <w:name w:val="Strong"/>
    <w:basedOn w:val="22"/>
    <w:qFormat/>
    <w:uiPriority w:val="99"/>
    <w:rPr>
      <w:rFonts w:cs="Times New Roman"/>
      <w:b/>
    </w:rPr>
  </w:style>
  <w:style w:type="character" w:styleId="24">
    <w:name w:val="page number"/>
    <w:basedOn w:val="22"/>
    <w:qFormat/>
    <w:uiPriority w:val="0"/>
  </w:style>
  <w:style w:type="character" w:styleId="25">
    <w:name w:val="Hyperlink"/>
    <w:basedOn w:val="22"/>
    <w:unhideWhenUsed/>
    <w:qFormat/>
    <w:uiPriority w:val="99"/>
    <w:rPr>
      <w:rFonts w:cs="Times New Roman"/>
      <w:color w:val="0000FF"/>
      <w:u w:val="single"/>
    </w:rPr>
  </w:style>
  <w:style w:type="character" w:customStyle="1" w:styleId="26">
    <w:name w:val="标题 1 字符"/>
    <w:basedOn w:val="22"/>
    <w:link w:val="3"/>
    <w:qFormat/>
    <w:locked/>
    <w:uiPriority w:val="9"/>
    <w:rPr>
      <w:rFonts w:ascii="Times New Roman" w:hAnsi="Times New Roman" w:cs="Times New Roman"/>
      <w:b/>
      <w:bCs/>
      <w:kern w:val="44"/>
      <w:sz w:val="44"/>
      <w:szCs w:val="44"/>
    </w:rPr>
  </w:style>
  <w:style w:type="character" w:customStyle="1" w:styleId="27">
    <w:name w:val="标题 2 字符"/>
    <w:basedOn w:val="22"/>
    <w:link w:val="4"/>
    <w:qFormat/>
    <w:locked/>
    <w:uiPriority w:val="9"/>
    <w:rPr>
      <w:rFonts w:ascii="Cambria" w:hAnsi="Cambria" w:eastAsia="宋体" w:cs="Times New Roman"/>
      <w:b/>
      <w:bCs/>
      <w:kern w:val="2"/>
      <w:sz w:val="32"/>
      <w:szCs w:val="32"/>
    </w:rPr>
  </w:style>
  <w:style w:type="character" w:customStyle="1" w:styleId="28">
    <w:name w:val="标题 3 字符"/>
    <w:basedOn w:val="22"/>
    <w:link w:val="5"/>
    <w:qFormat/>
    <w:locked/>
    <w:uiPriority w:val="9"/>
    <w:rPr>
      <w:rFonts w:ascii="Times New Roman" w:hAnsi="Times New Roman" w:cs="Times New Roman"/>
      <w:b/>
      <w:bCs/>
      <w:kern w:val="2"/>
      <w:sz w:val="32"/>
      <w:szCs w:val="32"/>
    </w:rPr>
  </w:style>
  <w:style w:type="character" w:customStyle="1" w:styleId="29">
    <w:name w:val="Body Text Char"/>
    <w:basedOn w:val="22"/>
    <w:semiHidden/>
    <w:qFormat/>
    <w:uiPriority w:val="99"/>
    <w:rPr>
      <w:rFonts w:ascii="Times New Roman" w:hAnsi="Times New Roman" w:cs="Times New Roman"/>
      <w:sz w:val="24"/>
      <w:szCs w:val="24"/>
    </w:rPr>
  </w:style>
  <w:style w:type="character" w:customStyle="1" w:styleId="30">
    <w:name w:val="批注框文本 字符"/>
    <w:basedOn w:val="22"/>
    <w:link w:val="11"/>
    <w:semiHidden/>
    <w:qFormat/>
    <w:locked/>
    <w:uiPriority w:val="99"/>
    <w:rPr>
      <w:rFonts w:ascii="Times New Roman" w:hAnsi="Times New Roman" w:cs="Times New Roman"/>
      <w:kern w:val="2"/>
      <w:sz w:val="18"/>
      <w:szCs w:val="18"/>
    </w:rPr>
  </w:style>
  <w:style w:type="character" w:customStyle="1" w:styleId="31">
    <w:name w:val="Footer Char"/>
    <w:basedOn w:val="22"/>
    <w:semiHidden/>
    <w:qFormat/>
    <w:uiPriority w:val="99"/>
    <w:rPr>
      <w:rFonts w:ascii="Times New Roman" w:hAnsi="Times New Roman" w:cs="Times New Roman"/>
      <w:sz w:val="18"/>
      <w:szCs w:val="18"/>
    </w:rPr>
  </w:style>
  <w:style w:type="character" w:customStyle="1" w:styleId="32">
    <w:name w:val="Header Char"/>
    <w:basedOn w:val="22"/>
    <w:semiHidden/>
    <w:qFormat/>
    <w:uiPriority w:val="99"/>
    <w:rPr>
      <w:rFonts w:ascii="Times New Roman" w:hAnsi="Times New Roman" w:cs="Times New Roman"/>
      <w:sz w:val="18"/>
      <w:szCs w:val="18"/>
    </w:rPr>
  </w:style>
  <w:style w:type="character" w:customStyle="1" w:styleId="33">
    <w:name w:val="页眉 字符"/>
    <w:link w:val="13"/>
    <w:semiHidden/>
    <w:qFormat/>
    <w:locked/>
    <w:uiPriority w:val="99"/>
    <w:rPr>
      <w:sz w:val="18"/>
    </w:rPr>
  </w:style>
  <w:style w:type="character" w:customStyle="1" w:styleId="34">
    <w:name w:val="页脚 字符"/>
    <w:link w:val="12"/>
    <w:qFormat/>
    <w:locked/>
    <w:uiPriority w:val="99"/>
    <w:rPr>
      <w:sz w:val="18"/>
    </w:rPr>
  </w:style>
  <w:style w:type="character" w:customStyle="1" w:styleId="35">
    <w:name w:val="正文文本 字符"/>
    <w:link w:val="7"/>
    <w:qFormat/>
    <w:locked/>
    <w:uiPriority w:val="99"/>
    <w:rPr>
      <w:rFonts w:ascii="仿宋_GB2312" w:hAnsi="Times New Roman" w:eastAsia="仿宋_GB2312"/>
      <w:sz w:val="24"/>
    </w:rPr>
  </w:style>
  <w:style w:type="paragraph" w:customStyle="1" w:styleId="36">
    <w:name w:val="列表段落1"/>
    <w:basedOn w:val="1"/>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20(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20(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20(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20(2).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20(2).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manualLayout>
          <c:layoutTarget val="inner"/>
          <c:xMode val="edge"/>
          <c:yMode val="edge"/>
          <c:x val="0.0957684957684958"/>
          <c:y val="0.193156974202011"/>
          <c:w val="0.815915915915916"/>
          <c:h val="0.713576738084827"/>
        </c:manualLayout>
      </c:layout>
      <c:barChart>
        <c:barDir val="col"/>
        <c:grouping val="clustered"/>
        <c:varyColors val="false"/>
        <c:ser>
          <c:idx val="0"/>
          <c:order val="0"/>
          <c:tx>
            <c:strRef>
              <c:f>'[新建 XLS 工作表 (2).xls]Sheet1'!$A$2</c:f>
              <c:strCache>
                <c:ptCount val="1"/>
                <c:pt idx="0">
                  <c:v>2019年</c:v>
                </c:pt>
              </c:strCache>
            </c:strRef>
          </c:tx>
          <c:spPr>
            <a:solidFill>
              <a:schemeClr val="accent6"/>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2755.69万元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2755.69万元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(2).xls]Sheet1'!$B$1:$C$1</c:f>
              <c:strCache>
                <c:ptCount val="2"/>
                <c:pt idx="0">
                  <c:v>收入</c:v>
                </c:pt>
                <c:pt idx="1">
                  <c:v>支出</c:v>
                </c:pt>
              </c:strCache>
            </c:strRef>
          </c:cat>
          <c:val>
            <c:numRef>
              <c:f>'[新建 XLS 工作表 (2).xls]Sheet1'!$B$2:$C$2</c:f>
              <c:numCache>
                <c:formatCode>General</c:formatCode>
                <c:ptCount val="2"/>
                <c:pt idx="0">
                  <c:v>2755.69</c:v>
                </c:pt>
                <c:pt idx="1">
                  <c:v>2755.69</c:v>
                </c:pt>
              </c:numCache>
            </c:numRef>
          </c:val>
        </c:ser>
        <c:ser>
          <c:idx val="1"/>
          <c:order val="1"/>
          <c:tx>
            <c:strRef>
              <c:f>'[新建 XLS 工作表 (2).xls]Sheet1'!$A$3</c:f>
              <c:strCache>
                <c:ptCount val="1"/>
                <c:pt idx="0">
                  <c:v>2020年</c:v>
                </c:pt>
              </c:strCache>
            </c:strRef>
          </c:tx>
          <c:spPr>
            <a:solidFill>
              <a:schemeClr val="accent5"/>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1167.59万元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1167.59万元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(2).xls]Sheet1'!$B$1:$C$1</c:f>
              <c:strCache>
                <c:ptCount val="2"/>
                <c:pt idx="0">
                  <c:v>收入</c:v>
                </c:pt>
                <c:pt idx="1">
                  <c:v>支出</c:v>
                </c:pt>
              </c:strCache>
            </c:strRef>
          </c:cat>
          <c:val>
            <c:numRef>
              <c:f>'[新建 XLS 工作表 (2).xls]Sheet1'!$B$3:$C$3</c:f>
              <c:numCache>
                <c:formatCode>General</c:formatCode>
                <c:ptCount val="2"/>
                <c:pt idx="0">
                  <c:v>1167.59</c:v>
                </c:pt>
                <c:pt idx="1">
                  <c:v>1167.59</c:v>
                </c:pt>
              </c:numCache>
            </c:numRef>
          </c:val>
        </c:ser>
        <c:dLbls>
          <c:showLegendKey val="false"/>
          <c:showVal val="true"/>
          <c:showCatName val="false"/>
          <c:showSerName val="false"/>
          <c:showPercent val="false"/>
          <c:showBubbleSize val="false"/>
        </c:dLbls>
        <c:gapWidth val="219"/>
        <c:overlap val="-27"/>
        <c:axId val="708656589"/>
        <c:axId val="556585868"/>
      </c:barChart>
      <c:catAx>
        <c:axId val="70865658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6585868"/>
        <c:crosses val="autoZero"/>
        <c:auto val="true"/>
        <c:lblAlgn val="ctr"/>
        <c:lblOffset val="100"/>
        <c:noMultiLvlLbl val="false"/>
      </c:catAx>
      <c:valAx>
        <c:axId val="55658586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08656589"/>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'[新建 XLS 工作表 (2).xls]Sheet1'!$B$1</c:f>
              <c:strCache>
                <c:ptCount val="1"/>
                <c:pt idx="0">
                  <c:v>收入决算结构图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XLS 工作表 (2).xls]Sheet1'!$B$2:$B$8</c:f>
              <c:numCache>
                <c:formatCode>General</c:formatCode>
                <c:ptCount val="7"/>
                <c:pt idx="0">
                  <c:v>1167.59</c:v>
                </c:pt>
                <c:pt idx="1">
                  <c:v>0</c:v>
                </c:pt>
                <c:pt idx="2">
                  <c:v>0</c:v>
                </c:pt>
                <c:pt idx="3">
                  <c:v>0</c:v>
                </c:pt>
                <c:pt idx="4">
                  <c:v>0</c:v>
                </c:pt>
                <c:pt idx="5">
                  <c:v>0</c:v>
                </c:pt>
                <c:pt idx="6">
                  <c:v>0</c:v>
                </c:pt>
              </c:numCache>
            </c:numRef>
          </c:val>
        </c:ser>
        <c:ser>
          <c:idx val="1"/>
          <c:order val="1"/>
          <c:tx>
            <c:strRef>
              <c:f>'[新建 XLS 工作表 (2).xls]Sheet1'!$C$1</c:f>
              <c:strCache>
                <c:ptCount val="1"/>
                <c:pt idx="0">
                  <c:v>百分百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delete val="true"/>
          </c:dLbls>
          <c:cat>
            <c:strRef>
              <c:f>'[新建 XLS 工作表 (2).xls]Sheet1'!$A$2:$A$8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XLS 工作表 (2).xls]Sheet1'!$C$2:$C$8</c:f>
              <c:numCache>
                <c:formatCode>0%</c:formatCode>
                <c:ptCount val="7"/>
                <c:pt idx="0">
                  <c:v>1</c:v>
                </c:pt>
                <c:pt idx="1">
                  <c:v>0</c:v>
                </c:pt>
                <c:pt idx="2">
                  <c:v>0</c:v>
                </c:pt>
                <c:pt idx="3">
                  <c:v>0</c:v>
                </c:pt>
                <c:pt idx="4">
                  <c:v>0</c:v>
                </c:pt>
                <c:pt idx="5">
                  <c:v>0</c:v>
                </c:pt>
                <c:pt idx="6">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'[新建 XLS 工作表 (2).xls]Sheet1'!$B$1</c:f>
              <c:strCache>
                <c:ptCount val="1"/>
                <c:pt idx="0">
                  <c:v>支出决算结构图</c:v>
                </c:pt>
              </c:strCache>
            </c:strRef>
          </c:tx>
          <c:spPr/>
          <c:explosion val="0"/>
          <c:dPt>
            <c:idx val="0"/>
            <c:bubble3D val="false"/>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Lbls>
            <c:dLbl>
              <c:idx val="0"/>
              <c:layout>
                <c:manualLayout>
                  <c:x val="-0.124224236213199"/>
                  <c:y val="0.0345196897555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(2).xls]Sheet1'!$A$2:$A$3</c:f>
              <c:strCache>
                <c:ptCount val="2"/>
                <c:pt idx="0">
                  <c:v>基本支出</c:v>
                </c:pt>
                <c:pt idx="1">
                  <c:v>项目支出</c:v>
                </c:pt>
              </c:strCache>
            </c:strRef>
          </c:cat>
          <c:val>
            <c:numRef>
              <c:f>'[新建 XLS 工作表 (2).xls]Sheet1'!$B$2:$B$3</c:f>
              <c:numCache>
                <c:formatCode>General</c:formatCode>
                <c:ptCount val="2"/>
                <c:pt idx="0">
                  <c:v>587.71</c:v>
                </c:pt>
                <c:pt idx="1">
                  <c:v>565.93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a:t>财政拨款收入支出决算情况图</a:t>
            </a:r>
            <a:endParaRPr sz="1200"/>
          </a:p>
        </c:rich>
      </c:tx>
      <c:layout>
        <c:manualLayout>
          <c:xMode val="edge"/>
          <c:yMode val="edge"/>
          <c:x val="0.36075155879387"/>
          <c:y val="0.0358959018845348"/>
        </c:manualLayout>
      </c:layout>
      <c:overlay val="false"/>
      <c:spPr>
        <a:noFill/>
        <a:ln>
          <a:noFill/>
        </a:ln>
        <a:effectLst/>
      </c:spPr>
    </c:title>
    <c:autoTitleDeleted val="false"/>
    <c:plotArea>
      <c:layout/>
      <c:barChart>
        <c:barDir val="col"/>
        <c:grouping val="clustered"/>
        <c:varyColors val="false"/>
        <c:ser>
          <c:idx val="0"/>
          <c:order val="0"/>
          <c:tx>
            <c:strRef>
              <c:f>'[新建 XLS 工作表 (2).xls]Sheet1'!$A$2</c:f>
              <c:strCache>
                <c:ptCount val="1"/>
                <c:pt idx="0">
                  <c:v>2020年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(2).xls]Sheet1'!$B$1:$C$1</c:f>
              <c:strCache>
                <c:ptCount val="2"/>
                <c:pt idx="0">
                  <c:v>财政拨款收入</c:v>
                </c:pt>
                <c:pt idx="1">
                  <c:v>财政拨款支出</c:v>
                </c:pt>
              </c:strCache>
            </c:strRef>
          </c:cat>
          <c:val>
            <c:numRef>
              <c:f>'[新建 XLS 工作表 (2).xls]Sheet1'!$B$2:$C$2</c:f>
              <c:numCache>
                <c:formatCode>General</c:formatCode>
                <c:ptCount val="2"/>
                <c:pt idx="0">
                  <c:v>977.89</c:v>
                </c:pt>
                <c:pt idx="1">
                  <c:v>1153.64</c:v>
                </c:pt>
              </c:numCache>
            </c:numRef>
          </c:val>
        </c:ser>
        <c:ser>
          <c:idx val="1"/>
          <c:order val="1"/>
          <c:tx>
            <c:strRef>
              <c:f>'[新建 XLS 工作表 (2).xls]Sheet1'!$A$3</c:f>
              <c:strCache>
                <c:ptCount val="1"/>
                <c:pt idx="0">
                  <c:v>2019年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(2).xls]Sheet1'!$B$1:$C$1</c:f>
              <c:strCache>
                <c:ptCount val="2"/>
                <c:pt idx="0">
                  <c:v>财政拨款收入</c:v>
                </c:pt>
                <c:pt idx="1">
                  <c:v>财政拨款支出</c:v>
                </c:pt>
              </c:strCache>
            </c:strRef>
          </c:cat>
          <c:val>
            <c:numRef>
              <c:f>'[新建 XLS 工作表 (2).xls]Sheet1'!$B$3:$C$3</c:f>
              <c:numCache>
                <c:formatCode>General</c:formatCode>
                <c:ptCount val="2"/>
                <c:pt idx="0">
                  <c:v>2721.39</c:v>
                </c:pt>
                <c:pt idx="1">
                  <c:v>2427.69</c:v>
                </c:pt>
              </c:numCache>
            </c:numRef>
          </c:val>
        </c:ser>
        <c:dLbls>
          <c:showLegendKey val="false"/>
          <c:showVal val="false"/>
          <c:showCatName val="false"/>
          <c:showSerName val="false"/>
          <c:showPercent val="false"/>
          <c:showBubbleSize val="false"/>
        </c:dLbls>
        <c:gapWidth val="219"/>
        <c:overlap val="-27"/>
        <c:axId val="219288800"/>
        <c:axId val="502064091"/>
      </c:barChart>
      <c:catAx>
        <c:axId val="21928880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2064091"/>
        <c:crosses val="autoZero"/>
        <c:auto val="true"/>
        <c:lblAlgn val="ctr"/>
        <c:lblOffset val="100"/>
        <c:noMultiLvlLbl val="false"/>
      </c:catAx>
      <c:valAx>
        <c:axId val="50206409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928880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050"/>
              <a:t>一般公共预算财政拨款支出决算变动情况图</a:t>
            </a:r>
            <a:endParaRPr sz="1050"/>
          </a:p>
        </c:rich>
      </c:tx>
      <c:layout/>
      <c:overlay val="false"/>
      <c:spPr>
        <a:noFill/>
        <a:ln>
          <a:noFill/>
        </a:ln>
        <a:effectLst/>
      </c:spPr>
    </c:title>
    <c:autoTitleDeleted val="false"/>
    <c:plotArea>
      <c:layout>
        <c:manualLayout>
          <c:layoutTarget val="inner"/>
          <c:xMode val="edge"/>
          <c:yMode val="edge"/>
          <c:x val="0.0909642527371059"/>
          <c:y val="0.167427884615385"/>
          <c:w val="0.8800158290463"/>
          <c:h val="0.6790625"/>
        </c:manualLayout>
      </c:layout>
      <c:barChart>
        <c:barDir val="col"/>
        <c:grouping val="clustered"/>
        <c:varyColors val="false"/>
        <c:ser>
          <c:idx val="0"/>
          <c:order val="0"/>
          <c:tx>
            <c:strRef>
              <c:f>'[新建 XLS 工作表 (2).xls]Sheet1'!$A$2</c:f>
              <c:strCache>
                <c:ptCount val="1"/>
                <c:pt idx="0">
                  <c:v>2020年</c:v>
                </c:pt>
              </c:strCache>
            </c:strRef>
          </c:tx>
          <c:spPr>
            <a:solidFill>
              <a:schemeClr val="accent1">
                <a:shade val="76667"/>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'[新建 XLS 工作表 (2).xls]Sheet1'!$B$1</c:f>
              <c:numCache>
                <c:formatCode>General</c:formatCode>
                <c:ptCount val="1"/>
              </c:numCache>
            </c:numRef>
          </c:cat>
          <c:val>
            <c:numRef>
              <c:f>'[新建 XLS 工作表 (2).xls]Sheet1'!$B$2</c:f>
              <c:numCache>
                <c:formatCode>General</c:formatCode>
                <c:ptCount val="1"/>
                <c:pt idx="0">
                  <c:v>1153.64</c:v>
                </c:pt>
              </c:numCache>
            </c:numRef>
          </c:val>
        </c:ser>
        <c:ser>
          <c:idx val="1"/>
          <c:order val="1"/>
          <c:tx>
            <c:strRef>
              <c:f>'[新建 XLS 工作表 (2).xls]Sheet1'!$A$3</c:f>
              <c:strCache>
                <c:ptCount val="1"/>
                <c:pt idx="0">
                  <c:v>2019年</c:v>
                </c:pt>
              </c:strCache>
            </c:strRef>
          </c:tx>
          <c:spPr>
            <a:solidFill>
              <a:schemeClr val="accent1">
                <a:tint val="76667"/>
              </a:schemeClr>
            </a:solidFill>
            <a:ln>
              <a:noFill/>
            </a:ln>
            <a:effectLst/>
          </c:spPr>
          <c:invertIfNegative val="false"/>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'[新建 XLS 工作表 (2).xls]Sheet1'!$B$1</c:f>
              <c:numCache>
                <c:formatCode>General</c:formatCode>
                <c:ptCount val="1"/>
              </c:numCache>
            </c:numRef>
          </c:cat>
          <c:val>
            <c:numRef>
              <c:f>'[新建 XLS 工作表 (2).xls]Sheet1'!$B$3</c:f>
              <c:numCache>
                <c:formatCode>General</c:formatCode>
                <c:ptCount val="1"/>
                <c:pt idx="0">
                  <c:v>2427.69</c:v>
                </c:pt>
              </c:numCache>
            </c:numRef>
          </c:val>
        </c:ser>
        <c:dLbls>
          <c:showLegendKey val="false"/>
          <c:showVal val="false"/>
          <c:showCatName val="false"/>
          <c:showSerName val="false"/>
          <c:showPercent val="false"/>
          <c:showBubbleSize val="false"/>
        </c:dLbls>
        <c:gapWidth val="219"/>
        <c:overlap val="-27"/>
        <c:axId val="219288800"/>
        <c:axId val="502064091"/>
      </c:barChart>
      <c:catAx>
        <c:axId val="21928880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2064091"/>
        <c:crosses val="autoZero"/>
        <c:auto val="true"/>
        <c:lblAlgn val="ctr"/>
        <c:lblOffset val="100"/>
        <c:noMultiLvlLbl val="false"/>
      </c:catAx>
      <c:valAx>
        <c:axId val="50206409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928880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'[新建 XLS 工作表 (2).xls]Sheet1'!$B$1</c:f>
              <c:strCache>
                <c:ptCount val="1"/>
                <c:pt idx="0">
                  <c:v>一般公共预算财政拨款支出决算结构图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Lbls>
            <c:dLbl>
              <c:idx val="0"/>
              <c:layout>
                <c:manualLayout>
                  <c:x val="0.0559679257357585"/>
                  <c:y val="0.008252351098984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55267100991677"/>
                  <c:y val="-0.002648315832863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265252253950768"/>
                  <c:y val="-0.063715835278175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13180480577844"/>
                  <c:y val="0.013323791522605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93005540886779"/>
                  <c:y val="0.064033117556614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14755298940382"/>
                  <c:y val="-0.077593842921502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686904629311784"/>
                  <c:y val="0.02706603170074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974465575072699"/>
                  <c:y val="0.0051500022248519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730678547754961"/>
                  <c:y val="-0.021673476072041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(2).xls]Sheet1'!$A$2:$A$10</c:f>
              <c:strCache>
                <c:ptCount val="9"/>
                <c:pt idx="0">
                  <c:v>一般公共服务</c:v>
                </c:pt>
                <c:pt idx="1">
                  <c:v>国防</c:v>
                </c:pt>
                <c:pt idx="2">
                  <c:v>科学技术</c:v>
                </c:pt>
                <c:pt idx="3">
                  <c:v>社会保障和就业</c:v>
                </c:pt>
                <c:pt idx="4">
                  <c:v>卫生健康</c:v>
                </c:pt>
                <c:pt idx="5">
                  <c:v>节能环保</c:v>
                </c:pt>
                <c:pt idx="6">
                  <c:v>农林水</c:v>
                </c:pt>
                <c:pt idx="7">
                  <c:v>住房保障</c:v>
                </c:pt>
                <c:pt idx="8">
                  <c:v>灾害防治及应急管理</c:v>
                </c:pt>
              </c:strCache>
            </c:strRef>
          </c:cat>
          <c:val>
            <c:numRef>
              <c:f>'[新建 XLS 工作表 (2).xls]Sheet1'!$B$2:$B$10</c:f>
              <c:numCache>
                <c:formatCode>General</c:formatCode>
                <c:ptCount val="9"/>
                <c:pt idx="0">
                  <c:v>493.07</c:v>
                </c:pt>
                <c:pt idx="1">
                  <c:v>4.91</c:v>
                </c:pt>
                <c:pt idx="2">
                  <c:v>10</c:v>
                </c:pt>
                <c:pt idx="3">
                  <c:v>88.07</c:v>
                </c:pt>
                <c:pt idx="4">
                  <c:v>24.63</c:v>
                </c:pt>
                <c:pt idx="5">
                  <c:v>1.99</c:v>
                </c:pt>
                <c:pt idx="6">
                  <c:v>478.19</c:v>
                </c:pt>
                <c:pt idx="7">
                  <c:v>51.79</c:v>
                </c:pt>
                <c:pt idx="8">
                  <c:v>0.99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'[新建 XLS 工作表 (2).xls]Sheet1'!$B$1</c:f>
              <c:strCache>
                <c:ptCount val="1"/>
                <c:pt idx="0">
                  <c:v>“三公”经费财政拨款支出结构</c:v>
                </c:pt>
              </c:strCache>
            </c:strRef>
          </c:tx>
          <c:spPr/>
          <c:explosion val="0"/>
          <c:dPt>
            <c:idx val="0"/>
            <c:bubble3D val="false"/>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Pt>
            <c:idx val="2"/>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(2).xls]Sheet1'!$A$2:$A$4</c:f>
              <c:strCache>
                <c:ptCount val="3"/>
                <c:pt idx="0">
                  <c:v>公务用车购置及运行维护费支出</c:v>
                </c:pt>
                <c:pt idx="1">
                  <c:v>因公出国（境）费支出</c:v>
                </c:pt>
                <c:pt idx="2">
                  <c:v>公务接待费支出</c:v>
                </c:pt>
              </c:strCache>
            </c:strRef>
          </c:cat>
          <c:val>
            <c:numRef>
              <c:f>'[新建 XLS 工作表 (2).xls]Sheet1'!$B$2:$B$4</c:f>
              <c:numCache>
                <c:formatCode>General</c:formatCode>
                <c:ptCount val="3"/>
                <c:pt idx="0">
                  <c:v>4.78</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1575</Words>
  <Characters>8982</Characters>
  <Lines>74</Lines>
  <Paragraphs>21</Paragraphs>
  <TotalTime>4</TotalTime>
  <ScaleCrop>false</ScaleCrop>
  <LinksUpToDate>false</LinksUpToDate>
  <CharactersWithSpaces>10536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碧落  </cp:lastModifiedBy>
  <cp:lastPrinted>2021-10-20T14:44:00Z</cp:lastPrinted>
  <dcterms:modified xsi:type="dcterms:W3CDTF">2021-10-20T16:12:36Z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C4EA5EC390C24BCDB3E27E3AE15E253B</vt:lpwstr>
  </property>
</Properties>
</file>