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rPr>
      </w:pPr>
      <w:bookmarkStart w:id="0" w:name="_Toc15396475"/>
      <w:bookmarkStart w:id="1" w:name="_Toc15378441"/>
      <w:bookmarkStart w:id="2" w:name="_Toc15377425"/>
      <w:bookmarkStart w:id="3" w:name="_Toc15377193"/>
      <w:bookmarkStart w:id="4" w:name="_Toc15306267"/>
      <w:bookmarkStart w:id="5" w:name="_Toc15396597"/>
    </w:p>
    <w:bookmarkEnd w:id="0"/>
    <w:bookmarkEnd w:id="1"/>
    <w:bookmarkEnd w:id="2"/>
    <w:bookmarkEnd w:id="3"/>
    <w:bookmarkEnd w:id="4"/>
    <w:bookmarkEnd w:id="5"/>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72" w:name="_GoBack"/>
      <w:bookmarkEnd w:id="72"/>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w:t>
      </w:r>
    </w:p>
    <w:p>
      <w:pPr>
        <w:pStyle w:val="8"/>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w:t>
      </w:r>
      <w:r>
        <w:rPr>
          <w:rFonts w:hint="eastAsia" w:ascii="Times New Roman" w:eastAsia="方正小标宋简体" w:cs="Times New Roman"/>
          <w:color w:val="auto"/>
          <w:kern w:val="2"/>
          <w:sz w:val="44"/>
          <w:szCs w:val="44"/>
          <w:highlight w:val="none"/>
          <w:lang w:val="en-US" w:eastAsia="zh-CN" w:bidi="ar-SA"/>
        </w:rPr>
        <w:t>中壤塘镇人民政府</w:t>
      </w: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widowControl/>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bookmarkStart w:id="6" w:name="_Toc15377196"/>
      <w:bookmarkStart w:id="7" w:name="_Toc15396599"/>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23</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1</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1</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w:t>
      </w:r>
    </w:p>
    <w:p>
      <w:pPr>
        <w:pStyle w:val="13"/>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3</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3</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3</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4</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5</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5</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9</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10</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12</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12</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13</w:t>
      </w:r>
    </w:p>
    <w:p>
      <w:pPr>
        <w:pStyle w:val="13"/>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15</w:t>
      </w:r>
    </w:p>
    <w:p>
      <w:pPr>
        <w:pStyle w:val="13"/>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19</w:t>
      </w:r>
    </w:p>
    <w:p>
      <w:pPr>
        <w:pStyle w:val="13"/>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31</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31</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31</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31</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31</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31</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31</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31</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31</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31</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31</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31</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31</w:t>
      </w:r>
    </w:p>
    <w:p>
      <w:pPr>
        <w:pStyle w:val="14"/>
        <w:keepNext w:val="0"/>
        <w:keepLines w:val="0"/>
        <w:pageBreakBefore w:val="0"/>
        <w:widowControl w:val="0"/>
        <w:tabs>
          <w:tab w:val="right" w:leader="middleDot" w:pos="8820"/>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31</w:t>
      </w:r>
    </w:p>
    <w:p>
      <w:pPr>
        <w:rPr>
          <w:rFonts w:hint="eastAsia"/>
        </w:rPr>
        <w:sectPr>
          <w:footerReference r:id="rId7" w:type="default"/>
          <w:pgSz w:w="11906" w:h="16838"/>
          <w:pgMar w:top="1440" w:right="1800" w:bottom="1440" w:left="1800" w:header="851" w:footer="992" w:gutter="0"/>
          <w:pgNumType w:fmt="decimal" w:start="1"/>
          <w:cols w:space="425" w:num="1"/>
          <w:docGrid w:type="lines" w:linePitch="312" w:charSpace="0"/>
        </w:sectPr>
      </w:pPr>
    </w:p>
    <w:p>
      <w:pPr>
        <w:pStyle w:val="5"/>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6"/>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执行本级人民代表大会的决议和上级国家行政机关的决定和命令，在辖区内发布决定和命令</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按照国家宪法和法律，行使对本辖区内的行政及民政事务的管理</w:t>
      </w:r>
      <w:r>
        <w:rPr>
          <w:rFonts w:hint="eastAsia" w:ascii="仿宋" w:hAnsi="仿宋" w:eastAsia="仿宋" w:cs="仿宋"/>
          <w:color w:val="000000"/>
          <w:sz w:val="32"/>
          <w:szCs w:val="32"/>
          <w:lang w:val="en-US" w:eastAsia="zh-CN"/>
        </w:rPr>
        <w:t>权</w:t>
      </w:r>
      <w:r>
        <w:rPr>
          <w:rFonts w:hint="eastAsia" w:ascii="仿宋" w:hAnsi="仿宋" w:eastAsia="仿宋" w:cs="仿宋"/>
          <w:color w:val="000000"/>
          <w:sz w:val="32"/>
          <w:szCs w:val="32"/>
        </w:rPr>
        <w:t>；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制定</w:t>
      </w:r>
      <w:r>
        <w:rPr>
          <w:rFonts w:hint="eastAsia" w:ascii="仿宋" w:hAnsi="仿宋" w:eastAsia="仿宋" w:cs="仿宋"/>
          <w:color w:val="000000"/>
          <w:sz w:val="32"/>
          <w:szCs w:val="32"/>
          <w:lang w:eastAsia="zh-CN"/>
        </w:rPr>
        <w:t>本单位</w:t>
      </w:r>
      <w:r>
        <w:rPr>
          <w:rFonts w:hint="eastAsia" w:ascii="仿宋" w:hAnsi="仿宋" w:eastAsia="仿宋" w:cs="仿宋"/>
          <w:color w:val="000000"/>
          <w:sz w:val="32"/>
          <w:szCs w:val="32"/>
        </w:rPr>
        <w:t>的经济和社会发展规划，并组织实施；组织和领导行政经济体制改革，协调本行政区域村民委员会与各经济组织之间的关系；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组织规划财政管理的各项收入，管理范围内的各项财政支出和行政筹集、分配和使用的资金；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负责管理对外经济技术交流与合作，开展经济信息预测工作，推广科学技术成果；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对</w:t>
      </w:r>
      <w:r>
        <w:rPr>
          <w:rFonts w:hint="eastAsia" w:ascii="仿宋" w:hAnsi="仿宋" w:eastAsia="仿宋" w:cs="仿宋"/>
          <w:color w:val="000000"/>
          <w:sz w:val="32"/>
          <w:szCs w:val="32"/>
          <w:lang w:eastAsia="zh-CN"/>
        </w:rPr>
        <w:t>本单位</w:t>
      </w:r>
      <w:r>
        <w:rPr>
          <w:rFonts w:hint="eastAsia" w:ascii="仿宋" w:hAnsi="仿宋" w:eastAsia="仿宋" w:cs="仿宋"/>
          <w:color w:val="000000"/>
          <w:sz w:val="32"/>
          <w:szCs w:val="32"/>
        </w:rPr>
        <w:t>各项社会建设进行宏观管理，抓好环境卫生整治工作；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7.</w:t>
      </w:r>
      <w:r>
        <w:rPr>
          <w:rFonts w:hint="eastAsia" w:ascii="仿宋" w:hAnsi="仿宋" w:eastAsia="仿宋" w:cs="仿宋"/>
          <w:color w:val="000000"/>
          <w:sz w:val="32"/>
          <w:szCs w:val="32"/>
        </w:rPr>
        <w:t>加强基本农田水利建设和道路、桥梁</w:t>
      </w:r>
      <w:r>
        <w:rPr>
          <w:rFonts w:hint="eastAsia" w:ascii="仿宋" w:hAnsi="仿宋" w:eastAsia="仿宋" w:cs="仿宋"/>
          <w:color w:val="000000"/>
          <w:sz w:val="32"/>
          <w:szCs w:val="32"/>
          <w:lang w:eastAsia="zh-CN"/>
        </w:rPr>
        <w:t>等</w:t>
      </w:r>
      <w:r>
        <w:rPr>
          <w:rFonts w:hint="eastAsia" w:ascii="仿宋" w:hAnsi="仿宋" w:eastAsia="仿宋" w:cs="仿宋"/>
          <w:color w:val="000000"/>
          <w:sz w:val="32"/>
          <w:szCs w:val="32"/>
        </w:rPr>
        <w:t>建设，加强土地的统一管理、统筹规划，协助有关部门做好地质灾害的防治工作</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负责农村土地承包管理、农民负担监督管理、农村集体资产财务管理；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9.</w:t>
      </w:r>
      <w:r>
        <w:rPr>
          <w:rFonts w:hint="eastAsia" w:ascii="仿宋" w:hAnsi="仿宋" w:eastAsia="仿宋" w:cs="仿宋"/>
          <w:color w:val="000000"/>
          <w:sz w:val="32"/>
          <w:szCs w:val="32"/>
        </w:rPr>
        <w:t>组织和开展社会主义精神文明活动，正确调解和处理人民内部矛盾，认真调解民事纠纷；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10.</w:t>
      </w:r>
      <w:r>
        <w:rPr>
          <w:rFonts w:hint="eastAsia" w:ascii="仿宋" w:hAnsi="仿宋" w:eastAsia="仿宋" w:cs="仿宋"/>
          <w:color w:val="000000"/>
          <w:sz w:val="32"/>
          <w:szCs w:val="32"/>
        </w:rPr>
        <w:t>充分发挥行政</w:t>
      </w:r>
      <w:r>
        <w:rPr>
          <w:rFonts w:hint="eastAsia" w:ascii="仿宋" w:hAnsi="仿宋" w:eastAsia="仿宋" w:cs="仿宋"/>
          <w:color w:val="000000"/>
          <w:sz w:val="32"/>
          <w:szCs w:val="32"/>
          <w:lang w:val="en-US" w:eastAsia="zh-CN"/>
        </w:rPr>
        <w:t>效</w:t>
      </w:r>
      <w:r>
        <w:rPr>
          <w:rFonts w:hint="eastAsia" w:ascii="仿宋" w:hAnsi="仿宋" w:eastAsia="仿宋" w:cs="仿宋"/>
          <w:color w:val="000000"/>
          <w:sz w:val="32"/>
          <w:szCs w:val="32"/>
        </w:rPr>
        <w:t>能，组织和开展</w:t>
      </w:r>
      <w:r>
        <w:rPr>
          <w:rFonts w:hint="eastAsia" w:ascii="仿宋" w:hAnsi="仿宋" w:eastAsia="仿宋" w:cs="仿宋"/>
          <w:color w:val="000000"/>
          <w:sz w:val="32"/>
          <w:szCs w:val="32"/>
          <w:lang w:eastAsia="zh-CN"/>
        </w:rPr>
        <w:t>本地地</w:t>
      </w:r>
      <w:r>
        <w:rPr>
          <w:rFonts w:hint="eastAsia" w:ascii="仿宋" w:hAnsi="仿宋" w:eastAsia="仿宋" w:cs="仿宋"/>
          <w:color w:val="000000"/>
          <w:sz w:val="32"/>
          <w:szCs w:val="32"/>
        </w:rPr>
        <w:t>文化、教育、卫生、民政和科技等工作； </w:t>
      </w:r>
    </w:p>
    <w:p>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根据经济发展需要，建立经济、技术咨询服务机构，向经济组织和农牧民提供全面服务。 </w:t>
      </w:r>
    </w:p>
    <w:p>
      <w:pPr>
        <w:pageBreakBefore w:val="0"/>
        <w:kinsoku/>
        <w:wordWrap/>
        <w:overflowPunct/>
        <w:topLinePunct w:val="0"/>
        <w:autoSpaceDE/>
        <w:autoSpaceDN/>
        <w:bidi w:val="0"/>
        <w:adjustRightInd/>
        <w:spacing w:line="560" w:lineRule="exact"/>
        <w:ind w:firstLine="640" w:firstLineChars="200"/>
        <w:textAlignment w:val="auto"/>
        <w:outlineLvl w:val="2"/>
        <w:rPr>
          <w:rFonts w:hint="eastAsia"/>
          <w:lang w:eastAsia="zh-CN"/>
        </w:rPr>
      </w:pPr>
      <w:bookmarkStart w:id="8" w:name="_Toc12397"/>
      <w:r>
        <w:rPr>
          <w:rFonts w:hint="eastAsia" w:ascii="仿宋" w:hAnsi="仿宋" w:eastAsia="仿宋" w:cs="仿宋"/>
          <w:color w:val="000000"/>
          <w:sz w:val="32"/>
          <w:szCs w:val="32"/>
          <w:lang w:val="en-US" w:eastAsia="zh-CN"/>
        </w:rPr>
        <w:t>12.</w:t>
      </w:r>
      <w:r>
        <w:rPr>
          <w:rFonts w:hint="eastAsia" w:ascii="仿宋" w:hAnsi="仿宋" w:eastAsia="仿宋" w:cs="仿宋"/>
          <w:color w:val="000000"/>
          <w:sz w:val="32"/>
          <w:szCs w:val="32"/>
        </w:rPr>
        <w:t>做好民族宗教、寺庙的管理等工作。</w:t>
      </w:r>
      <w:bookmarkEnd w:id="8"/>
    </w:p>
    <w:p>
      <w:pPr>
        <w:numPr>
          <w:ilvl w:val="0"/>
          <w:numId w:val="0"/>
        </w:numPr>
        <w:rPr>
          <w:rFonts w:hint="eastAsia"/>
          <w:lang w:eastAsia="zh-CN"/>
        </w:rPr>
      </w:pPr>
    </w:p>
    <w:p>
      <w:pPr>
        <w:pStyle w:val="6"/>
        <w:rPr>
          <w:rStyle w:val="31"/>
          <w:rFonts w:ascii="Times New Roman" w:hAnsi="Times New Roman"/>
          <w:b w:val="0"/>
          <w:bCs w:val="0"/>
          <w:color w:val="auto"/>
          <w:highlight w:val="none"/>
        </w:rPr>
      </w:pPr>
      <w:bookmarkStart w:id="9" w:name="_Toc15377200"/>
      <w:bookmarkStart w:id="10" w:name="_Toc15396601"/>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9"/>
      <w:bookmarkEnd w:id="10"/>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中壤塘镇人民政府</w:t>
      </w:r>
      <w:r>
        <w:rPr>
          <w:rFonts w:hint="eastAsia" w:ascii="仿宋" w:hAnsi="仿宋" w:eastAsia="仿宋"/>
          <w:color w:val="auto"/>
          <w:sz w:val="32"/>
          <w:szCs w:val="32"/>
          <w:highlight w:val="none"/>
        </w:rPr>
        <w:t>下属二级</w:t>
      </w:r>
      <w:r>
        <w:rPr>
          <w:rFonts w:hint="eastAsia" w:ascii="仿宋" w:hAnsi="仿宋" w:eastAsia="仿宋"/>
          <w:color w:val="auto"/>
          <w:sz w:val="32"/>
          <w:szCs w:val="32"/>
          <w:highlight w:val="none"/>
          <w:lang w:eastAsia="zh-CN"/>
        </w:rPr>
        <w:t>预算</w:t>
      </w:r>
      <w:r>
        <w:rPr>
          <w:rFonts w:hint="eastAsia" w:ascii="仿宋" w:hAnsi="仿宋" w:eastAsia="仿宋"/>
          <w:color w:val="auto"/>
          <w:sz w:val="32"/>
          <w:szCs w:val="32"/>
          <w:highlight w:val="none"/>
        </w:rPr>
        <w:t>单位</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个，其中行政单位</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个，参照公务员法管理的事业单位</w:t>
      </w:r>
      <w:r>
        <w:rPr>
          <w:rFonts w:hint="eastAsia" w:ascii="仿宋" w:hAnsi="仿宋" w:eastAsia="仿宋"/>
          <w:bCs/>
          <w:color w:val="auto"/>
          <w:sz w:val="32"/>
          <w:szCs w:val="32"/>
          <w:highlight w:val="none"/>
          <w:lang w:val="en-US" w:eastAsia="zh-CN"/>
        </w:rPr>
        <w:t>0</w:t>
      </w:r>
      <w:r>
        <w:rPr>
          <w:rFonts w:hint="eastAsia" w:ascii="仿宋" w:hAnsi="仿宋" w:eastAsia="仿宋"/>
          <w:color w:val="auto"/>
          <w:sz w:val="32"/>
          <w:szCs w:val="32"/>
          <w:highlight w:val="none"/>
        </w:rPr>
        <w:t>个，其他事业单位</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个。</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Times New Roman"/>
          <w:color w:val="auto"/>
          <w:sz w:val="32"/>
          <w:szCs w:val="32"/>
          <w:highlight w:val="none"/>
          <w:lang w:eastAsia="zh-CN"/>
        </w:rPr>
      </w:pPr>
      <w:r>
        <w:rPr>
          <w:rFonts w:hint="eastAsia" w:ascii="仿宋" w:hAnsi="仿宋" w:eastAsia="仿宋" w:cs="Times New Roman"/>
          <w:color w:val="auto"/>
          <w:sz w:val="32"/>
          <w:szCs w:val="32"/>
          <w:highlight w:val="none"/>
          <w:lang w:eastAsia="zh-CN"/>
        </w:rPr>
        <w:t>纳入中壤塘镇人民政府</w:t>
      </w:r>
      <w:r>
        <w:rPr>
          <w:rFonts w:hint="eastAsia" w:ascii="仿宋" w:hAnsi="仿宋" w:eastAsia="仿宋" w:cs="Times New Roman"/>
          <w:color w:val="auto"/>
          <w:sz w:val="32"/>
          <w:szCs w:val="32"/>
          <w:highlight w:val="none"/>
          <w:lang w:val="en-US" w:eastAsia="zh-CN"/>
        </w:rPr>
        <w:t>2025</w:t>
      </w:r>
      <w:r>
        <w:rPr>
          <w:rFonts w:hint="eastAsia" w:ascii="仿宋" w:hAnsi="仿宋" w:eastAsia="仿宋" w:cs="Times New Roman"/>
          <w:color w:val="auto"/>
          <w:sz w:val="32"/>
          <w:szCs w:val="32"/>
          <w:highlight w:val="none"/>
          <w:lang w:eastAsia="zh-CN"/>
        </w:rPr>
        <w:t>年度部门决算编制范围的二级预算单位无。</w:t>
      </w: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5"/>
        <w:jc w:val="center"/>
        <w:rPr>
          <w:rFonts w:hint="eastAsia" w:ascii="Times New Roman" w:hAnsi="Times New Roman" w:eastAsia="方正小标宋简体" w:cs="方正小标宋简体"/>
          <w:b w:val="0"/>
          <w:color w:val="auto"/>
          <w:highlight w:val="none"/>
        </w:rPr>
      </w:pPr>
      <w:bookmarkStart w:id="11" w:name="_Toc15396602"/>
      <w:bookmarkStart w:id="12"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1"/>
      <w:bookmarkEnd w:id="12"/>
    </w:p>
    <w:p>
      <w:pPr>
        <w:rPr>
          <w:rFonts w:ascii="Times New Roman" w:hAnsi="Times New Roman"/>
          <w:color w:val="auto"/>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3" w:name="_Toc15377205"/>
      <w:bookmarkStart w:id="14"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3"/>
      <w:bookmarkEnd w:id="14"/>
    </w:p>
    <w:p>
      <w:pPr>
        <w:pStyle w:val="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olor w:val="auto"/>
          <w:sz w:val="32"/>
          <w:szCs w:val="32"/>
          <w:highlight w:val="none"/>
          <w:lang w:val="en-US" w:eastAsia="zh-CN"/>
        </w:rPr>
      </w:pPr>
      <w:r>
        <w:rPr>
          <w:rFonts w:hint="eastAsia" w:ascii="仿宋" w:hAnsi="仿宋" w:eastAsia="仿宋" w:cs="Times New Roman"/>
          <w:color w:val="auto"/>
          <w:sz w:val="32"/>
          <w:szCs w:val="32"/>
          <w:highlight w:val="none"/>
          <w:lang w:val="en-US" w:eastAsia="zh-CN"/>
        </w:rPr>
        <w:t>2025年度收入总计为2932.07万元，支出总计为2947.67万元。与2024年度相比，总收入减少1997.15万元，下降40.52%，总支出减少1965.95万元，下降40.01%，主要变动原因是2025年度我镇乡村振兴基础设施项目减少及在职人员变动。</w:t>
      </w:r>
    </w:p>
    <w:p>
      <w:pPr>
        <w:pStyle w:val="3"/>
        <w:keepNext w:val="0"/>
        <w:keepLines w:val="0"/>
        <w:pageBreakBefore w:val="0"/>
        <w:widowControl w:val="0"/>
        <w:kinsoku/>
        <w:wordWrap/>
        <w:overflowPunct/>
        <w:topLinePunct w:val="0"/>
        <w:autoSpaceDE/>
        <w:autoSpaceDN/>
        <w:bidi w:val="0"/>
        <w:adjustRightInd w:val="0"/>
        <w:snapToGrid w:val="0"/>
        <w:spacing w:line="560" w:lineRule="exact"/>
        <w:ind w:firstLine="6080" w:firstLineChars="1900"/>
        <w:textAlignment w:val="auto"/>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单位：万元</w:t>
      </w:r>
    </w:p>
    <w:p>
      <w:pPr>
        <w:rPr>
          <w:rFonts w:hint="eastAsia"/>
          <w:lang w:val="en-US" w:eastAsia="zh-CN"/>
        </w:rPr>
      </w:pPr>
      <w:r>
        <w:drawing>
          <wp:inline distT="0" distB="0" distL="114300" distR="114300">
            <wp:extent cx="5208905" cy="2982595"/>
            <wp:effectExtent l="4445" t="4445" r="6350" b="22860"/>
            <wp:docPr id="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5" w:name="_Toc15396604"/>
      <w:bookmarkStart w:id="16" w:name="_Toc15377206"/>
      <w:r>
        <w:rPr>
          <w:rFonts w:hint="eastAsia" w:ascii="Times New Roman" w:hAnsi="Times New Roman" w:eastAsia="黑体"/>
          <w:color w:val="auto"/>
          <w:sz w:val="32"/>
          <w:szCs w:val="32"/>
          <w:highlight w:val="none"/>
          <w:lang w:eastAsia="zh-CN"/>
        </w:rPr>
        <w:t>二、收入决算情况说明</w:t>
      </w:r>
      <w:bookmarkEnd w:id="15"/>
      <w:bookmarkEnd w:id="16"/>
    </w:p>
    <w:p>
      <w:pPr>
        <w:pStyle w:val="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本年收入合计</w:t>
      </w:r>
      <w:r>
        <w:rPr>
          <w:rFonts w:hint="eastAsia" w:ascii="仿宋" w:hAnsi="仿宋" w:eastAsia="仿宋"/>
          <w:color w:val="auto"/>
          <w:sz w:val="32"/>
          <w:szCs w:val="32"/>
          <w:highlight w:val="none"/>
          <w:lang w:val="en-US" w:eastAsia="zh-CN"/>
        </w:rPr>
        <w:t>2932.07</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2932.07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国有资本经营预算财政拨款收入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；上级补助收入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；事业收入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；附属单位上缴收入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年初结转和结余15.6万元。</w:t>
      </w:r>
    </w:p>
    <w:p>
      <w:pPr>
        <w:pStyle w:val="3"/>
        <w:keepNext w:val="0"/>
        <w:keepLines w:val="0"/>
        <w:pageBreakBefore w:val="0"/>
        <w:widowControl w:val="0"/>
        <w:kinsoku/>
        <w:wordWrap/>
        <w:overflowPunct/>
        <w:topLinePunct w:val="0"/>
        <w:autoSpaceDE/>
        <w:autoSpaceDN/>
        <w:bidi w:val="0"/>
        <w:adjustRightInd w:val="0"/>
        <w:snapToGrid w:val="0"/>
        <w:spacing w:line="560" w:lineRule="exact"/>
        <w:ind w:left="0" w:leftChars="0" w:firstLine="6720" w:firstLineChars="2100"/>
        <w:textAlignment w:val="auto"/>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单位：万元</w:t>
      </w:r>
    </w:p>
    <w:p>
      <w:pPr>
        <w:rPr>
          <w:rFonts w:hint="eastAsia" w:ascii="Times New Roman" w:hAnsi="Times New Roman" w:eastAsia="仿宋_GB2312" w:cs="仿宋_GB2312"/>
          <w:color w:val="auto"/>
          <w:sz w:val="32"/>
          <w:szCs w:val="32"/>
          <w:highlight w:val="none"/>
          <w:lang w:eastAsia="zh-CN"/>
        </w:rPr>
      </w:pPr>
      <w:r>
        <w:drawing>
          <wp:inline distT="0" distB="0" distL="114300" distR="114300">
            <wp:extent cx="5280660" cy="2740660"/>
            <wp:effectExtent l="4445" t="4445" r="10795"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7" w:name="_Toc15396605"/>
      <w:bookmarkStart w:id="18"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17"/>
      <w:bookmarkEnd w:id="18"/>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2947.67</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1118.06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37.93</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1829.61</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62.07</w:t>
      </w:r>
      <w:r>
        <w:rPr>
          <w:rFonts w:hint="eastAsia" w:ascii="Times New Roman" w:hAnsi="Times New Roman" w:eastAsia="仿宋_GB2312" w:cs="仿宋_GB2312"/>
          <w:color w:val="auto"/>
          <w:sz w:val="32"/>
          <w:szCs w:val="32"/>
          <w:highlight w:val="none"/>
          <w:lang w:eastAsia="zh-CN"/>
        </w:rPr>
        <w:t>%。</w:t>
      </w:r>
      <w:bookmarkStart w:id="19" w:name="_Toc19984"/>
      <w:bookmarkStart w:id="20" w:name="_Toc21875"/>
      <w:bookmarkStart w:id="21" w:name="_Toc29671"/>
      <w:r>
        <w:rPr>
          <w:rFonts w:hint="eastAsia" w:eastAsia="仿宋_GB2312" w:cs="仿宋_GB2312"/>
          <w:color w:val="auto"/>
          <w:sz w:val="32"/>
          <w:szCs w:val="32"/>
          <w:highlight w:val="none"/>
          <w:lang w:val="en-US" w:eastAsia="zh-CN"/>
        </w:rPr>
        <w:t xml:space="preserve">                         </w:t>
      </w:r>
      <w:bookmarkEnd w:id="19"/>
      <w:bookmarkEnd w:id="20"/>
      <w:bookmarkEnd w:id="21"/>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720" w:firstLineChars="2100"/>
        <w:textAlignment w:val="auto"/>
        <w:outlineLvl w:val="1"/>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单位：万元</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仿宋" w:hAnsi="仿宋" w:eastAsia="仿宋" w:cs="Times New Roman"/>
          <w:color w:val="auto"/>
          <w:kern w:val="2"/>
          <w:sz w:val="32"/>
          <w:szCs w:val="32"/>
          <w:highlight w:val="none"/>
          <w:lang w:val="en-US" w:eastAsia="zh-CN" w:bidi="ar-SA"/>
        </w:rPr>
      </w:pPr>
      <w:r>
        <w:drawing>
          <wp:anchor distT="0" distB="0" distL="114300" distR="114300" simplePos="0" relativeHeight="251659264" behindDoc="0" locked="0" layoutInCell="1" allowOverlap="1">
            <wp:simplePos x="0" y="0"/>
            <wp:positionH relativeFrom="column">
              <wp:posOffset>80010</wp:posOffset>
            </wp:positionH>
            <wp:positionV relativeFrom="paragraph">
              <wp:posOffset>33655</wp:posOffset>
            </wp:positionV>
            <wp:extent cx="5171440" cy="2658110"/>
            <wp:effectExtent l="4445" t="4445" r="5715" b="23495"/>
            <wp:wrapSquare wrapText="bothSides"/>
            <wp:docPr id="2767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ind w:firstLine="800" w:firstLineChars="250"/>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31"/>
          <w:rFonts w:ascii="Times New Roman" w:hAnsi="Times New Roman" w:eastAsia="黑体"/>
          <w:b w:val="0"/>
          <w:color w:val="auto"/>
          <w:highlight w:val="none"/>
        </w:rPr>
      </w:pPr>
      <w:bookmarkStart w:id="22" w:name="_Toc15396606"/>
      <w:bookmarkStart w:id="23"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22"/>
      <w:bookmarkEnd w:id="23"/>
    </w:p>
    <w:p>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仿宋" w:hAnsi="仿宋" w:eastAsia="仿宋"/>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财政拨款收入总计2932.07万元，支出总计2932.07万元；与2024年度相比，财政拨款收入减少1881.15万元，下降39.08%；财政拨款支出减少1881.15万元，下降39.08%。主要变动原因是2025年度我镇乡村振兴基础设施项目减少及人员变动。</w:t>
      </w:r>
    </w:p>
    <w:p>
      <w:pPr>
        <w:pStyle w:val="2"/>
        <w:keepNext w:val="0"/>
        <w:keepLines w:val="0"/>
        <w:pageBreakBefore w:val="0"/>
        <w:widowControl w:val="0"/>
        <w:kinsoku/>
        <w:wordWrap/>
        <w:overflowPunct/>
        <w:topLinePunct w:val="0"/>
        <w:autoSpaceDE/>
        <w:autoSpaceDN/>
        <w:bidi w:val="0"/>
        <w:adjustRightInd w:val="0"/>
        <w:snapToGrid w:val="0"/>
        <w:spacing w:line="560" w:lineRule="exact"/>
        <w:ind w:firstLine="6720" w:firstLineChars="2100"/>
        <w:textAlignment w:val="auto"/>
        <w:rPr>
          <w:rFonts w:hint="eastAsia" w:ascii="仿宋" w:hAnsi="仿宋" w:eastAsia="仿宋" w:cs="Times New Roman"/>
          <w:color w:val="auto"/>
          <w:kern w:val="2"/>
          <w:sz w:val="32"/>
          <w:szCs w:val="32"/>
          <w:highlight w:val="none"/>
          <w:lang w:val="en-US" w:eastAsia="zh-CN" w:bidi="ar-SA"/>
        </w:rPr>
      </w:pPr>
      <w:bookmarkStart w:id="24" w:name="_Toc15396607"/>
      <w:bookmarkStart w:id="25" w:name="_Toc15377209"/>
      <w:r>
        <w:rPr>
          <w:rFonts w:hint="eastAsia" w:ascii="仿宋" w:hAnsi="仿宋" w:eastAsia="仿宋" w:cs="Times New Roman"/>
          <w:color w:val="auto"/>
          <w:kern w:val="2"/>
          <w:sz w:val="32"/>
          <w:szCs w:val="32"/>
          <w:highlight w:val="none"/>
          <w:lang w:val="en-US" w:eastAsia="zh-CN" w:bidi="ar-SA"/>
        </w:rPr>
        <w:t>单位：万元</w:t>
      </w:r>
    </w:p>
    <w:p>
      <w:pPr>
        <w:pStyle w:val="3"/>
        <w:ind w:left="0" w:leftChars="0" w:firstLine="0" w:firstLineChars="0"/>
        <w:rPr>
          <w:rFonts w:hint="eastAsia"/>
          <w:lang w:val="en-US" w:eastAsia="zh-CN"/>
        </w:rPr>
      </w:pPr>
      <w:r>
        <w:drawing>
          <wp:inline distT="0" distB="0" distL="114300" distR="114300">
            <wp:extent cx="5307965" cy="3119755"/>
            <wp:effectExtent l="4445" t="4445" r="21590" b="19050"/>
            <wp:docPr id="316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0" w:firstLineChars="200"/>
        <w:outlineLvl w:val="1"/>
        <w:rPr>
          <w:rStyle w:val="31"/>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4"/>
      <w:bookmarkEnd w:id="2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6"/>
    </w:p>
    <w:p>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仿宋" w:hAnsi="仿宋" w:eastAsia="仿宋"/>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2932.07</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99.47</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1881.15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39.08</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一般公共服务支出、</w:t>
      </w:r>
      <w:r>
        <w:rPr>
          <w:rFonts w:hint="eastAsia" w:ascii="仿宋" w:hAnsi="仿宋" w:eastAsia="仿宋"/>
          <w:color w:val="auto"/>
          <w:sz w:val="32"/>
          <w:szCs w:val="32"/>
          <w:highlight w:val="none"/>
        </w:rPr>
        <w:t>文化旅游体育与传媒支出</w:t>
      </w:r>
      <w:r>
        <w:rPr>
          <w:rFonts w:hint="eastAsia" w:ascii="仿宋" w:hAnsi="仿宋" w:eastAsia="仿宋"/>
          <w:color w:val="auto"/>
          <w:sz w:val="32"/>
          <w:szCs w:val="32"/>
          <w:highlight w:val="none"/>
          <w:lang w:eastAsia="zh-CN"/>
        </w:rPr>
        <w:t>、农林水支出</w:t>
      </w:r>
      <w:r>
        <w:rPr>
          <w:rFonts w:hint="eastAsia" w:ascii="仿宋" w:hAnsi="仿宋" w:eastAsia="仿宋"/>
          <w:color w:val="auto"/>
          <w:sz w:val="32"/>
          <w:szCs w:val="32"/>
          <w:highlight w:val="none"/>
          <w:lang w:val="en-US" w:eastAsia="zh-CN"/>
        </w:rPr>
        <w:t>及</w:t>
      </w:r>
      <w:r>
        <w:rPr>
          <w:rFonts w:hint="eastAsia" w:ascii="仿宋" w:hAnsi="仿宋" w:eastAsia="仿宋"/>
          <w:color w:val="auto"/>
          <w:sz w:val="32"/>
          <w:szCs w:val="32"/>
          <w:highlight w:val="none"/>
          <w:lang w:eastAsia="zh-CN"/>
        </w:rPr>
        <w:t>城乡社区支出等支出</w:t>
      </w:r>
      <w:r>
        <w:rPr>
          <w:rFonts w:hint="eastAsia" w:ascii="仿宋" w:hAnsi="仿宋" w:eastAsia="仿宋"/>
          <w:color w:val="auto"/>
          <w:sz w:val="32"/>
          <w:szCs w:val="32"/>
          <w:highlight w:val="none"/>
          <w:lang w:val="en-US" w:eastAsia="zh-CN"/>
        </w:rPr>
        <w:t>减少。</w:t>
      </w:r>
    </w:p>
    <w:p>
      <w:pPr>
        <w:spacing w:line="600" w:lineRule="exact"/>
        <w:ind w:firstLine="6726" w:firstLineChars="2102"/>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单位：万元</w:t>
      </w:r>
    </w:p>
    <w:p>
      <w:pPr>
        <w:pStyle w:val="2"/>
        <w:rPr>
          <w:rFonts w:hint="eastAsia"/>
          <w:lang w:val="en-US" w:eastAsia="zh-CN"/>
        </w:rPr>
      </w:pPr>
      <w:r>
        <w:drawing>
          <wp:inline distT="0" distB="0" distL="114300" distR="114300">
            <wp:extent cx="5259070" cy="2202815"/>
            <wp:effectExtent l="4445" t="4445" r="13335" b="21590"/>
            <wp:docPr id="7220" name="图表 1" descr="7b0a202020202263686172745265734964223a202234363639383833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7"/>
    </w:p>
    <w:p>
      <w:p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2025年度一般公共预算财政拨款支出2932.07万元，主要用于以下方面:</w:t>
      </w:r>
      <w:r>
        <w:rPr>
          <w:rFonts w:hint="eastAsia" w:eastAsia="仿宋_GB2312" w:cs="仿宋_GB2312"/>
          <w:b/>
          <w:bCs/>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784.2万元，占26.75%；</w:t>
      </w:r>
      <w:r>
        <w:rPr>
          <w:rFonts w:hint="eastAsia" w:eastAsia="仿宋_GB2312" w:cs="仿宋_GB2312"/>
          <w:b/>
          <w:bCs/>
          <w:color w:val="auto"/>
          <w:kern w:val="2"/>
          <w:sz w:val="32"/>
          <w:szCs w:val="32"/>
          <w:highlight w:val="none"/>
          <w:lang w:val="en-US" w:eastAsia="zh-CN" w:bidi="ar-SA"/>
        </w:rPr>
        <w:t>国防支出</w:t>
      </w:r>
      <w:r>
        <w:rPr>
          <w:rFonts w:hint="eastAsia" w:eastAsia="仿宋_GB2312" w:cs="仿宋_GB2312"/>
          <w:color w:val="auto"/>
          <w:kern w:val="2"/>
          <w:sz w:val="32"/>
          <w:szCs w:val="32"/>
          <w:highlight w:val="none"/>
          <w:lang w:val="en-US" w:eastAsia="zh-CN" w:bidi="ar-SA"/>
        </w:rPr>
        <w:t>5万元，占0.17%；</w:t>
      </w:r>
      <w:r>
        <w:rPr>
          <w:rFonts w:hint="eastAsia" w:eastAsia="仿宋_GB2312" w:cs="仿宋_GB2312"/>
          <w:b/>
          <w:bCs/>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0.31万元，占0.01%；</w:t>
      </w:r>
      <w:r>
        <w:rPr>
          <w:rFonts w:hint="eastAsia" w:eastAsia="仿宋_GB2312" w:cs="仿宋_GB2312"/>
          <w:b/>
          <w:bCs/>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146.46万元，占5%；</w:t>
      </w:r>
      <w:r>
        <w:rPr>
          <w:rFonts w:hint="eastAsia" w:eastAsia="仿宋_GB2312" w:cs="仿宋_GB2312"/>
          <w:b/>
          <w:bCs/>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55.55万元，占1.89%；</w:t>
      </w:r>
      <w:r>
        <w:rPr>
          <w:rFonts w:hint="eastAsia" w:eastAsia="仿宋_GB2312" w:cs="仿宋_GB2312"/>
          <w:b/>
          <w:bCs/>
          <w:color w:val="auto"/>
          <w:kern w:val="2"/>
          <w:sz w:val="32"/>
          <w:szCs w:val="32"/>
          <w:highlight w:val="none"/>
          <w:lang w:val="en-US" w:eastAsia="zh-CN" w:bidi="ar-SA"/>
        </w:rPr>
        <w:t>农林水支出</w:t>
      </w:r>
      <w:r>
        <w:rPr>
          <w:rFonts w:hint="eastAsia" w:eastAsia="仿宋_GB2312" w:cs="仿宋_GB2312"/>
          <w:color w:val="auto"/>
          <w:kern w:val="2"/>
          <w:sz w:val="32"/>
          <w:szCs w:val="32"/>
          <w:highlight w:val="none"/>
          <w:lang w:val="en-US" w:eastAsia="zh-CN" w:bidi="ar-SA"/>
        </w:rPr>
        <w:t>1852.94万元，占63.2%；</w:t>
      </w:r>
      <w:r>
        <w:rPr>
          <w:rFonts w:hint="eastAsia" w:eastAsia="仿宋_GB2312" w:cs="仿宋_GB2312"/>
          <w:b/>
          <w:bCs/>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81.59万元，占2.78%；</w:t>
      </w:r>
      <w:r>
        <w:rPr>
          <w:rFonts w:hint="eastAsia" w:eastAsia="仿宋_GB2312" w:cs="仿宋_GB2312"/>
          <w:b/>
          <w:bCs/>
          <w:color w:val="auto"/>
          <w:kern w:val="2"/>
          <w:sz w:val="32"/>
          <w:szCs w:val="32"/>
          <w:highlight w:val="none"/>
          <w:lang w:val="en-US" w:eastAsia="zh-CN" w:bidi="ar-SA"/>
        </w:rPr>
        <w:t>灾害防治及应急管理支出</w:t>
      </w:r>
      <w:r>
        <w:rPr>
          <w:rFonts w:hint="eastAsia" w:eastAsia="仿宋_GB2312" w:cs="仿宋_GB2312"/>
          <w:color w:val="auto"/>
          <w:kern w:val="2"/>
          <w:sz w:val="32"/>
          <w:szCs w:val="32"/>
          <w:highlight w:val="none"/>
          <w:lang w:val="en-US" w:eastAsia="zh-CN" w:bidi="ar-SA"/>
        </w:rPr>
        <w:t>6.02万元，占0.2%。</w:t>
      </w:r>
    </w:p>
    <w:p>
      <w:pPr>
        <w:spacing w:line="600" w:lineRule="exact"/>
        <w:ind w:firstLine="6726" w:firstLineChars="2102"/>
        <w:rPr>
          <w:rFonts w:hint="eastAsia" w:ascii="仿宋" w:hAnsi="仿宋" w:eastAsia="仿宋"/>
          <w:b w:val="0"/>
          <w:bCs/>
          <w:color w:val="auto"/>
          <w:sz w:val="32"/>
          <w:szCs w:val="32"/>
          <w:highlight w:val="none"/>
          <w:lang w:val="en-US" w:eastAsia="zh-CN"/>
        </w:rPr>
      </w:pPr>
      <w:r>
        <w:rPr>
          <w:rFonts w:hint="eastAsia" w:ascii="仿宋" w:hAnsi="仿宋" w:eastAsia="仿宋"/>
          <w:b w:val="0"/>
          <w:bCs/>
          <w:color w:val="auto"/>
          <w:sz w:val="32"/>
          <w:szCs w:val="32"/>
          <w:highlight w:val="none"/>
          <w:lang w:val="en-US" w:eastAsia="zh-CN"/>
        </w:rPr>
        <w:t>单位：万元</w:t>
      </w:r>
    </w:p>
    <w:p>
      <w:pPr>
        <w:pStyle w:val="2"/>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5262880" cy="2631440"/>
            <wp:effectExtent l="4445" t="4445" r="9525" b="12065"/>
            <wp:docPr id="619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8"/>
    </w:p>
    <w:p>
      <w:pPr>
        <w:keepNext w:val="0"/>
        <w:keepLines w:val="0"/>
        <w:pageBreakBefore w:val="0"/>
        <w:widowControl w:val="0"/>
        <w:kinsoku/>
        <w:wordWrap/>
        <w:overflowPunct/>
        <w:topLinePunct w:val="0"/>
        <w:bidi w:val="0"/>
        <w:spacing w:line="600" w:lineRule="exact"/>
        <w:ind w:firstLine="642" w:firstLineChars="200"/>
        <w:jc w:val="both"/>
        <w:textAlignment w:val="auto"/>
        <w:outlineLvl w:val="2"/>
        <w:rPr>
          <w:rFonts w:ascii="仿宋" w:hAnsi="仿宋" w:eastAsia="仿宋"/>
          <w:b w:val="0"/>
          <w:bCs/>
          <w:color w:val="auto"/>
          <w:sz w:val="32"/>
          <w:szCs w:val="32"/>
          <w:highlight w:val="none"/>
        </w:rPr>
      </w:pPr>
      <w:bookmarkStart w:id="29" w:name="_Toc15377213"/>
      <w:bookmarkStart w:id="30" w:name="_Toc15378460"/>
      <w:bookmarkStart w:id="31" w:name="_Toc15377444"/>
      <w:r>
        <w:rPr>
          <w:rFonts w:hint="eastAsia" w:ascii="仿宋" w:hAnsi="仿宋" w:eastAsia="仿宋"/>
          <w:b/>
          <w:color w:val="auto"/>
          <w:sz w:val="32"/>
          <w:szCs w:val="32"/>
          <w:highlight w:val="none"/>
          <w:lang w:val="en-US" w:eastAsia="zh-CN"/>
        </w:rPr>
        <w:t>2025</w:t>
      </w:r>
      <w:r>
        <w:rPr>
          <w:rFonts w:hint="eastAsia" w:ascii="仿宋" w:hAnsi="仿宋" w:eastAsia="仿宋"/>
          <w:b w:val="0"/>
          <w:bCs/>
          <w:color w:val="auto"/>
          <w:sz w:val="32"/>
          <w:szCs w:val="32"/>
          <w:highlight w:val="none"/>
        </w:rPr>
        <w:t>年</w:t>
      </w:r>
      <w:r>
        <w:rPr>
          <w:rFonts w:hint="eastAsia" w:ascii="仿宋" w:hAnsi="仿宋" w:eastAsia="仿宋"/>
          <w:b w:val="0"/>
          <w:bCs/>
          <w:color w:val="auto"/>
          <w:sz w:val="32"/>
          <w:szCs w:val="32"/>
          <w:highlight w:val="none"/>
          <w:lang w:eastAsia="zh-CN"/>
        </w:rPr>
        <w:t>度一</w:t>
      </w:r>
      <w:r>
        <w:rPr>
          <w:rFonts w:hint="eastAsia" w:ascii="仿宋" w:hAnsi="仿宋" w:eastAsia="仿宋"/>
          <w:b w:val="0"/>
          <w:bCs/>
          <w:color w:val="auto"/>
          <w:sz w:val="32"/>
          <w:szCs w:val="32"/>
          <w:highlight w:val="none"/>
        </w:rPr>
        <w:t>般公共预算</w:t>
      </w:r>
      <w:r>
        <w:rPr>
          <w:rFonts w:hint="eastAsia" w:ascii="仿宋" w:hAnsi="仿宋" w:eastAsia="仿宋"/>
          <w:b w:val="0"/>
          <w:bCs/>
          <w:color w:val="auto"/>
          <w:sz w:val="32"/>
          <w:szCs w:val="32"/>
          <w:highlight w:val="none"/>
          <w:lang w:val="en-US" w:eastAsia="zh-CN"/>
        </w:rPr>
        <w:t>财政拨款</w:t>
      </w:r>
      <w:r>
        <w:rPr>
          <w:rFonts w:hint="eastAsia" w:ascii="仿宋" w:hAnsi="仿宋" w:eastAsia="仿宋"/>
          <w:b w:val="0"/>
          <w:bCs/>
          <w:color w:val="auto"/>
          <w:sz w:val="32"/>
          <w:szCs w:val="32"/>
          <w:highlight w:val="none"/>
        </w:rPr>
        <w:t>支出决算数为</w:t>
      </w:r>
      <w:r>
        <w:rPr>
          <w:rFonts w:hint="eastAsia" w:ascii="仿宋" w:hAnsi="仿宋" w:eastAsia="仿宋"/>
          <w:b w:val="0"/>
          <w:bCs/>
          <w:color w:val="auto"/>
          <w:sz w:val="32"/>
          <w:szCs w:val="32"/>
          <w:highlight w:val="none"/>
          <w:lang w:val="en-US" w:eastAsia="zh-CN"/>
        </w:rPr>
        <w:t>2932.07万元</w:t>
      </w:r>
      <w:r>
        <w:rPr>
          <w:rFonts w:hint="eastAsia"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。其中：</w:t>
      </w:r>
    </w:p>
    <w:p>
      <w:pPr>
        <w:keepNext w:val="0"/>
        <w:keepLines w:val="0"/>
        <w:pageBreakBefore w:val="0"/>
        <w:widowControl w:val="0"/>
        <w:numPr>
          <w:ilvl w:val="0"/>
          <w:numId w:val="0"/>
        </w:numPr>
        <w:kinsoku/>
        <w:wordWrap/>
        <w:overflowPunct/>
        <w:topLinePunct w:val="0"/>
        <w:bidi w:val="0"/>
        <w:spacing w:line="600" w:lineRule="exact"/>
        <w:ind w:firstLine="642" w:firstLineChars="200"/>
        <w:jc w:val="both"/>
        <w:textAlignment w:val="auto"/>
        <w:rPr>
          <w:rStyle w:val="19"/>
          <w:rFonts w:hint="eastAsia" w:ascii="仿宋" w:hAnsi="仿宋" w:eastAsia="仿宋" w:cs="仿宋"/>
          <w:b w:val="0"/>
          <w:bCs/>
          <w:color w:val="auto"/>
          <w:sz w:val="32"/>
          <w:szCs w:val="32"/>
          <w:highlight w:val="none"/>
        </w:rPr>
      </w:pPr>
      <w:r>
        <w:rPr>
          <w:rStyle w:val="19"/>
          <w:rFonts w:hint="eastAsia" w:ascii="仿宋" w:hAnsi="仿宋" w:eastAsia="仿宋"/>
          <w:bCs/>
          <w:color w:val="auto"/>
          <w:sz w:val="32"/>
          <w:szCs w:val="32"/>
          <w:highlight w:val="none"/>
          <w:lang w:val="en-US" w:eastAsia="zh-CN"/>
        </w:rPr>
        <w:t>1.</w:t>
      </w:r>
      <w:r>
        <w:rPr>
          <w:rStyle w:val="19"/>
          <w:rFonts w:hint="eastAsia" w:ascii="仿宋" w:hAnsi="仿宋" w:eastAsia="仿宋"/>
          <w:bCs/>
          <w:color w:val="auto"/>
          <w:sz w:val="32"/>
          <w:szCs w:val="32"/>
          <w:highlight w:val="none"/>
        </w:rPr>
        <w:t>一般公共服务（</w:t>
      </w:r>
      <w:r>
        <w:rPr>
          <w:rStyle w:val="19"/>
          <w:rFonts w:hint="eastAsia" w:ascii="仿宋" w:hAnsi="仿宋" w:eastAsia="仿宋"/>
          <w:bCs/>
          <w:color w:val="auto"/>
          <w:sz w:val="32"/>
          <w:szCs w:val="32"/>
          <w:highlight w:val="none"/>
          <w:lang w:val="en-US" w:eastAsia="zh-CN"/>
        </w:rPr>
        <w:t>201</w:t>
      </w:r>
      <w:r>
        <w:rPr>
          <w:rStyle w:val="19"/>
          <w:rFonts w:hint="eastAsia" w:ascii="仿宋" w:hAnsi="仿宋" w:eastAsia="仿宋"/>
          <w:bCs/>
          <w:color w:val="auto"/>
          <w:sz w:val="32"/>
          <w:szCs w:val="32"/>
          <w:highlight w:val="none"/>
        </w:rPr>
        <w:t>类）</w:t>
      </w:r>
      <w:r>
        <w:rPr>
          <w:rStyle w:val="19"/>
          <w:rFonts w:hint="eastAsia" w:ascii="仿宋" w:hAnsi="仿宋" w:eastAsia="仿宋"/>
          <w:bCs/>
          <w:color w:val="auto"/>
          <w:sz w:val="32"/>
          <w:szCs w:val="32"/>
          <w:highlight w:val="none"/>
          <w:lang w:eastAsia="zh-CN"/>
        </w:rPr>
        <w:t>人大事务</w:t>
      </w:r>
      <w:r>
        <w:rPr>
          <w:rStyle w:val="19"/>
          <w:rFonts w:hint="eastAsia" w:ascii="仿宋" w:hAnsi="仿宋" w:eastAsia="仿宋"/>
          <w:bCs/>
          <w:color w:val="auto"/>
          <w:sz w:val="32"/>
          <w:szCs w:val="32"/>
          <w:highlight w:val="none"/>
        </w:rPr>
        <w:t>（</w:t>
      </w:r>
      <w:r>
        <w:rPr>
          <w:rStyle w:val="19"/>
          <w:rFonts w:hint="eastAsia" w:ascii="仿宋" w:hAnsi="仿宋" w:eastAsia="仿宋"/>
          <w:bCs/>
          <w:color w:val="auto"/>
          <w:sz w:val="32"/>
          <w:szCs w:val="32"/>
          <w:highlight w:val="none"/>
          <w:lang w:val="en-US" w:eastAsia="zh-CN"/>
        </w:rPr>
        <w:t>01</w:t>
      </w:r>
      <w:r>
        <w:rPr>
          <w:rStyle w:val="19"/>
          <w:rFonts w:hint="eastAsia" w:ascii="仿宋" w:hAnsi="仿宋" w:eastAsia="仿宋"/>
          <w:bCs/>
          <w:color w:val="auto"/>
          <w:sz w:val="32"/>
          <w:szCs w:val="32"/>
          <w:highlight w:val="none"/>
        </w:rPr>
        <w:t>款）</w:t>
      </w:r>
      <w:r>
        <w:rPr>
          <w:rStyle w:val="19"/>
          <w:rFonts w:hint="eastAsia" w:ascii="仿宋" w:hAnsi="仿宋" w:eastAsia="仿宋"/>
          <w:bCs/>
          <w:color w:val="auto"/>
          <w:sz w:val="32"/>
          <w:szCs w:val="32"/>
          <w:highlight w:val="none"/>
          <w:lang w:eastAsia="zh-CN"/>
        </w:rPr>
        <w:t>人大会议</w:t>
      </w:r>
      <w:r>
        <w:rPr>
          <w:rStyle w:val="19"/>
          <w:rFonts w:hint="eastAsia" w:ascii="仿宋" w:hAnsi="仿宋" w:eastAsia="仿宋"/>
          <w:bCs/>
          <w:color w:val="auto"/>
          <w:sz w:val="32"/>
          <w:szCs w:val="32"/>
          <w:highlight w:val="none"/>
        </w:rPr>
        <w:t>（</w:t>
      </w:r>
      <w:r>
        <w:rPr>
          <w:rStyle w:val="19"/>
          <w:rFonts w:hint="eastAsia" w:ascii="仿宋" w:hAnsi="仿宋" w:eastAsia="仿宋"/>
          <w:bCs/>
          <w:color w:val="auto"/>
          <w:sz w:val="32"/>
          <w:szCs w:val="32"/>
          <w:highlight w:val="none"/>
          <w:lang w:val="en-US" w:eastAsia="zh-CN"/>
        </w:rPr>
        <w:t>04</w:t>
      </w:r>
      <w:r>
        <w:rPr>
          <w:rStyle w:val="19"/>
          <w:rFonts w:hint="eastAsia" w:ascii="仿宋" w:hAnsi="仿宋" w:eastAsia="仿宋"/>
          <w:bCs/>
          <w:color w:val="auto"/>
          <w:sz w:val="32"/>
          <w:szCs w:val="32"/>
          <w:highlight w:val="none"/>
        </w:rPr>
        <w:t>项）</w:t>
      </w:r>
      <w:r>
        <w:rPr>
          <w:rStyle w:val="19"/>
          <w:rFonts w:ascii="仿宋" w:hAnsi="仿宋" w:eastAsia="仿宋"/>
          <w:bCs/>
          <w:color w:val="auto"/>
          <w:sz w:val="32"/>
          <w:szCs w:val="32"/>
          <w:highlight w:val="none"/>
        </w:rPr>
        <w:t>:</w:t>
      </w:r>
      <w:r>
        <w:rPr>
          <w:rStyle w:val="19"/>
          <w:rFonts w:ascii="仿宋" w:hAnsi="仿宋" w:eastAsia="仿宋"/>
          <w:b w:val="0"/>
          <w:bCs/>
          <w:color w:val="auto"/>
          <w:sz w:val="32"/>
          <w:szCs w:val="32"/>
          <w:highlight w:val="none"/>
        </w:rPr>
        <w:t xml:space="preserve"> </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2.99</w:t>
      </w:r>
      <w:r>
        <w:rPr>
          <w:rStyle w:val="19"/>
          <w:rFonts w:hint="eastAsia" w:ascii="仿宋" w:hAnsi="仿宋" w:eastAsia="仿宋"/>
          <w:b w:val="0"/>
          <w:bCs/>
          <w:color w:val="auto"/>
          <w:sz w:val="32"/>
          <w:szCs w:val="32"/>
          <w:highlight w:val="none"/>
        </w:rPr>
        <w:t>万元，完成预算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r>
        <w:rPr>
          <w:rStyle w:val="19"/>
          <w:rFonts w:hint="eastAsia" w:ascii="仿宋" w:hAnsi="仿宋" w:eastAsia="仿宋" w:cs="仿宋"/>
          <w:b w:val="0"/>
          <w:bCs/>
          <w:color w:val="auto"/>
          <w:sz w:val="32"/>
          <w:szCs w:val="32"/>
          <w:highlight w:val="none"/>
        </w:rPr>
        <w:t>。</w:t>
      </w:r>
    </w:p>
    <w:p>
      <w:pPr>
        <w:pStyle w:val="28"/>
        <w:keepNext w:val="0"/>
        <w:keepLines w:val="0"/>
        <w:pageBreakBefore w:val="0"/>
        <w:widowControl w:val="0"/>
        <w:kinsoku/>
        <w:wordWrap/>
        <w:overflowPunct/>
        <w:topLinePunct w:val="0"/>
        <w:bidi w:val="0"/>
        <w:snapToGrid/>
        <w:spacing w:line="600" w:lineRule="exact"/>
        <w:ind w:firstLine="640"/>
        <w:jc w:val="both"/>
        <w:textAlignment w:val="auto"/>
        <w:rPr>
          <w:rStyle w:val="19"/>
          <w:rFonts w:hint="default" w:ascii="仿宋" w:hAnsi="仿宋" w:eastAsia="仿宋" w:cs="仿宋"/>
          <w:b w:val="0"/>
          <w:bCs/>
          <w:color w:val="000000" w:themeColor="text1"/>
          <w:sz w:val="32"/>
          <w:szCs w:val="32"/>
          <w:highlight w:val="none"/>
          <w:lang w:val="en-US" w:eastAsia="zh-CN"/>
          <w14:textFill>
            <w14:solidFill>
              <w14:schemeClr w14:val="tx1"/>
            </w14:solidFill>
          </w14:textFill>
        </w:rPr>
      </w:pPr>
      <w:r>
        <w:rPr>
          <w:rStyle w:val="19"/>
          <w:rFonts w:hint="eastAsia" w:ascii="仿宋" w:hAnsi="仿宋" w:eastAsia="仿宋" w:cs="Times New Roman"/>
          <w:bCs/>
          <w:color w:val="auto"/>
          <w:sz w:val="32"/>
          <w:szCs w:val="32"/>
          <w:highlight w:val="none"/>
          <w:lang w:eastAsia="zh-CN"/>
        </w:rPr>
        <w:t>政府办公厅（室）及相关机构事务（</w:t>
      </w:r>
      <w:r>
        <w:rPr>
          <w:rStyle w:val="19"/>
          <w:rFonts w:hint="eastAsia" w:ascii="仿宋" w:hAnsi="仿宋" w:eastAsia="仿宋" w:cs="Times New Roman"/>
          <w:bCs/>
          <w:color w:val="auto"/>
          <w:sz w:val="32"/>
          <w:szCs w:val="32"/>
          <w:highlight w:val="none"/>
          <w:lang w:val="en-US" w:eastAsia="zh-CN"/>
        </w:rPr>
        <w:t>03款</w:t>
      </w:r>
      <w:r>
        <w:rPr>
          <w:rStyle w:val="19"/>
          <w:rFonts w:hint="eastAsia" w:ascii="仿宋" w:hAnsi="仿宋" w:eastAsia="仿宋" w:cs="Times New Roman"/>
          <w:bCs/>
          <w:color w:val="auto"/>
          <w:sz w:val="32"/>
          <w:szCs w:val="32"/>
          <w:highlight w:val="none"/>
          <w:lang w:eastAsia="zh-CN"/>
        </w:rPr>
        <w:t>）行政运行（</w:t>
      </w:r>
      <w:r>
        <w:rPr>
          <w:rStyle w:val="19"/>
          <w:rFonts w:hint="eastAsia" w:ascii="仿宋" w:hAnsi="仿宋" w:eastAsia="仿宋" w:cs="Times New Roman"/>
          <w:bCs/>
          <w:color w:val="auto"/>
          <w:sz w:val="32"/>
          <w:szCs w:val="32"/>
          <w:highlight w:val="none"/>
          <w:lang w:val="en-US" w:eastAsia="zh-CN"/>
        </w:rPr>
        <w:t>01项</w:t>
      </w:r>
      <w:r>
        <w:rPr>
          <w:rStyle w:val="19"/>
          <w:rFonts w:hint="eastAsia" w:ascii="仿宋" w:hAnsi="仿宋" w:eastAsia="仿宋" w:cs="Times New Roman"/>
          <w:bCs/>
          <w:color w:val="auto"/>
          <w:sz w:val="32"/>
          <w:szCs w:val="32"/>
          <w:highlight w:val="none"/>
          <w:lang w:eastAsia="zh-CN"/>
        </w:rPr>
        <w:t>）：</w:t>
      </w:r>
      <w:r>
        <w:rPr>
          <w:rStyle w:val="19"/>
          <w:rFonts w:hint="eastAsia" w:ascii="仿宋" w:hAnsi="仿宋" w:eastAsia="仿宋"/>
          <w:b w:val="0"/>
          <w:bCs/>
          <w:color w:val="auto"/>
          <w:sz w:val="32"/>
          <w:szCs w:val="32"/>
          <w:highlight w:val="none"/>
        </w:rPr>
        <w:t>支出决算为</w:t>
      </w:r>
      <w:r>
        <w:rPr>
          <w:rStyle w:val="19"/>
          <w:rFonts w:hint="eastAsia" w:hAnsi="仿宋"/>
          <w:b w:val="0"/>
          <w:bCs/>
          <w:color w:val="auto"/>
          <w:sz w:val="32"/>
          <w:szCs w:val="32"/>
          <w:highlight w:val="none"/>
          <w:lang w:val="en-US" w:eastAsia="zh-CN"/>
        </w:rPr>
        <w:t>471.31</w:t>
      </w:r>
      <w:r>
        <w:rPr>
          <w:rStyle w:val="19"/>
          <w:rFonts w:hint="eastAsia" w:ascii="仿宋" w:hAnsi="仿宋" w:eastAsia="仿宋"/>
          <w:b w:val="0"/>
          <w:bCs/>
          <w:color w:val="auto"/>
          <w:sz w:val="32"/>
          <w:szCs w:val="32"/>
          <w:highlight w:val="none"/>
        </w:rPr>
        <w:t>万元，完成预算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r>
        <w:rPr>
          <w:rStyle w:val="19"/>
          <w:rFonts w:hint="eastAsia" w:ascii="仿宋" w:hAnsi="仿宋" w:eastAsia="仿宋" w:cs="仿宋"/>
          <w:b w:val="0"/>
          <w:bCs/>
          <w:color w:val="auto"/>
          <w:sz w:val="32"/>
          <w:szCs w:val="32"/>
          <w:highlight w:val="none"/>
        </w:rPr>
        <w:t>。</w:t>
      </w:r>
      <w:r>
        <w:rPr>
          <w:rStyle w:val="19"/>
          <w:rFonts w:hint="eastAsia" w:ascii="仿宋" w:hAnsi="仿宋" w:eastAsia="仿宋" w:cs="仿宋"/>
          <w:b/>
          <w:bCs w:val="0"/>
          <w:color w:val="000000"/>
          <w:sz w:val="32"/>
          <w:szCs w:val="32"/>
          <w:highlight w:val="none"/>
          <w:lang w:val="en-US" w:eastAsia="zh-CN"/>
        </w:rPr>
        <w:t>一般行政管理事务（02项）：</w:t>
      </w:r>
      <w:r>
        <w:rPr>
          <w:rStyle w:val="19"/>
          <w:rFonts w:hint="eastAsia" w:ascii="仿宋" w:hAnsi="仿宋" w:eastAsia="仿宋" w:cs="仿宋"/>
          <w:b w:val="0"/>
          <w:bCs/>
          <w:color w:val="auto"/>
          <w:sz w:val="32"/>
          <w:szCs w:val="32"/>
          <w:highlight w:val="none"/>
          <w:lang w:eastAsia="zh-CN"/>
        </w:rPr>
        <w:t>支出</w:t>
      </w:r>
      <w:r>
        <w:rPr>
          <w:rStyle w:val="19"/>
          <w:rFonts w:hint="eastAsia" w:ascii="仿宋" w:hAnsi="仿宋" w:eastAsia="仿宋" w:cs="仿宋"/>
          <w:b w:val="0"/>
          <w:bCs/>
          <w:color w:val="auto"/>
          <w:sz w:val="32"/>
          <w:szCs w:val="32"/>
          <w:highlight w:val="none"/>
        </w:rPr>
        <w:t>决算为</w:t>
      </w:r>
      <w:r>
        <w:rPr>
          <w:rStyle w:val="19"/>
          <w:rFonts w:hint="eastAsia" w:hAnsi="仿宋" w:cs="Times New Roman"/>
          <w:b w:val="0"/>
          <w:bCs/>
          <w:color w:val="auto"/>
          <w:sz w:val="32"/>
          <w:szCs w:val="32"/>
          <w:highlight w:val="none"/>
          <w:lang w:val="en-US" w:eastAsia="zh-CN"/>
        </w:rPr>
        <w:t>185.49</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r>
        <w:rPr>
          <w:rStyle w:val="19"/>
          <w:rFonts w:hint="eastAsia" w:hAnsi="仿宋" w:cs="仿宋"/>
          <w:b w:val="0"/>
          <w:bCs/>
          <w:color w:val="auto"/>
          <w:sz w:val="32"/>
          <w:szCs w:val="32"/>
          <w:highlight w:val="none"/>
          <w:lang w:eastAsia="zh-CN"/>
        </w:rPr>
        <w:t>；</w:t>
      </w:r>
      <w:r>
        <w:rPr>
          <w:rStyle w:val="19"/>
          <w:rFonts w:hint="eastAsia" w:ascii="仿宋" w:hAnsi="仿宋" w:eastAsia="仿宋" w:cs="仿宋"/>
          <w:b/>
          <w:bCs w:val="0"/>
          <w:color w:val="000000"/>
          <w:sz w:val="32"/>
          <w:szCs w:val="32"/>
          <w:highlight w:val="none"/>
          <w:lang w:val="en-US" w:eastAsia="zh-CN"/>
        </w:rPr>
        <w:t>其他政府办公厅（室）及相关机构事务支出（99项）</w:t>
      </w:r>
      <w:r>
        <w:rPr>
          <w:rStyle w:val="19"/>
          <w:rFonts w:hint="eastAsia" w:ascii="仿宋" w:hAnsi="仿宋" w:eastAsia="仿宋" w:cs="仿宋"/>
          <w:b/>
          <w:bCs w:val="0"/>
          <w:color w:val="000000"/>
          <w:sz w:val="32"/>
          <w:szCs w:val="32"/>
          <w:highlight w:val="none"/>
          <w:lang w:eastAsia="zh-CN"/>
        </w:rPr>
        <w:t>：</w:t>
      </w:r>
      <w:r>
        <w:rPr>
          <w:rStyle w:val="19"/>
          <w:rFonts w:hint="eastAsia" w:ascii="仿宋" w:hAnsi="仿宋" w:eastAsia="仿宋" w:cs="仿宋"/>
          <w:b w:val="0"/>
          <w:bCs/>
          <w:color w:val="000000" w:themeColor="text1"/>
          <w:sz w:val="32"/>
          <w:szCs w:val="32"/>
          <w:highlight w:val="none"/>
          <w:lang w:eastAsia="zh-CN"/>
          <w14:textFill>
            <w14:solidFill>
              <w14:schemeClr w14:val="tx1"/>
            </w14:solidFill>
          </w14:textFill>
        </w:rPr>
        <w:t>支出决算为</w:t>
      </w:r>
      <w:r>
        <w:rPr>
          <w:rStyle w:val="19"/>
          <w:rFonts w:hint="eastAsia" w:hAnsi="仿宋" w:cs="仿宋"/>
          <w:b w:val="0"/>
          <w:bCs/>
          <w:color w:val="000000" w:themeColor="text1"/>
          <w:sz w:val="32"/>
          <w:szCs w:val="32"/>
          <w:highlight w:val="none"/>
          <w:lang w:val="en-US" w:eastAsia="zh-CN"/>
          <w14:textFill>
            <w14:solidFill>
              <w14:schemeClr w14:val="tx1"/>
            </w14:solidFill>
          </w14:textFill>
        </w:rPr>
        <w:t>83.32</w:t>
      </w:r>
      <w:r>
        <w:rPr>
          <w:rStyle w:val="19"/>
          <w:rFonts w:hint="eastAsia" w:ascii="仿宋" w:hAnsi="仿宋" w:eastAsia="仿宋" w:cs="仿宋"/>
          <w:b w:val="0"/>
          <w:bCs/>
          <w:color w:val="000000" w:themeColor="text1"/>
          <w:sz w:val="32"/>
          <w:szCs w:val="32"/>
          <w:highlight w:val="none"/>
          <w:lang w:val="en-US" w:eastAsia="zh-CN"/>
          <w14:textFill>
            <w14:solidFill>
              <w14:schemeClr w14:val="tx1"/>
            </w14:solidFill>
          </w14:textFill>
        </w:rPr>
        <w:t>万元，</w:t>
      </w:r>
      <w:r>
        <w:rPr>
          <w:rStyle w:val="19"/>
          <w:rFonts w:hint="eastAsia" w:ascii="仿宋" w:hAnsi="仿宋" w:eastAsia="仿宋" w:cs="仿宋"/>
          <w:b w:val="0"/>
          <w:bCs/>
          <w:color w:val="000000" w:themeColor="text1"/>
          <w:sz w:val="32"/>
          <w:szCs w:val="32"/>
          <w:highlight w:val="none"/>
          <w14:textFill>
            <w14:solidFill>
              <w14:schemeClr w14:val="tx1"/>
            </w14:solidFill>
          </w14:textFill>
        </w:rPr>
        <w:t>完成预算</w:t>
      </w:r>
      <w:r>
        <w:rPr>
          <w:rStyle w:val="19"/>
          <w:rFonts w:hint="eastAsia" w:ascii="仿宋" w:hAnsi="仿宋" w:eastAsia="仿宋" w:cs="仿宋"/>
          <w:b w:val="0"/>
          <w:bCs/>
          <w:color w:val="000000" w:themeColor="text1"/>
          <w:sz w:val="32"/>
          <w:szCs w:val="32"/>
          <w:highlight w:val="none"/>
          <w:lang w:val="en-US" w:eastAsia="zh-CN"/>
          <w14:textFill>
            <w14:solidFill>
              <w14:schemeClr w14:val="tx1"/>
            </w14:solidFill>
          </w14:textFill>
        </w:rPr>
        <w:t>100</w:t>
      </w:r>
      <w:r>
        <w:rPr>
          <w:rStyle w:val="19"/>
          <w:rFonts w:hint="eastAsia" w:ascii="仿宋" w:hAnsi="仿宋" w:eastAsia="仿宋" w:cs="仿宋"/>
          <w:b w:val="0"/>
          <w:bCs/>
          <w:color w:val="000000" w:themeColor="text1"/>
          <w:sz w:val="32"/>
          <w:szCs w:val="32"/>
          <w:highlight w:val="none"/>
          <w14:textFill>
            <w14:solidFill>
              <w14:schemeClr w14:val="tx1"/>
            </w14:solidFill>
          </w14:textFill>
        </w:rPr>
        <w:t>%，决算数</w:t>
      </w:r>
      <w:r>
        <w:rPr>
          <w:rStyle w:val="19"/>
          <w:rFonts w:hint="eastAsia" w:ascii="仿宋" w:hAnsi="仿宋" w:eastAsia="仿宋" w:cs="仿宋"/>
          <w:b w:val="0"/>
          <w:bCs/>
          <w:color w:val="000000" w:themeColor="text1"/>
          <w:sz w:val="32"/>
          <w:szCs w:val="32"/>
          <w:highlight w:val="none"/>
          <w:lang w:eastAsia="zh-CN"/>
          <w14:textFill>
            <w14:solidFill>
              <w14:schemeClr w14:val="tx1"/>
            </w14:solidFill>
          </w14:textFill>
        </w:rPr>
        <w:t>与</w:t>
      </w:r>
      <w:r>
        <w:rPr>
          <w:rStyle w:val="19"/>
          <w:rFonts w:hint="eastAsia" w:ascii="仿宋" w:hAnsi="仿宋" w:eastAsia="仿宋" w:cs="仿宋"/>
          <w:b w:val="0"/>
          <w:bCs/>
          <w:color w:val="000000" w:themeColor="text1"/>
          <w:sz w:val="32"/>
          <w:szCs w:val="32"/>
          <w:highlight w:val="none"/>
          <w14:textFill>
            <w14:solidFill>
              <w14:schemeClr w14:val="tx1"/>
            </w14:solidFill>
          </w14:textFill>
        </w:rPr>
        <w:t>预算数</w:t>
      </w:r>
      <w:r>
        <w:rPr>
          <w:rStyle w:val="19"/>
          <w:rFonts w:hint="eastAsia" w:ascii="仿宋" w:hAnsi="仿宋" w:eastAsia="仿宋" w:cs="仿宋"/>
          <w:b w:val="0"/>
          <w:bCs/>
          <w:color w:val="000000" w:themeColor="text1"/>
          <w:sz w:val="32"/>
          <w:szCs w:val="32"/>
          <w:highlight w:val="none"/>
          <w:lang w:eastAsia="zh-CN"/>
          <w14:textFill>
            <w14:solidFill>
              <w14:schemeClr w14:val="tx1"/>
            </w14:solidFill>
          </w14:textFill>
        </w:rPr>
        <w:t>持平。</w:t>
      </w:r>
    </w:p>
    <w:p>
      <w:pPr>
        <w:pStyle w:val="28"/>
        <w:keepNext w:val="0"/>
        <w:keepLines w:val="0"/>
        <w:pageBreakBefore w:val="0"/>
        <w:widowControl w:val="0"/>
        <w:kinsoku/>
        <w:wordWrap/>
        <w:overflowPunct/>
        <w:topLinePunct w:val="0"/>
        <w:bidi w:val="0"/>
        <w:snapToGrid/>
        <w:spacing w:line="600" w:lineRule="exact"/>
        <w:ind w:firstLine="642" w:firstLineChars="200"/>
        <w:jc w:val="both"/>
        <w:textAlignment w:val="auto"/>
        <w:rPr>
          <w:rStyle w:val="19"/>
          <w:rFonts w:hint="eastAsia" w:ascii="仿宋" w:hAnsi="仿宋" w:eastAsia="仿宋" w:cs="仿宋"/>
          <w:b w:val="0"/>
          <w:bCs/>
          <w:color w:val="auto"/>
          <w:sz w:val="32"/>
          <w:szCs w:val="32"/>
          <w:highlight w:val="none"/>
          <w:lang w:eastAsia="zh-CN"/>
        </w:rPr>
      </w:pPr>
      <w:r>
        <w:rPr>
          <w:rStyle w:val="19"/>
          <w:rFonts w:hint="eastAsia" w:ascii="仿宋" w:hAnsi="仿宋" w:eastAsia="仿宋" w:cs="仿宋"/>
          <w:b/>
          <w:bCs w:val="0"/>
          <w:color w:val="auto"/>
          <w:sz w:val="32"/>
          <w:szCs w:val="32"/>
          <w:highlight w:val="none"/>
          <w:lang w:val="en-US" w:eastAsia="zh-CN"/>
        </w:rPr>
        <w:t>财政事务（06款）</w:t>
      </w:r>
      <w:r>
        <w:rPr>
          <w:rStyle w:val="19"/>
          <w:rFonts w:hint="eastAsia" w:ascii="仿宋" w:hAnsi="仿宋" w:eastAsia="仿宋" w:cs="仿宋"/>
          <w:b/>
          <w:bCs w:val="0"/>
          <w:color w:val="auto"/>
          <w:sz w:val="32"/>
          <w:szCs w:val="32"/>
          <w:highlight w:val="none"/>
          <w:lang w:eastAsia="zh-CN"/>
        </w:rPr>
        <w:t>其他财政事务支出（</w:t>
      </w:r>
      <w:r>
        <w:rPr>
          <w:rStyle w:val="19"/>
          <w:rFonts w:hint="eastAsia" w:ascii="仿宋" w:hAnsi="仿宋" w:eastAsia="仿宋" w:cs="仿宋"/>
          <w:b/>
          <w:bCs w:val="0"/>
          <w:color w:val="auto"/>
          <w:sz w:val="32"/>
          <w:szCs w:val="32"/>
          <w:highlight w:val="none"/>
          <w:lang w:val="en-US" w:eastAsia="zh-CN"/>
        </w:rPr>
        <w:t>99项</w:t>
      </w:r>
      <w:r>
        <w:rPr>
          <w:rStyle w:val="19"/>
          <w:rFonts w:hint="eastAsia" w:ascii="仿宋" w:hAnsi="仿宋" w:eastAsia="仿宋" w:cs="仿宋"/>
          <w:b/>
          <w:bCs w:val="0"/>
          <w:color w:val="auto"/>
          <w:sz w:val="32"/>
          <w:szCs w:val="32"/>
          <w:highlight w:val="none"/>
          <w:lang w:eastAsia="zh-CN"/>
        </w:rPr>
        <w:t>）：</w:t>
      </w:r>
      <w:r>
        <w:rPr>
          <w:rStyle w:val="19"/>
          <w:rFonts w:hint="eastAsia" w:ascii="仿宋" w:hAnsi="仿宋" w:eastAsia="仿宋" w:cs="仿宋"/>
          <w:b w:val="0"/>
          <w:bCs/>
          <w:color w:val="auto"/>
          <w:sz w:val="32"/>
          <w:szCs w:val="32"/>
          <w:highlight w:val="none"/>
          <w:lang w:eastAsia="zh-CN"/>
        </w:rPr>
        <w:t>支出决</w:t>
      </w:r>
      <w:r>
        <w:rPr>
          <w:rStyle w:val="19"/>
          <w:rFonts w:hint="eastAsia" w:ascii="仿宋" w:hAnsi="仿宋" w:eastAsia="仿宋" w:cs="仿宋"/>
          <w:b w:val="0"/>
          <w:bCs/>
          <w:color w:val="auto"/>
          <w:sz w:val="32"/>
          <w:szCs w:val="32"/>
          <w:highlight w:val="none"/>
        </w:rPr>
        <w:t>算为</w:t>
      </w:r>
      <w:r>
        <w:rPr>
          <w:rStyle w:val="19"/>
          <w:rFonts w:hint="eastAsia" w:ascii="仿宋" w:hAnsi="仿宋" w:eastAsia="仿宋" w:cs="仿宋"/>
          <w:b w:val="0"/>
          <w:bCs/>
          <w:color w:val="auto"/>
          <w:sz w:val="32"/>
          <w:szCs w:val="32"/>
          <w:highlight w:val="none"/>
          <w:lang w:val="en-US" w:eastAsia="zh-CN"/>
        </w:rPr>
        <w:t>0.7</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p>
    <w:p>
      <w:pPr>
        <w:pStyle w:val="28"/>
        <w:keepNext w:val="0"/>
        <w:keepLines w:val="0"/>
        <w:pageBreakBefore w:val="0"/>
        <w:widowControl w:val="0"/>
        <w:kinsoku/>
        <w:wordWrap/>
        <w:overflowPunct/>
        <w:topLinePunct w:val="0"/>
        <w:bidi w:val="0"/>
        <w:snapToGrid/>
        <w:spacing w:line="600" w:lineRule="exact"/>
        <w:ind w:firstLine="642" w:firstLineChars="200"/>
        <w:jc w:val="both"/>
        <w:textAlignment w:val="auto"/>
        <w:rPr>
          <w:rStyle w:val="19"/>
          <w:rFonts w:hint="eastAsia" w:ascii="仿宋" w:hAnsi="仿宋" w:eastAsia="仿宋" w:cs="仿宋"/>
          <w:b w:val="0"/>
          <w:bCs/>
          <w:color w:val="auto"/>
          <w:sz w:val="32"/>
          <w:szCs w:val="32"/>
          <w:highlight w:val="none"/>
          <w:lang w:eastAsia="zh-CN"/>
        </w:rPr>
      </w:pPr>
      <w:r>
        <w:rPr>
          <w:rStyle w:val="19"/>
          <w:rFonts w:hint="eastAsia" w:hAnsi="仿宋" w:cs="仿宋"/>
          <w:b/>
          <w:bCs w:val="0"/>
          <w:color w:val="auto"/>
          <w:sz w:val="32"/>
          <w:szCs w:val="32"/>
          <w:highlight w:val="none"/>
          <w:lang w:val="en-US" w:eastAsia="zh-CN"/>
        </w:rPr>
        <w:t>组织事务</w:t>
      </w:r>
      <w:r>
        <w:rPr>
          <w:rStyle w:val="19"/>
          <w:rFonts w:hint="eastAsia" w:ascii="仿宋" w:hAnsi="仿宋" w:eastAsia="仿宋" w:cs="仿宋"/>
          <w:b/>
          <w:bCs w:val="0"/>
          <w:color w:val="auto"/>
          <w:sz w:val="32"/>
          <w:szCs w:val="32"/>
          <w:highlight w:val="none"/>
          <w:lang w:val="en-US" w:eastAsia="zh-CN"/>
        </w:rPr>
        <w:t>（</w:t>
      </w:r>
      <w:r>
        <w:rPr>
          <w:rStyle w:val="19"/>
          <w:rFonts w:hint="eastAsia" w:hAnsi="仿宋" w:cs="仿宋"/>
          <w:b/>
          <w:bCs w:val="0"/>
          <w:color w:val="auto"/>
          <w:sz w:val="32"/>
          <w:szCs w:val="32"/>
          <w:highlight w:val="none"/>
          <w:lang w:val="en-US" w:eastAsia="zh-CN"/>
        </w:rPr>
        <w:t>32</w:t>
      </w:r>
      <w:r>
        <w:rPr>
          <w:rStyle w:val="19"/>
          <w:rFonts w:hint="eastAsia" w:ascii="仿宋" w:hAnsi="仿宋" w:eastAsia="仿宋" w:cs="仿宋"/>
          <w:b/>
          <w:bCs w:val="0"/>
          <w:color w:val="auto"/>
          <w:sz w:val="32"/>
          <w:szCs w:val="32"/>
          <w:highlight w:val="none"/>
          <w:lang w:val="en-US" w:eastAsia="zh-CN"/>
        </w:rPr>
        <w:t>款）</w:t>
      </w:r>
      <w:r>
        <w:rPr>
          <w:rStyle w:val="19"/>
          <w:rFonts w:hint="eastAsia" w:ascii="仿宋" w:hAnsi="仿宋" w:eastAsia="仿宋" w:cs="仿宋"/>
          <w:b/>
          <w:bCs w:val="0"/>
          <w:color w:val="auto"/>
          <w:sz w:val="32"/>
          <w:szCs w:val="32"/>
          <w:highlight w:val="none"/>
          <w:lang w:eastAsia="zh-CN"/>
        </w:rPr>
        <w:t>其他</w:t>
      </w:r>
      <w:r>
        <w:rPr>
          <w:rStyle w:val="19"/>
          <w:rFonts w:hint="eastAsia" w:hAnsi="仿宋" w:cs="仿宋"/>
          <w:b/>
          <w:bCs w:val="0"/>
          <w:color w:val="auto"/>
          <w:sz w:val="32"/>
          <w:szCs w:val="32"/>
          <w:highlight w:val="none"/>
          <w:lang w:val="en-US" w:eastAsia="zh-CN"/>
        </w:rPr>
        <w:t>组织</w:t>
      </w:r>
      <w:r>
        <w:rPr>
          <w:rStyle w:val="19"/>
          <w:rFonts w:hint="eastAsia" w:ascii="仿宋" w:hAnsi="仿宋" w:eastAsia="仿宋" w:cs="仿宋"/>
          <w:b/>
          <w:bCs w:val="0"/>
          <w:color w:val="auto"/>
          <w:sz w:val="32"/>
          <w:szCs w:val="32"/>
          <w:highlight w:val="none"/>
          <w:lang w:eastAsia="zh-CN"/>
        </w:rPr>
        <w:t>事务支出（</w:t>
      </w:r>
      <w:r>
        <w:rPr>
          <w:rStyle w:val="19"/>
          <w:rFonts w:hint="eastAsia" w:ascii="仿宋" w:hAnsi="仿宋" w:eastAsia="仿宋" w:cs="仿宋"/>
          <w:b/>
          <w:bCs w:val="0"/>
          <w:color w:val="auto"/>
          <w:sz w:val="32"/>
          <w:szCs w:val="32"/>
          <w:highlight w:val="none"/>
          <w:lang w:val="en-US" w:eastAsia="zh-CN"/>
        </w:rPr>
        <w:t>99项</w:t>
      </w:r>
      <w:r>
        <w:rPr>
          <w:rStyle w:val="19"/>
          <w:rFonts w:hint="eastAsia" w:ascii="仿宋" w:hAnsi="仿宋" w:eastAsia="仿宋" w:cs="仿宋"/>
          <w:b/>
          <w:bCs w:val="0"/>
          <w:color w:val="auto"/>
          <w:sz w:val="32"/>
          <w:szCs w:val="32"/>
          <w:highlight w:val="none"/>
          <w:lang w:eastAsia="zh-CN"/>
        </w:rPr>
        <w:t>）：</w:t>
      </w:r>
      <w:r>
        <w:rPr>
          <w:rStyle w:val="19"/>
          <w:rFonts w:hint="eastAsia" w:ascii="仿宋" w:hAnsi="仿宋" w:eastAsia="仿宋" w:cs="仿宋"/>
          <w:b w:val="0"/>
          <w:bCs/>
          <w:color w:val="auto"/>
          <w:sz w:val="32"/>
          <w:szCs w:val="32"/>
          <w:highlight w:val="none"/>
          <w:lang w:eastAsia="zh-CN"/>
        </w:rPr>
        <w:t>支出决</w:t>
      </w:r>
      <w:r>
        <w:rPr>
          <w:rStyle w:val="19"/>
          <w:rFonts w:hint="eastAsia" w:ascii="仿宋" w:hAnsi="仿宋" w:eastAsia="仿宋" w:cs="仿宋"/>
          <w:b w:val="0"/>
          <w:bCs/>
          <w:color w:val="auto"/>
          <w:sz w:val="32"/>
          <w:szCs w:val="32"/>
          <w:highlight w:val="none"/>
        </w:rPr>
        <w:t>算为</w:t>
      </w:r>
      <w:r>
        <w:rPr>
          <w:rStyle w:val="19"/>
          <w:rFonts w:hint="eastAsia" w:hAnsi="仿宋" w:cs="仿宋"/>
          <w:b w:val="0"/>
          <w:bCs/>
          <w:color w:val="auto"/>
          <w:sz w:val="32"/>
          <w:szCs w:val="32"/>
          <w:highlight w:val="none"/>
          <w:lang w:val="en-US" w:eastAsia="zh-CN"/>
        </w:rPr>
        <w:t>3</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p>
    <w:p>
      <w:pPr>
        <w:pStyle w:val="28"/>
        <w:keepNext w:val="0"/>
        <w:keepLines w:val="0"/>
        <w:pageBreakBefore w:val="0"/>
        <w:widowControl w:val="0"/>
        <w:kinsoku/>
        <w:wordWrap/>
        <w:overflowPunct/>
        <w:topLinePunct w:val="0"/>
        <w:bidi w:val="0"/>
        <w:snapToGrid/>
        <w:spacing w:line="600" w:lineRule="exact"/>
        <w:ind w:firstLine="642" w:firstLineChars="200"/>
        <w:jc w:val="both"/>
        <w:textAlignment w:val="auto"/>
        <w:rPr>
          <w:rStyle w:val="19"/>
          <w:rFonts w:hint="eastAsia" w:ascii="仿宋" w:hAnsi="仿宋" w:eastAsia="仿宋" w:cs="仿宋"/>
          <w:b w:val="0"/>
          <w:bCs/>
          <w:color w:val="auto"/>
          <w:sz w:val="32"/>
          <w:szCs w:val="32"/>
          <w:highlight w:val="none"/>
          <w:lang w:eastAsia="zh-CN"/>
        </w:rPr>
      </w:pPr>
      <w:r>
        <w:rPr>
          <w:rStyle w:val="19"/>
          <w:rFonts w:hint="eastAsia" w:hAnsi="仿宋" w:cs="仿宋"/>
          <w:b/>
          <w:bCs w:val="0"/>
          <w:color w:val="auto"/>
          <w:sz w:val="32"/>
          <w:szCs w:val="32"/>
          <w:highlight w:val="none"/>
          <w:lang w:val="en-US" w:eastAsia="zh-CN"/>
        </w:rPr>
        <w:t>社会工作事务</w:t>
      </w:r>
      <w:r>
        <w:rPr>
          <w:rStyle w:val="19"/>
          <w:rFonts w:hint="eastAsia" w:ascii="仿宋" w:hAnsi="仿宋" w:eastAsia="仿宋" w:cs="仿宋"/>
          <w:b/>
          <w:bCs w:val="0"/>
          <w:color w:val="auto"/>
          <w:sz w:val="32"/>
          <w:szCs w:val="32"/>
          <w:highlight w:val="none"/>
          <w:lang w:val="en-US" w:eastAsia="zh-CN"/>
        </w:rPr>
        <w:t>（</w:t>
      </w:r>
      <w:r>
        <w:rPr>
          <w:rStyle w:val="19"/>
          <w:rFonts w:hint="eastAsia" w:hAnsi="仿宋" w:cs="仿宋"/>
          <w:b/>
          <w:bCs w:val="0"/>
          <w:color w:val="auto"/>
          <w:sz w:val="32"/>
          <w:szCs w:val="32"/>
          <w:highlight w:val="none"/>
          <w:lang w:val="en-US" w:eastAsia="zh-CN"/>
        </w:rPr>
        <w:t>39</w:t>
      </w:r>
      <w:r>
        <w:rPr>
          <w:rStyle w:val="19"/>
          <w:rFonts w:hint="eastAsia" w:ascii="仿宋" w:hAnsi="仿宋" w:eastAsia="仿宋" w:cs="仿宋"/>
          <w:b/>
          <w:bCs w:val="0"/>
          <w:color w:val="auto"/>
          <w:sz w:val="32"/>
          <w:szCs w:val="32"/>
          <w:highlight w:val="none"/>
          <w:lang w:val="en-US" w:eastAsia="zh-CN"/>
        </w:rPr>
        <w:t>款）</w:t>
      </w:r>
      <w:r>
        <w:rPr>
          <w:rStyle w:val="19"/>
          <w:rFonts w:hint="eastAsia" w:hAnsi="仿宋" w:cs="仿宋"/>
          <w:b/>
          <w:bCs w:val="0"/>
          <w:color w:val="auto"/>
          <w:sz w:val="32"/>
          <w:szCs w:val="32"/>
          <w:highlight w:val="none"/>
          <w:lang w:val="en-US" w:eastAsia="zh-CN"/>
        </w:rPr>
        <w:t>专项业务</w:t>
      </w:r>
      <w:r>
        <w:rPr>
          <w:rStyle w:val="19"/>
          <w:rFonts w:hint="eastAsia" w:ascii="仿宋" w:hAnsi="仿宋" w:eastAsia="仿宋" w:cs="仿宋"/>
          <w:b/>
          <w:bCs w:val="0"/>
          <w:color w:val="auto"/>
          <w:sz w:val="32"/>
          <w:szCs w:val="32"/>
          <w:highlight w:val="none"/>
          <w:lang w:eastAsia="zh-CN"/>
        </w:rPr>
        <w:t>（</w:t>
      </w:r>
      <w:r>
        <w:rPr>
          <w:rStyle w:val="19"/>
          <w:rFonts w:hint="eastAsia" w:hAnsi="仿宋" w:cs="仿宋"/>
          <w:b/>
          <w:bCs w:val="0"/>
          <w:color w:val="auto"/>
          <w:sz w:val="32"/>
          <w:szCs w:val="32"/>
          <w:highlight w:val="none"/>
          <w:lang w:val="en-US" w:eastAsia="zh-CN"/>
        </w:rPr>
        <w:t>04</w:t>
      </w:r>
      <w:r>
        <w:rPr>
          <w:rStyle w:val="19"/>
          <w:rFonts w:hint="eastAsia" w:ascii="仿宋" w:hAnsi="仿宋" w:eastAsia="仿宋" w:cs="仿宋"/>
          <w:b/>
          <w:bCs w:val="0"/>
          <w:color w:val="auto"/>
          <w:sz w:val="32"/>
          <w:szCs w:val="32"/>
          <w:highlight w:val="none"/>
          <w:lang w:val="en-US" w:eastAsia="zh-CN"/>
        </w:rPr>
        <w:t>项</w:t>
      </w:r>
      <w:r>
        <w:rPr>
          <w:rStyle w:val="19"/>
          <w:rFonts w:hint="eastAsia" w:ascii="仿宋" w:hAnsi="仿宋" w:eastAsia="仿宋" w:cs="仿宋"/>
          <w:b/>
          <w:bCs w:val="0"/>
          <w:color w:val="auto"/>
          <w:sz w:val="32"/>
          <w:szCs w:val="32"/>
          <w:highlight w:val="none"/>
          <w:lang w:eastAsia="zh-CN"/>
        </w:rPr>
        <w:t>）：</w:t>
      </w:r>
      <w:r>
        <w:rPr>
          <w:rStyle w:val="19"/>
          <w:rFonts w:hint="eastAsia" w:ascii="仿宋" w:hAnsi="仿宋" w:eastAsia="仿宋" w:cs="仿宋"/>
          <w:b w:val="0"/>
          <w:bCs/>
          <w:color w:val="auto"/>
          <w:sz w:val="32"/>
          <w:szCs w:val="32"/>
          <w:highlight w:val="none"/>
          <w:lang w:eastAsia="zh-CN"/>
        </w:rPr>
        <w:t>支出决</w:t>
      </w:r>
      <w:r>
        <w:rPr>
          <w:rStyle w:val="19"/>
          <w:rFonts w:hint="eastAsia" w:ascii="仿宋" w:hAnsi="仿宋" w:eastAsia="仿宋" w:cs="仿宋"/>
          <w:b w:val="0"/>
          <w:bCs/>
          <w:color w:val="auto"/>
          <w:sz w:val="32"/>
          <w:szCs w:val="32"/>
          <w:highlight w:val="none"/>
        </w:rPr>
        <w:t>算为</w:t>
      </w:r>
      <w:r>
        <w:rPr>
          <w:rStyle w:val="19"/>
          <w:rFonts w:hint="eastAsia" w:hAnsi="仿宋" w:cs="仿宋"/>
          <w:b w:val="0"/>
          <w:bCs/>
          <w:color w:val="auto"/>
          <w:sz w:val="32"/>
          <w:szCs w:val="32"/>
          <w:highlight w:val="none"/>
          <w:lang w:val="en-US" w:eastAsia="zh-CN"/>
        </w:rPr>
        <w:t>37.38</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p>
    <w:p>
      <w:pPr>
        <w:keepNext w:val="0"/>
        <w:keepLines w:val="0"/>
        <w:pageBreakBefore w:val="0"/>
        <w:widowControl w:val="0"/>
        <w:numPr>
          <w:ilvl w:val="0"/>
          <w:numId w:val="0"/>
        </w:numPr>
        <w:kinsoku/>
        <w:wordWrap/>
        <w:overflowPunct/>
        <w:topLinePunct w:val="0"/>
        <w:bidi w:val="0"/>
        <w:spacing w:line="600" w:lineRule="exact"/>
        <w:ind w:firstLine="642" w:firstLineChars="200"/>
        <w:jc w:val="both"/>
        <w:textAlignment w:val="auto"/>
        <w:rPr>
          <w:rStyle w:val="19"/>
          <w:rFonts w:hint="eastAsia" w:ascii="仿宋" w:hAnsi="仿宋" w:eastAsia="仿宋" w:cs="仿宋"/>
          <w:b w:val="0"/>
          <w:bCs/>
          <w:color w:val="auto"/>
          <w:sz w:val="32"/>
          <w:szCs w:val="32"/>
          <w:highlight w:val="none"/>
        </w:rPr>
      </w:pPr>
      <w:r>
        <w:rPr>
          <w:rStyle w:val="19"/>
          <w:rFonts w:hint="eastAsia" w:ascii="仿宋" w:hAnsi="仿宋" w:eastAsia="仿宋"/>
          <w:bCs/>
          <w:color w:val="auto"/>
          <w:sz w:val="32"/>
          <w:szCs w:val="32"/>
          <w:highlight w:val="none"/>
          <w:lang w:val="en-US" w:eastAsia="zh-CN"/>
        </w:rPr>
        <w:t>2.</w:t>
      </w:r>
      <w:r>
        <w:rPr>
          <w:rStyle w:val="19"/>
          <w:rFonts w:hint="eastAsia" w:ascii="仿宋" w:hAnsi="仿宋" w:eastAsia="仿宋"/>
          <w:bCs/>
          <w:color w:val="auto"/>
          <w:sz w:val="32"/>
          <w:szCs w:val="32"/>
          <w:highlight w:val="none"/>
          <w:lang w:eastAsia="zh-CN"/>
        </w:rPr>
        <w:t>国防支出</w:t>
      </w:r>
      <w:r>
        <w:rPr>
          <w:rStyle w:val="19"/>
          <w:rFonts w:hint="eastAsia" w:ascii="仿宋" w:hAnsi="仿宋" w:eastAsia="仿宋"/>
          <w:bCs/>
          <w:color w:val="auto"/>
          <w:sz w:val="32"/>
          <w:szCs w:val="32"/>
          <w:highlight w:val="none"/>
        </w:rPr>
        <w:t>（</w:t>
      </w:r>
      <w:r>
        <w:rPr>
          <w:rStyle w:val="19"/>
          <w:rFonts w:hint="eastAsia" w:ascii="仿宋" w:hAnsi="仿宋" w:eastAsia="仿宋"/>
          <w:bCs/>
          <w:color w:val="auto"/>
          <w:sz w:val="32"/>
          <w:szCs w:val="32"/>
          <w:highlight w:val="none"/>
          <w:lang w:val="en-US" w:eastAsia="zh-CN"/>
        </w:rPr>
        <w:t>203</w:t>
      </w:r>
      <w:r>
        <w:rPr>
          <w:rStyle w:val="19"/>
          <w:rFonts w:hint="eastAsia" w:ascii="仿宋" w:hAnsi="仿宋" w:eastAsia="仿宋"/>
          <w:bCs/>
          <w:color w:val="auto"/>
          <w:sz w:val="32"/>
          <w:szCs w:val="32"/>
          <w:highlight w:val="none"/>
        </w:rPr>
        <w:t>类）</w:t>
      </w:r>
      <w:r>
        <w:rPr>
          <w:rStyle w:val="19"/>
          <w:rFonts w:hint="eastAsia" w:ascii="仿宋" w:hAnsi="仿宋" w:eastAsia="仿宋"/>
          <w:bCs/>
          <w:color w:val="auto"/>
          <w:sz w:val="32"/>
          <w:szCs w:val="32"/>
          <w:highlight w:val="none"/>
          <w:lang w:eastAsia="zh-CN"/>
        </w:rPr>
        <w:t>国防动员</w:t>
      </w:r>
      <w:r>
        <w:rPr>
          <w:rStyle w:val="19"/>
          <w:rFonts w:hint="eastAsia" w:ascii="仿宋" w:hAnsi="仿宋" w:eastAsia="仿宋"/>
          <w:bCs/>
          <w:color w:val="auto"/>
          <w:sz w:val="32"/>
          <w:szCs w:val="32"/>
          <w:highlight w:val="none"/>
        </w:rPr>
        <w:t>（</w:t>
      </w:r>
      <w:r>
        <w:rPr>
          <w:rStyle w:val="19"/>
          <w:rFonts w:hint="eastAsia" w:ascii="仿宋" w:hAnsi="仿宋" w:eastAsia="仿宋"/>
          <w:bCs/>
          <w:color w:val="auto"/>
          <w:sz w:val="32"/>
          <w:szCs w:val="32"/>
          <w:highlight w:val="none"/>
          <w:lang w:val="en-US" w:eastAsia="zh-CN"/>
        </w:rPr>
        <w:t>06</w:t>
      </w:r>
      <w:r>
        <w:rPr>
          <w:rStyle w:val="19"/>
          <w:rFonts w:hint="eastAsia" w:ascii="仿宋" w:hAnsi="仿宋" w:eastAsia="仿宋"/>
          <w:bCs/>
          <w:color w:val="auto"/>
          <w:sz w:val="32"/>
          <w:szCs w:val="32"/>
          <w:highlight w:val="none"/>
        </w:rPr>
        <w:t>款）</w:t>
      </w:r>
      <w:r>
        <w:rPr>
          <w:rStyle w:val="19"/>
          <w:rFonts w:hint="eastAsia" w:ascii="仿宋" w:hAnsi="仿宋" w:eastAsia="仿宋"/>
          <w:bCs/>
          <w:color w:val="auto"/>
          <w:sz w:val="32"/>
          <w:szCs w:val="32"/>
          <w:highlight w:val="none"/>
          <w:lang w:eastAsia="zh-CN"/>
        </w:rPr>
        <w:t>民兵</w:t>
      </w:r>
      <w:r>
        <w:rPr>
          <w:rStyle w:val="19"/>
          <w:rFonts w:hint="eastAsia" w:ascii="仿宋" w:hAnsi="仿宋" w:eastAsia="仿宋"/>
          <w:bCs/>
          <w:color w:val="auto"/>
          <w:sz w:val="32"/>
          <w:szCs w:val="32"/>
          <w:highlight w:val="none"/>
        </w:rPr>
        <w:t>（</w:t>
      </w:r>
      <w:r>
        <w:rPr>
          <w:rStyle w:val="19"/>
          <w:rFonts w:hint="eastAsia" w:ascii="仿宋" w:hAnsi="仿宋" w:eastAsia="仿宋"/>
          <w:bCs/>
          <w:color w:val="auto"/>
          <w:sz w:val="32"/>
          <w:szCs w:val="32"/>
          <w:highlight w:val="none"/>
          <w:lang w:val="en-US" w:eastAsia="zh-CN"/>
        </w:rPr>
        <w:t>07</w:t>
      </w:r>
      <w:r>
        <w:rPr>
          <w:rStyle w:val="19"/>
          <w:rFonts w:hint="eastAsia" w:ascii="仿宋" w:hAnsi="仿宋" w:eastAsia="仿宋"/>
          <w:bCs/>
          <w:color w:val="auto"/>
          <w:sz w:val="32"/>
          <w:szCs w:val="32"/>
          <w:highlight w:val="none"/>
        </w:rPr>
        <w:t>项）</w:t>
      </w:r>
      <w:r>
        <w:rPr>
          <w:rStyle w:val="19"/>
          <w:rFonts w:ascii="仿宋" w:hAnsi="仿宋" w:eastAsia="仿宋"/>
          <w:bCs/>
          <w:color w:val="auto"/>
          <w:sz w:val="32"/>
          <w:szCs w:val="32"/>
          <w:highlight w:val="none"/>
        </w:rPr>
        <w:t>:</w:t>
      </w:r>
      <w:r>
        <w:rPr>
          <w:rStyle w:val="19"/>
          <w:rFonts w:ascii="仿宋" w:hAnsi="仿宋" w:eastAsia="仿宋"/>
          <w:b w:val="0"/>
          <w:bCs/>
          <w:color w:val="auto"/>
          <w:sz w:val="32"/>
          <w:szCs w:val="32"/>
          <w:highlight w:val="none"/>
        </w:rPr>
        <w:t xml:space="preserve"> </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5</w:t>
      </w:r>
      <w:r>
        <w:rPr>
          <w:rStyle w:val="19"/>
          <w:rFonts w:hint="eastAsia" w:ascii="仿宋" w:hAnsi="仿宋" w:eastAsia="仿宋"/>
          <w:b w:val="0"/>
          <w:bCs/>
          <w:color w:val="auto"/>
          <w:sz w:val="32"/>
          <w:szCs w:val="32"/>
          <w:highlight w:val="none"/>
        </w:rPr>
        <w:t>万元，完成预算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r>
        <w:rPr>
          <w:rStyle w:val="19"/>
          <w:rFonts w:hint="eastAsia" w:ascii="仿宋" w:hAnsi="仿宋" w:eastAsia="仿宋" w:cs="仿宋"/>
          <w:b w:val="0"/>
          <w:bCs/>
          <w:color w:val="auto"/>
          <w:sz w:val="32"/>
          <w:szCs w:val="32"/>
          <w:highlight w:val="none"/>
        </w:rPr>
        <w:t>。</w:t>
      </w:r>
    </w:p>
    <w:p>
      <w:pPr>
        <w:keepNext w:val="0"/>
        <w:keepLines w:val="0"/>
        <w:pageBreakBefore w:val="0"/>
        <w:widowControl w:val="0"/>
        <w:numPr>
          <w:ilvl w:val="0"/>
          <w:numId w:val="0"/>
        </w:numPr>
        <w:kinsoku/>
        <w:wordWrap/>
        <w:overflowPunct/>
        <w:topLinePunct w:val="0"/>
        <w:bidi w:val="0"/>
        <w:spacing w:line="600" w:lineRule="exact"/>
        <w:ind w:firstLine="642" w:firstLineChars="200"/>
        <w:jc w:val="both"/>
        <w:textAlignment w:val="auto"/>
        <w:rPr>
          <w:rStyle w:val="19"/>
          <w:rFonts w:hint="eastAsia" w:ascii="仿宋" w:hAnsi="仿宋" w:eastAsia="仿宋" w:cs="仿宋"/>
          <w:b w:val="0"/>
          <w:bCs/>
          <w:color w:val="auto"/>
          <w:sz w:val="32"/>
          <w:szCs w:val="32"/>
          <w:highlight w:val="none"/>
          <w:lang w:eastAsia="zh-CN"/>
        </w:rPr>
      </w:pPr>
      <w:r>
        <w:rPr>
          <w:rStyle w:val="19"/>
          <w:rFonts w:hint="eastAsia" w:ascii="仿宋" w:hAnsi="仿宋" w:eastAsia="仿宋"/>
          <w:bCs/>
          <w:color w:val="auto"/>
          <w:sz w:val="32"/>
          <w:szCs w:val="32"/>
          <w:highlight w:val="none"/>
          <w:lang w:val="en-US" w:eastAsia="zh-CN"/>
        </w:rPr>
        <w:t>3.教育支出（205类）其他教育支出（99款）其他教育支出</w:t>
      </w:r>
      <w:r>
        <w:rPr>
          <w:rStyle w:val="19"/>
          <w:rFonts w:hint="eastAsia" w:ascii="仿宋" w:hAnsi="仿宋" w:eastAsia="仿宋"/>
          <w:bCs/>
          <w:color w:val="auto"/>
          <w:sz w:val="32"/>
          <w:szCs w:val="32"/>
          <w:highlight w:val="none"/>
          <w:lang w:eastAsia="zh-CN"/>
        </w:rPr>
        <w:t>（</w:t>
      </w:r>
      <w:r>
        <w:rPr>
          <w:rStyle w:val="19"/>
          <w:rFonts w:hint="eastAsia" w:ascii="仿宋" w:hAnsi="仿宋" w:eastAsia="仿宋"/>
          <w:bCs/>
          <w:color w:val="auto"/>
          <w:sz w:val="32"/>
          <w:szCs w:val="32"/>
          <w:highlight w:val="none"/>
          <w:lang w:val="en-US" w:eastAsia="zh-CN"/>
        </w:rPr>
        <w:t>99项</w:t>
      </w:r>
      <w:r>
        <w:rPr>
          <w:rStyle w:val="19"/>
          <w:rFonts w:hint="eastAsia" w:ascii="仿宋" w:hAnsi="仿宋" w:eastAsia="仿宋"/>
          <w:bCs/>
          <w:color w:val="auto"/>
          <w:sz w:val="32"/>
          <w:szCs w:val="32"/>
          <w:highlight w:val="none"/>
          <w:lang w:eastAsia="zh-CN"/>
        </w:rPr>
        <w:t>）：</w:t>
      </w:r>
      <w:r>
        <w:rPr>
          <w:rStyle w:val="19"/>
          <w:rFonts w:hint="eastAsia" w:ascii="仿宋" w:hAnsi="仿宋" w:eastAsia="仿宋" w:cs="仿宋"/>
          <w:b w:val="0"/>
          <w:bCs/>
          <w:color w:val="auto"/>
          <w:sz w:val="32"/>
          <w:szCs w:val="32"/>
          <w:highlight w:val="none"/>
          <w:lang w:eastAsia="zh-CN"/>
        </w:rPr>
        <w:t>支出决</w:t>
      </w:r>
      <w:r>
        <w:rPr>
          <w:rStyle w:val="19"/>
          <w:rFonts w:hint="eastAsia" w:ascii="仿宋" w:hAnsi="仿宋" w:eastAsia="仿宋" w:cs="仿宋"/>
          <w:b w:val="0"/>
          <w:bCs/>
          <w:color w:val="auto"/>
          <w:sz w:val="32"/>
          <w:szCs w:val="32"/>
          <w:highlight w:val="none"/>
        </w:rPr>
        <w:t>算为</w:t>
      </w:r>
      <w:r>
        <w:rPr>
          <w:rStyle w:val="19"/>
          <w:rFonts w:hint="eastAsia" w:hAnsi="仿宋" w:cs="仿宋"/>
          <w:b w:val="0"/>
          <w:bCs/>
          <w:color w:val="auto"/>
          <w:sz w:val="32"/>
          <w:szCs w:val="32"/>
          <w:highlight w:val="none"/>
          <w:lang w:val="en-US" w:eastAsia="zh-CN"/>
        </w:rPr>
        <w:t>0.31</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p>
    <w:p>
      <w:pPr>
        <w:keepNext w:val="0"/>
        <w:keepLines w:val="0"/>
        <w:pageBreakBefore w:val="0"/>
        <w:widowControl w:val="0"/>
        <w:numPr>
          <w:ilvl w:val="0"/>
          <w:numId w:val="0"/>
        </w:numPr>
        <w:kinsoku/>
        <w:wordWrap/>
        <w:overflowPunct/>
        <w:topLinePunct w:val="0"/>
        <w:bidi w:val="0"/>
        <w:spacing w:line="600" w:lineRule="exact"/>
        <w:ind w:firstLine="642" w:firstLineChars="200"/>
        <w:jc w:val="both"/>
        <w:textAlignment w:val="auto"/>
        <w:rPr>
          <w:rStyle w:val="19"/>
          <w:rFonts w:hint="eastAsia" w:ascii="仿宋" w:hAnsi="仿宋" w:eastAsia="仿宋" w:cs="仿宋"/>
          <w:b w:val="0"/>
          <w:bCs/>
          <w:color w:val="auto"/>
          <w:sz w:val="32"/>
          <w:szCs w:val="32"/>
          <w:highlight w:val="none"/>
          <w:lang w:eastAsia="zh-CN"/>
        </w:rPr>
      </w:pPr>
      <w:r>
        <w:rPr>
          <w:rStyle w:val="19"/>
          <w:rFonts w:hint="eastAsia" w:ascii="仿宋" w:hAnsi="仿宋" w:eastAsia="仿宋"/>
          <w:bCs/>
          <w:color w:val="auto"/>
          <w:sz w:val="32"/>
          <w:szCs w:val="32"/>
          <w:highlight w:val="none"/>
          <w:lang w:val="en-US" w:eastAsia="zh-CN"/>
        </w:rPr>
        <w:t>4</w:t>
      </w:r>
      <w:r>
        <w:rPr>
          <w:rStyle w:val="19"/>
          <w:rFonts w:ascii="仿宋" w:hAnsi="仿宋" w:eastAsia="仿宋"/>
          <w:bCs/>
          <w:color w:val="auto"/>
          <w:sz w:val="32"/>
          <w:szCs w:val="32"/>
          <w:highlight w:val="none"/>
        </w:rPr>
        <w:t>.</w:t>
      </w:r>
      <w:r>
        <w:rPr>
          <w:rStyle w:val="19"/>
          <w:rFonts w:hint="eastAsia" w:ascii="仿宋" w:hAnsi="仿宋" w:eastAsia="仿宋"/>
          <w:bCs/>
          <w:color w:val="auto"/>
          <w:sz w:val="32"/>
          <w:szCs w:val="32"/>
          <w:highlight w:val="none"/>
        </w:rPr>
        <w:t>社会保障和就业</w:t>
      </w:r>
      <w:r>
        <w:rPr>
          <w:rStyle w:val="19"/>
          <w:rFonts w:hint="eastAsia" w:ascii="仿宋" w:hAnsi="仿宋" w:eastAsia="仿宋"/>
          <w:bCs/>
          <w:color w:val="auto"/>
          <w:sz w:val="32"/>
          <w:szCs w:val="32"/>
          <w:highlight w:val="none"/>
          <w:lang w:val="en-US" w:eastAsia="zh-CN"/>
        </w:rPr>
        <w:t>支出</w:t>
      </w:r>
      <w:r>
        <w:rPr>
          <w:rStyle w:val="19"/>
          <w:rFonts w:hint="eastAsia" w:ascii="仿宋" w:hAnsi="仿宋" w:eastAsia="仿宋"/>
          <w:bCs/>
          <w:color w:val="auto"/>
          <w:sz w:val="32"/>
          <w:szCs w:val="32"/>
          <w:highlight w:val="none"/>
        </w:rPr>
        <w:t>（</w:t>
      </w:r>
      <w:r>
        <w:rPr>
          <w:rStyle w:val="19"/>
          <w:rFonts w:hint="eastAsia" w:ascii="仿宋" w:hAnsi="仿宋" w:eastAsia="仿宋"/>
          <w:bCs/>
          <w:color w:val="auto"/>
          <w:sz w:val="32"/>
          <w:szCs w:val="32"/>
          <w:highlight w:val="none"/>
          <w:lang w:val="en-US" w:eastAsia="zh-CN"/>
        </w:rPr>
        <w:t>208</w:t>
      </w:r>
      <w:r>
        <w:rPr>
          <w:rStyle w:val="19"/>
          <w:rFonts w:hint="eastAsia" w:ascii="仿宋" w:hAnsi="仿宋" w:eastAsia="仿宋"/>
          <w:bCs/>
          <w:color w:val="auto"/>
          <w:sz w:val="32"/>
          <w:szCs w:val="32"/>
          <w:highlight w:val="none"/>
        </w:rPr>
        <w:t>类）</w:t>
      </w:r>
      <w:r>
        <w:rPr>
          <w:rStyle w:val="19"/>
          <w:rFonts w:hint="eastAsia" w:ascii="仿宋" w:hAnsi="仿宋" w:eastAsia="仿宋"/>
          <w:bCs/>
          <w:color w:val="auto"/>
          <w:sz w:val="32"/>
          <w:szCs w:val="32"/>
          <w:highlight w:val="none"/>
          <w:lang w:eastAsia="zh-CN"/>
        </w:rPr>
        <w:t>行政事业单位养老支出</w:t>
      </w:r>
      <w:r>
        <w:rPr>
          <w:rStyle w:val="19"/>
          <w:rFonts w:hint="eastAsia" w:ascii="仿宋" w:hAnsi="仿宋" w:eastAsia="仿宋"/>
          <w:bCs/>
          <w:color w:val="auto"/>
          <w:sz w:val="32"/>
          <w:szCs w:val="32"/>
          <w:highlight w:val="none"/>
        </w:rPr>
        <w:t>（</w:t>
      </w:r>
      <w:r>
        <w:rPr>
          <w:rStyle w:val="19"/>
          <w:rFonts w:hint="eastAsia" w:ascii="仿宋" w:hAnsi="仿宋" w:eastAsia="仿宋"/>
          <w:bCs/>
          <w:color w:val="auto"/>
          <w:sz w:val="32"/>
          <w:szCs w:val="32"/>
          <w:highlight w:val="none"/>
          <w:lang w:val="en-US" w:eastAsia="zh-CN"/>
        </w:rPr>
        <w:t>05</w:t>
      </w:r>
      <w:r>
        <w:rPr>
          <w:rStyle w:val="19"/>
          <w:rFonts w:hint="eastAsia" w:ascii="仿宋" w:hAnsi="仿宋" w:eastAsia="仿宋"/>
          <w:bCs/>
          <w:color w:val="auto"/>
          <w:sz w:val="32"/>
          <w:szCs w:val="32"/>
          <w:highlight w:val="none"/>
        </w:rPr>
        <w:t>款）</w:t>
      </w:r>
      <w:r>
        <w:rPr>
          <w:rStyle w:val="19"/>
          <w:rFonts w:hint="eastAsia" w:ascii="仿宋" w:hAnsi="仿宋" w:eastAsia="仿宋"/>
          <w:bCs/>
          <w:color w:val="auto"/>
          <w:sz w:val="32"/>
          <w:szCs w:val="32"/>
          <w:highlight w:val="none"/>
          <w:lang w:eastAsia="zh-CN"/>
        </w:rPr>
        <w:t>机关事业单位基本养老保险缴费支出</w:t>
      </w:r>
      <w:r>
        <w:rPr>
          <w:rStyle w:val="19"/>
          <w:rFonts w:hint="eastAsia" w:ascii="仿宋" w:hAnsi="仿宋" w:eastAsia="仿宋"/>
          <w:bCs/>
          <w:color w:val="auto"/>
          <w:sz w:val="32"/>
          <w:szCs w:val="32"/>
          <w:highlight w:val="none"/>
        </w:rPr>
        <w:t>（</w:t>
      </w:r>
      <w:r>
        <w:rPr>
          <w:rStyle w:val="19"/>
          <w:rFonts w:hint="eastAsia" w:ascii="仿宋" w:hAnsi="仿宋" w:eastAsia="仿宋"/>
          <w:bCs/>
          <w:color w:val="auto"/>
          <w:sz w:val="32"/>
          <w:szCs w:val="32"/>
          <w:highlight w:val="none"/>
          <w:lang w:val="en-US" w:eastAsia="zh-CN"/>
        </w:rPr>
        <w:t>05</w:t>
      </w:r>
      <w:r>
        <w:rPr>
          <w:rStyle w:val="19"/>
          <w:rFonts w:hint="eastAsia" w:ascii="仿宋" w:hAnsi="仿宋" w:eastAsia="仿宋"/>
          <w:bCs/>
          <w:color w:val="auto"/>
          <w:sz w:val="32"/>
          <w:szCs w:val="32"/>
          <w:highlight w:val="none"/>
        </w:rPr>
        <w:t>项）</w:t>
      </w:r>
      <w:r>
        <w:rPr>
          <w:rStyle w:val="19"/>
          <w:rFonts w:ascii="仿宋" w:hAnsi="仿宋" w:eastAsia="仿宋"/>
          <w:bCs/>
          <w:color w:val="auto"/>
          <w:sz w:val="32"/>
          <w:szCs w:val="32"/>
          <w:highlight w:val="none"/>
        </w:rPr>
        <w:t>:</w:t>
      </w:r>
      <w:r>
        <w:rPr>
          <w:rStyle w:val="19"/>
          <w:rFonts w:ascii="仿宋" w:hAnsi="仿宋" w:eastAsia="仿宋"/>
          <w:b w:val="0"/>
          <w:bCs/>
          <w:color w:val="auto"/>
          <w:sz w:val="32"/>
          <w:szCs w:val="32"/>
          <w:highlight w:val="none"/>
        </w:rPr>
        <w:t xml:space="preserve"> </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97.59</w:t>
      </w:r>
      <w:r>
        <w:rPr>
          <w:rStyle w:val="19"/>
          <w:rFonts w:hint="eastAsia" w:ascii="仿宋" w:hAnsi="仿宋" w:eastAsia="仿宋"/>
          <w:b w:val="0"/>
          <w:bCs/>
          <w:color w:val="auto"/>
          <w:sz w:val="32"/>
          <w:szCs w:val="32"/>
          <w:highlight w:val="none"/>
        </w:rPr>
        <w:t>万元，完成预算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r>
        <w:rPr>
          <w:rStyle w:val="19"/>
          <w:rFonts w:hint="eastAsia" w:ascii="仿宋" w:hAnsi="仿宋" w:eastAsia="仿宋" w:cs="仿宋"/>
          <w:bCs/>
          <w:color w:val="auto"/>
          <w:sz w:val="32"/>
          <w:szCs w:val="32"/>
          <w:highlight w:val="none"/>
          <w:lang w:eastAsia="zh-CN"/>
        </w:rPr>
        <w:t>机关事业单位职业年金缴费支出</w:t>
      </w:r>
      <w:r>
        <w:rPr>
          <w:rStyle w:val="19"/>
          <w:rFonts w:hint="eastAsia" w:ascii="仿宋" w:hAnsi="仿宋" w:eastAsia="仿宋"/>
          <w:bCs/>
          <w:color w:val="auto"/>
          <w:sz w:val="32"/>
          <w:szCs w:val="32"/>
          <w:highlight w:val="none"/>
        </w:rPr>
        <w:t>（</w:t>
      </w:r>
      <w:r>
        <w:rPr>
          <w:rStyle w:val="19"/>
          <w:rFonts w:hint="eastAsia" w:ascii="仿宋" w:hAnsi="仿宋" w:eastAsia="仿宋"/>
          <w:bCs/>
          <w:color w:val="auto"/>
          <w:sz w:val="32"/>
          <w:szCs w:val="32"/>
          <w:highlight w:val="none"/>
          <w:lang w:val="en-US" w:eastAsia="zh-CN"/>
        </w:rPr>
        <w:t>06</w:t>
      </w:r>
      <w:r>
        <w:rPr>
          <w:rStyle w:val="19"/>
          <w:rFonts w:hint="eastAsia" w:ascii="仿宋" w:hAnsi="仿宋" w:eastAsia="仿宋"/>
          <w:bCs/>
          <w:color w:val="auto"/>
          <w:sz w:val="32"/>
          <w:szCs w:val="32"/>
          <w:highlight w:val="none"/>
        </w:rPr>
        <w:t>项）</w:t>
      </w:r>
      <w:r>
        <w:rPr>
          <w:rStyle w:val="19"/>
          <w:rFonts w:ascii="仿宋" w:hAnsi="仿宋" w:eastAsia="仿宋"/>
          <w:bCs/>
          <w:color w:val="auto"/>
          <w:sz w:val="32"/>
          <w:szCs w:val="32"/>
          <w:highlight w:val="none"/>
        </w:rPr>
        <w:t>:</w:t>
      </w:r>
      <w:r>
        <w:rPr>
          <w:rStyle w:val="19"/>
          <w:rFonts w:ascii="仿宋" w:hAnsi="仿宋" w:eastAsia="仿宋"/>
          <w:b w:val="0"/>
          <w:bCs/>
          <w:color w:val="auto"/>
          <w:sz w:val="32"/>
          <w:szCs w:val="32"/>
          <w:highlight w:val="none"/>
        </w:rPr>
        <w:t xml:space="preserve"> </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48.87</w:t>
      </w:r>
      <w:r>
        <w:rPr>
          <w:rStyle w:val="19"/>
          <w:rFonts w:hint="eastAsia" w:ascii="仿宋" w:hAnsi="仿宋" w:eastAsia="仿宋"/>
          <w:b w:val="0"/>
          <w:bCs/>
          <w:color w:val="auto"/>
          <w:sz w:val="32"/>
          <w:szCs w:val="32"/>
          <w:highlight w:val="none"/>
        </w:rPr>
        <w:t>万元，完成预算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p>
    <w:p>
      <w:pPr>
        <w:keepNext w:val="0"/>
        <w:keepLines w:val="0"/>
        <w:pageBreakBefore w:val="0"/>
        <w:widowControl w:val="0"/>
        <w:kinsoku/>
        <w:wordWrap/>
        <w:overflowPunct/>
        <w:topLinePunct w:val="0"/>
        <w:bidi w:val="0"/>
        <w:spacing w:line="600" w:lineRule="exact"/>
        <w:ind w:firstLine="642" w:firstLineChars="200"/>
        <w:jc w:val="both"/>
        <w:textAlignment w:val="auto"/>
        <w:rPr>
          <w:rFonts w:ascii="仿宋" w:hAnsi="仿宋" w:eastAsia="仿宋"/>
          <w:b/>
          <w:color w:val="auto"/>
          <w:sz w:val="32"/>
          <w:szCs w:val="32"/>
          <w:highlight w:val="none"/>
        </w:rPr>
      </w:pPr>
      <w:r>
        <w:rPr>
          <w:rStyle w:val="19"/>
          <w:rFonts w:hint="eastAsia" w:ascii="仿宋" w:hAnsi="仿宋" w:eastAsia="仿宋"/>
          <w:bCs/>
          <w:color w:val="auto"/>
          <w:sz w:val="32"/>
          <w:szCs w:val="32"/>
          <w:highlight w:val="none"/>
          <w:lang w:val="en-US" w:eastAsia="zh-CN"/>
        </w:rPr>
        <w:t>5</w:t>
      </w:r>
      <w:r>
        <w:rPr>
          <w:rStyle w:val="19"/>
          <w:rFonts w:ascii="仿宋" w:hAnsi="仿宋" w:eastAsia="仿宋"/>
          <w:bCs/>
          <w:color w:val="auto"/>
          <w:sz w:val="32"/>
          <w:szCs w:val="32"/>
          <w:highlight w:val="none"/>
        </w:rPr>
        <w:t>.</w:t>
      </w:r>
      <w:r>
        <w:rPr>
          <w:rFonts w:hint="eastAsia" w:ascii="仿宋" w:hAnsi="仿宋" w:eastAsia="仿宋"/>
          <w:b/>
          <w:bCs/>
          <w:color w:val="auto"/>
          <w:sz w:val="32"/>
          <w:szCs w:val="32"/>
          <w:highlight w:val="none"/>
        </w:rPr>
        <w:t>卫生健康</w:t>
      </w:r>
      <w:r>
        <w:rPr>
          <w:rFonts w:hint="eastAsia" w:ascii="仿宋" w:hAnsi="仿宋" w:eastAsia="仿宋"/>
          <w:b/>
          <w:bCs/>
          <w:color w:val="auto"/>
          <w:sz w:val="32"/>
          <w:szCs w:val="32"/>
          <w:highlight w:val="none"/>
          <w:lang w:val="en-US" w:eastAsia="zh-CN"/>
        </w:rPr>
        <w:t>支出</w:t>
      </w:r>
      <w:r>
        <w:rPr>
          <w:rStyle w:val="19"/>
          <w:rFonts w:hint="eastAsia" w:ascii="仿宋" w:hAnsi="仿宋" w:eastAsia="仿宋"/>
          <w:bCs/>
          <w:color w:val="auto"/>
          <w:sz w:val="32"/>
          <w:szCs w:val="32"/>
          <w:highlight w:val="none"/>
        </w:rPr>
        <w:t>（</w:t>
      </w:r>
      <w:r>
        <w:rPr>
          <w:rStyle w:val="19"/>
          <w:rFonts w:hint="eastAsia" w:ascii="仿宋" w:hAnsi="仿宋" w:eastAsia="仿宋"/>
          <w:bCs/>
          <w:color w:val="auto"/>
          <w:sz w:val="32"/>
          <w:szCs w:val="32"/>
          <w:highlight w:val="none"/>
          <w:lang w:val="en-US" w:eastAsia="zh-CN"/>
        </w:rPr>
        <w:t>210</w:t>
      </w:r>
      <w:r>
        <w:rPr>
          <w:rStyle w:val="19"/>
          <w:rFonts w:hint="eastAsia" w:ascii="仿宋" w:hAnsi="仿宋" w:eastAsia="仿宋"/>
          <w:bCs/>
          <w:color w:val="auto"/>
          <w:sz w:val="32"/>
          <w:szCs w:val="32"/>
          <w:highlight w:val="none"/>
        </w:rPr>
        <w:t>类）</w:t>
      </w:r>
      <w:r>
        <w:rPr>
          <w:rStyle w:val="19"/>
          <w:rFonts w:hint="eastAsia" w:ascii="仿宋" w:hAnsi="仿宋" w:eastAsia="仿宋"/>
          <w:bCs/>
          <w:color w:val="auto"/>
          <w:sz w:val="32"/>
          <w:szCs w:val="32"/>
          <w:highlight w:val="none"/>
          <w:lang w:eastAsia="zh-CN"/>
        </w:rPr>
        <w:t>公共卫生</w:t>
      </w:r>
      <w:r>
        <w:rPr>
          <w:rStyle w:val="19"/>
          <w:rFonts w:hint="eastAsia" w:ascii="仿宋" w:hAnsi="仿宋" w:eastAsia="仿宋"/>
          <w:bCs/>
          <w:color w:val="auto"/>
          <w:sz w:val="32"/>
          <w:szCs w:val="32"/>
          <w:highlight w:val="none"/>
        </w:rPr>
        <w:t>（</w:t>
      </w:r>
      <w:r>
        <w:rPr>
          <w:rStyle w:val="19"/>
          <w:rFonts w:hint="eastAsia" w:ascii="仿宋" w:hAnsi="仿宋" w:eastAsia="仿宋"/>
          <w:bCs/>
          <w:color w:val="auto"/>
          <w:sz w:val="32"/>
          <w:szCs w:val="32"/>
          <w:highlight w:val="none"/>
          <w:lang w:val="en-US" w:eastAsia="zh-CN"/>
        </w:rPr>
        <w:t>04</w:t>
      </w:r>
      <w:r>
        <w:rPr>
          <w:rStyle w:val="19"/>
          <w:rFonts w:hint="eastAsia" w:ascii="仿宋" w:hAnsi="仿宋" w:eastAsia="仿宋"/>
          <w:bCs/>
          <w:color w:val="auto"/>
          <w:sz w:val="32"/>
          <w:szCs w:val="32"/>
          <w:highlight w:val="none"/>
        </w:rPr>
        <w:t>款）</w:t>
      </w:r>
      <w:r>
        <w:rPr>
          <w:rStyle w:val="19"/>
          <w:rFonts w:hint="eastAsia" w:ascii="仿宋" w:hAnsi="仿宋" w:eastAsia="仿宋"/>
          <w:bCs/>
          <w:color w:val="auto"/>
          <w:sz w:val="32"/>
          <w:szCs w:val="32"/>
          <w:highlight w:val="none"/>
          <w:lang w:eastAsia="zh-CN"/>
        </w:rPr>
        <w:t>重大公共卫生服务</w:t>
      </w:r>
      <w:r>
        <w:rPr>
          <w:rStyle w:val="19"/>
          <w:rFonts w:hint="eastAsia" w:ascii="仿宋" w:hAnsi="仿宋" w:eastAsia="仿宋"/>
          <w:bCs/>
          <w:color w:val="auto"/>
          <w:sz w:val="32"/>
          <w:szCs w:val="32"/>
          <w:highlight w:val="none"/>
        </w:rPr>
        <w:t>（</w:t>
      </w:r>
      <w:r>
        <w:rPr>
          <w:rStyle w:val="19"/>
          <w:rFonts w:hint="eastAsia" w:ascii="仿宋" w:hAnsi="仿宋" w:eastAsia="仿宋"/>
          <w:bCs/>
          <w:color w:val="auto"/>
          <w:sz w:val="32"/>
          <w:szCs w:val="32"/>
          <w:highlight w:val="none"/>
          <w:lang w:val="en-US" w:eastAsia="zh-CN"/>
        </w:rPr>
        <w:t>09</w:t>
      </w:r>
      <w:r>
        <w:rPr>
          <w:rStyle w:val="19"/>
          <w:rFonts w:hint="eastAsia" w:ascii="仿宋" w:hAnsi="仿宋" w:eastAsia="仿宋"/>
          <w:bCs/>
          <w:color w:val="auto"/>
          <w:sz w:val="32"/>
          <w:szCs w:val="32"/>
          <w:highlight w:val="none"/>
        </w:rPr>
        <w:t>项）</w:t>
      </w:r>
      <w:r>
        <w:rPr>
          <w:rStyle w:val="19"/>
          <w:rFonts w:ascii="仿宋" w:hAnsi="仿宋" w:eastAsia="仿宋"/>
          <w:bCs/>
          <w:color w:val="auto"/>
          <w:sz w:val="32"/>
          <w:szCs w:val="32"/>
          <w:highlight w:val="none"/>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1</w:t>
      </w:r>
      <w:r>
        <w:rPr>
          <w:rStyle w:val="19"/>
          <w:rFonts w:hint="eastAsia" w:ascii="仿宋" w:hAnsi="仿宋" w:eastAsia="仿宋"/>
          <w:b w:val="0"/>
          <w:bCs/>
          <w:color w:val="auto"/>
          <w:sz w:val="32"/>
          <w:szCs w:val="32"/>
          <w:highlight w:val="none"/>
        </w:rPr>
        <w:t>万元，完成预算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p>
    <w:p>
      <w:pPr>
        <w:pStyle w:val="2"/>
        <w:keepNext w:val="0"/>
        <w:keepLines w:val="0"/>
        <w:pageBreakBefore w:val="0"/>
        <w:widowControl w:val="0"/>
        <w:kinsoku/>
        <w:wordWrap/>
        <w:overflowPunct/>
        <w:topLinePunct w:val="0"/>
        <w:autoSpaceDE/>
        <w:autoSpaceDN/>
        <w:bidi w:val="0"/>
        <w:adjustRightInd/>
        <w:snapToGrid w:val="0"/>
        <w:spacing w:line="600" w:lineRule="exact"/>
        <w:ind w:firstLine="642" w:firstLineChars="200"/>
        <w:jc w:val="both"/>
        <w:textAlignment w:val="auto"/>
        <w:rPr>
          <w:rStyle w:val="19"/>
          <w:rFonts w:hint="eastAsia" w:ascii="仿宋" w:hAnsi="仿宋" w:eastAsia="仿宋" w:cs="仿宋"/>
          <w:b w:val="0"/>
          <w:bCs/>
          <w:color w:val="auto"/>
          <w:sz w:val="32"/>
          <w:szCs w:val="32"/>
          <w:highlight w:val="none"/>
          <w:lang w:eastAsia="zh-CN"/>
        </w:rPr>
      </w:pPr>
      <w:r>
        <w:rPr>
          <w:rStyle w:val="19"/>
          <w:rFonts w:hint="eastAsia" w:ascii="仿宋" w:hAnsi="仿宋" w:eastAsia="仿宋" w:cs="Times New Roman"/>
          <w:bCs/>
          <w:color w:val="auto"/>
          <w:sz w:val="32"/>
          <w:szCs w:val="32"/>
          <w:highlight w:val="none"/>
          <w:lang w:eastAsia="zh-CN"/>
        </w:rPr>
        <w:t>行政事业单位医疗（</w:t>
      </w:r>
      <w:r>
        <w:rPr>
          <w:rStyle w:val="19"/>
          <w:rFonts w:hint="eastAsia" w:ascii="仿宋" w:hAnsi="仿宋" w:eastAsia="仿宋" w:cs="Times New Roman"/>
          <w:bCs/>
          <w:color w:val="auto"/>
          <w:sz w:val="32"/>
          <w:szCs w:val="32"/>
          <w:highlight w:val="none"/>
          <w:lang w:val="en-US" w:eastAsia="zh-CN"/>
        </w:rPr>
        <w:t>11款</w:t>
      </w:r>
      <w:r>
        <w:rPr>
          <w:rStyle w:val="19"/>
          <w:rFonts w:hint="eastAsia" w:ascii="仿宋" w:hAnsi="仿宋" w:eastAsia="仿宋" w:cs="Times New Roman"/>
          <w:bCs/>
          <w:color w:val="auto"/>
          <w:sz w:val="32"/>
          <w:szCs w:val="32"/>
          <w:highlight w:val="none"/>
          <w:lang w:eastAsia="zh-CN"/>
        </w:rPr>
        <w:t>）行政单位医疗（</w:t>
      </w:r>
      <w:r>
        <w:rPr>
          <w:rStyle w:val="19"/>
          <w:rFonts w:hint="eastAsia" w:ascii="仿宋" w:hAnsi="仿宋" w:eastAsia="仿宋" w:cs="Times New Roman"/>
          <w:bCs/>
          <w:color w:val="auto"/>
          <w:sz w:val="32"/>
          <w:szCs w:val="32"/>
          <w:highlight w:val="none"/>
          <w:lang w:val="en-US" w:eastAsia="zh-CN"/>
        </w:rPr>
        <w:t>01项</w:t>
      </w:r>
      <w:r>
        <w:rPr>
          <w:rStyle w:val="19"/>
          <w:rFonts w:hint="eastAsia" w:ascii="仿宋" w:hAnsi="仿宋" w:eastAsia="仿宋" w:cs="Times New Roman"/>
          <w:bCs/>
          <w:color w:val="auto"/>
          <w:sz w:val="32"/>
          <w:szCs w:val="32"/>
          <w:highlight w:val="none"/>
          <w:lang w:eastAsia="zh-CN"/>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25.15</w:t>
      </w:r>
      <w:r>
        <w:rPr>
          <w:rStyle w:val="19"/>
          <w:rFonts w:hint="eastAsia" w:ascii="仿宋" w:hAnsi="仿宋" w:eastAsia="仿宋"/>
          <w:b w:val="0"/>
          <w:bCs/>
          <w:color w:val="auto"/>
          <w:sz w:val="32"/>
          <w:szCs w:val="32"/>
          <w:highlight w:val="none"/>
        </w:rPr>
        <w:t>万元，完成预算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r>
        <w:rPr>
          <w:rStyle w:val="19"/>
          <w:rFonts w:hint="eastAsia" w:ascii="仿宋" w:hAnsi="仿宋" w:eastAsia="仿宋" w:cs="Times New Roman"/>
          <w:bCs/>
          <w:color w:val="auto"/>
          <w:sz w:val="32"/>
          <w:szCs w:val="32"/>
          <w:highlight w:val="none"/>
          <w:lang w:eastAsia="zh-CN"/>
        </w:rPr>
        <w:t>事业单位医疗（</w:t>
      </w:r>
      <w:r>
        <w:rPr>
          <w:rStyle w:val="19"/>
          <w:rFonts w:hint="eastAsia" w:ascii="仿宋" w:hAnsi="仿宋" w:eastAsia="仿宋" w:cs="Times New Roman"/>
          <w:bCs/>
          <w:color w:val="auto"/>
          <w:sz w:val="32"/>
          <w:szCs w:val="32"/>
          <w:highlight w:val="none"/>
          <w:lang w:val="en-US" w:eastAsia="zh-CN"/>
        </w:rPr>
        <w:t>02项</w:t>
      </w:r>
      <w:r>
        <w:rPr>
          <w:rStyle w:val="19"/>
          <w:rFonts w:hint="eastAsia" w:ascii="仿宋" w:hAnsi="仿宋" w:eastAsia="仿宋" w:cs="Times New Roman"/>
          <w:bCs/>
          <w:color w:val="auto"/>
          <w:sz w:val="32"/>
          <w:szCs w:val="32"/>
          <w:highlight w:val="none"/>
          <w:lang w:eastAsia="zh-CN"/>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21.32</w:t>
      </w:r>
      <w:r>
        <w:rPr>
          <w:rStyle w:val="19"/>
          <w:rFonts w:hint="eastAsia" w:ascii="仿宋" w:hAnsi="仿宋" w:eastAsia="仿宋"/>
          <w:b w:val="0"/>
          <w:bCs/>
          <w:color w:val="auto"/>
          <w:sz w:val="32"/>
          <w:szCs w:val="32"/>
          <w:highlight w:val="none"/>
        </w:rPr>
        <w:t>万元，完成预算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r>
        <w:rPr>
          <w:rStyle w:val="19"/>
          <w:rFonts w:hint="eastAsia" w:ascii="仿宋" w:hAnsi="仿宋" w:eastAsia="仿宋" w:cs="Times New Roman"/>
          <w:bCs/>
          <w:color w:val="auto"/>
          <w:sz w:val="32"/>
          <w:szCs w:val="32"/>
          <w:highlight w:val="none"/>
          <w:lang w:eastAsia="zh-CN"/>
        </w:rPr>
        <w:t>公务员医疗补助（</w:t>
      </w:r>
      <w:r>
        <w:rPr>
          <w:rStyle w:val="19"/>
          <w:rFonts w:hint="eastAsia" w:ascii="仿宋" w:hAnsi="仿宋" w:eastAsia="仿宋" w:cs="Times New Roman"/>
          <w:bCs/>
          <w:color w:val="auto"/>
          <w:sz w:val="32"/>
          <w:szCs w:val="32"/>
          <w:highlight w:val="none"/>
          <w:lang w:val="en-US" w:eastAsia="zh-CN"/>
        </w:rPr>
        <w:t>03项</w:t>
      </w:r>
      <w:r>
        <w:rPr>
          <w:rStyle w:val="19"/>
          <w:rFonts w:hint="eastAsia" w:ascii="仿宋" w:hAnsi="仿宋" w:eastAsia="仿宋" w:cs="Times New Roman"/>
          <w:bCs/>
          <w:color w:val="auto"/>
          <w:sz w:val="32"/>
          <w:szCs w:val="32"/>
          <w:highlight w:val="none"/>
          <w:lang w:eastAsia="zh-CN"/>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4.51</w:t>
      </w:r>
      <w:r>
        <w:rPr>
          <w:rStyle w:val="19"/>
          <w:rFonts w:hint="eastAsia" w:ascii="仿宋" w:hAnsi="仿宋" w:eastAsia="仿宋"/>
          <w:b w:val="0"/>
          <w:bCs/>
          <w:color w:val="auto"/>
          <w:sz w:val="32"/>
          <w:szCs w:val="32"/>
          <w:highlight w:val="none"/>
        </w:rPr>
        <w:t>万元，完成预算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r>
        <w:rPr>
          <w:rStyle w:val="19"/>
          <w:rFonts w:hint="eastAsia" w:ascii="仿宋" w:hAnsi="仿宋" w:eastAsia="仿宋" w:cs="Times New Roman"/>
          <w:bCs/>
          <w:color w:val="auto"/>
          <w:sz w:val="32"/>
          <w:szCs w:val="32"/>
          <w:highlight w:val="none"/>
          <w:lang w:eastAsia="zh-CN"/>
        </w:rPr>
        <w:t>其他行政事业单位医疗支出（</w:t>
      </w:r>
      <w:r>
        <w:rPr>
          <w:rStyle w:val="19"/>
          <w:rFonts w:hint="eastAsia" w:ascii="仿宋" w:hAnsi="仿宋" w:eastAsia="仿宋" w:cs="Times New Roman"/>
          <w:bCs/>
          <w:color w:val="auto"/>
          <w:sz w:val="32"/>
          <w:szCs w:val="32"/>
          <w:highlight w:val="none"/>
          <w:lang w:val="en-US" w:eastAsia="zh-CN"/>
        </w:rPr>
        <w:t>99项</w:t>
      </w:r>
      <w:r>
        <w:rPr>
          <w:rStyle w:val="19"/>
          <w:rFonts w:hint="eastAsia" w:ascii="仿宋" w:hAnsi="仿宋" w:eastAsia="仿宋" w:cs="Times New Roman"/>
          <w:bCs/>
          <w:color w:val="auto"/>
          <w:sz w:val="32"/>
          <w:szCs w:val="32"/>
          <w:highlight w:val="none"/>
          <w:lang w:eastAsia="zh-CN"/>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3.56</w:t>
      </w:r>
      <w:r>
        <w:rPr>
          <w:rStyle w:val="19"/>
          <w:rFonts w:hint="eastAsia" w:ascii="仿宋" w:hAnsi="仿宋" w:eastAsia="仿宋"/>
          <w:b w:val="0"/>
          <w:bCs/>
          <w:color w:val="auto"/>
          <w:sz w:val="32"/>
          <w:szCs w:val="32"/>
          <w:highlight w:val="none"/>
        </w:rPr>
        <w:t>万元，完成预算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p>
    <w:p>
      <w:pPr>
        <w:pStyle w:val="28"/>
        <w:keepNext w:val="0"/>
        <w:keepLines w:val="0"/>
        <w:pageBreakBefore w:val="0"/>
        <w:widowControl w:val="0"/>
        <w:numPr>
          <w:ilvl w:val="0"/>
          <w:numId w:val="0"/>
        </w:numPr>
        <w:kinsoku/>
        <w:wordWrap/>
        <w:overflowPunct/>
        <w:topLinePunct w:val="0"/>
        <w:bidi w:val="0"/>
        <w:snapToGrid/>
        <w:spacing w:line="600" w:lineRule="exact"/>
        <w:ind w:firstLine="642" w:firstLineChars="200"/>
        <w:jc w:val="both"/>
        <w:textAlignment w:val="auto"/>
        <w:rPr>
          <w:rStyle w:val="19"/>
          <w:rFonts w:hint="eastAsia" w:ascii="仿宋" w:hAnsi="仿宋" w:eastAsia="仿宋" w:cs="仿宋"/>
          <w:b w:val="0"/>
          <w:bCs/>
          <w:color w:val="auto"/>
          <w:sz w:val="32"/>
          <w:szCs w:val="32"/>
          <w:highlight w:val="none"/>
          <w:lang w:eastAsia="zh-CN"/>
        </w:rPr>
      </w:pPr>
      <w:r>
        <w:rPr>
          <w:rStyle w:val="19"/>
          <w:rFonts w:hint="eastAsia" w:hAnsi="仿宋" w:cs="仿宋"/>
          <w:b/>
          <w:bCs w:val="0"/>
          <w:color w:val="auto"/>
          <w:sz w:val="32"/>
          <w:szCs w:val="32"/>
          <w:highlight w:val="none"/>
          <w:lang w:val="en-US" w:eastAsia="zh-CN"/>
        </w:rPr>
        <w:t>6.</w:t>
      </w:r>
      <w:r>
        <w:rPr>
          <w:rStyle w:val="19"/>
          <w:rFonts w:hint="eastAsia" w:ascii="仿宋" w:hAnsi="仿宋" w:eastAsia="仿宋" w:cs="仿宋"/>
          <w:b/>
          <w:bCs w:val="0"/>
          <w:color w:val="auto"/>
          <w:sz w:val="32"/>
          <w:szCs w:val="32"/>
          <w:highlight w:val="none"/>
          <w:lang w:val="en-US" w:eastAsia="zh-CN"/>
        </w:rPr>
        <w:t>农林水支出（213类）农业农村（01款）</w:t>
      </w:r>
      <w:r>
        <w:rPr>
          <w:rStyle w:val="19"/>
          <w:rFonts w:hint="eastAsia" w:hAnsi="仿宋" w:cs="仿宋"/>
          <w:b/>
          <w:bCs w:val="0"/>
          <w:color w:val="auto"/>
          <w:sz w:val="32"/>
          <w:szCs w:val="32"/>
          <w:highlight w:val="none"/>
          <w:lang w:val="en-US" w:eastAsia="zh-CN"/>
        </w:rPr>
        <w:t>一般行政管理事务</w:t>
      </w:r>
      <w:r>
        <w:rPr>
          <w:rStyle w:val="19"/>
          <w:rFonts w:hint="eastAsia" w:ascii="仿宋" w:hAnsi="仿宋" w:eastAsia="仿宋" w:cs="仿宋"/>
          <w:b/>
          <w:bCs w:val="0"/>
          <w:color w:val="auto"/>
          <w:sz w:val="32"/>
          <w:szCs w:val="32"/>
          <w:highlight w:val="none"/>
          <w:lang w:val="en-US" w:eastAsia="zh-CN"/>
        </w:rPr>
        <w:t>（0</w:t>
      </w:r>
      <w:r>
        <w:rPr>
          <w:rStyle w:val="19"/>
          <w:rFonts w:hint="eastAsia" w:hAnsi="仿宋" w:cs="仿宋"/>
          <w:b/>
          <w:bCs w:val="0"/>
          <w:color w:val="auto"/>
          <w:sz w:val="32"/>
          <w:szCs w:val="32"/>
          <w:highlight w:val="none"/>
          <w:lang w:val="en-US" w:eastAsia="zh-CN"/>
        </w:rPr>
        <w:t>2</w:t>
      </w:r>
      <w:r>
        <w:rPr>
          <w:rStyle w:val="19"/>
          <w:rFonts w:hint="eastAsia" w:ascii="仿宋" w:hAnsi="仿宋" w:eastAsia="仿宋" w:cs="仿宋"/>
          <w:b/>
          <w:bCs w:val="0"/>
          <w:color w:val="auto"/>
          <w:sz w:val="32"/>
          <w:szCs w:val="32"/>
          <w:highlight w:val="none"/>
          <w:lang w:val="en-US" w:eastAsia="zh-CN"/>
        </w:rPr>
        <w:t>项）：</w:t>
      </w:r>
      <w:r>
        <w:rPr>
          <w:rStyle w:val="19"/>
          <w:rFonts w:hint="eastAsia" w:ascii="仿宋" w:hAnsi="仿宋" w:eastAsia="仿宋" w:cs="仿宋"/>
          <w:b w:val="0"/>
          <w:bCs/>
          <w:color w:val="auto"/>
          <w:sz w:val="32"/>
          <w:szCs w:val="32"/>
          <w:highlight w:val="none"/>
          <w:lang w:val="en-US" w:eastAsia="zh-CN"/>
        </w:rPr>
        <w:t>支出</w:t>
      </w:r>
      <w:r>
        <w:rPr>
          <w:rStyle w:val="19"/>
          <w:rFonts w:hint="eastAsia" w:ascii="仿宋" w:hAnsi="仿宋" w:eastAsia="仿宋" w:cs="仿宋"/>
          <w:b w:val="0"/>
          <w:bCs/>
          <w:color w:val="auto"/>
          <w:sz w:val="32"/>
          <w:szCs w:val="32"/>
          <w:highlight w:val="none"/>
        </w:rPr>
        <w:t>决算为</w:t>
      </w:r>
      <w:r>
        <w:rPr>
          <w:rStyle w:val="19"/>
          <w:rFonts w:hint="eastAsia" w:hAnsi="仿宋" w:cs="仿宋"/>
          <w:b w:val="0"/>
          <w:bCs/>
          <w:color w:val="auto"/>
          <w:sz w:val="32"/>
          <w:szCs w:val="32"/>
          <w:highlight w:val="none"/>
          <w:lang w:val="en-US" w:eastAsia="zh-CN"/>
        </w:rPr>
        <w:t>10.66</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r>
        <w:rPr>
          <w:rStyle w:val="19"/>
          <w:rFonts w:hint="eastAsia" w:ascii="仿宋" w:hAnsi="仿宋" w:eastAsia="仿宋" w:cs="仿宋"/>
          <w:b/>
          <w:bCs w:val="0"/>
          <w:color w:val="auto"/>
          <w:sz w:val="32"/>
          <w:szCs w:val="32"/>
          <w:highlight w:val="none"/>
          <w:lang w:val="en-US" w:eastAsia="zh-CN"/>
        </w:rPr>
        <w:t>农业农村（01款）事业运行（04项）：</w:t>
      </w:r>
      <w:r>
        <w:rPr>
          <w:rStyle w:val="19"/>
          <w:rFonts w:hint="eastAsia" w:ascii="仿宋" w:hAnsi="仿宋" w:eastAsia="仿宋" w:cs="仿宋"/>
          <w:b w:val="0"/>
          <w:bCs/>
          <w:color w:val="auto"/>
          <w:sz w:val="32"/>
          <w:szCs w:val="32"/>
          <w:highlight w:val="none"/>
          <w:lang w:val="en-US" w:eastAsia="zh-CN"/>
        </w:rPr>
        <w:t>支出</w:t>
      </w:r>
      <w:r>
        <w:rPr>
          <w:rStyle w:val="19"/>
          <w:rFonts w:hint="eastAsia" w:ascii="仿宋" w:hAnsi="仿宋" w:eastAsia="仿宋" w:cs="仿宋"/>
          <w:b w:val="0"/>
          <w:bCs/>
          <w:color w:val="auto"/>
          <w:sz w:val="32"/>
          <w:szCs w:val="32"/>
          <w:highlight w:val="none"/>
        </w:rPr>
        <w:t>决算为</w:t>
      </w:r>
      <w:r>
        <w:rPr>
          <w:rStyle w:val="19"/>
          <w:rFonts w:hint="eastAsia" w:hAnsi="仿宋" w:cs="仿宋"/>
          <w:b w:val="0"/>
          <w:bCs/>
          <w:color w:val="auto"/>
          <w:sz w:val="32"/>
          <w:szCs w:val="32"/>
          <w:highlight w:val="none"/>
          <w:lang w:val="en-US" w:eastAsia="zh-CN"/>
        </w:rPr>
        <w:t>364.15</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r>
        <w:rPr>
          <w:rStyle w:val="19"/>
          <w:rFonts w:hint="eastAsia" w:ascii="仿宋" w:hAnsi="仿宋" w:eastAsia="仿宋" w:cs="仿宋"/>
          <w:b/>
          <w:bCs w:val="0"/>
          <w:color w:val="auto"/>
          <w:sz w:val="32"/>
          <w:szCs w:val="32"/>
          <w:highlight w:val="none"/>
          <w:lang w:eastAsia="zh-CN"/>
        </w:rPr>
        <w:t>病虫害控制（</w:t>
      </w:r>
      <w:r>
        <w:rPr>
          <w:rStyle w:val="19"/>
          <w:rFonts w:hint="eastAsia" w:ascii="仿宋" w:hAnsi="仿宋" w:eastAsia="仿宋" w:cs="仿宋"/>
          <w:b/>
          <w:bCs w:val="0"/>
          <w:color w:val="auto"/>
          <w:sz w:val="32"/>
          <w:szCs w:val="32"/>
          <w:highlight w:val="none"/>
          <w:lang w:val="en-US" w:eastAsia="zh-CN"/>
        </w:rPr>
        <w:t>08项</w:t>
      </w:r>
      <w:r>
        <w:rPr>
          <w:rStyle w:val="19"/>
          <w:rFonts w:hint="eastAsia" w:ascii="仿宋" w:hAnsi="仿宋" w:eastAsia="仿宋" w:cs="仿宋"/>
          <w:b/>
          <w:bCs w:val="0"/>
          <w:color w:val="auto"/>
          <w:sz w:val="32"/>
          <w:szCs w:val="32"/>
          <w:highlight w:val="none"/>
          <w:lang w:eastAsia="zh-CN"/>
        </w:rPr>
        <w:t>）：</w:t>
      </w:r>
      <w:r>
        <w:rPr>
          <w:rStyle w:val="19"/>
          <w:rFonts w:hint="eastAsia" w:ascii="仿宋" w:hAnsi="仿宋" w:eastAsia="仿宋" w:cs="仿宋"/>
          <w:b w:val="0"/>
          <w:bCs/>
          <w:color w:val="auto"/>
          <w:sz w:val="32"/>
          <w:szCs w:val="32"/>
          <w:highlight w:val="none"/>
          <w:lang w:eastAsia="zh-CN"/>
        </w:rPr>
        <w:t>支出</w:t>
      </w:r>
      <w:r>
        <w:rPr>
          <w:rStyle w:val="19"/>
          <w:rFonts w:hint="eastAsia" w:ascii="仿宋" w:hAnsi="仿宋" w:eastAsia="仿宋" w:cs="仿宋"/>
          <w:b w:val="0"/>
          <w:bCs/>
          <w:color w:val="auto"/>
          <w:sz w:val="32"/>
          <w:szCs w:val="32"/>
          <w:highlight w:val="none"/>
        </w:rPr>
        <w:t>决算为</w:t>
      </w:r>
      <w:r>
        <w:rPr>
          <w:rStyle w:val="19"/>
          <w:rFonts w:hint="eastAsia" w:ascii="仿宋" w:hAnsi="仿宋" w:eastAsia="仿宋" w:cs="仿宋"/>
          <w:b w:val="0"/>
          <w:bCs/>
          <w:color w:val="auto"/>
          <w:sz w:val="32"/>
          <w:szCs w:val="32"/>
          <w:highlight w:val="none"/>
          <w:lang w:val="en-US" w:eastAsia="zh-CN"/>
        </w:rPr>
        <w:t>0.77</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r>
        <w:rPr>
          <w:rStyle w:val="19"/>
          <w:rFonts w:hint="eastAsia" w:ascii="仿宋" w:hAnsi="仿宋" w:eastAsia="仿宋" w:cs="仿宋"/>
          <w:b/>
          <w:bCs w:val="0"/>
          <w:color w:val="auto"/>
          <w:sz w:val="32"/>
          <w:szCs w:val="32"/>
          <w:highlight w:val="none"/>
          <w:lang w:eastAsia="zh-CN"/>
        </w:rPr>
        <w:t>其他农业农村支出（</w:t>
      </w:r>
      <w:r>
        <w:rPr>
          <w:rStyle w:val="19"/>
          <w:rFonts w:hint="eastAsia" w:ascii="仿宋" w:hAnsi="仿宋" w:eastAsia="仿宋" w:cs="仿宋"/>
          <w:b/>
          <w:bCs w:val="0"/>
          <w:color w:val="auto"/>
          <w:sz w:val="32"/>
          <w:szCs w:val="32"/>
          <w:highlight w:val="none"/>
          <w:lang w:val="en-US" w:eastAsia="zh-CN"/>
        </w:rPr>
        <w:t>99项</w:t>
      </w:r>
      <w:r>
        <w:rPr>
          <w:rStyle w:val="19"/>
          <w:rFonts w:hint="eastAsia" w:ascii="仿宋" w:hAnsi="仿宋" w:eastAsia="仿宋" w:cs="仿宋"/>
          <w:b/>
          <w:bCs w:val="0"/>
          <w:color w:val="auto"/>
          <w:sz w:val="32"/>
          <w:szCs w:val="32"/>
          <w:highlight w:val="none"/>
          <w:lang w:eastAsia="zh-CN"/>
        </w:rPr>
        <w:t>）：</w:t>
      </w:r>
      <w:r>
        <w:rPr>
          <w:rStyle w:val="19"/>
          <w:rFonts w:hint="eastAsia" w:ascii="仿宋" w:hAnsi="仿宋" w:eastAsia="仿宋" w:cs="仿宋"/>
          <w:b w:val="0"/>
          <w:bCs/>
          <w:color w:val="auto"/>
          <w:sz w:val="32"/>
          <w:szCs w:val="32"/>
          <w:highlight w:val="none"/>
          <w:lang w:eastAsia="zh-CN"/>
        </w:rPr>
        <w:t>支出</w:t>
      </w:r>
      <w:r>
        <w:rPr>
          <w:rStyle w:val="19"/>
          <w:rFonts w:hint="eastAsia" w:ascii="仿宋" w:hAnsi="仿宋" w:eastAsia="仿宋" w:cs="仿宋"/>
          <w:b w:val="0"/>
          <w:bCs/>
          <w:color w:val="auto"/>
          <w:sz w:val="32"/>
          <w:szCs w:val="32"/>
          <w:highlight w:val="none"/>
        </w:rPr>
        <w:t>决算为</w:t>
      </w:r>
      <w:r>
        <w:rPr>
          <w:rStyle w:val="19"/>
          <w:rFonts w:hint="eastAsia" w:hAnsi="仿宋" w:cs="仿宋"/>
          <w:b w:val="0"/>
          <w:bCs/>
          <w:color w:val="auto"/>
          <w:sz w:val="32"/>
          <w:szCs w:val="32"/>
          <w:highlight w:val="none"/>
          <w:lang w:val="en-US" w:eastAsia="zh-CN"/>
        </w:rPr>
        <w:t>266.48</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p>
    <w:p>
      <w:pPr>
        <w:pStyle w:val="28"/>
        <w:keepNext w:val="0"/>
        <w:keepLines w:val="0"/>
        <w:pageBreakBefore w:val="0"/>
        <w:widowControl w:val="0"/>
        <w:numPr>
          <w:ilvl w:val="0"/>
          <w:numId w:val="0"/>
        </w:numPr>
        <w:kinsoku/>
        <w:wordWrap/>
        <w:overflowPunct/>
        <w:topLinePunct w:val="0"/>
        <w:bidi w:val="0"/>
        <w:snapToGrid/>
        <w:spacing w:line="600" w:lineRule="exact"/>
        <w:ind w:firstLine="642" w:firstLineChars="200"/>
        <w:jc w:val="both"/>
        <w:textAlignment w:val="auto"/>
        <w:rPr>
          <w:rStyle w:val="19"/>
          <w:rFonts w:hint="eastAsia" w:ascii="仿宋" w:hAnsi="仿宋" w:eastAsia="仿宋" w:cs="仿宋"/>
          <w:b w:val="0"/>
          <w:bCs/>
          <w:color w:val="auto"/>
          <w:sz w:val="32"/>
          <w:szCs w:val="32"/>
          <w:highlight w:val="none"/>
          <w:lang w:eastAsia="zh-CN"/>
        </w:rPr>
      </w:pPr>
      <w:r>
        <w:rPr>
          <w:rStyle w:val="19"/>
          <w:rFonts w:hint="eastAsia" w:ascii="仿宋" w:hAnsi="仿宋" w:eastAsia="仿宋" w:cs="仿宋"/>
          <w:b/>
          <w:bCs w:val="0"/>
          <w:color w:val="auto"/>
          <w:sz w:val="32"/>
          <w:szCs w:val="32"/>
          <w:highlight w:val="none"/>
          <w:lang w:val="en-US" w:eastAsia="zh-CN"/>
        </w:rPr>
        <w:t>水利（03款）防汛（14项）：</w:t>
      </w:r>
      <w:r>
        <w:rPr>
          <w:rStyle w:val="19"/>
          <w:rFonts w:hint="eastAsia" w:ascii="仿宋" w:hAnsi="仿宋" w:eastAsia="仿宋" w:cs="仿宋"/>
          <w:b w:val="0"/>
          <w:bCs/>
          <w:color w:val="auto"/>
          <w:sz w:val="32"/>
          <w:szCs w:val="32"/>
          <w:highlight w:val="none"/>
          <w:lang w:eastAsia="zh-CN"/>
        </w:rPr>
        <w:t>支出</w:t>
      </w:r>
      <w:r>
        <w:rPr>
          <w:rStyle w:val="19"/>
          <w:rFonts w:hint="eastAsia" w:ascii="仿宋" w:hAnsi="仿宋" w:eastAsia="仿宋" w:cs="仿宋"/>
          <w:b w:val="0"/>
          <w:bCs/>
          <w:color w:val="auto"/>
          <w:sz w:val="32"/>
          <w:szCs w:val="32"/>
          <w:highlight w:val="none"/>
        </w:rPr>
        <w:t>决算为</w:t>
      </w:r>
      <w:r>
        <w:rPr>
          <w:rStyle w:val="19"/>
          <w:rFonts w:hint="eastAsia" w:hAnsi="仿宋" w:cs="仿宋"/>
          <w:b w:val="0"/>
          <w:bCs/>
          <w:color w:val="auto"/>
          <w:sz w:val="32"/>
          <w:szCs w:val="32"/>
          <w:highlight w:val="none"/>
          <w:lang w:val="en-US" w:eastAsia="zh-CN"/>
        </w:rPr>
        <w:t>1.98</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r>
        <w:rPr>
          <w:rStyle w:val="19"/>
          <w:rFonts w:hint="eastAsia" w:hAnsi="仿宋" w:cs="仿宋"/>
          <w:b w:val="0"/>
          <w:bCs/>
          <w:color w:val="auto"/>
          <w:sz w:val="32"/>
          <w:szCs w:val="32"/>
          <w:highlight w:val="none"/>
          <w:lang w:eastAsia="zh-CN"/>
        </w:rPr>
        <w:t>。</w:t>
      </w:r>
    </w:p>
    <w:p>
      <w:pPr>
        <w:pStyle w:val="28"/>
        <w:keepNext w:val="0"/>
        <w:keepLines w:val="0"/>
        <w:pageBreakBefore w:val="0"/>
        <w:widowControl w:val="0"/>
        <w:numPr>
          <w:ilvl w:val="0"/>
          <w:numId w:val="0"/>
        </w:numPr>
        <w:kinsoku/>
        <w:wordWrap/>
        <w:overflowPunct/>
        <w:topLinePunct w:val="0"/>
        <w:bidi w:val="0"/>
        <w:snapToGrid/>
        <w:spacing w:line="600" w:lineRule="exact"/>
        <w:ind w:firstLine="642" w:firstLineChars="200"/>
        <w:jc w:val="both"/>
        <w:textAlignment w:val="auto"/>
        <w:rPr>
          <w:rStyle w:val="19"/>
          <w:rFonts w:hint="eastAsia" w:ascii="仿宋" w:hAnsi="仿宋" w:eastAsia="仿宋" w:cs="仿宋"/>
          <w:b w:val="0"/>
          <w:bCs/>
          <w:color w:val="auto"/>
          <w:sz w:val="32"/>
          <w:szCs w:val="32"/>
          <w:highlight w:val="none"/>
          <w:lang w:eastAsia="zh-CN"/>
        </w:rPr>
      </w:pPr>
      <w:r>
        <w:rPr>
          <w:rStyle w:val="19"/>
          <w:rFonts w:hint="eastAsia" w:hAnsi="仿宋" w:cs="仿宋"/>
          <w:b/>
          <w:bCs w:val="0"/>
          <w:color w:val="auto"/>
          <w:sz w:val="32"/>
          <w:szCs w:val="32"/>
          <w:highlight w:val="none"/>
          <w:lang w:val="en-US" w:eastAsia="zh-CN"/>
        </w:rPr>
        <w:t>巩固拓展脱贫攻坚成果</w:t>
      </w:r>
      <w:r>
        <w:rPr>
          <w:rStyle w:val="19"/>
          <w:rFonts w:hint="eastAsia" w:ascii="仿宋" w:hAnsi="仿宋" w:eastAsia="仿宋" w:cs="仿宋"/>
          <w:b/>
          <w:bCs w:val="0"/>
          <w:color w:val="auto"/>
          <w:sz w:val="32"/>
          <w:szCs w:val="32"/>
          <w:highlight w:val="none"/>
          <w:lang w:val="en-US" w:eastAsia="zh-CN"/>
        </w:rPr>
        <w:t>衔接乡村振兴（05款）农村基础设施建设（04项）：</w:t>
      </w:r>
      <w:r>
        <w:rPr>
          <w:rStyle w:val="19"/>
          <w:rFonts w:hint="eastAsia" w:ascii="仿宋" w:hAnsi="仿宋" w:eastAsia="仿宋" w:cs="仿宋"/>
          <w:b w:val="0"/>
          <w:bCs/>
          <w:color w:val="auto"/>
          <w:sz w:val="32"/>
          <w:szCs w:val="32"/>
          <w:highlight w:val="none"/>
          <w:lang w:eastAsia="zh-CN"/>
        </w:rPr>
        <w:t>支出</w:t>
      </w:r>
      <w:r>
        <w:rPr>
          <w:rStyle w:val="19"/>
          <w:rFonts w:hint="eastAsia" w:ascii="仿宋" w:hAnsi="仿宋" w:eastAsia="仿宋" w:cs="仿宋"/>
          <w:b w:val="0"/>
          <w:bCs/>
          <w:color w:val="auto"/>
          <w:sz w:val="32"/>
          <w:szCs w:val="32"/>
          <w:highlight w:val="none"/>
        </w:rPr>
        <w:t>决算为</w:t>
      </w:r>
      <w:r>
        <w:rPr>
          <w:rStyle w:val="19"/>
          <w:rFonts w:hint="eastAsia" w:hAnsi="仿宋" w:cs="仿宋"/>
          <w:b w:val="0"/>
          <w:bCs/>
          <w:color w:val="auto"/>
          <w:sz w:val="32"/>
          <w:szCs w:val="32"/>
          <w:highlight w:val="none"/>
          <w:lang w:val="en-US" w:eastAsia="zh-CN"/>
        </w:rPr>
        <w:t>452.18</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r>
        <w:rPr>
          <w:rStyle w:val="19"/>
          <w:rFonts w:hint="eastAsia" w:hAnsi="仿宋" w:cs="仿宋"/>
          <w:b w:val="0"/>
          <w:bCs/>
          <w:color w:val="auto"/>
          <w:sz w:val="32"/>
          <w:szCs w:val="32"/>
          <w:highlight w:val="none"/>
          <w:lang w:eastAsia="zh-CN"/>
        </w:rPr>
        <w:t>；</w:t>
      </w:r>
      <w:r>
        <w:rPr>
          <w:rStyle w:val="19"/>
          <w:rFonts w:hint="eastAsia" w:ascii="仿宋" w:hAnsi="仿宋" w:eastAsia="仿宋" w:cs="仿宋"/>
          <w:b/>
          <w:bCs w:val="0"/>
          <w:color w:val="auto"/>
          <w:sz w:val="32"/>
          <w:szCs w:val="32"/>
          <w:highlight w:val="none"/>
          <w:lang w:val="en-US" w:eastAsia="zh-CN"/>
        </w:rPr>
        <w:t>生产发展（05项）：</w:t>
      </w:r>
      <w:r>
        <w:rPr>
          <w:rStyle w:val="19"/>
          <w:rFonts w:hint="eastAsia" w:ascii="仿宋" w:hAnsi="仿宋" w:eastAsia="仿宋" w:cs="仿宋"/>
          <w:b w:val="0"/>
          <w:bCs/>
          <w:color w:val="auto"/>
          <w:sz w:val="32"/>
          <w:szCs w:val="32"/>
          <w:highlight w:val="none"/>
          <w:lang w:eastAsia="zh-CN"/>
        </w:rPr>
        <w:t>支出</w:t>
      </w:r>
      <w:r>
        <w:rPr>
          <w:rStyle w:val="19"/>
          <w:rFonts w:hint="eastAsia" w:ascii="仿宋" w:hAnsi="仿宋" w:eastAsia="仿宋" w:cs="仿宋"/>
          <w:b w:val="0"/>
          <w:bCs/>
          <w:color w:val="auto"/>
          <w:sz w:val="32"/>
          <w:szCs w:val="32"/>
          <w:highlight w:val="none"/>
        </w:rPr>
        <w:t>决算为</w:t>
      </w:r>
      <w:r>
        <w:rPr>
          <w:rStyle w:val="19"/>
          <w:rFonts w:hint="eastAsia" w:hAnsi="仿宋" w:cs="仿宋"/>
          <w:b w:val="0"/>
          <w:bCs/>
          <w:color w:val="auto"/>
          <w:sz w:val="32"/>
          <w:szCs w:val="32"/>
          <w:highlight w:val="none"/>
          <w:lang w:val="en-US" w:eastAsia="zh-CN"/>
        </w:rPr>
        <w:t>464.56</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r>
        <w:rPr>
          <w:rStyle w:val="19"/>
          <w:rFonts w:hint="eastAsia" w:hAnsi="仿宋" w:cs="仿宋"/>
          <w:b w:val="0"/>
          <w:bCs/>
          <w:color w:val="auto"/>
          <w:sz w:val="32"/>
          <w:szCs w:val="32"/>
          <w:highlight w:val="none"/>
          <w:lang w:eastAsia="zh-CN"/>
        </w:rPr>
        <w:t>；</w:t>
      </w:r>
      <w:r>
        <w:rPr>
          <w:rStyle w:val="19"/>
          <w:rFonts w:hint="eastAsia" w:ascii="仿宋" w:hAnsi="仿宋" w:eastAsia="仿宋" w:cs="仿宋"/>
          <w:b/>
          <w:bCs w:val="0"/>
          <w:color w:val="auto"/>
          <w:sz w:val="32"/>
          <w:szCs w:val="32"/>
          <w:highlight w:val="none"/>
          <w:lang w:val="en-US" w:eastAsia="zh-CN"/>
        </w:rPr>
        <w:t>其他</w:t>
      </w:r>
      <w:r>
        <w:rPr>
          <w:rStyle w:val="19"/>
          <w:rFonts w:hint="eastAsia" w:hAnsi="仿宋" w:cs="仿宋"/>
          <w:b/>
          <w:bCs w:val="0"/>
          <w:color w:val="auto"/>
          <w:sz w:val="32"/>
          <w:szCs w:val="32"/>
          <w:highlight w:val="none"/>
          <w:lang w:val="en-US" w:eastAsia="zh-CN"/>
        </w:rPr>
        <w:t>巩固拓展脱贫攻坚成果</w:t>
      </w:r>
      <w:r>
        <w:rPr>
          <w:rStyle w:val="19"/>
          <w:rFonts w:hint="eastAsia" w:ascii="仿宋" w:hAnsi="仿宋" w:eastAsia="仿宋" w:cs="仿宋"/>
          <w:b/>
          <w:bCs w:val="0"/>
          <w:color w:val="auto"/>
          <w:sz w:val="32"/>
          <w:szCs w:val="32"/>
          <w:highlight w:val="none"/>
          <w:lang w:val="en-US" w:eastAsia="zh-CN"/>
        </w:rPr>
        <w:t>衔接乡村振兴支出（99项）：</w:t>
      </w:r>
      <w:r>
        <w:rPr>
          <w:rStyle w:val="19"/>
          <w:rFonts w:hint="eastAsia" w:ascii="仿宋" w:hAnsi="仿宋" w:eastAsia="仿宋" w:cs="仿宋"/>
          <w:b w:val="0"/>
          <w:bCs/>
          <w:color w:val="auto"/>
          <w:sz w:val="32"/>
          <w:szCs w:val="32"/>
          <w:highlight w:val="none"/>
          <w:lang w:eastAsia="zh-CN"/>
        </w:rPr>
        <w:t>支出</w:t>
      </w:r>
      <w:r>
        <w:rPr>
          <w:rStyle w:val="19"/>
          <w:rFonts w:hint="eastAsia" w:ascii="仿宋" w:hAnsi="仿宋" w:eastAsia="仿宋" w:cs="仿宋"/>
          <w:b w:val="0"/>
          <w:bCs/>
          <w:color w:val="auto"/>
          <w:sz w:val="32"/>
          <w:szCs w:val="32"/>
          <w:highlight w:val="none"/>
        </w:rPr>
        <w:t>决算为</w:t>
      </w:r>
      <w:r>
        <w:rPr>
          <w:rStyle w:val="19"/>
          <w:rFonts w:hint="eastAsia" w:hAnsi="仿宋" w:cs="仿宋"/>
          <w:b w:val="0"/>
          <w:bCs/>
          <w:color w:val="auto"/>
          <w:sz w:val="32"/>
          <w:szCs w:val="32"/>
          <w:highlight w:val="none"/>
          <w:lang w:val="en-US" w:eastAsia="zh-CN"/>
        </w:rPr>
        <w:t>105.84</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p>
    <w:p>
      <w:pPr>
        <w:pStyle w:val="28"/>
        <w:keepNext w:val="0"/>
        <w:keepLines w:val="0"/>
        <w:pageBreakBefore w:val="0"/>
        <w:widowControl w:val="0"/>
        <w:numPr>
          <w:ilvl w:val="0"/>
          <w:numId w:val="0"/>
        </w:numPr>
        <w:kinsoku/>
        <w:wordWrap/>
        <w:overflowPunct/>
        <w:topLinePunct w:val="0"/>
        <w:bidi w:val="0"/>
        <w:snapToGrid/>
        <w:spacing w:line="600" w:lineRule="exact"/>
        <w:ind w:firstLine="642" w:firstLineChars="200"/>
        <w:jc w:val="both"/>
        <w:textAlignment w:val="auto"/>
        <w:rPr>
          <w:rStyle w:val="19"/>
          <w:rFonts w:hint="eastAsia" w:hAnsi="仿宋" w:cs="仿宋"/>
          <w:b w:val="0"/>
          <w:bCs/>
          <w:color w:val="auto"/>
          <w:sz w:val="32"/>
          <w:szCs w:val="32"/>
          <w:highlight w:val="none"/>
          <w:lang w:eastAsia="zh-CN"/>
        </w:rPr>
      </w:pPr>
      <w:r>
        <w:rPr>
          <w:rStyle w:val="19"/>
          <w:rFonts w:hint="eastAsia" w:ascii="仿宋" w:hAnsi="仿宋" w:eastAsia="仿宋" w:cs="仿宋"/>
          <w:b/>
          <w:bCs w:val="0"/>
          <w:color w:val="auto"/>
          <w:sz w:val="32"/>
          <w:szCs w:val="32"/>
          <w:highlight w:val="none"/>
          <w:lang w:val="en-US" w:eastAsia="zh-CN"/>
        </w:rPr>
        <w:t>农村综合改革（07款）对村民委员会和村党支部的补助（05项）：</w:t>
      </w:r>
      <w:r>
        <w:rPr>
          <w:rStyle w:val="19"/>
          <w:rFonts w:hint="eastAsia" w:ascii="仿宋" w:hAnsi="仿宋" w:eastAsia="仿宋" w:cs="仿宋"/>
          <w:b w:val="0"/>
          <w:bCs/>
          <w:color w:val="auto"/>
          <w:sz w:val="32"/>
          <w:szCs w:val="32"/>
          <w:highlight w:val="none"/>
          <w:lang w:eastAsia="zh-CN"/>
        </w:rPr>
        <w:t>支出</w:t>
      </w:r>
      <w:r>
        <w:rPr>
          <w:rStyle w:val="19"/>
          <w:rFonts w:hint="eastAsia" w:ascii="仿宋" w:hAnsi="仿宋" w:eastAsia="仿宋" w:cs="仿宋"/>
          <w:b w:val="0"/>
          <w:bCs/>
          <w:color w:val="auto"/>
          <w:sz w:val="32"/>
          <w:szCs w:val="32"/>
          <w:highlight w:val="none"/>
        </w:rPr>
        <w:t>决算为</w:t>
      </w:r>
      <w:r>
        <w:rPr>
          <w:rStyle w:val="19"/>
          <w:rFonts w:hint="eastAsia" w:hAnsi="仿宋" w:cs="仿宋"/>
          <w:b w:val="0"/>
          <w:bCs/>
          <w:color w:val="auto"/>
          <w:sz w:val="32"/>
          <w:szCs w:val="32"/>
          <w:highlight w:val="none"/>
          <w:lang w:val="en-US" w:eastAsia="zh-CN"/>
        </w:rPr>
        <w:t>122.31</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r>
        <w:rPr>
          <w:rStyle w:val="19"/>
          <w:rFonts w:hint="eastAsia" w:hAnsi="仿宋" w:cs="仿宋"/>
          <w:b w:val="0"/>
          <w:bCs/>
          <w:color w:val="auto"/>
          <w:sz w:val="32"/>
          <w:szCs w:val="32"/>
          <w:highlight w:val="none"/>
          <w:lang w:eastAsia="zh-CN"/>
        </w:rPr>
        <w:t>；</w:t>
      </w:r>
      <w:r>
        <w:rPr>
          <w:rStyle w:val="19"/>
          <w:rFonts w:hint="eastAsia" w:ascii="仿宋" w:hAnsi="仿宋" w:eastAsia="仿宋" w:cs="仿宋"/>
          <w:b/>
          <w:bCs w:val="0"/>
          <w:color w:val="auto"/>
          <w:sz w:val="32"/>
          <w:szCs w:val="32"/>
          <w:highlight w:val="none"/>
          <w:lang w:val="en-US" w:eastAsia="zh-CN"/>
        </w:rPr>
        <w:t>农村综合改革示范试点补助（07项）：</w:t>
      </w:r>
      <w:r>
        <w:rPr>
          <w:rStyle w:val="19"/>
          <w:rFonts w:hint="eastAsia" w:ascii="仿宋" w:hAnsi="仿宋" w:eastAsia="仿宋" w:cs="仿宋"/>
          <w:b w:val="0"/>
          <w:bCs/>
          <w:color w:val="auto"/>
          <w:sz w:val="32"/>
          <w:szCs w:val="32"/>
          <w:highlight w:val="none"/>
          <w:lang w:eastAsia="zh-CN"/>
        </w:rPr>
        <w:t>支出</w:t>
      </w:r>
      <w:r>
        <w:rPr>
          <w:rStyle w:val="19"/>
          <w:rFonts w:hint="eastAsia" w:ascii="仿宋" w:hAnsi="仿宋" w:eastAsia="仿宋" w:cs="仿宋"/>
          <w:b w:val="0"/>
          <w:bCs/>
          <w:color w:val="auto"/>
          <w:sz w:val="32"/>
          <w:szCs w:val="32"/>
          <w:highlight w:val="none"/>
        </w:rPr>
        <w:t>决算为</w:t>
      </w:r>
      <w:r>
        <w:rPr>
          <w:rStyle w:val="19"/>
          <w:rFonts w:hint="eastAsia" w:hAnsi="仿宋" w:cs="仿宋"/>
          <w:b w:val="0"/>
          <w:bCs/>
          <w:color w:val="auto"/>
          <w:sz w:val="32"/>
          <w:szCs w:val="32"/>
          <w:highlight w:val="none"/>
          <w:lang w:val="en-US" w:eastAsia="zh-CN"/>
        </w:rPr>
        <w:t>64.01</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r>
        <w:rPr>
          <w:rStyle w:val="19"/>
          <w:rFonts w:hint="eastAsia" w:hAnsi="仿宋" w:cs="仿宋"/>
          <w:b w:val="0"/>
          <w:bCs/>
          <w:color w:val="auto"/>
          <w:sz w:val="32"/>
          <w:szCs w:val="32"/>
          <w:highlight w:val="none"/>
          <w:lang w:eastAsia="zh-CN"/>
        </w:rPr>
        <w:t>。</w:t>
      </w:r>
    </w:p>
    <w:p>
      <w:pPr>
        <w:pStyle w:val="28"/>
        <w:keepNext w:val="0"/>
        <w:keepLines w:val="0"/>
        <w:pageBreakBefore w:val="0"/>
        <w:widowControl w:val="0"/>
        <w:kinsoku/>
        <w:wordWrap/>
        <w:overflowPunct/>
        <w:topLinePunct w:val="0"/>
        <w:bidi w:val="0"/>
        <w:snapToGrid/>
        <w:spacing w:line="600" w:lineRule="exact"/>
        <w:ind w:firstLine="640"/>
        <w:jc w:val="both"/>
        <w:textAlignment w:val="auto"/>
        <w:rPr>
          <w:rStyle w:val="19"/>
          <w:rFonts w:hint="eastAsia" w:hAnsi="仿宋" w:cs="仿宋"/>
          <w:b w:val="0"/>
          <w:bCs/>
          <w:color w:val="auto"/>
          <w:sz w:val="32"/>
          <w:szCs w:val="32"/>
          <w:highlight w:val="none"/>
          <w:lang w:eastAsia="zh-CN"/>
        </w:rPr>
      </w:pPr>
      <w:r>
        <w:rPr>
          <w:rStyle w:val="19"/>
          <w:rFonts w:hint="eastAsia" w:hAnsi="仿宋" w:cs="仿宋"/>
          <w:b/>
          <w:bCs w:val="0"/>
          <w:color w:val="auto"/>
          <w:sz w:val="32"/>
          <w:szCs w:val="32"/>
          <w:highlight w:val="none"/>
          <w:lang w:val="en-US" w:eastAsia="zh-CN"/>
        </w:rPr>
        <w:t>7</w:t>
      </w:r>
      <w:r>
        <w:rPr>
          <w:rStyle w:val="19"/>
          <w:rFonts w:hint="eastAsia" w:ascii="仿宋" w:hAnsi="仿宋" w:eastAsia="仿宋" w:cs="仿宋"/>
          <w:b/>
          <w:bCs w:val="0"/>
          <w:color w:val="auto"/>
          <w:sz w:val="32"/>
          <w:szCs w:val="32"/>
          <w:highlight w:val="none"/>
          <w:lang w:val="en-US" w:eastAsia="zh-CN"/>
        </w:rPr>
        <w:t>.住房保障（221类）住房改革支出（02款）住房公积金（01项）</w:t>
      </w:r>
      <w:r>
        <w:rPr>
          <w:rStyle w:val="19"/>
          <w:rFonts w:hint="eastAsia" w:ascii="仿宋" w:hAnsi="仿宋" w:eastAsia="仿宋" w:cs="仿宋"/>
          <w:bCs/>
          <w:color w:val="auto"/>
          <w:sz w:val="32"/>
          <w:szCs w:val="32"/>
          <w:highlight w:val="none"/>
        </w:rPr>
        <w:t>:</w:t>
      </w:r>
      <w:r>
        <w:rPr>
          <w:rStyle w:val="19"/>
          <w:rFonts w:hint="eastAsia" w:ascii="仿宋" w:hAnsi="仿宋" w:eastAsia="仿宋" w:cs="仿宋"/>
          <w:b w:val="0"/>
          <w:bCs/>
          <w:color w:val="auto"/>
          <w:sz w:val="32"/>
          <w:szCs w:val="32"/>
          <w:highlight w:val="none"/>
          <w:lang w:val="en-US" w:eastAsia="zh-CN"/>
        </w:rPr>
        <w:t>支出</w:t>
      </w:r>
      <w:r>
        <w:rPr>
          <w:rStyle w:val="19"/>
          <w:rFonts w:hint="eastAsia" w:ascii="仿宋" w:hAnsi="仿宋" w:eastAsia="仿宋" w:cs="仿宋"/>
          <w:b w:val="0"/>
          <w:bCs/>
          <w:color w:val="auto"/>
          <w:sz w:val="32"/>
          <w:szCs w:val="32"/>
          <w:highlight w:val="none"/>
        </w:rPr>
        <w:t>决算为</w:t>
      </w:r>
      <w:r>
        <w:rPr>
          <w:rStyle w:val="19"/>
          <w:rFonts w:hint="eastAsia" w:hAnsi="仿宋" w:cs="仿宋"/>
          <w:b w:val="0"/>
          <w:bCs/>
          <w:color w:val="auto"/>
          <w:sz w:val="32"/>
          <w:szCs w:val="32"/>
          <w:highlight w:val="none"/>
          <w:lang w:val="en-US" w:eastAsia="zh-CN"/>
        </w:rPr>
        <w:t>81.59</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r>
        <w:rPr>
          <w:rStyle w:val="19"/>
          <w:rFonts w:hint="eastAsia" w:hAnsi="仿宋" w:cs="仿宋"/>
          <w:b w:val="0"/>
          <w:bCs/>
          <w:color w:val="auto"/>
          <w:sz w:val="32"/>
          <w:szCs w:val="32"/>
          <w:highlight w:val="none"/>
          <w:lang w:eastAsia="zh-CN"/>
        </w:rPr>
        <w:t>。</w:t>
      </w:r>
    </w:p>
    <w:p>
      <w:pPr>
        <w:pStyle w:val="28"/>
        <w:keepNext w:val="0"/>
        <w:keepLines w:val="0"/>
        <w:pageBreakBefore w:val="0"/>
        <w:widowControl w:val="0"/>
        <w:kinsoku/>
        <w:wordWrap/>
        <w:overflowPunct/>
        <w:topLinePunct w:val="0"/>
        <w:bidi w:val="0"/>
        <w:snapToGrid/>
        <w:spacing w:line="600" w:lineRule="exact"/>
        <w:ind w:firstLine="642"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Style w:val="19"/>
          <w:rFonts w:hint="eastAsia" w:hAnsi="仿宋" w:cs="仿宋"/>
          <w:bCs/>
          <w:color w:val="auto"/>
          <w:sz w:val="32"/>
          <w:szCs w:val="32"/>
          <w:highlight w:val="none"/>
          <w:lang w:val="en-US" w:eastAsia="zh-CN"/>
        </w:rPr>
        <w:t>8</w:t>
      </w:r>
      <w:r>
        <w:rPr>
          <w:rStyle w:val="19"/>
          <w:rFonts w:hint="eastAsia" w:ascii="仿宋" w:hAnsi="仿宋" w:eastAsia="仿宋" w:cs="仿宋"/>
          <w:bCs/>
          <w:color w:val="auto"/>
          <w:sz w:val="32"/>
          <w:szCs w:val="32"/>
          <w:highlight w:val="none"/>
        </w:rPr>
        <w:t>.</w:t>
      </w:r>
      <w:r>
        <w:rPr>
          <w:rStyle w:val="19"/>
          <w:rFonts w:hint="eastAsia" w:ascii="仿宋" w:hAnsi="仿宋" w:eastAsia="仿宋" w:cs="仿宋"/>
          <w:bCs/>
          <w:color w:val="auto"/>
          <w:sz w:val="32"/>
          <w:szCs w:val="32"/>
          <w:highlight w:val="none"/>
          <w:lang w:eastAsia="zh-CN"/>
        </w:rPr>
        <w:t>灾害防治及应急管理</w:t>
      </w:r>
      <w:r>
        <w:rPr>
          <w:rStyle w:val="19"/>
          <w:rFonts w:hint="eastAsia" w:hAnsi="仿宋" w:cs="仿宋"/>
          <w:bCs/>
          <w:color w:val="auto"/>
          <w:sz w:val="32"/>
          <w:szCs w:val="32"/>
          <w:highlight w:val="none"/>
          <w:lang w:val="en-US" w:eastAsia="zh-CN"/>
        </w:rPr>
        <w:t>支出</w:t>
      </w:r>
      <w:r>
        <w:rPr>
          <w:rStyle w:val="19"/>
          <w:rFonts w:hint="eastAsia" w:ascii="仿宋" w:hAnsi="仿宋" w:eastAsia="仿宋" w:cs="仿宋"/>
          <w:bCs/>
          <w:color w:val="auto"/>
          <w:sz w:val="32"/>
          <w:szCs w:val="32"/>
          <w:highlight w:val="none"/>
        </w:rPr>
        <w:t>（</w:t>
      </w:r>
      <w:r>
        <w:rPr>
          <w:rStyle w:val="19"/>
          <w:rFonts w:hint="eastAsia" w:ascii="仿宋" w:hAnsi="仿宋" w:eastAsia="仿宋" w:cs="仿宋"/>
          <w:bCs/>
          <w:color w:val="auto"/>
          <w:sz w:val="32"/>
          <w:szCs w:val="32"/>
          <w:highlight w:val="none"/>
          <w:lang w:val="en-US" w:eastAsia="zh-CN"/>
        </w:rPr>
        <w:t>224</w:t>
      </w:r>
      <w:r>
        <w:rPr>
          <w:rStyle w:val="19"/>
          <w:rFonts w:hint="eastAsia" w:ascii="仿宋" w:hAnsi="仿宋" w:eastAsia="仿宋" w:cs="仿宋"/>
          <w:bCs/>
          <w:color w:val="auto"/>
          <w:sz w:val="32"/>
          <w:szCs w:val="32"/>
          <w:highlight w:val="none"/>
        </w:rPr>
        <w:t>类）</w:t>
      </w:r>
      <w:r>
        <w:rPr>
          <w:rStyle w:val="19"/>
          <w:rFonts w:hint="eastAsia" w:hAnsi="仿宋" w:cs="仿宋"/>
          <w:bCs/>
          <w:color w:val="auto"/>
          <w:sz w:val="32"/>
          <w:szCs w:val="32"/>
          <w:highlight w:val="none"/>
          <w:lang w:val="en-US" w:eastAsia="zh-CN"/>
        </w:rPr>
        <w:t>应急管理事务</w:t>
      </w:r>
      <w:r>
        <w:rPr>
          <w:rStyle w:val="19"/>
          <w:rFonts w:hint="eastAsia" w:ascii="仿宋" w:hAnsi="仿宋" w:eastAsia="仿宋" w:cs="仿宋"/>
          <w:bCs/>
          <w:color w:val="auto"/>
          <w:sz w:val="32"/>
          <w:szCs w:val="32"/>
          <w:highlight w:val="none"/>
        </w:rPr>
        <w:t>（</w:t>
      </w:r>
      <w:r>
        <w:rPr>
          <w:rStyle w:val="19"/>
          <w:rFonts w:hint="eastAsia" w:hAnsi="仿宋" w:cs="仿宋"/>
          <w:bCs/>
          <w:color w:val="auto"/>
          <w:sz w:val="32"/>
          <w:szCs w:val="32"/>
          <w:highlight w:val="none"/>
          <w:lang w:val="en-US" w:eastAsia="zh-CN"/>
        </w:rPr>
        <w:t>01</w:t>
      </w:r>
      <w:r>
        <w:rPr>
          <w:rStyle w:val="19"/>
          <w:rFonts w:hint="eastAsia" w:ascii="仿宋" w:hAnsi="仿宋" w:eastAsia="仿宋" w:cs="仿宋"/>
          <w:bCs/>
          <w:color w:val="auto"/>
          <w:sz w:val="32"/>
          <w:szCs w:val="32"/>
          <w:highlight w:val="none"/>
        </w:rPr>
        <w:t>款）</w:t>
      </w:r>
      <w:r>
        <w:rPr>
          <w:rStyle w:val="19"/>
          <w:rFonts w:hint="eastAsia" w:hAnsi="仿宋" w:cs="仿宋"/>
          <w:bCs/>
          <w:color w:val="auto"/>
          <w:sz w:val="32"/>
          <w:szCs w:val="32"/>
          <w:highlight w:val="none"/>
          <w:lang w:val="en-US" w:eastAsia="zh-CN"/>
        </w:rPr>
        <w:t>灾害风险防治</w:t>
      </w:r>
      <w:r>
        <w:rPr>
          <w:rStyle w:val="19"/>
          <w:rFonts w:hint="eastAsia" w:ascii="仿宋" w:hAnsi="仿宋" w:eastAsia="仿宋" w:cs="仿宋"/>
          <w:bCs/>
          <w:color w:val="auto"/>
          <w:sz w:val="32"/>
          <w:szCs w:val="32"/>
          <w:highlight w:val="none"/>
        </w:rPr>
        <w:t>（</w:t>
      </w:r>
      <w:r>
        <w:rPr>
          <w:rStyle w:val="19"/>
          <w:rFonts w:hint="eastAsia" w:ascii="仿宋" w:hAnsi="仿宋" w:eastAsia="仿宋" w:cs="仿宋"/>
          <w:bCs/>
          <w:color w:val="auto"/>
          <w:sz w:val="32"/>
          <w:szCs w:val="32"/>
          <w:highlight w:val="none"/>
          <w:lang w:val="en-US" w:eastAsia="zh-CN"/>
        </w:rPr>
        <w:t>0</w:t>
      </w:r>
      <w:r>
        <w:rPr>
          <w:rStyle w:val="19"/>
          <w:rFonts w:hint="eastAsia" w:hAnsi="仿宋" w:cs="仿宋"/>
          <w:bCs/>
          <w:color w:val="auto"/>
          <w:sz w:val="32"/>
          <w:szCs w:val="32"/>
          <w:highlight w:val="none"/>
          <w:lang w:val="en-US" w:eastAsia="zh-CN"/>
        </w:rPr>
        <w:t>4</w:t>
      </w:r>
      <w:r>
        <w:rPr>
          <w:rStyle w:val="19"/>
          <w:rFonts w:hint="eastAsia" w:ascii="仿宋" w:hAnsi="仿宋" w:eastAsia="仿宋" w:cs="仿宋"/>
          <w:bCs/>
          <w:color w:val="auto"/>
          <w:sz w:val="32"/>
          <w:szCs w:val="32"/>
          <w:highlight w:val="none"/>
        </w:rPr>
        <w:t>项）:</w:t>
      </w:r>
      <w:r>
        <w:rPr>
          <w:rStyle w:val="19"/>
          <w:rFonts w:hint="eastAsia" w:ascii="仿宋" w:hAnsi="仿宋" w:eastAsia="仿宋" w:cs="仿宋"/>
          <w:b w:val="0"/>
          <w:bCs/>
          <w:color w:val="auto"/>
          <w:sz w:val="32"/>
          <w:szCs w:val="32"/>
          <w:highlight w:val="none"/>
        </w:rPr>
        <w:t xml:space="preserve"> </w:t>
      </w:r>
      <w:r>
        <w:rPr>
          <w:rStyle w:val="19"/>
          <w:rFonts w:hint="eastAsia" w:ascii="仿宋" w:hAnsi="仿宋" w:eastAsia="仿宋" w:cs="仿宋"/>
          <w:b w:val="0"/>
          <w:bCs/>
          <w:color w:val="auto"/>
          <w:sz w:val="32"/>
          <w:szCs w:val="32"/>
          <w:highlight w:val="none"/>
          <w:lang w:val="en-US" w:eastAsia="zh-CN"/>
        </w:rPr>
        <w:t>支出</w:t>
      </w:r>
      <w:r>
        <w:rPr>
          <w:rStyle w:val="19"/>
          <w:rFonts w:hint="eastAsia" w:ascii="仿宋" w:hAnsi="仿宋" w:eastAsia="仿宋" w:cs="仿宋"/>
          <w:b w:val="0"/>
          <w:bCs/>
          <w:color w:val="auto"/>
          <w:sz w:val="32"/>
          <w:szCs w:val="32"/>
          <w:highlight w:val="none"/>
        </w:rPr>
        <w:t>决算为</w:t>
      </w:r>
      <w:r>
        <w:rPr>
          <w:rStyle w:val="19"/>
          <w:rFonts w:hint="eastAsia" w:hAnsi="仿宋" w:cs="仿宋"/>
          <w:b w:val="0"/>
          <w:bCs/>
          <w:color w:val="auto"/>
          <w:sz w:val="32"/>
          <w:szCs w:val="32"/>
          <w:highlight w:val="none"/>
          <w:lang w:val="en-US" w:eastAsia="zh-CN"/>
        </w:rPr>
        <w:t>1.03</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r>
        <w:rPr>
          <w:rStyle w:val="19"/>
          <w:rFonts w:hint="eastAsia" w:hAnsi="仿宋" w:cs="仿宋"/>
          <w:b w:val="0"/>
          <w:bCs/>
          <w:color w:val="auto"/>
          <w:sz w:val="32"/>
          <w:szCs w:val="32"/>
          <w:highlight w:val="none"/>
          <w:lang w:eastAsia="zh-CN"/>
        </w:rPr>
        <w:t>。</w:t>
      </w:r>
      <w:r>
        <w:rPr>
          <w:rStyle w:val="19"/>
          <w:rFonts w:hint="eastAsia" w:hAnsi="仿宋" w:cs="仿宋"/>
          <w:bCs/>
          <w:color w:val="auto"/>
          <w:sz w:val="32"/>
          <w:szCs w:val="32"/>
          <w:highlight w:val="none"/>
          <w:lang w:val="en-US" w:eastAsia="zh-CN"/>
        </w:rPr>
        <w:t>其他灾害防治及应急管理支出</w:t>
      </w:r>
      <w:r>
        <w:rPr>
          <w:rStyle w:val="19"/>
          <w:rFonts w:hint="eastAsia" w:ascii="仿宋" w:hAnsi="仿宋" w:eastAsia="仿宋" w:cs="仿宋"/>
          <w:bCs/>
          <w:color w:val="auto"/>
          <w:sz w:val="32"/>
          <w:szCs w:val="32"/>
          <w:highlight w:val="none"/>
        </w:rPr>
        <w:t>（</w:t>
      </w:r>
      <w:r>
        <w:rPr>
          <w:rStyle w:val="19"/>
          <w:rFonts w:hint="eastAsia" w:hAnsi="仿宋" w:cs="仿宋"/>
          <w:bCs/>
          <w:color w:val="auto"/>
          <w:sz w:val="32"/>
          <w:szCs w:val="32"/>
          <w:highlight w:val="none"/>
          <w:lang w:val="en-US" w:eastAsia="zh-CN"/>
        </w:rPr>
        <w:t>99</w:t>
      </w:r>
      <w:r>
        <w:rPr>
          <w:rStyle w:val="19"/>
          <w:rFonts w:hint="eastAsia" w:ascii="仿宋" w:hAnsi="仿宋" w:eastAsia="仿宋" w:cs="仿宋"/>
          <w:bCs/>
          <w:color w:val="auto"/>
          <w:sz w:val="32"/>
          <w:szCs w:val="32"/>
          <w:highlight w:val="none"/>
        </w:rPr>
        <w:t>款）</w:t>
      </w:r>
      <w:r>
        <w:rPr>
          <w:rStyle w:val="19"/>
          <w:rFonts w:hint="eastAsia" w:hAnsi="仿宋" w:cs="仿宋"/>
          <w:bCs/>
          <w:color w:val="auto"/>
          <w:sz w:val="32"/>
          <w:szCs w:val="32"/>
          <w:highlight w:val="none"/>
          <w:lang w:val="en-US" w:eastAsia="zh-CN"/>
        </w:rPr>
        <w:t>其他灾害防治及应急管理支出</w:t>
      </w:r>
      <w:r>
        <w:rPr>
          <w:rStyle w:val="19"/>
          <w:rFonts w:hint="eastAsia" w:ascii="仿宋" w:hAnsi="仿宋" w:eastAsia="仿宋" w:cs="仿宋"/>
          <w:bCs/>
          <w:color w:val="auto"/>
          <w:sz w:val="32"/>
          <w:szCs w:val="32"/>
          <w:highlight w:val="none"/>
        </w:rPr>
        <w:t>（</w:t>
      </w:r>
      <w:r>
        <w:rPr>
          <w:rStyle w:val="19"/>
          <w:rFonts w:hint="eastAsia" w:hAnsi="仿宋" w:cs="仿宋"/>
          <w:bCs/>
          <w:color w:val="auto"/>
          <w:sz w:val="32"/>
          <w:szCs w:val="32"/>
          <w:highlight w:val="none"/>
          <w:lang w:val="en-US" w:eastAsia="zh-CN"/>
        </w:rPr>
        <w:t>99</w:t>
      </w:r>
      <w:r>
        <w:rPr>
          <w:rStyle w:val="19"/>
          <w:rFonts w:hint="eastAsia" w:ascii="仿宋" w:hAnsi="仿宋" w:eastAsia="仿宋" w:cs="仿宋"/>
          <w:bCs/>
          <w:color w:val="auto"/>
          <w:sz w:val="32"/>
          <w:szCs w:val="32"/>
          <w:highlight w:val="none"/>
        </w:rPr>
        <w:t>项）:</w:t>
      </w:r>
      <w:r>
        <w:rPr>
          <w:rStyle w:val="19"/>
          <w:rFonts w:hint="eastAsia" w:ascii="仿宋" w:hAnsi="仿宋" w:eastAsia="仿宋" w:cs="仿宋"/>
          <w:b w:val="0"/>
          <w:bCs/>
          <w:color w:val="auto"/>
          <w:sz w:val="32"/>
          <w:szCs w:val="32"/>
          <w:highlight w:val="none"/>
        </w:rPr>
        <w:t xml:space="preserve"> </w:t>
      </w:r>
      <w:r>
        <w:rPr>
          <w:rStyle w:val="19"/>
          <w:rFonts w:hint="eastAsia" w:ascii="仿宋" w:hAnsi="仿宋" w:eastAsia="仿宋" w:cs="仿宋"/>
          <w:b w:val="0"/>
          <w:bCs/>
          <w:color w:val="auto"/>
          <w:sz w:val="32"/>
          <w:szCs w:val="32"/>
          <w:highlight w:val="none"/>
          <w:lang w:val="en-US" w:eastAsia="zh-CN"/>
        </w:rPr>
        <w:t>支出</w:t>
      </w:r>
      <w:r>
        <w:rPr>
          <w:rStyle w:val="19"/>
          <w:rFonts w:hint="eastAsia" w:ascii="仿宋" w:hAnsi="仿宋" w:eastAsia="仿宋" w:cs="仿宋"/>
          <w:b w:val="0"/>
          <w:bCs/>
          <w:color w:val="auto"/>
          <w:sz w:val="32"/>
          <w:szCs w:val="32"/>
          <w:highlight w:val="none"/>
        </w:rPr>
        <w:t>决算为</w:t>
      </w:r>
      <w:r>
        <w:rPr>
          <w:rStyle w:val="19"/>
          <w:rFonts w:hint="eastAsia" w:hAnsi="仿宋" w:cs="仿宋"/>
          <w:b w:val="0"/>
          <w:bCs/>
          <w:color w:val="auto"/>
          <w:sz w:val="32"/>
          <w:szCs w:val="32"/>
          <w:highlight w:val="none"/>
          <w:lang w:val="en-US" w:eastAsia="zh-CN"/>
        </w:rPr>
        <w:t>4.99</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w:t>
      </w:r>
      <w:r>
        <w:rPr>
          <w:rStyle w:val="19"/>
          <w:rFonts w:hint="eastAsia" w:ascii="仿宋" w:hAnsi="仿宋" w:eastAsia="仿宋" w:cs="仿宋"/>
          <w:b w:val="0"/>
          <w:bCs/>
          <w:color w:val="auto"/>
          <w:sz w:val="32"/>
          <w:szCs w:val="32"/>
          <w:highlight w:val="none"/>
          <w:lang w:eastAsia="zh-CN"/>
        </w:rPr>
        <w:t>与</w:t>
      </w:r>
      <w:r>
        <w:rPr>
          <w:rStyle w:val="19"/>
          <w:rFonts w:hint="eastAsia" w:ascii="仿宋" w:hAnsi="仿宋" w:eastAsia="仿宋" w:cs="仿宋"/>
          <w:b w:val="0"/>
          <w:bCs/>
          <w:color w:val="auto"/>
          <w:sz w:val="32"/>
          <w:szCs w:val="32"/>
          <w:highlight w:val="none"/>
        </w:rPr>
        <w:t>预算数</w:t>
      </w:r>
      <w:r>
        <w:rPr>
          <w:rStyle w:val="19"/>
          <w:rFonts w:hint="eastAsia" w:ascii="仿宋" w:hAnsi="仿宋" w:eastAsia="仿宋" w:cs="仿宋"/>
          <w:b w:val="0"/>
          <w:bCs/>
          <w:color w:val="auto"/>
          <w:sz w:val="32"/>
          <w:szCs w:val="32"/>
          <w:highlight w:val="none"/>
          <w:lang w:eastAsia="zh-CN"/>
        </w:rPr>
        <w:t>持平</w:t>
      </w:r>
      <w:r>
        <w:rPr>
          <w:rStyle w:val="19"/>
          <w:rFonts w:hint="eastAsia" w:hAnsi="仿宋" w:cs="仿宋"/>
          <w:b w:val="0"/>
          <w:bCs/>
          <w:color w:val="auto"/>
          <w:sz w:val="32"/>
          <w:szCs w:val="32"/>
          <w:highlight w:val="none"/>
          <w:lang w:eastAsia="zh-CN"/>
        </w:rPr>
        <w:t>。</w:t>
      </w:r>
      <w:bookmarkEnd w:id="29"/>
      <w:bookmarkEnd w:id="30"/>
      <w:bookmarkEnd w:id="31"/>
    </w:p>
    <w:p>
      <w:pPr>
        <w:tabs>
          <w:tab w:val="right" w:pos="8306"/>
        </w:tabs>
        <w:spacing w:line="600" w:lineRule="exact"/>
        <w:ind w:firstLine="640"/>
        <w:jc w:val="both"/>
        <w:outlineLvl w:val="1"/>
        <w:rPr>
          <w:rStyle w:val="31"/>
          <w:rFonts w:ascii="Times New Roman" w:hAnsi="Times New Roman"/>
          <w:color w:val="auto"/>
          <w:highlight w:val="none"/>
        </w:rPr>
      </w:pPr>
      <w:bookmarkStart w:id="32" w:name="_Toc15377214"/>
      <w:bookmarkStart w:id="33"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32"/>
      <w:bookmarkEnd w:id="33"/>
      <w:r>
        <w:rPr>
          <w:rStyle w:val="31"/>
          <w:rFonts w:ascii="Times New Roman" w:hAnsi="Times New Roman" w:eastAsia="黑体"/>
          <w:b w:val="0"/>
          <w:color w:val="auto"/>
          <w:highlight w:val="none"/>
        </w:rPr>
        <w:tab/>
      </w:r>
    </w:p>
    <w:p>
      <w:pPr>
        <w:spacing w:line="600" w:lineRule="exact"/>
        <w:ind w:firstLine="645"/>
        <w:jc w:val="both"/>
        <w:rPr>
          <w:rFonts w:ascii="仿宋" w:hAnsi="仿宋" w:eastAsia="仿宋"/>
          <w:b/>
          <w:bCs/>
          <w:color w:val="auto"/>
          <w:sz w:val="32"/>
          <w:szCs w:val="32"/>
          <w:highlight w:val="none"/>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1118.06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 w:hAnsi="仿宋" w:eastAsia="仿宋"/>
          <w:b/>
          <w:bCs/>
          <w:color w:val="auto"/>
          <w:sz w:val="32"/>
          <w:szCs w:val="32"/>
          <w:highlight w:val="none"/>
        </w:rPr>
        <w:t>其中：</w:t>
      </w:r>
    </w:p>
    <w:p>
      <w:pPr>
        <w:spacing w:line="600" w:lineRule="exact"/>
        <w:ind w:firstLine="645"/>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1019.65</w:t>
      </w:r>
      <w:r>
        <w:rPr>
          <w:rFonts w:hint="eastAsia" w:ascii="仿宋" w:hAnsi="仿宋" w:eastAsia="仿宋"/>
          <w:color w:val="auto"/>
          <w:sz w:val="32"/>
          <w:szCs w:val="32"/>
          <w:highlight w:val="none"/>
        </w:rPr>
        <w:t>万元，主要包括：基本工资、津贴补贴、奖金、绩效工资、机关事业单位基本养老保险缴费、职业年金缴费、 职工基本医疗保险缴费</w:t>
      </w:r>
      <w:r>
        <w:rPr>
          <w:rFonts w:hint="eastAsia" w:ascii="仿宋" w:hAnsi="仿宋" w:eastAsia="仿宋"/>
          <w:color w:val="auto"/>
          <w:sz w:val="32"/>
          <w:szCs w:val="32"/>
          <w:highlight w:val="none"/>
          <w:lang w:eastAsia="zh-CN"/>
        </w:rPr>
        <w:t>、公务员医疗补助缴费、</w:t>
      </w:r>
      <w:r>
        <w:rPr>
          <w:rFonts w:hint="eastAsia" w:ascii="仿宋" w:hAnsi="仿宋" w:eastAsia="仿宋"/>
          <w:color w:val="auto"/>
          <w:sz w:val="32"/>
          <w:szCs w:val="32"/>
          <w:highlight w:val="none"/>
        </w:rPr>
        <w:t>其他社会保障缴费、</w:t>
      </w:r>
      <w:r>
        <w:rPr>
          <w:rFonts w:hint="eastAsia" w:ascii="仿宋" w:hAnsi="仿宋" w:eastAsia="仿宋"/>
          <w:color w:val="auto"/>
          <w:sz w:val="32"/>
          <w:szCs w:val="32"/>
          <w:highlight w:val="none"/>
          <w:lang w:val="en-US" w:eastAsia="zh-CN"/>
        </w:rPr>
        <w:t>住房公积金、对个人和家庭的补助、</w:t>
      </w:r>
      <w:r>
        <w:rPr>
          <w:rFonts w:hint="eastAsia" w:ascii="仿宋" w:hAnsi="仿宋" w:eastAsia="仿宋"/>
          <w:color w:val="auto"/>
          <w:sz w:val="32"/>
          <w:szCs w:val="32"/>
          <w:highlight w:val="none"/>
        </w:rPr>
        <w:t>生活补助</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医疗费补助</w:t>
      </w:r>
      <w:r>
        <w:rPr>
          <w:rFonts w:hint="eastAsia" w:ascii="仿宋" w:hAnsi="仿宋" w:eastAsia="仿宋"/>
          <w:color w:val="auto"/>
          <w:sz w:val="32"/>
          <w:szCs w:val="32"/>
          <w:highlight w:val="none"/>
        </w:rPr>
        <w:t>等。</w:t>
      </w:r>
      <w:r>
        <w:rPr>
          <w:rFonts w:ascii="仿宋" w:hAnsi="仿宋" w:eastAsia="仿宋"/>
          <w:color w:val="auto"/>
          <w:sz w:val="32"/>
          <w:szCs w:val="32"/>
          <w:highlight w:val="none"/>
        </w:rPr>
        <w:br w:type="textWrapping"/>
      </w:r>
      <w:r>
        <w:rPr>
          <w:rFonts w:hint="eastAsia" w:ascii="仿宋" w:hAnsi="仿宋" w:eastAsia="仿宋"/>
          <w:color w:val="auto"/>
          <w:sz w:val="32"/>
          <w:szCs w:val="32"/>
          <w:highlight w:val="none"/>
        </w:rPr>
        <w:t>　　公用经费</w:t>
      </w:r>
      <w:r>
        <w:rPr>
          <w:rFonts w:hint="eastAsia" w:ascii="仿宋" w:hAnsi="仿宋" w:eastAsia="仿宋"/>
          <w:color w:val="auto"/>
          <w:sz w:val="32"/>
          <w:szCs w:val="32"/>
          <w:highlight w:val="none"/>
          <w:lang w:val="en-US" w:eastAsia="zh-CN"/>
        </w:rPr>
        <w:t>98.41</w:t>
      </w:r>
      <w:r>
        <w:rPr>
          <w:rFonts w:hint="eastAsia" w:ascii="仿宋" w:hAnsi="仿宋" w:eastAsia="仿宋"/>
          <w:color w:val="auto"/>
          <w:sz w:val="32"/>
          <w:szCs w:val="32"/>
          <w:highlight w:val="none"/>
        </w:rPr>
        <w:t>万元，主要包括：办公费、印刷费、手续费、电费、邮电费、差旅费、维修（护）费、租赁费、培训费、劳务费、公务用车运行维护费、其他交通费等。</w:t>
      </w:r>
    </w:p>
    <w:p>
      <w:pPr>
        <w:spacing w:line="600" w:lineRule="exact"/>
        <w:ind w:firstLine="640"/>
        <w:jc w:val="both"/>
        <w:outlineLvl w:val="1"/>
        <w:rPr>
          <w:rStyle w:val="31"/>
          <w:rFonts w:ascii="Times New Roman" w:hAnsi="Times New Roman" w:eastAsia="黑体"/>
          <w:b w:val="0"/>
          <w:color w:val="auto"/>
          <w:highlight w:val="none"/>
        </w:rPr>
      </w:pPr>
      <w:bookmarkStart w:id="34" w:name="_Toc15396609"/>
      <w:bookmarkStart w:id="35" w:name="_Toc15377215"/>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4"/>
      <w:bookmarkEnd w:id="35"/>
    </w:p>
    <w:p>
      <w:pPr>
        <w:spacing w:line="600" w:lineRule="exact"/>
        <w:ind w:firstLine="642" w:firstLineChars="200"/>
        <w:jc w:val="both"/>
        <w:outlineLvl w:val="2"/>
        <w:rPr>
          <w:rFonts w:hint="eastAsia" w:ascii="Times New Roman" w:hAnsi="Times New Roman" w:eastAsia="楷体_GB2312" w:cs="楷体_GB2312"/>
          <w:b/>
          <w:color w:val="auto"/>
          <w:sz w:val="32"/>
          <w:szCs w:val="32"/>
          <w:highlight w:val="none"/>
        </w:rPr>
      </w:pPr>
      <w:bookmarkStart w:id="36"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6"/>
    </w:p>
    <w:p>
      <w:pPr>
        <w:keepNext w:val="0"/>
        <w:keepLines w:val="0"/>
        <w:pageBreakBefore w:val="0"/>
        <w:widowControl w:val="0"/>
        <w:kinsoku/>
        <w:wordWrap/>
        <w:overflowPunct/>
        <w:topLinePunct w:val="0"/>
        <w:bidi w:val="0"/>
        <w:adjustRightInd w:val="0"/>
        <w:snapToGrid/>
        <w:spacing w:line="600" w:lineRule="exact"/>
        <w:ind w:firstLine="640"/>
        <w:jc w:val="both"/>
        <w:textAlignment w:val="auto"/>
        <w:rPr>
          <w:rFonts w:ascii="仿宋" w:hAnsi="仿宋" w:eastAsia="仿宋"/>
          <w:b/>
          <w:color w:val="auto"/>
          <w:sz w:val="32"/>
          <w:szCs w:val="32"/>
          <w:highlight w:val="none"/>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8.5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1.16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cs="仿宋"/>
          <w:color w:val="auto"/>
          <w:sz w:val="32"/>
          <w:szCs w:val="32"/>
          <w:highlight w:val="none"/>
          <w:shd w:val="clear" w:color="auto" w:fill="FFFFFF"/>
          <w:lang w:eastAsia="zh-CN"/>
        </w:rPr>
        <w:t>决算数小于预算数，比上年减少的主要原因是厉行节约。</w:t>
      </w:r>
    </w:p>
    <w:p>
      <w:pPr>
        <w:spacing w:line="600" w:lineRule="exact"/>
        <w:ind w:firstLine="642" w:firstLineChars="200"/>
        <w:jc w:val="both"/>
        <w:outlineLvl w:val="2"/>
        <w:rPr>
          <w:rFonts w:hint="eastAsia" w:ascii="Times New Roman" w:hAnsi="Times New Roman" w:eastAsia="楷体_GB2312" w:cs="楷体_GB2312"/>
          <w:b/>
          <w:color w:val="auto"/>
          <w:sz w:val="32"/>
          <w:szCs w:val="32"/>
          <w:highlight w:val="none"/>
        </w:rPr>
      </w:pPr>
      <w:bookmarkStart w:id="3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7"/>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pStyle w:val="28"/>
        <w:keepNext w:val="0"/>
        <w:keepLines w:val="0"/>
        <w:pageBreakBefore w:val="0"/>
        <w:widowControl w:val="0"/>
        <w:kinsoku/>
        <w:wordWrap/>
        <w:overflowPunct/>
        <w:topLinePunct w:val="0"/>
        <w:bidi w:val="0"/>
        <w:adjustRightInd w:val="0"/>
        <w:spacing w:line="600" w:lineRule="exact"/>
        <w:ind w:firstLine="6720" w:firstLineChars="2100"/>
        <w:jc w:val="both"/>
        <w:textAlignment w:val="auto"/>
        <w:rPr>
          <w:rFonts w:hint="eastAsia"/>
          <w:lang w:val="en-US" w:eastAsia="zh-CN"/>
        </w:rPr>
      </w:pPr>
      <w:r>
        <w:rPr>
          <w:rFonts w:hint="eastAsia" w:ascii="仿宋" w:hAnsi="仿宋" w:eastAsia="仿宋"/>
          <w:color w:val="auto"/>
          <w:sz w:val="32"/>
          <w:szCs w:val="32"/>
          <w:highlight w:val="none"/>
          <w:lang w:eastAsia="zh-CN"/>
        </w:rPr>
        <w:t>单位：万元</w:t>
      </w:r>
      <w:r>
        <w:drawing>
          <wp:anchor distT="0" distB="0" distL="114300" distR="114300" simplePos="0" relativeHeight="251660288" behindDoc="0" locked="0" layoutInCell="1" allowOverlap="1">
            <wp:simplePos x="0" y="0"/>
            <wp:positionH relativeFrom="column">
              <wp:posOffset>88900</wp:posOffset>
            </wp:positionH>
            <wp:positionV relativeFrom="paragraph">
              <wp:posOffset>133985</wp:posOffset>
            </wp:positionV>
            <wp:extent cx="5205730" cy="3081655"/>
            <wp:effectExtent l="4445" t="4445" r="9525" b="19050"/>
            <wp:wrapTopAndBottom/>
            <wp:docPr id="824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pPr>
        <w:spacing w:line="600" w:lineRule="exact"/>
        <w:ind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keepNext w:val="0"/>
        <w:keepLines w:val="0"/>
        <w:pageBreakBefore w:val="0"/>
        <w:widowControl w:val="0"/>
        <w:kinsoku/>
        <w:wordWrap/>
        <w:overflowPunct/>
        <w:topLinePunct w:val="0"/>
        <w:bidi w:val="0"/>
        <w:adjustRightInd w:val="0"/>
        <w:snapToGrid/>
        <w:spacing w:line="600" w:lineRule="exact"/>
        <w:ind w:firstLine="64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8.5</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1.16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cs="仿宋"/>
          <w:color w:val="auto"/>
          <w:sz w:val="32"/>
          <w:szCs w:val="32"/>
          <w:highlight w:val="none"/>
          <w:shd w:val="clear" w:color="auto" w:fill="FFFFFF"/>
          <w:lang w:eastAsia="zh-CN"/>
        </w:rPr>
        <w:t>决算数小于预算数，比上年减少的主要原因是厉行节约。</w:t>
      </w:r>
    </w:p>
    <w:p>
      <w:pPr>
        <w:spacing w:line="600" w:lineRule="exact"/>
        <w:ind w:firstLine="642" w:firstLineChars="200"/>
        <w:jc w:val="both"/>
        <w:rPr>
          <w:rFonts w:ascii="仿宋_GB2312" w:eastAsia="仿宋_GB2312"/>
          <w:b/>
          <w:color w:val="auto"/>
          <w:sz w:val="32"/>
          <w:szCs w:val="32"/>
          <w:highlight w:val="none"/>
        </w:rPr>
      </w:pP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日，</w:t>
      </w:r>
      <w:r>
        <w:rPr>
          <w:rFonts w:hint="eastAsia" w:ascii="仿宋_GB2312" w:eastAsia="仿宋_GB2312"/>
          <w:color w:val="000000" w:themeColor="text1"/>
          <w:sz w:val="32"/>
          <w:szCs w:val="32"/>
          <w:highlight w:val="none"/>
          <w14:textFill>
            <w14:solidFill>
              <w14:schemeClr w14:val="tx1"/>
            </w14:solidFill>
          </w14:textFill>
        </w:rPr>
        <w:t>单位共有公务用车</w:t>
      </w:r>
      <w:r>
        <w:rPr>
          <w:rFonts w:hint="eastAsia" w:ascii="仿宋_GB2312" w:eastAsia="仿宋_GB2312"/>
          <w:color w:val="000000" w:themeColor="text1"/>
          <w:sz w:val="32"/>
          <w:szCs w:val="32"/>
          <w:highlight w:val="none"/>
          <w:lang w:val="en-US" w:eastAsia="zh-CN"/>
          <w14:textFill>
            <w14:solidFill>
              <w14:schemeClr w14:val="tx1"/>
            </w14:solidFill>
          </w14:textFill>
        </w:rPr>
        <w:t>7</w:t>
      </w:r>
      <w:r>
        <w:rPr>
          <w:rFonts w:hint="eastAsia" w:ascii="仿宋_GB2312" w:eastAsia="仿宋_GB2312"/>
          <w:color w:val="000000" w:themeColor="text1"/>
          <w:sz w:val="32"/>
          <w:szCs w:val="32"/>
          <w:highlight w:val="none"/>
          <w14:textFill>
            <w14:solidFill>
              <w14:schemeClr w14:val="tx1"/>
            </w14:solidFill>
          </w14:textFill>
        </w:rPr>
        <w:t>辆</w:t>
      </w:r>
      <w:r>
        <w:rPr>
          <w:rFonts w:hint="eastAsia" w:ascii="仿宋_GB2312" w:eastAsia="仿宋_GB2312" w:cs="Times New Roman"/>
          <w:color w:val="000000" w:themeColor="text1"/>
          <w:sz w:val="32"/>
          <w:szCs w:val="32"/>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8.5</w:t>
      </w:r>
      <w:r>
        <w:rPr>
          <w:rFonts w:hint="eastAsia" w:ascii="仿宋_GB2312" w:eastAsia="仿宋_GB2312"/>
          <w:color w:val="auto"/>
          <w:sz w:val="32"/>
          <w:szCs w:val="32"/>
          <w:highlight w:val="none"/>
        </w:rPr>
        <w:t>万元。</w:t>
      </w:r>
      <w:r>
        <w:rPr>
          <w:rFonts w:hint="eastAsia" w:ascii="仿宋" w:hAnsi="仿宋" w:eastAsia="仿宋" w:cs="仿宋"/>
          <w:color w:val="auto"/>
          <w:sz w:val="32"/>
          <w:szCs w:val="32"/>
          <w:highlight w:val="none"/>
        </w:rPr>
        <w:t>主要用于</w:t>
      </w:r>
      <w:r>
        <w:rPr>
          <w:rFonts w:hint="eastAsia" w:ascii="仿宋_GB2312" w:eastAsia="仿宋_GB2312"/>
          <w:color w:val="000000"/>
          <w:sz w:val="32"/>
          <w:szCs w:val="32"/>
          <w:lang w:eastAsia="zh-CN"/>
        </w:rPr>
        <w:t>下村</w:t>
      </w:r>
      <w:r>
        <w:rPr>
          <w:rFonts w:hint="eastAsia" w:ascii="仿宋" w:hAnsi="仿宋" w:eastAsia="仿宋"/>
          <w:color w:val="000000"/>
          <w:sz w:val="32"/>
          <w:szCs w:val="32"/>
        </w:rPr>
        <w:t>开展</w:t>
      </w:r>
      <w:r>
        <w:rPr>
          <w:rFonts w:hint="eastAsia" w:ascii="仿宋" w:hAnsi="仿宋" w:eastAsia="仿宋"/>
          <w:color w:val="000000"/>
          <w:sz w:val="32"/>
          <w:szCs w:val="32"/>
          <w:lang w:eastAsia="zh-CN"/>
        </w:rPr>
        <w:t>乡村振兴</w:t>
      </w:r>
      <w:r>
        <w:rPr>
          <w:rFonts w:hint="eastAsia" w:ascii="仿宋" w:hAnsi="仿宋" w:eastAsia="仿宋"/>
          <w:color w:val="000000"/>
          <w:sz w:val="32"/>
          <w:szCs w:val="32"/>
        </w:rPr>
        <w:t>工作、保障民生</w:t>
      </w:r>
      <w:r>
        <w:rPr>
          <w:rFonts w:hint="eastAsia" w:ascii="仿宋" w:hAnsi="仿宋" w:eastAsia="仿宋"/>
          <w:color w:val="000000"/>
          <w:sz w:val="32"/>
          <w:szCs w:val="32"/>
          <w:lang w:eastAsia="zh-CN"/>
        </w:rPr>
        <w:t>、</w:t>
      </w:r>
      <w:r>
        <w:rPr>
          <w:rFonts w:hint="eastAsia" w:ascii="仿宋" w:hAnsi="仿宋" w:eastAsia="仿宋"/>
          <w:color w:val="000000"/>
          <w:sz w:val="32"/>
          <w:szCs w:val="32"/>
        </w:rPr>
        <w:t>惠民惠农财政补贴</w:t>
      </w:r>
      <w:r>
        <w:rPr>
          <w:rFonts w:hint="eastAsia" w:ascii="仿宋" w:hAnsi="仿宋" w:eastAsia="仿宋"/>
          <w:color w:val="000000"/>
          <w:sz w:val="32"/>
          <w:szCs w:val="32"/>
          <w:lang w:eastAsia="zh-CN"/>
        </w:rPr>
        <w:t>、</w:t>
      </w:r>
      <w:r>
        <w:rPr>
          <w:rFonts w:hint="eastAsia" w:ascii="仿宋" w:hAnsi="仿宋" w:eastAsia="仿宋" w:cs="仿宋"/>
          <w:color w:val="000000"/>
          <w:sz w:val="32"/>
          <w:szCs w:val="32"/>
          <w:lang w:eastAsia="zh-CN"/>
        </w:rPr>
        <w:t>上县</w:t>
      </w:r>
      <w:r>
        <w:rPr>
          <w:rFonts w:hint="eastAsia" w:ascii="仿宋" w:hAnsi="仿宋" w:eastAsia="仿宋" w:cs="仿宋"/>
          <w:color w:val="000000"/>
          <w:sz w:val="32"/>
          <w:szCs w:val="32"/>
        </w:rPr>
        <w:t>开展业务活动等所需的公务用车燃料费、维修费、过路费、保险费等支出。</w:t>
      </w:r>
    </w:p>
    <w:p>
      <w:pPr>
        <w:numPr>
          <w:ilvl w:val="0"/>
          <w:numId w:val="0"/>
        </w:numPr>
        <w:spacing w:line="600" w:lineRule="exact"/>
        <w:ind w:firstLine="642" w:firstLineChars="200"/>
        <w:jc w:val="both"/>
        <w:rPr>
          <w:rFonts w:hint="eastAsia" w:ascii="仿宋_GB2312" w:eastAsia="仿宋_GB2312"/>
          <w:b/>
          <w:bCs w:val="0"/>
          <w:color w:val="auto"/>
          <w:sz w:val="32"/>
          <w:szCs w:val="32"/>
          <w:highlight w:val="none"/>
          <w:lang w:val="en-US" w:eastAsia="zh-CN"/>
        </w:rPr>
      </w:pPr>
      <w:bookmarkStart w:id="38" w:name="_Toc15377218"/>
      <w:bookmarkStart w:id="39" w:name="_Toc15396610"/>
      <w:r>
        <w:rPr>
          <w:rFonts w:ascii="仿宋_GB2312" w:eastAsia="仿宋_GB2312"/>
          <w:b/>
          <w:color w:val="auto"/>
          <w:sz w:val="32"/>
          <w:szCs w:val="32"/>
          <w:highlight w:val="none"/>
        </w:rPr>
        <w:t>3.</w:t>
      </w:r>
      <w:r>
        <w:rPr>
          <w:rFonts w:hint="eastAsia" w:ascii="仿宋_GB2312" w:eastAsia="仿宋_GB2312"/>
          <w:b/>
          <w:color w:val="auto"/>
          <w:sz w:val="32"/>
          <w:szCs w:val="32"/>
          <w:highlight w:val="none"/>
        </w:rPr>
        <w:t>公</w:t>
      </w:r>
      <w:r>
        <w:rPr>
          <w:rFonts w:hint="eastAsia" w:ascii="仿宋_GB2312" w:eastAsia="仿宋_GB2312"/>
          <w:b/>
          <w:bCs w:val="0"/>
          <w:color w:val="auto"/>
          <w:sz w:val="32"/>
          <w:szCs w:val="32"/>
          <w:highlight w:val="none"/>
        </w:rPr>
        <w:t>务接待费支出</w:t>
      </w:r>
      <w:r>
        <w:rPr>
          <w:rFonts w:hint="eastAsia" w:ascii="仿宋_GB2312" w:eastAsia="仿宋_GB2312"/>
          <w:b/>
          <w:bCs w:val="0"/>
          <w:color w:val="auto"/>
          <w:sz w:val="32"/>
          <w:szCs w:val="32"/>
          <w:highlight w:val="none"/>
          <w:lang w:val="en-US" w:eastAsia="zh-CN"/>
        </w:rPr>
        <w:t>：无</w:t>
      </w:r>
    </w:p>
    <w:p>
      <w:pPr>
        <w:numPr>
          <w:ilvl w:val="0"/>
          <w:numId w:val="0"/>
        </w:numPr>
        <w:spacing w:line="600" w:lineRule="exact"/>
        <w:ind w:firstLine="963" w:firstLineChars="300"/>
        <w:jc w:val="both"/>
        <w:outlineLvl w:val="1"/>
        <w:rPr>
          <w:rFonts w:hint="eastAsia" w:ascii="仿宋_GB2312" w:eastAsia="仿宋"/>
          <w:b/>
          <w:bCs w:val="0"/>
          <w:color w:val="auto"/>
          <w:sz w:val="32"/>
          <w:szCs w:val="32"/>
          <w:highlight w:val="none"/>
          <w:lang w:eastAsia="zh-CN"/>
        </w:rPr>
      </w:pPr>
      <w:bookmarkStart w:id="40" w:name="_Toc28846"/>
      <w:bookmarkStart w:id="41" w:name="_Toc26965"/>
      <w:bookmarkStart w:id="42" w:name="_Toc7998"/>
      <w:bookmarkStart w:id="43" w:name="_Toc13348"/>
      <w:bookmarkStart w:id="44" w:name="_Toc14397"/>
      <w:r>
        <w:rPr>
          <w:rFonts w:hint="eastAsia" w:ascii="仿宋" w:hAnsi="仿宋" w:eastAsia="仿宋"/>
          <w:b/>
          <w:bCs w:val="0"/>
          <w:color w:val="auto"/>
          <w:sz w:val="32"/>
          <w:szCs w:val="32"/>
          <w:highlight w:val="none"/>
        </w:rPr>
        <w:t>国内公务接待支出</w:t>
      </w:r>
      <w:r>
        <w:rPr>
          <w:rFonts w:hint="eastAsia" w:ascii="仿宋" w:hAnsi="仿宋" w:eastAsia="仿宋"/>
          <w:b/>
          <w:bCs w:val="0"/>
          <w:color w:val="auto"/>
          <w:sz w:val="32"/>
          <w:szCs w:val="32"/>
          <w:highlight w:val="none"/>
          <w:lang w:eastAsia="zh-CN"/>
        </w:rPr>
        <w:t>：无</w:t>
      </w:r>
      <w:bookmarkEnd w:id="40"/>
      <w:bookmarkEnd w:id="41"/>
      <w:bookmarkEnd w:id="42"/>
      <w:bookmarkEnd w:id="43"/>
      <w:bookmarkEnd w:id="44"/>
    </w:p>
    <w:p>
      <w:pPr>
        <w:spacing w:line="600" w:lineRule="exact"/>
        <w:ind w:firstLine="963" w:firstLineChars="300"/>
        <w:jc w:val="both"/>
        <w:rPr>
          <w:rFonts w:ascii="黑体" w:eastAsia="黑体"/>
          <w:color w:val="auto"/>
          <w:sz w:val="32"/>
          <w:szCs w:val="32"/>
          <w:highlight w:val="none"/>
        </w:rPr>
      </w:pPr>
      <w:r>
        <w:rPr>
          <w:rFonts w:hint="eastAsia" w:ascii="仿宋" w:hAnsi="仿宋" w:eastAsia="仿宋"/>
          <w:b/>
          <w:bCs w:val="0"/>
          <w:color w:val="auto"/>
          <w:sz w:val="32"/>
          <w:szCs w:val="32"/>
          <w:highlight w:val="none"/>
        </w:rPr>
        <w:t>外事接待支出</w:t>
      </w:r>
      <w:r>
        <w:rPr>
          <w:rFonts w:hint="eastAsia" w:ascii="仿宋" w:hAnsi="仿宋" w:eastAsia="仿宋"/>
          <w:b/>
          <w:bCs w:val="0"/>
          <w:color w:val="auto"/>
          <w:sz w:val="32"/>
          <w:szCs w:val="32"/>
          <w:highlight w:val="none"/>
          <w:lang w:eastAsia="zh-CN"/>
        </w:rPr>
        <w:t>：无</w:t>
      </w:r>
    </w:p>
    <w:p>
      <w:pPr>
        <w:spacing w:line="600" w:lineRule="exact"/>
        <w:ind w:firstLine="640"/>
        <w:jc w:val="both"/>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38"/>
      <w:bookmarkEnd w:id="39"/>
    </w:p>
    <w:p>
      <w:pPr>
        <w:spacing w:line="600" w:lineRule="exact"/>
        <w:ind w:firstLine="640"/>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tbl>
      <w:tblPr>
        <w:tblStyle w:val="17"/>
        <w:tblW w:w="8375" w:type="dxa"/>
        <w:tblInd w:w="0" w:type="dxa"/>
        <w:tblLayout w:type="fixed"/>
        <w:tblCellMar>
          <w:top w:w="0" w:type="dxa"/>
          <w:left w:w="0" w:type="dxa"/>
          <w:bottom w:w="0" w:type="dxa"/>
          <w:right w:w="0" w:type="dxa"/>
        </w:tblCellMar>
      </w:tblPr>
      <w:tblGrid>
        <w:gridCol w:w="388"/>
        <w:gridCol w:w="300"/>
        <w:gridCol w:w="416"/>
        <w:gridCol w:w="934"/>
        <w:gridCol w:w="1162"/>
        <w:gridCol w:w="1138"/>
        <w:gridCol w:w="850"/>
        <w:gridCol w:w="1100"/>
        <w:gridCol w:w="1000"/>
        <w:gridCol w:w="1087"/>
      </w:tblGrid>
      <w:tr>
        <w:tblPrEx>
          <w:tblCellMar>
            <w:top w:w="0" w:type="dxa"/>
            <w:left w:w="0" w:type="dxa"/>
            <w:bottom w:w="0" w:type="dxa"/>
            <w:right w:w="0" w:type="dxa"/>
          </w:tblCellMar>
        </w:tblPrEx>
        <w:trPr>
          <w:trHeight w:val="489" w:hRule="atLeast"/>
        </w:trPr>
        <w:tc>
          <w:tcPr>
            <w:tcW w:w="8375" w:type="dxa"/>
            <w:gridSpan w:val="10"/>
            <w:tcBorders>
              <w:top w:val="nil"/>
              <w:left w:val="nil"/>
              <w:bottom w:val="nil"/>
              <w:right w:val="nil"/>
            </w:tcBorders>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政府性基金预算财政拨款收入支出决算表</w:t>
            </w:r>
          </w:p>
        </w:tc>
      </w:tr>
      <w:tr>
        <w:tblPrEx>
          <w:tblCellMar>
            <w:top w:w="0" w:type="dxa"/>
            <w:left w:w="0" w:type="dxa"/>
            <w:bottom w:w="0" w:type="dxa"/>
            <w:right w:w="0" w:type="dxa"/>
          </w:tblCellMar>
        </w:tblPrEx>
        <w:trPr>
          <w:trHeight w:val="270" w:hRule="atLeast"/>
        </w:trPr>
        <w:tc>
          <w:tcPr>
            <w:tcW w:w="388" w:type="dxa"/>
            <w:tcBorders>
              <w:top w:val="nil"/>
              <w:left w:val="nil"/>
              <w:bottom w:val="nil"/>
              <w:right w:val="nil"/>
            </w:tcBorders>
            <w:noWrap/>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300" w:type="dxa"/>
            <w:tcBorders>
              <w:top w:val="nil"/>
              <w:left w:val="nil"/>
              <w:bottom w:val="nil"/>
              <w:right w:val="nil"/>
            </w:tcBorders>
            <w:noWrap/>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416" w:type="dxa"/>
            <w:tcBorders>
              <w:top w:val="nil"/>
              <w:left w:val="nil"/>
              <w:bottom w:val="nil"/>
              <w:right w:val="nil"/>
            </w:tcBorders>
            <w:noWrap/>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934" w:type="dxa"/>
            <w:tcBorders>
              <w:top w:val="nil"/>
              <w:left w:val="nil"/>
              <w:bottom w:val="nil"/>
              <w:right w:val="nil"/>
            </w:tcBorders>
            <w:noWrap/>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162" w:type="dxa"/>
            <w:tcBorders>
              <w:top w:val="nil"/>
              <w:left w:val="nil"/>
              <w:bottom w:val="nil"/>
              <w:right w:val="nil"/>
            </w:tcBorders>
            <w:noWrap/>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138" w:type="dxa"/>
            <w:tcBorders>
              <w:top w:val="nil"/>
              <w:left w:val="nil"/>
              <w:bottom w:val="nil"/>
              <w:right w:val="nil"/>
            </w:tcBorders>
            <w:noWrap/>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850" w:type="dxa"/>
            <w:tcBorders>
              <w:top w:val="nil"/>
              <w:left w:val="nil"/>
              <w:bottom w:val="nil"/>
              <w:right w:val="nil"/>
            </w:tcBorders>
            <w:noWrap/>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100" w:type="dxa"/>
            <w:tcBorders>
              <w:top w:val="nil"/>
              <w:left w:val="nil"/>
              <w:bottom w:val="nil"/>
              <w:right w:val="nil"/>
            </w:tcBorders>
            <w:noWrap/>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000" w:type="dxa"/>
            <w:tcBorders>
              <w:top w:val="nil"/>
              <w:left w:val="nil"/>
              <w:bottom w:val="nil"/>
              <w:right w:val="nil"/>
            </w:tcBorders>
            <w:noWrap/>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087" w:type="dxa"/>
            <w:tcBorders>
              <w:top w:val="nil"/>
              <w:left w:val="nil"/>
              <w:bottom w:val="nil"/>
              <w:right w:val="nil"/>
            </w:tcBorders>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财决公开10表</w:t>
            </w:r>
          </w:p>
        </w:tc>
      </w:tr>
      <w:tr>
        <w:tblPrEx>
          <w:tblCellMar>
            <w:top w:w="0" w:type="dxa"/>
            <w:left w:w="0" w:type="dxa"/>
            <w:bottom w:w="0" w:type="dxa"/>
            <w:right w:w="0" w:type="dxa"/>
          </w:tblCellMar>
        </w:tblPrEx>
        <w:trPr>
          <w:trHeight w:val="520" w:hRule="atLeast"/>
        </w:trPr>
        <w:tc>
          <w:tcPr>
            <w:tcW w:w="3200" w:type="dxa"/>
            <w:gridSpan w:val="5"/>
            <w:tcBorders>
              <w:top w:val="nil"/>
              <w:left w:val="nil"/>
              <w:bottom w:val="nil"/>
              <w:right w:val="nil"/>
            </w:tcBorders>
            <w:noWrap w:val="0"/>
            <w:tcMar>
              <w:top w:w="15" w:type="dxa"/>
              <w:left w:w="15" w:type="dxa"/>
              <w:right w:w="15" w:type="dxa"/>
            </w:tcMar>
            <w:vAlign w:val="bottom"/>
          </w:tcPr>
          <w:p>
            <w:pPr>
              <w:keepNext w:val="0"/>
              <w:keepLines w:val="0"/>
              <w:widowControl/>
              <w:suppressLineNumbers w:val="0"/>
              <w:jc w:val="both"/>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单位名称：阿坝州壤塘县中壤塘镇人民政府</w:t>
            </w:r>
          </w:p>
        </w:tc>
        <w:tc>
          <w:tcPr>
            <w:tcW w:w="1138" w:type="dxa"/>
            <w:tcBorders>
              <w:top w:val="nil"/>
              <w:left w:val="nil"/>
              <w:bottom w:val="nil"/>
              <w:right w:val="nil"/>
            </w:tcBorders>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202</w:t>
            </w:r>
            <w:r>
              <w:rPr>
                <w:rFonts w:hint="eastAsia" w:ascii="宋体" w:hAnsi="宋体" w:cs="宋体"/>
                <w:i w:val="0"/>
                <w:color w:val="000000"/>
                <w:kern w:val="0"/>
                <w:sz w:val="20"/>
                <w:szCs w:val="20"/>
                <w:u w:val="none"/>
                <w:lang w:val="en-US" w:eastAsia="zh-CN" w:bidi="ar"/>
              </w:rPr>
              <w:t>5</w:t>
            </w:r>
            <w:r>
              <w:rPr>
                <w:rFonts w:hint="eastAsia" w:ascii="宋体" w:hAnsi="宋体" w:eastAsia="宋体" w:cs="宋体"/>
                <w:i w:val="0"/>
                <w:color w:val="000000"/>
                <w:kern w:val="0"/>
                <w:sz w:val="20"/>
                <w:szCs w:val="20"/>
                <w:u w:val="none"/>
                <w:lang w:val="en-US" w:eastAsia="zh-CN" w:bidi="ar"/>
              </w:rPr>
              <w:t>年度</w:t>
            </w:r>
          </w:p>
        </w:tc>
        <w:tc>
          <w:tcPr>
            <w:tcW w:w="850" w:type="dxa"/>
            <w:tcBorders>
              <w:top w:val="nil"/>
              <w:left w:val="nil"/>
              <w:bottom w:val="nil"/>
              <w:right w:val="nil"/>
            </w:tcBorders>
            <w:noWrap/>
            <w:tcMar>
              <w:top w:w="15" w:type="dxa"/>
              <w:left w:w="15" w:type="dxa"/>
              <w:right w:w="15" w:type="dxa"/>
            </w:tcMar>
            <w:vAlign w:val="bottom"/>
          </w:tcPr>
          <w:p>
            <w:pPr>
              <w:jc w:val="both"/>
              <w:rPr>
                <w:rFonts w:hint="eastAsia" w:ascii="宋体" w:hAnsi="宋体" w:eastAsia="宋体" w:cs="宋体"/>
                <w:i w:val="0"/>
                <w:color w:val="000000"/>
                <w:sz w:val="20"/>
                <w:szCs w:val="20"/>
                <w:u w:val="none"/>
              </w:rPr>
            </w:pPr>
          </w:p>
        </w:tc>
        <w:tc>
          <w:tcPr>
            <w:tcW w:w="1100" w:type="dxa"/>
            <w:tcBorders>
              <w:top w:val="nil"/>
              <w:left w:val="nil"/>
              <w:bottom w:val="nil"/>
              <w:right w:val="nil"/>
            </w:tcBorders>
            <w:noWrap/>
            <w:tcMar>
              <w:top w:w="15" w:type="dxa"/>
              <w:left w:w="15" w:type="dxa"/>
              <w:right w:w="15" w:type="dxa"/>
            </w:tcMar>
            <w:vAlign w:val="bottom"/>
          </w:tcPr>
          <w:p>
            <w:pPr>
              <w:jc w:val="both"/>
              <w:rPr>
                <w:rFonts w:hint="eastAsia" w:ascii="宋体" w:hAnsi="宋体" w:eastAsia="宋体" w:cs="宋体"/>
                <w:i w:val="0"/>
                <w:color w:val="000000"/>
                <w:sz w:val="20"/>
                <w:szCs w:val="20"/>
                <w:u w:val="none"/>
              </w:rPr>
            </w:pPr>
          </w:p>
        </w:tc>
        <w:tc>
          <w:tcPr>
            <w:tcW w:w="1000" w:type="dxa"/>
            <w:tcBorders>
              <w:top w:val="nil"/>
              <w:left w:val="nil"/>
              <w:bottom w:val="nil"/>
              <w:right w:val="nil"/>
            </w:tcBorders>
            <w:noWrap/>
            <w:tcMar>
              <w:top w:w="15" w:type="dxa"/>
              <w:left w:w="15" w:type="dxa"/>
              <w:right w:w="15" w:type="dxa"/>
            </w:tcMar>
            <w:vAlign w:val="bottom"/>
          </w:tcPr>
          <w:p>
            <w:pPr>
              <w:jc w:val="both"/>
              <w:rPr>
                <w:rFonts w:hint="eastAsia" w:ascii="宋体" w:hAnsi="宋体" w:eastAsia="宋体" w:cs="宋体"/>
                <w:i w:val="0"/>
                <w:color w:val="000000"/>
                <w:sz w:val="20"/>
                <w:szCs w:val="20"/>
                <w:u w:val="none"/>
              </w:rPr>
            </w:pPr>
          </w:p>
        </w:tc>
        <w:tc>
          <w:tcPr>
            <w:tcW w:w="1087" w:type="dxa"/>
            <w:tcBorders>
              <w:top w:val="nil"/>
              <w:left w:val="nil"/>
              <w:bottom w:val="nil"/>
              <w:right w:val="nil"/>
            </w:tcBorders>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24" w:hRule="atLeast"/>
        </w:trPr>
        <w:tc>
          <w:tcPr>
            <w:tcW w:w="1104" w:type="dxa"/>
            <w:gridSpan w:val="3"/>
            <w:vMerge w:val="restart"/>
            <w:tcBorders>
              <w:top w:val="single" w:color="000000" w:sz="4" w:space="0"/>
              <w:left w:val="single" w:color="000000" w:sz="4" w:space="0"/>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934" w:type="dxa"/>
            <w:vMerge w:val="restart"/>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162" w:type="dxa"/>
            <w:vMerge w:val="restart"/>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1138" w:type="dxa"/>
            <w:vMerge w:val="restart"/>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2950" w:type="dxa"/>
            <w:gridSpan w:val="3"/>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c>
          <w:tcPr>
            <w:tcW w:w="1087" w:type="dxa"/>
            <w:vMerge w:val="restart"/>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r>
      <w:tr>
        <w:tblPrEx>
          <w:tblCellMar>
            <w:top w:w="0" w:type="dxa"/>
            <w:left w:w="0" w:type="dxa"/>
            <w:bottom w:w="0" w:type="dxa"/>
            <w:right w:w="0" w:type="dxa"/>
          </w:tblCellMar>
        </w:tblPrEx>
        <w:trPr>
          <w:trHeight w:val="324" w:hRule="atLeast"/>
        </w:trPr>
        <w:tc>
          <w:tcPr>
            <w:tcW w:w="1104" w:type="dxa"/>
            <w:gridSpan w:val="3"/>
            <w:vMerge w:val="continue"/>
            <w:tcBorders>
              <w:top w:val="single" w:color="000000" w:sz="4" w:space="0"/>
              <w:left w:val="single" w:color="000000" w:sz="4" w:space="0"/>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934"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162"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138"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850" w:type="dxa"/>
            <w:vMerge w:val="restart"/>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100" w:type="dxa"/>
            <w:vMerge w:val="restart"/>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1000" w:type="dxa"/>
            <w:vMerge w:val="restart"/>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c>
          <w:tcPr>
            <w:tcW w:w="1087"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24" w:hRule="atLeast"/>
        </w:trPr>
        <w:tc>
          <w:tcPr>
            <w:tcW w:w="1104" w:type="dxa"/>
            <w:gridSpan w:val="3"/>
            <w:vMerge w:val="continue"/>
            <w:tcBorders>
              <w:top w:val="single" w:color="000000" w:sz="4" w:space="0"/>
              <w:left w:val="single" w:color="000000" w:sz="4" w:space="0"/>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934"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162"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138"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850" w:type="dxa"/>
            <w:vMerge w:val="continue"/>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100" w:type="dxa"/>
            <w:vMerge w:val="continue"/>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000" w:type="dxa"/>
            <w:vMerge w:val="continue"/>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087"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24" w:hRule="atLeast"/>
        </w:trPr>
        <w:tc>
          <w:tcPr>
            <w:tcW w:w="388" w:type="dxa"/>
            <w:tcBorders>
              <w:top w:val="nil"/>
              <w:left w:val="single" w:color="000000" w:sz="4" w:space="0"/>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类</w:t>
            </w:r>
          </w:p>
        </w:tc>
        <w:tc>
          <w:tcPr>
            <w:tcW w:w="300" w:type="dxa"/>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款</w:t>
            </w:r>
          </w:p>
        </w:tc>
        <w:tc>
          <w:tcPr>
            <w:tcW w:w="416" w:type="dxa"/>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934" w:type="dxa"/>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1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c>
          <w:tcPr>
            <w:tcW w:w="11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c>
          <w:tcPr>
            <w:tcW w:w="8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c>
          <w:tcPr>
            <w:tcW w:w="11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c>
          <w:tcPr>
            <w:tcW w:w="10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780" w:hRule="atLeast"/>
        </w:trPr>
        <w:tc>
          <w:tcPr>
            <w:tcW w:w="8375" w:type="dxa"/>
            <w:gridSpan w:val="10"/>
            <w:tcBorders>
              <w:top w:val="nil"/>
              <w:left w:val="nil"/>
              <w:bottom w:val="nil"/>
              <w:right w:val="nil"/>
            </w:tcBorders>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注：本表反映部门本年度政府性基金预算财政拨款收入、支出及结转和结余情况。</w:t>
            </w:r>
          </w:p>
        </w:tc>
      </w:tr>
    </w:tbl>
    <w:p>
      <w:pPr>
        <w:spacing w:line="600" w:lineRule="exact"/>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auto"/>
          <w:sz w:val="32"/>
          <w:szCs w:val="32"/>
          <w:highlight w:val="none"/>
          <w:lang w:val="en-US" w:eastAsia="zh-CN"/>
        </w:rPr>
        <w:t>空表说明：无此项内容</w:t>
      </w:r>
    </w:p>
    <w:p>
      <w:pPr>
        <w:numPr>
          <w:ilvl w:val="0"/>
          <w:numId w:val="0"/>
        </w:numPr>
        <w:spacing w:line="600" w:lineRule="exact"/>
        <w:ind w:left="630" w:leftChars="0"/>
        <w:jc w:val="both"/>
        <w:outlineLvl w:val="1"/>
        <w:rPr>
          <w:rStyle w:val="31"/>
          <w:rFonts w:ascii="Times New Roman" w:hAnsi="Times New Roman" w:eastAsia="黑体"/>
          <w:b w:val="0"/>
          <w:color w:val="auto"/>
          <w:highlight w:val="none"/>
        </w:rPr>
      </w:pPr>
      <w:bookmarkStart w:id="45" w:name="_Toc15396611"/>
      <w:bookmarkStart w:id="46"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45"/>
      <w:bookmarkEnd w:id="46"/>
    </w:p>
    <w:p>
      <w:pPr>
        <w:spacing w:line="600" w:lineRule="exact"/>
        <w:ind w:firstLine="640"/>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tbl>
      <w:tblPr>
        <w:tblStyle w:val="17"/>
        <w:tblW w:w="8400" w:type="dxa"/>
        <w:tblInd w:w="0" w:type="dxa"/>
        <w:tblLayout w:type="fixed"/>
        <w:tblCellMar>
          <w:top w:w="0" w:type="dxa"/>
          <w:left w:w="0" w:type="dxa"/>
          <w:bottom w:w="0" w:type="dxa"/>
          <w:right w:w="0" w:type="dxa"/>
        </w:tblCellMar>
      </w:tblPr>
      <w:tblGrid>
        <w:gridCol w:w="650"/>
        <w:gridCol w:w="613"/>
        <w:gridCol w:w="662"/>
        <w:gridCol w:w="1088"/>
        <w:gridCol w:w="1675"/>
        <w:gridCol w:w="1387"/>
        <w:gridCol w:w="1113"/>
        <w:gridCol w:w="1212"/>
      </w:tblGrid>
      <w:tr>
        <w:tblPrEx>
          <w:tblCellMar>
            <w:top w:w="0" w:type="dxa"/>
            <w:left w:w="0" w:type="dxa"/>
            <w:bottom w:w="0" w:type="dxa"/>
            <w:right w:w="0" w:type="dxa"/>
          </w:tblCellMar>
        </w:tblPrEx>
        <w:trPr>
          <w:trHeight w:val="489" w:hRule="atLeast"/>
        </w:trPr>
        <w:tc>
          <w:tcPr>
            <w:tcW w:w="8400" w:type="dxa"/>
            <w:gridSpan w:val="8"/>
            <w:tcBorders>
              <w:top w:val="nil"/>
              <w:left w:val="nil"/>
              <w:bottom w:val="nil"/>
              <w:right w:val="nil"/>
            </w:tcBorders>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国有资本经营预算财政拨款收入支出决算表</w:t>
            </w:r>
          </w:p>
        </w:tc>
      </w:tr>
      <w:tr>
        <w:tblPrEx>
          <w:tblCellMar>
            <w:top w:w="0" w:type="dxa"/>
            <w:left w:w="0" w:type="dxa"/>
            <w:bottom w:w="0" w:type="dxa"/>
            <w:right w:w="0" w:type="dxa"/>
          </w:tblCellMar>
        </w:tblPrEx>
        <w:trPr>
          <w:trHeight w:val="270" w:hRule="atLeast"/>
        </w:trPr>
        <w:tc>
          <w:tcPr>
            <w:tcW w:w="650" w:type="dxa"/>
            <w:tcBorders>
              <w:top w:val="nil"/>
              <w:left w:val="nil"/>
              <w:bottom w:val="nil"/>
              <w:right w:val="nil"/>
            </w:tcBorders>
            <w:noWrap/>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613" w:type="dxa"/>
            <w:tcBorders>
              <w:top w:val="nil"/>
              <w:left w:val="nil"/>
              <w:bottom w:val="nil"/>
              <w:right w:val="nil"/>
            </w:tcBorders>
            <w:noWrap/>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662" w:type="dxa"/>
            <w:tcBorders>
              <w:top w:val="nil"/>
              <w:left w:val="nil"/>
              <w:bottom w:val="nil"/>
              <w:right w:val="nil"/>
            </w:tcBorders>
            <w:noWrap/>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088" w:type="dxa"/>
            <w:tcBorders>
              <w:top w:val="nil"/>
              <w:left w:val="nil"/>
              <w:bottom w:val="nil"/>
              <w:right w:val="nil"/>
            </w:tcBorders>
            <w:noWrap/>
            <w:tcMar>
              <w:top w:w="15" w:type="dxa"/>
              <w:left w:w="15" w:type="dxa"/>
              <w:right w:w="15" w:type="dxa"/>
            </w:tcMar>
            <w:vAlign w:val="center"/>
          </w:tcPr>
          <w:p>
            <w:pPr>
              <w:jc w:val="both"/>
              <w:rPr>
                <w:rFonts w:hint="eastAsia" w:ascii="宋体" w:hAnsi="宋体" w:eastAsia="宋体" w:cs="宋体"/>
                <w:i w:val="0"/>
                <w:color w:val="000000"/>
                <w:sz w:val="20"/>
                <w:szCs w:val="20"/>
                <w:u w:val="none"/>
              </w:rPr>
            </w:pPr>
          </w:p>
        </w:tc>
        <w:tc>
          <w:tcPr>
            <w:tcW w:w="1675" w:type="dxa"/>
            <w:tcBorders>
              <w:top w:val="nil"/>
              <w:left w:val="nil"/>
              <w:bottom w:val="nil"/>
              <w:right w:val="nil"/>
            </w:tcBorders>
            <w:noWrap/>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387" w:type="dxa"/>
            <w:tcBorders>
              <w:top w:val="nil"/>
              <w:left w:val="nil"/>
              <w:bottom w:val="nil"/>
              <w:right w:val="nil"/>
            </w:tcBorders>
            <w:noWrap/>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113" w:type="dxa"/>
            <w:tcBorders>
              <w:top w:val="nil"/>
              <w:left w:val="nil"/>
              <w:bottom w:val="nil"/>
              <w:right w:val="nil"/>
            </w:tcBorders>
            <w:noWrap/>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212" w:type="dxa"/>
            <w:tcBorders>
              <w:top w:val="nil"/>
              <w:left w:val="nil"/>
              <w:bottom w:val="nil"/>
              <w:right w:val="nil"/>
            </w:tcBorders>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财决公开11表</w:t>
            </w:r>
          </w:p>
        </w:tc>
      </w:tr>
      <w:tr>
        <w:tblPrEx>
          <w:tblCellMar>
            <w:top w:w="0" w:type="dxa"/>
            <w:left w:w="0" w:type="dxa"/>
            <w:bottom w:w="0" w:type="dxa"/>
            <w:right w:w="0" w:type="dxa"/>
          </w:tblCellMar>
        </w:tblPrEx>
        <w:trPr>
          <w:trHeight w:val="480" w:hRule="atLeast"/>
        </w:trPr>
        <w:tc>
          <w:tcPr>
            <w:tcW w:w="3013" w:type="dxa"/>
            <w:gridSpan w:val="4"/>
            <w:tcBorders>
              <w:top w:val="nil"/>
              <w:left w:val="nil"/>
              <w:bottom w:val="nil"/>
              <w:right w:val="nil"/>
            </w:tcBorders>
            <w:noWrap w:val="0"/>
            <w:tcMar>
              <w:top w:w="15" w:type="dxa"/>
              <w:left w:w="15" w:type="dxa"/>
              <w:right w:w="15" w:type="dxa"/>
            </w:tcMar>
            <w:vAlign w:val="bottom"/>
          </w:tcPr>
          <w:p>
            <w:pPr>
              <w:keepNext w:val="0"/>
              <w:keepLines w:val="0"/>
              <w:widowControl/>
              <w:suppressLineNumbers w:val="0"/>
              <w:jc w:val="both"/>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单位名称：阿坝州壤塘县中壤塘镇人民政府</w:t>
            </w:r>
          </w:p>
        </w:tc>
        <w:tc>
          <w:tcPr>
            <w:tcW w:w="1675" w:type="dxa"/>
            <w:tcBorders>
              <w:top w:val="nil"/>
              <w:left w:val="nil"/>
              <w:bottom w:val="nil"/>
              <w:right w:val="nil"/>
            </w:tcBorders>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202</w:t>
            </w:r>
            <w:r>
              <w:rPr>
                <w:rFonts w:hint="eastAsia" w:ascii="宋体" w:hAnsi="宋体" w:cs="宋体"/>
                <w:i w:val="0"/>
                <w:color w:val="000000"/>
                <w:kern w:val="0"/>
                <w:sz w:val="20"/>
                <w:szCs w:val="20"/>
                <w:u w:val="none"/>
                <w:lang w:val="en-US" w:eastAsia="zh-CN" w:bidi="ar"/>
              </w:rPr>
              <w:t>5</w:t>
            </w:r>
            <w:r>
              <w:rPr>
                <w:rFonts w:hint="eastAsia" w:ascii="宋体" w:hAnsi="宋体" w:eastAsia="宋体" w:cs="宋体"/>
                <w:i w:val="0"/>
                <w:color w:val="000000"/>
                <w:kern w:val="0"/>
                <w:sz w:val="20"/>
                <w:szCs w:val="20"/>
                <w:u w:val="none"/>
                <w:lang w:val="en-US" w:eastAsia="zh-CN" w:bidi="ar"/>
              </w:rPr>
              <w:t>年度</w:t>
            </w:r>
          </w:p>
        </w:tc>
        <w:tc>
          <w:tcPr>
            <w:tcW w:w="1387" w:type="dxa"/>
            <w:tcBorders>
              <w:top w:val="nil"/>
              <w:left w:val="nil"/>
              <w:bottom w:val="nil"/>
              <w:right w:val="nil"/>
            </w:tcBorders>
            <w:noWrap/>
            <w:tcMar>
              <w:top w:w="15" w:type="dxa"/>
              <w:left w:w="15" w:type="dxa"/>
              <w:right w:w="15" w:type="dxa"/>
            </w:tcMar>
            <w:vAlign w:val="center"/>
          </w:tcPr>
          <w:p>
            <w:pPr>
              <w:jc w:val="both"/>
              <w:rPr>
                <w:rFonts w:hint="eastAsia" w:ascii="宋体" w:hAnsi="宋体" w:eastAsia="宋体" w:cs="宋体"/>
                <w:i w:val="0"/>
                <w:color w:val="000000"/>
                <w:sz w:val="20"/>
                <w:szCs w:val="20"/>
                <w:u w:val="none"/>
              </w:rPr>
            </w:pPr>
          </w:p>
        </w:tc>
        <w:tc>
          <w:tcPr>
            <w:tcW w:w="1113" w:type="dxa"/>
            <w:tcBorders>
              <w:top w:val="nil"/>
              <w:left w:val="nil"/>
              <w:bottom w:val="nil"/>
              <w:right w:val="nil"/>
            </w:tcBorders>
            <w:noWrap/>
            <w:tcMar>
              <w:top w:w="15" w:type="dxa"/>
              <w:left w:w="15" w:type="dxa"/>
              <w:right w:w="15" w:type="dxa"/>
            </w:tcMar>
            <w:vAlign w:val="center"/>
          </w:tcPr>
          <w:p>
            <w:pPr>
              <w:jc w:val="both"/>
              <w:rPr>
                <w:rFonts w:hint="eastAsia" w:ascii="宋体" w:hAnsi="宋体" w:eastAsia="宋体" w:cs="宋体"/>
                <w:i w:val="0"/>
                <w:color w:val="000000"/>
                <w:sz w:val="20"/>
                <w:szCs w:val="20"/>
                <w:u w:val="none"/>
              </w:rPr>
            </w:pPr>
          </w:p>
        </w:tc>
        <w:tc>
          <w:tcPr>
            <w:tcW w:w="1212" w:type="dxa"/>
            <w:tcBorders>
              <w:top w:val="nil"/>
              <w:left w:val="nil"/>
              <w:bottom w:val="nil"/>
              <w:right w:val="nil"/>
            </w:tcBorders>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24" w:hRule="atLeast"/>
        </w:trPr>
        <w:tc>
          <w:tcPr>
            <w:tcW w:w="3013" w:type="dxa"/>
            <w:gridSpan w:val="4"/>
            <w:tcBorders>
              <w:top w:val="single" w:color="000000" w:sz="4" w:space="0"/>
              <w:left w:val="single" w:color="000000" w:sz="4" w:space="0"/>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    目</w:t>
            </w:r>
          </w:p>
        </w:tc>
        <w:tc>
          <w:tcPr>
            <w:tcW w:w="1675" w:type="dxa"/>
            <w:vMerge w:val="restart"/>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1387" w:type="dxa"/>
            <w:vMerge w:val="restart"/>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1113" w:type="dxa"/>
            <w:vMerge w:val="restart"/>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c>
          <w:tcPr>
            <w:tcW w:w="1212" w:type="dxa"/>
            <w:vMerge w:val="restart"/>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r>
      <w:tr>
        <w:tblPrEx>
          <w:tblCellMar>
            <w:top w:w="0" w:type="dxa"/>
            <w:left w:w="0" w:type="dxa"/>
            <w:bottom w:w="0" w:type="dxa"/>
            <w:right w:w="0" w:type="dxa"/>
          </w:tblCellMar>
        </w:tblPrEx>
        <w:trPr>
          <w:trHeight w:val="276" w:hRule="atLeast"/>
        </w:trPr>
        <w:tc>
          <w:tcPr>
            <w:tcW w:w="1925" w:type="dxa"/>
            <w:gridSpan w:val="3"/>
            <w:vMerge w:val="restart"/>
            <w:tcBorders>
              <w:top w:val="nil"/>
              <w:left w:val="single" w:color="000000" w:sz="4" w:space="0"/>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1088" w:type="dxa"/>
            <w:vMerge w:val="restart"/>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675"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387"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113"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212"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9" w:hRule="atLeast"/>
        </w:trPr>
        <w:tc>
          <w:tcPr>
            <w:tcW w:w="1925" w:type="dxa"/>
            <w:gridSpan w:val="3"/>
            <w:vMerge w:val="continue"/>
            <w:tcBorders>
              <w:top w:val="nil"/>
              <w:left w:val="single" w:color="000000" w:sz="4" w:space="0"/>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088" w:type="dxa"/>
            <w:vMerge w:val="continue"/>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675"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387"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113"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212"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9" w:hRule="atLeast"/>
        </w:trPr>
        <w:tc>
          <w:tcPr>
            <w:tcW w:w="1925" w:type="dxa"/>
            <w:gridSpan w:val="3"/>
            <w:vMerge w:val="continue"/>
            <w:tcBorders>
              <w:top w:val="nil"/>
              <w:left w:val="single" w:color="000000" w:sz="4" w:space="0"/>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088" w:type="dxa"/>
            <w:vMerge w:val="continue"/>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675"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387"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113"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c>
          <w:tcPr>
            <w:tcW w:w="1212"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both"/>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24" w:hRule="atLeast"/>
        </w:trPr>
        <w:tc>
          <w:tcPr>
            <w:tcW w:w="650" w:type="dxa"/>
            <w:tcBorders>
              <w:top w:val="nil"/>
              <w:left w:val="single" w:color="000000" w:sz="4" w:space="0"/>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类</w:t>
            </w:r>
          </w:p>
        </w:tc>
        <w:tc>
          <w:tcPr>
            <w:tcW w:w="613" w:type="dxa"/>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款</w:t>
            </w:r>
          </w:p>
        </w:tc>
        <w:tc>
          <w:tcPr>
            <w:tcW w:w="662" w:type="dxa"/>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088" w:type="dxa"/>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c>
          <w:tcPr>
            <w:tcW w:w="13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c>
          <w:tcPr>
            <w:tcW w:w="111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c>
          <w:tcPr>
            <w:tcW w:w="121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r>
      <w:tr>
        <w:tblPrEx>
          <w:tblCellMar>
            <w:top w:w="0" w:type="dxa"/>
            <w:left w:w="0" w:type="dxa"/>
            <w:bottom w:w="0" w:type="dxa"/>
            <w:right w:w="0" w:type="dxa"/>
          </w:tblCellMar>
        </w:tblPrEx>
        <w:trPr>
          <w:trHeight w:val="960" w:hRule="atLeast"/>
        </w:trPr>
        <w:tc>
          <w:tcPr>
            <w:tcW w:w="8400" w:type="dxa"/>
            <w:gridSpan w:val="8"/>
            <w:tcBorders>
              <w:top w:val="nil"/>
              <w:left w:val="nil"/>
              <w:bottom w:val="nil"/>
              <w:right w:val="nil"/>
            </w:tcBorders>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注：本表反映部门本年度国有资本经营预算财政拨款收入、支出及结转和结余情况。</w:t>
            </w:r>
          </w:p>
        </w:tc>
      </w:tr>
    </w:tbl>
    <w:p>
      <w:pPr>
        <w:spacing w:line="600" w:lineRule="exact"/>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auto"/>
          <w:sz w:val="32"/>
          <w:szCs w:val="32"/>
          <w:highlight w:val="none"/>
          <w:lang w:val="en-US" w:eastAsia="zh-CN"/>
        </w:rPr>
        <w:t>空表说明：无此项内容</w:t>
      </w:r>
    </w:p>
    <w:p>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47" w:name="_Toc15396612"/>
      <w:bookmarkStart w:id="48" w:name="_Toc15377221"/>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47"/>
      <w:bookmarkEnd w:id="48"/>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9" w:name="_Toc15377222"/>
      <w:r>
        <w:rPr>
          <w:rFonts w:hint="eastAsia" w:ascii="Times New Roman" w:hAnsi="Times New Roman" w:eastAsia="楷体_GB2312" w:cs="楷体_GB2312"/>
          <w:b/>
          <w:color w:val="auto"/>
          <w:sz w:val="32"/>
          <w:szCs w:val="32"/>
          <w:highlight w:val="none"/>
        </w:rPr>
        <w:t>（一）机关运行经费支出情况</w:t>
      </w:r>
      <w:bookmarkEnd w:id="49"/>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olor w:val="000000"/>
          <w:sz w:val="32"/>
          <w:szCs w:val="32"/>
          <w:highlight w:val="none"/>
          <w:lang w:eastAsia="zh-CN"/>
        </w:rPr>
        <w:t>中壤塘镇人民政府</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64.07</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10.89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20.48</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olor w:val="000000"/>
          <w:sz w:val="32"/>
          <w:szCs w:val="32"/>
          <w:highlight w:val="none"/>
        </w:rPr>
        <w:t>主要原因是</w:t>
      </w:r>
      <w:r>
        <w:rPr>
          <w:rFonts w:hint="eastAsia" w:ascii="仿宋_GB2312" w:eastAsia="仿宋_GB2312"/>
          <w:color w:val="000000"/>
          <w:sz w:val="32"/>
          <w:szCs w:val="32"/>
          <w:highlight w:val="none"/>
          <w:lang w:val="en-US" w:eastAsia="zh-CN"/>
        </w:rPr>
        <w:t>日常公用经费标准变动</w:t>
      </w:r>
      <w:r>
        <w:rPr>
          <w:rFonts w:hint="eastAsia" w:ascii="仿宋_GB2312" w:eastAsia="仿宋_GB2312"/>
          <w:color w:val="000000"/>
          <w:sz w:val="32"/>
          <w:szCs w:val="32"/>
          <w:highlight w:val="none"/>
          <w:lang w:eastAsia="zh-CN"/>
        </w:rPr>
        <w:t>。</w:t>
      </w:r>
    </w:p>
    <w:p>
      <w:pPr>
        <w:spacing w:line="600" w:lineRule="exact"/>
        <w:ind w:firstLine="642" w:firstLineChars="200"/>
        <w:outlineLvl w:val="2"/>
        <w:rPr>
          <w:rFonts w:hint="eastAsia" w:ascii="Times New Roman" w:hAnsi="Times New Roman" w:eastAsia="楷体_GB2312" w:cs="楷体_GB2312"/>
          <w:b/>
          <w:color w:val="000000" w:themeColor="text1"/>
          <w:sz w:val="32"/>
          <w:szCs w:val="32"/>
          <w:highlight w:val="none"/>
          <w14:textFill>
            <w14:solidFill>
              <w14:schemeClr w14:val="tx1"/>
            </w14:solidFill>
          </w14:textFill>
        </w:rPr>
      </w:pPr>
      <w:bookmarkStart w:id="50" w:name="_Toc15377223"/>
      <w:r>
        <w:rPr>
          <w:rFonts w:hint="eastAsia" w:ascii="Times New Roman" w:hAnsi="Times New Roman" w:eastAsia="楷体_GB2312" w:cs="楷体_GB2312"/>
          <w:b/>
          <w:color w:val="000000" w:themeColor="text1"/>
          <w:sz w:val="32"/>
          <w:szCs w:val="32"/>
          <w:highlight w:val="none"/>
          <w14:textFill>
            <w14:solidFill>
              <w14:schemeClr w14:val="tx1"/>
            </w14:solidFill>
          </w14:textFill>
        </w:rPr>
        <w:t>（二）政府采购支出情况</w:t>
      </w:r>
      <w:bookmarkEnd w:id="5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2025年度</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仿宋_GB2312" w:eastAsia="仿宋_GB2312"/>
          <w:color w:val="000000" w:themeColor="text1"/>
          <w:sz w:val="32"/>
          <w:szCs w:val="32"/>
          <w:highlight w:val="none"/>
          <w:lang w:eastAsia="zh-CN"/>
          <w14:textFill>
            <w14:solidFill>
              <w14:schemeClr w14:val="tx1"/>
            </w14:solidFill>
          </w14:textFill>
        </w:rPr>
        <w:t>中壤塘镇人民政府</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政府采购支出总额</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172.39</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万元，其中：政府采购货物支出</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67.68</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万元、政府采购工程支出</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104.71</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万元。主要用于</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壤塘县中壤塘镇区旅游厕所建设项目及壤塘县中壤塘镇2025年人工饲草种植项目</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。授予中小企业合同金额</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172.39</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万元，占政府采购支出总额的</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%，其中：授予小微企业合同金额</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万元，占政府采购支出总额的</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1" w:name="_Toc15377224"/>
      <w:r>
        <w:rPr>
          <w:rFonts w:hint="eastAsia" w:ascii="Times New Roman" w:hAnsi="Times New Roman" w:eastAsia="楷体_GB2312" w:cs="楷体_GB2312"/>
          <w:b/>
          <w:color w:val="auto"/>
          <w:sz w:val="32"/>
          <w:szCs w:val="32"/>
          <w:highlight w:val="none"/>
        </w:rPr>
        <w:t>（三）国有资产占有使用情况</w:t>
      </w:r>
      <w:bookmarkEnd w:id="51"/>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color w:val="000000"/>
          <w:sz w:val="32"/>
          <w:szCs w:val="32"/>
          <w:highlight w:val="none"/>
          <w:lang w:eastAsia="zh-CN"/>
        </w:rPr>
        <w:t>中壤塘镇人民政府</w:t>
      </w:r>
      <w:r>
        <w:rPr>
          <w:rFonts w:hint="eastAsia" w:ascii="仿宋_GB2312" w:hAnsi="仿宋_GB2312" w:eastAsia="仿宋_GB2312" w:cs="仿宋_GB2312"/>
          <w:color w:val="000000"/>
          <w:sz w:val="32"/>
          <w:szCs w:val="32"/>
          <w:highlight w:val="none"/>
        </w:rPr>
        <w:t>共有车辆</w:t>
      </w:r>
      <w:r>
        <w:rPr>
          <w:rFonts w:hint="eastAsia" w:ascii="仿宋_GB2312" w:hAnsi="仿宋_GB2312" w:eastAsia="仿宋_GB2312" w:cs="仿宋_GB2312"/>
          <w:color w:val="000000"/>
          <w:sz w:val="32"/>
          <w:szCs w:val="32"/>
          <w:highlight w:val="none"/>
          <w:lang w:val="en-US" w:eastAsia="zh-CN"/>
        </w:rPr>
        <w:t>7</w:t>
      </w:r>
      <w:r>
        <w:rPr>
          <w:rFonts w:hint="eastAsia" w:ascii="仿宋_GB2312" w:hAnsi="仿宋_GB2312" w:eastAsia="仿宋_GB2312" w:cs="仿宋_GB2312"/>
          <w:color w:val="000000"/>
          <w:sz w:val="32"/>
          <w:szCs w:val="32"/>
          <w:highlight w:val="none"/>
        </w:rPr>
        <w:t>辆</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000000"/>
          <w:sz w:val="32"/>
          <w:szCs w:val="32"/>
          <w:highlight w:val="none"/>
        </w:rPr>
        <w:t>其中：主要领导干部用车</w:t>
      </w:r>
      <w:r>
        <w:rPr>
          <w:rFonts w:hint="eastAsia" w:ascii="仿宋_GB2312" w:hAnsi="仿宋_GB2312" w:eastAsia="仿宋_GB2312" w:cs="仿宋_GB2312"/>
          <w:color w:val="000000"/>
          <w:sz w:val="32"/>
          <w:szCs w:val="32"/>
          <w:highlight w:val="none"/>
          <w:lang w:val="en-US" w:eastAsia="zh-CN"/>
        </w:rPr>
        <w:t>0</w:t>
      </w:r>
      <w:r>
        <w:rPr>
          <w:rFonts w:hint="eastAsia" w:ascii="仿宋_GB2312" w:hAnsi="仿宋_GB2312" w:eastAsia="仿宋_GB2312" w:cs="仿宋_GB2312"/>
          <w:color w:val="000000"/>
          <w:sz w:val="32"/>
          <w:szCs w:val="32"/>
          <w:highlight w:val="none"/>
        </w:rPr>
        <w:t>辆、机要通信用车</w:t>
      </w:r>
      <w:r>
        <w:rPr>
          <w:rFonts w:hint="eastAsia" w:ascii="仿宋_GB2312" w:hAnsi="仿宋_GB2312" w:eastAsia="仿宋_GB2312" w:cs="仿宋_GB2312"/>
          <w:color w:val="000000"/>
          <w:sz w:val="32"/>
          <w:szCs w:val="32"/>
          <w:highlight w:val="none"/>
          <w:lang w:val="en-US" w:eastAsia="zh-CN"/>
        </w:rPr>
        <w:t>0</w:t>
      </w:r>
      <w:r>
        <w:rPr>
          <w:rFonts w:hint="eastAsia" w:ascii="仿宋_GB2312" w:hAnsi="仿宋_GB2312" w:eastAsia="仿宋_GB2312" w:cs="仿宋_GB2312"/>
          <w:color w:val="000000"/>
          <w:sz w:val="32"/>
          <w:szCs w:val="32"/>
          <w:highlight w:val="none"/>
        </w:rPr>
        <w:t>辆、应急保障用车</w:t>
      </w:r>
      <w:r>
        <w:rPr>
          <w:rFonts w:hint="eastAsia" w:ascii="仿宋_GB2312" w:hAnsi="仿宋_GB2312" w:eastAsia="仿宋_GB2312" w:cs="仿宋_GB2312"/>
          <w:color w:val="000000"/>
          <w:sz w:val="32"/>
          <w:szCs w:val="32"/>
          <w:highlight w:val="none"/>
          <w:lang w:val="en-US" w:eastAsia="zh-CN"/>
        </w:rPr>
        <w:t>1</w:t>
      </w:r>
      <w:r>
        <w:rPr>
          <w:rFonts w:hint="eastAsia" w:ascii="仿宋_GB2312" w:hAnsi="仿宋_GB2312" w:eastAsia="仿宋_GB2312" w:cs="仿宋_GB2312"/>
          <w:color w:val="000000"/>
          <w:sz w:val="32"/>
          <w:szCs w:val="32"/>
          <w:highlight w:val="none"/>
        </w:rPr>
        <w:t>辆、其他用车</w:t>
      </w:r>
      <w:r>
        <w:rPr>
          <w:rFonts w:hint="eastAsia" w:ascii="仿宋_GB2312" w:hAnsi="仿宋_GB2312" w:eastAsia="仿宋_GB2312" w:cs="仿宋_GB2312"/>
          <w:color w:val="000000"/>
          <w:sz w:val="32"/>
          <w:szCs w:val="32"/>
          <w:highlight w:val="none"/>
          <w:lang w:val="en-US" w:eastAsia="zh-CN"/>
        </w:rPr>
        <w:t>6</w:t>
      </w:r>
      <w:r>
        <w:rPr>
          <w:rFonts w:hint="eastAsia" w:ascii="仿宋_GB2312" w:hAnsi="仿宋_GB2312" w:eastAsia="仿宋_GB2312" w:cs="仿宋_GB2312"/>
          <w:color w:val="000000"/>
          <w:sz w:val="32"/>
          <w:szCs w:val="32"/>
          <w:highlight w:val="none"/>
        </w:rPr>
        <w:t>辆</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其他用车主要是用于</w:t>
      </w:r>
      <w:r>
        <w:rPr>
          <w:rFonts w:hint="eastAsia" w:ascii="仿宋_GB2312" w:hAnsi="仿宋_GB2312" w:eastAsia="仿宋_GB2312" w:cs="仿宋_GB2312"/>
          <w:color w:val="000000"/>
          <w:sz w:val="32"/>
          <w:szCs w:val="32"/>
          <w:highlight w:val="none"/>
          <w:lang w:eastAsia="zh-CN"/>
        </w:rPr>
        <w:t>开展</w:t>
      </w:r>
      <w:r>
        <w:rPr>
          <w:rFonts w:hint="eastAsia" w:ascii="仿宋_GB2312" w:hAnsi="仿宋_GB2312" w:eastAsia="仿宋_GB2312" w:cs="仿宋_GB2312"/>
          <w:color w:val="000000"/>
          <w:sz w:val="32"/>
          <w:szCs w:val="32"/>
          <w:highlight w:val="none"/>
          <w:lang w:val="en-US" w:eastAsia="zh-CN"/>
        </w:rPr>
        <w:t>乡村振兴</w:t>
      </w:r>
      <w:r>
        <w:rPr>
          <w:rFonts w:hint="eastAsia" w:ascii="仿宋_GB2312" w:hAnsi="仿宋_GB2312" w:eastAsia="仿宋_GB2312" w:cs="仿宋_GB2312"/>
          <w:color w:val="000000"/>
          <w:sz w:val="32"/>
          <w:szCs w:val="32"/>
          <w:highlight w:val="none"/>
        </w:rPr>
        <w:t>工作、保障民生、</w:t>
      </w:r>
      <w:r>
        <w:rPr>
          <w:rFonts w:hint="eastAsia" w:ascii="仿宋_GB2312" w:hAnsi="仿宋_GB2312" w:eastAsia="仿宋_GB2312" w:cs="仿宋_GB2312"/>
          <w:color w:val="000000"/>
          <w:sz w:val="32"/>
          <w:szCs w:val="32"/>
          <w:highlight w:val="none"/>
          <w:lang w:eastAsia="zh-CN"/>
        </w:rPr>
        <w:t>环卫</w:t>
      </w:r>
      <w:r>
        <w:rPr>
          <w:rFonts w:hint="eastAsia" w:ascii="仿宋_GB2312" w:hAnsi="仿宋_GB2312" w:eastAsia="仿宋_GB2312" w:cs="仿宋_GB2312"/>
          <w:color w:val="000000"/>
          <w:sz w:val="32"/>
          <w:szCs w:val="32"/>
          <w:highlight w:val="none"/>
        </w:rPr>
        <w:t>等下村</w:t>
      </w:r>
      <w:r>
        <w:rPr>
          <w:rFonts w:hint="eastAsia" w:ascii="仿宋_GB2312" w:hAnsi="仿宋_GB2312" w:eastAsia="仿宋_GB2312" w:cs="仿宋_GB2312"/>
          <w:color w:val="000000"/>
          <w:sz w:val="32"/>
          <w:szCs w:val="32"/>
          <w:highlight w:val="none"/>
          <w:lang w:val="en-US" w:eastAsia="zh-CN"/>
        </w:rPr>
        <w:t>和</w:t>
      </w:r>
      <w:r>
        <w:rPr>
          <w:rFonts w:hint="eastAsia" w:ascii="仿宋_GB2312" w:hAnsi="仿宋_GB2312" w:eastAsia="仿宋_GB2312" w:cs="仿宋_GB2312"/>
          <w:color w:val="000000"/>
          <w:sz w:val="32"/>
          <w:szCs w:val="32"/>
          <w:highlight w:val="none"/>
        </w:rPr>
        <w:t>上县</w:t>
      </w:r>
      <w:r>
        <w:rPr>
          <w:rFonts w:hint="eastAsia" w:ascii="仿宋_GB2312" w:hAnsi="仿宋_GB2312" w:eastAsia="仿宋_GB2312" w:cs="仿宋_GB2312"/>
          <w:color w:val="000000"/>
          <w:sz w:val="32"/>
          <w:szCs w:val="32"/>
          <w:highlight w:val="none"/>
          <w:lang w:eastAsia="zh-CN"/>
        </w:rPr>
        <w:t>办事及城管治安执法、业务开展用车。</w:t>
      </w:r>
      <w:r>
        <w:rPr>
          <w:rFonts w:hint="eastAsia" w:ascii="仿宋_GB2312" w:hAnsi="仿宋_GB2312" w:eastAsia="仿宋_GB2312" w:cs="仿宋_GB2312"/>
          <w:color w:val="000000"/>
          <w:sz w:val="32"/>
          <w:szCs w:val="32"/>
          <w:highlight w:val="none"/>
        </w:rPr>
        <w:t>单价100万元以上专用设备</w:t>
      </w:r>
      <w:r>
        <w:rPr>
          <w:rFonts w:hint="eastAsia" w:ascii="仿宋_GB2312" w:hAnsi="仿宋_GB2312" w:eastAsia="仿宋_GB2312" w:cs="仿宋_GB2312"/>
          <w:color w:val="000000"/>
          <w:sz w:val="32"/>
          <w:szCs w:val="32"/>
          <w:highlight w:val="none"/>
          <w:lang w:val="en-US" w:eastAsia="zh-CN"/>
        </w:rPr>
        <w:t>0</w:t>
      </w:r>
      <w:r>
        <w:rPr>
          <w:rFonts w:hint="eastAsia" w:ascii="仿宋_GB2312" w:hAnsi="仿宋_GB2312" w:eastAsia="仿宋_GB2312" w:cs="仿宋_GB2312"/>
          <w:color w:val="000000"/>
          <w:sz w:val="32"/>
          <w:szCs w:val="32"/>
          <w:highlight w:val="none"/>
        </w:rPr>
        <w:t>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根据预算绩效管理要求，本部门在2025年度，组织对壤塘县中壤塘镇2025人工饲草种植项目、壤塘县中壤塘镇缝纫工坊及易地扶贫搬迁后续产业发展生产扩能建设项目、壤塘县2025年畜牧暖棚建设项目、壤塘县中壤塘镇奶源路建设项目、壤塘县中壤塘镇伊根门多村基础设施建设项目、壤塘县中壤塘镇镇区旅游厕所建设项目、中壤塘镇省级妇女居家灵活就业基地缝纫机采购项目、中壤塘镇创业工坊研学基地建设项目、壤塘县中壤塘镇过境路网围栏提升建设项目、壤塘县中壤塘镇基础设施建设项目、壤塘县中壤塘镇壤塘村人居环境改善项目、壤塘县中壤塘镇查托村人居环境改善项目12个项目开展了事前绩效评估，对壤塘县中壤塘镇镇区旅游厕所建设项目编制了绩效目标，预算执行过程中，选取壤塘县中壤塘镇镇区旅游厕所建设项目开展了绩效监控。</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壤塘县中壤塘镇镇区旅游厕所建设项目绩效目标完成情况综述。该项目总投资120万元，到位资金120万元，已支付99.670919万元，资金执行率83%。通过项目实施，3座厕所重建、3座厕所维修改造以及配套设施建设。均按照建设内容完成。</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组织对2025年度一般公共预算、政府性基金预算、国有资本经营预算、社会保险基金预算以及资本资产、债券资金等全面开展绩效自评，形成中壤塘镇人民政府部门</w:t>
      </w:r>
      <w:r>
        <w:rPr>
          <w:rFonts w:hint="eastAsia" w:ascii="仿宋_GB2312" w:hAnsi="仿宋_GB2312" w:eastAsia="仿宋_GB2312" w:cs="仿宋_GB2312"/>
          <w:color w:val="000000"/>
          <w:sz w:val="32"/>
          <w:szCs w:val="32"/>
          <w:highlight w:val="none"/>
          <w:lang w:eastAsia="zh-CN"/>
        </w:rPr>
        <w:t>整体</w:t>
      </w:r>
      <w:r>
        <w:rPr>
          <w:rFonts w:hint="eastAsia" w:ascii="仿宋_GB2312" w:hAnsi="仿宋_GB2312" w:eastAsia="仿宋_GB2312" w:cs="仿宋_GB2312"/>
          <w:color w:val="000000"/>
          <w:sz w:val="32"/>
          <w:szCs w:val="32"/>
          <w:highlight w:val="none"/>
          <w:lang w:val="en-US" w:eastAsia="zh-CN"/>
        </w:rPr>
        <w:t>绩效自评报告、壤塘县中壤塘镇镇区旅游厕所建设项目绩效自评报告；其中，中壤塘镇人民政府部门整体绩效自评得分为88.5分，绩效自评综述：我镇在社会管理、公共服务、生态环境等方面取得了较好的成绩，部门整体支出绩效目标基本完成，预算执行情况良好，资金使用效益较高。壤塘县中壤塘镇镇区旅游厕所建设项目绩效自评得分为98分，绩效自评综述：促进集镇基础设施发展。绩效自评报告详见附件。</w:t>
      </w:r>
    </w:p>
    <w:p>
      <w:pPr>
        <w:spacing w:line="600" w:lineRule="exact"/>
        <w:ind w:firstLine="640"/>
        <w:rPr>
          <w:rFonts w:hint="eastAsia" w:ascii="Times New Roman" w:hAnsi="Times New Roman" w:eastAsia="仿宋_GB2312" w:cs="仿宋_GB2312"/>
          <w:color w:val="0000FF"/>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2" w:name="_Toc15377225"/>
      <w:bookmarkStart w:id="53"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2"/>
      <w:bookmarkEnd w:id="53"/>
    </w:p>
    <w:p>
      <w:pPr>
        <w:spacing w:line="600" w:lineRule="exact"/>
        <w:jc w:val="left"/>
        <w:rPr>
          <w:rFonts w:ascii="Times New Roman" w:hAnsi="Times New Roman"/>
          <w:b/>
          <w:color w:val="auto"/>
          <w:sz w:val="44"/>
          <w:szCs w:val="44"/>
          <w:highlight w:val="none"/>
        </w:rPr>
      </w:pPr>
    </w:p>
    <w:p>
      <w:pPr>
        <w:pStyle w:val="28"/>
        <w:keepNext w:val="0"/>
        <w:keepLines w:val="0"/>
        <w:pageBreakBefore w:val="0"/>
        <w:widowControl w:val="0"/>
        <w:kinsoku/>
        <w:wordWrap/>
        <w:overflowPunct/>
        <w:topLinePunct w:val="0"/>
        <w:bidi w:val="0"/>
        <w:adjustRightInd w:val="0"/>
        <w:spacing w:line="600" w:lineRule="exact"/>
        <w:ind w:firstLine="640" w:firstLineChars="200"/>
        <w:jc w:val="both"/>
        <w:textAlignment w:val="auto"/>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p>
    <w:p>
      <w:pPr>
        <w:pStyle w:val="28"/>
        <w:keepNext w:val="0"/>
        <w:keepLines w:val="0"/>
        <w:pageBreakBefore w:val="0"/>
        <w:widowControl w:val="0"/>
        <w:kinsoku/>
        <w:wordWrap/>
        <w:overflowPunct/>
        <w:topLinePunct w:val="0"/>
        <w:bidi w:val="0"/>
        <w:adjustRightInd w:val="0"/>
        <w:spacing w:line="600" w:lineRule="exact"/>
        <w:ind w:firstLine="640" w:firstLineChars="200"/>
        <w:jc w:val="both"/>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其他收入：指单位取得的除</w:t>
      </w:r>
      <w:r>
        <w:rPr>
          <w:rFonts w:hint="eastAsia" w:ascii="仿宋_GB2312" w:eastAsia="仿宋_GB2312"/>
          <w:color w:val="auto"/>
          <w:sz w:val="32"/>
          <w:szCs w:val="32"/>
          <w:highlight w:val="none"/>
          <w:lang w:val="en-US" w:eastAsia="zh-CN"/>
        </w:rPr>
        <w:t>财政拨款收入、事业收入、经营收入</w:t>
      </w:r>
      <w:r>
        <w:rPr>
          <w:rFonts w:hint="eastAsia" w:ascii="仿宋_GB2312" w:eastAsia="仿宋_GB2312"/>
          <w:color w:val="auto"/>
          <w:sz w:val="32"/>
          <w:szCs w:val="32"/>
          <w:highlight w:val="none"/>
        </w:rPr>
        <w:t>以外的各项收入。</w:t>
      </w:r>
      <w:r>
        <w:rPr>
          <w:rFonts w:ascii="仿宋_GB2312" w:eastAsia="仿宋_GB2312"/>
          <w:color w:val="auto"/>
          <w:sz w:val="32"/>
          <w:szCs w:val="32"/>
          <w:highlight w:val="none"/>
        </w:rPr>
        <w:t xml:space="preserve"> </w:t>
      </w:r>
    </w:p>
    <w:p>
      <w:pPr>
        <w:pStyle w:val="28"/>
        <w:keepNext w:val="0"/>
        <w:keepLines w:val="0"/>
        <w:pageBreakBefore w:val="0"/>
        <w:widowControl w:val="0"/>
        <w:kinsoku/>
        <w:wordWrap/>
        <w:overflowPunct/>
        <w:topLinePunct w:val="0"/>
        <w:bidi w:val="0"/>
        <w:adjustRightInd w:val="0"/>
        <w:spacing w:line="600" w:lineRule="exact"/>
        <w:ind w:firstLine="640" w:firstLineChars="200"/>
        <w:jc w:val="both"/>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w:t>
      </w:r>
      <w:r>
        <w:rPr>
          <w:rFonts w:ascii="仿宋_GB2312" w:eastAsia="仿宋_GB2312"/>
          <w:color w:val="auto"/>
          <w:sz w:val="32"/>
          <w:szCs w:val="32"/>
          <w:highlight w:val="none"/>
        </w:rPr>
        <w:t>.</w:t>
      </w:r>
      <w:r>
        <w:rPr>
          <w:rFonts w:hint="eastAsia" w:ascii="仿宋_GB2312" w:hAnsi="华文中宋" w:eastAsia="仿宋_GB2312"/>
          <w:sz w:val="32"/>
          <w:szCs w:val="32"/>
          <w:u w:val="none"/>
          <w:lang w:eastAsia="zh-CN"/>
        </w:rPr>
        <w:t>使用非财政拨款结余（含专用结余）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pPr>
        <w:pStyle w:val="28"/>
        <w:keepNext w:val="0"/>
        <w:keepLines w:val="0"/>
        <w:pageBreakBefore w:val="0"/>
        <w:widowControl w:val="0"/>
        <w:kinsoku/>
        <w:wordWrap/>
        <w:overflowPunct/>
        <w:topLinePunct w:val="0"/>
        <w:bidi w:val="0"/>
        <w:adjustRightInd w:val="0"/>
        <w:spacing w:line="600" w:lineRule="exact"/>
        <w:ind w:firstLine="640" w:firstLineChars="200"/>
        <w:jc w:val="both"/>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w:t>
      </w:r>
      <w:r>
        <w:rPr>
          <w:rFonts w:ascii="仿宋_GB2312" w:eastAsia="仿宋_GB2312"/>
          <w:color w:val="auto"/>
          <w:sz w:val="32"/>
          <w:szCs w:val="32"/>
          <w:highlight w:val="none"/>
        </w:rPr>
        <w:t>.</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pPr>
        <w:pStyle w:val="28"/>
        <w:keepNext w:val="0"/>
        <w:keepLines w:val="0"/>
        <w:pageBreakBefore w:val="0"/>
        <w:widowControl w:val="0"/>
        <w:kinsoku/>
        <w:wordWrap/>
        <w:overflowPunct/>
        <w:topLinePunct w:val="0"/>
        <w:bidi w:val="0"/>
        <w:adjustRightInd w:val="0"/>
        <w:spacing w:line="600" w:lineRule="exact"/>
        <w:ind w:firstLine="640" w:firstLineChars="200"/>
        <w:jc w:val="both"/>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5</w:t>
      </w:r>
      <w:r>
        <w:rPr>
          <w:rFonts w:ascii="仿宋_GB2312" w:eastAsia="仿宋_GB2312"/>
          <w:color w:val="auto"/>
          <w:sz w:val="32"/>
          <w:szCs w:val="32"/>
          <w:highlight w:val="none"/>
        </w:rPr>
        <w:t>.</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pPr>
        <w:pStyle w:val="28"/>
        <w:keepNext w:val="0"/>
        <w:keepLines w:val="0"/>
        <w:pageBreakBefore w:val="0"/>
        <w:widowControl w:val="0"/>
        <w:kinsoku/>
        <w:wordWrap/>
        <w:overflowPunct/>
        <w:topLinePunct w:val="0"/>
        <w:bidi w:val="0"/>
        <w:adjustRightInd w:val="0"/>
        <w:spacing w:line="600" w:lineRule="exact"/>
        <w:ind w:firstLine="640" w:firstLineChars="200"/>
        <w:jc w:val="both"/>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年末结转和结余：指单位按有关规定结转到下年或以后年度继续使用的资金。</w:t>
      </w:r>
    </w:p>
    <w:p>
      <w:pPr>
        <w:keepNext w:val="0"/>
        <w:keepLines w:val="0"/>
        <w:pageBreakBefore w:val="0"/>
        <w:widowControl w:val="0"/>
        <w:kinsoku/>
        <w:wordWrap/>
        <w:overflowPunct/>
        <w:topLinePunct w:val="0"/>
        <w:bidi w:val="0"/>
        <w:adjustRightInd w:val="0"/>
        <w:spacing w:line="600" w:lineRule="exact"/>
        <w:ind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7</w:t>
      </w:r>
      <w:r>
        <w:rPr>
          <w:rFonts w:hint="eastAsia" w:ascii="仿宋" w:hAnsi="仿宋" w:eastAsia="仿宋" w:cs="仿宋"/>
          <w:color w:val="000000"/>
          <w:sz w:val="32"/>
          <w:szCs w:val="32"/>
        </w:rPr>
        <w:t>.一般公共服务（类）201（款）01（项）</w:t>
      </w:r>
      <w:r>
        <w:rPr>
          <w:rFonts w:hint="eastAsia" w:ascii="仿宋" w:hAnsi="仿宋" w:eastAsia="仿宋" w:cs="仿宋"/>
          <w:color w:val="000000"/>
          <w:sz w:val="32"/>
          <w:szCs w:val="32"/>
          <w:lang w:val="en-US" w:eastAsia="zh-CN"/>
        </w:rPr>
        <w:t>04</w:t>
      </w:r>
      <w:r>
        <w:rPr>
          <w:rFonts w:hint="eastAsia" w:ascii="仿宋" w:hAnsi="仿宋" w:eastAsia="仿宋" w:cs="仿宋"/>
          <w:color w:val="000000"/>
          <w:sz w:val="32"/>
          <w:szCs w:val="32"/>
        </w:rPr>
        <w:t>：指人大事务</w:t>
      </w:r>
      <w:r>
        <w:rPr>
          <w:rFonts w:hint="eastAsia" w:ascii="仿宋" w:hAnsi="仿宋" w:eastAsia="仿宋" w:cs="仿宋"/>
          <w:color w:val="000000"/>
          <w:sz w:val="32"/>
          <w:szCs w:val="32"/>
          <w:lang w:val="en-US" w:eastAsia="zh-CN"/>
        </w:rPr>
        <w:t>人大会议费支出；</w:t>
      </w:r>
      <w:r>
        <w:rPr>
          <w:rFonts w:hint="eastAsia" w:ascii="仿宋" w:hAnsi="仿宋" w:eastAsia="仿宋" w:cs="仿宋"/>
          <w:color w:val="000000"/>
          <w:sz w:val="32"/>
          <w:szCs w:val="32"/>
        </w:rPr>
        <w:t>（类）201（款）03（项）0</w:t>
      </w: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：指政府办公厅（室）及相关机构事务行政运行</w:t>
      </w:r>
      <w:r>
        <w:rPr>
          <w:rFonts w:hint="eastAsia" w:ascii="仿宋" w:hAnsi="仿宋" w:eastAsia="仿宋" w:cs="仿宋"/>
          <w:color w:val="000000"/>
          <w:sz w:val="32"/>
          <w:szCs w:val="32"/>
          <w:lang w:val="en-US" w:eastAsia="zh-CN"/>
        </w:rPr>
        <w:t>支出</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（类）201（款）03（项）02：指一般行政管理事务</w:t>
      </w:r>
      <w:r>
        <w:rPr>
          <w:rFonts w:hint="eastAsia" w:ascii="仿宋" w:hAnsi="仿宋" w:eastAsia="仿宋" w:cs="仿宋"/>
          <w:color w:val="000000"/>
          <w:sz w:val="32"/>
          <w:szCs w:val="32"/>
          <w:lang w:val="en-US" w:eastAsia="zh-CN"/>
        </w:rPr>
        <w:t>支出</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（类）201（款）</w:t>
      </w:r>
      <w:r>
        <w:rPr>
          <w:rFonts w:hint="eastAsia" w:ascii="仿宋" w:hAnsi="仿宋" w:eastAsia="仿宋" w:cs="仿宋"/>
          <w:color w:val="000000"/>
          <w:sz w:val="32"/>
          <w:szCs w:val="32"/>
          <w:lang w:val="en-US" w:eastAsia="zh-CN"/>
        </w:rPr>
        <w:t>03</w:t>
      </w:r>
      <w:r>
        <w:rPr>
          <w:rFonts w:hint="eastAsia" w:ascii="仿宋" w:hAnsi="仿宋" w:eastAsia="仿宋" w:cs="仿宋"/>
          <w:color w:val="000000"/>
          <w:sz w:val="32"/>
          <w:szCs w:val="32"/>
        </w:rPr>
        <w:t>（项）99：指</w:t>
      </w:r>
      <w:r>
        <w:rPr>
          <w:rFonts w:hint="eastAsia" w:ascii="仿宋" w:hAnsi="仿宋" w:eastAsia="仿宋" w:cs="仿宋"/>
          <w:color w:val="000000"/>
          <w:sz w:val="32"/>
          <w:szCs w:val="32"/>
          <w:lang w:eastAsia="zh-CN"/>
        </w:rPr>
        <w:t>其他</w:t>
      </w:r>
      <w:r>
        <w:rPr>
          <w:rFonts w:hint="eastAsia" w:ascii="仿宋" w:hAnsi="仿宋" w:eastAsia="仿宋" w:cs="仿宋"/>
          <w:color w:val="000000"/>
          <w:sz w:val="32"/>
          <w:szCs w:val="32"/>
        </w:rPr>
        <w:t>政府办公厅（室）及相关机构事务</w:t>
      </w:r>
      <w:r>
        <w:rPr>
          <w:rFonts w:hint="eastAsia" w:ascii="仿宋" w:hAnsi="仿宋" w:eastAsia="仿宋" w:cs="仿宋"/>
          <w:color w:val="000000"/>
          <w:sz w:val="32"/>
          <w:szCs w:val="32"/>
          <w:lang w:val="en-US" w:eastAsia="zh-CN"/>
        </w:rPr>
        <w:t>支出</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（类）201（款）</w:t>
      </w:r>
      <w:r>
        <w:rPr>
          <w:rFonts w:hint="eastAsia" w:ascii="仿宋" w:hAnsi="仿宋" w:eastAsia="仿宋" w:cs="仿宋"/>
          <w:color w:val="000000"/>
          <w:sz w:val="32"/>
          <w:szCs w:val="32"/>
          <w:lang w:val="en-US" w:eastAsia="zh-CN"/>
        </w:rPr>
        <w:t>06</w:t>
      </w:r>
      <w:r>
        <w:rPr>
          <w:rFonts w:hint="eastAsia" w:ascii="仿宋" w:hAnsi="仿宋" w:eastAsia="仿宋" w:cs="仿宋"/>
          <w:color w:val="000000"/>
          <w:sz w:val="32"/>
          <w:szCs w:val="32"/>
        </w:rPr>
        <w:t>（项）</w:t>
      </w:r>
      <w:r>
        <w:rPr>
          <w:rFonts w:hint="eastAsia" w:ascii="仿宋" w:hAnsi="仿宋" w:eastAsia="仿宋" w:cs="仿宋"/>
          <w:color w:val="000000"/>
          <w:sz w:val="32"/>
          <w:szCs w:val="32"/>
          <w:lang w:val="en-US" w:eastAsia="zh-CN"/>
        </w:rPr>
        <w:t>99</w:t>
      </w:r>
      <w:r>
        <w:rPr>
          <w:rFonts w:hint="eastAsia" w:ascii="仿宋" w:hAnsi="仿宋" w:eastAsia="仿宋" w:cs="仿宋"/>
          <w:color w:val="000000"/>
          <w:sz w:val="32"/>
          <w:szCs w:val="32"/>
        </w:rPr>
        <w:t>：指</w:t>
      </w:r>
      <w:r>
        <w:rPr>
          <w:rFonts w:hint="eastAsia" w:ascii="仿宋" w:hAnsi="仿宋" w:eastAsia="仿宋" w:cs="仿宋"/>
          <w:color w:val="000000"/>
          <w:sz w:val="32"/>
          <w:szCs w:val="32"/>
          <w:lang w:eastAsia="zh-CN"/>
        </w:rPr>
        <w:t>其他财政事务</w:t>
      </w:r>
      <w:r>
        <w:rPr>
          <w:rFonts w:hint="eastAsia" w:ascii="仿宋" w:hAnsi="仿宋" w:eastAsia="仿宋" w:cs="仿宋"/>
          <w:color w:val="000000"/>
          <w:sz w:val="32"/>
          <w:szCs w:val="32"/>
          <w:lang w:val="en-US" w:eastAsia="zh-CN"/>
        </w:rPr>
        <w:t>支出</w:t>
      </w:r>
      <w:r>
        <w:rPr>
          <w:rFonts w:hint="eastAsia" w:ascii="仿宋" w:hAnsi="仿宋" w:eastAsia="仿宋" w:cs="仿宋"/>
          <w:color w:val="000000"/>
          <w:sz w:val="32"/>
          <w:szCs w:val="32"/>
        </w:rPr>
        <w:t>。</w:t>
      </w:r>
    </w:p>
    <w:p>
      <w:pPr>
        <w:pStyle w:val="2"/>
        <w:keepNext w:val="0"/>
        <w:keepLines w:val="0"/>
        <w:pageBreakBefore w:val="0"/>
        <w:widowControl w:val="0"/>
        <w:kinsoku/>
        <w:wordWrap/>
        <w:overflowPunct/>
        <w:topLinePunct w:val="0"/>
        <w:bidi w:val="0"/>
        <w:adjustRightInd w:val="0"/>
        <w:spacing w:line="600" w:lineRule="exact"/>
        <w:ind w:firstLine="640" w:firstLineChars="200"/>
        <w:jc w:val="both"/>
        <w:textAlignment w:val="auto"/>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kern w:val="2"/>
          <w:sz w:val="32"/>
          <w:szCs w:val="32"/>
          <w:lang w:val="en-US" w:eastAsia="zh-CN" w:bidi="ar-SA"/>
        </w:rPr>
        <w:t>8.国防支出（类）203（款）06（项）07:指国防动员民兵支出。</w:t>
      </w:r>
    </w:p>
    <w:p>
      <w:pPr>
        <w:pStyle w:val="3"/>
        <w:keepNext w:val="0"/>
        <w:keepLines w:val="0"/>
        <w:pageBreakBefore w:val="0"/>
        <w:widowControl w:val="0"/>
        <w:kinsoku/>
        <w:wordWrap/>
        <w:overflowPunct/>
        <w:topLinePunct w:val="0"/>
        <w:bidi w:val="0"/>
        <w:adjustRightInd w:val="0"/>
        <w:spacing w:line="600" w:lineRule="exact"/>
        <w:ind w:left="0" w:leftChars="0" w:firstLine="640" w:firstLineChars="200"/>
        <w:jc w:val="both"/>
        <w:textAlignment w:val="auto"/>
        <w:rPr>
          <w:rFonts w:hint="default"/>
          <w:color w:val="000000"/>
          <w:lang w:val="en-US" w:eastAsia="zh-CN"/>
        </w:rPr>
      </w:pPr>
      <w:r>
        <w:rPr>
          <w:rStyle w:val="19"/>
          <w:rFonts w:hint="eastAsia" w:ascii="仿宋" w:hAnsi="仿宋" w:eastAsia="仿宋"/>
          <w:b w:val="0"/>
          <w:bCs w:val="0"/>
          <w:color w:val="000000"/>
          <w:sz w:val="32"/>
          <w:szCs w:val="32"/>
          <w:highlight w:val="none"/>
          <w:lang w:val="en-US" w:eastAsia="zh-CN"/>
        </w:rPr>
        <w:t>9.</w:t>
      </w:r>
      <w:r>
        <w:rPr>
          <w:rStyle w:val="19"/>
          <w:rFonts w:hint="eastAsia" w:ascii="仿宋" w:hAnsi="仿宋" w:eastAsia="仿宋"/>
          <w:b w:val="0"/>
          <w:bCs w:val="0"/>
          <w:color w:val="000000"/>
          <w:sz w:val="32"/>
          <w:szCs w:val="32"/>
          <w:highlight w:val="none"/>
        </w:rPr>
        <w:t>文化旅游体育与传媒（类）</w:t>
      </w:r>
      <w:r>
        <w:rPr>
          <w:rStyle w:val="19"/>
          <w:rFonts w:hint="eastAsia" w:ascii="仿宋" w:hAnsi="仿宋" w:eastAsia="仿宋"/>
          <w:b w:val="0"/>
          <w:bCs w:val="0"/>
          <w:color w:val="000000"/>
          <w:sz w:val="32"/>
          <w:szCs w:val="32"/>
          <w:highlight w:val="none"/>
          <w:lang w:val="en-US" w:eastAsia="zh-CN"/>
        </w:rPr>
        <w:t>207</w:t>
      </w:r>
      <w:r>
        <w:rPr>
          <w:rStyle w:val="19"/>
          <w:rFonts w:hint="eastAsia" w:ascii="仿宋" w:hAnsi="仿宋" w:eastAsia="仿宋"/>
          <w:b w:val="0"/>
          <w:bCs w:val="0"/>
          <w:color w:val="000000"/>
          <w:sz w:val="32"/>
          <w:szCs w:val="32"/>
          <w:highlight w:val="none"/>
        </w:rPr>
        <w:t>（款）</w:t>
      </w:r>
      <w:r>
        <w:rPr>
          <w:rStyle w:val="19"/>
          <w:rFonts w:hint="eastAsia" w:ascii="仿宋" w:hAnsi="仿宋" w:eastAsia="仿宋"/>
          <w:b w:val="0"/>
          <w:bCs w:val="0"/>
          <w:color w:val="000000"/>
          <w:sz w:val="32"/>
          <w:szCs w:val="32"/>
          <w:highlight w:val="none"/>
          <w:lang w:val="en-US" w:eastAsia="zh-CN"/>
        </w:rPr>
        <w:t>01</w:t>
      </w:r>
      <w:r>
        <w:rPr>
          <w:rStyle w:val="19"/>
          <w:rFonts w:hint="eastAsia" w:ascii="仿宋" w:hAnsi="仿宋" w:eastAsia="仿宋"/>
          <w:b w:val="0"/>
          <w:bCs w:val="0"/>
          <w:color w:val="000000"/>
          <w:sz w:val="32"/>
          <w:szCs w:val="32"/>
          <w:highlight w:val="none"/>
        </w:rPr>
        <w:t>（项）</w:t>
      </w:r>
      <w:r>
        <w:rPr>
          <w:rStyle w:val="19"/>
          <w:rFonts w:hint="eastAsia" w:ascii="仿宋" w:hAnsi="仿宋" w:eastAsia="仿宋"/>
          <w:b w:val="0"/>
          <w:bCs w:val="0"/>
          <w:color w:val="000000"/>
          <w:sz w:val="32"/>
          <w:szCs w:val="32"/>
          <w:highlight w:val="none"/>
          <w:lang w:val="en-US" w:eastAsia="zh-CN"/>
        </w:rPr>
        <w:t>08</w:t>
      </w:r>
      <w:r>
        <w:rPr>
          <w:rStyle w:val="19"/>
          <w:rFonts w:ascii="仿宋" w:hAnsi="仿宋" w:eastAsia="仿宋"/>
          <w:b w:val="0"/>
          <w:bCs w:val="0"/>
          <w:color w:val="000000"/>
          <w:sz w:val="32"/>
          <w:szCs w:val="32"/>
          <w:highlight w:val="none"/>
        </w:rPr>
        <w:t>:</w:t>
      </w:r>
      <w:r>
        <w:rPr>
          <w:rStyle w:val="19"/>
          <w:rFonts w:hint="eastAsia" w:ascii="仿宋" w:hAnsi="仿宋" w:eastAsia="仿宋"/>
          <w:b w:val="0"/>
          <w:bCs w:val="0"/>
          <w:color w:val="000000"/>
          <w:sz w:val="32"/>
          <w:szCs w:val="32"/>
          <w:highlight w:val="none"/>
          <w:lang w:val="en-US" w:eastAsia="zh-CN"/>
        </w:rPr>
        <w:t>指文化和旅游、文化活动；</w:t>
      </w:r>
      <w:r>
        <w:rPr>
          <w:rStyle w:val="19"/>
          <w:rFonts w:hint="eastAsia" w:ascii="仿宋" w:hAnsi="仿宋" w:eastAsia="仿宋"/>
          <w:b w:val="0"/>
          <w:bCs w:val="0"/>
          <w:color w:val="000000"/>
          <w:sz w:val="32"/>
          <w:szCs w:val="32"/>
          <w:highlight w:val="none"/>
        </w:rPr>
        <w:t>（类）</w:t>
      </w:r>
      <w:r>
        <w:rPr>
          <w:rStyle w:val="19"/>
          <w:rFonts w:hint="eastAsia" w:ascii="仿宋" w:hAnsi="仿宋" w:eastAsia="仿宋"/>
          <w:b w:val="0"/>
          <w:bCs w:val="0"/>
          <w:color w:val="000000"/>
          <w:sz w:val="32"/>
          <w:szCs w:val="32"/>
          <w:highlight w:val="none"/>
          <w:lang w:val="en-US" w:eastAsia="zh-CN"/>
        </w:rPr>
        <w:t>207</w:t>
      </w:r>
      <w:r>
        <w:rPr>
          <w:rStyle w:val="19"/>
          <w:rFonts w:hint="eastAsia" w:ascii="仿宋" w:hAnsi="仿宋" w:eastAsia="仿宋"/>
          <w:b w:val="0"/>
          <w:bCs w:val="0"/>
          <w:color w:val="000000"/>
          <w:sz w:val="32"/>
          <w:szCs w:val="32"/>
          <w:highlight w:val="none"/>
        </w:rPr>
        <w:t>（款）</w:t>
      </w:r>
      <w:r>
        <w:rPr>
          <w:rStyle w:val="19"/>
          <w:rFonts w:hint="eastAsia" w:ascii="仿宋" w:hAnsi="仿宋" w:eastAsia="仿宋"/>
          <w:b w:val="0"/>
          <w:bCs w:val="0"/>
          <w:color w:val="000000"/>
          <w:sz w:val="32"/>
          <w:szCs w:val="32"/>
          <w:highlight w:val="none"/>
          <w:lang w:val="en-US" w:eastAsia="zh-CN"/>
        </w:rPr>
        <w:t>01</w:t>
      </w:r>
      <w:r>
        <w:rPr>
          <w:rStyle w:val="19"/>
          <w:rFonts w:hint="eastAsia" w:ascii="仿宋" w:hAnsi="仿宋" w:eastAsia="仿宋"/>
          <w:b w:val="0"/>
          <w:bCs w:val="0"/>
          <w:color w:val="000000"/>
          <w:sz w:val="32"/>
          <w:szCs w:val="32"/>
          <w:highlight w:val="none"/>
        </w:rPr>
        <w:t>（项）</w:t>
      </w:r>
      <w:r>
        <w:rPr>
          <w:rStyle w:val="19"/>
          <w:rFonts w:hint="eastAsia" w:ascii="仿宋" w:hAnsi="仿宋" w:eastAsia="仿宋"/>
          <w:b w:val="0"/>
          <w:bCs w:val="0"/>
          <w:color w:val="000000"/>
          <w:sz w:val="32"/>
          <w:szCs w:val="32"/>
          <w:highlight w:val="none"/>
          <w:lang w:val="en-US" w:eastAsia="zh-CN"/>
        </w:rPr>
        <w:t>99：</w:t>
      </w:r>
      <w:r>
        <w:rPr>
          <w:rStyle w:val="19"/>
          <w:rFonts w:hint="eastAsia" w:ascii="仿宋" w:hAnsi="仿宋" w:eastAsia="仿宋" w:cs="仿宋"/>
          <w:b w:val="0"/>
          <w:bCs w:val="0"/>
          <w:color w:val="000000"/>
          <w:sz w:val="32"/>
          <w:szCs w:val="32"/>
          <w:highlight w:val="none"/>
          <w:lang w:val="en-US" w:eastAsia="zh-CN"/>
        </w:rPr>
        <w:t>其他文化和旅游支出。</w:t>
      </w:r>
    </w:p>
    <w:p>
      <w:pPr>
        <w:keepNext w:val="0"/>
        <w:keepLines w:val="0"/>
        <w:pageBreakBefore w:val="0"/>
        <w:widowControl w:val="0"/>
        <w:kinsoku/>
        <w:wordWrap/>
        <w:overflowPunct/>
        <w:topLinePunct w:val="0"/>
        <w:bidi w:val="0"/>
        <w:adjustRightInd w:val="0"/>
        <w:spacing w:line="600" w:lineRule="exact"/>
        <w:ind w:firstLine="640" w:firstLineChars="200"/>
        <w:jc w:val="both"/>
        <w:textAlignment w:val="auto"/>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lang w:val="en-US" w:eastAsia="zh-CN"/>
        </w:rPr>
        <w:t>10</w:t>
      </w:r>
      <w:r>
        <w:rPr>
          <w:rFonts w:hint="eastAsia" w:ascii="仿宋" w:hAnsi="仿宋" w:eastAsia="仿宋" w:cs="仿宋"/>
          <w:b w:val="0"/>
          <w:bCs w:val="0"/>
          <w:color w:val="000000"/>
          <w:sz w:val="32"/>
          <w:szCs w:val="32"/>
        </w:rPr>
        <w:t>.社会保障和就业（类）208（款）</w:t>
      </w:r>
      <w:r>
        <w:rPr>
          <w:rFonts w:hint="eastAsia" w:ascii="仿宋" w:hAnsi="仿宋" w:eastAsia="仿宋" w:cs="仿宋"/>
          <w:b w:val="0"/>
          <w:bCs w:val="0"/>
          <w:color w:val="000000"/>
          <w:sz w:val="32"/>
          <w:szCs w:val="32"/>
          <w:lang w:val="en-US" w:eastAsia="zh-CN"/>
        </w:rPr>
        <w:t>05</w:t>
      </w:r>
      <w:r>
        <w:rPr>
          <w:rFonts w:hint="eastAsia" w:ascii="仿宋" w:hAnsi="仿宋" w:eastAsia="仿宋" w:cs="仿宋"/>
          <w:b w:val="0"/>
          <w:bCs w:val="0"/>
          <w:color w:val="000000"/>
          <w:sz w:val="32"/>
          <w:szCs w:val="32"/>
        </w:rPr>
        <w:t>（项）</w:t>
      </w:r>
      <w:r>
        <w:rPr>
          <w:rFonts w:hint="eastAsia" w:ascii="仿宋" w:hAnsi="仿宋" w:eastAsia="仿宋" w:cs="仿宋"/>
          <w:b w:val="0"/>
          <w:bCs w:val="0"/>
          <w:color w:val="000000"/>
          <w:sz w:val="32"/>
          <w:szCs w:val="32"/>
          <w:lang w:val="en-US" w:eastAsia="zh-CN"/>
        </w:rPr>
        <w:t>05</w:t>
      </w:r>
      <w:r>
        <w:rPr>
          <w:rFonts w:hint="eastAsia" w:ascii="仿宋" w:hAnsi="仿宋" w:eastAsia="仿宋" w:cs="仿宋"/>
          <w:b w:val="0"/>
          <w:bCs w:val="0"/>
          <w:color w:val="000000"/>
          <w:sz w:val="32"/>
          <w:szCs w:val="32"/>
        </w:rPr>
        <w:t>：指</w:t>
      </w:r>
      <w:r>
        <w:rPr>
          <w:rStyle w:val="19"/>
          <w:rFonts w:hint="eastAsia" w:ascii="仿宋" w:hAnsi="仿宋" w:eastAsia="仿宋"/>
          <w:b w:val="0"/>
          <w:bCs w:val="0"/>
          <w:color w:val="000000"/>
          <w:sz w:val="32"/>
          <w:szCs w:val="32"/>
          <w:highlight w:val="none"/>
          <w:lang w:eastAsia="zh-CN"/>
        </w:rPr>
        <w:t>机关事业单位基本养老保险缴费支出；</w:t>
      </w:r>
      <w:r>
        <w:rPr>
          <w:rFonts w:hint="eastAsia" w:ascii="仿宋" w:hAnsi="仿宋" w:eastAsia="仿宋" w:cs="仿宋"/>
          <w:b w:val="0"/>
          <w:bCs w:val="0"/>
          <w:color w:val="000000"/>
          <w:sz w:val="32"/>
          <w:szCs w:val="32"/>
        </w:rPr>
        <w:t>（类）208（款）05（项）0</w:t>
      </w:r>
      <w:r>
        <w:rPr>
          <w:rFonts w:hint="eastAsia" w:ascii="仿宋" w:hAnsi="仿宋" w:eastAsia="仿宋" w:cs="仿宋"/>
          <w:b w:val="0"/>
          <w:bCs w:val="0"/>
          <w:color w:val="000000"/>
          <w:sz w:val="32"/>
          <w:szCs w:val="32"/>
          <w:lang w:val="en-US" w:eastAsia="zh-CN"/>
        </w:rPr>
        <w:t>6</w:t>
      </w:r>
      <w:r>
        <w:rPr>
          <w:rFonts w:hint="eastAsia" w:ascii="仿宋" w:hAnsi="仿宋" w:eastAsia="仿宋" w:cs="仿宋"/>
          <w:b w:val="0"/>
          <w:bCs w:val="0"/>
          <w:color w:val="000000"/>
          <w:sz w:val="32"/>
          <w:szCs w:val="32"/>
        </w:rPr>
        <w:t>：指</w:t>
      </w:r>
      <w:r>
        <w:rPr>
          <w:rStyle w:val="19"/>
          <w:rFonts w:hint="eastAsia" w:ascii="仿宋" w:hAnsi="仿宋" w:eastAsia="仿宋" w:cs="仿宋"/>
          <w:b w:val="0"/>
          <w:bCs w:val="0"/>
          <w:color w:val="000000"/>
          <w:sz w:val="32"/>
          <w:szCs w:val="32"/>
          <w:highlight w:val="none"/>
          <w:lang w:eastAsia="zh-CN"/>
        </w:rPr>
        <w:t>机关事业单位职业年金缴费支出</w:t>
      </w:r>
      <w:r>
        <w:rPr>
          <w:rFonts w:hint="eastAsia" w:ascii="仿宋" w:hAnsi="仿宋" w:eastAsia="仿宋" w:cs="仿宋"/>
          <w:b w:val="0"/>
          <w:bCs w:val="0"/>
          <w:color w:val="000000"/>
          <w:sz w:val="32"/>
          <w:szCs w:val="32"/>
        </w:rPr>
        <w:t>。</w:t>
      </w:r>
      <w:bookmarkStart w:id="54" w:name="_Toc21535"/>
    </w:p>
    <w:p>
      <w:pPr>
        <w:keepNext w:val="0"/>
        <w:keepLines w:val="0"/>
        <w:pageBreakBefore w:val="0"/>
        <w:widowControl w:val="0"/>
        <w:kinsoku/>
        <w:wordWrap/>
        <w:overflowPunct/>
        <w:topLinePunct w:val="0"/>
        <w:bidi w:val="0"/>
        <w:adjustRightInd w:val="0"/>
        <w:spacing w:line="600" w:lineRule="exact"/>
        <w:ind w:firstLine="640" w:firstLineChars="200"/>
        <w:jc w:val="both"/>
        <w:textAlignment w:val="auto"/>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lang w:val="en-US" w:eastAsia="zh-CN"/>
        </w:rPr>
        <w:t>11</w:t>
      </w:r>
      <w:r>
        <w:rPr>
          <w:rFonts w:hint="eastAsia" w:ascii="仿宋" w:hAnsi="仿宋" w:eastAsia="仿宋" w:cs="仿宋"/>
          <w:b w:val="0"/>
          <w:bCs w:val="0"/>
          <w:color w:val="000000"/>
          <w:sz w:val="32"/>
          <w:szCs w:val="32"/>
        </w:rPr>
        <w:t>.</w:t>
      </w:r>
      <w:r>
        <w:rPr>
          <w:rFonts w:hint="eastAsia" w:ascii="仿宋" w:hAnsi="仿宋" w:eastAsia="仿宋" w:cs="仿宋"/>
          <w:b w:val="0"/>
          <w:bCs w:val="0"/>
          <w:color w:val="000000"/>
          <w:sz w:val="32"/>
          <w:szCs w:val="32"/>
          <w:lang w:eastAsia="zh-CN"/>
        </w:rPr>
        <w:t>卫生健康</w:t>
      </w:r>
      <w:r>
        <w:rPr>
          <w:rFonts w:hint="eastAsia" w:ascii="仿宋" w:hAnsi="仿宋" w:eastAsia="仿宋" w:cs="仿宋"/>
          <w:b w:val="0"/>
          <w:bCs w:val="0"/>
          <w:color w:val="000000"/>
          <w:sz w:val="32"/>
          <w:szCs w:val="32"/>
        </w:rPr>
        <w:t>（类）</w:t>
      </w:r>
      <w:r>
        <w:rPr>
          <w:rFonts w:hint="eastAsia" w:ascii="仿宋" w:hAnsi="仿宋" w:eastAsia="仿宋" w:cs="仿宋"/>
          <w:b w:val="0"/>
          <w:bCs w:val="0"/>
          <w:color w:val="000000"/>
          <w:sz w:val="32"/>
          <w:szCs w:val="32"/>
          <w:lang w:val="en-US" w:eastAsia="zh-CN"/>
        </w:rPr>
        <w:t>210</w:t>
      </w:r>
      <w:r>
        <w:rPr>
          <w:rFonts w:hint="eastAsia" w:ascii="仿宋" w:hAnsi="仿宋" w:eastAsia="仿宋" w:cs="仿宋"/>
          <w:b w:val="0"/>
          <w:bCs w:val="0"/>
          <w:color w:val="000000"/>
          <w:sz w:val="32"/>
          <w:szCs w:val="32"/>
        </w:rPr>
        <w:t>（款）</w:t>
      </w:r>
      <w:r>
        <w:rPr>
          <w:rFonts w:hint="eastAsia" w:ascii="仿宋" w:hAnsi="仿宋" w:eastAsia="仿宋" w:cs="仿宋"/>
          <w:b w:val="0"/>
          <w:bCs w:val="0"/>
          <w:color w:val="000000"/>
          <w:sz w:val="32"/>
          <w:szCs w:val="32"/>
          <w:lang w:val="en-US" w:eastAsia="zh-CN"/>
        </w:rPr>
        <w:t>04</w:t>
      </w:r>
      <w:r>
        <w:rPr>
          <w:rFonts w:hint="eastAsia" w:ascii="仿宋" w:hAnsi="仿宋" w:eastAsia="仿宋" w:cs="仿宋"/>
          <w:b w:val="0"/>
          <w:bCs w:val="0"/>
          <w:color w:val="000000"/>
          <w:sz w:val="32"/>
          <w:szCs w:val="32"/>
        </w:rPr>
        <w:t>（项）</w:t>
      </w:r>
      <w:r>
        <w:rPr>
          <w:rFonts w:hint="eastAsia" w:ascii="仿宋" w:hAnsi="仿宋" w:eastAsia="仿宋" w:cs="仿宋"/>
          <w:b w:val="0"/>
          <w:bCs w:val="0"/>
          <w:color w:val="000000"/>
          <w:sz w:val="32"/>
          <w:szCs w:val="32"/>
          <w:lang w:val="en-US" w:eastAsia="zh-CN"/>
        </w:rPr>
        <w:t>09</w:t>
      </w:r>
      <w:r>
        <w:rPr>
          <w:rFonts w:hint="eastAsia" w:ascii="仿宋" w:hAnsi="仿宋" w:eastAsia="仿宋" w:cs="仿宋"/>
          <w:b w:val="0"/>
          <w:bCs w:val="0"/>
          <w:color w:val="000000"/>
          <w:sz w:val="32"/>
          <w:szCs w:val="32"/>
        </w:rPr>
        <w:t>：指</w:t>
      </w:r>
      <w:r>
        <w:rPr>
          <w:rStyle w:val="19"/>
          <w:rFonts w:hint="eastAsia" w:ascii="仿宋" w:hAnsi="仿宋" w:eastAsia="仿宋"/>
          <w:b w:val="0"/>
          <w:bCs w:val="0"/>
          <w:color w:val="000000"/>
          <w:sz w:val="32"/>
          <w:szCs w:val="32"/>
          <w:highlight w:val="none"/>
          <w:lang w:eastAsia="zh-CN"/>
        </w:rPr>
        <w:t>重大公共卫生服务</w:t>
      </w:r>
      <w:r>
        <w:rPr>
          <w:rStyle w:val="19"/>
          <w:rFonts w:hint="eastAsia" w:ascii="仿宋" w:hAnsi="仿宋" w:eastAsia="仿宋"/>
          <w:b w:val="0"/>
          <w:bCs w:val="0"/>
          <w:color w:val="000000"/>
          <w:sz w:val="32"/>
          <w:szCs w:val="32"/>
          <w:highlight w:val="none"/>
          <w:lang w:val="en-US" w:eastAsia="zh-CN"/>
        </w:rPr>
        <w:t>支出</w:t>
      </w:r>
      <w:r>
        <w:rPr>
          <w:rStyle w:val="19"/>
          <w:rFonts w:hint="eastAsia" w:ascii="仿宋" w:hAnsi="仿宋" w:eastAsia="仿宋"/>
          <w:b w:val="0"/>
          <w:bCs w:val="0"/>
          <w:color w:val="000000"/>
          <w:sz w:val="32"/>
          <w:szCs w:val="32"/>
          <w:highlight w:val="none"/>
          <w:lang w:eastAsia="zh-CN"/>
        </w:rPr>
        <w:t>；</w:t>
      </w:r>
      <w:r>
        <w:rPr>
          <w:rFonts w:hint="eastAsia" w:ascii="仿宋" w:hAnsi="仿宋" w:eastAsia="仿宋" w:cs="仿宋"/>
          <w:b w:val="0"/>
          <w:bCs w:val="0"/>
          <w:color w:val="000000"/>
          <w:sz w:val="32"/>
          <w:szCs w:val="32"/>
        </w:rPr>
        <w:t>（类）</w:t>
      </w:r>
      <w:r>
        <w:rPr>
          <w:rFonts w:hint="eastAsia" w:ascii="仿宋" w:hAnsi="仿宋" w:eastAsia="仿宋" w:cs="仿宋"/>
          <w:b w:val="0"/>
          <w:bCs w:val="0"/>
          <w:color w:val="000000"/>
          <w:sz w:val="32"/>
          <w:szCs w:val="32"/>
          <w:lang w:val="en-US" w:eastAsia="zh-CN"/>
        </w:rPr>
        <w:t>210</w:t>
      </w:r>
      <w:r>
        <w:rPr>
          <w:rFonts w:hint="eastAsia" w:ascii="仿宋" w:hAnsi="仿宋" w:eastAsia="仿宋" w:cs="仿宋"/>
          <w:b w:val="0"/>
          <w:bCs w:val="0"/>
          <w:color w:val="000000"/>
          <w:sz w:val="32"/>
          <w:szCs w:val="32"/>
        </w:rPr>
        <w:t>（款）</w:t>
      </w:r>
      <w:r>
        <w:rPr>
          <w:rFonts w:hint="eastAsia" w:ascii="仿宋" w:hAnsi="仿宋" w:eastAsia="仿宋" w:cs="仿宋"/>
          <w:b w:val="0"/>
          <w:bCs w:val="0"/>
          <w:color w:val="000000"/>
          <w:sz w:val="32"/>
          <w:szCs w:val="32"/>
          <w:lang w:val="en-US" w:eastAsia="zh-CN"/>
        </w:rPr>
        <w:t>11</w:t>
      </w:r>
      <w:r>
        <w:rPr>
          <w:rFonts w:hint="eastAsia" w:ascii="仿宋" w:hAnsi="仿宋" w:eastAsia="仿宋" w:cs="仿宋"/>
          <w:b w:val="0"/>
          <w:bCs w:val="0"/>
          <w:color w:val="000000"/>
          <w:sz w:val="32"/>
          <w:szCs w:val="32"/>
        </w:rPr>
        <w:t>（项）</w:t>
      </w:r>
      <w:r>
        <w:rPr>
          <w:rFonts w:hint="eastAsia" w:ascii="仿宋" w:hAnsi="仿宋" w:eastAsia="仿宋" w:cs="仿宋"/>
          <w:b w:val="0"/>
          <w:bCs w:val="0"/>
          <w:color w:val="000000"/>
          <w:sz w:val="32"/>
          <w:szCs w:val="32"/>
          <w:lang w:val="en-US" w:eastAsia="zh-CN"/>
        </w:rPr>
        <w:t>01</w:t>
      </w:r>
      <w:r>
        <w:rPr>
          <w:rFonts w:hint="eastAsia" w:ascii="仿宋" w:hAnsi="仿宋" w:eastAsia="仿宋" w:cs="仿宋"/>
          <w:b w:val="0"/>
          <w:bCs w:val="0"/>
          <w:color w:val="000000"/>
          <w:sz w:val="32"/>
          <w:szCs w:val="32"/>
        </w:rPr>
        <w:t>：指</w:t>
      </w:r>
      <w:r>
        <w:rPr>
          <w:rStyle w:val="19"/>
          <w:rFonts w:hint="eastAsia" w:ascii="仿宋" w:hAnsi="仿宋" w:eastAsia="仿宋" w:cs="Times New Roman"/>
          <w:b w:val="0"/>
          <w:bCs w:val="0"/>
          <w:color w:val="000000"/>
          <w:sz w:val="32"/>
          <w:szCs w:val="32"/>
          <w:highlight w:val="none"/>
          <w:lang w:eastAsia="zh-CN"/>
        </w:rPr>
        <w:t>行政单位医疗</w:t>
      </w:r>
      <w:r>
        <w:rPr>
          <w:rStyle w:val="19"/>
          <w:rFonts w:hint="eastAsia" w:ascii="仿宋" w:hAnsi="仿宋" w:eastAsia="仿宋" w:cs="Times New Roman"/>
          <w:b w:val="0"/>
          <w:bCs w:val="0"/>
          <w:color w:val="000000"/>
          <w:sz w:val="32"/>
          <w:szCs w:val="32"/>
          <w:highlight w:val="none"/>
          <w:lang w:val="en-US" w:eastAsia="zh-CN"/>
        </w:rPr>
        <w:t>支出</w:t>
      </w:r>
      <w:r>
        <w:rPr>
          <w:rStyle w:val="19"/>
          <w:rFonts w:hint="eastAsia" w:ascii="仿宋" w:hAnsi="仿宋" w:eastAsia="仿宋" w:cs="Times New Roman"/>
          <w:b w:val="0"/>
          <w:bCs w:val="0"/>
          <w:color w:val="000000"/>
          <w:sz w:val="32"/>
          <w:szCs w:val="32"/>
          <w:highlight w:val="none"/>
          <w:lang w:eastAsia="zh-CN"/>
        </w:rPr>
        <w:t>；</w:t>
      </w:r>
      <w:r>
        <w:rPr>
          <w:rFonts w:hint="eastAsia" w:ascii="仿宋" w:hAnsi="仿宋" w:eastAsia="仿宋" w:cs="仿宋"/>
          <w:b w:val="0"/>
          <w:bCs w:val="0"/>
          <w:color w:val="000000"/>
          <w:sz w:val="32"/>
          <w:szCs w:val="32"/>
        </w:rPr>
        <w:t>（类）</w:t>
      </w:r>
      <w:r>
        <w:rPr>
          <w:rFonts w:hint="eastAsia" w:ascii="仿宋" w:hAnsi="仿宋" w:eastAsia="仿宋" w:cs="仿宋"/>
          <w:b w:val="0"/>
          <w:bCs w:val="0"/>
          <w:color w:val="000000"/>
          <w:sz w:val="32"/>
          <w:szCs w:val="32"/>
          <w:lang w:val="en-US" w:eastAsia="zh-CN"/>
        </w:rPr>
        <w:t>210</w:t>
      </w:r>
      <w:r>
        <w:rPr>
          <w:rFonts w:hint="eastAsia" w:ascii="仿宋" w:hAnsi="仿宋" w:eastAsia="仿宋" w:cs="仿宋"/>
          <w:b w:val="0"/>
          <w:bCs w:val="0"/>
          <w:color w:val="000000"/>
          <w:sz w:val="32"/>
          <w:szCs w:val="32"/>
        </w:rPr>
        <w:t>（款）</w:t>
      </w:r>
      <w:r>
        <w:rPr>
          <w:rFonts w:hint="eastAsia" w:ascii="仿宋" w:hAnsi="仿宋" w:eastAsia="仿宋" w:cs="仿宋"/>
          <w:b w:val="0"/>
          <w:bCs w:val="0"/>
          <w:color w:val="000000"/>
          <w:sz w:val="32"/>
          <w:szCs w:val="32"/>
          <w:lang w:val="en-US" w:eastAsia="zh-CN"/>
        </w:rPr>
        <w:t>11</w:t>
      </w:r>
      <w:r>
        <w:rPr>
          <w:rFonts w:hint="eastAsia" w:ascii="仿宋" w:hAnsi="仿宋" w:eastAsia="仿宋" w:cs="仿宋"/>
          <w:b w:val="0"/>
          <w:bCs w:val="0"/>
          <w:color w:val="000000"/>
          <w:sz w:val="32"/>
          <w:szCs w:val="32"/>
        </w:rPr>
        <w:t>（项）</w:t>
      </w:r>
      <w:r>
        <w:rPr>
          <w:rFonts w:hint="eastAsia" w:ascii="仿宋" w:hAnsi="仿宋" w:eastAsia="仿宋" w:cs="仿宋"/>
          <w:b w:val="0"/>
          <w:bCs w:val="0"/>
          <w:color w:val="000000"/>
          <w:sz w:val="32"/>
          <w:szCs w:val="32"/>
          <w:lang w:val="en-US" w:eastAsia="zh-CN"/>
        </w:rPr>
        <w:t>02</w:t>
      </w:r>
      <w:r>
        <w:rPr>
          <w:rFonts w:hint="eastAsia" w:ascii="仿宋" w:hAnsi="仿宋" w:eastAsia="仿宋" w:cs="仿宋"/>
          <w:b w:val="0"/>
          <w:bCs w:val="0"/>
          <w:color w:val="000000"/>
          <w:sz w:val="32"/>
          <w:szCs w:val="32"/>
        </w:rPr>
        <w:t>：指</w:t>
      </w:r>
      <w:r>
        <w:rPr>
          <w:rStyle w:val="19"/>
          <w:rFonts w:hint="eastAsia" w:ascii="仿宋" w:hAnsi="仿宋" w:eastAsia="仿宋" w:cs="Times New Roman"/>
          <w:b w:val="0"/>
          <w:bCs w:val="0"/>
          <w:color w:val="000000"/>
          <w:sz w:val="32"/>
          <w:szCs w:val="32"/>
          <w:highlight w:val="none"/>
          <w:lang w:eastAsia="zh-CN"/>
        </w:rPr>
        <w:t>事业单位医疗；</w:t>
      </w:r>
      <w:r>
        <w:rPr>
          <w:rFonts w:hint="eastAsia" w:ascii="仿宋" w:hAnsi="仿宋" w:eastAsia="仿宋" w:cs="仿宋"/>
          <w:b w:val="0"/>
          <w:bCs w:val="0"/>
          <w:color w:val="000000"/>
          <w:sz w:val="32"/>
          <w:szCs w:val="32"/>
        </w:rPr>
        <w:t>（类）</w:t>
      </w:r>
      <w:r>
        <w:rPr>
          <w:rFonts w:hint="eastAsia" w:ascii="仿宋" w:hAnsi="仿宋" w:eastAsia="仿宋" w:cs="仿宋"/>
          <w:b w:val="0"/>
          <w:bCs w:val="0"/>
          <w:color w:val="000000"/>
          <w:sz w:val="32"/>
          <w:szCs w:val="32"/>
          <w:lang w:val="en-US" w:eastAsia="zh-CN"/>
        </w:rPr>
        <w:t>210</w:t>
      </w:r>
      <w:r>
        <w:rPr>
          <w:rFonts w:hint="eastAsia" w:ascii="仿宋" w:hAnsi="仿宋" w:eastAsia="仿宋" w:cs="仿宋"/>
          <w:b w:val="0"/>
          <w:bCs w:val="0"/>
          <w:color w:val="000000"/>
          <w:sz w:val="32"/>
          <w:szCs w:val="32"/>
        </w:rPr>
        <w:t>（款）</w:t>
      </w:r>
      <w:r>
        <w:rPr>
          <w:rFonts w:hint="eastAsia" w:ascii="仿宋" w:hAnsi="仿宋" w:eastAsia="仿宋" w:cs="仿宋"/>
          <w:b w:val="0"/>
          <w:bCs w:val="0"/>
          <w:color w:val="000000"/>
          <w:sz w:val="32"/>
          <w:szCs w:val="32"/>
          <w:lang w:val="en-US" w:eastAsia="zh-CN"/>
        </w:rPr>
        <w:t>11</w:t>
      </w:r>
      <w:r>
        <w:rPr>
          <w:rFonts w:hint="eastAsia" w:ascii="仿宋" w:hAnsi="仿宋" w:eastAsia="仿宋" w:cs="仿宋"/>
          <w:b w:val="0"/>
          <w:bCs w:val="0"/>
          <w:color w:val="000000"/>
          <w:sz w:val="32"/>
          <w:szCs w:val="32"/>
        </w:rPr>
        <w:t>（项）</w:t>
      </w:r>
      <w:r>
        <w:rPr>
          <w:rFonts w:hint="eastAsia" w:ascii="仿宋" w:hAnsi="仿宋" w:eastAsia="仿宋" w:cs="仿宋"/>
          <w:b w:val="0"/>
          <w:bCs w:val="0"/>
          <w:color w:val="000000"/>
          <w:sz w:val="32"/>
          <w:szCs w:val="32"/>
          <w:lang w:val="en-US" w:eastAsia="zh-CN"/>
        </w:rPr>
        <w:t>03</w:t>
      </w:r>
      <w:r>
        <w:rPr>
          <w:rFonts w:hint="eastAsia" w:ascii="仿宋" w:hAnsi="仿宋" w:eastAsia="仿宋" w:cs="仿宋"/>
          <w:b w:val="0"/>
          <w:bCs w:val="0"/>
          <w:color w:val="000000"/>
          <w:sz w:val="32"/>
          <w:szCs w:val="32"/>
        </w:rPr>
        <w:t>：指</w:t>
      </w:r>
      <w:r>
        <w:rPr>
          <w:rStyle w:val="19"/>
          <w:rFonts w:hint="eastAsia" w:ascii="仿宋" w:hAnsi="仿宋" w:eastAsia="仿宋" w:cs="Times New Roman"/>
          <w:b w:val="0"/>
          <w:bCs w:val="0"/>
          <w:color w:val="000000"/>
          <w:sz w:val="32"/>
          <w:szCs w:val="32"/>
          <w:highlight w:val="none"/>
          <w:lang w:eastAsia="zh-CN"/>
        </w:rPr>
        <w:t>公务员医疗补助</w:t>
      </w:r>
      <w:r>
        <w:rPr>
          <w:rStyle w:val="19"/>
          <w:rFonts w:hint="eastAsia" w:ascii="仿宋" w:hAnsi="仿宋" w:eastAsia="仿宋" w:cs="Times New Roman"/>
          <w:b w:val="0"/>
          <w:bCs w:val="0"/>
          <w:color w:val="000000"/>
          <w:sz w:val="32"/>
          <w:szCs w:val="32"/>
          <w:highlight w:val="none"/>
          <w:lang w:val="en-US" w:eastAsia="zh-CN"/>
        </w:rPr>
        <w:t>支出</w:t>
      </w:r>
      <w:r>
        <w:rPr>
          <w:rStyle w:val="19"/>
          <w:rFonts w:hint="eastAsia" w:ascii="仿宋" w:hAnsi="仿宋" w:eastAsia="仿宋" w:cs="Times New Roman"/>
          <w:b w:val="0"/>
          <w:bCs w:val="0"/>
          <w:color w:val="000000"/>
          <w:sz w:val="32"/>
          <w:szCs w:val="32"/>
          <w:highlight w:val="none"/>
          <w:lang w:eastAsia="zh-CN"/>
        </w:rPr>
        <w:t>；</w:t>
      </w:r>
      <w:r>
        <w:rPr>
          <w:rFonts w:hint="eastAsia" w:ascii="仿宋" w:hAnsi="仿宋" w:eastAsia="仿宋" w:cs="仿宋"/>
          <w:b w:val="0"/>
          <w:bCs w:val="0"/>
          <w:color w:val="000000"/>
          <w:sz w:val="32"/>
          <w:szCs w:val="32"/>
        </w:rPr>
        <w:t>（类）</w:t>
      </w:r>
      <w:r>
        <w:rPr>
          <w:rFonts w:hint="eastAsia" w:ascii="仿宋" w:hAnsi="仿宋" w:eastAsia="仿宋" w:cs="仿宋"/>
          <w:b w:val="0"/>
          <w:bCs w:val="0"/>
          <w:color w:val="000000"/>
          <w:sz w:val="32"/>
          <w:szCs w:val="32"/>
          <w:lang w:val="en-US" w:eastAsia="zh-CN"/>
        </w:rPr>
        <w:t>210</w:t>
      </w:r>
      <w:r>
        <w:rPr>
          <w:rFonts w:hint="eastAsia" w:ascii="仿宋" w:hAnsi="仿宋" w:eastAsia="仿宋" w:cs="仿宋"/>
          <w:b w:val="0"/>
          <w:bCs w:val="0"/>
          <w:color w:val="000000"/>
          <w:sz w:val="32"/>
          <w:szCs w:val="32"/>
        </w:rPr>
        <w:t>（款）</w:t>
      </w:r>
      <w:r>
        <w:rPr>
          <w:rFonts w:hint="eastAsia" w:ascii="仿宋" w:hAnsi="仿宋" w:eastAsia="仿宋" w:cs="仿宋"/>
          <w:b w:val="0"/>
          <w:bCs w:val="0"/>
          <w:color w:val="000000"/>
          <w:sz w:val="32"/>
          <w:szCs w:val="32"/>
          <w:lang w:val="en-US" w:eastAsia="zh-CN"/>
        </w:rPr>
        <w:t>11</w:t>
      </w:r>
      <w:r>
        <w:rPr>
          <w:rFonts w:hint="eastAsia" w:ascii="仿宋" w:hAnsi="仿宋" w:eastAsia="仿宋" w:cs="仿宋"/>
          <w:b w:val="0"/>
          <w:bCs w:val="0"/>
          <w:color w:val="000000"/>
          <w:sz w:val="32"/>
          <w:szCs w:val="32"/>
        </w:rPr>
        <w:t>（项）</w:t>
      </w:r>
      <w:r>
        <w:rPr>
          <w:rFonts w:hint="eastAsia" w:ascii="仿宋" w:hAnsi="仿宋" w:eastAsia="仿宋" w:cs="仿宋"/>
          <w:b w:val="0"/>
          <w:bCs w:val="0"/>
          <w:color w:val="000000"/>
          <w:sz w:val="32"/>
          <w:szCs w:val="32"/>
          <w:lang w:val="en-US" w:eastAsia="zh-CN"/>
        </w:rPr>
        <w:t>99</w:t>
      </w:r>
      <w:r>
        <w:rPr>
          <w:rFonts w:hint="eastAsia" w:ascii="仿宋" w:hAnsi="仿宋" w:eastAsia="仿宋" w:cs="仿宋"/>
          <w:b w:val="0"/>
          <w:bCs w:val="0"/>
          <w:color w:val="000000"/>
          <w:sz w:val="32"/>
          <w:szCs w:val="32"/>
        </w:rPr>
        <w:t>：指</w:t>
      </w:r>
      <w:r>
        <w:rPr>
          <w:rStyle w:val="19"/>
          <w:rFonts w:hint="eastAsia" w:ascii="仿宋" w:hAnsi="仿宋" w:eastAsia="仿宋" w:cs="Times New Roman"/>
          <w:b w:val="0"/>
          <w:bCs w:val="0"/>
          <w:color w:val="000000"/>
          <w:sz w:val="32"/>
          <w:szCs w:val="32"/>
          <w:highlight w:val="none"/>
          <w:lang w:eastAsia="zh-CN"/>
        </w:rPr>
        <w:t>其他行政事业单位医疗支出</w:t>
      </w:r>
      <w:r>
        <w:rPr>
          <w:rFonts w:hint="eastAsia" w:ascii="仿宋" w:hAnsi="仿宋" w:eastAsia="仿宋" w:cs="仿宋"/>
          <w:b w:val="0"/>
          <w:bCs w:val="0"/>
          <w:color w:val="000000"/>
          <w:sz w:val="32"/>
          <w:szCs w:val="32"/>
        </w:rPr>
        <w:t>。</w:t>
      </w:r>
    </w:p>
    <w:p>
      <w:pPr>
        <w:keepNext w:val="0"/>
        <w:keepLines w:val="0"/>
        <w:pageBreakBefore w:val="0"/>
        <w:widowControl w:val="0"/>
        <w:kinsoku/>
        <w:wordWrap/>
        <w:overflowPunct/>
        <w:topLinePunct w:val="0"/>
        <w:bidi w:val="0"/>
        <w:adjustRightInd w:val="0"/>
        <w:spacing w:line="600" w:lineRule="exact"/>
        <w:ind w:firstLine="640" w:firstLineChars="200"/>
        <w:jc w:val="both"/>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rPr>
        <w:t>1</w:t>
      </w:r>
      <w:r>
        <w:rPr>
          <w:rFonts w:hint="eastAsia" w:ascii="仿宋" w:hAnsi="仿宋" w:eastAsia="仿宋" w:cs="仿宋"/>
          <w:b w:val="0"/>
          <w:bCs w:val="0"/>
          <w:color w:val="000000"/>
          <w:sz w:val="32"/>
          <w:szCs w:val="32"/>
          <w:lang w:val="en-US" w:eastAsia="zh-CN"/>
        </w:rPr>
        <w:t>2</w:t>
      </w:r>
      <w:r>
        <w:rPr>
          <w:rFonts w:hint="eastAsia" w:ascii="仿宋" w:hAnsi="仿宋" w:eastAsia="仿宋" w:cs="仿宋"/>
          <w:b w:val="0"/>
          <w:bCs w:val="0"/>
          <w:color w:val="000000"/>
          <w:sz w:val="32"/>
          <w:szCs w:val="32"/>
        </w:rPr>
        <w:t>.城乡社区（类）</w:t>
      </w:r>
      <w:r>
        <w:rPr>
          <w:rFonts w:hint="eastAsia" w:ascii="仿宋" w:hAnsi="仿宋" w:eastAsia="仿宋" w:cs="仿宋"/>
          <w:b w:val="0"/>
          <w:bCs w:val="0"/>
          <w:color w:val="000000"/>
          <w:sz w:val="32"/>
          <w:szCs w:val="32"/>
          <w:lang w:val="en-US" w:eastAsia="zh-CN"/>
        </w:rPr>
        <w:t>212</w:t>
      </w:r>
      <w:r>
        <w:rPr>
          <w:rFonts w:hint="eastAsia" w:ascii="仿宋" w:hAnsi="仿宋" w:eastAsia="仿宋" w:cs="仿宋"/>
          <w:b w:val="0"/>
          <w:bCs w:val="0"/>
          <w:color w:val="000000"/>
          <w:sz w:val="32"/>
          <w:szCs w:val="32"/>
        </w:rPr>
        <w:t>（款）</w:t>
      </w:r>
      <w:r>
        <w:rPr>
          <w:rFonts w:hint="eastAsia" w:ascii="仿宋" w:hAnsi="仿宋" w:eastAsia="仿宋" w:cs="仿宋"/>
          <w:b w:val="0"/>
          <w:bCs w:val="0"/>
          <w:color w:val="000000"/>
          <w:sz w:val="32"/>
          <w:szCs w:val="32"/>
          <w:lang w:val="en-US" w:eastAsia="zh-CN"/>
        </w:rPr>
        <w:t>03</w:t>
      </w:r>
      <w:r>
        <w:rPr>
          <w:rFonts w:hint="eastAsia" w:ascii="仿宋" w:hAnsi="仿宋" w:eastAsia="仿宋" w:cs="仿宋"/>
          <w:b w:val="0"/>
          <w:bCs w:val="0"/>
          <w:color w:val="000000"/>
          <w:sz w:val="32"/>
          <w:szCs w:val="32"/>
        </w:rPr>
        <w:t>（项）</w:t>
      </w:r>
      <w:r>
        <w:rPr>
          <w:rFonts w:hint="eastAsia" w:ascii="仿宋" w:hAnsi="仿宋" w:eastAsia="仿宋" w:cs="仿宋"/>
          <w:b w:val="0"/>
          <w:bCs w:val="0"/>
          <w:color w:val="000000"/>
          <w:sz w:val="32"/>
          <w:szCs w:val="32"/>
          <w:lang w:val="en-US" w:eastAsia="zh-CN"/>
        </w:rPr>
        <w:t>03</w:t>
      </w:r>
      <w:r>
        <w:rPr>
          <w:rFonts w:hint="eastAsia" w:ascii="仿宋" w:hAnsi="仿宋" w:eastAsia="仿宋" w:cs="仿宋"/>
          <w:b w:val="0"/>
          <w:bCs w:val="0"/>
          <w:color w:val="000000"/>
          <w:sz w:val="32"/>
          <w:szCs w:val="32"/>
        </w:rPr>
        <w:t>：指</w:t>
      </w:r>
      <w:r>
        <w:rPr>
          <w:rFonts w:hint="eastAsia" w:ascii="仿宋" w:hAnsi="仿宋" w:eastAsia="仿宋" w:cs="仿宋"/>
          <w:b w:val="0"/>
          <w:bCs w:val="0"/>
          <w:color w:val="000000"/>
          <w:sz w:val="32"/>
          <w:szCs w:val="32"/>
          <w:lang w:val="en-US" w:eastAsia="zh-CN"/>
        </w:rPr>
        <w:t>小城镇基础设施建设支出；</w:t>
      </w:r>
      <w:r>
        <w:rPr>
          <w:rFonts w:hint="eastAsia" w:ascii="仿宋" w:hAnsi="仿宋" w:eastAsia="仿宋" w:cs="仿宋"/>
          <w:b w:val="0"/>
          <w:bCs w:val="0"/>
          <w:color w:val="000000"/>
          <w:sz w:val="32"/>
          <w:szCs w:val="32"/>
        </w:rPr>
        <w:t>（类）</w:t>
      </w:r>
      <w:r>
        <w:rPr>
          <w:rFonts w:hint="eastAsia" w:ascii="仿宋" w:hAnsi="仿宋" w:eastAsia="仿宋" w:cs="仿宋"/>
          <w:b w:val="0"/>
          <w:bCs w:val="0"/>
          <w:color w:val="000000"/>
          <w:sz w:val="32"/>
          <w:szCs w:val="32"/>
          <w:lang w:val="en-US" w:eastAsia="zh-CN"/>
        </w:rPr>
        <w:t>212</w:t>
      </w:r>
      <w:r>
        <w:rPr>
          <w:rFonts w:hint="eastAsia" w:ascii="仿宋" w:hAnsi="仿宋" w:eastAsia="仿宋" w:cs="仿宋"/>
          <w:b w:val="0"/>
          <w:bCs w:val="0"/>
          <w:color w:val="000000"/>
          <w:sz w:val="32"/>
          <w:szCs w:val="32"/>
        </w:rPr>
        <w:t>（款）</w:t>
      </w:r>
      <w:r>
        <w:rPr>
          <w:rFonts w:hint="eastAsia" w:ascii="仿宋" w:hAnsi="仿宋" w:eastAsia="仿宋" w:cs="仿宋"/>
          <w:b w:val="0"/>
          <w:bCs w:val="0"/>
          <w:color w:val="000000"/>
          <w:sz w:val="32"/>
          <w:szCs w:val="32"/>
          <w:lang w:val="en-US" w:eastAsia="zh-CN"/>
        </w:rPr>
        <w:t>99</w:t>
      </w:r>
      <w:r>
        <w:rPr>
          <w:rFonts w:hint="eastAsia" w:ascii="仿宋" w:hAnsi="仿宋" w:eastAsia="仿宋" w:cs="仿宋"/>
          <w:b w:val="0"/>
          <w:bCs w:val="0"/>
          <w:color w:val="000000"/>
          <w:sz w:val="32"/>
          <w:szCs w:val="32"/>
        </w:rPr>
        <w:t>（项）</w:t>
      </w:r>
      <w:r>
        <w:rPr>
          <w:rFonts w:hint="eastAsia" w:ascii="仿宋" w:hAnsi="仿宋" w:eastAsia="仿宋" w:cs="仿宋"/>
          <w:b w:val="0"/>
          <w:bCs w:val="0"/>
          <w:color w:val="000000"/>
          <w:sz w:val="32"/>
          <w:szCs w:val="32"/>
          <w:lang w:val="en-US" w:eastAsia="zh-CN"/>
        </w:rPr>
        <w:t>99</w:t>
      </w:r>
      <w:r>
        <w:rPr>
          <w:rFonts w:hint="eastAsia" w:ascii="仿宋" w:hAnsi="仿宋" w:eastAsia="仿宋" w:cs="仿宋"/>
          <w:b w:val="0"/>
          <w:bCs w:val="0"/>
          <w:color w:val="000000"/>
          <w:sz w:val="32"/>
          <w:szCs w:val="32"/>
        </w:rPr>
        <w:t>：指</w:t>
      </w:r>
      <w:r>
        <w:rPr>
          <w:rFonts w:hint="eastAsia" w:ascii="仿宋" w:hAnsi="仿宋" w:eastAsia="仿宋" w:cs="仿宋"/>
          <w:b w:val="0"/>
          <w:bCs w:val="0"/>
          <w:color w:val="000000"/>
          <w:sz w:val="32"/>
          <w:szCs w:val="32"/>
          <w:lang w:val="en-US" w:eastAsia="zh-CN"/>
        </w:rPr>
        <w:t>其他城乡社区支出。</w:t>
      </w:r>
    </w:p>
    <w:p>
      <w:pPr>
        <w:keepNext w:val="0"/>
        <w:keepLines w:val="0"/>
        <w:pageBreakBefore w:val="0"/>
        <w:widowControl w:val="0"/>
        <w:kinsoku/>
        <w:wordWrap/>
        <w:overflowPunct/>
        <w:topLinePunct w:val="0"/>
        <w:bidi w:val="0"/>
        <w:adjustRightInd w:val="0"/>
        <w:spacing w:line="600" w:lineRule="exact"/>
        <w:ind w:firstLine="640" w:firstLineChars="200"/>
        <w:jc w:val="both"/>
        <w:textAlignment w:val="auto"/>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1</w:t>
      </w: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.农林水（类）213（款）01（项）</w:t>
      </w:r>
      <w:r>
        <w:rPr>
          <w:rFonts w:hint="eastAsia" w:ascii="仿宋" w:hAnsi="仿宋" w:eastAsia="仿宋" w:cs="仿宋"/>
          <w:color w:val="000000"/>
          <w:sz w:val="32"/>
          <w:szCs w:val="32"/>
          <w:lang w:val="en-US" w:eastAsia="zh-CN"/>
        </w:rPr>
        <w:t>04</w:t>
      </w:r>
      <w:r>
        <w:rPr>
          <w:rFonts w:hint="eastAsia" w:ascii="仿宋" w:hAnsi="仿宋" w:eastAsia="仿宋" w:cs="仿宋"/>
          <w:color w:val="000000"/>
          <w:sz w:val="32"/>
          <w:szCs w:val="32"/>
        </w:rPr>
        <w:t>：指</w:t>
      </w:r>
      <w:r>
        <w:rPr>
          <w:rFonts w:hint="eastAsia" w:ascii="仿宋" w:hAnsi="仿宋" w:eastAsia="仿宋" w:cs="仿宋"/>
          <w:color w:val="000000"/>
          <w:sz w:val="32"/>
          <w:szCs w:val="32"/>
          <w:lang w:eastAsia="zh-CN"/>
        </w:rPr>
        <w:t>事业运行</w:t>
      </w:r>
      <w:r>
        <w:rPr>
          <w:rFonts w:hint="eastAsia" w:ascii="仿宋" w:hAnsi="仿宋" w:eastAsia="仿宋" w:cs="仿宋"/>
          <w:color w:val="000000"/>
          <w:sz w:val="32"/>
          <w:szCs w:val="32"/>
          <w:lang w:val="en-US" w:eastAsia="zh-CN"/>
        </w:rPr>
        <w:t>支出</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（类）213（款）01（项）</w:t>
      </w:r>
      <w:r>
        <w:rPr>
          <w:rFonts w:hint="eastAsia" w:ascii="仿宋" w:hAnsi="仿宋" w:eastAsia="仿宋" w:cs="仿宋"/>
          <w:color w:val="000000"/>
          <w:sz w:val="32"/>
          <w:szCs w:val="32"/>
          <w:lang w:val="en-US" w:eastAsia="zh-CN"/>
        </w:rPr>
        <w:t>08</w:t>
      </w:r>
      <w:r>
        <w:rPr>
          <w:rFonts w:hint="eastAsia" w:ascii="仿宋" w:hAnsi="仿宋" w:eastAsia="仿宋" w:cs="仿宋"/>
          <w:color w:val="000000"/>
          <w:sz w:val="32"/>
          <w:szCs w:val="32"/>
        </w:rPr>
        <w:t>：指</w:t>
      </w:r>
      <w:r>
        <w:rPr>
          <w:rFonts w:hint="eastAsia" w:ascii="仿宋" w:hAnsi="仿宋" w:eastAsia="仿宋" w:cs="仿宋"/>
          <w:color w:val="000000"/>
          <w:sz w:val="32"/>
          <w:szCs w:val="32"/>
          <w:lang w:eastAsia="zh-CN"/>
        </w:rPr>
        <w:t>病虫害控制</w:t>
      </w:r>
      <w:r>
        <w:rPr>
          <w:rFonts w:hint="eastAsia" w:ascii="仿宋" w:hAnsi="仿宋" w:eastAsia="仿宋" w:cs="仿宋"/>
          <w:color w:val="000000"/>
          <w:sz w:val="32"/>
          <w:szCs w:val="32"/>
          <w:lang w:val="en-US" w:eastAsia="zh-CN"/>
        </w:rPr>
        <w:t>支出</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（类）213（款）01（项）</w:t>
      </w:r>
      <w:r>
        <w:rPr>
          <w:rFonts w:hint="eastAsia" w:ascii="仿宋" w:hAnsi="仿宋" w:eastAsia="仿宋" w:cs="仿宋"/>
          <w:color w:val="000000"/>
          <w:sz w:val="32"/>
          <w:szCs w:val="32"/>
          <w:lang w:val="en-US" w:eastAsia="zh-CN"/>
        </w:rPr>
        <w:t>99</w:t>
      </w:r>
      <w:r>
        <w:rPr>
          <w:rFonts w:hint="eastAsia" w:ascii="仿宋" w:hAnsi="仿宋" w:eastAsia="仿宋" w:cs="仿宋"/>
          <w:color w:val="000000"/>
          <w:sz w:val="32"/>
          <w:szCs w:val="32"/>
        </w:rPr>
        <w:t>：指</w:t>
      </w:r>
      <w:r>
        <w:rPr>
          <w:rFonts w:hint="eastAsia" w:ascii="仿宋" w:hAnsi="仿宋" w:eastAsia="仿宋" w:cs="仿宋"/>
          <w:color w:val="000000"/>
          <w:sz w:val="32"/>
          <w:szCs w:val="32"/>
          <w:lang w:eastAsia="zh-CN"/>
        </w:rPr>
        <w:t>其他农业农村支出；</w:t>
      </w:r>
      <w:r>
        <w:rPr>
          <w:rFonts w:hint="eastAsia" w:ascii="仿宋" w:hAnsi="仿宋" w:eastAsia="仿宋" w:cs="仿宋"/>
          <w:color w:val="000000"/>
          <w:sz w:val="32"/>
          <w:szCs w:val="32"/>
        </w:rPr>
        <w:t>（类）213（款）</w:t>
      </w:r>
      <w:r>
        <w:rPr>
          <w:rFonts w:hint="eastAsia" w:ascii="仿宋" w:hAnsi="仿宋" w:eastAsia="仿宋" w:cs="仿宋"/>
          <w:color w:val="000000"/>
          <w:sz w:val="32"/>
          <w:szCs w:val="32"/>
          <w:lang w:val="en-US" w:eastAsia="zh-CN"/>
        </w:rPr>
        <w:t>03</w:t>
      </w:r>
      <w:r>
        <w:rPr>
          <w:rFonts w:hint="eastAsia" w:ascii="仿宋" w:hAnsi="仿宋" w:eastAsia="仿宋" w:cs="仿宋"/>
          <w:color w:val="000000"/>
          <w:sz w:val="32"/>
          <w:szCs w:val="32"/>
        </w:rPr>
        <w:t>（项）</w:t>
      </w:r>
      <w:r>
        <w:rPr>
          <w:rFonts w:hint="eastAsia" w:ascii="仿宋" w:hAnsi="仿宋" w:eastAsia="仿宋" w:cs="仿宋"/>
          <w:color w:val="000000"/>
          <w:sz w:val="32"/>
          <w:szCs w:val="32"/>
          <w:lang w:val="en-US" w:eastAsia="zh-CN"/>
        </w:rPr>
        <w:t>14</w:t>
      </w:r>
      <w:r>
        <w:rPr>
          <w:rFonts w:hint="eastAsia" w:ascii="仿宋" w:hAnsi="仿宋" w:eastAsia="仿宋" w:cs="仿宋"/>
          <w:color w:val="000000"/>
          <w:sz w:val="32"/>
          <w:szCs w:val="32"/>
        </w:rPr>
        <w:t>：指</w:t>
      </w:r>
      <w:r>
        <w:rPr>
          <w:rFonts w:hint="eastAsia" w:ascii="仿宋" w:hAnsi="仿宋" w:eastAsia="仿宋" w:cs="仿宋"/>
          <w:color w:val="000000"/>
          <w:sz w:val="32"/>
          <w:szCs w:val="32"/>
          <w:lang w:eastAsia="zh-CN"/>
        </w:rPr>
        <w:t>防汛</w:t>
      </w:r>
      <w:r>
        <w:rPr>
          <w:rFonts w:hint="eastAsia" w:ascii="仿宋" w:hAnsi="仿宋" w:eastAsia="仿宋" w:cs="仿宋"/>
          <w:color w:val="000000"/>
          <w:sz w:val="32"/>
          <w:szCs w:val="32"/>
          <w:lang w:val="en-US" w:eastAsia="zh-CN"/>
        </w:rPr>
        <w:t>支出</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（类）213（款）</w:t>
      </w:r>
      <w:r>
        <w:rPr>
          <w:rFonts w:hint="eastAsia" w:ascii="仿宋" w:hAnsi="仿宋" w:eastAsia="仿宋" w:cs="仿宋"/>
          <w:color w:val="000000"/>
          <w:sz w:val="32"/>
          <w:szCs w:val="32"/>
          <w:lang w:val="en-US" w:eastAsia="zh-CN"/>
        </w:rPr>
        <w:t>03</w:t>
      </w:r>
      <w:r>
        <w:rPr>
          <w:rFonts w:hint="eastAsia" w:ascii="仿宋" w:hAnsi="仿宋" w:eastAsia="仿宋" w:cs="仿宋"/>
          <w:color w:val="000000"/>
          <w:sz w:val="32"/>
          <w:szCs w:val="32"/>
        </w:rPr>
        <w:t>（项）</w:t>
      </w:r>
      <w:r>
        <w:rPr>
          <w:rFonts w:hint="eastAsia" w:ascii="仿宋" w:hAnsi="仿宋" w:eastAsia="仿宋" w:cs="仿宋"/>
          <w:color w:val="000000"/>
          <w:sz w:val="32"/>
          <w:szCs w:val="32"/>
          <w:lang w:val="en-US" w:eastAsia="zh-CN"/>
        </w:rPr>
        <w:t>35</w:t>
      </w:r>
      <w:r>
        <w:rPr>
          <w:rFonts w:hint="eastAsia" w:ascii="仿宋" w:hAnsi="仿宋" w:eastAsia="仿宋" w:cs="仿宋"/>
          <w:color w:val="000000"/>
          <w:sz w:val="32"/>
          <w:szCs w:val="32"/>
        </w:rPr>
        <w:t>：指</w:t>
      </w:r>
      <w:r>
        <w:rPr>
          <w:rFonts w:hint="eastAsia" w:ascii="仿宋" w:hAnsi="仿宋" w:eastAsia="仿宋" w:cs="仿宋"/>
          <w:color w:val="000000"/>
          <w:sz w:val="32"/>
          <w:szCs w:val="32"/>
          <w:lang w:val="en-US" w:eastAsia="zh-CN"/>
        </w:rPr>
        <w:t>农村供水支出；</w:t>
      </w:r>
      <w:r>
        <w:rPr>
          <w:rFonts w:hint="eastAsia" w:ascii="仿宋" w:hAnsi="仿宋" w:eastAsia="仿宋" w:cs="仿宋"/>
          <w:color w:val="000000"/>
          <w:sz w:val="32"/>
          <w:szCs w:val="32"/>
        </w:rPr>
        <w:t>（类）213（款）</w:t>
      </w:r>
      <w:r>
        <w:rPr>
          <w:rFonts w:hint="eastAsia" w:ascii="仿宋" w:hAnsi="仿宋" w:eastAsia="仿宋" w:cs="仿宋"/>
          <w:color w:val="000000"/>
          <w:sz w:val="32"/>
          <w:szCs w:val="32"/>
          <w:lang w:val="en-US" w:eastAsia="zh-CN"/>
        </w:rPr>
        <w:t>05</w:t>
      </w:r>
      <w:r>
        <w:rPr>
          <w:rFonts w:hint="eastAsia" w:ascii="仿宋" w:hAnsi="仿宋" w:eastAsia="仿宋" w:cs="仿宋"/>
          <w:color w:val="000000"/>
          <w:sz w:val="32"/>
          <w:szCs w:val="32"/>
        </w:rPr>
        <w:t>（项）</w:t>
      </w:r>
      <w:r>
        <w:rPr>
          <w:rFonts w:hint="eastAsia" w:ascii="仿宋" w:hAnsi="仿宋" w:eastAsia="仿宋" w:cs="仿宋"/>
          <w:color w:val="000000"/>
          <w:sz w:val="32"/>
          <w:szCs w:val="32"/>
          <w:lang w:val="en-US" w:eastAsia="zh-CN"/>
        </w:rPr>
        <w:t>04</w:t>
      </w:r>
      <w:r>
        <w:rPr>
          <w:rFonts w:hint="eastAsia" w:ascii="仿宋" w:hAnsi="仿宋" w:eastAsia="仿宋" w:cs="仿宋"/>
          <w:color w:val="000000"/>
          <w:sz w:val="32"/>
          <w:szCs w:val="32"/>
        </w:rPr>
        <w:t>：指</w:t>
      </w:r>
      <w:r>
        <w:rPr>
          <w:rFonts w:hint="eastAsia" w:ascii="仿宋" w:hAnsi="仿宋" w:eastAsia="仿宋" w:cs="仿宋"/>
          <w:color w:val="000000"/>
          <w:sz w:val="32"/>
          <w:szCs w:val="32"/>
          <w:lang w:eastAsia="zh-CN"/>
        </w:rPr>
        <w:t>农村基础设施建设</w:t>
      </w:r>
      <w:r>
        <w:rPr>
          <w:rFonts w:hint="eastAsia" w:ascii="仿宋" w:hAnsi="仿宋" w:eastAsia="仿宋" w:cs="仿宋"/>
          <w:color w:val="000000"/>
          <w:sz w:val="32"/>
          <w:szCs w:val="32"/>
          <w:lang w:val="en-US" w:eastAsia="zh-CN"/>
        </w:rPr>
        <w:t>支出</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（类）213（款）</w:t>
      </w:r>
      <w:r>
        <w:rPr>
          <w:rFonts w:hint="eastAsia" w:ascii="仿宋" w:hAnsi="仿宋" w:eastAsia="仿宋" w:cs="仿宋"/>
          <w:color w:val="000000"/>
          <w:sz w:val="32"/>
          <w:szCs w:val="32"/>
          <w:lang w:val="en-US" w:eastAsia="zh-CN"/>
        </w:rPr>
        <w:t>05</w:t>
      </w:r>
      <w:r>
        <w:rPr>
          <w:rFonts w:hint="eastAsia" w:ascii="仿宋" w:hAnsi="仿宋" w:eastAsia="仿宋" w:cs="仿宋"/>
          <w:color w:val="000000"/>
          <w:sz w:val="32"/>
          <w:szCs w:val="32"/>
        </w:rPr>
        <w:t>（项）</w:t>
      </w:r>
      <w:r>
        <w:rPr>
          <w:rFonts w:hint="eastAsia" w:ascii="仿宋" w:hAnsi="仿宋" w:eastAsia="仿宋" w:cs="仿宋"/>
          <w:color w:val="000000"/>
          <w:sz w:val="32"/>
          <w:szCs w:val="32"/>
          <w:lang w:val="en-US" w:eastAsia="zh-CN"/>
        </w:rPr>
        <w:t>05</w:t>
      </w:r>
      <w:r>
        <w:rPr>
          <w:rFonts w:hint="eastAsia" w:ascii="仿宋" w:hAnsi="仿宋" w:eastAsia="仿宋" w:cs="仿宋"/>
          <w:color w:val="000000"/>
          <w:sz w:val="32"/>
          <w:szCs w:val="32"/>
        </w:rPr>
        <w:t>：指</w:t>
      </w:r>
      <w:r>
        <w:rPr>
          <w:rFonts w:hint="eastAsia" w:ascii="仿宋" w:hAnsi="仿宋" w:eastAsia="仿宋" w:cs="仿宋"/>
          <w:color w:val="000000"/>
          <w:sz w:val="32"/>
          <w:szCs w:val="32"/>
          <w:lang w:eastAsia="zh-CN"/>
        </w:rPr>
        <w:t>生产发展</w:t>
      </w:r>
      <w:r>
        <w:rPr>
          <w:rFonts w:hint="eastAsia" w:ascii="仿宋" w:hAnsi="仿宋" w:eastAsia="仿宋" w:cs="仿宋"/>
          <w:color w:val="000000"/>
          <w:sz w:val="32"/>
          <w:szCs w:val="32"/>
          <w:lang w:val="en-US" w:eastAsia="zh-CN"/>
        </w:rPr>
        <w:t>支出</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（类）213（款）</w:t>
      </w:r>
      <w:r>
        <w:rPr>
          <w:rFonts w:hint="eastAsia" w:ascii="仿宋" w:hAnsi="仿宋" w:eastAsia="仿宋" w:cs="仿宋"/>
          <w:color w:val="000000"/>
          <w:sz w:val="32"/>
          <w:szCs w:val="32"/>
          <w:lang w:val="en-US" w:eastAsia="zh-CN"/>
        </w:rPr>
        <w:t>05</w:t>
      </w:r>
      <w:r>
        <w:rPr>
          <w:rFonts w:hint="eastAsia" w:ascii="仿宋" w:hAnsi="仿宋" w:eastAsia="仿宋" w:cs="仿宋"/>
          <w:color w:val="000000"/>
          <w:sz w:val="32"/>
          <w:szCs w:val="32"/>
        </w:rPr>
        <w:t>（项）</w:t>
      </w:r>
      <w:r>
        <w:rPr>
          <w:rFonts w:hint="eastAsia" w:ascii="仿宋" w:hAnsi="仿宋" w:eastAsia="仿宋" w:cs="仿宋"/>
          <w:color w:val="000000"/>
          <w:sz w:val="32"/>
          <w:szCs w:val="32"/>
          <w:lang w:val="en-US" w:eastAsia="zh-CN"/>
        </w:rPr>
        <w:t>99</w:t>
      </w:r>
      <w:r>
        <w:rPr>
          <w:rFonts w:hint="eastAsia" w:ascii="仿宋" w:hAnsi="仿宋" w:eastAsia="仿宋" w:cs="仿宋"/>
          <w:color w:val="000000"/>
          <w:sz w:val="32"/>
          <w:szCs w:val="32"/>
        </w:rPr>
        <w:t>：指</w:t>
      </w:r>
      <w:r>
        <w:rPr>
          <w:rFonts w:hint="eastAsia" w:ascii="仿宋" w:hAnsi="仿宋" w:eastAsia="仿宋" w:cs="仿宋"/>
          <w:color w:val="000000"/>
          <w:sz w:val="32"/>
          <w:szCs w:val="32"/>
          <w:lang w:eastAsia="zh-CN"/>
        </w:rPr>
        <w:t>其他巩固脱贫衔接乡村振兴支出；</w:t>
      </w:r>
      <w:r>
        <w:rPr>
          <w:rFonts w:hint="eastAsia" w:ascii="仿宋" w:hAnsi="仿宋" w:eastAsia="仿宋" w:cs="仿宋"/>
          <w:color w:val="000000"/>
          <w:sz w:val="32"/>
          <w:szCs w:val="32"/>
        </w:rPr>
        <w:t>（类）213（款）</w:t>
      </w:r>
      <w:r>
        <w:rPr>
          <w:rFonts w:hint="eastAsia" w:ascii="仿宋" w:hAnsi="仿宋" w:eastAsia="仿宋" w:cs="仿宋"/>
          <w:color w:val="000000"/>
          <w:sz w:val="32"/>
          <w:szCs w:val="32"/>
          <w:lang w:val="en-US" w:eastAsia="zh-CN"/>
        </w:rPr>
        <w:t>07</w:t>
      </w:r>
      <w:r>
        <w:rPr>
          <w:rFonts w:hint="eastAsia" w:ascii="仿宋" w:hAnsi="仿宋" w:eastAsia="仿宋" w:cs="仿宋"/>
          <w:color w:val="000000"/>
          <w:sz w:val="32"/>
          <w:szCs w:val="32"/>
        </w:rPr>
        <w:t>（项）</w:t>
      </w:r>
      <w:r>
        <w:rPr>
          <w:rFonts w:hint="eastAsia" w:ascii="仿宋" w:hAnsi="仿宋" w:eastAsia="仿宋" w:cs="仿宋"/>
          <w:color w:val="000000"/>
          <w:sz w:val="32"/>
          <w:szCs w:val="32"/>
          <w:lang w:val="en-US" w:eastAsia="zh-CN"/>
        </w:rPr>
        <w:t>05</w:t>
      </w:r>
      <w:r>
        <w:rPr>
          <w:rFonts w:hint="eastAsia" w:ascii="仿宋" w:hAnsi="仿宋" w:eastAsia="仿宋" w:cs="仿宋"/>
          <w:color w:val="000000"/>
          <w:sz w:val="32"/>
          <w:szCs w:val="32"/>
        </w:rPr>
        <w:t>：指</w:t>
      </w:r>
      <w:r>
        <w:rPr>
          <w:rFonts w:hint="eastAsia" w:ascii="仿宋" w:hAnsi="仿宋" w:eastAsia="仿宋" w:cs="仿宋"/>
          <w:color w:val="000000"/>
          <w:sz w:val="32"/>
          <w:szCs w:val="32"/>
          <w:lang w:eastAsia="zh-CN"/>
        </w:rPr>
        <w:t>对村民委员会和村党支部的补助；</w:t>
      </w:r>
      <w:r>
        <w:rPr>
          <w:rFonts w:hint="eastAsia" w:ascii="仿宋" w:hAnsi="仿宋" w:eastAsia="仿宋" w:cs="仿宋"/>
          <w:color w:val="000000"/>
          <w:sz w:val="32"/>
          <w:szCs w:val="32"/>
        </w:rPr>
        <w:t>（类）213（款）</w:t>
      </w:r>
      <w:r>
        <w:rPr>
          <w:rFonts w:hint="eastAsia" w:ascii="仿宋" w:hAnsi="仿宋" w:eastAsia="仿宋" w:cs="仿宋"/>
          <w:color w:val="000000"/>
          <w:sz w:val="32"/>
          <w:szCs w:val="32"/>
          <w:lang w:val="en-US" w:eastAsia="zh-CN"/>
        </w:rPr>
        <w:t>07</w:t>
      </w:r>
      <w:r>
        <w:rPr>
          <w:rFonts w:hint="eastAsia" w:ascii="仿宋" w:hAnsi="仿宋" w:eastAsia="仿宋" w:cs="仿宋"/>
          <w:color w:val="000000"/>
          <w:sz w:val="32"/>
          <w:szCs w:val="32"/>
        </w:rPr>
        <w:t>（项）</w:t>
      </w:r>
      <w:r>
        <w:rPr>
          <w:rFonts w:hint="eastAsia" w:ascii="仿宋" w:hAnsi="仿宋" w:eastAsia="仿宋" w:cs="仿宋"/>
          <w:color w:val="000000"/>
          <w:sz w:val="32"/>
          <w:szCs w:val="32"/>
          <w:lang w:val="en-US" w:eastAsia="zh-CN"/>
        </w:rPr>
        <w:t>07</w:t>
      </w:r>
      <w:r>
        <w:rPr>
          <w:rFonts w:hint="eastAsia" w:ascii="仿宋" w:hAnsi="仿宋" w:eastAsia="仿宋" w:cs="仿宋"/>
          <w:color w:val="000000"/>
          <w:sz w:val="32"/>
          <w:szCs w:val="32"/>
        </w:rPr>
        <w:t>：指</w:t>
      </w:r>
      <w:r>
        <w:rPr>
          <w:rFonts w:hint="eastAsia" w:ascii="仿宋" w:hAnsi="仿宋" w:eastAsia="仿宋" w:cs="仿宋"/>
          <w:color w:val="000000"/>
          <w:sz w:val="32"/>
          <w:szCs w:val="32"/>
          <w:lang w:eastAsia="zh-CN"/>
        </w:rPr>
        <w:t>农村综合改革示范点补助。</w:t>
      </w:r>
    </w:p>
    <w:p>
      <w:pPr>
        <w:keepNext w:val="0"/>
        <w:keepLines w:val="0"/>
        <w:pageBreakBefore w:val="0"/>
        <w:widowControl w:val="0"/>
        <w:kinsoku/>
        <w:wordWrap/>
        <w:overflowPunct/>
        <w:topLinePunct w:val="0"/>
        <w:bidi w:val="0"/>
        <w:adjustRightInd w:val="0"/>
        <w:spacing w:line="600" w:lineRule="exact"/>
        <w:ind w:firstLine="640" w:firstLineChars="200"/>
        <w:jc w:val="both"/>
        <w:textAlignment w:val="auto"/>
        <w:rPr>
          <w:rFonts w:hint="default"/>
          <w:color w:val="000000"/>
          <w:lang w:val="en-US" w:eastAsia="zh-CN"/>
        </w:rPr>
      </w:pPr>
      <w:r>
        <w:rPr>
          <w:rFonts w:hint="eastAsia" w:ascii="仿宋" w:hAnsi="仿宋" w:eastAsia="仿宋" w:cs="仿宋"/>
          <w:color w:val="000000"/>
          <w:sz w:val="32"/>
          <w:szCs w:val="32"/>
          <w:lang w:val="en-US" w:eastAsia="zh-CN"/>
        </w:rPr>
        <w:t>14</w:t>
      </w:r>
      <w:r>
        <w:rPr>
          <w:rFonts w:hint="eastAsia" w:ascii="仿宋" w:hAnsi="仿宋" w:eastAsia="仿宋" w:cs="仿宋"/>
          <w:color w:val="000000"/>
          <w:sz w:val="32"/>
          <w:szCs w:val="32"/>
        </w:rPr>
        <w:t>.交通运输（类）</w:t>
      </w:r>
      <w:r>
        <w:rPr>
          <w:rFonts w:hint="eastAsia" w:ascii="仿宋" w:hAnsi="仿宋" w:eastAsia="仿宋" w:cs="仿宋"/>
          <w:color w:val="000000"/>
          <w:sz w:val="32"/>
          <w:szCs w:val="32"/>
          <w:lang w:val="en-US" w:eastAsia="zh-CN"/>
        </w:rPr>
        <w:t>214</w:t>
      </w:r>
      <w:r>
        <w:rPr>
          <w:rFonts w:hint="eastAsia" w:ascii="仿宋" w:hAnsi="仿宋" w:eastAsia="仿宋" w:cs="仿宋"/>
          <w:color w:val="000000"/>
          <w:sz w:val="32"/>
          <w:szCs w:val="32"/>
        </w:rPr>
        <w:t>（款）</w:t>
      </w:r>
      <w:r>
        <w:rPr>
          <w:rFonts w:hint="eastAsia" w:ascii="仿宋" w:hAnsi="仿宋" w:eastAsia="仿宋" w:cs="仿宋"/>
          <w:color w:val="000000"/>
          <w:sz w:val="32"/>
          <w:szCs w:val="32"/>
          <w:lang w:val="en-US" w:eastAsia="zh-CN"/>
        </w:rPr>
        <w:t>01</w:t>
      </w:r>
      <w:r>
        <w:rPr>
          <w:rFonts w:hint="eastAsia" w:ascii="仿宋" w:hAnsi="仿宋" w:eastAsia="仿宋" w:cs="仿宋"/>
          <w:color w:val="000000"/>
          <w:sz w:val="32"/>
          <w:szCs w:val="32"/>
        </w:rPr>
        <w:t>（项）</w:t>
      </w:r>
      <w:r>
        <w:rPr>
          <w:rFonts w:hint="eastAsia" w:ascii="仿宋" w:hAnsi="仿宋" w:eastAsia="仿宋" w:cs="仿宋"/>
          <w:color w:val="000000"/>
          <w:sz w:val="32"/>
          <w:szCs w:val="32"/>
          <w:lang w:val="en-US" w:eastAsia="zh-CN"/>
        </w:rPr>
        <w:t>10</w:t>
      </w:r>
      <w:r>
        <w:rPr>
          <w:rFonts w:hint="eastAsia" w:ascii="仿宋" w:hAnsi="仿宋" w:eastAsia="仿宋" w:cs="仿宋"/>
          <w:color w:val="000000"/>
          <w:sz w:val="32"/>
          <w:szCs w:val="32"/>
        </w:rPr>
        <w:t>：指</w:t>
      </w:r>
      <w:r>
        <w:rPr>
          <w:rFonts w:hint="eastAsia" w:ascii="仿宋" w:hAnsi="仿宋" w:eastAsia="仿宋" w:cs="仿宋"/>
          <w:color w:val="000000"/>
          <w:sz w:val="32"/>
          <w:szCs w:val="32"/>
          <w:lang w:eastAsia="zh-CN"/>
        </w:rPr>
        <w:t>公路和运输安全</w:t>
      </w:r>
      <w:r>
        <w:rPr>
          <w:rFonts w:hint="eastAsia" w:ascii="仿宋" w:hAnsi="仿宋" w:eastAsia="仿宋" w:cs="仿宋"/>
          <w:color w:val="000000"/>
          <w:sz w:val="32"/>
          <w:szCs w:val="32"/>
        </w:rPr>
        <w:t>。</w:t>
      </w:r>
    </w:p>
    <w:p>
      <w:pPr>
        <w:pStyle w:val="28"/>
        <w:keepNext w:val="0"/>
        <w:keepLines w:val="0"/>
        <w:pageBreakBefore w:val="0"/>
        <w:widowControl w:val="0"/>
        <w:kinsoku/>
        <w:wordWrap/>
        <w:overflowPunct/>
        <w:topLinePunct w:val="0"/>
        <w:bidi w:val="0"/>
        <w:adjustRightInd w:val="0"/>
        <w:spacing w:line="600" w:lineRule="exact"/>
        <w:ind w:firstLine="640" w:firstLineChars="200"/>
        <w:jc w:val="both"/>
        <w:textAlignment w:val="auto"/>
        <w:rPr>
          <w:rStyle w:val="19"/>
          <w:rFonts w:hint="eastAsia" w:hAnsi="仿宋" w:cs="仿宋"/>
          <w:b w:val="0"/>
          <w:bCs w:val="0"/>
          <w:color w:val="000000"/>
          <w:sz w:val="32"/>
          <w:szCs w:val="32"/>
          <w:highlight w:val="none"/>
          <w:lang w:eastAsia="zh-CN"/>
        </w:rPr>
      </w:pPr>
      <w:r>
        <w:rPr>
          <w:rFonts w:hint="eastAsia" w:hAnsi="仿宋" w:cs="仿宋"/>
          <w:b w:val="0"/>
          <w:bCs w:val="0"/>
          <w:color w:val="000000"/>
          <w:sz w:val="32"/>
          <w:szCs w:val="32"/>
          <w:lang w:val="en-US" w:eastAsia="zh-CN"/>
        </w:rPr>
        <w:t>15</w:t>
      </w:r>
      <w:r>
        <w:rPr>
          <w:rFonts w:hint="eastAsia" w:ascii="仿宋" w:hAnsi="仿宋" w:eastAsia="仿宋" w:cs="仿宋"/>
          <w:b w:val="0"/>
          <w:bCs w:val="0"/>
          <w:color w:val="000000"/>
          <w:sz w:val="32"/>
          <w:szCs w:val="32"/>
        </w:rPr>
        <w:t>.住房保障（类）</w:t>
      </w:r>
      <w:r>
        <w:rPr>
          <w:rFonts w:hint="eastAsia" w:ascii="仿宋" w:hAnsi="仿宋" w:eastAsia="仿宋" w:cs="仿宋"/>
          <w:b w:val="0"/>
          <w:bCs w:val="0"/>
          <w:color w:val="000000"/>
          <w:sz w:val="32"/>
          <w:szCs w:val="32"/>
          <w:lang w:val="en-US" w:eastAsia="zh-CN"/>
        </w:rPr>
        <w:t>221</w:t>
      </w:r>
      <w:r>
        <w:rPr>
          <w:rFonts w:hint="eastAsia" w:ascii="仿宋" w:hAnsi="仿宋" w:eastAsia="仿宋" w:cs="仿宋"/>
          <w:b w:val="0"/>
          <w:bCs w:val="0"/>
          <w:color w:val="000000"/>
          <w:sz w:val="32"/>
          <w:szCs w:val="32"/>
        </w:rPr>
        <w:t>（款）</w:t>
      </w:r>
      <w:r>
        <w:rPr>
          <w:rFonts w:hint="eastAsia" w:hAnsi="仿宋" w:cs="仿宋"/>
          <w:b w:val="0"/>
          <w:bCs w:val="0"/>
          <w:color w:val="000000"/>
          <w:sz w:val="32"/>
          <w:szCs w:val="32"/>
          <w:lang w:val="en-US" w:eastAsia="zh-CN"/>
        </w:rPr>
        <w:t>01</w:t>
      </w:r>
      <w:r>
        <w:rPr>
          <w:rFonts w:hint="eastAsia" w:ascii="仿宋" w:hAnsi="仿宋" w:eastAsia="仿宋" w:cs="仿宋"/>
          <w:b w:val="0"/>
          <w:bCs w:val="0"/>
          <w:color w:val="000000"/>
          <w:sz w:val="32"/>
          <w:szCs w:val="32"/>
        </w:rPr>
        <w:t>（项）</w:t>
      </w:r>
      <w:r>
        <w:rPr>
          <w:rFonts w:hint="eastAsia" w:hAnsi="仿宋" w:cs="仿宋"/>
          <w:b w:val="0"/>
          <w:bCs w:val="0"/>
          <w:color w:val="000000"/>
          <w:sz w:val="32"/>
          <w:szCs w:val="32"/>
          <w:lang w:val="en-US" w:eastAsia="zh-CN"/>
        </w:rPr>
        <w:t>99</w:t>
      </w:r>
      <w:r>
        <w:rPr>
          <w:rFonts w:hint="eastAsia" w:ascii="仿宋" w:hAnsi="仿宋" w:eastAsia="仿宋" w:cs="仿宋"/>
          <w:b w:val="0"/>
          <w:bCs w:val="0"/>
          <w:color w:val="000000"/>
          <w:sz w:val="32"/>
          <w:szCs w:val="32"/>
        </w:rPr>
        <w:t>：指</w:t>
      </w:r>
      <w:bookmarkEnd w:id="54"/>
      <w:r>
        <w:rPr>
          <w:rStyle w:val="19"/>
          <w:rFonts w:hint="eastAsia" w:hAnsi="仿宋" w:cs="仿宋"/>
          <w:b w:val="0"/>
          <w:bCs w:val="0"/>
          <w:color w:val="000000"/>
          <w:sz w:val="32"/>
          <w:szCs w:val="32"/>
          <w:highlight w:val="none"/>
          <w:lang w:eastAsia="zh-CN"/>
        </w:rPr>
        <w:t>其他保障性安居工程支出；</w:t>
      </w:r>
      <w:r>
        <w:rPr>
          <w:rFonts w:hint="eastAsia" w:ascii="仿宋" w:hAnsi="仿宋" w:eastAsia="仿宋" w:cs="仿宋"/>
          <w:b w:val="0"/>
          <w:bCs w:val="0"/>
          <w:color w:val="000000"/>
          <w:sz w:val="32"/>
          <w:szCs w:val="32"/>
        </w:rPr>
        <w:t>（类）</w:t>
      </w:r>
      <w:r>
        <w:rPr>
          <w:rFonts w:hint="eastAsia" w:ascii="仿宋" w:hAnsi="仿宋" w:eastAsia="仿宋" w:cs="仿宋"/>
          <w:b w:val="0"/>
          <w:bCs w:val="0"/>
          <w:color w:val="000000"/>
          <w:sz w:val="32"/>
          <w:szCs w:val="32"/>
          <w:lang w:val="en-US" w:eastAsia="zh-CN"/>
        </w:rPr>
        <w:t>221</w:t>
      </w:r>
      <w:r>
        <w:rPr>
          <w:rFonts w:hint="eastAsia" w:ascii="仿宋" w:hAnsi="仿宋" w:eastAsia="仿宋" w:cs="仿宋"/>
          <w:b w:val="0"/>
          <w:bCs w:val="0"/>
          <w:color w:val="000000"/>
          <w:sz w:val="32"/>
          <w:szCs w:val="32"/>
        </w:rPr>
        <w:t>（款）</w:t>
      </w:r>
      <w:r>
        <w:rPr>
          <w:rFonts w:hint="eastAsia" w:hAnsi="仿宋" w:cs="仿宋"/>
          <w:b w:val="0"/>
          <w:bCs w:val="0"/>
          <w:color w:val="000000"/>
          <w:sz w:val="32"/>
          <w:szCs w:val="32"/>
          <w:lang w:val="en-US" w:eastAsia="zh-CN"/>
        </w:rPr>
        <w:t>02</w:t>
      </w:r>
      <w:r>
        <w:rPr>
          <w:rFonts w:hint="eastAsia" w:ascii="仿宋" w:hAnsi="仿宋" w:eastAsia="仿宋" w:cs="仿宋"/>
          <w:b w:val="0"/>
          <w:bCs w:val="0"/>
          <w:color w:val="000000"/>
          <w:sz w:val="32"/>
          <w:szCs w:val="32"/>
        </w:rPr>
        <w:t>（项）</w:t>
      </w:r>
      <w:r>
        <w:rPr>
          <w:rFonts w:hint="eastAsia" w:hAnsi="仿宋" w:cs="仿宋"/>
          <w:b w:val="0"/>
          <w:bCs w:val="0"/>
          <w:color w:val="000000"/>
          <w:sz w:val="32"/>
          <w:szCs w:val="32"/>
          <w:lang w:val="en-US" w:eastAsia="zh-CN"/>
        </w:rPr>
        <w:t>01</w:t>
      </w:r>
      <w:r>
        <w:rPr>
          <w:rFonts w:hint="eastAsia" w:ascii="仿宋" w:hAnsi="仿宋" w:eastAsia="仿宋" w:cs="仿宋"/>
          <w:b w:val="0"/>
          <w:bCs w:val="0"/>
          <w:color w:val="000000"/>
          <w:sz w:val="32"/>
          <w:szCs w:val="32"/>
        </w:rPr>
        <w:t>：指</w:t>
      </w:r>
      <w:r>
        <w:rPr>
          <w:rStyle w:val="19"/>
          <w:rFonts w:hint="eastAsia" w:hAnsi="仿宋" w:cs="仿宋"/>
          <w:b w:val="0"/>
          <w:bCs w:val="0"/>
          <w:color w:val="000000"/>
          <w:sz w:val="32"/>
          <w:szCs w:val="32"/>
          <w:highlight w:val="none"/>
          <w:lang w:eastAsia="zh-CN"/>
        </w:rPr>
        <w:t>住房公积金；</w:t>
      </w:r>
      <w:r>
        <w:rPr>
          <w:rFonts w:hint="eastAsia" w:ascii="仿宋" w:hAnsi="仿宋" w:eastAsia="仿宋" w:cs="仿宋"/>
          <w:b w:val="0"/>
          <w:bCs w:val="0"/>
          <w:color w:val="000000"/>
          <w:sz w:val="32"/>
          <w:szCs w:val="32"/>
        </w:rPr>
        <w:t>（类）</w:t>
      </w:r>
      <w:r>
        <w:rPr>
          <w:rFonts w:hint="eastAsia" w:ascii="仿宋" w:hAnsi="仿宋" w:eastAsia="仿宋" w:cs="仿宋"/>
          <w:b w:val="0"/>
          <w:bCs w:val="0"/>
          <w:color w:val="000000"/>
          <w:sz w:val="32"/>
          <w:szCs w:val="32"/>
          <w:lang w:val="en-US" w:eastAsia="zh-CN"/>
        </w:rPr>
        <w:t>221</w:t>
      </w:r>
      <w:r>
        <w:rPr>
          <w:rFonts w:hint="eastAsia" w:ascii="仿宋" w:hAnsi="仿宋" w:eastAsia="仿宋" w:cs="仿宋"/>
          <w:b w:val="0"/>
          <w:bCs w:val="0"/>
          <w:color w:val="000000"/>
          <w:sz w:val="32"/>
          <w:szCs w:val="32"/>
        </w:rPr>
        <w:t>（款）</w:t>
      </w:r>
      <w:r>
        <w:rPr>
          <w:rFonts w:hint="eastAsia" w:hAnsi="仿宋" w:cs="仿宋"/>
          <w:b w:val="0"/>
          <w:bCs w:val="0"/>
          <w:color w:val="000000"/>
          <w:sz w:val="32"/>
          <w:szCs w:val="32"/>
          <w:lang w:val="en-US" w:eastAsia="zh-CN"/>
        </w:rPr>
        <w:t>02</w:t>
      </w:r>
      <w:r>
        <w:rPr>
          <w:rFonts w:hint="eastAsia" w:ascii="仿宋" w:hAnsi="仿宋" w:eastAsia="仿宋" w:cs="仿宋"/>
          <w:b w:val="0"/>
          <w:bCs w:val="0"/>
          <w:color w:val="000000"/>
          <w:sz w:val="32"/>
          <w:szCs w:val="32"/>
        </w:rPr>
        <w:t>（项）</w:t>
      </w:r>
      <w:r>
        <w:rPr>
          <w:rFonts w:hint="eastAsia" w:hAnsi="仿宋" w:cs="仿宋"/>
          <w:b w:val="0"/>
          <w:bCs w:val="0"/>
          <w:color w:val="000000"/>
          <w:sz w:val="32"/>
          <w:szCs w:val="32"/>
          <w:lang w:val="en-US" w:eastAsia="zh-CN"/>
        </w:rPr>
        <w:t>03</w:t>
      </w:r>
      <w:r>
        <w:rPr>
          <w:rFonts w:hint="eastAsia" w:ascii="仿宋" w:hAnsi="仿宋" w:eastAsia="仿宋" w:cs="仿宋"/>
          <w:b w:val="0"/>
          <w:bCs w:val="0"/>
          <w:color w:val="000000"/>
          <w:sz w:val="32"/>
          <w:szCs w:val="32"/>
        </w:rPr>
        <w:t>：指</w:t>
      </w:r>
      <w:r>
        <w:rPr>
          <w:rStyle w:val="19"/>
          <w:rFonts w:hint="eastAsia" w:hAnsi="仿宋" w:cs="仿宋"/>
          <w:b w:val="0"/>
          <w:bCs w:val="0"/>
          <w:color w:val="000000"/>
          <w:sz w:val="32"/>
          <w:szCs w:val="32"/>
          <w:highlight w:val="none"/>
          <w:lang w:eastAsia="zh-CN"/>
        </w:rPr>
        <w:t>购房补贴。</w:t>
      </w:r>
    </w:p>
    <w:p>
      <w:pPr>
        <w:pStyle w:val="28"/>
        <w:keepNext w:val="0"/>
        <w:keepLines w:val="0"/>
        <w:pageBreakBefore w:val="0"/>
        <w:widowControl w:val="0"/>
        <w:kinsoku/>
        <w:wordWrap/>
        <w:overflowPunct/>
        <w:topLinePunct w:val="0"/>
        <w:bidi w:val="0"/>
        <w:adjustRightInd w:val="0"/>
        <w:spacing w:line="600" w:lineRule="exact"/>
        <w:ind w:firstLine="640" w:firstLineChars="200"/>
        <w:jc w:val="both"/>
        <w:textAlignment w:val="auto"/>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lang w:val="en-US" w:eastAsia="zh-CN"/>
        </w:rPr>
        <w:t>1</w:t>
      </w:r>
      <w:r>
        <w:rPr>
          <w:rFonts w:hint="eastAsia" w:hAnsi="仿宋" w:cs="仿宋"/>
          <w:b w:val="0"/>
          <w:bCs w:val="0"/>
          <w:color w:val="000000"/>
          <w:sz w:val="32"/>
          <w:szCs w:val="32"/>
          <w:lang w:val="en-US" w:eastAsia="zh-CN"/>
        </w:rPr>
        <w:t>6</w:t>
      </w:r>
      <w:r>
        <w:rPr>
          <w:rFonts w:hint="eastAsia" w:ascii="仿宋" w:hAnsi="仿宋" w:eastAsia="仿宋" w:cs="仿宋"/>
          <w:b w:val="0"/>
          <w:bCs w:val="0"/>
          <w:color w:val="000000"/>
          <w:sz w:val="32"/>
          <w:szCs w:val="32"/>
        </w:rPr>
        <w:t>.</w:t>
      </w:r>
      <w:r>
        <w:rPr>
          <w:rFonts w:hint="eastAsia" w:ascii="仿宋" w:hAnsi="仿宋" w:eastAsia="仿宋" w:cs="仿宋"/>
          <w:b w:val="0"/>
          <w:bCs w:val="0"/>
          <w:color w:val="000000"/>
          <w:sz w:val="32"/>
          <w:szCs w:val="32"/>
          <w:lang w:eastAsia="zh-CN"/>
        </w:rPr>
        <w:t>灾害防治及应急管理支出</w:t>
      </w:r>
      <w:r>
        <w:rPr>
          <w:rFonts w:hint="eastAsia" w:ascii="仿宋" w:hAnsi="仿宋" w:eastAsia="仿宋" w:cs="仿宋"/>
          <w:b w:val="0"/>
          <w:bCs w:val="0"/>
          <w:color w:val="000000"/>
          <w:sz w:val="32"/>
          <w:szCs w:val="32"/>
        </w:rPr>
        <w:t>（类）</w:t>
      </w:r>
      <w:r>
        <w:rPr>
          <w:rFonts w:hint="eastAsia" w:ascii="仿宋" w:hAnsi="仿宋" w:eastAsia="仿宋" w:cs="仿宋"/>
          <w:b w:val="0"/>
          <w:bCs w:val="0"/>
          <w:color w:val="000000"/>
          <w:sz w:val="32"/>
          <w:szCs w:val="32"/>
          <w:lang w:val="en-US" w:eastAsia="zh-CN"/>
        </w:rPr>
        <w:t>224</w:t>
      </w:r>
      <w:r>
        <w:rPr>
          <w:rFonts w:hint="eastAsia" w:ascii="仿宋" w:hAnsi="仿宋" w:eastAsia="仿宋" w:cs="仿宋"/>
          <w:b w:val="0"/>
          <w:bCs w:val="0"/>
          <w:color w:val="000000"/>
          <w:sz w:val="32"/>
          <w:szCs w:val="32"/>
        </w:rPr>
        <w:t>（款）</w:t>
      </w:r>
      <w:r>
        <w:rPr>
          <w:rFonts w:hint="eastAsia" w:ascii="仿宋" w:hAnsi="仿宋" w:eastAsia="仿宋" w:cs="仿宋"/>
          <w:b w:val="0"/>
          <w:bCs w:val="0"/>
          <w:color w:val="000000"/>
          <w:sz w:val="32"/>
          <w:szCs w:val="32"/>
          <w:lang w:val="en-US" w:eastAsia="zh-CN"/>
        </w:rPr>
        <w:t>07</w:t>
      </w:r>
      <w:r>
        <w:rPr>
          <w:rFonts w:hint="eastAsia" w:ascii="仿宋" w:hAnsi="仿宋" w:eastAsia="仿宋" w:cs="仿宋"/>
          <w:b w:val="0"/>
          <w:bCs w:val="0"/>
          <w:color w:val="000000"/>
          <w:sz w:val="32"/>
          <w:szCs w:val="32"/>
        </w:rPr>
        <w:t>（项）</w:t>
      </w:r>
      <w:r>
        <w:rPr>
          <w:rFonts w:hint="eastAsia" w:ascii="仿宋" w:hAnsi="仿宋" w:eastAsia="仿宋" w:cs="仿宋"/>
          <w:b w:val="0"/>
          <w:bCs w:val="0"/>
          <w:color w:val="000000"/>
          <w:sz w:val="32"/>
          <w:szCs w:val="32"/>
          <w:lang w:val="en-US" w:eastAsia="zh-CN"/>
        </w:rPr>
        <w:t>0</w:t>
      </w:r>
      <w:r>
        <w:rPr>
          <w:rFonts w:hint="eastAsia" w:hAnsi="仿宋" w:cs="仿宋"/>
          <w:b w:val="0"/>
          <w:bCs w:val="0"/>
          <w:color w:val="000000"/>
          <w:sz w:val="32"/>
          <w:szCs w:val="32"/>
          <w:lang w:val="en-US" w:eastAsia="zh-CN"/>
        </w:rPr>
        <w:t>3</w:t>
      </w:r>
      <w:r>
        <w:rPr>
          <w:rFonts w:hint="eastAsia" w:ascii="仿宋" w:hAnsi="仿宋" w:eastAsia="仿宋" w:cs="仿宋"/>
          <w:b w:val="0"/>
          <w:bCs w:val="0"/>
          <w:color w:val="000000"/>
          <w:sz w:val="32"/>
          <w:szCs w:val="32"/>
        </w:rPr>
        <w:t>：指</w:t>
      </w:r>
      <w:r>
        <w:rPr>
          <w:rStyle w:val="19"/>
          <w:rFonts w:hint="eastAsia" w:ascii="仿宋" w:hAnsi="仿宋" w:eastAsia="仿宋" w:cs="仿宋"/>
          <w:b w:val="0"/>
          <w:bCs w:val="0"/>
          <w:color w:val="000000"/>
          <w:sz w:val="32"/>
          <w:szCs w:val="32"/>
          <w:highlight w:val="none"/>
          <w:lang w:eastAsia="zh-CN"/>
        </w:rPr>
        <w:t>自然灾害</w:t>
      </w:r>
      <w:r>
        <w:rPr>
          <w:rFonts w:hint="eastAsia" w:ascii="仿宋" w:hAnsi="仿宋" w:eastAsia="仿宋" w:cs="仿宋"/>
          <w:b w:val="0"/>
          <w:bCs w:val="0"/>
          <w:color w:val="000000"/>
          <w:sz w:val="32"/>
          <w:szCs w:val="32"/>
          <w:lang w:eastAsia="zh-CN"/>
        </w:rPr>
        <w:t>救灾</w:t>
      </w:r>
      <w:r>
        <w:rPr>
          <w:rStyle w:val="19"/>
          <w:rFonts w:hint="eastAsia" w:ascii="仿宋" w:hAnsi="仿宋" w:eastAsia="仿宋" w:cs="仿宋"/>
          <w:b w:val="0"/>
          <w:bCs w:val="0"/>
          <w:color w:val="000000"/>
          <w:sz w:val="32"/>
          <w:szCs w:val="32"/>
          <w:highlight w:val="none"/>
          <w:lang w:eastAsia="zh-CN"/>
        </w:rPr>
        <w:t>补助</w:t>
      </w:r>
      <w:r>
        <w:rPr>
          <w:rFonts w:hint="eastAsia" w:ascii="仿宋" w:hAnsi="仿宋" w:eastAsia="仿宋" w:cs="仿宋"/>
          <w:b w:val="0"/>
          <w:bCs w:val="0"/>
          <w:color w:val="000000"/>
          <w:sz w:val="32"/>
          <w:szCs w:val="32"/>
        </w:rPr>
        <w:t>。</w:t>
      </w:r>
    </w:p>
    <w:p>
      <w:pPr>
        <w:keepNext w:val="0"/>
        <w:keepLines w:val="0"/>
        <w:pageBreakBefore w:val="0"/>
        <w:widowControl w:val="0"/>
        <w:kinsoku/>
        <w:wordWrap/>
        <w:overflowPunct/>
        <w:topLinePunct w:val="0"/>
        <w:bidi w:val="0"/>
        <w:adjustRightInd w:val="0"/>
        <w:spacing w:line="600" w:lineRule="exact"/>
        <w:ind w:firstLine="640" w:firstLineChars="200"/>
        <w:jc w:val="both"/>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17</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pPr>
        <w:keepNext w:val="0"/>
        <w:keepLines w:val="0"/>
        <w:pageBreakBefore w:val="0"/>
        <w:widowControl w:val="0"/>
        <w:kinsoku/>
        <w:wordWrap/>
        <w:overflowPunct/>
        <w:topLinePunct w:val="0"/>
        <w:bidi w:val="0"/>
        <w:adjustRightInd w:val="0"/>
        <w:spacing w:line="600" w:lineRule="exact"/>
        <w:ind w:firstLine="640" w:firstLineChars="200"/>
        <w:jc w:val="both"/>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18</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pPr>
        <w:pStyle w:val="28"/>
        <w:keepNext w:val="0"/>
        <w:keepLines w:val="0"/>
        <w:pageBreakBefore w:val="0"/>
        <w:widowControl w:val="0"/>
        <w:kinsoku/>
        <w:wordWrap/>
        <w:overflowPunct/>
        <w:topLinePunct w:val="0"/>
        <w:bidi w:val="0"/>
        <w:adjustRightInd w:val="0"/>
        <w:spacing w:line="600" w:lineRule="exact"/>
        <w:ind w:firstLine="640" w:firstLineChars="200"/>
        <w:jc w:val="both"/>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19</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8"/>
        <w:keepNext w:val="0"/>
        <w:keepLines w:val="0"/>
        <w:pageBreakBefore w:val="0"/>
        <w:widowControl w:val="0"/>
        <w:kinsoku/>
        <w:wordWrap/>
        <w:overflowPunct/>
        <w:topLinePunct w:val="0"/>
        <w:bidi w:val="0"/>
        <w:adjustRightInd w:val="0"/>
        <w:spacing w:line="600" w:lineRule="exact"/>
        <w:ind w:firstLine="640" w:firstLineChars="200"/>
        <w:jc w:val="both"/>
        <w:textAlignment w:val="auto"/>
        <w:rPr>
          <w:rFonts w:ascii="仿宋_GB2312" w:eastAsia="仿宋_GB2312" w:cs="黑体"/>
          <w:color w:val="auto"/>
          <w:sz w:val="32"/>
          <w:szCs w:val="32"/>
          <w:highlight w:val="none"/>
        </w:rPr>
      </w:pPr>
      <w:r>
        <w:rPr>
          <w:rFonts w:hint="eastAsia" w:ascii="仿宋_GB2312" w:eastAsia="仿宋_GB2312"/>
          <w:color w:val="auto"/>
          <w:sz w:val="32"/>
          <w:szCs w:val="32"/>
          <w:highlight w:val="none"/>
          <w:lang w:val="en-US" w:eastAsia="zh-CN"/>
        </w:rPr>
        <w:t>20</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日常维修费、专用材料及一般设备购置费、办公用房水电费、办公用房取暖费、办公用房物业管理费、公务用车运行维护费以及其他费用。</w:t>
      </w:r>
    </w:p>
    <w:p>
      <w:pPr>
        <w:spacing w:line="600" w:lineRule="exact"/>
        <w:jc w:val="center"/>
        <w:rPr>
          <w:rStyle w:val="30"/>
          <w:rFonts w:hint="eastAsia" w:ascii="Times New Roman" w:hAnsi="Times New Roman" w:eastAsia="黑体"/>
          <w:b w:val="0"/>
          <w:color w:val="auto"/>
          <w:highlight w:val="none"/>
          <w:lang w:eastAsia="zh-CN"/>
        </w:rPr>
      </w:pPr>
      <w:bookmarkStart w:id="5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6"/>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Times New Roman" w:hAnsi="Times New Roman" w:eastAsia="方正小标宋简体" w:cs="Times New Roman"/>
          <w:b w:val="0"/>
          <w:bCs/>
          <w:sz w:val="44"/>
          <w:szCs w:val="44"/>
          <w:highlight w:val="none"/>
          <w:shd w:val="clear" w:color="auto" w:fill="FFFFFF"/>
          <w:lang w:val="en-US" w:eastAsia="zh-CN"/>
        </w:rPr>
      </w:pPr>
      <w:r>
        <w:rPr>
          <w:rFonts w:hint="eastAsia" w:ascii="Times New Roman" w:hAnsi="Times New Roman" w:eastAsia="方正小标宋简体" w:cs="Times New Roman"/>
          <w:b w:val="0"/>
          <w:bCs/>
          <w:sz w:val="44"/>
          <w:szCs w:val="44"/>
          <w:highlight w:val="none"/>
          <w:shd w:val="clear" w:color="auto" w:fill="FFFFFF"/>
          <w:lang w:val="en-US" w:eastAsia="zh-CN"/>
        </w:rPr>
        <w:t>中壤塘镇人民政府</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eastAsia" w:ascii="Times New Roman" w:hAnsi="Times New Roman" w:eastAsia="方正小标宋简体" w:cs="Times New Roman"/>
          <w:b w:val="0"/>
          <w:bCs/>
          <w:sz w:val="44"/>
          <w:szCs w:val="44"/>
          <w:highlight w:val="none"/>
          <w:shd w:val="clear" w:color="auto" w:fill="FFFFFF"/>
          <w:lang w:val="en-US" w:eastAsia="zh-CN"/>
        </w:rPr>
        <w:t>202</w:t>
      </w:r>
      <w:r>
        <w:rPr>
          <w:rFonts w:hint="eastAsia" w:eastAsia="方正小标宋简体" w:cs="Times New Roman"/>
          <w:b w:val="0"/>
          <w:bCs/>
          <w:sz w:val="44"/>
          <w:szCs w:val="44"/>
          <w:highlight w:val="none"/>
          <w:shd w:val="clear" w:color="auto" w:fill="FFFFFF"/>
          <w:lang w:val="en-US" w:eastAsia="zh-CN"/>
        </w:rPr>
        <w:t>5</w:t>
      </w:r>
      <w:r>
        <w:rPr>
          <w:rFonts w:hint="eastAsia" w:ascii="Times New Roman" w:hAnsi="Times New Roman" w:eastAsia="方正小标宋简体" w:cs="Times New Roman"/>
          <w:b w:val="0"/>
          <w:bCs/>
          <w:sz w:val="44"/>
          <w:szCs w:val="44"/>
          <w:highlight w:val="none"/>
          <w:shd w:val="clear" w:color="auto" w:fill="FFFFFF"/>
          <w:lang w:val="en-US" w:eastAsia="zh-CN"/>
        </w:rPr>
        <w:t>年</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widowControl/>
        <w:spacing w:line="600" w:lineRule="exact"/>
        <w:ind w:firstLine="803" w:firstLineChars="250"/>
        <w:jc w:val="left"/>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pPr>
        <w:keepNext w:val="0"/>
        <w:keepLines w:val="0"/>
        <w:pageBreakBefore w:val="0"/>
        <w:widowControl/>
        <w:kinsoku/>
        <w:wordWrap/>
        <w:overflowPunct/>
        <w:topLinePunct w:val="0"/>
        <w:autoSpaceDE/>
        <w:autoSpaceDN/>
        <w:bidi w:val="0"/>
        <w:adjustRightInd w:val="0"/>
        <w:snapToGrid w:val="0"/>
        <w:spacing w:line="578" w:lineRule="exact"/>
        <w:ind w:firstLine="602" w:firstLineChars="200"/>
        <w:contextualSpacing/>
        <w:jc w:val="both"/>
        <w:textAlignment w:val="auto"/>
        <w:outlineLvl w:val="9"/>
        <w:rPr>
          <w:rFonts w:hint="default" w:ascii="Times New Roman" w:hAnsi="Times New Roman" w:eastAsia="仿宋_GB2312" w:cs="Times New Roman"/>
          <w:sz w:val="32"/>
          <w:szCs w:val="32"/>
          <w:lang w:val="en-US" w:eastAsia="zh-CN"/>
        </w:rPr>
      </w:pPr>
      <w:r>
        <w:rPr>
          <w:rFonts w:hint="eastAsia" w:ascii="仿宋_GB2312" w:hAnsi="宋体" w:eastAsia="仿宋_GB2312" w:cs="Times New Roman"/>
          <w:b/>
          <w:bCs/>
          <w:sz w:val="30"/>
          <w:szCs w:val="30"/>
          <w:lang w:val="en-US" w:eastAsia="zh-CN"/>
        </w:rPr>
        <w:t>壤塘县中壤塘镇内设2个部门机构：</w:t>
      </w:r>
      <w:r>
        <w:rPr>
          <w:rFonts w:hint="eastAsia" w:ascii="Times New Roman" w:hAnsi="Times New Roman" w:eastAsia="仿宋_GB2312" w:cs="Times New Roman"/>
          <w:sz w:val="32"/>
          <w:szCs w:val="32"/>
          <w:lang w:val="en-US" w:eastAsia="zh-CN"/>
        </w:rPr>
        <w:t>中壤塘镇人民政府、中壤塘镇便民服务中心。</w:t>
      </w:r>
    </w:p>
    <w:p>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机构职能</w:t>
      </w:r>
      <w:r>
        <w:rPr>
          <w:rFonts w:hint="eastAsia" w:ascii="Times New Roman" w:hAnsi="Times New Roman" w:eastAsia="楷体_GB2312" w:cs="楷体_GB2312"/>
          <w:b/>
          <w:color w:val="auto"/>
          <w:sz w:val="32"/>
          <w:szCs w:val="32"/>
          <w:highlight w:val="none"/>
          <w:lang w:val="zh-CN"/>
        </w:rPr>
        <w:t>。</w:t>
      </w:r>
    </w:p>
    <w:p>
      <w:pPr>
        <w:pStyle w:val="15"/>
        <w:keepNext w:val="0"/>
        <w:keepLines w:val="0"/>
        <w:widowControl/>
        <w:numPr>
          <w:ilvl w:val="0"/>
          <w:numId w:val="0"/>
        </w:numPr>
        <w:suppressLineNumbers w:val="0"/>
        <w:ind w:firstLine="640" w:firstLineChars="200"/>
        <w:jc w:val="both"/>
        <w:rPr>
          <w:rFonts w:hint="default"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1.执行本级人民代表大会的决议和上级国家行政机关的决定</w:t>
      </w:r>
      <w:r>
        <w:rPr>
          <w:rFonts w:hint="default" w:ascii="仿宋_GB2312" w:hAnsi="宋体" w:eastAsia="仿宋_GB2312" w:cs="Times New Roman"/>
          <w:kern w:val="2"/>
          <w:sz w:val="32"/>
          <w:szCs w:val="32"/>
          <w:lang w:val="en-US" w:eastAsia="zh-CN" w:bidi="ar-SA"/>
        </w:rPr>
        <w:t>和命令，发布决定和命令；</w:t>
      </w:r>
    </w:p>
    <w:p>
      <w:pPr>
        <w:pStyle w:val="15"/>
        <w:keepNext w:val="0"/>
        <w:keepLines w:val="0"/>
        <w:widowControl/>
        <w:numPr>
          <w:ilvl w:val="0"/>
          <w:numId w:val="0"/>
        </w:numPr>
        <w:suppressLineNumbers w:val="0"/>
        <w:ind w:firstLine="640" w:firstLineChars="200"/>
        <w:jc w:val="both"/>
        <w:rPr>
          <w:rFonts w:hint="default"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2.</w:t>
      </w:r>
      <w:r>
        <w:rPr>
          <w:rFonts w:hint="default" w:ascii="仿宋_GB2312" w:hAnsi="宋体" w:eastAsia="仿宋_GB2312" w:cs="Times New Roman"/>
          <w:kern w:val="2"/>
          <w:sz w:val="32"/>
          <w:szCs w:val="32"/>
          <w:lang w:val="en-US" w:eastAsia="zh-CN" w:bidi="ar-SA"/>
        </w:rPr>
        <w:t>执行本行政区域内的经济和社会发展计划、预算，管理本行政区域内的经济、教育、科技农牧、文化体育、卫生健康、旅游、财政、民政、公安、司法等行政工作；</w:t>
      </w:r>
    </w:p>
    <w:p>
      <w:pPr>
        <w:pStyle w:val="15"/>
        <w:keepNext w:val="0"/>
        <w:keepLines w:val="0"/>
        <w:widowControl/>
        <w:numPr>
          <w:ilvl w:val="0"/>
          <w:numId w:val="0"/>
        </w:numPr>
        <w:suppressLineNumbers w:val="0"/>
        <w:ind w:firstLine="640" w:firstLineChars="200"/>
        <w:jc w:val="both"/>
        <w:rPr>
          <w:rFonts w:hint="default"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3.</w:t>
      </w:r>
      <w:r>
        <w:rPr>
          <w:rFonts w:hint="default" w:ascii="仿宋_GB2312" w:hAnsi="宋体" w:eastAsia="仿宋_GB2312" w:cs="Times New Roman"/>
          <w:kern w:val="2"/>
          <w:sz w:val="32"/>
          <w:szCs w:val="32"/>
          <w:lang w:val="en-US" w:eastAsia="zh-CN" w:bidi="ar-SA"/>
        </w:rPr>
        <w:t>保护社会主义的全民所有的财产和劳动群众集体所有的财产，保护公民私人所有的合法财产，维护社会秩序，保障公民的人身权利、民主权利和其他权利；</w:t>
      </w:r>
    </w:p>
    <w:p>
      <w:pPr>
        <w:pStyle w:val="15"/>
        <w:keepNext w:val="0"/>
        <w:keepLines w:val="0"/>
        <w:widowControl/>
        <w:numPr>
          <w:ilvl w:val="0"/>
          <w:numId w:val="0"/>
        </w:numPr>
        <w:suppressLineNumbers w:val="0"/>
        <w:ind w:firstLine="640" w:firstLineChars="200"/>
        <w:jc w:val="both"/>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4.</w:t>
      </w:r>
      <w:r>
        <w:rPr>
          <w:rFonts w:hint="default" w:ascii="仿宋_GB2312" w:hAnsi="宋体" w:eastAsia="仿宋_GB2312" w:cs="Times New Roman"/>
          <w:kern w:val="2"/>
          <w:sz w:val="32"/>
          <w:szCs w:val="32"/>
          <w:lang w:val="en-US" w:eastAsia="zh-CN" w:bidi="ar-SA"/>
        </w:rPr>
        <w:t>保护各种经济组织的合法权益；</w:t>
      </w:r>
    </w:p>
    <w:p>
      <w:pPr>
        <w:pStyle w:val="15"/>
        <w:keepNext w:val="0"/>
        <w:keepLines w:val="0"/>
        <w:widowControl/>
        <w:numPr>
          <w:ilvl w:val="0"/>
          <w:numId w:val="0"/>
        </w:numPr>
        <w:suppressLineNumbers w:val="0"/>
        <w:ind w:firstLine="640" w:firstLineChars="200"/>
        <w:jc w:val="both"/>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5.</w:t>
      </w:r>
      <w:r>
        <w:rPr>
          <w:rFonts w:hint="default" w:ascii="仿宋_GB2312" w:hAnsi="宋体" w:eastAsia="仿宋_GB2312" w:cs="Times New Roman"/>
          <w:kern w:val="2"/>
          <w:sz w:val="32"/>
          <w:szCs w:val="32"/>
          <w:lang w:val="en-US" w:eastAsia="zh-CN" w:bidi="ar-SA"/>
        </w:rPr>
        <w:t>保障少数民族的权利和尊重少数民族的风俗习惯；</w:t>
      </w:r>
    </w:p>
    <w:p>
      <w:pPr>
        <w:pStyle w:val="15"/>
        <w:keepNext w:val="0"/>
        <w:keepLines w:val="0"/>
        <w:widowControl/>
        <w:numPr>
          <w:ilvl w:val="0"/>
          <w:numId w:val="0"/>
        </w:numPr>
        <w:suppressLineNumbers w:val="0"/>
        <w:ind w:firstLine="640" w:firstLineChars="200"/>
        <w:jc w:val="both"/>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6.</w:t>
      </w:r>
      <w:r>
        <w:rPr>
          <w:rFonts w:hint="default" w:ascii="仿宋_GB2312" w:hAnsi="宋体" w:eastAsia="仿宋_GB2312" w:cs="Times New Roman"/>
          <w:kern w:val="2"/>
          <w:sz w:val="32"/>
          <w:szCs w:val="32"/>
          <w:lang w:val="en-US" w:eastAsia="zh-CN" w:bidi="ar-SA"/>
        </w:rPr>
        <w:t>保障宪法和法律赋予妇女的男女平等、同工同酬和婚姻自由等各项权利；</w:t>
      </w:r>
    </w:p>
    <w:p>
      <w:pPr>
        <w:pStyle w:val="15"/>
        <w:keepNext w:val="0"/>
        <w:keepLines w:val="0"/>
        <w:widowControl/>
        <w:numPr>
          <w:ilvl w:val="0"/>
          <w:numId w:val="0"/>
        </w:numPr>
        <w:suppressLineNumbers w:val="0"/>
        <w:ind w:firstLine="640" w:firstLineChars="200"/>
        <w:jc w:val="both"/>
        <w:rPr>
          <w:rFonts w:hint="default" w:ascii="仿宋_GB2312" w:hAnsi="宋体" w:eastAsia="仿宋_GB2312" w:cs="Times New Roman"/>
          <w:kern w:val="2"/>
          <w:sz w:val="32"/>
          <w:szCs w:val="32"/>
          <w:lang w:val="zh-CN" w:eastAsia="zh-CN" w:bidi="ar-SA"/>
        </w:rPr>
      </w:pPr>
      <w:r>
        <w:rPr>
          <w:rFonts w:hint="eastAsia" w:ascii="仿宋_GB2312" w:hAnsi="宋体" w:eastAsia="仿宋_GB2312" w:cs="Times New Roman"/>
          <w:kern w:val="2"/>
          <w:sz w:val="32"/>
          <w:szCs w:val="32"/>
          <w:lang w:val="en-US" w:eastAsia="zh-CN" w:bidi="ar-SA"/>
        </w:rPr>
        <w:t>7.</w:t>
      </w:r>
      <w:r>
        <w:rPr>
          <w:rFonts w:hint="default" w:ascii="仿宋_GB2312" w:hAnsi="宋体" w:eastAsia="仿宋_GB2312" w:cs="Times New Roman"/>
          <w:kern w:val="2"/>
          <w:sz w:val="32"/>
          <w:szCs w:val="32"/>
          <w:lang w:val="en-US" w:eastAsia="zh-CN" w:bidi="ar-SA"/>
        </w:rPr>
        <w:t>完成县委、县政府交办的其他工作。</w:t>
      </w:r>
    </w:p>
    <w:p>
      <w:pPr>
        <w:widowControl/>
        <w:adjustRightInd w:val="0"/>
        <w:snapToGrid w:val="0"/>
        <w:spacing w:line="560" w:lineRule="exact"/>
        <w:ind w:firstLine="642" w:firstLineChars="200"/>
        <w:contextualSpacing/>
        <w:jc w:val="left"/>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widowControl/>
        <w:adjustRightInd w:val="0"/>
        <w:snapToGrid w:val="0"/>
        <w:spacing w:line="560" w:lineRule="exact"/>
        <w:ind w:firstLine="640" w:firstLineChars="200"/>
        <w:contextualSpacing/>
        <w:jc w:val="both"/>
        <w:rPr>
          <w:rFonts w:hint="default"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壤塘县中壤塘镇编制数45人，其中：行政编制23人（含寺管所2名）、行政工勤2人、全额事业编制20人。2025年末，实有人数40人（其中行政编制20人、行政工勤1人、事业编制19人），在职人数40人：离休人员0人，退休人员4人。</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（一）收入情况</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widowControl/>
        <w:adjustRightInd w:val="0"/>
        <w:snapToGrid w:val="0"/>
        <w:spacing w:line="560" w:lineRule="exact"/>
        <w:ind w:firstLine="640" w:firstLineChars="200"/>
        <w:contextualSpacing/>
        <w:jc w:val="both"/>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2025年，年初预算收入总额1476.53 万元，全部为一般公共预算财政拨款收入。年度决算报表反映全年实际总收入2932.07万元，年初结转结余15.6万元，较年初预算增加1455.54万元，增幅98.57%；增收主要来源于上级追加民生保障配套、基础设施运维等专项财政资金，收入来源合规、拨付及时、账目清晰。</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二</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pPr>
        <w:widowControl/>
        <w:adjustRightInd w:val="0"/>
        <w:snapToGrid w:val="0"/>
        <w:spacing w:line="560" w:lineRule="exact"/>
        <w:ind w:firstLine="640" w:firstLineChars="200"/>
        <w:contextualSpacing/>
        <w:jc w:val="both"/>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2025年，年初预算支出总额1476.53万元，年度决算实际总支出2947.67万元，预算执行率100%；其中：基本支出1118.06万元，项目支出1829.61万元；支出主要涵盖人员经费、公用经费、专项工作经费、民生保障、基础设施管护等方面。</w:t>
      </w:r>
    </w:p>
    <w:p>
      <w:pPr>
        <w:widowControl/>
        <w:adjustRightInd w:val="0"/>
        <w:snapToGrid w:val="0"/>
        <w:spacing w:line="560" w:lineRule="exact"/>
        <w:ind w:firstLine="640" w:firstLineChars="200"/>
        <w:contextualSpacing/>
        <w:jc w:val="both"/>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全年各项支出严格遵循预算批复用途执行，顺利完成全镇干部薪资保障、日常行政运转、村级组织运转等重点工作任务，有效保障了辖区基层治理。各项财政资金切实发挥了保运转、保民生、保稳定、促发展的作用。</w:t>
      </w:r>
    </w:p>
    <w:p>
      <w:pPr>
        <w:numPr>
          <w:ilvl w:val="0"/>
          <w:numId w:val="2"/>
        </w:numPr>
        <w:spacing w:line="560" w:lineRule="exact"/>
        <w:ind w:left="0" w:leftChars="0" w:firstLine="642" w:firstLineChars="200"/>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pPr>
        <w:widowControl/>
        <w:adjustRightInd w:val="0"/>
        <w:snapToGrid w:val="0"/>
        <w:spacing w:line="560" w:lineRule="exact"/>
        <w:ind w:firstLine="640" w:firstLineChars="200"/>
        <w:contextualSpacing/>
        <w:jc w:val="both"/>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eastAsia" w:ascii="仿宋_GB2312" w:hAnsi="宋体" w:eastAsia="仿宋_GB2312" w:cs="Times New Roman"/>
          <w:kern w:val="2"/>
          <w:sz w:val="32"/>
          <w:szCs w:val="32"/>
          <w:lang w:val="en-US" w:eastAsia="zh-CN" w:bidi="ar-SA"/>
        </w:rPr>
        <w:t>2025年末，财政资金累计结转结余0万元，结转结余控制率达100%。</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adjustRightInd w:val="0"/>
        <w:snapToGrid w:val="0"/>
        <w:spacing w:line="578" w:lineRule="exact"/>
        <w:ind w:firstLine="642" w:firstLineChars="200"/>
        <w:contextualSpacing/>
        <w:jc w:val="left"/>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rPr>
        <w:t>（一）</w:t>
      </w:r>
      <w:r>
        <w:rPr>
          <w:rFonts w:hint="eastAsia" w:ascii="Times New Roman" w:hAnsi="Times New Roman" w:eastAsia="楷体_GB2312" w:cs="Times New Roman"/>
          <w:b/>
          <w:bCs/>
          <w:color w:val="000000"/>
          <w:kern w:val="0"/>
          <w:sz w:val="32"/>
          <w:szCs w:val="32"/>
          <w:shd w:val="clear" w:color="auto" w:fill="FFFFFF"/>
          <w:lang w:val="zh-CN"/>
        </w:rPr>
        <w:t>部门预算</w:t>
      </w:r>
      <w:r>
        <w:rPr>
          <w:rFonts w:hint="default" w:ascii="Times New Roman" w:hAnsi="Times New Roman" w:eastAsia="楷体_GB2312" w:cs="Times New Roman"/>
          <w:b/>
          <w:bCs/>
          <w:color w:val="000000"/>
          <w:kern w:val="0"/>
          <w:sz w:val="32"/>
          <w:szCs w:val="32"/>
          <w:shd w:val="clear" w:color="auto" w:fill="FFFFFF"/>
          <w:lang w:val="zh-CN"/>
        </w:rPr>
        <w:t>总体绩效分析。</w:t>
      </w:r>
    </w:p>
    <w:p>
      <w:pPr>
        <w:adjustRightInd w:val="0"/>
        <w:snapToGrid w:val="0"/>
        <w:spacing w:line="578" w:lineRule="exact"/>
        <w:ind w:firstLine="640" w:firstLineChars="200"/>
        <w:contextualSpacing/>
        <w:jc w:val="left"/>
        <w:rPr>
          <w:rFonts w:ascii="Times New Roman" w:hAnsi="Times New Roman" w:eastAsia="仿宋_GB2312" w:cs="Times New Roman"/>
          <w:color w:val="000000"/>
          <w:kern w:val="0"/>
          <w:sz w:val="32"/>
          <w:szCs w:val="32"/>
          <w:shd w:val="clear" w:color="auto" w:fill="FFFFFF"/>
          <w:lang w:val="zh-CN"/>
        </w:rPr>
      </w:pPr>
      <w:r>
        <w:rPr>
          <w:rFonts w:ascii="Times New Roman" w:hAnsi="Times New Roman" w:eastAsia="仿宋_GB2312" w:cs="Times New Roman"/>
          <w:color w:val="000000"/>
          <w:kern w:val="0"/>
          <w:sz w:val="32"/>
          <w:szCs w:val="32"/>
          <w:shd w:val="clear" w:color="auto" w:fill="FFFFFF"/>
          <w:lang w:val="zh-CN"/>
        </w:rPr>
        <w:t>对照部门整体支出绩效评价指标体系，从履职效能、预算管理、财务管理、资产管理、采购管理五个维度开展逐项自评分析，整体履职成效良好，管理规范有序，整体绩效得分</w:t>
      </w:r>
      <w:r>
        <w:rPr>
          <w:rFonts w:hint="eastAsia" w:ascii="Times New Roman" w:hAnsi="Times New Roman" w:eastAsia="仿宋_GB2312" w:cs="Times New Roman"/>
          <w:color w:val="000000"/>
          <w:kern w:val="0"/>
          <w:sz w:val="32"/>
          <w:szCs w:val="32"/>
          <w:shd w:val="clear" w:color="auto" w:fill="FFFFFF"/>
          <w:lang w:val="en-US" w:eastAsia="zh-CN"/>
        </w:rPr>
        <w:t>88.5</w:t>
      </w:r>
      <w:r>
        <w:rPr>
          <w:rFonts w:ascii="Times New Roman" w:hAnsi="Times New Roman" w:eastAsia="仿宋_GB2312" w:cs="Times New Roman"/>
          <w:color w:val="000000"/>
          <w:kern w:val="0"/>
          <w:sz w:val="32"/>
          <w:szCs w:val="32"/>
          <w:shd w:val="clear" w:color="auto" w:fill="FFFFFF"/>
          <w:lang w:val="zh-CN"/>
        </w:rPr>
        <w:t>分。</w:t>
      </w:r>
    </w:p>
    <w:p>
      <w:pPr>
        <w:adjustRightInd w:val="0"/>
        <w:snapToGrid w:val="0"/>
        <w:spacing w:line="578" w:lineRule="exact"/>
        <w:ind w:firstLine="640" w:firstLineChars="200"/>
        <w:contextualSpacing/>
        <w:jc w:val="left"/>
        <w:rPr>
          <w:rFonts w:hint="eastAsia" w:ascii="Times New Roman" w:hAnsi="Times New Roman" w:eastAsia="楷体_GB2312" w:cs="Times New Roman"/>
          <w:color w:val="000000"/>
          <w:kern w:val="0"/>
          <w:sz w:val="32"/>
          <w:szCs w:val="32"/>
          <w:shd w:val="clear" w:color="auto" w:fill="FFFFFF"/>
          <w:lang w:val="zh-CN" w:eastAsia="zh-CN"/>
        </w:rPr>
      </w:pPr>
      <w:r>
        <w:rPr>
          <w:rFonts w:hint="eastAsia" w:ascii="Times New Roman" w:hAnsi="Times New Roman" w:eastAsia="楷体_GB2312" w:cs="Times New Roman"/>
          <w:color w:val="000000"/>
          <w:kern w:val="0"/>
          <w:sz w:val="32"/>
          <w:szCs w:val="32"/>
          <w:shd w:val="clear" w:color="auto" w:fill="FFFFFF"/>
          <w:lang w:val="en-US" w:eastAsia="zh-CN"/>
        </w:rPr>
        <w:t>1.</w:t>
      </w:r>
      <w:r>
        <w:rPr>
          <w:rFonts w:hint="eastAsia" w:ascii="Times New Roman" w:hAnsi="Times New Roman" w:eastAsia="楷体_GB2312" w:cs="Times New Roman"/>
          <w:color w:val="000000"/>
          <w:kern w:val="0"/>
          <w:sz w:val="32"/>
          <w:szCs w:val="32"/>
          <w:shd w:val="clear" w:color="auto" w:fill="FFFFFF"/>
          <w:lang w:val="zh-CN" w:eastAsia="zh-CN"/>
        </w:rPr>
        <w:t>履职效能。</w:t>
      </w:r>
    </w:p>
    <w:p>
      <w:pPr>
        <w:adjustRightInd w:val="0"/>
        <w:snapToGrid w:val="0"/>
        <w:spacing w:line="578" w:lineRule="exact"/>
        <w:ind w:firstLine="640" w:firstLineChars="200"/>
        <w:contextualSpacing/>
        <w:jc w:val="left"/>
        <w:rPr>
          <w:rFonts w:ascii="Times New Roman" w:hAnsi="Times New Roman" w:eastAsia="仿宋_GB2312" w:cs="Times New Roman"/>
          <w:color w:val="000000"/>
          <w:kern w:val="0"/>
          <w:sz w:val="32"/>
          <w:szCs w:val="32"/>
          <w:shd w:val="clear" w:color="auto" w:fill="FFFFFF"/>
          <w:lang w:val="zh-CN"/>
        </w:rPr>
      </w:pPr>
      <w:r>
        <w:rPr>
          <w:rFonts w:ascii="Times New Roman" w:hAnsi="Times New Roman" w:eastAsia="仿宋_GB2312" w:cs="Times New Roman"/>
          <w:color w:val="000000"/>
          <w:kern w:val="0"/>
          <w:sz w:val="32"/>
          <w:szCs w:val="32"/>
          <w:shd w:val="clear" w:color="auto" w:fill="FFFFFF"/>
          <w:lang w:val="zh-CN"/>
        </w:rPr>
        <w:t>一是基层治理成效显著。严格落实网格化管理机制，常态化开展政策宣传、民情走访、矛盾排查，基层治理体系持续完善。</w:t>
      </w:r>
    </w:p>
    <w:p>
      <w:pPr>
        <w:adjustRightInd w:val="0"/>
        <w:snapToGrid w:val="0"/>
        <w:spacing w:line="578" w:lineRule="exact"/>
        <w:ind w:firstLine="640" w:firstLineChars="200"/>
        <w:contextualSpacing/>
        <w:jc w:val="left"/>
        <w:rPr>
          <w:rFonts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_GB2312" w:cs="Times New Roman"/>
          <w:color w:val="000000"/>
          <w:kern w:val="0"/>
          <w:sz w:val="32"/>
          <w:szCs w:val="32"/>
          <w:shd w:val="clear" w:color="auto" w:fill="FFFFFF"/>
          <w:lang w:val="en-US" w:eastAsia="zh-CN"/>
        </w:rPr>
        <w:t>二</w:t>
      </w:r>
      <w:r>
        <w:rPr>
          <w:rFonts w:ascii="Times New Roman" w:hAnsi="Times New Roman" w:eastAsia="仿宋_GB2312" w:cs="Times New Roman"/>
          <w:color w:val="000000"/>
          <w:kern w:val="0"/>
          <w:sz w:val="32"/>
          <w:szCs w:val="32"/>
          <w:shd w:val="clear" w:color="auto" w:fill="FFFFFF"/>
          <w:lang w:val="zh-CN"/>
        </w:rPr>
        <w:t>是民生保障全面落实。精准落实低保、特困供养、临时救助等惠民政策，全覆盖开展养老、医保政策宣传，关爱留守老人、儿童、困难群众，民生服务精准落地，群众满意度持续提升。</w:t>
      </w:r>
    </w:p>
    <w:p>
      <w:pPr>
        <w:adjustRightInd w:val="0"/>
        <w:snapToGrid w:val="0"/>
        <w:spacing w:line="578" w:lineRule="exact"/>
        <w:ind w:firstLine="640" w:firstLineChars="200"/>
        <w:contextualSpacing/>
        <w:jc w:val="left"/>
        <w:rPr>
          <w:rFonts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_GB2312" w:cs="Times New Roman"/>
          <w:color w:val="000000"/>
          <w:kern w:val="0"/>
          <w:sz w:val="32"/>
          <w:szCs w:val="32"/>
          <w:shd w:val="clear" w:color="auto" w:fill="FFFFFF"/>
          <w:lang w:val="en-US" w:eastAsia="zh-CN"/>
        </w:rPr>
        <w:t>三</w:t>
      </w:r>
      <w:r>
        <w:rPr>
          <w:rFonts w:ascii="Times New Roman" w:hAnsi="Times New Roman" w:eastAsia="仿宋_GB2312" w:cs="Times New Roman"/>
          <w:color w:val="000000"/>
          <w:kern w:val="0"/>
          <w:sz w:val="32"/>
          <w:szCs w:val="32"/>
          <w:shd w:val="clear" w:color="auto" w:fill="FFFFFF"/>
          <w:lang w:val="zh-CN"/>
        </w:rPr>
        <w:t>是常态化开展安全生产</w:t>
      </w:r>
      <w:r>
        <w:rPr>
          <w:rFonts w:hint="eastAsia" w:eastAsia="仿宋_GB2312" w:cs="Times New Roman"/>
          <w:color w:val="000000"/>
          <w:kern w:val="0"/>
          <w:sz w:val="32"/>
          <w:szCs w:val="32"/>
          <w:shd w:val="clear" w:color="auto" w:fill="FFFFFF"/>
          <w:lang w:val="en-US" w:eastAsia="zh-CN"/>
        </w:rPr>
        <w:t>隐患</w:t>
      </w:r>
      <w:r>
        <w:rPr>
          <w:rFonts w:ascii="Times New Roman" w:hAnsi="Times New Roman" w:eastAsia="仿宋_GB2312" w:cs="Times New Roman"/>
          <w:color w:val="000000"/>
          <w:kern w:val="0"/>
          <w:sz w:val="32"/>
          <w:szCs w:val="32"/>
          <w:shd w:val="clear" w:color="auto" w:fill="FFFFFF"/>
          <w:lang w:val="zh-CN"/>
        </w:rPr>
        <w:t>排查、防汛、防火、防灾宣传巡查，未发生安全生产事故、森林火情</w:t>
      </w:r>
      <w:r>
        <w:rPr>
          <w:rFonts w:hint="eastAsia" w:ascii="Times New Roman" w:hAnsi="Times New Roman" w:eastAsia="仿宋_GB2312" w:cs="Times New Roman"/>
          <w:color w:val="000000"/>
          <w:kern w:val="0"/>
          <w:sz w:val="32"/>
          <w:szCs w:val="32"/>
          <w:shd w:val="clear" w:color="auto" w:fill="FFFFFF"/>
          <w:lang w:val="en-US" w:eastAsia="zh-CN"/>
        </w:rPr>
        <w:t>等</w:t>
      </w:r>
      <w:r>
        <w:rPr>
          <w:rFonts w:ascii="Times New Roman" w:hAnsi="Times New Roman" w:eastAsia="仿宋_GB2312" w:cs="Times New Roman"/>
          <w:color w:val="000000"/>
          <w:kern w:val="0"/>
          <w:sz w:val="32"/>
          <w:szCs w:val="32"/>
          <w:shd w:val="clear" w:color="auto" w:fill="FFFFFF"/>
          <w:lang w:val="zh-CN"/>
        </w:rPr>
        <w:t>。</w:t>
      </w:r>
    </w:p>
    <w:p>
      <w:pPr>
        <w:adjustRightInd w:val="0"/>
        <w:snapToGrid w:val="0"/>
        <w:spacing w:line="578" w:lineRule="exact"/>
        <w:ind w:firstLine="640" w:firstLineChars="200"/>
        <w:contextualSpacing/>
        <w:jc w:val="left"/>
        <w:rPr>
          <w:rFonts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_GB2312" w:cs="Times New Roman"/>
          <w:color w:val="000000"/>
          <w:kern w:val="0"/>
          <w:sz w:val="32"/>
          <w:szCs w:val="32"/>
          <w:shd w:val="clear" w:color="auto" w:fill="FFFFFF"/>
          <w:lang w:val="en-US" w:eastAsia="zh-CN"/>
        </w:rPr>
        <w:t>四</w:t>
      </w:r>
      <w:r>
        <w:rPr>
          <w:rFonts w:ascii="Times New Roman" w:hAnsi="Times New Roman" w:eastAsia="仿宋_GB2312" w:cs="Times New Roman"/>
          <w:color w:val="000000"/>
          <w:kern w:val="0"/>
          <w:sz w:val="32"/>
          <w:szCs w:val="32"/>
          <w:shd w:val="clear" w:color="auto" w:fill="FFFFFF"/>
          <w:lang w:val="zh-CN"/>
        </w:rPr>
        <w:t>是人居环境持续优化。常态化开展农村人居环境整治、垃圾清运、河道保洁、庭院整治工作，村容村貌、环境显著提升，生态宜居水平不断提高。</w:t>
      </w:r>
    </w:p>
    <w:p>
      <w:pPr>
        <w:adjustRightInd w:val="0"/>
        <w:snapToGrid w:val="0"/>
        <w:spacing w:line="578" w:lineRule="exact"/>
        <w:ind w:firstLine="640" w:firstLineChars="200"/>
        <w:contextualSpacing/>
        <w:jc w:val="left"/>
        <w:rPr>
          <w:rFonts w:hint="eastAsia" w:ascii="Times New Roman" w:hAnsi="Times New Roman" w:eastAsia="楷体_GB2312" w:cs="Times New Roman"/>
          <w:color w:val="000000"/>
          <w:kern w:val="0"/>
          <w:sz w:val="32"/>
          <w:szCs w:val="32"/>
          <w:shd w:val="clear" w:color="auto" w:fill="FFFFFF"/>
          <w:lang w:val="zh-CN" w:eastAsia="zh-CN"/>
        </w:rPr>
      </w:pPr>
      <w:r>
        <w:rPr>
          <w:rFonts w:hint="eastAsia" w:ascii="Times New Roman" w:hAnsi="Times New Roman" w:eastAsia="楷体_GB2312" w:cs="Times New Roman"/>
          <w:color w:val="000000"/>
          <w:kern w:val="0"/>
          <w:sz w:val="32"/>
          <w:szCs w:val="32"/>
          <w:shd w:val="clear" w:color="auto" w:fill="FFFFFF"/>
          <w:lang w:val="en-US" w:eastAsia="zh-CN"/>
        </w:rPr>
        <w:t>2.</w:t>
      </w:r>
      <w:r>
        <w:rPr>
          <w:rFonts w:hint="eastAsia" w:ascii="Times New Roman" w:hAnsi="Times New Roman" w:eastAsia="楷体_GB2312" w:cs="Times New Roman"/>
          <w:color w:val="000000"/>
          <w:kern w:val="0"/>
          <w:sz w:val="32"/>
          <w:szCs w:val="32"/>
          <w:shd w:val="clear" w:color="auto" w:fill="FFFFFF"/>
          <w:lang w:val="zh-CN" w:eastAsia="zh-CN"/>
        </w:rPr>
        <w:t>预算管理。</w:t>
      </w:r>
    </w:p>
    <w:p>
      <w:pPr>
        <w:adjustRightInd w:val="0"/>
        <w:snapToGrid w:val="0"/>
        <w:spacing w:line="578" w:lineRule="exact"/>
        <w:ind w:firstLine="640" w:firstLineChars="200"/>
        <w:contextualSpacing/>
        <w:jc w:val="left"/>
        <w:rPr>
          <w:rFonts w:hint="eastAsia" w:ascii="Times New Roman" w:hAnsi="Times New Roman" w:eastAsia="仿宋_GB2312" w:cs="Times New Roman"/>
          <w:color w:val="000000"/>
          <w:kern w:val="0"/>
          <w:sz w:val="32"/>
          <w:szCs w:val="32"/>
          <w:shd w:val="clear" w:color="auto" w:fill="FFFFFF"/>
          <w:lang w:val="zh-CN" w:eastAsia="zh-CN"/>
        </w:rPr>
      </w:pPr>
      <w:r>
        <w:rPr>
          <w:rFonts w:hint="eastAsia" w:ascii="Times New Roman" w:hAnsi="Times New Roman" w:eastAsia="仿宋_GB2312" w:cs="Times New Roman"/>
          <w:color w:val="000000"/>
          <w:kern w:val="0"/>
          <w:sz w:val="32"/>
          <w:szCs w:val="32"/>
          <w:shd w:val="clear" w:color="auto" w:fill="FFFFFF"/>
          <w:lang w:val="zh-CN" w:eastAsia="zh-CN"/>
        </w:rPr>
        <w:t>一是预算编制质量较高。严格按照财政部门预算编制要求，结合年度重点工作、人员情况、项目需求科学编制年度预算，预算编制贴合实际、项目清晰，无超编、虚编预算情况。</w:t>
      </w:r>
    </w:p>
    <w:p>
      <w:pPr>
        <w:adjustRightInd w:val="0"/>
        <w:snapToGrid w:val="0"/>
        <w:spacing w:line="578" w:lineRule="exact"/>
        <w:ind w:firstLine="640" w:firstLineChars="200"/>
        <w:contextualSpacing/>
        <w:jc w:val="left"/>
        <w:rPr>
          <w:rFonts w:hint="eastAsia" w:ascii="Times New Roman" w:hAnsi="Times New Roman" w:eastAsia="仿宋_GB2312" w:cs="Times New Roman"/>
          <w:color w:val="000000"/>
          <w:kern w:val="0"/>
          <w:sz w:val="32"/>
          <w:szCs w:val="32"/>
          <w:shd w:val="clear" w:color="auto" w:fill="FFFFFF"/>
          <w:lang w:val="zh-CN" w:eastAsia="zh-CN"/>
        </w:rPr>
      </w:pPr>
      <w:r>
        <w:rPr>
          <w:rFonts w:hint="eastAsia" w:ascii="Times New Roman" w:hAnsi="Times New Roman" w:eastAsia="仿宋_GB2312" w:cs="Times New Roman"/>
          <w:color w:val="000000"/>
          <w:kern w:val="0"/>
          <w:sz w:val="32"/>
          <w:szCs w:val="32"/>
          <w:shd w:val="clear" w:color="auto" w:fill="FFFFFF"/>
          <w:lang w:val="zh-CN" w:eastAsia="zh-CN"/>
        </w:rPr>
        <w:t>二是收入统筹规范有序。全年财政收入全部纳入预算统一管理、统一核算，收入台账清晰，资金拨付流程规范，实现收支统筹管控。</w:t>
      </w:r>
    </w:p>
    <w:p>
      <w:pPr>
        <w:adjustRightInd w:val="0"/>
        <w:snapToGrid w:val="0"/>
        <w:spacing w:line="578" w:lineRule="exact"/>
        <w:ind w:firstLine="640" w:firstLineChars="200"/>
        <w:contextualSpacing/>
        <w:jc w:val="left"/>
        <w:rPr>
          <w:rFonts w:hint="eastAsia" w:ascii="Times New Roman" w:hAnsi="Times New Roman" w:eastAsia="仿宋_GB2312" w:cs="Times New Roman"/>
          <w:color w:val="000000"/>
          <w:kern w:val="0"/>
          <w:sz w:val="32"/>
          <w:szCs w:val="32"/>
          <w:shd w:val="clear" w:color="auto" w:fill="FFFFFF"/>
          <w:lang w:val="zh-CN" w:eastAsia="zh-CN"/>
        </w:rPr>
      </w:pPr>
      <w:r>
        <w:rPr>
          <w:rFonts w:hint="eastAsia" w:ascii="Times New Roman" w:hAnsi="Times New Roman" w:eastAsia="仿宋_GB2312" w:cs="Times New Roman"/>
          <w:color w:val="000000"/>
          <w:kern w:val="0"/>
          <w:sz w:val="32"/>
          <w:szCs w:val="32"/>
          <w:shd w:val="clear" w:color="auto" w:fill="FFFFFF"/>
          <w:lang w:val="zh-CN" w:eastAsia="zh-CN"/>
        </w:rPr>
        <w:t>三是严格执行先预算后支出，资金统筹有序，执行总体平稳，严控一般性支出。</w:t>
      </w:r>
    </w:p>
    <w:p>
      <w:pPr>
        <w:adjustRightInd w:val="0"/>
        <w:snapToGrid w:val="0"/>
        <w:spacing w:line="578" w:lineRule="exact"/>
        <w:ind w:firstLine="640" w:firstLineChars="200"/>
        <w:contextualSpacing/>
        <w:jc w:val="left"/>
        <w:rPr>
          <w:rFonts w:hint="eastAsia" w:ascii="Times New Roman" w:hAnsi="Times New Roman" w:eastAsia="仿宋_GB2312" w:cs="Times New Roman"/>
          <w:color w:val="000000"/>
          <w:kern w:val="0"/>
          <w:sz w:val="32"/>
          <w:szCs w:val="32"/>
          <w:shd w:val="clear" w:color="auto" w:fill="FFFFFF"/>
          <w:lang w:val="zh-CN" w:eastAsia="zh-CN"/>
        </w:rPr>
      </w:pPr>
      <w:r>
        <w:rPr>
          <w:rFonts w:hint="eastAsia" w:ascii="Times New Roman" w:hAnsi="Times New Roman" w:eastAsia="仿宋_GB2312" w:cs="Times New Roman"/>
          <w:color w:val="000000"/>
          <w:kern w:val="0"/>
          <w:sz w:val="32"/>
          <w:szCs w:val="32"/>
          <w:shd w:val="clear" w:color="auto" w:fill="FFFFFF"/>
          <w:lang w:val="zh-CN" w:eastAsia="zh-CN"/>
        </w:rPr>
        <w:t>四是预算结余管控到位。无长期闲置、沉淀财政资金，资金使用效率较高。</w:t>
      </w:r>
    </w:p>
    <w:p>
      <w:pPr>
        <w:adjustRightInd w:val="0"/>
        <w:snapToGrid w:val="0"/>
        <w:spacing w:line="578" w:lineRule="exact"/>
        <w:ind w:firstLine="640" w:firstLineChars="200"/>
        <w:contextualSpacing/>
        <w:jc w:val="left"/>
        <w:rPr>
          <w:rFonts w:hint="eastAsia" w:ascii="Times New Roman" w:hAnsi="Times New Roman" w:eastAsia="仿宋_GB2312" w:cs="Times New Roman"/>
          <w:color w:val="000000"/>
          <w:kern w:val="0"/>
          <w:sz w:val="32"/>
          <w:szCs w:val="32"/>
          <w:shd w:val="clear" w:color="auto" w:fill="FFFFFF"/>
          <w:lang w:val="zh-CN" w:eastAsia="zh-CN"/>
        </w:rPr>
      </w:pPr>
      <w:r>
        <w:rPr>
          <w:rFonts w:hint="eastAsia" w:ascii="Times New Roman" w:hAnsi="Times New Roman" w:eastAsia="仿宋_GB2312" w:cs="Times New Roman"/>
          <w:color w:val="000000"/>
          <w:kern w:val="0"/>
          <w:sz w:val="32"/>
          <w:szCs w:val="32"/>
          <w:shd w:val="clear" w:color="auto" w:fill="FFFFFF"/>
          <w:lang w:val="zh-CN" w:eastAsia="zh-CN"/>
        </w:rPr>
        <w:t>五是一般性支出严控压降。严格落实过紧日子要求，严控“</w:t>
      </w:r>
      <w:r>
        <w:rPr>
          <w:rFonts w:hint="eastAsia" w:ascii="Times New Roman" w:hAnsi="Times New Roman" w:eastAsia="仿宋_GB2312" w:cs="Times New Roman"/>
          <w:color w:val="000000"/>
          <w:kern w:val="0"/>
          <w:sz w:val="32"/>
          <w:szCs w:val="32"/>
          <w:shd w:val="clear" w:color="auto" w:fill="FFFFFF"/>
          <w:lang w:val="en-US" w:eastAsia="zh-CN"/>
        </w:rPr>
        <w:t>三公</w:t>
      </w:r>
      <w:r>
        <w:rPr>
          <w:rFonts w:hint="eastAsia" w:ascii="Times New Roman" w:hAnsi="Times New Roman" w:eastAsia="仿宋_GB2312" w:cs="Times New Roman"/>
          <w:color w:val="000000"/>
          <w:kern w:val="0"/>
          <w:sz w:val="32"/>
          <w:szCs w:val="32"/>
          <w:shd w:val="clear" w:color="auto" w:fill="FFFFFF"/>
          <w:lang w:val="zh-CN" w:eastAsia="zh-CN"/>
        </w:rPr>
        <w:t>”经费、会议费、培训费等一般性支出，全年一般性支出较上年</w:t>
      </w:r>
      <w:r>
        <w:rPr>
          <w:rFonts w:hint="eastAsia" w:ascii="Times New Roman" w:hAnsi="Times New Roman" w:eastAsia="仿宋_GB2312" w:cs="Times New Roman"/>
          <w:color w:val="000000"/>
          <w:kern w:val="0"/>
          <w:sz w:val="32"/>
          <w:szCs w:val="32"/>
          <w:shd w:val="clear" w:color="auto" w:fill="FFFFFF"/>
          <w:lang w:val="en-US" w:eastAsia="zh-CN"/>
        </w:rPr>
        <w:t>下降</w:t>
      </w:r>
      <w:r>
        <w:rPr>
          <w:rFonts w:hint="eastAsia" w:ascii="Times New Roman" w:hAnsi="Times New Roman" w:eastAsia="仿宋_GB2312" w:cs="Times New Roman"/>
          <w:color w:val="000000"/>
          <w:kern w:val="0"/>
          <w:sz w:val="32"/>
          <w:szCs w:val="32"/>
          <w:shd w:val="clear" w:color="auto" w:fill="FFFFFF"/>
          <w:lang w:val="zh-CN" w:eastAsia="zh-CN"/>
        </w:rPr>
        <w:t>，厉行节约成效显著。</w:t>
      </w:r>
    </w:p>
    <w:p>
      <w:pPr>
        <w:adjustRightInd w:val="0"/>
        <w:snapToGrid w:val="0"/>
        <w:spacing w:line="578" w:lineRule="exact"/>
        <w:ind w:firstLine="640" w:firstLineChars="200"/>
        <w:contextualSpacing/>
        <w:jc w:val="left"/>
        <w:rPr>
          <w:rFonts w:hint="eastAsia" w:ascii="Times New Roman" w:hAnsi="Times New Roman" w:eastAsia="仿宋_GB2312" w:cs="Times New Roman"/>
          <w:color w:val="000000"/>
          <w:kern w:val="0"/>
          <w:sz w:val="32"/>
          <w:szCs w:val="32"/>
          <w:shd w:val="clear" w:color="auto" w:fill="FFFFFF"/>
          <w:lang w:val="zh-CN" w:eastAsia="zh-CN"/>
        </w:rPr>
      </w:pPr>
      <w:r>
        <w:rPr>
          <w:rFonts w:hint="eastAsia" w:ascii="Times New Roman" w:hAnsi="Times New Roman" w:eastAsia="仿宋_GB2312" w:cs="Times New Roman"/>
          <w:color w:val="000000"/>
          <w:kern w:val="0"/>
          <w:sz w:val="32"/>
          <w:szCs w:val="32"/>
          <w:shd w:val="clear" w:color="auto" w:fill="FFFFFF"/>
          <w:lang w:val="zh-CN" w:eastAsia="zh-CN"/>
        </w:rPr>
        <w:t>六是预决算公开及时规范。严格按照公开要求，按时完成年度预算、决算及绩效信息公开，公开内容完整、格式规范、公开及时，主动接受社会监督。</w:t>
      </w:r>
    </w:p>
    <w:p>
      <w:pPr>
        <w:adjustRightInd w:val="0"/>
        <w:snapToGrid w:val="0"/>
        <w:spacing w:line="578" w:lineRule="exact"/>
        <w:ind w:firstLine="640" w:firstLineChars="200"/>
        <w:contextualSpacing/>
        <w:jc w:val="left"/>
        <w:rPr>
          <w:rFonts w:hint="eastAsia" w:ascii="Times New Roman" w:hAnsi="Times New Roman" w:eastAsia="楷体_GB2312" w:cs="Times New Roman"/>
          <w:color w:val="000000"/>
          <w:kern w:val="0"/>
          <w:sz w:val="32"/>
          <w:szCs w:val="32"/>
          <w:shd w:val="clear" w:color="auto" w:fill="FFFFFF"/>
          <w:lang w:val="zh-CN" w:eastAsia="zh-CN"/>
        </w:rPr>
      </w:pPr>
      <w:r>
        <w:rPr>
          <w:rFonts w:hint="eastAsia" w:ascii="Times New Roman" w:hAnsi="Times New Roman" w:eastAsia="楷体_GB2312" w:cs="Times New Roman"/>
          <w:color w:val="000000"/>
          <w:kern w:val="0"/>
          <w:sz w:val="32"/>
          <w:szCs w:val="32"/>
          <w:shd w:val="clear" w:color="auto" w:fill="FFFFFF"/>
          <w:lang w:val="en-US" w:eastAsia="zh-CN"/>
        </w:rPr>
        <w:t>3.</w:t>
      </w:r>
      <w:r>
        <w:rPr>
          <w:rFonts w:hint="eastAsia" w:ascii="Times New Roman" w:hAnsi="Times New Roman" w:eastAsia="楷体_GB2312" w:cs="Times New Roman"/>
          <w:color w:val="000000"/>
          <w:kern w:val="0"/>
          <w:sz w:val="32"/>
          <w:szCs w:val="32"/>
          <w:shd w:val="clear" w:color="auto" w:fill="FFFFFF"/>
          <w:lang w:val="zh-CN" w:eastAsia="zh-CN"/>
        </w:rPr>
        <w:t>财务管理。</w:t>
      </w:r>
    </w:p>
    <w:p>
      <w:pPr>
        <w:adjustRightInd w:val="0"/>
        <w:snapToGrid w:val="0"/>
        <w:spacing w:line="578" w:lineRule="exact"/>
        <w:ind w:firstLine="640" w:firstLineChars="200"/>
        <w:contextualSpacing/>
        <w:jc w:val="left"/>
        <w:rPr>
          <w:rFonts w:hint="eastAsia" w:ascii="Times New Roman" w:hAnsi="Times New Roman" w:eastAsia="仿宋_GB2312" w:cs="Times New Roman"/>
          <w:color w:val="000000"/>
          <w:kern w:val="0"/>
          <w:sz w:val="32"/>
          <w:szCs w:val="32"/>
          <w:shd w:val="clear" w:color="auto" w:fill="FFFFFF"/>
          <w:lang w:val="zh-CN" w:eastAsia="zh-CN"/>
        </w:rPr>
      </w:pPr>
      <w:r>
        <w:rPr>
          <w:rFonts w:hint="eastAsia" w:ascii="Times New Roman" w:hAnsi="Times New Roman" w:eastAsia="仿宋_GB2312" w:cs="Times New Roman"/>
          <w:color w:val="000000"/>
          <w:kern w:val="0"/>
          <w:sz w:val="32"/>
          <w:szCs w:val="32"/>
          <w:shd w:val="clear" w:color="auto" w:fill="FFFFFF"/>
          <w:lang w:val="zh-CN" w:eastAsia="zh-CN"/>
        </w:rPr>
        <w:t>严格执行《政府会计制度》《</w:t>
      </w:r>
      <w:r>
        <w:rPr>
          <w:rFonts w:hint="eastAsia" w:ascii="Times New Roman" w:hAnsi="Times New Roman" w:eastAsia="仿宋_GB2312" w:cs="Times New Roman"/>
          <w:color w:val="000000"/>
          <w:kern w:val="0"/>
          <w:sz w:val="32"/>
          <w:szCs w:val="32"/>
          <w:shd w:val="clear" w:color="auto" w:fill="FFFFFF"/>
          <w:lang w:val="en-US" w:eastAsia="zh-CN"/>
        </w:rPr>
        <w:t>中壤塘镇财务</w:t>
      </w:r>
      <w:r>
        <w:rPr>
          <w:rFonts w:hint="eastAsia" w:ascii="Times New Roman" w:hAnsi="Times New Roman" w:eastAsia="仿宋_GB2312" w:cs="Times New Roman"/>
          <w:color w:val="000000"/>
          <w:kern w:val="0"/>
          <w:sz w:val="32"/>
          <w:szCs w:val="32"/>
          <w:shd w:val="clear" w:color="auto" w:fill="FFFFFF"/>
          <w:lang w:val="zh-CN" w:eastAsia="zh-CN"/>
        </w:rPr>
        <w:t>管理制度》，财务管理制度</w:t>
      </w:r>
      <w:r>
        <w:rPr>
          <w:rFonts w:hint="eastAsia" w:ascii="Times New Roman" w:hAnsi="Times New Roman" w:eastAsia="仿宋_GB2312" w:cs="Times New Roman"/>
          <w:color w:val="000000"/>
          <w:kern w:val="0"/>
          <w:sz w:val="32"/>
          <w:szCs w:val="32"/>
          <w:shd w:val="clear" w:color="auto" w:fill="FFFFFF"/>
          <w:lang w:val="en-US" w:eastAsia="zh-CN"/>
        </w:rPr>
        <w:t>较</w:t>
      </w:r>
      <w:r>
        <w:rPr>
          <w:rFonts w:hint="eastAsia" w:ascii="Times New Roman" w:hAnsi="Times New Roman" w:eastAsia="仿宋_GB2312" w:cs="Times New Roman"/>
          <w:color w:val="000000"/>
          <w:kern w:val="0"/>
          <w:sz w:val="32"/>
          <w:szCs w:val="32"/>
          <w:shd w:val="clear" w:color="auto" w:fill="FFFFFF"/>
          <w:lang w:val="zh-CN" w:eastAsia="zh-CN"/>
        </w:rPr>
        <w:t>完善，制定了资金审批、费用报销、票据管理、专项资金管理等内部管理制度。财务岗位设置合规，分设会计、出纳岗位，实现账款分离、岗位制衡，岗位职责清晰、分工明确。全年所有资金使用严格执行审批流程，票据审核严格、账务处理及时规范，专项资金专款专用，无挤占、挪用、截留、违规报销等财务问题，账务核算精准合规。</w:t>
      </w:r>
    </w:p>
    <w:p>
      <w:pPr>
        <w:adjustRightInd w:val="0"/>
        <w:snapToGrid w:val="0"/>
        <w:spacing w:line="578" w:lineRule="exact"/>
        <w:ind w:firstLine="640" w:firstLineChars="200"/>
        <w:contextualSpacing/>
        <w:jc w:val="left"/>
        <w:rPr>
          <w:rFonts w:hint="eastAsia" w:ascii="Times New Roman" w:hAnsi="Times New Roman" w:eastAsia="楷体_GB2312" w:cs="Times New Roman"/>
          <w:color w:val="000000"/>
          <w:kern w:val="0"/>
          <w:sz w:val="32"/>
          <w:szCs w:val="32"/>
          <w:shd w:val="clear" w:color="auto" w:fill="FFFFFF"/>
          <w:lang w:val="zh-CN" w:eastAsia="zh-CN"/>
        </w:rPr>
      </w:pPr>
      <w:r>
        <w:rPr>
          <w:rFonts w:hint="eastAsia" w:ascii="Times New Roman" w:hAnsi="Times New Roman" w:eastAsia="楷体_GB2312" w:cs="Times New Roman"/>
          <w:color w:val="000000"/>
          <w:kern w:val="0"/>
          <w:sz w:val="32"/>
          <w:szCs w:val="32"/>
          <w:shd w:val="clear" w:color="auto" w:fill="FFFFFF"/>
          <w:lang w:val="en-US" w:eastAsia="zh-CN"/>
        </w:rPr>
        <w:t>4.</w:t>
      </w:r>
      <w:r>
        <w:rPr>
          <w:rFonts w:hint="eastAsia" w:ascii="Times New Roman" w:hAnsi="Times New Roman" w:eastAsia="楷体_GB2312" w:cs="Times New Roman"/>
          <w:color w:val="000000"/>
          <w:kern w:val="0"/>
          <w:sz w:val="32"/>
          <w:szCs w:val="32"/>
          <w:shd w:val="clear" w:color="auto" w:fill="FFFFFF"/>
          <w:lang w:val="zh-CN" w:eastAsia="zh-CN"/>
        </w:rPr>
        <w:t>资产管理。</w:t>
      </w:r>
    </w:p>
    <w:p>
      <w:pPr>
        <w:keepNext w:val="0"/>
        <w:keepLines w:val="0"/>
        <w:pageBreakBefore w:val="0"/>
        <w:widowControl w:val="0"/>
        <w:kinsoku/>
        <w:wordWrap/>
        <w:overflowPunct/>
        <w:topLinePunct w:val="0"/>
        <w:autoSpaceDE/>
        <w:autoSpaceDN/>
        <w:bidi w:val="0"/>
        <w:adjustRightInd/>
        <w:snapToGrid/>
        <w:spacing w:line="560" w:lineRule="exact"/>
        <w:ind w:firstLine="602" w:firstLineChars="200"/>
        <w:jc w:val="both"/>
        <w:textAlignment w:val="auto"/>
        <w:rPr>
          <w:rFonts w:hint="eastAsia" w:ascii="Times New Roman" w:hAnsi="Times New Roman" w:eastAsia="仿宋_GB2312" w:cs="Times New Roman"/>
          <w:color w:val="000000"/>
          <w:kern w:val="0"/>
          <w:sz w:val="32"/>
          <w:szCs w:val="32"/>
          <w:shd w:val="clear" w:color="auto" w:fill="FFFFFF"/>
          <w:lang w:val="zh-CN" w:eastAsia="zh-CN"/>
        </w:rPr>
      </w:pPr>
      <w:r>
        <w:rPr>
          <w:rFonts w:hint="eastAsia" w:ascii="仿宋_GB2312" w:hAnsi="宋体" w:eastAsia="仿宋_GB2312" w:cs="Times New Roman"/>
          <w:b/>
          <w:bCs/>
          <w:kern w:val="2"/>
          <w:sz w:val="30"/>
          <w:szCs w:val="30"/>
          <w:lang w:val="en-US" w:eastAsia="zh-CN" w:bidi="ar-SA"/>
        </w:rPr>
        <w:t>资产管理情况：</w:t>
      </w:r>
      <w:r>
        <w:rPr>
          <w:rFonts w:hint="eastAsia" w:ascii="Times New Roman" w:hAnsi="Times New Roman" w:eastAsia="仿宋_GB2312" w:cs="Times New Roman"/>
          <w:color w:val="000000"/>
          <w:kern w:val="0"/>
          <w:sz w:val="32"/>
          <w:szCs w:val="32"/>
          <w:shd w:val="clear" w:color="auto" w:fill="FFFFFF"/>
          <w:lang w:val="zh-CN" w:eastAsia="zh-CN"/>
        </w:rPr>
        <w:t>严格按照资产管理办法及相关规定进行资产购置、处置等，及时更新资产管理系统，确保资产管理规范有序。</w:t>
      </w:r>
    </w:p>
    <w:p>
      <w:pPr>
        <w:pStyle w:val="37"/>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32"/>
          <w:szCs w:val="32"/>
          <w:shd w:val="clear" w:color="auto" w:fill="FFFFFF"/>
          <w:lang w:val="en-US" w:eastAsia="zh-CN" w:bidi="ar-SA"/>
        </w:rPr>
      </w:pPr>
      <w:r>
        <w:rPr>
          <w:rFonts w:hint="eastAsia" w:ascii="仿宋_GB2312" w:hAnsi="宋体" w:eastAsia="仿宋_GB2312" w:cs="Times New Roman"/>
          <w:b/>
          <w:bCs/>
          <w:kern w:val="2"/>
          <w:sz w:val="30"/>
          <w:szCs w:val="30"/>
          <w:lang w:val="en-US" w:eastAsia="zh-CN" w:bidi="ar-SA"/>
        </w:rPr>
        <w:t>固定资产在用率：</w:t>
      </w:r>
      <w:r>
        <w:rPr>
          <w:rFonts w:hint="eastAsia" w:ascii="Times New Roman" w:hAnsi="Times New Roman" w:eastAsia="仿宋_GB2312" w:cs="Times New Roman"/>
          <w:color w:val="000000"/>
          <w:kern w:val="0"/>
          <w:sz w:val="32"/>
          <w:szCs w:val="32"/>
          <w:shd w:val="clear" w:color="auto" w:fill="FFFFFF"/>
          <w:lang w:val="en-US" w:eastAsia="zh-CN" w:bidi="ar-SA"/>
        </w:rPr>
        <w:t>2025年12月31日，中壤塘镇固定资产总计249.45万元，在用的固定资产总计249.45万元，</w:t>
      </w:r>
      <w:r>
        <w:rPr>
          <w:rFonts w:hint="default" w:ascii="Times New Roman" w:hAnsi="Times New Roman" w:eastAsia="仿宋_GB2312" w:cs="Times New Roman"/>
          <w:color w:val="000000"/>
          <w:kern w:val="0"/>
          <w:sz w:val="32"/>
          <w:szCs w:val="32"/>
          <w:shd w:val="clear" w:color="auto" w:fill="FFFFFF"/>
          <w:lang w:val="en-US" w:eastAsia="zh-CN" w:bidi="ar-SA"/>
        </w:rPr>
        <w:t>固定资产在用率达</w:t>
      </w:r>
      <w:r>
        <w:rPr>
          <w:rFonts w:hint="eastAsia" w:ascii="Times New Roman" w:hAnsi="Times New Roman" w:eastAsia="仿宋_GB2312" w:cs="Times New Roman"/>
          <w:color w:val="000000"/>
          <w:kern w:val="0"/>
          <w:sz w:val="32"/>
          <w:szCs w:val="32"/>
          <w:shd w:val="clear" w:color="auto" w:fill="FFFFFF"/>
          <w:lang w:val="en-US" w:eastAsia="zh-CN" w:bidi="ar-SA"/>
        </w:rPr>
        <w:t>9</w:t>
      </w:r>
      <w:r>
        <w:rPr>
          <w:rFonts w:hint="default" w:ascii="Times New Roman" w:hAnsi="Times New Roman" w:eastAsia="仿宋_GB2312" w:cs="Times New Roman"/>
          <w:color w:val="000000"/>
          <w:kern w:val="0"/>
          <w:sz w:val="32"/>
          <w:szCs w:val="32"/>
          <w:shd w:val="clear" w:color="auto" w:fill="FFFFFF"/>
          <w:lang w:val="en-US" w:eastAsia="zh-CN" w:bidi="ar-SA"/>
        </w:rPr>
        <w:t>0%</w:t>
      </w:r>
      <w:r>
        <w:rPr>
          <w:rFonts w:hint="eastAsia" w:ascii="Times New Roman" w:hAnsi="Times New Roman" w:eastAsia="仿宋_GB2312" w:cs="Times New Roman"/>
          <w:color w:val="000000"/>
          <w:kern w:val="0"/>
          <w:sz w:val="32"/>
          <w:szCs w:val="32"/>
          <w:shd w:val="clear" w:color="auto" w:fill="FFFFFF"/>
          <w:lang w:val="en-US" w:eastAsia="zh-CN" w:bidi="ar-SA"/>
        </w:rPr>
        <w:t>。</w:t>
      </w:r>
    </w:p>
    <w:p>
      <w:pPr>
        <w:adjustRightInd w:val="0"/>
        <w:snapToGrid w:val="0"/>
        <w:spacing w:line="578" w:lineRule="exact"/>
        <w:ind w:firstLine="640" w:firstLineChars="200"/>
        <w:contextualSpacing/>
        <w:jc w:val="both"/>
        <w:rPr>
          <w:rFonts w:hint="eastAsia" w:ascii="Times New Roman" w:hAnsi="Times New Roman" w:eastAsia="楷体_GB2312" w:cs="Times New Roman"/>
          <w:color w:val="000000"/>
          <w:kern w:val="0"/>
          <w:sz w:val="32"/>
          <w:szCs w:val="32"/>
          <w:shd w:val="clear" w:color="auto" w:fill="FFFFFF"/>
          <w:lang w:val="zh-CN" w:eastAsia="zh-CN"/>
        </w:rPr>
      </w:pPr>
      <w:r>
        <w:rPr>
          <w:rFonts w:hint="eastAsia" w:ascii="Times New Roman" w:hAnsi="Times New Roman" w:eastAsia="楷体_GB2312" w:cs="Times New Roman"/>
          <w:color w:val="000000"/>
          <w:kern w:val="0"/>
          <w:sz w:val="32"/>
          <w:szCs w:val="32"/>
          <w:shd w:val="clear" w:color="auto" w:fill="FFFFFF"/>
          <w:lang w:val="en-US" w:eastAsia="zh-CN"/>
        </w:rPr>
        <w:t>5.</w:t>
      </w:r>
      <w:r>
        <w:rPr>
          <w:rFonts w:hint="eastAsia" w:ascii="Times New Roman" w:hAnsi="Times New Roman" w:eastAsia="楷体_GB2312" w:cs="Times New Roman"/>
          <w:color w:val="000000"/>
          <w:kern w:val="0"/>
          <w:sz w:val="32"/>
          <w:szCs w:val="32"/>
          <w:shd w:val="clear" w:color="auto" w:fill="FFFFFF"/>
          <w:lang w:val="zh-CN" w:eastAsia="zh-CN"/>
        </w:rPr>
        <w:t>采购管理。</w:t>
      </w:r>
    </w:p>
    <w:p>
      <w:pPr>
        <w:pStyle w:val="37"/>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color w:val="000000"/>
          <w:kern w:val="0"/>
          <w:sz w:val="32"/>
          <w:szCs w:val="32"/>
          <w:shd w:val="clear" w:color="auto" w:fill="FFFFFF"/>
          <w:lang w:val="en-US" w:eastAsia="zh-CN" w:bidi="ar-SA"/>
        </w:rPr>
      </w:pPr>
      <w:r>
        <w:rPr>
          <w:rFonts w:hint="default" w:ascii="Times New Roman" w:hAnsi="Times New Roman" w:eastAsia="仿宋_GB2312" w:cs="Times New Roman"/>
          <w:color w:val="000000"/>
          <w:kern w:val="0"/>
          <w:sz w:val="32"/>
          <w:szCs w:val="32"/>
          <w:shd w:val="clear" w:color="auto" w:fill="FFFFFF"/>
          <w:lang w:val="en-US" w:eastAsia="zh-CN" w:bidi="ar-SA"/>
        </w:rPr>
        <w:t>202</w:t>
      </w:r>
      <w:r>
        <w:rPr>
          <w:rFonts w:hint="eastAsia" w:ascii="Times New Roman" w:hAnsi="Times New Roman" w:eastAsia="仿宋_GB2312" w:cs="Times New Roman"/>
          <w:color w:val="000000"/>
          <w:kern w:val="0"/>
          <w:sz w:val="32"/>
          <w:szCs w:val="32"/>
          <w:shd w:val="clear" w:color="auto" w:fill="FFFFFF"/>
          <w:lang w:val="en-US" w:eastAsia="zh-CN" w:bidi="ar-SA"/>
        </w:rPr>
        <w:t>5</w:t>
      </w:r>
      <w:r>
        <w:rPr>
          <w:rFonts w:hint="default" w:ascii="Times New Roman" w:hAnsi="Times New Roman" w:eastAsia="仿宋_GB2312" w:cs="Times New Roman"/>
          <w:color w:val="000000"/>
          <w:kern w:val="0"/>
          <w:sz w:val="32"/>
          <w:szCs w:val="32"/>
          <w:shd w:val="clear" w:color="auto" w:fill="FFFFFF"/>
          <w:lang w:val="en-US" w:eastAsia="zh-CN" w:bidi="ar-SA"/>
        </w:rPr>
        <w:t>年中壤塘镇人民政府采购</w:t>
      </w:r>
      <w:r>
        <w:rPr>
          <w:rFonts w:hint="eastAsia" w:ascii="Times New Roman" w:hAnsi="Times New Roman" w:eastAsia="仿宋_GB2312" w:cs="Times New Roman"/>
          <w:color w:val="000000"/>
          <w:kern w:val="0"/>
          <w:sz w:val="32"/>
          <w:szCs w:val="32"/>
          <w:shd w:val="clear" w:color="auto" w:fill="FFFFFF"/>
          <w:lang w:val="en-US" w:eastAsia="zh-CN" w:bidi="ar-SA"/>
        </w:rPr>
        <w:t>支出172.39万元</w:t>
      </w:r>
      <w:r>
        <w:rPr>
          <w:rFonts w:hint="default" w:ascii="Times New Roman" w:hAnsi="Times New Roman" w:eastAsia="仿宋_GB2312" w:cs="Times New Roman"/>
          <w:color w:val="000000"/>
          <w:kern w:val="0"/>
          <w:sz w:val="32"/>
          <w:szCs w:val="32"/>
          <w:shd w:val="clear" w:color="auto" w:fill="FFFFFF"/>
          <w:lang w:val="en-US" w:eastAsia="zh-CN" w:bidi="ar-SA"/>
        </w:rPr>
        <w:t>，并严格按照《四川省政府集中采购目录及标准》的通知执行。</w:t>
      </w:r>
      <w:r>
        <w:rPr>
          <w:rFonts w:hint="eastAsia" w:ascii="Times New Roman" w:hAnsi="Times New Roman" w:eastAsia="仿宋_GB2312" w:cs="Times New Roman"/>
          <w:color w:val="000000"/>
          <w:kern w:val="0"/>
          <w:sz w:val="32"/>
          <w:szCs w:val="32"/>
          <w:shd w:val="clear" w:color="auto" w:fill="FFFFFF"/>
          <w:lang w:val="en-US" w:eastAsia="zh-CN" w:bidi="ar-SA"/>
        </w:rPr>
        <w:t>优先支持中小企业参与乡镇项目采购、服务外包工作，切实落实扶持中小企业发展政策。</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Times New Roman"/>
          <w:color w:val="000000"/>
          <w:kern w:val="0"/>
          <w:sz w:val="32"/>
          <w:szCs w:val="32"/>
          <w:shd w:val="clear" w:color="auto" w:fill="FFFFFF"/>
          <w:lang w:val="zh-CN" w:eastAsia="zh-CN" w:bidi="ar-SA"/>
        </w:rPr>
      </w:pPr>
      <w:r>
        <w:rPr>
          <w:rFonts w:hint="eastAsia" w:eastAsia="楷体_GB2312" w:cs="Times New Roman"/>
          <w:b/>
          <w:bCs/>
          <w:color w:val="000000" w:themeColor="text1"/>
          <w:kern w:val="0"/>
          <w:sz w:val="32"/>
          <w:szCs w:val="32"/>
          <w:highlight w:val="none"/>
          <w:shd w:val="clear" w:color="auto" w:fill="FFFFFF"/>
          <w:lang w:val="zh-CN"/>
          <w14:textFill>
            <w14:solidFill>
              <w14:schemeClr w14:val="tx1"/>
            </w14:solidFill>
          </w14:textFill>
        </w:rPr>
        <w:t>（</w:t>
      </w:r>
      <w:r>
        <w:rPr>
          <w:rFonts w:hint="eastAsia" w:eastAsia="楷体_GB2312" w:cs="Times New Roman"/>
          <w:b/>
          <w:bCs/>
          <w:color w:val="000000" w:themeColor="text1"/>
          <w:kern w:val="0"/>
          <w:sz w:val="32"/>
          <w:szCs w:val="32"/>
          <w:highlight w:val="none"/>
          <w:shd w:val="clear" w:color="auto" w:fill="FFFFFF"/>
          <w:lang w:val="en-US" w:eastAsia="zh-CN"/>
          <w14:textFill>
            <w14:solidFill>
              <w14:schemeClr w14:val="tx1"/>
            </w14:solidFill>
          </w14:textFill>
        </w:rPr>
        <w:t>二</w:t>
      </w:r>
      <w:r>
        <w:rPr>
          <w:rFonts w:hint="eastAsia" w:eastAsia="楷体_GB2312" w:cs="Times New Roman"/>
          <w:b/>
          <w:bCs/>
          <w:color w:val="000000" w:themeColor="text1"/>
          <w:kern w:val="0"/>
          <w:sz w:val="32"/>
          <w:szCs w:val="32"/>
          <w:highlight w:val="none"/>
          <w:shd w:val="clear" w:color="auto" w:fill="FFFFFF"/>
          <w:lang w:val="zh-CN"/>
          <w14:textFill>
            <w14:solidFill>
              <w14:schemeClr w14:val="tx1"/>
            </w14:solidFill>
          </w14:textFill>
        </w:rPr>
        <w:t>）</w:t>
      </w: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部门预算项目绩效分析。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000000"/>
          <w:kern w:val="0"/>
          <w:sz w:val="32"/>
          <w:szCs w:val="32"/>
          <w:shd w:val="clear" w:color="auto" w:fill="FFFFFF"/>
          <w:lang w:val="zh-CN" w:eastAsia="zh-CN" w:bidi="ar-SA"/>
        </w:rPr>
      </w:pPr>
      <w:r>
        <w:rPr>
          <w:rFonts w:hint="eastAsia" w:ascii="Times New Roman" w:hAnsi="Times New Roman" w:eastAsia="仿宋_GB2312" w:cs="Times New Roman"/>
          <w:color w:val="000000"/>
          <w:kern w:val="0"/>
          <w:sz w:val="32"/>
          <w:szCs w:val="32"/>
          <w:shd w:val="clear" w:color="auto" w:fill="FFFFFF"/>
          <w:lang w:val="en-US" w:eastAsia="zh-CN" w:bidi="ar-SA"/>
        </w:rPr>
        <w:t>壤塘县中壤塘镇镇区旅游厕所建设项目</w:t>
      </w:r>
      <w:r>
        <w:rPr>
          <w:rFonts w:hint="default" w:ascii="Times New Roman" w:hAnsi="Times New Roman" w:eastAsia="仿宋_GB2312" w:cs="Times New Roman"/>
          <w:color w:val="000000"/>
          <w:kern w:val="0"/>
          <w:sz w:val="32"/>
          <w:szCs w:val="32"/>
          <w:shd w:val="clear" w:color="auto" w:fill="FFFFFF"/>
          <w:lang w:val="zh-CN" w:eastAsia="zh-CN" w:bidi="ar-SA"/>
        </w:rPr>
        <w:t>，涉及预算总金额</w:t>
      </w:r>
      <w:r>
        <w:rPr>
          <w:rFonts w:hint="eastAsia" w:ascii="Times New Roman" w:hAnsi="Times New Roman" w:eastAsia="仿宋_GB2312" w:cs="Times New Roman"/>
          <w:color w:val="000000"/>
          <w:kern w:val="0"/>
          <w:sz w:val="32"/>
          <w:szCs w:val="32"/>
          <w:shd w:val="clear" w:color="auto" w:fill="FFFFFF"/>
          <w:lang w:val="en-US" w:eastAsia="zh-CN" w:bidi="ar-SA"/>
        </w:rPr>
        <w:t>120</w:t>
      </w:r>
      <w:r>
        <w:rPr>
          <w:rFonts w:hint="default" w:ascii="Times New Roman" w:hAnsi="Times New Roman" w:eastAsia="仿宋_GB2312" w:cs="Times New Roman"/>
          <w:color w:val="000000"/>
          <w:kern w:val="0"/>
          <w:sz w:val="32"/>
          <w:szCs w:val="32"/>
          <w:shd w:val="clear" w:color="auto" w:fill="FFFFFF"/>
          <w:lang w:val="zh-CN" w:eastAsia="zh-CN" w:bidi="ar-SA"/>
        </w:rPr>
        <w:t>万元，</w:t>
      </w:r>
      <w:r>
        <w:rPr>
          <w:rFonts w:hint="eastAsia" w:ascii="Times New Roman" w:hAnsi="Times New Roman" w:eastAsia="仿宋_GB2312" w:cs="Times New Roman"/>
          <w:color w:val="000000"/>
          <w:kern w:val="0"/>
          <w:sz w:val="32"/>
          <w:szCs w:val="32"/>
          <w:shd w:val="clear" w:color="auto" w:fill="FFFFFF"/>
          <w:lang w:val="en-US" w:eastAsia="zh-CN" w:bidi="ar-SA"/>
        </w:rPr>
        <w:t>到位资金120万元，评审价102.753525万元已支付99.670919万元，</w:t>
      </w:r>
      <w:r>
        <w:rPr>
          <w:rFonts w:hint="default" w:ascii="Times New Roman" w:hAnsi="Times New Roman" w:eastAsia="仿宋_GB2312" w:cs="Times New Roman"/>
          <w:color w:val="000000"/>
          <w:kern w:val="0"/>
          <w:sz w:val="32"/>
          <w:szCs w:val="32"/>
          <w:shd w:val="clear" w:color="auto" w:fill="FFFFFF"/>
          <w:lang w:val="zh-CN" w:eastAsia="zh-CN" w:bidi="ar-SA"/>
        </w:rPr>
        <w:t>1</w:t>
      </w:r>
      <w:r>
        <w:rPr>
          <w:rFonts w:hint="eastAsia" w:ascii="Times New Roman" w:hAnsi="Times New Roman" w:eastAsia="仿宋_GB2312" w:cs="Times New Roman"/>
          <w:color w:val="000000"/>
          <w:kern w:val="0"/>
          <w:sz w:val="32"/>
          <w:szCs w:val="32"/>
          <w:shd w:val="clear" w:color="auto" w:fill="FFFFFF"/>
          <w:lang w:val="zh-CN" w:eastAsia="zh-CN" w:bidi="ar-SA"/>
        </w:rPr>
        <w:t>—</w:t>
      </w:r>
      <w:r>
        <w:rPr>
          <w:rFonts w:hint="default" w:ascii="Times New Roman" w:hAnsi="Times New Roman" w:eastAsia="仿宋_GB2312" w:cs="Times New Roman"/>
          <w:color w:val="000000"/>
          <w:kern w:val="0"/>
          <w:sz w:val="32"/>
          <w:szCs w:val="32"/>
          <w:shd w:val="clear" w:color="auto" w:fill="FFFFFF"/>
          <w:lang w:val="zh-CN" w:eastAsia="zh-CN" w:bidi="ar-SA"/>
        </w:rPr>
        <w:t>1</w:t>
      </w:r>
      <w:r>
        <w:rPr>
          <w:rFonts w:hint="default" w:ascii="Times New Roman" w:hAnsi="Times New Roman" w:eastAsia="仿宋_GB2312" w:cs="Times New Roman"/>
          <w:color w:val="000000"/>
          <w:kern w:val="0"/>
          <w:sz w:val="32"/>
          <w:szCs w:val="32"/>
          <w:shd w:val="clear" w:color="auto" w:fill="FFFFFF"/>
          <w:lang w:val="en-US" w:eastAsia="zh-CN" w:bidi="ar-SA"/>
        </w:rPr>
        <w:t>2</w:t>
      </w:r>
      <w:r>
        <w:rPr>
          <w:rFonts w:hint="default" w:ascii="Times New Roman" w:hAnsi="Times New Roman" w:eastAsia="仿宋_GB2312" w:cs="Times New Roman"/>
          <w:color w:val="000000"/>
          <w:kern w:val="0"/>
          <w:sz w:val="32"/>
          <w:szCs w:val="32"/>
          <w:shd w:val="clear" w:color="auto" w:fill="FFFFFF"/>
          <w:lang w:val="zh-CN" w:eastAsia="zh-CN" w:bidi="ar-SA"/>
        </w:rPr>
        <w:t>月预算执行总体进度为</w:t>
      </w:r>
      <w:r>
        <w:rPr>
          <w:rFonts w:hint="eastAsia" w:ascii="Times New Roman" w:hAnsi="Times New Roman" w:eastAsia="仿宋_GB2312" w:cs="Times New Roman"/>
          <w:color w:val="000000"/>
          <w:kern w:val="0"/>
          <w:sz w:val="32"/>
          <w:szCs w:val="32"/>
          <w:shd w:val="clear" w:color="auto" w:fill="FFFFFF"/>
          <w:lang w:val="en-US" w:eastAsia="zh-CN" w:bidi="ar-SA"/>
        </w:rPr>
        <w:t>97%</w:t>
      </w:r>
      <w:r>
        <w:rPr>
          <w:rFonts w:hint="default" w:ascii="Times New Roman" w:hAnsi="Times New Roman" w:eastAsia="仿宋_GB2312" w:cs="Times New Roman"/>
          <w:color w:val="000000"/>
          <w:kern w:val="0"/>
          <w:sz w:val="32"/>
          <w:szCs w:val="32"/>
          <w:shd w:val="clear" w:color="auto" w:fill="FFFFFF"/>
          <w:lang w:val="zh-CN" w:eastAsia="zh-CN" w:bidi="ar-SA"/>
        </w:rPr>
        <w:t>。</w:t>
      </w:r>
    </w:p>
    <w:p>
      <w:pPr>
        <w:ind w:firstLine="640" w:firstLineChars="200"/>
        <w:jc w:val="both"/>
        <w:rPr>
          <w:rFonts w:hint="default" w:ascii="Times New Roman" w:hAnsi="Times New Roman" w:eastAsia="仿宋_GB2312" w:cs="Times New Roman"/>
          <w:color w:val="000000"/>
          <w:kern w:val="0"/>
          <w:sz w:val="32"/>
          <w:szCs w:val="32"/>
          <w:shd w:val="clear" w:color="auto" w:fill="FFFFFF"/>
          <w:lang w:val="en-US" w:eastAsia="zh-CN" w:bidi="ar-SA"/>
        </w:rPr>
      </w:pPr>
      <w:r>
        <w:rPr>
          <w:rFonts w:hint="eastAsia" w:ascii="Times New Roman" w:hAnsi="Times New Roman" w:eastAsia="仿宋_GB2312" w:cs="Times New Roman"/>
          <w:color w:val="000000"/>
          <w:kern w:val="0"/>
          <w:sz w:val="32"/>
          <w:szCs w:val="32"/>
          <w:shd w:val="clear" w:color="auto" w:fill="FFFFFF"/>
          <w:lang w:val="en-US" w:eastAsia="zh-CN" w:bidi="ar-SA"/>
        </w:rPr>
        <w:t>1.</w:t>
      </w:r>
      <w:r>
        <w:rPr>
          <w:rFonts w:hint="eastAsia" w:ascii="Times New Roman" w:hAnsi="Times New Roman" w:eastAsia="仿宋_GB2312" w:cs="Times New Roman"/>
          <w:color w:val="000000"/>
          <w:kern w:val="0"/>
          <w:sz w:val="32"/>
          <w:szCs w:val="32"/>
          <w:shd w:val="clear" w:color="auto" w:fill="FFFFFF"/>
          <w:lang w:val="zh-CN" w:eastAsia="zh-CN" w:bidi="ar-SA"/>
        </w:rPr>
        <w:t>项目决策。</w:t>
      </w:r>
      <w:r>
        <w:rPr>
          <w:rFonts w:hint="eastAsia" w:ascii="Times New Roman" w:hAnsi="Times New Roman" w:eastAsia="仿宋_GB2312" w:cs="Times New Roman"/>
          <w:color w:val="000000"/>
          <w:kern w:val="0"/>
          <w:sz w:val="32"/>
          <w:szCs w:val="32"/>
          <w:shd w:val="clear" w:color="auto" w:fill="FFFFFF"/>
          <w:lang w:val="en-US" w:eastAsia="zh-CN" w:bidi="ar-SA"/>
        </w:rPr>
        <w:t>积极争取绵阳援建支持项目建设，力争通过该项目建设,改善农牧民群众的居住环境，提升当地的基础设施，指标短板全清零，及时</w:t>
      </w:r>
      <w:r>
        <w:rPr>
          <w:rFonts w:hint="eastAsia" w:ascii="Times New Roman" w:hAnsi="Times New Roman" w:eastAsia="仿宋_GB2312" w:cs="Times New Roman"/>
          <w:color w:val="000000"/>
          <w:kern w:val="0"/>
          <w:sz w:val="32"/>
          <w:szCs w:val="32"/>
          <w:shd w:val="clear" w:color="auto" w:fill="FFFFFF"/>
          <w:lang w:val="zh-CN" w:eastAsia="zh-CN" w:bidi="ar-SA"/>
        </w:rPr>
        <w:t>项目入库。</w:t>
      </w:r>
      <w:r>
        <w:rPr>
          <w:rFonts w:hint="eastAsia" w:ascii="Times New Roman" w:hAnsi="Times New Roman" w:eastAsia="仿宋_GB2312" w:cs="Times New Roman"/>
          <w:color w:val="000000"/>
          <w:kern w:val="0"/>
          <w:sz w:val="32"/>
          <w:szCs w:val="32"/>
          <w:shd w:val="clear" w:color="auto" w:fill="FFFFFF"/>
          <w:lang w:val="en-US" w:eastAsia="zh-CN" w:bidi="ar-SA"/>
        </w:rPr>
        <w:t>通过项目的实施，让受益群众的居住条件有所改善。绩效目标具体如下：（1）数量指标：3座厕所重建3座厕所维修改造以及配套设施建设。（2）时效指标：项目施工期6个月。（3）质量指标：项目验收合格率100%，保证项目质量合格。（4）成本指标：项目总投资控制在财政预算内，项目总投资102.753525万元，按照合同约定完成项目款的拨付。（6）社会效益指标：改善120余户群众生活条件有所改善。（6）服务对象满意度指标100%。</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000000"/>
          <w:kern w:val="0"/>
          <w:sz w:val="32"/>
          <w:szCs w:val="32"/>
          <w:shd w:val="clear" w:color="auto" w:fill="FFFFFF"/>
          <w:lang w:val="en-US" w:eastAsia="zh-CN" w:bidi="ar-SA"/>
        </w:rPr>
      </w:pPr>
      <w:r>
        <w:rPr>
          <w:rFonts w:hint="eastAsia" w:ascii="Times New Roman" w:hAnsi="Times New Roman" w:eastAsia="仿宋_GB2312" w:cs="Times New Roman"/>
          <w:color w:val="000000"/>
          <w:kern w:val="0"/>
          <w:sz w:val="32"/>
          <w:szCs w:val="32"/>
          <w:shd w:val="clear" w:color="auto" w:fill="FFFFFF"/>
          <w:lang w:val="en-US" w:eastAsia="zh-CN" w:bidi="ar-SA"/>
        </w:rPr>
        <w:t>2.项目执行</w:t>
      </w:r>
      <w:r>
        <w:rPr>
          <w:rFonts w:hint="eastAsia" w:ascii="Times New Roman" w:hAnsi="Times New Roman" w:eastAsia="仿宋_GB2312" w:cs="Times New Roman"/>
          <w:color w:val="000000"/>
          <w:kern w:val="0"/>
          <w:sz w:val="32"/>
          <w:szCs w:val="32"/>
          <w:shd w:val="clear" w:color="auto" w:fill="FFFFFF"/>
          <w:lang w:val="zh-CN" w:eastAsia="zh-CN" w:bidi="ar-SA"/>
        </w:rPr>
        <w:t>。资金计划及到位：</w:t>
      </w:r>
      <w:r>
        <w:rPr>
          <w:rFonts w:hint="eastAsia" w:ascii="Times New Roman" w:hAnsi="Times New Roman" w:eastAsia="仿宋_GB2312" w:cs="Times New Roman"/>
          <w:color w:val="000000"/>
          <w:kern w:val="0"/>
          <w:sz w:val="32"/>
          <w:szCs w:val="32"/>
          <w:shd w:val="clear" w:color="auto" w:fill="FFFFFF"/>
          <w:lang w:val="en-US" w:eastAsia="zh-CN" w:bidi="ar-SA"/>
        </w:rPr>
        <w:t>壤塘县中壤塘镇镇区旅游厕所建设项目</w:t>
      </w:r>
      <w:r>
        <w:rPr>
          <w:rFonts w:hint="default" w:ascii="Times New Roman" w:hAnsi="Times New Roman" w:eastAsia="仿宋_GB2312" w:cs="Times New Roman"/>
          <w:color w:val="000000"/>
          <w:kern w:val="0"/>
          <w:sz w:val="32"/>
          <w:szCs w:val="32"/>
          <w:shd w:val="clear" w:color="auto" w:fill="FFFFFF"/>
          <w:lang w:val="zh-CN" w:eastAsia="zh-CN" w:bidi="ar-SA"/>
        </w:rPr>
        <w:t>，涉及预算总金额</w:t>
      </w:r>
      <w:r>
        <w:rPr>
          <w:rFonts w:hint="eastAsia" w:ascii="Times New Roman" w:hAnsi="Times New Roman" w:eastAsia="仿宋_GB2312" w:cs="Times New Roman"/>
          <w:color w:val="000000"/>
          <w:kern w:val="0"/>
          <w:sz w:val="32"/>
          <w:szCs w:val="32"/>
          <w:shd w:val="clear" w:color="auto" w:fill="FFFFFF"/>
          <w:lang w:val="en-US" w:eastAsia="zh-CN" w:bidi="ar-SA"/>
        </w:rPr>
        <w:t>120</w:t>
      </w:r>
      <w:r>
        <w:rPr>
          <w:rFonts w:hint="default" w:ascii="Times New Roman" w:hAnsi="Times New Roman" w:eastAsia="仿宋_GB2312" w:cs="Times New Roman"/>
          <w:color w:val="000000"/>
          <w:kern w:val="0"/>
          <w:sz w:val="32"/>
          <w:szCs w:val="32"/>
          <w:shd w:val="clear" w:color="auto" w:fill="FFFFFF"/>
          <w:lang w:val="zh-CN" w:eastAsia="zh-CN" w:bidi="ar-SA"/>
        </w:rPr>
        <w:t>万元</w:t>
      </w:r>
      <w:r>
        <w:rPr>
          <w:rFonts w:hint="eastAsia" w:ascii="Times New Roman" w:hAnsi="Times New Roman" w:eastAsia="仿宋_GB2312" w:cs="Times New Roman"/>
          <w:color w:val="000000"/>
          <w:kern w:val="0"/>
          <w:sz w:val="32"/>
          <w:szCs w:val="32"/>
          <w:shd w:val="clear" w:color="auto" w:fill="FFFFFF"/>
          <w:lang w:val="en-US" w:eastAsia="zh-CN" w:bidi="ar-SA"/>
        </w:rPr>
        <w:t>，</w:t>
      </w:r>
      <w:r>
        <w:rPr>
          <w:rFonts w:hint="eastAsia" w:ascii="Times New Roman" w:hAnsi="Times New Roman" w:eastAsia="仿宋_GB2312" w:cs="Times New Roman"/>
          <w:color w:val="000000"/>
          <w:kern w:val="0"/>
          <w:sz w:val="32"/>
          <w:szCs w:val="32"/>
          <w:shd w:val="clear" w:color="auto" w:fill="FFFFFF"/>
          <w:lang w:val="zh-CN" w:eastAsia="zh-CN" w:bidi="ar-SA"/>
        </w:rPr>
        <w:t>到位</w:t>
      </w:r>
      <w:r>
        <w:rPr>
          <w:rFonts w:hint="eastAsia" w:ascii="Times New Roman" w:hAnsi="Times New Roman" w:eastAsia="仿宋_GB2312" w:cs="Times New Roman"/>
          <w:color w:val="000000"/>
          <w:kern w:val="0"/>
          <w:sz w:val="32"/>
          <w:szCs w:val="32"/>
          <w:shd w:val="clear" w:color="auto" w:fill="FFFFFF"/>
          <w:lang w:val="en-US" w:eastAsia="zh-CN" w:bidi="ar-SA"/>
        </w:rPr>
        <w:t>资金到位资102.753525万元</w:t>
      </w:r>
      <w:r>
        <w:rPr>
          <w:rFonts w:hint="eastAsia" w:ascii="Times New Roman" w:hAnsi="Times New Roman" w:eastAsia="仿宋_GB2312" w:cs="Times New Roman"/>
          <w:color w:val="000000"/>
          <w:kern w:val="0"/>
          <w:sz w:val="32"/>
          <w:szCs w:val="32"/>
          <w:shd w:val="clear" w:color="auto" w:fill="FFFFFF"/>
          <w:lang w:val="zh-CN" w:eastAsia="zh-CN" w:bidi="ar-SA"/>
        </w:rPr>
        <w:t>，资金到位及时，到位率为</w:t>
      </w:r>
      <w:r>
        <w:rPr>
          <w:rFonts w:hint="eastAsia" w:ascii="Times New Roman" w:hAnsi="Times New Roman" w:eastAsia="仿宋_GB2312" w:cs="Times New Roman"/>
          <w:color w:val="000000"/>
          <w:kern w:val="0"/>
          <w:sz w:val="32"/>
          <w:szCs w:val="32"/>
          <w:shd w:val="clear" w:color="auto" w:fill="FFFFFF"/>
          <w:lang w:val="en-US" w:eastAsia="zh-CN" w:bidi="ar-SA"/>
        </w:rPr>
        <w:t>85.6%</w:t>
      </w:r>
      <w:r>
        <w:rPr>
          <w:rFonts w:hint="eastAsia" w:ascii="Times New Roman" w:hAnsi="Times New Roman" w:eastAsia="仿宋_GB2312" w:cs="Times New Roman"/>
          <w:color w:val="000000"/>
          <w:kern w:val="0"/>
          <w:sz w:val="32"/>
          <w:szCs w:val="32"/>
          <w:shd w:val="clear" w:color="auto" w:fill="FFFFFF"/>
          <w:lang w:val="zh-CN" w:eastAsia="zh-CN" w:bidi="ar-SA"/>
        </w:rPr>
        <w:t>。资金使用：</w:t>
      </w:r>
      <w:r>
        <w:rPr>
          <w:rFonts w:hint="eastAsia" w:ascii="Times New Roman" w:hAnsi="Times New Roman" w:eastAsia="仿宋_GB2312" w:cs="Times New Roman"/>
          <w:color w:val="000000"/>
          <w:kern w:val="0"/>
          <w:sz w:val="32"/>
          <w:szCs w:val="32"/>
          <w:shd w:val="clear" w:color="auto" w:fill="FFFFFF"/>
          <w:lang w:val="en-US" w:eastAsia="zh-CN" w:bidi="ar-SA"/>
        </w:rPr>
        <w:t>壤塘县中壤塘镇镇区旅游厕所建设项目到位资金102.753525万元，支出资金99.670919万元资金执行率97%。</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right="0" w:rightChars="0" w:firstLine="640" w:firstLineChars="200"/>
        <w:jc w:val="both"/>
        <w:rPr>
          <w:rFonts w:hint="default" w:ascii="Times New Roman" w:hAnsi="Times New Roman" w:eastAsia="仿宋_GB2312" w:cs="Times New Roman"/>
          <w:color w:val="000000"/>
          <w:kern w:val="0"/>
          <w:sz w:val="32"/>
          <w:szCs w:val="32"/>
          <w:shd w:val="clear" w:color="auto" w:fill="FFFFFF"/>
          <w:lang w:val="en-US" w:eastAsia="zh-CN" w:bidi="ar-SA"/>
        </w:rPr>
      </w:pPr>
      <w:r>
        <w:rPr>
          <w:rFonts w:hint="eastAsia" w:ascii="Times New Roman" w:hAnsi="Times New Roman" w:eastAsia="仿宋_GB2312" w:cs="Times New Roman"/>
          <w:color w:val="000000"/>
          <w:kern w:val="0"/>
          <w:sz w:val="32"/>
          <w:szCs w:val="32"/>
          <w:shd w:val="clear" w:color="auto" w:fill="FFFFFF"/>
          <w:lang w:val="en-US" w:eastAsia="zh-CN" w:bidi="ar-SA"/>
        </w:rPr>
        <w:t>3.</w:t>
      </w:r>
      <w:r>
        <w:rPr>
          <w:rFonts w:hint="eastAsia" w:ascii="Times New Roman" w:hAnsi="Times New Roman" w:eastAsia="仿宋_GB2312" w:cs="Times New Roman"/>
          <w:color w:val="000000"/>
          <w:kern w:val="0"/>
          <w:sz w:val="32"/>
          <w:szCs w:val="32"/>
          <w:shd w:val="clear" w:color="auto" w:fill="FFFFFF"/>
          <w:lang w:val="zh-CN" w:eastAsia="zh-CN" w:bidi="ar-SA"/>
        </w:rPr>
        <w:t>目标实现。项目成立了项目管理办公室，专人负责，并配备监理协助抓好工程工期</w:t>
      </w:r>
      <w:r>
        <w:rPr>
          <w:rFonts w:hint="eastAsia" w:ascii="Times New Roman" w:hAnsi="Times New Roman" w:eastAsia="仿宋_GB2312" w:cs="Times New Roman"/>
          <w:color w:val="000000"/>
          <w:kern w:val="0"/>
          <w:sz w:val="32"/>
          <w:szCs w:val="32"/>
          <w:shd w:val="clear" w:color="auto" w:fill="FFFFFF"/>
          <w:lang w:val="en-US" w:eastAsia="zh-CN" w:bidi="ar-SA"/>
        </w:rPr>
        <w:t>与</w:t>
      </w:r>
      <w:r>
        <w:rPr>
          <w:rFonts w:hint="eastAsia" w:ascii="Times New Roman" w:hAnsi="Times New Roman" w:eastAsia="仿宋_GB2312" w:cs="Times New Roman"/>
          <w:color w:val="000000"/>
          <w:kern w:val="0"/>
          <w:sz w:val="32"/>
          <w:szCs w:val="32"/>
          <w:shd w:val="clear" w:color="auto" w:fill="FFFFFF"/>
          <w:lang w:val="zh-CN" w:eastAsia="zh-CN" w:bidi="ar-SA"/>
        </w:rPr>
        <w:t>质量等工作。项目按施工合同约定，如期保质保量完成。</w:t>
      </w:r>
      <w:r>
        <w:rPr>
          <w:rFonts w:hint="eastAsia" w:ascii="Times New Roman" w:hAnsi="Times New Roman" w:eastAsia="仿宋_GB2312" w:cs="Times New Roman"/>
          <w:color w:val="000000"/>
          <w:kern w:val="0"/>
          <w:sz w:val="32"/>
          <w:szCs w:val="32"/>
          <w:shd w:val="clear" w:color="auto" w:fill="FFFFFF"/>
          <w:lang w:val="en-US" w:eastAsia="zh-CN" w:bidi="ar-SA"/>
        </w:rPr>
        <w:t>项目资金和管理费用资金按合同约定和项目进度及时发放，达到相关部门要求的发放进度。该项目覆盖村3个，受益脱贫户数大于120户，受群众人口数大于564人，社会效益明显。通过平时调研走访和督查情况看，群众对该项目认可度高，对项目建设开展情况满意，没有出现不良舆情，满意率较高。</w:t>
      </w:r>
    </w:p>
    <w:p>
      <w:pPr>
        <w:pStyle w:val="3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default" w:ascii="Times New Roman" w:hAnsi="Times New Roman" w:eastAsia="仿宋_GB2312" w:cs="Times New Roman"/>
          <w:color w:val="000000"/>
          <w:kern w:val="0"/>
          <w:sz w:val="32"/>
          <w:szCs w:val="32"/>
          <w:shd w:val="clear" w:color="auto" w:fill="FFFFFF"/>
          <w:lang w:val="en-US" w:eastAsia="zh-CN" w:bidi="ar-SA"/>
        </w:rPr>
      </w:pP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right="0" w:rightChars="0" w:firstLine="640" w:firstLineChars="200"/>
        <w:jc w:val="both"/>
        <w:rPr>
          <w:rFonts w:hint="default" w:ascii="Times New Roman" w:hAnsi="Times New Roman" w:eastAsia="仿宋_GB2312" w:cs="Times New Roman"/>
          <w:kern w:val="2"/>
          <w:sz w:val="32"/>
          <w:szCs w:val="32"/>
          <w:u w:val="none"/>
          <w:lang w:val="en-US" w:eastAsia="zh-CN" w:bidi="ar"/>
        </w:rPr>
      </w:pPr>
      <w:r>
        <w:rPr>
          <w:rFonts w:hint="default" w:ascii="Times New Roman" w:hAnsi="Times New Roman" w:eastAsia="仿宋_GB2312" w:cs="Times New Roman"/>
          <w:kern w:val="2"/>
          <w:sz w:val="32"/>
          <w:szCs w:val="32"/>
          <w:u w:val="none"/>
          <w:lang w:val="en-US" w:eastAsia="zh-CN" w:bidi="ar"/>
        </w:rPr>
        <w:t>一是内部应用落地见效。将年度绩效评价结果作为下一年度预算编制、项目安排、资金分配、工作优化的重要依据</w:t>
      </w:r>
      <w:r>
        <w:rPr>
          <w:rFonts w:hint="eastAsia" w:eastAsia="仿宋_GB2312" w:cs="Times New Roman"/>
          <w:kern w:val="2"/>
          <w:sz w:val="32"/>
          <w:szCs w:val="32"/>
          <w:u w:val="none"/>
          <w:lang w:val="en-US" w:eastAsia="zh-CN" w:bidi="ar"/>
        </w:rPr>
        <w:t>，</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进一步增强决策的科学性与民主性。日常公用经费、机关运行经费及“三公”经费均严格按照年度预算执行，坚决恪守中央八项规定精神。年度内无因公出国（境）费用发生，公务用车运行维护费秉持厉行节约原则，未出现超标准、超范围支出情况。</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ab/>
      </w:r>
    </w:p>
    <w:p>
      <w:pPr>
        <w:widowControl/>
        <w:adjustRightInd w:val="0"/>
        <w:snapToGrid w:val="0"/>
        <w:spacing w:line="578" w:lineRule="exact"/>
        <w:ind w:firstLine="640" w:firstLineChars="200"/>
        <w:contextualSpacing/>
        <w:jc w:val="both"/>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kern w:val="2"/>
          <w:sz w:val="32"/>
          <w:szCs w:val="32"/>
          <w:u w:val="none"/>
          <w:lang w:val="en-US" w:eastAsia="zh-CN" w:bidi="ar"/>
        </w:rPr>
        <w:t>二是信息公开全面规范。</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按照财政要求，及时在预决算批复后20日内，在壤塘县</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政府门户网站</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进行公开，公开内容真实、完整，</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不存在虚列支出的问题，按照实际支出填报。</w:t>
      </w:r>
      <w:r>
        <w:rPr>
          <w:rFonts w:hint="default" w:ascii="Times New Roman" w:hAnsi="Times New Roman" w:eastAsia="仿宋_GB2312" w:cs="Times New Roman"/>
          <w:kern w:val="2"/>
          <w:sz w:val="32"/>
          <w:szCs w:val="32"/>
          <w:u w:val="none"/>
          <w:lang w:val="en-US" w:eastAsia="zh-CN" w:bidi="ar"/>
        </w:rPr>
        <w:t>主动接受群众和社会监督。</w:t>
      </w:r>
      <w:r>
        <w:rPr>
          <w:rFonts w:hint="eastAsia" w:ascii="Times New Roman" w:hAnsi="Times New Roman" w:eastAsia="仿宋_GB2312" w:cs="Times New Roman"/>
          <w:color w:val="000000"/>
          <w:kern w:val="0"/>
          <w:sz w:val="32"/>
          <w:szCs w:val="32"/>
          <w:shd w:val="clear" w:color="auto" w:fill="FFFFFF"/>
          <w:lang w:val="en-US" w:eastAsia="zh-CN" w:bidi="ar-SA"/>
        </w:rPr>
        <w:t xml:space="preserve">    </w:t>
      </w:r>
      <w:r>
        <w:rPr>
          <w:rFonts w:hint="eastAsia" w:ascii="仿宋" w:hAnsi="仿宋" w:eastAsia="仿宋" w:cs="仿宋"/>
          <w:kern w:val="2"/>
          <w:sz w:val="32"/>
          <w:szCs w:val="32"/>
          <w:lang w:val="en-US" w:eastAsia="zh-CN" w:bidi="ar-SA"/>
        </w:rPr>
        <w:t xml:space="preserve">      </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snapToGrid w:val="0"/>
        <w:spacing w:line="520" w:lineRule="exact"/>
        <w:ind w:firstLine="642" w:firstLineChars="200"/>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pPr>
        <w:snapToGrid w:val="0"/>
        <w:spacing w:line="520" w:lineRule="exact"/>
        <w:ind w:firstLine="642" w:firstLineChars="200"/>
        <w:rPr>
          <w:rFonts w:hint="default" w:ascii="仿宋_GB2312" w:hAnsi="宋体"/>
          <w:b/>
          <w:bCs/>
          <w:color w:val="0000FF"/>
          <w:sz w:val="30"/>
          <w:szCs w:val="30"/>
          <w:lang w:val="en-US" w:eastAsia="zh-CN"/>
        </w:rPr>
      </w:pPr>
      <w:r>
        <w:rPr>
          <w:rFonts w:hint="eastAsia" w:ascii="Times New Roman" w:hAnsi="Times New Roman" w:eastAsia="楷体_GB2312" w:cs="Times New Roman"/>
          <w:b/>
          <w:bCs/>
          <w:color w:val="000000"/>
          <w:kern w:val="0"/>
          <w:sz w:val="32"/>
          <w:szCs w:val="32"/>
          <w:highlight w:val="none"/>
          <w:shd w:val="clear" w:color="auto" w:fill="FFFFFF"/>
          <w:lang w:val="zh-CN" w:eastAsia="zh-CN"/>
        </w:rPr>
        <w:t>评价得分：</w:t>
      </w:r>
      <w:r>
        <w:rPr>
          <w:rFonts w:hint="eastAsia" w:ascii="仿宋_GB2312" w:hAnsi="宋体" w:eastAsia="仿宋_GB2312" w:cs="Times New Roman"/>
          <w:b w:val="0"/>
          <w:bCs w:val="0"/>
          <w:color w:val="000000" w:themeColor="text1"/>
          <w:kern w:val="2"/>
          <w:sz w:val="30"/>
          <w:szCs w:val="30"/>
          <w:lang w:val="zh-CN" w:eastAsia="zh-CN" w:bidi="ar-SA"/>
          <w14:textFill>
            <w14:solidFill>
              <w14:schemeClr w14:val="tx1"/>
            </w14:solidFill>
          </w14:textFill>
        </w:rPr>
        <w:t>评价得分</w:t>
      </w:r>
      <w:r>
        <w:rPr>
          <w:rFonts w:hint="eastAsia" w:ascii="仿宋_GB2312" w:hAnsi="宋体" w:cs="Times New Roman"/>
          <w:b w:val="0"/>
          <w:bCs w:val="0"/>
          <w:color w:val="000000" w:themeColor="text1"/>
          <w:kern w:val="2"/>
          <w:sz w:val="30"/>
          <w:szCs w:val="30"/>
          <w:lang w:val="en-US" w:eastAsia="zh-CN" w:bidi="ar-SA"/>
          <w14:textFill>
            <w14:solidFill>
              <w14:schemeClr w14:val="tx1"/>
            </w14:solidFill>
          </w14:textFill>
        </w:rPr>
        <w:t>88.5</w:t>
      </w:r>
      <w:r>
        <w:rPr>
          <w:rFonts w:hint="eastAsia" w:ascii="仿宋_GB2312" w:hAnsi="宋体" w:eastAsia="仿宋_GB2312" w:cs="Times New Roman"/>
          <w:b w:val="0"/>
          <w:bCs w:val="0"/>
          <w:color w:val="000000" w:themeColor="text1"/>
          <w:kern w:val="2"/>
          <w:sz w:val="30"/>
          <w:szCs w:val="30"/>
          <w:lang w:val="en-US" w:eastAsia="zh-CN" w:bidi="ar-SA"/>
          <w14:textFill>
            <w14:solidFill>
              <w14:schemeClr w14:val="tx1"/>
            </w14:solidFill>
          </w14:textFill>
        </w:rPr>
        <w:t>分</w:t>
      </w:r>
      <w:r>
        <w:rPr>
          <w:rFonts w:hint="eastAsia" w:ascii="仿宋_GB2312" w:hAnsi="宋体" w:cs="Times New Roman"/>
          <w:b w:val="0"/>
          <w:bCs w:val="0"/>
          <w:color w:val="000000" w:themeColor="text1"/>
          <w:kern w:val="2"/>
          <w:sz w:val="30"/>
          <w:szCs w:val="30"/>
          <w:lang w:val="en-US" w:eastAsia="zh-CN" w:bidi="ar-SA"/>
          <w14:textFill>
            <w14:solidFill>
              <w14:schemeClr w14:val="tx1"/>
            </w14:solidFill>
          </w14:textFill>
        </w:rPr>
        <w:t>（良好）</w:t>
      </w:r>
      <w:r>
        <w:rPr>
          <w:rFonts w:hint="eastAsia" w:ascii="仿宋_GB2312" w:hAnsi="宋体"/>
          <w:b w:val="0"/>
          <w:bCs w:val="0"/>
          <w:color w:val="000000" w:themeColor="text1"/>
          <w:sz w:val="30"/>
          <w:szCs w:val="30"/>
          <w:lang w:val="en-US" w:eastAsia="zh-CN"/>
          <w14:textFill>
            <w14:solidFill>
              <w14:schemeClr w14:val="tx1"/>
            </w14:solidFill>
          </w14:textFill>
        </w:rPr>
        <w:t>。</w:t>
      </w:r>
    </w:p>
    <w:p>
      <w:pPr>
        <w:snapToGrid w:val="0"/>
        <w:spacing w:line="520" w:lineRule="exact"/>
        <w:rPr>
          <w:rFonts w:hint="eastAsia" w:ascii="仿宋_GB2312" w:hAnsi="宋体" w:eastAsia="仿宋_GB2312" w:cs="Times New Roman"/>
          <w:b w:val="0"/>
          <w:bCs w:val="0"/>
          <w:color w:val="000000" w:themeColor="text1"/>
          <w:kern w:val="2"/>
          <w:sz w:val="30"/>
          <w:szCs w:val="30"/>
          <w:lang w:val="zh-CN" w:eastAsia="zh-CN" w:bidi="ar-SA"/>
          <w14:textFill>
            <w14:solidFill>
              <w14:schemeClr w14:val="tx1"/>
            </w14:solidFill>
          </w14:textFill>
        </w:rPr>
      </w:pPr>
      <w:r>
        <w:rPr>
          <w:rFonts w:hint="eastAsia" w:ascii="仿宋_GB2312" w:hAnsi="宋体" w:eastAsia="仿宋_GB2312" w:cs="Times New Roman"/>
          <w:b w:val="0"/>
          <w:bCs w:val="0"/>
          <w:color w:val="000000" w:themeColor="text1"/>
          <w:kern w:val="2"/>
          <w:sz w:val="30"/>
          <w:szCs w:val="30"/>
          <w:lang w:val="zh-CN" w:eastAsia="zh-CN" w:bidi="ar-SA"/>
          <w14:textFill>
            <w14:solidFill>
              <w14:schemeClr w14:val="tx1"/>
            </w14:solidFill>
          </w14:textFill>
        </w:rPr>
        <w:t>等级标准：</w:t>
      </w:r>
    </w:p>
    <w:tbl>
      <w:tblPr>
        <w:tblStyle w:val="17"/>
        <w:tblW w:w="8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2"/>
        <w:gridCol w:w="2982"/>
        <w:gridCol w:w="2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vAlign w:val="top"/>
          </w:tcPr>
          <w:p>
            <w:pPr>
              <w:spacing w:line="480" w:lineRule="exact"/>
              <w:rPr>
                <w:rFonts w:hint="eastAsia" w:ascii="仿宋_GB2312" w:hAnsi="宋体"/>
                <w:sz w:val="30"/>
                <w:szCs w:val="30"/>
              </w:rPr>
            </w:pPr>
            <w:r>
              <w:rPr>
                <w:rFonts w:hint="eastAsia" w:ascii="仿宋_GB2312" w:hAnsi="宋体"/>
                <w:sz w:val="30"/>
                <w:szCs w:val="30"/>
              </w:rPr>
              <w:t>评分</w:t>
            </w:r>
          </w:p>
        </w:tc>
        <w:tc>
          <w:tcPr>
            <w:tcW w:w="2982" w:type="dxa"/>
            <w:vAlign w:val="top"/>
          </w:tcPr>
          <w:p>
            <w:pPr>
              <w:spacing w:line="480" w:lineRule="exact"/>
              <w:rPr>
                <w:rFonts w:hint="eastAsia" w:ascii="仿宋_GB2312" w:hAnsi="宋体"/>
                <w:sz w:val="30"/>
                <w:szCs w:val="30"/>
              </w:rPr>
            </w:pPr>
            <w:r>
              <w:rPr>
                <w:rFonts w:hint="eastAsia" w:ascii="仿宋_GB2312" w:hAnsi="宋体"/>
                <w:sz w:val="30"/>
                <w:szCs w:val="30"/>
              </w:rPr>
              <w:t>评价等级</w:t>
            </w:r>
          </w:p>
        </w:tc>
        <w:tc>
          <w:tcPr>
            <w:tcW w:w="2982" w:type="dxa"/>
            <w:vAlign w:val="top"/>
          </w:tcPr>
          <w:p>
            <w:pPr>
              <w:spacing w:line="480" w:lineRule="exact"/>
              <w:rPr>
                <w:rFonts w:hint="eastAsia" w:ascii="仿宋_GB2312" w:hAnsi="宋体"/>
                <w:sz w:val="30"/>
                <w:szCs w:val="30"/>
              </w:rPr>
            </w:pPr>
            <w:r>
              <w:rPr>
                <w:rFonts w:hint="eastAsia" w:ascii="仿宋_GB2312" w:hAnsi="宋体"/>
                <w:sz w:val="30"/>
                <w:szCs w:val="3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vAlign w:val="top"/>
          </w:tcPr>
          <w:p>
            <w:pPr>
              <w:spacing w:line="480" w:lineRule="exact"/>
              <w:rPr>
                <w:rFonts w:hint="eastAsia" w:ascii="仿宋_GB2312" w:hAnsi="宋体"/>
                <w:sz w:val="30"/>
                <w:szCs w:val="30"/>
              </w:rPr>
            </w:pPr>
            <w:r>
              <w:rPr>
                <w:rFonts w:hint="eastAsia" w:ascii="仿宋_GB2312" w:hAnsi="宋体"/>
                <w:sz w:val="30"/>
                <w:szCs w:val="30"/>
              </w:rPr>
              <w:t>90≤评分</w:t>
            </w:r>
          </w:p>
        </w:tc>
        <w:tc>
          <w:tcPr>
            <w:tcW w:w="2982" w:type="dxa"/>
            <w:vAlign w:val="top"/>
          </w:tcPr>
          <w:p>
            <w:pPr>
              <w:spacing w:line="480" w:lineRule="exact"/>
              <w:rPr>
                <w:rFonts w:hint="eastAsia" w:ascii="仿宋_GB2312" w:hAnsi="宋体"/>
                <w:sz w:val="30"/>
                <w:szCs w:val="30"/>
              </w:rPr>
            </w:pPr>
            <w:r>
              <w:rPr>
                <w:rFonts w:hint="eastAsia" w:ascii="仿宋_GB2312" w:hAnsi="宋体"/>
                <w:sz w:val="30"/>
                <w:szCs w:val="30"/>
              </w:rPr>
              <w:t>优秀</w:t>
            </w:r>
          </w:p>
        </w:tc>
        <w:tc>
          <w:tcPr>
            <w:tcW w:w="2982" w:type="dxa"/>
            <w:vAlign w:val="top"/>
          </w:tcPr>
          <w:p>
            <w:pPr>
              <w:spacing w:line="480" w:lineRule="exact"/>
              <w:rPr>
                <w:rFonts w:hint="eastAsia" w:ascii="仿宋_GB2312" w:hAnsi="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vAlign w:val="top"/>
          </w:tcPr>
          <w:p>
            <w:pPr>
              <w:spacing w:line="480" w:lineRule="exact"/>
              <w:rPr>
                <w:rFonts w:hint="eastAsia" w:ascii="仿宋_GB2312" w:hAnsi="宋体"/>
                <w:color w:val="000000" w:themeColor="text1"/>
                <w:sz w:val="30"/>
                <w:szCs w:val="30"/>
                <w14:textFill>
                  <w14:solidFill>
                    <w14:schemeClr w14:val="tx1"/>
                  </w14:solidFill>
                </w14:textFill>
              </w:rPr>
            </w:pPr>
            <w:r>
              <w:rPr>
                <w:rFonts w:hint="eastAsia" w:ascii="仿宋_GB2312" w:hAnsi="宋体"/>
                <w:color w:val="000000" w:themeColor="text1"/>
                <w:sz w:val="30"/>
                <w:szCs w:val="30"/>
                <w14:textFill>
                  <w14:solidFill>
                    <w14:schemeClr w14:val="tx1"/>
                  </w14:solidFill>
                </w14:textFill>
              </w:rPr>
              <w:t>80≤评分＜90</w:t>
            </w:r>
          </w:p>
        </w:tc>
        <w:tc>
          <w:tcPr>
            <w:tcW w:w="2982" w:type="dxa"/>
            <w:vAlign w:val="top"/>
          </w:tcPr>
          <w:p>
            <w:pPr>
              <w:spacing w:line="480" w:lineRule="exact"/>
              <w:rPr>
                <w:rFonts w:hint="eastAsia" w:ascii="仿宋_GB2312" w:hAnsi="宋体"/>
                <w:color w:val="000000" w:themeColor="text1"/>
                <w:sz w:val="30"/>
                <w:szCs w:val="30"/>
                <w14:textFill>
                  <w14:solidFill>
                    <w14:schemeClr w14:val="tx1"/>
                  </w14:solidFill>
                </w14:textFill>
              </w:rPr>
            </w:pPr>
            <w:r>
              <w:rPr>
                <w:rFonts w:hint="eastAsia" w:ascii="仿宋_GB2312" w:hAnsi="宋体"/>
                <w:color w:val="000000" w:themeColor="text1"/>
                <w:sz w:val="30"/>
                <w:szCs w:val="30"/>
                <w14:textFill>
                  <w14:solidFill>
                    <w14:schemeClr w14:val="tx1"/>
                  </w14:solidFill>
                </w14:textFill>
              </w:rPr>
              <w:t>良好</w:t>
            </w:r>
          </w:p>
        </w:tc>
        <w:tc>
          <w:tcPr>
            <w:tcW w:w="2982" w:type="dxa"/>
            <w:vAlign w:val="top"/>
          </w:tcPr>
          <w:p>
            <w:pPr>
              <w:spacing w:line="480" w:lineRule="exact"/>
              <w:rPr>
                <w:rFonts w:hint="eastAsia" w:ascii="仿宋_GB2312" w:hAnsi="宋体"/>
                <w:color w:val="000000" w:themeColor="text1"/>
                <w:sz w:val="30"/>
                <w:szCs w:val="30"/>
                <w14:textFill>
                  <w14:solidFill>
                    <w14:schemeClr w14:val="tx1"/>
                  </w14:solidFill>
                </w14:textFill>
              </w:rPr>
            </w:pPr>
            <w:r>
              <w:rPr>
                <w:rFonts w:hint="eastAsia" w:ascii="仿宋_GB2312" w:hAnsi="宋体"/>
                <w:color w:val="000000" w:themeColor="text1"/>
                <w:sz w:val="30"/>
                <w:szCs w:val="30"/>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vAlign w:val="top"/>
          </w:tcPr>
          <w:p>
            <w:pPr>
              <w:spacing w:line="480" w:lineRule="exact"/>
              <w:rPr>
                <w:rFonts w:hint="eastAsia" w:ascii="仿宋_GB2312" w:hAnsi="宋体"/>
                <w:sz w:val="30"/>
                <w:szCs w:val="30"/>
              </w:rPr>
            </w:pPr>
            <w:r>
              <w:rPr>
                <w:rFonts w:hint="eastAsia" w:ascii="仿宋_GB2312" w:hAnsi="宋体"/>
                <w:sz w:val="30"/>
                <w:szCs w:val="30"/>
              </w:rPr>
              <w:t>70≤评分＜80</w:t>
            </w:r>
          </w:p>
        </w:tc>
        <w:tc>
          <w:tcPr>
            <w:tcW w:w="2982" w:type="dxa"/>
            <w:vAlign w:val="top"/>
          </w:tcPr>
          <w:p>
            <w:pPr>
              <w:spacing w:line="480" w:lineRule="exact"/>
              <w:rPr>
                <w:rFonts w:hint="eastAsia" w:ascii="仿宋_GB2312" w:hAnsi="宋体"/>
                <w:sz w:val="30"/>
                <w:szCs w:val="30"/>
              </w:rPr>
            </w:pPr>
            <w:r>
              <w:rPr>
                <w:rFonts w:hint="eastAsia" w:ascii="仿宋_GB2312" w:hAnsi="宋体"/>
                <w:sz w:val="30"/>
                <w:szCs w:val="30"/>
              </w:rPr>
              <w:t>合格</w:t>
            </w:r>
          </w:p>
        </w:tc>
        <w:tc>
          <w:tcPr>
            <w:tcW w:w="2982" w:type="dxa"/>
            <w:vAlign w:val="top"/>
          </w:tcPr>
          <w:p>
            <w:pPr>
              <w:spacing w:line="480" w:lineRule="exact"/>
              <w:rPr>
                <w:rFonts w:hint="eastAsia" w:ascii="仿宋_GB2312" w:hAnsi="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vAlign w:val="top"/>
          </w:tcPr>
          <w:p>
            <w:pPr>
              <w:spacing w:line="480" w:lineRule="exact"/>
              <w:rPr>
                <w:rFonts w:hint="eastAsia" w:ascii="仿宋_GB2312" w:hAnsi="宋体"/>
                <w:sz w:val="30"/>
                <w:szCs w:val="30"/>
              </w:rPr>
            </w:pPr>
            <w:r>
              <w:rPr>
                <w:rFonts w:hint="eastAsia" w:ascii="仿宋_GB2312" w:hAnsi="宋体"/>
                <w:sz w:val="30"/>
                <w:szCs w:val="30"/>
              </w:rPr>
              <w:t>*0≤评分＜70</w:t>
            </w:r>
          </w:p>
        </w:tc>
        <w:tc>
          <w:tcPr>
            <w:tcW w:w="2982" w:type="dxa"/>
            <w:vAlign w:val="top"/>
          </w:tcPr>
          <w:p>
            <w:pPr>
              <w:spacing w:line="480" w:lineRule="exact"/>
              <w:rPr>
                <w:rFonts w:hint="eastAsia" w:ascii="仿宋_GB2312" w:hAnsi="宋体"/>
                <w:sz w:val="30"/>
                <w:szCs w:val="30"/>
              </w:rPr>
            </w:pPr>
            <w:r>
              <w:rPr>
                <w:rFonts w:hint="eastAsia" w:ascii="仿宋_GB2312" w:hAnsi="宋体"/>
                <w:sz w:val="30"/>
                <w:szCs w:val="30"/>
              </w:rPr>
              <w:t>较差</w:t>
            </w:r>
          </w:p>
        </w:tc>
        <w:tc>
          <w:tcPr>
            <w:tcW w:w="2982" w:type="dxa"/>
            <w:vAlign w:val="top"/>
          </w:tcPr>
          <w:p>
            <w:pPr>
              <w:spacing w:line="480" w:lineRule="exact"/>
              <w:rPr>
                <w:rFonts w:hint="eastAsia" w:ascii="仿宋_GB2312" w:hAnsi="宋体"/>
                <w:sz w:val="30"/>
                <w:szCs w:val="30"/>
              </w:rPr>
            </w:pPr>
          </w:p>
        </w:tc>
      </w:tr>
    </w:tbl>
    <w:p>
      <w:pPr>
        <w:snapToGrid w:val="0"/>
        <w:spacing w:line="520" w:lineRule="exact"/>
        <w:ind w:firstLine="642" w:firstLineChars="200"/>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二</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bCs/>
          <w:color w:val="000000"/>
          <w:kern w:val="0"/>
          <w:sz w:val="32"/>
          <w:szCs w:val="32"/>
          <w:highlight w:val="none"/>
          <w:shd w:val="clear" w:color="auto" w:fill="FFFFFF"/>
          <w:lang w:val="zh-CN"/>
        </w:rPr>
        <w:t>存在问题。</w:t>
      </w:r>
    </w:p>
    <w:p>
      <w:pPr>
        <w:snapToGrid w:val="0"/>
        <w:spacing w:line="520" w:lineRule="exact"/>
        <w:ind w:firstLine="600" w:firstLineChars="200"/>
        <w:rPr>
          <w:rFonts w:hint="eastAsia" w:ascii="仿宋_GB2312" w:hAnsi="宋体" w:eastAsia="仿宋_GB2312" w:cs="Times New Roman"/>
          <w:b w:val="0"/>
          <w:bCs w:val="0"/>
          <w:color w:val="000000" w:themeColor="text1"/>
          <w:kern w:val="2"/>
          <w:sz w:val="30"/>
          <w:szCs w:val="30"/>
          <w:lang w:val="zh-CN" w:eastAsia="zh-CN" w:bidi="ar-SA"/>
          <w14:textFill>
            <w14:solidFill>
              <w14:schemeClr w14:val="tx1"/>
            </w14:solidFill>
          </w14:textFill>
        </w:rPr>
      </w:pPr>
      <w:r>
        <w:rPr>
          <w:rFonts w:hint="eastAsia" w:ascii="仿宋_GB2312" w:hAnsi="宋体" w:eastAsia="仿宋_GB2312" w:cs="Times New Roman"/>
          <w:b w:val="0"/>
          <w:bCs w:val="0"/>
          <w:color w:val="000000" w:themeColor="text1"/>
          <w:kern w:val="2"/>
          <w:sz w:val="30"/>
          <w:szCs w:val="30"/>
          <w:lang w:val="en-US" w:eastAsia="zh-CN" w:bidi="ar-SA"/>
          <w14:textFill>
            <w14:solidFill>
              <w14:schemeClr w14:val="tx1"/>
            </w14:solidFill>
          </w14:textFill>
        </w:rPr>
        <w:t>1.</w:t>
      </w:r>
      <w:r>
        <w:rPr>
          <w:rFonts w:hint="eastAsia" w:ascii="仿宋_GB2312" w:hAnsi="宋体" w:eastAsia="仿宋_GB2312" w:cs="Times New Roman"/>
          <w:b w:val="0"/>
          <w:bCs w:val="0"/>
          <w:color w:val="000000" w:themeColor="text1"/>
          <w:kern w:val="2"/>
          <w:sz w:val="30"/>
          <w:szCs w:val="30"/>
          <w:lang w:val="zh-CN" w:eastAsia="zh-CN" w:bidi="ar-SA"/>
          <w14:textFill>
            <w14:solidFill>
              <w14:schemeClr w14:val="tx1"/>
            </w14:solidFill>
          </w14:textFill>
        </w:rPr>
        <w:t>绩效精细化管理水平有待提升。部分专项项目绩效指标细化程度不足，指标量化维度不够全面，绩效过程动态监管、阶段性跟踪分析不够细致。</w:t>
      </w:r>
    </w:p>
    <w:p>
      <w:pPr>
        <w:snapToGrid w:val="0"/>
        <w:spacing w:line="520" w:lineRule="exact"/>
        <w:ind w:firstLine="600" w:firstLineChars="200"/>
        <w:rPr>
          <w:rFonts w:hint="eastAsia" w:ascii="仿宋_GB2312" w:hAnsi="宋体" w:eastAsia="仿宋_GB2312" w:cs="Times New Roman"/>
          <w:b w:val="0"/>
          <w:bCs w:val="0"/>
          <w:color w:val="000000" w:themeColor="text1"/>
          <w:kern w:val="2"/>
          <w:sz w:val="30"/>
          <w:szCs w:val="30"/>
          <w:lang w:val="zh-CN" w:eastAsia="zh-CN" w:bidi="ar-SA"/>
          <w14:textFill>
            <w14:solidFill>
              <w14:schemeClr w14:val="tx1"/>
            </w14:solidFill>
          </w14:textFill>
        </w:rPr>
      </w:pPr>
      <w:r>
        <w:rPr>
          <w:rFonts w:hint="eastAsia" w:ascii="仿宋_GB2312" w:hAnsi="宋体" w:eastAsia="仿宋_GB2312" w:cs="Times New Roman"/>
          <w:b w:val="0"/>
          <w:bCs w:val="0"/>
          <w:color w:val="000000" w:themeColor="text1"/>
          <w:kern w:val="2"/>
          <w:sz w:val="30"/>
          <w:szCs w:val="30"/>
          <w:lang w:val="en-US" w:eastAsia="zh-CN" w:bidi="ar-SA"/>
          <w14:textFill>
            <w14:solidFill>
              <w14:schemeClr w14:val="tx1"/>
            </w14:solidFill>
          </w14:textFill>
        </w:rPr>
        <w:t>2.</w:t>
      </w:r>
      <w:r>
        <w:rPr>
          <w:rFonts w:hint="eastAsia" w:ascii="仿宋_GB2312" w:hAnsi="宋体" w:eastAsia="仿宋_GB2312" w:cs="Times New Roman"/>
          <w:b w:val="0"/>
          <w:bCs w:val="0"/>
          <w:color w:val="000000" w:themeColor="text1"/>
          <w:kern w:val="2"/>
          <w:sz w:val="30"/>
          <w:szCs w:val="30"/>
          <w:lang w:val="zh-CN" w:eastAsia="zh-CN" w:bidi="ar-SA"/>
          <w14:textFill>
            <w14:solidFill>
              <w14:schemeClr w14:val="tx1"/>
            </w14:solidFill>
          </w14:textFill>
        </w:rPr>
        <w:t>绩效成果转化力度不足。绩效评价结果更多用于年度总结，与年度工作考核、预算动态调整、干部履职考核的结合度不够紧密，绩效导向的约束激励作用未完全发挥。</w:t>
      </w:r>
    </w:p>
    <w:p>
      <w:pPr>
        <w:snapToGrid w:val="0"/>
        <w:spacing w:line="520" w:lineRule="exact"/>
        <w:ind w:firstLine="600" w:firstLineChars="200"/>
        <w:rPr>
          <w:rFonts w:hint="eastAsia" w:ascii="仿宋_GB2312" w:hAnsi="宋体" w:eastAsia="仿宋_GB2312" w:cs="Times New Roman"/>
          <w:b w:val="0"/>
          <w:bCs w:val="0"/>
          <w:color w:val="000000" w:themeColor="text1"/>
          <w:kern w:val="2"/>
          <w:sz w:val="30"/>
          <w:szCs w:val="30"/>
          <w:lang w:val="en-US" w:eastAsia="zh-CN" w:bidi="ar-SA"/>
          <w14:textFill>
            <w14:solidFill>
              <w14:schemeClr w14:val="tx1"/>
            </w14:solidFill>
          </w14:textFill>
        </w:rPr>
      </w:pPr>
      <w:r>
        <w:rPr>
          <w:rFonts w:hint="eastAsia" w:ascii="仿宋_GB2312" w:hAnsi="宋体" w:eastAsia="仿宋_GB2312" w:cs="Times New Roman"/>
          <w:b w:val="0"/>
          <w:bCs w:val="0"/>
          <w:color w:val="000000" w:themeColor="text1"/>
          <w:kern w:val="2"/>
          <w:sz w:val="30"/>
          <w:szCs w:val="30"/>
          <w:lang w:val="en-US" w:eastAsia="zh-CN" w:bidi="ar-SA"/>
          <w14:textFill>
            <w14:solidFill>
              <w14:schemeClr w14:val="tx1"/>
            </w14:solidFill>
          </w14:textFill>
        </w:rPr>
        <w:t>3.部分项目实施进度受天气等不可抗力因素影响，略有延迟；资金使用不够均衡，存在前松后紧的情况，影响了资金的使用效益。</w:t>
      </w:r>
    </w:p>
    <w:p>
      <w:pPr>
        <w:widowControl/>
        <w:adjustRightInd w:val="0"/>
        <w:snapToGrid w:val="0"/>
        <w:spacing w:line="578" w:lineRule="exact"/>
        <w:ind w:firstLine="642" w:firstLineChars="200"/>
        <w:contextualSpacing/>
        <w:jc w:val="left"/>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57" w:name="_Hlk110546638"/>
    </w:p>
    <w:p>
      <w:pPr>
        <w:snapToGrid w:val="0"/>
        <w:spacing w:line="520" w:lineRule="exact"/>
        <w:ind w:firstLine="600" w:firstLineChars="200"/>
        <w:rPr>
          <w:rFonts w:hint="eastAsia" w:ascii="仿宋_GB2312" w:hAnsi="宋体" w:eastAsia="仿宋_GB2312" w:cs="Times New Roman"/>
          <w:b w:val="0"/>
          <w:bCs w:val="0"/>
          <w:color w:val="000000" w:themeColor="text1"/>
          <w:kern w:val="2"/>
          <w:sz w:val="30"/>
          <w:szCs w:val="30"/>
          <w:lang w:val="en-US" w:eastAsia="zh-CN" w:bidi="ar-SA"/>
          <w14:textFill>
            <w14:solidFill>
              <w14:schemeClr w14:val="tx1"/>
            </w14:solidFill>
          </w14:textFill>
        </w:rPr>
      </w:pPr>
      <w:r>
        <w:rPr>
          <w:rFonts w:hint="eastAsia" w:ascii="仿宋_GB2312" w:hAnsi="宋体" w:eastAsia="仿宋_GB2312" w:cs="Times New Roman"/>
          <w:b w:val="0"/>
          <w:bCs w:val="0"/>
          <w:color w:val="000000" w:themeColor="text1"/>
          <w:kern w:val="2"/>
          <w:sz w:val="30"/>
          <w:szCs w:val="30"/>
          <w:lang w:val="en-US" w:eastAsia="zh-CN" w:bidi="ar-SA"/>
          <w14:textFill>
            <w14:solidFill>
              <w14:schemeClr w14:val="tx1"/>
            </w14:solidFill>
          </w14:textFill>
        </w:rPr>
        <w:t>1.强化绩效精细化全过程管理。进一步细化完善各类项目绩效指标体系，细化量化产出指标、效益指标、满意度指标，常态化开展绩效运行监控，及时发现并整改绩效偏差问题，全面提升绩效管理精细化水平。</w:t>
      </w:r>
    </w:p>
    <w:p>
      <w:pPr>
        <w:snapToGrid w:val="0"/>
        <w:spacing w:line="520" w:lineRule="exact"/>
        <w:ind w:firstLine="600" w:firstLineChars="200"/>
        <w:rPr>
          <w:rFonts w:hint="eastAsia" w:ascii="仿宋_GB2312" w:hAnsi="宋体" w:eastAsia="仿宋_GB2312" w:cs="Times New Roman"/>
          <w:b w:val="0"/>
          <w:bCs w:val="0"/>
          <w:color w:val="000000" w:themeColor="text1"/>
          <w:kern w:val="2"/>
          <w:sz w:val="30"/>
          <w:szCs w:val="30"/>
          <w:lang w:val="en-US" w:eastAsia="zh-CN" w:bidi="ar-SA"/>
          <w14:textFill>
            <w14:solidFill>
              <w14:schemeClr w14:val="tx1"/>
            </w14:solidFill>
          </w14:textFill>
        </w:rPr>
      </w:pPr>
      <w:r>
        <w:rPr>
          <w:rFonts w:hint="eastAsia" w:ascii="仿宋_GB2312" w:hAnsi="宋体" w:eastAsia="仿宋_GB2312" w:cs="Times New Roman"/>
          <w:b w:val="0"/>
          <w:bCs w:val="0"/>
          <w:color w:val="000000" w:themeColor="text1"/>
          <w:kern w:val="2"/>
          <w:sz w:val="30"/>
          <w:szCs w:val="30"/>
          <w:lang w:val="en-US" w:eastAsia="zh-CN" w:bidi="ar-SA"/>
          <w14:textFill>
            <w14:solidFill>
              <w14:schemeClr w14:val="tx1"/>
            </w14:solidFill>
          </w14:textFill>
        </w:rPr>
        <w:t>2.健全绩效结果长效应用机制。将绩效评价结果与年度预算编制、资金分配、项目取舍挂钩，对绩效优良的项目优先保障次年预算，对绩效薄弱项目严格压减优化，充分发挥绩效管理约束和激励作用。</w:t>
      </w:r>
    </w:p>
    <w:p>
      <w:pPr>
        <w:snapToGrid w:val="0"/>
        <w:spacing w:line="520" w:lineRule="exact"/>
        <w:ind w:firstLine="600" w:firstLineChars="200"/>
        <w:rPr>
          <w:rFonts w:hint="eastAsia" w:ascii="仿宋_GB2312" w:hAnsi="宋体" w:eastAsia="仿宋_GB2312" w:cs="Times New Roman"/>
          <w:b w:val="0"/>
          <w:bCs w:val="0"/>
          <w:color w:val="000000" w:themeColor="text1"/>
          <w:kern w:val="2"/>
          <w:sz w:val="30"/>
          <w:szCs w:val="30"/>
          <w:lang w:val="en-US" w:eastAsia="zh-CN" w:bidi="ar-SA"/>
          <w14:textFill>
            <w14:solidFill>
              <w14:schemeClr w14:val="tx1"/>
            </w14:solidFill>
          </w14:textFill>
        </w:rPr>
      </w:pPr>
      <w:r>
        <w:rPr>
          <w:rFonts w:hint="eastAsia" w:ascii="仿宋_GB2312" w:hAnsi="宋体" w:eastAsia="仿宋_GB2312" w:cs="Times New Roman"/>
          <w:b w:val="0"/>
          <w:bCs w:val="0"/>
          <w:color w:val="000000" w:themeColor="text1"/>
          <w:kern w:val="2"/>
          <w:sz w:val="30"/>
          <w:szCs w:val="30"/>
          <w:lang w:val="en-US" w:eastAsia="zh-CN" w:bidi="ar-SA"/>
          <w14:textFill>
            <w14:solidFill>
              <w14:schemeClr w14:val="tx1"/>
            </w14:solidFill>
          </w14:textFill>
        </w:rPr>
        <w:t>3.优化预算执行时序进度。科学统筹全年资金使用计划，杜绝年末集中支出现象，提升全年预算执行均衡性、稳定性，持续提高财政资金使用效率。</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p>
    <w:bookmarkEnd w:id="57"/>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000000"/>
          <w:sz w:val="32"/>
          <w:szCs w:val="32"/>
          <w:highlight w:val="none"/>
          <w:lang w:val="zh-CN" w:eastAsia="zh-CN"/>
        </w:rPr>
      </w:pPr>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000000"/>
          <w:sz w:val="32"/>
          <w:szCs w:val="32"/>
          <w:highlight w:val="none"/>
          <w:lang w:val="zh-CN" w:eastAsia="zh-CN"/>
        </w:rPr>
      </w:pPr>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000000"/>
          <w:sz w:val="32"/>
          <w:szCs w:val="32"/>
          <w:highlight w:val="none"/>
          <w:lang w:val="zh-CN" w:eastAsia="zh-CN"/>
        </w:rPr>
      </w:pPr>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000000"/>
          <w:sz w:val="32"/>
          <w:szCs w:val="32"/>
          <w:highlight w:val="none"/>
          <w:lang w:val="zh-CN" w:eastAsia="zh-CN"/>
        </w:rPr>
      </w:pPr>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000000"/>
          <w:sz w:val="32"/>
          <w:szCs w:val="32"/>
          <w:highlight w:val="none"/>
          <w:lang w:val="zh-CN" w:eastAsia="zh-CN"/>
        </w:rPr>
      </w:pPr>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000000"/>
          <w:sz w:val="32"/>
          <w:szCs w:val="32"/>
          <w:highlight w:val="none"/>
          <w:lang w:val="zh-CN" w:eastAsia="zh-CN"/>
        </w:rPr>
      </w:pPr>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000000"/>
          <w:sz w:val="32"/>
          <w:szCs w:val="32"/>
          <w:highlight w:val="none"/>
          <w:lang w:val="zh-CN" w:eastAsia="zh-CN"/>
        </w:rPr>
      </w:pPr>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000000"/>
          <w:sz w:val="32"/>
          <w:szCs w:val="32"/>
          <w:highlight w:val="none"/>
          <w:lang w:val="zh-CN" w:eastAsia="zh-CN"/>
        </w:rPr>
      </w:pPr>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000000"/>
          <w:sz w:val="32"/>
          <w:szCs w:val="32"/>
          <w:highlight w:val="none"/>
          <w:lang w:val="en-US" w:eastAsia="zh-CN"/>
        </w:rPr>
      </w:pPr>
      <w:r>
        <w:rPr>
          <w:rFonts w:hint="eastAsia" w:hAnsi="Times New Roman" w:cs="Times New Roman"/>
          <w:color w:val="000000"/>
          <w:sz w:val="32"/>
          <w:szCs w:val="32"/>
          <w:highlight w:val="none"/>
          <w:lang w:val="zh-CN" w:eastAsia="zh-CN"/>
        </w:rPr>
        <w:t>附表：</w:t>
      </w:r>
      <w:r>
        <w:rPr>
          <w:rFonts w:hint="eastAsia" w:hAnsi="Times New Roman" w:cs="Times New Roman"/>
          <w:color w:val="000000"/>
          <w:sz w:val="32"/>
          <w:szCs w:val="32"/>
          <w:highlight w:val="none"/>
          <w:lang w:val="en-US" w:eastAsia="zh-CN"/>
        </w:rPr>
        <w:t>部门预算项目支出绩效自评表（202</w:t>
      </w:r>
      <w:r>
        <w:rPr>
          <w:rFonts w:hint="eastAsia" w:cs="Times New Roman"/>
          <w:color w:val="000000"/>
          <w:sz w:val="32"/>
          <w:szCs w:val="32"/>
          <w:highlight w:val="none"/>
          <w:lang w:val="en-US" w:eastAsia="zh-CN"/>
        </w:rPr>
        <w:t>5</w:t>
      </w:r>
      <w:r>
        <w:rPr>
          <w:rFonts w:hint="eastAsia" w:hAnsi="Times New Roman" w:cs="Times New Roman"/>
          <w:color w:val="000000"/>
          <w:sz w:val="32"/>
          <w:szCs w:val="32"/>
          <w:highlight w:val="none"/>
          <w:lang w:val="en-US" w:eastAsia="zh-CN"/>
        </w:rPr>
        <w:t>年度）</w:t>
      </w:r>
    </w:p>
    <w:tbl>
      <w:tblPr>
        <w:tblStyle w:val="1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8"/>
        <w:gridCol w:w="1348"/>
        <w:gridCol w:w="950"/>
        <w:gridCol w:w="1260"/>
        <w:gridCol w:w="1181"/>
        <w:gridCol w:w="718"/>
        <w:gridCol w:w="681"/>
        <w:gridCol w:w="767"/>
        <w:gridCol w:w="650"/>
        <w:gridCol w:w="6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0"/>
            <w:tcBorders>
              <w:top w:val="nil"/>
              <w:left w:val="nil"/>
              <w:bottom w:val="nil"/>
              <w:right w:val="nil"/>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绩效目标自评表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0"/>
            <w:tcBorders>
              <w:top w:val="nil"/>
              <w:left w:val="nil"/>
              <w:bottom w:val="nil"/>
              <w:right w:val="nil"/>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9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93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壤塘县中壤塘镇镇区旅游厕所建设项目</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项目负责人    及电话</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曾孝敬0837-2363568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9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193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县科农局</w:t>
            </w:r>
          </w:p>
        </w:tc>
        <w:tc>
          <w:tcPr>
            <w:tcW w:w="8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72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中壤塘镇人民政府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93"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资金情况          （万元）</w:t>
            </w:r>
          </w:p>
        </w:tc>
        <w:tc>
          <w:tcPr>
            <w:tcW w:w="13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0"/>
                <w:szCs w:val="20"/>
                <w:u w:val="none"/>
              </w:rPr>
            </w:pP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全年预算数（A)</w:t>
            </w:r>
          </w:p>
        </w:tc>
        <w:tc>
          <w:tcPr>
            <w:tcW w:w="394"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全年执行数（B)</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执行率(B/A)</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93"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13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年度资金总额这:</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93"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13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其中：本年财政拨款</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394"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77.6</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93"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13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其他资金</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20"/>
                <w:szCs w:val="20"/>
                <w:u w:val="none"/>
              </w:rPr>
            </w:pPr>
          </w:p>
        </w:tc>
        <w:tc>
          <w:tcPr>
            <w:tcW w:w="394" w:type="pct"/>
            <w:tcBorders>
              <w:top w:val="single" w:color="000000" w:sz="4" w:space="0"/>
              <w:left w:val="nil"/>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20"/>
                <w:szCs w:val="20"/>
                <w:u w:val="none"/>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0"/>
                <w:szCs w:val="20"/>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323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年初设定目标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年度总体目标完成情况综述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323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3座厕所重建，3座厕所维修改造。</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3座厕所重建，3座厕所维修改造。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绩效指标</w:t>
            </w:r>
          </w:p>
        </w:tc>
        <w:tc>
          <w:tcPr>
            <w:tcW w:w="7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3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全年指标值</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全年实际值</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未完成原因及拟采取的改进措施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760" w:type="pct"/>
            <w:vMerge w:val="restart"/>
            <w:tcBorders>
              <w:top w:val="single" w:color="000000" w:sz="4" w:space="0"/>
              <w:left w:val="nil"/>
              <w:bottom w:val="nil"/>
              <w:right w:val="nil"/>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产出指标（50分）</w:t>
            </w: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378" w:type="pct"/>
            <w:gridSpan w:val="2"/>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厕所重建数量</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国标仿宋" w:hAnsi="国标仿宋" w:eastAsia="国标仿宋" w:cs="国标仿宋"/>
                <w:i w:val="0"/>
                <w:iCs w:val="0"/>
                <w:color w:val="000000"/>
                <w:sz w:val="20"/>
                <w:szCs w:val="20"/>
                <w:u w:val="none"/>
              </w:rPr>
            </w:pPr>
            <w:r>
              <w:rPr>
                <w:rFonts w:hint="default" w:ascii="国标仿宋" w:hAnsi="国标仿宋" w:eastAsia="国标仿宋" w:cs="国标仿宋"/>
                <w:i w:val="0"/>
                <w:iCs w:val="0"/>
                <w:color w:val="000000"/>
                <w:kern w:val="0"/>
                <w:sz w:val="20"/>
                <w:szCs w:val="20"/>
                <w:u w:val="none"/>
                <w:lang w:val="en-US" w:eastAsia="zh-CN" w:bidi="ar"/>
              </w:rPr>
              <w:t xml:space="preserve">=3个 </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default" w:ascii="国标仿宋" w:hAnsi="国标仿宋" w:eastAsia="国标仿宋" w:cs="国标仿宋"/>
                <w:i w:val="0"/>
                <w:iCs w:val="0"/>
                <w:color w:val="000000"/>
                <w:sz w:val="20"/>
                <w:szCs w:val="20"/>
                <w:u w:val="none"/>
              </w:rPr>
            </w:pPr>
            <w:r>
              <w:rPr>
                <w:rFonts w:hint="default" w:ascii="国标仿宋" w:hAnsi="国标仿宋" w:eastAsia="国标仿宋" w:cs="国标仿宋"/>
                <w:i w:val="0"/>
                <w:iCs w:val="0"/>
                <w:color w:val="000000"/>
                <w:kern w:val="0"/>
                <w:sz w:val="20"/>
                <w:szCs w:val="20"/>
                <w:u w:val="none"/>
                <w:lang w:val="en-US" w:eastAsia="zh-CN" w:bidi="ar"/>
              </w:rPr>
              <w:t>3个</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760" w:type="pct"/>
            <w:vMerge w:val="continue"/>
            <w:tcBorders>
              <w:top w:val="single" w:color="000000" w:sz="4" w:space="0"/>
              <w:left w:val="nil"/>
              <w:bottom w:val="nil"/>
              <w:right w:val="nil"/>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left"/>
              <w:rPr>
                <w:rFonts w:hint="eastAsia" w:ascii="宋体" w:hAnsi="宋体" w:eastAsia="宋体" w:cs="宋体"/>
                <w:i w:val="0"/>
                <w:iCs w:val="0"/>
                <w:color w:val="000000"/>
                <w:sz w:val="20"/>
                <w:szCs w:val="20"/>
                <w:u w:val="none"/>
              </w:rPr>
            </w:pPr>
          </w:p>
        </w:tc>
        <w:tc>
          <w:tcPr>
            <w:tcW w:w="1378" w:type="pct"/>
            <w:gridSpan w:val="2"/>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厕所维修改造数</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default" w:ascii="国标仿宋" w:hAnsi="国标仿宋" w:eastAsia="国标仿宋" w:cs="国标仿宋"/>
                <w:i w:val="0"/>
                <w:iCs w:val="0"/>
                <w:color w:val="000000"/>
                <w:sz w:val="20"/>
                <w:szCs w:val="20"/>
                <w:u w:val="none"/>
              </w:rPr>
            </w:pPr>
            <w:r>
              <w:rPr>
                <w:rFonts w:hint="default" w:ascii="国标仿宋" w:hAnsi="国标仿宋" w:eastAsia="国标仿宋" w:cs="国标仿宋"/>
                <w:i w:val="0"/>
                <w:iCs w:val="0"/>
                <w:color w:val="000000"/>
                <w:kern w:val="0"/>
                <w:sz w:val="20"/>
                <w:szCs w:val="20"/>
                <w:u w:val="none"/>
                <w:lang w:val="en-US" w:eastAsia="zh-CN" w:bidi="ar"/>
              </w:rPr>
              <w:t>=3个</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default" w:ascii="国标仿宋" w:hAnsi="国标仿宋" w:eastAsia="国标仿宋" w:cs="国标仿宋"/>
                <w:i w:val="0"/>
                <w:iCs w:val="0"/>
                <w:color w:val="000000"/>
                <w:sz w:val="20"/>
                <w:szCs w:val="20"/>
                <w:u w:val="none"/>
              </w:rPr>
            </w:pPr>
            <w:r>
              <w:rPr>
                <w:rFonts w:hint="default" w:ascii="国标仿宋" w:hAnsi="国标仿宋" w:eastAsia="国标仿宋" w:cs="国标仿宋"/>
                <w:i w:val="0"/>
                <w:iCs w:val="0"/>
                <w:color w:val="000000"/>
                <w:kern w:val="0"/>
                <w:sz w:val="20"/>
                <w:szCs w:val="20"/>
                <w:u w:val="none"/>
                <w:lang w:val="en-US" w:eastAsia="zh-CN" w:bidi="ar"/>
              </w:rPr>
              <w:t>=3个</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760" w:type="pct"/>
            <w:vMerge w:val="continue"/>
            <w:tcBorders>
              <w:top w:val="single" w:color="000000" w:sz="4" w:space="0"/>
              <w:left w:val="nil"/>
              <w:bottom w:val="nil"/>
              <w:right w:val="nil"/>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3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项目工期（2025年4月-2025年10月）</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≤7</w:t>
            </w:r>
            <w:r>
              <w:rPr>
                <w:rStyle w:val="41"/>
                <w:lang w:val="en-US" w:eastAsia="zh-CN" w:bidi="ar"/>
              </w:rPr>
              <w:t>月</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r>
              <w:rPr>
                <w:rStyle w:val="41"/>
                <w:lang w:val="en-US" w:eastAsia="zh-CN" w:bidi="ar"/>
              </w:rPr>
              <w:t>月</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760" w:type="pct"/>
            <w:vMerge w:val="continue"/>
            <w:tcBorders>
              <w:top w:val="single" w:color="000000" w:sz="4" w:space="0"/>
              <w:left w:val="nil"/>
              <w:bottom w:val="nil"/>
              <w:right w:val="nil"/>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3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Style w:val="41"/>
                <w:lang w:val="en-US" w:eastAsia="zh-CN" w:bidi="ar"/>
              </w:rPr>
              <w:t>98%</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760" w:type="pct"/>
            <w:vMerge w:val="continue"/>
            <w:tcBorders>
              <w:top w:val="single" w:color="000000" w:sz="4" w:space="0"/>
              <w:left w:val="nil"/>
              <w:bottom w:val="nil"/>
              <w:right w:val="nil"/>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3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项目总投资控制在财政预算内</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≤97</w:t>
            </w:r>
            <w:r>
              <w:rPr>
                <w:rStyle w:val="41"/>
                <w:lang w:val="en-US" w:eastAsia="zh-CN" w:bidi="ar"/>
              </w:rPr>
              <w:t>万元</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73.29</w:t>
            </w:r>
            <w:r>
              <w:rPr>
                <w:rStyle w:val="42"/>
                <w:lang w:val="en-US" w:eastAsia="zh-CN" w:bidi="ar"/>
              </w:rPr>
              <w:t>万元</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未出审计结果（尾款未支付）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760" w:type="pct"/>
            <w:tcBorders>
              <w:top w:val="single" w:color="000000" w:sz="4" w:space="0"/>
              <w:left w:val="nil"/>
              <w:bottom w:val="nil"/>
              <w:right w:val="nil"/>
            </w:tcBorders>
            <w:shd w:val="clear" w:color="auto" w:fill="FFFFFF"/>
            <w:vAlign w:val="center"/>
          </w:tcPr>
          <w:p>
            <w:pPr>
              <w:keepNext w:val="0"/>
              <w:keepLines w:val="0"/>
              <w:widowControl/>
              <w:suppressLineNumbers w:val="0"/>
              <w:snapToGrid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效益指标（30分）</w:t>
            </w:r>
          </w:p>
        </w:tc>
        <w:tc>
          <w:tcPr>
            <w:tcW w:w="5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3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是否有效带动壤塘村集体经济发展</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3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760" w:type="pct"/>
            <w:tcBorders>
              <w:top w:val="single" w:color="000000" w:sz="4" w:space="0"/>
              <w:left w:val="nil"/>
              <w:bottom w:val="single" w:color="000000" w:sz="4" w:space="0"/>
              <w:right w:val="nil"/>
            </w:tcBorders>
            <w:shd w:val="clear" w:color="auto" w:fill="FFFFFF"/>
            <w:noWrap/>
            <w:vAlign w:val="center"/>
          </w:tcPr>
          <w:p>
            <w:pPr>
              <w:keepNext w:val="0"/>
              <w:keepLines w:val="0"/>
              <w:widowControl/>
              <w:suppressLineNumbers w:val="0"/>
              <w:snapToGrid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满意度指标（10分）</w:t>
            </w: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满意度指标</w:t>
            </w:r>
          </w:p>
        </w:tc>
        <w:tc>
          <w:tcPr>
            <w:tcW w:w="137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当地受益群众满意度</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Style w:val="41"/>
                <w:lang w:val="en-US" w:eastAsia="zh-CN" w:bidi="ar"/>
              </w:rPr>
              <w:t>95%</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Style w:val="41"/>
                <w:lang w:val="en-US" w:eastAsia="zh-CN" w:bidi="ar"/>
              </w:rPr>
              <w:t>95%</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rPr>
                <w:rFonts w:hint="eastAsia" w:ascii="宋体" w:hAnsi="宋体" w:eastAsia="宋体" w:cs="宋体"/>
                <w:i w:val="0"/>
                <w:iCs w:val="0"/>
                <w:color w:val="000000"/>
                <w:sz w:val="20"/>
                <w:szCs w:val="20"/>
                <w:u w:val="none"/>
              </w:rPr>
            </w:pP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rPr>
                <w:rFonts w:hint="eastAsia" w:ascii="宋体" w:hAnsi="宋体" w:eastAsia="宋体" w:cs="宋体"/>
                <w:i w:val="0"/>
                <w:iCs w:val="0"/>
                <w:color w:val="000000"/>
                <w:sz w:val="20"/>
                <w:szCs w:val="20"/>
                <w:u w:val="none"/>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rPr>
                <w:rFonts w:hint="eastAsia" w:ascii="宋体" w:hAnsi="宋体" w:eastAsia="宋体" w:cs="宋体"/>
                <w:i w:val="0"/>
                <w:iCs w:val="0"/>
                <w:color w:val="000000"/>
                <w:sz w:val="20"/>
                <w:szCs w:val="20"/>
                <w:u w:val="none"/>
              </w:rPr>
            </w:pP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rPr>
                <w:rFonts w:hint="eastAsia" w:ascii="宋体" w:hAnsi="宋体" w:eastAsia="宋体" w:cs="宋体"/>
                <w:i w:val="0"/>
                <w:iCs w:val="0"/>
                <w:color w:val="000000"/>
                <w:sz w:val="20"/>
                <w:szCs w:val="20"/>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rPr>
                <w:rFonts w:hint="eastAsia" w:ascii="宋体" w:hAnsi="宋体" w:eastAsia="宋体" w:cs="宋体"/>
                <w:i w:val="0"/>
                <w:iCs w:val="0"/>
                <w:color w:val="000000"/>
                <w:sz w:val="20"/>
                <w:szCs w:val="20"/>
                <w:u w:val="none"/>
              </w:rPr>
            </w:pP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rPr>
                <w:rFonts w:hint="eastAsia" w:ascii="宋体" w:hAnsi="宋体" w:eastAsia="宋体" w:cs="宋体"/>
                <w:i w:val="0"/>
                <w:iCs w:val="0"/>
                <w:color w:val="000000"/>
                <w:sz w:val="20"/>
                <w:szCs w:val="20"/>
                <w:u w:val="none"/>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0"/>
                <w:szCs w:val="20"/>
                <w:u w:val="none"/>
              </w:rPr>
            </w:pPr>
          </w:p>
        </w:tc>
      </w:tr>
    </w:tbl>
    <w:p>
      <w:pPr>
        <w:rPr>
          <w:rFonts w:hint="eastAsia" w:ascii="Times New Roman" w:hAnsi="Times New Roman" w:eastAsia="楷体_GB2312" w:cs="Times New Roman"/>
          <w:b/>
          <w:bCs/>
          <w:color w:val="000000" w:themeColor="text1"/>
          <w:kern w:val="0"/>
          <w:sz w:val="32"/>
          <w:szCs w:val="32"/>
          <w:highlight w:val="none"/>
          <w:shd w:val="clear" w:color="auto" w:fill="FFFFFF"/>
          <w:lang w:val="en-US" w:eastAsia="zh-CN" w:bidi="ar-SA"/>
          <w14:textFill>
            <w14:solidFill>
              <w14:schemeClr w14:val="tx1"/>
            </w14:solidFill>
          </w14:textFill>
        </w:rPr>
      </w:pPr>
      <w:r>
        <w:rPr>
          <w:rFonts w:hint="eastAsia" w:ascii="Times New Roman" w:hAnsi="Times New Roman" w:eastAsia="楷体_GB2312" w:cs="Times New Roman"/>
          <w:b/>
          <w:bCs/>
          <w:color w:val="000000" w:themeColor="text1"/>
          <w:kern w:val="0"/>
          <w:sz w:val="32"/>
          <w:szCs w:val="32"/>
          <w:highlight w:val="none"/>
          <w:shd w:val="clear" w:color="auto" w:fill="FFFFFF"/>
          <w:lang w:val="zh-CN" w:eastAsia="zh-CN" w:bidi="ar-SA"/>
          <w14:textFill>
            <w14:solidFill>
              <w14:schemeClr w14:val="tx1"/>
            </w14:solidFill>
          </w14:textFill>
        </w:rPr>
        <w:t>附件</w:t>
      </w:r>
      <w:r>
        <w:rPr>
          <w:rFonts w:hint="eastAsia" w:ascii="Times New Roman" w:hAnsi="Times New Roman" w:eastAsia="楷体_GB2312" w:cs="Times New Roman"/>
          <w:b/>
          <w:bCs/>
          <w:color w:val="000000" w:themeColor="text1"/>
          <w:kern w:val="0"/>
          <w:sz w:val="32"/>
          <w:szCs w:val="32"/>
          <w:highlight w:val="none"/>
          <w:shd w:val="clear" w:color="auto" w:fill="FFFFFF"/>
          <w:lang w:val="en-US" w:eastAsia="zh-CN" w:bidi="ar-SA"/>
          <w14:textFill>
            <w14:solidFill>
              <w14:schemeClr w14:val="tx1"/>
            </w14:solidFill>
          </w14:textFill>
        </w:rPr>
        <w:t>2</w:t>
      </w:r>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楷体_GB2312" w:cs="Times New Roman"/>
          <w:b/>
          <w:bCs/>
          <w:color w:val="0000FF"/>
          <w:kern w:val="0"/>
          <w:sz w:val="32"/>
          <w:szCs w:val="32"/>
          <w:highlight w:val="none"/>
          <w:shd w:val="clear" w:color="auto" w:fill="FFFFFF"/>
          <w:lang w:val="en-US" w:eastAsia="zh-CN" w:bidi="ar-SA"/>
        </w:rPr>
      </w:pPr>
    </w:p>
    <w:p>
      <w:pPr>
        <w:adjustRightInd w:val="0"/>
        <w:snapToGrid w:val="0"/>
        <w:spacing w:after="20" w:afterLines="20" w:line="288" w:lineRule="auto"/>
        <w:jc w:val="center"/>
        <w:rPr>
          <w:rFonts w:hint="eastAsia" w:ascii="方正小标宋简体" w:hAnsi="方正小标宋简体" w:eastAsia="方正小标宋简体" w:cs="方正小标宋简体"/>
          <w:color w:val="000000"/>
          <w:kern w:val="2"/>
          <w:sz w:val="44"/>
          <w:szCs w:val="44"/>
          <w:highlight w:val="none"/>
          <w:lang w:val="en-US" w:eastAsia="zh-CN" w:bidi="ar-SA"/>
        </w:rPr>
      </w:pPr>
      <w:r>
        <w:rPr>
          <w:rFonts w:hint="eastAsia" w:ascii="方正小标宋简体" w:hAnsi="方正小标宋简体" w:eastAsia="方正小标宋简体" w:cs="方正小标宋简体"/>
          <w:color w:val="000000"/>
          <w:kern w:val="2"/>
          <w:sz w:val="44"/>
          <w:szCs w:val="44"/>
          <w:highlight w:val="none"/>
          <w:lang w:val="en-US" w:eastAsia="zh-CN" w:bidi="ar-SA"/>
        </w:rPr>
        <w:t>壤塘县中壤塘镇镇区旅游厕所建设项目</w:t>
      </w:r>
    </w:p>
    <w:p>
      <w:pPr>
        <w:adjustRightInd w:val="0"/>
        <w:snapToGrid w:val="0"/>
        <w:spacing w:after="20" w:afterLines="20" w:line="288" w:lineRule="auto"/>
        <w:jc w:val="center"/>
        <w:rPr>
          <w:rFonts w:hint="eastAsia" w:ascii="方正小标宋简体" w:hAnsi="方正小标宋简体" w:eastAsia="方正小标宋简体" w:cs="方正小标宋简体"/>
          <w:color w:val="000000"/>
          <w:kern w:val="2"/>
          <w:sz w:val="44"/>
          <w:szCs w:val="44"/>
          <w:highlight w:val="none"/>
          <w:lang w:val="en-US" w:eastAsia="zh-CN" w:bidi="ar-SA"/>
        </w:rPr>
      </w:pPr>
      <w:r>
        <w:rPr>
          <w:rFonts w:hint="eastAsia" w:ascii="方正小标宋简体" w:hAnsi="方正小标宋简体" w:eastAsia="方正小标宋简体" w:cs="方正小标宋简体"/>
          <w:color w:val="000000"/>
          <w:kern w:val="2"/>
          <w:sz w:val="44"/>
          <w:szCs w:val="44"/>
          <w:highlight w:val="none"/>
          <w:lang w:val="en-US" w:eastAsia="zh-CN" w:bidi="ar-SA"/>
        </w:rPr>
        <w:t>绩效自评报告</w:t>
      </w:r>
    </w:p>
    <w:p>
      <w:pPr>
        <w:ind w:firstLine="640" w:firstLineChars="200"/>
        <w:rPr>
          <w:rFonts w:hint="eastAsia" w:ascii="仿宋_GB2312" w:hAnsi="仿宋_GB2312" w:eastAsia="仿宋_GB2312" w:cs="仿宋_GB2312"/>
          <w:b w:val="0"/>
          <w:bCs w:val="0"/>
          <w:sz w:val="32"/>
          <w:szCs w:val="32"/>
          <w:lang w:val="en-US" w:eastAsia="zh-CN"/>
        </w:rPr>
      </w:pPr>
    </w:p>
    <w:p>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为促进我镇村集体经济发展，该项目建成后带动村集体经济发展，延长产业链，发展推广当地农牧产品。</w:t>
      </w:r>
      <w:r>
        <w:rPr>
          <w:rFonts w:hint="eastAsia" w:ascii="仿宋_GB2312" w:hAnsi="仿宋_GB2312" w:eastAsia="仿宋_GB2312" w:cs="仿宋_GB2312"/>
          <w:sz w:val="32"/>
          <w:szCs w:val="32"/>
          <w:lang w:val="en-US" w:eastAsia="zh-CN"/>
        </w:rPr>
        <w:t>我镇认真开展了</w:t>
      </w:r>
      <w:r>
        <w:rPr>
          <w:rFonts w:hint="eastAsia" w:ascii="仿宋_GB2312" w:hAnsi="仿宋_GB2312" w:eastAsia="仿宋_GB2312" w:cs="仿宋_GB2312"/>
          <w:b w:val="0"/>
          <w:bCs w:val="0"/>
          <w:sz w:val="32"/>
          <w:szCs w:val="32"/>
          <w:lang w:val="en-US" w:eastAsia="zh-CN"/>
        </w:rPr>
        <w:t>中壤塘镇创业工坊研学基地建设项目</w:t>
      </w:r>
      <w:r>
        <w:rPr>
          <w:rFonts w:hint="eastAsia" w:ascii="仿宋_GB2312" w:hAnsi="仿宋_GB2312" w:eastAsia="仿宋_GB2312" w:cs="仿宋_GB2312"/>
          <w:sz w:val="32"/>
          <w:szCs w:val="32"/>
          <w:lang w:val="en-US" w:eastAsia="zh-CN"/>
        </w:rPr>
        <w:t>自评工作。现将有关情况自评如下。</w:t>
      </w:r>
    </w:p>
    <w:p>
      <w:pPr>
        <w:ind w:firstLine="642"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一、绩效目标分解下达情况</w:t>
      </w:r>
    </w:p>
    <w:p>
      <w:pPr>
        <w:ind w:firstLine="642"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（一）上级下达项目资金及本级财政预算情况。</w:t>
      </w:r>
    </w:p>
    <w:p>
      <w:pPr>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本项目总投资120万元，资金来源为绵阳援建资金120万元。各部门批复及资金管理办法等均符合相关规定。</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bCs/>
          <w:sz w:val="32"/>
          <w:szCs w:val="32"/>
          <w:lang w:val="en-US" w:eastAsia="zh-CN"/>
        </w:rPr>
        <w:t>二）项目绩效目标。</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此项目共设置一级指标3个，二级指标6个，三级指标7个。3座厕所重建3座厕所维修改造以及配套设施建设。</w:t>
      </w:r>
    </w:p>
    <w:p>
      <w:pPr>
        <w:ind w:firstLine="642"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（三）项目资金中报相符性。</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项目申报内容与具体实施内容相符、申报目标合理可行。</w:t>
      </w:r>
    </w:p>
    <w:p>
      <w:pPr>
        <w:ind w:firstLine="642"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二、项目实施及管理情况</w:t>
      </w:r>
    </w:p>
    <w:p>
      <w:pPr>
        <w:ind w:firstLine="642"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（一）资金计划、到位及使用情况。</w:t>
      </w:r>
    </w:p>
    <w:p>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1.资金计划及到位。该项目资金计划投资120万元，实际资金到位120万元。</w:t>
      </w:r>
    </w:p>
    <w:p>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2、资金使用。资金开支范围主要项目采购建设标准及支付进度。</w:t>
      </w:r>
    </w:p>
    <w:p>
      <w:pPr>
        <w:ind w:firstLine="642"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（二）项目财务管理情况。</w:t>
      </w:r>
    </w:p>
    <w:p>
      <w:pPr>
        <w:ind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val="0"/>
          <w:bCs w:val="0"/>
          <w:sz w:val="32"/>
          <w:szCs w:val="32"/>
          <w:lang w:val="en-US" w:eastAsia="zh-CN"/>
        </w:rPr>
        <w:t>按照国家会计制度，中壤塘镇财务管理办法的规定，依法组织会计日常核算、记账、复账、报账，做到手续完备，账目清楚。按期报账，登记会计账簿，编制会计报表。对照项目资金管理办法，本项目严格执行财务管理制度、财务处理及时，会计核算规范。</w:t>
      </w:r>
    </w:p>
    <w:p>
      <w:pPr>
        <w:ind w:firstLine="642"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（三）项目组织实施情况。</w:t>
      </w:r>
    </w:p>
    <w:p>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镇政府已经成立了由镇党委副书记、镇长为组长，相关单位负责人为成员的《壤塘县中壤塘镇镇区旅游厕所建设项目》，领导小组分工明确，责任到人，为项目的实施提供宽松的环境和组织保证。根据类似项目经验及本项目的实际情况，尽可能地缩短工期，使项目尽早投入使用并产生效益，项目严格按照壤塘县中壤塘镇镇区旅游厕所建设项目实施方案执行。</w:t>
      </w:r>
    </w:p>
    <w:p>
      <w:pPr>
        <w:ind w:firstLine="642"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三、目标完成情况</w:t>
      </w:r>
    </w:p>
    <w:p>
      <w:pPr>
        <w:ind w:firstLine="642"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（一）目标任务完成情况。</w:t>
      </w:r>
    </w:p>
    <w:p>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项目实际投资104.7139万元，</w:t>
      </w:r>
      <w:r>
        <w:rPr>
          <w:rFonts w:hint="eastAsia" w:ascii="仿宋_GB2312" w:hAnsi="仿宋_GB2312" w:eastAsia="仿宋_GB2312" w:cs="仿宋_GB2312"/>
          <w:sz w:val="32"/>
          <w:szCs w:val="32"/>
          <w:lang w:val="en-US" w:eastAsia="zh-CN"/>
        </w:rPr>
        <w:t>项目建设规模为3座厕所重建3座厕所维修改造以及配套设施建设。</w:t>
      </w:r>
      <w:r>
        <w:rPr>
          <w:rFonts w:hint="eastAsia" w:ascii="仿宋_GB2312" w:hAnsi="仿宋_GB2312" w:eastAsia="仿宋_GB2312" w:cs="仿宋_GB2312"/>
          <w:b w:val="0"/>
          <w:bCs w:val="0"/>
          <w:sz w:val="32"/>
          <w:szCs w:val="32"/>
          <w:lang w:val="en-US" w:eastAsia="zh-CN"/>
        </w:rPr>
        <w:t>目标任务已全部完成。</w:t>
      </w:r>
    </w:p>
    <w:p>
      <w:pPr>
        <w:ind w:firstLine="642"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（二）目标进度完成情况。</w:t>
      </w:r>
    </w:p>
    <w:p>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对照规定进度计划壤塘县中壤塘镇镇区旅游厕所建设项目实际进度率=100%。</w:t>
      </w:r>
    </w:p>
    <w:p>
      <w:pPr>
        <w:ind w:firstLine="642"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四、项目效益情况</w:t>
      </w:r>
    </w:p>
    <w:p>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重建厕所3个改造3个，可以进一步提升基础设施建设，改善群众生活环境。</w:t>
      </w:r>
    </w:p>
    <w:p>
      <w:pPr>
        <w:ind w:firstLine="642"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五、问题及建议</w:t>
      </w:r>
    </w:p>
    <w:p>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无</w:t>
      </w:r>
    </w:p>
    <w:p>
      <w:pPr>
        <w:ind w:firstLine="642"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六、绩效自评结果拟应用和公开情况</w:t>
      </w:r>
    </w:p>
    <w:p>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我镇充分运用本次绩效自评结果，对在绩效自评中发现的问题予以及时改进。</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8"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55"/>
      <w:bookmarkEnd w:id="58"/>
      <w:bookmarkStart w:id="59"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0"/>
      <w:r>
        <w:rPr>
          <w:rFonts w:hint="eastAsia" w:ascii="Times New Roman" w:hAnsi="Times New Roman" w:eastAsia="仿宋_GB2312" w:cs="仿宋_GB2312"/>
          <w:color w:val="auto"/>
          <w:sz w:val="32"/>
          <w:szCs w:val="32"/>
          <w:highlight w:val="none"/>
        </w:rPr>
        <w:t>二、收入决算表</w:t>
      </w:r>
      <w:bookmarkEnd w:id="6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1"/>
      <w:r>
        <w:rPr>
          <w:rFonts w:hint="eastAsia" w:ascii="Times New Roman" w:hAnsi="Times New Roman" w:eastAsia="仿宋_GB2312" w:cs="仿宋_GB2312"/>
          <w:color w:val="auto"/>
          <w:sz w:val="32"/>
          <w:szCs w:val="32"/>
          <w:highlight w:val="none"/>
        </w:rPr>
        <w:t>三、支出决算表</w:t>
      </w:r>
      <w:bookmarkEnd w:id="6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2"/>
      <w:r>
        <w:rPr>
          <w:rFonts w:hint="eastAsia" w:ascii="Times New Roman" w:hAnsi="Times New Roman" w:eastAsia="仿宋_GB2312" w:cs="仿宋_GB2312"/>
          <w:color w:val="auto"/>
          <w:sz w:val="32"/>
          <w:szCs w:val="32"/>
          <w:highlight w:val="none"/>
        </w:rPr>
        <w:t>四、财政拨款收入支出决算总表</w:t>
      </w:r>
      <w:bookmarkEnd w:id="6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3"/>
      <w:r>
        <w:rPr>
          <w:rFonts w:hint="eastAsia" w:ascii="Times New Roman" w:hAnsi="Times New Roman" w:eastAsia="仿宋_GB2312" w:cs="仿宋_GB2312"/>
          <w:color w:val="auto"/>
          <w:sz w:val="32"/>
          <w:szCs w:val="32"/>
          <w:highlight w:val="none"/>
        </w:rPr>
        <w:t>五、财政拨款支出决算明细表</w:t>
      </w:r>
      <w:bookmarkEnd w:id="63"/>
      <w:bookmarkStart w:id="64"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5"/>
      <w:r>
        <w:rPr>
          <w:rFonts w:hint="eastAsia" w:ascii="Times New Roman" w:hAnsi="Times New Roman" w:eastAsia="仿宋_GB2312" w:cs="仿宋_GB2312"/>
          <w:color w:val="auto"/>
          <w:sz w:val="32"/>
          <w:szCs w:val="32"/>
          <w:highlight w:val="none"/>
        </w:rPr>
        <w:t>七、一般公共预算财政拨款支出决算明细表</w:t>
      </w:r>
      <w:bookmarkEnd w:id="6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6"/>
      <w:r>
        <w:rPr>
          <w:rFonts w:hint="eastAsia" w:ascii="Times New Roman" w:hAnsi="Times New Roman" w:eastAsia="仿宋_GB2312" w:cs="仿宋_GB2312"/>
          <w:color w:val="auto"/>
          <w:sz w:val="32"/>
          <w:szCs w:val="32"/>
          <w:highlight w:val="none"/>
        </w:rPr>
        <w:t>八、一般公共预算财政拨款基本支出决算表</w:t>
      </w:r>
      <w:bookmarkEnd w:id="6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7"/>
      <w:r>
        <w:rPr>
          <w:rFonts w:hint="eastAsia" w:ascii="Times New Roman" w:hAnsi="Times New Roman" w:eastAsia="仿宋_GB2312" w:cs="仿宋_GB2312"/>
          <w:color w:val="auto"/>
          <w:sz w:val="32"/>
          <w:szCs w:val="32"/>
          <w:highlight w:val="none"/>
        </w:rPr>
        <w:t>九、一般公共预算财政拨款项目支出决算表</w:t>
      </w:r>
      <w:bookmarkEnd w:id="6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8"/>
      <w:r>
        <w:rPr>
          <w:rFonts w:hint="eastAsia" w:ascii="Times New Roman" w:hAnsi="Times New Roman" w:eastAsia="仿宋_GB2312" w:cs="仿宋_GB2312"/>
          <w:color w:val="auto"/>
          <w:sz w:val="32"/>
          <w:szCs w:val="32"/>
          <w:highlight w:val="none"/>
        </w:rPr>
        <w:t>十、</w:t>
      </w:r>
      <w:bookmarkEnd w:id="68"/>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9"/>
      <w:r>
        <w:rPr>
          <w:rFonts w:hint="eastAsia" w:ascii="Times New Roman" w:hAnsi="Times New Roman" w:eastAsia="仿宋_GB2312" w:cs="仿宋_GB2312"/>
          <w:color w:val="auto"/>
          <w:sz w:val="32"/>
          <w:szCs w:val="32"/>
          <w:highlight w:val="none"/>
        </w:rPr>
        <w:t>十一、</w:t>
      </w:r>
      <w:bookmarkEnd w:id="6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30"/>
      <w:r>
        <w:rPr>
          <w:rFonts w:hint="eastAsia" w:ascii="Times New Roman" w:hAnsi="Times New Roman" w:eastAsia="仿宋_GB2312" w:cs="仿宋_GB2312"/>
          <w:color w:val="auto"/>
          <w:sz w:val="32"/>
          <w:szCs w:val="32"/>
          <w:highlight w:val="none"/>
        </w:rPr>
        <w:t>十二、</w:t>
      </w:r>
      <w:bookmarkEnd w:id="70"/>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1" w:name="_Toc15396631"/>
      <w:r>
        <w:rPr>
          <w:rFonts w:hint="eastAsia" w:ascii="Times New Roman" w:hAnsi="Times New Roman" w:eastAsia="仿宋_GB2312" w:cs="仿宋_GB2312"/>
          <w:color w:val="auto"/>
          <w:sz w:val="32"/>
          <w:szCs w:val="32"/>
          <w:highlight w:val="none"/>
        </w:rPr>
        <w:t>十三、</w:t>
      </w:r>
      <w:bookmarkEnd w:id="71"/>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8"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国标仿宋">
    <w:altName w:val="仿宋"/>
    <w:panose1 w:val="00000000000000000000"/>
    <w:charset w:val="00"/>
    <w:family w:val="auto"/>
    <w:pitch w:val="default"/>
    <w:sig w:usb0="00000000" w:usb1="00000000" w:usb2="00000000" w:usb3="00000000" w:csb0="00000000" w:csb1="00000000"/>
  </w:font>
  <w:font w:name="文泉驿微米黑">
    <w:panose1 w:val="020B0606030804020204"/>
    <w:charset w:val="86"/>
    <w:family w:val="auto"/>
    <w:pitch w:val="default"/>
    <w:sig w:usb0="E10002EF" w:usb1="6BDFFCFB" w:usb2="00800036" w:usb3="00000000" w:csb0="603E01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x5e1z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49527C"/>
    <w:multiLevelType w:val="singleLevel"/>
    <w:tmpl w:val="8B49527C"/>
    <w:lvl w:ilvl="0" w:tentative="0">
      <w:start w:val="2"/>
      <w:numFmt w:val="chineseCounting"/>
      <w:suff w:val="nothing"/>
      <w:lvlText w:val="（%1）"/>
      <w:lvlJc w:val="left"/>
      <w:rPr>
        <w:rFonts w:hint="eastAsia"/>
      </w:rPr>
    </w:lvl>
  </w:abstractNum>
  <w:abstractNum w:abstractNumId="1">
    <w:nsid w:val="704CE0FE"/>
    <w:multiLevelType w:val="singleLevel"/>
    <w:tmpl w:val="704CE0FE"/>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3FCD"/>
    <w:rsid w:val="015975B8"/>
    <w:rsid w:val="01F40F97"/>
    <w:rsid w:val="02076F1C"/>
    <w:rsid w:val="02317B1B"/>
    <w:rsid w:val="02FEBE30"/>
    <w:rsid w:val="061E35DE"/>
    <w:rsid w:val="066E0107"/>
    <w:rsid w:val="077741FC"/>
    <w:rsid w:val="07996F6E"/>
    <w:rsid w:val="07DFD8BA"/>
    <w:rsid w:val="07FB307F"/>
    <w:rsid w:val="08DB07E4"/>
    <w:rsid w:val="09867E8F"/>
    <w:rsid w:val="09D52BEB"/>
    <w:rsid w:val="0A2032A3"/>
    <w:rsid w:val="0ACC0D02"/>
    <w:rsid w:val="0B080C0A"/>
    <w:rsid w:val="0C6C4794"/>
    <w:rsid w:val="0CA8290A"/>
    <w:rsid w:val="0D35B1ED"/>
    <w:rsid w:val="0DE07E2B"/>
    <w:rsid w:val="0F98263C"/>
    <w:rsid w:val="101860EC"/>
    <w:rsid w:val="10C055FF"/>
    <w:rsid w:val="11772AA4"/>
    <w:rsid w:val="118107EC"/>
    <w:rsid w:val="12070D49"/>
    <w:rsid w:val="12FD4688"/>
    <w:rsid w:val="13D50BC4"/>
    <w:rsid w:val="14022904"/>
    <w:rsid w:val="152F2A07"/>
    <w:rsid w:val="15911D74"/>
    <w:rsid w:val="165E0673"/>
    <w:rsid w:val="167504A0"/>
    <w:rsid w:val="16BB723D"/>
    <w:rsid w:val="186504BB"/>
    <w:rsid w:val="1938089F"/>
    <w:rsid w:val="19A445FC"/>
    <w:rsid w:val="1B7D550C"/>
    <w:rsid w:val="1BE8440E"/>
    <w:rsid w:val="1D155CEE"/>
    <w:rsid w:val="1E677BFE"/>
    <w:rsid w:val="1E740ACF"/>
    <w:rsid w:val="1FF14DC7"/>
    <w:rsid w:val="1FF35744"/>
    <w:rsid w:val="1FF6BC77"/>
    <w:rsid w:val="21962A9E"/>
    <w:rsid w:val="21AE7C77"/>
    <w:rsid w:val="22BC3C41"/>
    <w:rsid w:val="23860B96"/>
    <w:rsid w:val="240371BF"/>
    <w:rsid w:val="24D50041"/>
    <w:rsid w:val="260F557C"/>
    <w:rsid w:val="281408E2"/>
    <w:rsid w:val="29C35212"/>
    <w:rsid w:val="29FD04D3"/>
    <w:rsid w:val="2AC1385C"/>
    <w:rsid w:val="2BCC070B"/>
    <w:rsid w:val="2BFF7BC6"/>
    <w:rsid w:val="2C8A61B5"/>
    <w:rsid w:val="2D2E01CF"/>
    <w:rsid w:val="2DF04E50"/>
    <w:rsid w:val="2E9545B0"/>
    <w:rsid w:val="2F040D46"/>
    <w:rsid w:val="2F1A353B"/>
    <w:rsid w:val="2FAE5751"/>
    <w:rsid w:val="2FB1A395"/>
    <w:rsid w:val="2FD9A7D8"/>
    <w:rsid w:val="319F7F4E"/>
    <w:rsid w:val="321B2544"/>
    <w:rsid w:val="3304709D"/>
    <w:rsid w:val="34281836"/>
    <w:rsid w:val="349D6851"/>
    <w:rsid w:val="35BA6CAF"/>
    <w:rsid w:val="364D14C1"/>
    <w:rsid w:val="36AA5135"/>
    <w:rsid w:val="36BE0DA7"/>
    <w:rsid w:val="37693CE6"/>
    <w:rsid w:val="376B6AA6"/>
    <w:rsid w:val="376D39B2"/>
    <w:rsid w:val="37A04E70"/>
    <w:rsid w:val="37E16F03"/>
    <w:rsid w:val="37F53A3B"/>
    <w:rsid w:val="387D5266"/>
    <w:rsid w:val="389B6C89"/>
    <w:rsid w:val="38D469F0"/>
    <w:rsid w:val="39627CCD"/>
    <w:rsid w:val="396401D4"/>
    <w:rsid w:val="397BAF1F"/>
    <w:rsid w:val="39BF365D"/>
    <w:rsid w:val="3AB79AF3"/>
    <w:rsid w:val="3AFD44D0"/>
    <w:rsid w:val="3B1B0D67"/>
    <w:rsid w:val="3B351E28"/>
    <w:rsid w:val="3B7EF35A"/>
    <w:rsid w:val="3B9FDB6C"/>
    <w:rsid w:val="3BF5BC2F"/>
    <w:rsid w:val="3CEBA265"/>
    <w:rsid w:val="3D5D7415"/>
    <w:rsid w:val="3D98207C"/>
    <w:rsid w:val="3D9B0D99"/>
    <w:rsid w:val="3DEE7CF3"/>
    <w:rsid w:val="3DF02244"/>
    <w:rsid w:val="3DF97B88"/>
    <w:rsid w:val="3E78745D"/>
    <w:rsid w:val="3F337E1D"/>
    <w:rsid w:val="3FF4CAE0"/>
    <w:rsid w:val="3FF7B227"/>
    <w:rsid w:val="3FF86AED"/>
    <w:rsid w:val="40E54C45"/>
    <w:rsid w:val="4246491B"/>
    <w:rsid w:val="42CB05C3"/>
    <w:rsid w:val="43A407DF"/>
    <w:rsid w:val="44515BEA"/>
    <w:rsid w:val="44A155FD"/>
    <w:rsid w:val="44E268DA"/>
    <w:rsid w:val="44FA7C3F"/>
    <w:rsid w:val="453F7E5B"/>
    <w:rsid w:val="47D33E39"/>
    <w:rsid w:val="48401E0D"/>
    <w:rsid w:val="48691363"/>
    <w:rsid w:val="486A6C7A"/>
    <w:rsid w:val="49176D9B"/>
    <w:rsid w:val="499C7517"/>
    <w:rsid w:val="4A627F82"/>
    <w:rsid w:val="4B0E749A"/>
    <w:rsid w:val="4B4F25DA"/>
    <w:rsid w:val="4BDA0CFB"/>
    <w:rsid w:val="4BE068DB"/>
    <w:rsid w:val="4D3C0CCC"/>
    <w:rsid w:val="4D577224"/>
    <w:rsid w:val="4DBF1CEB"/>
    <w:rsid w:val="4E027201"/>
    <w:rsid w:val="4E564F44"/>
    <w:rsid w:val="4EAB630A"/>
    <w:rsid w:val="4ECE2238"/>
    <w:rsid w:val="4F833267"/>
    <w:rsid w:val="4FE9BD67"/>
    <w:rsid w:val="4FFB052F"/>
    <w:rsid w:val="50D87CB0"/>
    <w:rsid w:val="53083A92"/>
    <w:rsid w:val="537E6D0A"/>
    <w:rsid w:val="53AF27A2"/>
    <w:rsid w:val="53F74C96"/>
    <w:rsid w:val="56E47B74"/>
    <w:rsid w:val="57BD3DD4"/>
    <w:rsid w:val="5AF92295"/>
    <w:rsid w:val="5BDD79E6"/>
    <w:rsid w:val="5BF561CA"/>
    <w:rsid w:val="5BFF5DFC"/>
    <w:rsid w:val="5C502358"/>
    <w:rsid w:val="5CD71FC4"/>
    <w:rsid w:val="5D1F11B5"/>
    <w:rsid w:val="5DAE1B18"/>
    <w:rsid w:val="5DE7D9E5"/>
    <w:rsid w:val="5ECEC941"/>
    <w:rsid w:val="5F493CB7"/>
    <w:rsid w:val="5FBF9FF3"/>
    <w:rsid w:val="5FCD4E2C"/>
    <w:rsid w:val="5FD15F49"/>
    <w:rsid w:val="5FEF394A"/>
    <w:rsid w:val="5FF67715"/>
    <w:rsid w:val="62BF3928"/>
    <w:rsid w:val="647F5392"/>
    <w:rsid w:val="65A672FB"/>
    <w:rsid w:val="65EE0CA2"/>
    <w:rsid w:val="664B1D71"/>
    <w:rsid w:val="67AA3209"/>
    <w:rsid w:val="681C4F0D"/>
    <w:rsid w:val="69046D0F"/>
    <w:rsid w:val="698D0931"/>
    <w:rsid w:val="6A993CED"/>
    <w:rsid w:val="6B053271"/>
    <w:rsid w:val="6B3B5A33"/>
    <w:rsid w:val="6BCE6674"/>
    <w:rsid w:val="6C3A079D"/>
    <w:rsid w:val="6C3A69EF"/>
    <w:rsid w:val="6C4A05C8"/>
    <w:rsid w:val="6C8742B8"/>
    <w:rsid w:val="6C8A170F"/>
    <w:rsid w:val="6CB54609"/>
    <w:rsid w:val="6CFD7212"/>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97032"/>
    <w:rsid w:val="712A28F1"/>
    <w:rsid w:val="715C0E4B"/>
    <w:rsid w:val="72233669"/>
    <w:rsid w:val="72734D90"/>
    <w:rsid w:val="7332FE48"/>
    <w:rsid w:val="73AB61DA"/>
    <w:rsid w:val="73AD73D5"/>
    <w:rsid w:val="73B6EB34"/>
    <w:rsid w:val="73FA497D"/>
    <w:rsid w:val="744731E5"/>
    <w:rsid w:val="74527205"/>
    <w:rsid w:val="74BBD01D"/>
    <w:rsid w:val="74ED5379"/>
    <w:rsid w:val="74FC2395"/>
    <w:rsid w:val="75243D99"/>
    <w:rsid w:val="755723C0"/>
    <w:rsid w:val="75DEEEC2"/>
    <w:rsid w:val="76E3355F"/>
    <w:rsid w:val="76FF5125"/>
    <w:rsid w:val="776F6FFA"/>
    <w:rsid w:val="778769C8"/>
    <w:rsid w:val="77DC22F5"/>
    <w:rsid w:val="78A82F32"/>
    <w:rsid w:val="78DB72E1"/>
    <w:rsid w:val="79086DAD"/>
    <w:rsid w:val="79635493"/>
    <w:rsid w:val="79974F09"/>
    <w:rsid w:val="79D7FD79"/>
    <w:rsid w:val="79EE5BA4"/>
    <w:rsid w:val="7A894339"/>
    <w:rsid w:val="7AA50BB8"/>
    <w:rsid w:val="7AE04C06"/>
    <w:rsid w:val="7AFF7572"/>
    <w:rsid w:val="7B6C7DFB"/>
    <w:rsid w:val="7BBFBED0"/>
    <w:rsid w:val="7BC3E394"/>
    <w:rsid w:val="7C1F3737"/>
    <w:rsid w:val="7CBFC87B"/>
    <w:rsid w:val="7CFE0F48"/>
    <w:rsid w:val="7D7EC23E"/>
    <w:rsid w:val="7D916348"/>
    <w:rsid w:val="7DBD47D8"/>
    <w:rsid w:val="7E8ADEBF"/>
    <w:rsid w:val="7EB919F5"/>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1"/>
    <w:qFormat/>
    <w:uiPriority w:val="0"/>
    <w:pPr>
      <w:spacing w:after="120"/>
      <w:ind w:leftChars="200"/>
    </w:pPr>
    <w:rPr>
      <w:rFonts w:ascii="仿宋_GB2312"/>
      <w:szCs w:val="32"/>
    </w:rPr>
  </w:style>
  <w:style w:type="paragraph" w:styleId="8">
    <w:name w:val="Body Text"/>
    <w:basedOn w:val="1"/>
    <w:link w:val="27"/>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8"/>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5"/>
    <w:qFormat/>
    <w:uiPriority w:val="9"/>
    <w:rPr>
      <w:rFonts w:ascii="Times New Roman" w:hAnsi="Times New Roman"/>
      <w:b/>
      <w:bCs/>
      <w:kern w:val="44"/>
      <w:sz w:val="44"/>
      <w:szCs w:val="44"/>
    </w:rPr>
  </w:style>
  <w:style w:type="character" w:customStyle="1" w:styleId="31">
    <w:name w:val="标题 2 Char"/>
    <w:basedOn w:val="18"/>
    <w:link w:val="6"/>
    <w:qFormat/>
    <w:uiPriority w:val="9"/>
    <w:rPr>
      <w:rFonts w:asciiTheme="majorHAnsi" w:hAnsiTheme="majorHAnsi" w:eastAsiaTheme="majorEastAsia" w:cstheme="majorBidi"/>
      <w:b/>
      <w:bCs/>
      <w:kern w:val="2"/>
      <w:sz w:val="32"/>
      <w:szCs w:val="32"/>
    </w:rPr>
  </w:style>
  <w:style w:type="paragraph" w:customStyle="1" w:styleId="32">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7"/>
    <w:qFormat/>
    <w:uiPriority w:val="9"/>
    <w:rPr>
      <w:rFonts w:ascii="Times New Roman" w:hAnsi="Times New Roman"/>
      <w:b/>
      <w:bCs/>
      <w:kern w:val="2"/>
      <w:sz w:val="32"/>
      <w:szCs w:val="32"/>
    </w:rPr>
  </w:style>
  <w:style w:type="paragraph" w:customStyle="1" w:styleId="35">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列出段落1"/>
    <w:basedOn w:val="1"/>
    <w:qFormat/>
    <w:uiPriority w:val="34"/>
    <w:pPr>
      <w:ind w:firstLine="420" w:firstLineChars="200"/>
    </w:pPr>
    <w:rPr>
      <w:rFonts w:ascii="Calibri" w:hAnsi="Calibri" w:eastAsia="宋体" w:cs="Times New Roman"/>
    </w:rPr>
  </w:style>
  <w:style w:type="character" w:customStyle="1" w:styleId="38">
    <w:name w:val="font71"/>
    <w:basedOn w:val="18"/>
    <w:qFormat/>
    <w:uiPriority w:val="0"/>
    <w:rPr>
      <w:rFonts w:hint="default" w:ascii="Arial" w:hAnsi="Arial" w:cs="Arial"/>
      <w:color w:val="000000"/>
      <w:sz w:val="18"/>
      <w:szCs w:val="18"/>
      <w:u w:val="none"/>
    </w:rPr>
  </w:style>
  <w:style w:type="character" w:customStyle="1" w:styleId="39">
    <w:name w:val="font81"/>
    <w:basedOn w:val="18"/>
    <w:qFormat/>
    <w:uiPriority w:val="0"/>
    <w:rPr>
      <w:rFonts w:hint="eastAsia" w:ascii="宋体" w:hAnsi="宋体" w:eastAsia="宋体" w:cs="宋体"/>
      <w:color w:val="000000"/>
      <w:sz w:val="18"/>
      <w:szCs w:val="18"/>
      <w:u w:val="none"/>
    </w:rPr>
  </w:style>
  <w:style w:type="character" w:customStyle="1" w:styleId="40">
    <w:name w:val="font101"/>
    <w:basedOn w:val="18"/>
    <w:qFormat/>
    <w:uiPriority w:val="0"/>
    <w:rPr>
      <w:rFonts w:ascii="方正书宋_GBK" w:hAnsi="方正书宋_GBK" w:eastAsia="方正书宋_GBK" w:cs="方正书宋_GBK"/>
      <w:color w:val="000000"/>
      <w:sz w:val="18"/>
      <w:szCs w:val="18"/>
      <w:u w:val="none"/>
    </w:rPr>
  </w:style>
  <w:style w:type="character" w:customStyle="1" w:styleId="41">
    <w:name w:val="font51"/>
    <w:basedOn w:val="18"/>
    <w:qFormat/>
    <w:uiPriority w:val="0"/>
    <w:rPr>
      <w:rFonts w:hint="eastAsia" w:ascii="宋体" w:hAnsi="宋体" w:eastAsia="宋体" w:cs="宋体"/>
      <w:color w:val="000000"/>
      <w:sz w:val="20"/>
      <w:szCs w:val="20"/>
      <w:u w:val="none"/>
    </w:rPr>
  </w:style>
  <w:style w:type="character" w:customStyle="1" w:styleId="42">
    <w:name w:val="font112"/>
    <w:basedOn w:val="18"/>
    <w:qFormat/>
    <w:uiPriority w:val="0"/>
    <w:rPr>
      <w:rFonts w:ascii="方正书宋_GBK" w:hAnsi="方正书宋_GBK" w:eastAsia="方正书宋_GBK" w:cs="方正书宋_GBK"/>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G:\%26&#23679;#&#40595;8&#38738;#&#26624;/2026&#24180;/10&#26376;/2025&#24180;&#20915;&#31639;&#20844;&#24320;/&#22270;&#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26&#23679;#&#40595;8&#38738;#&#26624;/2026&#24180;/10&#26376;/2025&#24180;&#20915;&#31639;&#20844;&#24320;/&#22270;&#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26&#23679;#&#40595;8&#38738;#&#26624;/2026&#24180;/10&#26376;/2025&#24180;&#20915;&#31639;&#20844;&#24320;/&#22270;&#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26&#23679;#&#40595;8&#38738;#&#26624;/2026&#24180;/10&#26376;/2025&#24180;&#20915;&#31639;&#20844;&#24320;/&#22270;&#34920;.xls" TargetMode="External"/></Relationships>
</file>

<file path=word/charts/_rels/chart5.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oleObject" Target="file:///G:\%26&#23679;#&#40595;8&#38738;#&#26624;/2026&#24180;/10&#26376;/2025&#24180;&#20915;&#31639;&#20844;&#24320;/&#22270;&#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G:\%26&#23679;#&#40595;8&#38738;#&#26624;/2026&#24180;/10&#26376;/2025&#24180;&#20915;&#31639;&#20844;&#24320;/&#22270;&#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G:\%26&#23679;#&#40595;8&#38738;#&#26624;/2026&#24180;/10&#26376;/2025&#24180;&#20915;&#31639;&#20844;&#24320;/&#22270;&#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sz="1400" b="1"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   </a:t>
            </a:r>
            <a:endParaRPr lang="en-US" altLang="zh-CN" sz="1400" b="1"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endParaRPr>
          </a:p>
          <a:p>
            <a:pPr defTabSz="914400">
              <a:defRPr lang="zh-CN" sz="1400" b="1" i="0" u="none" strike="noStrike" kern="1200" baseline="0">
                <a:solidFill>
                  <a:schemeClr val="tx1">
                    <a:lumMod val="75000"/>
                    <a:lumOff val="25000"/>
                  </a:schemeClr>
                </a:solidFill>
                <a:latin typeface="+mn-lt"/>
                <a:ea typeface="+mn-ea"/>
                <a:cs typeface="+mn-cs"/>
              </a:defRPr>
            </a:pPr>
            <a:r>
              <a:rPr lang="en-US" altLang="zh-CN" sz="1400" b="1"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        收、支决算总计变动情况图 </a:t>
            </a:r>
            <a:endParaRPr lang="en-US" altLang="zh-CN" sz="1400" b="1"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endParaRPr>
          </a:p>
          <a:p>
            <a:pPr defTabSz="914400">
              <a:defRPr lang="zh-CN" sz="1400" b="1" i="0" u="none" strike="noStrike" kern="1200" baseline="0">
                <a:solidFill>
                  <a:schemeClr val="tx1">
                    <a:lumMod val="75000"/>
                    <a:lumOff val="25000"/>
                  </a:schemeClr>
                </a:solidFill>
                <a:latin typeface="+mn-lt"/>
                <a:ea typeface="+mn-ea"/>
                <a:cs typeface="+mn-cs"/>
              </a:defRPr>
            </a:pPr>
            <a:r>
              <a:rPr lang="en-US" altLang="zh-CN" sz="1400" b="1"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                                                            </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layout>
        <c:manualLayout>
          <c:xMode val="edge"/>
          <c:yMode val="edge"/>
          <c:x val="0.181000128551228"/>
          <c:y val="0.0194258579753939"/>
        </c:manualLayout>
      </c:layout>
      <c:overlay val="0"/>
      <c:spPr>
        <a:noFill/>
        <a:ln>
          <a:noFill/>
        </a:ln>
        <a:effectLst/>
      </c:spPr>
    </c:title>
    <c:autoTitleDeleted val="0"/>
    <c:plotArea>
      <c:layout>
        <c:manualLayout>
          <c:layoutTarget val="inner"/>
          <c:xMode val="edge"/>
          <c:yMode val="edge"/>
          <c:x val="0.0379226121609461"/>
          <c:y val="0.297446548912392"/>
          <c:w val="0.900184210526316"/>
          <c:h val="0.606805555555556"/>
        </c:manualLayout>
      </c:layout>
      <c:barChart>
        <c:barDir val="col"/>
        <c:grouping val="clustered"/>
        <c:varyColors val="0"/>
        <c:ser>
          <c:idx val="0"/>
          <c:order val="0"/>
          <c:tx>
            <c:strRef>
              <c:f>[图表.xls]收、支决算总计变动情况图!$A$2</c:f>
              <c:strCache>
                <c:ptCount val="1"/>
                <c:pt idx="0">
                  <c:v>收入</c:v>
                </c:pt>
              </c:strCache>
            </c:strRef>
          </c:tx>
          <c:spPr>
            <a:gradFill>
              <a:gsLst>
                <a:gs pos="76000">
                  <a:schemeClr val="accent6">
                    <a:lumMod val="40000"/>
                    <a:lumOff val="60000"/>
                  </a:schemeClr>
                </a:gs>
                <a:gs pos="22000">
                  <a:schemeClr val="bg1"/>
                </a:gs>
                <a:gs pos="83000">
                  <a:schemeClr val="accent6">
                    <a:lumMod val="60000"/>
                    <a:lumOff val="40000"/>
                  </a:schemeClr>
                </a:gs>
                <a:gs pos="100000">
                  <a:schemeClr val="accent6">
                    <a:lumMod val="75000"/>
                  </a:schemeClr>
                </a:gs>
              </a:gsLst>
              <a:lin ang="5400000" scaled="0"/>
            </a:gradFill>
            <a:ln>
              <a:noFill/>
            </a:ln>
            <a:effectLst/>
          </c:spPr>
          <c:invertIfNegative val="0"/>
          <c:dPt>
            <c:idx val="0"/>
            <c:invertIfNegative val="0"/>
            <c:bubble3D val="0"/>
            <c:explosion val="0"/>
            <c:spPr>
              <a:gradFill>
                <a:gsLst>
                  <a:gs pos="76000">
                    <a:schemeClr val="accent6">
                      <a:lumMod val="40000"/>
                      <a:lumOff val="60000"/>
                    </a:schemeClr>
                  </a:gs>
                  <a:gs pos="22000">
                    <a:schemeClr val="bg1"/>
                  </a:gs>
                  <a:gs pos="83000">
                    <a:schemeClr val="accent6">
                      <a:lumMod val="60000"/>
                      <a:lumOff val="40000"/>
                    </a:schemeClr>
                  </a:gs>
                  <a:gs pos="100000">
                    <a:schemeClr val="accent6">
                      <a:lumMod val="75000"/>
                    </a:schemeClr>
                  </a:gs>
                </a:gsLst>
                <a:lin ang="5400000" scaled="0"/>
              </a:gradFill>
              <a:ln>
                <a:noFill/>
              </a:ln>
              <a:effectLst/>
            </c:spPr>
          </c:dPt>
          <c:dPt>
            <c:idx val="1"/>
            <c:invertIfNegative val="0"/>
            <c:bubble3D val="0"/>
            <c:explosion val="0"/>
            <c:spPr>
              <a:gradFill>
                <a:gsLst>
                  <a:gs pos="76000">
                    <a:schemeClr val="accent6">
                      <a:lumMod val="40000"/>
                      <a:lumOff val="60000"/>
                    </a:schemeClr>
                  </a:gs>
                  <a:gs pos="22000">
                    <a:schemeClr val="bg1"/>
                  </a:gs>
                  <a:gs pos="83000">
                    <a:schemeClr val="accent6">
                      <a:lumMod val="60000"/>
                      <a:lumOff val="40000"/>
                    </a:schemeClr>
                  </a:gs>
                  <a:gs pos="100000">
                    <a:schemeClr val="accent6">
                      <a:lumMod val="75000"/>
                    </a:schemeClr>
                  </a:gs>
                </a:gsLst>
                <a:lin ang="5400000" scaled="0"/>
              </a:gradFill>
              <a:ln>
                <a:noFill/>
              </a:ln>
              <a:effectLst/>
            </c:spPr>
          </c:dPt>
          <c:dLbls>
            <c:dLbl>
              <c:idx val="0"/>
              <c:layout>
                <c:manualLayout>
                  <c:x val="0.00385653682992673"/>
                  <c:y val="0.038851715950787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[图表.xls]收、支决算总计变动情况图!$B$1:$C$1</c:f>
              <c:strCache>
                <c:ptCount val="2"/>
                <c:pt idx="0">
                  <c:v>2024年收支</c:v>
                </c:pt>
                <c:pt idx="1">
                  <c:v>2025年收支</c:v>
                </c:pt>
              </c:strCache>
            </c:strRef>
          </c:cat>
          <c:val>
            <c:numRef>
              <c:f>[图表.xls]收、支决算总计变动情况图!$B$2:$C$2</c:f>
              <c:numCache>
                <c:formatCode>General</c:formatCode>
                <c:ptCount val="2"/>
                <c:pt idx="0">
                  <c:v>4929.22</c:v>
                </c:pt>
                <c:pt idx="1">
                  <c:v>2932.07</c:v>
                </c:pt>
              </c:numCache>
            </c:numRef>
          </c:val>
        </c:ser>
        <c:ser>
          <c:idx val="1"/>
          <c:order val="1"/>
          <c:tx>
            <c:strRef>
              <c:f>[图表.xls]收、支决算总计变动情况图!$A$3</c:f>
              <c:strCache>
                <c:ptCount val="1"/>
                <c:pt idx="0">
                  <c:v>支出</c:v>
                </c:pt>
              </c:strCache>
            </c:strRef>
          </c:tx>
          <c:spPr>
            <a:gradFill>
              <a:gsLst>
                <a:gs pos="0">
                  <a:schemeClr val="accent1">
                    <a:lumMod val="5000"/>
                    <a:lumOff val="95000"/>
                  </a:schemeClr>
                </a:gs>
                <a:gs pos="74000">
                  <a:schemeClr val="accent5">
                    <a:lumMod val="40000"/>
                    <a:lumOff val="60000"/>
                  </a:schemeClr>
                </a:gs>
                <a:gs pos="83000">
                  <a:schemeClr val="accent5">
                    <a:lumMod val="40000"/>
                    <a:lumOff val="60000"/>
                  </a:schemeClr>
                </a:gs>
                <a:gs pos="100000">
                  <a:schemeClr val="accent5"/>
                </a:gs>
              </a:gsLst>
              <a:lin ang="5400000" scaled="0"/>
            </a:gradFill>
            <a:ln>
              <a:noFill/>
            </a:ln>
            <a:effectLst/>
          </c:spPr>
          <c:invertIfNegative val="0"/>
          <c:dPt>
            <c:idx val="0"/>
            <c:invertIfNegative val="0"/>
            <c:bubble3D val="0"/>
          </c:dPt>
          <c:dPt>
            <c:idx val="1"/>
            <c:invertIfNegative val="0"/>
            <c:bubble3D val="0"/>
          </c:dPt>
          <c:dLbls>
            <c:dLbl>
              <c:idx val="0"/>
              <c:layout>
                <c:manualLayout>
                  <c:x val="0"/>
                  <c:y val="0.035614072954888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[图表.xls]收、支决算总计变动情况图!$B$1:$C$1</c:f>
              <c:strCache>
                <c:ptCount val="2"/>
                <c:pt idx="0">
                  <c:v>2024年收支</c:v>
                </c:pt>
                <c:pt idx="1">
                  <c:v>2025年收支</c:v>
                </c:pt>
              </c:strCache>
            </c:strRef>
          </c:cat>
          <c:val>
            <c:numRef>
              <c:f>[图表.xls]收、支决算总计变动情况图!$B$3:$C$3</c:f>
              <c:numCache>
                <c:formatCode>General</c:formatCode>
                <c:ptCount val="2"/>
                <c:pt idx="0">
                  <c:v>4913.62</c:v>
                </c:pt>
                <c:pt idx="1">
                  <c:v>2947.67</c:v>
                </c:pt>
              </c:numCache>
            </c:numRef>
          </c:val>
        </c:ser>
        <c:dLbls>
          <c:showLegendKey val="0"/>
          <c:showVal val="0"/>
          <c:showCatName val="0"/>
          <c:showSerName val="0"/>
          <c:showPercent val="0"/>
          <c:showBubbleSize val="0"/>
        </c:dLbls>
        <c:gapWidth val="150"/>
        <c:overlap val="-25"/>
        <c:axId val="387485140"/>
        <c:axId val="588836242"/>
      </c:barChart>
      <c:catAx>
        <c:axId val="387485140"/>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8836242"/>
        <c:crosses val="autoZero"/>
        <c:auto val="1"/>
        <c:lblAlgn val="ctr"/>
        <c:lblOffset val="100"/>
        <c:noMultiLvlLbl val="0"/>
      </c:catAx>
      <c:valAx>
        <c:axId val="588836242"/>
        <c:scaling>
          <c:orientation val="minMax"/>
        </c:scaling>
        <c:delete val="1"/>
        <c:axPos val="l"/>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rgbClr val="595959">
                    <a:alpha val="100000"/>
                  </a:srgbClr>
                </a:solidFill>
                <a:latin typeface="+mn-lt"/>
                <a:ea typeface="+mn-ea"/>
                <a:cs typeface="+mn-cs"/>
              </a:defRPr>
            </a:pPr>
          </a:p>
        </c:txPr>
        <c:crossAx val="387485140"/>
        <c:crosses val="autoZero"/>
        <c:crossBetween val="between"/>
      </c:valAx>
      <c:spPr>
        <a:solidFill>
          <a:schemeClr val="bg1">
            <a:lumMod val="85000"/>
          </a:schemeClr>
        </a:solidFill>
        <a:ln>
          <a:noFill/>
        </a:ln>
        <a:effectLst/>
      </c:spPr>
    </c:plotArea>
    <c:legend>
      <c:legendPos val="r"/>
      <c:layout>
        <c:manualLayout>
          <c:xMode val="edge"/>
          <c:yMode val="edge"/>
          <c:x val="0.4195"/>
          <c:y val="0.282"/>
          <c:w val="0.15925"/>
          <c:h val="0.0705"/>
        </c:manualLayout>
      </c:layout>
      <c:overlay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lumMod val="85000"/>
      </a:schemeClr>
    </a:solidFill>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360789473684211"/>
          <c:y val="0.0486111111111111"/>
        </c:manualLayout>
      </c:layout>
      <c:overlay val="0"/>
      <c:spPr>
        <a:noFill/>
        <a:ln>
          <a:noFill/>
        </a:ln>
        <a:effectLst/>
      </c:spPr>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328947368421053"/>
          <c:y val="0.408564814814815"/>
          <c:w val="0.942105263157895"/>
          <c:h val="0.540509259259259"/>
        </c:manualLayout>
      </c:layout>
      <c:pie3DChart>
        <c:varyColors val="1"/>
        <c:ser>
          <c:idx val="0"/>
          <c:order val="0"/>
          <c:spPr>
            <a:scene3d>
              <a:camera prst="orthographicFront"/>
              <a:lightRig rig="threePt" dir="t"/>
            </a:scene3d>
            <a:sp3d contourW="9525"/>
          </c:spPr>
          <c:explosion val="0"/>
          <c:dPt>
            <c:idx val="0"/>
            <c:bubble3D val="0"/>
            <c:explosion val="0"/>
            <c:spPr>
              <a:gradFill>
                <a:gsLst>
                  <a:gs pos="31000">
                    <a:schemeClr val="accent2">
                      <a:lumMod val="60000"/>
                      <a:lumOff val="40000"/>
                    </a:schemeClr>
                  </a:gs>
                  <a:gs pos="100000">
                    <a:schemeClr val="accent1">
                      <a:lumMod val="30000"/>
                      <a:lumOff val="70000"/>
                    </a:schemeClr>
                  </a:gs>
                </a:gsLst>
                <a:lin ang="5400000" scaled="0"/>
              </a:gradFill>
              <a:ln>
                <a:solidFill>
                  <a:schemeClr val="bg1"/>
                </a:solidFill>
              </a:ln>
              <a:effectLst/>
              <a:scene3d>
                <a:camera prst="orthographicFront"/>
                <a:lightRig rig="threePt" dir="t"/>
              </a:scene3d>
              <a:sp3d contourW="9525"/>
            </c:spPr>
          </c:dPt>
          <c:dPt>
            <c:idx val="1"/>
            <c:bubble3D val="0"/>
            <c:explosion val="0"/>
            <c:spPr>
              <a:solidFill>
                <a:schemeClr val="accent2"/>
              </a:solidFill>
              <a:ln>
                <a:solidFill>
                  <a:schemeClr val="bg1"/>
                </a:solidFill>
              </a:ln>
              <a:effectLst/>
              <a:scene3d>
                <a:camera prst="orthographicFront"/>
                <a:lightRig rig="threePt" dir="t"/>
              </a:scene3d>
              <a:sp3d contourW="9525"/>
            </c:spPr>
          </c:dPt>
          <c:dPt>
            <c:idx val="2"/>
            <c:bubble3D val="0"/>
            <c:explosion val="0"/>
            <c:spPr>
              <a:solidFill>
                <a:schemeClr val="accent3"/>
              </a:solidFill>
              <a:ln>
                <a:solidFill>
                  <a:schemeClr val="bg1"/>
                </a:solidFill>
              </a:ln>
              <a:effectLst/>
              <a:scene3d>
                <a:camera prst="orthographicFront"/>
                <a:lightRig rig="threePt" dir="t"/>
              </a:scene3d>
              <a:sp3d contourW="9525"/>
            </c:spPr>
          </c:dPt>
          <c:dPt>
            <c:idx val="3"/>
            <c:bubble3D val="0"/>
            <c:explosion val="0"/>
            <c:spPr>
              <a:solidFill>
                <a:schemeClr val="accent4"/>
              </a:solidFill>
              <a:ln>
                <a:solidFill>
                  <a:schemeClr val="bg1"/>
                </a:solidFill>
              </a:ln>
              <a:effectLst/>
              <a:scene3d>
                <a:camera prst="orthographicFront"/>
                <a:lightRig rig="threePt" dir="t"/>
              </a:scene3d>
              <a:sp3d contourW="9525"/>
            </c:spPr>
          </c:dPt>
          <c:dPt>
            <c:idx val="4"/>
            <c:bubble3D val="0"/>
            <c:explosion val="0"/>
            <c:spPr>
              <a:solidFill>
                <a:schemeClr val="accent5"/>
              </a:solidFill>
              <a:ln>
                <a:solidFill>
                  <a:schemeClr val="bg1"/>
                </a:solidFill>
              </a:ln>
              <a:effectLst/>
              <a:scene3d>
                <a:camera prst="orthographicFront"/>
                <a:lightRig rig="threePt" dir="t"/>
              </a:scene3d>
              <a:sp3d contourW="9525"/>
            </c:spPr>
          </c:dPt>
          <c:dPt>
            <c:idx val="5"/>
            <c:bubble3D val="0"/>
            <c:explosion val="0"/>
            <c:spPr>
              <a:gradFill>
                <a:gsLst>
                  <a:gs pos="31000">
                    <a:schemeClr val="accent3">
                      <a:lumMod val="60000"/>
                      <a:lumOff val="40000"/>
                    </a:schemeClr>
                  </a:gs>
                  <a:gs pos="100000">
                    <a:schemeClr val="accent1">
                      <a:lumMod val="30000"/>
                      <a:lumOff val="70000"/>
                    </a:schemeClr>
                  </a:gs>
                </a:gsLst>
                <a:lin ang="5400000" scaled="0"/>
              </a:gradFill>
              <a:ln>
                <a:solidFill>
                  <a:schemeClr val="bg1"/>
                </a:solidFill>
              </a:ln>
              <a:effectLst/>
              <a:scene3d>
                <a:camera prst="orthographicFront"/>
                <a:lightRig rig="threePt" dir="t"/>
              </a:scene3d>
              <a:sp3d contourW="9525"/>
            </c:spPr>
          </c:dPt>
          <c:dLbls>
            <c:dLbl>
              <c:idx val="0"/>
              <c:layout>
                <c:manualLayout>
                  <c:x val="0.0118421052631579"/>
                  <c:y val="-0.19810009267840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[图表.xls]收入决算结构图!$A$2:$A$7</c:f>
              <c:strCache>
                <c:ptCount val="6"/>
                <c:pt idx="0">
                  <c:v>一般公共预算财政拨款收入</c:v>
                </c:pt>
                <c:pt idx="1">
                  <c:v>政府性基金预算财政拨款收入</c:v>
                </c:pt>
                <c:pt idx="2">
                  <c:v>国有资本经营预算财政拨款收入</c:v>
                </c:pt>
                <c:pt idx="3">
                  <c:v>上级补助收入</c:v>
                </c:pt>
                <c:pt idx="4">
                  <c:v>经营收入</c:v>
                </c:pt>
                <c:pt idx="5">
                  <c:v>年初结转和结余</c:v>
                </c:pt>
              </c:strCache>
            </c:strRef>
          </c:cat>
          <c:val>
            <c:numRef>
              <c:f>[图表.xls]收入决算结构图!$B$2:$B$7</c:f>
              <c:numCache>
                <c:formatCode>General</c:formatCode>
                <c:ptCount val="6"/>
                <c:pt idx="0">
                  <c:v>2932.07</c:v>
                </c:pt>
                <c:pt idx="5">
                  <c:v>15.6</c:v>
                </c:pt>
              </c:numCache>
            </c:numRef>
          </c:val>
        </c:ser>
        <c:dLbls>
          <c:showLegendKey val="0"/>
          <c:showVal val="0"/>
          <c:showCatName val="0"/>
          <c:showSerName val="0"/>
          <c:showPercent val="0"/>
          <c:showBubbleSize val="0"/>
        </c:dLbls>
      </c:pie3DChart>
      <c:spPr>
        <a:noFill/>
        <a:ln>
          <a:noFill/>
        </a:ln>
        <a:effectLst/>
      </c:spPr>
    </c:plotArea>
    <c:legend>
      <c:legendPos val="r"/>
      <c:layout>
        <c:manualLayout>
          <c:xMode val="edge"/>
          <c:yMode val="edge"/>
          <c:x val="0.1335"/>
          <c:y val="0.14625"/>
          <c:w val="0.7315"/>
          <c:h val="0.20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2"/>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61184210526316"/>
          <c:y val="0.0972222222222222"/>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0289473684210526"/>
          <c:y val="0.275127740616871"/>
          <c:w val="0.942105263157895"/>
          <c:h val="0.667824074074074"/>
        </c:manualLayout>
      </c:layout>
      <c:ofPieChart>
        <c:ofPieType val="pie"/>
        <c:varyColors val="1"/>
        <c:ser>
          <c:idx val="0"/>
          <c:order val="0"/>
          <c:tx>
            <c:strRef>
              <c:f>[图表.xls]支出决算结构图!$A$2</c:f>
              <c:strCache>
                <c:ptCount val="1"/>
                <c:pt idx="0">
                  <c:v>支出决算结构图</c:v>
                </c:pt>
              </c:strCache>
            </c:strRef>
          </c:tx>
          <c:spPr>
            <a:gradFill>
              <a:gsLst>
                <a:gs pos="32000">
                  <a:schemeClr val="accent5"/>
                </a:gs>
                <a:gs pos="61000">
                  <a:schemeClr val="accent4">
                    <a:lumMod val="60000"/>
                    <a:lumOff val="40000"/>
                  </a:schemeClr>
                </a:gs>
              </a:gsLst>
              <a:lin ang="5400000" scaled="0"/>
            </a:gradFill>
          </c:spPr>
          <c:explosion val="0"/>
          <c:dPt>
            <c:idx val="0"/>
            <c:bubble3D val="0"/>
            <c:explosion val="0"/>
            <c:spPr>
              <a:gradFill>
                <a:gsLst>
                  <a:gs pos="32000">
                    <a:schemeClr val="accent5">
                      <a:lumMod val="20000"/>
                      <a:lumOff val="80000"/>
                    </a:schemeClr>
                  </a:gs>
                  <a:gs pos="87000">
                    <a:schemeClr val="accent2">
                      <a:lumMod val="40000"/>
                      <a:lumOff val="60000"/>
                    </a:schemeClr>
                  </a:gs>
                </a:gsLst>
                <a:lin ang="5400000" scaled="0"/>
              </a:gradFill>
              <a:ln>
                <a:solidFill>
                  <a:schemeClr val="bg1"/>
                </a:solidFill>
              </a:ln>
              <a:effectLst/>
            </c:spPr>
          </c:dPt>
          <c:dPt>
            <c:idx val="1"/>
            <c:bubble3D val="0"/>
            <c:explosion val="0"/>
            <c:spPr>
              <a:solidFill>
                <a:schemeClr val="accent6">
                  <a:lumMod val="20000"/>
                  <a:lumOff val="80000"/>
                </a:schemeClr>
              </a:solidFill>
              <a:ln>
                <a:solidFill>
                  <a:schemeClr val="bg1"/>
                </a:solidFill>
              </a:ln>
              <a:effectLst/>
            </c:spPr>
          </c:dPt>
          <c:dPt>
            <c:idx val="2"/>
            <c:bubble3D val="0"/>
            <c:explosion val="0"/>
            <c:spPr>
              <a:gradFill>
                <a:gsLst>
                  <a:gs pos="32000">
                    <a:schemeClr val="accent5"/>
                  </a:gs>
                  <a:gs pos="61000">
                    <a:schemeClr val="accent4">
                      <a:lumMod val="60000"/>
                      <a:lumOff val="40000"/>
                    </a:schemeClr>
                  </a:gs>
                </a:gsLst>
                <a:lin ang="5400000" scaled="0"/>
              </a:gradFill>
              <a:ln>
                <a:solidFill>
                  <a:schemeClr val="bg1"/>
                </a:solidFill>
              </a:ln>
              <a:effectLst/>
            </c:spPr>
          </c:dPt>
          <c:dPt>
            <c:idx val="3"/>
            <c:bubble3D val="0"/>
            <c:explosion val="0"/>
            <c:spPr>
              <a:gradFill>
                <a:gsLst>
                  <a:gs pos="32000">
                    <a:schemeClr val="accent5"/>
                  </a:gs>
                  <a:gs pos="61000">
                    <a:schemeClr val="accent4">
                      <a:lumMod val="60000"/>
                      <a:lumOff val="40000"/>
                    </a:schemeClr>
                  </a:gs>
                </a:gsLst>
                <a:lin ang="5400000" scaled="0"/>
              </a:gradFill>
              <a:ln>
                <a:solidFill>
                  <a:schemeClr val="bg1"/>
                </a:solidFill>
              </a:ln>
              <a:effectLst/>
            </c:spPr>
          </c:dPt>
          <c:dPt>
            <c:idx val="4"/>
            <c:bubble3D val="0"/>
            <c:explosion val="0"/>
            <c:spPr>
              <a:gradFill>
                <a:gsLst>
                  <a:gs pos="32000">
                    <a:schemeClr val="accent5"/>
                  </a:gs>
                  <a:gs pos="61000">
                    <a:schemeClr val="accent4">
                      <a:lumMod val="60000"/>
                      <a:lumOff val="40000"/>
                    </a:schemeClr>
                  </a:gs>
                </a:gsLst>
                <a:lin ang="5400000" scaled="0"/>
              </a:gradFill>
              <a:ln>
                <a:solidFill>
                  <a:schemeClr val="bg1"/>
                </a:solidFill>
              </a:ln>
              <a:effectLst/>
            </c:spPr>
          </c:dPt>
          <c:dPt>
            <c:idx val="5"/>
            <c:bubble3D val="0"/>
            <c:explosion val="0"/>
            <c:spPr>
              <a:gradFill>
                <a:gsLst>
                  <a:gs pos="32000">
                    <a:schemeClr val="accent5"/>
                  </a:gs>
                  <a:gs pos="61000">
                    <a:schemeClr val="accent4">
                      <a:lumMod val="60000"/>
                      <a:lumOff val="40000"/>
                    </a:schemeClr>
                  </a:gs>
                </a:gsLst>
                <a:lin ang="5400000" scaled="0"/>
              </a:gra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65000"/>
                        <a:lumOff val="3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[图表.xls]支出决算结构图!$B$1:$F$1</c:f>
              <c:strCache>
                <c:ptCount val="5"/>
                <c:pt idx="0">
                  <c:v>基本支出</c:v>
                </c:pt>
                <c:pt idx="1">
                  <c:v>项目支出</c:v>
                </c:pt>
                <c:pt idx="2">
                  <c:v>上缴上级支出</c:v>
                </c:pt>
                <c:pt idx="3">
                  <c:v>经营支出</c:v>
                </c:pt>
                <c:pt idx="4">
                  <c:v>对附属单位补助支出</c:v>
                </c:pt>
              </c:strCache>
            </c:strRef>
          </c:cat>
          <c:val>
            <c:numRef>
              <c:f>[图表.xls]支出决算结构图!$B$2:$F$2</c:f>
              <c:numCache>
                <c:formatCode>General</c:formatCode>
                <c:ptCount val="5"/>
                <c:pt idx="0">
                  <c:v>1118.06</c:v>
                </c:pt>
                <c:pt idx="1">
                  <c:v>1829.61</c:v>
                </c:pt>
                <c:pt idx="2">
                  <c:v>0</c:v>
                </c:pt>
                <c:pt idx="3">
                  <c:v>0</c:v>
                </c:pt>
                <c:pt idx="4">
                  <c:v>0</c:v>
                </c:pt>
              </c:numCache>
            </c:numRef>
          </c:val>
        </c:ser>
        <c:dLbls>
          <c:showLegendKey val="0"/>
          <c:showVal val="0"/>
          <c:showCatName val="0"/>
          <c:showSerName val="0"/>
          <c:showPercent val="0"/>
          <c:showBubbleSize val="0"/>
          <c:showLeaderLines val="0"/>
        </c:dLbls>
        <c:gapWidth val="60"/>
        <c:secondPieSize val="75"/>
        <c:serLines>
          <c:spPr>
            <a:ln w="9525" cap="flat" cmpd="sng" algn="ctr">
              <a:solidFill>
                <a:schemeClr val="tx1">
                  <a:lumMod val="35000"/>
                  <a:lumOff val="65000"/>
                </a:schemeClr>
              </a:solidFill>
              <a:prstDash val="solid"/>
              <a:round/>
            </a:ln>
            <a:effectLst/>
          </c:spPr>
        </c:serLines>
      </c:ofPieChart>
      <c:spPr>
        <a:noFill/>
        <a:ln>
          <a:noFill/>
        </a:ln>
        <a:effectLst/>
      </c:spPr>
    </c:plotArea>
    <c:legend>
      <c:legendPos val="r"/>
      <c:layout>
        <c:manualLayout>
          <c:xMode val="edge"/>
          <c:yMode val="edge"/>
          <c:x val="0.59025"/>
          <c:y val="0.396"/>
          <c:w val="0.25"/>
          <c:h val="0.3282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accent3">
        <a:lumMod val="20000"/>
        <a:lumOff val="80000"/>
      </a:schemeClr>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0700562268213901"/>
          <c:y val="0.193204868154158"/>
          <c:w val="0.898361047972245"/>
          <c:h val="0.569320486815416"/>
        </c:manualLayout>
      </c:layout>
      <c:barChart>
        <c:barDir val="col"/>
        <c:grouping val="clustered"/>
        <c:varyColors val="0"/>
        <c:ser>
          <c:idx val="0"/>
          <c:order val="0"/>
          <c:tx>
            <c:strRef>
              <c:f>[图表.xls]财政拨款收、支决算总计变动情况!$A$9</c:f>
              <c:strCache>
                <c:ptCount val="1"/>
                <c:pt idx="0">
                  <c:v>财政拨款收、支决算总计变动情况</c:v>
                </c:pt>
              </c:strCache>
            </c:strRef>
          </c:tx>
          <c:spPr>
            <a:gradFill>
              <a:gsLst>
                <a:gs pos="93000">
                  <a:schemeClr val="accent1">
                    <a:lumMod val="40000"/>
                    <a:lumOff val="60000"/>
                  </a:schemeClr>
                </a:gs>
                <a:gs pos="4000">
                  <a:schemeClr val="bg1"/>
                </a:gs>
                <a:gs pos="49000">
                  <a:schemeClr val="accent2">
                    <a:lumMod val="40000"/>
                    <a:lumOff val="60000"/>
                  </a:schemeClr>
                </a:gs>
              </a:gsLst>
              <a:lin ang="5400000" scaled="0"/>
            </a:gradFill>
            <a:ln>
              <a:noFill/>
            </a:ln>
            <a:effectLst>
              <a:innerShdw blurRad="63500" dist="50800">
                <a:prstClr val="black">
                  <a:alpha val="50000"/>
                </a:prstClr>
              </a:innerShdw>
            </a:effectLst>
          </c:spPr>
          <c:invertIfNegative val="0"/>
          <c:dLbls>
            <c:dLbl>
              <c:idx val="0"/>
              <c:layout>
                <c:manualLayout>
                  <c:x val="-0.0111257327431511"/>
                  <c:y val="-0.03701825557809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7852613949037"/>
                  <c:y val="-0.04716024340770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1104199066874"/>
                  <c:y val="-0.04031440162271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4508912549348"/>
                  <c:y val="-0.05400608519269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errBars>
            <c:errBarType val="both"/>
            <c:errValType val="stdErr"/>
            <c:noEndCap val="0"/>
            <c:spPr>
              <a:noFill/>
              <a:ln w="9525" cap="flat" cmpd="sng" algn="ctr">
                <a:solidFill>
                  <a:schemeClr val="tx1">
                    <a:lumMod val="65000"/>
                    <a:lumOff val="35000"/>
                  </a:schemeClr>
                </a:solidFill>
                <a:prstDash val="solid"/>
                <a:round/>
              </a:ln>
              <a:effectLst/>
            </c:spPr>
          </c:errBars>
          <c:cat>
            <c:strRef>
              <c:f>[图表.xls]财政拨款收、支决算总计变动情况!$B$8:$E$8</c:f>
              <c:strCache>
                <c:ptCount val="4"/>
                <c:pt idx="0">
                  <c:v>2024年收入</c:v>
                </c:pt>
                <c:pt idx="1">
                  <c:v>2025年收入</c:v>
                </c:pt>
                <c:pt idx="2">
                  <c:v>2024年支出</c:v>
                </c:pt>
                <c:pt idx="3">
                  <c:v>2025年支出</c:v>
                </c:pt>
              </c:strCache>
            </c:strRef>
          </c:cat>
          <c:val>
            <c:numRef>
              <c:f>[图表.xls]财政拨款收、支决算总计变动情况!$B$9:$E$9</c:f>
              <c:numCache>
                <c:formatCode>General</c:formatCode>
                <c:ptCount val="4"/>
                <c:pt idx="0">
                  <c:v>4813.22</c:v>
                </c:pt>
                <c:pt idx="1">
                  <c:v>2932.07</c:v>
                </c:pt>
                <c:pt idx="2">
                  <c:v>4813.22</c:v>
                </c:pt>
                <c:pt idx="3">
                  <c:v>2932.07</c:v>
                </c:pt>
              </c:numCache>
            </c:numRef>
          </c:val>
        </c:ser>
        <c:dLbls>
          <c:showLegendKey val="0"/>
          <c:showVal val="0"/>
          <c:showCatName val="0"/>
          <c:showSerName val="0"/>
          <c:showPercent val="0"/>
          <c:showBubbleSize val="0"/>
        </c:dLbls>
        <c:gapWidth val="246"/>
        <c:overlap val="-28"/>
        <c:axId val="152644443"/>
        <c:axId val="752348900"/>
      </c:barChart>
      <c:catAx>
        <c:axId val="152644443"/>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2348900"/>
        <c:crosses val="autoZero"/>
        <c:auto val="1"/>
        <c:lblAlgn val="ctr"/>
        <c:lblOffset val="100"/>
        <c:noMultiLvlLbl val="0"/>
      </c:catAx>
      <c:valAx>
        <c:axId val="752348900"/>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2644443"/>
        <c:crosses val="autoZero"/>
        <c:crossBetween val="between"/>
      </c:valAx>
      <c:spPr>
        <a:noFill/>
        <a:ln>
          <a:noFill/>
        </a:ln>
        <a:effectLst/>
      </c:spPr>
    </c:plotArea>
    <c:legend>
      <c:legendPos val="b"/>
      <c:layout>
        <c:manualLayout>
          <c:xMode val="edge"/>
          <c:yMode val="edge"/>
          <c:x val="0.303"/>
          <c:y val="0.895"/>
          <c:w val="0.39375"/>
          <c:h val="0.07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lumMod val="95000"/>
      </a:schemeClr>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spc="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sz="1400" b="0" i="0" u="none" strike="noStrike" baseline="0">
                <a:solidFill>
                  <a:srgbClr val="595959">
                    <a:alpha val="100000"/>
                  </a:srgbClr>
                </a:solidFill>
                <a:latin typeface="微软雅黑" panose="020B0503020204020204" charset="-122"/>
                <a:ea typeface="微软雅黑" panose="020B0503020204020204" charset="-122"/>
                <a:cs typeface="微软雅黑" panose="020B0503020204020204" charset="-122"/>
              </a:rPr>
              <a:t>一般公共预算财政拨款支出决算变动情况</a:t>
            </a:r>
            <a:endParaRPr sz="1400" b="0" i="0" u="none" strike="noStrike" baseline="0">
              <a:solidFill>
                <a:srgbClr val="595959">
                  <a:alpha val="100000"/>
                </a:srgbClr>
              </a:solidFill>
              <a:latin typeface="微软雅黑" panose="020B0503020204020204" charset="-122"/>
              <a:ea typeface="微软雅黑" panose="020B0503020204020204" charset="-122"/>
              <a:cs typeface="微软雅黑" panose="020B0503020204020204" charset="-122"/>
            </a:endParaRPr>
          </a:p>
        </c:rich>
      </c:tx>
      <c:layout/>
      <c:overlay val="0"/>
      <c:spPr>
        <a:noFill/>
        <a:ln>
          <a:noFill/>
        </a:ln>
        <a:effectLst/>
      </c:spPr>
    </c:title>
    <c:autoTitleDeleted val="0"/>
    <c:plotArea>
      <c:layout>
        <c:manualLayout>
          <c:layoutTarget val="inner"/>
          <c:xMode val="edge"/>
          <c:yMode val="edge"/>
          <c:x val="0.0773466833541927"/>
          <c:y val="0.14587607714403"/>
          <c:w val="0.912725372354324"/>
          <c:h val="0.592861893150078"/>
        </c:manualLayout>
      </c:layout>
      <c:barChart>
        <c:barDir val="bar"/>
        <c:grouping val="clustered"/>
        <c:varyColors val="0"/>
        <c:ser>
          <c:idx val="0"/>
          <c:order val="0"/>
          <c:tx>
            <c:strRef>
              <c:f>[图表.xls]一般公共预算财政拨款支出决算变动情况!$A$2</c:f>
              <c:strCache>
                <c:ptCount val="1"/>
                <c:pt idx="0">
                  <c:v>一般公共预算财政拨款支出决算变动情况</c:v>
                </c:pt>
              </c:strCache>
            </c:strRef>
          </c:tx>
          <c:spPr>
            <a:gradFill>
              <a:gsLst>
                <a:gs pos="0">
                  <a:srgbClr val="30C0B4">
                    <a:lumMod val="60000"/>
                    <a:lumOff val="40000"/>
                  </a:srgbClr>
                </a:gs>
                <a:gs pos="100000">
                  <a:srgbClr val="E54C5E">
                    <a:lumMod val="40000"/>
                    <a:lumOff val="60000"/>
                  </a:srgbClr>
                </a:gs>
              </a:gsLst>
              <a:lin ang="0" scaled="0"/>
            </a:gradFill>
            <a:ln>
              <a:noFill/>
            </a:ln>
            <a:effectLst>
              <a:innerShdw blurRad="63500" dist="50800">
                <a:prstClr val="black">
                  <a:alpha val="50000"/>
                </a:prstClr>
              </a:innerShdw>
            </a:effectLst>
          </c:spPr>
          <c:invertIfNegative val="0"/>
          <c:dPt>
            <c:idx val="0"/>
            <c:invertIfNegative val="0"/>
            <c:bubble3D val="0"/>
            <c:explosion val="0"/>
            <c:spPr>
              <a:gradFill>
                <a:gsLst>
                  <a:gs pos="0">
                    <a:srgbClr val="4BACC6">
                      <a:lumMod val="60000"/>
                      <a:lumOff val="40000"/>
                    </a:srgbClr>
                  </a:gs>
                  <a:gs pos="100000">
                    <a:srgbClr val="4BACC6">
                      <a:lumMod val="20000"/>
                      <a:lumOff val="80000"/>
                    </a:srgbClr>
                  </a:gs>
                </a:gsLst>
                <a:lin ang="0" scaled="0"/>
              </a:gradFill>
              <a:ln>
                <a:noFill/>
              </a:ln>
              <a:effectLst>
                <a:innerShdw blurRad="63500" dist="50800">
                  <a:prstClr val="black">
                    <a:alpha val="50000"/>
                  </a:prstClr>
                </a:innerShdw>
              </a:effectLst>
            </c:spPr>
          </c:dPt>
          <c:dPt>
            <c:idx val="1"/>
            <c:invertIfNegative val="0"/>
            <c:bubble3D val="0"/>
            <c:explosion val="0"/>
            <c:spPr>
              <a:gradFill>
                <a:gsLst>
                  <a:gs pos="0">
                    <a:srgbClr val="8064A2">
                      <a:lumMod val="60000"/>
                      <a:lumOff val="40000"/>
                    </a:srgbClr>
                  </a:gs>
                  <a:gs pos="100000">
                    <a:srgbClr val="8064A2">
                      <a:lumMod val="20000"/>
                      <a:lumOff val="80000"/>
                    </a:srgbClr>
                  </a:gs>
                </a:gsLst>
                <a:lin ang="0" scaled="0"/>
              </a:gradFill>
              <a:ln>
                <a:noFill/>
              </a:ln>
              <a:effectLst>
                <a:innerShdw blurRad="63500" dist="50800">
                  <a:prstClr val="black">
                    <a:alpha val="50000"/>
                  </a:prstClr>
                </a:innerShdw>
                <a:softEdge rad="12700"/>
              </a:effectLst>
            </c:spPr>
          </c:dPt>
          <c:dLbls>
            <c:dLbl>
              <c:idx val="1"/>
              <c:layout>
                <c:manualLayout>
                  <c:x val="-0.0206508135168961"/>
                  <c:y val="0.0769073010664479"/>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[图表.xls]一般公共预算财政拨款支出决算变动情况!$B$1:$C$1</c:f>
              <c:strCache>
                <c:ptCount val="2"/>
                <c:pt idx="0">
                  <c:v>2024年支出</c:v>
                </c:pt>
                <c:pt idx="1">
                  <c:v>2025年支出</c:v>
                </c:pt>
              </c:strCache>
            </c:strRef>
          </c:cat>
          <c:val>
            <c:numRef>
              <c:f>[图表.xls]一般公共预算财政拨款支出决算变动情况!$B$2:$C$2</c:f>
              <c:numCache>
                <c:formatCode>General</c:formatCode>
                <c:ptCount val="2"/>
                <c:pt idx="0">
                  <c:v>4813.22</c:v>
                </c:pt>
                <c:pt idx="1">
                  <c:v>2932.07</c:v>
                </c:pt>
              </c:numCache>
            </c:numRef>
          </c:val>
        </c:ser>
        <c:dLbls>
          <c:showLegendKey val="0"/>
          <c:showVal val="0"/>
          <c:showCatName val="0"/>
          <c:showSerName val="0"/>
          <c:showPercent val="0"/>
          <c:showBubbleSize val="0"/>
        </c:dLbls>
        <c:gapWidth val="150"/>
        <c:overlap val="0"/>
        <c:axId val="39941523"/>
        <c:axId val="378207882"/>
      </c:barChart>
      <c:catAx>
        <c:axId val="39941523"/>
        <c:scaling>
          <c:orientation val="minMax"/>
        </c:scaling>
        <c:delete val="0"/>
        <c:axPos val="l"/>
        <c:majorTickMark val="none"/>
        <c:minorTickMark val="none"/>
        <c:tickLblPos val="nextTo"/>
        <c:spPr>
          <a:noFill/>
          <a:ln w="9525" cap="flat" cmpd="sng" algn="ctr">
            <a:no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378207882"/>
        <c:crosses val="autoZero"/>
        <c:auto val="1"/>
        <c:lblAlgn val="ctr"/>
        <c:lblOffset val="100"/>
        <c:noMultiLvlLbl val="0"/>
      </c:catAx>
      <c:valAx>
        <c:axId val="378207882"/>
        <c:scaling>
          <c:orientation val="minMax"/>
        </c:scaling>
        <c:delete val="0"/>
        <c:axPos val="b"/>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rgbClr val="595959">
                    <a:alpha val="100000"/>
                  </a:srgbClr>
                </a:solidFill>
                <a:latin typeface="+mn-lt"/>
                <a:ea typeface="+mn-ea"/>
                <a:cs typeface="+mn-cs"/>
              </a:defRPr>
            </a:pPr>
          </a:p>
        </c:txPr>
        <c:crossAx val="39941523"/>
        <c:crosses val="autoZero"/>
        <c:crossBetween val="between"/>
      </c:valAx>
      <c:spPr>
        <a:noFill/>
        <a:ln w="3175">
          <a:solidFill>
            <a:schemeClr val="bg1">
              <a:lumMod val="95000"/>
            </a:schemeClr>
          </a:solidFill>
        </a:ln>
        <a:effectLst/>
      </c:spPr>
    </c:plotArea>
    <c:legend>
      <c:legendPos val="r"/>
      <c:layout>
        <c:manualLayout>
          <c:xMode val="edge"/>
          <c:yMode val="edge"/>
          <c:x val="0.811881188118812"/>
          <c:y val="0.293428258488499"/>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ysClr val="window" lastClr="FFFFFF">
        <a:lumMod val="95000"/>
      </a:sysClr>
    </a:solidFill>
    <a:ln w="9525" cap="flat" cmpd="sng" algn="ctr">
      <a:solidFill>
        <a:srgbClr val="30C0B4">
          <a:lumMod val="60000"/>
          <a:lumOff val="40000"/>
        </a:srgb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190789473684211"/>
          <c:y val="0.516898148148148"/>
          <c:w val="0.942105263157895"/>
          <c:h val="0.476157407407407"/>
        </c:manualLayout>
      </c:layout>
      <c:pie3DChart>
        <c:varyColors val="1"/>
        <c:ser>
          <c:idx val="0"/>
          <c:order val="0"/>
          <c:tx>
            <c:strRef>
              <c:f>[图表.xls]一般公共预算财政拨款支出决算结构图!$A$2</c:f>
              <c:strCache>
                <c:ptCount val="1"/>
                <c:pt idx="0">
                  <c:v>一般公共预算财政拨款支出决算结构图</c:v>
                </c:pt>
              </c:strCache>
            </c:strRef>
          </c:tx>
          <c:spPr>
            <a:scene3d>
              <a:camera prst="orthographicFront"/>
              <a:lightRig rig="threePt" dir="t"/>
            </a:scene3d>
            <a:sp3d contourW="9525"/>
          </c:spPr>
          <c:explosion val="0"/>
          <c:dPt>
            <c:idx val="0"/>
            <c:bubble3D val="0"/>
            <c:explosion val="0"/>
            <c:spPr>
              <a:gradFill>
                <a:gsLst>
                  <a:gs pos="0">
                    <a:schemeClr val="accent5">
                      <a:lumMod val="40000"/>
                      <a:lumOff val="60000"/>
                    </a:schemeClr>
                  </a:gs>
                  <a:gs pos="100000">
                    <a:schemeClr val="accent4">
                      <a:lumMod val="60000"/>
                      <a:lumOff val="40000"/>
                    </a:schemeClr>
                  </a:gs>
                </a:gsLst>
                <a:lin ang="0" scaled="0"/>
              </a:gradFill>
              <a:ln>
                <a:solidFill>
                  <a:schemeClr val="bg1"/>
                </a:solidFill>
              </a:ln>
              <a:effectLst/>
              <a:scene3d>
                <a:camera prst="orthographicFront"/>
                <a:lightRig rig="threePt" dir="t"/>
              </a:scene3d>
              <a:sp3d contourW="9525"/>
            </c:spPr>
          </c:dPt>
          <c:dPt>
            <c:idx val="1"/>
            <c:bubble3D val="0"/>
            <c:explosion val="0"/>
            <c:spPr>
              <a:gradFill>
                <a:gsLst>
                  <a:gs pos="0">
                    <a:schemeClr val="accent5">
                      <a:lumMod val="40000"/>
                      <a:lumOff val="60000"/>
                    </a:schemeClr>
                  </a:gs>
                  <a:gs pos="100000">
                    <a:schemeClr val="accent2">
                      <a:lumMod val="40000"/>
                      <a:lumOff val="60000"/>
                    </a:schemeClr>
                  </a:gs>
                </a:gsLst>
                <a:lin ang="0" scaled="0"/>
              </a:gradFill>
              <a:ln>
                <a:solidFill>
                  <a:schemeClr val="bg1"/>
                </a:solidFill>
              </a:ln>
              <a:effectLst/>
              <a:scene3d>
                <a:camera prst="orthographicFront"/>
                <a:lightRig rig="threePt" dir="t"/>
              </a:scene3d>
              <a:sp3d contourW="9525"/>
            </c:spPr>
          </c:dPt>
          <c:dPt>
            <c:idx val="2"/>
            <c:bubble3D val="0"/>
            <c:explosion val="0"/>
            <c:spPr>
              <a:solidFill>
                <a:schemeClr val="accent3"/>
              </a:solidFill>
              <a:ln>
                <a:solidFill>
                  <a:schemeClr val="bg1"/>
                </a:solidFill>
              </a:ln>
              <a:effectLst/>
              <a:scene3d>
                <a:camera prst="orthographicFront"/>
                <a:lightRig rig="threePt" dir="t"/>
              </a:scene3d>
              <a:sp3d contourW="9525"/>
            </c:spPr>
          </c:dPt>
          <c:dPt>
            <c:idx val="3"/>
            <c:bubble3D val="0"/>
            <c:explosion val="0"/>
            <c:spPr>
              <a:solidFill>
                <a:schemeClr val="accent4"/>
              </a:solidFill>
              <a:ln>
                <a:solidFill>
                  <a:schemeClr val="bg1"/>
                </a:solidFill>
              </a:ln>
              <a:effectLst/>
              <a:scene3d>
                <a:camera prst="orthographicFront"/>
                <a:lightRig rig="threePt" dir="t"/>
              </a:scene3d>
              <a:sp3d contourW="9525"/>
            </c:spPr>
          </c:dPt>
          <c:dPt>
            <c:idx val="4"/>
            <c:bubble3D val="0"/>
            <c:explosion val="0"/>
            <c:spPr>
              <a:gradFill>
                <a:gsLst>
                  <a:gs pos="0">
                    <a:srgbClr val="F5B7BF">
                      <a:lumMod val="40000"/>
                      <a:lumOff val="60000"/>
                    </a:srgbClr>
                  </a:gs>
                  <a:gs pos="100000">
                    <a:schemeClr val="accent2">
                      <a:lumMod val="40000"/>
                      <a:lumOff val="60000"/>
                    </a:schemeClr>
                  </a:gs>
                </a:gsLst>
                <a:lin ang="0" scaled="0"/>
              </a:gradFill>
              <a:ln>
                <a:solidFill>
                  <a:schemeClr val="bg1"/>
                </a:solidFill>
              </a:ln>
              <a:effectLst/>
              <a:scene3d>
                <a:camera prst="orthographicFront"/>
                <a:lightRig rig="threePt" dir="t"/>
              </a:scene3d>
              <a:sp3d contourW="9525"/>
            </c:spPr>
          </c:dPt>
          <c:dPt>
            <c:idx val="5"/>
            <c:bubble3D val="0"/>
            <c:explosion val="0"/>
            <c:spPr>
              <a:solidFill>
                <a:schemeClr val="accent6"/>
              </a:solidFill>
              <a:ln>
                <a:solidFill>
                  <a:schemeClr val="bg1"/>
                </a:solidFill>
              </a:ln>
              <a:effectLst/>
              <a:scene3d>
                <a:camera prst="orthographicFront"/>
                <a:lightRig rig="threePt" dir="t"/>
              </a:scene3d>
              <a:sp3d contourW="9525"/>
            </c:spPr>
          </c:dPt>
          <c:dPt>
            <c:idx val="6"/>
            <c:bubble3D val="0"/>
            <c:explosion val="0"/>
            <c:spPr>
              <a:solidFill>
                <a:schemeClr val="accent1">
                  <a:lumMod val="60000"/>
                </a:schemeClr>
              </a:solidFill>
              <a:ln>
                <a:solidFill>
                  <a:schemeClr val="bg1"/>
                </a:solidFill>
              </a:ln>
              <a:effectLst/>
              <a:scene3d>
                <a:camera prst="orthographicFront"/>
                <a:lightRig rig="threePt" dir="t"/>
              </a:scene3d>
              <a:sp3d contourW="9525"/>
            </c:spPr>
          </c:dPt>
          <c:dPt>
            <c:idx val="7"/>
            <c:bubble3D val="0"/>
            <c:explosion val="0"/>
            <c:spPr>
              <a:solidFill>
                <a:schemeClr val="accent2">
                  <a:lumMod val="60000"/>
                </a:schemeClr>
              </a:solidFill>
              <a:ln>
                <a:solidFill>
                  <a:schemeClr val="bg1"/>
                </a:solidFill>
              </a:ln>
              <a:effectLst/>
              <a:scene3d>
                <a:camera prst="orthographicFront"/>
                <a:lightRig rig="threePt" dir="t"/>
              </a:scene3d>
              <a:sp3d contourW="9525"/>
            </c:spPr>
          </c:dPt>
          <c:dLbls>
            <c:dLbl>
              <c:idx val="1"/>
              <c:layout>
                <c:manualLayout>
                  <c:x val="0.0434267666798263"/>
                  <c:y val="-0.031235539102267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75"/>
                  <c:y val="-0.00347222222222222"/>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868421052631579"/>
                  <c:y val="0.055555555555555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473684210526316"/>
                  <c:y val="-0.0729166666666667"/>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75"/>
                  <c:y val="-0.024305555555555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[图表.xls]一般公共预算财政拨款支出决算结构图!$B$1:$I$1</c:f>
              <c:strCache>
                <c:ptCount val="8"/>
                <c:pt idx="0">
                  <c:v>一般公共服务支出</c:v>
                </c:pt>
                <c:pt idx="1">
                  <c:v>教育支出</c:v>
                </c:pt>
                <c:pt idx="2">
                  <c:v>社会保障和就业支出</c:v>
                </c:pt>
                <c:pt idx="3">
                  <c:v>卫生健康支出</c:v>
                </c:pt>
                <c:pt idx="4">
                  <c:v>农林水支出</c:v>
                </c:pt>
                <c:pt idx="5">
                  <c:v>住房保障支出</c:v>
                </c:pt>
                <c:pt idx="6">
                  <c:v>灾害防治及应急管理支出</c:v>
                </c:pt>
                <c:pt idx="7">
                  <c:v>国防支出</c:v>
                </c:pt>
              </c:strCache>
            </c:strRef>
          </c:cat>
          <c:val>
            <c:numRef>
              <c:f>[图表.xls]一般公共预算财政拨款支出决算结构图!$B$2:$I$2</c:f>
              <c:numCache>
                <c:formatCode>#,##0.00</c:formatCode>
                <c:ptCount val="8"/>
                <c:pt idx="0">
                  <c:v>784.2</c:v>
                </c:pt>
                <c:pt idx="1" c:formatCode="General">
                  <c:v>0.31</c:v>
                </c:pt>
                <c:pt idx="2" c:formatCode="General">
                  <c:v>146.46</c:v>
                </c:pt>
                <c:pt idx="3" c:formatCode="General">
                  <c:v>55.55</c:v>
                </c:pt>
                <c:pt idx="4">
                  <c:v>1852.94</c:v>
                </c:pt>
                <c:pt idx="5" c:formatCode="General">
                  <c:v>81.59</c:v>
                </c:pt>
                <c:pt idx="6" c:formatCode="General">
                  <c:v>6.02</c:v>
                </c:pt>
                <c:pt idx="7" c:formatCode="General">
                  <c:v>5</c:v>
                </c:pt>
              </c:numCache>
            </c:numRef>
          </c:val>
        </c:ser>
        <c:dLbls>
          <c:showLegendKey val="0"/>
          <c:showVal val="0"/>
          <c:showCatName val="0"/>
          <c:showSerName val="0"/>
          <c:showPercent val="0"/>
          <c:showBubbleSize val="0"/>
        </c:dLbls>
      </c:pie3DChart>
      <c:spPr>
        <a:noFill/>
        <a:ln>
          <a:noFill/>
        </a:ln>
        <a:effectLst/>
      </c:spPr>
    </c:plotArea>
    <c:legend>
      <c:legendPos val="r"/>
      <c:layout>
        <c:manualLayout>
          <c:xMode val="edge"/>
          <c:yMode val="edge"/>
          <c:x val="0.059"/>
          <c:y val="0.14675"/>
          <c:w val="0.8815"/>
          <c:h val="0.266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2">
        <a:lumMod val="90000"/>
      </a:schemeClr>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838947368421053"/>
          <c:y val="0.312986111111111"/>
          <c:w val="0.829052631578947"/>
          <c:h val="0.587685185185185"/>
        </c:manualLayout>
      </c:layout>
      <c:pie3DChart>
        <c:varyColors val="1"/>
        <c:ser>
          <c:idx val="0"/>
          <c:order val="0"/>
          <c:tx>
            <c:strRef>
              <c:f>[图表.xls]三公经费!$A$2</c:f>
              <c:strCache>
                <c:ptCount val="1"/>
                <c:pt idx="0">
                  <c:v>“三公”经费财政拨款支出结构图</c:v>
                </c:pt>
              </c:strCache>
            </c:strRef>
          </c:tx>
          <c:spPr>
            <a:scene3d>
              <a:camera prst="orthographicFront"/>
              <a:lightRig rig="threePt" dir="t"/>
            </a:scene3d>
            <a:sp3d contourW="9525"/>
          </c:spPr>
          <c:explosion val="0"/>
          <c:dPt>
            <c:idx val="0"/>
            <c:bubble3D val="0"/>
            <c:explosion val="0"/>
            <c:spPr>
              <a:gradFill>
                <a:gsLst>
                  <a:gs pos="16000">
                    <a:schemeClr val="accent5">
                      <a:lumMod val="20000"/>
                      <a:lumOff val="80000"/>
                    </a:schemeClr>
                  </a:gs>
                  <a:gs pos="74000">
                    <a:schemeClr val="accent5">
                      <a:lumMod val="40000"/>
                      <a:lumOff val="60000"/>
                    </a:schemeClr>
                  </a:gs>
                  <a:gs pos="83000">
                    <a:schemeClr val="accent5">
                      <a:lumMod val="60000"/>
                      <a:lumOff val="40000"/>
                    </a:schemeClr>
                  </a:gs>
                  <a:gs pos="94000">
                    <a:schemeClr val="accent5">
                      <a:lumMod val="75000"/>
                    </a:schemeClr>
                  </a:gs>
                </a:gsLst>
                <a:lin ang="5400000" scaled="0"/>
              </a:gradFill>
              <a:ln>
                <a:solidFill>
                  <a:schemeClr val="bg1"/>
                </a:solidFill>
              </a:ln>
              <a:effectLst/>
              <a:scene3d>
                <a:camera prst="orthographicFront"/>
                <a:lightRig rig="threePt" dir="t"/>
              </a:scene3d>
              <a:sp3d contourW="9525"/>
            </c:spPr>
          </c:dPt>
          <c:dPt>
            <c:idx val="1"/>
            <c:bubble3D val="0"/>
            <c:explosion val="0"/>
            <c:spPr>
              <a:solidFill>
                <a:schemeClr val="accent2"/>
              </a:solidFill>
              <a:ln>
                <a:solidFill>
                  <a:schemeClr val="bg1"/>
                </a:solidFill>
              </a:ln>
              <a:effectLst/>
              <a:scene3d>
                <a:camera prst="orthographicFront"/>
                <a:lightRig rig="threePt" dir="t"/>
              </a:scene3d>
              <a:sp3d contourW="9525"/>
            </c:spPr>
          </c:dPt>
          <c:dPt>
            <c:idx val="2"/>
            <c:bubble3D val="0"/>
            <c:explosion val="0"/>
            <c:spPr>
              <a:solidFill>
                <a:schemeClr val="accent3"/>
              </a:solidFill>
              <a:ln>
                <a:solidFill>
                  <a:schemeClr val="bg1"/>
                </a:solidFill>
              </a:ln>
              <a:effectLst/>
              <a:scene3d>
                <a:camera prst="orthographicFront"/>
                <a:lightRig rig="threePt" dir="t"/>
              </a:scene3d>
              <a:sp3d contourW="9525"/>
            </c:spPr>
          </c:dPt>
          <c:dLbls>
            <c:dLbl>
              <c:idx val="0"/>
              <c:layout>
                <c:manualLayout>
                  <c:x val="-0.00631578947368421"/>
                  <c:y val="-0.258333333333333"/>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delete val="1"/>
            </c:dLbl>
            <c:dLbl>
              <c:idx val="2"/>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[图表.xls]三公经费!$B$1:$D$1</c:f>
              <c:strCache>
                <c:ptCount val="3"/>
                <c:pt idx="0">
                  <c:v>公务用车购置及运行维护费支出</c:v>
                </c:pt>
                <c:pt idx="1">
                  <c:v>因公出国（境）费支出</c:v>
                </c:pt>
                <c:pt idx="2">
                  <c:v>公务接待费支出</c:v>
                </c:pt>
              </c:strCache>
            </c:strRef>
          </c:cat>
          <c:val>
            <c:numRef>
              <c:f>[图表.xls]三公经费!$B$2:$D$2</c:f>
              <c:numCache>
                <c:formatCode>General</c:formatCode>
                <c:ptCount val="3"/>
                <c:pt idx="0">
                  <c:v>8.5</c:v>
                </c:pt>
                <c:pt idx="1">
                  <c:v>0</c:v>
                </c:pt>
                <c:pt idx="2">
                  <c:v>0</c:v>
                </c:pt>
              </c:numCache>
            </c:numRef>
          </c:val>
        </c:ser>
        <c:dLbls>
          <c:showLegendKey val="0"/>
          <c:showVal val="0"/>
          <c:showCatName val="0"/>
          <c:showSerName val="0"/>
          <c:showPercent val="0"/>
          <c:showBubbleSize val="0"/>
        </c:dLbls>
      </c:pie3DChart>
      <c:spPr>
        <a:noFill/>
        <a:ln>
          <a:noFill/>
        </a:ln>
        <a:effectLst/>
      </c:spPr>
    </c:plotArea>
    <c:legend>
      <c:legendPos val="t"/>
      <c:layout>
        <c:manualLayout>
          <c:xMode val="edge"/>
          <c:yMode val="edge"/>
          <c:x val="0.0825"/>
          <c:y val="0.14625"/>
          <c:w val="0.8345"/>
          <c:h val="0.07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accent1">
        <a:lumMod val="20000"/>
        <a:lumOff val="80000"/>
      </a:schemeClr>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34</Pages>
  <Words>10371</Words>
  <Characters>11504</Characters>
  <Lines>61</Lines>
  <Paragraphs>17</Paragraphs>
  <TotalTime>20</TotalTime>
  <ScaleCrop>false</ScaleCrop>
  <LinksUpToDate>false</LinksUpToDate>
  <CharactersWithSpaces>11617</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2026-08-03T17:27:00Z</cp:lastPrinted>
  <dcterms:modified xsi:type="dcterms:W3CDTF">2026-10-23T17:18:24Z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C7E6DA6CE5F2438E955AF374925AB0E4_13</vt:lpwstr>
  </property>
  <property fmtid="{D5CDD505-2E9C-101B-9397-08002B2CF9AE}" pid="4" name="KSOTemplateDocerSaveRecord">
    <vt:lpwstr>eyJoZGlkIjoiNjViZjZhZWRhMDQ2NjJjYzkzMGQwNGRlNDg0YzU4YTYiLCJ1c2VySWQiOiIxMzY3OTY3ODQzIn0=</vt:lpwstr>
  </property>
</Properties>
</file>