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theme/themeOverride1.xml" ContentType="application/vnd.openxmlformats-officedocument.themeOverride+xml"/>
  <Override PartName="/word/theme/themeOverride2.xml" ContentType="application/vnd.openxmlformats-officedocument.themeOverride+xml"/>
  <Override PartName="/word/theme/themeOverride3.xml" ContentType="application/vnd.openxmlformats-officedocument.themeOverride+xml"/>
  <Override PartName="/word/theme/themeOverride4.xml" ContentType="application/vnd.openxmlformats-officedocument.themeOverrid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黑体" w:hAnsi="黑体" w:eastAsia="黑体"/>
          <w:sz w:val="72"/>
          <w:szCs w:val="72"/>
        </w:rPr>
      </w:pPr>
      <w:bookmarkStart w:id="0" w:name="_Toc15378441"/>
      <w:bookmarkStart w:id="1" w:name="_Toc15377193"/>
      <w:bookmarkStart w:id="2" w:name="_Toc15377425"/>
      <w:bookmarkStart w:id="3" w:name="_Toc15396475"/>
      <w:bookmarkStart w:id="4" w:name="_Toc15396597"/>
      <w:r>
        <w:rPr>
          <w:rFonts w:ascii="黑体" w:hAnsi="黑体" w:eastAsia="黑体"/>
          <w:sz w:val="72"/>
          <w:szCs w:val="72"/>
        </w:rPr>
        <w:t>202</w:t>
      </w:r>
      <w:r>
        <w:rPr>
          <w:rFonts w:hint="eastAsia" w:ascii="黑体" w:hAnsi="黑体" w:eastAsia="黑体"/>
          <w:sz w:val="72"/>
          <w:szCs w:val="72"/>
          <w:lang w:val="en-US" w:eastAsia="zh-CN"/>
        </w:rPr>
        <w:t>5</w:t>
      </w:r>
      <w:r>
        <w:rPr>
          <w:rFonts w:hint="eastAsia" w:ascii="黑体" w:hAnsi="黑体" w:eastAsia="黑体"/>
          <w:sz w:val="72"/>
          <w:szCs w:val="72"/>
        </w:rPr>
        <w:t>年度</w:t>
      </w:r>
      <w:bookmarkEnd w:id="0"/>
      <w:bookmarkEnd w:id="1"/>
      <w:bookmarkEnd w:id="2"/>
      <w:bookmarkEnd w:id="3"/>
      <w:bookmarkEnd w:id="4"/>
    </w:p>
    <w:p>
      <w:pPr>
        <w:jc w:val="center"/>
        <w:rPr>
          <w:rFonts w:hint="eastAsia" w:ascii="黑体" w:hAnsi="黑体" w:eastAsia="黑体" w:cs="Times New Roman"/>
          <w:sz w:val="72"/>
          <w:szCs w:val="72"/>
          <w:lang w:eastAsia="zh-CN"/>
        </w:rPr>
      </w:pPr>
      <w:bookmarkStart w:id="5" w:name="_Toc15377426"/>
      <w:bookmarkStart w:id="6" w:name="_Toc15396598"/>
      <w:bookmarkStart w:id="7" w:name="_Toc15377194"/>
      <w:bookmarkStart w:id="8" w:name="_Toc15378442"/>
      <w:bookmarkStart w:id="9" w:name="_Toc15396476"/>
      <w:r>
        <w:rPr>
          <w:rFonts w:hint="eastAsia" w:ascii="黑体" w:hAnsi="黑体" w:eastAsia="黑体" w:cs="Times New Roman"/>
          <w:sz w:val="72"/>
          <w:szCs w:val="72"/>
        </w:rPr>
        <w:t>四川省阿坝州</w:t>
      </w:r>
      <w:bookmarkStart w:id="10" w:name="_Toc15306268"/>
      <w:r>
        <w:rPr>
          <w:rFonts w:hint="eastAsia" w:ascii="黑体" w:hAnsi="黑体" w:eastAsia="黑体" w:cs="Times New Roman"/>
          <w:sz w:val="72"/>
          <w:szCs w:val="72"/>
          <w:lang w:eastAsia="zh-CN"/>
        </w:rPr>
        <w:t>壤塘县</w:t>
      </w:r>
    </w:p>
    <w:p>
      <w:pPr>
        <w:jc w:val="center"/>
        <w:rPr>
          <w:rFonts w:hint="eastAsia" w:ascii="黑体" w:hAnsi="黑体" w:eastAsia="黑体" w:cs="Times New Roman"/>
          <w:sz w:val="72"/>
          <w:szCs w:val="72"/>
          <w:lang w:val="en-US" w:eastAsia="zh-CN"/>
        </w:rPr>
      </w:pPr>
      <w:r>
        <w:rPr>
          <w:rFonts w:hint="eastAsia" w:ascii="黑体" w:hAnsi="黑体" w:eastAsia="黑体" w:cs="Times New Roman"/>
          <w:sz w:val="72"/>
          <w:szCs w:val="72"/>
          <w:lang w:eastAsia="zh-CN"/>
        </w:rPr>
        <w:t>尕多乡</w:t>
      </w:r>
      <w:r>
        <w:rPr>
          <w:rFonts w:hint="eastAsia" w:ascii="黑体" w:hAnsi="黑体" w:eastAsia="黑体" w:cs="Times New Roman"/>
          <w:sz w:val="72"/>
          <w:szCs w:val="72"/>
          <w:lang w:val="en-US" w:eastAsia="zh-CN"/>
        </w:rPr>
        <w:t>人民政府</w:t>
      </w:r>
    </w:p>
    <w:p>
      <w:pPr>
        <w:jc w:val="center"/>
        <w:rPr>
          <w:rFonts w:hint="eastAsia" w:ascii="黑体" w:hAnsi="黑体" w:eastAsia="黑体"/>
          <w:color w:val="auto"/>
          <w:sz w:val="48"/>
          <w:szCs w:val="48"/>
          <w:highlight w:val="none"/>
          <w:lang w:val="en-US" w:eastAsia="zh-CN"/>
        </w:rPr>
        <w:sectPr>
          <w:pgSz w:w="11906" w:h="16838"/>
          <w:pgMar w:top="1440" w:right="1800" w:bottom="1440" w:left="1800" w:header="720" w:footer="720" w:gutter="0"/>
          <w:pgNumType w:fmt="numberInDash"/>
          <w:cols w:space="720" w:num="1"/>
          <w:docGrid w:type="lines" w:linePitch="312" w:charSpace="0"/>
        </w:sectPr>
      </w:pPr>
      <w:r>
        <w:rPr>
          <w:rFonts w:hint="eastAsia" w:ascii="黑体" w:hAnsi="黑体" w:eastAsia="黑体" w:cs="Times New Roman"/>
          <w:sz w:val="72"/>
          <w:szCs w:val="72"/>
        </w:rPr>
        <w:t>部门决算</w:t>
      </w:r>
      <w:bookmarkEnd w:id="5"/>
      <w:bookmarkEnd w:id="6"/>
      <w:bookmarkEnd w:id="7"/>
      <w:bookmarkEnd w:id="8"/>
      <w:bookmarkEnd w:id="9"/>
      <w:bookmarkEnd w:id="10"/>
      <w:r>
        <w:rPr>
          <w:rFonts w:hint="eastAsia" w:ascii="黑体" w:hAnsi="黑体" w:eastAsia="黑体" w:cs="Times New Roman"/>
          <w:sz w:val="72"/>
          <w:szCs w:val="72"/>
          <w:lang w:val="en-US" w:eastAsia="zh-CN"/>
        </w:rPr>
        <w:t>公开</w:t>
      </w:r>
    </w:p>
    <w:p>
      <w:pPr>
        <w:widowControl/>
        <w:jc w:val="center"/>
        <w:rPr>
          <w:rFonts w:ascii="黑体" w:hAnsi="黑体" w:eastAsia="黑体"/>
          <w:color w:val="auto"/>
          <w:sz w:val="48"/>
          <w:szCs w:val="48"/>
          <w:highlight w:val="none"/>
        </w:rPr>
      </w:pPr>
      <w:r>
        <w:rPr>
          <w:rFonts w:hint="eastAsia" w:ascii="黑体" w:hAnsi="黑体" w:eastAsia="黑体"/>
          <w:color w:val="auto"/>
          <w:sz w:val="48"/>
          <w:szCs w:val="48"/>
          <w:highlight w:val="none"/>
        </w:rPr>
        <w:t>目录</w:t>
      </w:r>
    </w:p>
    <w:p>
      <w:pPr>
        <w:widowControl/>
        <w:jc w:val="center"/>
        <w:rPr>
          <w:rFonts w:ascii="黑体" w:hAnsi="黑体" w:eastAsia="黑体" w:cs="Times New Roman"/>
          <w:color w:val="auto"/>
          <w:sz w:val="28"/>
          <w:szCs w:val="28"/>
          <w:highlight w:val="none"/>
        </w:rPr>
      </w:pPr>
    </w:p>
    <w:p>
      <w:pPr>
        <w:pStyle w:val="12"/>
        <w:rPr>
          <w:color w:val="auto"/>
          <w:highlight w:val="none"/>
        </w:rPr>
      </w:pPr>
      <w:r>
        <w:rPr>
          <w:rFonts w:hint="eastAsia"/>
          <w:color w:val="auto"/>
          <w:highlight w:val="none"/>
        </w:rPr>
        <w:t>公开时间：20</w:t>
      </w:r>
      <w:r>
        <w:rPr>
          <w:rFonts w:hint="eastAsia"/>
          <w:color w:val="auto"/>
          <w:highlight w:val="none"/>
          <w:lang w:val="en-US" w:eastAsia="zh-CN"/>
        </w:rPr>
        <w:t>26</w:t>
      </w:r>
      <w:r>
        <w:rPr>
          <w:rFonts w:hint="eastAsia"/>
          <w:color w:val="auto"/>
          <w:highlight w:val="none"/>
        </w:rPr>
        <w:t>年</w:t>
      </w:r>
      <w:r>
        <w:rPr>
          <w:rFonts w:hint="eastAsia"/>
          <w:color w:val="auto"/>
          <w:highlight w:val="none"/>
          <w:lang w:val="en-US" w:eastAsia="zh-CN"/>
        </w:rPr>
        <w:t>10</w:t>
      </w:r>
      <w:r>
        <w:rPr>
          <w:rFonts w:hint="eastAsia"/>
          <w:color w:val="auto"/>
          <w:highlight w:val="none"/>
        </w:rPr>
        <w:t>月</w:t>
      </w:r>
      <w:r>
        <w:rPr>
          <w:rFonts w:hint="eastAsia"/>
          <w:color w:val="auto"/>
          <w:highlight w:val="none"/>
          <w:lang w:val="en-US" w:eastAsia="zh-CN"/>
        </w:rPr>
        <w:t xml:space="preserve"> 16</w:t>
      </w:r>
      <w:r>
        <w:rPr>
          <w:rFonts w:hint="eastAsia"/>
          <w:color w:val="auto"/>
          <w:highlight w:val="none"/>
        </w:rPr>
        <w:t>日</w:t>
      </w:r>
    </w:p>
    <w:p>
      <w:pPr>
        <w:rPr>
          <w:color w:val="auto"/>
          <w:highlight w:val="darkGreen"/>
        </w:rPr>
      </w:pPr>
    </w:p>
    <w:p>
      <w:pPr>
        <w:pStyle w:val="15"/>
        <w:pageBreakBefore w:val="0"/>
        <w:tabs>
          <w:tab w:val="right" w:leader="dot" w:pos="8306"/>
          <w:tab w:val="clear" w:pos="8296"/>
        </w:tabs>
        <w:kinsoku/>
        <w:wordWrap/>
        <w:overflowPunct/>
        <w:topLinePunct w:val="0"/>
        <w:bidi w:val="0"/>
        <w:spacing w:line="560" w:lineRule="exact"/>
        <w:ind w:left="0" w:leftChars="0"/>
        <w:rPr>
          <w:rFonts w:hint="eastAsia" w:ascii="黑体" w:hAnsi="黑体" w:eastAsia="黑体" w:cs="黑体"/>
          <w:sz w:val="21"/>
          <w:szCs w:val="21"/>
          <w:highlight w:val="none"/>
        </w:rPr>
      </w:pPr>
      <w:r>
        <w:rPr>
          <w:rFonts w:hint="eastAsia" w:ascii="黑体" w:hAnsi="黑体" w:eastAsia="黑体" w:cs="黑体"/>
          <w:sz w:val="21"/>
          <w:szCs w:val="21"/>
          <w:highlight w:val="none"/>
        </w:rPr>
        <w:fldChar w:fldCharType="begin"/>
      </w:r>
      <w:r>
        <w:rPr>
          <w:rFonts w:hint="eastAsia" w:ascii="黑体" w:hAnsi="黑体" w:eastAsia="黑体" w:cs="黑体"/>
          <w:sz w:val="21"/>
          <w:szCs w:val="21"/>
          <w:highlight w:val="none"/>
        </w:rPr>
        <w:instrText xml:space="preserve"> HYPERLINK \l _Toc25769 </w:instrText>
      </w:r>
      <w:r>
        <w:rPr>
          <w:rFonts w:hint="eastAsia" w:ascii="黑体" w:hAnsi="黑体" w:eastAsia="黑体" w:cs="黑体"/>
          <w:sz w:val="21"/>
          <w:szCs w:val="21"/>
          <w:highlight w:val="none"/>
        </w:rPr>
        <w:fldChar w:fldCharType="separate"/>
      </w:r>
      <w:r>
        <w:rPr>
          <w:rFonts w:hint="eastAsia" w:ascii="黑体" w:hAnsi="黑体" w:eastAsia="黑体" w:cs="黑体"/>
          <w:sz w:val="21"/>
          <w:szCs w:val="21"/>
          <w:highlight w:val="none"/>
          <w:lang w:eastAsia="zh-CN"/>
        </w:rPr>
        <w:t>一、 部门职责</w:t>
      </w:r>
      <w:r>
        <w:rPr>
          <w:rFonts w:hint="eastAsia" w:ascii="黑体" w:hAnsi="黑体" w:eastAsia="黑体" w:cs="黑体"/>
          <w:sz w:val="21"/>
          <w:szCs w:val="21"/>
          <w:highlight w:val="none"/>
        </w:rPr>
        <w:tab/>
      </w:r>
      <w:r>
        <w:rPr>
          <w:rFonts w:hint="eastAsia" w:ascii="黑体" w:hAnsi="黑体" w:eastAsia="黑体" w:cs="黑体"/>
          <w:sz w:val="21"/>
          <w:szCs w:val="21"/>
          <w:highlight w:val="none"/>
          <w:lang w:val="en-US" w:eastAsia="zh-CN"/>
        </w:rPr>
        <w:t>1</w:t>
      </w:r>
      <w:r>
        <w:rPr>
          <w:rFonts w:hint="eastAsia" w:ascii="黑体" w:hAnsi="黑体" w:eastAsia="黑体" w:cs="黑体"/>
          <w:sz w:val="21"/>
          <w:szCs w:val="21"/>
          <w:highlight w:val="none"/>
        </w:rPr>
        <w:fldChar w:fldCharType="end"/>
      </w:r>
    </w:p>
    <w:p>
      <w:pPr>
        <w:pStyle w:val="15"/>
        <w:pageBreakBefore w:val="0"/>
        <w:tabs>
          <w:tab w:val="right" w:leader="dot" w:pos="8306"/>
          <w:tab w:val="clear" w:pos="8296"/>
        </w:tabs>
        <w:kinsoku/>
        <w:wordWrap/>
        <w:overflowPunct/>
        <w:topLinePunct w:val="0"/>
        <w:bidi w:val="0"/>
        <w:spacing w:line="560" w:lineRule="exact"/>
        <w:ind w:left="0" w:leftChars="0"/>
        <w:rPr>
          <w:rFonts w:hint="eastAsia" w:ascii="黑体" w:hAnsi="黑体" w:eastAsia="黑体" w:cs="黑体"/>
          <w:sz w:val="21"/>
          <w:szCs w:val="21"/>
          <w:highlight w:val="none"/>
        </w:rPr>
      </w:pPr>
      <w:r>
        <w:rPr>
          <w:rFonts w:hint="eastAsia" w:ascii="黑体" w:hAnsi="黑体" w:eastAsia="黑体" w:cs="黑体"/>
          <w:sz w:val="21"/>
          <w:szCs w:val="21"/>
          <w:highlight w:val="none"/>
        </w:rPr>
        <w:fldChar w:fldCharType="begin"/>
      </w:r>
      <w:r>
        <w:rPr>
          <w:rFonts w:hint="eastAsia" w:ascii="黑体" w:hAnsi="黑体" w:eastAsia="黑体" w:cs="黑体"/>
          <w:sz w:val="21"/>
          <w:szCs w:val="21"/>
          <w:highlight w:val="none"/>
        </w:rPr>
        <w:instrText xml:space="preserve"> HYPERLINK \l _Toc21418 </w:instrText>
      </w:r>
      <w:r>
        <w:rPr>
          <w:rFonts w:hint="eastAsia" w:ascii="黑体" w:hAnsi="黑体" w:eastAsia="黑体" w:cs="黑体"/>
          <w:sz w:val="21"/>
          <w:szCs w:val="21"/>
          <w:highlight w:val="none"/>
        </w:rPr>
        <w:fldChar w:fldCharType="separate"/>
      </w:r>
      <w:r>
        <w:rPr>
          <w:rFonts w:hint="eastAsia" w:ascii="黑体" w:hAnsi="黑体" w:eastAsia="黑体" w:cs="黑体"/>
          <w:sz w:val="21"/>
          <w:szCs w:val="21"/>
          <w:highlight w:val="none"/>
        </w:rPr>
        <w:t>二、机构设置</w:t>
      </w:r>
      <w:r>
        <w:rPr>
          <w:rFonts w:hint="eastAsia" w:ascii="黑体" w:hAnsi="黑体" w:eastAsia="黑体" w:cs="黑体"/>
          <w:sz w:val="21"/>
          <w:szCs w:val="21"/>
          <w:highlight w:val="none"/>
        </w:rPr>
        <w:tab/>
      </w:r>
      <w:r>
        <w:rPr>
          <w:rFonts w:hint="eastAsia" w:ascii="黑体" w:hAnsi="黑体" w:eastAsia="黑体" w:cs="黑体"/>
          <w:sz w:val="21"/>
          <w:szCs w:val="21"/>
          <w:highlight w:val="none"/>
          <w:lang w:val="en-US" w:eastAsia="zh-CN"/>
        </w:rPr>
        <w:t>2</w:t>
      </w:r>
      <w:r>
        <w:rPr>
          <w:rFonts w:hint="eastAsia" w:ascii="黑体" w:hAnsi="黑体" w:eastAsia="黑体" w:cs="黑体"/>
          <w:sz w:val="21"/>
          <w:szCs w:val="21"/>
          <w:highlight w:val="none"/>
        </w:rPr>
        <w:fldChar w:fldCharType="end"/>
      </w:r>
    </w:p>
    <w:p>
      <w:pPr>
        <w:pStyle w:val="15"/>
        <w:pageBreakBefore w:val="0"/>
        <w:tabs>
          <w:tab w:val="right" w:leader="dot" w:pos="8306"/>
          <w:tab w:val="clear" w:pos="8296"/>
        </w:tabs>
        <w:kinsoku/>
        <w:wordWrap/>
        <w:overflowPunct/>
        <w:topLinePunct w:val="0"/>
        <w:bidi w:val="0"/>
        <w:spacing w:line="560" w:lineRule="exact"/>
        <w:ind w:left="0" w:leftChars="0"/>
        <w:rPr>
          <w:rFonts w:hint="eastAsia" w:ascii="黑体" w:hAnsi="黑体" w:eastAsia="黑体" w:cs="黑体"/>
          <w:sz w:val="21"/>
          <w:szCs w:val="21"/>
          <w:highlight w:val="none"/>
        </w:rPr>
      </w:pPr>
      <w:r>
        <w:rPr>
          <w:rFonts w:hint="eastAsia" w:ascii="黑体" w:hAnsi="黑体" w:eastAsia="黑体" w:cs="黑体"/>
          <w:color w:val="auto"/>
          <w:kern w:val="2"/>
          <w:sz w:val="21"/>
          <w:szCs w:val="21"/>
          <w:highlight w:val="none"/>
          <w:lang w:val="en-US" w:eastAsia="zh-CN" w:bidi="ar-SA"/>
        </w:rPr>
        <w:t>第二部分 2025年度部门决算情况说明</w:t>
      </w:r>
      <w:r>
        <w:rPr>
          <w:rFonts w:hint="eastAsia" w:ascii="黑体" w:hAnsi="黑体" w:eastAsia="黑体" w:cs="黑体"/>
          <w:sz w:val="21"/>
          <w:szCs w:val="21"/>
          <w:highlight w:val="none"/>
        </w:rPr>
        <w:fldChar w:fldCharType="begin"/>
      </w:r>
      <w:r>
        <w:rPr>
          <w:rFonts w:hint="eastAsia" w:ascii="黑体" w:hAnsi="黑体" w:eastAsia="黑体" w:cs="黑体"/>
          <w:sz w:val="21"/>
          <w:szCs w:val="21"/>
          <w:highlight w:val="none"/>
        </w:rPr>
        <w:instrText xml:space="preserve"> HYPERLINK \l _Toc25769 </w:instrText>
      </w:r>
      <w:r>
        <w:rPr>
          <w:rFonts w:hint="eastAsia" w:ascii="黑体" w:hAnsi="黑体" w:eastAsia="黑体" w:cs="黑体"/>
          <w:sz w:val="21"/>
          <w:szCs w:val="21"/>
          <w:highlight w:val="none"/>
        </w:rPr>
        <w:fldChar w:fldCharType="separate"/>
      </w:r>
      <w:r>
        <w:rPr>
          <w:rFonts w:hint="eastAsia" w:ascii="黑体" w:hAnsi="黑体" w:eastAsia="黑体" w:cs="黑体"/>
          <w:sz w:val="21"/>
          <w:szCs w:val="21"/>
          <w:highlight w:val="none"/>
        </w:rPr>
        <w:tab/>
      </w:r>
      <w:r>
        <w:rPr>
          <w:rFonts w:hint="eastAsia" w:ascii="黑体" w:hAnsi="黑体" w:eastAsia="黑体" w:cs="黑体"/>
          <w:sz w:val="21"/>
          <w:szCs w:val="21"/>
          <w:highlight w:val="none"/>
          <w:lang w:val="en-US" w:eastAsia="zh-CN"/>
        </w:rPr>
        <w:t>3</w:t>
      </w:r>
      <w:r>
        <w:rPr>
          <w:rFonts w:hint="eastAsia" w:ascii="黑体" w:hAnsi="黑体" w:eastAsia="黑体" w:cs="黑体"/>
          <w:sz w:val="21"/>
          <w:szCs w:val="21"/>
          <w:highlight w:val="none"/>
        </w:rPr>
        <w:fldChar w:fldCharType="end"/>
      </w:r>
    </w:p>
    <w:p>
      <w:pPr>
        <w:pStyle w:val="15"/>
        <w:adjustRightInd w:val="0"/>
        <w:snapToGrid w:val="0"/>
        <w:spacing w:line="440" w:lineRule="exact"/>
        <w:jc w:val="left"/>
        <w:rPr>
          <w:rFonts w:hint="eastAsia" w:ascii="黑体" w:hAnsi="黑体" w:eastAsia="黑体" w:cs="黑体"/>
          <w:color w:val="auto"/>
          <w:sz w:val="21"/>
          <w:szCs w:val="21"/>
          <w:highlight w:val="none"/>
          <w:lang w:eastAsia="zh-CN"/>
        </w:rPr>
      </w:pPr>
      <w:r>
        <w:rPr>
          <w:rFonts w:hint="eastAsia" w:ascii="黑体" w:hAnsi="黑体" w:eastAsia="黑体" w:cs="黑体"/>
          <w:color w:val="auto"/>
          <w:sz w:val="21"/>
          <w:szCs w:val="21"/>
          <w:highlight w:val="none"/>
        </w:rPr>
        <w:t>一、收入支出决算总体情况说明</w:t>
      </w:r>
      <w:r>
        <w:rPr>
          <w:rFonts w:hint="eastAsia" w:ascii="黑体" w:hAnsi="黑体" w:eastAsia="黑体" w:cs="黑体"/>
          <w:sz w:val="21"/>
          <w:szCs w:val="21"/>
          <w:highlight w:val="none"/>
        </w:rPr>
        <w:tab/>
      </w:r>
      <w:r>
        <w:rPr>
          <w:rFonts w:hint="eastAsia" w:ascii="黑体" w:hAnsi="黑体" w:eastAsia="黑体" w:cs="黑体"/>
          <w:sz w:val="21"/>
          <w:szCs w:val="21"/>
          <w:highlight w:val="none"/>
          <w:lang w:val="en-US" w:eastAsia="zh-CN"/>
        </w:rPr>
        <w:t>3</w:t>
      </w:r>
    </w:p>
    <w:p>
      <w:pPr>
        <w:pStyle w:val="15"/>
        <w:adjustRightInd w:val="0"/>
        <w:snapToGrid w:val="0"/>
        <w:spacing w:line="440" w:lineRule="exact"/>
        <w:jc w:val="left"/>
        <w:rPr>
          <w:rFonts w:hint="eastAsia" w:ascii="黑体" w:hAnsi="黑体" w:eastAsia="黑体" w:cs="黑体"/>
          <w:sz w:val="21"/>
          <w:szCs w:val="21"/>
          <w:highlight w:val="none"/>
          <w:lang w:val="en-US" w:eastAsia="zh-CN"/>
        </w:rPr>
      </w:pPr>
      <w:r>
        <w:rPr>
          <w:rFonts w:hint="eastAsia" w:ascii="黑体" w:hAnsi="黑体" w:eastAsia="黑体" w:cs="黑体"/>
          <w:color w:val="auto"/>
          <w:sz w:val="21"/>
          <w:szCs w:val="21"/>
          <w:highlight w:val="none"/>
        </w:rPr>
        <w:t>二、收入决算情况说明</w:t>
      </w:r>
      <w:r>
        <w:rPr>
          <w:rFonts w:hint="eastAsia" w:ascii="黑体" w:hAnsi="黑体" w:eastAsia="黑体" w:cs="黑体"/>
          <w:sz w:val="21"/>
          <w:szCs w:val="21"/>
          <w:highlight w:val="none"/>
        </w:rPr>
        <w:tab/>
      </w:r>
      <w:r>
        <w:rPr>
          <w:rFonts w:hint="eastAsia" w:ascii="黑体" w:hAnsi="黑体" w:eastAsia="黑体" w:cs="黑体"/>
          <w:sz w:val="21"/>
          <w:szCs w:val="21"/>
          <w:highlight w:val="none"/>
          <w:lang w:val="en-US" w:eastAsia="zh-CN"/>
        </w:rPr>
        <w:t>3</w:t>
      </w:r>
    </w:p>
    <w:p>
      <w:pPr>
        <w:pStyle w:val="15"/>
        <w:adjustRightInd w:val="0"/>
        <w:snapToGrid w:val="0"/>
        <w:spacing w:line="440" w:lineRule="exact"/>
        <w:jc w:val="left"/>
        <w:rPr>
          <w:rFonts w:hint="eastAsia" w:ascii="黑体" w:hAnsi="黑体" w:eastAsia="黑体" w:cs="黑体"/>
          <w:color w:val="auto"/>
          <w:sz w:val="21"/>
          <w:szCs w:val="21"/>
          <w:highlight w:val="none"/>
          <w:lang w:eastAsia="zh-CN"/>
        </w:rPr>
      </w:pPr>
      <w:r>
        <w:rPr>
          <w:rFonts w:hint="eastAsia" w:ascii="黑体" w:hAnsi="黑体" w:eastAsia="黑体" w:cs="黑体"/>
          <w:color w:val="auto"/>
          <w:sz w:val="21"/>
          <w:szCs w:val="21"/>
          <w:highlight w:val="none"/>
        </w:rPr>
        <w:t>三、支出决算情况说明</w:t>
      </w:r>
      <w:r>
        <w:rPr>
          <w:rFonts w:hint="eastAsia" w:ascii="黑体" w:hAnsi="黑体" w:eastAsia="黑体" w:cs="黑体"/>
          <w:sz w:val="21"/>
          <w:szCs w:val="21"/>
          <w:highlight w:val="none"/>
        </w:rPr>
        <w:tab/>
      </w:r>
      <w:r>
        <w:rPr>
          <w:rFonts w:hint="eastAsia" w:ascii="黑体" w:hAnsi="黑体" w:eastAsia="黑体" w:cs="黑体"/>
          <w:sz w:val="21"/>
          <w:szCs w:val="21"/>
          <w:highlight w:val="none"/>
          <w:lang w:val="en-US" w:eastAsia="zh-CN"/>
        </w:rPr>
        <w:t>4</w:t>
      </w:r>
    </w:p>
    <w:p>
      <w:pPr>
        <w:pStyle w:val="15"/>
        <w:adjustRightInd w:val="0"/>
        <w:snapToGrid w:val="0"/>
        <w:spacing w:line="440" w:lineRule="exact"/>
        <w:jc w:val="left"/>
        <w:rPr>
          <w:rFonts w:hint="eastAsia" w:ascii="黑体" w:hAnsi="黑体" w:eastAsia="黑体" w:cs="黑体"/>
          <w:color w:val="auto"/>
          <w:sz w:val="21"/>
          <w:szCs w:val="21"/>
          <w:highlight w:val="none"/>
          <w:lang w:eastAsia="zh-CN"/>
        </w:rPr>
      </w:pPr>
      <w:r>
        <w:rPr>
          <w:rFonts w:hint="eastAsia" w:ascii="黑体" w:hAnsi="黑体" w:eastAsia="黑体" w:cs="黑体"/>
          <w:color w:val="auto"/>
          <w:sz w:val="21"/>
          <w:szCs w:val="21"/>
          <w:highlight w:val="none"/>
        </w:rPr>
        <w:t>四、财政拨款收入支出决算总体情况说明</w:t>
      </w:r>
      <w:r>
        <w:rPr>
          <w:rFonts w:hint="eastAsia" w:ascii="黑体" w:hAnsi="黑体" w:eastAsia="黑体" w:cs="黑体"/>
          <w:sz w:val="21"/>
          <w:szCs w:val="21"/>
          <w:highlight w:val="none"/>
        </w:rPr>
        <w:tab/>
      </w:r>
      <w:r>
        <w:rPr>
          <w:rFonts w:hint="eastAsia" w:ascii="黑体" w:hAnsi="黑体" w:eastAsia="黑体" w:cs="黑体"/>
          <w:sz w:val="21"/>
          <w:szCs w:val="21"/>
          <w:highlight w:val="none"/>
          <w:lang w:val="en-US" w:eastAsia="zh-CN"/>
        </w:rPr>
        <w:t>4</w:t>
      </w:r>
    </w:p>
    <w:p>
      <w:pPr>
        <w:pStyle w:val="15"/>
        <w:adjustRightInd w:val="0"/>
        <w:snapToGrid w:val="0"/>
        <w:spacing w:line="440" w:lineRule="exact"/>
        <w:jc w:val="left"/>
        <w:rPr>
          <w:rFonts w:hint="eastAsia" w:ascii="黑体" w:hAnsi="黑体" w:eastAsia="黑体" w:cs="黑体"/>
          <w:color w:val="auto"/>
          <w:sz w:val="21"/>
          <w:szCs w:val="21"/>
          <w:highlight w:val="none"/>
          <w:lang w:eastAsia="zh-CN"/>
        </w:rPr>
      </w:pPr>
      <w:r>
        <w:rPr>
          <w:rFonts w:hint="eastAsia" w:ascii="黑体" w:hAnsi="黑体" w:eastAsia="黑体" w:cs="黑体"/>
          <w:color w:val="auto"/>
          <w:sz w:val="21"/>
          <w:szCs w:val="21"/>
          <w:highlight w:val="none"/>
        </w:rPr>
        <w:t>五、一般公共预算财政拨款支出决算情况说明</w:t>
      </w:r>
      <w:r>
        <w:rPr>
          <w:rFonts w:hint="eastAsia" w:ascii="黑体" w:hAnsi="黑体" w:eastAsia="黑体" w:cs="黑体"/>
          <w:sz w:val="21"/>
          <w:szCs w:val="21"/>
          <w:highlight w:val="none"/>
        </w:rPr>
        <w:tab/>
      </w:r>
      <w:r>
        <w:rPr>
          <w:rFonts w:hint="eastAsia" w:ascii="黑体" w:hAnsi="黑体" w:eastAsia="黑体" w:cs="黑体"/>
          <w:sz w:val="21"/>
          <w:szCs w:val="21"/>
          <w:highlight w:val="none"/>
          <w:lang w:val="en-US" w:eastAsia="zh-CN"/>
        </w:rPr>
        <w:t>5</w:t>
      </w:r>
    </w:p>
    <w:p>
      <w:pPr>
        <w:pStyle w:val="15"/>
        <w:adjustRightInd w:val="0"/>
        <w:snapToGrid w:val="0"/>
        <w:spacing w:line="440" w:lineRule="exact"/>
        <w:jc w:val="left"/>
        <w:rPr>
          <w:rFonts w:hint="eastAsia" w:ascii="黑体" w:hAnsi="黑体" w:eastAsia="黑体" w:cs="黑体"/>
          <w:color w:val="auto"/>
          <w:sz w:val="21"/>
          <w:szCs w:val="21"/>
          <w:highlight w:val="none"/>
          <w:lang w:eastAsia="zh-CN"/>
        </w:rPr>
      </w:pPr>
      <w:r>
        <w:rPr>
          <w:rFonts w:hint="eastAsia" w:ascii="黑体" w:hAnsi="黑体" w:eastAsia="黑体" w:cs="黑体"/>
          <w:color w:val="auto"/>
          <w:sz w:val="21"/>
          <w:szCs w:val="21"/>
          <w:highlight w:val="none"/>
        </w:rPr>
        <w:t>六、一般公共预算财政拨款基本支出决算情况说明</w:t>
      </w:r>
      <w:r>
        <w:rPr>
          <w:rFonts w:hint="eastAsia" w:ascii="黑体" w:hAnsi="黑体" w:eastAsia="黑体" w:cs="黑体"/>
          <w:sz w:val="21"/>
          <w:szCs w:val="21"/>
          <w:highlight w:val="none"/>
        </w:rPr>
        <w:tab/>
      </w:r>
      <w:r>
        <w:rPr>
          <w:rFonts w:hint="eastAsia" w:ascii="黑体" w:hAnsi="黑体" w:eastAsia="黑体" w:cs="黑体"/>
          <w:sz w:val="21"/>
          <w:szCs w:val="21"/>
          <w:highlight w:val="none"/>
          <w:lang w:val="en-US" w:eastAsia="zh-CN"/>
        </w:rPr>
        <w:t>9</w:t>
      </w:r>
    </w:p>
    <w:p>
      <w:pPr>
        <w:pStyle w:val="15"/>
        <w:adjustRightInd w:val="0"/>
        <w:snapToGrid w:val="0"/>
        <w:spacing w:line="440" w:lineRule="exact"/>
        <w:jc w:val="left"/>
        <w:rPr>
          <w:rFonts w:hint="eastAsia" w:ascii="黑体" w:hAnsi="黑体" w:eastAsia="黑体" w:cs="黑体"/>
          <w:b/>
          <w:bCs/>
          <w:color w:val="auto"/>
          <w:sz w:val="21"/>
          <w:szCs w:val="21"/>
          <w:highlight w:val="none"/>
          <w:lang w:eastAsia="zh-CN"/>
        </w:rPr>
      </w:pPr>
      <w:r>
        <w:rPr>
          <w:rFonts w:hint="eastAsia" w:ascii="黑体" w:hAnsi="黑体" w:eastAsia="黑体" w:cs="黑体"/>
          <w:color w:val="auto"/>
          <w:sz w:val="21"/>
          <w:szCs w:val="21"/>
          <w:highlight w:val="none"/>
        </w:rPr>
        <w:t>七、财政拨款</w:t>
      </w:r>
      <w:r>
        <w:rPr>
          <w:rFonts w:hint="eastAsia" w:ascii="黑体" w:hAnsi="黑体" w:eastAsia="黑体" w:cs="黑体"/>
          <w:color w:val="auto"/>
          <w:sz w:val="21"/>
          <w:szCs w:val="21"/>
          <w:highlight w:val="none"/>
          <w:lang w:eastAsia="zh-CN"/>
        </w:rPr>
        <w:t>“</w:t>
      </w:r>
      <w:r>
        <w:rPr>
          <w:rFonts w:hint="eastAsia" w:ascii="黑体" w:hAnsi="黑体" w:eastAsia="黑体" w:cs="黑体"/>
          <w:color w:val="auto"/>
          <w:sz w:val="21"/>
          <w:szCs w:val="21"/>
          <w:highlight w:val="none"/>
        </w:rPr>
        <w:t>三公”经费支出决算情况说明</w:t>
      </w:r>
      <w:r>
        <w:rPr>
          <w:rFonts w:hint="eastAsia" w:ascii="黑体" w:hAnsi="黑体" w:eastAsia="黑体" w:cs="黑体"/>
          <w:sz w:val="21"/>
          <w:szCs w:val="21"/>
          <w:highlight w:val="none"/>
        </w:rPr>
        <w:tab/>
      </w:r>
      <w:r>
        <w:rPr>
          <w:rFonts w:hint="eastAsia" w:ascii="黑体" w:hAnsi="黑体" w:eastAsia="黑体" w:cs="黑体"/>
          <w:sz w:val="21"/>
          <w:szCs w:val="21"/>
          <w:highlight w:val="none"/>
          <w:lang w:val="en-US" w:eastAsia="zh-CN"/>
        </w:rPr>
        <w:t>9</w:t>
      </w:r>
    </w:p>
    <w:p>
      <w:pPr>
        <w:pStyle w:val="15"/>
        <w:adjustRightInd w:val="0"/>
        <w:snapToGrid w:val="0"/>
        <w:spacing w:line="440" w:lineRule="exact"/>
        <w:jc w:val="left"/>
        <w:rPr>
          <w:rFonts w:hint="eastAsia" w:ascii="黑体" w:hAnsi="黑体" w:eastAsia="黑体" w:cs="黑体"/>
          <w:color w:val="auto"/>
          <w:sz w:val="21"/>
          <w:szCs w:val="21"/>
          <w:highlight w:val="none"/>
          <w:lang w:val="en-US" w:eastAsia="zh-CN"/>
        </w:rPr>
      </w:pPr>
      <w:r>
        <w:rPr>
          <w:rFonts w:hint="eastAsia" w:ascii="黑体" w:hAnsi="黑体" w:eastAsia="黑体" w:cs="黑体"/>
          <w:color w:val="auto"/>
          <w:sz w:val="21"/>
          <w:szCs w:val="21"/>
          <w:highlight w:val="none"/>
        </w:rPr>
        <w:t>八、政府性基金预算支出决算情况说明</w:t>
      </w:r>
      <w:r>
        <w:rPr>
          <w:rFonts w:hint="eastAsia" w:ascii="黑体" w:hAnsi="黑体" w:eastAsia="黑体" w:cs="黑体"/>
          <w:sz w:val="21"/>
          <w:szCs w:val="21"/>
          <w:highlight w:val="none"/>
        </w:rPr>
        <w:tab/>
      </w:r>
      <w:r>
        <w:rPr>
          <w:rFonts w:hint="eastAsia" w:ascii="黑体" w:hAnsi="黑体" w:eastAsia="黑体" w:cs="黑体"/>
          <w:sz w:val="21"/>
          <w:szCs w:val="21"/>
          <w:highlight w:val="none"/>
          <w:lang w:val="en-US" w:eastAsia="zh-CN"/>
        </w:rPr>
        <w:t>11</w:t>
      </w:r>
    </w:p>
    <w:p>
      <w:pPr>
        <w:pStyle w:val="15"/>
        <w:adjustRightInd w:val="0"/>
        <w:snapToGrid w:val="0"/>
        <w:spacing w:line="440" w:lineRule="exact"/>
        <w:ind w:leftChars="0"/>
        <w:jc w:val="left"/>
        <w:rPr>
          <w:rFonts w:hint="eastAsia" w:ascii="黑体" w:hAnsi="黑体" w:eastAsia="黑体" w:cs="黑体"/>
          <w:color w:val="auto"/>
          <w:sz w:val="21"/>
          <w:szCs w:val="21"/>
          <w:highlight w:val="none"/>
          <w:lang w:val="en-US"/>
        </w:rPr>
      </w:pPr>
      <w:r>
        <w:rPr>
          <w:rFonts w:hint="eastAsia" w:ascii="黑体" w:hAnsi="黑体" w:eastAsia="黑体" w:cs="黑体"/>
          <w:color w:val="auto"/>
          <w:sz w:val="21"/>
          <w:szCs w:val="21"/>
          <w:highlight w:val="none"/>
        </w:rPr>
        <w:t>九、</w:t>
      </w:r>
      <w:r>
        <w:rPr>
          <w:rFonts w:hint="eastAsia" w:ascii="黑体" w:hAnsi="黑体" w:eastAsia="黑体" w:cs="黑体"/>
          <w:color w:val="auto"/>
          <w:sz w:val="21"/>
          <w:szCs w:val="21"/>
          <w:highlight w:val="none"/>
          <w:lang w:eastAsia="zh-CN"/>
        </w:rPr>
        <w:t>国</w:t>
      </w:r>
      <w:r>
        <w:rPr>
          <w:rFonts w:hint="eastAsia" w:ascii="黑体" w:hAnsi="黑体" w:eastAsia="黑体" w:cs="黑体"/>
          <w:color w:val="auto"/>
          <w:sz w:val="21"/>
          <w:szCs w:val="21"/>
          <w:highlight w:val="none"/>
        </w:rPr>
        <w:t>有资本经营预算支出决算情况说明</w:t>
      </w:r>
      <w:r>
        <w:rPr>
          <w:rFonts w:hint="eastAsia" w:ascii="黑体" w:hAnsi="黑体" w:eastAsia="黑体" w:cs="黑体"/>
          <w:sz w:val="21"/>
          <w:szCs w:val="21"/>
          <w:highlight w:val="none"/>
        </w:rPr>
        <w:tab/>
      </w:r>
      <w:r>
        <w:rPr>
          <w:rFonts w:hint="eastAsia" w:ascii="黑体" w:hAnsi="黑体" w:eastAsia="黑体" w:cs="黑体"/>
          <w:sz w:val="21"/>
          <w:szCs w:val="21"/>
          <w:highlight w:val="none"/>
          <w:lang w:val="en-US" w:eastAsia="zh-CN"/>
        </w:rPr>
        <w:t>12</w:t>
      </w:r>
    </w:p>
    <w:p>
      <w:pPr>
        <w:pStyle w:val="15"/>
        <w:adjustRightInd w:val="0"/>
        <w:snapToGrid w:val="0"/>
        <w:spacing w:line="440" w:lineRule="exact"/>
        <w:jc w:val="left"/>
        <w:rPr>
          <w:rFonts w:hint="eastAsia" w:ascii="黑体" w:hAnsi="黑体" w:eastAsia="黑体" w:cs="黑体"/>
          <w:color w:val="auto"/>
          <w:sz w:val="21"/>
          <w:szCs w:val="21"/>
          <w:highlight w:val="none"/>
          <w:lang w:val="en-US"/>
        </w:rPr>
      </w:pPr>
      <w:r>
        <w:rPr>
          <w:rStyle w:val="20"/>
          <w:rFonts w:hint="eastAsia" w:ascii="黑体" w:hAnsi="黑体" w:eastAsia="黑体" w:cs="黑体"/>
          <w:color w:val="auto"/>
          <w:sz w:val="21"/>
          <w:szCs w:val="21"/>
          <w:highlight w:val="none"/>
          <w:u w:val="none"/>
          <w:lang w:eastAsia="zh-CN"/>
        </w:rPr>
        <w:t>十</w:t>
      </w:r>
      <w:r>
        <w:rPr>
          <w:rStyle w:val="20"/>
          <w:rFonts w:hint="eastAsia" w:ascii="黑体" w:hAnsi="黑体" w:eastAsia="黑体" w:cs="黑体"/>
          <w:color w:val="auto"/>
          <w:sz w:val="21"/>
          <w:szCs w:val="21"/>
          <w:highlight w:val="none"/>
          <w:u w:val="none"/>
        </w:rPr>
        <w:t>、</w:t>
      </w:r>
      <w:r>
        <w:rPr>
          <w:rFonts w:hint="eastAsia" w:ascii="黑体" w:hAnsi="黑体" w:eastAsia="黑体" w:cs="黑体"/>
          <w:color w:val="auto"/>
          <w:sz w:val="21"/>
          <w:szCs w:val="21"/>
          <w:highlight w:val="none"/>
        </w:rPr>
        <w:t>其他重要事项的情况说明</w:t>
      </w:r>
      <w:r>
        <w:rPr>
          <w:rFonts w:hint="eastAsia" w:ascii="黑体" w:hAnsi="黑体" w:eastAsia="黑体" w:cs="黑体"/>
          <w:sz w:val="21"/>
          <w:szCs w:val="21"/>
          <w:highlight w:val="none"/>
        </w:rPr>
        <w:tab/>
      </w:r>
      <w:r>
        <w:rPr>
          <w:rFonts w:hint="eastAsia" w:ascii="黑体" w:hAnsi="黑体" w:eastAsia="黑体" w:cs="黑体"/>
          <w:sz w:val="21"/>
          <w:szCs w:val="21"/>
          <w:highlight w:val="none"/>
          <w:lang w:val="en-US" w:eastAsia="zh-CN"/>
        </w:rPr>
        <w:t>12</w:t>
      </w:r>
    </w:p>
    <w:p>
      <w:pPr>
        <w:pStyle w:val="12"/>
        <w:adjustRightInd w:val="0"/>
        <w:snapToGrid w:val="0"/>
        <w:spacing w:before="0" w:line="440" w:lineRule="exact"/>
        <w:jc w:val="left"/>
        <w:rPr>
          <w:rFonts w:hint="eastAsia" w:ascii="黑体" w:hAnsi="黑体" w:eastAsia="黑体" w:cs="黑体"/>
          <w:color w:val="auto"/>
          <w:kern w:val="2"/>
          <w:sz w:val="21"/>
          <w:szCs w:val="21"/>
          <w:highlight w:val="none"/>
          <w:lang w:val="en-US" w:eastAsia="zh-CN" w:bidi="ar-SA"/>
        </w:rPr>
      </w:pPr>
      <w:r>
        <w:rPr>
          <w:rFonts w:hint="eastAsia" w:ascii="黑体" w:hAnsi="黑体" w:eastAsia="黑体" w:cs="黑体"/>
          <w:color w:val="auto"/>
          <w:sz w:val="21"/>
          <w:szCs w:val="21"/>
          <w:highlight w:val="none"/>
        </w:rPr>
        <w:t>第三部分 名词解释</w:t>
      </w:r>
      <w:r>
        <w:rPr>
          <w:rFonts w:hint="eastAsia" w:ascii="黑体" w:hAnsi="黑体" w:eastAsia="黑体" w:cs="黑体"/>
          <w:sz w:val="21"/>
          <w:szCs w:val="21"/>
          <w:highlight w:val="none"/>
        </w:rPr>
        <w:tab/>
      </w:r>
      <w:r>
        <w:rPr>
          <w:rFonts w:hint="eastAsia" w:ascii="黑体" w:hAnsi="黑体" w:eastAsia="黑体" w:cs="黑体"/>
          <w:color w:val="auto"/>
          <w:kern w:val="2"/>
          <w:sz w:val="21"/>
          <w:szCs w:val="21"/>
          <w:highlight w:val="none"/>
          <w:lang w:val="en-US" w:eastAsia="zh-CN" w:bidi="ar-SA"/>
        </w:rPr>
        <w:t>15</w:t>
      </w:r>
    </w:p>
    <w:p>
      <w:pPr>
        <w:pStyle w:val="12"/>
        <w:adjustRightInd w:val="0"/>
        <w:snapToGrid w:val="0"/>
        <w:spacing w:before="0" w:line="440" w:lineRule="exact"/>
        <w:jc w:val="left"/>
        <w:rPr>
          <w:rFonts w:hint="eastAsia" w:ascii="黑体" w:hAnsi="黑体" w:eastAsia="黑体" w:cs="黑体"/>
          <w:color w:val="auto"/>
          <w:kern w:val="2"/>
          <w:sz w:val="21"/>
          <w:szCs w:val="21"/>
          <w:highlight w:val="none"/>
          <w:lang w:val="en-US" w:eastAsia="zh-CN" w:bidi="ar-SA"/>
        </w:rPr>
      </w:pPr>
      <w:r>
        <w:rPr>
          <w:rFonts w:hint="eastAsia" w:ascii="黑体" w:hAnsi="黑体" w:eastAsia="黑体" w:cs="黑体"/>
          <w:color w:val="auto"/>
          <w:sz w:val="21"/>
          <w:szCs w:val="21"/>
          <w:highlight w:val="none"/>
        </w:rPr>
        <w:t>第四部分 附件</w:t>
      </w:r>
      <w:r>
        <w:rPr>
          <w:rFonts w:hint="eastAsia" w:ascii="黑体" w:hAnsi="黑体" w:eastAsia="黑体" w:cs="黑体"/>
          <w:sz w:val="21"/>
          <w:szCs w:val="21"/>
          <w:highlight w:val="none"/>
        </w:rPr>
        <w:tab/>
      </w:r>
      <w:r>
        <w:rPr>
          <w:rFonts w:hint="eastAsia" w:ascii="黑体" w:hAnsi="黑体" w:eastAsia="黑体" w:cs="黑体"/>
          <w:color w:val="auto"/>
          <w:kern w:val="2"/>
          <w:sz w:val="21"/>
          <w:szCs w:val="21"/>
          <w:highlight w:val="none"/>
          <w:lang w:val="en-US" w:eastAsia="zh-CN" w:bidi="ar-SA"/>
        </w:rPr>
        <w:t>18</w:t>
      </w:r>
    </w:p>
    <w:p>
      <w:pPr>
        <w:pStyle w:val="12"/>
        <w:adjustRightInd w:val="0"/>
        <w:snapToGrid w:val="0"/>
        <w:spacing w:before="0" w:line="440" w:lineRule="exact"/>
        <w:jc w:val="left"/>
        <w:rPr>
          <w:rFonts w:hint="eastAsia" w:ascii="黑体" w:hAnsi="黑体" w:eastAsia="黑体" w:cs="黑体"/>
          <w:color w:val="auto"/>
          <w:kern w:val="2"/>
          <w:sz w:val="21"/>
          <w:szCs w:val="21"/>
          <w:highlight w:val="none"/>
          <w:lang w:val="en-US" w:eastAsia="zh-CN" w:bidi="ar-SA"/>
        </w:rPr>
      </w:pPr>
      <w:r>
        <w:rPr>
          <w:rFonts w:hint="eastAsia" w:ascii="黑体" w:hAnsi="黑体" w:eastAsia="黑体" w:cs="黑体"/>
          <w:color w:val="auto"/>
          <w:sz w:val="21"/>
          <w:szCs w:val="21"/>
          <w:highlight w:val="none"/>
        </w:rPr>
        <w:t>第五部分 附表</w:t>
      </w:r>
      <w:r>
        <w:rPr>
          <w:rFonts w:hint="eastAsia" w:ascii="黑体" w:hAnsi="黑体" w:eastAsia="黑体" w:cs="黑体"/>
          <w:sz w:val="21"/>
          <w:szCs w:val="21"/>
          <w:highlight w:val="none"/>
        </w:rPr>
        <w:tab/>
      </w:r>
      <w:r>
        <w:rPr>
          <w:rFonts w:hint="eastAsia" w:ascii="黑体" w:hAnsi="黑体" w:eastAsia="黑体" w:cs="黑体"/>
          <w:color w:val="auto"/>
          <w:kern w:val="2"/>
          <w:sz w:val="21"/>
          <w:szCs w:val="21"/>
          <w:highlight w:val="none"/>
          <w:lang w:val="en-US" w:eastAsia="zh-CN" w:bidi="ar-SA"/>
        </w:rPr>
        <w:t>39</w:t>
      </w:r>
    </w:p>
    <w:p>
      <w:pPr>
        <w:pStyle w:val="15"/>
        <w:adjustRightInd w:val="0"/>
        <w:snapToGrid w:val="0"/>
        <w:spacing w:line="440" w:lineRule="exact"/>
        <w:jc w:val="left"/>
        <w:rPr>
          <w:rFonts w:hint="eastAsia" w:ascii="黑体" w:hAnsi="黑体" w:eastAsia="黑体" w:cs="黑体"/>
          <w:sz w:val="21"/>
          <w:szCs w:val="21"/>
          <w:highlight w:val="none"/>
          <w:lang w:val="en-US" w:eastAsia="zh-CN"/>
        </w:rPr>
      </w:pPr>
      <w:r>
        <w:rPr>
          <w:rFonts w:hint="eastAsia" w:ascii="黑体" w:hAnsi="黑体" w:eastAsia="黑体" w:cs="黑体"/>
          <w:color w:val="auto"/>
          <w:sz w:val="21"/>
          <w:szCs w:val="21"/>
          <w:highlight w:val="none"/>
        </w:rPr>
        <w:t>一、收入支出决算总表</w:t>
      </w:r>
      <w:r>
        <w:rPr>
          <w:rFonts w:hint="eastAsia" w:ascii="黑体" w:hAnsi="黑体" w:eastAsia="黑体" w:cs="黑体"/>
          <w:color w:val="auto"/>
          <w:sz w:val="21"/>
          <w:szCs w:val="21"/>
          <w:highlight w:val="none"/>
        </w:rPr>
        <w:tab/>
      </w:r>
      <w:r>
        <w:rPr>
          <w:rFonts w:hint="eastAsia" w:ascii="黑体" w:hAnsi="黑体" w:eastAsia="黑体" w:cs="黑体"/>
          <w:sz w:val="21"/>
          <w:szCs w:val="21"/>
          <w:highlight w:val="none"/>
          <w:lang w:val="en-US" w:eastAsia="zh-CN"/>
        </w:rPr>
        <w:t>39</w:t>
      </w:r>
    </w:p>
    <w:p>
      <w:pPr>
        <w:pStyle w:val="15"/>
        <w:adjustRightInd w:val="0"/>
        <w:snapToGrid w:val="0"/>
        <w:spacing w:line="440" w:lineRule="exact"/>
        <w:jc w:val="left"/>
        <w:rPr>
          <w:rFonts w:hint="eastAsia" w:ascii="黑体" w:hAnsi="黑体" w:eastAsia="黑体" w:cs="黑体"/>
          <w:sz w:val="21"/>
          <w:szCs w:val="21"/>
          <w:highlight w:val="none"/>
          <w:lang w:val="en-US" w:eastAsia="zh-CN"/>
        </w:rPr>
      </w:pPr>
      <w:r>
        <w:rPr>
          <w:rFonts w:hint="eastAsia" w:ascii="黑体" w:hAnsi="黑体" w:eastAsia="黑体" w:cs="黑体"/>
          <w:color w:val="auto"/>
          <w:sz w:val="21"/>
          <w:szCs w:val="21"/>
          <w:highlight w:val="none"/>
        </w:rPr>
        <w:t>二、收入决算表</w:t>
      </w:r>
      <w:r>
        <w:rPr>
          <w:rFonts w:hint="eastAsia" w:ascii="黑体" w:hAnsi="黑体" w:eastAsia="黑体" w:cs="黑体"/>
          <w:color w:val="auto"/>
          <w:sz w:val="21"/>
          <w:szCs w:val="21"/>
          <w:highlight w:val="none"/>
        </w:rPr>
        <w:tab/>
      </w:r>
      <w:r>
        <w:rPr>
          <w:rFonts w:hint="eastAsia" w:ascii="黑体" w:hAnsi="黑体" w:eastAsia="黑体" w:cs="黑体"/>
          <w:sz w:val="21"/>
          <w:szCs w:val="21"/>
          <w:highlight w:val="none"/>
          <w:lang w:val="en-US" w:eastAsia="zh-CN"/>
        </w:rPr>
        <w:t>39</w:t>
      </w:r>
    </w:p>
    <w:p>
      <w:pPr>
        <w:pStyle w:val="15"/>
        <w:adjustRightInd w:val="0"/>
        <w:snapToGrid w:val="0"/>
        <w:spacing w:line="440" w:lineRule="exact"/>
        <w:jc w:val="left"/>
        <w:rPr>
          <w:rFonts w:hint="eastAsia" w:ascii="黑体" w:hAnsi="黑体" w:eastAsia="黑体" w:cs="黑体"/>
          <w:sz w:val="21"/>
          <w:szCs w:val="21"/>
          <w:highlight w:val="none"/>
          <w:lang w:val="en-US" w:eastAsia="zh-CN"/>
        </w:rPr>
      </w:pPr>
      <w:r>
        <w:rPr>
          <w:rFonts w:hint="eastAsia" w:ascii="黑体" w:hAnsi="黑体" w:eastAsia="黑体" w:cs="黑体"/>
          <w:color w:val="auto"/>
          <w:sz w:val="21"/>
          <w:szCs w:val="21"/>
          <w:highlight w:val="none"/>
        </w:rPr>
        <w:t>三、支出决算表</w:t>
      </w:r>
      <w:r>
        <w:rPr>
          <w:rFonts w:hint="eastAsia" w:ascii="黑体" w:hAnsi="黑体" w:eastAsia="黑体" w:cs="黑体"/>
          <w:color w:val="auto"/>
          <w:sz w:val="21"/>
          <w:szCs w:val="21"/>
          <w:highlight w:val="none"/>
        </w:rPr>
        <w:tab/>
      </w:r>
      <w:r>
        <w:rPr>
          <w:rFonts w:hint="eastAsia" w:ascii="黑体" w:hAnsi="黑体" w:eastAsia="黑体" w:cs="黑体"/>
          <w:sz w:val="21"/>
          <w:szCs w:val="21"/>
          <w:highlight w:val="none"/>
          <w:lang w:val="en-US" w:eastAsia="zh-CN"/>
        </w:rPr>
        <w:t>39</w:t>
      </w:r>
    </w:p>
    <w:p>
      <w:pPr>
        <w:pStyle w:val="15"/>
        <w:adjustRightInd w:val="0"/>
        <w:snapToGrid w:val="0"/>
        <w:spacing w:line="440" w:lineRule="exact"/>
        <w:jc w:val="left"/>
        <w:rPr>
          <w:rFonts w:hint="eastAsia" w:ascii="黑体" w:hAnsi="黑体" w:eastAsia="黑体" w:cs="黑体"/>
          <w:sz w:val="21"/>
          <w:szCs w:val="21"/>
          <w:highlight w:val="none"/>
          <w:lang w:val="en-US" w:eastAsia="zh-CN"/>
        </w:rPr>
      </w:pPr>
      <w:r>
        <w:rPr>
          <w:rFonts w:hint="eastAsia" w:ascii="黑体" w:hAnsi="黑体" w:eastAsia="黑体" w:cs="黑体"/>
          <w:color w:val="auto"/>
          <w:sz w:val="21"/>
          <w:szCs w:val="21"/>
          <w:highlight w:val="none"/>
        </w:rPr>
        <w:t>四、财政拨款收入支出决算总表</w:t>
      </w:r>
      <w:r>
        <w:rPr>
          <w:rFonts w:hint="eastAsia" w:ascii="黑体" w:hAnsi="黑体" w:eastAsia="黑体" w:cs="黑体"/>
          <w:sz w:val="21"/>
          <w:szCs w:val="21"/>
          <w:highlight w:val="none"/>
        </w:rPr>
        <w:tab/>
      </w:r>
      <w:r>
        <w:rPr>
          <w:rFonts w:hint="eastAsia" w:ascii="黑体" w:hAnsi="黑体" w:eastAsia="黑体" w:cs="黑体"/>
          <w:sz w:val="21"/>
          <w:szCs w:val="21"/>
          <w:highlight w:val="none"/>
          <w:lang w:val="en-US" w:eastAsia="zh-CN"/>
        </w:rPr>
        <w:t>39</w:t>
      </w:r>
    </w:p>
    <w:p>
      <w:pPr>
        <w:pStyle w:val="15"/>
        <w:adjustRightInd w:val="0"/>
        <w:snapToGrid w:val="0"/>
        <w:spacing w:line="440" w:lineRule="exact"/>
        <w:jc w:val="left"/>
        <w:rPr>
          <w:rFonts w:hint="eastAsia" w:ascii="黑体" w:hAnsi="黑体" w:eastAsia="黑体" w:cs="黑体"/>
          <w:color w:val="auto"/>
          <w:sz w:val="21"/>
          <w:szCs w:val="21"/>
          <w:highlight w:val="none"/>
          <w:lang w:val="en-US" w:eastAsia="zh-CN"/>
        </w:rPr>
      </w:pPr>
      <w:r>
        <w:rPr>
          <w:rFonts w:hint="eastAsia" w:ascii="黑体" w:hAnsi="黑体" w:eastAsia="黑体" w:cs="黑体"/>
          <w:color w:val="auto"/>
          <w:sz w:val="21"/>
          <w:szCs w:val="21"/>
          <w:highlight w:val="none"/>
        </w:rPr>
        <w:t>五、财政拨款支出决算明细表</w:t>
      </w:r>
      <w:r>
        <w:rPr>
          <w:rFonts w:hint="eastAsia" w:ascii="黑体" w:hAnsi="黑体" w:eastAsia="黑体" w:cs="黑体"/>
          <w:sz w:val="21"/>
          <w:szCs w:val="21"/>
          <w:highlight w:val="none"/>
        </w:rPr>
        <w:tab/>
      </w:r>
      <w:r>
        <w:rPr>
          <w:rFonts w:hint="eastAsia" w:ascii="黑体" w:hAnsi="黑体" w:eastAsia="黑体" w:cs="黑体"/>
          <w:sz w:val="21"/>
          <w:szCs w:val="21"/>
          <w:highlight w:val="none"/>
          <w:lang w:val="en-US" w:eastAsia="zh-CN"/>
        </w:rPr>
        <w:t>39</w:t>
      </w:r>
    </w:p>
    <w:p>
      <w:pPr>
        <w:pStyle w:val="15"/>
        <w:adjustRightInd w:val="0"/>
        <w:snapToGrid w:val="0"/>
        <w:spacing w:line="440" w:lineRule="exact"/>
        <w:jc w:val="left"/>
        <w:rPr>
          <w:rFonts w:hint="eastAsia" w:ascii="黑体" w:hAnsi="黑体" w:eastAsia="黑体" w:cs="黑体"/>
          <w:color w:val="auto"/>
          <w:sz w:val="21"/>
          <w:szCs w:val="21"/>
          <w:highlight w:val="none"/>
          <w:lang w:val="en-US" w:eastAsia="zh-CN"/>
        </w:rPr>
      </w:pPr>
      <w:r>
        <w:rPr>
          <w:rFonts w:hint="eastAsia" w:ascii="黑体" w:hAnsi="黑体" w:eastAsia="黑体" w:cs="黑体"/>
          <w:color w:val="auto"/>
          <w:sz w:val="21"/>
          <w:szCs w:val="21"/>
          <w:highlight w:val="none"/>
        </w:rPr>
        <w:t>六、一般公共预算财政拨款支出决算表</w:t>
      </w:r>
      <w:r>
        <w:rPr>
          <w:rFonts w:hint="eastAsia" w:ascii="黑体" w:hAnsi="黑体" w:eastAsia="黑体" w:cs="黑体"/>
          <w:sz w:val="21"/>
          <w:szCs w:val="21"/>
          <w:highlight w:val="none"/>
        </w:rPr>
        <w:tab/>
      </w:r>
      <w:r>
        <w:rPr>
          <w:rFonts w:hint="eastAsia" w:ascii="黑体" w:hAnsi="黑体" w:eastAsia="黑体" w:cs="黑体"/>
          <w:sz w:val="21"/>
          <w:szCs w:val="21"/>
          <w:highlight w:val="none"/>
          <w:lang w:val="en-US" w:eastAsia="zh-CN"/>
        </w:rPr>
        <w:t>39</w:t>
      </w:r>
    </w:p>
    <w:p>
      <w:pPr>
        <w:pStyle w:val="15"/>
        <w:adjustRightInd w:val="0"/>
        <w:snapToGrid w:val="0"/>
        <w:spacing w:line="440" w:lineRule="exact"/>
        <w:jc w:val="left"/>
        <w:rPr>
          <w:rFonts w:hint="eastAsia" w:ascii="黑体" w:hAnsi="黑体" w:eastAsia="黑体" w:cs="黑体"/>
          <w:color w:val="auto"/>
          <w:sz w:val="21"/>
          <w:szCs w:val="21"/>
          <w:highlight w:val="none"/>
          <w:lang w:val="en-US" w:eastAsia="zh-CN"/>
        </w:rPr>
      </w:pPr>
      <w:r>
        <w:rPr>
          <w:rFonts w:hint="eastAsia" w:ascii="黑体" w:hAnsi="黑体" w:eastAsia="黑体" w:cs="黑体"/>
          <w:color w:val="auto"/>
          <w:sz w:val="21"/>
          <w:szCs w:val="21"/>
          <w:highlight w:val="none"/>
        </w:rPr>
        <w:t>七、一般公共预算财政拨款支出决算明细表</w:t>
      </w:r>
      <w:r>
        <w:rPr>
          <w:rFonts w:hint="eastAsia" w:ascii="黑体" w:hAnsi="黑体" w:eastAsia="黑体" w:cs="黑体"/>
          <w:sz w:val="21"/>
          <w:szCs w:val="21"/>
          <w:highlight w:val="none"/>
        </w:rPr>
        <w:tab/>
      </w:r>
      <w:r>
        <w:rPr>
          <w:rFonts w:hint="eastAsia" w:ascii="黑体" w:hAnsi="黑体" w:eastAsia="黑体" w:cs="黑体"/>
          <w:sz w:val="21"/>
          <w:szCs w:val="21"/>
          <w:highlight w:val="none"/>
          <w:lang w:val="en-US" w:eastAsia="zh-CN"/>
        </w:rPr>
        <w:t>39</w:t>
      </w:r>
    </w:p>
    <w:p>
      <w:pPr>
        <w:pStyle w:val="15"/>
        <w:adjustRightInd w:val="0"/>
        <w:snapToGrid w:val="0"/>
        <w:spacing w:line="440" w:lineRule="exact"/>
        <w:jc w:val="left"/>
        <w:rPr>
          <w:rFonts w:hint="eastAsia" w:ascii="宋体" w:hAnsi="宋体" w:eastAsia="宋体" w:cs="宋体"/>
          <w:color w:val="auto"/>
          <w:sz w:val="24"/>
          <w:highlight w:val="green"/>
        </w:rPr>
      </w:pPr>
    </w:p>
    <w:p>
      <w:pPr>
        <w:pStyle w:val="15"/>
        <w:adjustRightInd w:val="0"/>
        <w:snapToGrid w:val="0"/>
        <w:spacing w:line="440" w:lineRule="exact"/>
        <w:jc w:val="left"/>
        <w:rPr>
          <w:rFonts w:hint="eastAsia" w:ascii="宋体" w:hAnsi="宋体" w:eastAsia="宋体" w:cs="宋体"/>
          <w:color w:val="auto"/>
          <w:sz w:val="24"/>
          <w:highlight w:val="green"/>
        </w:rPr>
        <w:sectPr>
          <w:footerReference r:id="rId3" w:type="default"/>
          <w:pgSz w:w="11906" w:h="16838"/>
          <w:pgMar w:top="1440" w:right="1800" w:bottom="1440" w:left="1800" w:header="720" w:footer="720" w:gutter="0"/>
          <w:pgNumType w:fmt="numberInDash" w:start="1"/>
          <w:cols w:space="720" w:num="1"/>
          <w:docGrid w:type="lines" w:linePitch="312" w:charSpace="0"/>
        </w:sectPr>
      </w:pPr>
    </w:p>
    <w:p>
      <w:pPr>
        <w:pStyle w:val="15"/>
        <w:adjustRightInd w:val="0"/>
        <w:snapToGrid w:val="0"/>
        <w:spacing w:line="440" w:lineRule="exact"/>
        <w:jc w:val="left"/>
        <w:rPr>
          <w:rFonts w:hint="eastAsia" w:ascii="黑体" w:hAnsi="黑体" w:eastAsia="黑体" w:cs="黑体"/>
          <w:color w:val="auto"/>
          <w:sz w:val="21"/>
          <w:szCs w:val="21"/>
          <w:highlight w:val="none"/>
          <w:lang w:val="en-US" w:eastAsia="zh-CN"/>
        </w:rPr>
      </w:pPr>
      <w:r>
        <w:rPr>
          <w:rFonts w:hint="eastAsia" w:ascii="黑体" w:hAnsi="黑体" w:eastAsia="黑体" w:cs="黑体"/>
          <w:color w:val="auto"/>
          <w:sz w:val="21"/>
          <w:szCs w:val="21"/>
          <w:highlight w:val="none"/>
        </w:rPr>
        <w:t>八、一般公共预算财政拨款基本支出决算</w:t>
      </w:r>
      <w:r>
        <w:rPr>
          <w:rFonts w:hint="eastAsia" w:ascii="黑体" w:hAnsi="黑体" w:eastAsia="黑体" w:cs="黑体"/>
          <w:color w:val="auto"/>
          <w:sz w:val="21"/>
          <w:szCs w:val="21"/>
          <w:highlight w:val="none"/>
          <w:lang w:eastAsia="zh-CN"/>
        </w:rPr>
        <w:t>明细</w:t>
      </w:r>
      <w:r>
        <w:rPr>
          <w:rFonts w:hint="eastAsia" w:ascii="黑体" w:hAnsi="黑体" w:eastAsia="黑体" w:cs="黑体"/>
          <w:color w:val="auto"/>
          <w:sz w:val="21"/>
          <w:szCs w:val="21"/>
          <w:highlight w:val="none"/>
        </w:rPr>
        <w:t>表</w:t>
      </w:r>
      <w:r>
        <w:rPr>
          <w:rFonts w:hint="eastAsia" w:ascii="黑体" w:hAnsi="黑体" w:eastAsia="黑体" w:cs="黑体"/>
          <w:sz w:val="21"/>
          <w:szCs w:val="21"/>
          <w:highlight w:val="none"/>
        </w:rPr>
        <w:tab/>
      </w:r>
      <w:r>
        <w:rPr>
          <w:rFonts w:hint="eastAsia" w:ascii="黑体" w:hAnsi="黑体" w:eastAsia="黑体" w:cs="黑体"/>
          <w:sz w:val="21"/>
          <w:szCs w:val="21"/>
          <w:highlight w:val="none"/>
          <w:lang w:val="en-US" w:eastAsia="zh-CN"/>
        </w:rPr>
        <w:t>39</w:t>
      </w:r>
    </w:p>
    <w:p>
      <w:pPr>
        <w:pStyle w:val="15"/>
        <w:adjustRightInd w:val="0"/>
        <w:snapToGrid w:val="0"/>
        <w:spacing w:line="440" w:lineRule="exact"/>
        <w:jc w:val="left"/>
        <w:rPr>
          <w:rFonts w:hint="eastAsia" w:ascii="黑体" w:hAnsi="黑体" w:eastAsia="黑体" w:cs="黑体"/>
          <w:color w:val="auto"/>
          <w:sz w:val="21"/>
          <w:szCs w:val="21"/>
          <w:highlight w:val="none"/>
          <w:lang w:val="en-US" w:eastAsia="zh-CN"/>
        </w:rPr>
      </w:pPr>
      <w:r>
        <w:rPr>
          <w:rFonts w:hint="eastAsia" w:ascii="黑体" w:hAnsi="黑体" w:eastAsia="黑体" w:cs="黑体"/>
          <w:color w:val="auto"/>
          <w:sz w:val="21"/>
          <w:szCs w:val="21"/>
          <w:highlight w:val="none"/>
        </w:rPr>
        <w:t>九、一般公共预算财政拨款项目支出决算表</w:t>
      </w:r>
      <w:r>
        <w:rPr>
          <w:rFonts w:hint="eastAsia" w:ascii="黑体" w:hAnsi="黑体" w:eastAsia="黑体" w:cs="黑体"/>
          <w:sz w:val="21"/>
          <w:szCs w:val="21"/>
          <w:highlight w:val="none"/>
        </w:rPr>
        <w:tab/>
      </w:r>
      <w:r>
        <w:rPr>
          <w:rFonts w:hint="eastAsia" w:ascii="黑体" w:hAnsi="黑体" w:eastAsia="黑体" w:cs="黑体"/>
          <w:sz w:val="21"/>
          <w:szCs w:val="21"/>
          <w:highlight w:val="none"/>
          <w:lang w:val="en-US" w:eastAsia="zh-CN"/>
        </w:rPr>
        <w:t>39</w:t>
      </w:r>
    </w:p>
    <w:p>
      <w:pPr>
        <w:pStyle w:val="15"/>
        <w:adjustRightInd w:val="0"/>
        <w:snapToGrid w:val="0"/>
        <w:spacing w:line="440" w:lineRule="exact"/>
        <w:jc w:val="left"/>
        <w:rPr>
          <w:rFonts w:hint="eastAsia" w:ascii="黑体" w:hAnsi="黑体" w:eastAsia="黑体" w:cs="黑体"/>
          <w:color w:val="auto"/>
          <w:sz w:val="21"/>
          <w:szCs w:val="21"/>
          <w:highlight w:val="none"/>
          <w:lang w:eastAsia="zh-CN"/>
        </w:rPr>
      </w:pPr>
      <w:r>
        <w:rPr>
          <w:rFonts w:hint="eastAsia" w:ascii="黑体" w:hAnsi="黑体" w:eastAsia="黑体" w:cs="黑体"/>
          <w:color w:val="auto"/>
          <w:sz w:val="21"/>
          <w:szCs w:val="21"/>
          <w:highlight w:val="none"/>
        </w:rPr>
        <w:t>十、政府性基金预算财政拨款收入支出决算表</w:t>
      </w:r>
      <w:r>
        <w:rPr>
          <w:rFonts w:hint="eastAsia" w:ascii="黑体" w:hAnsi="黑体" w:eastAsia="黑体" w:cs="黑体"/>
          <w:sz w:val="21"/>
          <w:szCs w:val="21"/>
          <w:highlight w:val="none"/>
        </w:rPr>
        <w:tab/>
      </w:r>
      <w:r>
        <w:rPr>
          <w:rFonts w:hint="eastAsia" w:ascii="黑体" w:hAnsi="黑体" w:eastAsia="黑体" w:cs="黑体"/>
          <w:sz w:val="21"/>
          <w:szCs w:val="21"/>
          <w:highlight w:val="none"/>
          <w:lang w:val="en-US" w:eastAsia="zh-CN"/>
        </w:rPr>
        <w:t>39</w:t>
      </w:r>
    </w:p>
    <w:p>
      <w:pPr>
        <w:pStyle w:val="15"/>
        <w:adjustRightInd w:val="0"/>
        <w:snapToGrid w:val="0"/>
        <w:spacing w:line="440" w:lineRule="exact"/>
        <w:jc w:val="left"/>
        <w:rPr>
          <w:rFonts w:hint="eastAsia" w:ascii="黑体" w:hAnsi="黑体" w:eastAsia="黑体" w:cs="黑体"/>
          <w:color w:val="auto"/>
          <w:sz w:val="21"/>
          <w:szCs w:val="21"/>
          <w:highlight w:val="none"/>
          <w:lang w:val="en-US" w:eastAsia="zh-CN"/>
        </w:rPr>
      </w:pPr>
      <w:r>
        <w:rPr>
          <w:rFonts w:hint="eastAsia" w:ascii="黑体" w:hAnsi="黑体" w:eastAsia="黑体" w:cs="黑体"/>
          <w:color w:val="auto"/>
          <w:sz w:val="21"/>
          <w:szCs w:val="21"/>
          <w:highlight w:val="none"/>
        </w:rPr>
        <w:t>十一、国有资本经营预算财政拨款收入支出决算表</w:t>
      </w:r>
      <w:r>
        <w:rPr>
          <w:rFonts w:hint="eastAsia" w:ascii="黑体" w:hAnsi="黑体" w:eastAsia="黑体" w:cs="黑体"/>
          <w:sz w:val="21"/>
          <w:szCs w:val="21"/>
          <w:highlight w:val="none"/>
        </w:rPr>
        <w:tab/>
      </w:r>
      <w:r>
        <w:rPr>
          <w:rFonts w:hint="eastAsia" w:ascii="黑体" w:hAnsi="黑体" w:eastAsia="黑体" w:cs="黑体"/>
          <w:sz w:val="21"/>
          <w:szCs w:val="21"/>
          <w:highlight w:val="none"/>
          <w:lang w:val="en-US" w:eastAsia="zh-CN"/>
        </w:rPr>
        <w:t>39</w:t>
      </w:r>
    </w:p>
    <w:p>
      <w:pPr>
        <w:pStyle w:val="15"/>
        <w:adjustRightInd w:val="0"/>
        <w:snapToGrid w:val="0"/>
        <w:spacing w:line="440" w:lineRule="exact"/>
        <w:jc w:val="left"/>
        <w:rPr>
          <w:rFonts w:hint="eastAsia" w:ascii="黑体" w:hAnsi="黑体" w:eastAsia="黑体" w:cs="黑体"/>
          <w:color w:val="auto"/>
          <w:sz w:val="21"/>
          <w:szCs w:val="21"/>
          <w:highlight w:val="none"/>
          <w:lang w:val="en-US" w:eastAsia="zh-CN"/>
        </w:rPr>
      </w:pPr>
      <w:r>
        <w:rPr>
          <w:rFonts w:hint="eastAsia" w:ascii="黑体" w:hAnsi="黑体" w:eastAsia="黑体" w:cs="黑体"/>
          <w:color w:val="auto"/>
          <w:sz w:val="21"/>
          <w:szCs w:val="21"/>
          <w:highlight w:val="none"/>
        </w:rPr>
        <w:t>十二、</w:t>
      </w:r>
      <w:r>
        <w:rPr>
          <w:rFonts w:hint="eastAsia" w:ascii="黑体" w:hAnsi="黑体" w:eastAsia="黑体" w:cs="黑体"/>
          <w:color w:val="auto"/>
          <w:sz w:val="21"/>
          <w:szCs w:val="21"/>
          <w:highlight w:val="none"/>
          <w:lang w:val="en-US" w:eastAsia="zh-CN"/>
        </w:rPr>
        <w:t>国有资本经营预算财政拨款支出决算表</w:t>
      </w:r>
      <w:r>
        <w:rPr>
          <w:rFonts w:hint="eastAsia" w:ascii="黑体" w:hAnsi="黑体" w:eastAsia="黑体" w:cs="黑体"/>
          <w:sz w:val="21"/>
          <w:szCs w:val="21"/>
          <w:highlight w:val="none"/>
        </w:rPr>
        <w:tab/>
      </w:r>
      <w:r>
        <w:rPr>
          <w:rFonts w:hint="eastAsia" w:ascii="黑体" w:hAnsi="黑体" w:eastAsia="黑体" w:cs="黑体"/>
          <w:sz w:val="21"/>
          <w:szCs w:val="21"/>
          <w:highlight w:val="none"/>
          <w:lang w:val="en-US" w:eastAsia="zh-CN"/>
        </w:rPr>
        <w:t>39</w:t>
      </w:r>
    </w:p>
    <w:p>
      <w:pPr>
        <w:pStyle w:val="15"/>
        <w:adjustRightInd w:val="0"/>
        <w:snapToGrid w:val="0"/>
        <w:spacing w:line="440" w:lineRule="exact"/>
        <w:jc w:val="left"/>
        <w:rPr>
          <w:rFonts w:hint="eastAsia" w:ascii="黑体" w:hAnsi="黑体" w:eastAsia="黑体" w:cs="黑体"/>
          <w:color w:val="auto"/>
          <w:sz w:val="21"/>
          <w:szCs w:val="21"/>
          <w:highlight w:val="none"/>
          <w:lang w:eastAsia="zh-CN"/>
        </w:rPr>
      </w:pPr>
      <w:r>
        <w:rPr>
          <w:rFonts w:hint="eastAsia" w:ascii="黑体" w:hAnsi="黑体" w:eastAsia="黑体" w:cs="黑体"/>
          <w:color w:val="auto"/>
          <w:sz w:val="21"/>
          <w:szCs w:val="21"/>
          <w:highlight w:val="none"/>
        </w:rPr>
        <w:t>十三、财政拨款“三公”经费支出决算表</w:t>
      </w:r>
      <w:r>
        <w:rPr>
          <w:rFonts w:hint="eastAsia" w:ascii="黑体" w:hAnsi="黑体" w:eastAsia="黑体" w:cs="黑体"/>
          <w:sz w:val="21"/>
          <w:szCs w:val="21"/>
          <w:highlight w:val="none"/>
        </w:rPr>
        <w:tab/>
      </w:r>
      <w:r>
        <w:rPr>
          <w:rFonts w:hint="eastAsia" w:ascii="黑体" w:hAnsi="黑体" w:eastAsia="黑体" w:cs="黑体"/>
          <w:sz w:val="21"/>
          <w:szCs w:val="21"/>
          <w:highlight w:val="none"/>
          <w:lang w:val="en-US" w:eastAsia="zh-CN"/>
        </w:rPr>
        <w:t>39</w:t>
      </w:r>
    </w:p>
    <w:p>
      <w:pPr>
        <w:widowControl/>
        <w:spacing w:line="440" w:lineRule="exact"/>
        <w:jc w:val="left"/>
        <w:rPr>
          <w:rFonts w:ascii="仿宋" w:hAnsi="仿宋" w:eastAsia="仿宋"/>
          <w:bCs/>
          <w:color w:val="auto"/>
          <w:kern w:val="44"/>
          <w:sz w:val="24"/>
          <w:highlight w:val="green"/>
        </w:rPr>
      </w:pPr>
    </w:p>
    <w:p>
      <w:pPr>
        <w:pStyle w:val="2"/>
        <w:rPr>
          <w:rFonts w:ascii="仿宋" w:hAnsi="仿宋" w:eastAsia="仿宋"/>
          <w:bCs/>
          <w:color w:val="auto"/>
          <w:kern w:val="44"/>
          <w:sz w:val="24"/>
          <w:highlight w:val="none"/>
        </w:rPr>
      </w:pPr>
    </w:p>
    <w:p>
      <w:pPr>
        <w:pStyle w:val="2"/>
        <w:rPr>
          <w:rFonts w:ascii="仿宋" w:hAnsi="仿宋" w:eastAsia="仿宋"/>
          <w:bCs/>
          <w:color w:val="auto"/>
          <w:kern w:val="44"/>
          <w:sz w:val="24"/>
          <w:highlight w:val="none"/>
        </w:rPr>
      </w:pPr>
    </w:p>
    <w:p>
      <w:pPr>
        <w:pStyle w:val="2"/>
        <w:rPr>
          <w:rFonts w:ascii="仿宋" w:hAnsi="仿宋" w:eastAsia="仿宋"/>
          <w:bCs/>
          <w:color w:val="auto"/>
          <w:kern w:val="44"/>
          <w:sz w:val="24"/>
          <w:highlight w:val="none"/>
        </w:rPr>
      </w:pPr>
    </w:p>
    <w:p>
      <w:pPr>
        <w:pStyle w:val="2"/>
        <w:rPr>
          <w:rFonts w:ascii="仿宋" w:hAnsi="仿宋" w:eastAsia="仿宋"/>
          <w:bCs/>
          <w:color w:val="auto"/>
          <w:kern w:val="44"/>
          <w:sz w:val="24"/>
          <w:highlight w:val="none"/>
        </w:rPr>
      </w:pPr>
    </w:p>
    <w:p>
      <w:pPr>
        <w:pStyle w:val="2"/>
        <w:rPr>
          <w:rFonts w:ascii="仿宋" w:hAnsi="仿宋" w:eastAsia="仿宋"/>
          <w:bCs/>
          <w:color w:val="auto"/>
          <w:kern w:val="44"/>
          <w:sz w:val="24"/>
          <w:highlight w:val="none"/>
        </w:rPr>
      </w:pPr>
    </w:p>
    <w:p>
      <w:pPr>
        <w:pStyle w:val="2"/>
        <w:rPr>
          <w:rFonts w:ascii="仿宋" w:hAnsi="仿宋" w:eastAsia="仿宋"/>
          <w:bCs/>
          <w:color w:val="auto"/>
          <w:kern w:val="44"/>
          <w:sz w:val="24"/>
          <w:highlight w:val="none"/>
        </w:rPr>
      </w:pPr>
    </w:p>
    <w:p>
      <w:pPr>
        <w:pStyle w:val="2"/>
        <w:rPr>
          <w:rFonts w:ascii="仿宋" w:hAnsi="仿宋" w:eastAsia="仿宋"/>
          <w:bCs/>
          <w:color w:val="auto"/>
          <w:kern w:val="44"/>
          <w:sz w:val="24"/>
          <w:highlight w:val="none"/>
        </w:rPr>
      </w:pPr>
    </w:p>
    <w:p>
      <w:pPr>
        <w:pStyle w:val="2"/>
        <w:rPr>
          <w:rFonts w:ascii="仿宋" w:hAnsi="仿宋" w:eastAsia="仿宋"/>
          <w:bCs/>
          <w:color w:val="auto"/>
          <w:kern w:val="44"/>
          <w:sz w:val="24"/>
          <w:highlight w:val="none"/>
        </w:rPr>
      </w:pPr>
    </w:p>
    <w:p>
      <w:pPr>
        <w:pStyle w:val="2"/>
        <w:rPr>
          <w:rFonts w:ascii="仿宋" w:hAnsi="仿宋" w:eastAsia="仿宋"/>
          <w:bCs/>
          <w:color w:val="auto"/>
          <w:kern w:val="44"/>
          <w:sz w:val="24"/>
          <w:highlight w:val="none"/>
        </w:rPr>
      </w:pPr>
    </w:p>
    <w:p>
      <w:pPr>
        <w:pStyle w:val="2"/>
        <w:rPr>
          <w:rFonts w:ascii="仿宋" w:hAnsi="仿宋" w:eastAsia="仿宋"/>
          <w:bCs/>
          <w:color w:val="auto"/>
          <w:kern w:val="44"/>
          <w:sz w:val="24"/>
          <w:highlight w:val="none"/>
        </w:rPr>
      </w:pPr>
    </w:p>
    <w:p>
      <w:pPr>
        <w:pStyle w:val="2"/>
        <w:rPr>
          <w:rFonts w:ascii="仿宋" w:hAnsi="仿宋" w:eastAsia="仿宋"/>
          <w:bCs/>
          <w:color w:val="auto"/>
          <w:kern w:val="44"/>
          <w:sz w:val="24"/>
          <w:highlight w:val="none"/>
        </w:rPr>
      </w:pPr>
    </w:p>
    <w:p>
      <w:pPr>
        <w:pStyle w:val="2"/>
        <w:rPr>
          <w:rFonts w:ascii="仿宋" w:hAnsi="仿宋" w:eastAsia="仿宋"/>
          <w:bCs/>
          <w:color w:val="auto"/>
          <w:kern w:val="44"/>
          <w:sz w:val="24"/>
          <w:highlight w:val="none"/>
        </w:rPr>
      </w:pPr>
    </w:p>
    <w:p>
      <w:pPr>
        <w:pStyle w:val="2"/>
        <w:rPr>
          <w:rFonts w:ascii="仿宋" w:hAnsi="仿宋" w:eastAsia="仿宋"/>
          <w:bCs/>
          <w:color w:val="auto"/>
          <w:kern w:val="44"/>
          <w:sz w:val="24"/>
          <w:highlight w:val="none"/>
        </w:rPr>
      </w:pPr>
    </w:p>
    <w:p>
      <w:pPr>
        <w:pStyle w:val="2"/>
        <w:rPr>
          <w:rFonts w:ascii="仿宋" w:hAnsi="仿宋" w:eastAsia="仿宋"/>
          <w:bCs/>
          <w:color w:val="auto"/>
          <w:kern w:val="44"/>
          <w:sz w:val="24"/>
          <w:highlight w:val="none"/>
        </w:rPr>
      </w:pPr>
    </w:p>
    <w:p>
      <w:pPr>
        <w:pStyle w:val="2"/>
        <w:rPr>
          <w:rFonts w:ascii="仿宋" w:hAnsi="仿宋" w:eastAsia="仿宋"/>
          <w:bCs/>
          <w:color w:val="auto"/>
          <w:kern w:val="44"/>
          <w:sz w:val="24"/>
          <w:highlight w:val="none"/>
        </w:rPr>
      </w:pPr>
    </w:p>
    <w:p>
      <w:pPr>
        <w:pStyle w:val="2"/>
        <w:rPr>
          <w:rFonts w:ascii="仿宋" w:hAnsi="仿宋" w:eastAsia="仿宋"/>
          <w:bCs/>
          <w:color w:val="auto"/>
          <w:kern w:val="44"/>
          <w:sz w:val="24"/>
          <w:highlight w:val="none"/>
        </w:rPr>
      </w:pPr>
    </w:p>
    <w:p>
      <w:pPr>
        <w:pStyle w:val="2"/>
        <w:rPr>
          <w:rFonts w:ascii="仿宋" w:hAnsi="仿宋" w:eastAsia="仿宋"/>
          <w:bCs/>
          <w:color w:val="auto"/>
          <w:kern w:val="44"/>
          <w:sz w:val="24"/>
          <w:highlight w:val="none"/>
        </w:rPr>
      </w:pPr>
    </w:p>
    <w:p>
      <w:pPr>
        <w:pStyle w:val="2"/>
        <w:rPr>
          <w:rFonts w:ascii="仿宋" w:hAnsi="仿宋" w:eastAsia="仿宋"/>
          <w:bCs/>
          <w:color w:val="auto"/>
          <w:kern w:val="44"/>
          <w:sz w:val="24"/>
          <w:highlight w:val="none"/>
        </w:rPr>
        <w:sectPr>
          <w:footerReference r:id="rId4" w:type="default"/>
          <w:pgSz w:w="11906" w:h="16838"/>
          <w:pgMar w:top="1440" w:right="1800" w:bottom="1440" w:left="1800" w:header="720" w:footer="720" w:gutter="0"/>
          <w:pgNumType w:fmt="numberInDash"/>
          <w:cols w:space="720" w:num="1"/>
          <w:docGrid w:type="lines" w:linePitch="312" w:charSpace="0"/>
        </w:sectPr>
      </w:pPr>
    </w:p>
    <w:p>
      <w:pPr>
        <w:pStyle w:val="2"/>
        <w:rPr>
          <w:rFonts w:ascii="仿宋" w:hAnsi="仿宋" w:eastAsia="仿宋"/>
          <w:bCs/>
          <w:color w:val="auto"/>
          <w:kern w:val="44"/>
          <w:sz w:val="24"/>
          <w:highlight w:val="none"/>
        </w:rPr>
      </w:pPr>
    </w:p>
    <w:p>
      <w:pPr>
        <w:pStyle w:val="3"/>
        <w:jc w:val="center"/>
        <w:rPr>
          <w:rFonts w:ascii="黑体" w:eastAsia="黑体"/>
          <w:color w:val="auto"/>
          <w:sz w:val="32"/>
          <w:szCs w:val="32"/>
          <w:highlight w:val="none"/>
        </w:rPr>
      </w:pPr>
      <w:r>
        <w:rPr>
          <w:rFonts w:hint="eastAsia" w:ascii="黑体" w:hAnsi="黑体" w:eastAsia="黑体"/>
          <w:b w:val="0"/>
          <w:color w:val="auto"/>
          <w:highlight w:val="none"/>
        </w:rPr>
        <w:t xml:space="preserve">第一部分 </w:t>
      </w:r>
      <w:r>
        <w:rPr>
          <w:rFonts w:hint="eastAsia" w:ascii="黑体" w:hAnsi="黑体" w:eastAsia="黑体"/>
          <w:b w:val="0"/>
          <w:color w:val="auto"/>
          <w:highlight w:val="none"/>
          <w:lang w:eastAsia="zh-CN"/>
        </w:rPr>
        <w:t>单位</w:t>
      </w:r>
      <w:r>
        <w:rPr>
          <w:rStyle w:val="21"/>
          <w:rFonts w:hint="eastAsia" w:ascii="黑体" w:hAnsi="黑体" w:eastAsia="黑体"/>
          <w:b w:val="0"/>
          <w:bCs w:val="0"/>
          <w:color w:val="auto"/>
          <w:highlight w:val="none"/>
        </w:rPr>
        <w:t>概况</w:t>
      </w:r>
    </w:p>
    <w:p>
      <w:pPr>
        <w:pStyle w:val="4"/>
        <w:numPr>
          <w:ilvl w:val="0"/>
          <w:numId w:val="1"/>
        </w:numPr>
        <w:rPr>
          <w:rFonts w:hint="eastAsia" w:ascii="楷体_GB2312" w:hAnsi="黑体" w:eastAsia="楷体_GB2312" w:cs="楷体_GB2312"/>
          <w:b/>
          <w:bCs/>
          <w:kern w:val="2"/>
          <w:sz w:val="32"/>
          <w:szCs w:val="32"/>
        </w:rPr>
      </w:pPr>
      <w:r>
        <w:rPr>
          <w:rStyle w:val="22"/>
          <w:rFonts w:hint="eastAsia" w:ascii="黑体" w:hAnsi="黑体" w:eastAsia="黑体"/>
          <w:b w:val="0"/>
          <w:bCs w:val="0"/>
          <w:color w:val="auto"/>
          <w:highlight w:val="none"/>
          <w:lang w:eastAsia="zh-CN"/>
        </w:rPr>
        <w:t>主要职责</w:t>
      </w:r>
    </w:p>
    <w:p>
      <w:pPr>
        <w:pStyle w:val="4"/>
        <w:numPr>
          <w:ilvl w:val="0"/>
          <w:numId w:val="0"/>
        </w:numPr>
        <w:ind w:firstLine="321" w:firstLineChars="100"/>
        <w:rPr>
          <w:rFonts w:hint="eastAsia" w:ascii="仿宋_GB2312" w:hAnsi="Times New Roman" w:eastAsia="仿宋_GB2312" w:cs="仿宋_GB2312"/>
          <w:b/>
          <w:bCs/>
          <w:color w:val="auto"/>
          <w:kern w:val="2"/>
          <w:sz w:val="32"/>
          <w:szCs w:val="32"/>
          <w:lang w:val="en-US" w:eastAsia="zh-CN" w:bidi="ar-SA"/>
        </w:rPr>
      </w:pPr>
      <w:r>
        <w:rPr>
          <w:rFonts w:hint="eastAsia" w:ascii="仿宋_GB2312" w:hAnsi="Times New Roman" w:eastAsia="仿宋_GB2312" w:cs="仿宋_GB2312"/>
          <w:b/>
          <w:bCs/>
          <w:color w:val="auto"/>
          <w:kern w:val="2"/>
          <w:sz w:val="32"/>
          <w:szCs w:val="32"/>
          <w:lang w:val="en-US" w:eastAsia="zh-CN" w:bidi="ar-SA"/>
        </w:rPr>
        <w:t>壤塘县尕多乡人民政府职能简介</w:t>
      </w:r>
    </w:p>
    <w:p>
      <w:pPr>
        <w:pStyle w:val="23"/>
        <w:numPr>
          <w:ilvl w:val="0"/>
          <w:numId w:val="0"/>
        </w:numPr>
        <w:spacing w:before="0" w:line="360" w:lineRule="auto"/>
        <w:ind w:firstLine="640" w:firstLineChars="200"/>
        <w:rPr>
          <w:rFonts w:hint="eastAsia" w:hAnsi="Times New Roman"/>
          <w:b w:val="0"/>
          <w:bCs w:val="0"/>
          <w:kern w:val="2"/>
          <w:sz w:val="32"/>
          <w:szCs w:val="32"/>
          <w:lang w:val="en-US" w:eastAsia="zh-CN"/>
        </w:rPr>
      </w:pPr>
      <w:r>
        <w:rPr>
          <w:rFonts w:hint="eastAsia" w:hAnsi="Times New Roman"/>
          <w:b w:val="0"/>
          <w:bCs w:val="0"/>
          <w:kern w:val="2"/>
          <w:sz w:val="32"/>
          <w:szCs w:val="32"/>
          <w:lang w:val="en-US" w:eastAsia="zh-CN"/>
        </w:rPr>
        <w:t>（1）执行本级人民代表大会的决议和上级国家行政机关的决定和命令，在辖区内发布决定和命令； </w:t>
      </w:r>
    </w:p>
    <w:p>
      <w:pPr>
        <w:pStyle w:val="23"/>
        <w:spacing w:before="0" w:line="360" w:lineRule="auto"/>
        <w:ind w:firstLine="640" w:firstLineChars="200"/>
        <w:rPr>
          <w:rFonts w:hint="eastAsia" w:hAnsi="Times New Roman"/>
          <w:kern w:val="2"/>
          <w:sz w:val="32"/>
          <w:szCs w:val="32"/>
          <w:lang w:val="en-US" w:eastAsia="zh-CN"/>
        </w:rPr>
      </w:pPr>
      <w:r>
        <w:rPr>
          <w:rFonts w:hint="eastAsia" w:hAnsi="Times New Roman"/>
          <w:b w:val="0"/>
          <w:bCs w:val="0"/>
          <w:kern w:val="2"/>
          <w:sz w:val="32"/>
          <w:szCs w:val="32"/>
          <w:lang w:val="en-US" w:eastAsia="zh-CN"/>
        </w:rPr>
        <w:t>（2）按照国家宪法和法律，行使对本辖区内的行政及</w:t>
      </w:r>
      <w:r>
        <w:rPr>
          <w:rFonts w:hint="eastAsia" w:hAnsi="Times New Roman"/>
          <w:kern w:val="2"/>
          <w:sz w:val="32"/>
          <w:szCs w:val="32"/>
          <w:lang w:val="en-US" w:eastAsia="zh-CN"/>
        </w:rPr>
        <w:t>民政事务的管理； </w:t>
      </w:r>
    </w:p>
    <w:p>
      <w:pPr>
        <w:pStyle w:val="23"/>
        <w:spacing w:before="0" w:line="360" w:lineRule="auto"/>
        <w:ind w:firstLine="627" w:firstLineChars="196"/>
        <w:rPr>
          <w:rFonts w:hint="eastAsia" w:hAnsi="Times New Roman"/>
          <w:kern w:val="2"/>
          <w:sz w:val="32"/>
          <w:szCs w:val="32"/>
          <w:lang w:val="en-US" w:eastAsia="zh-CN"/>
        </w:rPr>
      </w:pPr>
      <w:r>
        <w:rPr>
          <w:rFonts w:hint="eastAsia" w:hAnsi="Times New Roman"/>
          <w:kern w:val="2"/>
          <w:sz w:val="32"/>
          <w:szCs w:val="32"/>
          <w:lang w:val="en-US" w:eastAsia="zh-CN"/>
        </w:rPr>
        <w:t>（3）制定本单位的经济和社会发展规划，并组织实施；组织和领导行政经济体制改革，协调本行政区域村民委员会与各经济组织之间的关系； </w:t>
      </w:r>
    </w:p>
    <w:p>
      <w:pPr>
        <w:pStyle w:val="23"/>
        <w:spacing w:before="0" w:line="360" w:lineRule="auto"/>
        <w:ind w:firstLine="627" w:firstLineChars="196"/>
        <w:rPr>
          <w:rFonts w:hint="eastAsia" w:hAnsi="Times New Roman"/>
          <w:kern w:val="2"/>
          <w:sz w:val="32"/>
          <w:szCs w:val="32"/>
          <w:lang w:val="en-US" w:eastAsia="zh-CN"/>
        </w:rPr>
      </w:pPr>
      <w:r>
        <w:rPr>
          <w:rFonts w:hint="eastAsia" w:hAnsi="Times New Roman"/>
          <w:kern w:val="2"/>
          <w:sz w:val="32"/>
          <w:szCs w:val="32"/>
          <w:lang w:val="en-US" w:eastAsia="zh-CN"/>
        </w:rPr>
        <w:t>（4）组织规划乡财政管理的各项收入，管理乡范围内的各项财政支出和行政筹集、分配和使用的资金； </w:t>
      </w:r>
    </w:p>
    <w:p>
      <w:pPr>
        <w:pStyle w:val="23"/>
        <w:spacing w:before="0" w:line="360" w:lineRule="auto"/>
        <w:ind w:firstLine="627" w:firstLineChars="196"/>
        <w:rPr>
          <w:rFonts w:hint="eastAsia" w:hAnsi="Times New Roman"/>
          <w:kern w:val="2"/>
          <w:sz w:val="32"/>
          <w:szCs w:val="32"/>
          <w:lang w:val="en-US" w:eastAsia="zh-CN"/>
        </w:rPr>
      </w:pPr>
      <w:r>
        <w:rPr>
          <w:rFonts w:hint="eastAsia" w:hAnsi="Times New Roman"/>
          <w:kern w:val="2"/>
          <w:sz w:val="32"/>
          <w:szCs w:val="32"/>
          <w:lang w:val="en-US" w:eastAsia="zh-CN"/>
        </w:rPr>
        <w:t>（5）负责管理对外经济技术交流与合作，开展经济信息预测工作，推广科学技术成果； </w:t>
      </w:r>
    </w:p>
    <w:p>
      <w:pPr>
        <w:pStyle w:val="23"/>
        <w:spacing w:before="0" w:line="360" w:lineRule="auto"/>
        <w:ind w:firstLine="627" w:firstLineChars="196"/>
        <w:rPr>
          <w:rFonts w:hint="eastAsia" w:hAnsi="Times New Roman"/>
          <w:kern w:val="2"/>
          <w:sz w:val="32"/>
          <w:szCs w:val="32"/>
          <w:lang w:val="en-US" w:eastAsia="zh-CN"/>
        </w:rPr>
      </w:pPr>
      <w:r>
        <w:rPr>
          <w:rFonts w:hint="eastAsia" w:hAnsi="Times New Roman"/>
          <w:kern w:val="2"/>
          <w:sz w:val="32"/>
          <w:szCs w:val="32"/>
          <w:lang w:val="en-US" w:eastAsia="zh-CN"/>
        </w:rPr>
        <w:t>（6）对本单位各项社会建设进行宏观管理，抓好环境卫生整治工作； </w:t>
      </w:r>
    </w:p>
    <w:p>
      <w:pPr>
        <w:pStyle w:val="23"/>
        <w:spacing w:before="0" w:line="360" w:lineRule="auto"/>
        <w:ind w:firstLine="627" w:firstLineChars="196"/>
        <w:rPr>
          <w:rFonts w:hint="eastAsia" w:hAnsi="Times New Roman"/>
          <w:kern w:val="2"/>
          <w:sz w:val="32"/>
          <w:szCs w:val="32"/>
          <w:lang w:val="en-US" w:eastAsia="zh-CN"/>
        </w:rPr>
      </w:pPr>
      <w:r>
        <w:rPr>
          <w:rFonts w:hint="eastAsia" w:hAnsi="Times New Roman"/>
          <w:kern w:val="2"/>
          <w:sz w:val="32"/>
          <w:szCs w:val="32"/>
          <w:lang w:val="en-US" w:eastAsia="zh-CN"/>
        </w:rPr>
        <w:t>（7）加强基本农田水利建设和道路、桥梁等的建设，加强土地的统一管理、统筹规划，协助有关部门做好地质灾害的防治工作; </w:t>
      </w:r>
    </w:p>
    <w:p>
      <w:pPr>
        <w:pStyle w:val="23"/>
        <w:spacing w:before="0" w:line="360" w:lineRule="auto"/>
        <w:ind w:firstLine="627" w:firstLineChars="196"/>
        <w:rPr>
          <w:rFonts w:hint="eastAsia" w:hAnsi="Times New Roman"/>
          <w:kern w:val="2"/>
          <w:sz w:val="32"/>
          <w:szCs w:val="32"/>
          <w:lang w:val="en-US" w:eastAsia="zh-CN"/>
        </w:rPr>
      </w:pPr>
      <w:r>
        <w:rPr>
          <w:rFonts w:hint="eastAsia" w:hAnsi="Times New Roman"/>
          <w:kern w:val="2"/>
          <w:sz w:val="32"/>
          <w:szCs w:val="32"/>
          <w:lang w:val="en-US" w:eastAsia="zh-CN"/>
        </w:rPr>
        <w:t>（8）负责农村土地承包管理、农民负担监督管理、农村集体资产财务管理； </w:t>
      </w:r>
    </w:p>
    <w:p>
      <w:pPr>
        <w:pStyle w:val="23"/>
        <w:spacing w:before="0" w:line="360" w:lineRule="auto"/>
        <w:ind w:firstLine="627" w:firstLineChars="196"/>
        <w:rPr>
          <w:rFonts w:hint="eastAsia" w:hAnsi="Times New Roman"/>
          <w:kern w:val="2"/>
          <w:sz w:val="32"/>
          <w:szCs w:val="32"/>
          <w:lang w:val="en-US" w:eastAsia="zh-CN"/>
        </w:rPr>
      </w:pPr>
      <w:r>
        <w:rPr>
          <w:rFonts w:hint="eastAsia" w:hAnsi="Times New Roman"/>
          <w:kern w:val="2"/>
          <w:sz w:val="32"/>
          <w:szCs w:val="32"/>
          <w:lang w:val="en-US" w:eastAsia="zh-CN"/>
        </w:rPr>
        <w:t>（9）充分履行行政职能，组织和开展本单位的文化、教育、卫生、民政和科技等工作； </w:t>
      </w:r>
    </w:p>
    <w:p>
      <w:pPr>
        <w:pStyle w:val="23"/>
        <w:spacing w:before="0" w:line="360" w:lineRule="auto"/>
        <w:ind w:firstLine="627" w:firstLineChars="196"/>
        <w:rPr>
          <w:rFonts w:hint="eastAsia" w:eastAsia="宋体"/>
          <w:color w:val="auto"/>
          <w:sz w:val="24"/>
          <w:highlight w:val="none"/>
          <w:lang w:eastAsia="zh-CN"/>
        </w:rPr>
      </w:pPr>
      <w:r>
        <w:rPr>
          <w:rFonts w:hint="eastAsia" w:hAnsi="Times New Roman"/>
          <w:kern w:val="2"/>
          <w:sz w:val="32"/>
          <w:szCs w:val="32"/>
          <w:lang w:val="en-US" w:eastAsia="zh-CN"/>
        </w:rPr>
        <w:t>（10）根据经济发展需要，建立经济、技术咨询服务机构，向经济组织和农牧民提供全面服务</w:t>
      </w:r>
      <w:r>
        <w:rPr>
          <w:rFonts w:hint="eastAsia" w:ascii="方正仿宋_GB2312" w:hAnsi="方正仿宋_GB2312" w:eastAsia="方正仿宋_GB2312" w:cs="方正仿宋_GB2312"/>
          <w:sz w:val="32"/>
          <w:szCs w:val="32"/>
          <w:lang w:val="en-US" w:eastAsia="zh-CN"/>
        </w:rPr>
        <w:t>。 </w:t>
      </w:r>
    </w:p>
    <w:p>
      <w:pPr>
        <w:pStyle w:val="4"/>
        <w:pageBreakBefore w:val="0"/>
        <w:kinsoku/>
        <w:wordWrap/>
        <w:overflowPunct/>
        <w:topLinePunct w:val="0"/>
        <w:bidi w:val="0"/>
        <w:spacing w:before="0" w:after="0" w:line="560" w:lineRule="exact"/>
        <w:ind w:left="0" w:leftChars="0" w:firstLine="640" w:firstLineChars="200"/>
        <w:rPr>
          <w:rFonts w:hint="eastAsia" w:ascii="黑体" w:hAnsi="黑体" w:eastAsia="黑体" w:cs="黑体"/>
          <w:b w:val="0"/>
          <w:bCs w:val="0"/>
        </w:rPr>
      </w:pPr>
      <w:bookmarkStart w:id="11" w:name="_Toc15377200"/>
      <w:bookmarkStart w:id="12" w:name="_Toc21418"/>
      <w:bookmarkStart w:id="13" w:name="_Toc15396601"/>
      <w:r>
        <w:rPr>
          <w:rFonts w:hint="eastAsia" w:ascii="黑体" w:hAnsi="黑体" w:eastAsia="黑体" w:cs="黑体"/>
          <w:b w:val="0"/>
          <w:bCs w:val="0"/>
        </w:rPr>
        <w:t>二、机构设置</w:t>
      </w:r>
      <w:bookmarkEnd w:id="11"/>
      <w:bookmarkEnd w:id="12"/>
      <w:bookmarkEnd w:id="13"/>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方正仿宋_GB2312" w:hAnsi="方正仿宋_GB2312" w:eastAsia="方正仿宋_GB2312" w:cs="方正仿宋_GB2312"/>
          <w:sz w:val="32"/>
          <w:szCs w:val="32"/>
          <w:highlight w:val="none"/>
          <w:lang w:val="en-US" w:eastAsia="zh-CN"/>
        </w:rPr>
      </w:pPr>
      <w:r>
        <w:rPr>
          <w:rFonts w:hint="eastAsia" w:ascii="仿宋_GB2312" w:hAnsi="仿宋" w:eastAsia="仿宋_GB2312"/>
          <w:sz w:val="32"/>
          <w:szCs w:val="32"/>
          <w:lang w:val="en-US" w:eastAsia="zh-CN"/>
        </w:rPr>
        <w:t>2025年12月31日壤塘县尕多乡人民政府在职人数</w:t>
      </w:r>
      <w:r>
        <w:rPr>
          <w:rFonts w:hint="eastAsia" w:ascii="仿宋_GB2312" w:hAnsi="仿宋" w:eastAsia="仿宋_GB2312"/>
          <w:sz w:val="32"/>
          <w:szCs w:val="32"/>
          <w:highlight w:val="none"/>
          <w:lang w:val="en-US" w:eastAsia="zh-CN"/>
        </w:rPr>
        <w:t>35人,其中：行政人员21人，管理事业人员14人。</w:t>
      </w:r>
      <w:r>
        <w:rPr>
          <w:rFonts w:hint="eastAsia" w:ascii="方正仿宋_GB2312" w:hAnsi="方正仿宋_GB2312" w:eastAsia="方正仿宋_GB2312" w:cs="方正仿宋_GB2312"/>
          <w:sz w:val="32"/>
          <w:szCs w:val="32"/>
          <w:highlight w:val="none"/>
          <w:lang w:val="en-US" w:eastAsia="zh-CN"/>
        </w:rPr>
        <w:t>本部门独立核算机构2个。</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720"/>
        <w:textAlignment w:val="auto"/>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纳入壤塘县尕多乡人民政府2025年度部门决算编制范围的二级预算单位无。</w:t>
      </w:r>
    </w:p>
    <w:p>
      <w:pPr>
        <w:numPr>
          <w:ilvl w:val="0"/>
          <w:numId w:val="0"/>
        </w:numPr>
        <w:ind w:firstLine="320" w:firstLineChars="100"/>
        <w:rPr>
          <w:rFonts w:ascii="仿宋" w:hAnsi="仿宋" w:eastAsia="仿宋"/>
          <w:color w:val="auto"/>
          <w:kern w:val="0"/>
          <w:sz w:val="32"/>
          <w:szCs w:val="32"/>
          <w:highlight w:val="none"/>
        </w:rPr>
      </w:pPr>
      <w:r>
        <w:rPr>
          <w:rFonts w:ascii="仿宋" w:hAnsi="仿宋" w:eastAsia="仿宋"/>
          <w:color w:val="auto"/>
          <w:sz w:val="32"/>
          <w:szCs w:val="32"/>
          <w:highlight w:val="none"/>
        </w:rPr>
        <w:br w:type="page"/>
      </w:r>
    </w:p>
    <w:p>
      <w:pPr>
        <w:pStyle w:val="3"/>
        <w:ind w:right="440"/>
        <w:jc w:val="center"/>
        <w:rPr>
          <w:color w:val="auto"/>
          <w:highlight w:val="none"/>
        </w:rPr>
      </w:pPr>
      <w:r>
        <w:rPr>
          <w:rFonts w:hint="eastAsia" w:ascii="黑体" w:hAnsi="黑体" w:eastAsia="黑体"/>
          <w:b w:val="0"/>
          <w:bCs/>
          <w:color w:val="auto"/>
          <w:highlight w:val="none"/>
          <w:lang w:val="en-US" w:eastAsia="zh-CN"/>
        </w:rPr>
        <w:t xml:space="preserve"> </w:t>
      </w:r>
      <w:r>
        <w:rPr>
          <w:rFonts w:hint="eastAsia" w:ascii="黑体" w:hAnsi="黑体" w:eastAsia="黑体"/>
          <w:b w:val="0"/>
          <w:bCs/>
          <w:color w:val="auto"/>
          <w:highlight w:val="none"/>
        </w:rPr>
        <w:t xml:space="preserve">第二部分 </w:t>
      </w:r>
      <w:r>
        <w:rPr>
          <w:rFonts w:hint="eastAsia" w:ascii="黑体" w:hAnsi="黑体" w:eastAsia="黑体"/>
          <w:b w:val="0"/>
          <w:bCs/>
          <w:color w:val="auto"/>
          <w:highlight w:val="none"/>
          <w:lang w:val="en-US" w:eastAsia="zh-CN"/>
        </w:rPr>
        <w:t>2025年度</w:t>
      </w:r>
      <w:r>
        <w:rPr>
          <w:rStyle w:val="21"/>
          <w:rFonts w:hint="eastAsia" w:ascii="黑体" w:hAnsi="黑体" w:eastAsia="黑体"/>
          <w:b w:val="0"/>
          <w:bCs/>
          <w:color w:val="auto"/>
          <w:highlight w:val="none"/>
          <w:lang w:eastAsia="zh-CN"/>
        </w:rPr>
        <w:t>单位</w:t>
      </w:r>
      <w:r>
        <w:rPr>
          <w:rStyle w:val="21"/>
          <w:rFonts w:hint="eastAsia" w:ascii="黑体" w:hAnsi="黑体" w:eastAsia="黑体"/>
          <w:b w:val="0"/>
          <w:bCs/>
          <w:color w:val="auto"/>
          <w:highlight w:val="none"/>
        </w:rPr>
        <w:t>决算情况说明</w:t>
      </w:r>
    </w:p>
    <w:p>
      <w:pPr>
        <w:pStyle w:val="24"/>
        <w:numPr>
          <w:ilvl w:val="0"/>
          <w:numId w:val="0"/>
        </w:numPr>
        <w:spacing w:line="600" w:lineRule="exact"/>
        <w:ind w:firstLine="640" w:firstLineChars="200"/>
        <w:outlineLvl w:val="1"/>
        <w:rPr>
          <w:rStyle w:val="22"/>
          <w:rFonts w:ascii="黑体" w:hAnsi="黑体" w:eastAsia="黑体"/>
          <w:b w:val="0"/>
          <w:color w:val="auto"/>
          <w:highlight w:val="none"/>
        </w:rPr>
      </w:pPr>
      <w:r>
        <w:rPr>
          <w:rFonts w:hint="eastAsia" w:ascii="黑体" w:hAnsi="黑体" w:eastAsia="黑体"/>
          <w:color w:val="auto"/>
          <w:sz w:val="32"/>
          <w:szCs w:val="32"/>
          <w:highlight w:val="none"/>
          <w:lang w:eastAsia="zh-CN"/>
        </w:rPr>
        <w:t>一、</w:t>
      </w:r>
      <w:r>
        <w:rPr>
          <w:rFonts w:hint="eastAsia" w:ascii="黑体" w:hAnsi="黑体" w:eastAsia="黑体"/>
          <w:color w:val="auto"/>
          <w:sz w:val="32"/>
          <w:szCs w:val="32"/>
          <w:highlight w:val="none"/>
        </w:rPr>
        <w:t>收</w:t>
      </w:r>
      <w:r>
        <w:rPr>
          <w:rStyle w:val="22"/>
          <w:rFonts w:hint="eastAsia" w:ascii="黑体" w:hAnsi="黑体" w:eastAsia="黑体"/>
          <w:b w:val="0"/>
          <w:color w:val="auto"/>
          <w:highlight w:val="none"/>
        </w:rPr>
        <w:t>入支出决算总体情况说明</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720"/>
        <w:textAlignment w:val="auto"/>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2025年度收入5985.7万元、支出5985.7万元。与2024年相比，收入增加1875.19万元、支出增加1875.19万元，收入增加54.95%，支出增加45.62</w:t>
      </w:r>
      <w:r>
        <w:rPr>
          <w:rFonts w:ascii="仿宋" w:hAnsi="仿宋" w:eastAsia="仿宋"/>
          <w:color w:val="auto"/>
          <w:sz w:val="32"/>
          <w:szCs w:val="32"/>
          <w:highlight w:val="none"/>
        </w:rPr>
        <w:t>%</w:t>
      </w:r>
      <w:r>
        <w:rPr>
          <w:rFonts w:hint="eastAsia" w:ascii="方正仿宋_GB2312" w:hAnsi="方正仿宋_GB2312" w:eastAsia="方正仿宋_GB2312" w:cs="方正仿宋_GB2312"/>
          <w:sz w:val="32"/>
          <w:szCs w:val="32"/>
          <w:lang w:val="en-US" w:eastAsia="zh-CN"/>
        </w:rPr>
        <w:t>。主要变动原因是：1.基础设施建设项目数量及投入资金比往年增加。2本年我单位人员调动变化较大，工资福利等支出增加等因素。</w:t>
      </w:r>
    </w:p>
    <w:p>
      <w:pPr>
        <w:pStyle w:val="2"/>
        <w:ind w:left="420" w:hanging="420" w:hangingChars="200"/>
      </w:pPr>
      <w:r>
        <w:drawing>
          <wp:inline distT="0" distB="0" distL="114300" distR="114300">
            <wp:extent cx="5130800" cy="3213100"/>
            <wp:effectExtent l="0" t="0" r="0" b="0"/>
            <wp:docPr id="8" name="图片 1" descr="7b0a202020202263686172745265734964223a20223530303733323639220a7d0a"/>
            <wp:cNvGraphicFramePr/>
            <a:graphic xmlns:a="http://schemas.openxmlformats.org/drawingml/2006/main">
              <a:graphicData uri="http://schemas.openxmlformats.org/drawingml/2006/picture">
                <pic:pic xmlns:pic="http://schemas.openxmlformats.org/drawingml/2006/picture">
                  <pic:nvPicPr>
                    <pic:cNvPr id="8" name="图片 1" descr="7b0a202020202263686172745265734964223a20223530303733323639220a7d0a"/>
                    <pic:cNvPicPr/>
                  </pic:nvPicPr>
                  <pic:blipFill>
                    <a:blip r:embed="rId8"/>
                    <a:stretch>
                      <a:fillRect/>
                    </a:stretch>
                  </pic:blipFill>
                  <pic:spPr>
                    <a:xfrm>
                      <a:off x="0" y="0"/>
                      <a:ext cx="5130800" cy="3213100"/>
                    </a:xfrm>
                    <a:prstGeom prst="rect">
                      <a:avLst/>
                    </a:prstGeom>
                    <a:solidFill>
                      <a:srgbClr val="EBF1DE"/>
                    </a:solidFill>
                    <a:ln>
                      <a:noFill/>
                    </a:ln>
                  </pic:spPr>
                </pic:pic>
              </a:graphicData>
            </a:graphic>
          </wp:inline>
        </w:drawing>
      </w:r>
    </w:p>
    <w:p>
      <w:pPr>
        <w:pStyle w:val="2"/>
        <w:ind w:left="638" w:leftChars="304" w:firstLine="0" w:firstLineChars="0"/>
        <w:rPr>
          <w:rStyle w:val="22"/>
          <w:rFonts w:hint="eastAsia" w:ascii="黑体" w:hAnsi="黑体" w:eastAsia="黑体"/>
          <w:b w:val="0"/>
          <w:color w:val="auto"/>
          <w:highlight w:val="none"/>
        </w:rPr>
      </w:pPr>
      <w:r>
        <w:rPr>
          <w:rFonts w:hint="eastAsia" w:ascii="黑体" w:hAnsi="黑体" w:eastAsia="黑体"/>
          <w:color w:val="auto"/>
          <w:sz w:val="32"/>
          <w:szCs w:val="32"/>
          <w:highlight w:val="none"/>
          <w:lang w:eastAsia="zh-CN"/>
        </w:rPr>
        <w:t>二、</w:t>
      </w:r>
      <w:r>
        <w:rPr>
          <w:rFonts w:hint="eastAsia" w:ascii="黑体" w:hAnsi="黑体" w:eastAsia="黑体"/>
          <w:color w:val="auto"/>
          <w:sz w:val="32"/>
          <w:szCs w:val="32"/>
          <w:highlight w:val="none"/>
        </w:rPr>
        <w:t>收</w:t>
      </w:r>
      <w:r>
        <w:rPr>
          <w:rStyle w:val="22"/>
          <w:rFonts w:hint="eastAsia" w:ascii="黑体" w:hAnsi="黑体" w:eastAsia="黑体"/>
          <w:b w:val="0"/>
          <w:color w:val="auto"/>
          <w:highlight w:val="none"/>
        </w:rPr>
        <w:t>入决算情况说明</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720"/>
        <w:textAlignment w:val="auto"/>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2025年度本年收入合计5985.7万元，其中：一般公共预算财政拨款收入5978.8万元，占99.88%；政府性基金预算财政拨款收入0万元，占0%；上级补助收入0万元，占0%；事业收入0万元，占0%；经营收入0万元，占0%；附属单位上缴收入0万元，占0%；其他收入6.9万元，占0.12%。</w:t>
      </w:r>
    </w:p>
    <w:p>
      <w:pPr>
        <w:pStyle w:val="2"/>
        <w:rPr>
          <w:rFonts w:ascii="仿宋_GB2312" w:eastAsia="仿宋_GB2312"/>
          <w:color w:val="auto"/>
          <w:sz w:val="32"/>
          <w:szCs w:val="32"/>
          <w:highlight w:val="none"/>
        </w:rPr>
      </w:pPr>
      <w:r>
        <w:drawing>
          <wp:inline distT="0" distB="0" distL="114300" distR="114300">
            <wp:extent cx="5650230" cy="2917190"/>
            <wp:effectExtent l="4445" t="4445" r="9525" b="37465"/>
            <wp:docPr id="6" name="图表 6" descr="7b0a202020202263686172745265734964223a20223230343736373530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pPr>
        <w:pStyle w:val="24"/>
        <w:numPr>
          <w:ilvl w:val="0"/>
          <w:numId w:val="0"/>
        </w:numPr>
        <w:spacing w:line="600" w:lineRule="exact"/>
        <w:ind w:firstLine="640" w:firstLineChars="200"/>
        <w:outlineLvl w:val="1"/>
        <w:rPr>
          <w:rStyle w:val="22"/>
          <w:rFonts w:ascii="黑体" w:hAnsi="黑体" w:eastAsia="黑体"/>
          <w:b w:val="0"/>
          <w:color w:val="auto"/>
          <w:highlight w:val="none"/>
        </w:rPr>
      </w:pPr>
      <w:r>
        <w:rPr>
          <w:rFonts w:hint="eastAsia" w:ascii="黑体" w:hAnsi="黑体" w:eastAsia="黑体"/>
          <w:color w:val="auto"/>
          <w:sz w:val="32"/>
          <w:szCs w:val="32"/>
          <w:highlight w:val="none"/>
          <w:lang w:eastAsia="zh-CN"/>
        </w:rPr>
        <w:t>三、</w:t>
      </w:r>
      <w:r>
        <w:rPr>
          <w:rFonts w:hint="eastAsia" w:ascii="黑体" w:hAnsi="黑体" w:eastAsia="黑体"/>
          <w:color w:val="auto"/>
          <w:sz w:val="32"/>
          <w:szCs w:val="32"/>
          <w:highlight w:val="none"/>
        </w:rPr>
        <w:t>支</w:t>
      </w:r>
      <w:r>
        <w:rPr>
          <w:rStyle w:val="22"/>
          <w:rFonts w:hint="eastAsia" w:ascii="黑体" w:hAnsi="黑体" w:eastAsia="黑体"/>
          <w:b w:val="0"/>
          <w:color w:val="auto"/>
          <w:highlight w:val="none"/>
        </w:rPr>
        <w:t>出决算情况说明</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720"/>
        <w:textAlignment w:val="auto"/>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2025年度本年支出合计5985.7万元，其中：基本支出1026.27万元，占17.17%；项目支出4952.23万元，占82.83%；上缴上级支出0万元，占0%；经营支出0万元，占0%；对附属单位补助支出0万元，占0%。</w:t>
      </w:r>
    </w:p>
    <w:p>
      <w:pPr>
        <w:pStyle w:val="2"/>
        <w:rPr>
          <w:rFonts w:ascii="仿宋_GB2312" w:eastAsia="仿宋_GB2312"/>
          <w:color w:val="auto"/>
          <w:sz w:val="32"/>
          <w:szCs w:val="32"/>
          <w:highlight w:val="none"/>
        </w:rPr>
      </w:pPr>
      <w:r>
        <w:drawing>
          <wp:inline distT="0" distB="0" distL="114300" distR="114300">
            <wp:extent cx="5320665" cy="2992120"/>
            <wp:effectExtent l="4445" t="4445" r="8890" b="38735"/>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pPr>
        <w:spacing w:line="600" w:lineRule="exact"/>
        <w:ind w:firstLine="640" w:firstLineChars="200"/>
        <w:outlineLvl w:val="1"/>
        <w:rPr>
          <w:rStyle w:val="22"/>
          <w:rFonts w:ascii="黑体" w:hAnsi="黑体" w:eastAsia="黑体"/>
          <w:b w:val="0"/>
          <w:color w:val="auto"/>
          <w:highlight w:val="none"/>
        </w:rPr>
      </w:pPr>
      <w:r>
        <w:rPr>
          <w:rFonts w:hint="eastAsia" w:ascii="黑体" w:hAnsi="黑体" w:eastAsia="黑体"/>
          <w:color w:val="auto"/>
          <w:sz w:val="32"/>
          <w:szCs w:val="32"/>
          <w:highlight w:val="none"/>
        </w:rPr>
        <w:t>四、财</w:t>
      </w:r>
      <w:r>
        <w:rPr>
          <w:rStyle w:val="22"/>
          <w:rFonts w:hint="eastAsia" w:ascii="黑体" w:hAnsi="黑体" w:eastAsia="黑体"/>
          <w:b w:val="0"/>
          <w:color w:val="auto"/>
          <w:highlight w:val="none"/>
        </w:rPr>
        <w:t>政拨款收入支出决算总体情况说明</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720"/>
        <w:textAlignment w:val="auto"/>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2025年度财政拨款收、支总计均为5978.8万元。与2024年度相比，财政拨款收入总计增加1873.29万元，增长45.63%。财政拨款支出总计增加1873.29万元，增长45.63%。主要变动原因是1.基础设施建设项目数量及投入资金比往年增加。2本年我单位人员调动变化较大，工资福利等支出增加等因素。</w:t>
      </w:r>
    </w:p>
    <w:p>
      <w:pPr>
        <w:pStyle w:val="2"/>
        <w:rPr>
          <w:rFonts w:hint="eastAsia" w:ascii="黑体" w:hAnsi="黑体" w:eastAsia="黑体"/>
          <w:color w:val="auto"/>
          <w:sz w:val="32"/>
          <w:szCs w:val="32"/>
          <w:highlight w:val="none"/>
        </w:rPr>
      </w:pPr>
      <w:r>
        <w:drawing>
          <wp:inline distT="0" distB="0" distL="114300" distR="114300">
            <wp:extent cx="5027930" cy="3870325"/>
            <wp:effectExtent l="4445" t="4445" r="9525" b="11430"/>
            <wp:docPr id="3" name="图表 3" descr="7b0a202020202263686172745265734964223a20223230343736383039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pPr>
        <w:spacing w:line="600" w:lineRule="exact"/>
        <w:ind w:firstLine="640" w:firstLineChars="200"/>
        <w:outlineLvl w:val="1"/>
        <w:rPr>
          <w:rStyle w:val="22"/>
          <w:rFonts w:ascii="黑体" w:hAnsi="黑体" w:eastAsia="黑体"/>
          <w:b w:val="0"/>
          <w:color w:val="auto"/>
          <w:highlight w:val="none"/>
        </w:rPr>
      </w:pPr>
      <w:r>
        <w:rPr>
          <w:rFonts w:hint="eastAsia" w:ascii="黑体" w:hAnsi="黑体" w:eastAsia="黑体"/>
          <w:color w:val="auto"/>
          <w:sz w:val="32"/>
          <w:szCs w:val="32"/>
          <w:highlight w:val="none"/>
        </w:rPr>
        <w:t>五、</w:t>
      </w:r>
      <w:r>
        <w:rPr>
          <w:rFonts w:hint="eastAsia" w:ascii="黑体" w:hAnsi="黑体" w:eastAsia="黑体"/>
          <w:b/>
          <w:color w:val="auto"/>
          <w:sz w:val="32"/>
          <w:szCs w:val="32"/>
          <w:highlight w:val="none"/>
        </w:rPr>
        <w:t>一</w:t>
      </w:r>
      <w:r>
        <w:rPr>
          <w:rStyle w:val="22"/>
          <w:rFonts w:hint="eastAsia" w:ascii="黑体" w:hAnsi="黑体" w:eastAsia="黑体"/>
          <w:b w:val="0"/>
          <w:color w:val="auto"/>
          <w:highlight w:val="none"/>
        </w:rPr>
        <w:t>般公共预算财政拨款支出决算情况说明</w:t>
      </w:r>
    </w:p>
    <w:p>
      <w:pPr>
        <w:spacing w:line="600" w:lineRule="exact"/>
        <w:ind w:firstLine="642" w:firstLineChars="200"/>
        <w:outlineLvl w:val="2"/>
        <w:rPr>
          <w:rFonts w:ascii="仿宋" w:hAnsi="仿宋" w:eastAsia="仿宋"/>
          <w:b/>
          <w:color w:val="auto"/>
          <w:sz w:val="32"/>
          <w:szCs w:val="32"/>
          <w:highlight w:val="none"/>
        </w:rPr>
      </w:pPr>
      <w:r>
        <w:rPr>
          <w:rFonts w:hint="eastAsia" w:ascii="仿宋" w:hAnsi="仿宋" w:eastAsia="仿宋"/>
          <w:b/>
          <w:color w:val="auto"/>
          <w:sz w:val="32"/>
          <w:szCs w:val="32"/>
          <w:highlight w:val="none"/>
        </w:rPr>
        <w:t>（一）一般公共预算财政拨款支出决算总体情况</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720"/>
        <w:textAlignment w:val="auto"/>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2025年度一般公共预算财政拨款支出5978.8万元，占本年支出合计的99.88%。与2024年度相比，一般公共预算财政拨款支出增加1873.29万元，增长45.63%。主要变动原因1.基础设施建设项目数量及投入资金比往年增加。2本年我单位人员调动变化较大，工资福利等支出增加等因素。</w:t>
      </w:r>
    </w:p>
    <w:p>
      <w:pPr>
        <w:pStyle w:val="2"/>
      </w:pPr>
      <w:r>
        <w:drawing>
          <wp:inline distT="0" distB="0" distL="114300" distR="114300">
            <wp:extent cx="4920615" cy="3696970"/>
            <wp:effectExtent l="4445" t="4445" r="15240" b="6985"/>
            <wp:docPr id="5" name="图表 5" descr="7b0a202020202263686172745265734964223a20223230343736383038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pPr>
        <w:pStyle w:val="2"/>
        <w:ind w:firstLine="321" w:firstLineChars="100"/>
        <w:rPr>
          <w:rFonts w:hint="eastAsia" w:ascii="仿宋" w:hAnsi="仿宋" w:eastAsia="仿宋"/>
          <w:b/>
          <w:color w:val="auto"/>
          <w:sz w:val="32"/>
          <w:szCs w:val="32"/>
          <w:highlight w:val="none"/>
        </w:rPr>
      </w:pPr>
      <w:r>
        <w:rPr>
          <w:rFonts w:hint="eastAsia" w:ascii="仿宋" w:hAnsi="仿宋" w:eastAsia="仿宋"/>
          <w:b/>
          <w:color w:val="auto"/>
          <w:sz w:val="32"/>
          <w:szCs w:val="32"/>
          <w:highlight w:val="none"/>
        </w:rPr>
        <w:t>（二）一般公共预算财政拨款支出决算结构情况</w:t>
      </w:r>
    </w:p>
    <w:p>
      <w:pPr>
        <w:pStyle w:val="2"/>
        <w:ind w:firstLine="640" w:firstLineChars="200"/>
        <w:rPr>
          <w:rFonts w:hint="eastAsia" w:ascii="仿宋" w:hAnsi="仿宋" w:eastAsia="仿宋"/>
          <w:b/>
          <w:color w:val="auto"/>
          <w:sz w:val="32"/>
          <w:szCs w:val="32"/>
          <w:highlight w:val="none"/>
        </w:rPr>
      </w:pPr>
      <w:r>
        <w:rPr>
          <w:rFonts w:hint="eastAsia" w:ascii="方正仿宋_GB2312" w:hAnsi="方正仿宋_GB2312" w:eastAsia="方正仿宋_GB2312" w:cs="方正仿宋_GB2312"/>
          <w:sz w:val="32"/>
          <w:szCs w:val="32"/>
          <w:highlight w:val="none"/>
          <w:lang w:val="en-US" w:eastAsia="zh-CN"/>
        </w:rPr>
        <w:t>2025年度一般公共预算财政拨款支出5978.8万元，主要用于以下方面:</w:t>
      </w:r>
      <w:r>
        <w:rPr>
          <w:rFonts w:hint="eastAsia" w:ascii="方正仿宋_GB2312" w:hAnsi="方正仿宋_GB2312" w:eastAsia="方正仿宋_GB2312" w:cs="方正仿宋_GB2312"/>
          <w:b/>
          <w:bCs/>
          <w:sz w:val="32"/>
          <w:szCs w:val="32"/>
          <w:highlight w:val="none"/>
          <w:lang w:val="en-US" w:eastAsia="zh-CN"/>
        </w:rPr>
        <w:t>一般公共服务支出（类</w:t>
      </w:r>
      <w:r>
        <w:rPr>
          <w:rFonts w:hint="eastAsia" w:ascii="方正仿宋_GB2312" w:hAnsi="方正仿宋_GB2312" w:eastAsia="方正仿宋_GB2312" w:cs="方正仿宋_GB2312"/>
          <w:b w:val="0"/>
          <w:bCs w:val="0"/>
          <w:sz w:val="32"/>
          <w:szCs w:val="32"/>
          <w:highlight w:val="none"/>
          <w:lang w:val="en-US" w:eastAsia="zh-CN"/>
        </w:rPr>
        <w:t>）</w:t>
      </w:r>
      <w:r>
        <w:rPr>
          <w:rFonts w:hint="eastAsia" w:ascii="方正仿宋_GB2312" w:hAnsi="方正仿宋_GB2312" w:eastAsia="方正仿宋_GB2312" w:cs="方正仿宋_GB2312"/>
          <w:b/>
          <w:bCs/>
          <w:sz w:val="32"/>
          <w:szCs w:val="32"/>
          <w:highlight w:val="none"/>
          <w:lang w:val="en-US" w:eastAsia="zh-CN"/>
        </w:rPr>
        <w:t>201</w:t>
      </w:r>
      <w:r>
        <w:rPr>
          <w:rFonts w:hint="eastAsia" w:ascii="方正仿宋_GB2312" w:hAnsi="方正仿宋_GB2312" w:eastAsia="方正仿宋_GB2312" w:cs="方正仿宋_GB2312"/>
          <w:sz w:val="32"/>
          <w:szCs w:val="32"/>
          <w:highlight w:val="none"/>
          <w:lang w:val="en-US" w:eastAsia="zh-CN"/>
        </w:rPr>
        <w:t>支出：511.06万元，占8.55%；</w:t>
      </w:r>
      <w:r>
        <w:rPr>
          <w:rFonts w:hint="eastAsia" w:ascii="方正仿宋_GB2312" w:hAnsi="方正仿宋_GB2312" w:eastAsia="方正仿宋_GB2312" w:cs="方正仿宋_GB2312"/>
          <w:b/>
          <w:bCs/>
          <w:sz w:val="32"/>
          <w:szCs w:val="32"/>
          <w:highlight w:val="none"/>
          <w:lang w:val="en-US" w:eastAsia="zh-CN"/>
        </w:rPr>
        <w:t>国防支出(类）203</w:t>
      </w:r>
      <w:r>
        <w:rPr>
          <w:rFonts w:hint="eastAsia" w:ascii="方正仿宋_GB2312" w:hAnsi="方正仿宋_GB2312" w:eastAsia="方正仿宋_GB2312" w:cs="方正仿宋_GB2312"/>
          <w:sz w:val="32"/>
          <w:szCs w:val="32"/>
          <w:highlight w:val="none"/>
          <w:lang w:val="en-US" w:eastAsia="zh-CN"/>
        </w:rPr>
        <w:t>支出：4.99万元，占</w:t>
      </w:r>
      <w:r>
        <w:rPr>
          <w:rFonts w:hint="eastAsia" w:ascii="方正仿宋_GB2312" w:hAnsi="方正仿宋_GB2312" w:eastAsia="方正仿宋_GB2312" w:cs="方正仿宋_GB2312"/>
          <w:b w:val="0"/>
          <w:bCs w:val="0"/>
          <w:sz w:val="32"/>
          <w:szCs w:val="32"/>
          <w:highlight w:val="none"/>
          <w:lang w:val="en-US" w:eastAsia="zh-CN"/>
        </w:rPr>
        <w:t>0.08</w:t>
      </w:r>
      <w:r>
        <w:rPr>
          <w:rFonts w:hint="eastAsia" w:ascii="方正仿宋_GB2312" w:hAnsi="方正仿宋_GB2312" w:eastAsia="方正仿宋_GB2312" w:cs="方正仿宋_GB2312"/>
          <w:sz w:val="32"/>
          <w:szCs w:val="32"/>
          <w:highlight w:val="none"/>
          <w:lang w:val="en-US" w:eastAsia="zh-CN"/>
        </w:rPr>
        <w:t>%；教育支出</w:t>
      </w:r>
      <w:r>
        <w:rPr>
          <w:rFonts w:hint="eastAsia" w:ascii="方正仿宋_GB2312" w:hAnsi="方正仿宋_GB2312" w:eastAsia="方正仿宋_GB2312" w:cs="方正仿宋_GB2312"/>
          <w:b/>
          <w:bCs/>
          <w:sz w:val="32"/>
          <w:szCs w:val="32"/>
          <w:highlight w:val="none"/>
          <w:lang w:val="en-US" w:eastAsia="zh-CN"/>
        </w:rPr>
        <w:t>(类）205</w:t>
      </w:r>
      <w:r>
        <w:rPr>
          <w:rFonts w:hint="eastAsia" w:ascii="方正仿宋_GB2312" w:hAnsi="方正仿宋_GB2312" w:eastAsia="方正仿宋_GB2312" w:cs="方正仿宋_GB2312"/>
          <w:sz w:val="32"/>
          <w:szCs w:val="32"/>
          <w:highlight w:val="none"/>
          <w:lang w:val="en-US" w:eastAsia="zh-CN"/>
        </w:rPr>
        <w:t>支出:2万元</w:t>
      </w:r>
      <w:r>
        <w:rPr>
          <w:rFonts w:hint="eastAsia" w:ascii="方正仿宋_GB2312" w:hAnsi="方正仿宋_GB2312" w:eastAsia="方正仿宋_GB2312" w:cs="方正仿宋_GB2312"/>
          <w:b w:val="0"/>
          <w:bCs w:val="0"/>
          <w:sz w:val="32"/>
          <w:szCs w:val="32"/>
          <w:highlight w:val="none"/>
          <w:lang w:val="en-US" w:eastAsia="zh-CN"/>
        </w:rPr>
        <w:t>，占0.03</w:t>
      </w:r>
      <w:r>
        <w:rPr>
          <w:rFonts w:hint="eastAsia" w:ascii="方正仿宋_GB2312" w:hAnsi="方正仿宋_GB2312" w:eastAsia="方正仿宋_GB2312" w:cs="方正仿宋_GB2312"/>
          <w:sz w:val="32"/>
          <w:szCs w:val="32"/>
          <w:highlight w:val="none"/>
          <w:lang w:val="en-US" w:eastAsia="zh-CN"/>
        </w:rPr>
        <w:t>%；</w:t>
      </w:r>
      <w:r>
        <w:rPr>
          <w:rFonts w:hint="eastAsia" w:ascii="方正仿宋_GB2312" w:hAnsi="方正仿宋_GB2312" w:eastAsia="方正仿宋_GB2312" w:cs="方正仿宋_GB2312"/>
          <w:b/>
          <w:bCs/>
          <w:sz w:val="32"/>
          <w:szCs w:val="32"/>
          <w:highlight w:val="none"/>
          <w:lang w:val="en-US" w:eastAsia="zh-CN"/>
        </w:rPr>
        <w:t>社会保障和就业支出（类）208</w:t>
      </w:r>
      <w:r>
        <w:rPr>
          <w:rFonts w:hint="eastAsia" w:ascii="方正仿宋_GB2312" w:hAnsi="方正仿宋_GB2312" w:eastAsia="方正仿宋_GB2312" w:cs="方正仿宋_GB2312"/>
          <w:sz w:val="32"/>
          <w:szCs w:val="32"/>
          <w:highlight w:val="none"/>
          <w:lang w:val="en-US" w:eastAsia="zh-CN"/>
        </w:rPr>
        <w:t>支出：138.77万元，占2.32%；</w:t>
      </w:r>
      <w:r>
        <w:rPr>
          <w:rFonts w:hint="eastAsia" w:ascii="方正仿宋_GB2312" w:hAnsi="方正仿宋_GB2312" w:eastAsia="方正仿宋_GB2312" w:cs="方正仿宋_GB2312"/>
          <w:b/>
          <w:bCs/>
          <w:sz w:val="32"/>
          <w:szCs w:val="32"/>
          <w:highlight w:val="none"/>
          <w:lang w:val="en-US" w:eastAsia="zh-CN"/>
        </w:rPr>
        <w:t>卫生健康支出（类)210</w:t>
      </w:r>
      <w:r>
        <w:rPr>
          <w:rFonts w:hint="eastAsia" w:ascii="方正仿宋_GB2312" w:hAnsi="方正仿宋_GB2312" w:eastAsia="方正仿宋_GB2312" w:cs="方正仿宋_GB2312"/>
          <w:sz w:val="32"/>
          <w:szCs w:val="32"/>
          <w:highlight w:val="none"/>
          <w:lang w:val="en-US" w:eastAsia="zh-CN"/>
        </w:rPr>
        <w:t>支出：43.79万元，占0.73%；</w:t>
      </w:r>
      <w:r>
        <w:rPr>
          <w:rFonts w:hint="eastAsia" w:ascii="方正仿宋_GB2312" w:hAnsi="方正仿宋_GB2312" w:eastAsia="方正仿宋_GB2312" w:cs="方正仿宋_GB2312"/>
          <w:b/>
          <w:bCs/>
          <w:sz w:val="32"/>
          <w:szCs w:val="32"/>
          <w:highlight w:val="none"/>
          <w:lang w:val="en-US" w:eastAsia="zh-CN"/>
        </w:rPr>
        <w:t>农林水支出（类）213</w:t>
      </w:r>
      <w:r>
        <w:rPr>
          <w:rFonts w:hint="eastAsia" w:ascii="方正仿宋_GB2312" w:hAnsi="方正仿宋_GB2312" w:eastAsia="方正仿宋_GB2312" w:cs="方正仿宋_GB2312"/>
          <w:sz w:val="32"/>
          <w:szCs w:val="32"/>
          <w:highlight w:val="none"/>
          <w:lang w:val="en-US" w:eastAsia="zh-CN"/>
        </w:rPr>
        <w:t>支出：5208.83万元，占87.13%；</w:t>
      </w:r>
      <w:r>
        <w:rPr>
          <w:rFonts w:hint="eastAsia" w:ascii="方正仿宋_GB2312" w:hAnsi="方正仿宋_GB2312" w:eastAsia="方正仿宋_GB2312" w:cs="方正仿宋_GB2312"/>
          <w:b/>
          <w:bCs/>
          <w:sz w:val="32"/>
          <w:szCs w:val="32"/>
          <w:highlight w:val="none"/>
          <w:lang w:val="en-US" w:eastAsia="zh-CN"/>
        </w:rPr>
        <w:t>住房保障支出（类）221</w:t>
      </w:r>
      <w:r>
        <w:rPr>
          <w:rFonts w:hint="eastAsia" w:ascii="方正仿宋_GB2312" w:hAnsi="方正仿宋_GB2312" w:eastAsia="方正仿宋_GB2312" w:cs="方正仿宋_GB2312"/>
          <w:sz w:val="32"/>
          <w:szCs w:val="32"/>
          <w:highlight w:val="none"/>
          <w:lang w:val="en-US" w:eastAsia="zh-CN"/>
        </w:rPr>
        <w:t>支出：63.11万元，占1.06%；灾</w:t>
      </w:r>
      <w:r>
        <w:rPr>
          <w:rFonts w:hint="eastAsia" w:ascii="方正仿宋_GB2312" w:hAnsi="方正仿宋_GB2312" w:eastAsia="方正仿宋_GB2312" w:cs="方正仿宋_GB2312"/>
          <w:b/>
          <w:bCs/>
          <w:sz w:val="32"/>
          <w:szCs w:val="32"/>
          <w:highlight w:val="none"/>
          <w:lang w:val="en-US" w:eastAsia="zh-CN"/>
        </w:rPr>
        <w:t>害防治及应急管理支出（类）224</w:t>
      </w:r>
      <w:r>
        <w:rPr>
          <w:rFonts w:hint="eastAsia" w:ascii="方正仿宋_GB2312" w:hAnsi="方正仿宋_GB2312" w:eastAsia="方正仿宋_GB2312" w:cs="方正仿宋_GB2312"/>
          <w:sz w:val="32"/>
          <w:szCs w:val="32"/>
          <w:highlight w:val="none"/>
          <w:lang w:val="en-US" w:eastAsia="zh-CN"/>
        </w:rPr>
        <w:t>支出：6.26万元，占0.1%；</w:t>
      </w:r>
    </w:p>
    <w:p>
      <w:pPr>
        <w:pStyle w:val="2"/>
        <w:rPr>
          <w:rFonts w:hint="eastAsia" w:ascii="仿宋" w:hAnsi="仿宋" w:eastAsia="仿宋"/>
          <w:b/>
          <w:color w:val="auto"/>
          <w:sz w:val="32"/>
          <w:szCs w:val="32"/>
          <w:highlight w:val="none"/>
        </w:rPr>
      </w:pPr>
      <w:r>
        <w:drawing>
          <wp:inline distT="0" distB="0" distL="114300" distR="114300">
            <wp:extent cx="5389880" cy="3810000"/>
            <wp:effectExtent l="4445" t="4445" r="15875" b="8255"/>
            <wp:docPr id="2" name="图表 2" descr="7b0a202020202263686172745265734964223a20223230343736393030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pPr>
        <w:spacing w:line="600" w:lineRule="exact"/>
        <w:ind w:firstLine="642" w:firstLineChars="200"/>
        <w:outlineLvl w:val="2"/>
        <w:rPr>
          <w:rFonts w:ascii="仿宋" w:hAnsi="仿宋" w:eastAsia="仿宋"/>
          <w:b/>
          <w:color w:val="auto"/>
          <w:sz w:val="32"/>
          <w:szCs w:val="32"/>
          <w:highlight w:val="none"/>
        </w:rPr>
      </w:pPr>
      <w:r>
        <w:rPr>
          <w:rFonts w:hint="eastAsia" w:ascii="仿宋" w:hAnsi="仿宋" w:eastAsia="仿宋"/>
          <w:b/>
          <w:color w:val="auto"/>
          <w:sz w:val="32"/>
          <w:szCs w:val="32"/>
          <w:highlight w:val="none"/>
        </w:rPr>
        <w:t>（三）一般公共预算财政拨款支出决算具体情况</w:t>
      </w:r>
    </w:p>
    <w:p>
      <w:pPr>
        <w:spacing w:line="600" w:lineRule="exact"/>
        <w:ind w:firstLine="642" w:firstLineChars="200"/>
        <w:outlineLvl w:val="2"/>
        <w:rPr>
          <w:rFonts w:ascii="仿宋" w:hAnsi="仿宋" w:eastAsia="仿宋"/>
          <w:color w:val="auto"/>
          <w:sz w:val="32"/>
          <w:szCs w:val="32"/>
          <w:highlight w:val="none"/>
        </w:rPr>
      </w:pPr>
      <w:r>
        <w:rPr>
          <w:rFonts w:hint="eastAsia" w:ascii="仿宋" w:hAnsi="仿宋" w:eastAsia="仿宋"/>
          <w:b/>
          <w:color w:val="auto"/>
          <w:sz w:val="32"/>
          <w:szCs w:val="32"/>
          <w:highlight w:val="none"/>
          <w:lang w:eastAsia="zh-CN"/>
        </w:rPr>
        <w:t>202</w:t>
      </w:r>
      <w:r>
        <w:rPr>
          <w:rFonts w:hint="eastAsia" w:ascii="仿宋" w:hAnsi="仿宋" w:eastAsia="仿宋"/>
          <w:b/>
          <w:color w:val="auto"/>
          <w:sz w:val="32"/>
          <w:szCs w:val="32"/>
          <w:highlight w:val="none"/>
          <w:lang w:val="en-US" w:eastAsia="zh-CN"/>
        </w:rPr>
        <w:t>5</w:t>
      </w:r>
      <w:r>
        <w:rPr>
          <w:rFonts w:hint="eastAsia" w:ascii="仿宋" w:hAnsi="仿宋" w:eastAsia="仿宋"/>
          <w:b/>
          <w:color w:val="auto"/>
          <w:sz w:val="32"/>
          <w:szCs w:val="32"/>
          <w:highlight w:val="none"/>
        </w:rPr>
        <w:t>年</w:t>
      </w:r>
      <w:r>
        <w:rPr>
          <w:rFonts w:hint="eastAsia" w:ascii="仿宋" w:hAnsi="仿宋" w:eastAsia="仿宋"/>
          <w:b/>
          <w:color w:val="auto"/>
          <w:sz w:val="32"/>
          <w:szCs w:val="32"/>
          <w:highlight w:val="none"/>
          <w:lang w:eastAsia="zh-CN"/>
        </w:rPr>
        <w:t>度一</w:t>
      </w:r>
      <w:r>
        <w:rPr>
          <w:rFonts w:hint="eastAsia" w:ascii="仿宋" w:hAnsi="仿宋" w:eastAsia="仿宋"/>
          <w:b/>
          <w:color w:val="auto"/>
          <w:sz w:val="32"/>
          <w:szCs w:val="32"/>
          <w:highlight w:val="none"/>
        </w:rPr>
        <w:t>般公共预算支出决算数为</w:t>
      </w:r>
      <w:r>
        <w:rPr>
          <w:rFonts w:hint="eastAsia" w:ascii="仿宋" w:hAnsi="仿宋" w:eastAsia="仿宋"/>
          <w:b/>
          <w:color w:val="auto"/>
          <w:sz w:val="32"/>
          <w:szCs w:val="32"/>
          <w:highlight w:val="none"/>
          <w:lang w:val="en-US" w:eastAsia="zh-CN"/>
        </w:rPr>
        <w:t>5978.8万元</w:t>
      </w:r>
      <w:r>
        <w:rPr>
          <w:rFonts w:hint="eastAsia" w:ascii="仿宋" w:hAnsi="仿宋" w:eastAsia="仿宋"/>
          <w:color w:val="auto"/>
          <w:sz w:val="32"/>
          <w:szCs w:val="32"/>
          <w:highlight w:val="none"/>
        </w:rPr>
        <w:t>，</w:t>
      </w:r>
      <w:r>
        <w:rPr>
          <w:rStyle w:val="19"/>
          <w:rFonts w:hint="eastAsia" w:ascii="仿宋" w:hAnsi="仿宋" w:eastAsia="仿宋"/>
          <w:bCs/>
          <w:color w:val="auto"/>
          <w:sz w:val="32"/>
          <w:szCs w:val="32"/>
          <w:highlight w:val="none"/>
        </w:rPr>
        <w:t>完成预算</w:t>
      </w:r>
      <w:r>
        <w:rPr>
          <w:rStyle w:val="19"/>
          <w:rFonts w:hint="eastAsia" w:ascii="仿宋" w:hAnsi="仿宋" w:eastAsia="仿宋"/>
          <w:bCs/>
          <w:color w:val="auto"/>
          <w:sz w:val="32"/>
          <w:szCs w:val="32"/>
          <w:highlight w:val="none"/>
          <w:lang w:val="en-US" w:eastAsia="zh-CN"/>
        </w:rPr>
        <w:t>100</w:t>
      </w:r>
      <w:r>
        <w:rPr>
          <w:rStyle w:val="19"/>
          <w:rFonts w:ascii="仿宋" w:hAnsi="仿宋" w:eastAsia="仿宋"/>
          <w:bCs/>
          <w:color w:val="auto"/>
          <w:sz w:val="32"/>
          <w:szCs w:val="32"/>
          <w:highlight w:val="none"/>
        </w:rPr>
        <w:t>%</w:t>
      </w:r>
      <w:r>
        <w:rPr>
          <w:rStyle w:val="19"/>
          <w:rFonts w:hint="eastAsia" w:ascii="仿宋" w:hAnsi="仿宋" w:eastAsia="仿宋"/>
          <w:bCs/>
          <w:color w:val="auto"/>
          <w:sz w:val="32"/>
          <w:szCs w:val="32"/>
          <w:highlight w:val="none"/>
        </w:rPr>
        <w:t>。其中：</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720"/>
        <w:textAlignment w:val="auto"/>
        <w:rPr>
          <w:rFonts w:hint="eastAsia" w:ascii="方正仿宋_GB2312" w:hAnsi="方正仿宋_GB2312" w:eastAsia="方正仿宋_GB2312" w:cs="方正仿宋_GB2312"/>
          <w:sz w:val="32"/>
          <w:szCs w:val="32"/>
          <w:highlight w:val="none"/>
          <w:lang w:val="en-US" w:eastAsia="zh-CN"/>
        </w:rPr>
      </w:pPr>
      <w:r>
        <w:rPr>
          <w:rFonts w:hint="eastAsia" w:ascii="方正仿宋_GB2312" w:hAnsi="方正仿宋_GB2312" w:eastAsia="方正仿宋_GB2312" w:cs="方正仿宋_GB2312"/>
          <w:b/>
          <w:bCs/>
          <w:sz w:val="32"/>
          <w:szCs w:val="32"/>
          <w:highlight w:val="none"/>
          <w:lang w:val="en-US" w:eastAsia="zh-CN"/>
        </w:rPr>
        <w:t>1.一般公共服务支出（类）201</w:t>
      </w:r>
      <w:r>
        <w:rPr>
          <w:rFonts w:hint="eastAsia" w:ascii="方正仿宋_GB2312" w:hAnsi="方正仿宋_GB2312" w:eastAsia="方正仿宋_GB2312" w:cs="方正仿宋_GB2312"/>
          <w:sz w:val="32"/>
          <w:szCs w:val="32"/>
          <w:highlight w:val="none"/>
          <w:lang w:val="en-US" w:eastAsia="zh-CN"/>
        </w:rPr>
        <w:t>：其中（20101款）人大事务10.19万元、（20103款）政府办公厅（室）及相关机构事务487.37万元、（20106款）财政事务0.7万元、（20132款）组织事务12.79万元完成预算100%，预算数与决算数持平，完成预算100%，预算数与决算数持平。</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720"/>
        <w:textAlignment w:val="auto"/>
        <w:rPr>
          <w:rFonts w:hint="eastAsia" w:ascii="方正仿宋_GB2312" w:hAnsi="方正仿宋_GB2312" w:eastAsia="方正仿宋_GB2312" w:cs="方正仿宋_GB2312"/>
          <w:b/>
          <w:bCs/>
          <w:sz w:val="32"/>
          <w:szCs w:val="32"/>
          <w:highlight w:val="green"/>
          <w:lang w:val="en-US" w:eastAsia="zh-CN"/>
        </w:rPr>
      </w:pPr>
      <w:r>
        <w:rPr>
          <w:rFonts w:hint="eastAsia" w:ascii="方正仿宋_GB2312" w:hAnsi="方正仿宋_GB2312" w:eastAsia="方正仿宋_GB2312" w:cs="方正仿宋_GB2312"/>
          <w:b/>
          <w:bCs/>
          <w:sz w:val="32"/>
          <w:szCs w:val="32"/>
          <w:highlight w:val="none"/>
          <w:lang w:val="en-US" w:eastAsia="zh-CN"/>
        </w:rPr>
        <w:t>2.国防支出（类）203</w:t>
      </w:r>
      <w:r>
        <w:rPr>
          <w:rFonts w:hint="eastAsia" w:ascii="方正仿宋_GB2312" w:hAnsi="方正仿宋_GB2312" w:eastAsia="方正仿宋_GB2312" w:cs="方正仿宋_GB2312"/>
          <w:sz w:val="32"/>
          <w:szCs w:val="32"/>
          <w:highlight w:val="none"/>
          <w:lang w:val="en-US" w:eastAsia="zh-CN"/>
        </w:rPr>
        <w:t>:其中（20306款）国防动员4.99万元，完成预算100%，预算数与决算数持平。</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720"/>
        <w:textAlignment w:val="auto"/>
        <w:rPr>
          <w:rFonts w:hint="eastAsia" w:ascii="方正仿宋_GB2312" w:hAnsi="方正仿宋_GB2312" w:eastAsia="方正仿宋_GB2312" w:cs="方正仿宋_GB2312"/>
          <w:b/>
          <w:bCs/>
          <w:sz w:val="32"/>
          <w:szCs w:val="32"/>
          <w:highlight w:val="green"/>
          <w:lang w:val="en-US" w:eastAsia="zh-CN"/>
        </w:rPr>
      </w:pPr>
      <w:r>
        <w:rPr>
          <w:rFonts w:hint="eastAsia" w:ascii="方正仿宋_GB2312" w:hAnsi="方正仿宋_GB2312" w:eastAsia="方正仿宋_GB2312" w:cs="方正仿宋_GB2312"/>
          <w:b/>
          <w:bCs/>
          <w:sz w:val="32"/>
          <w:szCs w:val="32"/>
          <w:highlight w:val="none"/>
          <w:lang w:val="en-US" w:eastAsia="zh-CN"/>
        </w:rPr>
        <w:t>3.教育支出（类）205</w:t>
      </w:r>
      <w:r>
        <w:rPr>
          <w:rFonts w:hint="eastAsia" w:ascii="方正仿宋_GB2312" w:hAnsi="方正仿宋_GB2312" w:eastAsia="方正仿宋_GB2312" w:cs="方正仿宋_GB2312"/>
          <w:sz w:val="32"/>
          <w:szCs w:val="32"/>
          <w:highlight w:val="none"/>
          <w:lang w:val="en-US" w:eastAsia="zh-CN"/>
        </w:rPr>
        <w:t>:其中（20599款）</w:t>
      </w:r>
      <w:r>
        <w:rPr>
          <w:rFonts w:hint="eastAsia" w:ascii="方正仿宋_GB2312" w:hAnsi="方正仿宋_GB2312" w:eastAsia="方正仿宋_GB2312" w:cs="方正仿宋_GB2312"/>
          <w:b w:val="0"/>
          <w:bCs w:val="0"/>
          <w:sz w:val="32"/>
          <w:szCs w:val="32"/>
          <w:highlight w:val="none"/>
          <w:lang w:val="en-US" w:eastAsia="zh-CN"/>
        </w:rPr>
        <w:t>其他教育支出</w:t>
      </w:r>
      <w:r>
        <w:rPr>
          <w:rFonts w:hint="eastAsia" w:ascii="方正仿宋_GB2312" w:hAnsi="方正仿宋_GB2312" w:eastAsia="方正仿宋_GB2312" w:cs="方正仿宋_GB2312"/>
          <w:sz w:val="32"/>
          <w:szCs w:val="32"/>
          <w:highlight w:val="none"/>
          <w:lang w:val="en-US" w:eastAsia="zh-CN"/>
        </w:rPr>
        <w:t>2万元，完成预算100%，预算数与决算数持平。</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720"/>
        <w:textAlignment w:val="auto"/>
        <w:rPr>
          <w:rFonts w:hint="eastAsia" w:ascii="方正仿宋_GB2312" w:hAnsi="方正仿宋_GB2312" w:eastAsia="方正仿宋_GB2312" w:cs="方正仿宋_GB2312"/>
          <w:sz w:val="32"/>
          <w:szCs w:val="32"/>
          <w:highlight w:val="none"/>
          <w:lang w:val="en-US" w:eastAsia="zh-CN"/>
        </w:rPr>
      </w:pPr>
      <w:r>
        <w:rPr>
          <w:rFonts w:hint="eastAsia" w:ascii="方正仿宋_GB2312" w:hAnsi="方正仿宋_GB2312" w:eastAsia="方正仿宋_GB2312" w:cs="方正仿宋_GB2312"/>
          <w:b/>
          <w:bCs/>
          <w:sz w:val="32"/>
          <w:szCs w:val="32"/>
          <w:highlight w:val="none"/>
          <w:lang w:val="en-US" w:eastAsia="zh-CN"/>
        </w:rPr>
        <w:t>4.社会保障和就业支出（类）208</w:t>
      </w:r>
      <w:r>
        <w:rPr>
          <w:rFonts w:hint="eastAsia" w:ascii="方正仿宋_GB2312" w:hAnsi="方正仿宋_GB2312" w:eastAsia="方正仿宋_GB2312" w:cs="方正仿宋_GB2312"/>
          <w:sz w:val="32"/>
          <w:szCs w:val="32"/>
          <w:highlight w:val="none"/>
          <w:lang w:val="en-US" w:eastAsia="zh-CN"/>
        </w:rPr>
        <w:t>:其中（20805款）行政事业单位养老支出中的（2080505项）机关事业单位基本养老保险缴费支出75.96万元、（2080506项）机关事业单位职业年金缴费支出37.98万元、（20808款）抚恤（2080801项）死亡抚恤24.43万元、（20820款）临时救助（2082001项）临时救助支出0.4万元，完成预算100%，预算数与决算数持平。</w:t>
      </w:r>
    </w:p>
    <w:p>
      <w:pPr>
        <w:keepNext w:val="0"/>
        <w:keepLines w:val="0"/>
        <w:pageBreakBefore w:val="0"/>
        <w:widowControl w:val="0"/>
        <w:kinsoku/>
        <w:wordWrap/>
        <w:overflowPunct/>
        <w:topLinePunct w:val="0"/>
        <w:autoSpaceDE/>
        <w:autoSpaceDN/>
        <w:bidi w:val="0"/>
        <w:adjustRightInd w:val="0"/>
        <w:snapToGrid w:val="0"/>
        <w:spacing w:line="560" w:lineRule="exact"/>
        <w:ind w:firstLine="642" w:firstLineChars="200"/>
        <w:textAlignment w:val="auto"/>
        <w:rPr>
          <w:rFonts w:hint="eastAsia" w:ascii="方正仿宋_GB2312" w:hAnsi="方正仿宋_GB2312" w:eastAsia="方正仿宋_GB2312" w:cs="方正仿宋_GB2312"/>
          <w:sz w:val="32"/>
          <w:szCs w:val="32"/>
          <w:highlight w:val="none"/>
          <w:lang w:val="en-US" w:eastAsia="zh-CN"/>
        </w:rPr>
      </w:pPr>
      <w:r>
        <w:rPr>
          <w:rFonts w:hint="eastAsia" w:ascii="方正仿宋_GB2312" w:hAnsi="方正仿宋_GB2312" w:eastAsia="方正仿宋_GB2312" w:cs="方正仿宋_GB2312"/>
          <w:b/>
          <w:bCs/>
          <w:sz w:val="32"/>
          <w:szCs w:val="32"/>
          <w:highlight w:val="none"/>
          <w:lang w:val="en-US" w:eastAsia="zh-CN"/>
        </w:rPr>
        <w:t>5.卫生健康支出（类）210</w:t>
      </w:r>
      <w:r>
        <w:rPr>
          <w:rFonts w:hint="eastAsia" w:ascii="方正仿宋_GB2312" w:hAnsi="方正仿宋_GB2312" w:eastAsia="方正仿宋_GB2312" w:cs="方正仿宋_GB2312"/>
          <w:sz w:val="32"/>
          <w:szCs w:val="32"/>
          <w:highlight w:val="none"/>
          <w:lang w:val="en-US" w:eastAsia="zh-CN"/>
        </w:rPr>
        <w:t>:其中（21004款）公共卫生中的（2100409项）重大公共卫生服务1万元、（21011款）中的（2101101项）行政单位医疗21.78万元、（2101102项）事业单位医疗14.39万元、（2101103项）公务员医疗补助4.24万元、（2101199项）其他行政事业单位医疗支出2.39万元，完成预算100%，预算数与决算数持平。</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2" w:firstLineChars="200"/>
        <w:textAlignment w:val="auto"/>
        <w:rPr>
          <w:rFonts w:hint="eastAsia" w:ascii="方正仿宋_GB2312" w:hAnsi="方正仿宋_GB2312" w:eastAsia="方正仿宋_GB2312" w:cs="方正仿宋_GB2312"/>
          <w:sz w:val="32"/>
          <w:szCs w:val="32"/>
          <w:highlight w:val="none"/>
          <w:lang w:val="en-US" w:eastAsia="zh-CN"/>
        </w:rPr>
      </w:pPr>
      <w:r>
        <w:rPr>
          <w:rFonts w:hint="eastAsia" w:ascii="方正仿宋_GB2312" w:hAnsi="方正仿宋_GB2312" w:eastAsia="方正仿宋_GB2312" w:cs="方正仿宋_GB2312"/>
          <w:b/>
          <w:bCs/>
          <w:sz w:val="32"/>
          <w:szCs w:val="32"/>
          <w:highlight w:val="none"/>
          <w:lang w:val="en-US" w:eastAsia="zh-CN"/>
        </w:rPr>
        <w:t>6.农林水支出（类）213</w:t>
      </w:r>
      <w:r>
        <w:rPr>
          <w:rFonts w:hint="eastAsia" w:ascii="方正仿宋_GB2312" w:hAnsi="方正仿宋_GB2312" w:eastAsia="方正仿宋_GB2312" w:cs="方正仿宋_GB2312"/>
          <w:sz w:val="32"/>
          <w:szCs w:val="32"/>
          <w:highlight w:val="none"/>
          <w:lang w:val="en-US" w:eastAsia="zh-CN"/>
        </w:rPr>
        <w:t>:其中（21301款）农业农村（2130102项）一般行政管理事务15万元、（2130104项）事业运行249.41万元、（2130108项）病虫害控制1.34万元、（21303款）水利中的（2130335项）农村供水1524.93万元、（2130314项）防汛村支出2万元，完成预算100%，预算数与决算数持平。</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720"/>
        <w:textAlignment w:val="auto"/>
        <w:rPr>
          <w:rFonts w:hint="eastAsia" w:ascii="方正仿宋_GB2312" w:hAnsi="方正仿宋_GB2312" w:eastAsia="方正仿宋_GB2312" w:cs="方正仿宋_GB2312"/>
          <w:sz w:val="32"/>
          <w:szCs w:val="32"/>
          <w:highlight w:val="none"/>
          <w:lang w:val="en-US" w:eastAsia="zh-CN"/>
        </w:rPr>
      </w:pPr>
      <w:r>
        <w:rPr>
          <w:rFonts w:hint="eastAsia" w:ascii="方正仿宋_GB2312" w:hAnsi="方正仿宋_GB2312" w:eastAsia="方正仿宋_GB2312" w:cs="方正仿宋_GB2312"/>
          <w:sz w:val="32"/>
          <w:szCs w:val="32"/>
          <w:highlight w:val="none"/>
          <w:lang w:val="en-US" w:eastAsia="zh-CN"/>
        </w:rPr>
        <w:t>（21305款）巩固脱贫衔接乡村振兴中的（2130504项）农村基础设施建设2391.49万元、（2130505项）生产发展761.54万元、（2130599项）其他巩固脱贫衔接乡村振兴支出31.56万元，完成预算100%，预算数与决算数持平。</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720"/>
        <w:textAlignment w:val="auto"/>
        <w:rPr>
          <w:rFonts w:hint="eastAsia" w:ascii="方正仿宋_GB2312" w:hAnsi="方正仿宋_GB2312" w:eastAsia="方正仿宋_GB2312" w:cs="方正仿宋_GB2312"/>
          <w:sz w:val="32"/>
          <w:szCs w:val="32"/>
          <w:highlight w:val="none"/>
          <w:lang w:val="en-US" w:eastAsia="zh-CN"/>
        </w:rPr>
      </w:pPr>
      <w:r>
        <w:rPr>
          <w:rFonts w:hint="eastAsia" w:ascii="方正仿宋_GB2312" w:hAnsi="方正仿宋_GB2312" w:eastAsia="方正仿宋_GB2312" w:cs="方正仿宋_GB2312"/>
          <w:sz w:val="32"/>
          <w:szCs w:val="32"/>
          <w:highlight w:val="none"/>
          <w:lang w:val="en-US" w:eastAsia="zh-CN"/>
        </w:rPr>
        <w:t>（21307款）农村综合改革中的（2130705项）对村民委员会和村党支部的补助148.06万元、（2130707项）农村综合改革示范试点补助83.49万元，完成预算100%，预算数与决算数持平。</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720"/>
        <w:textAlignment w:val="auto"/>
        <w:rPr>
          <w:rFonts w:hint="eastAsia" w:ascii="方正仿宋_GB2312" w:hAnsi="方正仿宋_GB2312" w:eastAsia="方正仿宋_GB2312" w:cs="方正仿宋_GB2312"/>
          <w:sz w:val="32"/>
          <w:szCs w:val="32"/>
          <w:highlight w:val="none"/>
          <w:lang w:val="en-US" w:eastAsia="zh-CN"/>
        </w:rPr>
      </w:pPr>
      <w:r>
        <w:rPr>
          <w:rFonts w:hint="eastAsia" w:ascii="方正仿宋_GB2312" w:hAnsi="方正仿宋_GB2312" w:eastAsia="方正仿宋_GB2312" w:cs="方正仿宋_GB2312"/>
          <w:b/>
          <w:bCs/>
          <w:sz w:val="32"/>
          <w:szCs w:val="32"/>
          <w:highlight w:val="none"/>
          <w:lang w:val="en-US" w:eastAsia="zh-CN"/>
        </w:rPr>
        <w:t>7.住房保障支出（类）221</w:t>
      </w:r>
      <w:r>
        <w:rPr>
          <w:rFonts w:hint="eastAsia" w:ascii="方正仿宋_GB2312" w:hAnsi="方正仿宋_GB2312" w:eastAsia="方正仿宋_GB2312" w:cs="方正仿宋_GB2312"/>
          <w:sz w:val="32"/>
          <w:szCs w:val="32"/>
          <w:highlight w:val="none"/>
          <w:lang w:val="en-US" w:eastAsia="zh-CN"/>
        </w:rPr>
        <w:t>:其中（22101款）住房改革支出中的（2210201项） 住房公积金63.11万元，完成预算100%，预算数与决算数持平。</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720"/>
        <w:textAlignment w:val="auto"/>
        <w:rPr>
          <w:rFonts w:hint="eastAsia" w:ascii="方正仿宋_GB2312" w:hAnsi="方正仿宋_GB2312" w:eastAsia="方正仿宋_GB2312" w:cs="方正仿宋_GB2312"/>
          <w:b w:val="0"/>
          <w:bCs w:val="0"/>
          <w:sz w:val="32"/>
          <w:szCs w:val="32"/>
          <w:highlight w:val="none"/>
          <w:lang w:val="en-US" w:eastAsia="zh-CN"/>
        </w:rPr>
      </w:pPr>
      <w:r>
        <w:rPr>
          <w:rFonts w:hint="eastAsia" w:ascii="方正仿宋_GB2312" w:hAnsi="方正仿宋_GB2312" w:eastAsia="方正仿宋_GB2312" w:cs="方正仿宋_GB2312"/>
          <w:b/>
          <w:bCs/>
          <w:sz w:val="32"/>
          <w:szCs w:val="32"/>
          <w:highlight w:val="none"/>
          <w:lang w:val="en-US" w:eastAsia="zh-CN"/>
        </w:rPr>
        <w:t>8.灾害防治及应急管理支出（类）224:</w:t>
      </w:r>
      <w:r>
        <w:rPr>
          <w:rFonts w:hint="eastAsia" w:ascii="方正仿宋_GB2312" w:hAnsi="方正仿宋_GB2312" w:eastAsia="方正仿宋_GB2312" w:cs="方正仿宋_GB2312"/>
          <w:b w:val="0"/>
          <w:bCs w:val="0"/>
          <w:sz w:val="32"/>
          <w:szCs w:val="32"/>
          <w:highlight w:val="none"/>
          <w:lang w:val="en-US" w:eastAsia="zh-CN"/>
        </w:rPr>
        <w:t>其中（22401款）应急管理事务中的（2240104项）灾害风险防治2.26万元、（2240109项）应急管理4万元，完成预算100%，预算数与决算数持平。</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720"/>
        <w:textAlignment w:val="auto"/>
        <w:rPr>
          <w:rStyle w:val="22"/>
          <w:color w:val="auto"/>
          <w:highlight w:val="none"/>
        </w:rPr>
      </w:pPr>
      <w:r>
        <w:rPr>
          <w:rFonts w:hint="eastAsia" w:ascii="黑体" w:eastAsia="黑体"/>
          <w:color w:val="auto"/>
          <w:sz w:val="32"/>
          <w:szCs w:val="32"/>
          <w:highlight w:val="none"/>
        </w:rPr>
        <w:t>六</w:t>
      </w:r>
      <w:r>
        <w:rPr>
          <w:rFonts w:hint="eastAsia" w:ascii="黑体" w:eastAsia="黑体"/>
          <w:b/>
          <w:color w:val="auto"/>
          <w:sz w:val="32"/>
          <w:szCs w:val="32"/>
          <w:highlight w:val="none"/>
        </w:rPr>
        <w:t>、</w:t>
      </w:r>
      <w:r>
        <w:rPr>
          <w:rFonts w:hint="eastAsia" w:ascii="黑体" w:hAnsi="黑体" w:eastAsia="黑体"/>
          <w:b/>
          <w:color w:val="auto"/>
          <w:sz w:val="32"/>
          <w:szCs w:val="32"/>
          <w:highlight w:val="none"/>
        </w:rPr>
        <w:t>一</w:t>
      </w:r>
      <w:r>
        <w:rPr>
          <w:rStyle w:val="22"/>
          <w:rFonts w:hint="eastAsia" w:ascii="黑体" w:hAnsi="黑体" w:eastAsia="黑体"/>
          <w:b w:val="0"/>
          <w:color w:val="auto"/>
          <w:highlight w:val="none"/>
        </w:rPr>
        <w:t>般公共预算财政拨款基本支出决算情况说明</w:t>
      </w:r>
      <w:r>
        <w:rPr>
          <w:rStyle w:val="22"/>
          <w:rFonts w:ascii="黑体" w:hAnsi="黑体" w:eastAsia="黑体"/>
          <w:b w:val="0"/>
          <w:color w:val="auto"/>
          <w:highlight w:val="none"/>
        </w:rPr>
        <w:tab/>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720"/>
        <w:textAlignment w:val="auto"/>
        <w:rPr>
          <w:rFonts w:hint="eastAsia" w:ascii="方正仿宋_GB2312" w:hAnsi="方正仿宋_GB2312" w:eastAsia="方正仿宋_GB2312" w:cs="方正仿宋_GB2312"/>
          <w:sz w:val="32"/>
          <w:szCs w:val="32"/>
          <w:highlight w:val="none"/>
          <w:lang w:val="en-US" w:eastAsia="zh-CN"/>
        </w:rPr>
      </w:pPr>
      <w:r>
        <w:rPr>
          <w:rFonts w:hint="eastAsia" w:ascii="方正仿宋_GB2312" w:hAnsi="方正仿宋_GB2312" w:eastAsia="方正仿宋_GB2312" w:cs="方正仿宋_GB2312"/>
          <w:sz w:val="32"/>
          <w:szCs w:val="32"/>
          <w:highlight w:val="none"/>
          <w:lang w:val="en-US" w:eastAsia="zh-CN"/>
        </w:rPr>
        <w:t>2025年一般公共预算财政拨款基本支出1026.27万元，其中：</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720"/>
        <w:textAlignment w:val="auto"/>
        <w:rPr>
          <w:rFonts w:hint="eastAsia" w:ascii="仿宋" w:hAnsi="仿宋" w:eastAsia="方正仿宋_GB2312"/>
          <w:b/>
          <w:color w:val="auto"/>
          <w:sz w:val="32"/>
          <w:szCs w:val="32"/>
          <w:highlight w:val="none"/>
          <w:lang w:val="en-US" w:eastAsia="zh-CN"/>
        </w:rPr>
      </w:pPr>
      <w:r>
        <w:rPr>
          <w:rFonts w:hint="eastAsia" w:ascii="方正仿宋_GB2312" w:hAnsi="方正仿宋_GB2312" w:eastAsia="方正仿宋_GB2312" w:cs="方正仿宋_GB2312"/>
          <w:sz w:val="32"/>
          <w:szCs w:val="32"/>
          <w:highlight w:val="none"/>
          <w:lang w:val="en-US" w:eastAsia="zh-CN"/>
        </w:rPr>
        <w:t>人员经费837.3万元，主要包括：基本工资、津贴补贴、奖金、绩效工资、机关事业单位基本养老保险缴费、职业年金缴费、其他社会保障缴费、职工基本医疗保险缴费、公务员医疗补助缴费、住房公积金、医疗费补助、其他对个人和家庭的补助支出等。</w:t>
      </w:r>
      <w:r>
        <w:rPr>
          <w:rFonts w:hint="eastAsia" w:ascii="方正仿宋_GB2312" w:hAnsi="方正仿宋_GB2312" w:eastAsia="方正仿宋_GB2312" w:cs="方正仿宋_GB2312"/>
          <w:sz w:val="32"/>
          <w:szCs w:val="32"/>
          <w:highlight w:val="none"/>
          <w:lang w:val="en-US" w:eastAsia="zh-CN"/>
        </w:rPr>
        <w:br w:type="textWrapping"/>
      </w:r>
      <w:r>
        <w:rPr>
          <w:rFonts w:hint="eastAsia" w:ascii="方正仿宋_GB2312" w:hAnsi="方正仿宋_GB2312" w:eastAsia="方正仿宋_GB2312" w:cs="方正仿宋_GB2312"/>
          <w:sz w:val="32"/>
          <w:szCs w:val="32"/>
          <w:highlight w:val="none"/>
          <w:lang w:val="en-US" w:eastAsia="zh-CN"/>
        </w:rPr>
        <w:t>　　公用经费188.98万元，主要包括：办公费、印刷费、手续费、电费、邮电费、差旅费、维修（护）费、劳务费、公务用车运行维护费、其他商品和服务支出。</w:t>
      </w:r>
    </w:p>
    <w:p>
      <w:pPr>
        <w:spacing w:line="600" w:lineRule="exact"/>
        <w:ind w:firstLine="640"/>
        <w:outlineLvl w:val="1"/>
        <w:rPr>
          <w:rStyle w:val="22"/>
          <w:rFonts w:ascii="黑体" w:hAnsi="黑体" w:eastAsia="黑体"/>
          <w:b w:val="0"/>
          <w:color w:val="auto"/>
          <w:highlight w:val="none"/>
        </w:rPr>
      </w:pPr>
      <w:r>
        <w:rPr>
          <w:rFonts w:hint="eastAsia" w:ascii="黑体" w:eastAsia="黑体"/>
          <w:color w:val="auto"/>
          <w:sz w:val="32"/>
          <w:szCs w:val="32"/>
          <w:highlight w:val="none"/>
        </w:rPr>
        <w:t>七、</w:t>
      </w:r>
      <w:r>
        <w:rPr>
          <w:rStyle w:val="22"/>
          <w:rFonts w:hint="eastAsia" w:ascii="黑体" w:hAnsi="黑体" w:eastAsia="黑体"/>
          <w:b w:val="0"/>
          <w:color w:val="auto"/>
          <w:highlight w:val="none"/>
        </w:rPr>
        <w:t>财政拨款</w:t>
      </w:r>
      <w:r>
        <w:rPr>
          <w:rStyle w:val="22"/>
          <w:rFonts w:hint="eastAsia" w:ascii="黑体" w:hAnsi="黑体" w:eastAsia="黑体"/>
          <w:color w:val="auto"/>
          <w:highlight w:val="none"/>
        </w:rPr>
        <w:t>“</w:t>
      </w:r>
      <w:r>
        <w:rPr>
          <w:rStyle w:val="22"/>
          <w:rFonts w:hint="eastAsia" w:ascii="黑体" w:hAnsi="黑体" w:eastAsia="黑体"/>
          <w:b w:val="0"/>
          <w:color w:val="auto"/>
          <w:highlight w:val="none"/>
        </w:rPr>
        <w:t>三公”经费支出决算情况说明</w:t>
      </w:r>
    </w:p>
    <w:p>
      <w:pPr>
        <w:spacing w:line="600" w:lineRule="exact"/>
        <w:ind w:firstLine="640"/>
        <w:outlineLvl w:val="2"/>
        <w:rPr>
          <w:rFonts w:ascii="仿宋" w:hAnsi="仿宋" w:eastAsia="仿宋"/>
          <w:b/>
          <w:color w:val="auto"/>
          <w:sz w:val="32"/>
          <w:szCs w:val="32"/>
          <w:highlight w:val="none"/>
        </w:rPr>
      </w:pPr>
      <w:r>
        <w:rPr>
          <w:rFonts w:hint="eastAsia" w:ascii="仿宋" w:hAnsi="仿宋" w:eastAsia="仿宋"/>
          <w:b/>
          <w:color w:val="auto"/>
          <w:sz w:val="32"/>
          <w:szCs w:val="32"/>
          <w:highlight w:val="none"/>
        </w:rPr>
        <w:t>（一）“三公”经费财政拨款支出决算总体情况说明</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720"/>
        <w:textAlignment w:val="auto"/>
        <w:rPr>
          <w:rFonts w:hint="default"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2025年“三公”经费财政拨款支出决算为5.87万元，完成预算100%，较上年减少0.03万元，下降0.51%。预算数与决算数持。</w:t>
      </w:r>
    </w:p>
    <w:p>
      <w:pPr>
        <w:spacing w:line="600" w:lineRule="exact"/>
        <w:ind w:firstLine="640"/>
        <w:outlineLvl w:val="2"/>
        <w:rPr>
          <w:rFonts w:ascii="仿宋" w:hAnsi="仿宋" w:eastAsia="仿宋"/>
          <w:b/>
          <w:color w:val="auto"/>
          <w:sz w:val="32"/>
          <w:szCs w:val="32"/>
          <w:highlight w:val="none"/>
        </w:rPr>
      </w:pPr>
      <w:r>
        <w:rPr>
          <w:rFonts w:hint="eastAsia" w:ascii="仿宋" w:hAnsi="仿宋" w:eastAsia="仿宋"/>
          <w:b/>
          <w:color w:val="auto"/>
          <w:sz w:val="32"/>
          <w:szCs w:val="32"/>
          <w:highlight w:val="none"/>
        </w:rPr>
        <w:t>（二）“三公”经费财政拨款支出决算具体情况说明</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720"/>
        <w:textAlignment w:val="auto"/>
        <w:rPr>
          <w:rFonts w:hint="eastAsia" w:ascii="方正仿宋_GB2312" w:hAnsi="方正仿宋_GB2312" w:eastAsia="方正仿宋_GB2312" w:cs="方正仿宋_GB2312"/>
          <w:sz w:val="32"/>
          <w:szCs w:val="32"/>
          <w:lang w:val="en-US" w:eastAsia="zh-CN"/>
        </w:rPr>
      </w:pPr>
      <w:r>
        <w:drawing>
          <wp:anchor distT="0" distB="0" distL="114300" distR="114300" simplePos="0" relativeHeight="251659264" behindDoc="1" locked="0" layoutInCell="1" allowOverlap="1">
            <wp:simplePos x="0" y="0"/>
            <wp:positionH relativeFrom="column">
              <wp:posOffset>219710</wp:posOffset>
            </wp:positionH>
            <wp:positionV relativeFrom="paragraph">
              <wp:posOffset>1395095</wp:posOffset>
            </wp:positionV>
            <wp:extent cx="4676775" cy="2962275"/>
            <wp:effectExtent l="4445" t="4445" r="5080" b="5080"/>
            <wp:wrapNone/>
            <wp:docPr id="4" name="图表 4"/>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anchor>
        </w:drawing>
      </w:r>
      <w:r>
        <w:rPr>
          <w:rFonts w:hint="eastAsia" w:ascii="方正仿宋_GB2312" w:hAnsi="方正仿宋_GB2312" w:eastAsia="方正仿宋_GB2312" w:cs="方正仿宋_GB2312"/>
          <w:sz w:val="32"/>
          <w:szCs w:val="32"/>
          <w:lang w:val="en-US" w:eastAsia="zh-CN"/>
        </w:rPr>
        <w:t>2025年“三公”经费财政拨款支出决算中，因公出国（境）费支出决算0万元，占0%；公务用车购置及运行维护费支出决算5.87万元，占100%；公务接待费支出决算0万元，占0%。具体情况如下：</w:t>
      </w:r>
    </w:p>
    <w:p>
      <w:pPr>
        <w:pStyle w:val="2"/>
        <w:pageBreakBefore w:val="0"/>
        <w:kinsoku/>
        <w:wordWrap/>
        <w:overflowPunct/>
        <w:topLinePunct w:val="0"/>
        <w:bidi w:val="0"/>
        <w:spacing w:beforeLines="0" w:line="560" w:lineRule="exact"/>
        <w:ind w:left="0" w:leftChars="0"/>
        <w:rPr>
          <w:rFonts w:hint="eastAsia"/>
          <w:lang w:val="en-US" w:eastAsia="zh-CN"/>
        </w:rPr>
      </w:pPr>
    </w:p>
    <w:p>
      <w:pPr>
        <w:pageBreakBefore w:val="0"/>
        <w:kinsoku/>
        <w:wordWrap/>
        <w:overflowPunct/>
        <w:topLinePunct w:val="0"/>
        <w:bidi w:val="0"/>
        <w:spacing w:line="560" w:lineRule="exact"/>
        <w:ind w:left="0" w:leftChars="0" w:firstLine="640"/>
        <w:rPr>
          <w:rFonts w:ascii="仿宋_GB2312" w:eastAsia="仿宋_GB2312"/>
          <w:b/>
          <w:color w:val="auto"/>
          <w:sz w:val="32"/>
          <w:szCs w:val="32"/>
          <w:highlight w:val="none"/>
        </w:rPr>
      </w:pPr>
    </w:p>
    <w:p>
      <w:pPr>
        <w:pStyle w:val="2"/>
        <w:pageBreakBefore w:val="0"/>
        <w:kinsoku/>
        <w:wordWrap/>
        <w:overflowPunct/>
        <w:topLinePunct w:val="0"/>
        <w:bidi w:val="0"/>
        <w:spacing w:beforeLines="0" w:line="560" w:lineRule="exact"/>
        <w:ind w:left="0" w:leftChars="0"/>
        <w:rPr>
          <w:rFonts w:ascii="仿宋_GB2312" w:eastAsia="仿宋_GB2312"/>
          <w:b/>
          <w:color w:val="auto"/>
          <w:sz w:val="32"/>
          <w:szCs w:val="32"/>
          <w:highlight w:val="none"/>
        </w:rPr>
      </w:pPr>
    </w:p>
    <w:p>
      <w:pPr>
        <w:pStyle w:val="2"/>
        <w:pageBreakBefore w:val="0"/>
        <w:kinsoku/>
        <w:wordWrap/>
        <w:overflowPunct/>
        <w:topLinePunct w:val="0"/>
        <w:bidi w:val="0"/>
        <w:spacing w:beforeLines="0" w:line="560" w:lineRule="exact"/>
        <w:ind w:left="0" w:leftChars="0"/>
        <w:rPr>
          <w:rFonts w:ascii="仿宋_GB2312" w:eastAsia="仿宋_GB2312"/>
          <w:b/>
          <w:color w:val="auto"/>
          <w:sz w:val="32"/>
          <w:szCs w:val="32"/>
          <w:highlight w:val="none"/>
        </w:rPr>
      </w:pPr>
    </w:p>
    <w:p>
      <w:pPr>
        <w:pStyle w:val="2"/>
        <w:pageBreakBefore w:val="0"/>
        <w:kinsoku/>
        <w:wordWrap/>
        <w:overflowPunct/>
        <w:topLinePunct w:val="0"/>
        <w:bidi w:val="0"/>
        <w:spacing w:beforeLines="0" w:line="560" w:lineRule="exact"/>
        <w:ind w:left="0" w:leftChars="0"/>
        <w:rPr>
          <w:rFonts w:ascii="仿宋_GB2312" w:eastAsia="仿宋_GB2312"/>
          <w:b/>
          <w:color w:val="auto"/>
          <w:sz w:val="32"/>
          <w:szCs w:val="32"/>
          <w:highlight w:val="none"/>
        </w:rPr>
      </w:pPr>
    </w:p>
    <w:p>
      <w:pPr>
        <w:pageBreakBefore w:val="0"/>
        <w:kinsoku/>
        <w:wordWrap/>
        <w:overflowPunct/>
        <w:topLinePunct w:val="0"/>
        <w:bidi w:val="0"/>
        <w:spacing w:line="560" w:lineRule="exact"/>
        <w:ind w:left="0" w:leftChars="0" w:firstLine="640"/>
        <w:rPr>
          <w:rFonts w:ascii="仿宋_GB2312" w:eastAsia="仿宋_GB2312"/>
          <w:b/>
          <w:color w:val="auto"/>
          <w:sz w:val="32"/>
          <w:szCs w:val="32"/>
          <w:highlight w:val="none"/>
        </w:rPr>
      </w:pPr>
    </w:p>
    <w:p>
      <w:pPr>
        <w:spacing w:line="600" w:lineRule="exact"/>
        <w:rPr>
          <w:rFonts w:ascii="仿宋_GB2312" w:eastAsia="仿宋_GB2312"/>
          <w:b/>
          <w:color w:val="auto"/>
          <w:sz w:val="32"/>
          <w:szCs w:val="32"/>
          <w:highlight w:val="none"/>
        </w:rPr>
      </w:pPr>
    </w:p>
    <w:p>
      <w:pPr>
        <w:spacing w:line="600" w:lineRule="exact"/>
        <w:ind w:firstLine="642" w:firstLineChars="200"/>
        <w:rPr>
          <w:rFonts w:ascii="仿宋_GB2312" w:eastAsia="仿宋_GB2312"/>
          <w:b/>
          <w:color w:val="auto"/>
          <w:sz w:val="32"/>
          <w:szCs w:val="32"/>
          <w:highlight w:val="none"/>
        </w:rPr>
      </w:pPr>
      <w:r>
        <w:rPr>
          <w:rFonts w:ascii="仿宋_GB2312" w:eastAsia="仿宋_GB2312"/>
          <w:b/>
          <w:color w:val="auto"/>
          <w:sz w:val="32"/>
          <w:szCs w:val="32"/>
          <w:highlight w:val="none"/>
        </w:rPr>
        <w:t>1.</w:t>
      </w:r>
      <w:r>
        <w:rPr>
          <w:rFonts w:hint="eastAsia" w:ascii="仿宋_GB2312" w:eastAsia="仿宋_GB2312"/>
          <w:b/>
          <w:color w:val="auto"/>
          <w:sz w:val="32"/>
          <w:szCs w:val="32"/>
          <w:highlight w:val="none"/>
        </w:rPr>
        <w:t>因公出国（境）经费支出</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w:t>
      </w:r>
      <w:r>
        <w:rPr>
          <w:rStyle w:val="19"/>
          <w:rFonts w:hint="eastAsia" w:ascii="仿宋" w:hAnsi="仿宋" w:eastAsia="仿宋"/>
          <w:b w:val="0"/>
          <w:bCs/>
          <w:color w:val="auto"/>
          <w:sz w:val="32"/>
          <w:szCs w:val="32"/>
          <w:highlight w:val="none"/>
        </w:rPr>
        <w:t>完成预算</w:t>
      </w:r>
      <w:r>
        <w:rPr>
          <w:rStyle w:val="19"/>
          <w:rFonts w:hint="eastAsia" w:ascii="仿宋" w:hAnsi="仿宋" w:eastAsia="仿宋"/>
          <w:b w:val="0"/>
          <w:bCs/>
          <w:color w:val="auto"/>
          <w:sz w:val="32"/>
          <w:szCs w:val="32"/>
          <w:highlight w:val="none"/>
          <w:lang w:val="en-US" w:eastAsia="zh-CN"/>
        </w:rPr>
        <w:t>0</w:t>
      </w:r>
      <w:r>
        <w:rPr>
          <w:rStyle w:val="19"/>
          <w:rFonts w:ascii="仿宋" w:hAnsi="仿宋" w:eastAsia="仿宋"/>
          <w:b w:val="0"/>
          <w:bCs/>
          <w:color w:val="auto"/>
          <w:sz w:val="32"/>
          <w:szCs w:val="32"/>
          <w:highlight w:val="none"/>
        </w:rPr>
        <w:t>%</w:t>
      </w:r>
      <w:r>
        <w:rPr>
          <w:rStyle w:val="19"/>
          <w:rFonts w:hint="eastAsia" w:ascii="仿宋" w:hAnsi="仿宋" w:eastAsia="仿宋"/>
          <w:b w:val="0"/>
          <w:bCs/>
          <w:color w:val="auto"/>
          <w:sz w:val="32"/>
          <w:szCs w:val="32"/>
          <w:highlight w:val="none"/>
        </w:rPr>
        <w:t>。</w:t>
      </w:r>
      <w:r>
        <w:rPr>
          <w:rFonts w:hint="eastAsia" w:ascii="仿宋_GB2312" w:eastAsia="仿宋_GB2312"/>
          <w:color w:val="auto"/>
          <w:sz w:val="32"/>
          <w:szCs w:val="32"/>
          <w:highlight w:val="none"/>
        </w:rPr>
        <w:t>全年安排因公出国（境）团组</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次，出国（境）</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人。因公出国（境）支出决算比</w:t>
      </w:r>
      <w:r>
        <w:rPr>
          <w:rFonts w:hint="eastAsia" w:ascii="仿宋_GB2312" w:eastAsia="仿宋_GB2312"/>
          <w:color w:val="auto"/>
          <w:sz w:val="32"/>
          <w:szCs w:val="32"/>
          <w:highlight w:val="none"/>
          <w:lang w:eastAsia="zh-CN"/>
        </w:rPr>
        <w:t>202</w:t>
      </w:r>
      <w:r>
        <w:rPr>
          <w:rFonts w:hint="eastAsia" w:ascii="仿宋_GB2312" w:eastAsia="仿宋_GB2312"/>
          <w:color w:val="auto"/>
          <w:sz w:val="32"/>
          <w:szCs w:val="32"/>
          <w:highlight w:val="none"/>
          <w:lang w:val="en-US" w:eastAsia="zh-CN"/>
        </w:rPr>
        <w:t>4</w:t>
      </w:r>
      <w:r>
        <w:rPr>
          <w:rFonts w:hint="eastAsia" w:ascii="仿宋_GB2312" w:eastAsia="仿宋_GB2312"/>
          <w:color w:val="auto"/>
          <w:sz w:val="32"/>
          <w:szCs w:val="32"/>
          <w:highlight w:val="none"/>
        </w:rPr>
        <w:t>年</w:t>
      </w:r>
      <w:r>
        <w:rPr>
          <w:rFonts w:hint="eastAsia" w:ascii="仿宋_GB2312" w:eastAsia="仿宋_GB2312"/>
          <w:color w:val="auto"/>
          <w:sz w:val="32"/>
          <w:szCs w:val="32"/>
          <w:highlight w:val="none"/>
          <w:lang w:eastAsia="zh-CN"/>
        </w:rPr>
        <w:t>无变化</w:t>
      </w:r>
      <w:r>
        <w:rPr>
          <w:rFonts w:hint="eastAsia" w:ascii="仿宋_GB2312" w:eastAsia="仿宋_GB2312"/>
          <w:color w:val="auto"/>
          <w:sz w:val="32"/>
          <w:szCs w:val="32"/>
          <w:highlight w:val="none"/>
        </w:rPr>
        <w:t>。</w:t>
      </w:r>
    </w:p>
    <w:p>
      <w:pPr>
        <w:spacing w:line="600" w:lineRule="exact"/>
        <w:ind w:firstLine="640"/>
        <w:rPr>
          <w:rFonts w:ascii="仿宋_GB2312" w:eastAsia="仿宋_GB2312"/>
          <w:b/>
          <w:color w:val="auto"/>
          <w:sz w:val="32"/>
          <w:szCs w:val="32"/>
          <w:highlight w:val="none"/>
        </w:rPr>
      </w:pPr>
      <w:r>
        <w:rPr>
          <w:rFonts w:ascii="仿宋_GB2312" w:eastAsia="仿宋_GB2312"/>
          <w:b/>
          <w:color w:val="auto"/>
          <w:sz w:val="32"/>
          <w:szCs w:val="32"/>
          <w:highlight w:val="none"/>
        </w:rPr>
        <w:t>2.</w:t>
      </w:r>
      <w:r>
        <w:rPr>
          <w:rFonts w:hint="eastAsia" w:ascii="仿宋_GB2312" w:eastAsia="仿宋_GB2312"/>
          <w:b/>
          <w:color w:val="auto"/>
          <w:sz w:val="32"/>
          <w:szCs w:val="32"/>
          <w:highlight w:val="none"/>
        </w:rPr>
        <w:t>公务用车购置及运行维护费支出</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w:t>
      </w:r>
      <w:r>
        <w:rPr>
          <w:rStyle w:val="19"/>
          <w:rFonts w:hint="eastAsia" w:ascii="仿宋" w:hAnsi="仿宋" w:eastAsia="仿宋"/>
          <w:b w:val="0"/>
          <w:bCs/>
          <w:color w:val="auto"/>
          <w:sz w:val="32"/>
          <w:szCs w:val="32"/>
          <w:highlight w:val="none"/>
        </w:rPr>
        <w:t>完成预算</w:t>
      </w:r>
      <w:r>
        <w:rPr>
          <w:rStyle w:val="19"/>
          <w:rFonts w:hint="eastAsia" w:ascii="仿宋" w:hAnsi="仿宋" w:eastAsia="仿宋"/>
          <w:b w:val="0"/>
          <w:bCs/>
          <w:color w:val="auto"/>
          <w:sz w:val="32"/>
          <w:szCs w:val="32"/>
          <w:highlight w:val="none"/>
          <w:lang w:val="en-US" w:eastAsia="zh-CN"/>
        </w:rPr>
        <w:t>0</w:t>
      </w:r>
      <w:r>
        <w:rPr>
          <w:rStyle w:val="19"/>
          <w:rFonts w:ascii="仿宋" w:hAnsi="仿宋" w:eastAsia="仿宋"/>
          <w:b w:val="0"/>
          <w:bCs/>
          <w:color w:val="auto"/>
          <w:sz w:val="32"/>
          <w:szCs w:val="32"/>
          <w:highlight w:val="none"/>
        </w:rPr>
        <w:t>%</w:t>
      </w:r>
      <w:r>
        <w:rPr>
          <w:rStyle w:val="19"/>
          <w:rFonts w:hint="eastAsia" w:ascii="仿宋" w:hAnsi="仿宋" w:eastAsia="仿宋"/>
          <w:b w:val="0"/>
          <w:bCs/>
          <w:color w:val="auto"/>
          <w:sz w:val="32"/>
          <w:szCs w:val="32"/>
          <w:highlight w:val="none"/>
        </w:rPr>
        <w:t>。</w:t>
      </w:r>
      <w:r>
        <w:rPr>
          <w:rFonts w:hint="eastAsia" w:ascii="仿宋_GB2312" w:eastAsia="仿宋_GB2312"/>
          <w:color w:val="auto"/>
          <w:sz w:val="32"/>
          <w:szCs w:val="32"/>
          <w:highlight w:val="none"/>
        </w:rPr>
        <w:t>全年安排因公出国（境）团组</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次，出国（境）</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人。因公出国（境）支出决算比</w:t>
      </w:r>
      <w:r>
        <w:rPr>
          <w:rFonts w:hint="eastAsia" w:ascii="仿宋_GB2312" w:eastAsia="仿宋_GB2312"/>
          <w:color w:val="auto"/>
          <w:sz w:val="32"/>
          <w:szCs w:val="32"/>
          <w:highlight w:val="none"/>
          <w:lang w:eastAsia="zh-CN"/>
        </w:rPr>
        <w:t>202</w:t>
      </w:r>
      <w:r>
        <w:rPr>
          <w:rFonts w:hint="eastAsia" w:ascii="仿宋_GB2312" w:eastAsia="仿宋_GB2312"/>
          <w:color w:val="auto"/>
          <w:sz w:val="32"/>
          <w:szCs w:val="32"/>
          <w:highlight w:val="none"/>
          <w:lang w:val="en-US" w:eastAsia="zh-CN"/>
        </w:rPr>
        <w:t>4</w:t>
      </w:r>
      <w:r>
        <w:rPr>
          <w:rFonts w:hint="eastAsia" w:ascii="仿宋_GB2312" w:eastAsia="仿宋_GB2312"/>
          <w:color w:val="auto"/>
          <w:sz w:val="32"/>
          <w:szCs w:val="32"/>
          <w:highlight w:val="none"/>
        </w:rPr>
        <w:t>年</w:t>
      </w:r>
      <w:r>
        <w:rPr>
          <w:rFonts w:hint="eastAsia" w:ascii="仿宋_GB2312" w:eastAsia="仿宋_GB2312"/>
          <w:color w:val="auto"/>
          <w:sz w:val="32"/>
          <w:szCs w:val="32"/>
          <w:highlight w:val="none"/>
          <w:lang w:eastAsia="zh-CN"/>
        </w:rPr>
        <w:t>无变化</w:t>
      </w:r>
      <w:r>
        <w:rPr>
          <w:rFonts w:hint="eastAsia" w:ascii="仿宋_GB2312" w:eastAsia="仿宋_GB2312"/>
          <w:color w:val="auto"/>
          <w:sz w:val="32"/>
          <w:szCs w:val="32"/>
          <w:highlight w:val="none"/>
        </w:rPr>
        <w:t>。</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720"/>
        <w:textAlignment w:val="auto"/>
        <w:rPr>
          <w:rFonts w:hint="eastAsia" w:ascii="方正仿宋_GB2312" w:hAnsi="方正仿宋_GB2312" w:eastAsia="方正仿宋_GB2312" w:cs="方正仿宋_GB2312"/>
          <w:sz w:val="32"/>
          <w:szCs w:val="32"/>
          <w:highlight w:val="green"/>
          <w:lang w:val="en-US" w:eastAsia="zh-CN"/>
        </w:rPr>
      </w:pPr>
      <w:r>
        <w:rPr>
          <w:rFonts w:hint="eastAsia" w:ascii="仿宋_GB2312" w:eastAsia="仿宋_GB2312"/>
          <w:color w:val="auto"/>
          <w:sz w:val="32"/>
          <w:szCs w:val="32"/>
          <w:highlight w:val="none"/>
        </w:rPr>
        <w:t>其中：</w:t>
      </w:r>
      <w:r>
        <w:rPr>
          <w:rFonts w:hint="eastAsia" w:ascii="仿宋_GB2312" w:eastAsia="仿宋_GB2312"/>
          <w:b/>
          <w:color w:val="auto"/>
          <w:sz w:val="32"/>
          <w:szCs w:val="32"/>
          <w:highlight w:val="none"/>
        </w:rPr>
        <w:t>公务用车购置支出</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w:t>
      </w:r>
      <w:r>
        <w:rPr>
          <w:rFonts w:hint="eastAsia" w:ascii="方正仿宋_GB2312" w:hAnsi="方正仿宋_GB2312" w:eastAsia="方正仿宋_GB2312" w:cs="方正仿宋_GB2312"/>
          <w:sz w:val="32"/>
          <w:szCs w:val="32"/>
          <w:lang w:val="en-US" w:eastAsia="zh-CN"/>
        </w:rPr>
        <w:t>全年按规定更新购置公务用车0辆，其中：轿车0辆、金额0万元，越野车0辆、金额0万元，载客汽车0辆、金额0万元。2025年12月31日</w:t>
      </w:r>
      <w:r>
        <w:rPr>
          <w:rFonts w:hint="eastAsia" w:ascii="方正仿宋_GB2312" w:hAnsi="方正仿宋_GB2312" w:eastAsia="方正仿宋_GB2312" w:cs="方正仿宋_GB2312"/>
          <w:sz w:val="32"/>
          <w:szCs w:val="32"/>
          <w:highlight w:val="none"/>
          <w:lang w:val="en-US" w:eastAsia="zh-CN"/>
        </w:rPr>
        <w:t>，</w:t>
      </w:r>
      <w:r>
        <w:rPr>
          <w:rFonts w:hint="eastAsia" w:ascii="方正仿宋_GB2312" w:hAnsi="方正仿宋_GB2312" w:eastAsia="方正仿宋_GB2312" w:cs="方正仿宋_GB2312"/>
          <w:b/>
          <w:bCs/>
          <w:sz w:val="32"/>
          <w:szCs w:val="32"/>
          <w:highlight w:val="none"/>
          <w:lang w:val="en-US" w:eastAsia="zh-CN"/>
        </w:rPr>
        <w:t>单位共有公务用车</w:t>
      </w:r>
      <w:r>
        <w:rPr>
          <w:rFonts w:hint="eastAsia" w:ascii="方正仿宋_GB2312" w:hAnsi="方正仿宋_GB2312" w:eastAsia="方正仿宋_GB2312" w:cs="方正仿宋_GB2312"/>
          <w:sz w:val="32"/>
          <w:szCs w:val="32"/>
          <w:highlight w:val="none"/>
          <w:lang w:val="en-US" w:eastAsia="zh-CN"/>
        </w:rPr>
        <w:t>3辆，其中：轿车0辆、越野车0辆、清洁车0辆、载客汽车0辆、其他车型3辆。</w:t>
      </w:r>
    </w:p>
    <w:p>
      <w:pPr>
        <w:spacing w:line="600" w:lineRule="exact"/>
        <w:ind w:firstLine="642" w:firstLineChars="200"/>
        <w:rPr>
          <w:rFonts w:ascii="仿宋_GB2312" w:eastAsia="仿宋_GB2312"/>
          <w:color w:val="auto"/>
          <w:sz w:val="32"/>
          <w:szCs w:val="32"/>
          <w:highlight w:val="none"/>
        </w:rPr>
      </w:pPr>
      <w:r>
        <w:rPr>
          <w:rFonts w:hint="eastAsia" w:ascii="仿宋_GB2312" w:eastAsia="仿宋_GB2312"/>
          <w:b/>
          <w:color w:val="auto"/>
          <w:sz w:val="32"/>
          <w:szCs w:val="32"/>
          <w:highlight w:val="none"/>
        </w:rPr>
        <w:t>公务用车运行维护费支出</w:t>
      </w:r>
      <w:r>
        <w:rPr>
          <w:rFonts w:hint="eastAsia" w:ascii="仿宋_GB2312" w:eastAsia="仿宋_GB2312"/>
          <w:color w:val="auto"/>
          <w:sz w:val="32"/>
          <w:szCs w:val="32"/>
          <w:highlight w:val="none"/>
          <w:lang w:val="en-US" w:eastAsia="zh-CN"/>
        </w:rPr>
        <w:t>5.87</w:t>
      </w:r>
      <w:r>
        <w:rPr>
          <w:rFonts w:hint="eastAsia" w:ascii="仿宋_GB2312" w:eastAsia="仿宋_GB2312"/>
          <w:color w:val="auto"/>
          <w:sz w:val="32"/>
          <w:szCs w:val="32"/>
          <w:highlight w:val="none"/>
        </w:rPr>
        <w:t>万元。</w:t>
      </w:r>
      <w:r>
        <w:rPr>
          <w:rFonts w:hint="eastAsia" w:ascii="方正仿宋_GB2312" w:hAnsi="方正仿宋_GB2312" w:eastAsia="方正仿宋_GB2312" w:cs="方正仿宋_GB2312"/>
          <w:sz w:val="32"/>
          <w:szCs w:val="32"/>
          <w:lang w:val="en-US" w:eastAsia="zh-CN"/>
        </w:rPr>
        <w:t>主要用于日常开展乡村振兴、下村宣讲、开展群众工作、上县所需公务用车的燃料费，日常公务用车维修费及保险费、</w:t>
      </w:r>
      <w:r>
        <w:rPr>
          <w:rFonts w:hint="eastAsia" w:ascii="仿宋_GB2312" w:eastAsia="仿宋_GB2312"/>
          <w:color w:val="auto"/>
          <w:sz w:val="32"/>
          <w:szCs w:val="32"/>
          <w:highlight w:val="none"/>
        </w:rPr>
        <w:t>公务用车燃料费、维修费、过路过桥费、保险费</w:t>
      </w:r>
      <w:r>
        <w:rPr>
          <w:rFonts w:hint="eastAsia" w:ascii="方正仿宋_GB2312" w:hAnsi="方正仿宋_GB2312" w:eastAsia="方正仿宋_GB2312" w:cs="方正仿宋_GB2312"/>
          <w:sz w:val="32"/>
          <w:szCs w:val="32"/>
          <w:lang w:val="en-US" w:eastAsia="zh-CN"/>
        </w:rPr>
        <w:t>等。</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720"/>
        <w:textAlignment w:val="auto"/>
        <w:rPr>
          <w:rFonts w:hint="eastAsia" w:ascii="方正仿宋_GB2312" w:hAnsi="方正仿宋_GB2312" w:eastAsia="方正仿宋_GB2312" w:cs="方正仿宋_GB2312"/>
          <w:sz w:val="32"/>
          <w:szCs w:val="32"/>
          <w:lang w:val="en-US" w:eastAsia="zh-CN"/>
        </w:rPr>
      </w:pPr>
      <w:r>
        <w:rPr>
          <w:rFonts w:ascii="仿宋_GB2312" w:eastAsia="仿宋_GB2312"/>
          <w:b/>
          <w:color w:val="auto"/>
          <w:sz w:val="32"/>
          <w:szCs w:val="32"/>
          <w:highlight w:val="none"/>
        </w:rPr>
        <w:t>3.</w:t>
      </w:r>
      <w:r>
        <w:rPr>
          <w:rFonts w:hint="eastAsia" w:ascii="方正仿宋_GB2312" w:hAnsi="方正仿宋_GB2312" w:eastAsia="方正仿宋_GB2312" w:cs="方正仿宋_GB2312"/>
          <w:b/>
          <w:bCs/>
          <w:sz w:val="32"/>
          <w:szCs w:val="32"/>
          <w:lang w:val="en-US" w:eastAsia="zh-CN"/>
        </w:rPr>
        <w:t>公务接待费支出</w:t>
      </w:r>
      <w:r>
        <w:rPr>
          <w:rFonts w:hint="eastAsia" w:ascii="方正仿宋_GB2312" w:hAnsi="方正仿宋_GB2312" w:eastAsia="方正仿宋_GB2312" w:cs="方正仿宋_GB2312"/>
          <w:sz w:val="32"/>
          <w:szCs w:val="32"/>
          <w:lang w:val="en-US" w:eastAsia="zh-CN"/>
        </w:rPr>
        <w:t>0万元，完成预算0%。公务接待费支出决算比2024年无变化。主要原因是我单位2025年度和2024年均未产生公务接待。</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720"/>
        <w:textAlignment w:val="auto"/>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b/>
          <w:bCs/>
          <w:sz w:val="32"/>
          <w:szCs w:val="32"/>
          <w:lang w:val="en-US" w:eastAsia="zh-CN"/>
        </w:rPr>
        <w:t>国内公务接待支出</w:t>
      </w:r>
      <w:r>
        <w:rPr>
          <w:rFonts w:hint="eastAsia" w:ascii="方正仿宋_GB2312" w:hAnsi="方正仿宋_GB2312" w:eastAsia="方正仿宋_GB2312" w:cs="方正仿宋_GB2312"/>
          <w:sz w:val="32"/>
          <w:szCs w:val="32"/>
          <w:lang w:val="en-US" w:eastAsia="zh-CN"/>
        </w:rPr>
        <w:t>0万元。国内公务接待0批次，0人次（不包括陪同人员），共计支出0万元。</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720"/>
        <w:textAlignment w:val="auto"/>
        <w:rPr>
          <w:rFonts w:ascii="黑体" w:eastAsia="黑体"/>
          <w:color w:val="auto"/>
          <w:sz w:val="32"/>
          <w:szCs w:val="32"/>
          <w:highlight w:val="none"/>
        </w:rPr>
      </w:pPr>
      <w:r>
        <w:rPr>
          <w:rFonts w:hint="eastAsia" w:ascii="方正仿宋_GB2312" w:hAnsi="方正仿宋_GB2312" w:eastAsia="方正仿宋_GB2312" w:cs="方正仿宋_GB2312"/>
          <w:b/>
          <w:bCs/>
          <w:sz w:val="32"/>
          <w:szCs w:val="32"/>
          <w:lang w:val="en-US" w:eastAsia="zh-CN"/>
        </w:rPr>
        <w:t>外事接待支出</w:t>
      </w:r>
      <w:r>
        <w:rPr>
          <w:rFonts w:hint="eastAsia" w:ascii="方正仿宋_GB2312" w:hAnsi="方正仿宋_GB2312" w:eastAsia="方正仿宋_GB2312" w:cs="方正仿宋_GB2312"/>
          <w:sz w:val="32"/>
          <w:szCs w:val="32"/>
          <w:lang w:val="en-US" w:eastAsia="zh-CN"/>
        </w:rPr>
        <w:t>0万元，外事接待0批次，0人，共计支出0万元。</w:t>
      </w:r>
    </w:p>
    <w:p>
      <w:pPr>
        <w:spacing w:line="600" w:lineRule="exact"/>
        <w:ind w:firstLine="640"/>
        <w:outlineLvl w:val="1"/>
        <w:rPr>
          <w:rStyle w:val="22"/>
          <w:rFonts w:ascii="黑体" w:hAnsi="黑体" w:eastAsia="黑体"/>
          <w:color w:val="auto"/>
          <w:highlight w:val="none"/>
        </w:rPr>
      </w:pPr>
      <w:r>
        <w:rPr>
          <w:rFonts w:hint="eastAsia" w:ascii="黑体" w:eastAsia="黑体"/>
          <w:color w:val="auto"/>
          <w:sz w:val="32"/>
          <w:szCs w:val="32"/>
          <w:highlight w:val="none"/>
        </w:rPr>
        <w:t>八、</w:t>
      </w:r>
      <w:r>
        <w:rPr>
          <w:rStyle w:val="22"/>
          <w:rFonts w:hint="eastAsia" w:ascii="黑体" w:hAnsi="黑体" w:eastAsia="黑体"/>
          <w:b w:val="0"/>
          <w:color w:val="auto"/>
          <w:highlight w:val="none"/>
        </w:rPr>
        <w:t>政府性基金预算支出决算情况说明</w:t>
      </w:r>
    </w:p>
    <w:p>
      <w:pPr>
        <w:spacing w:line="600" w:lineRule="exact"/>
        <w:ind w:firstLine="960" w:firstLineChars="300"/>
        <w:rPr>
          <w:rFonts w:hint="eastAsia" w:ascii="仿宋_GB2312" w:eastAsia="仿宋_GB2312"/>
          <w:color w:val="auto"/>
          <w:sz w:val="32"/>
          <w:szCs w:val="32"/>
          <w:highlight w:val="none"/>
        </w:rPr>
      </w:pPr>
      <w:r>
        <w:rPr>
          <w:rFonts w:hint="eastAsia" w:ascii="仿宋_GB2312" w:eastAsia="仿宋_GB2312"/>
          <w:color w:val="auto"/>
          <w:sz w:val="32"/>
          <w:szCs w:val="32"/>
          <w:highlight w:val="none"/>
          <w:lang w:eastAsia="zh-CN"/>
        </w:rPr>
        <w:t>202</w:t>
      </w:r>
      <w:r>
        <w:rPr>
          <w:rFonts w:hint="eastAsia" w:ascii="仿宋_GB2312" w:eastAsia="仿宋_GB2312"/>
          <w:color w:val="auto"/>
          <w:sz w:val="32"/>
          <w:szCs w:val="32"/>
          <w:highlight w:val="none"/>
          <w:lang w:val="en-US" w:eastAsia="zh-CN"/>
        </w:rPr>
        <w:t>5</w:t>
      </w:r>
      <w:r>
        <w:rPr>
          <w:rFonts w:hint="eastAsia" w:ascii="仿宋_GB2312" w:eastAsia="仿宋_GB2312"/>
          <w:color w:val="auto"/>
          <w:sz w:val="32"/>
          <w:szCs w:val="32"/>
          <w:highlight w:val="none"/>
        </w:rPr>
        <w:t>年</w:t>
      </w:r>
      <w:r>
        <w:rPr>
          <w:rFonts w:hint="eastAsia" w:ascii="仿宋_GB2312" w:eastAsia="仿宋_GB2312"/>
          <w:color w:val="auto"/>
          <w:sz w:val="32"/>
          <w:szCs w:val="32"/>
          <w:highlight w:val="none"/>
          <w:lang w:eastAsia="zh-CN"/>
        </w:rPr>
        <w:t>度</w:t>
      </w:r>
      <w:r>
        <w:rPr>
          <w:rFonts w:hint="eastAsia" w:ascii="仿宋_GB2312" w:eastAsia="仿宋_GB2312"/>
          <w:color w:val="auto"/>
          <w:sz w:val="32"/>
          <w:szCs w:val="32"/>
          <w:highlight w:val="none"/>
        </w:rPr>
        <w:t>政府性基金预算</w:t>
      </w:r>
      <w:r>
        <w:rPr>
          <w:rFonts w:hint="eastAsia" w:ascii="仿宋_GB2312" w:eastAsia="仿宋_GB2312"/>
          <w:color w:val="auto"/>
          <w:sz w:val="32"/>
          <w:szCs w:val="32"/>
          <w:highlight w:val="none"/>
          <w:lang w:eastAsia="zh-CN"/>
        </w:rPr>
        <w:t>财政</w:t>
      </w:r>
      <w:r>
        <w:rPr>
          <w:rFonts w:hint="eastAsia" w:ascii="仿宋_GB2312" w:eastAsia="仿宋_GB2312"/>
          <w:color w:val="auto"/>
          <w:sz w:val="32"/>
          <w:szCs w:val="32"/>
          <w:highlight w:val="none"/>
        </w:rPr>
        <w:t>拨款支出</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w:t>
      </w:r>
    </w:p>
    <w:tbl>
      <w:tblPr>
        <w:tblStyle w:val="17"/>
        <w:tblW w:w="7830" w:type="dxa"/>
        <w:tblInd w:w="0" w:type="dxa"/>
        <w:tblLayout w:type="autofit"/>
        <w:tblCellMar>
          <w:top w:w="0" w:type="dxa"/>
          <w:left w:w="0" w:type="dxa"/>
          <w:bottom w:w="0" w:type="dxa"/>
          <w:right w:w="0" w:type="dxa"/>
        </w:tblCellMar>
      </w:tblPr>
      <w:tblGrid>
        <w:gridCol w:w="738"/>
        <w:gridCol w:w="738"/>
        <w:gridCol w:w="739"/>
        <w:gridCol w:w="739"/>
        <w:gridCol w:w="739"/>
        <w:gridCol w:w="1087"/>
        <w:gridCol w:w="739"/>
        <w:gridCol w:w="739"/>
        <w:gridCol w:w="739"/>
        <w:gridCol w:w="1339"/>
      </w:tblGrid>
      <w:tr>
        <w:tblPrEx>
          <w:tblCellMar>
            <w:top w:w="0" w:type="dxa"/>
            <w:left w:w="0" w:type="dxa"/>
            <w:bottom w:w="0" w:type="dxa"/>
            <w:right w:w="0" w:type="dxa"/>
          </w:tblCellMar>
        </w:tblPrEx>
        <w:trPr>
          <w:trHeight w:val="489" w:hRule="atLeast"/>
        </w:trPr>
        <w:tc>
          <w:tcPr>
            <w:tcW w:w="7830" w:type="dxa"/>
            <w:gridSpan w:val="10"/>
            <w:tcBorders>
              <w:top w:val="nil"/>
              <w:left w:val="nil"/>
              <w:bottom w:val="nil"/>
              <w:right w:val="nil"/>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32"/>
                <w:szCs w:val="32"/>
                <w:u w:val="none"/>
              </w:rPr>
            </w:pPr>
            <w:r>
              <w:rPr>
                <w:rFonts w:hint="eastAsia" w:ascii="宋体" w:hAnsi="宋体" w:eastAsia="宋体" w:cs="宋体"/>
                <w:i w:val="0"/>
                <w:color w:val="000000"/>
                <w:kern w:val="0"/>
                <w:sz w:val="32"/>
                <w:szCs w:val="32"/>
                <w:u w:val="none"/>
                <w:lang w:val="en-US" w:eastAsia="zh-CN" w:bidi="ar"/>
              </w:rPr>
              <w:t>政府性基金预算财政拨款收入支出决算表</w:t>
            </w:r>
          </w:p>
        </w:tc>
      </w:tr>
      <w:tr>
        <w:tblPrEx>
          <w:tblCellMar>
            <w:top w:w="0" w:type="dxa"/>
            <w:left w:w="0" w:type="dxa"/>
            <w:bottom w:w="0" w:type="dxa"/>
            <w:right w:w="0" w:type="dxa"/>
          </w:tblCellMar>
        </w:tblPrEx>
        <w:trPr>
          <w:trHeight w:val="288" w:hRule="atLeast"/>
        </w:trPr>
        <w:tc>
          <w:tcPr>
            <w:tcW w:w="0" w:type="auto"/>
            <w:tcBorders>
              <w:top w:val="nil"/>
              <w:left w:val="nil"/>
              <w:bottom w:val="nil"/>
              <w:right w:val="nil"/>
            </w:tcBorders>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0" w:type="auto"/>
            <w:tcBorders>
              <w:top w:val="nil"/>
              <w:left w:val="nil"/>
              <w:bottom w:val="nil"/>
              <w:right w:val="nil"/>
            </w:tcBorders>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0" w:type="auto"/>
            <w:tcBorders>
              <w:top w:val="nil"/>
              <w:left w:val="nil"/>
              <w:bottom w:val="nil"/>
              <w:right w:val="nil"/>
            </w:tcBorders>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0" w:type="auto"/>
            <w:tcBorders>
              <w:top w:val="nil"/>
              <w:left w:val="nil"/>
              <w:bottom w:val="nil"/>
              <w:right w:val="nil"/>
            </w:tcBorders>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0" w:type="auto"/>
            <w:tcBorders>
              <w:top w:val="nil"/>
              <w:left w:val="nil"/>
              <w:bottom w:val="nil"/>
              <w:right w:val="nil"/>
            </w:tcBorders>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0" w:type="auto"/>
            <w:tcBorders>
              <w:top w:val="nil"/>
              <w:left w:val="nil"/>
              <w:bottom w:val="nil"/>
              <w:right w:val="nil"/>
            </w:tcBorders>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0" w:type="auto"/>
            <w:tcBorders>
              <w:top w:val="nil"/>
              <w:left w:val="nil"/>
              <w:bottom w:val="nil"/>
              <w:right w:val="nil"/>
            </w:tcBorders>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0" w:type="auto"/>
            <w:tcBorders>
              <w:top w:val="nil"/>
              <w:left w:val="nil"/>
              <w:bottom w:val="nil"/>
              <w:right w:val="nil"/>
            </w:tcBorders>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0" w:type="auto"/>
            <w:tcBorders>
              <w:top w:val="nil"/>
              <w:left w:val="nil"/>
              <w:bottom w:val="nil"/>
              <w:right w:val="nil"/>
            </w:tcBorders>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0" w:type="auto"/>
            <w:tcBorders>
              <w:top w:val="nil"/>
              <w:left w:val="nil"/>
              <w:bottom w:val="nil"/>
              <w:right w:val="nil"/>
            </w:tcBorders>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财决公开10表</w:t>
            </w:r>
          </w:p>
        </w:tc>
      </w:tr>
      <w:tr>
        <w:tblPrEx>
          <w:tblCellMar>
            <w:top w:w="0" w:type="dxa"/>
            <w:left w:w="0" w:type="dxa"/>
            <w:bottom w:w="0" w:type="dxa"/>
            <w:right w:w="0" w:type="dxa"/>
          </w:tblCellMar>
        </w:tblPrEx>
        <w:trPr>
          <w:trHeight w:val="288" w:hRule="atLeast"/>
        </w:trPr>
        <w:tc>
          <w:tcPr>
            <w:tcW w:w="0" w:type="auto"/>
            <w:gridSpan w:val="4"/>
            <w:tcBorders>
              <w:top w:val="nil"/>
              <w:left w:val="nil"/>
              <w:bottom w:val="nil"/>
              <w:right w:val="nil"/>
            </w:tcBorders>
            <w:noWrap/>
            <w:tcMar>
              <w:top w:w="15" w:type="dxa"/>
              <w:left w:w="15" w:type="dxa"/>
              <w:right w:w="15" w:type="dxa"/>
            </w:tcMar>
            <w:vAlign w:val="bottom"/>
          </w:tcPr>
          <w:p>
            <w:pPr>
              <w:keepNext w:val="0"/>
              <w:keepLines w:val="0"/>
              <w:widowControl/>
              <w:suppressLineNumbers w:val="0"/>
              <w:jc w:val="left"/>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阿坝州壤塘县尕多乡人民政府</w:t>
            </w:r>
          </w:p>
        </w:tc>
        <w:tc>
          <w:tcPr>
            <w:tcW w:w="0" w:type="auto"/>
            <w:tcBorders>
              <w:top w:val="nil"/>
              <w:left w:val="nil"/>
              <w:bottom w:val="nil"/>
              <w:right w:val="nil"/>
            </w:tcBorders>
            <w:noWrap/>
            <w:tcMar>
              <w:top w:w="15" w:type="dxa"/>
              <w:left w:w="15" w:type="dxa"/>
              <w:right w:w="15" w:type="dxa"/>
            </w:tcMar>
            <w:vAlign w:val="bottom"/>
          </w:tcPr>
          <w:p>
            <w:pPr>
              <w:rPr>
                <w:rFonts w:hint="eastAsia" w:ascii="宋体" w:hAnsi="宋体" w:eastAsia="宋体" w:cs="宋体"/>
                <w:i w:val="0"/>
                <w:color w:val="000000"/>
                <w:sz w:val="20"/>
                <w:szCs w:val="20"/>
                <w:u w:val="none"/>
              </w:rPr>
            </w:pPr>
          </w:p>
        </w:tc>
        <w:tc>
          <w:tcPr>
            <w:tcW w:w="0" w:type="auto"/>
            <w:tcBorders>
              <w:top w:val="nil"/>
              <w:left w:val="nil"/>
              <w:bottom w:val="nil"/>
              <w:right w:val="nil"/>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202</w:t>
            </w:r>
            <w:r>
              <w:rPr>
                <w:rFonts w:hint="eastAsia" w:ascii="宋体" w:hAnsi="宋体" w:cs="宋体"/>
                <w:i w:val="0"/>
                <w:color w:val="000000"/>
                <w:kern w:val="0"/>
                <w:sz w:val="20"/>
                <w:szCs w:val="20"/>
                <w:u w:val="none"/>
                <w:lang w:val="en-US" w:eastAsia="zh-CN" w:bidi="ar"/>
              </w:rPr>
              <w:t>5</w:t>
            </w:r>
            <w:r>
              <w:rPr>
                <w:rFonts w:hint="eastAsia" w:ascii="宋体" w:hAnsi="宋体" w:eastAsia="宋体" w:cs="宋体"/>
                <w:i w:val="0"/>
                <w:color w:val="000000"/>
                <w:kern w:val="0"/>
                <w:sz w:val="20"/>
                <w:szCs w:val="20"/>
                <w:u w:val="none"/>
                <w:lang w:val="en-US" w:eastAsia="zh-CN" w:bidi="ar"/>
              </w:rPr>
              <w:t>年度</w:t>
            </w:r>
          </w:p>
        </w:tc>
        <w:tc>
          <w:tcPr>
            <w:tcW w:w="0" w:type="auto"/>
            <w:tcBorders>
              <w:top w:val="nil"/>
              <w:left w:val="nil"/>
              <w:bottom w:val="nil"/>
              <w:right w:val="nil"/>
            </w:tcBorders>
            <w:noWrap/>
            <w:tcMar>
              <w:top w:w="15" w:type="dxa"/>
              <w:left w:w="15" w:type="dxa"/>
              <w:right w:w="15" w:type="dxa"/>
            </w:tcMar>
            <w:vAlign w:val="bottom"/>
          </w:tcPr>
          <w:p>
            <w:pPr>
              <w:rPr>
                <w:rFonts w:hint="eastAsia" w:ascii="宋体" w:hAnsi="宋体" w:eastAsia="宋体" w:cs="宋体"/>
                <w:i w:val="0"/>
                <w:color w:val="000000"/>
                <w:sz w:val="20"/>
                <w:szCs w:val="20"/>
                <w:u w:val="none"/>
              </w:rPr>
            </w:pPr>
          </w:p>
        </w:tc>
        <w:tc>
          <w:tcPr>
            <w:tcW w:w="0" w:type="auto"/>
            <w:tcBorders>
              <w:top w:val="nil"/>
              <w:left w:val="nil"/>
              <w:bottom w:val="nil"/>
              <w:right w:val="nil"/>
            </w:tcBorders>
            <w:noWrap/>
            <w:tcMar>
              <w:top w:w="15" w:type="dxa"/>
              <w:left w:w="15" w:type="dxa"/>
              <w:right w:w="15" w:type="dxa"/>
            </w:tcMar>
            <w:vAlign w:val="bottom"/>
          </w:tcPr>
          <w:p>
            <w:pPr>
              <w:rPr>
                <w:rFonts w:hint="eastAsia" w:ascii="宋体" w:hAnsi="宋体" w:eastAsia="宋体" w:cs="宋体"/>
                <w:i w:val="0"/>
                <w:color w:val="000000"/>
                <w:sz w:val="20"/>
                <w:szCs w:val="20"/>
                <w:u w:val="none"/>
              </w:rPr>
            </w:pPr>
          </w:p>
        </w:tc>
        <w:tc>
          <w:tcPr>
            <w:tcW w:w="0" w:type="auto"/>
            <w:tcBorders>
              <w:top w:val="nil"/>
              <w:left w:val="nil"/>
              <w:bottom w:val="nil"/>
              <w:right w:val="nil"/>
            </w:tcBorders>
            <w:noWrap/>
            <w:tcMar>
              <w:top w:w="15" w:type="dxa"/>
              <w:left w:w="15" w:type="dxa"/>
              <w:right w:w="15" w:type="dxa"/>
            </w:tcMar>
            <w:vAlign w:val="bottom"/>
          </w:tcPr>
          <w:p>
            <w:pPr>
              <w:rPr>
                <w:rFonts w:hint="eastAsia" w:ascii="宋体" w:hAnsi="宋体" w:eastAsia="宋体" w:cs="宋体"/>
                <w:i w:val="0"/>
                <w:color w:val="000000"/>
                <w:sz w:val="20"/>
                <w:szCs w:val="20"/>
                <w:u w:val="none"/>
              </w:rPr>
            </w:pPr>
          </w:p>
        </w:tc>
        <w:tc>
          <w:tcPr>
            <w:tcW w:w="0" w:type="auto"/>
            <w:tcBorders>
              <w:top w:val="nil"/>
              <w:left w:val="nil"/>
              <w:bottom w:val="nil"/>
              <w:right w:val="nil"/>
            </w:tcBorders>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tblPrEx>
          <w:tblCellMar>
            <w:top w:w="0" w:type="dxa"/>
            <w:left w:w="0" w:type="dxa"/>
            <w:bottom w:w="0" w:type="dxa"/>
            <w:right w:w="0" w:type="dxa"/>
          </w:tblCellMar>
        </w:tblPrEx>
        <w:trPr>
          <w:trHeight w:val="324" w:hRule="atLeast"/>
        </w:trPr>
        <w:tc>
          <w:tcPr>
            <w:tcW w:w="2349" w:type="dxa"/>
            <w:gridSpan w:val="3"/>
            <w:vMerge w:val="restart"/>
            <w:tcBorders>
              <w:top w:val="single" w:color="000000" w:sz="4" w:space="0"/>
              <w:left w:val="single" w:color="000000" w:sz="4" w:space="0"/>
              <w:bottom w:val="single" w:color="000000" w:sz="4" w:space="0"/>
              <w:right w:val="single" w:color="000000" w:sz="4" w:space="0"/>
            </w:tcBorders>
            <w:shd w:val="clear" w:color="FFFFFF" w:fill="C0C0C0"/>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科目编码</w:t>
            </w:r>
          </w:p>
        </w:tc>
        <w:tc>
          <w:tcPr>
            <w:tcW w:w="783" w:type="dxa"/>
            <w:vMerge w:val="restart"/>
            <w:tcBorders>
              <w:top w:val="single" w:color="000000" w:sz="4" w:space="0"/>
              <w:left w:val="nil"/>
              <w:bottom w:val="single" w:color="000000" w:sz="4" w:space="0"/>
              <w:right w:val="single" w:color="000000" w:sz="4" w:space="0"/>
            </w:tcBorders>
            <w:shd w:val="clear" w:color="FFFFFF" w:fill="C0C0C0"/>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科目名称</w:t>
            </w:r>
          </w:p>
        </w:tc>
        <w:tc>
          <w:tcPr>
            <w:tcW w:w="783" w:type="dxa"/>
            <w:vMerge w:val="restart"/>
            <w:tcBorders>
              <w:top w:val="single" w:color="000000" w:sz="4" w:space="0"/>
              <w:left w:val="nil"/>
              <w:bottom w:val="single" w:color="000000" w:sz="4" w:space="0"/>
              <w:right w:val="single" w:color="000000" w:sz="4" w:space="0"/>
            </w:tcBorders>
            <w:shd w:val="clear" w:color="FFFFFF" w:fill="C0C0C0"/>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年初结转和结余</w:t>
            </w:r>
          </w:p>
        </w:tc>
        <w:tc>
          <w:tcPr>
            <w:tcW w:w="783" w:type="dxa"/>
            <w:vMerge w:val="restart"/>
            <w:tcBorders>
              <w:top w:val="single" w:color="000000" w:sz="4" w:space="0"/>
              <w:left w:val="nil"/>
              <w:bottom w:val="single" w:color="000000" w:sz="4" w:space="0"/>
              <w:right w:val="single" w:color="000000" w:sz="4" w:space="0"/>
            </w:tcBorders>
            <w:shd w:val="clear" w:color="FFFFFF" w:fill="C0C0C0"/>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本年收入</w:t>
            </w:r>
          </w:p>
        </w:tc>
        <w:tc>
          <w:tcPr>
            <w:tcW w:w="2349" w:type="dxa"/>
            <w:gridSpan w:val="3"/>
            <w:tcBorders>
              <w:top w:val="single" w:color="000000" w:sz="4" w:space="0"/>
              <w:left w:val="nil"/>
              <w:bottom w:val="single" w:color="000000" w:sz="4" w:space="0"/>
              <w:right w:val="single" w:color="000000" w:sz="4" w:space="0"/>
            </w:tcBorders>
            <w:shd w:val="clear" w:color="FFFFFF" w:fill="C0C0C0"/>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本年支出</w:t>
            </w:r>
          </w:p>
        </w:tc>
        <w:tc>
          <w:tcPr>
            <w:tcW w:w="783" w:type="dxa"/>
            <w:vMerge w:val="restart"/>
            <w:tcBorders>
              <w:top w:val="single" w:color="000000" w:sz="4" w:space="0"/>
              <w:left w:val="nil"/>
              <w:bottom w:val="single" w:color="000000" w:sz="4" w:space="0"/>
              <w:right w:val="single" w:color="000000" w:sz="4" w:space="0"/>
            </w:tcBorders>
            <w:shd w:val="clear" w:color="FFFFFF" w:fill="C0C0C0"/>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年末结转和结余</w:t>
            </w:r>
          </w:p>
        </w:tc>
      </w:tr>
      <w:tr>
        <w:tblPrEx>
          <w:tblCellMar>
            <w:top w:w="0" w:type="dxa"/>
            <w:left w:w="0" w:type="dxa"/>
            <w:bottom w:w="0" w:type="dxa"/>
            <w:right w:w="0" w:type="dxa"/>
          </w:tblCellMar>
        </w:tblPrEx>
        <w:trPr>
          <w:trHeight w:val="324" w:hRule="atLeast"/>
        </w:trPr>
        <w:tc>
          <w:tcPr>
            <w:tcW w:w="2349" w:type="dxa"/>
            <w:gridSpan w:val="3"/>
            <w:vMerge w:val="continue"/>
            <w:tcBorders>
              <w:top w:val="single" w:color="000000" w:sz="4" w:space="0"/>
              <w:left w:val="single" w:color="000000" w:sz="4" w:space="0"/>
              <w:bottom w:val="single" w:color="000000" w:sz="4" w:space="0"/>
              <w:right w:val="single" w:color="000000" w:sz="4" w:space="0"/>
            </w:tcBorders>
            <w:shd w:val="clear" w:color="FFFFFF" w:fill="C0C0C0"/>
            <w:noWrap w:val="0"/>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783" w:type="dxa"/>
            <w:vMerge w:val="continue"/>
            <w:tcBorders>
              <w:top w:val="single" w:color="000000" w:sz="4" w:space="0"/>
              <w:left w:val="nil"/>
              <w:bottom w:val="single" w:color="000000" w:sz="4" w:space="0"/>
              <w:right w:val="single" w:color="000000" w:sz="4" w:space="0"/>
            </w:tcBorders>
            <w:shd w:val="clear" w:color="FFFFFF" w:fill="C0C0C0"/>
            <w:noWrap w:val="0"/>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783" w:type="dxa"/>
            <w:vMerge w:val="continue"/>
            <w:tcBorders>
              <w:top w:val="single" w:color="000000" w:sz="4" w:space="0"/>
              <w:left w:val="nil"/>
              <w:bottom w:val="single" w:color="000000" w:sz="4" w:space="0"/>
              <w:right w:val="single" w:color="000000" w:sz="4" w:space="0"/>
            </w:tcBorders>
            <w:shd w:val="clear" w:color="FFFFFF" w:fill="C0C0C0"/>
            <w:noWrap w:val="0"/>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783" w:type="dxa"/>
            <w:vMerge w:val="continue"/>
            <w:tcBorders>
              <w:top w:val="single" w:color="000000" w:sz="4" w:space="0"/>
              <w:left w:val="nil"/>
              <w:bottom w:val="single" w:color="000000" w:sz="4" w:space="0"/>
              <w:right w:val="single" w:color="000000" w:sz="4" w:space="0"/>
            </w:tcBorders>
            <w:shd w:val="clear" w:color="FFFFFF" w:fill="C0C0C0"/>
            <w:noWrap w:val="0"/>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783" w:type="dxa"/>
            <w:vMerge w:val="restart"/>
            <w:tcBorders>
              <w:top w:val="nil"/>
              <w:left w:val="nil"/>
              <w:bottom w:val="single" w:color="000000" w:sz="4" w:space="0"/>
              <w:right w:val="single" w:color="000000" w:sz="4" w:space="0"/>
            </w:tcBorders>
            <w:shd w:val="clear" w:color="FFFFFF" w:fill="C0C0C0"/>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合计</w:t>
            </w:r>
          </w:p>
        </w:tc>
        <w:tc>
          <w:tcPr>
            <w:tcW w:w="783" w:type="dxa"/>
            <w:vMerge w:val="restart"/>
            <w:tcBorders>
              <w:top w:val="nil"/>
              <w:left w:val="nil"/>
              <w:bottom w:val="single" w:color="000000" w:sz="4" w:space="0"/>
              <w:right w:val="single" w:color="000000" w:sz="4" w:space="0"/>
            </w:tcBorders>
            <w:shd w:val="clear" w:color="FFFFFF" w:fill="C0C0C0"/>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基本支出</w:t>
            </w:r>
          </w:p>
        </w:tc>
        <w:tc>
          <w:tcPr>
            <w:tcW w:w="783" w:type="dxa"/>
            <w:vMerge w:val="restart"/>
            <w:tcBorders>
              <w:top w:val="nil"/>
              <w:left w:val="nil"/>
              <w:bottom w:val="single" w:color="000000" w:sz="4" w:space="0"/>
              <w:right w:val="single" w:color="000000" w:sz="4" w:space="0"/>
            </w:tcBorders>
            <w:shd w:val="clear" w:color="FFFFFF" w:fill="C0C0C0"/>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项目支出</w:t>
            </w:r>
          </w:p>
        </w:tc>
        <w:tc>
          <w:tcPr>
            <w:tcW w:w="783" w:type="dxa"/>
            <w:vMerge w:val="continue"/>
            <w:tcBorders>
              <w:top w:val="single" w:color="000000" w:sz="4" w:space="0"/>
              <w:left w:val="nil"/>
              <w:bottom w:val="single" w:color="000000" w:sz="4" w:space="0"/>
              <w:right w:val="single" w:color="000000" w:sz="4" w:space="0"/>
            </w:tcBorders>
            <w:shd w:val="clear" w:color="FFFFFF" w:fill="C0C0C0"/>
            <w:noWrap w:val="0"/>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365" w:hRule="atLeast"/>
        </w:trPr>
        <w:tc>
          <w:tcPr>
            <w:tcW w:w="2349" w:type="dxa"/>
            <w:gridSpan w:val="3"/>
            <w:vMerge w:val="continue"/>
            <w:tcBorders>
              <w:top w:val="single" w:color="000000" w:sz="4" w:space="0"/>
              <w:left w:val="single" w:color="000000" w:sz="4" w:space="0"/>
              <w:bottom w:val="single" w:color="000000" w:sz="4" w:space="0"/>
              <w:right w:val="single" w:color="000000" w:sz="4" w:space="0"/>
            </w:tcBorders>
            <w:shd w:val="clear" w:color="FFFFFF" w:fill="C0C0C0"/>
            <w:noWrap w:val="0"/>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783" w:type="dxa"/>
            <w:vMerge w:val="continue"/>
            <w:tcBorders>
              <w:top w:val="single" w:color="000000" w:sz="4" w:space="0"/>
              <w:left w:val="nil"/>
              <w:bottom w:val="single" w:color="000000" w:sz="4" w:space="0"/>
              <w:right w:val="single" w:color="000000" w:sz="4" w:space="0"/>
            </w:tcBorders>
            <w:shd w:val="clear" w:color="FFFFFF" w:fill="C0C0C0"/>
            <w:noWrap w:val="0"/>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783" w:type="dxa"/>
            <w:vMerge w:val="continue"/>
            <w:tcBorders>
              <w:top w:val="single" w:color="000000" w:sz="4" w:space="0"/>
              <w:left w:val="nil"/>
              <w:bottom w:val="single" w:color="000000" w:sz="4" w:space="0"/>
              <w:right w:val="single" w:color="000000" w:sz="4" w:space="0"/>
            </w:tcBorders>
            <w:shd w:val="clear" w:color="FFFFFF" w:fill="C0C0C0"/>
            <w:noWrap w:val="0"/>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783" w:type="dxa"/>
            <w:vMerge w:val="continue"/>
            <w:tcBorders>
              <w:top w:val="single" w:color="000000" w:sz="4" w:space="0"/>
              <w:left w:val="nil"/>
              <w:bottom w:val="single" w:color="000000" w:sz="4" w:space="0"/>
              <w:right w:val="single" w:color="000000" w:sz="4" w:space="0"/>
            </w:tcBorders>
            <w:shd w:val="clear" w:color="FFFFFF" w:fill="C0C0C0"/>
            <w:noWrap w:val="0"/>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783" w:type="dxa"/>
            <w:vMerge w:val="continue"/>
            <w:tcBorders>
              <w:top w:val="nil"/>
              <w:left w:val="nil"/>
              <w:bottom w:val="single" w:color="000000" w:sz="4" w:space="0"/>
              <w:right w:val="single" w:color="000000" w:sz="4" w:space="0"/>
            </w:tcBorders>
            <w:shd w:val="clear" w:color="FFFFFF" w:fill="C0C0C0"/>
            <w:noWrap w:val="0"/>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783" w:type="dxa"/>
            <w:vMerge w:val="continue"/>
            <w:tcBorders>
              <w:top w:val="nil"/>
              <w:left w:val="nil"/>
              <w:bottom w:val="single" w:color="000000" w:sz="4" w:space="0"/>
              <w:right w:val="single" w:color="000000" w:sz="4" w:space="0"/>
            </w:tcBorders>
            <w:shd w:val="clear" w:color="FFFFFF" w:fill="C0C0C0"/>
            <w:noWrap w:val="0"/>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783" w:type="dxa"/>
            <w:vMerge w:val="continue"/>
            <w:tcBorders>
              <w:top w:val="nil"/>
              <w:left w:val="nil"/>
              <w:bottom w:val="single" w:color="000000" w:sz="4" w:space="0"/>
              <w:right w:val="single" w:color="000000" w:sz="4" w:space="0"/>
            </w:tcBorders>
            <w:shd w:val="clear" w:color="FFFFFF" w:fill="C0C0C0"/>
            <w:noWrap w:val="0"/>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783" w:type="dxa"/>
            <w:vMerge w:val="continue"/>
            <w:tcBorders>
              <w:top w:val="single" w:color="000000" w:sz="4" w:space="0"/>
              <w:left w:val="nil"/>
              <w:bottom w:val="single" w:color="000000" w:sz="4" w:space="0"/>
              <w:right w:val="single" w:color="000000" w:sz="4" w:space="0"/>
            </w:tcBorders>
            <w:shd w:val="clear" w:color="FFFFFF" w:fill="C0C0C0"/>
            <w:noWrap w:val="0"/>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324" w:hRule="atLeast"/>
        </w:trPr>
        <w:tc>
          <w:tcPr>
            <w:tcW w:w="783" w:type="dxa"/>
            <w:tcBorders>
              <w:top w:val="nil"/>
              <w:left w:val="single" w:color="000000" w:sz="4" w:space="0"/>
              <w:bottom w:val="single" w:color="000000" w:sz="4" w:space="0"/>
              <w:right w:val="single" w:color="000000" w:sz="4" w:space="0"/>
            </w:tcBorders>
            <w:shd w:val="clear" w:color="FFFFFF" w:fill="C0C0C0"/>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类</w:t>
            </w:r>
          </w:p>
        </w:tc>
        <w:tc>
          <w:tcPr>
            <w:tcW w:w="783" w:type="dxa"/>
            <w:tcBorders>
              <w:top w:val="nil"/>
              <w:left w:val="nil"/>
              <w:bottom w:val="single" w:color="000000" w:sz="4" w:space="0"/>
              <w:right w:val="single" w:color="000000" w:sz="4" w:space="0"/>
            </w:tcBorders>
            <w:shd w:val="clear" w:color="FFFFFF" w:fill="C0C0C0"/>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款</w:t>
            </w:r>
          </w:p>
        </w:tc>
        <w:tc>
          <w:tcPr>
            <w:tcW w:w="783" w:type="dxa"/>
            <w:tcBorders>
              <w:top w:val="nil"/>
              <w:left w:val="nil"/>
              <w:bottom w:val="single" w:color="000000" w:sz="4" w:space="0"/>
              <w:right w:val="single" w:color="000000" w:sz="4" w:space="0"/>
            </w:tcBorders>
            <w:shd w:val="clear" w:color="FFFFFF" w:fill="C0C0C0"/>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项</w:t>
            </w:r>
          </w:p>
        </w:tc>
        <w:tc>
          <w:tcPr>
            <w:tcW w:w="783" w:type="dxa"/>
            <w:tcBorders>
              <w:top w:val="nil"/>
              <w:left w:val="nil"/>
              <w:bottom w:val="single" w:color="000000" w:sz="4" w:space="0"/>
              <w:right w:val="single" w:color="000000" w:sz="4" w:space="0"/>
            </w:tcBorders>
            <w:shd w:val="clear" w:color="FFFFFF" w:fill="C0C0C0"/>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合计</w:t>
            </w:r>
          </w:p>
        </w:tc>
        <w:tc>
          <w:tcPr>
            <w:tcW w:w="0" w:type="auto"/>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宋体" w:hAnsi="宋体" w:eastAsia="宋体" w:cs="宋体"/>
                <w:i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宋体" w:hAnsi="宋体" w:eastAsia="宋体" w:cs="宋体"/>
                <w:i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宋体" w:hAnsi="宋体" w:eastAsia="宋体" w:cs="宋体"/>
                <w:i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宋体" w:hAnsi="宋体" w:eastAsia="宋体" w:cs="宋体"/>
                <w:i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宋体" w:hAnsi="宋体" w:eastAsia="宋体" w:cs="宋体"/>
                <w:i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宋体" w:hAnsi="宋体" w:eastAsia="宋体" w:cs="宋体"/>
                <w:i w:val="0"/>
                <w:color w:val="000000"/>
                <w:sz w:val="18"/>
                <w:szCs w:val="18"/>
                <w:u w:val="none"/>
              </w:rPr>
            </w:pPr>
          </w:p>
        </w:tc>
      </w:tr>
      <w:tr>
        <w:tblPrEx>
          <w:tblCellMar>
            <w:top w:w="0" w:type="dxa"/>
            <w:left w:w="0" w:type="dxa"/>
            <w:bottom w:w="0" w:type="dxa"/>
            <w:right w:w="0" w:type="dxa"/>
          </w:tblCellMar>
        </w:tblPrEx>
        <w:trPr>
          <w:trHeight w:val="288" w:hRule="atLeast"/>
        </w:trPr>
        <w:tc>
          <w:tcPr>
            <w:tcW w:w="0" w:type="auto"/>
            <w:gridSpan w:val="10"/>
            <w:tcBorders>
              <w:top w:val="nil"/>
              <w:left w:val="nil"/>
              <w:bottom w:val="nil"/>
              <w:right w:val="nil"/>
            </w:tcBorders>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注：本表以“万元”为金额单位（保留两位小数），反映部门/单位本年度</w:t>
            </w:r>
            <w:r>
              <w:rPr>
                <w:rFonts w:hint="eastAsia" w:ascii="宋体" w:hAnsi="宋体" w:cs="宋体"/>
                <w:i w:val="0"/>
                <w:color w:val="000000"/>
                <w:kern w:val="0"/>
                <w:sz w:val="22"/>
                <w:szCs w:val="22"/>
                <w:u w:val="none"/>
                <w:lang w:val="en-US" w:eastAsia="zh-CN" w:bidi="ar"/>
              </w:rPr>
              <w:t>政府性基金预算</w:t>
            </w:r>
            <w:r>
              <w:rPr>
                <w:rFonts w:hint="eastAsia" w:ascii="宋体" w:hAnsi="宋体" w:eastAsia="宋体" w:cs="宋体"/>
                <w:i w:val="0"/>
                <w:color w:val="000000"/>
                <w:kern w:val="0"/>
                <w:sz w:val="22"/>
                <w:szCs w:val="22"/>
                <w:u w:val="none"/>
                <w:lang w:val="en-US" w:eastAsia="zh-CN" w:bidi="ar"/>
              </w:rPr>
              <w:t>财政拨款收入、支出及结转和结余情况。</w:t>
            </w:r>
          </w:p>
        </w:tc>
      </w:tr>
      <w:tr>
        <w:tblPrEx>
          <w:tblCellMar>
            <w:top w:w="0" w:type="dxa"/>
            <w:left w:w="0" w:type="dxa"/>
            <w:bottom w:w="0" w:type="dxa"/>
            <w:right w:w="0" w:type="dxa"/>
          </w:tblCellMar>
        </w:tblPrEx>
        <w:trPr>
          <w:trHeight w:val="288" w:hRule="atLeast"/>
        </w:trPr>
        <w:tc>
          <w:tcPr>
            <w:tcW w:w="0" w:type="auto"/>
            <w:gridSpan w:val="10"/>
            <w:tcBorders>
              <w:top w:val="nil"/>
              <w:left w:val="nil"/>
              <w:bottom w:val="nil"/>
              <w:right w:val="nil"/>
            </w:tcBorders>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说明：如部门/单位没有政府性基金收入，也没有使用政府性基金安排的支出，应注明本表无数据。</w:t>
            </w:r>
          </w:p>
        </w:tc>
      </w:tr>
    </w:tbl>
    <w:p>
      <w:pPr>
        <w:pStyle w:val="25"/>
        <w:rPr>
          <w:rFonts w:ascii="仿宋_GB2312" w:eastAsia="仿宋_GB2312"/>
          <w:color w:val="auto"/>
          <w:sz w:val="32"/>
          <w:szCs w:val="32"/>
          <w:highlight w:val="none"/>
        </w:rPr>
      </w:pPr>
      <w:r>
        <w:rPr>
          <w:rFonts w:hint="eastAsia"/>
          <w:b/>
          <w:bCs/>
          <w:lang w:val="en-US" w:eastAsia="zh-CN"/>
        </w:rPr>
        <w:t>空表说明：无此项内容</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22"/>
          <w:rFonts w:ascii="黑体" w:hAnsi="黑体" w:eastAsia="黑体"/>
          <w:b w:val="0"/>
          <w:color w:val="auto"/>
          <w:highlight w:val="none"/>
        </w:rPr>
      </w:pPr>
      <w:r>
        <w:rPr>
          <w:rStyle w:val="22"/>
          <w:rFonts w:hint="eastAsia" w:ascii="黑体" w:hAnsi="黑体" w:eastAsia="黑体"/>
          <w:b w:val="0"/>
          <w:color w:val="auto"/>
          <w:highlight w:val="none"/>
          <w:lang w:eastAsia="zh-CN"/>
        </w:rPr>
        <w:t>九、</w:t>
      </w:r>
      <w:r>
        <w:rPr>
          <w:rStyle w:val="22"/>
          <w:rFonts w:hint="eastAsia" w:ascii="黑体" w:hAnsi="黑体" w:eastAsia="黑体"/>
          <w:b w:val="0"/>
          <w:color w:val="auto"/>
          <w:highlight w:val="none"/>
        </w:rPr>
        <w:t>国有资本经营预算支出决算情况说明</w:t>
      </w:r>
    </w:p>
    <w:p>
      <w:pPr>
        <w:spacing w:line="600" w:lineRule="exact"/>
        <w:ind w:firstLine="640"/>
        <w:rPr>
          <w:rFonts w:hint="eastAsia" w:ascii="仿宋_GB2312" w:eastAsia="仿宋_GB2312"/>
          <w:color w:val="auto"/>
          <w:sz w:val="32"/>
          <w:szCs w:val="32"/>
          <w:highlight w:val="none"/>
        </w:rPr>
      </w:pPr>
      <w:r>
        <w:rPr>
          <w:rFonts w:hint="eastAsia" w:ascii="仿宋_GB2312" w:eastAsia="仿宋_GB2312"/>
          <w:color w:val="auto"/>
          <w:sz w:val="32"/>
          <w:szCs w:val="32"/>
          <w:highlight w:val="none"/>
          <w:lang w:eastAsia="zh-CN"/>
        </w:rPr>
        <w:t>202</w:t>
      </w:r>
      <w:r>
        <w:rPr>
          <w:rFonts w:hint="eastAsia" w:ascii="仿宋_GB2312" w:eastAsia="仿宋_GB2312"/>
          <w:color w:val="auto"/>
          <w:sz w:val="32"/>
          <w:szCs w:val="32"/>
          <w:highlight w:val="none"/>
          <w:lang w:val="en-US" w:eastAsia="zh-CN"/>
        </w:rPr>
        <w:t>5</w:t>
      </w:r>
      <w:r>
        <w:rPr>
          <w:rFonts w:hint="eastAsia" w:ascii="仿宋_GB2312" w:eastAsia="仿宋_GB2312"/>
          <w:color w:val="auto"/>
          <w:sz w:val="32"/>
          <w:szCs w:val="32"/>
          <w:highlight w:val="none"/>
        </w:rPr>
        <w:t>年</w:t>
      </w:r>
      <w:r>
        <w:rPr>
          <w:rFonts w:hint="eastAsia" w:ascii="仿宋_GB2312" w:eastAsia="仿宋_GB2312"/>
          <w:color w:val="auto"/>
          <w:sz w:val="32"/>
          <w:szCs w:val="32"/>
          <w:highlight w:val="none"/>
          <w:lang w:eastAsia="zh-CN"/>
        </w:rPr>
        <w:t>度</w:t>
      </w:r>
      <w:r>
        <w:rPr>
          <w:rFonts w:hint="eastAsia" w:ascii="仿宋_GB2312" w:eastAsia="仿宋_GB2312"/>
          <w:color w:val="auto"/>
          <w:sz w:val="32"/>
          <w:szCs w:val="32"/>
          <w:highlight w:val="none"/>
        </w:rPr>
        <w:t>国有资本经营预算</w:t>
      </w:r>
      <w:r>
        <w:rPr>
          <w:rFonts w:hint="eastAsia" w:ascii="仿宋_GB2312" w:eastAsia="仿宋_GB2312"/>
          <w:color w:val="auto"/>
          <w:sz w:val="32"/>
          <w:szCs w:val="32"/>
          <w:highlight w:val="none"/>
          <w:lang w:eastAsia="zh-CN"/>
        </w:rPr>
        <w:t>财政</w:t>
      </w:r>
      <w:r>
        <w:rPr>
          <w:rFonts w:hint="eastAsia" w:ascii="仿宋_GB2312" w:eastAsia="仿宋_GB2312"/>
          <w:color w:val="auto"/>
          <w:sz w:val="32"/>
          <w:szCs w:val="32"/>
          <w:highlight w:val="none"/>
        </w:rPr>
        <w:t>拨款支出</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w:t>
      </w:r>
    </w:p>
    <w:tbl>
      <w:tblPr>
        <w:tblStyle w:val="17"/>
        <w:tblW w:w="8865" w:type="dxa"/>
        <w:tblInd w:w="0" w:type="dxa"/>
        <w:tblLayout w:type="autofit"/>
        <w:tblCellMar>
          <w:top w:w="0" w:type="dxa"/>
          <w:left w:w="0" w:type="dxa"/>
          <w:bottom w:w="0" w:type="dxa"/>
          <w:right w:w="0" w:type="dxa"/>
        </w:tblCellMar>
      </w:tblPr>
      <w:tblGrid>
        <w:gridCol w:w="3630"/>
        <w:gridCol w:w="561"/>
        <w:gridCol w:w="561"/>
        <w:gridCol w:w="561"/>
        <w:gridCol w:w="1109"/>
        <w:gridCol w:w="561"/>
        <w:gridCol w:w="561"/>
        <w:gridCol w:w="1330"/>
      </w:tblGrid>
      <w:tr>
        <w:tblPrEx>
          <w:tblCellMar>
            <w:top w:w="0" w:type="dxa"/>
            <w:left w:w="0" w:type="dxa"/>
            <w:bottom w:w="0" w:type="dxa"/>
            <w:right w:w="0" w:type="dxa"/>
          </w:tblCellMar>
        </w:tblPrEx>
        <w:trPr>
          <w:trHeight w:val="489" w:hRule="atLeast"/>
        </w:trPr>
        <w:tc>
          <w:tcPr>
            <w:tcW w:w="8872" w:type="dxa"/>
            <w:gridSpan w:val="8"/>
            <w:tcBorders>
              <w:top w:val="nil"/>
              <w:left w:val="nil"/>
              <w:bottom w:val="nil"/>
              <w:right w:val="nil"/>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32"/>
                <w:szCs w:val="32"/>
                <w:u w:val="none"/>
              </w:rPr>
            </w:pPr>
            <w:r>
              <w:rPr>
                <w:rFonts w:hint="eastAsia" w:ascii="宋体" w:hAnsi="宋体" w:eastAsia="宋体" w:cs="宋体"/>
                <w:i w:val="0"/>
                <w:color w:val="000000"/>
                <w:kern w:val="0"/>
                <w:sz w:val="32"/>
                <w:szCs w:val="32"/>
                <w:u w:val="none"/>
                <w:lang w:val="en-US" w:eastAsia="zh-CN" w:bidi="ar"/>
              </w:rPr>
              <w:t>国有资本经营预算财政拨款收入支出决算表</w:t>
            </w:r>
          </w:p>
        </w:tc>
      </w:tr>
      <w:tr>
        <w:tblPrEx>
          <w:tblCellMar>
            <w:top w:w="0" w:type="dxa"/>
            <w:left w:w="0" w:type="dxa"/>
            <w:bottom w:w="0" w:type="dxa"/>
            <w:right w:w="0" w:type="dxa"/>
          </w:tblCellMar>
        </w:tblPrEx>
        <w:trPr>
          <w:trHeight w:val="288" w:hRule="atLeast"/>
        </w:trPr>
        <w:tc>
          <w:tcPr>
            <w:tcW w:w="0" w:type="auto"/>
            <w:tcBorders>
              <w:top w:val="nil"/>
              <w:left w:val="nil"/>
              <w:bottom w:val="nil"/>
              <w:right w:val="nil"/>
            </w:tcBorders>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0" w:type="auto"/>
            <w:tcBorders>
              <w:top w:val="nil"/>
              <w:left w:val="nil"/>
              <w:bottom w:val="nil"/>
              <w:right w:val="nil"/>
            </w:tcBorders>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0" w:type="auto"/>
            <w:tcBorders>
              <w:top w:val="nil"/>
              <w:left w:val="nil"/>
              <w:bottom w:val="nil"/>
              <w:right w:val="nil"/>
            </w:tcBorders>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0" w:type="auto"/>
            <w:tcBorders>
              <w:top w:val="nil"/>
              <w:left w:val="nil"/>
              <w:bottom w:val="nil"/>
              <w:right w:val="nil"/>
            </w:tcBorders>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0" w:type="auto"/>
            <w:tcBorders>
              <w:top w:val="nil"/>
              <w:left w:val="nil"/>
              <w:bottom w:val="nil"/>
              <w:right w:val="nil"/>
            </w:tcBorders>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0" w:type="auto"/>
            <w:tcBorders>
              <w:top w:val="nil"/>
              <w:left w:val="nil"/>
              <w:bottom w:val="nil"/>
              <w:right w:val="nil"/>
            </w:tcBorders>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0" w:type="auto"/>
            <w:tcBorders>
              <w:top w:val="nil"/>
              <w:left w:val="nil"/>
              <w:bottom w:val="nil"/>
              <w:right w:val="nil"/>
            </w:tcBorders>
            <w:noWrap/>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0" w:type="auto"/>
            <w:tcBorders>
              <w:top w:val="nil"/>
              <w:left w:val="nil"/>
              <w:bottom w:val="nil"/>
              <w:right w:val="nil"/>
            </w:tcBorders>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财决公开11表</w:t>
            </w:r>
          </w:p>
        </w:tc>
      </w:tr>
      <w:tr>
        <w:tblPrEx>
          <w:tblCellMar>
            <w:top w:w="0" w:type="dxa"/>
            <w:left w:w="0" w:type="dxa"/>
            <w:bottom w:w="0" w:type="dxa"/>
            <w:right w:w="0" w:type="dxa"/>
          </w:tblCellMar>
        </w:tblPrEx>
        <w:trPr>
          <w:trHeight w:val="288" w:hRule="atLeast"/>
        </w:trPr>
        <w:tc>
          <w:tcPr>
            <w:tcW w:w="0" w:type="auto"/>
            <w:tcBorders>
              <w:top w:val="nil"/>
              <w:left w:val="nil"/>
              <w:bottom w:val="nil"/>
              <w:right w:val="nil"/>
            </w:tcBorders>
            <w:noWrap/>
            <w:tcMar>
              <w:top w:w="15" w:type="dxa"/>
              <w:left w:w="15" w:type="dxa"/>
              <w:right w:w="15" w:type="dxa"/>
            </w:tcMar>
            <w:vAlign w:val="bottom"/>
          </w:tcPr>
          <w:p>
            <w:pPr>
              <w:keepNext w:val="0"/>
              <w:keepLines w:val="0"/>
              <w:widowControl/>
              <w:suppressLineNumbers w:val="0"/>
              <w:jc w:val="left"/>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单位名称：阿坝州壤塘县尕多乡人民政府</w:t>
            </w:r>
          </w:p>
        </w:tc>
        <w:tc>
          <w:tcPr>
            <w:tcW w:w="0" w:type="auto"/>
            <w:tcBorders>
              <w:top w:val="nil"/>
              <w:left w:val="nil"/>
              <w:bottom w:val="nil"/>
              <w:right w:val="nil"/>
            </w:tcBorders>
            <w:noWrap/>
            <w:tcMar>
              <w:top w:w="15" w:type="dxa"/>
              <w:left w:w="15" w:type="dxa"/>
              <w:right w:w="15" w:type="dxa"/>
            </w:tcMar>
            <w:vAlign w:val="bottom"/>
          </w:tcPr>
          <w:p>
            <w:pPr>
              <w:rPr>
                <w:rFonts w:hint="eastAsia" w:ascii="宋体" w:hAnsi="宋体" w:eastAsia="宋体" w:cs="宋体"/>
                <w:i w:val="0"/>
                <w:color w:val="000000"/>
                <w:sz w:val="20"/>
                <w:szCs w:val="20"/>
                <w:u w:val="none"/>
              </w:rPr>
            </w:pPr>
          </w:p>
        </w:tc>
        <w:tc>
          <w:tcPr>
            <w:tcW w:w="0" w:type="auto"/>
            <w:tcBorders>
              <w:top w:val="nil"/>
              <w:left w:val="nil"/>
              <w:bottom w:val="nil"/>
              <w:right w:val="nil"/>
            </w:tcBorders>
            <w:noWrap/>
            <w:tcMar>
              <w:top w:w="15" w:type="dxa"/>
              <w:left w:w="15" w:type="dxa"/>
              <w:right w:w="15" w:type="dxa"/>
            </w:tcMar>
            <w:vAlign w:val="bottom"/>
          </w:tcPr>
          <w:p>
            <w:pPr>
              <w:rPr>
                <w:rFonts w:hint="eastAsia" w:ascii="宋体" w:hAnsi="宋体" w:eastAsia="宋体" w:cs="宋体"/>
                <w:i w:val="0"/>
                <w:color w:val="000000"/>
                <w:sz w:val="20"/>
                <w:szCs w:val="20"/>
                <w:u w:val="none"/>
              </w:rPr>
            </w:pPr>
          </w:p>
        </w:tc>
        <w:tc>
          <w:tcPr>
            <w:tcW w:w="0" w:type="auto"/>
            <w:tcBorders>
              <w:top w:val="nil"/>
              <w:left w:val="nil"/>
              <w:bottom w:val="nil"/>
              <w:right w:val="nil"/>
            </w:tcBorders>
            <w:noWrap/>
            <w:tcMar>
              <w:top w:w="15" w:type="dxa"/>
              <w:left w:w="15" w:type="dxa"/>
              <w:right w:w="15" w:type="dxa"/>
            </w:tcMar>
            <w:vAlign w:val="bottom"/>
          </w:tcPr>
          <w:p>
            <w:pPr>
              <w:rPr>
                <w:rFonts w:hint="eastAsia" w:ascii="宋体" w:hAnsi="宋体" w:eastAsia="宋体" w:cs="宋体"/>
                <w:i w:val="0"/>
                <w:color w:val="000000"/>
                <w:sz w:val="20"/>
                <w:szCs w:val="20"/>
                <w:u w:val="none"/>
              </w:rPr>
            </w:pPr>
          </w:p>
        </w:tc>
        <w:tc>
          <w:tcPr>
            <w:tcW w:w="0" w:type="auto"/>
            <w:tcBorders>
              <w:top w:val="nil"/>
              <w:left w:val="nil"/>
              <w:bottom w:val="nil"/>
              <w:right w:val="nil"/>
            </w:tcBorders>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202</w:t>
            </w:r>
            <w:r>
              <w:rPr>
                <w:rFonts w:hint="eastAsia" w:ascii="宋体" w:hAnsi="宋体" w:cs="宋体"/>
                <w:i w:val="0"/>
                <w:color w:val="000000"/>
                <w:kern w:val="0"/>
                <w:sz w:val="20"/>
                <w:szCs w:val="20"/>
                <w:u w:val="none"/>
                <w:lang w:val="en-US" w:eastAsia="zh-CN" w:bidi="ar"/>
              </w:rPr>
              <w:t>5</w:t>
            </w:r>
            <w:r>
              <w:rPr>
                <w:rFonts w:hint="eastAsia" w:ascii="宋体" w:hAnsi="宋体" w:eastAsia="宋体" w:cs="宋体"/>
                <w:i w:val="0"/>
                <w:color w:val="000000"/>
                <w:kern w:val="0"/>
                <w:sz w:val="20"/>
                <w:szCs w:val="20"/>
                <w:u w:val="none"/>
                <w:lang w:val="en-US" w:eastAsia="zh-CN" w:bidi="ar"/>
              </w:rPr>
              <w:t>年度</w:t>
            </w:r>
          </w:p>
        </w:tc>
        <w:tc>
          <w:tcPr>
            <w:tcW w:w="0" w:type="auto"/>
            <w:tcBorders>
              <w:top w:val="nil"/>
              <w:left w:val="nil"/>
              <w:bottom w:val="nil"/>
              <w:right w:val="nil"/>
            </w:tcBorders>
            <w:noWrap/>
            <w:tcMar>
              <w:top w:w="15" w:type="dxa"/>
              <w:left w:w="15" w:type="dxa"/>
              <w:right w:w="15" w:type="dxa"/>
            </w:tcMar>
            <w:vAlign w:val="center"/>
          </w:tcPr>
          <w:p>
            <w:pPr>
              <w:rPr>
                <w:rFonts w:hint="eastAsia" w:ascii="宋体" w:hAnsi="宋体" w:eastAsia="宋体" w:cs="宋体"/>
                <w:i w:val="0"/>
                <w:color w:val="000000"/>
                <w:sz w:val="20"/>
                <w:szCs w:val="20"/>
                <w:u w:val="none"/>
              </w:rPr>
            </w:pPr>
          </w:p>
        </w:tc>
        <w:tc>
          <w:tcPr>
            <w:tcW w:w="0" w:type="auto"/>
            <w:tcBorders>
              <w:top w:val="nil"/>
              <w:left w:val="nil"/>
              <w:bottom w:val="nil"/>
              <w:right w:val="nil"/>
            </w:tcBorders>
            <w:noWrap/>
            <w:tcMar>
              <w:top w:w="15" w:type="dxa"/>
              <w:left w:w="15" w:type="dxa"/>
              <w:right w:w="15" w:type="dxa"/>
            </w:tcMar>
            <w:vAlign w:val="center"/>
          </w:tcPr>
          <w:p>
            <w:pPr>
              <w:rPr>
                <w:rFonts w:hint="eastAsia" w:ascii="宋体" w:hAnsi="宋体" w:eastAsia="宋体" w:cs="宋体"/>
                <w:i w:val="0"/>
                <w:color w:val="000000"/>
                <w:sz w:val="20"/>
                <w:szCs w:val="20"/>
                <w:u w:val="none"/>
              </w:rPr>
            </w:pPr>
          </w:p>
        </w:tc>
        <w:tc>
          <w:tcPr>
            <w:tcW w:w="0" w:type="auto"/>
            <w:tcBorders>
              <w:top w:val="nil"/>
              <w:left w:val="nil"/>
              <w:bottom w:val="nil"/>
              <w:right w:val="nil"/>
            </w:tcBorders>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tblPrEx>
          <w:tblCellMar>
            <w:top w:w="0" w:type="dxa"/>
            <w:left w:w="0" w:type="dxa"/>
            <w:bottom w:w="0" w:type="dxa"/>
            <w:right w:w="0" w:type="dxa"/>
          </w:tblCellMar>
        </w:tblPrEx>
        <w:trPr>
          <w:trHeight w:val="324" w:hRule="atLeast"/>
        </w:trPr>
        <w:tc>
          <w:tcPr>
            <w:tcW w:w="4436" w:type="dxa"/>
            <w:gridSpan w:val="4"/>
            <w:tcBorders>
              <w:top w:val="single" w:color="000000" w:sz="4" w:space="0"/>
              <w:left w:val="single" w:color="000000" w:sz="4" w:space="0"/>
              <w:bottom w:val="single" w:color="000000" w:sz="4" w:space="0"/>
              <w:right w:val="single" w:color="000000" w:sz="4" w:space="0"/>
            </w:tcBorders>
            <w:shd w:val="clear" w:color="FFFFFF" w:fill="C0C0C0"/>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项    目</w:t>
            </w:r>
          </w:p>
        </w:tc>
        <w:tc>
          <w:tcPr>
            <w:tcW w:w="1109" w:type="dxa"/>
            <w:vMerge w:val="restart"/>
            <w:tcBorders>
              <w:top w:val="single" w:color="000000" w:sz="4" w:space="0"/>
              <w:left w:val="nil"/>
              <w:bottom w:val="single" w:color="000000" w:sz="4" w:space="0"/>
              <w:right w:val="single" w:color="000000" w:sz="4" w:space="0"/>
            </w:tcBorders>
            <w:shd w:val="clear" w:color="FFFFFF" w:fill="C0C0C0"/>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年初结转和结余</w:t>
            </w:r>
          </w:p>
        </w:tc>
        <w:tc>
          <w:tcPr>
            <w:tcW w:w="1109" w:type="dxa"/>
            <w:vMerge w:val="restart"/>
            <w:tcBorders>
              <w:top w:val="single" w:color="000000" w:sz="4" w:space="0"/>
              <w:left w:val="nil"/>
              <w:bottom w:val="single" w:color="000000" w:sz="4" w:space="0"/>
              <w:right w:val="single" w:color="000000" w:sz="4" w:space="0"/>
            </w:tcBorders>
            <w:shd w:val="clear" w:color="FFFFFF" w:fill="C0C0C0"/>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本年收入</w:t>
            </w:r>
          </w:p>
        </w:tc>
        <w:tc>
          <w:tcPr>
            <w:tcW w:w="1109" w:type="dxa"/>
            <w:vMerge w:val="restart"/>
            <w:tcBorders>
              <w:top w:val="single" w:color="000000" w:sz="4" w:space="0"/>
              <w:left w:val="nil"/>
              <w:bottom w:val="single" w:color="000000" w:sz="4" w:space="0"/>
              <w:right w:val="single" w:color="000000" w:sz="4" w:space="0"/>
            </w:tcBorders>
            <w:shd w:val="clear" w:color="FFFFFF" w:fill="C0C0C0"/>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本年支出</w:t>
            </w:r>
          </w:p>
        </w:tc>
        <w:tc>
          <w:tcPr>
            <w:tcW w:w="1109" w:type="dxa"/>
            <w:vMerge w:val="restart"/>
            <w:tcBorders>
              <w:top w:val="single" w:color="000000" w:sz="4" w:space="0"/>
              <w:left w:val="nil"/>
              <w:bottom w:val="single" w:color="000000" w:sz="4" w:space="0"/>
              <w:right w:val="single" w:color="000000" w:sz="4" w:space="0"/>
            </w:tcBorders>
            <w:shd w:val="clear" w:color="FFFFFF" w:fill="C0C0C0"/>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年末结转和结余</w:t>
            </w:r>
          </w:p>
        </w:tc>
      </w:tr>
      <w:tr>
        <w:tblPrEx>
          <w:tblCellMar>
            <w:top w:w="0" w:type="dxa"/>
            <w:left w:w="0" w:type="dxa"/>
            <w:bottom w:w="0" w:type="dxa"/>
            <w:right w:w="0" w:type="dxa"/>
          </w:tblCellMar>
        </w:tblPrEx>
        <w:trPr>
          <w:trHeight w:val="276" w:hRule="atLeast"/>
        </w:trPr>
        <w:tc>
          <w:tcPr>
            <w:tcW w:w="3327" w:type="dxa"/>
            <w:gridSpan w:val="3"/>
            <w:vMerge w:val="restart"/>
            <w:tcBorders>
              <w:top w:val="nil"/>
              <w:left w:val="single" w:color="000000" w:sz="4" w:space="0"/>
              <w:bottom w:val="single" w:color="000000" w:sz="4" w:space="0"/>
              <w:right w:val="single" w:color="000000" w:sz="4" w:space="0"/>
            </w:tcBorders>
            <w:shd w:val="clear" w:color="FFFFFF" w:fill="C0C0C0"/>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科目编码</w:t>
            </w:r>
          </w:p>
        </w:tc>
        <w:tc>
          <w:tcPr>
            <w:tcW w:w="1109" w:type="dxa"/>
            <w:vMerge w:val="restart"/>
            <w:tcBorders>
              <w:top w:val="nil"/>
              <w:left w:val="nil"/>
              <w:bottom w:val="single" w:color="000000" w:sz="4" w:space="0"/>
              <w:right w:val="single" w:color="000000" w:sz="4" w:space="0"/>
            </w:tcBorders>
            <w:shd w:val="clear" w:color="FFFFFF" w:fill="C0C0C0"/>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科目名称</w:t>
            </w:r>
          </w:p>
        </w:tc>
        <w:tc>
          <w:tcPr>
            <w:tcW w:w="1109" w:type="dxa"/>
            <w:vMerge w:val="continue"/>
            <w:tcBorders>
              <w:top w:val="single" w:color="000000" w:sz="4" w:space="0"/>
              <w:left w:val="nil"/>
              <w:bottom w:val="single" w:color="000000" w:sz="4" w:space="0"/>
              <w:right w:val="single" w:color="000000" w:sz="4" w:space="0"/>
            </w:tcBorders>
            <w:shd w:val="clear" w:color="FFFFFF" w:fill="C0C0C0"/>
            <w:noWrap w:val="0"/>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1109" w:type="dxa"/>
            <w:vMerge w:val="continue"/>
            <w:tcBorders>
              <w:top w:val="single" w:color="000000" w:sz="4" w:space="0"/>
              <w:left w:val="nil"/>
              <w:bottom w:val="single" w:color="000000" w:sz="4" w:space="0"/>
              <w:right w:val="single" w:color="000000" w:sz="4" w:space="0"/>
            </w:tcBorders>
            <w:shd w:val="clear" w:color="FFFFFF" w:fill="C0C0C0"/>
            <w:noWrap w:val="0"/>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1109" w:type="dxa"/>
            <w:vMerge w:val="continue"/>
            <w:tcBorders>
              <w:top w:val="single" w:color="000000" w:sz="4" w:space="0"/>
              <w:left w:val="nil"/>
              <w:bottom w:val="single" w:color="000000" w:sz="4" w:space="0"/>
              <w:right w:val="single" w:color="000000" w:sz="4" w:space="0"/>
            </w:tcBorders>
            <w:shd w:val="clear" w:color="FFFFFF" w:fill="C0C0C0"/>
            <w:noWrap w:val="0"/>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1109" w:type="dxa"/>
            <w:vMerge w:val="continue"/>
            <w:tcBorders>
              <w:top w:val="single" w:color="000000" w:sz="4" w:space="0"/>
              <w:left w:val="nil"/>
              <w:bottom w:val="single" w:color="000000" w:sz="4" w:space="0"/>
              <w:right w:val="single" w:color="000000" w:sz="4" w:space="0"/>
            </w:tcBorders>
            <w:shd w:val="clear" w:color="FFFFFF" w:fill="C0C0C0"/>
            <w:noWrap w:val="0"/>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9" w:hRule="atLeast"/>
        </w:trPr>
        <w:tc>
          <w:tcPr>
            <w:tcW w:w="3327" w:type="dxa"/>
            <w:gridSpan w:val="3"/>
            <w:vMerge w:val="continue"/>
            <w:tcBorders>
              <w:top w:val="nil"/>
              <w:left w:val="single" w:color="000000" w:sz="4" w:space="0"/>
              <w:bottom w:val="single" w:color="000000" w:sz="4" w:space="0"/>
              <w:right w:val="single" w:color="000000" w:sz="4" w:space="0"/>
            </w:tcBorders>
            <w:shd w:val="clear" w:color="FFFFFF" w:fill="C0C0C0"/>
            <w:noWrap w:val="0"/>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1109" w:type="dxa"/>
            <w:vMerge w:val="continue"/>
            <w:tcBorders>
              <w:top w:val="nil"/>
              <w:left w:val="nil"/>
              <w:bottom w:val="single" w:color="000000" w:sz="4" w:space="0"/>
              <w:right w:val="single" w:color="000000" w:sz="4" w:space="0"/>
            </w:tcBorders>
            <w:shd w:val="clear" w:color="FFFFFF" w:fill="C0C0C0"/>
            <w:noWrap w:val="0"/>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1109" w:type="dxa"/>
            <w:vMerge w:val="continue"/>
            <w:tcBorders>
              <w:top w:val="single" w:color="000000" w:sz="4" w:space="0"/>
              <w:left w:val="nil"/>
              <w:bottom w:val="single" w:color="000000" w:sz="4" w:space="0"/>
              <w:right w:val="single" w:color="000000" w:sz="4" w:space="0"/>
            </w:tcBorders>
            <w:shd w:val="clear" w:color="FFFFFF" w:fill="C0C0C0"/>
            <w:noWrap w:val="0"/>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1109" w:type="dxa"/>
            <w:vMerge w:val="continue"/>
            <w:tcBorders>
              <w:top w:val="single" w:color="000000" w:sz="4" w:space="0"/>
              <w:left w:val="nil"/>
              <w:bottom w:val="single" w:color="000000" w:sz="4" w:space="0"/>
              <w:right w:val="single" w:color="000000" w:sz="4" w:space="0"/>
            </w:tcBorders>
            <w:shd w:val="clear" w:color="FFFFFF" w:fill="C0C0C0"/>
            <w:noWrap w:val="0"/>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1109" w:type="dxa"/>
            <w:vMerge w:val="continue"/>
            <w:tcBorders>
              <w:top w:val="single" w:color="000000" w:sz="4" w:space="0"/>
              <w:left w:val="nil"/>
              <w:bottom w:val="single" w:color="000000" w:sz="4" w:space="0"/>
              <w:right w:val="single" w:color="000000" w:sz="4" w:space="0"/>
            </w:tcBorders>
            <w:shd w:val="clear" w:color="FFFFFF" w:fill="C0C0C0"/>
            <w:noWrap w:val="0"/>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1109" w:type="dxa"/>
            <w:vMerge w:val="continue"/>
            <w:tcBorders>
              <w:top w:val="single" w:color="000000" w:sz="4" w:space="0"/>
              <w:left w:val="nil"/>
              <w:bottom w:val="single" w:color="000000" w:sz="4" w:space="0"/>
              <w:right w:val="single" w:color="000000" w:sz="4" w:space="0"/>
            </w:tcBorders>
            <w:shd w:val="clear" w:color="FFFFFF" w:fill="C0C0C0"/>
            <w:noWrap w:val="0"/>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279" w:hRule="atLeast"/>
        </w:trPr>
        <w:tc>
          <w:tcPr>
            <w:tcW w:w="3327" w:type="dxa"/>
            <w:gridSpan w:val="3"/>
            <w:vMerge w:val="continue"/>
            <w:tcBorders>
              <w:top w:val="nil"/>
              <w:left w:val="single" w:color="000000" w:sz="4" w:space="0"/>
              <w:bottom w:val="single" w:color="000000" w:sz="4" w:space="0"/>
              <w:right w:val="single" w:color="000000" w:sz="4" w:space="0"/>
            </w:tcBorders>
            <w:shd w:val="clear" w:color="FFFFFF" w:fill="C0C0C0"/>
            <w:noWrap w:val="0"/>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1109" w:type="dxa"/>
            <w:vMerge w:val="continue"/>
            <w:tcBorders>
              <w:top w:val="nil"/>
              <w:left w:val="nil"/>
              <w:bottom w:val="single" w:color="000000" w:sz="4" w:space="0"/>
              <w:right w:val="single" w:color="000000" w:sz="4" w:space="0"/>
            </w:tcBorders>
            <w:shd w:val="clear" w:color="FFFFFF" w:fill="C0C0C0"/>
            <w:noWrap w:val="0"/>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1109" w:type="dxa"/>
            <w:vMerge w:val="continue"/>
            <w:tcBorders>
              <w:top w:val="single" w:color="000000" w:sz="4" w:space="0"/>
              <w:left w:val="nil"/>
              <w:bottom w:val="single" w:color="000000" w:sz="4" w:space="0"/>
              <w:right w:val="single" w:color="000000" w:sz="4" w:space="0"/>
            </w:tcBorders>
            <w:shd w:val="clear" w:color="FFFFFF" w:fill="C0C0C0"/>
            <w:noWrap w:val="0"/>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1109" w:type="dxa"/>
            <w:vMerge w:val="continue"/>
            <w:tcBorders>
              <w:top w:val="single" w:color="000000" w:sz="4" w:space="0"/>
              <w:left w:val="nil"/>
              <w:bottom w:val="single" w:color="000000" w:sz="4" w:space="0"/>
              <w:right w:val="single" w:color="000000" w:sz="4" w:space="0"/>
            </w:tcBorders>
            <w:shd w:val="clear" w:color="FFFFFF" w:fill="C0C0C0"/>
            <w:noWrap w:val="0"/>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1109" w:type="dxa"/>
            <w:vMerge w:val="continue"/>
            <w:tcBorders>
              <w:top w:val="single" w:color="000000" w:sz="4" w:space="0"/>
              <w:left w:val="nil"/>
              <w:bottom w:val="single" w:color="000000" w:sz="4" w:space="0"/>
              <w:right w:val="single" w:color="000000" w:sz="4" w:space="0"/>
            </w:tcBorders>
            <w:shd w:val="clear" w:color="FFFFFF" w:fill="C0C0C0"/>
            <w:noWrap w:val="0"/>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1109" w:type="dxa"/>
            <w:vMerge w:val="continue"/>
            <w:tcBorders>
              <w:top w:val="single" w:color="000000" w:sz="4" w:space="0"/>
              <w:left w:val="nil"/>
              <w:bottom w:val="single" w:color="000000" w:sz="4" w:space="0"/>
              <w:right w:val="single" w:color="000000" w:sz="4" w:space="0"/>
            </w:tcBorders>
            <w:shd w:val="clear" w:color="FFFFFF" w:fill="C0C0C0"/>
            <w:noWrap w:val="0"/>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324" w:hRule="atLeast"/>
        </w:trPr>
        <w:tc>
          <w:tcPr>
            <w:tcW w:w="1109" w:type="dxa"/>
            <w:tcBorders>
              <w:top w:val="nil"/>
              <w:left w:val="single" w:color="000000" w:sz="4" w:space="0"/>
              <w:bottom w:val="single" w:color="000000" w:sz="4" w:space="0"/>
              <w:right w:val="single" w:color="000000" w:sz="4" w:space="0"/>
            </w:tcBorders>
            <w:shd w:val="clear" w:color="FFFFFF" w:fill="C0C0C0"/>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类</w:t>
            </w:r>
          </w:p>
        </w:tc>
        <w:tc>
          <w:tcPr>
            <w:tcW w:w="1109" w:type="dxa"/>
            <w:tcBorders>
              <w:top w:val="nil"/>
              <w:left w:val="nil"/>
              <w:bottom w:val="single" w:color="000000" w:sz="4" w:space="0"/>
              <w:right w:val="single" w:color="000000" w:sz="4" w:space="0"/>
            </w:tcBorders>
            <w:shd w:val="clear" w:color="FFFFFF" w:fill="C0C0C0"/>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款</w:t>
            </w:r>
          </w:p>
        </w:tc>
        <w:tc>
          <w:tcPr>
            <w:tcW w:w="1109" w:type="dxa"/>
            <w:tcBorders>
              <w:top w:val="nil"/>
              <w:left w:val="nil"/>
              <w:bottom w:val="single" w:color="000000" w:sz="4" w:space="0"/>
              <w:right w:val="single" w:color="000000" w:sz="4" w:space="0"/>
            </w:tcBorders>
            <w:shd w:val="clear" w:color="FFFFFF" w:fill="C0C0C0"/>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项</w:t>
            </w:r>
          </w:p>
        </w:tc>
        <w:tc>
          <w:tcPr>
            <w:tcW w:w="1109" w:type="dxa"/>
            <w:tcBorders>
              <w:top w:val="nil"/>
              <w:left w:val="nil"/>
              <w:bottom w:val="single" w:color="000000" w:sz="4" w:space="0"/>
              <w:right w:val="single" w:color="000000" w:sz="4" w:space="0"/>
            </w:tcBorders>
            <w:shd w:val="clear" w:color="FFFFFF" w:fill="C0C0C0"/>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合计</w:t>
            </w:r>
          </w:p>
        </w:tc>
        <w:tc>
          <w:tcPr>
            <w:tcW w:w="0" w:type="auto"/>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宋体" w:hAnsi="宋体" w:eastAsia="宋体" w:cs="宋体"/>
                <w:i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宋体" w:hAnsi="宋体" w:eastAsia="宋体" w:cs="宋体"/>
                <w:i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宋体" w:hAnsi="宋体" w:eastAsia="宋体" w:cs="宋体"/>
                <w:i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宋体" w:hAnsi="宋体" w:eastAsia="宋体" w:cs="宋体"/>
                <w:i w:val="0"/>
                <w:color w:val="000000"/>
                <w:sz w:val="18"/>
                <w:szCs w:val="18"/>
                <w:u w:val="none"/>
              </w:rPr>
            </w:pPr>
          </w:p>
        </w:tc>
      </w:tr>
      <w:tr>
        <w:tblPrEx>
          <w:tblCellMar>
            <w:top w:w="0" w:type="dxa"/>
            <w:left w:w="0" w:type="dxa"/>
            <w:bottom w:w="0" w:type="dxa"/>
            <w:right w:w="0" w:type="dxa"/>
          </w:tblCellMar>
        </w:tblPrEx>
        <w:trPr>
          <w:trHeight w:val="660" w:hRule="atLeast"/>
        </w:trPr>
        <w:tc>
          <w:tcPr>
            <w:tcW w:w="8872" w:type="dxa"/>
            <w:gridSpan w:val="8"/>
            <w:tcBorders>
              <w:top w:val="nil"/>
              <w:left w:val="nil"/>
              <w:bottom w:val="nil"/>
              <w:right w:val="nil"/>
            </w:tcBorders>
            <w:noWrap w:val="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注：本表以“万元”为金额单位（保留两位小数），反映部门/单位本年度国有资本经营预算财政拨款支出情况；</w:t>
            </w:r>
            <w:r>
              <w:rPr>
                <w:rFonts w:hint="eastAsia" w:ascii="宋体" w:hAnsi="宋体" w:eastAsia="宋体" w:cs="宋体"/>
                <w:i w:val="0"/>
                <w:color w:val="000000"/>
                <w:kern w:val="0"/>
                <w:sz w:val="16"/>
                <w:szCs w:val="16"/>
                <w:u w:val="none"/>
                <w:lang w:val="en-US" w:eastAsia="zh-CN" w:bidi="ar"/>
              </w:rPr>
              <w:br w:type="textWrapping"/>
            </w:r>
            <w:r>
              <w:rPr>
                <w:rFonts w:hint="eastAsia" w:ascii="宋体" w:hAnsi="宋体" w:eastAsia="宋体" w:cs="宋体"/>
                <w:i w:val="0"/>
                <w:color w:val="000000"/>
                <w:kern w:val="0"/>
                <w:sz w:val="16"/>
                <w:szCs w:val="16"/>
                <w:u w:val="none"/>
                <w:lang w:val="en-US" w:eastAsia="zh-CN" w:bidi="ar"/>
              </w:rPr>
              <w:t xml:space="preserve">    如部门/单位没有国有资本经营预算收入，也没有使用国有资本经营预算安排的支出，应注明本表无数据。</w:t>
            </w:r>
          </w:p>
        </w:tc>
      </w:tr>
    </w:tbl>
    <w:p>
      <w:pPr>
        <w:pStyle w:val="2"/>
      </w:pPr>
    </w:p>
    <w:p>
      <w:pPr>
        <w:pStyle w:val="25"/>
        <w:rPr>
          <w:rFonts w:ascii="方正小标宋简体" w:hAnsi="方正小标宋简体" w:eastAsia="方正小标宋简体" w:cs="方正小标宋简体"/>
          <w:color w:val="auto"/>
          <w:sz w:val="44"/>
          <w:szCs w:val="44"/>
          <w:highlight w:val="none"/>
        </w:rPr>
      </w:pPr>
      <w:r>
        <w:rPr>
          <w:rFonts w:hint="eastAsia"/>
          <w:b/>
          <w:bCs/>
          <w:lang w:val="en-US" w:eastAsia="zh-CN"/>
        </w:rPr>
        <w:t>空表说明：无此项内容</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22"/>
          <w:rFonts w:hint="eastAsia" w:ascii="黑体" w:hAnsi="黑体" w:eastAsia="黑体"/>
          <w:b w:val="0"/>
          <w:color w:val="auto"/>
          <w:highlight w:val="none"/>
        </w:rPr>
      </w:pPr>
      <w:r>
        <w:rPr>
          <w:rStyle w:val="22"/>
          <w:rFonts w:hint="eastAsia" w:ascii="黑体" w:hAnsi="黑体" w:eastAsia="黑体"/>
          <w:b w:val="0"/>
          <w:color w:val="auto"/>
          <w:highlight w:val="none"/>
          <w:lang w:eastAsia="zh-CN"/>
        </w:rPr>
        <w:t>十、</w:t>
      </w:r>
      <w:r>
        <w:rPr>
          <w:rStyle w:val="22"/>
          <w:rFonts w:hint="eastAsia" w:ascii="黑体" w:hAnsi="黑体" w:eastAsia="黑体"/>
          <w:b w:val="0"/>
          <w:color w:val="auto"/>
          <w:highlight w:val="none"/>
        </w:rPr>
        <w:t>其他重要事项的情况说明</w:t>
      </w:r>
    </w:p>
    <w:p>
      <w:pPr>
        <w:spacing w:line="600" w:lineRule="exact"/>
        <w:ind w:firstLine="642" w:firstLineChars="200"/>
        <w:outlineLvl w:val="2"/>
        <w:rPr>
          <w:rFonts w:ascii="仿宋" w:hAnsi="仿宋" w:eastAsia="仿宋"/>
          <w:color w:val="auto"/>
          <w:sz w:val="32"/>
          <w:szCs w:val="32"/>
          <w:highlight w:val="none"/>
        </w:rPr>
      </w:pPr>
      <w:r>
        <w:rPr>
          <w:rFonts w:hint="eastAsia" w:ascii="仿宋" w:hAnsi="仿宋" w:eastAsia="仿宋"/>
          <w:b/>
          <w:color w:val="auto"/>
          <w:sz w:val="32"/>
          <w:szCs w:val="32"/>
          <w:highlight w:val="none"/>
        </w:rPr>
        <w:t>（一）机关运行经费支出情况</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720"/>
        <w:textAlignment w:val="auto"/>
        <w:rPr>
          <w:rFonts w:ascii="仿宋_GB2312" w:eastAsia="仿宋_GB2312"/>
          <w:color w:val="000000"/>
          <w:sz w:val="32"/>
          <w:szCs w:val="32"/>
          <w:highlight w:val="none"/>
        </w:rPr>
      </w:pPr>
      <w:r>
        <w:rPr>
          <w:rFonts w:ascii="仿宋_GB2312" w:eastAsia="仿宋_GB2312"/>
          <w:color w:val="000000"/>
          <w:sz w:val="32"/>
          <w:szCs w:val="32"/>
          <w:highlight w:val="none"/>
        </w:rPr>
        <w:t>20</w:t>
      </w:r>
      <w:r>
        <w:rPr>
          <w:rFonts w:hint="eastAsia" w:ascii="仿宋_GB2312" w:eastAsia="仿宋_GB2312"/>
          <w:color w:val="000000"/>
          <w:sz w:val="32"/>
          <w:szCs w:val="32"/>
          <w:highlight w:val="none"/>
          <w:lang w:val="en-US" w:eastAsia="zh-CN"/>
        </w:rPr>
        <w:t>25</w:t>
      </w:r>
      <w:r>
        <w:rPr>
          <w:rFonts w:hint="eastAsia" w:ascii="仿宋_GB2312" w:eastAsia="仿宋_GB2312"/>
          <w:color w:val="000000"/>
          <w:sz w:val="32"/>
          <w:szCs w:val="32"/>
          <w:highlight w:val="none"/>
        </w:rPr>
        <w:t>年</w:t>
      </w:r>
      <w:r>
        <w:rPr>
          <w:rFonts w:hint="eastAsia" w:ascii="仿宋_GB2312" w:eastAsia="仿宋_GB2312"/>
          <w:color w:val="000000"/>
          <w:sz w:val="32"/>
          <w:szCs w:val="32"/>
          <w:highlight w:val="none"/>
          <w:lang w:val="en-US" w:eastAsia="zh-CN"/>
        </w:rPr>
        <w:t>度</w:t>
      </w:r>
      <w:r>
        <w:rPr>
          <w:rFonts w:hint="eastAsia" w:ascii="仿宋_GB2312" w:eastAsia="仿宋_GB2312"/>
          <w:color w:val="000000"/>
          <w:sz w:val="32"/>
          <w:szCs w:val="32"/>
          <w:highlight w:val="none"/>
        </w:rPr>
        <w:t>，</w:t>
      </w:r>
      <w:r>
        <w:rPr>
          <w:rFonts w:hint="eastAsia" w:ascii="仿宋_GB2312" w:eastAsia="仿宋_GB2312"/>
          <w:color w:val="000000"/>
          <w:sz w:val="32"/>
          <w:szCs w:val="32"/>
          <w:highlight w:val="none"/>
          <w:lang w:eastAsia="zh-CN"/>
        </w:rPr>
        <w:t>壤塘县尕多乡人民政府</w:t>
      </w:r>
      <w:r>
        <w:rPr>
          <w:rFonts w:hint="eastAsia" w:ascii="仿宋_GB2312" w:eastAsia="仿宋_GB2312"/>
          <w:color w:val="000000"/>
          <w:sz w:val="32"/>
          <w:szCs w:val="32"/>
          <w:highlight w:val="none"/>
        </w:rPr>
        <w:t>机关运行经费支出</w:t>
      </w:r>
      <w:r>
        <w:rPr>
          <w:rFonts w:hint="eastAsia" w:ascii="仿宋_GB2312" w:eastAsia="仿宋_GB2312"/>
          <w:color w:val="000000"/>
          <w:sz w:val="32"/>
          <w:szCs w:val="32"/>
          <w:highlight w:val="none"/>
          <w:lang w:val="en-US" w:eastAsia="zh-CN"/>
        </w:rPr>
        <w:t>164.89</w:t>
      </w:r>
      <w:r>
        <w:rPr>
          <w:rFonts w:hint="eastAsia" w:ascii="仿宋_GB2312" w:eastAsia="仿宋_GB2312"/>
          <w:color w:val="000000"/>
          <w:sz w:val="32"/>
          <w:szCs w:val="32"/>
          <w:highlight w:val="none"/>
        </w:rPr>
        <w:t>万元，比</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w:t>
      </w:r>
      <w:r>
        <w:rPr>
          <w:rFonts w:hint="eastAsia" w:ascii="仿宋_GB2312" w:eastAsia="仿宋_GB2312"/>
          <w:color w:val="000000"/>
          <w:sz w:val="32"/>
          <w:szCs w:val="32"/>
          <w:highlight w:val="none"/>
          <w:lang w:val="en-US" w:eastAsia="zh-CN"/>
        </w:rPr>
        <w:t>减少32.92</w:t>
      </w:r>
      <w:r>
        <w:rPr>
          <w:rFonts w:hint="eastAsia" w:ascii="仿宋_GB2312" w:eastAsia="仿宋_GB2312"/>
          <w:color w:val="000000"/>
          <w:sz w:val="32"/>
          <w:szCs w:val="32"/>
          <w:highlight w:val="none"/>
        </w:rPr>
        <w:t>万元，</w:t>
      </w:r>
      <w:r>
        <w:rPr>
          <w:rFonts w:hint="eastAsia" w:ascii="仿宋_GB2312" w:eastAsia="仿宋_GB2312"/>
          <w:color w:val="000000"/>
          <w:sz w:val="32"/>
          <w:szCs w:val="32"/>
          <w:highlight w:val="none"/>
          <w:lang w:val="en-US" w:eastAsia="zh-CN"/>
        </w:rPr>
        <w:t>下降16.64</w:t>
      </w:r>
      <w:r>
        <w:rPr>
          <w:rFonts w:ascii="仿宋_GB2312" w:eastAsia="仿宋_GB2312"/>
          <w:color w:val="000000"/>
          <w:sz w:val="32"/>
          <w:szCs w:val="32"/>
          <w:highlight w:val="none"/>
        </w:rPr>
        <w:t>%</w:t>
      </w:r>
      <w:r>
        <w:rPr>
          <w:rFonts w:hint="eastAsia" w:ascii="仿宋_GB2312" w:eastAsia="仿宋_GB2312"/>
          <w:color w:val="000000"/>
          <w:sz w:val="32"/>
          <w:szCs w:val="32"/>
          <w:highlight w:val="none"/>
          <w:lang w:eastAsia="zh-CN"/>
        </w:rPr>
        <w:t>。</w:t>
      </w:r>
      <w:r>
        <w:rPr>
          <w:rFonts w:hint="eastAsia" w:ascii="仿宋_GB2312" w:eastAsia="仿宋_GB2312"/>
          <w:color w:val="000000"/>
          <w:sz w:val="32"/>
          <w:szCs w:val="32"/>
          <w:highlight w:val="none"/>
        </w:rPr>
        <w:t>主要原因是</w:t>
      </w:r>
      <w:r>
        <w:rPr>
          <w:rFonts w:hint="eastAsia" w:ascii="仿宋_GB2312" w:eastAsia="仿宋_GB2312"/>
          <w:color w:val="000000"/>
          <w:sz w:val="32"/>
          <w:szCs w:val="32"/>
          <w:highlight w:val="none"/>
          <w:lang w:val="en-US" w:eastAsia="zh-CN"/>
        </w:rPr>
        <w:t>2025年比</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w:t>
      </w:r>
      <w:r>
        <w:rPr>
          <w:rFonts w:hint="eastAsia" w:ascii="仿宋_GB2312" w:eastAsia="仿宋_GB2312"/>
          <w:color w:val="000000"/>
          <w:sz w:val="32"/>
          <w:szCs w:val="32"/>
          <w:highlight w:val="none"/>
          <w:lang w:val="en-US" w:eastAsia="zh-CN"/>
        </w:rPr>
        <w:t>相比是</w:t>
      </w:r>
      <w:r>
        <w:rPr>
          <w:rFonts w:hint="eastAsia" w:ascii="方正仿宋_GB2312" w:hAnsi="方正仿宋_GB2312" w:eastAsia="方正仿宋_GB2312" w:cs="方正仿宋_GB2312"/>
          <w:color w:val="000000"/>
          <w:sz w:val="32"/>
          <w:szCs w:val="32"/>
          <w:lang w:val="en-US" w:eastAsia="zh-CN"/>
        </w:rPr>
        <w:t>我单位“三公”经费支出减少，人员基数变化小等因素</w:t>
      </w:r>
      <w:r>
        <w:rPr>
          <w:rFonts w:hint="eastAsia" w:ascii="方正仿宋_GB2312" w:hAnsi="方正仿宋_GB2312" w:eastAsia="方正仿宋_GB2312" w:cs="方正仿宋_GB2312"/>
          <w:color w:val="000000"/>
          <w:sz w:val="32"/>
          <w:szCs w:val="32"/>
          <w:highlight w:val="none"/>
          <w:lang w:val="en-US" w:eastAsia="zh-CN"/>
        </w:rPr>
        <w:t>。</w:t>
      </w:r>
    </w:p>
    <w:p>
      <w:pPr>
        <w:autoSpaceDE w:val="0"/>
        <w:autoSpaceDN w:val="0"/>
        <w:adjustRightInd w:val="0"/>
        <w:spacing w:line="600" w:lineRule="exact"/>
        <w:ind w:firstLine="642" w:firstLineChars="200"/>
        <w:jc w:val="left"/>
        <w:outlineLvl w:val="2"/>
        <w:rPr>
          <w:rFonts w:ascii="仿宋" w:hAnsi="仿宋" w:eastAsia="仿宋"/>
          <w:b/>
          <w:color w:val="auto"/>
          <w:sz w:val="32"/>
          <w:szCs w:val="32"/>
          <w:highlight w:val="none"/>
        </w:rPr>
      </w:pPr>
      <w:r>
        <w:rPr>
          <w:rFonts w:hint="eastAsia" w:ascii="仿宋" w:hAnsi="仿宋" w:eastAsia="仿宋"/>
          <w:b/>
          <w:color w:val="auto"/>
          <w:sz w:val="32"/>
          <w:szCs w:val="32"/>
          <w:highlight w:val="none"/>
        </w:rPr>
        <w:t>（二）政府采购支出情况</w:t>
      </w:r>
    </w:p>
    <w:p>
      <w:pPr>
        <w:pageBreakBefore w:val="0"/>
        <w:kinsoku/>
        <w:wordWrap/>
        <w:overflowPunct/>
        <w:topLinePunct w:val="0"/>
        <w:bidi w:val="0"/>
        <w:spacing w:line="560" w:lineRule="exact"/>
        <w:ind w:left="0" w:leftChars="0" w:firstLine="640"/>
        <w:rPr>
          <w:rFonts w:ascii="仿宋_GB2312" w:eastAsia="仿宋_GB2312"/>
          <w:color w:val="000000" w:themeColor="text1"/>
          <w:sz w:val="32"/>
          <w:szCs w:val="32"/>
          <w:highlight w:val="none"/>
          <w14:textFill>
            <w14:solidFill>
              <w14:schemeClr w14:val="tx1"/>
            </w14:solidFill>
          </w14:textFill>
        </w:rPr>
      </w:pPr>
      <w:r>
        <w:rPr>
          <w:rFonts w:ascii="仿宋_GB2312" w:eastAsia="仿宋_GB2312"/>
          <w:color w:val="000000" w:themeColor="text1"/>
          <w:sz w:val="32"/>
          <w:szCs w:val="32"/>
          <w:highlight w:val="none"/>
          <w14:textFill>
            <w14:solidFill>
              <w14:schemeClr w14:val="tx1"/>
            </w14:solidFill>
          </w14:textFill>
        </w:rPr>
        <w:t>202</w:t>
      </w:r>
      <w:r>
        <w:rPr>
          <w:rFonts w:hint="eastAsia" w:ascii="仿宋_GB2312" w:eastAsia="仿宋_GB2312"/>
          <w:color w:val="000000" w:themeColor="text1"/>
          <w:sz w:val="32"/>
          <w:szCs w:val="32"/>
          <w:highlight w:val="none"/>
          <w:lang w:val="en-US" w:eastAsia="zh-CN"/>
          <w14:textFill>
            <w14:solidFill>
              <w14:schemeClr w14:val="tx1"/>
            </w14:solidFill>
          </w14:textFill>
        </w:rPr>
        <w:t>5</w:t>
      </w:r>
      <w:r>
        <w:rPr>
          <w:rFonts w:hint="eastAsia" w:ascii="仿宋_GB2312" w:eastAsia="仿宋_GB2312"/>
          <w:color w:val="000000" w:themeColor="text1"/>
          <w:sz w:val="32"/>
          <w:szCs w:val="32"/>
          <w:highlight w:val="none"/>
          <w14:textFill>
            <w14:solidFill>
              <w14:schemeClr w14:val="tx1"/>
            </w14:solidFill>
          </w14:textFill>
        </w:rPr>
        <w:t>年，</w:t>
      </w:r>
      <w:r>
        <w:rPr>
          <w:rFonts w:hint="eastAsia" w:ascii="仿宋_GB2312" w:eastAsia="仿宋_GB2312"/>
          <w:color w:val="000000" w:themeColor="text1"/>
          <w:sz w:val="32"/>
          <w:szCs w:val="32"/>
          <w:highlight w:val="none"/>
          <w:lang w:eastAsia="zh-CN"/>
          <w14:textFill>
            <w14:solidFill>
              <w14:schemeClr w14:val="tx1"/>
            </w14:solidFill>
          </w14:textFill>
        </w:rPr>
        <w:t>壤塘县尕多乡人民政府，</w:t>
      </w:r>
      <w:r>
        <w:rPr>
          <w:rFonts w:hint="eastAsia" w:ascii="仿宋_GB2312" w:eastAsia="仿宋_GB2312"/>
          <w:color w:val="000000" w:themeColor="text1"/>
          <w:sz w:val="32"/>
          <w:szCs w:val="32"/>
          <w:highlight w:val="none"/>
          <w:lang w:val="en-US" w:eastAsia="zh-CN"/>
          <w14:textFill>
            <w14:solidFill>
              <w14:schemeClr w14:val="tx1"/>
            </w14:solidFill>
          </w14:textFill>
        </w:rPr>
        <w:t>政府</w:t>
      </w:r>
      <w:r>
        <w:rPr>
          <w:rFonts w:hint="eastAsia" w:ascii="仿宋_GB2312" w:eastAsia="仿宋_GB2312"/>
          <w:color w:val="000000" w:themeColor="text1"/>
          <w:sz w:val="32"/>
          <w:szCs w:val="32"/>
          <w:highlight w:val="none"/>
          <w14:textFill>
            <w14:solidFill>
              <w14:schemeClr w14:val="tx1"/>
            </w14:solidFill>
          </w14:textFill>
        </w:rPr>
        <w:t>采购支出总额</w:t>
      </w:r>
      <w:r>
        <w:rPr>
          <w:rFonts w:hint="eastAsia" w:ascii="仿宋_GB2312" w:eastAsia="仿宋_GB2312"/>
          <w:color w:val="000000" w:themeColor="text1"/>
          <w:sz w:val="32"/>
          <w:szCs w:val="32"/>
          <w:highlight w:val="none"/>
          <w:lang w:val="en-US" w:eastAsia="zh-CN"/>
          <w14:textFill>
            <w14:solidFill>
              <w14:schemeClr w14:val="tx1"/>
            </w14:solidFill>
          </w14:textFill>
        </w:rPr>
        <w:t>383.62</w:t>
      </w:r>
      <w:r>
        <w:rPr>
          <w:rFonts w:hint="eastAsia" w:ascii="仿宋_GB2312" w:eastAsia="仿宋_GB2312"/>
          <w:color w:val="000000" w:themeColor="text1"/>
          <w:sz w:val="32"/>
          <w:szCs w:val="32"/>
          <w:highlight w:val="none"/>
          <w14:textFill>
            <w14:solidFill>
              <w14:schemeClr w14:val="tx1"/>
            </w14:solidFill>
          </w14:textFill>
        </w:rPr>
        <w:t>万元，其中：政府采购</w:t>
      </w:r>
      <w:r>
        <w:rPr>
          <w:rFonts w:hint="eastAsia" w:ascii="仿宋_GB2312" w:eastAsia="仿宋_GB2312"/>
          <w:color w:val="000000" w:themeColor="text1"/>
          <w:sz w:val="32"/>
          <w:szCs w:val="32"/>
          <w:highlight w:val="none"/>
          <w:lang w:eastAsia="zh-CN"/>
          <w14:textFill>
            <w14:solidFill>
              <w14:schemeClr w14:val="tx1"/>
            </w14:solidFill>
          </w14:textFill>
        </w:rPr>
        <w:t>工程</w:t>
      </w:r>
      <w:r>
        <w:rPr>
          <w:rFonts w:hint="eastAsia" w:ascii="仿宋_GB2312" w:eastAsia="仿宋_GB2312"/>
          <w:color w:val="000000" w:themeColor="text1"/>
          <w:sz w:val="32"/>
          <w:szCs w:val="32"/>
          <w:highlight w:val="none"/>
          <w14:textFill>
            <w14:solidFill>
              <w14:schemeClr w14:val="tx1"/>
            </w14:solidFill>
          </w14:textFill>
        </w:rPr>
        <w:t>支</w:t>
      </w:r>
      <w:r>
        <w:rPr>
          <w:rFonts w:hint="eastAsia" w:ascii="仿宋_GB2312" w:eastAsia="仿宋_GB2312"/>
          <w:color w:val="000000" w:themeColor="text1"/>
          <w:sz w:val="32"/>
          <w:szCs w:val="32"/>
          <w:highlight w:val="none"/>
          <w:lang w:eastAsia="zh-CN"/>
          <w14:textFill>
            <w14:solidFill>
              <w14:schemeClr w14:val="tx1"/>
            </w14:solidFill>
          </w14:textFill>
        </w:rPr>
        <w:t>出</w:t>
      </w:r>
      <w:r>
        <w:rPr>
          <w:rFonts w:hint="eastAsia" w:ascii="仿宋_GB2312" w:eastAsia="仿宋_GB2312"/>
          <w:color w:val="000000" w:themeColor="text1"/>
          <w:sz w:val="32"/>
          <w:szCs w:val="32"/>
          <w:highlight w:val="none"/>
          <w:lang w:val="en-US" w:eastAsia="zh-CN"/>
          <w14:textFill>
            <w14:solidFill>
              <w14:schemeClr w14:val="tx1"/>
            </w14:solidFill>
          </w14:textFill>
        </w:rPr>
        <w:t>248.35</w:t>
      </w:r>
      <w:r>
        <w:rPr>
          <w:rFonts w:hint="eastAsia" w:ascii="仿宋_GB2312" w:eastAsia="仿宋_GB2312"/>
          <w:color w:val="000000" w:themeColor="text1"/>
          <w:sz w:val="32"/>
          <w:szCs w:val="32"/>
          <w:highlight w:val="none"/>
          <w14:textFill>
            <w14:solidFill>
              <w14:schemeClr w14:val="tx1"/>
            </w14:solidFill>
          </w14:textFill>
        </w:rPr>
        <w:t>万元、政府采购服务支出</w:t>
      </w:r>
      <w:r>
        <w:rPr>
          <w:rFonts w:hint="eastAsia" w:ascii="仿宋_GB2312" w:eastAsia="仿宋_GB2312"/>
          <w:color w:val="000000" w:themeColor="text1"/>
          <w:sz w:val="32"/>
          <w:szCs w:val="32"/>
          <w:highlight w:val="none"/>
          <w:lang w:val="en-US" w:eastAsia="zh-CN"/>
          <w14:textFill>
            <w14:solidFill>
              <w14:schemeClr w14:val="tx1"/>
            </w14:solidFill>
          </w14:textFill>
        </w:rPr>
        <w:t>135.27</w:t>
      </w:r>
      <w:r>
        <w:rPr>
          <w:rFonts w:hint="eastAsia" w:ascii="仿宋_GB2312" w:eastAsia="仿宋_GB2312"/>
          <w:color w:val="000000" w:themeColor="text1"/>
          <w:sz w:val="32"/>
          <w:szCs w:val="32"/>
          <w:highlight w:val="none"/>
          <w14:textFill>
            <w14:solidFill>
              <w14:schemeClr w14:val="tx1"/>
            </w14:solidFill>
          </w14:textFill>
        </w:rPr>
        <w:t>万元。主要用于</w:t>
      </w:r>
      <w:r>
        <w:rPr>
          <w:rFonts w:hint="eastAsia" w:ascii="仿宋_GB2312" w:eastAsia="仿宋_GB2312"/>
          <w:color w:val="000000" w:themeColor="text1"/>
          <w:sz w:val="32"/>
          <w:szCs w:val="32"/>
          <w:highlight w:val="none"/>
          <w:lang w:eastAsia="zh-CN"/>
          <w14:textFill>
            <w14:solidFill>
              <w14:schemeClr w14:val="tx1"/>
            </w14:solidFill>
          </w14:textFill>
        </w:rPr>
        <w:t>支付工程工程支出，</w:t>
      </w:r>
      <w:r>
        <w:rPr>
          <w:rFonts w:hint="eastAsia" w:ascii="仿宋_GB2312" w:eastAsia="仿宋_GB2312"/>
          <w:color w:val="000000" w:themeColor="text1"/>
          <w:sz w:val="32"/>
          <w:szCs w:val="32"/>
          <w:highlight w:val="none"/>
          <w14:textFill>
            <w14:solidFill>
              <w14:schemeClr w14:val="tx1"/>
            </w14:solidFill>
          </w14:textFill>
        </w:rPr>
        <w:t>授予小微企业合同金额</w:t>
      </w:r>
      <w:r>
        <w:rPr>
          <w:rFonts w:hint="eastAsia" w:ascii="仿宋_GB2312" w:eastAsia="仿宋_GB2312"/>
          <w:color w:val="000000" w:themeColor="text1"/>
          <w:sz w:val="32"/>
          <w:szCs w:val="32"/>
          <w:highlight w:val="none"/>
          <w:lang w:val="en-US" w:eastAsia="zh-CN"/>
          <w14:textFill>
            <w14:solidFill>
              <w14:schemeClr w14:val="tx1"/>
            </w14:solidFill>
          </w14:textFill>
        </w:rPr>
        <w:t>383.62</w:t>
      </w:r>
      <w:r>
        <w:rPr>
          <w:rFonts w:hint="eastAsia" w:ascii="仿宋_GB2312" w:eastAsia="仿宋_GB2312"/>
          <w:color w:val="000000" w:themeColor="text1"/>
          <w:sz w:val="32"/>
          <w:szCs w:val="32"/>
          <w:highlight w:val="none"/>
          <w14:textFill>
            <w14:solidFill>
              <w14:schemeClr w14:val="tx1"/>
            </w14:solidFill>
          </w14:textFill>
        </w:rPr>
        <w:t>万元</w:t>
      </w:r>
      <w:r>
        <w:rPr>
          <w:rFonts w:hint="eastAsia" w:ascii="仿宋_GB2312" w:eastAsia="仿宋_GB2312"/>
          <w:color w:val="000000" w:themeColor="text1"/>
          <w:sz w:val="32"/>
          <w:szCs w:val="32"/>
          <w:highlight w:val="none"/>
          <w:lang w:eastAsia="zh-CN"/>
          <w14:textFill>
            <w14:solidFill>
              <w14:schemeClr w14:val="tx1"/>
            </w14:solidFill>
          </w14:textFill>
        </w:rPr>
        <w:t>，</w:t>
      </w:r>
      <w:r>
        <w:rPr>
          <w:rFonts w:hint="eastAsia" w:ascii="仿宋_GB2312" w:eastAsia="仿宋_GB2312"/>
          <w:color w:val="000000" w:themeColor="text1"/>
          <w:sz w:val="32"/>
          <w:szCs w:val="32"/>
          <w:highlight w:val="none"/>
          <w14:textFill>
            <w14:solidFill>
              <w14:schemeClr w14:val="tx1"/>
            </w14:solidFill>
          </w14:textFill>
        </w:rPr>
        <w:t>占政府采购支出总额的</w:t>
      </w:r>
      <w:r>
        <w:rPr>
          <w:rFonts w:hint="eastAsia" w:ascii="仿宋_GB2312" w:eastAsia="仿宋_GB2312"/>
          <w:color w:val="000000" w:themeColor="text1"/>
          <w:sz w:val="32"/>
          <w:szCs w:val="32"/>
          <w:highlight w:val="none"/>
          <w:lang w:val="en-US" w:eastAsia="zh-CN"/>
          <w14:textFill>
            <w14:solidFill>
              <w14:schemeClr w14:val="tx1"/>
            </w14:solidFill>
          </w14:textFill>
        </w:rPr>
        <w:t>100</w:t>
      </w:r>
      <w:r>
        <w:rPr>
          <w:rFonts w:ascii="仿宋_GB2312" w:eastAsia="仿宋_GB2312"/>
          <w:color w:val="000000" w:themeColor="text1"/>
          <w:sz w:val="32"/>
          <w:szCs w:val="32"/>
          <w:highlight w:val="none"/>
          <w14:textFill>
            <w14:solidFill>
              <w14:schemeClr w14:val="tx1"/>
            </w14:solidFill>
          </w14:textFill>
        </w:rPr>
        <w:t>%</w:t>
      </w:r>
      <w:r>
        <w:rPr>
          <w:rFonts w:hint="eastAsia" w:ascii="仿宋_GB2312" w:eastAsia="仿宋_GB2312"/>
          <w:color w:val="000000" w:themeColor="text1"/>
          <w:sz w:val="32"/>
          <w:szCs w:val="32"/>
          <w:highlight w:val="none"/>
          <w14:textFill>
            <w14:solidFill>
              <w14:schemeClr w14:val="tx1"/>
            </w14:solidFill>
          </w14:textFill>
        </w:rPr>
        <w:t>，其中：授予小微企业合同金额</w:t>
      </w:r>
      <w:r>
        <w:rPr>
          <w:rFonts w:hint="eastAsia" w:ascii="仿宋_GB2312" w:eastAsia="仿宋_GB2312"/>
          <w:color w:val="000000" w:themeColor="text1"/>
          <w:sz w:val="32"/>
          <w:szCs w:val="32"/>
          <w:highlight w:val="none"/>
          <w:lang w:val="en-US" w:eastAsia="zh-CN"/>
          <w14:textFill>
            <w14:solidFill>
              <w14:schemeClr w14:val="tx1"/>
            </w14:solidFill>
          </w14:textFill>
        </w:rPr>
        <w:t>383.62</w:t>
      </w:r>
      <w:r>
        <w:rPr>
          <w:rFonts w:hint="eastAsia" w:ascii="仿宋_GB2312" w:eastAsia="仿宋_GB2312"/>
          <w:color w:val="000000" w:themeColor="text1"/>
          <w:sz w:val="32"/>
          <w:szCs w:val="32"/>
          <w:highlight w:val="none"/>
          <w14:textFill>
            <w14:solidFill>
              <w14:schemeClr w14:val="tx1"/>
            </w14:solidFill>
          </w14:textFill>
        </w:rPr>
        <w:t>万元，占政府采购支出总额的</w:t>
      </w:r>
      <w:r>
        <w:rPr>
          <w:rFonts w:hint="eastAsia" w:ascii="仿宋_GB2312" w:eastAsia="仿宋_GB2312"/>
          <w:color w:val="000000" w:themeColor="text1"/>
          <w:sz w:val="32"/>
          <w:szCs w:val="32"/>
          <w:highlight w:val="none"/>
          <w:lang w:val="en-US" w:eastAsia="zh-CN"/>
          <w14:textFill>
            <w14:solidFill>
              <w14:schemeClr w14:val="tx1"/>
            </w14:solidFill>
          </w14:textFill>
        </w:rPr>
        <w:t>100</w:t>
      </w:r>
      <w:r>
        <w:rPr>
          <w:rFonts w:ascii="仿宋_GB2312" w:eastAsia="仿宋_GB2312"/>
          <w:color w:val="000000" w:themeColor="text1"/>
          <w:sz w:val="32"/>
          <w:szCs w:val="32"/>
          <w:highlight w:val="none"/>
          <w14:textFill>
            <w14:solidFill>
              <w14:schemeClr w14:val="tx1"/>
            </w14:solidFill>
          </w14:textFill>
        </w:rPr>
        <w:t>%</w:t>
      </w:r>
      <w:r>
        <w:rPr>
          <w:rFonts w:hint="eastAsia" w:ascii="仿宋_GB2312" w:eastAsia="仿宋_GB2312"/>
          <w:color w:val="000000" w:themeColor="text1"/>
          <w:sz w:val="32"/>
          <w:szCs w:val="32"/>
          <w:highlight w:val="none"/>
          <w14:textFill>
            <w14:solidFill>
              <w14:schemeClr w14:val="tx1"/>
            </w14:solidFill>
          </w14:textFill>
        </w:rPr>
        <w:t>。</w:t>
      </w:r>
    </w:p>
    <w:p>
      <w:pPr>
        <w:autoSpaceDE w:val="0"/>
        <w:autoSpaceDN w:val="0"/>
        <w:adjustRightInd w:val="0"/>
        <w:spacing w:line="600" w:lineRule="exact"/>
        <w:ind w:firstLine="642" w:firstLineChars="200"/>
        <w:jc w:val="left"/>
        <w:outlineLvl w:val="2"/>
        <w:rPr>
          <w:rFonts w:ascii="仿宋" w:hAnsi="仿宋" w:eastAsia="仿宋"/>
          <w:b/>
          <w:color w:val="auto"/>
          <w:sz w:val="32"/>
          <w:szCs w:val="32"/>
          <w:highlight w:val="none"/>
        </w:rPr>
      </w:pPr>
      <w:r>
        <w:rPr>
          <w:rFonts w:hint="eastAsia" w:ascii="仿宋" w:hAnsi="仿宋" w:eastAsia="仿宋"/>
          <w:b/>
          <w:color w:val="auto"/>
          <w:sz w:val="32"/>
          <w:szCs w:val="32"/>
          <w:highlight w:val="none"/>
        </w:rPr>
        <w:t>（三）国有资产占有使用情况</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720"/>
        <w:textAlignment w:val="auto"/>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2025年12月31日，壤塘县尕多乡人民政府共有车辆3辆，其中：主要领导干部用车0辆、机要通信用车0辆、应急保障用车0辆、越野车0辆、其他用车3辆，其他用车主要是用于：日常开展乡村振兴、下村宣讲、开展群众工作、上县所需公务用车的燃料费，日常公务用车维修费及保险费、公务用车燃料费、维修费、过路过桥费、保险费等。</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720"/>
        <w:textAlignment w:val="auto"/>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单价50万元以上通用设备0台（套），单价100万元以上专用设备（不含车辆）0台（套）。</w:t>
      </w:r>
    </w:p>
    <w:p>
      <w:pPr>
        <w:autoSpaceDE w:val="0"/>
        <w:autoSpaceDN w:val="0"/>
        <w:adjustRightInd w:val="0"/>
        <w:spacing w:line="600" w:lineRule="exact"/>
        <w:ind w:firstLine="642" w:firstLineChars="200"/>
        <w:jc w:val="left"/>
        <w:outlineLvl w:val="2"/>
        <w:rPr>
          <w:rFonts w:hint="eastAsia" w:ascii="仿宋" w:hAnsi="仿宋" w:eastAsia="仿宋"/>
          <w:b/>
          <w:color w:val="auto"/>
          <w:sz w:val="32"/>
          <w:szCs w:val="32"/>
          <w:highlight w:val="none"/>
          <w:lang w:eastAsia="zh-CN"/>
        </w:rPr>
      </w:pPr>
      <w:r>
        <w:rPr>
          <w:rFonts w:hint="eastAsia" w:ascii="仿宋" w:hAnsi="仿宋" w:eastAsia="仿宋"/>
          <w:b/>
          <w:color w:val="auto"/>
          <w:sz w:val="32"/>
          <w:szCs w:val="32"/>
          <w:highlight w:val="none"/>
        </w:rPr>
        <w:t>（四）预算绩效管理情况</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720"/>
        <w:textAlignment w:val="auto"/>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 xml:space="preserve"> 根据预算绩效管理要求，本部门在2025年度预算编制阶段，组织对“壤塘县尕多乡标准化种植基地项目”</w:t>
      </w:r>
      <w:r>
        <w:rPr>
          <w:rFonts w:hint="eastAsia" w:ascii="方正仿宋_GB2312" w:hAnsi="方正仿宋_GB2312" w:eastAsia="方正仿宋_GB2312" w:cs="方正仿宋_GB2312"/>
          <w:sz w:val="32"/>
          <w:szCs w:val="32"/>
          <w:lang w:val="zh-CN" w:eastAsia="zh-CN"/>
        </w:rPr>
        <w:t>“</w:t>
      </w:r>
      <w:r>
        <w:rPr>
          <w:rFonts w:hint="eastAsia" w:ascii="方正仿宋_GB2312" w:hAnsi="方正仿宋_GB2312" w:eastAsia="方正仿宋_GB2312" w:cs="方正仿宋_GB2312"/>
          <w:sz w:val="32"/>
          <w:szCs w:val="32"/>
          <w:lang w:val="en-US" w:eastAsia="zh-CN"/>
        </w:rPr>
        <w:t>壤塘县尕多乡过境路沿线网围栏提升项目”“壤塘县尕多乡奶源路建设项目”“壤塘县尕多乡刑木达和美乡村农旅产业配套基础设施建设项目”等6个项目开展了预算事前绩效评估，对1个项目编制了绩效目标，在预算执行过程中，选取1个项目开展绩效监控。</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720"/>
        <w:textAlignment w:val="auto"/>
        <w:rPr>
          <w:rFonts w:hint="eastAsia" w:ascii="方正仿宋_GB2312" w:hAnsi="方正仿宋_GB2312" w:eastAsia="方正仿宋_GB2312" w:cs="方正仿宋_GB2312"/>
          <w:color w:val="000000" w:themeColor="text1"/>
          <w:sz w:val="32"/>
          <w:szCs w:val="32"/>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sz w:val="32"/>
          <w:szCs w:val="32"/>
          <w:lang w:val="en-US" w:eastAsia="zh-CN"/>
          <w14:textFill>
            <w14:solidFill>
              <w14:schemeClr w14:val="tx1"/>
            </w14:solidFill>
          </w14:textFill>
        </w:rPr>
        <w:t>组织对2025年度一般公共预算、政府性基金预算、国有资本经营预算、社会保险基金预算以及资本资产、债券资金等全面开展绩效自评，形成壤塘县尕多乡部门整体绩效自评报告、“壤塘县尕多乡标准化种植基地项目”</w:t>
      </w:r>
      <w:r>
        <w:rPr>
          <w:rFonts w:hint="eastAsia" w:ascii="方正仿宋_GB2312" w:hAnsi="方正仿宋_GB2312" w:eastAsia="方正仿宋_GB2312" w:cs="方正仿宋_GB2312"/>
          <w:color w:val="000000" w:themeColor="text1"/>
          <w:sz w:val="32"/>
          <w:szCs w:val="32"/>
          <w:lang w:val="zh-CN" w:eastAsia="zh-CN"/>
          <w14:textFill>
            <w14:solidFill>
              <w14:schemeClr w14:val="tx1"/>
            </w14:solidFill>
          </w14:textFill>
        </w:rPr>
        <w:t>“</w:t>
      </w:r>
      <w:r>
        <w:rPr>
          <w:rFonts w:hint="eastAsia" w:ascii="方正仿宋_GB2312" w:hAnsi="方正仿宋_GB2312" w:eastAsia="方正仿宋_GB2312" w:cs="方正仿宋_GB2312"/>
          <w:color w:val="000000" w:themeColor="text1"/>
          <w:sz w:val="32"/>
          <w:szCs w:val="32"/>
          <w:lang w:val="en-US" w:eastAsia="zh-CN"/>
          <w14:textFill>
            <w14:solidFill>
              <w14:schemeClr w14:val="tx1"/>
            </w14:solidFill>
          </w14:textFill>
        </w:rPr>
        <w:t>壤塘县尕多乡过境路沿线网围栏提升项目”“壤塘县尕多乡奶源路建设项目”“壤塘县尕多乡刑木达和美乡村农旅产业配套基础设施建设项目”等专项预算项目绩效自评报告，其中，壤塘县尕多乡整体绩效自评得分为88分，“壤塘县尕多乡刑木达和美乡村农旅产业配套基础设施建设项目”专项预算项目绩效自评得分为98分，绩效自评报告详见附件。</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720"/>
        <w:textAlignment w:val="auto"/>
        <w:rPr>
          <w:rFonts w:hint="eastAsia" w:ascii="方正仿宋_GB2312" w:hAnsi="方正仿宋_GB2312" w:eastAsia="方正仿宋_GB2312" w:cs="方正仿宋_GB2312"/>
          <w:color w:val="000000" w:themeColor="text1"/>
          <w:sz w:val="32"/>
          <w:szCs w:val="32"/>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sz w:val="32"/>
          <w:szCs w:val="32"/>
          <w:lang w:val="en-US" w:eastAsia="zh-CN"/>
          <w14:textFill>
            <w14:solidFill>
              <w14:schemeClr w14:val="tx1"/>
            </w14:solidFill>
          </w14:textFill>
        </w:rPr>
        <w:t>“壤塘县尕多乡刑木达和美乡村农旅产业配套基础设施建设项目”绩效目标完成情况综述。项目全年预算数2500万元，执行数为2269.22万元，完成预算的90.77%。通过项目实施，</w:t>
      </w:r>
      <w:r>
        <w:rPr>
          <w:rFonts w:ascii="仿宋" w:hAnsi="仿宋" w:eastAsia="仿宋" w:cs="仿宋"/>
          <w:color w:val="000000" w:themeColor="text1"/>
          <w:sz w:val="31"/>
          <w:szCs w:val="31"/>
          <w14:textFill>
            <w14:solidFill>
              <w14:schemeClr w14:val="tx1"/>
            </w14:solidFill>
          </w14:textFill>
        </w:rPr>
        <w:t>将有效</w:t>
      </w:r>
      <w:r>
        <w:rPr>
          <w:rFonts w:hint="eastAsia" w:ascii="仿宋" w:hAnsi="仿宋" w:eastAsia="仿宋" w:cs="仿宋"/>
          <w:color w:val="000000" w:themeColor="text1"/>
          <w:sz w:val="31"/>
          <w:szCs w:val="31"/>
          <w:lang w:val="en-US" w:eastAsia="zh-CN"/>
          <w14:textFill>
            <w14:solidFill>
              <w14:schemeClr w14:val="tx1"/>
            </w14:solidFill>
          </w14:textFill>
        </w:rPr>
        <w:t>提升当地基础设施条件</w:t>
      </w:r>
      <w:r>
        <w:rPr>
          <w:rFonts w:hint="eastAsia" w:ascii="仿宋" w:hAnsi="仿宋" w:eastAsia="仿宋" w:cs="仿宋"/>
          <w:color w:val="000000" w:themeColor="text1"/>
          <w:sz w:val="31"/>
          <w:szCs w:val="31"/>
          <w:lang w:eastAsia="zh-CN"/>
          <w14:textFill>
            <w14:solidFill>
              <w14:schemeClr w14:val="tx1"/>
            </w14:solidFill>
          </w14:textFill>
        </w:rPr>
        <w:t>，</w:t>
      </w:r>
      <w:r>
        <w:rPr>
          <w:rFonts w:ascii="仿宋" w:hAnsi="仿宋" w:eastAsia="仿宋" w:cs="仿宋"/>
          <w:color w:val="000000" w:themeColor="text1"/>
          <w:sz w:val="31"/>
          <w:szCs w:val="31"/>
          <w14:textFill>
            <w14:solidFill>
              <w14:schemeClr w14:val="tx1"/>
            </w14:solidFill>
          </w14:textFill>
        </w:rPr>
        <w:t>还可以带动当</w:t>
      </w:r>
      <w:r>
        <w:rPr>
          <w:rFonts w:ascii="仿宋" w:hAnsi="仿宋" w:eastAsia="仿宋" w:cs="仿宋"/>
          <w:color w:val="000000" w:themeColor="text1"/>
          <w:spacing w:val="-1"/>
          <w:sz w:val="31"/>
          <w:szCs w:val="31"/>
          <w14:textFill>
            <w14:solidFill>
              <w14:schemeClr w14:val="tx1"/>
            </w14:solidFill>
          </w14:textFill>
        </w:rPr>
        <w:t>地老百姓</w:t>
      </w:r>
      <w:r>
        <w:rPr>
          <w:rFonts w:ascii="仿宋" w:hAnsi="仿宋" w:eastAsia="仿宋" w:cs="仿宋"/>
          <w:color w:val="000000" w:themeColor="text1"/>
          <w:sz w:val="31"/>
          <w:szCs w:val="31"/>
          <w14:textFill>
            <w14:solidFill>
              <w14:schemeClr w14:val="tx1"/>
            </w14:solidFill>
          </w14:textFill>
        </w:rPr>
        <w:t>增收。项目实施后</w:t>
      </w:r>
      <w:r>
        <w:rPr>
          <w:rFonts w:hint="eastAsia" w:ascii="仿宋" w:hAnsi="仿宋" w:eastAsia="仿宋" w:cs="仿宋"/>
          <w:color w:val="000000" w:themeColor="text1"/>
          <w:sz w:val="31"/>
          <w:szCs w:val="31"/>
          <w:lang w:val="en-US" w:eastAsia="zh-CN"/>
          <w14:textFill>
            <w14:solidFill>
              <w14:schemeClr w14:val="tx1"/>
            </w14:solidFill>
          </w14:textFill>
        </w:rPr>
        <w:t>将进一步改善当地基础设施条件，带动当地群众参与项目务工</w:t>
      </w:r>
      <w:r>
        <w:rPr>
          <w:rFonts w:hint="eastAsia" w:ascii="仿宋" w:hAnsi="仿宋" w:eastAsia="仿宋" w:cs="仿宋"/>
          <w:color w:val="000000" w:themeColor="text1"/>
          <w:spacing w:val="5"/>
          <w:sz w:val="31"/>
          <w:szCs w:val="31"/>
          <w:lang w:eastAsia="zh-CN"/>
          <w14:textFill>
            <w14:solidFill>
              <w14:schemeClr w14:val="tx1"/>
            </w14:solidFill>
          </w14:textFill>
        </w:rPr>
        <w:t>，</w:t>
      </w:r>
      <w:r>
        <w:rPr>
          <w:rFonts w:ascii="仿宋" w:hAnsi="仿宋" w:eastAsia="仿宋" w:cs="仿宋"/>
          <w:color w:val="000000" w:themeColor="text1"/>
          <w:spacing w:val="5"/>
          <w:sz w:val="31"/>
          <w:szCs w:val="31"/>
          <w14:textFill>
            <w14:solidFill>
              <w14:schemeClr w14:val="tx1"/>
            </w14:solidFill>
          </w14:textFill>
        </w:rPr>
        <w:t>同时提高村经济效益和社会效</w:t>
      </w:r>
      <w:r>
        <w:rPr>
          <w:rFonts w:ascii="仿宋" w:hAnsi="仿宋" w:eastAsia="仿宋" w:cs="仿宋"/>
          <w:color w:val="000000" w:themeColor="text1"/>
          <w:spacing w:val="8"/>
          <w:sz w:val="31"/>
          <w:szCs w:val="31"/>
          <w14:textFill>
            <w14:solidFill>
              <w14:schemeClr w14:val="tx1"/>
            </w14:solidFill>
          </w14:textFill>
        </w:rPr>
        <w:t>益</w:t>
      </w:r>
      <w:r>
        <w:rPr>
          <w:rFonts w:hint="eastAsia" w:ascii="仿宋" w:hAnsi="仿宋" w:eastAsia="仿宋" w:cs="仿宋"/>
          <w:color w:val="000000" w:themeColor="text1"/>
          <w:spacing w:val="8"/>
          <w:sz w:val="31"/>
          <w:szCs w:val="31"/>
          <w:lang w:eastAsia="zh-CN"/>
          <w14:textFill>
            <w14:solidFill>
              <w14:schemeClr w14:val="tx1"/>
            </w14:solidFill>
          </w14:textFill>
        </w:rPr>
        <w:t>，</w:t>
      </w:r>
      <w:r>
        <w:rPr>
          <w:rFonts w:hint="eastAsia" w:ascii="方正仿宋_GB2312" w:hAnsi="方正仿宋_GB2312" w:eastAsia="方正仿宋_GB2312" w:cs="方正仿宋_GB2312"/>
          <w:color w:val="000000" w:themeColor="text1"/>
          <w:sz w:val="32"/>
          <w:szCs w:val="32"/>
          <w:lang w:val="en-US" w:eastAsia="zh-CN"/>
          <w14:textFill>
            <w14:solidFill>
              <w14:schemeClr w14:val="tx1"/>
            </w14:solidFill>
          </w14:textFill>
        </w:rPr>
        <w:t>为有效衔接乡村振兴和产业发展奠定良好基础。</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720"/>
        <w:textAlignment w:val="auto"/>
        <w:rPr>
          <w:rFonts w:hint="eastAsia" w:ascii="方正仿宋_GB2312" w:hAnsi="方正仿宋_GB2312" w:eastAsia="方正仿宋_GB2312" w:cs="方正仿宋_GB2312"/>
          <w:color w:val="000000" w:themeColor="text1"/>
          <w:sz w:val="32"/>
          <w:szCs w:val="32"/>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sz w:val="32"/>
          <w:szCs w:val="32"/>
          <w:lang w:val="en-US" w:eastAsia="zh-CN"/>
          <w14:textFill>
            <w14:solidFill>
              <w14:schemeClr w14:val="tx1"/>
            </w14:solidFill>
          </w14:textFill>
        </w:rPr>
        <w:t>发现的主要问题：无。</w:t>
      </w:r>
    </w:p>
    <w:p>
      <w:pPr>
        <w:spacing w:line="600" w:lineRule="exact"/>
        <w:rPr>
          <w:rFonts w:hint="eastAsia" w:ascii="仿宋_GB2312" w:hAnsi="Times New Roman" w:eastAsia="仿宋_GB2312" w:cs="Times New Roman"/>
          <w:color w:val="auto"/>
          <w:sz w:val="32"/>
          <w:szCs w:val="32"/>
          <w:highlight w:val="none"/>
          <w:lang w:eastAsia="zh-CN"/>
        </w:rPr>
      </w:pPr>
      <w:r>
        <w:rPr>
          <w:rFonts w:hint="eastAsia" w:ascii="仿宋_GB2312" w:hAnsi="Times New Roman" w:eastAsia="仿宋_GB2312" w:cs="Times New Roman"/>
          <w:color w:val="auto"/>
          <w:sz w:val="32"/>
          <w:szCs w:val="32"/>
          <w:highlight w:val="none"/>
          <w:lang w:eastAsia="zh-CN"/>
        </w:rPr>
        <w:br w:type="page"/>
      </w:r>
    </w:p>
    <w:p>
      <w:pPr>
        <w:pStyle w:val="3"/>
        <w:pageBreakBefore w:val="0"/>
        <w:kinsoku/>
        <w:wordWrap/>
        <w:overflowPunct/>
        <w:topLinePunct w:val="0"/>
        <w:bidi w:val="0"/>
        <w:spacing w:before="0" w:after="0" w:line="560" w:lineRule="exact"/>
        <w:ind w:left="0" w:leftChars="0"/>
        <w:jc w:val="center"/>
        <w:rPr>
          <w:rFonts w:hint="eastAsia" w:ascii="方正小标宋_GBK" w:hAnsi="方正小标宋_GBK" w:eastAsia="方正小标宋_GBK" w:cs="方正小标宋_GBK"/>
          <w:b w:val="0"/>
          <w:bCs w:val="0"/>
        </w:rPr>
      </w:pPr>
      <w:bookmarkStart w:id="14" w:name="_Toc10924"/>
      <w:bookmarkStart w:id="15" w:name="_Toc15396613"/>
      <w:bookmarkStart w:id="16" w:name="_Toc15377225"/>
      <w:r>
        <w:rPr>
          <w:rFonts w:hint="eastAsia" w:ascii="方正小标宋_GBK" w:hAnsi="方正小标宋_GBK" w:eastAsia="方正小标宋_GBK" w:cs="方正小标宋_GBK"/>
          <w:b w:val="0"/>
          <w:bCs w:val="0"/>
          <w:lang w:eastAsia="zh-CN"/>
        </w:rPr>
        <w:t>第三部分</w:t>
      </w:r>
      <w:r>
        <w:rPr>
          <w:rFonts w:hint="eastAsia" w:ascii="方正小标宋_GBK" w:hAnsi="方正小标宋_GBK" w:eastAsia="方正小标宋_GBK" w:cs="方正小标宋_GBK"/>
          <w:b w:val="0"/>
          <w:bCs w:val="0"/>
          <w:lang w:val="en-US" w:eastAsia="zh-CN"/>
        </w:rPr>
        <w:t xml:space="preserve"> </w:t>
      </w:r>
      <w:r>
        <w:rPr>
          <w:rFonts w:hint="eastAsia" w:ascii="方正小标宋_GBK" w:hAnsi="方正小标宋_GBK" w:eastAsia="方正小标宋_GBK" w:cs="方正小标宋_GBK"/>
          <w:b w:val="0"/>
          <w:bCs w:val="0"/>
        </w:rPr>
        <w:t>名词解释</w:t>
      </w:r>
      <w:bookmarkEnd w:id="14"/>
      <w:bookmarkEnd w:id="15"/>
      <w:bookmarkEnd w:id="16"/>
    </w:p>
    <w:p>
      <w:pPr>
        <w:pStyle w:val="8"/>
        <w:pageBreakBefore w:val="0"/>
        <w:kinsoku/>
        <w:wordWrap/>
        <w:overflowPunct/>
        <w:topLinePunct w:val="0"/>
        <w:bidi w:val="0"/>
        <w:spacing w:after="0" w:line="560" w:lineRule="exact"/>
        <w:ind w:left="0" w:leftChars="0"/>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1.财政拨款收入：指单位从同级财政部门取得的财政预算资金。</w:t>
      </w:r>
    </w:p>
    <w:p>
      <w:pPr>
        <w:pStyle w:val="8"/>
        <w:pageBreakBefore w:val="0"/>
        <w:kinsoku/>
        <w:wordWrap/>
        <w:overflowPunct/>
        <w:topLinePunct w:val="0"/>
        <w:bidi w:val="0"/>
        <w:spacing w:after="0" w:line="560" w:lineRule="exact"/>
        <w:ind w:left="0" w:leftChars="0"/>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2.事业收入：指事业单位开展专业业务活动及辅助活动取得的收入。</w:t>
      </w:r>
    </w:p>
    <w:p>
      <w:pPr>
        <w:pStyle w:val="8"/>
        <w:pageBreakBefore w:val="0"/>
        <w:kinsoku/>
        <w:wordWrap/>
        <w:overflowPunct/>
        <w:topLinePunct w:val="0"/>
        <w:bidi w:val="0"/>
        <w:spacing w:after="0" w:line="560" w:lineRule="exact"/>
        <w:ind w:left="0" w:leftChars="0"/>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3.经营收入：指事业单位在专业业务活动及其辅助活动之外开展非独立核算经营活动取得的收入。</w:t>
      </w:r>
    </w:p>
    <w:p>
      <w:pPr>
        <w:pStyle w:val="8"/>
        <w:pageBreakBefore w:val="0"/>
        <w:kinsoku/>
        <w:wordWrap/>
        <w:overflowPunct/>
        <w:topLinePunct w:val="0"/>
        <w:bidi w:val="0"/>
        <w:spacing w:after="0" w:line="560" w:lineRule="exact"/>
        <w:ind w:left="0" w:leftChars="0"/>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 xml:space="preserve">4.其他收入：指单位取得的除上述收入以外的各项收入。 </w:t>
      </w:r>
    </w:p>
    <w:p>
      <w:pPr>
        <w:pStyle w:val="8"/>
        <w:pageBreakBefore w:val="0"/>
        <w:kinsoku/>
        <w:wordWrap/>
        <w:overflowPunct/>
        <w:topLinePunct w:val="0"/>
        <w:bidi w:val="0"/>
        <w:spacing w:after="0" w:line="560" w:lineRule="exact"/>
        <w:ind w:left="0" w:leftChars="0"/>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 xml:space="preserve">5.用事业基金弥补收支差额：指事业单位在当年的财政拨款收入、事业收入、经营收入、其他收入不足以安排当年支出的情况下，使用以前年度积累的事业基金（事业单位当年收支相抵后按国家规定提取、用于弥补以后年度收支差额的基金）弥补本年度收支缺口的资金。 </w:t>
      </w:r>
    </w:p>
    <w:p>
      <w:pPr>
        <w:pStyle w:val="8"/>
        <w:pageBreakBefore w:val="0"/>
        <w:kinsoku/>
        <w:wordWrap/>
        <w:overflowPunct/>
        <w:topLinePunct w:val="0"/>
        <w:bidi w:val="0"/>
        <w:spacing w:after="0" w:line="560" w:lineRule="exact"/>
        <w:ind w:left="0" w:leftChars="0"/>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 xml:space="preserve">6.年初结转和结余：指以前年度尚未完成、结转到本年按有关规定继续使用的资金。 </w:t>
      </w:r>
    </w:p>
    <w:p>
      <w:pPr>
        <w:pStyle w:val="8"/>
        <w:pageBreakBefore w:val="0"/>
        <w:kinsoku/>
        <w:wordWrap/>
        <w:overflowPunct/>
        <w:topLinePunct w:val="0"/>
        <w:bidi w:val="0"/>
        <w:spacing w:after="0" w:line="560" w:lineRule="exact"/>
        <w:ind w:left="0" w:leftChars="0"/>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7.结余分配：指事业单位按照事业单位会计制度的规定从非财政补助结余中分配的事业基金和职工福利基金等。</w:t>
      </w:r>
    </w:p>
    <w:p>
      <w:pPr>
        <w:pStyle w:val="8"/>
        <w:pageBreakBefore w:val="0"/>
        <w:kinsoku/>
        <w:wordWrap/>
        <w:overflowPunct/>
        <w:topLinePunct w:val="0"/>
        <w:bidi w:val="0"/>
        <w:spacing w:after="0" w:line="560" w:lineRule="exact"/>
        <w:ind w:left="0" w:leftChars="0"/>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8.年末结转和结余：指单位按有关规定结转到下年或以后年度继续使用的资金。</w:t>
      </w:r>
    </w:p>
    <w:p>
      <w:pPr>
        <w:pStyle w:val="8"/>
        <w:pageBreakBefore w:val="0"/>
        <w:kinsoku/>
        <w:wordWrap/>
        <w:overflowPunct/>
        <w:topLinePunct w:val="0"/>
        <w:bidi w:val="0"/>
        <w:spacing w:after="0" w:line="560" w:lineRule="exact"/>
        <w:ind w:left="0" w:leftChars="0"/>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9.一般公共服务201：指反映政府提供一般公共服务的支出。</w:t>
      </w:r>
    </w:p>
    <w:p>
      <w:pPr>
        <w:pStyle w:val="8"/>
        <w:pageBreakBefore w:val="0"/>
        <w:kinsoku/>
        <w:wordWrap/>
        <w:overflowPunct/>
        <w:topLinePunct w:val="0"/>
        <w:bidi w:val="0"/>
        <w:spacing w:after="0" w:line="560" w:lineRule="exact"/>
        <w:ind w:left="0" w:leftChars="0"/>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10.外交202：指反映政府外交事务支出。</w:t>
      </w:r>
    </w:p>
    <w:p>
      <w:pPr>
        <w:pStyle w:val="8"/>
        <w:pageBreakBefore w:val="0"/>
        <w:kinsoku/>
        <w:wordWrap/>
        <w:overflowPunct/>
        <w:topLinePunct w:val="0"/>
        <w:bidi w:val="0"/>
        <w:spacing w:after="0" w:line="560" w:lineRule="exact"/>
        <w:ind w:left="0" w:leftChars="0"/>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11.公共安全204：指反映政府维护社会公共安全方面的支出。</w:t>
      </w:r>
    </w:p>
    <w:p>
      <w:pPr>
        <w:pStyle w:val="8"/>
        <w:pageBreakBefore w:val="0"/>
        <w:kinsoku/>
        <w:wordWrap/>
        <w:overflowPunct/>
        <w:topLinePunct w:val="0"/>
        <w:bidi w:val="0"/>
        <w:spacing w:after="0" w:line="560" w:lineRule="exact"/>
        <w:ind w:left="0" w:leftChars="0"/>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12.教育 205：指反映政府教育事务支出。</w:t>
      </w:r>
    </w:p>
    <w:p>
      <w:pPr>
        <w:pStyle w:val="8"/>
        <w:pageBreakBefore w:val="0"/>
        <w:kinsoku/>
        <w:wordWrap/>
        <w:overflowPunct/>
        <w:topLinePunct w:val="0"/>
        <w:bidi w:val="0"/>
        <w:spacing w:after="0" w:line="560" w:lineRule="exact"/>
        <w:ind w:left="0" w:leftChars="0"/>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13.科学技术 206：指反映科学技术方面的支出。</w:t>
      </w:r>
    </w:p>
    <w:p>
      <w:pPr>
        <w:pStyle w:val="8"/>
        <w:pageBreakBefore w:val="0"/>
        <w:kinsoku/>
        <w:wordWrap/>
        <w:overflowPunct/>
        <w:topLinePunct w:val="0"/>
        <w:bidi w:val="0"/>
        <w:spacing w:after="0" w:line="560" w:lineRule="exact"/>
        <w:ind w:left="0" w:leftChars="0"/>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14.文化体育与传媒 207：指反映政府在文化、体育、文物、广播影视、新闻出版等方面的支出。</w:t>
      </w:r>
    </w:p>
    <w:p>
      <w:pPr>
        <w:pStyle w:val="8"/>
        <w:pageBreakBefore w:val="0"/>
        <w:kinsoku/>
        <w:wordWrap/>
        <w:overflowPunct/>
        <w:topLinePunct w:val="0"/>
        <w:bidi w:val="0"/>
        <w:spacing w:after="0" w:line="560" w:lineRule="exact"/>
        <w:ind w:left="0" w:leftChars="0"/>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15.社会保障和就业 208：指反映政府在社会保障与就业方面的支出。</w:t>
      </w:r>
    </w:p>
    <w:p>
      <w:pPr>
        <w:pStyle w:val="8"/>
        <w:pageBreakBefore w:val="0"/>
        <w:kinsoku/>
        <w:wordWrap/>
        <w:overflowPunct/>
        <w:topLinePunct w:val="0"/>
        <w:bidi w:val="0"/>
        <w:spacing w:after="0" w:line="560" w:lineRule="exact"/>
        <w:ind w:left="0" w:leftChars="0"/>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16.医疗卫生与计划生育210：指反映医疗卫生与计划生育、中医等管理事务方面的支出。</w:t>
      </w:r>
    </w:p>
    <w:p>
      <w:pPr>
        <w:pStyle w:val="8"/>
        <w:pageBreakBefore w:val="0"/>
        <w:kinsoku/>
        <w:wordWrap/>
        <w:overflowPunct/>
        <w:topLinePunct w:val="0"/>
        <w:bidi w:val="0"/>
        <w:spacing w:after="0" w:line="560" w:lineRule="exact"/>
        <w:ind w:left="0" w:leftChars="0"/>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17.节能环保84：指反映政府节能环保支出。</w:t>
      </w:r>
    </w:p>
    <w:p>
      <w:pPr>
        <w:pStyle w:val="8"/>
        <w:pageBreakBefore w:val="0"/>
        <w:kinsoku/>
        <w:wordWrap/>
        <w:overflowPunct/>
        <w:topLinePunct w:val="0"/>
        <w:bidi w:val="0"/>
        <w:spacing w:after="0" w:line="560" w:lineRule="exact"/>
        <w:ind w:left="0" w:leftChars="0"/>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18.城乡社区（类）212：指反映政府城乡管理事务支出。</w:t>
      </w:r>
    </w:p>
    <w:p>
      <w:pPr>
        <w:pStyle w:val="8"/>
        <w:pageBreakBefore w:val="0"/>
        <w:kinsoku/>
        <w:wordWrap/>
        <w:overflowPunct/>
        <w:topLinePunct w:val="0"/>
        <w:bidi w:val="0"/>
        <w:spacing w:after="0" w:line="560" w:lineRule="exact"/>
        <w:ind w:left="0" w:leftChars="0"/>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19.农林水213：指反映政府农林水支出。</w:t>
      </w:r>
    </w:p>
    <w:p>
      <w:pPr>
        <w:pStyle w:val="8"/>
        <w:pageBreakBefore w:val="0"/>
        <w:kinsoku/>
        <w:wordWrap/>
        <w:overflowPunct/>
        <w:topLinePunct w:val="0"/>
        <w:bidi w:val="0"/>
        <w:spacing w:after="0" w:line="560" w:lineRule="exact"/>
        <w:ind w:left="0" w:leftChars="0"/>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20.交通运输214：指反映交通运输和邮政业务相关的支出。</w:t>
      </w:r>
    </w:p>
    <w:p>
      <w:pPr>
        <w:pStyle w:val="8"/>
        <w:pageBreakBefore w:val="0"/>
        <w:kinsoku/>
        <w:wordWrap/>
        <w:overflowPunct/>
        <w:topLinePunct w:val="0"/>
        <w:bidi w:val="0"/>
        <w:spacing w:after="0" w:line="560" w:lineRule="exact"/>
        <w:ind w:left="0" w:leftChars="0"/>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21.资源勘探信息等215：指反映用于资源勘探、制造业、建筑业、工业信息等方面的支出。</w:t>
      </w:r>
    </w:p>
    <w:p>
      <w:pPr>
        <w:pStyle w:val="8"/>
        <w:pageBreakBefore w:val="0"/>
        <w:kinsoku/>
        <w:wordWrap/>
        <w:overflowPunct/>
        <w:topLinePunct w:val="0"/>
        <w:bidi w:val="0"/>
        <w:spacing w:after="0" w:line="560" w:lineRule="exact"/>
        <w:ind w:left="0" w:leftChars="0"/>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22.商业服务业216：指反映商业服务等方面的支出。</w:t>
      </w:r>
    </w:p>
    <w:p>
      <w:pPr>
        <w:pStyle w:val="8"/>
        <w:pageBreakBefore w:val="0"/>
        <w:kinsoku/>
        <w:wordWrap/>
        <w:overflowPunct/>
        <w:topLinePunct w:val="0"/>
        <w:bidi w:val="0"/>
        <w:spacing w:after="0" w:line="560" w:lineRule="exact"/>
        <w:ind w:left="0" w:leftChars="0"/>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23.金融217：指反映金融方面的支出。</w:t>
      </w:r>
    </w:p>
    <w:p>
      <w:pPr>
        <w:pStyle w:val="8"/>
        <w:pageBreakBefore w:val="0"/>
        <w:kinsoku/>
        <w:wordWrap/>
        <w:overflowPunct/>
        <w:topLinePunct w:val="0"/>
        <w:bidi w:val="0"/>
        <w:spacing w:after="0" w:line="560" w:lineRule="exact"/>
        <w:ind w:left="0" w:leftChars="0"/>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24.国土海洋气象220：指反映政府用于国土资源、海洋、测绘、地震、气象等公益服务事业方面的支出。</w:t>
      </w:r>
    </w:p>
    <w:p>
      <w:pPr>
        <w:pStyle w:val="8"/>
        <w:pageBreakBefore w:val="0"/>
        <w:kinsoku/>
        <w:wordWrap/>
        <w:overflowPunct/>
        <w:topLinePunct w:val="0"/>
        <w:bidi w:val="0"/>
        <w:spacing w:after="0" w:line="560" w:lineRule="exact"/>
        <w:ind w:left="0" w:leftChars="0"/>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25.住房保障221：指集中反映政府用于住房方面的支出。</w:t>
      </w:r>
    </w:p>
    <w:p>
      <w:pPr>
        <w:pStyle w:val="8"/>
        <w:pageBreakBefore w:val="0"/>
        <w:kinsoku/>
        <w:wordWrap/>
        <w:overflowPunct/>
        <w:topLinePunct w:val="0"/>
        <w:bidi w:val="0"/>
        <w:spacing w:after="0" w:line="560" w:lineRule="exact"/>
        <w:ind w:left="0" w:leftChars="0"/>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26.粮油物资储备222：指反映政府用于粮油物资储备方面的支出。</w:t>
      </w:r>
    </w:p>
    <w:p>
      <w:pPr>
        <w:pStyle w:val="8"/>
        <w:pageBreakBefore w:val="0"/>
        <w:kinsoku/>
        <w:wordWrap/>
        <w:overflowPunct/>
        <w:topLinePunct w:val="0"/>
        <w:bidi w:val="0"/>
        <w:spacing w:after="0" w:line="560" w:lineRule="exact"/>
        <w:ind w:left="0" w:leftChars="0"/>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27.基本支出：指为保障机构正常运转、完成日常工作任务而发生的人员支出和公用支出。</w:t>
      </w:r>
    </w:p>
    <w:p>
      <w:pPr>
        <w:pStyle w:val="8"/>
        <w:pageBreakBefore w:val="0"/>
        <w:kinsoku/>
        <w:wordWrap/>
        <w:overflowPunct/>
        <w:topLinePunct w:val="0"/>
        <w:bidi w:val="0"/>
        <w:spacing w:after="0" w:line="560" w:lineRule="exact"/>
        <w:ind w:left="0" w:leftChars="0"/>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 xml:space="preserve">28.项目支出：指在基本支出之外为完成特定行政任务和事业发展目标所发生的支出。 </w:t>
      </w:r>
    </w:p>
    <w:p>
      <w:pPr>
        <w:pStyle w:val="8"/>
        <w:pageBreakBefore w:val="0"/>
        <w:kinsoku/>
        <w:wordWrap/>
        <w:overflowPunct/>
        <w:topLinePunct w:val="0"/>
        <w:bidi w:val="0"/>
        <w:spacing w:after="0" w:line="560" w:lineRule="exact"/>
        <w:ind w:left="0" w:leftChars="0"/>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29.经营支出：指事业单位在专业业务活动及其辅助活动之外开展非独立核算经营活动发生的支出。</w:t>
      </w:r>
    </w:p>
    <w:p>
      <w:pPr>
        <w:pStyle w:val="8"/>
        <w:pageBreakBefore w:val="0"/>
        <w:kinsoku/>
        <w:wordWrap/>
        <w:overflowPunct/>
        <w:topLinePunct w:val="0"/>
        <w:bidi w:val="0"/>
        <w:spacing w:after="0" w:line="560" w:lineRule="exact"/>
        <w:ind w:left="0" w:leftChars="0"/>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30.“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pPr>
        <w:pStyle w:val="8"/>
        <w:pageBreakBefore w:val="0"/>
        <w:kinsoku/>
        <w:wordWrap/>
        <w:overflowPunct/>
        <w:topLinePunct w:val="0"/>
        <w:bidi w:val="0"/>
        <w:spacing w:after="0" w:line="560" w:lineRule="exact"/>
        <w:ind w:left="0" w:leftChars="0"/>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31.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spacing w:line="600" w:lineRule="exact"/>
        <w:jc w:val="center"/>
        <w:outlineLvl w:val="0"/>
        <w:rPr>
          <w:rFonts w:ascii="宋体"/>
          <w:b/>
          <w:color w:val="auto"/>
          <w:sz w:val="44"/>
          <w:szCs w:val="44"/>
          <w:highlight w:val="none"/>
        </w:rPr>
      </w:pPr>
      <w:r>
        <w:rPr>
          <w:rFonts w:ascii="宋体"/>
          <w:b/>
          <w:color w:val="auto"/>
          <w:sz w:val="44"/>
          <w:szCs w:val="44"/>
          <w:highlight w:val="none"/>
        </w:rPr>
        <w:br w:type="page"/>
      </w:r>
    </w:p>
    <w:p>
      <w:pPr>
        <w:spacing w:line="600" w:lineRule="exact"/>
        <w:jc w:val="center"/>
        <w:outlineLvl w:val="0"/>
        <w:rPr>
          <w:rStyle w:val="21"/>
          <w:rFonts w:ascii="黑体" w:hAnsi="黑体" w:eastAsia="黑体"/>
          <w:b w:val="0"/>
          <w:color w:val="auto"/>
          <w:highlight w:val="none"/>
        </w:rPr>
      </w:pPr>
      <w:r>
        <w:rPr>
          <w:rFonts w:hint="eastAsia" w:ascii="黑体" w:hAnsi="黑体" w:eastAsia="黑体"/>
          <w:color w:val="auto"/>
          <w:sz w:val="44"/>
          <w:szCs w:val="44"/>
          <w:highlight w:val="none"/>
        </w:rPr>
        <w:t>第</w:t>
      </w:r>
      <w:r>
        <w:rPr>
          <w:rStyle w:val="21"/>
          <w:rFonts w:hint="eastAsia" w:ascii="黑体" w:hAnsi="黑体" w:eastAsia="黑体"/>
          <w:b w:val="0"/>
          <w:color w:val="auto"/>
          <w:highlight w:val="none"/>
        </w:rPr>
        <w:t>四部分 附件</w:t>
      </w:r>
    </w:p>
    <w:p>
      <w:pPr>
        <w:keepNext w:val="0"/>
        <w:keepLines w:val="0"/>
        <w:pageBreakBefore w:val="0"/>
        <w:kinsoku/>
        <w:wordWrap/>
        <w:overflowPunct/>
        <w:topLinePunct w:val="0"/>
        <w:autoSpaceDE/>
        <w:autoSpaceDN/>
        <w:bidi w:val="0"/>
        <w:spacing w:line="572" w:lineRule="exact"/>
        <w:jc w:val="left"/>
        <w:textAlignment w:val="auto"/>
        <w:outlineLvl w:val="0"/>
        <w:rPr>
          <w:rFonts w:ascii="仿宋_GB2312" w:hAnsi="仿宋_GB2312" w:eastAsia="仿宋_GB2312" w:cs="仿宋_GB2312"/>
          <w:color w:val="auto"/>
          <w:sz w:val="32"/>
          <w:szCs w:val="32"/>
          <w:highlight w:val="none"/>
        </w:rPr>
      </w:pPr>
    </w:p>
    <w:p>
      <w:pPr>
        <w:spacing w:line="600" w:lineRule="exact"/>
        <w:jc w:val="both"/>
        <w:outlineLvl w:val="0"/>
        <w:rPr>
          <w:rFonts w:hint="eastAsia" w:ascii="黑体" w:hAnsi="黑体" w:eastAsia="黑体" w:cs="Times New Roman"/>
          <w:color w:val="auto"/>
          <w:sz w:val="44"/>
          <w:szCs w:val="44"/>
          <w:highlight w:val="none"/>
          <w:lang w:eastAsia="zh-CN"/>
        </w:rPr>
      </w:pPr>
    </w:p>
    <w:p>
      <w:pPr>
        <w:pageBreakBefore w:val="0"/>
        <w:kinsoku/>
        <w:wordWrap/>
        <w:overflowPunct/>
        <w:topLinePunct w:val="0"/>
        <w:bidi w:val="0"/>
        <w:spacing w:line="560" w:lineRule="exact"/>
        <w:ind w:left="0" w:leftChars="0"/>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rPr>
        <w:t>附件</w:t>
      </w:r>
      <w:r>
        <w:rPr>
          <w:rFonts w:hint="eastAsia" w:ascii="黑体" w:hAnsi="黑体" w:eastAsia="黑体" w:cs="黑体"/>
          <w:b w:val="0"/>
          <w:bCs w:val="0"/>
          <w:sz w:val="32"/>
          <w:szCs w:val="32"/>
          <w:lang w:val="en-US" w:eastAsia="zh-CN"/>
        </w:rPr>
        <w:t>1</w:t>
      </w:r>
    </w:p>
    <w:p>
      <w:pPr>
        <w:pStyle w:val="3"/>
        <w:pageBreakBefore w:val="0"/>
        <w:kinsoku/>
        <w:wordWrap/>
        <w:overflowPunct/>
        <w:topLinePunct w:val="0"/>
        <w:bidi w:val="0"/>
        <w:spacing w:before="0" w:after="0" w:line="560" w:lineRule="exact"/>
        <w:ind w:left="0" w:leftChars="0"/>
        <w:jc w:val="center"/>
        <w:rPr>
          <w:rFonts w:hint="eastAsia"/>
          <w:lang w:eastAsia="zh-CN"/>
        </w:rPr>
      </w:pPr>
      <w:bookmarkStart w:id="17" w:name="_Toc79163632"/>
      <w:bookmarkStart w:id="18" w:name="_Toc16057"/>
      <w:bookmarkStart w:id="19" w:name="_Toc79163882"/>
      <w:r>
        <w:rPr>
          <w:rFonts w:hint="eastAsia"/>
          <w:lang w:eastAsia="zh-CN"/>
        </w:rPr>
        <w:t>壤塘县尕多乡人民政府</w:t>
      </w:r>
    </w:p>
    <w:p>
      <w:pPr>
        <w:pStyle w:val="3"/>
        <w:pageBreakBefore w:val="0"/>
        <w:kinsoku/>
        <w:wordWrap/>
        <w:overflowPunct/>
        <w:topLinePunct w:val="0"/>
        <w:bidi w:val="0"/>
        <w:spacing w:before="0" w:after="0" w:line="560" w:lineRule="exact"/>
        <w:ind w:left="0" w:leftChars="0"/>
        <w:jc w:val="center"/>
        <w:rPr>
          <w:rFonts w:hint="eastAsia"/>
        </w:rPr>
      </w:pPr>
      <w:r>
        <w:rPr>
          <w:rFonts w:hint="eastAsia"/>
        </w:rPr>
        <w:t>20</w:t>
      </w:r>
      <w:r>
        <w:rPr>
          <w:rFonts w:hint="eastAsia"/>
          <w:lang w:val="en-US" w:eastAsia="zh-CN"/>
        </w:rPr>
        <w:t>25</w:t>
      </w:r>
      <w:r>
        <w:rPr>
          <w:rFonts w:hint="eastAsia"/>
        </w:rPr>
        <w:t>年</w:t>
      </w:r>
      <w:bookmarkEnd w:id="17"/>
      <w:bookmarkEnd w:id="18"/>
      <w:bookmarkEnd w:id="19"/>
      <w:r>
        <w:rPr>
          <w:rFonts w:hint="default" w:ascii="Times New Roman" w:hAnsi="Times New Roman" w:eastAsia="方正小标宋简体" w:cs="Times New Roman"/>
          <w:b w:val="0"/>
          <w:bCs/>
          <w:sz w:val="44"/>
          <w:szCs w:val="44"/>
          <w:highlight w:val="none"/>
          <w:shd w:val="clear" w:color="auto" w:fill="FFFFFF"/>
          <w:lang w:eastAsia="zh-CN"/>
        </w:rPr>
        <w:t>预算</w:t>
      </w:r>
      <w:r>
        <w:rPr>
          <w:rFonts w:hint="default" w:ascii="Times New Roman" w:hAnsi="Times New Roman" w:eastAsia="方正小标宋简体" w:cs="Times New Roman"/>
          <w:b w:val="0"/>
          <w:bCs/>
          <w:sz w:val="44"/>
          <w:szCs w:val="44"/>
          <w:highlight w:val="none"/>
          <w:shd w:val="clear" w:color="auto" w:fill="FFFFFF"/>
        </w:rPr>
        <w:t>绩效</w:t>
      </w:r>
      <w:r>
        <w:rPr>
          <w:rFonts w:hint="eastAsia" w:ascii="Times New Roman" w:hAnsi="Times New Roman" w:eastAsia="方正小标宋简体" w:cs="Times New Roman"/>
          <w:b w:val="0"/>
          <w:bCs/>
          <w:sz w:val="44"/>
          <w:szCs w:val="44"/>
          <w:highlight w:val="none"/>
          <w:shd w:val="clear" w:color="auto" w:fill="FFFFFF"/>
          <w:lang w:eastAsia="zh-CN"/>
        </w:rPr>
        <w:t>评价</w:t>
      </w:r>
      <w:r>
        <w:rPr>
          <w:rFonts w:hint="default" w:ascii="Times New Roman" w:hAnsi="Times New Roman" w:eastAsia="方正小标宋简体" w:cs="Times New Roman"/>
          <w:b w:val="0"/>
          <w:bCs/>
          <w:sz w:val="44"/>
          <w:szCs w:val="44"/>
          <w:highlight w:val="none"/>
          <w:shd w:val="clear" w:color="auto" w:fill="FFFFFF"/>
        </w:rPr>
        <w:t>报告</w:t>
      </w:r>
    </w:p>
    <w:p>
      <w:pPr>
        <w:pageBreakBefore w:val="0"/>
        <w:widowControl/>
        <w:kinsoku/>
        <w:wordWrap/>
        <w:overflowPunct/>
        <w:topLinePunct w:val="0"/>
        <w:bidi w:val="0"/>
        <w:adjustRightInd w:val="0"/>
        <w:snapToGrid w:val="0"/>
        <w:spacing w:line="560" w:lineRule="exact"/>
        <w:ind w:left="0" w:leftChars="0"/>
        <w:contextualSpacing/>
        <w:jc w:val="left"/>
        <w:rPr>
          <w:rFonts w:ascii="黑体" w:hAnsi="宋体" w:eastAsia="黑体" w:cs="宋体"/>
          <w:color w:val="000000"/>
          <w:kern w:val="0"/>
          <w:sz w:val="24"/>
          <w:szCs w:val="32"/>
          <w:shd w:val="clear" w:color="auto" w:fill="FFFFFF"/>
        </w:rPr>
      </w:pPr>
    </w:p>
    <w:p>
      <w:pPr>
        <w:pStyle w:val="4"/>
        <w:pageBreakBefore w:val="0"/>
        <w:kinsoku/>
        <w:wordWrap/>
        <w:overflowPunct/>
        <w:topLinePunct w:val="0"/>
        <w:bidi w:val="0"/>
        <w:spacing w:before="0" w:after="0" w:line="560" w:lineRule="exact"/>
        <w:ind w:left="0" w:leftChars="0" w:firstLine="640" w:firstLineChars="200"/>
        <w:rPr>
          <w:rFonts w:hint="eastAsia" w:ascii="黑体" w:hAnsi="黑体" w:eastAsia="黑体" w:cs="黑体"/>
          <w:b w:val="0"/>
          <w:bCs w:val="0"/>
        </w:rPr>
      </w:pPr>
      <w:bookmarkStart w:id="20" w:name="_Toc4157"/>
      <w:r>
        <w:rPr>
          <w:rFonts w:hint="eastAsia" w:ascii="黑体" w:hAnsi="黑体" w:eastAsia="黑体" w:cs="黑体"/>
          <w:b w:val="0"/>
          <w:bCs w:val="0"/>
        </w:rPr>
        <w:t>一、部门（单位）概况</w:t>
      </w:r>
      <w:bookmarkEnd w:id="20"/>
    </w:p>
    <w:p>
      <w:pPr>
        <w:pStyle w:val="5"/>
        <w:pageBreakBefore w:val="0"/>
        <w:kinsoku/>
        <w:wordWrap/>
        <w:overflowPunct/>
        <w:topLinePunct w:val="0"/>
        <w:bidi w:val="0"/>
        <w:spacing w:before="0" w:after="0" w:line="560" w:lineRule="exact"/>
        <w:ind w:left="0" w:leftChars="0" w:firstLine="642" w:firstLineChars="200"/>
        <w:rPr>
          <w:rFonts w:hint="eastAsia" w:ascii="楷体_GB2312" w:hAnsi="楷体_GB2312" w:eastAsia="楷体_GB2312" w:cs="楷体_GB2312"/>
          <w:lang w:val="en-US" w:eastAsia="zh-CN"/>
        </w:rPr>
      </w:pPr>
      <w:r>
        <w:rPr>
          <w:rFonts w:hint="eastAsia" w:ascii="楷体_GB2312" w:hAnsi="楷体_GB2312" w:eastAsia="楷体_GB2312" w:cs="楷体_GB2312"/>
          <w:lang w:val="en-US" w:eastAsia="zh-CN"/>
        </w:rPr>
        <w:t>（一）机构组成</w:t>
      </w:r>
    </w:p>
    <w:p>
      <w:pPr>
        <w:pageBreakBefore w:val="0"/>
        <w:kinsoku/>
        <w:wordWrap/>
        <w:overflowPunct/>
        <w:topLinePunct w:val="0"/>
        <w:bidi w:val="0"/>
        <w:spacing w:line="560" w:lineRule="exact"/>
        <w:ind w:left="0" w:leftChars="0" w:firstLine="640" w:firstLineChars="200"/>
        <w:rPr>
          <w:rFonts w:hint="eastAsia" w:ascii="仿宋_GB2312" w:hAnsi="Times New Roman" w:eastAsia="仿宋_GB2312" w:cs="仿宋_GB2312"/>
          <w:b w:val="0"/>
          <w:bCs w:val="0"/>
          <w:color w:val="auto"/>
          <w:kern w:val="2"/>
          <w:sz w:val="32"/>
          <w:szCs w:val="32"/>
          <w:lang w:val="en-US" w:eastAsia="zh-CN" w:bidi="ar-SA"/>
        </w:rPr>
      </w:pPr>
      <w:r>
        <w:rPr>
          <w:rFonts w:hint="eastAsia" w:ascii="仿宋_GB2312" w:hAnsi="Times New Roman" w:eastAsia="仿宋_GB2312" w:cs="仿宋_GB2312"/>
          <w:b w:val="0"/>
          <w:bCs w:val="0"/>
          <w:color w:val="auto"/>
          <w:kern w:val="2"/>
          <w:sz w:val="32"/>
          <w:szCs w:val="32"/>
          <w:lang w:val="en-US" w:eastAsia="zh-CN" w:bidi="ar-SA"/>
        </w:rPr>
        <w:t>壤塘县尕多乡人民政府</w:t>
      </w:r>
      <w:r>
        <w:rPr>
          <w:rFonts w:hint="default" w:ascii="仿宋_GB2312" w:hAnsi="Times New Roman" w:eastAsia="仿宋_GB2312" w:cs="仿宋_GB2312"/>
          <w:b w:val="0"/>
          <w:bCs w:val="0"/>
          <w:color w:val="auto"/>
          <w:kern w:val="2"/>
          <w:sz w:val="32"/>
          <w:szCs w:val="32"/>
          <w:lang w:val="en-US" w:eastAsia="zh-CN" w:bidi="ar-SA"/>
        </w:rPr>
        <w:t>属一级预算单位，下设</w:t>
      </w:r>
      <w:r>
        <w:rPr>
          <w:rFonts w:hint="eastAsia" w:ascii="仿宋_GB2312" w:hAnsi="Times New Roman" w:eastAsia="仿宋_GB2312" w:cs="仿宋_GB2312"/>
          <w:b w:val="0"/>
          <w:bCs w:val="0"/>
          <w:color w:val="auto"/>
          <w:kern w:val="2"/>
          <w:sz w:val="32"/>
          <w:szCs w:val="32"/>
          <w:lang w:val="en-US" w:eastAsia="zh-CN" w:bidi="ar-SA"/>
        </w:rPr>
        <w:t>政府、便民服务中心</w:t>
      </w:r>
      <w:r>
        <w:rPr>
          <w:rFonts w:hint="default" w:ascii="仿宋_GB2312" w:hAnsi="Times New Roman" w:eastAsia="仿宋_GB2312" w:cs="仿宋_GB2312"/>
          <w:b w:val="0"/>
          <w:bCs w:val="0"/>
          <w:color w:val="auto"/>
          <w:kern w:val="2"/>
          <w:sz w:val="32"/>
          <w:szCs w:val="32"/>
          <w:lang w:val="en-US" w:eastAsia="zh-CN" w:bidi="ar-SA"/>
        </w:rPr>
        <w:t>组成。</w:t>
      </w:r>
    </w:p>
    <w:p>
      <w:pPr>
        <w:pStyle w:val="5"/>
        <w:pageBreakBefore w:val="0"/>
        <w:kinsoku/>
        <w:wordWrap/>
        <w:overflowPunct/>
        <w:topLinePunct w:val="0"/>
        <w:bidi w:val="0"/>
        <w:spacing w:before="0" w:after="0" w:line="560" w:lineRule="exact"/>
        <w:ind w:left="0" w:leftChars="0" w:firstLine="642" w:firstLineChars="200"/>
        <w:rPr>
          <w:rFonts w:hint="eastAsia" w:ascii="楷体_GB2312" w:hAnsi="楷体_GB2312" w:eastAsia="楷体_GB2312" w:cs="楷体_GB2312"/>
          <w:lang w:val="en-US" w:eastAsia="zh-CN"/>
        </w:rPr>
      </w:pPr>
      <w:r>
        <w:rPr>
          <w:rFonts w:hint="eastAsia" w:ascii="楷体_GB2312" w:hAnsi="楷体_GB2312" w:eastAsia="楷体_GB2312" w:cs="楷体_GB2312"/>
          <w:lang w:val="en-US" w:eastAsia="zh-CN"/>
        </w:rPr>
        <w:t>（二）机构职能</w:t>
      </w:r>
    </w:p>
    <w:p>
      <w:pPr>
        <w:pStyle w:val="23"/>
        <w:numPr>
          <w:ilvl w:val="0"/>
          <w:numId w:val="0"/>
        </w:numPr>
        <w:spacing w:before="0" w:line="360" w:lineRule="auto"/>
        <w:ind w:firstLine="640" w:firstLineChars="200"/>
        <w:rPr>
          <w:rFonts w:hint="eastAsia" w:hAnsi="Times New Roman"/>
          <w:b w:val="0"/>
          <w:bCs w:val="0"/>
          <w:kern w:val="2"/>
          <w:sz w:val="32"/>
          <w:szCs w:val="32"/>
          <w:lang w:val="en-US" w:eastAsia="zh-CN"/>
        </w:rPr>
      </w:pPr>
      <w:r>
        <w:rPr>
          <w:rFonts w:hint="eastAsia" w:hAnsi="Times New Roman"/>
          <w:b w:val="0"/>
          <w:bCs w:val="0"/>
          <w:kern w:val="2"/>
          <w:sz w:val="32"/>
          <w:szCs w:val="32"/>
          <w:lang w:val="en-US" w:eastAsia="zh-CN"/>
        </w:rPr>
        <w:t>（1）执行本级人民代表大会的决议和上级国家行政机关的决定和命令，在辖区内发布决定和命令； </w:t>
      </w:r>
    </w:p>
    <w:p>
      <w:pPr>
        <w:pStyle w:val="23"/>
        <w:spacing w:before="0" w:line="360" w:lineRule="auto"/>
        <w:ind w:firstLine="640" w:firstLineChars="200"/>
        <w:rPr>
          <w:rFonts w:hint="eastAsia" w:hAnsi="Times New Roman"/>
          <w:kern w:val="2"/>
          <w:sz w:val="32"/>
          <w:szCs w:val="32"/>
          <w:lang w:val="en-US" w:eastAsia="zh-CN"/>
        </w:rPr>
      </w:pPr>
      <w:r>
        <w:rPr>
          <w:rFonts w:hint="eastAsia" w:hAnsi="Times New Roman"/>
          <w:b w:val="0"/>
          <w:bCs w:val="0"/>
          <w:kern w:val="2"/>
          <w:sz w:val="32"/>
          <w:szCs w:val="32"/>
          <w:lang w:val="en-US" w:eastAsia="zh-CN"/>
        </w:rPr>
        <w:t>（2）按照国家宪法和法律，行使对本辖区内的行政及</w:t>
      </w:r>
      <w:r>
        <w:rPr>
          <w:rFonts w:hint="eastAsia" w:hAnsi="Times New Roman"/>
          <w:kern w:val="2"/>
          <w:sz w:val="32"/>
          <w:szCs w:val="32"/>
          <w:lang w:val="en-US" w:eastAsia="zh-CN"/>
        </w:rPr>
        <w:t>民政事务的管理； </w:t>
      </w:r>
    </w:p>
    <w:p>
      <w:pPr>
        <w:pStyle w:val="23"/>
        <w:spacing w:before="0" w:line="360" w:lineRule="auto"/>
        <w:ind w:firstLine="627" w:firstLineChars="196"/>
        <w:rPr>
          <w:rFonts w:hint="eastAsia" w:hAnsi="Times New Roman"/>
          <w:kern w:val="2"/>
          <w:sz w:val="32"/>
          <w:szCs w:val="32"/>
          <w:lang w:val="en-US" w:eastAsia="zh-CN"/>
        </w:rPr>
      </w:pPr>
      <w:r>
        <w:rPr>
          <w:rFonts w:hint="eastAsia" w:hAnsi="Times New Roman"/>
          <w:kern w:val="2"/>
          <w:sz w:val="32"/>
          <w:szCs w:val="32"/>
          <w:lang w:val="en-US" w:eastAsia="zh-CN"/>
        </w:rPr>
        <w:t>（3）制定本单位的经济和社会发展规划，并组织实施；组织和领导行政经济体制改革，协调本行政区域村民委员会与各经济组织之间的关系； </w:t>
      </w:r>
    </w:p>
    <w:p>
      <w:pPr>
        <w:pStyle w:val="23"/>
        <w:spacing w:before="0" w:line="360" w:lineRule="auto"/>
        <w:ind w:firstLine="627" w:firstLineChars="196"/>
        <w:rPr>
          <w:rFonts w:hint="eastAsia" w:hAnsi="Times New Roman"/>
          <w:kern w:val="2"/>
          <w:sz w:val="32"/>
          <w:szCs w:val="32"/>
          <w:lang w:val="en-US" w:eastAsia="zh-CN"/>
        </w:rPr>
      </w:pPr>
      <w:r>
        <w:rPr>
          <w:rFonts w:hint="eastAsia" w:hAnsi="Times New Roman"/>
          <w:kern w:val="2"/>
          <w:sz w:val="32"/>
          <w:szCs w:val="32"/>
          <w:lang w:val="en-US" w:eastAsia="zh-CN"/>
        </w:rPr>
        <w:t>（4）组织规划乡财政管理的各项收入，管理乡范围内的各项财政支出和行政筹集、分配和使用的资金； </w:t>
      </w:r>
    </w:p>
    <w:p>
      <w:pPr>
        <w:pStyle w:val="23"/>
        <w:spacing w:before="0" w:line="360" w:lineRule="auto"/>
        <w:ind w:firstLine="627" w:firstLineChars="196"/>
        <w:rPr>
          <w:rFonts w:hint="eastAsia" w:hAnsi="Times New Roman"/>
          <w:kern w:val="2"/>
          <w:sz w:val="32"/>
          <w:szCs w:val="32"/>
          <w:lang w:val="en-US" w:eastAsia="zh-CN"/>
        </w:rPr>
      </w:pPr>
      <w:r>
        <w:rPr>
          <w:rFonts w:hint="eastAsia" w:hAnsi="Times New Roman"/>
          <w:kern w:val="2"/>
          <w:sz w:val="32"/>
          <w:szCs w:val="32"/>
          <w:lang w:val="en-US" w:eastAsia="zh-CN"/>
        </w:rPr>
        <w:t>（5）负责管理对外经济技术交流与合作，开展经济信息预测工作，推广科学技术成果； </w:t>
      </w:r>
    </w:p>
    <w:p>
      <w:pPr>
        <w:pStyle w:val="23"/>
        <w:spacing w:before="0" w:line="360" w:lineRule="auto"/>
        <w:ind w:firstLine="627" w:firstLineChars="196"/>
        <w:rPr>
          <w:rFonts w:hint="eastAsia" w:hAnsi="Times New Roman"/>
          <w:kern w:val="2"/>
          <w:sz w:val="32"/>
          <w:szCs w:val="32"/>
          <w:lang w:val="en-US" w:eastAsia="zh-CN"/>
        </w:rPr>
      </w:pPr>
      <w:r>
        <w:rPr>
          <w:rFonts w:hint="eastAsia" w:hAnsi="Times New Roman"/>
          <w:kern w:val="2"/>
          <w:sz w:val="32"/>
          <w:szCs w:val="32"/>
          <w:lang w:val="en-US" w:eastAsia="zh-CN"/>
        </w:rPr>
        <w:t>（6）对本单位各项社会建设进行宏观管理，抓好环境卫生整治工作； </w:t>
      </w:r>
    </w:p>
    <w:p>
      <w:pPr>
        <w:pStyle w:val="23"/>
        <w:spacing w:before="0" w:line="360" w:lineRule="auto"/>
        <w:ind w:firstLine="627" w:firstLineChars="196"/>
        <w:rPr>
          <w:rFonts w:hint="eastAsia" w:hAnsi="Times New Roman"/>
          <w:kern w:val="2"/>
          <w:sz w:val="32"/>
          <w:szCs w:val="32"/>
          <w:lang w:val="en-US" w:eastAsia="zh-CN"/>
        </w:rPr>
      </w:pPr>
      <w:r>
        <w:rPr>
          <w:rFonts w:hint="eastAsia" w:hAnsi="Times New Roman"/>
          <w:kern w:val="2"/>
          <w:sz w:val="32"/>
          <w:szCs w:val="32"/>
          <w:lang w:val="en-US" w:eastAsia="zh-CN"/>
        </w:rPr>
        <w:t>（7）加强基本农田水利建设和道路、桥梁等的建设，加强土地的统一管理、统筹规划，协助有关部门做好地质灾害的防治工作; </w:t>
      </w:r>
    </w:p>
    <w:p>
      <w:pPr>
        <w:pStyle w:val="23"/>
        <w:spacing w:before="0" w:line="360" w:lineRule="auto"/>
        <w:ind w:firstLine="627" w:firstLineChars="196"/>
        <w:rPr>
          <w:rFonts w:hint="eastAsia" w:hAnsi="Times New Roman"/>
          <w:kern w:val="2"/>
          <w:sz w:val="32"/>
          <w:szCs w:val="32"/>
          <w:lang w:val="en-US" w:eastAsia="zh-CN"/>
        </w:rPr>
      </w:pPr>
      <w:r>
        <w:rPr>
          <w:rFonts w:hint="eastAsia" w:hAnsi="Times New Roman"/>
          <w:kern w:val="2"/>
          <w:sz w:val="32"/>
          <w:szCs w:val="32"/>
          <w:lang w:val="en-US" w:eastAsia="zh-CN"/>
        </w:rPr>
        <w:t>（8）负责农村土地承包管理、农民负担监督管理、农村集体资产财务管理； </w:t>
      </w:r>
    </w:p>
    <w:p>
      <w:pPr>
        <w:pStyle w:val="23"/>
        <w:spacing w:before="0" w:line="360" w:lineRule="auto"/>
        <w:ind w:firstLine="627" w:firstLineChars="196"/>
        <w:rPr>
          <w:rFonts w:hint="eastAsia" w:hAnsi="Times New Roman"/>
          <w:kern w:val="2"/>
          <w:sz w:val="32"/>
          <w:szCs w:val="32"/>
          <w:lang w:val="en-US" w:eastAsia="zh-CN"/>
        </w:rPr>
      </w:pPr>
      <w:r>
        <w:rPr>
          <w:rFonts w:hint="eastAsia" w:hAnsi="Times New Roman"/>
          <w:kern w:val="2"/>
          <w:sz w:val="32"/>
          <w:szCs w:val="32"/>
          <w:lang w:val="en-US" w:eastAsia="zh-CN"/>
        </w:rPr>
        <w:t>（9）充分发挥行政职能，组织和开展本单位的文化、教育、卫生、民政和科技等工作； </w:t>
      </w:r>
    </w:p>
    <w:p>
      <w:pPr>
        <w:pStyle w:val="23"/>
        <w:spacing w:before="0" w:line="360" w:lineRule="auto"/>
        <w:ind w:firstLine="627" w:firstLineChars="196"/>
        <w:rPr>
          <w:rFonts w:hint="eastAsia" w:eastAsia="宋体"/>
          <w:color w:val="auto"/>
          <w:sz w:val="24"/>
          <w:highlight w:val="none"/>
          <w:lang w:eastAsia="zh-CN"/>
        </w:rPr>
      </w:pPr>
      <w:r>
        <w:rPr>
          <w:rFonts w:hint="eastAsia" w:hAnsi="Times New Roman"/>
          <w:kern w:val="2"/>
          <w:sz w:val="32"/>
          <w:szCs w:val="32"/>
          <w:lang w:val="en-US" w:eastAsia="zh-CN"/>
        </w:rPr>
        <w:t>（10）根据经济发展需要，建立经济、技术咨询服务机构，向经济组织和农牧民提供全面服务</w:t>
      </w:r>
      <w:r>
        <w:rPr>
          <w:rFonts w:hint="eastAsia" w:ascii="方正仿宋_GB2312" w:hAnsi="方正仿宋_GB2312" w:eastAsia="方正仿宋_GB2312" w:cs="方正仿宋_GB2312"/>
          <w:sz w:val="32"/>
          <w:szCs w:val="32"/>
          <w:lang w:val="en-US" w:eastAsia="zh-CN"/>
        </w:rPr>
        <w:t>。 </w:t>
      </w:r>
    </w:p>
    <w:p>
      <w:pPr>
        <w:pStyle w:val="5"/>
        <w:pageBreakBefore w:val="0"/>
        <w:kinsoku/>
        <w:wordWrap/>
        <w:overflowPunct/>
        <w:topLinePunct w:val="0"/>
        <w:bidi w:val="0"/>
        <w:spacing w:before="0" w:after="0" w:line="560" w:lineRule="exact"/>
        <w:ind w:left="0" w:leftChars="0" w:firstLine="642" w:firstLineChars="200"/>
        <w:rPr>
          <w:rFonts w:hint="eastAsia" w:ascii="楷体_GB2312" w:hAnsi="楷体_GB2312" w:eastAsia="楷体_GB2312" w:cs="楷体_GB2312"/>
          <w:lang w:val="en-US" w:eastAsia="zh-CN"/>
        </w:rPr>
      </w:pPr>
      <w:r>
        <w:rPr>
          <w:rFonts w:hint="eastAsia" w:ascii="楷体_GB2312" w:hAnsi="楷体_GB2312" w:eastAsia="楷体_GB2312" w:cs="楷体_GB2312"/>
          <w:lang w:val="en-US" w:eastAsia="zh-CN"/>
        </w:rPr>
        <w:t>（三）人员概况</w:t>
      </w:r>
    </w:p>
    <w:p>
      <w:pPr>
        <w:keepNext w:val="0"/>
        <w:keepLines w:val="0"/>
        <w:pageBreakBefore w:val="0"/>
        <w:widowControl w:val="0"/>
        <w:kinsoku/>
        <w:wordWrap/>
        <w:overflowPunct/>
        <w:topLinePunct w:val="0"/>
        <w:autoSpaceDE/>
        <w:autoSpaceDN/>
        <w:bidi w:val="0"/>
        <w:adjustRightInd/>
        <w:snapToGrid w:val="0"/>
        <w:spacing w:line="576" w:lineRule="exact"/>
        <w:ind w:firstLine="640" w:firstLineChars="200"/>
        <w:textAlignment w:val="auto"/>
        <w:rPr>
          <w:rFonts w:hint="eastAsia" w:ascii="仿宋_GB2312" w:hAnsi="宋体" w:eastAsia="仿宋_GB2312" w:cs="宋体"/>
          <w:color w:val="auto"/>
          <w:kern w:val="0"/>
          <w:sz w:val="32"/>
          <w:szCs w:val="32"/>
          <w:highlight w:val="none"/>
          <w:lang w:val="en-US" w:eastAsia="zh-CN" w:bidi="ar-SA"/>
        </w:rPr>
      </w:pPr>
      <w:bookmarkStart w:id="21" w:name="_Toc21814"/>
      <w:r>
        <w:rPr>
          <w:rFonts w:hint="eastAsia" w:ascii="仿宋_GB2312" w:hAnsi="宋体" w:cs="宋体"/>
          <w:color w:val="auto"/>
          <w:kern w:val="0"/>
          <w:sz w:val="32"/>
          <w:szCs w:val="32"/>
          <w:highlight w:val="none"/>
          <w:lang w:val="en-US" w:eastAsia="zh-CN" w:bidi="ar-SA"/>
        </w:rPr>
        <w:t>壤塘</w:t>
      </w:r>
      <w:r>
        <w:rPr>
          <w:rFonts w:hint="eastAsia" w:ascii="仿宋_GB2312" w:hAnsi="宋体" w:eastAsia="仿宋_GB2312" w:cs="宋体"/>
          <w:color w:val="auto"/>
          <w:kern w:val="0"/>
          <w:sz w:val="32"/>
          <w:szCs w:val="32"/>
          <w:highlight w:val="none"/>
          <w:lang w:val="en-US" w:eastAsia="zh-CN" w:bidi="ar-SA"/>
        </w:rPr>
        <w:t>县尕多乡编制数</w:t>
      </w:r>
      <w:r>
        <w:rPr>
          <w:rFonts w:hint="eastAsia" w:ascii="仿宋_GB2312" w:hAnsi="宋体" w:cs="宋体"/>
          <w:color w:val="auto"/>
          <w:kern w:val="0"/>
          <w:sz w:val="32"/>
          <w:szCs w:val="32"/>
          <w:highlight w:val="none"/>
          <w:lang w:val="en-US" w:eastAsia="zh-CN" w:bidi="ar-SA"/>
        </w:rPr>
        <w:t>38</w:t>
      </w:r>
      <w:r>
        <w:rPr>
          <w:rFonts w:hint="eastAsia" w:ascii="仿宋_GB2312" w:hAnsi="宋体" w:eastAsia="仿宋_GB2312" w:cs="宋体"/>
          <w:color w:val="auto"/>
          <w:kern w:val="0"/>
          <w:sz w:val="32"/>
          <w:szCs w:val="32"/>
          <w:highlight w:val="none"/>
          <w:lang w:val="en-US" w:eastAsia="zh-CN" w:bidi="ar-SA"/>
        </w:rPr>
        <w:t>人，其中：行政编制2</w:t>
      </w:r>
      <w:r>
        <w:rPr>
          <w:rFonts w:hint="eastAsia" w:ascii="仿宋_GB2312" w:hAnsi="宋体" w:cs="宋体"/>
          <w:color w:val="auto"/>
          <w:kern w:val="0"/>
          <w:sz w:val="32"/>
          <w:szCs w:val="32"/>
          <w:highlight w:val="none"/>
          <w:lang w:val="en-US" w:eastAsia="zh-CN" w:bidi="ar-SA"/>
        </w:rPr>
        <w:t>2</w:t>
      </w:r>
      <w:r>
        <w:rPr>
          <w:rFonts w:hint="eastAsia" w:ascii="仿宋_GB2312" w:hAnsi="宋体" w:eastAsia="仿宋_GB2312" w:cs="宋体"/>
          <w:color w:val="auto"/>
          <w:kern w:val="0"/>
          <w:sz w:val="32"/>
          <w:szCs w:val="32"/>
          <w:highlight w:val="none"/>
          <w:lang w:val="en-US" w:eastAsia="zh-CN" w:bidi="ar-SA"/>
        </w:rPr>
        <w:t>人、全额事业编制1</w:t>
      </w:r>
      <w:r>
        <w:rPr>
          <w:rFonts w:hint="eastAsia" w:ascii="仿宋_GB2312" w:hAnsi="宋体" w:cs="宋体"/>
          <w:color w:val="auto"/>
          <w:kern w:val="0"/>
          <w:sz w:val="32"/>
          <w:szCs w:val="32"/>
          <w:highlight w:val="none"/>
          <w:lang w:val="en-US" w:eastAsia="zh-CN" w:bidi="ar-SA"/>
        </w:rPr>
        <w:t>6</w:t>
      </w:r>
      <w:r>
        <w:rPr>
          <w:rFonts w:hint="eastAsia" w:ascii="仿宋_GB2312" w:hAnsi="宋体" w:eastAsia="仿宋_GB2312" w:cs="宋体"/>
          <w:color w:val="auto"/>
          <w:kern w:val="0"/>
          <w:sz w:val="32"/>
          <w:szCs w:val="32"/>
          <w:highlight w:val="none"/>
          <w:lang w:val="en-US" w:eastAsia="zh-CN" w:bidi="ar-SA"/>
        </w:rPr>
        <w:t>人。实有人数</w:t>
      </w:r>
      <w:r>
        <w:rPr>
          <w:rFonts w:hint="eastAsia" w:ascii="仿宋_GB2312" w:hAnsi="宋体" w:cs="宋体"/>
          <w:color w:val="auto"/>
          <w:kern w:val="0"/>
          <w:sz w:val="32"/>
          <w:szCs w:val="32"/>
          <w:highlight w:val="none"/>
          <w:lang w:val="en-US" w:eastAsia="zh-CN" w:bidi="ar-SA"/>
        </w:rPr>
        <w:t>35</w:t>
      </w:r>
      <w:r>
        <w:rPr>
          <w:rFonts w:hint="eastAsia" w:ascii="仿宋_GB2312" w:hAnsi="宋体" w:eastAsia="仿宋_GB2312" w:cs="宋体"/>
          <w:color w:val="auto"/>
          <w:kern w:val="0"/>
          <w:sz w:val="32"/>
          <w:szCs w:val="32"/>
          <w:highlight w:val="none"/>
          <w:lang w:val="en-US" w:eastAsia="zh-CN" w:bidi="ar-SA"/>
        </w:rPr>
        <w:t>人（其中行政编制</w:t>
      </w:r>
      <w:r>
        <w:rPr>
          <w:rFonts w:hint="eastAsia" w:ascii="仿宋_GB2312" w:hAnsi="宋体" w:cs="宋体"/>
          <w:color w:val="auto"/>
          <w:kern w:val="0"/>
          <w:sz w:val="32"/>
          <w:szCs w:val="32"/>
          <w:highlight w:val="none"/>
          <w:lang w:val="en-US" w:eastAsia="zh-CN" w:bidi="ar-SA"/>
        </w:rPr>
        <w:t>21</w:t>
      </w:r>
      <w:r>
        <w:rPr>
          <w:rFonts w:hint="eastAsia" w:ascii="仿宋_GB2312" w:hAnsi="宋体" w:eastAsia="仿宋_GB2312" w:cs="宋体"/>
          <w:color w:val="auto"/>
          <w:kern w:val="0"/>
          <w:sz w:val="32"/>
          <w:szCs w:val="32"/>
          <w:highlight w:val="none"/>
          <w:lang w:val="en-US" w:eastAsia="zh-CN" w:bidi="ar-SA"/>
        </w:rPr>
        <w:t>人、事业编制14人），在职人数</w:t>
      </w:r>
      <w:r>
        <w:rPr>
          <w:rFonts w:hint="eastAsia" w:ascii="仿宋_GB2312" w:hAnsi="宋体" w:cs="宋体"/>
          <w:color w:val="auto"/>
          <w:kern w:val="0"/>
          <w:sz w:val="32"/>
          <w:szCs w:val="32"/>
          <w:highlight w:val="none"/>
          <w:lang w:val="en-US" w:eastAsia="zh-CN" w:bidi="ar-SA"/>
        </w:rPr>
        <w:t>35</w:t>
      </w:r>
      <w:r>
        <w:rPr>
          <w:rFonts w:hint="eastAsia" w:ascii="仿宋_GB2312" w:hAnsi="宋体" w:eastAsia="仿宋_GB2312" w:cs="宋体"/>
          <w:color w:val="auto"/>
          <w:kern w:val="0"/>
          <w:sz w:val="32"/>
          <w:szCs w:val="32"/>
          <w:highlight w:val="none"/>
          <w:lang w:val="en-US" w:eastAsia="zh-CN" w:bidi="ar-SA"/>
        </w:rPr>
        <w:t>人,离休人员0人，退休人员4人。</w:t>
      </w:r>
    </w:p>
    <w:p>
      <w:pPr>
        <w:pStyle w:val="4"/>
        <w:pageBreakBefore w:val="0"/>
        <w:kinsoku/>
        <w:wordWrap/>
        <w:overflowPunct/>
        <w:topLinePunct w:val="0"/>
        <w:bidi w:val="0"/>
        <w:spacing w:before="0" w:after="0" w:line="560" w:lineRule="exact"/>
        <w:ind w:left="0" w:leftChars="0" w:firstLine="640" w:firstLineChars="200"/>
        <w:rPr>
          <w:rFonts w:hint="eastAsia" w:ascii="黑体" w:hAnsi="黑体" w:eastAsia="黑体" w:cs="黑体"/>
          <w:b w:val="0"/>
          <w:bCs w:val="0"/>
        </w:rPr>
      </w:pPr>
      <w:r>
        <w:rPr>
          <w:rFonts w:hint="eastAsia" w:ascii="黑体" w:hAnsi="黑体" w:eastAsia="黑体" w:cs="黑体"/>
          <w:b w:val="0"/>
          <w:bCs w:val="0"/>
        </w:rPr>
        <w:t>二、</w:t>
      </w:r>
      <w:r>
        <w:rPr>
          <w:rFonts w:hint="eastAsia" w:ascii="黑体" w:hAnsi="黑体" w:eastAsia="黑体" w:cs="黑体"/>
          <w:b w:val="0"/>
          <w:bCs w:val="0"/>
          <w:lang w:eastAsia="zh-CN"/>
        </w:rPr>
        <w:t>部门</w:t>
      </w:r>
      <w:r>
        <w:rPr>
          <w:rFonts w:hint="eastAsia" w:ascii="黑体" w:hAnsi="黑体" w:eastAsia="黑体" w:cs="黑体"/>
          <w:b w:val="0"/>
          <w:bCs w:val="0"/>
        </w:rPr>
        <w:t>资金收支情况</w:t>
      </w:r>
      <w:bookmarkEnd w:id="21"/>
    </w:p>
    <w:p>
      <w:pPr>
        <w:pStyle w:val="5"/>
        <w:pageBreakBefore w:val="0"/>
        <w:kinsoku/>
        <w:wordWrap/>
        <w:overflowPunct/>
        <w:topLinePunct w:val="0"/>
        <w:bidi w:val="0"/>
        <w:spacing w:before="0" w:after="0" w:line="560" w:lineRule="exact"/>
        <w:ind w:left="0" w:leftChars="0" w:firstLine="642" w:firstLineChars="200"/>
        <w:rPr>
          <w:rFonts w:hint="eastAsia" w:ascii="楷体_GB2312" w:hAnsi="楷体_GB2312" w:eastAsia="楷体_GB2312" w:cs="楷体_GB2312"/>
          <w:lang w:val="en-US" w:eastAsia="zh-CN"/>
        </w:rPr>
      </w:pPr>
      <w:r>
        <w:rPr>
          <w:rFonts w:hint="eastAsia" w:ascii="楷体_GB2312" w:hAnsi="楷体_GB2312" w:eastAsia="楷体_GB2312" w:cs="楷体_GB2312"/>
          <w:lang w:val="en-US" w:eastAsia="zh-CN"/>
        </w:rPr>
        <w:t>（一）部门财政资金收入情况</w:t>
      </w:r>
    </w:p>
    <w:p>
      <w:pPr>
        <w:pageBreakBefore w:val="0"/>
        <w:kinsoku/>
        <w:wordWrap/>
        <w:overflowPunct/>
        <w:topLinePunct w:val="0"/>
        <w:bidi w:val="0"/>
        <w:spacing w:line="560" w:lineRule="exact"/>
        <w:ind w:left="0" w:leftChars="0" w:firstLine="640" w:firstLineChars="200"/>
        <w:rPr>
          <w:rFonts w:hint="eastAsia" w:ascii="仿宋_GB2312" w:hAnsi="Calibri" w:eastAsia="仿宋_GB2312" w:cs="仿宋"/>
          <w:color w:val="000000"/>
          <w:kern w:val="0"/>
          <w:sz w:val="32"/>
          <w:szCs w:val="32"/>
          <w:lang w:val="en-US" w:eastAsia="zh-CN" w:bidi="ar-SA"/>
        </w:rPr>
      </w:pPr>
      <w:r>
        <w:rPr>
          <w:rFonts w:hint="eastAsia" w:ascii="仿宋_GB2312" w:hAnsi="Calibri" w:eastAsia="仿宋_GB2312" w:cs="仿宋"/>
          <w:color w:val="000000"/>
          <w:kern w:val="0"/>
          <w:sz w:val="32"/>
          <w:szCs w:val="32"/>
          <w:lang w:val="en-US" w:eastAsia="zh-CN" w:bidi="ar-SA"/>
        </w:rPr>
        <w:t>总收入</w:t>
      </w:r>
      <w:r>
        <w:rPr>
          <w:rFonts w:hint="eastAsia" w:ascii="仿宋_GB2312" w:eastAsia="仿宋_GB2312" w:cs="仿宋"/>
          <w:color w:val="000000"/>
          <w:kern w:val="0"/>
          <w:sz w:val="32"/>
          <w:szCs w:val="32"/>
          <w:lang w:val="en-US" w:eastAsia="zh-CN" w:bidi="ar-SA"/>
        </w:rPr>
        <w:t>5985.7</w:t>
      </w:r>
      <w:r>
        <w:rPr>
          <w:rFonts w:hint="eastAsia" w:ascii="仿宋_GB2312" w:hAnsi="Calibri" w:eastAsia="仿宋_GB2312" w:cs="仿宋"/>
          <w:color w:val="000000"/>
          <w:kern w:val="0"/>
          <w:sz w:val="32"/>
          <w:szCs w:val="32"/>
          <w:lang w:val="en-US" w:eastAsia="zh-CN" w:bidi="ar-SA"/>
        </w:rPr>
        <w:t>万元；其中一般公共预算财政拨款收入为</w:t>
      </w:r>
      <w:r>
        <w:rPr>
          <w:rFonts w:hint="eastAsia" w:ascii="仿宋_GB2312" w:eastAsia="仿宋_GB2312" w:cs="仿宋"/>
          <w:color w:val="000000"/>
          <w:kern w:val="0"/>
          <w:sz w:val="32"/>
          <w:szCs w:val="32"/>
          <w:lang w:val="en-US" w:eastAsia="zh-CN" w:bidi="ar-SA"/>
        </w:rPr>
        <w:t>5978.8</w:t>
      </w:r>
      <w:r>
        <w:rPr>
          <w:rFonts w:hint="eastAsia" w:ascii="仿宋_GB2312" w:hAnsi="Calibri" w:eastAsia="仿宋_GB2312" w:cs="仿宋"/>
          <w:color w:val="000000"/>
          <w:kern w:val="0"/>
          <w:sz w:val="32"/>
          <w:szCs w:val="32"/>
          <w:lang w:val="en-US" w:eastAsia="zh-CN" w:bidi="ar-SA"/>
        </w:rPr>
        <w:t>万元，上年结转</w:t>
      </w:r>
      <w:r>
        <w:rPr>
          <w:rFonts w:hint="eastAsia" w:ascii="仿宋_GB2312" w:eastAsia="仿宋_GB2312" w:cs="仿宋"/>
          <w:color w:val="000000"/>
          <w:kern w:val="0"/>
          <w:sz w:val="32"/>
          <w:szCs w:val="32"/>
          <w:lang w:val="en-US" w:eastAsia="zh-CN" w:bidi="ar-SA"/>
        </w:rPr>
        <w:t>0</w:t>
      </w:r>
      <w:r>
        <w:rPr>
          <w:rFonts w:hint="eastAsia" w:ascii="仿宋_GB2312" w:hAnsi="Calibri" w:eastAsia="仿宋_GB2312" w:cs="仿宋"/>
          <w:color w:val="000000"/>
          <w:kern w:val="0"/>
          <w:sz w:val="32"/>
          <w:szCs w:val="32"/>
          <w:lang w:val="en-US" w:eastAsia="zh-CN" w:bidi="ar-SA"/>
        </w:rPr>
        <w:t>万元</w:t>
      </w:r>
      <w:r>
        <w:rPr>
          <w:rFonts w:hint="eastAsia" w:ascii="仿宋_GB2312" w:eastAsia="仿宋_GB2312" w:cs="仿宋"/>
          <w:color w:val="000000"/>
          <w:kern w:val="0"/>
          <w:sz w:val="32"/>
          <w:szCs w:val="32"/>
          <w:lang w:val="en-US" w:eastAsia="zh-CN" w:bidi="ar-SA"/>
        </w:rPr>
        <w:t>，其他收入6.9万元</w:t>
      </w:r>
      <w:r>
        <w:rPr>
          <w:rFonts w:hint="eastAsia" w:ascii="仿宋_GB2312" w:hAnsi="Calibri" w:eastAsia="仿宋_GB2312" w:cs="仿宋"/>
          <w:color w:val="000000"/>
          <w:kern w:val="0"/>
          <w:sz w:val="32"/>
          <w:szCs w:val="32"/>
          <w:lang w:val="en-US" w:eastAsia="zh-CN" w:bidi="ar-SA"/>
        </w:rPr>
        <w:t>。</w:t>
      </w:r>
    </w:p>
    <w:p>
      <w:pPr>
        <w:pStyle w:val="5"/>
        <w:pageBreakBefore w:val="0"/>
        <w:kinsoku/>
        <w:wordWrap/>
        <w:overflowPunct/>
        <w:topLinePunct w:val="0"/>
        <w:bidi w:val="0"/>
        <w:spacing w:before="0" w:after="0" w:line="560" w:lineRule="exact"/>
        <w:ind w:left="0" w:leftChars="0" w:firstLine="642" w:firstLineChars="200"/>
        <w:rPr>
          <w:rFonts w:hint="eastAsia" w:ascii="楷体_GB2312" w:hAnsi="楷体_GB2312" w:eastAsia="楷体_GB2312" w:cs="楷体_GB2312"/>
          <w:lang w:val="zh-CN" w:eastAsia="zh-CN"/>
        </w:rPr>
      </w:pPr>
      <w:r>
        <w:rPr>
          <w:rFonts w:hint="eastAsia" w:ascii="楷体_GB2312" w:hAnsi="楷体_GB2312" w:eastAsia="楷体_GB2312" w:cs="楷体_GB2312"/>
          <w:lang w:val="en-US" w:eastAsia="zh-CN"/>
        </w:rPr>
        <w:t>（二）部门财政资金支出情况</w:t>
      </w:r>
    </w:p>
    <w:p>
      <w:pPr>
        <w:pStyle w:val="2"/>
        <w:ind w:firstLine="640" w:firstLineChars="200"/>
        <w:rPr>
          <w:rFonts w:hint="eastAsia" w:ascii="方正仿宋_GB2312" w:hAnsi="方正仿宋_GB2312" w:eastAsia="方正仿宋_GB2312" w:cs="方正仿宋_GB2312"/>
          <w:sz w:val="32"/>
          <w:szCs w:val="32"/>
          <w:highlight w:val="none"/>
          <w:lang w:val="en-US" w:eastAsia="zh-CN"/>
        </w:rPr>
      </w:pPr>
      <w:r>
        <w:rPr>
          <w:rFonts w:hint="eastAsia" w:ascii="仿宋_GB2312" w:hAnsi="Calibri" w:eastAsia="仿宋_GB2312" w:cs="仿宋"/>
          <w:color w:val="000000"/>
          <w:kern w:val="0"/>
          <w:sz w:val="32"/>
          <w:szCs w:val="32"/>
          <w:highlight w:val="none"/>
          <w:lang w:val="en-US" w:eastAsia="zh-CN" w:bidi="ar-SA"/>
        </w:rPr>
        <w:t>202</w:t>
      </w:r>
      <w:r>
        <w:rPr>
          <w:rFonts w:hint="eastAsia" w:ascii="仿宋_GB2312" w:eastAsia="仿宋_GB2312" w:cs="仿宋"/>
          <w:color w:val="000000"/>
          <w:kern w:val="0"/>
          <w:sz w:val="32"/>
          <w:szCs w:val="32"/>
          <w:highlight w:val="none"/>
          <w:lang w:val="en-US" w:eastAsia="zh-CN" w:bidi="ar-SA"/>
        </w:rPr>
        <w:t>5</w:t>
      </w:r>
      <w:r>
        <w:rPr>
          <w:rFonts w:hint="eastAsia" w:ascii="仿宋_GB2312" w:hAnsi="Calibri" w:eastAsia="仿宋_GB2312" w:cs="仿宋"/>
          <w:color w:val="000000"/>
          <w:kern w:val="0"/>
          <w:sz w:val="32"/>
          <w:szCs w:val="32"/>
          <w:highlight w:val="none"/>
          <w:lang w:val="zh-CN" w:eastAsia="zh-CN" w:bidi="ar-SA"/>
        </w:rPr>
        <w:t>年我单位决算支出</w:t>
      </w:r>
      <w:r>
        <w:rPr>
          <w:rFonts w:hint="eastAsia" w:ascii="仿宋_GB2312" w:eastAsia="仿宋_GB2312" w:cs="仿宋"/>
          <w:color w:val="000000"/>
          <w:kern w:val="0"/>
          <w:sz w:val="32"/>
          <w:szCs w:val="32"/>
          <w:highlight w:val="none"/>
          <w:lang w:val="en-US" w:eastAsia="zh-CN" w:bidi="ar-SA"/>
        </w:rPr>
        <w:t>5985.7</w:t>
      </w:r>
      <w:r>
        <w:rPr>
          <w:rFonts w:hint="eastAsia" w:ascii="仿宋_GB2312" w:hAnsi="Calibri" w:eastAsia="仿宋_GB2312" w:cs="仿宋"/>
          <w:color w:val="000000"/>
          <w:kern w:val="0"/>
          <w:sz w:val="32"/>
          <w:szCs w:val="32"/>
          <w:highlight w:val="none"/>
          <w:lang w:val="zh-CN" w:eastAsia="zh-CN" w:bidi="ar-SA"/>
        </w:rPr>
        <w:t>万元，按功能分类，主要用于</w:t>
      </w:r>
      <w:r>
        <w:rPr>
          <w:rFonts w:hint="eastAsia" w:ascii="方正仿宋_GB2312" w:hAnsi="方正仿宋_GB2312" w:eastAsia="方正仿宋_GB2312" w:cs="方正仿宋_GB2312"/>
          <w:b/>
          <w:bCs/>
          <w:sz w:val="32"/>
          <w:szCs w:val="32"/>
          <w:highlight w:val="none"/>
          <w:lang w:val="en-US" w:eastAsia="zh-CN"/>
        </w:rPr>
        <w:t>一般公共服务支出（类</w:t>
      </w:r>
      <w:r>
        <w:rPr>
          <w:rFonts w:hint="eastAsia" w:ascii="方正仿宋_GB2312" w:hAnsi="方正仿宋_GB2312" w:eastAsia="方正仿宋_GB2312" w:cs="方正仿宋_GB2312"/>
          <w:b w:val="0"/>
          <w:bCs w:val="0"/>
          <w:sz w:val="32"/>
          <w:szCs w:val="32"/>
          <w:highlight w:val="none"/>
          <w:lang w:val="en-US" w:eastAsia="zh-CN"/>
        </w:rPr>
        <w:t>）</w:t>
      </w:r>
      <w:r>
        <w:rPr>
          <w:rFonts w:hint="eastAsia" w:ascii="方正仿宋_GB2312" w:hAnsi="方正仿宋_GB2312" w:eastAsia="方正仿宋_GB2312" w:cs="方正仿宋_GB2312"/>
          <w:b/>
          <w:bCs/>
          <w:sz w:val="32"/>
          <w:szCs w:val="32"/>
          <w:highlight w:val="none"/>
          <w:lang w:val="en-US" w:eastAsia="zh-CN"/>
        </w:rPr>
        <w:t>201</w:t>
      </w:r>
      <w:r>
        <w:rPr>
          <w:rFonts w:hint="eastAsia" w:ascii="方正仿宋_GB2312" w:hAnsi="方正仿宋_GB2312" w:eastAsia="方正仿宋_GB2312" w:cs="方正仿宋_GB2312"/>
          <w:sz w:val="32"/>
          <w:szCs w:val="32"/>
          <w:highlight w:val="none"/>
          <w:lang w:val="en-US" w:eastAsia="zh-CN"/>
        </w:rPr>
        <w:t>支出：511.06万元，占8.55%；</w:t>
      </w:r>
      <w:r>
        <w:rPr>
          <w:rFonts w:hint="eastAsia" w:ascii="方正仿宋_GB2312" w:hAnsi="方正仿宋_GB2312" w:eastAsia="方正仿宋_GB2312" w:cs="方正仿宋_GB2312"/>
          <w:b/>
          <w:bCs/>
          <w:sz w:val="32"/>
          <w:szCs w:val="32"/>
          <w:highlight w:val="none"/>
          <w:lang w:val="en-US" w:eastAsia="zh-CN"/>
        </w:rPr>
        <w:t>国防支出(类）203</w:t>
      </w:r>
      <w:r>
        <w:rPr>
          <w:rFonts w:hint="eastAsia" w:ascii="方正仿宋_GB2312" w:hAnsi="方正仿宋_GB2312" w:eastAsia="方正仿宋_GB2312" w:cs="方正仿宋_GB2312"/>
          <w:sz w:val="32"/>
          <w:szCs w:val="32"/>
          <w:highlight w:val="none"/>
          <w:lang w:val="en-US" w:eastAsia="zh-CN"/>
        </w:rPr>
        <w:t>支出：4.99万元，占</w:t>
      </w:r>
      <w:r>
        <w:rPr>
          <w:rFonts w:hint="eastAsia" w:ascii="方正仿宋_GB2312" w:hAnsi="方正仿宋_GB2312" w:eastAsia="方正仿宋_GB2312" w:cs="方正仿宋_GB2312"/>
          <w:b w:val="0"/>
          <w:bCs w:val="0"/>
          <w:sz w:val="32"/>
          <w:szCs w:val="32"/>
          <w:highlight w:val="none"/>
          <w:lang w:val="en-US" w:eastAsia="zh-CN"/>
        </w:rPr>
        <w:t>0.08</w:t>
      </w:r>
      <w:r>
        <w:rPr>
          <w:rFonts w:hint="eastAsia" w:ascii="方正仿宋_GB2312" w:hAnsi="方正仿宋_GB2312" w:eastAsia="方正仿宋_GB2312" w:cs="方正仿宋_GB2312"/>
          <w:sz w:val="32"/>
          <w:szCs w:val="32"/>
          <w:highlight w:val="none"/>
          <w:lang w:val="en-US" w:eastAsia="zh-CN"/>
        </w:rPr>
        <w:t>%；教育支出</w:t>
      </w:r>
      <w:r>
        <w:rPr>
          <w:rFonts w:hint="eastAsia" w:ascii="方正仿宋_GB2312" w:hAnsi="方正仿宋_GB2312" w:eastAsia="方正仿宋_GB2312" w:cs="方正仿宋_GB2312"/>
          <w:b/>
          <w:bCs/>
          <w:sz w:val="32"/>
          <w:szCs w:val="32"/>
          <w:highlight w:val="none"/>
          <w:lang w:val="en-US" w:eastAsia="zh-CN"/>
        </w:rPr>
        <w:t>(类）205</w:t>
      </w:r>
      <w:r>
        <w:rPr>
          <w:rFonts w:hint="eastAsia" w:ascii="方正仿宋_GB2312" w:hAnsi="方正仿宋_GB2312" w:eastAsia="方正仿宋_GB2312" w:cs="方正仿宋_GB2312"/>
          <w:sz w:val="32"/>
          <w:szCs w:val="32"/>
          <w:highlight w:val="none"/>
          <w:lang w:val="en-US" w:eastAsia="zh-CN"/>
        </w:rPr>
        <w:t>支出:2万元</w:t>
      </w:r>
      <w:r>
        <w:rPr>
          <w:rFonts w:hint="eastAsia" w:ascii="方正仿宋_GB2312" w:hAnsi="方正仿宋_GB2312" w:eastAsia="方正仿宋_GB2312" w:cs="方正仿宋_GB2312"/>
          <w:b w:val="0"/>
          <w:bCs w:val="0"/>
          <w:sz w:val="32"/>
          <w:szCs w:val="32"/>
          <w:highlight w:val="none"/>
          <w:lang w:val="en-US" w:eastAsia="zh-CN"/>
        </w:rPr>
        <w:t>，占0.03</w:t>
      </w:r>
      <w:r>
        <w:rPr>
          <w:rFonts w:hint="eastAsia" w:ascii="方正仿宋_GB2312" w:hAnsi="方正仿宋_GB2312" w:eastAsia="方正仿宋_GB2312" w:cs="方正仿宋_GB2312"/>
          <w:sz w:val="32"/>
          <w:szCs w:val="32"/>
          <w:highlight w:val="none"/>
          <w:lang w:val="en-US" w:eastAsia="zh-CN"/>
        </w:rPr>
        <w:t>%；</w:t>
      </w:r>
      <w:r>
        <w:rPr>
          <w:rFonts w:hint="eastAsia" w:ascii="方正仿宋_GB2312" w:hAnsi="方正仿宋_GB2312" w:eastAsia="方正仿宋_GB2312" w:cs="方正仿宋_GB2312"/>
          <w:b/>
          <w:bCs/>
          <w:sz w:val="32"/>
          <w:szCs w:val="32"/>
          <w:highlight w:val="none"/>
          <w:lang w:val="en-US" w:eastAsia="zh-CN"/>
        </w:rPr>
        <w:t>社会保障和就业支出（类）208</w:t>
      </w:r>
      <w:r>
        <w:rPr>
          <w:rFonts w:hint="eastAsia" w:ascii="方正仿宋_GB2312" w:hAnsi="方正仿宋_GB2312" w:eastAsia="方正仿宋_GB2312" w:cs="方正仿宋_GB2312"/>
          <w:sz w:val="32"/>
          <w:szCs w:val="32"/>
          <w:highlight w:val="none"/>
          <w:lang w:val="en-US" w:eastAsia="zh-CN"/>
        </w:rPr>
        <w:t>支出：138.77万元，占2.32%；</w:t>
      </w:r>
      <w:r>
        <w:rPr>
          <w:rFonts w:hint="eastAsia" w:ascii="方正仿宋_GB2312" w:hAnsi="方正仿宋_GB2312" w:eastAsia="方正仿宋_GB2312" w:cs="方正仿宋_GB2312"/>
          <w:b/>
          <w:bCs/>
          <w:sz w:val="32"/>
          <w:szCs w:val="32"/>
          <w:highlight w:val="none"/>
          <w:lang w:val="en-US" w:eastAsia="zh-CN"/>
        </w:rPr>
        <w:t>卫生健康支出（类)210</w:t>
      </w:r>
      <w:r>
        <w:rPr>
          <w:rFonts w:hint="eastAsia" w:ascii="方正仿宋_GB2312" w:hAnsi="方正仿宋_GB2312" w:eastAsia="方正仿宋_GB2312" w:cs="方正仿宋_GB2312"/>
          <w:sz w:val="32"/>
          <w:szCs w:val="32"/>
          <w:highlight w:val="none"/>
          <w:lang w:val="en-US" w:eastAsia="zh-CN"/>
        </w:rPr>
        <w:t>支出：43.79万元，占0.73%；</w:t>
      </w:r>
      <w:r>
        <w:rPr>
          <w:rFonts w:hint="eastAsia" w:ascii="方正仿宋_GB2312" w:hAnsi="方正仿宋_GB2312" w:eastAsia="方正仿宋_GB2312" w:cs="方正仿宋_GB2312"/>
          <w:b/>
          <w:bCs/>
          <w:sz w:val="32"/>
          <w:szCs w:val="32"/>
          <w:highlight w:val="none"/>
          <w:lang w:val="en-US" w:eastAsia="zh-CN"/>
        </w:rPr>
        <w:t>农林水支出（类）213</w:t>
      </w:r>
      <w:r>
        <w:rPr>
          <w:rFonts w:hint="eastAsia" w:ascii="方正仿宋_GB2312" w:hAnsi="方正仿宋_GB2312" w:eastAsia="方正仿宋_GB2312" w:cs="方正仿宋_GB2312"/>
          <w:sz w:val="32"/>
          <w:szCs w:val="32"/>
          <w:highlight w:val="none"/>
          <w:lang w:val="en-US" w:eastAsia="zh-CN"/>
        </w:rPr>
        <w:t>支出：5208.83万元，占87.13%；</w:t>
      </w:r>
      <w:r>
        <w:rPr>
          <w:rFonts w:hint="eastAsia" w:ascii="方正仿宋_GB2312" w:hAnsi="方正仿宋_GB2312" w:eastAsia="方正仿宋_GB2312" w:cs="方正仿宋_GB2312"/>
          <w:b/>
          <w:bCs/>
          <w:sz w:val="32"/>
          <w:szCs w:val="32"/>
          <w:highlight w:val="none"/>
          <w:lang w:val="en-US" w:eastAsia="zh-CN"/>
        </w:rPr>
        <w:t>住房保障支出（类）221</w:t>
      </w:r>
      <w:r>
        <w:rPr>
          <w:rFonts w:hint="eastAsia" w:ascii="方正仿宋_GB2312" w:hAnsi="方正仿宋_GB2312" w:eastAsia="方正仿宋_GB2312" w:cs="方正仿宋_GB2312"/>
          <w:sz w:val="32"/>
          <w:szCs w:val="32"/>
          <w:highlight w:val="none"/>
          <w:lang w:val="en-US" w:eastAsia="zh-CN"/>
        </w:rPr>
        <w:t>支出：63.11万元，占1.06%；灾</w:t>
      </w:r>
      <w:r>
        <w:rPr>
          <w:rFonts w:hint="eastAsia" w:ascii="方正仿宋_GB2312" w:hAnsi="方正仿宋_GB2312" w:eastAsia="方正仿宋_GB2312" w:cs="方正仿宋_GB2312"/>
          <w:b/>
          <w:bCs/>
          <w:sz w:val="32"/>
          <w:szCs w:val="32"/>
          <w:highlight w:val="none"/>
          <w:lang w:val="en-US" w:eastAsia="zh-CN"/>
        </w:rPr>
        <w:t>害防治及应急管理支出（类）224</w:t>
      </w:r>
      <w:r>
        <w:rPr>
          <w:rFonts w:hint="eastAsia" w:ascii="方正仿宋_GB2312" w:hAnsi="方正仿宋_GB2312" w:eastAsia="方正仿宋_GB2312" w:cs="方正仿宋_GB2312"/>
          <w:sz w:val="32"/>
          <w:szCs w:val="32"/>
          <w:highlight w:val="none"/>
          <w:lang w:val="en-US" w:eastAsia="zh-CN"/>
        </w:rPr>
        <w:t>支出：6.26万元，占0.1%；</w:t>
      </w:r>
    </w:p>
    <w:p>
      <w:pPr>
        <w:pStyle w:val="2"/>
        <w:ind w:firstLine="642" w:firstLineChars="200"/>
        <w:rPr>
          <w:rFonts w:hint="eastAsia"/>
          <w:highlight w:val="none"/>
          <w:lang w:val="en-US" w:eastAsia="zh-CN"/>
        </w:rPr>
      </w:pP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zh-CN"/>
        </w:rPr>
        <w:t>三</w:t>
      </w:r>
      <w:r>
        <w:rPr>
          <w:rFonts w:hint="default" w:ascii="Times New Roman" w:hAnsi="Times New Roman" w:eastAsia="楷体_GB2312" w:cs="Times New Roman"/>
          <w:b/>
          <w:bCs/>
          <w:color w:val="000000"/>
          <w:kern w:val="0"/>
          <w:sz w:val="32"/>
          <w:szCs w:val="32"/>
          <w:highlight w:val="none"/>
          <w:shd w:val="clear" w:color="auto" w:fill="FFFFFF"/>
          <w:lang w:val="zh-CN"/>
        </w:rPr>
        <w:t>）结余分配和结转结余情况</w:t>
      </w:r>
      <w:r>
        <w:rPr>
          <w:rFonts w:hint="eastAsia" w:ascii="Times New Roman" w:hAnsi="Times New Roman" w:eastAsia="楷体_GB2312" w:cs="Times New Roman"/>
          <w:b/>
          <w:bCs/>
          <w:color w:val="000000"/>
          <w:kern w:val="0"/>
          <w:sz w:val="32"/>
          <w:szCs w:val="32"/>
          <w:highlight w:val="none"/>
          <w:shd w:val="clear" w:color="auto" w:fill="FFFFFF"/>
          <w:lang w:val="zh-CN" w:eastAsia="zh-CN"/>
        </w:rPr>
        <w:t>。</w:t>
      </w:r>
      <w:r>
        <w:rPr>
          <w:rFonts w:hint="eastAsia" w:ascii="Times New Roman" w:hAnsi="Times New Roman" w:eastAsia="仿宋_GB2312" w:cs="Times New Roman"/>
          <w:sz w:val="32"/>
          <w:szCs w:val="32"/>
          <w:highlight w:val="none"/>
          <w:lang w:val="en-US" w:eastAsia="zh-CN"/>
        </w:rPr>
        <w:t>我单位2025年决算报表无</w:t>
      </w:r>
      <w:r>
        <w:rPr>
          <w:rFonts w:hint="default" w:ascii="Times New Roman" w:hAnsi="Times New Roman" w:eastAsia="仿宋_GB2312" w:cs="Times New Roman"/>
          <w:sz w:val="32"/>
          <w:szCs w:val="32"/>
          <w:highlight w:val="none"/>
          <w:lang w:val="en-US" w:eastAsia="zh-CN"/>
        </w:rPr>
        <w:t>结转结余</w:t>
      </w:r>
      <w:r>
        <w:rPr>
          <w:rFonts w:hint="eastAsia" w:ascii="Times New Roman" w:hAnsi="Times New Roman" w:eastAsia="仿宋_GB2312" w:cs="Times New Roman"/>
          <w:sz w:val="32"/>
          <w:szCs w:val="32"/>
          <w:highlight w:val="none"/>
          <w:lang w:val="en-US" w:eastAsia="zh-CN"/>
        </w:rPr>
        <w:t>情况</w:t>
      </w:r>
      <w:r>
        <w:rPr>
          <w:rFonts w:hint="default" w:ascii="Times New Roman" w:hAnsi="Times New Roman" w:eastAsia="仿宋_GB2312" w:cs="Times New Roman"/>
          <w:sz w:val="32"/>
          <w:szCs w:val="32"/>
          <w:highlight w:val="none"/>
          <w:lang w:val="en-US" w:eastAsia="zh-CN"/>
        </w:rPr>
        <w:t>。</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left"/>
        <w:textAlignment w:val="auto"/>
        <w:rPr>
          <w:rFonts w:ascii="黑体" w:hAnsi="宋体" w:eastAsia="黑体" w:cs="宋体"/>
          <w:color w:val="000000"/>
          <w:kern w:val="0"/>
          <w:sz w:val="32"/>
          <w:szCs w:val="32"/>
          <w:highlight w:val="none"/>
          <w:shd w:val="clear" w:color="auto" w:fill="FFFFFF"/>
        </w:rPr>
      </w:pPr>
      <w:r>
        <w:rPr>
          <w:rFonts w:hint="eastAsia" w:ascii="黑体" w:hAnsi="宋体" w:eastAsia="黑体" w:cs="宋体"/>
          <w:color w:val="000000"/>
          <w:kern w:val="0"/>
          <w:sz w:val="32"/>
          <w:szCs w:val="32"/>
          <w:highlight w:val="none"/>
          <w:shd w:val="clear" w:color="auto" w:fill="FFFFFF"/>
        </w:rPr>
        <w:t>三、</w:t>
      </w:r>
      <w:r>
        <w:rPr>
          <w:rFonts w:hint="eastAsia" w:ascii="黑体" w:hAnsi="宋体" w:eastAsia="黑体" w:cs="宋体"/>
          <w:color w:val="000000"/>
          <w:kern w:val="0"/>
          <w:sz w:val="32"/>
          <w:szCs w:val="32"/>
          <w:highlight w:val="none"/>
          <w:u w:val="none"/>
          <w:shd w:val="clear" w:color="auto" w:fill="FFFFFF"/>
        </w:rPr>
        <w:t>部门整体绩效</w:t>
      </w:r>
      <w:r>
        <w:rPr>
          <w:rFonts w:hint="eastAsia" w:ascii="黑体" w:hAnsi="宋体" w:eastAsia="黑体" w:cs="宋体"/>
          <w:color w:val="000000"/>
          <w:kern w:val="0"/>
          <w:sz w:val="32"/>
          <w:szCs w:val="32"/>
          <w:highlight w:val="none"/>
          <w:u w:val="none"/>
          <w:shd w:val="clear" w:color="auto" w:fill="FFFFFF"/>
          <w:lang w:eastAsia="zh-CN"/>
        </w:rPr>
        <w:t>分析</w:t>
      </w:r>
    </w:p>
    <w:p>
      <w:pPr>
        <w:keepNext w:val="0"/>
        <w:keepLines w:val="0"/>
        <w:pageBreakBefore w:val="0"/>
        <w:widowControl/>
        <w:kinsoku/>
        <w:wordWrap/>
        <w:overflowPunct/>
        <w:topLinePunct w:val="0"/>
        <w:autoSpaceDE/>
        <w:autoSpaceDN/>
        <w:bidi w:val="0"/>
        <w:adjustRightInd w:val="0"/>
        <w:snapToGrid w:val="0"/>
        <w:spacing w:line="560" w:lineRule="exact"/>
        <w:ind w:firstLine="642" w:firstLineChars="200"/>
        <w:contextualSpacing/>
        <w:jc w:val="left"/>
        <w:textAlignment w:val="auto"/>
        <w:rPr>
          <w:rFonts w:hint="eastAsia" w:ascii="楷体_GB2312" w:hAnsi="楷体_GB2312" w:eastAsia="楷体_GB2312" w:cs="楷体_GB2312"/>
          <w:b/>
          <w:bCs/>
          <w:color w:val="000000"/>
          <w:kern w:val="0"/>
          <w:sz w:val="32"/>
          <w:szCs w:val="32"/>
          <w:highlight w:val="none"/>
          <w:shd w:val="clear" w:color="auto" w:fill="FFFFFF"/>
          <w:lang w:val="zh-CN"/>
        </w:rPr>
      </w:pPr>
      <w:r>
        <w:rPr>
          <w:rFonts w:hint="eastAsia" w:ascii="楷体_GB2312" w:hAnsi="楷体_GB2312" w:eastAsia="楷体_GB2312" w:cs="楷体_GB2312"/>
          <w:b/>
          <w:bCs/>
          <w:color w:val="000000"/>
          <w:kern w:val="0"/>
          <w:sz w:val="32"/>
          <w:szCs w:val="32"/>
          <w:highlight w:val="none"/>
          <w:shd w:val="clear" w:color="auto" w:fill="FFFFFF"/>
          <w:lang w:val="zh-CN"/>
        </w:rPr>
        <w:t>（一）部门预算项目绩效分析。</w:t>
      </w:r>
    </w:p>
    <w:p>
      <w:pPr>
        <w:pageBreakBefore w:val="0"/>
        <w:kinsoku/>
        <w:wordWrap/>
        <w:overflowPunct/>
        <w:topLinePunct w:val="0"/>
        <w:bidi w:val="0"/>
        <w:spacing w:line="560" w:lineRule="exact"/>
        <w:ind w:left="0" w:leftChars="0" w:firstLine="640" w:firstLineChars="200"/>
        <w:rPr>
          <w:rFonts w:hint="default" w:ascii="方正仿宋_GB2312" w:hAnsi="方正仿宋_GB2312" w:eastAsia="方正仿宋_GB2312" w:cs="方正仿宋_GB2312"/>
          <w:sz w:val="32"/>
          <w:szCs w:val="32"/>
          <w:highlight w:val="none"/>
          <w:lang w:val="zh-CN" w:eastAsia="zh-CN"/>
        </w:rPr>
      </w:pPr>
      <w:r>
        <w:rPr>
          <w:rFonts w:hint="default" w:ascii="方正仿宋_GB2312" w:hAnsi="方正仿宋_GB2312" w:eastAsia="方正仿宋_GB2312" w:cs="方正仿宋_GB2312"/>
          <w:sz w:val="32"/>
          <w:szCs w:val="32"/>
          <w:highlight w:val="none"/>
          <w:lang w:val="zh-CN" w:eastAsia="zh-CN"/>
        </w:rPr>
        <w:t>根据部门预算绩效评价指标体系“总体绩效”涉及</w:t>
      </w:r>
      <w:r>
        <w:rPr>
          <w:rFonts w:hint="eastAsia" w:ascii="方正仿宋_GB2312" w:hAnsi="方正仿宋_GB2312" w:eastAsia="方正仿宋_GB2312" w:cs="方正仿宋_GB2312"/>
          <w:sz w:val="32"/>
          <w:szCs w:val="32"/>
          <w:highlight w:val="none"/>
          <w:lang w:val="zh-CN" w:eastAsia="zh-CN"/>
        </w:rPr>
        <w:t>二、三级</w:t>
      </w:r>
      <w:r>
        <w:rPr>
          <w:rFonts w:hint="default" w:ascii="方正仿宋_GB2312" w:hAnsi="方正仿宋_GB2312" w:eastAsia="方正仿宋_GB2312" w:cs="方正仿宋_GB2312"/>
          <w:sz w:val="32"/>
          <w:szCs w:val="32"/>
          <w:highlight w:val="none"/>
          <w:lang w:val="zh-CN" w:eastAsia="zh-CN"/>
        </w:rPr>
        <w:t>指标进行</w:t>
      </w:r>
      <w:r>
        <w:rPr>
          <w:rFonts w:hint="eastAsia" w:ascii="方正仿宋_GB2312" w:hAnsi="方正仿宋_GB2312" w:eastAsia="方正仿宋_GB2312" w:cs="方正仿宋_GB2312"/>
          <w:sz w:val="32"/>
          <w:szCs w:val="32"/>
          <w:highlight w:val="none"/>
          <w:lang w:val="zh-CN" w:eastAsia="zh-CN"/>
        </w:rPr>
        <w:t>逐项</w:t>
      </w:r>
      <w:r>
        <w:rPr>
          <w:rFonts w:hint="default" w:ascii="方正仿宋_GB2312" w:hAnsi="方正仿宋_GB2312" w:eastAsia="方正仿宋_GB2312" w:cs="方正仿宋_GB2312"/>
          <w:sz w:val="32"/>
          <w:szCs w:val="32"/>
          <w:highlight w:val="none"/>
          <w:lang w:val="zh-CN" w:eastAsia="zh-CN"/>
        </w:rPr>
        <w:t>绩效分析</w:t>
      </w:r>
      <w:r>
        <w:rPr>
          <w:rFonts w:hint="eastAsia" w:ascii="方正仿宋_GB2312" w:hAnsi="方正仿宋_GB2312" w:eastAsia="方正仿宋_GB2312" w:cs="方正仿宋_GB2312"/>
          <w:sz w:val="32"/>
          <w:szCs w:val="32"/>
          <w:highlight w:val="none"/>
          <w:lang w:val="zh-CN" w:eastAsia="zh-CN"/>
        </w:rPr>
        <w:t>并评分</w:t>
      </w:r>
      <w:r>
        <w:rPr>
          <w:rFonts w:hint="default" w:ascii="方正仿宋_GB2312" w:hAnsi="方正仿宋_GB2312" w:eastAsia="方正仿宋_GB2312" w:cs="方正仿宋_GB2312"/>
          <w:sz w:val="32"/>
          <w:szCs w:val="32"/>
          <w:highlight w:val="none"/>
          <w:lang w:val="zh-CN" w:eastAsia="zh-CN"/>
        </w:rPr>
        <w:t>，依次包括履职效能、预算管理、财务管理、资产管理、采购管理等情况。</w:t>
      </w:r>
    </w:p>
    <w:p>
      <w:pPr>
        <w:pageBreakBefore w:val="0"/>
        <w:kinsoku/>
        <w:wordWrap/>
        <w:overflowPunct/>
        <w:topLinePunct w:val="0"/>
        <w:bidi w:val="0"/>
        <w:spacing w:line="560" w:lineRule="exact"/>
        <w:ind w:left="0" w:leftChars="0" w:firstLine="640" w:firstLineChars="200"/>
        <w:rPr>
          <w:rFonts w:hint="eastAsia" w:ascii="方正仿宋_GB2312" w:hAnsi="方正仿宋_GB2312" w:eastAsia="方正仿宋_GB2312" w:cs="方正仿宋_GB2312"/>
          <w:sz w:val="32"/>
          <w:szCs w:val="32"/>
          <w:highlight w:val="none"/>
          <w:lang w:val="en-US" w:eastAsia="zh-CN"/>
        </w:rPr>
      </w:pPr>
      <w:r>
        <w:rPr>
          <w:rFonts w:hint="eastAsia" w:ascii="方正仿宋_GB2312" w:hAnsi="方正仿宋_GB2312" w:eastAsia="方正仿宋_GB2312" w:cs="方正仿宋_GB2312"/>
          <w:sz w:val="32"/>
          <w:szCs w:val="32"/>
          <w:highlight w:val="none"/>
          <w:lang w:val="en-US" w:eastAsia="zh-CN"/>
        </w:rPr>
        <w:t>我乡项目资金严格按照</w:t>
      </w:r>
      <w:r>
        <w:rPr>
          <w:rFonts w:hint="eastAsia" w:ascii="方正仿宋_GB2312" w:hAnsi="方正仿宋_GB2312" w:eastAsia="方正仿宋_GB2312" w:cs="方正仿宋_GB2312"/>
          <w:sz w:val="32"/>
          <w:szCs w:val="32"/>
          <w:highlight w:val="none"/>
          <w:lang w:val="zh-CN" w:eastAsia="zh-CN"/>
        </w:rPr>
        <w:t>《中华人民共和国合同法预算法》、《阿坝州州级预算绩效目标管理办法》、《预算编制通知》等文件要求等</w:t>
      </w:r>
      <w:r>
        <w:rPr>
          <w:rFonts w:hint="eastAsia" w:ascii="方正仿宋_GB2312" w:hAnsi="方正仿宋_GB2312" w:eastAsia="方正仿宋_GB2312" w:cs="方正仿宋_GB2312"/>
          <w:sz w:val="32"/>
          <w:szCs w:val="32"/>
          <w:highlight w:val="none"/>
          <w:lang w:val="en-US" w:eastAsia="zh-CN"/>
        </w:rPr>
        <w:t>资金管理办法进行管理，按施工进度拨付资金，专款专用、专账管理，项目实施完成后取得了一定的经济、社会效益，绩效目标实现情况良好，服务对象满意度较高，促进了社会经济稳步发展，有利于创建文明、和谐的社会。</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left"/>
        <w:textAlignment w:val="auto"/>
        <w:rPr>
          <w:rFonts w:hint="eastAsia" w:ascii="Times New Roman" w:hAnsi="Times New Roman" w:cs="Times New Roman"/>
          <w:color w:val="000000"/>
          <w:kern w:val="0"/>
          <w:sz w:val="32"/>
          <w:szCs w:val="32"/>
          <w:highlight w:val="none"/>
          <w:shd w:val="clear" w:color="auto" w:fill="FFFFFF"/>
          <w:lang w:val="zh-CN"/>
        </w:rPr>
      </w:pPr>
      <w:r>
        <w:rPr>
          <w:rFonts w:hint="eastAsia" w:ascii="方正仿宋_GB2312" w:hAnsi="方正仿宋_GB2312" w:eastAsia="方正仿宋_GB2312" w:cs="方正仿宋_GB2312"/>
          <w:b w:val="0"/>
          <w:bCs w:val="0"/>
          <w:color w:val="auto"/>
          <w:kern w:val="2"/>
          <w:sz w:val="32"/>
          <w:szCs w:val="32"/>
          <w:highlight w:val="none"/>
          <w:lang w:val="en-US" w:eastAsia="zh-CN" w:bidi="ar-SA"/>
        </w:rPr>
        <w:t>1.</w:t>
      </w:r>
      <w:r>
        <w:rPr>
          <w:rFonts w:hint="eastAsia" w:ascii="方正仿宋_GB2312" w:hAnsi="方正仿宋_GB2312" w:eastAsia="方正仿宋_GB2312" w:cs="方正仿宋_GB2312"/>
          <w:b w:val="0"/>
          <w:bCs w:val="0"/>
          <w:color w:val="auto"/>
          <w:kern w:val="2"/>
          <w:sz w:val="32"/>
          <w:szCs w:val="32"/>
          <w:highlight w:val="none"/>
          <w:lang w:val="zh-CN" w:eastAsia="zh-CN" w:bidi="ar-SA"/>
        </w:rPr>
        <w:t>履职效能</w:t>
      </w:r>
      <w:r>
        <w:rPr>
          <w:rFonts w:hint="eastAsia" w:ascii="方正仿宋_GB2312" w:hAnsi="方正仿宋_GB2312" w:eastAsia="方正仿宋_GB2312" w:cs="方正仿宋_GB2312"/>
          <w:b/>
          <w:bCs/>
          <w:color w:val="auto"/>
          <w:kern w:val="2"/>
          <w:sz w:val="32"/>
          <w:szCs w:val="32"/>
          <w:highlight w:val="none"/>
          <w:lang w:val="zh-CN" w:eastAsia="zh-CN" w:bidi="ar-SA"/>
        </w:rPr>
        <w:t>。</w:t>
      </w:r>
      <w:r>
        <w:rPr>
          <w:rFonts w:hint="eastAsia" w:ascii="仿宋_GB2312" w:hAnsi="仿宋_GB2312" w:eastAsia="仿宋_GB2312" w:cs="仿宋_GB2312"/>
          <w:b w:val="0"/>
          <w:bCs w:val="0"/>
          <w:color w:val="000000"/>
          <w:kern w:val="0"/>
          <w:sz w:val="32"/>
          <w:szCs w:val="32"/>
          <w:highlight w:val="none"/>
          <w:shd w:val="clear" w:color="auto" w:fill="FFFFFF"/>
          <w:lang w:val="zh-CN" w:eastAsia="zh-CN"/>
        </w:rPr>
        <w:t>工资性支出绩效目标：</w:t>
      </w:r>
      <w:r>
        <w:rPr>
          <w:rFonts w:hint="eastAsia" w:ascii="仿宋_GB2312" w:hAnsi="仿宋_GB2312" w:eastAsia="仿宋_GB2312" w:cs="仿宋_GB2312"/>
          <w:b w:val="0"/>
          <w:bCs w:val="0"/>
          <w:color w:val="000000"/>
          <w:kern w:val="0"/>
          <w:sz w:val="32"/>
          <w:szCs w:val="32"/>
          <w:highlight w:val="none"/>
          <w:shd w:val="clear" w:color="auto" w:fill="FFFFFF"/>
          <w:lang w:val="en-US" w:eastAsia="zh-CN"/>
        </w:rPr>
        <w:t>保障职工薪酬</w:t>
      </w:r>
      <w:r>
        <w:rPr>
          <w:rFonts w:hint="eastAsia" w:ascii="仿宋_GB2312" w:hAnsi="仿宋_GB2312" w:eastAsia="仿宋_GB2312" w:cs="仿宋_GB2312"/>
          <w:b w:val="0"/>
          <w:bCs w:val="0"/>
          <w:color w:val="000000"/>
          <w:kern w:val="0"/>
          <w:sz w:val="32"/>
          <w:szCs w:val="32"/>
          <w:highlight w:val="none"/>
          <w:shd w:val="clear" w:color="auto" w:fill="FFFFFF"/>
          <w:lang w:val="zh-CN" w:eastAsia="zh-CN"/>
        </w:rPr>
        <w:t>每月按时、</w:t>
      </w:r>
      <w:r>
        <w:rPr>
          <w:rFonts w:hint="eastAsia" w:ascii="仿宋_GB2312" w:hAnsi="仿宋_GB2312" w:eastAsia="仿宋_GB2312" w:cs="仿宋_GB2312"/>
          <w:b w:val="0"/>
          <w:bCs w:val="0"/>
          <w:color w:val="000000"/>
          <w:kern w:val="0"/>
          <w:sz w:val="32"/>
          <w:szCs w:val="32"/>
          <w:highlight w:val="none"/>
          <w:shd w:val="clear" w:color="auto" w:fill="FFFFFF"/>
          <w:lang w:val="en-US" w:eastAsia="zh-CN"/>
        </w:rPr>
        <w:t>足额</w:t>
      </w:r>
      <w:r>
        <w:rPr>
          <w:rFonts w:hint="eastAsia" w:ascii="仿宋_GB2312" w:hAnsi="仿宋_GB2312" w:eastAsia="仿宋_GB2312" w:cs="仿宋_GB2312"/>
          <w:b w:val="0"/>
          <w:bCs w:val="0"/>
          <w:color w:val="000000"/>
          <w:kern w:val="0"/>
          <w:sz w:val="32"/>
          <w:szCs w:val="32"/>
          <w:highlight w:val="none"/>
          <w:shd w:val="clear" w:color="auto" w:fill="FFFFFF"/>
          <w:lang w:val="zh-CN" w:eastAsia="zh-CN"/>
        </w:rPr>
        <w:t>进行发放。目标实现：</w:t>
      </w:r>
      <w:r>
        <w:rPr>
          <w:rFonts w:hint="eastAsia" w:ascii="仿宋_GB2312" w:hAnsi="仿宋_GB2312" w:eastAsia="仿宋_GB2312" w:cs="仿宋_GB2312"/>
          <w:b w:val="0"/>
          <w:bCs w:val="0"/>
          <w:color w:val="000000"/>
          <w:kern w:val="0"/>
          <w:sz w:val="32"/>
          <w:szCs w:val="32"/>
          <w:highlight w:val="none"/>
          <w:shd w:val="clear" w:color="auto" w:fill="FFFFFF"/>
          <w:lang w:val="en-US" w:eastAsia="zh-CN"/>
        </w:rPr>
        <w:t>每月均按时足额发放，完成率100%，提高职工工作积极性，工资金额安排合理</w:t>
      </w:r>
      <w:r>
        <w:rPr>
          <w:rFonts w:hint="eastAsia" w:ascii="仿宋_GB2312" w:hAnsi="仿宋_GB2312" w:eastAsia="仿宋_GB2312" w:cs="仿宋_GB2312"/>
          <w:b w:val="0"/>
          <w:bCs w:val="0"/>
          <w:color w:val="000000"/>
          <w:kern w:val="0"/>
          <w:sz w:val="32"/>
          <w:szCs w:val="32"/>
          <w:highlight w:val="none"/>
          <w:shd w:val="clear" w:color="auto" w:fill="FFFFFF"/>
          <w:lang w:val="zh-CN" w:eastAsia="zh-CN"/>
        </w:rPr>
        <w:t>，</w:t>
      </w:r>
      <w:r>
        <w:rPr>
          <w:rFonts w:hint="eastAsia" w:ascii="仿宋_GB2312" w:hAnsi="仿宋_GB2312" w:eastAsia="仿宋_GB2312" w:cs="仿宋_GB2312"/>
          <w:b w:val="0"/>
          <w:bCs w:val="0"/>
          <w:color w:val="000000"/>
          <w:kern w:val="0"/>
          <w:sz w:val="32"/>
          <w:szCs w:val="32"/>
          <w:highlight w:val="none"/>
          <w:shd w:val="clear" w:color="auto" w:fill="FFFFFF"/>
          <w:lang w:val="en-US" w:eastAsia="zh-CN"/>
        </w:rPr>
        <w:t>财务流程顺畅，</w:t>
      </w:r>
      <w:r>
        <w:rPr>
          <w:rFonts w:hint="eastAsia" w:ascii="仿宋_GB2312" w:hAnsi="仿宋_GB2312" w:eastAsia="仿宋_GB2312" w:cs="仿宋_GB2312"/>
          <w:b w:val="0"/>
          <w:bCs w:val="0"/>
          <w:color w:val="000000"/>
          <w:kern w:val="0"/>
          <w:sz w:val="32"/>
          <w:szCs w:val="32"/>
          <w:highlight w:val="none"/>
          <w:shd w:val="clear" w:color="auto" w:fill="FFFFFF"/>
          <w:lang w:val="zh-CN" w:eastAsia="zh-CN"/>
        </w:rPr>
        <w:t>提高了工作效率，确保工资</w:t>
      </w:r>
      <w:r>
        <w:rPr>
          <w:rFonts w:hint="eastAsia" w:ascii="仿宋_GB2312" w:hAnsi="仿宋_GB2312" w:eastAsia="仿宋_GB2312" w:cs="仿宋_GB2312"/>
          <w:b w:val="0"/>
          <w:bCs w:val="0"/>
          <w:color w:val="000000"/>
          <w:kern w:val="0"/>
          <w:sz w:val="32"/>
          <w:szCs w:val="32"/>
          <w:highlight w:val="none"/>
          <w:shd w:val="clear" w:color="auto" w:fill="FFFFFF"/>
          <w:lang w:val="en-US" w:eastAsia="zh-CN"/>
        </w:rPr>
        <w:t>支付</w:t>
      </w:r>
      <w:r>
        <w:rPr>
          <w:rFonts w:hint="eastAsia" w:ascii="仿宋_GB2312" w:hAnsi="仿宋_GB2312" w:eastAsia="仿宋_GB2312" w:cs="仿宋_GB2312"/>
          <w:b w:val="0"/>
          <w:bCs w:val="0"/>
          <w:color w:val="000000"/>
          <w:kern w:val="0"/>
          <w:sz w:val="32"/>
          <w:szCs w:val="32"/>
          <w:highlight w:val="none"/>
          <w:shd w:val="clear" w:color="auto" w:fill="FFFFFF"/>
          <w:lang w:val="zh-CN" w:eastAsia="zh-CN"/>
        </w:rPr>
        <w:t>的准确性和及时性。</w:t>
      </w:r>
      <w:r>
        <w:rPr>
          <w:rFonts w:hint="eastAsia" w:ascii="仿宋_GB2312" w:hAnsi="仿宋_GB2312" w:eastAsia="仿宋_GB2312" w:cs="仿宋_GB2312"/>
          <w:b w:val="0"/>
          <w:bCs w:val="0"/>
          <w:color w:val="000000"/>
          <w:kern w:val="0"/>
          <w:sz w:val="32"/>
          <w:szCs w:val="32"/>
          <w:highlight w:val="none"/>
          <w:shd w:val="clear" w:color="auto" w:fill="FFFFFF"/>
          <w:lang w:val="en-US" w:eastAsia="zh-CN"/>
        </w:rPr>
        <w:t>预算编制较准确，</w:t>
      </w:r>
      <w:r>
        <w:rPr>
          <w:rFonts w:hint="eastAsia" w:ascii="仿宋_GB2312" w:hAnsi="仿宋_GB2312" w:eastAsia="仿宋_GB2312" w:cs="仿宋_GB2312"/>
          <w:b w:val="0"/>
          <w:bCs w:val="0"/>
          <w:color w:val="000000"/>
          <w:kern w:val="0"/>
          <w:sz w:val="32"/>
          <w:szCs w:val="32"/>
          <w:highlight w:val="none"/>
          <w:shd w:val="clear" w:color="auto" w:fill="FFFFFF"/>
          <w:lang w:val="zh-CN" w:eastAsia="zh-CN"/>
        </w:rPr>
        <w:t>支出控制在预算执行范围内，执行进度良好；</w:t>
      </w:r>
      <w:r>
        <w:rPr>
          <w:rFonts w:hint="eastAsia" w:ascii="仿宋_GB2312" w:hAnsi="仿宋_GB2312" w:eastAsia="仿宋_GB2312" w:cs="仿宋_GB2312"/>
          <w:b w:val="0"/>
          <w:bCs w:val="0"/>
          <w:color w:val="000000"/>
          <w:kern w:val="0"/>
          <w:sz w:val="32"/>
          <w:szCs w:val="32"/>
          <w:highlight w:val="none"/>
          <w:shd w:val="clear" w:color="auto" w:fill="FFFFFF"/>
          <w:lang w:val="en-US" w:eastAsia="zh-CN"/>
        </w:rPr>
        <w:t>日常</w:t>
      </w:r>
      <w:r>
        <w:rPr>
          <w:rFonts w:hint="eastAsia" w:ascii="仿宋_GB2312" w:hAnsi="仿宋_GB2312" w:eastAsia="仿宋_GB2312" w:cs="仿宋_GB2312"/>
          <w:b w:val="0"/>
          <w:bCs w:val="0"/>
          <w:color w:val="000000"/>
          <w:kern w:val="0"/>
          <w:sz w:val="32"/>
          <w:szCs w:val="32"/>
          <w:highlight w:val="none"/>
          <w:shd w:val="clear" w:color="auto" w:fill="FFFFFF"/>
          <w:lang w:val="zh-CN" w:eastAsia="zh-CN"/>
        </w:rPr>
        <w:t>公用经费绩效目标：</w:t>
      </w:r>
      <w:r>
        <w:rPr>
          <w:rFonts w:hint="eastAsia" w:ascii="仿宋_GB2312" w:hAnsi="仿宋_GB2312" w:eastAsia="仿宋_GB2312" w:cs="仿宋_GB2312"/>
          <w:b w:val="0"/>
          <w:bCs w:val="0"/>
          <w:color w:val="000000"/>
          <w:kern w:val="0"/>
          <w:sz w:val="32"/>
          <w:szCs w:val="32"/>
          <w:highlight w:val="none"/>
          <w:shd w:val="clear" w:color="auto" w:fill="FFFFFF"/>
          <w:lang w:val="en-US" w:eastAsia="zh-CN"/>
        </w:rPr>
        <w:t>合理并规范有效使用</w:t>
      </w:r>
      <w:r>
        <w:rPr>
          <w:rFonts w:hint="eastAsia" w:ascii="仿宋_GB2312" w:hAnsi="仿宋_GB2312" w:eastAsia="仿宋_GB2312" w:cs="仿宋_GB2312"/>
          <w:b w:val="0"/>
          <w:bCs w:val="0"/>
          <w:color w:val="000000"/>
          <w:kern w:val="0"/>
          <w:sz w:val="32"/>
          <w:szCs w:val="32"/>
          <w:highlight w:val="none"/>
          <w:shd w:val="clear" w:color="auto" w:fill="FFFFFF"/>
          <w:lang w:val="zh-CN" w:eastAsia="zh-CN"/>
        </w:rPr>
        <w:t>办公费、</w:t>
      </w:r>
      <w:r>
        <w:rPr>
          <w:rFonts w:hint="eastAsia" w:ascii="仿宋_GB2312" w:hAnsi="仿宋_GB2312" w:eastAsia="仿宋_GB2312" w:cs="仿宋_GB2312"/>
          <w:b w:val="0"/>
          <w:bCs w:val="0"/>
          <w:color w:val="000000"/>
          <w:kern w:val="0"/>
          <w:sz w:val="32"/>
          <w:szCs w:val="32"/>
          <w:highlight w:val="none"/>
          <w:shd w:val="clear" w:color="auto" w:fill="FFFFFF"/>
          <w:lang w:val="en-US" w:eastAsia="zh-CN"/>
        </w:rPr>
        <w:t>邮电费、</w:t>
      </w:r>
      <w:r>
        <w:rPr>
          <w:rFonts w:hint="eastAsia" w:ascii="仿宋_GB2312" w:hAnsi="仿宋_GB2312" w:eastAsia="仿宋_GB2312" w:cs="仿宋_GB2312"/>
          <w:b w:val="0"/>
          <w:bCs w:val="0"/>
          <w:color w:val="000000"/>
          <w:kern w:val="0"/>
          <w:sz w:val="32"/>
          <w:szCs w:val="32"/>
          <w:highlight w:val="none"/>
          <w:shd w:val="clear" w:color="auto" w:fill="FFFFFF"/>
          <w:lang w:val="zh-CN" w:eastAsia="zh-CN"/>
        </w:rPr>
        <w:t>电费、印刷费、</w:t>
      </w:r>
      <w:r>
        <w:rPr>
          <w:rFonts w:hint="eastAsia" w:ascii="仿宋_GB2312" w:hAnsi="仿宋_GB2312" w:eastAsia="仿宋_GB2312" w:cs="仿宋_GB2312"/>
          <w:b w:val="0"/>
          <w:bCs w:val="0"/>
          <w:color w:val="000000"/>
          <w:kern w:val="0"/>
          <w:sz w:val="32"/>
          <w:szCs w:val="32"/>
          <w:highlight w:val="none"/>
          <w:shd w:val="clear" w:color="auto" w:fill="FFFFFF"/>
          <w:lang w:val="en-US" w:eastAsia="zh-CN"/>
        </w:rPr>
        <w:t>差旅费</w:t>
      </w:r>
      <w:r>
        <w:rPr>
          <w:rFonts w:hint="eastAsia" w:ascii="仿宋_GB2312" w:hAnsi="仿宋_GB2312" w:eastAsia="仿宋_GB2312" w:cs="仿宋_GB2312"/>
          <w:b w:val="0"/>
          <w:bCs w:val="0"/>
          <w:color w:val="000000"/>
          <w:kern w:val="0"/>
          <w:sz w:val="32"/>
          <w:szCs w:val="32"/>
          <w:highlight w:val="none"/>
          <w:shd w:val="clear" w:color="auto" w:fill="FFFFFF"/>
          <w:lang w:val="zh-CN" w:eastAsia="zh-CN"/>
        </w:rPr>
        <w:t>等经费。目标实现：</w:t>
      </w:r>
      <w:r>
        <w:rPr>
          <w:rFonts w:hint="eastAsia" w:ascii="仿宋_GB2312" w:hAnsi="仿宋_GB2312" w:eastAsia="仿宋_GB2312" w:cs="仿宋_GB2312"/>
          <w:b w:val="0"/>
          <w:bCs w:val="0"/>
          <w:color w:val="000000"/>
          <w:kern w:val="0"/>
          <w:sz w:val="32"/>
          <w:szCs w:val="32"/>
          <w:highlight w:val="none"/>
          <w:shd w:val="clear" w:color="auto" w:fill="FFFFFF"/>
          <w:lang w:val="en-US" w:eastAsia="zh-CN"/>
        </w:rPr>
        <w:t>提高我乡日常公用经费使用效益，为日常工作的顺利开展提供有力保障，</w:t>
      </w:r>
      <w:r>
        <w:rPr>
          <w:rFonts w:hint="eastAsia" w:ascii="仿宋_GB2312" w:hAnsi="仿宋_GB2312" w:eastAsia="仿宋_GB2312" w:cs="仿宋_GB2312"/>
          <w:b w:val="0"/>
          <w:bCs w:val="0"/>
          <w:color w:val="000000"/>
          <w:kern w:val="0"/>
          <w:sz w:val="32"/>
          <w:szCs w:val="32"/>
          <w:highlight w:val="none"/>
          <w:shd w:val="clear" w:color="auto" w:fill="FFFFFF"/>
          <w:lang w:val="zh-CN" w:eastAsia="zh-CN"/>
        </w:rPr>
        <w:t>支出控制在预算执行范围内，执行进度良好；村级公共运行</w:t>
      </w:r>
      <w:r>
        <w:rPr>
          <w:rFonts w:hint="eastAsia" w:ascii="仿宋_GB2312" w:hAnsi="仿宋_GB2312" w:eastAsia="仿宋_GB2312" w:cs="仿宋_GB2312"/>
          <w:b w:val="0"/>
          <w:bCs w:val="0"/>
          <w:color w:val="000000"/>
          <w:kern w:val="0"/>
          <w:sz w:val="32"/>
          <w:szCs w:val="32"/>
          <w:highlight w:val="none"/>
          <w:shd w:val="clear" w:color="auto" w:fill="FFFFFF"/>
          <w:lang w:val="en-US" w:eastAsia="zh-CN"/>
        </w:rPr>
        <w:t>维护费</w:t>
      </w:r>
      <w:r>
        <w:rPr>
          <w:rFonts w:hint="eastAsia" w:ascii="仿宋_GB2312" w:hAnsi="仿宋_GB2312" w:eastAsia="仿宋_GB2312" w:cs="仿宋_GB2312"/>
          <w:b w:val="0"/>
          <w:bCs w:val="0"/>
          <w:color w:val="000000"/>
          <w:kern w:val="0"/>
          <w:sz w:val="32"/>
          <w:szCs w:val="32"/>
          <w:highlight w:val="none"/>
          <w:shd w:val="clear" w:color="auto" w:fill="FFFFFF"/>
          <w:lang w:val="zh-CN" w:eastAsia="zh-CN"/>
        </w:rPr>
        <w:t>绩效目标：增强党组织政治功能和组织功能，</w:t>
      </w:r>
      <w:r>
        <w:rPr>
          <w:rFonts w:hint="eastAsia" w:ascii="仿宋_GB2312" w:hAnsi="仿宋_GB2312" w:eastAsia="仿宋_GB2312" w:cs="仿宋_GB2312"/>
          <w:b w:val="0"/>
          <w:bCs w:val="0"/>
          <w:color w:val="000000"/>
          <w:kern w:val="0"/>
          <w:sz w:val="32"/>
          <w:szCs w:val="32"/>
          <w:highlight w:val="none"/>
          <w:shd w:val="clear" w:color="auto" w:fill="FFFFFF"/>
          <w:lang w:val="en-US" w:eastAsia="zh-CN"/>
        </w:rPr>
        <w:t>保障各村基层组织运转，为基层服务提供有力的资金保障，是做好基层建设和开展基层管理工作的前提保障</w:t>
      </w:r>
      <w:r>
        <w:rPr>
          <w:rFonts w:hint="eastAsia" w:ascii="仿宋_GB2312" w:hAnsi="仿宋_GB2312" w:eastAsia="仿宋_GB2312" w:cs="仿宋_GB2312"/>
          <w:b w:val="0"/>
          <w:bCs w:val="0"/>
          <w:color w:val="000000"/>
          <w:kern w:val="0"/>
          <w:sz w:val="32"/>
          <w:szCs w:val="32"/>
          <w:highlight w:val="none"/>
          <w:shd w:val="clear" w:color="auto" w:fill="FFFFFF"/>
          <w:lang w:val="zh-CN" w:eastAsia="zh-CN"/>
        </w:rPr>
        <w:t>。目标实现：</w:t>
      </w:r>
      <w:r>
        <w:rPr>
          <w:rFonts w:hint="eastAsia" w:ascii="仿宋_GB2312" w:hAnsi="仿宋_GB2312" w:eastAsia="仿宋_GB2312" w:cs="仿宋_GB2312"/>
          <w:b w:val="0"/>
          <w:bCs w:val="0"/>
          <w:color w:val="000000"/>
          <w:kern w:val="0"/>
          <w:sz w:val="32"/>
          <w:szCs w:val="32"/>
          <w:highlight w:val="none"/>
          <w:shd w:val="clear" w:color="auto" w:fill="FFFFFF"/>
          <w:lang w:val="en-US" w:eastAsia="zh-CN"/>
        </w:rPr>
        <w:t>资金主要用于办公运转、基层活动、服务群众、公共维护等，保障村级日常运转及基层党组织建设，提高群众满意度。</w:t>
      </w:r>
      <w:r>
        <w:rPr>
          <w:rFonts w:hint="eastAsia" w:ascii="仿宋_GB2312" w:hAnsi="仿宋_GB2312" w:eastAsia="仿宋_GB2312" w:cs="仿宋_GB2312"/>
          <w:b w:val="0"/>
          <w:bCs w:val="0"/>
          <w:color w:val="000000"/>
          <w:kern w:val="0"/>
          <w:sz w:val="32"/>
          <w:szCs w:val="32"/>
          <w:highlight w:val="none"/>
          <w:shd w:val="clear" w:color="auto" w:fill="FFFFFF"/>
          <w:lang w:val="zh-CN" w:eastAsia="zh-CN"/>
        </w:rPr>
        <w:t>支出控制在预算执行范围内，执行进度良好。</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left"/>
        <w:textAlignment w:val="auto"/>
        <w:rPr>
          <w:rFonts w:hint="eastAsia" w:ascii="仿宋_GB2312" w:hAnsi="仿宋_GB2312" w:eastAsia="仿宋_GB2312" w:cs="仿宋_GB2312"/>
          <w:b w:val="0"/>
          <w:bCs w:val="0"/>
          <w:color w:val="000000"/>
          <w:kern w:val="0"/>
          <w:sz w:val="32"/>
          <w:szCs w:val="32"/>
          <w:highlight w:val="none"/>
          <w:shd w:val="clear" w:color="auto" w:fill="FFFFFF"/>
          <w:lang w:val="zh-CN" w:eastAsia="zh-CN"/>
        </w:rPr>
      </w:pPr>
      <w:r>
        <w:rPr>
          <w:rFonts w:hint="eastAsia" w:ascii="仿宋_GB2312" w:hAnsi="仿宋_GB2312" w:eastAsia="仿宋_GB2312" w:cs="仿宋_GB2312"/>
          <w:b w:val="0"/>
          <w:bCs w:val="0"/>
          <w:color w:val="000000"/>
          <w:kern w:val="0"/>
          <w:sz w:val="32"/>
          <w:szCs w:val="32"/>
          <w:highlight w:val="none"/>
          <w:shd w:val="clear" w:color="auto" w:fill="FFFFFF"/>
          <w:lang w:val="en-US" w:eastAsia="zh-CN"/>
        </w:rPr>
        <w:t>2.</w:t>
      </w:r>
      <w:r>
        <w:rPr>
          <w:rFonts w:hint="default" w:ascii="仿宋_GB2312" w:hAnsi="仿宋_GB2312" w:eastAsia="仿宋_GB2312" w:cs="仿宋_GB2312"/>
          <w:b w:val="0"/>
          <w:bCs w:val="0"/>
          <w:color w:val="000000"/>
          <w:kern w:val="0"/>
          <w:sz w:val="32"/>
          <w:szCs w:val="32"/>
          <w:highlight w:val="none"/>
          <w:shd w:val="clear" w:color="auto" w:fill="FFFFFF"/>
          <w:lang w:val="zh-CN" w:eastAsia="zh-CN"/>
        </w:rPr>
        <w:t>预算管理</w:t>
      </w:r>
      <w:r>
        <w:rPr>
          <w:rFonts w:hint="eastAsia" w:ascii="仿宋_GB2312" w:hAnsi="仿宋_GB2312" w:eastAsia="仿宋_GB2312" w:cs="仿宋_GB2312"/>
          <w:b w:val="0"/>
          <w:bCs w:val="0"/>
          <w:color w:val="000000"/>
          <w:kern w:val="0"/>
          <w:sz w:val="32"/>
          <w:szCs w:val="32"/>
          <w:highlight w:val="none"/>
          <w:shd w:val="clear" w:color="auto" w:fill="FFFFFF"/>
          <w:lang w:val="zh-CN" w:eastAsia="zh-CN"/>
        </w:rPr>
        <w:t>。20</w:t>
      </w:r>
      <w:r>
        <w:rPr>
          <w:rFonts w:hint="eastAsia" w:ascii="仿宋_GB2312" w:hAnsi="仿宋_GB2312" w:eastAsia="仿宋_GB2312" w:cs="仿宋_GB2312"/>
          <w:b w:val="0"/>
          <w:bCs w:val="0"/>
          <w:color w:val="000000"/>
          <w:kern w:val="0"/>
          <w:sz w:val="32"/>
          <w:szCs w:val="32"/>
          <w:highlight w:val="none"/>
          <w:shd w:val="clear" w:color="auto" w:fill="FFFFFF"/>
          <w:lang w:val="en-US" w:eastAsia="zh-CN"/>
        </w:rPr>
        <w:t>25</w:t>
      </w:r>
      <w:r>
        <w:rPr>
          <w:rFonts w:hint="eastAsia" w:ascii="仿宋_GB2312" w:hAnsi="仿宋_GB2312" w:eastAsia="仿宋_GB2312" w:cs="仿宋_GB2312"/>
          <w:b w:val="0"/>
          <w:bCs w:val="0"/>
          <w:color w:val="000000"/>
          <w:kern w:val="0"/>
          <w:sz w:val="32"/>
          <w:szCs w:val="32"/>
          <w:highlight w:val="none"/>
          <w:shd w:val="clear" w:color="auto" w:fill="FFFFFF"/>
          <w:lang w:val="zh-CN" w:eastAsia="zh-CN"/>
        </w:rPr>
        <w:t>年我乡的绩效目标制定、目标完成、预决算编制等均按照县财政局下达的相关文件指标进行了</w:t>
      </w:r>
      <w:r>
        <w:rPr>
          <w:rFonts w:hint="eastAsia" w:ascii="仿宋_GB2312" w:hAnsi="仿宋_GB2312" w:eastAsia="仿宋_GB2312" w:cs="仿宋_GB2312"/>
          <w:b w:val="0"/>
          <w:bCs w:val="0"/>
          <w:color w:val="000000"/>
          <w:kern w:val="0"/>
          <w:sz w:val="32"/>
          <w:szCs w:val="32"/>
          <w:highlight w:val="none"/>
          <w:shd w:val="clear" w:color="auto" w:fill="FFFFFF"/>
          <w:lang w:val="en-US" w:eastAsia="zh-CN"/>
        </w:rPr>
        <w:t>准确</w:t>
      </w:r>
      <w:r>
        <w:rPr>
          <w:rFonts w:hint="eastAsia" w:ascii="仿宋_GB2312" w:hAnsi="仿宋_GB2312" w:eastAsia="仿宋_GB2312" w:cs="仿宋_GB2312"/>
          <w:b w:val="0"/>
          <w:bCs w:val="0"/>
          <w:color w:val="000000"/>
          <w:kern w:val="0"/>
          <w:sz w:val="32"/>
          <w:szCs w:val="32"/>
          <w:highlight w:val="none"/>
          <w:shd w:val="clear" w:color="auto" w:fill="FFFFFF"/>
          <w:lang w:val="zh-CN" w:eastAsia="zh-CN"/>
        </w:rPr>
        <w:t>编制，均按相关要求严格执行预算范围内开支，并完成所有预定目标。</w:t>
      </w:r>
      <w:r>
        <w:rPr>
          <w:rFonts w:hint="eastAsia" w:ascii="仿宋_GB2312" w:hAnsi="仿宋_GB2312" w:eastAsia="仿宋_GB2312" w:cs="仿宋_GB2312"/>
          <w:b w:val="0"/>
          <w:bCs w:val="0"/>
          <w:color w:val="000000"/>
          <w:kern w:val="0"/>
          <w:sz w:val="32"/>
          <w:szCs w:val="32"/>
          <w:highlight w:val="none"/>
          <w:shd w:val="clear" w:color="auto" w:fill="FFFFFF"/>
          <w:lang w:val="en-US" w:eastAsia="zh-CN"/>
        </w:rPr>
        <w:t>有效整合各项收入，减少不必要的开支，提高资金使用效率。2025</w:t>
      </w:r>
      <w:r>
        <w:rPr>
          <w:rFonts w:hint="eastAsia" w:ascii="仿宋_GB2312" w:hAnsi="仿宋_GB2312" w:eastAsia="仿宋_GB2312" w:cs="仿宋_GB2312"/>
          <w:b w:val="0"/>
          <w:bCs w:val="0"/>
          <w:color w:val="000000"/>
          <w:kern w:val="0"/>
          <w:sz w:val="32"/>
          <w:szCs w:val="32"/>
          <w:highlight w:val="none"/>
          <w:shd w:val="clear" w:color="auto" w:fill="FFFFFF"/>
          <w:lang w:val="zh-CN" w:eastAsia="zh-CN"/>
        </w:rPr>
        <w:t>年我乡严格执行专项资金管理办法，实施专款专用原则根据各项目进展、完成情况，合理规划、科学分配专项资金。</w:t>
      </w:r>
      <w:r>
        <w:rPr>
          <w:rFonts w:hint="eastAsia" w:ascii="仿宋_GB2312" w:hAnsi="仿宋_GB2312" w:eastAsia="仿宋_GB2312" w:cs="仿宋_GB2312"/>
          <w:b w:val="0"/>
          <w:bCs w:val="0"/>
          <w:color w:val="000000"/>
          <w:kern w:val="0"/>
          <w:sz w:val="32"/>
          <w:szCs w:val="32"/>
          <w:highlight w:val="none"/>
          <w:shd w:val="clear" w:color="auto" w:fill="FFFFFF"/>
          <w:lang w:val="en-US" w:eastAsia="zh-CN"/>
        </w:rPr>
        <w:t>及时支付各项资金，</w:t>
      </w:r>
      <w:r>
        <w:rPr>
          <w:rFonts w:hint="eastAsia" w:ascii="仿宋_GB2312" w:hAnsi="仿宋_GB2312" w:eastAsia="仿宋_GB2312" w:cs="仿宋_GB2312"/>
          <w:b w:val="0"/>
          <w:bCs w:val="0"/>
          <w:color w:val="000000"/>
          <w:kern w:val="0"/>
          <w:sz w:val="32"/>
          <w:szCs w:val="32"/>
          <w:highlight w:val="none"/>
          <w:shd w:val="clear" w:color="auto" w:fill="FFFFFF"/>
          <w:lang w:val="zh-CN" w:eastAsia="zh-CN"/>
        </w:rPr>
        <w:t>完成专项预算绩效目标，无违规记录。</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left"/>
        <w:textAlignment w:val="auto"/>
        <w:rPr>
          <w:rFonts w:hint="eastAsia" w:ascii="仿宋_GB2312" w:hAnsi="仿宋_GB2312" w:eastAsia="仿宋_GB2312" w:cs="仿宋_GB2312"/>
          <w:b w:val="0"/>
          <w:bCs w:val="0"/>
          <w:color w:val="000000"/>
          <w:kern w:val="0"/>
          <w:sz w:val="32"/>
          <w:szCs w:val="32"/>
          <w:highlight w:val="none"/>
          <w:shd w:val="clear" w:color="auto" w:fill="FFFFFF"/>
          <w:lang w:val="en-US" w:eastAsia="zh-CN"/>
        </w:rPr>
      </w:pPr>
      <w:r>
        <w:rPr>
          <w:rFonts w:hint="eastAsia" w:ascii="仿宋_GB2312" w:hAnsi="仿宋_GB2312" w:eastAsia="仿宋_GB2312" w:cs="仿宋_GB2312"/>
          <w:b w:val="0"/>
          <w:bCs w:val="0"/>
          <w:color w:val="000000"/>
          <w:kern w:val="0"/>
          <w:sz w:val="32"/>
          <w:szCs w:val="32"/>
          <w:highlight w:val="none"/>
          <w:shd w:val="clear" w:color="auto" w:fill="FFFFFF"/>
          <w:lang w:val="en-US" w:eastAsia="zh-CN"/>
        </w:rPr>
        <w:t>3.</w:t>
      </w:r>
      <w:r>
        <w:rPr>
          <w:rFonts w:hint="default" w:ascii="仿宋_GB2312" w:hAnsi="仿宋_GB2312" w:eastAsia="仿宋_GB2312" w:cs="仿宋_GB2312"/>
          <w:b w:val="0"/>
          <w:bCs w:val="0"/>
          <w:color w:val="000000"/>
          <w:kern w:val="0"/>
          <w:sz w:val="32"/>
          <w:szCs w:val="32"/>
          <w:highlight w:val="none"/>
          <w:shd w:val="clear" w:color="auto" w:fill="FFFFFF"/>
          <w:lang w:val="zh-CN" w:eastAsia="zh-CN"/>
        </w:rPr>
        <w:t>财务管理</w:t>
      </w:r>
      <w:r>
        <w:rPr>
          <w:rFonts w:hint="eastAsia" w:ascii="仿宋_GB2312" w:hAnsi="仿宋_GB2312" w:eastAsia="仿宋_GB2312" w:cs="仿宋_GB2312"/>
          <w:b w:val="0"/>
          <w:bCs w:val="0"/>
          <w:color w:val="000000"/>
          <w:kern w:val="0"/>
          <w:sz w:val="32"/>
          <w:szCs w:val="32"/>
          <w:highlight w:val="none"/>
          <w:shd w:val="clear" w:color="auto" w:fill="FFFFFF"/>
          <w:lang w:val="zh-CN" w:eastAsia="zh-CN"/>
        </w:rPr>
        <w:t>。</w:t>
      </w:r>
      <w:r>
        <w:rPr>
          <w:rFonts w:hint="eastAsia" w:ascii="仿宋_GB2312" w:hAnsi="仿宋_GB2312" w:eastAsia="仿宋_GB2312" w:cs="仿宋_GB2312"/>
          <w:b w:val="0"/>
          <w:bCs w:val="0"/>
          <w:color w:val="000000"/>
          <w:kern w:val="0"/>
          <w:sz w:val="32"/>
          <w:szCs w:val="32"/>
          <w:highlight w:val="none"/>
          <w:shd w:val="clear" w:color="auto" w:fill="FFFFFF"/>
          <w:lang w:val="en-US" w:eastAsia="zh-CN"/>
        </w:rPr>
        <w:t>健全财务管理制度，明确各项财务活动的流程和规范，严格执行财务管理制度，加强对制度执行情况的监督和检查。</w:t>
      </w:r>
      <w:r>
        <w:rPr>
          <w:rFonts w:hint="eastAsia" w:ascii="仿宋_GB2312" w:hAnsi="仿宋_GB2312" w:eastAsia="仿宋_GB2312" w:cs="仿宋_GB2312"/>
          <w:b w:val="0"/>
          <w:bCs w:val="0"/>
          <w:color w:val="000000"/>
          <w:kern w:val="0"/>
          <w:sz w:val="32"/>
          <w:szCs w:val="32"/>
          <w:highlight w:val="none"/>
          <w:shd w:val="clear" w:color="auto" w:fill="FFFFFF"/>
          <w:lang w:val="zh-CN" w:eastAsia="zh-CN"/>
        </w:rPr>
        <w:t>有效运用不相容岗位相互分离</w:t>
      </w:r>
      <w:r>
        <w:rPr>
          <w:rFonts w:hint="eastAsia" w:ascii="仿宋_GB2312" w:hAnsi="仿宋_GB2312" w:eastAsia="仿宋_GB2312" w:cs="仿宋_GB2312"/>
          <w:b w:val="0"/>
          <w:bCs w:val="0"/>
          <w:color w:val="000000"/>
          <w:kern w:val="0"/>
          <w:sz w:val="32"/>
          <w:szCs w:val="32"/>
          <w:highlight w:val="none"/>
          <w:shd w:val="clear" w:color="auto" w:fill="FFFFFF"/>
          <w:lang w:val="en-US" w:eastAsia="zh-CN"/>
        </w:rPr>
        <w:t>方法，相互监</w:t>
      </w:r>
    </w:p>
    <w:p>
      <w:pPr>
        <w:keepNext w:val="0"/>
        <w:keepLines w:val="0"/>
        <w:pageBreakBefore w:val="0"/>
        <w:widowControl/>
        <w:kinsoku/>
        <w:wordWrap/>
        <w:overflowPunct/>
        <w:topLinePunct w:val="0"/>
        <w:autoSpaceDE/>
        <w:autoSpaceDN/>
        <w:bidi w:val="0"/>
        <w:adjustRightInd w:val="0"/>
        <w:snapToGrid w:val="0"/>
        <w:spacing w:line="560" w:lineRule="exact"/>
        <w:contextualSpacing/>
        <w:jc w:val="left"/>
        <w:textAlignment w:val="auto"/>
        <w:rPr>
          <w:rFonts w:hint="default" w:ascii="仿宋_GB2312" w:hAnsi="仿宋_GB2312" w:eastAsia="仿宋_GB2312" w:cs="仿宋_GB2312"/>
          <w:b w:val="0"/>
          <w:bCs w:val="0"/>
          <w:color w:val="000000"/>
          <w:kern w:val="0"/>
          <w:sz w:val="32"/>
          <w:szCs w:val="32"/>
          <w:highlight w:val="none"/>
          <w:shd w:val="clear" w:color="auto" w:fill="FFFFFF"/>
          <w:lang w:val="en-US" w:eastAsia="zh-CN"/>
        </w:rPr>
      </w:pPr>
      <w:r>
        <w:rPr>
          <w:rFonts w:hint="eastAsia" w:ascii="仿宋_GB2312" w:hAnsi="仿宋_GB2312" w:eastAsia="仿宋_GB2312" w:cs="仿宋_GB2312"/>
          <w:b w:val="0"/>
          <w:bCs w:val="0"/>
          <w:color w:val="000000"/>
          <w:kern w:val="0"/>
          <w:sz w:val="32"/>
          <w:szCs w:val="32"/>
          <w:highlight w:val="none"/>
          <w:shd w:val="clear" w:color="auto" w:fill="FFFFFF"/>
          <w:lang w:val="en-US" w:eastAsia="zh-CN"/>
        </w:rPr>
        <w:t>督。</w:t>
      </w:r>
      <w:r>
        <w:rPr>
          <w:rFonts w:hint="eastAsia" w:ascii="仿宋_GB2312" w:hAnsi="仿宋_GB2312" w:eastAsia="仿宋_GB2312" w:cs="仿宋_GB2312"/>
          <w:b w:val="0"/>
          <w:bCs w:val="0"/>
          <w:color w:val="000000"/>
          <w:kern w:val="0"/>
          <w:sz w:val="32"/>
          <w:szCs w:val="32"/>
          <w:highlight w:val="none"/>
          <w:shd w:val="clear" w:color="auto" w:fill="FFFFFF"/>
          <w:lang w:val="zh-CN" w:eastAsia="zh-CN"/>
        </w:rPr>
        <w:t>严格执行“收支两条线”制度和预算外资金专储制度，</w:t>
      </w:r>
      <w:r>
        <w:rPr>
          <w:rFonts w:hint="eastAsia" w:ascii="仿宋_GB2312" w:hAnsi="仿宋_GB2312" w:eastAsia="仿宋_GB2312" w:cs="仿宋_GB2312"/>
          <w:b w:val="0"/>
          <w:bCs w:val="0"/>
          <w:color w:val="000000"/>
          <w:kern w:val="0"/>
          <w:sz w:val="32"/>
          <w:szCs w:val="32"/>
          <w:highlight w:val="none"/>
          <w:shd w:val="clear" w:color="auto" w:fill="FFFFFF"/>
          <w:lang w:val="en-US" w:eastAsia="zh-CN"/>
        </w:rPr>
        <w:t>严格资金使用审批程序，确保资金使用的合理性和安全性。</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left"/>
        <w:textAlignment w:val="auto"/>
        <w:rPr>
          <w:rFonts w:hint="eastAsia" w:ascii="仿宋_GB2312" w:hAnsi="仿宋_GB2312" w:eastAsia="仿宋_GB2312" w:cs="仿宋_GB2312"/>
          <w:b w:val="0"/>
          <w:bCs w:val="0"/>
          <w:color w:val="000000"/>
          <w:kern w:val="0"/>
          <w:sz w:val="32"/>
          <w:szCs w:val="32"/>
          <w:highlight w:val="none"/>
          <w:shd w:val="clear" w:color="auto" w:fill="FFFFFF"/>
          <w:lang w:val="zh-CN" w:eastAsia="zh-CN"/>
        </w:rPr>
      </w:pPr>
      <w:r>
        <w:rPr>
          <w:rFonts w:hint="eastAsia" w:ascii="仿宋_GB2312" w:hAnsi="仿宋_GB2312" w:eastAsia="仿宋_GB2312" w:cs="仿宋_GB2312"/>
          <w:b w:val="0"/>
          <w:bCs w:val="0"/>
          <w:color w:val="000000"/>
          <w:kern w:val="0"/>
          <w:sz w:val="32"/>
          <w:szCs w:val="32"/>
          <w:highlight w:val="none"/>
          <w:shd w:val="clear" w:color="auto" w:fill="FFFFFF"/>
          <w:lang w:val="en-US" w:eastAsia="zh-CN"/>
        </w:rPr>
        <w:t>4.</w:t>
      </w:r>
      <w:r>
        <w:rPr>
          <w:rFonts w:hint="default" w:ascii="仿宋_GB2312" w:hAnsi="仿宋_GB2312" w:eastAsia="仿宋_GB2312" w:cs="仿宋_GB2312"/>
          <w:b w:val="0"/>
          <w:bCs w:val="0"/>
          <w:color w:val="000000"/>
          <w:kern w:val="0"/>
          <w:sz w:val="32"/>
          <w:szCs w:val="32"/>
          <w:highlight w:val="none"/>
          <w:shd w:val="clear" w:color="auto" w:fill="FFFFFF"/>
          <w:lang w:val="zh-CN" w:eastAsia="zh-CN"/>
        </w:rPr>
        <w:t>资产管理</w:t>
      </w:r>
      <w:r>
        <w:rPr>
          <w:rFonts w:hint="eastAsia" w:ascii="仿宋_GB2312" w:hAnsi="仿宋_GB2312" w:eastAsia="仿宋_GB2312" w:cs="仿宋_GB2312"/>
          <w:b w:val="0"/>
          <w:bCs w:val="0"/>
          <w:color w:val="000000"/>
          <w:kern w:val="0"/>
          <w:sz w:val="32"/>
          <w:szCs w:val="32"/>
          <w:highlight w:val="none"/>
          <w:shd w:val="clear" w:color="auto" w:fill="FFFFFF"/>
          <w:lang w:val="zh-CN" w:eastAsia="zh-CN"/>
        </w:rPr>
        <w:t>。</w:t>
      </w:r>
      <w:r>
        <w:rPr>
          <w:rFonts w:hint="eastAsia" w:ascii="仿宋_GB2312" w:hAnsi="仿宋_GB2312" w:eastAsia="仿宋_GB2312" w:cs="仿宋_GB2312"/>
          <w:b w:val="0"/>
          <w:bCs w:val="0"/>
          <w:color w:val="000000"/>
          <w:kern w:val="0"/>
          <w:sz w:val="32"/>
          <w:szCs w:val="32"/>
          <w:highlight w:val="none"/>
          <w:shd w:val="clear" w:color="auto" w:fill="FFFFFF"/>
          <w:lang w:val="en-US" w:eastAsia="zh-CN"/>
        </w:rPr>
        <w:t>明确资产登记、核算、清查等流程，加强资产日常管理，定期对资产进行清查盘点，提高资产利用率，确保资产账账相符、账实相符。明确资产管理部门同使用部门的使用权限，各尽所能、各负其责。</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left"/>
        <w:textAlignment w:val="auto"/>
        <w:rPr>
          <w:rFonts w:hint="default" w:ascii="仿宋_GB2312" w:hAnsi="仿宋_GB2312" w:eastAsia="仿宋_GB2312" w:cs="仿宋_GB2312"/>
          <w:b w:val="0"/>
          <w:bCs w:val="0"/>
          <w:color w:val="000000"/>
          <w:kern w:val="0"/>
          <w:sz w:val="32"/>
          <w:szCs w:val="32"/>
          <w:highlight w:val="none"/>
          <w:shd w:val="clear" w:color="auto" w:fill="FFFFFF"/>
          <w:lang w:val="en-US" w:eastAsia="zh-CN"/>
        </w:rPr>
      </w:pPr>
      <w:r>
        <w:rPr>
          <w:rFonts w:hint="eastAsia" w:ascii="仿宋_GB2312" w:hAnsi="仿宋_GB2312" w:eastAsia="仿宋_GB2312" w:cs="仿宋_GB2312"/>
          <w:b w:val="0"/>
          <w:bCs w:val="0"/>
          <w:color w:val="000000"/>
          <w:kern w:val="0"/>
          <w:sz w:val="32"/>
          <w:szCs w:val="32"/>
          <w:highlight w:val="none"/>
          <w:shd w:val="clear" w:color="auto" w:fill="FFFFFF"/>
          <w:lang w:val="en-US" w:eastAsia="zh-CN"/>
        </w:rPr>
        <w:t>5.</w:t>
      </w:r>
      <w:r>
        <w:rPr>
          <w:rFonts w:hint="default" w:ascii="仿宋_GB2312" w:hAnsi="仿宋_GB2312" w:eastAsia="仿宋_GB2312" w:cs="仿宋_GB2312"/>
          <w:b w:val="0"/>
          <w:bCs w:val="0"/>
          <w:color w:val="000000"/>
          <w:kern w:val="0"/>
          <w:sz w:val="32"/>
          <w:szCs w:val="32"/>
          <w:highlight w:val="none"/>
          <w:shd w:val="clear" w:color="auto" w:fill="FFFFFF"/>
          <w:lang w:val="zh-CN" w:eastAsia="zh-CN"/>
        </w:rPr>
        <w:t>采购管理</w:t>
      </w:r>
      <w:r>
        <w:rPr>
          <w:rFonts w:hint="eastAsia" w:ascii="仿宋_GB2312" w:hAnsi="仿宋_GB2312" w:eastAsia="仿宋_GB2312" w:cs="仿宋_GB2312"/>
          <w:b w:val="0"/>
          <w:bCs w:val="0"/>
          <w:color w:val="000000"/>
          <w:kern w:val="0"/>
          <w:sz w:val="32"/>
          <w:szCs w:val="32"/>
          <w:highlight w:val="none"/>
          <w:shd w:val="clear" w:color="auto" w:fill="FFFFFF"/>
          <w:lang w:val="zh-CN" w:eastAsia="zh-CN"/>
        </w:rPr>
        <w:t>。对于达到政府采购标准的项目支出，明确规定采购项目的采购期限，组织实施采购计划。</w:t>
      </w:r>
      <w:r>
        <w:rPr>
          <w:rFonts w:hint="eastAsia" w:ascii="仿宋_GB2312" w:hAnsi="仿宋_GB2312" w:eastAsia="仿宋_GB2312" w:cs="仿宋_GB2312"/>
          <w:b w:val="0"/>
          <w:bCs w:val="0"/>
          <w:color w:val="000000"/>
          <w:kern w:val="0"/>
          <w:sz w:val="32"/>
          <w:szCs w:val="32"/>
          <w:highlight w:val="none"/>
          <w:shd w:val="clear" w:color="auto" w:fill="FFFFFF"/>
          <w:lang w:val="en-US" w:eastAsia="zh-CN"/>
        </w:rPr>
        <w:t>我乡2025年政府采购支出额为383.62万元，其中</w:t>
      </w:r>
      <w:r>
        <w:rPr>
          <w:rFonts w:hint="eastAsia" w:ascii="仿宋_GB2312" w:hAnsi="仿宋_GB2312" w:eastAsia="仿宋_GB2312" w:cs="仿宋_GB2312"/>
          <w:b w:val="0"/>
          <w:bCs w:val="0"/>
          <w:color w:val="000000"/>
          <w:kern w:val="0"/>
          <w:sz w:val="32"/>
          <w:szCs w:val="32"/>
          <w:highlight w:val="none"/>
          <w:shd w:val="clear" w:color="auto" w:fill="FFFFFF"/>
          <w:lang w:val="zh-CN" w:eastAsia="zh-CN"/>
        </w:rPr>
        <w:t>中小企业政府采购额为</w:t>
      </w:r>
      <w:r>
        <w:rPr>
          <w:rFonts w:hint="eastAsia" w:ascii="仿宋_GB2312" w:hAnsi="仿宋_GB2312" w:eastAsia="仿宋_GB2312" w:cs="仿宋_GB2312"/>
          <w:b w:val="0"/>
          <w:bCs w:val="0"/>
          <w:color w:val="000000"/>
          <w:kern w:val="0"/>
          <w:sz w:val="32"/>
          <w:szCs w:val="32"/>
          <w:highlight w:val="none"/>
          <w:shd w:val="clear" w:color="auto" w:fill="FFFFFF"/>
          <w:lang w:val="en-US" w:eastAsia="zh-CN"/>
        </w:rPr>
        <w:t>383.62万元，占比100%。</w:t>
      </w:r>
    </w:p>
    <w:p>
      <w:pPr>
        <w:keepNext w:val="0"/>
        <w:keepLines w:val="0"/>
        <w:pageBreakBefore w:val="0"/>
        <w:widowControl/>
        <w:numPr>
          <w:ilvl w:val="0"/>
          <w:numId w:val="2"/>
        </w:numPr>
        <w:kinsoku/>
        <w:wordWrap/>
        <w:overflowPunct/>
        <w:topLinePunct w:val="0"/>
        <w:autoSpaceDE/>
        <w:autoSpaceDN/>
        <w:bidi w:val="0"/>
        <w:adjustRightInd w:val="0"/>
        <w:snapToGrid w:val="0"/>
        <w:spacing w:line="578" w:lineRule="exact"/>
        <w:ind w:firstLine="642" w:firstLineChars="200"/>
        <w:contextualSpacing/>
        <w:jc w:val="left"/>
        <w:textAlignment w:val="auto"/>
        <w:outlineLvl w:val="2"/>
        <w:rPr>
          <w:rFonts w:hint="default" w:ascii="Times New Roman" w:hAnsi="Times New Roman" w:eastAsia="楷体_GB2312" w:cs="Times New Roman"/>
          <w:b/>
          <w:bCs/>
          <w:color w:val="000000"/>
          <w:kern w:val="0"/>
          <w:sz w:val="32"/>
          <w:szCs w:val="32"/>
          <w:highlight w:val="none"/>
          <w:shd w:val="clear" w:color="auto" w:fill="FFFFFF"/>
          <w:lang w:val="zh-CN"/>
        </w:rPr>
      </w:pPr>
      <w:bookmarkStart w:id="22" w:name="_Toc5311"/>
      <w:r>
        <w:rPr>
          <w:rFonts w:hint="default" w:ascii="Times New Roman" w:hAnsi="Times New Roman" w:eastAsia="楷体_GB2312" w:cs="Times New Roman"/>
          <w:b/>
          <w:bCs/>
          <w:color w:val="000000"/>
          <w:kern w:val="0"/>
          <w:sz w:val="32"/>
          <w:szCs w:val="32"/>
          <w:highlight w:val="none"/>
          <w:shd w:val="clear" w:color="auto" w:fill="FFFFFF"/>
          <w:lang w:val="zh-CN"/>
        </w:rPr>
        <w:t>部门预算项目绩效分析。</w:t>
      </w:r>
      <w:bookmarkEnd w:id="22"/>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color w:val="000000" w:themeColor="text1"/>
          <w:sz w:val="32"/>
          <w:szCs w:val="32"/>
          <w:highlight w:val="green"/>
          <w:lang w:val="zh-CN"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val="zh-CN" w:eastAsia="zh-CN"/>
          <w14:textFill>
            <w14:solidFill>
              <w14:schemeClr w14:val="tx1"/>
            </w14:solidFill>
          </w14:textFill>
        </w:rPr>
        <w:t>壤塘县尕多乡刑木达和美乡村农旅产业配套基础设施建设项目</w:t>
      </w:r>
      <w:r>
        <w:rPr>
          <w:rFonts w:hint="default" w:ascii="Times New Roman" w:hAnsi="Times New Roman" w:eastAsia="仿宋_GB2312" w:cs="Times New Roman"/>
          <w:color w:val="000000" w:themeColor="text1"/>
          <w:sz w:val="32"/>
          <w:szCs w:val="32"/>
          <w:lang w:val="zh-CN"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lang w:val="zh-CN" w:eastAsia="zh-CN"/>
          <w14:textFill>
            <w14:solidFill>
              <w14:schemeClr w14:val="tx1"/>
            </w14:solidFill>
          </w14:textFill>
        </w:rPr>
        <w:t>涉及预算总金额</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2600</w:t>
      </w:r>
      <w:r>
        <w:rPr>
          <w:rFonts w:hint="default" w:ascii="Times New Roman" w:hAnsi="Times New Roman" w:eastAsia="仿宋_GB2312" w:cs="Times New Roman"/>
          <w:color w:val="000000" w:themeColor="text1"/>
          <w:sz w:val="32"/>
          <w:szCs w:val="32"/>
          <w:highlight w:val="none"/>
          <w:lang w:val="zh-CN" w:eastAsia="zh-CN"/>
          <w14:textFill>
            <w14:solidFill>
              <w14:schemeClr w14:val="tx1"/>
            </w14:solidFill>
          </w14:textFill>
        </w:rPr>
        <w:t>万元，</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到位资金2500万元，已支付2269.22.万元，</w:t>
      </w:r>
      <w:r>
        <w:rPr>
          <w:rFonts w:hint="default" w:ascii="Times New Roman" w:hAnsi="Times New Roman" w:eastAsia="仿宋_GB2312" w:cs="Times New Roman"/>
          <w:color w:val="000000" w:themeColor="text1"/>
          <w:sz w:val="32"/>
          <w:szCs w:val="32"/>
          <w:highlight w:val="none"/>
          <w:lang w:val="zh-CN" w:eastAsia="zh-CN"/>
          <w14:textFill>
            <w14:solidFill>
              <w14:schemeClr w14:val="tx1"/>
            </w14:solidFill>
          </w14:textFill>
        </w:rPr>
        <w:t>1</w:t>
      </w:r>
      <w:r>
        <w:rPr>
          <w:rFonts w:hint="eastAsia" w:ascii="Times New Roman" w:hAnsi="Times New Roman" w:eastAsia="仿宋_GB2312" w:cs="Times New Roman"/>
          <w:color w:val="000000" w:themeColor="text1"/>
          <w:sz w:val="32"/>
          <w:szCs w:val="32"/>
          <w:highlight w:val="none"/>
          <w:lang w:val="zh-CN"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lang w:val="zh-CN" w:eastAsia="zh-CN"/>
          <w14:textFill>
            <w14:solidFill>
              <w14:schemeClr w14:val="tx1"/>
            </w14:solidFill>
          </w14:textFill>
        </w:rPr>
        <w:t>1</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2</w:t>
      </w:r>
      <w:r>
        <w:rPr>
          <w:rFonts w:hint="default" w:ascii="Times New Roman" w:hAnsi="Times New Roman" w:eastAsia="仿宋_GB2312" w:cs="Times New Roman"/>
          <w:color w:val="000000" w:themeColor="text1"/>
          <w:sz w:val="32"/>
          <w:szCs w:val="32"/>
          <w:highlight w:val="none"/>
          <w:lang w:val="zh-CN" w:eastAsia="zh-CN"/>
          <w14:textFill>
            <w14:solidFill>
              <w14:schemeClr w14:val="tx1"/>
            </w14:solidFill>
          </w14:textFill>
        </w:rPr>
        <w:t>月预算执行总体进度为</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90.77%</w:t>
      </w:r>
      <w:r>
        <w:rPr>
          <w:rFonts w:hint="default" w:ascii="Times New Roman" w:hAnsi="Times New Roman" w:eastAsia="仿宋_GB2312" w:cs="Times New Roman"/>
          <w:color w:val="000000" w:themeColor="text1"/>
          <w:sz w:val="32"/>
          <w:szCs w:val="32"/>
          <w:highlight w:val="none"/>
          <w:lang w:val="zh-CN" w:eastAsia="zh-CN"/>
          <w14:textFill>
            <w14:solidFill>
              <w14:schemeClr w14:val="tx1"/>
            </w14:solidFill>
          </w14:textFill>
        </w:rPr>
        <w:t>。</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1.</w:t>
      </w:r>
      <w:r>
        <w:rPr>
          <w:rFonts w:hint="eastAsia" w:ascii="Times New Roman" w:hAnsi="Times New Roman" w:eastAsia="仿宋_GB2312" w:cs="Times New Roman"/>
          <w:color w:val="000000" w:themeColor="text1"/>
          <w:sz w:val="32"/>
          <w:szCs w:val="32"/>
          <w:lang w:val="zh-CN" w:eastAsia="zh-CN"/>
          <w14:textFill>
            <w14:solidFill>
              <w14:schemeClr w14:val="tx1"/>
            </w14:solidFill>
          </w14:textFill>
        </w:rPr>
        <w:t>项目决策。</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积极争取财政专项扶贫资金支持项目建设，力争通过该项目建设,实现农民收入有增加，基础设施有改善，指标短板全清零</w:t>
      </w:r>
      <w:r>
        <w:rPr>
          <w:rFonts w:hint="eastAsia" w:eastAsia="仿宋_GB2312" w:cs="Times New Roman"/>
          <w:color w:val="000000" w:themeColor="text1"/>
          <w:sz w:val="32"/>
          <w:szCs w:val="32"/>
          <w:lang w:val="en-US" w:eastAsia="zh-CN"/>
          <w14:textFill>
            <w14:solidFill>
              <w14:schemeClr w14:val="tx1"/>
            </w14:solidFill>
          </w14:textFill>
        </w:rPr>
        <w:t>，及时</w:t>
      </w:r>
      <w:r>
        <w:rPr>
          <w:rFonts w:hint="eastAsia" w:ascii="Times New Roman" w:hAnsi="Times New Roman" w:eastAsia="仿宋_GB2312" w:cs="Times New Roman"/>
          <w:color w:val="000000" w:themeColor="text1"/>
          <w:sz w:val="32"/>
          <w:szCs w:val="32"/>
          <w:lang w:val="zh-CN" w:eastAsia="zh-CN"/>
          <w14:textFill>
            <w14:solidFill>
              <w14:schemeClr w14:val="tx1"/>
            </w14:solidFill>
          </w14:textFill>
        </w:rPr>
        <w:t>项目入库。</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通过项目的实施，让受益群众收入增加。绩效目标具体如下：（1）数量指标：新建排水沟7公里，河道治理2公里，泄洪沟沟口处理4处，人行道3公里，生态护栏20公里，公共厕所4座，路基挡墙650立方米，人居环境整治16500平方米，供水管网7公里，硬化工程10000平米，线路改造等附属配套设施。</w:t>
      </w:r>
      <w:r>
        <w:rPr>
          <w:rFonts w:hint="eastAsia" w:ascii="Times New Roman" w:hAnsi="Times New Roman" w:eastAsia="仿宋_GB2312" w:cs="Times New Roman"/>
          <w:color w:val="0000FF"/>
          <w:sz w:val="32"/>
          <w:szCs w:val="32"/>
          <w:lang w:val="en-US" w:eastAsia="zh-CN"/>
        </w:rPr>
        <w:t>（</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2）质量指标：项目验收合格率100%，保证项目质量合格。（3）时效指标：项目建设期限2025年3月-2025年10月≤8个月，实际完成时间为4个月。项目（工程）完成及时率100%。（4）成本指标：按照合同约定完成项目款的拨付。（5）经济效益指标：提供临时务工岗位≥50个名左右，实际提供就业人员348名。（6）社会效益指标：当地劳务报酬发放318.63万。（7）服务对象满意度指标100%。</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2.项目执行</w:t>
      </w:r>
      <w:r>
        <w:rPr>
          <w:rFonts w:hint="eastAsia" w:ascii="Times New Roman" w:hAnsi="Times New Roman" w:eastAsia="仿宋_GB2312" w:cs="Times New Roman"/>
          <w:color w:val="000000" w:themeColor="text1"/>
          <w:sz w:val="32"/>
          <w:szCs w:val="32"/>
          <w:lang w:val="zh-CN" w:eastAsia="zh-CN"/>
          <w14:textFill>
            <w14:solidFill>
              <w14:schemeClr w14:val="tx1"/>
            </w14:solidFill>
          </w14:textFill>
        </w:rPr>
        <w:t>。资金计划及到位：壤塘县尕多乡刑木达和美乡村农旅产业配套基础设施建设项目</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预算</w:t>
      </w:r>
      <w:r>
        <w:rPr>
          <w:rFonts w:hint="eastAsia" w:ascii="Times New Roman" w:hAnsi="Times New Roman" w:eastAsia="仿宋_GB2312" w:cs="Times New Roman"/>
          <w:color w:val="000000" w:themeColor="text1"/>
          <w:sz w:val="32"/>
          <w:szCs w:val="32"/>
          <w:lang w:val="zh-CN" w:eastAsia="zh-CN"/>
          <w14:textFill>
            <w14:solidFill>
              <w14:schemeClr w14:val="tx1"/>
            </w14:solidFill>
          </w14:textFill>
        </w:rPr>
        <w:t>资金</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2600万元，</w:t>
      </w:r>
      <w:r>
        <w:rPr>
          <w:rFonts w:hint="eastAsia" w:ascii="Times New Roman" w:hAnsi="Times New Roman" w:eastAsia="仿宋_GB2312" w:cs="Times New Roman"/>
          <w:color w:val="000000" w:themeColor="text1"/>
          <w:sz w:val="32"/>
          <w:szCs w:val="32"/>
          <w:lang w:val="zh-CN" w:eastAsia="zh-CN"/>
          <w14:textFill>
            <w14:solidFill>
              <w14:schemeClr w14:val="tx1"/>
            </w14:solidFill>
          </w14:textFill>
        </w:rPr>
        <w:t>到位</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资金到位资金2500万元</w:t>
      </w:r>
      <w:r>
        <w:rPr>
          <w:rFonts w:hint="eastAsia" w:ascii="Times New Roman" w:hAnsi="Times New Roman" w:eastAsia="仿宋_GB2312" w:cs="Times New Roman"/>
          <w:color w:val="000000" w:themeColor="text1"/>
          <w:sz w:val="32"/>
          <w:szCs w:val="32"/>
          <w:lang w:val="zh-CN" w:eastAsia="zh-CN"/>
          <w14:textFill>
            <w14:solidFill>
              <w14:schemeClr w14:val="tx1"/>
            </w14:solidFill>
          </w14:textFill>
        </w:rPr>
        <w:t>，资金到位及时，到位率为</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96.15%</w:t>
      </w:r>
      <w:r>
        <w:rPr>
          <w:rFonts w:hint="eastAsia" w:ascii="Times New Roman" w:hAnsi="Times New Roman" w:eastAsia="仿宋_GB2312" w:cs="Times New Roman"/>
          <w:color w:val="000000" w:themeColor="text1"/>
          <w:sz w:val="32"/>
          <w:szCs w:val="32"/>
          <w:lang w:val="zh-CN" w:eastAsia="zh-CN"/>
          <w14:textFill>
            <w14:solidFill>
              <w14:schemeClr w14:val="tx1"/>
            </w14:solidFill>
          </w14:textFill>
        </w:rPr>
        <w:t>。资金使用：壤塘县尕多乡昔郎村基础设施补短项目</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到位资金2500万元，支出资金2269.22万元，资金执行率90.77%。</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80" w:lineRule="atLeast"/>
        <w:ind w:right="0" w:rightChars="0" w:firstLine="640" w:firstLineChars="200"/>
        <w:jc w:val="both"/>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3.</w:t>
      </w:r>
      <w:r>
        <w:rPr>
          <w:rFonts w:hint="eastAsia" w:ascii="Times New Roman" w:hAnsi="Times New Roman" w:eastAsia="仿宋_GB2312" w:cs="Times New Roman"/>
          <w:color w:val="000000" w:themeColor="text1"/>
          <w:sz w:val="32"/>
          <w:szCs w:val="32"/>
          <w:lang w:val="zh-CN" w:eastAsia="zh-CN"/>
          <w14:textFill>
            <w14:solidFill>
              <w14:schemeClr w14:val="tx1"/>
            </w14:solidFill>
          </w14:textFill>
        </w:rPr>
        <w:t>目标实现。项目成立了项目管理办公室，专人负责，并配备监理协助抓好工程工期</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与</w:t>
      </w:r>
      <w:r>
        <w:rPr>
          <w:rFonts w:hint="eastAsia" w:ascii="Times New Roman" w:hAnsi="Times New Roman" w:eastAsia="仿宋_GB2312" w:cs="Times New Roman"/>
          <w:color w:val="000000" w:themeColor="text1"/>
          <w:sz w:val="32"/>
          <w:szCs w:val="32"/>
          <w:lang w:val="zh-CN" w:eastAsia="zh-CN"/>
          <w14:textFill>
            <w14:solidFill>
              <w14:schemeClr w14:val="tx1"/>
            </w14:solidFill>
          </w14:textFill>
        </w:rPr>
        <w:t>质量等工作。项目按施工合同约定，如期保质保量完成。</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项目资金和管理费用资金按合同约定和项目进度及时发放，达到相关部门要求的发放进度。该项目覆盖村1个，受益脱贫人口数大于50人，社会效益明显。带动农牧民群众增收（投工投劳）大于9000元/年。通过平时调研走访和督查情况看，群众对该项目认可度高，对项目建设开展情况满意，没有出现不良舆情，满意率较高。</w:t>
      </w:r>
    </w:p>
    <w:p>
      <w:pPr>
        <w:keepNext w:val="0"/>
        <w:keepLines w:val="0"/>
        <w:pageBreakBefore w:val="0"/>
        <w:widowControl w:val="0"/>
        <w:numPr>
          <w:ilvl w:val="0"/>
          <w:numId w:val="2"/>
        </w:numPr>
        <w:kinsoku/>
        <w:wordWrap/>
        <w:overflowPunct/>
        <w:topLinePunct w:val="0"/>
        <w:autoSpaceDE/>
        <w:autoSpaceDN/>
        <w:bidi w:val="0"/>
        <w:snapToGrid w:val="0"/>
        <w:spacing w:line="600" w:lineRule="exact"/>
        <w:ind w:left="0" w:leftChars="0" w:firstLine="642" w:firstLineChars="200"/>
        <w:textAlignment w:val="auto"/>
        <w:outlineLvl w:val="2"/>
        <w:rPr>
          <w:rFonts w:hint="eastAsia" w:ascii="Times New Roman" w:hAnsi="Times New Roman" w:eastAsia="楷体_GB2312" w:cs="Times New Roman"/>
          <w:b/>
          <w:bCs/>
          <w:color w:val="000000" w:themeColor="text1"/>
          <w:kern w:val="0"/>
          <w:sz w:val="32"/>
          <w:szCs w:val="32"/>
          <w:highlight w:val="none"/>
          <w:shd w:val="clear" w:color="auto" w:fill="FFFFFF"/>
          <w:lang w:val="zh-CN" w:eastAsia="zh-CN"/>
          <w14:textFill>
            <w14:solidFill>
              <w14:schemeClr w14:val="tx1"/>
            </w14:solidFill>
          </w14:textFill>
        </w:rPr>
      </w:pPr>
      <w:bookmarkStart w:id="23" w:name="_Toc10013"/>
      <w:r>
        <w:rPr>
          <w:rFonts w:hint="default" w:ascii="Times New Roman" w:hAnsi="Times New Roman" w:eastAsia="楷体_GB2312" w:cs="Times New Roman"/>
          <w:b/>
          <w:bCs/>
          <w:color w:val="000000" w:themeColor="text1"/>
          <w:kern w:val="0"/>
          <w:sz w:val="32"/>
          <w:szCs w:val="32"/>
          <w:highlight w:val="none"/>
          <w:shd w:val="clear" w:color="auto" w:fill="FFFFFF"/>
          <w:lang w:val="zh-CN" w:eastAsia="zh-CN"/>
          <w14:textFill>
            <w14:solidFill>
              <w14:schemeClr w14:val="tx1"/>
            </w14:solidFill>
          </w14:textFill>
        </w:rPr>
        <w:t>绩效结果应用情况</w:t>
      </w:r>
      <w:r>
        <w:rPr>
          <w:rFonts w:hint="eastAsia" w:ascii="Times New Roman" w:hAnsi="Times New Roman" w:eastAsia="楷体_GB2312" w:cs="Times New Roman"/>
          <w:b/>
          <w:bCs/>
          <w:color w:val="000000" w:themeColor="text1"/>
          <w:kern w:val="0"/>
          <w:sz w:val="32"/>
          <w:szCs w:val="32"/>
          <w:highlight w:val="none"/>
          <w:shd w:val="clear" w:color="auto" w:fill="FFFFFF"/>
          <w:lang w:val="zh-CN" w:eastAsia="zh-CN"/>
          <w14:textFill>
            <w14:solidFill>
              <w14:schemeClr w14:val="tx1"/>
            </w14:solidFill>
          </w14:textFill>
        </w:rPr>
        <w:t>。</w:t>
      </w:r>
      <w:bookmarkEnd w:id="23"/>
    </w:p>
    <w:p>
      <w:pPr>
        <w:keepNext w:val="0"/>
        <w:keepLines w:val="0"/>
        <w:pageBreakBefore w:val="0"/>
        <w:shd w:val="clear" w:color="auto" w:fill="FFFFFF"/>
        <w:kinsoku/>
        <w:wordWrap/>
        <w:overflowPunct/>
        <w:topLinePunct w:val="0"/>
        <w:autoSpaceDE/>
        <w:autoSpaceDN/>
        <w:bidi w:val="0"/>
        <w:spacing w:line="560" w:lineRule="exact"/>
        <w:ind w:left="0" w:leftChars="0" w:firstLine="640" w:firstLineChars="200"/>
        <w:jc w:val="both"/>
        <w:textAlignment w:val="auto"/>
        <w:rPr>
          <w:rFonts w:hint="default"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信息公开情况：按照财政要求，及时在预决算批复后20日内，在壤塘县</w:t>
      </w:r>
      <w:r>
        <w:rPr>
          <w:rFonts w:hint="eastAsia" w:ascii="仿宋" w:hAnsi="仿宋" w:eastAsia="仿宋" w:cs="仿宋"/>
          <w:color w:val="000000" w:themeColor="text1"/>
          <w:sz w:val="32"/>
          <w:szCs w:val="32"/>
          <w:lang w:val="zh-CN"/>
          <w14:textFill>
            <w14:solidFill>
              <w14:schemeClr w14:val="tx1"/>
            </w14:solidFill>
          </w14:textFill>
        </w:rPr>
        <w:t>政府门户网站</w:t>
      </w:r>
      <w:r>
        <w:rPr>
          <w:rFonts w:hint="eastAsia" w:ascii="仿宋_GB2312" w:hAnsi="仿宋_GB2312" w:eastAsia="仿宋_GB2312" w:cs="仿宋_GB2312"/>
          <w:color w:val="000000" w:themeColor="text1"/>
          <w:sz w:val="32"/>
          <w:szCs w:val="32"/>
          <w14:textFill>
            <w14:solidFill>
              <w14:schemeClr w14:val="tx1"/>
            </w14:solidFill>
          </w14:textFill>
        </w:rPr>
        <w:t>进行公开，公开内容真实、完整</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lang w:val="zh-CN"/>
          <w14:textFill>
            <w14:solidFill>
              <w14:schemeClr w14:val="tx1"/>
            </w14:solidFill>
          </w14:textFill>
        </w:rPr>
        <w:t>不存在虚列支出的问题，按照实际支出填报。</w:t>
      </w:r>
      <w:r>
        <w:rPr>
          <w:rFonts w:hint="eastAsia" w:ascii="仿宋_GB2312" w:hAnsi="仿宋_GB2312" w:eastAsia="仿宋_GB2312" w:cs="仿宋_GB2312"/>
          <w:color w:val="000000" w:themeColor="text1"/>
          <w:sz w:val="32"/>
          <w:szCs w:val="32"/>
          <w14:textFill>
            <w14:solidFill>
              <w14:schemeClr w14:val="tx1"/>
            </w14:solidFill>
          </w14:textFill>
        </w:rPr>
        <w:t>依法接受财政、审计、纪检监察、巡查等部门的监督检查。</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增强单位工作的透明度和公信力，提高工作质量和服务水平。</w:t>
      </w:r>
    </w:p>
    <w:p>
      <w:pPr>
        <w:pStyle w:val="9"/>
        <w:numPr>
          <w:ilvl w:val="0"/>
          <w:numId w:val="0"/>
        </w:numPr>
        <w:ind w:firstLine="640" w:firstLineChars="200"/>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根据绩效评价结果，</w:t>
      </w:r>
      <w:r>
        <w:rPr>
          <w:rFonts w:hint="eastAsia" w:ascii="仿宋_GB2312" w:hAnsi="仿宋_GB2312" w:eastAsia="仿宋_GB2312" w:cs="仿宋_GB2312"/>
          <w:b w:val="0"/>
          <w:bCs w:val="0"/>
          <w:color w:val="000000" w:themeColor="text1"/>
          <w:kern w:val="0"/>
          <w:sz w:val="32"/>
          <w:szCs w:val="32"/>
          <w:highlight w:val="none"/>
          <w:shd w:val="clear" w:color="auto" w:fill="FFFFFF"/>
          <w:lang w:val="en-US" w:eastAsia="zh-CN"/>
          <w14:textFill>
            <w14:solidFill>
              <w14:schemeClr w14:val="tx1"/>
            </w14:solidFill>
          </w14:textFill>
        </w:rPr>
        <w:t>重视内控制度的建设、管理及监督，加强内控管理，强化财务监督，增强法治观念，遵守规章制度。</w:t>
      </w:r>
      <w:r>
        <w:rPr>
          <w:rFonts w:hint="eastAsia" w:ascii="仿宋" w:hAnsi="仿宋" w:eastAsia="仿宋" w:cs="仿宋"/>
          <w:color w:val="000000" w:themeColor="text1"/>
          <w:sz w:val="32"/>
          <w:szCs w:val="32"/>
          <w:lang w:val="en-US" w:eastAsia="zh-CN"/>
          <w14:textFill>
            <w14:solidFill>
              <w14:schemeClr w14:val="tx1"/>
            </w14:solidFill>
          </w14:textFill>
        </w:rPr>
        <w:t>对重点项目进行跟踪管理和监督，加强项目管理，提高项目实施质量。提高决策的科学性集合民主性。</w:t>
      </w:r>
      <w:r>
        <w:rPr>
          <w:rFonts w:hint="eastAsia" w:ascii="仿宋" w:hAnsi="仿宋" w:eastAsia="仿宋" w:cs="仿宋"/>
          <w:color w:val="000000" w:themeColor="text1"/>
          <w:sz w:val="32"/>
          <w:szCs w:val="32"/>
          <w:lang w:val="zh-CN"/>
          <w14:textFill>
            <w14:solidFill>
              <w14:schemeClr w14:val="tx1"/>
            </w14:solidFill>
          </w14:textFill>
        </w:rPr>
        <w:t>日常业务经费和机关运行经费包括“三公”经费严格按照部门当年预算执行，无违反中央八项规定的行为，无因公出国（境）费用发生，公务接待严格按照相关规定执行，我</w:t>
      </w:r>
      <w:r>
        <w:rPr>
          <w:rFonts w:hint="eastAsia" w:ascii="仿宋" w:hAnsi="仿宋" w:eastAsia="仿宋" w:cs="仿宋"/>
          <w:color w:val="000000" w:themeColor="text1"/>
          <w:sz w:val="32"/>
          <w:szCs w:val="32"/>
          <w:lang w:val="en-US" w:eastAsia="zh-CN"/>
          <w14:textFill>
            <w14:solidFill>
              <w14:schemeClr w14:val="tx1"/>
            </w14:solidFill>
          </w14:textFill>
        </w:rPr>
        <w:t>镇</w:t>
      </w:r>
      <w:r>
        <w:rPr>
          <w:rFonts w:hint="eastAsia" w:ascii="仿宋" w:hAnsi="仿宋" w:eastAsia="仿宋" w:cs="仿宋"/>
          <w:color w:val="000000" w:themeColor="text1"/>
          <w:sz w:val="32"/>
          <w:szCs w:val="32"/>
          <w:lang w:val="zh-CN"/>
          <w14:textFill>
            <w14:solidFill>
              <w14:schemeClr w14:val="tx1"/>
            </w14:solidFill>
          </w14:textFill>
        </w:rPr>
        <w:t>公务接待费、公务用车运行维护费按照厉行节约的要求均未超标准、超范围。各项支出都在县财政的监管下执行，手续齐全、合理、合法。</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ab/>
      </w:r>
    </w:p>
    <w:p>
      <w:pPr>
        <w:pStyle w:val="4"/>
        <w:pageBreakBefore w:val="0"/>
        <w:kinsoku/>
        <w:wordWrap/>
        <w:overflowPunct/>
        <w:topLinePunct w:val="0"/>
        <w:bidi w:val="0"/>
        <w:spacing w:before="0" w:after="0" w:line="560" w:lineRule="exact"/>
        <w:ind w:firstLine="640" w:firstLineChars="200"/>
        <w:rPr>
          <w:rFonts w:hint="eastAsia" w:ascii="黑体" w:hAnsi="黑体" w:eastAsia="黑体" w:cs="黑体"/>
          <w:b w:val="0"/>
          <w:bCs w:val="0"/>
        </w:rPr>
      </w:pPr>
      <w:bookmarkStart w:id="24" w:name="_Toc17459"/>
      <w:r>
        <w:rPr>
          <w:rFonts w:hint="eastAsia" w:ascii="黑体" w:hAnsi="黑体" w:eastAsia="黑体" w:cs="黑体"/>
          <w:b w:val="0"/>
          <w:bCs w:val="0"/>
        </w:rPr>
        <w:t>四、评价结论及建议</w:t>
      </w:r>
      <w:bookmarkEnd w:id="24"/>
    </w:p>
    <w:p>
      <w:pPr>
        <w:pStyle w:val="5"/>
        <w:pageBreakBefore w:val="0"/>
        <w:kinsoku/>
        <w:wordWrap/>
        <w:overflowPunct/>
        <w:topLinePunct w:val="0"/>
        <w:bidi w:val="0"/>
        <w:spacing w:before="0" w:after="0" w:line="560" w:lineRule="exact"/>
        <w:ind w:left="0" w:leftChars="0" w:firstLine="642" w:firstLineChars="200"/>
        <w:rPr>
          <w:rFonts w:hint="eastAsia" w:ascii="楷体_GB2312" w:hAnsi="楷体_GB2312" w:eastAsia="楷体_GB2312" w:cs="楷体_GB2312"/>
          <w:lang w:val="en-US" w:eastAsia="zh-CN"/>
        </w:rPr>
      </w:pPr>
      <w:r>
        <w:rPr>
          <w:rFonts w:hint="eastAsia" w:ascii="楷体_GB2312" w:hAnsi="楷体_GB2312" w:eastAsia="楷体_GB2312" w:cs="楷体_GB2312"/>
          <w:lang w:val="en-US" w:eastAsia="zh-CN"/>
        </w:rPr>
        <w:t>（一）评价结论</w:t>
      </w:r>
    </w:p>
    <w:p>
      <w:pPr>
        <w:pStyle w:val="1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80" w:lineRule="atLeast"/>
        <w:ind w:left="0" w:right="0" w:firstLine="560"/>
        <w:jc w:val="left"/>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pPr>
      <w:r>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t>按照相关的工作任务和要求，结合202</w:t>
      </w:r>
      <w:r>
        <w:rPr>
          <w:rFonts w:hint="eastAsia" w:ascii="仿宋_GB2312" w:hAnsi="仿宋_GB2312" w:eastAsia="仿宋_GB2312" w:cs="仿宋_GB2312"/>
          <w:b w:val="0"/>
          <w:bCs w:val="0"/>
          <w:color w:val="auto"/>
          <w:kern w:val="0"/>
          <w:sz w:val="32"/>
          <w:szCs w:val="32"/>
          <w:highlight w:val="none"/>
          <w:shd w:val="clear" w:color="auto" w:fill="FFFFFF"/>
          <w:lang w:val="en-US" w:eastAsia="zh-CN" w:bidi="ar-SA"/>
        </w:rPr>
        <w:t>5</w:t>
      </w:r>
      <w:r>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t>年度工作开展实际，根据年初工作计划有序开展各项工作，进一步细化工作任务，按照工作计划和要求细致分工，使财政收支预算执行得到了良好的制度保障和实施效果。</w:t>
      </w:r>
    </w:p>
    <w:p>
      <w:pPr>
        <w:pStyle w:val="16"/>
        <w:keepNext w:val="0"/>
        <w:keepLines w:val="0"/>
        <w:widowControl/>
        <w:numPr>
          <w:ilvl w:val="0"/>
          <w:numId w:val="3"/>
        </w:numPr>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80" w:lineRule="atLeast"/>
        <w:ind w:left="0" w:right="0" w:firstLine="560"/>
        <w:jc w:val="left"/>
        <w:rPr>
          <w:rFonts w:hint="default" w:ascii="Times New Roman" w:hAnsi="Times New Roman" w:eastAsia="楷体_GB2312" w:cs="Times New Roman"/>
          <w:b/>
          <w:bCs/>
          <w:color w:val="000000"/>
          <w:kern w:val="0"/>
          <w:sz w:val="32"/>
          <w:szCs w:val="32"/>
          <w:highlight w:val="none"/>
          <w:shd w:val="clear" w:color="auto" w:fill="FFFFFF"/>
          <w:lang w:val="zh-CN"/>
        </w:rPr>
      </w:pPr>
      <w:r>
        <w:rPr>
          <w:rFonts w:hint="default" w:ascii="Times New Roman" w:hAnsi="Times New Roman" w:eastAsia="楷体_GB2312" w:cs="Times New Roman"/>
          <w:b/>
          <w:bCs/>
          <w:color w:val="000000"/>
          <w:kern w:val="0"/>
          <w:sz w:val="32"/>
          <w:szCs w:val="32"/>
          <w:highlight w:val="none"/>
          <w:shd w:val="clear" w:color="auto" w:fill="FFFFFF"/>
          <w:lang w:val="zh-CN"/>
        </w:rPr>
        <w:t>存在问题。</w:t>
      </w:r>
    </w:p>
    <w:p>
      <w:pPr>
        <w:pStyle w:val="16"/>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80" w:lineRule="atLeast"/>
        <w:ind w:left="560" w:leftChars="0" w:right="0" w:rightChars="0" w:firstLine="320" w:firstLineChars="100"/>
        <w:jc w:val="left"/>
        <w:rPr>
          <w:rFonts w:hint="eastAsia" w:ascii="仿宋_GB2312" w:hAnsi="仿宋_GB2312" w:eastAsia="仿宋_GB2312" w:cs="仿宋_GB2312"/>
          <w:b w:val="0"/>
          <w:bCs w:val="0"/>
          <w:color w:val="auto"/>
          <w:kern w:val="0"/>
          <w:sz w:val="32"/>
          <w:szCs w:val="32"/>
          <w:highlight w:val="none"/>
          <w:shd w:val="clear" w:color="auto" w:fill="FFFFFF"/>
          <w:lang w:val="en-US" w:eastAsia="zh-CN" w:bidi="ar-SA"/>
        </w:rPr>
      </w:pPr>
      <w:r>
        <w:rPr>
          <w:rFonts w:hint="eastAsia" w:ascii="仿宋_GB2312" w:hAnsi="仿宋_GB2312" w:eastAsia="仿宋_GB2312" w:cs="仿宋_GB2312"/>
          <w:b w:val="0"/>
          <w:bCs w:val="0"/>
          <w:color w:val="auto"/>
          <w:kern w:val="0"/>
          <w:sz w:val="32"/>
          <w:szCs w:val="32"/>
          <w:highlight w:val="none"/>
          <w:shd w:val="clear" w:color="auto" w:fill="FFFFFF"/>
          <w:lang w:val="en-US" w:eastAsia="zh-CN" w:bidi="ar-SA"/>
        </w:rPr>
        <w:t>针对这次绩效评价不存在其他问题。</w:t>
      </w:r>
    </w:p>
    <w:p>
      <w:pPr>
        <w:pStyle w:val="16"/>
        <w:keepNext w:val="0"/>
        <w:keepLines w:val="0"/>
        <w:widowControl/>
        <w:numPr>
          <w:ilvl w:val="0"/>
          <w:numId w:val="3"/>
        </w:numPr>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80" w:lineRule="atLeast"/>
        <w:ind w:left="0" w:leftChars="0" w:right="0" w:rightChars="0" w:firstLine="560" w:firstLineChars="0"/>
        <w:jc w:val="left"/>
        <w:rPr>
          <w:rFonts w:hint="default" w:ascii="Times New Roman" w:hAnsi="Times New Roman" w:eastAsia="楷体_GB2312" w:cs="Times New Roman"/>
          <w:b/>
          <w:bCs/>
          <w:color w:val="000000"/>
          <w:kern w:val="0"/>
          <w:sz w:val="32"/>
          <w:szCs w:val="32"/>
          <w:highlight w:val="none"/>
          <w:shd w:val="clear" w:color="auto" w:fill="FFFFFF"/>
          <w:lang w:val="zh-CN" w:eastAsia="zh-CN"/>
        </w:rPr>
      </w:pPr>
      <w:r>
        <w:rPr>
          <w:rFonts w:hint="default" w:ascii="Times New Roman" w:hAnsi="Times New Roman" w:eastAsia="楷体_GB2312" w:cs="Times New Roman"/>
          <w:b/>
          <w:bCs/>
          <w:color w:val="000000"/>
          <w:kern w:val="0"/>
          <w:sz w:val="32"/>
          <w:szCs w:val="32"/>
          <w:highlight w:val="none"/>
          <w:shd w:val="clear" w:color="auto" w:fill="FFFFFF"/>
          <w:lang w:val="zh-CN" w:eastAsia="zh-CN"/>
        </w:rPr>
        <w:t>改进建议。</w:t>
      </w:r>
      <w:bookmarkStart w:id="25" w:name="_Hlk110546638"/>
    </w:p>
    <w:p>
      <w:pPr>
        <w:pStyle w:val="16"/>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80" w:lineRule="atLeast"/>
        <w:ind w:left="560" w:leftChars="0" w:right="0" w:rightChars="0"/>
        <w:jc w:val="left"/>
        <w:rPr>
          <w:rFonts w:hint="default" w:ascii="Times New Roman" w:hAnsi="Times New Roman" w:eastAsia="楷体_GB2312" w:cs="Times New Roman"/>
          <w:b/>
          <w:bCs/>
          <w:color w:val="000000"/>
          <w:kern w:val="0"/>
          <w:sz w:val="32"/>
          <w:szCs w:val="32"/>
          <w:highlight w:val="none"/>
          <w:shd w:val="clear" w:color="auto" w:fill="FFFFFF"/>
          <w:lang w:val="zh-CN" w:eastAsia="zh-CN"/>
        </w:rPr>
      </w:pP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1.</w:t>
      </w:r>
      <w:r>
        <w:rPr>
          <w:rFonts w:hint="eastAsia" w:ascii="仿宋_GB2312" w:hAnsi="仿宋_GB2312" w:eastAsia="仿宋_GB2312" w:cs="仿宋_GB2312"/>
          <w:b w:val="0"/>
          <w:bCs w:val="0"/>
          <w:color w:val="auto"/>
          <w:kern w:val="0"/>
          <w:sz w:val="32"/>
          <w:szCs w:val="32"/>
          <w:highlight w:val="none"/>
          <w:shd w:val="clear" w:color="auto" w:fill="FFFFFF"/>
          <w:lang w:val="en-US" w:eastAsia="zh-CN" w:bidi="ar-SA"/>
        </w:rPr>
        <w:t>进一步细化预算编制工作，认真做好预算编制工作，</w:t>
      </w:r>
    </w:p>
    <w:p>
      <w:pPr>
        <w:pStyle w:val="16"/>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80" w:lineRule="atLeast"/>
        <w:ind w:right="0" w:rightChars="0" w:firstLine="640" w:firstLineChars="200"/>
        <w:jc w:val="left"/>
        <w:rPr>
          <w:rFonts w:hint="default" w:ascii="仿宋_GB2312" w:hAnsi="仿宋_GB2312" w:eastAsia="仿宋_GB2312" w:cs="仿宋_GB2312"/>
          <w:b w:val="0"/>
          <w:bCs w:val="0"/>
          <w:color w:val="auto"/>
          <w:kern w:val="0"/>
          <w:sz w:val="32"/>
          <w:szCs w:val="32"/>
          <w:highlight w:val="none"/>
          <w:shd w:val="clear" w:color="auto" w:fill="FFFFFF"/>
          <w:lang w:val="en-US" w:eastAsia="zh-CN" w:bidi="ar-SA"/>
        </w:rPr>
      </w:pPr>
      <w:r>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t>科学合理编制预算，严格执行预算。科学合理编制预算，</w:t>
      </w:r>
      <w:r>
        <w:rPr>
          <w:rFonts w:hint="eastAsia" w:ascii="仿宋_GB2312" w:hAnsi="仿宋_GB2312" w:eastAsia="仿宋_GB2312" w:cs="仿宋_GB2312"/>
          <w:b w:val="0"/>
          <w:bCs w:val="0"/>
          <w:color w:val="auto"/>
          <w:kern w:val="0"/>
          <w:sz w:val="32"/>
          <w:szCs w:val="32"/>
          <w:highlight w:val="none"/>
          <w:shd w:val="clear" w:color="auto" w:fill="FFFFFF"/>
          <w:lang w:val="en-US" w:eastAsia="zh-CN" w:bidi="ar-SA"/>
        </w:rPr>
        <w:t>保证完整性、真实性、合法性并且</w:t>
      </w:r>
      <w:r>
        <w:rPr>
          <w:rFonts w:hint="eastAsia" w:ascii="仿宋_GB2312" w:hAnsi="仿宋_GB2312" w:eastAsia="仿宋_GB2312" w:cs="仿宋_GB2312"/>
          <w:b w:val="0"/>
          <w:bCs w:val="0"/>
          <w:color w:val="auto"/>
          <w:kern w:val="0"/>
          <w:sz w:val="32"/>
          <w:szCs w:val="32"/>
          <w:highlight w:val="none"/>
          <w:shd w:val="clear" w:color="auto" w:fill="FFFFFF"/>
          <w:lang w:val="zh-CN" w:eastAsia="zh-CN" w:bidi="ar-SA"/>
        </w:rPr>
        <w:t>严格执行。</w:t>
      </w:r>
    </w:p>
    <w:p>
      <w:pPr>
        <w:pStyle w:val="1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80" w:lineRule="atLeast"/>
        <w:ind w:left="0" w:right="0" w:firstLine="560"/>
        <w:jc w:val="left"/>
        <w:rPr>
          <w:rFonts w:hint="eastAsia" w:ascii="仿宋_GB2312" w:hAnsi="仿宋_GB2312" w:eastAsia="仿宋_GB2312" w:cs="仿宋_GB2312"/>
          <w:b w:val="0"/>
          <w:bCs w:val="0"/>
          <w:color w:val="auto"/>
          <w:kern w:val="0"/>
          <w:sz w:val="32"/>
          <w:szCs w:val="32"/>
          <w:highlight w:val="none"/>
          <w:shd w:val="clear" w:color="auto" w:fill="FFFFFF"/>
          <w:lang w:val="en-US" w:eastAsia="zh-CN" w:bidi="ar-SA"/>
        </w:rPr>
      </w:pP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2.</w:t>
      </w:r>
      <w:r>
        <w:rPr>
          <w:rFonts w:hint="eastAsia" w:ascii="仿宋_GB2312" w:hAnsi="仿宋_GB2312" w:eastAsia="仿宋_GB2312" w:cs="仿宋_GB2312"/>
          <w:b w:val="0"/>
          <w:bCs w:val="0"/>
          <w:color w:val="auto"/>
          <w:kern w:val="0"/>
          <w:sz w:val="32"/>
          <w:szCs w:val="32"/>
          <w:highlight w:val="none"/>
          <w:shd w:val="clear" w:color="auto" w:fill="FFFFFF"/>
          <w:lang w:val="en-US" w:eastAsia="zh-CN" w:bidi="ar-SA"/>
        </w:rPr>
        <w:t>加强财务管理，严格财务审核。在费用报账支付时，按照预算规定的费用项目和用途进行资金使用审核、列报支付、财务核算，杜绝超支现象的发生</w:t>
      </w:r>
      <w:bookmarkEnd w:id="25"/>
      <w:r>
        <w:rPr>
          <w:rFonts w:hint="eastAsia" w:ascii="仿宋_GB2312" w:hAnsi="仿宋_GB2312" w:eastAsia="仿宋_GB2312" w:cs="仿宋_GB2312"/>
          <w:b w:val="0"/>
          <w:bCs w:val="0"/>
          <w:color w:val="auto"/>
          <w:kern w:val="0"/>
          <w:sz w:val="32"/>
          <w:szCs w:val="32"/>
          <w:highlight w:val="none"/>
          <w:shd w:val="clear" w:color="auto" w:fill="FFFFFF"/>
          <w:lang w:val="en-US" w:eastAsia="zh-CN" w:bidi="ar-SA"/>
        </w:rPr>
        <w:t>。</w:t>
      </w:r>
    </w:p>
    <w:p>
      <w:pPr>
        <w:pStyle w:val="1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80" w:lineRule="atLeast"/>
        <w:ind w:left="0" w:right="0" w:firstLine="560"/>
        <w:jc w:val="left"/>
        <w:rPr>
          <w:rFonts w:hint="eastAsia" w:ascii="Times New Roman" w:hAnsi="Times New Roman" w:eastAsia="仿宋_GB2312" w:cs="Times New Roman"/>
          <w:color w:val="000000" w:themeColor="text1"/>
          <w:sz w:val="32"/>
          <w:szCs w:val="32"/>
          <w:lang w:val="zh-CN"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3.</w:t>
      </w:r>
      <w:r>
        <w:rPr>
          <w:rFonts w:hint="eastAsia" w:ascii="Times New Roman" w:hAnsi="Times New Roman" w:eastAsia="仿宋_GB2312" w:cs="Times New Roman"/>
          <w:color w:val="000000" w:themeColor="text1"/>
          <w:sz w:val="32"/>
          <w:szCs w:val="32"/>
          <w:lang w:val="zh-CN" w:eastAsia="zh-CN"/>
          <w14:textFill>
            <w14:solidFill>
              <w14:schemeClr w14:val="tx1"/>
            </w14:solidFill>
          </w14:textFill>
        </w:rPr>
        <w:t>强化整改落实，构建长效机制。对发现的问题逐一整改，全面核查，举一反三，确保整改到位。对评价发现的问题，深入分析原因，采取措施尽快整改，主要领导亲自抓，组织专门力量，专人专项落实，立即整改，不得遗漏。</w:t>
      </w:r>
    </w:p>
    <w:p>
      <w:pPr>
        <w:pStyle w:val="1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80" w:lineRule="atLeast"/>
        <w:ind w:left="0" w:right="0" w:firstLine="560"/>
        <w:jc w:val="left"/>
        <w:rPr>
          <w:rFonts w:hint="eastAsia" w:ascii="Times New Roman" w:hAnsi="Times New Roman" w:eastAsia="仿宋_GB2312" w:cs="Times New Roman"/>
          <w:color w:val="000000" w:themeColor="text1"/>
          <w:sz w:val="32"/>
          <w:szCs w:val="32"/>
          <w:lang w:val="zh-CN" w:eastAsia="zh-CN"/>
          <w14:textFill>
            <w14:solidFill>
              <w14:schemeClr w14:val="tx1"/>
            </w14:solidFill>
          </w14:textFill>
        </w:rPr>
      </w:pPr>
    </w:p>
    <w:p>
      <w:pPr>
        <w:pStyle w:val="1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80" w:lineRule="atLeast"/>
        <w:ind w:left="0" w:right="0" w:firstLine="560"/>
        <w:jc w:val="left"/>
        <w:rPr>
          <w:rFonts w:hint="eastAsia" w:ascii="Times New Roman" w:hAnsi="Times New Roman" w:eastAsia="仿宋_GB2312" w:cs="Times New Roman"/>
          <w:color w:val="000000" w:themeColor="text1"/>
          <w:sz w:val="32"/>
          <w:szCs w:val="32"/>
          <w:lang w:val="zh-CN" w:eastAsia="zh-CN"/>
          <w14:textFill>
            <w14:solidFill>
              <w14:schemeClr w14:val="tx1"/>
            </w14:solidFill>
          </w14:textFill>
        </w:rPr>
      </w:pPr>
    </w:p>
    <w:p>
      <w:pPr>
        <w:pStyle w:val="1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80" w:lineRule="atLeast"/>
        <w:ind w:left="0" w:right="0" w:firstLine="560"/>
        <w:jc w:val="left"/>
        <w:rPr>
          <w:rFonts w:hint="eastAsia" w:ascii="Times New Roman" w:hAnsi="Times New Roman" w:eastAsia="仿宋_GB2312" w:cs="Times New Roman"/>
          <w:color w:val="000000" w:themeColor="text1"/>
          <w:sz w:val="32"/>
          <w:szCs w:val="32"/>
          <w:lang w:val="zh-CN" w:eastAsia="zh-CN"/>
          <w14:textFill>
            <w14:solidFill>
              <w14:schemeClr w14:val="tx1"/>
            </w14:solidFill>
          </w14:textFill>
        </w:rPr>
      </w:pPr>
    </w:p>
    <w:p>
      <w:pPr>
        <w:pStyle w:val="1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80" w:lineRule="atLeast"/>
        <w:ind w:left="0" w:right="0" w:firstLine="560"/>
        <w:jc w:val="left"/>
        <w:rPr>
          <w:rFonts w:hint="eastAsia" w:ascii="Times New Roman" w:hAnsi="Times New Roman" w:eastAsia="仿宋_GB2312" w:cs="Times New Roman"/>
          <w:color w:val="000000" w:themeColor="text1"/>
          <w:sz w:val="32"/>
          <w:szCs w:val="32"/>
          <w:lang w:val="zh-CN" w:eastAsia="zh-CN"/>
          <w14:textFill>
            <w14:solidFill>
              <w14:schemeClr w14:val="tx1"/>
            </w14:solidFill>
          </w14:textFill>
        </w:rPr>
      </w:pPr>
    </w:p>
    <w:p>
      <w:pPr>
        <w:pStyle w:val="1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80" w:lineRule="atLeast"/>
        <w:ind w:left="0" w:right="0" w:firstLine="560"/>
        <w:jc w:val="left"/>
        <w:rPr>
          <w:rFonts w:hint="eastAsia" w:ascii="Times New Roman" w:hAnsi="Times New Roman" w:eastAsia="仿宋_GB2312" w:cs="Times New Roman"/>
          <w:color w:val="000000" w:themeColor="text1"/>
          <w:sz w:val="32"/>
          <w:szCs w:val="32"/>
          <w:lang w:val="zh-CN" w:eastAsia="zh-CN"/>
          <w14:textFill>
            <w14:solidFill>
              <w14:schemeClr w14:val="tx1"/>
            </w14:solidFill>
          </w14:textFill>
        </w:rPr>
      </w:pPr>
    </w:p>
    <w:p>
      <w:pPr>
        <w:pStyle w:val="1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80" w:lineRule="atLeast"/>
        <w:ind w:left="0" w:right="0" w:firstLine="560"/>
        <w:jc w:val="left"/>
        <w:rPr>
          <w:rFonts w:hint="eastAsia" w:ascii="Times New Roman" w:hAnsi="Times New Roman" w:eastAsia="仿宋_GB2312" w:cs="Times New Roman"/>
          <w:color w:val="000000" w:themeColor="text1"/>
          <w:sz w:val="32"/>
          <w:szCs w:val="32"/>
          <w:lang w:val="zh-CN" w:eastAsia="zh-CN"/>
          <w14:textFill>
            <w14:solidFill>
              <w14:schemeClr w14:val="tx1"/>
            </w14:solidFill>
          </w14:textFill>
        </w:rPr>
      </w:pPr>
    </w:p>
    <w:p>
      <w:pPr>
        <w:pStyle w:val="1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80" w:lineRule="atLeast"/>
        <w:ind w:left="0" w:right="0" w:firstLine="560"/>
        <w:jc w:val="left"/>
        <w:rPr>
          <w:rFonts w:hint="eastAsia" w:ascii="Times New Roman" w:hAnsi="Times New Roman" w:eastAsia="仿宋_GB2312" w:cs="Times New Roman"/>
          <w:color w:val="000000" w:themeColor="text1"/>
          <w:sz w:val="32"/>
          <w:szCs w:val="32"/>
          <w:lang w:val="zh-CN" w:eastAsia="zh-CN"/>
          <w14:textFill>
            <w14:solidFill>
              <w14:schemeClr w14:val="tx1"/>
            </w14:solidFill>
          </w14:textFill>
        </w:rPr>
      </w:pPr>
    </w:p>
    <w:p>
      <w:pPr>
        <w:pStyle w:val="1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80" w:lineRule="atLeast"/>
        <w:ind w:left="0" w:right="0" w:firstLine="560"/>
        <w:jc w:val="left"/>
        <w:rPr>
          <w:rFonts w:hint="eastAsia" w:ascii="Times New Roman" w:hAnsi="Times New Roman" w:eastAsia="仿宋_GB2312" w:cs="Times New Roman"/>
          <w:color w:val="000000" w:themeColor="text1"/>
          <w:sz w:val="32"/>
          <w:szCs w:val="32"/>
          <w:lang w:val="zh-CN" w:eastAsia="zh-CN"/>
          <w14:textFill>
            <w14:solidFill>
              <w14:schemeClr w14:val="tx1"/>
            </w14:solidFill>
          </w14:textFill>
        </w:rPr>
      </w:pPr>
    </w:p>
    <w:p>
      <w:pPr>
        <w:pStyle w:val="1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80" w:lineRule="atLeast"/>
        <w:ind w:left="0" w:right="0" w:firstLine="560"/>
        <w:jc w:val="left"/>
        <w:rPr>
          <w:rFonts w:hint="eastAsia" w:ascii="Times New Roman" w:hAnsi="Times New Roman" w:eastAsia="仿宋_GB2312" w:cs="Times New Roman"/>
          <w:color w:val="000000" w:themeColor="text1"/>
          <w:sz w:val="32"/>
          <w:szCs w:val="32"/>
          <w:lang w:val="zh-CN" w:eastAsia="zh-CN"/>
          <w14:textFill>
            <w14:solidFill>
              <w14:schemeClr w14:val="tx1"/>
            </w14:solidFill>
          </w14:textFill>
        </w:rPr>
      </w:pPr>
    </w:p>
    <w:p>
      <w:pPr>
        <w:pStyle w:val="1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80" w:lineRule="atLeast"/>
        <w:ind w:left="0" w:right="0" w:firstLine="560"/>
        <w:jc w:val="left"/>
        <w:rPr>
          <w:rFonts w:hint="eastAsia" w:ascii="Times New Roman" w:hAnsi="Times New Roman" w:eastAsia="仿宋_GB2312" w:cs="Times New Roman"/>
          <w:color w:val="000000" w:themeColor="text1"/>
          <w:sz w:val="32"/>
          <w:szCs w:val="32"/>
          <w:lang w:val="zh-CN" w:eastAsia="zh-CN"/>
          <w14:textFill>
            <w14:solidFill>
              <w14:schemeClr w14:val="tx1"/>
            </w14:solidFill>
          </w14:textFill>
        </w:rPr>
      </w:pPr>
    </w:p>
    <w:p>
      <w:pPr>
        <w:pStyle w:val="1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80" w:lineRule="atLeast"/>
        <w:ind w:left="0" w:right="0" w:firstLine="560"/>
        <w:jc w:val="left"/>
        <w:rPr>
          <w:rFonts w:hint="eastAsia" w:ascii="Times New Roman" w:hAnsi="Times New Roman" w:eastAsia="仿宋_GB2312" w:cs="Times New Roman"/>
          <w:color w:val="000000" w:themeColor="text1"/>
          <w:sz w:val="32"/>
          <w:szCs w:val="32"/>
          <w:lang w:val="zh-CN" w:eastAsia="zh-CN"/>
          <w14:textFill>
            <w14:solidFill>
              <w14:schemeClr w14:val="tx1"/>
            </w14:solidFill>
          </w14:textFill>
        </w:rPr>
      </w:pPr>
    </w:p>
    <w:p>
      <w:pPr>
        <w:pStyle w:val="1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80" w:lineRule="atLeast"/>
        <w:ind w:left="0" w:right="0" w:firstLine="560"/>
        <w:jc w:val="left"/>
        <w:rPr>
          <w:rFonts w:hint="eastAsia" w:ascii="Times New Roman" w:hAnsi="Times New Roman" w:eastAsia="仿宋_GB2312" w:cs="Times New Roman"/>
          <w:color w:val="000000" w:themeColor="text1"/>
          <w:sz w:val="32"/>
          <w:szCs w:val="32"/>
          <w:lang w:val="zh-CN" w:eastAsia="zh-CN"/>
          <w14:textFill>
            <w14:solidFill>
              <w14:schemeClr w14:val="tx1"/>
            </w14:solidFill>
          </w14:textFill>
        </w:rPr>
      </w:pPr>
    </w:p>
    <w:p>
      <w:pPr>
        <w:pStyle w:val="1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80" w:lineRule="atLeast"/>
        <w:ind w:left="0" w:right="0" w:firstLine="560"/>
        <w:jc w:val="left"/>
        <w:rPr>
          <w:rFonts w:hint="eastAsia" w:ascii="Times New Roman" w:hAnsi="Times New Roman" w:eastAsia="仿宋_GB2312" w:cs="Times New Roman"/>
          <w:color w:val="000000" w:themeColor="text1"/>
          <w:sz w:val="32"/>
          <w:szCs w:val="32"/>
          <w:lang w:val="zh-CN" w:eastAsia="zh-CN"/>
          <w14:textFill>
            <w14:solidFill>
              <w14:schemeClr w14:val="tx1"/>
            </w14:solidFill>
          </w14:textFill>
        </w:rPr>
      </w:pPr>
    </w:p>
    <w:p>
      <w:pPr>
        <w:widowControl/>
        <w:spacing w:line="600" w:lineRule="exact"/>
        <w:jc w:val="center"/>
        <w:textAlignment w:val="center"/>
        <w:rPr>
          <w:rFonts w:eastAsia="方正小标宋简体"/>
          <w:color w:val="000000"/>
          <w:kern w:val="0"/>
          <w:sz w:val="44"/>
          <w:szCs w:val="44"/>
        </w:rPr>
      </w:pPr>
      <w:r>
        <w:rPr>
          <w:rFonts w:hint="default" w:ascii="方正小标宋_GBK" w:hAnsi="方正小标宋_GBK" w:eastAsia="方正小标宋_GBK" w:cs="方正小标宋_GBK"/>
          <w:i w:val="0"/>
          <w:color w:val="000000"/>
          <w:kern w:val="0"/>
          <w:sz w:val="40"/>
          <w:szCs w:val="40"/>
          <w:u w:val="none"/>
          <w:lang w:val="en-US" w:eastAsia="zh-CN" w:bidi="ar"/>
        </w:rPr>
        <w:t>202</w:t>
      </w:r>
      <w:r>
        <w:rPr>
          <w:rFonts w:hint="eastAsia" w:ascii="方正小标宋_GBK" w:hAnsi="方正小标宋_GBK" w:eastAsia="方正小标宋_GBK" w:cs="方正小标宋_GBK"/>
          <w:i w:val="0"/>
          <w:color w:val="000000"/>
          <w:kern w:val="0"/>
          <w:sz w:val="40"/>
          <w:szCs w:val="40"/>
          <w:u w:val="none"/>
          <w:lang w:val="en-US" w:eastAsia="zh-CN" w:bidi="ar"/>
        </w:rPr>
        <w:t>5</w:t>
      </w:r>
      <w:r>
        <w:rPr>
          <w:rFonts w:hint="default" w:ascii="方正小标宋_GBK" w:hAnsi="方正小标宋_GBK" w:eastAsia="方正小标宋_GBK" w:cs="方正小标宋_GBK"/>
          <w:i w:val="0"/>
          <w:color w:val="000000"/>
          <w:kern w:val="0"/>
          <w:sz w:val="40"/>
          <w:szCs w:val="40"/>
          <w:u w:val="none"/>
          <w:lang w:val="en-US" w:eastAsia="zh-CN" w:bidi="ar"/>
        </w:rPr>
        <w:t>年度</w:t>
      </w:r>
      <w:r>
        <w:rPr>
          <w:rFonts w:hint="eastAsia" w:eastAsia="方正小标宋简体"/>
          <w:color w:val="000000"/>
          <w:kern w:val="0"/>
          <w:sz w:val="44"/>
          <w:szCs w:val="44"/>
        </w:rPr>
        <w:t>部门预算绩效自评打分表</w:t>
      </w:r>
    </w:p>
    <w:tbl>
      <w:tblPr>
        <w:tblStyle w:val="17"/>
        <w:tblW w:w="10912" w:type="dxa"/>
        <w:jc w:val="center"/>
        <w:tblLayout w:type="fixed"/>
        <w:tblCellMar>
          <w:top w:w="0" w:type="dxa"/>
          <w:left w:w="108" w:type="dxa"/>
          <w:bottom w:w="0" w:type="dxa"/>
          <w:right w:w="108" w:type="dxa"/>
        </w:tblCellMar>
      </w:tblPr>
      <w:tblGrid>
        <w:gridCol w:w="1097"/>
        <w:gridCol w:w="1201"/>
        <w:gridCol w:w="1929"/>
        <w:gridCol w:w="717"/>
        <w:gridCol w:w="4760"/>
        <w:gridCol w:w="730"/>
        <w:gridCol w:w="478"/>
      </w:tblGrid>
      <w:tr>
        <w:tblPrEx>
          <w:tblCellMar>
            <w:top w:w="0" w:type="dxa"/>
            <w:left w:w="108" w:type="dxa"/>
            <w:bottom w:w="0" w:type="dxa"/>
            <w:right w:w="108" w:type="dxa"/>
          </w:tblCellMar>
        </w:tblPrEx>
        <w:trPr>
          <w:trHeight w:val="23" w:hRule="atLeast"/>
          <w:jc w:val="center"/>
        </w:trPr>
        <w:tc>
          <w:tcPr>
            <w:tcW w:w="4944" w:type="dxa"/>
            <w:gridSpan w:val="4"/>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ascii="黑体" w:hAnsi="宋体" w:eastAsia="黑体" w:cs="黑体"/>
                <w:color w:val="000000"/>
                <w:sz w:val="24"/>
              </w:rPr>
            </w:pPr>
            <w:r>
              <w:rPr>
                <w:rFonts w:hint="eastAsia" w:ascii="黑体" w:hAnsi="宋体" w:eastAsia="黑体" w:cs="黑体"/>
                <w:color w:val="000000"/>
                <w:kern w:val="0"/>
                <w:sz w:val="24"/>
              </w:rPr>
              <w:t>绩效评价指标指标分值</w:t>
            </w:r>
          </w:p>
        </w:tc>
        <w:tc>
          <w:tcPr>
            <w:tcW w:w="4760"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ascii="黑体" w:hAnsi="宋体" w:eastAsia="黑体" w:cs="黑体"/>
                <w:color w:val="000000"/>
                <w:sz w:val="24"/>
              </w:rPr>
            </w:pPr>
            <w:r>
              <w:rPr>
                <w:rFonts w:hint="eastAsia" w:ascii="黑体" w:hAnsi="宋体" w:eastAsia="黑体" w:cs="黑体"/>
                <w:color w:val="000000"/>
                <w:kern w:val="0"/>
                <w:sz w:val="24"/>
              </w:rPr>
              <w:t>指标解释</w:t>
            </w:r>
          </w:p>
        </w:tc>
        <w:tc>
          <w:tcPr>
            <w:tcW w:w="730" w:type="dxa"/>
            <w:vMerge w:val="restart"/>
            <w:tcBorders>
              <w:top w:val="single" w:color="000000" w:sz="4" w:space="0"/>
              <w:left w:val="single" w:color="000000" w:sz="4" w:space="0"/>
              <w:right w:val="single" w:color="000000" w:sz="4" w:space="0"/>
            </w:tcBorders>
            <w:noWrap w:val="0"/>
            <w:vAlign w:val="center"/>
          </w:tcPr>
          <w:p>
            <w:pPr>
              <w:widowControl/>
              <w:spacing w:line="240" w:lineRule="exact"/>
              <w:jc w:val="center"/>
              <w:textAlignment w:val="center"/>
              <w:rPr>
                <w:rFonts w:ascii="黑体" w:hAnsi="宋体" w:eastAsia="黑体" w:cs="黑体"/>
                <w:color w:val="000000"/>
                <w:kern w:val="0"/>
                <w:sz w:val="24"/>
              </w:rPr>
            </w:pPr>
            <w:r>
              <w:rPr>
                <w:rFonts w:hint="eastAsia" w:ascii="黑体" w:hAnsi="宋体" w:eastAsia="黑体" w:cs="黑体"/>
                <w:color w:val="000000"/>
                <w:kern w:val="0"/>
                <w:sz w:val="24"/>
              </w:rPr>
              <w:t>自评得分</w:t>
            </w:r>
          </w:p>
        </w:tc>
        <w:tc>
          <w:tcPr>
            <w:tcW w:w="478" w:type="dxa"/>
            <w:vMerge w:val="restart"/>
            <w:tcBorders>
              <w:top w:val="single" w:color="000000" w:sz="4" w:space="0"/>
              <w:left w:val="single" w:color="000000" w:sz="4" w:space="0"/>
              <w:right w:val="single" w:color="000000" w:sz="4" w:space="0"/>
            </w:tcBorders>
            <w:noWrap w:val="0"/>
            <w:vAlign w:val="center"/>
          </w:tcPr>
          <w:p>
            <w:pPr>
              <w:widowControl/>
              <w:spacing w:line="240" w:lineRule="exact"/>
              <w:jc w:val="center"/>
              <w:textAlignment w:val="center"/>
              <w:rPr>
                <w:rFonts w:ascii="黑体" w:hAnsi="宋体" w:eastAsia="黑体" w:cs="黑体"/>
                <w:color w:val="000000"/>
                <w:kern w:val="0"/>
                <w:sz w:val="24"/>
              </w:rPr>
            </w:pPr>
            <w:r>
              <w:rPr>
                <w:rFonts w:hint="eastAsia" w:ascii="黑体" w:hAnsi="宋体" w:eastAsia="黑体" w:cs="黑体"/>
                <w:color w:val="000000"/>
                <w:kern w:val="0"/>
                <w:sz w:val="24"/>
              </w:rPr>
              <w:t>备注</w:t>
            </w:r>
          </w:p>
        </w:tc>
      </w:tr>
      <w:tr>
        <w:tblPrEx>
          <w:tblCellMar>
            <w:top w:w="0" w:type="dxa"/>
            <w:left w:w="108" w:type="dxa"/>
            <w:bottom w:w="0" w:type="dxa"/>
            <w:right w:w="108" w:type="dxa"/>
          </w:tblCellMar>
        </w:tblPrEx>
        <w:trPr>
          <w:trHeight w:val="23" w:hRule="atLeast"/>
          <w:jc w:val="center"/>
        </w:trPr>
        <w:tc>
          <w:tcPr>
            <w:tcW w:w="1097" w:type="dxa"/>
            <w:tcBorders>
              <w:top w:val="single" w:color="000000" w:sz="4" w:space="0"/>
              <w:left w:val="single" w:color="000000" w:sz="4" w:space="0"/>
              <w:bottom w:val="single" w:color="000000" w:sz="4" w:space="0"/>
              <w:right w:val="nil"/>
            </w:tcBorders>
            <w:noWrap w:val="0"/>
            <w:vAlign w:val="center"/>
          </w:tcPr>
          <w:p>
            <w:pPr>
              <w:widowControl/>
              <w:spacing w:line="240" w:lineRule="exact"/>
              <w:jc w:val="center"/>
              <w:textAlignment w:val="center"/>
              <w:rPr>
                <w:rFonts w:ascii="黑体" w:hAnsi="宋体" w:eastAsia="黑体" w:cs="黑体"/>
                <w:color w:val="000000"/>
                <w:sz w:val="24"/>
              </w:rPr>
            </w:pPr>
            <w:r>
              <w:rPr>
                <w:rFonts w:hint="eastAsia" w:ascii="黑体" w:hAnsi="宋体" w:eastAsia="黑体" w:cs="黑体"/>
                <w:color w:val="000000"/>
                <w:kern w:val="0"/>
                <w:sz w:val="24"/>
              </w:rPr>
              <w:t>一级指标</w:t>
            </w:r>
          </w:p>
        </w:tc>
        <w:tc>
          <w:tcPr>
            <w:tcW w:w="1201"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ascii="黑体" w:hAnsi="宋体" w:eastAsia="黑体" w:cs="黑体"/>
                <w:color w:val="000000"/>
                <w:sz w:val="24"/>
              </w:rPr>
            </w:pPr>
            <w:r>
              <w:rPr>
                <w:rFonts w:hint="eastAsia" w:ascii="黑体" w:hAnsi="宋体" w:eastAsia="黑体" w:cs="黑体"/>
                <w:color w:val="000000"/>
                <w:kern w:val="0"/>
                <w:sz w:val="24"/>
              </w:rPr>
              <w:t>二级指标</w:t>
            </w:r>
          </w:p>
        </w:tc>
        <w:tc>
          <w:tcPr>
            <w:tcW w:w="1929"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ascii="黑体" w:hAnsi="宋体" w:eastAsia="黑体" w:cs="黑体"/>
                <w:color w:val="000000"/>
                <w:sz w:val="24"/>
              </w:rPr>
            </w:pPr>
            <w:r>
              <w:rPr>
                <w:rFonts w:hint="eastAsia" w:ascii="黑体" w:hAnsi="宋体" w:eastAsia="黑体" w:cs="黑体"/>
                <w:color w:val="000000"/>
                <w:kern w:val="0"/>
                <w:sz w:val="24"/>
              </w:rPr>
              <w:t>三级指标</w:t>
            </w:r>
          </w:p>
        </w:tc>
        <w:tc>
          <w:tcPr>
            <w:tcW w:w="71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ascii="黑体" w:hAnsi="宋体" w:eastAsia="黑体" w:cs="黑体"/>
                <w:color w:val="000000"/>
                <w:sz w:val="24"/>
              </w:rPr>
            </w:pPr>
            <w:r>
              <w:rPr>
                <w:rFonts w:hint="eastAsia" w:ascii="黑体" w:hAnsi="宋体" w:eastAsia="黑体" w:cs="黑体"/>
                <w:color w:val="000000"/>
                <w:kern w:val="0"/>
                <w:sz w:val="24"/>
              </w:rPr>
              <w:t>指标</w:t>
            </w:r>
            <w:r>
              <w:rPr>
                <w:rFonts w:hint="eastAsia" w:ascii="黑体" w:hAnsi="宋体" w:eastAsia="黑体" w:cs="黑体"/>
                <w:color w:val="000000"/>
                <w:kern w:val="0"/>
                <w:sz w:val="24"/>
              </w:rPr>
              <w:br w:type="textWrapping"/>
            </w:r>
            <w:r>
              <w:rPr>
                <w:rFonts w:hint="eastAsia" w:ascii="黑体" w:hAnsi="宋体" w:eastAsia="黑体" w:cs="黑体"/>
                <w:color w:val="000000"/>
                <w:kern w:val="0"/>
                <w:sz w:val="24"/>
              </w:rPr>
              <w:t>分值</w:t>
            </w:r>
          </w:p>
        </w:tc>
        <w:tc>
          <w:tcPr>
            <w:tcW w:w="476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ascii="黑体" w:hAnsi="宋体" w:eastAsia="黑体" w:cs="黑体"/>
                <w:color w:val="000000"/>
                <w:sz w:val="24"/>
              </w:rPr>
            </w:pPr>
          </w:p>
        </w:tc>
        <w:tc>
          <w:tcPr>
            <w:tcW w:w="730" w:type="dxa"/>
            <w:vMerge w:val="continue"/>
            <w:tcBorders>
              <w:left w:val="single" w:color="000000" w:sz="4" w:space="0"/>
              <w:bottom w:val="single" w:color="000000" w:sz="4" w:space="0"/>
              <w:right w:val="single" w:color="000000" w:sz="4" w:space="0"/>
            </w:tcBorders>
            <w:noWrap w:val="0"/>
            <w:vAlign w:val="center"/>
          </w:tcPr>
          <w:p>
            <w:pPr>
              <w:widowControl/>
              <w:spacing w:line="240" w:lineRule="exact"/>
              <w:jc w:val="center"/>
              <w:rPr>
                <w:rFonts w:ascii="黑体" w:hAnsi="宋体" w:eastAsia="黑体" w:cs="黑体"/>
                <w:color w:val="000000"/>
                <w:sz w:val="24"/>
              </w:rPr>
            </w:pPr>
          </w:p>
        </w:tc>
        <w:tc>
          <w:tcPr>
            <w:tcW w:w="478" w:type="dxa"/>
            <w:vMerge w:val="continue"/>
            <w:tcBorders>
              <w:left w:val="single" w:color="000000" w:sz="4" w:space="0"/>
              <w:bottom w:val="single" w:color="000000" w:sz="4" w:space="0"/>
              <w:right w:val="single" w:color="000000" w:sz="4" w:space="0"/>
            </w:tcBorders>
            <w:noWrap w:val="0"/>
            <w:vAlign w:val="center"/>
          </w:tcPr>
          <w:p>
            <w:pPr>
              <w:widowControl/>
              <w:spacing w:line="240" w:lineRule="exact"/>
              <w:jc w:val="center"/>
              <w:rPr>
                <w:rFonts w:ascii="黑体" w:hAnsi="宋体" w:eastAsia="黑体" w:cs="黑体"/>
                <w:color w:val="000000"/>
                <w:sz w:val="24"/>
              </w:rPr>
            </w:pPr>
          </w:p>
        </w:tc>
      </w:tr>
      <w:tr>
        <w:tblPrEx>
          <w:tblCellMar>
            <w:top w:w="0" w:type="dxa"/>
            <w:left w:w="108" w:type="dxa"/>
            <w:bottom w:w="0" w:type="dxa"/>
            <w:right w:w="108" w:type="dxa"/>
          </w:tblCellMar>
        </w:tblPrEx>
        <w:trPr>
          <w:trHeight w:val="23" w:hRule="atLeast"/>
          <w:jc w:val="center"/>
        </w:trPr>
        <w:tc>
          <w:tcPr>
            <w:tcW w:w="1097" w:type="dxa"/>
            <w:vMerge w:val="restart"/>
            <w:tcBorders>
              <w:top w:val="single" w:color="000000" w:sz="4" w:space="0"/>
              <w:left w:val="single" w:color="000000" w:sz="4" w:space="0"/>
              <w:right w:val="single" w:color="000000" w:sz="4" w:space="0"/>
            </w:tcBorders>
            <w:noWrap w:val="0"/>
            <w:vAlign w:val="center"/>
          </w:tcPr>
          <w:p>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总体绩效（65分）</w:t>
            </w:r>
          </w:p>
        </w:tc>
        <w:tc>
          <w:tcPr>
            <w:tcW w:w="1201"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履职效能</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（15分）</w:t>
            </w:r>
          </w:p>
        </w:tc>
        <w:tc>
          <w:tcPr>
            <w:tcW w:w="1929"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lang w:val="zh-CN" w:eastAsia="zh-CN"/>
              </w:rPr>
              <w:t>工资性支出、</w:t>
            </w:r>
            <w:r>
              <w:rPr>
                <w:rFonts w:hint="eastAsia" w:ascii="宋体" w:hAnsi="宋体" w:eastAsia="宋体" w:cs="宋体"/>
                <w:color w:val="000000"/>
                <w:kern w:val="0"/>
                <w:sz w:val="24"/>
                <w:lang w:val="en-US" w:eastAsia="zh-CN"/>
              </w:rPr>
              <w:t>日常</w:t>
            </w:r>
            <w:r>
              <w:rPr>
                <w:rFonts w:hint="eastAsia" w:ascii="宋体" w:hAnsi="宋体" w:eastAsia="宋体" w:cs="宋体"/>
                <w:color w:val="000000"/>
                <w:kern w:val="0"/>
                <w:sz w:val="24"/>
                <w:lang w:val="zh-CN" w:eastAsia="zh-CN"/>
              </w:rPr>
              <w:t>公用经费、村级公共运行</w:t>
            </w:r>
            <w:r>
              <w:rPr>
                <w:rFonts w:hint="eastAsia" w:ascii="宋体" w:hAnsi="宋体" w:eastAsia="宋体" w:cs="宋体"/>
                <w:color w:val="000000"/>
                <w:kern w:val="0"/>
                <w:sz w:val="24"/>
                <w:lang w:val="en-US" w:eastAsia="zh-CN"/>
              </w:rPr>
              <w:t>维护费</w:t>
            </w:r>
            <w:r>
              <w:rPr>
                <w:rFonts w:hint="eastAsia" w:ascii="宋体" w:hAnsi="宋体" w:eastAsia="宋体" w:cs="宋体"/>
                <w:color w:val="000000"/>
                <w:kern w:val="0"/>
                <w:sz w:val="24"/>
                <w:lang w:val="zh-CN" w:eastAsia="zh-CN"/>
              </w:rPr>
              <w:t>绩效目标</w:t>
            </w:r>
            <w:r>
              <w:rPr>
                <w:rFonts w:hint="eastAsia" w:ascii="宋体" w:hAnsi="宋体" w:eastAsia="宋体" w:cs="宋体"/>
                <w:color w:val="000000"/>
                <w:kern w:val="0"/>
                <w:sz w:val="24"/>
              </w:rPr>
              <w:t>履职效果</w:t>
            </w:r>
          </w:p>
        </w:tc>
        <w:tc>
          <w:tcPr>
            <w:tcW w:w="717" w:type="dxa"/>
            <w:tcBorders>
              <w:top w:val="nil"/>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15</w:t>
            </w:r>
          </w:p>
        </w:tc>
        <w:tc>
          <w:tcPr>
            <w:tcW w:w="476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部门整体绩效目标中选定3-5个核心职能目标，反映该项职能目标完成效果情况</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14</w:t>
            </w:r>
          </w:p>
        </w:tc>
        <w:tc>
          <w:tcPr>
            <w:tcW w:w="47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noWrap w:val="0"/>
            <w:vAlign w:val="center"/>
          </w:tcPr>
          <w:p>
            <w:pPr>
              <w:widowControl/>
              <w:spacing w:line="240" w:lineRule="exact"/>
              <w:jc w:val="center"/>
              <w:rPr>
                <w:rFonts w:ascii="宋体" w:hAnsi="宋体" w:eastAsia="宋体" w:cs="宋体"/>
                <w:b/>
                <w:color w:val="000000"/>
                <w:sz w:val="24"/>
              </w:rPr>
            </w:pPr>
          </w:p>
        </w:tc>
        <w:tc>
          <w:tcPr>
            <w:tcW w:w="1201" w:type="dxa"/>
            <w:vMerge w:val="restart"/>
            <w:tcBorders>
              <w:top w:val="single" w:color="000000" w:sz="4" w:space="0"/>
              <w:left w:val="single" w:color="000000" w:sz="4" w:space="0"/>
              <w:right w:val="single" w:color="000000" w:sz="4" w:space="0"/>
            </w:tcBorders>
            <w:noWrap w:val="0"/>
            <w:vAlign w:val="center"/>
          </w:tcPr>
          <w:p>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预算管理</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（25分）</w:t>
            </w:r>
          </w:p>
        </w:tc>
        <w:tc>
          <w:tcPr>
            <w:tcW w:w="1929"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预算编制质量</w:t>
            </w:r>
          </w:p>
        </w:tc>
        <w:tc>
          <w:tcPr>
            <w:tcW w:w="71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8</w:t>
            </w:r>
          </w:p>
        </w:tc>
        <w:tc>
          <w:tcPr>
            <w:tcW w:w="476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部门是否严格按要求编制年初部门预算，年初预算编制的科学性和准确性</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6</w:t>
            </w:r>
          </w:p>
        </w:tc>
        <w:tc>
          <w:tcPr>
            <w:tcW w:w="47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noWrap w:val="0"/>
            <w:vAlign w:val="center"/>
          </w:tcPr>
          <w:p>
            <w:pPr>
              <w:widowControl/>
              <w:spacing w:line="240" w:lineRule="exact"/>
              <w:jc w:val="center"/>
              <w:rPr>
                <w:rFonts w:ascii="宋体" w:hAnsi="宋体" w:eastAsia="宋体" w:cs="宋体"/>
                <w:b/>
                <w:color w:val="000000"/>
                <w:sz w:val="24"/>
              </w:rPr>
            </w:pPr>
          </w:p>
        </w:tc>
        <w:tc>
          <w:tcPr>
            <w:tcW w:w="1201" w:type="dxa"/>
            <w:vMerge w:val="continue"/>
            <w:tcBorders>
              <w:left w:val="single" w:color="000000" w:sz="4" w:space="0"/>
              <w:right w:val="single" w:color="000000" w:sz="4" w:space="0"/>
            </w:tcBorders>
            <w:noWrap w:val="0"/>
            <w:vAlign w:val="center"/>
          </w:tcPr>
          <w:p>
            <w:pPr>
              <w:widowControl/>
              <w:spacing w:line="240" w:lineRule="exact"/>
              <w:jc w:val="center"/>
              <w:rPr>
                <w:rFonts w:ascii="宋体" w:hAnsi="宋体" w:eastAsia="宋体" w:cs="宋体"/>
                <w:b/>
                <w:color w:val="000000"/>
                <w:sz w:val="24"/>
              </w:rPr>
            </w:pPr>
          </w:p>
        </w:tc>
        <w:tc>
          <w:tcPr>
            <w:tcW w:w="1929"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单位收入统筹</w:t>
            </w:r>
          </w:p>
        </w:tc>
        <w:tc>
          <w:tcPr>
            <w:tcW w:w="71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部门统筹自有收入努力程度</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noWrap w:val="0"/>
            <w:vAlign w:val="center"/>
          </w:tcPr>
          <w:p>
            <w:pPr>
              <w:widowControl/>
              <w:spacing w:line="240" w:lineRule="exact"/>
              <w:jc w:val="center"/>
              <w:rPr>
                <w:rFonts w:ascii="宋体" w:hAnsi="宋体" w:eastAsia="宋体" w:cs="宋体"/>
                <w:b/>
                <w:color w:val="000000"/>
                <w:sz w:val="24"/>
              </w:rPr>
            </w:pPr>
          </w:p>
        </w:tc>
        <w:tc>
          <w:tcPr>
            <w:tcW w:w="1201" w:type="dxa"/>
            <w:vMerge w:val="continue"/>
            <w:tcBorders>
              <w:left w:val="single" w:color="000000" w:sz="4" w:space="0"/>
              <w:right w:val="single" w:color="000000" w:sz="4" w:space="0"/>
            </w:tcBorders>
            <w:noWrap w:val="0"/>
            <w:vAlign w:val="center"/>
          </w:tcPr>
          <w:p>
            <w:pPr>
              <w:widowControl/>
              <w:spacing w:line="240" w:lineRule="exact"/>
              <w:jc w:val="center"/>
              <w:rPr>
                <w:rFonts w:ascii="宋体" w:hAnsi="宋体" w:eastAsia="宋体" w:cs="宋体"/>
                <w:b/>
                <w:color w:val="000000"/>
                <w:sz w:val="24"/>
              </w:rPr>
            </w:pPr>
          </w:p>
        </w:tc>
        <w:tc>
          <w:tcPr>
            <w:tcW w:w="1929"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支出执行管理</w:t>
            </w:r>
          </w:p>
        </w:tc>
        <w:tc>
          <w:tcPr>
            <w:tcW w:w="71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6</w:t>
            </w:r>
          </w:p>
        </w:tc>
        <w:tc>
          <w:tcPr>
            <w:tcW w:w="476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部门1至6月、1至10月预算执行情况</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noWrap w:val="0"/>
            <w:vAlign w:val="center"/>
          </w:tcPr>
          <w:p>
            <w:pPr>
              <w:widowControl/>
              <w:spacing w:line="240" w:lineRule="exact"/>
              <w:jc w:val="center"/>
              <w:rPr>
                <w:rFonts w:ascii="宋体" w:hAnsi="宋体" w:eastAsia="宋体" w:cs="宋体"/>
                <w:b/>
                <w:color w:val="000000"/>
                <w:sz w:val="24"/>
              </w:rPr>
            </w:pPr>
          </w:p>
        </w:tc>
        <w:tc>
          <w:tcPr>
            <w:tcW w:w="1201" w:type="dxa"/>
            <w:vMerge w:val="continue"/>
            <w:tcBorders>
              <w:left w:val="single" w:color="000000" w:sz="4" w:space="0"/>
              <w:right w:val="single" w:color="000000" w:sz="4" w:space="0"/>
            </w:tcBorders>
            <w:noWrap w:val="0"/>
            <w:vAlign w:val="center"/>
          </w:tcPr>
          <w:p>
            <w:pPr>
              <w:widowControl/>
              <w:spacing w:line="240" w:lineRule="exact"/>
              <w:jc w:val="center"/>
              <w:rPr>
                <w:rFonts w:ascii="宋体" w:hAnsi="宋体" w:eastAsia="宋体" w:cs="宋体"/>
                <w:b/>
                <w:color w:val="000000"/>
                <w:sz w:val="24"/>
              </w:rPr>
            </w:pPr>
          </w:p>
        </w:tc>
        <w:tc>
          <w:tcPr>
            <w:tcW w:w="1929"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预算年终结余</w:t>
            </w:r>
          </w:p>
        </w:tc>
        <w:tc>
          <w:tcPr>
            <w:tcW w:w="71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2</w:t>
            </w:r>
          </w:p>
        </w:tc>
        <w:tc>
          <w:tcPr>
            <w:tcW w:w="476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部门整体年终预算结余情况</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w:t>
            </w:r>
          </w:p>
        </w:tc>
        <w:tc>
          <w:tcPr>
            <w:tcW w:w="47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743" w:hRule="atLeast"/>
          <w:jc w:val="center"/>
        </w:trPr>
        <w:tc>
          <w:tcPr>
            <w:tcW w:w="1097" w:type="dxa"/>
            <w:vMerge w:val="continue"/>
            <w:tcBorders>
              <w:left w:val="single" w:color="000000" w:sz="4" w:space="0"/>
              <w:right w:val="single" w:color="000000" w:sz="4" w:space="0"/>
            </w:tcBorders>
            <w:noWrap w:val="0"/>
            <w:vAlign w:val="center"/>
          </w:tcPr>
          <w:p>
            <w:pPr>
              <w:widowControl/>
              <w:spacing w:line="240" w:lineRule="exact"/>
              <w:jc w:val="center"/>
              <w:rPr>
                <w:rFonts w:ascii="宋体" w:hAnsi="宋体" w:eastAsia="宋体" w:cs="宋体"/>
                <w:b/>
                <w:color w:val="000000"/>
                <w:sz w:val="24"/>
              </w:rPr>
            </w:pPr>
          </w:p>
        </w:tc>
        <w:tc>
          <w:tcPr>
            <w:tcW w:w="1201" w:type="dxa"/>
            <w:vMerge w:val="continue"/>
            <w:tcBorders>
              <w:left w:val="single" w:color="000000" w:sz="4" w:space="0"/>
              <w:right w:val="single" w:color="000000" w:sz="4" w:space="0"/>
            </w:tcBorders>
            <w:noWrap w:val="0"/>
            <w:vAlign w:val="center"/>
          </w:tcPr>
          <w:p>
            <w:pPr>
              <w:widowControl/>
              <w:spacing w:line="240" w:lineRule="exact"/>
              <w:jc w:val="center"/>
              <w:rPr>
                <w:rFonts w:ascii="宋体" w:hAnsi="宋体" w:eastAsia="宋体" w:cs="宋体"/>
                <w:b/>
                <w:color w:val="000000"/>
                <w:sz w:val="24"/>
              </w:rPr>
            </w:pPr>
          </w:p>
        </w:tc>
        <w:tc>
          <w:tcPr>
            <w:tcW w:w="1929"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严控一般性支出</w:t>
            </w:r>
          </w:p>
        </w:tc>
        <w:tc>
          <w:tcPr>
            <w:tcW w:w="71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5</w:t>
            </w:r>
          </w:p>
        </w:tc>
        <w:tc>
          <w:tcPr>
            <w:tcW w:w="476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部门严控“三公”经费、会议、培训、差旅、办节办展、办公设备购置、信息化建设和运维、课题经费、竞赛活动、规划编制一般性支出情况</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47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noWrap w:val="0"/>
            <w:vAlign w:val="center"/>
          </w:tcPr>
          <w:p>
            <w:pPr>
              <w:widowControl/>
              <w:spacing w:line="240" w:lineRule="exact"/>
              <w:jc w:val="center"/>
              <w:rPr>
                <w:rFonts w:ascii="宋体" w:hAnsi="宋体" w:eastAsia="宋体" w:cs="宋体"/>
                <w:b/>
                <w:color w:val="000000"/>
                <w:sz w:val="24"/>
              </w:rPr>
            </w:pPr>
          </w:p>
        </w:tc>
        <w:tc>
          <w:tcPr>
            <w:tcW w:w="1201"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财务管理</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（10分）</w:t>
            </w:r>
          </w:p>
        </w:tc>
        <w:tc>
          <w:tcPr>
            <w:tcW w:w="1929"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财务管理制度</w:t>
            </w:r>
          </w:p>
        </w:tc>
        <w:tc>
          <w:tcPr>
            <w:tcW w:w="71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部门财务管理制度建立情况</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noWrap w:val="0"/>
            <w:vAlign w:val="center"/>
          </w:tcPr>
          <w:p>
            <w:pPr>
              <w:widowControl/>
              <w:spacing w:line="240" w:lineRule="exact"/>
              <w:jc w:val="center"/>
              <w:rPr>
                <w:rFonts w:ascii="宋体" w:hAnsi="宋体" w:eastAsia="宋体" w:cs="宋体"/>
                <w:b/>
                <w:color w:val="000000"/>
                <w:sz w:val="24"/>
              </w:rPr>
            </w:pPr>
          </w:p>
        </w:tc>
        <w:tc>
          <w:tcPr>
            <w:tcW w:w="1201"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ascii="宋体" w:hAnsi="宋体" w:eastAsia="宋体" w:cs="宋体"/>
                <w:b/>
                <w:color w:val="000000"/>
                <w:sz w:val="24"/>
              </w:rPr>
            </w:pPr>
          </w:p>
        </w:tc>
        <w:tc>
          <w:tcPr>
            <w:tcW w:w="1929"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财务岗位设置</w:t>
            </w:r>
          </w:p>
        </w:tc>
        <w:tc>
          <w:tcPr>
            <w:tcW w:w="71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2</w:t>
            </w:r>
          </w:p>
        </w:tc>
        <w:tc>
          <w:tcPr>
            <w:tcW w:w="476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部门财务岗位设置是否符合相关财务管理制度要求</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w:t>
            </w:r>
          </w:p>
        </w:tc>
        <w:tc>
          <w:tcPr>
            <w:tcW w:w="47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noWrap w:val="0"/>
            <w:vAlign w:val="center"/>
          </w:tcPr>
          <w:p>
            <w:pPr>
              <w:widowControl/>
              <w:spacing w:line="240" w:lineRule="exact"/>
              <w:jc w:val="center"/>
              <w:rPr>
                <w:rFonts w:ascii="宋体" w:hAnsi="宋体" w:eastAsia="宋体" w:cs="宋体"/>
                <w:b/>
                <w:color w:val="000000"/>
                <w:sz w:val="24"/>
              </w:rPr>
            </w:pPr>
          </w:p>
        </w:tc>
        <w:tc>
          <w:tcPr>
            <w:tcW w:w="1201"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ascii="宋体" w:hAnsi="宋体" w:eastAsia="宋体" w:cs="宋体"/>
                <w:b/>
                <w:color w:val="000000"/>
                <w:sz w:val="24"/>
              </w:rPr>
            </w:pPr>
          </w:p>
        </w:tc>
        <w:tc>
          <w:tcPr>
            <w:tcW w:w="1929"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资金使用规范</w:t>
            </w:r>
          </w:p>
        </w:tc>
        <w:tc>
          <w:tcPr>
            <w:tcW w:w="71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部门资金使用是否符合相关财务管理制度规定</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noWrap w:val="0"/>
            <w:vAlign w:val="center"/>
          </w:tcPr>
          <w:p>
            <w:pPr>
              <w:widowControl/>
              <w:spacing w:line="240" w:lineRule="exact"/>
              <w:jc w:val="center"/>
              <w:rPr>
                <w:rFonts w:ascii="宋体" w:hAnsi="宋体" w:eastAsia="宋体" w:cs="宋体"/>
                <w:b/>
                <w:color w:val="000000"/>
                <w:sz w:val="24"/>
              </w:rPr>
            </w:pPr>
          </w:p>
        </w:tc>
        <w:tc>
          <w:tcPr>
            <w:tcW w:w="1201"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资产管理</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（9分）</w:t>
            </w:r>
          </w:p>
        </w:tc>
        <w:tc>
          <w:tcPr>
            <w:tcW w:w="1929"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人均资产变化率</w:t>
            </w:r>
          </w:p>
        </w:tc>
        <w:tc>
          <w:tcPr>
            <w:tcW w:w="71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3</w:t>
            </w:r>
          </w:p>
        </w:tc>
        <w:tc>
          <w:tcPr>
            <w:tcW w:w="476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部门人均资产变化情况</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w:t>
            </w:r>
          </w:p>
        </w:tc>
        <w:tc>
          <w:tcPr>
            <w:tcW w:w="47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noWrap w:val="0"/>
            <w:vAlign w:val="center"/>
          </w:tcPr>
          <w:p>
            <w:pPr>
              <w:widowControl/>
              <w:spacing w:line="240" w:lineRule="exact"/>
              <w:jc w:val="center"/>
              <w:rPr>
                <w:rFonts w:ascii="宋体" w:hAnsi="宋体" w:eastAsia="宋体" w:cs="宋体"/>
                <w:b/>
                <w:color w:val="000000"/>
                <w:sz w:val="24"/>
              </w:rPr>
            </w:pPr>
          </w:p>
        </w:tc>
        <w:tc>
          <w:tcPr>
            <w:tcW w:w="1201"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ascii="宋体" w:hAnsi="宋体" w:eastAsia="宋体" w:cs="宋体"/>
                <w:b/>
                <w:color w:val="000000"/>
                <w:sz w:val="24"/>
              </w:rPr>
            </w:pPr>
          </w:p>
        </w:tc>
        <w:tc>
          <w:tcPr>
            <w:tcW w:w="1929"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资产利用率</w:t>
            </w:r>
          </w:p>
        </w:tc>
        <w:tc>
          <w:tcPr>
            <w:tcW w:w="71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3</w:t>
            </w:r>
          </w:p>
        </w:tc>
        <w:tc>
          <w:tcPr>
            <w:tcW w:w="476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部门资产超最低使用年限情况</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w:t>
            </w:r>
          </w:p>
        </w:tc>
        <w:tc>
          <w:tcPr>
            <w:tcW w:w="47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noWrap w:val="0"/>
            <w:vAlign w:val="center"/>
          </w:tcPr>
          <w:p>
            <w:pPr>
              <w:widowControl/>
              <w:spacing w:line="240" w:lineRule="exact"/>
              <w:jc w:val="center"/>
              <w:textAlignment w:val="center"/>
              <w:rPr>
                <w:rFonts w:ascii="宋体" w:hAnsi="宋体" w:eastAsia="宋体" w:cs="宋体"/>
                <w:b/>
                <w:color w:val="000000"/>
                <w:sz w:val="24"/>
              </w:rPr>
            </w:pPr>
          </w:p>
        </w:tc>
        <w:tc>
          <w:tcPr>
            <w:tcW w:w="1201"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资产管理</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（9分）</w:t>
            </w:r>
          </w:p>
        </w:tc>
        <w:tc>
          <w:tcPr>
            <w:tcW w:w="1929"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资产盘活率</w:t>
            </w:r>
          </w:p>
        </w:tc>
        <w:tc>
          <w:tcPr>
            <w:tcW w:w="71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3</w:t>
            </w:r>
          </w:p>
        </w:tc>
        <w:tc>
          <w:tcPr>
            <w:tcW w:w="476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部门闲置一年以上的资产盘活情况</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w:t>
            </w:r>
          </w:p>
        </w:tc>
        <w:tc>
          <w:tcPr>
            <w:tcW w:w="47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noWrap w:val="0"/>
            <w:vAlign w:val="center"/>
          </w:tcPr>
          <w:p>
            <w:pPr>
              <w:widowControl/>
              <w:spacing w:line="240" w:lineRule="exact"/>
              <w:jc w:val="center"/>
              <w:rPr>
                <w:rFonts w:ascii="宋体" w:hAnsi="宋体" w:eastAsia="宋体" w:cs="宋体"/>
                <w:b/>
                <w:color w:val="000000"/>
                <w:sz w:val="24"/>
              </w:rPr>
            </w:pPr>
          </w:p>
        </w:tc>
        <w:tc>
          <w:tcPr>
            <w:tcW w:w="1201"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采购管理</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（6分）</w:t>
            </w:r>
          </w:p>
        </w:tc>
        <w:tc>
          <w:tcPr>
            <w:tcW w:w="1929"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支持中小企业发展</w:t>
            </w:r>
          </w:p>
        </w:tc>
        <w:tc>
          <w:tcPr>
            <w:tcW w:w="71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3</w:t>
            </w:r>
          </w:p>
        </w:tc>
        <w:tc>
          <w:tcPr>
            <w:tcW w:w="476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部门是否严格执行政府采购促进中小企业发展相关管理办法</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w:t>
            </w:r>
          </w:p>
        </w:tc>
        <w:tc>
          <w:tcPr>
            <w:tcW w:w="47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176" w:hRule="atLeast"/>
          <w:jc w:val="center"/>
        </w:trPr>
        <w:tc>
          <w:tcPr>
            <w:tcW w:w="1097" w:type="dxa"/>
            <w:vMerge w:val="continue"/>
            <w:tcBorders>
              <w:left w:val="single" w:color="000000" w:sz="4" w:space="0"/>
              <w:bottom w:val="single" w:color="000000" w:sz="4" w:space="0"/>
              <w:right w:val="single" w:color="000000" w:sz="4" w:space="0"/>
            </w:tcBorders>
            <w:noWrap w:val="0"/>
            <w:vAlign w:val="center"/>
          </w:tcPr>
          <w:p>
            <w:pPr>
              <w:widowControl/>
              <w:spacing w:line="240" w:lineRule="exact"/>
              <w:jc w:val="center"/>
              <w:rPr>
                <w:rFonts w:ascii="宋体" w:hAnsi="宋体" w:eastAsia="宋体" w:cs="宋体"/>
                <w:b/>
                <w:color w:val="000000"/>
                <w:sz w:val="24"/>
              </w:rPr>
            </w:pPr>
          </w:p>
        </w:tc>
        <w:tc>
          <w:tcPr>
            <w:tcW w:w="1201"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ascii="宋体" w:hAnsi="宋体" w:eastAsia="宋体" w:cs="宋体"/>
                <w:b/>
                <w:color w:val="000000"/>
                <w:sz w:val="24"/>
              </w:rPr>
            </w:pPr>
          </w:p>
        </w:tc>
        <w:tc>
          <w:tcPr>
            <w:tcW w:w="1929"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采购执行率</w:t>
            </w:r>
          </w:p>
        </w:tc>
        <w:tc>
          <w:tcPr>
            <w:tcW w:w="71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3</w:t>
            </w:r>
          </w:p>
        </w:tc>
        <w:tc>
          <w:tcPr>
            <w:tcW w:w="476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部门政府采购项目资金支付比例情况</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w:t>
            </w:r>
          </w:p>
        </w:tc>
        <w:tc>
          <w:tcPr>
            <w:tcW w:w="47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23" w:hRule="atLeast"/>
          <w:jc w:val="center"/>
        </w:trPr>
        <w:tc>
          <w:tcPr>
            <w:tcW w:w="1097"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项目绩效（35分）</w:t>
            </w:r>
          </w:p>
        </w:tc>
        <w:tc>
          <w:tcPr>
            <w:tcW w:w="1201" w:type="dxa"/>
            <w:vMerge w:val="restart"/>
            <w:tcBorders>
              <w:top w:val="single" w:color="000000" w:sz="4" w:space="0"/>
              <w:left w:val="single" w:color="000000" w:sz="4" w:space="0"/>
              <w:bottom w:val="nil"/>
              <w:right w:val="single" w:color="000000" w:sz="4" w:space="0"/>
            </w:tcBorders>
            <w:noWrap w:val="0"/>
            <w:vAlign w:val="center"/>
          </w:tcPr>
          <w:p>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项目决策</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（12分）</w:t>
            </w:r>
          </w:p>
        </w:tc>
        <w:tc>
          <w:tcPr>
            <w:tcW w:w="1929"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决策程序</w:t>
            </w:r>
          </w:p>
        </w:tc>
        <w:tc>
          <w:tcPr>
            <w:tcW w:w="71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部门预算项目设立是否按规定履行评估论证、申报程序</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ascii="宋体" w:hAnsi="宋体" w:eastAsia="宋体" w:cs="宋体"/>
                <w:b/>
                <w:color w:val="000000"/>
                <w:sz w:val="24"/>
              </w:rPr>
            </w:pPr>
          </w:p>
        </w:tc>
        <w:tc>
          <w:tcPr>
            <w:tcW w:w="1201" w:type="dxa"/>
            <w:vMerge w:val="continue"/>
            <w:tcBorders>
              <w:top w:val="single" w:color="000000" w:sz="4" w:space="0"/>
              <w:left w:val="single" w:color="000000" w:sz="4" w:space="0"/>
              <w:bottom w:val="nil"/>
              <w:right w:val="single" w:color="000000" w:sz="4" w:space="0"/>
            </w:tcBorders>
            <w:noWrap w:val="0"/>
            <w:vAlign w:val="center"/>
          </w:tcPr>
          <w:p>
            <w:pPr>
              <w:widowControl/>
              <w:spacing w:line="240" w:lineRule="exact"/>
              <w:jc w:val="center"/>
              <w:rPr>
                <w:rFonts w:ascii="宋体" w:hAnsi="宋体" w:eastAsia="宋体" w:cs="宋体"/>
                <w:b/>
                <w:color w:val="000000"/>
                <w:sz w:val="24"/>
              </w:rPr>
            </w:pPr>
          </w:p>
        </w:tc>
        <w:tc>
          <w:tcPr>
            <w:tcW w:w="1929"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目标设置</w:t>
            </w:r>
          </w:p>
        </w:tc>
        <w:tc>
          <w:tcPr>
            <w:tcW w:w="71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部门预算项目绩效目标与计划期内的任务量、预算安排的资金量匹配情况，绩效目标设置是否科学合理、规范完整、量化细化、预算匹配</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ascii="宋体" w:hAnsi="宋体" w:eastAsia="宋体" w:cs="宋体"/>
                <w:b/>
                <w:color w:val="000000"/>
                <w:sz w:val="24"/>
              </w:rPr>
            </w:pPr>
          </w:p>
        </w:tc>
        <w:tc>
          <w:tcPr>
            <w:tcW w:w="1201" w:type="dxa"/>
            <w:vMerge w:val="continue"/>
            <w:tcBorders>
              <w:top w:val="single" w:color="000000" w:sz="4" w:space="0"/>
              <w:left w:val="single" w:color="000000" w:sz="4" w:space="0"/>
              <w:bottom w:val="nil"/>
              <w:right w:val="single" w:color="000000" w:sz="4" w:space="0"/>
            </w:tcBorders>
            <w:noWrap w:val="0"/>
            <w:vAlign w:val="center"/>
          </w:tcPr>
          <w:p>
            <w:pPr>
              <w:widowControl/>
              <w:spacing w:line="240" w:lineRule="exact"/>
              <w:jc w:val="center"/>
              <w:rPr>
                <w:rFonts w:ascii="宋体" w:hAnsi="宋体" w:eastAsia="宋体" w:cs="宋体"/>
                <w:b/>
                <w:color w:val="000000"/>
                <w:sz w:val="24"/>
              </w:rPr>
            </w:pPr>
          </w:p>
        </w:tc>
        <w:tc>
          <w:tcPr>
            <w:tcW w:w="1929"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项目入库</w:t>
            </w:r>
          </w:p>
        </w:tc>
        <w:tc>
          <w:tcPr>
            <w:tcW w:w="71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部门预算项目是否在规定时间完成项目入库</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ascii="宋体" w:hAnsi="宋体" w:eastAsia="宋体" w:cs="宋体"/>
                <w:b/>
                <w:color w:val="000000"/>
                <w:sz w:val="24"/>
              </w:rPr>
            </w:pPr>
          </w:p>
        </w:tc>
        <w:tc>
          <w:tcPr>
            <w:tcW w:w="1201" w:type="dxa"/>
            <w:vMerge w:val="restart"/>
            <w:tcBorders>
              <w:top w:val="single" w:color="000000" w:sz="4" w:space="0"/>
              <w:left w:val="single" w:color="000000" w:sz="4" w:space="0"/>
              <w:bottom w:val="nil"/>
              <w:right w:val="single" w:color="000000" w:sz="4" w:space="0"/>
            </w:tcBorders>
            <w:noWrap w:val="0"/>
            <w:vAlign w:val="center"/>
          </w:tcPr>
          <w:p>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项目执行</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（12分）</w:t>
            </w:r>
          </w:p>
        </w:tc>
        <w:tc>
          <w:tcPr>
            <w:tcW w:w="1929"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执行同向</w:t>
            </w:r>
          </w:p>
        </w:tc>
        <w:tc>
          <w:tcPr>
            <w:tcW w:w="71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部门预算项目实际列支内容是否与绩效目标设置方向相符</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ascii="宋体" w:hAnsi="宋体" w:eastAsia="宋体" w:cs="宋体"/>
                <w:b/>
                <w:color w:val="000000"/>
                <w:sz w:val="24"/>
              </w:rPr>
            </w:pPr>
          </w:p>
        </w:tc>
        <w:tc>
          <w:tcPr>
            <w:tcW w:w="1201" w:type="dxa"/>
            <w:vMerge w:val="continue"/>
            <w:tcBorders>
              <w:top w:val="single" w:color="000000" w:sz="4" w:space="0"/>
              <w:left w:val="single" w:color="000000" w:sz="4" w:space="0"/>
              <w:bottom w:val="nil"/>
              <w:right w:val="single" w:color="000000" w:sz="4" w:space="0"/>
            </w:tcBorders>
            <w:noWrap w:val="0"/>
            <w:vAlign w:val="center"/>
          </w:tcPr>
          <w:p>
            <w:pPr>
              <w:widowControl/>
              <w:spacing w:line="240" w:lineRule="exact"/>
              <w:jc w:val="center"/>
              <w:rPr>
                <w:rFonts w:ascii="宋体" w:hAnsi="宋体" w:eastAsia="宋体" w:cs="宋体"/>
                <w:b/>
                <w:color w:val="000000"/>
                <w:sz w:val="24"/>
              </w:rPr>
            </w:pPr>
          </w:p>
        </w:tc>
        <w:tc>
          <w:tcPr>
            <w:tcW w:w="1929" w:type="dxa"/>
            <w:tcBorders>
              <w:top w:val="single" w:color="000000" w:sz="4" w:space="0"/>
              <w:left w:val="single" w:color="000000" w:sz="4" w:space="0"/>
              <w:bottom w:val="nil"/>
              <w:right w:val="single" w:color="000000" w:sz="4" w:space="0"/>
            </w:tcBorders>
            <w:noWrap w:val="0"/>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项目调整</w:t>
            </w:r>
          </w:p>
        </w:tc>
        <w:tc>
          <w:tcPr>
            <w:tcW w:w="71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部门预算项目是否采取对应调整措施</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w:t>
            </w:r>
          </w:p>
        </w:tc>
        <w:tc>
          <w:tcPr>
            <w:tcW w:w="47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ascii="宋体" w:hAnsi="宋体" w:eastAsia="宋体" w:cs="宋体"/>
                <w:b/>
                <w:color w:val="000000"/>
                <w:sz w:val="24"/>
              </w:rPr>
            </w:pPr>
          </w:p>
        </w:tc>
        <w:tc>
          <w:tcPr>
            <w:tcW w:w="1201" w:type="dxa"/>
            <w:vMerge w:val="continue"/>
            <w:tcBorders>
              <w:top w:val="single" w:color="000000" w:sz="4" w:space="0"/>
              <w:left w:val="single" w:color="000000" w:sz="4" w:space="0"/>
              <w:bottom w:val="nil"/>
              <w:right w:val="single" w:color="000000" w:sz="4" w:space="0"/>
            </w:tcBorders>
            <w:noWrap w:val="0"/>
            <w:vAlign w:val="center"/>
          </w:tcPr>
          <w:p>
            <w:pPr>
              <w:widowControl/>
              <w:spacing w:line="240" w:lineRule="exact"/>
              <w:jc w:val="center"/>
              <w:rPr>
                <w:rFonts w:ascii="宋体" w:hAnsi="宋体" w:eastAsia="宋体" w:cs="宋体"/>
                <w:b/>
                <w:color w:val="000000"/>
                <w:sz w:val="24"/>
              </w:rPr>
            </w:pPr>
          </w:p>
        </w:tc>
        <w:tc>
          <w:tcPr>
            <w:tcW w:w="1929"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执行结果</w:t>
            </w:r>
          </w:p>
        </w:tc>
        <w:tc>
          <w:tcPr>
            <w:tcW w:w="71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部门预算项目预算执行情况</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ascii="宋体" w:hAnsi="宋体" w:eastAsia="宋体" w:cs="宋体"/>
                <w:b/>
                <w:color w:val="000000"/>
                <w:sz w:val="24"/>
              </w:rPr>
            </w:pPr>
          </w:p>
        </w:tc>
        <w:tc>
          <w:tcPr>
            <w:tcW w:w="1201"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目标实现</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（11分）</w:t>
            </w:r>
          </w:p>
        </w:tc>
        <w:tc>
          <w:tcPr>
            <w:tcW w:w="1929"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目标完成</w:t>
            </w:r>
          </w:p>
        </w:tc>
        <w:tc>
          <w:tcPr>
            <w:tcW w:w="71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部门预算项目绩效目标数量指标完成情况</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w:t>
            </w:r>
          </w:p>
        </w:tc>
        <w:tc>
          <w:tcPr>
            <w:tcW w:w="47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ascii="宋体" w:hAnsi="宋体" w:eastAsia="宋体" w:cs="宋体"/>
                <w:b/>
                <w:color w:val="000000"/>
                <w:sz w:val="24"/>
              </w:rPr>
            </w:pPr>
          </w:p>
        </w:tc>
        <w:tc>
          <w:tcPr>
            <w:tcW w:w="1201"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ascii="宋体" w:hAnsi="宋体" w:eastAsia="宋体" w:cs="宋体"/>
                <w:b/>
                <w:color w:val="000000"/>
                <w:sz w:val="24"/>
              </w:rPr>
            </w:pPr>
          </w:p>
        </w:tc>
        <w:tc>
          <w:tcPr>
            <w:tcW w:w="1929"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目标偏离</w:t>
            </w:r>
          </w:p>
        </w:tc>
        <w:tc>
          <w:tcPr>
            <w:tcW w:w="71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部门预算项目绩效目标数量指标实现程度与预期目标的偏离情况</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w:t>
            </w:r>
          </w:p>
        </w:tc>
        <w:tc>
          <w:tcPr>
            <w:tcW w:w="47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ascii="宋体" w:hAnsi="宋体" w:eastAsia="宋体" w:cs="宋体"/>
                <w:b/>
                <w:color w:val="000000"/>
                <w:sz w:val="24"/>
              </w:rPr>
            </w:pPr>
          </w:p>
        </w:tc>
        <w:tc>
          <w:tcPr>
            <w:tcW w:w="1201"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rPr>
                <w:rFonts w:ascii="宋体" w:hAnsi="宋体" w:eastAsia="宋体" w:cs="宋体"/>
                <w:b/>
                <w:color w:val="000000"/>
                <w:sz w:val="24"/>
              </w:rPr>
            </w:pPr>
          </w:p>
        </w:tc>
        <w:tc>
          <w:tcPr>
            <w:tcW w:w="1929"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实现效果</w:t>
            </w:r>
          </w:p>
        </w:tc>
        <w:tc>
          <w:tcPr>
            <w:tcW w:w="71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3</w:t>
            </w:r>
          </w:p>
        </w:tc>
        <w:tc>
          <w:tcPr>
            <w:tcW w:w="476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部门预算项目绩效目标效益指标实施效果</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w:t>
            </w:r>
          </w:p>
        </w:tc>
        <w:tc>
          <w:tcPr>
            <w:tcW w:w="47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23" w:hRule="atLeast"/>
          <w:jc w:val="center"/>
        </w:trPr>
        <w:tc>
          <w:tcPr>
            <w:tcW w:w="109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扣分项</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（10分）</w:t>
            </w:r>
          </w:p>
        </w:tc>
        <w:tc>
          <w:tcPr>
            <w:tcW w:w="3130"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被评价部门配合度</w:t>
            </w:r>
          </w:p>
        </w:tc>
        <w:tc>
          <w:tcPr>
            <w:tcW w:w="71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w:t>
            </w:r>
          </w:p>
        </w:tc>
        <w:tc>
          <w:tcPr>
            <w:tcW w:w="476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被评价对象工作配合情况</w:t>
            </w:r>
          </w:p>
        </w:tc>
        <w:tc>
          <w:tcPr>
            <w:tcW w:w="730"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88</w:t>
            </w:r>
          </w:p>
        </w:tc>
        <w:tc>
          <w:tcPr>
            <w:tcW w:w="47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240" w:lineRule="exact"/>
              <w:jc w:val="left"/>
              <w:textAlignment w:val="center"/>
              <w:rPr>
                <w:rFonts w:ascii="宋体" w:hAnsi="宋体" w:eastAsia="宋体" w:cs="宋体"/>
                <w:color w:val="000000"/>
                <w:kern w:val="0"/>
                <w:sz w:val="24"/>
              </w:rPr>
            </w:pPr>
          </w:p>
        </w:tc>
      </w:tr>
    </w:tbl>
    <w:p>
      <w:pPr>
        <w:pStyle w:val="2"/>
        <w:rPr>
          <w:rFonts w:hint="eastAsia" w:ascii="黑体" w:hAnsi="黑体" w:eastAsia="黑体" w:cs="黑体"/>
          <w:b w:val="0"/>
          <w:bCs w:val="0"/>
          <w:color w:val="auto"/>
          <w:kern w:val="0"/>
          <w:sz w:val="32"/>
          <w:szCs w:val="32"/>
          <w:highlight w:val="none"/>
          <w:shd w:val="clear" w:color="auto" w:fill="FFFFFF"/>
          <w:lang w:val="zh-CN"/>
        </w:rPr>
      </w:pPr>
    </w:p>
    <w:p>
      <w:pPr>
        <w:pStyle w:val="2"/>
        <w:rPr>
          <w:rFonts w:hint="eastAsia" w:ascii="黑体" w:hAnsi="黑体" w:eastAsia="黑体" w:cs="黑体"/>
          <w:b w:val="0"/>
          <w:bCs w:val="0"/>
          <w:color w:val="000000" w:themeColor="text1"/>
          <w:kern w:val="0"/>
          <w:sz w:val="32"/>
          <w:szCs w:val="32"/>
          <w:highlight w:val="none"/>
          <w:shd w:val="clear" w:color="auto" w:fill="FFFFFF"/>
          <w:lang w:val="zh-CN"/>
          <w14:textFill>
            <w14:solidFill>
              <w14:schemeClr w14:val="tx1"/>
            </w14:solidFill>
          </w14:textFill>
        </w:rPr>
      </w:pPr>
    </w:p>
    <w:p>
      <w:pPr>
        <w:pStyle w:val="2"/>
        <w:rPr>
          <w:rFonts w:ascii="仿宋_GB2312" w:hAnsi="仿宋_GB2312" w:eastAsia="仿宋_GB2312" w:cs="仿宋_GB2312"/>
          <w:color w:val="000000" w:themeColor="text1"/>
          <w:sz w:val="32"/>
          <w:szCs w:val="32"/>
          <w:highlight w:val="yellow"/>
          <w14:textFill>
            <w14:solidFill>
              <w14:schemeClr w14:val="tx1"/>
            </w14:solidFill>
          </w14:textFill>
        </w:rPr>
      </w:pPr>
      <w:r>
        <w:rPr>
          <w:rFonts w:hint="eastAsia" w:ascii="黑体" w:hAnsi="黑体" w:eastAsia="黑体" w:cs="黑体"/>
          <w:b w:val="0"/>
          <w:bCs w:val="0"/>
          <w:color w:val="000000" w:themeColor="text1"/>
          <w:kern w:val="0"/>
          <w:sz w:val="32"/>
          <w:szCs w:val="32"/>
          <w:highlight w:val="none"/>
          <w:shd w:val="clear" w:color="auto" w:fill="FFFFFF"/>
          <w:lang w:val="zh-CN"/>
          <w14:textFill>
            <w14:solidFill>
              <w14:schemeClr w14:val="tx1"/>
            </w14:solidFill>
          </w14:textFill>
        </w:rPr>
        <w:t>附件</w:t>
      </w:r>
      <w:r>
        <w:rPr>
          <w:rFonts w:hint="eastAsia" w:ascii="黑体" w:hAnsi="黑体" w:eastAsia="黑体" w:cs="黑体"/>
          <w:b w:val="0"/>
          <w:bCs w:val="0"/>
          <w:color w:val="000000" w:themeColor="text1"/>
          <w:kern w:val="0"/>
          <w:sz w:val="32"/>
          <w:szCs w:val="32"/>
          <w:highlight w:val="none"/>
          <w:shd w:val="clear" w:color="auto" w:fill="FFFFFF"/>
          <w:lang w:val="en-US" w:eastAsia="zh-CN"/>
          <w14:textFill>
            <w14:solidFill>
              <w14:schemeClr w14:val="tx1"/>
            </w14:solidFill>
          </w14:textFill>
        </w:rPr>
        <w:t>2</w:t>
      </w:r>
    </w:p>
    <w:p>
      <w:pPr>
        <w:pStyle w:val="3"/>
        <w:pageBreakBefore w:val="0"/>
        <w:kinsoku/>
        <w:wordWrap/>
        <w:overflowPunct/>
        <w:topLinePunct w:val="0"/>
        <w:bidi w:val="0"/>
        <w:spacing w:before="0" w:after="0" w:line="560" w:lineRule="exact"/>
        <w:ind w:left="0" w:leftChars="0"/>
        <w:jc w:val="center"/>
        <w:rPr>
          <w:rFonts w:hint="eastAsia" w:ascii="方正小标宋_GBK" w:hAnsi="方正小标宋_GBK" w:eastAsia="方正小标宋_GBK" w:cs="方正小标宋_GBK"/>
          <w:b w:val="0"/>
          <w:bCs w:val="0"/>
          <w:color w:val="000000" w:themeColor="text1"/>
          <w:lang w:val="zh-CN"/>
          <w14:textFill>
            <w14:solidFill>
              <w14:schemeClr w14:val="tx1"/>
            </w14:solidFill>
          </w14:textFill>
        </w:rPr>
      </w:pPr>
      <w:bookmarkStart w:id="26" w:name="_Toc15160"/>
      <w:r>
        <w:rPr>
          <w:rFonts w:hint="eastAsia" w:ascii="方正小标宋_GBK" w:hAnsi="方正小标宋_GBK" w:eastAsia="方正小标宋_GBK" w:cs="方正小标宋_GBK"/>
          <w:b w:val="0"/>
          <w:bCs w:val="0"/>
          <w:color w:val="000000" w:themeColor="text1"/>
          <w:lang w:eastAsia="zh-CN"/>
          <w14:textFill>
            <w14:solidFill>
              <w14:schemeClr w14:val="tx1"/>
            </w14:solidFill>
          </w14:textFill>
        </w:rPr>
        <w:t>壤塘县尕多乡项目20</w:t>
      </w:r>
      <w:r>
        <w:rPr>
          <w:rFonts w:hint="eastAsia" w:ascii="方正小标宋_GBK" w:hAnsi="方正小标宋_GBK" w:eastAsia="方正小标宋_GBK" w:cs="方正小标宋_GBK"/>
          <w:b w:val="0"/>
          <w:bCs w:val="0"/>
          <w:color w:val="000000" w:themeColor="text1"/>
          <w:lang w:val="en-US" w:eastAsia="zh-CN"/>
          <w14:textFill>
            <w14:solidFill>
              <w14:schemeClr w14:val="tx1"/>
            </w14:solidFill>
          </w14:textFill>
        </w:rPr>
        <w:t>25</w:t>
      </w:r>
      <w:r>
        <w:rPr>
          <w:rFonts w:hint="eastAsia" w:ascii="方正小标宋_GBK" w:hAnsi="方正小标宋_GBK" w:eastAsia="方正小标宋_GBK" w:cs="方正小标宋_GBK"/>
          <w:b w:val="0"/>
          <w:bCs w:val="0"/>
          <w:color w:val="000000" w:themeColor="text1"/>
          <w14:textFill>
            <w14:solidFill>
              <w14:schemeClr w14:val="tx1"/>
            </w14:solidFill>
          </w14:textFill>
        </w:rPr>
        <w:t>年</w:t>
      </w:r>
      <w:r>
        <w:rPr>
          <w:rFonts w:hint="eastAsia" w:ascii="方正小标宋_GBK" w:hAnsi="方正小标宋_GBK" w:eastAsia="方正小标宋_GBK" w:cs="方正小标宋_GBK"/>
          <w:b w:val="0"/>
          <w:bCs w:val="0"/>
          <w:color w:val="000000" w:themeColor="text1"/>
          <w:lang w:val="zh-CN"/>
          <w14:textFill>
            <w14:solidFill>
              <w14:schemeClr w14:val="tx1"/>
            </w14:solidFill>
          </w14:textFill>
        </w:rPr>
        <w:t>绩效评价报告</w:t>
      </w:r>
      <w:bookmarkEnd w:id="26"/>
    </w:p>
    <w:p>
      <w:pPr>
        <w:pStyle w:val="5"/>
        <w:pageBreakBefore w:val="0"/>
        <w:kinsoku/>
        <w:wordWrap/>
        <w:overflowPunct/>
        <w:topLinePunct w:val="0"/>
        <w:bidi w:val="0"/>
        <w:spacing w:before="0" w:after="0" w:line="560" w:lineRule="exact"/>
        <w:rPr>
          <w:rFonts w:hint="eastAsia" w:ascii="黑体" w:hAnsi="黑体" w:eastAsia="黑体" w:cs="黑体"/>
          <w:b w:val="0"/>
          <w:bCs w:val="0"/>
          <w:color w:val="0000FF"/>
        </w:rPr>
      </w:pPr>
      <w:bookmarkStart w:id="27" w:name="_Toc6699"/>
    </w:p>
    <w:p>
      <w:pPr>
        <w:pStyle w:val="5"/>
        <w:pageBreakBefore w:val="0"/>
        <w:kinsoku/>
        <w:wordWrap/>
        <w:overflowPunct/>
        <w:topLinePunct w:val="0"/>
        <w:bidi w:val="0"/>
        <w:spacing w:before="0" w:after="0" w:line="560" w:lineRule="exact"/>
        <w:rPr>
          <w:rFonts w:hint="eastAsia" w:ascii="黑体" w:hAnsi="黑体" w:eastAsia="黑体" w:cs="黑体"/>
          <w:b w:val="0"/>
          <w:bCs w:val="0"/>
          <w:color w:val="000000" w:themeColor="text1"/>
          <w:lang w:val="zh-CN"/>
          <w14:textFill>
            <w14:solidFill>
              <w14:schemeClr w14:val="tx1"/>
            </w14:solidFill>
          </w14:textFill>
        </w:rPr>
      </w:pPr>
      <w:r>
        <w:rPr>
          <w:rFonts w:hint="eastAsia" w:ascii="黑体" w:hAnsi="黑体" w:eastAsia="黑体" w:cs="黑体"/>
          <w:b w:val="0"/>
          <w:bCs w:val="0"/>
          <w:color w:val="000000" w:themeColor="text1"/>
          <w14:textFill>
            <w14:solidFill>
              <w14:schemeClr w14:val="tx1"/>
            </w14:solidFill>
          </w14:textFill>
        </w:rPr>
        <w:t>一、</w:t>
      </w:r>
      <w:r>
        <w:rPr>
          <w:rFonts w:hint="eastAsia" w:ascii="黑体" w:hAnsi="黑体" w:eastAsia="黑体" w:cs="黑体"/>
          <w:b w:val="0"/>
          <w:bCs w:val="0"/>
          <w:color w:val="000000" w:themeColor="text1"/>
          <w:lang w:val="zh-CN"/>
          <w14:textFill>
            <w14:solidFill>
              <w14:schemeClr w14:val="tx1"/>
            </w14:solidFill>
          </w14:textFill>
        </w:rPr>
        <w:t>项目概况</w:t>
      </w:r>
      <w:bookmarkEnd w:id="27"/>
    </w:p>
    <w:p>
      <w:pPr>
        <w:pStyle w:val="5"/>
        <w:pageBreakBefore w:val="0"/>
        <w:kinsoku/>
        <w:wordWrap/>
        <w:overflowPunct/>
        <w:topLinePunct w:val="0"/>
        <w:bidi w:val="0"/>
        <w:spacing w:before="0" w:after="0" w:line="560" w:lineRule="exact"/>
        <w:ind w:left="0" w:leftChars="0" w:firstLine="642" w:firstLineChars="200"/>
        <w:rPr>
          <w:rFonts w:hint="eastAsia" w:ascii="楷体_GB2312" w:hAnsi="楷体_GB2312" w:eastAsia="楷体_GB2312" w:cs="楷体_GB2312"/>
          <w:color w:val="000000" w:themeColor="text1"/>
          <w:lang w:val="zh-CN"/>
          <w14:textFill>
            <w14:solidFill>
              <w14:schemeClr w14:val="tx1"/>
            </w14:solidFill>
          </w14:textFill>
        </w:rPr>
      </w:pPr>
      <w:r>
        <w:rPr>
          <w:rFonts w:hint="eastAsia" w:ascii="楷体_GB2312" w:hAnsi="楷体_GB2312" w:eastAsia="楷体_GB2312" w:cs="楷体_GB2312"/>
          <w:color w:val="000000" w:themeColor="text1"/>
          <w:lang w:val="zh-CN"/>
          <w14:textFill>
            <w14:solidFill>
              <w14:schemeClr w14:val="tx1"/>
            </w14:solidFill>
          </w14:textFill>
        </w:rPr>
        <w:t>（一）项目基本情况</w:t>
      </w:r>
    </w:p>
    <w:p>
      <w:pPr>
        <w:rPr>
          <w:rFonts w:hint="eastAsia" w:ascii="仿宋_GB2312" w:hAnsi="Calibri" w:eastAsia="仿宋_GB2312" w:cs="仿宋"/>
          <w:color w:val="000000" w:themeColor="text1"/>
          <w:kern w:val="0"/>
          <w:sz w:val="32"/>
          <w:szCs w:val="32"/>
          <w:lang w:val="zh-CN" w:eastAsia="zh-CN" w:bidi="ar-SA"/>
          <w14:textFill>
            <w14:solidFill>
              <w14:schemeClr w14:val="tx1"/>
            </w14:solidFill>
          </w14:textFill>
        </w:rPr>
      </w:pPr>
      <w:r>
        <w:rPr>
          <w:rFonts w:hint="eastAsia" w:ascii="仿宋_GB2312" w:hAnsi="Calibri" w:eastAsia="仿宋_GB2312" w:cs="仿宋"/>
          <w:color w:val="000000" w:themeColor="text1"/>
          <w:kern w:val="0"/>
          <w:sz w:val="32"/>
          <w:szCs w:val="32"/>
          <w:lang w:val="zh-CN" w:eastAsia="zh-CN" w:bidi="ar-SA"/>
          <w14:textFill>
            <w14:solidFill>
              <w14:schemeClr w14:val="tx1"/>
            </w14:solidFill>
          </w14:textFill>
        </w:rPr>
        <w:t>1.</w:t>
      </w:r>
      <w:r>
        <w:rPr>
          <w:rFonts w:hint="eastAsia" w:ascii="方正仿宋_GB2312" w:hAnsi="方正仿宋_GB2312" w:eastAsia="方正仿宋_GB2312" w:cs="方正仿宋_GB2312"/>
          <w:color w:val="000000" w:themeColor="text1"/>
          <w:sz w:val="32"/>
          <w:szCs w:val="32"/>
          <w:lang w:val="en-US" w:eastAsia="zh-CN"/>
          <w14:textFill>
            <w14:solidFill>
              <w14:schemeClr w14:val="tx1"/>
            </w14:solidFill>
          </w14:textFill>
        </w:rPr>
        <w:t>“壤塘县尕多乡标准化种植基地项目”</w:t>
      </w:r>
      <w:r>
        <w:rPr>
          <w:rFonts w:hint="eastAsia" w:ascii="方正仿宋_GB2312" w:hAnsi="方正仿宋_GB2312" w:eastAsia="方正仿宋_GB2312" w:cs="方正仿宋_GB2312"/>
          <w:color w:val="000000" w:themeColor="text1"/>
          <w:sz w:val="32"/>
          <w:szCs w:val="32"/>
          <w:lang w:val="zh-CN" w:eastAsia="zh-CN"/>
          <w14:textFill>
            <w14:solidFill>
              <w14:schemeClr w14:val="tx1"/>
            </w14:solidFill>
          </w14:textFill>
        </w:rPr>
        <w:t>“</w:t>
      </w:r>
      <w:r>
        <w:rPr>
          <w:rFonts w:hint="eastAsia" w:ascii="方正仿宋_GB2312" w:hAnsi="方正仿宋_GB2312" w:eastAsia="方正仿宋_GB2312" w:cs="方正仿宋_GB2312"/>
          <w:color w:val="000000" w:themeColor="text1"/>
          <w:sz w:val="32"/>
          <w:szCs w:val="32"/>
          <w:lang w:val="en-US" w:eastAsia="zh-CN"/>
          <w14:textFill>
            <w14:solidFill>
              <w14:schemeClr w14:val="tx1"/>
            </w14:solidFill>
          </w14:textFill>
        </w:rPr>
        <w:t>壤塘县尕多乡过境路沿线网围栏提升项目”“壤塘县尕多乡奶源路建设项目</w:t>
      </w:r>
      <w:r>
        <w:rPr>
          <w:rFonts w:hint="default" w:ascii="方正仿宋_GB2312" w:hAnsi="方正仿宋_GB2312" w:eastAsia="方正仿宋_GB2312" w:cs="方正仿宋_GB2312"/>
          <w:color w:val="000000" w:themeColor="text1"/>
          <w:sz w:val="32"/>
          <w:szCs w:val="32"/>
          <w:lang w:val="en-US" w:eastAsia="zh-CN"/>
          <w14:textFill>
            <w14:solidFill>
              <w14:schemeClr w14:val="tx1"/>
            </w14:solidFill>
          </w14:textFill>
        </w:rPr>
        <w:t>”</w:t>
      </w:r>
      <w:r>
        <w:rPr>
          <w:rFonts w:hint="eastAsia" w:ascii="方正仿宋_GB2312" w:hAnsi="方正仿宋_GB2312" w:eastAsia="方正仿宋_GB2312" w:cs="方正仿宋_GB2312"/>
          <w:color w:val="000000" w:themeColor="text1"/>
          <w:sz w:val="32"/>
          <w:szCs w:val="32"/>
          <w:lang w:val="en-US" w:eastAsia="zh-CN"/>
          <w14:textFill>
            <w14:solidFill>
              <w14:schemeClr w14:val="tx1"/>
            </w14:solidFill>
          </w14:textFill>
        </w:rPr>
        <w:t>“壤塘县尕多乡刑木达和美乡村农旅产业配套基础设施建设项目</w:t>
      </w:r>
      <w:r>
        <w:rPr>
          <w:rFonts w:hint="default" w:ascii="方正仿宋_GB2312" w:hAnsi="方正仿宋_GB2312" w:eastAsia="方正仿宋_GB2312" w:cs="方正仿宋_GB2312"/>
          <w:color w:val="000000" w:themeColor="text1"/>
          <w:sz w:val="32"/>
          <w:szCs w:val="32"/>
          <w:lang w:val="en-US" w:eastAsia="zh-CN"/>
          <w14:textFill>
            <w14:solidFill>
              <w14:schemeClr w14:val="tx1"/>
            </w14:solidFill>
          </w14:textFill>
        </w:rPr>
        <w:t>”</w:t>
      </w:r>
      <w:r>
        <w:rPr>
          <w:rFonts w:hint="eastAsia" w:ascii="方正仿宋_GB2312" w:hAnsi="方正仿宋_GB2312" w:eastAsia="方正仿宋_GB2312" w:cs="方正仿宋_GB2312"/>
          <w:color w:val="000000" w:themeColor="text1"/>
          <w:sz w:val="32"/>
          <w:szCs w:val="32"/>
          <w:lang w:val="en-US" w:eastAsia="zh-CN"/>
          <w14:textFill>
            <w14:solidFill>
              <w14:schemeClr w14:val="tx1"/>
            </w14:solidFill>
          </w14:textFill>
        </w:rPr>
        <w:t>壤塘县尕多乡瑟谷村生态文化旅游项目</w:t>
      </w:r>
      <w:r>
        <w:rPr>
          <w:rFonts w:hint="default" w:ascii="方正仿宋_GB2312" w:hAnsi="方正仿宋_GB2312" w:eastAsia="方正仿宋_GB2312" w:cs="方正仿宋_GB2312"/>
          <w:color w:val="000000" w:themeColor="text1"/>
          <w:sz w:val="32"/>
          <w:szCs w:val="32"/>
          <w:lang w:val="en-US" w:eastAsia="zh-CN"/>
          <w14:textFill>
            <w14:solidFill>
              <w14:schemeClr w14:val="tx1"/>
            </w14:solidFill>
          </w14:textFill>
        </w:rPr>
        <w:t>”“</w:t>
      </w:r>
      <w:r>
        <w:rPr>
          <w:rFonts w:hint="eastAsia" w:ascii="方正仿宋_GB2312" w:hAnsi="方正仿宋_GB2312" w:eastAsia="方正仿宋_GB2312" w:cs="方正仿宋_GB2312"/>
          <w:color w:val="000000" w:themeColor="text1"/>
          <w:sz w:val="32"/>
          <w:szCs w:val="32"/>
          <w:lang w:val="en-US" w:eastAsia="zh-CN"/>
          <w14:textFill>
            <w14:solidFill>
              <w14:schemeClr w14:val="tx1"/>
            </w14:solidFill>
          </w14:textFill>
        </w:rPr>
        <w:t>壤塘县尕多乡2025年人工饲草种植项目</w:t>
      </w:r>
      <w:r>
        <w:rPr>
          <w:rFonts w:hint="default" w:ascii="方正仿宋_GB2312" w:hAnsi="方正仿宋_GB2312" w:eastAsia="方正仿宋_GB2312" w:cs="方正仿宋_GB2312"/>
          <w:color w:val="000000" w:themeColor="text1"/>
          <w:sz w:val="32"/>
          <w:szCs w:val="32"/>
          <w:lang w:val="en-US" w:eastAsia="zh-CN"/>
          <w14:textFill>
            <w14:solidFill>
              <w14:schemeClr w14:val="tx1"/>
            </w14:solidFill>
          </w14:textFill>
        </w:rPr>
        <w:t>”</w:t>
      </w:r>
      <w:r>
        <w:rPr>
          <w:rFonts w:hint="eastAsia" w:ascii="方正仿宋_GB2312" w:hAnsi="方正仿宋_GB2312" w:eastAsia="方正仿宋_GB2312" w:cs="方正仿宋_GB2312"/>
          <w:color w:val="000000" w:themeColor="text1"/>
          <w:sz w:val="32"/>
          <w:szCs w:val="32"/>
          <w:lang w:val="en-US" w:eastAsia="zh-CN"/>
          <w14:textFill>
            <w14:solidFill>
              <w14:schemeClr w14:val="tx1"/>
            </w14:solidFill>
          </w14:textFill>
        </w:rPr>
        <w:t>六</w:t>
      </w:r>
      <w:r>
        <w:rPr>
          <w:rFonts w:hint="eastAsia" w:ascii="仿宋_GB2312" w:hAnsi="Calibri" w:eastAsia="仿宋_GB2312" w:cs="仿宋"/>
          <w:color w:val="000000" w:themeColor="text1"/>
          <w:kern w:val="0"/>
          <w:sz w:val="32"/>
          <w:szCs w:val="32"/>
          <w:lang w:val="zh-CN" w:eastAsia="zh-CN" w:bidi="ar-SA"/>
          <w14:textFill>
            <w14:solidFill>
              <w14:schemeClr w14:val="tx1"/>
            </w14:solidFill>
          </w14:textFill>
        </w:rPr>
        <w:t>笔项目已立项、符合资金管理办法。</w:t>
      </w:r>
    </w:p>
    <w:p>
      <w:pPr>
        <w:pageBreakBefore w:val="0"/>
        <w:kinsoku/>
        <w:wordWrap/>
        <w:overflowPunct/>
        <w:topLinePunct w:val="0"/>
        <w:bidi w:val="0"/>
        <w:spacing w:line="560" w:lineRule="exact"/>
        <w:ind w:left="0" w:leftChars="0" w:firstLine="640" w:firstLineChars="200"/>
        <w:rPr>
          <w:rFonts w:hint="eastAsia" w:ascii="仿宋_GB2312" w:hAnsi="Calibri" w:eastAsia="仿宋_GB2312" w:cs="仿宋"/>
          <w:color w:val="000000" w:themeColor="text1"/>
          <w:kern w:val="0"/>
          <w:sz w:val="32"/>
          <w:szCs w:val="32"/>
          <w:lang w:val="zh-CN" w:eastAsia="zh-CN" w:bidi="ar-SA"/>
          <w14:textFill>
            <w14:solidFill>
              <w14:schemeClr w14:val="tx1"/>
            </w14:solidFill>
          </w14:textFill>
        </w:rPr>
      </w:pPr>
      <w:r>
        <w:rPr>
          <w:rFonts w:hint="eastAsia" w:ascii="仿宋_GB2312" w:hAnsi="Calibri" w:eastAsia="仿宋_GB2312" w:cs="仿宋"/>
          <w:color w:val="000000" w:themeColor="text1"/>
          <w:kern w:val="0"/>
          <w:sz w:val="32"/>
          <w:szCs w:val="32"/>
          <w:lang w:val="en-US" w:eastAsia="zh-CN" w:bidi="ar-SA"/>
          <w14:textFill>
            <w14:solidFill>
              <w14:schemeClr w14:val="tx1"/>
            </w14:solidFill>
          </w14:textFill>
        </w:rPr>
        <w:t>2.</w:t>
      </w:r>
      <w:r>
        <w:rPr>
          <w:rFonts w:hint="eastAsia" w:ascii="仿宋_GB2312" w:hAnsi="Calibri" w:eastAsia="仿宋_GB2312" w:cs="仿宋"/>
          <w:color w:val="000000" w:themeColor="text1"/>
          <w:kern w:val="0"/>
          <w:sz w:val="32"/>
          <w:szCs w:val="32"/>
          <w:lang w:val="zh-CN" w:eastAsia="zh-CN" w:bidi="ar-SA"/>
          <w14:textFill>
            <w14:solidFill>
              <w14:schemeClr w14:val="tx1"/>
            </w14:solidFill>
          </w14:textFill>
        </w:rPr>
        <w:t>项目资金申报相符性。尕多乡实施的以上</w:t>
      </w:r>
      <w:r>
        <w:rPr>
          <w:rFonts w:hint="eastAsia" w:ascii="仿宋_GB2312" w:eastAsia="仿宋_GB2312" w:cs="仿宋"/>
          <w:color w:val="000000" w:themeColor="text1"/>
          <w:kern w:val="0"/>
          <w:sz w:val="32"/>
          <w:szCs w:val="32"/>
          <w:lang w:val="en-US" w:eastAsia="zh-CN" w:bidi="ar-SA"/>
          <w14:textFill>
            <w14:solidFill>
              <w14:schemeClr w14:val="tx1"/>
            </w14:solidFill>
          </w14:textFill>
        </w:rPr>
        <w:t>6</w:t>
      </w:r>
      <w:r>
        <w:rPr>
          <w:rFonts w:hint="eastAsia" w:ascii="仿宋_GB2312" w:hAnsi="Calibri" w:eastAsia="仿宋_GB2312" w:cs="仿宋"/>
          <w:color w:val="000000" w:themeColor="text1"/>
          <w:kern w:val="0"/>
          <w:sz w:val="32"/>
          <w:szCs w:val="32"/>
          <w:lang w:val="zh-CN" w:eastAsia="zh-CN" w:bidi="ar-SA"/>
          <w14:textFill>
            <w14:solidFill>
              <w14:schemeClr w14:val="tx1"/>
            </w14:solidFill>
          </w14:textFill>
        </w:rPr>
        <w:t>个项目申报内容是与具体实施内容一致、申报目标合理可行，项目资金申报相符，做到了专款专用。</w:t>
      </w:r>
    </w:p>
    <w:p>
      <w:pPr>
        <w:pageBreakBefore w:val="0"/>
        <w:kinsoku/>
        <w:wordWrap/>
        <w:overflowPunct/>
        <w:topLinePunct w:val="0"/>
        <w:bidi w:val="0"/>
        <w:spacing w:line="560" w:lineRule="exact"/>
        <w:ind w:left="0" w:leftChars="0" w:firstLine="640" w:firstLineChars="200"/>
        <w:rPr>
          <w:rFonts w:hint="eastAsia" w:ascii="仿宋_GB2312" w:hAnsi="Calibri" w:eastAsia="仿宋_GB2312" w:cs="仿宋"/>
          <w:color w:val="000000" w:themeColor="text1"/>
          <w:kern w:val="0"/>
          <w:sz w:val="32"/>
          <w:szCs w:val="32"/>
          <w:lang w:val="en-US" w:eastAsia="zh-CN" w:bidi="ar-SA"/>
          <w14:textFill>
            <w14:solidFill>
              <w14:schemeClr w14:val="tx1"/>
            </w14:solidFill>
          </w14:textFill>
        </w:rPr>
      </w:pPr>
      <w:r>
        <w:rPr>
          <w:rFonts w:hint="eastAsia" w:ascii="仿宋_GB2312" w:hAnsi="Calibri" w:eastAsia="仿宋_GB2312" w:cs="仿宋"/>
          <w:color w:val="000000" w:themeColor="text1"/>
          <w:kern w:val="0"/>
          <w:sz w:val="32"/>
          <w:szCs w:val="32"/>
          <w:lang w:val="zh-CN" w:eastAsia="zh-CN" w:bidi="ar-SA"/>
          <w14:textFill>
            <w14:solidFill>
              <w14:schemeClr w14:val="tx1"/>
            </w14:solidFill>
          </w14:textFill>
        </w:rPr>
        <w:t>3．资金计划及到位情况。</w:t>
      </w:r>
    </w:p>
    <w:p>
      <w:pPr>
        <w:ind w:firstLine="320" w:firstLineChars="100"/>
        <w:rPr>
          <w:rFonts w:hint="eastAsia" w:ascii="仿宋_GB2312" w:hAnsi="Calibri" w:eastAsia="仿宋_GB2312" w:cs="仿宋"/>
          <w:color w:val="000000" w:themeColor="text1"/>
          <w:kern w:val="0"/>
          <w:sz w:val="32"/>
          <w:szCs w:val="32"/>
          <w:highlight w:val="none"/>
          <w:lang w:val="zh-CN" w:eastAsia="zh-CN" w:bidi="ar-SA"/>
          <w14:textFill>
            <w14:solidFill>
              <w14:schemeClr w14:val="tx1"/>
            </w14:solidFill>
          </w14:textFill>
        </w:rPr>
      </w:pPr>
      <w:r>
        <w:rPr>
          <w:rFonts w:hint="eastAsia" w:ascii="方正仿宋_GB2312" w:hAnsi="方正仿宋_GB2312" w:eastAsia="方正仿宋_GB2312" w:cs="方正仿宋_GB2312"/>
          <w:sz w:val="32"/>
          <w:szCs w:val="32"/>
          <w:lang w:val="en-US" w:eastAsia="zh-CN"/>
        </w:rPr>
        <w:t>“壤塘县尕多乡标准化种植基地项目</w:t>
      </w:r>
      <w:r>
        <w:rPr>
          <w:rFonts w:hint="eastAsia" w:ascii="方正仿宋_GB2312" w:hAnsi="方正仿宋_GB2312" w:eastAsia="方正仿宋_GB2312" w:cs="方正仿宋_GB2312"/>
          <w:color w:val="000000" w:themeColor="text1"/>
          <w:sz w:val="32"/>
          <w:szCs w:val="32"/>
          <w:highlight w:val="none"/>
          <w:lang w:val="en-US" w:eastAsia="zh-CN"/>
          <w14:textFill>
            <w14:solidFill>
              <w14:schemeClr w14:val="tx1"/>
            </w14:solidFill>
          </w14:textFill>
        </w:rPr>
        <w:t>”</w:t>
      </w:r>
      <w:r>
        <w:rPr>
          <w:rFonts w:hint="eastAsia" w:ascii="仿宋_GB2312" w:hAnsi="Calibri" w:eastAsia="仿宋_GB2312" w:cs="仿宋"/>
          <w:color w:val="000000" w:themeColor="text1"/>
          <w:kern w:val="0"/>
          <w:sz w:val="32"/>
          <w:szCs w:val="32"/>
          <w:highlight w:val="none"/>
          <w:lang w:val="zh-CN" w:eastAsia="zh-CN" w:bidi="ar-SA"/>
          <w14:textFill>
            <w14:solidFill>
              <w14:schemeClr w14:val="tx1"/>
            </w14:solidFill>
          </w14:textFill>
        </w:rPr>
        <w:t>资金计划及到位情况。该项目总投资</w:t>
      </w:r>
      <w:r>
        <w:rPr>
          <w:rFonts w:hint="eastAsia" w:ascii="仿宋_GB2312" w:eastAsia="仿宋_GB2312" w:cs="仿宋"/>
          <w:color w:val="000000" w:themeColor="text1"/>
          <w:kern w:val="0"/>
          <w:sz w:val="32"/>
          <w:szCs w:val="32"/>
          <w:highlight w:val="none"/>
          <w:lang w:val="en-US" w:eastAsia="zh-CN" w:bidi="ar-SA"/>
          <w14:textFill>
            <w14:solidFill>
              <w14:schemeClr w14:val="tx1"/>
            </w14:solidFill>
          </w14:textFill>
        </w:rPr>
        <w:t>610</w:t>
      </w:r>
      <w:r>
        <w:rPr>
          <w:rFonts w:hint="eastAsia" w:ascii="仿宋_GB2312" w:hAnsi="Calibri" w:eastAsia="仿宋_GB2312" w:cs="仿宋"/>
          <w:color w:val="000000" w:themeColor="text1"/>
          <w:kern w:val="0"/>
          <w:sz w:val="32"/>
          <w:szCs w:val="32"/>
          <w:highlight w:val="none"/>
          <w:lang w:val="en-US" w:eastAsia="zh-CN" w:bidi="ar-SA"/>
          <w14:textFill>
            <w14:solidFill>
              <w14:schemeClr w14:val="tx1"/>
            </w14:solidFill>
          </w14:textFill>
        </w:rPr>
        <w:t>万</w:t>
      </w:r>
      <w:r>
        <w:rPr>
          <w:rFonts w:hint="eastAsia" w:ascii="仿宋_GB2312" w:hAnsi="Calibri" w:eastAsia="仿宋_GB2312" w:cs="仿宋"/>
          <w:color w:val="000000" w:themeColor="text1"/>
          <w:kern w:val="0"/>
          <w:sz w:val="32"/>
          <w:szCs w:val="32"/>
          <w:highlight w:val="none"/>
          <w:lang w:val="zh-CN" w:eastAsia="zh-CN" w:bidi="ar-SA"/>
          <w14:textFill>
            <w14:solidFill>
              <w14:schemeClr w14:val="tx1"/>
            </w14:solidFill>
          </w14:textFill>
        </w:rPr>
        <w:t>元，资金来源为</w:t>
      </w:r>
      <w:r>
        <w:rPr>
          <w:rFonts w:hint="eastAsia" w:ascii="仿宋_GB2312" w:hAnsi="Calibri" w:eastAsia="仿宋_GB2312" w:cs="仿宋"/>
          <w:color w:val="000000" w:themeColor="text1"/>
          <w:kern w:val="0"/>
          <w:sz w:val="32"/>
          <w:szCs w:val="32"/>
          <w:highlight w:val="none"/>
          <w:lang w:val="en-US" w:eastAsia="zh-CN" w:bidi="ar-SA"/>
          <w14:textFill>
            <w14:solidFill>
              <w14:schemeClr w14:val="tx1"/>
            </w14:solidFill>
          </w14:textFill>
        </w:rPr>
        <w:t>阿州财农【2024】69号、阿州财资环【2025】23号</w:t>
      </w:r>
      <w:r>
        <w:rPr>
          <w:rFonts w:hint="eastAsia" w:ascii="仿宋_GB2312" w:eastAsia="仿宋_GB2312" w:cs="仿宋"/>
          <w:color w:val="000000" w:themeColor="text1"/>
          <w:kern w:val="0"/>
          <w:sz w:val="32"/>
          <w:szCs w:val="32"/>
          <w:highlight w:val="none"/>
          <w:lang w:val="en-US" w:eastAsia="zh-CN" w:bidi="ar-SA"/>
          <w14:textFill>
            <w14:solidFill>
              <w14:schemeClr w14:val="tx1"/>
            </w14:solidFill>
          </w14:textFill>
        </w:rPr>
        <w:t>等，</w:t>
      </w:r>
      <w:r>
        <w:rPr>
          <w:rFonts w:hint="eastAsia" w:ascii="仿宋_GB2312" w:hAnsi="Calibri" w:eastAsia="仿宋_GB2312" w:cs="仿宋"/>
          <w:color w:val="000000" w:themeColor="text1"/>
          <w:kern w:val="0"/>
          <w:sz w:val="32"/>
          <w:szCs w:val="32"/>
          <w:highlight w:val="none"/>
          <w:lang w:val="zh-CN" w:eastAsia="zh-CN" w:bidi="ar-SA"/>
          <w14:textFill>
            <w14:solidFill>
              <w14:schemeClr w14:val="tx1"/>
            </w14:solidFill>
          </w14:textFill>
        </w:rPr>
        <w:t>该项目实际支付</w:t>
      </w:r>
      <w:r>
        <w:rPr>
          <w:rFonts w:hint="eastAsia" w:ascii="仿宋_GB2312" w:eastAsia="仿宋_GB2312" w:cs="仿宋"/>
          <w:color w:val="000000" w:themeColor="text1"/>
          <w:kern w:val="0"/>
          <w:sz w:val="32"/>
          <w:szCs w:val="32"/>
          <w:highlight w:val="none"/>
          <w:lang w:val="en-US" w:eastAsia="zh-CN" w:bidi="ar-SA"/>
          <w14:textFill>
            <w14:solidFill>
              <w14:schemeClr w14:val="tx1"/>
            </w14:solidFill>
          </w14:textFill>
        </w:rPr>
        <w:t>515.45</w:t>
      </w:r>
      <w:r>
        <w:rPr>
          <w:rFonts w:hint="eastAsia" w:ascii="仿宋_GB2312" w:hAnsi="Calibri" w:eastAsia="仿宋_GB2312" w:cs="仿宋"/>
          <w:color w:val="000000" w:themeColor="text1"/>
          <w:kern w:val="0"/>
          <w:sz w:val="32"/>
          <w:szCs w:val="32"/>
          <w:highlight w:val="none"/>
          <w:lang w:val="en-US" w:eastAsia="zh-CN" w:bidi="ar-SA"/>
          <w14:textFill>
            <w14:solidFill>
              <w14:schemeClr w14:val="tx1"/>
            </w14:solidFill>
          </w14:textFill>
        </w:rPr>
        <w:t>万元</w:t>
      </w:r>
      <w:r>
        <w:rPr>
          <w:rFonts w:hint="eastAsia" w:ascii="仿宋_GB2312" w:hAnsi="Calibri" w:eastAsia="仿宋_GB2312" w:cs="仿宋"/>
          <w:color w:val="000000" w:themeColor="text1"/>
          <w:kern w:val="0"/>
          <w:sz w:val="32"/>
          <w:szCs w:val="32"/>
          <w:highlight w:val="none"/>
          <w:lang w:val="zh-CN" w:eastAsia="zh-CN" w:bidi="ar-SA"/>
          <w14:textFill>
            <w14:solidFill>
              <w14:schemeClr w14:val="tx1"/>
            </w14:solidFill>
          </w14:textFill>
        </w:rPr>
        <w:t>。所有款项的支付合规合法，资金支付与预算相符，结余资金</w:t>
      </w:r>
      <w:r>
        <w:rPr>
          <w:rFonts w:hint="eastAsia" w:ascii="仿宋_GB2312" w:eastAsia="仿宋_GB2312" w:cs="仿宋"/>
          <w:color w:val="000000" w:themeColor="text1"/>
          <w:kern w:val="0"/>
          <w:sz w:val="32"/>
          <w:szCs w:val="32"/>
          <w:highlight w:val="none"/>
          <w:lang w:val="en-US" w:eastAsia="zh-CN" w:bidi="ar-SA"/>
          <w14:textFill>
            <w14:solidFill>
              <w14:schemeClr w14:val="tx1"/>
            </w14:solidFill>
          </w14:textFill>
        </w:rPr>
        <w:t>39.45</w:t>
      </w:r>
      <w:r>
        <w:rPr>
          <w:rFonts w:hint="eastAsia" w:ascii="仿宋_GB2312" w:hAnsi="Calibri" w:eastAsia="仿宋_GB2312" w:cs="仿宋"/>
          <w:color w:val="000000" w:themeColor="text1"/>
          <w:kern w:val="0"/>
          <w:sz w:val="32"/>
          <w:szCs w:val="32"/>
          <w:highlight w:val="none"/>
          <w:lang w:val="en-US" w:eastAsia="zh-CN" w:bidi="ar-SA"/>
          <w14:textFill>
            <w14:solidFill>
              <w14:schemeClr w14:val="tx1"/>
            </w14:solidFill>
          </w14:textFill>
        </w:rPr>
        <w:t>万</w:t>
      </w:r>
      <w:r>
        <w:rPr>
          <w:rFonts w:hint="eastAsia" w:ascii="仿宋_GB2312" w:hAnsi="Calibri" w:eastAsia="仿宋_GB2312" w:cs="仿宋"/>
          <w:color w:val="000000" w:themeColor="text1"/>
          <w:kern w:val="0"/>
          <w:sz w:val="32"/>
          <w:szCs w:val="32"/>
          <w:highlight w:val="none"/>
          <w:lang w:val="zh-CN" w:eastAsia="zh-CN" w:bidi="ar-SA"/>
          <w14:textFill>
            <w14:solidFill>
              <w14:schemeClr w14:val="tx1"/>
            </w14:solidFill>
          </w14:textFill>
        </w:rPr>
        <w:t>元，结余资金</w:t>
      </w:r>
      <w:r>
        <w:rPr>
          <w:rFonts w:hint="eastAsia" w:ascii="仿宋_GB2312" w:eastAsia="仿宋_GB2312" w:cs="仿宋"/>
          <w:color w:val="000000" w:themeColor="text1"/>
          <w:kern w:val="0"/>
          <w:sz w:val="32"/>
          <w:szCs w:val="32"/>
          <w:highlight w:val="none"/>
          <w:lang w:val="en-US" w:eastAsia="zh-CN" w:bidi="ar-SA"/>
          <w14:textFill>
            <w14:solidFill>
              <w14:schemeClr w14:val="tx1"/>
            </w14:solidFill>
          </w14:textFill>
        </w:rPr>
        <w:t>暂时</w:t>
      </w:r>
      <w:r>
        <w:rPr>
          <w:rFonts w:hint="eastAsia" w:ascii="仿宋_GB2312" w:hAnsi="Calibri" w:eastAsia="仿宋_GB2312" w:cs="仿宋"/>
          <w:color w:val="000000" w:themeColor="text1"/>
          <w:kern w:val="0"/>
          <w:sz w:val="32"/>
          <w:szCs w:val="32"/>
          <w:highlight w:val="none"/>
          <w:lang w:val="zh-CN" w:eastAsia="zh-CN" w:bidi="ar-SA"/>
          <w14:textFill>
            <w14:solidFill>
              <w14:schemeClr w14:val="tx1"/>
            </w14:solidFill>
          </w14:textFill>
        </w:rPr>
        <w:t>已退回财政。</w:t>
      </w:r>
    </w:p>
    <w:p>
      <w:pPr>
        <w:ind w:firstLine="320" w:firstLineChars="100"/>
        <w:rPr>
          <w:rFonts w:hint="eastAsia" w:ascii="仿宋_GB2312" w:eastAsia="仿宋_GB2312" w:cs="仿宋"/>
          <w:color w:val="000000" w:themeColor="text1"/>
          <w:kern w:val="0"/>
          <w:sz w:val="32"/>
          <w:szCs w:val="32"/>
          <w:highlight w:val="none"/>
          <w:lang w:val="zh-CN" w:eastAsia="zh-CN" w:bidi="ar-SA"/>
          <w14:textFill>
            <w14:solidFill>
              <w14:schemeClr w14:val="tx1"/>
            </w14:solidFill>
          </w14:textFill>
        </w:rPr>
      </w:pPr>
      <w:r>
        <w:rPr>
          <w:rFonts w:hint="eastAsia" w:ascii="方正仿宋_GB2312" w:hAnsi="方正仿宋_GB2312" w:eastAsia="方正仿宋_GB2312" w:cs="方正仿宋_GB2312"/>
          <w:sz w:val="32"/>
          <w:szCs w:val="32"/>
          <w:lang w:val="zh-CN" w:eastAsia="zh-CN"/>
        </w:rPr>
        <w:t>“</w:t>
      </w:r>
      <w:r>
        <w:rPr>
          <w:rFonts w:hint="eastAsia" w:ascii="方正仿宋_GB2312" w:hAnsi="方正仿宋_GB2312" w:eastAsia="方正仿宋_GB2312" w:cs="方正仿宋_GB2312"/>
          <w:sz w:val="32"/>
          <w:szCs w:val="32"/>
          <w:lang w:val="en-US" w:eastAsia="zh-CN"/>
        </w:rPr>
        <w:t>壤塘县尕多乡过境路沿线网围栏提升项目”</w:t>
      </w:r>
      <w:r>
        <w:rPr>
          <w:rFonts w:hint="eastAsia" w:ascii="仿宋_GB2312" w:hAnsi="Calibri" w:eastAsia="仿宋_GB2312" w:cs="仿宋"/>
          <w:color w:val="000000" w:themeColor="text1"/>
          <w:kern w:val="0"/>
          <w:sz w:val="32"/>
          <w:szCs w:val="32"/>
          <w:highlight w:val="none"/>
          <w:lang w:val="zh-CN" w:eastAsia="zh-CN" w:bidi="ar-SA"/>
          <w14:textFill>
            <w14:solidFill>
              <w14:schemeClr w14:val="tx1"/>
            </w14:solidFill>
          </w14:textFill>
        </w:rPr>
        <w:t>该项目总投资</w:t>
      </w:r>
      <w:r>
        <w:rPr>
          <w:rFonts w:hint="eastAsia" w:ascii="仿宋_GB2312" w:eastAsia="仿宋_GB2312" w:cs="仿宋"/>
          <w:color w:val="000000" w:themeColor="text1"/>
          <w:kern w:val="0"/>
          <w:sz w:val="32"/>
          <w:szCs w:val="32"/>
          <w:highlight w:val="none"/>
          <w:lang w:val="en-US" w:eastAsia="zh-CN" w:bidi="ar-SA"/>
          <w14:textFill>
            <w14:solidFill>
              <w14:schemeClr w14:val="tx1"/>
            </w14:solidFill>
          </w14:textFill>
        </w:rPr>
        <w:t>68</w:t>
      </w:r>
      <w:r>
        <w:rPr>
          <w:rFonts w:hint="eastAsia" w:ascii="仿宋_GB2312" w:hAnsi="Calibri" w:eastAsia="仿宋_GB2312" w:cs="仿宋"/>
          <w:color w:val="000000" w:themeColor="text1"/>
          <w:kern w:val="0"/>
          <w:sz w:val="32"/>
          <w:szCs w:val="32"/>
          <w:highlight w:val="none"/>
          <w:lang w:val="en-US" w:eastAsia="zh-CN" w:bidi="ar-SA"/>
          <w14:textFill>
            <w14:solidFill>
              <w14:schemeClr w14:val="tx1"/>
            </w14:solidFill>
          </w14:textFill>
        </w:rPr>
        <w:t>万</w:t>
      </w:r>
      <w:r>
        <w:rPr>
          <w:rFonts w:hint="eastAsia" w:ascii="仿宋_GB2312" w:hAnsi="Calibri" w:eastAsia="仿宋_GB2312" w:cs="仿宋"/>
          <w:color w:val="000000" w:themeColor="text1"/>
          <w:kern w:val="0"/>
          <w:sz w:val="32"/>
          <w:szCs w:val="32"/>
          <w:highlight w:val="none"/>
          <w:lang w:val="zh-CN" w:eastAsia="zh-CN" w:bidi="ar-SA"/>
          <w14:textFill>
            <w14:solidFill>
              <w14:schemeClr w14:val="tx1"/>
            </w14:solidFill>
          </w14:textFill>
        </w:rPr>
        <w:t>元，资金来源为</w:t>
      </w:r>
      <w:r>
        <w:rPr>
          <w:rFonts w:hint="eastAsia" w:ascii="仿宋_GB2312" w:hAnsi="Calibri" w:eastAsia="仿宋_GB2312" w:cs="仿宋"/>
          <w:color w:val="000000" w:themeColor="text1"/>
          <w:kern w:val="0"/>
          <w:sz w:val="32"/>
          <w:szCs w:val="32"/>
          <w:highlight w:val="none"/>
          <w:lang w:val="en-US" w:eastAsia="zh-CN" w:bidi="ar-SA"/>
          <w14:textFill>
            <w14:solidFill>
              <w14:schemeClr w14:val="tx1"/>
            </w14:solidFill>
          </w14:textFill>
        </w:rPr>
        <w:t>阿州财资环【2025】23号</w:t>
      </w:r>
      <w:r>
        <w:rPr>
          <w:rFonts w:hint="eastAsia" w:ascii="仿宋_GB2312" w:hAnsi="Calibri" w:eastAsia="仿宋_GB2312" w:cs="仿宋"/>
          <w:color w:val="000000" w:themeColor="text1"/>
          <w:kern w:val="0"/>
          <w:sz w:val="32"/>
          <w:szCs w:val="32"/>
          <w:highlight w:val="none"/>
          <w:lang w:val="zh-CN" w:eastAsia="zh-CN" w:bidi="ar-SA"/>
          <w14:textFill>
            <w14:solidFill>
              <w14:schemeClr w14:val="tx1"/>
            </w14:solidFill>
          </w14:textFill>
        </w:rPr>
        <w:t>。该项目实际支付</w:t>
      </w:r>
      <w:r>
        <w:rPr>
          <w:rFonts w:hint="eastAsia" w:ascii="仿宋_GB2312" w:eastAsia="仿宋_GB2312" w:cs="仿宋"/>
          <w:color w:val="000000" w:themeColor="text1"/>
          <w:kern w:val="0"/>
          <w:sz w:val="32"/>
          <w:szCs w:val="32"/>
          <w:highlight w:val="none"/>
          <w:lang w:val="en-US" w:eastAsia="zh-CN" w:bidi="ar-SA"/>
          <w14:textFill>
            <w14:solidFill>
              <w14:schemeClr w14:val="tx1"/>
            </w14:solidFill>
          </w14:textFill>
        </w:rPr>
        <w:t>51.03</w:t>
      </w:r>
      <w:r>
        <w:rPr>
          <w:rFonts w:hint="eastAsia" w:ascii="仿宋_GB2312" w:hAnsi="Calibri" w:eastAsia="仿宋_GB2312" w:cs="仿宋"/>
          <w:color w:val="000000" w:themeColor="text1"/>
          <w:kern w:val="0"/>
          <w:sz w:val="32"/>
          <w:szCs w:val="32"/>
          <w:highlight w:val="none"/>
          <w:lang w:val="en-US" w:eastAsia="zh-CN" w:bidi="ar-SA"/>
          <w14:textFill>
            <w14:solidFill>
              <w14:schemeClr w14:val="tx1"/>
            </w14:solidFill>
          </w14:textFill>
        </w:rPr>
        <w:t>万元</w:t>
      </w:r>
      <w:r>
        <w:rPr>
          <w:rFonts w:hint="eastAsia" w:ascii="仿宋_GB2312" w:hAnsi="Calibri" w:eastAsia="仿宋_GB2312" w:cs="仿宋"/>
          <w:color w:val="000000" w:themeColor="text1"/>
          <w:kern w:val="0"/>
          <w:sz w:val="32"/>
          <w:szCs w:val="32"/>
          <w:highlight w:val="none"/>
          <w:lang w:val="zh-CN" w:eastAsia="zh-CN" w:bidi="ar-SA"/>
          <w14:textFill>
            <w14:solidFill>
              <w14:schemeClr w14:val="tx1"/>
            </w14:solidFill>
          </w14:textFill>
        </w:rPr>
        <w:t>。所有款项的支付合规合法，资金支付与预算相符，结余资金</w:t>
      </w:r>
      <w:r>
        <w:rPr>
          <w:rFonts w:hint="eastAsia" w:ascii="仿宋_GB2312" w:eastAsia="仿宋_GB2312" w:cs="仿宋"/>
          <w:color w:val="000000" w:themeColor="text1"/>
          <w:kern w:val="0"/>
          <w:sz w:val="32"/>
          <w:szCs w:val="32"/>
          <w:highlight w:val="none"/>
          <w:lang w:val="en-US" w:eastAsia="zh-CN" w:bidi="ar-SA"/>
          <w14:textFill>
            <w14:solidFill>
              <w14:schemeClr w14:val="tx1"/>
            </w14:solidFill>
          </w14:textFill>
        </w:rPr>
        <w:t>16.97</w:t>
      </w:r>
      <w:r>
        <w:rPr>
          <w:rFonts w:hint="eastAsia" w:ascii="仿宋_GB2312" w:hAnsi="Calibri" w:eastAsia="仿宋_GB2312" w:cs="仿宋"/>
          <w:color w:val="000000" w:themeColor="text1"/>
          <w:kern w:val="0"/>
          <w:sz w:val="32"/>
          <w:szCs w:val="32"/>
          <w:highlight w:val="none"/>
          <w:lang w:val="en-US" w:eastAsia="zh-CN" w:bidi="ar-SA"/>
          <w14:textFill>
            <w14:solidFill>
              <w14:schemeClr w14:val="tx1"/>
            </w14:solidFill>
          </w14:textFill>
        </w:rPr>
        <w:t>万</w:t>
      </w:r>
      <w:r>
        <w:rPr>
          <w:rFonts w:hint="eastAsia" w:ascii="仿宋_GB2312" w:hAnsi="Calibri" w:eastAsia="仿宋_GB2312" w:cs="仿宋"/>
          <w:color w:val="000000" w:themeColor="text1"/>
          <w:kern w:val="0"/>
          <w:sz w:val="32"/>
          <w:szCs w:val="32"/>
          <w:highlight w:val="none"/>
          <w:lang w:val="zh-CN" w:eastAsia="zh-CN" w:bidi="ar-SA"/>
          <w14:textFill>
            <w14:solidFill>
              <w14:schemeClr w14:val="tx1"/>
            </w14:solidFill>
          </w14:textFill>
        </w:rPr>
        <w:t>元</w:t>
      </w:r>
      <w:r>
        <w:rPr>
          <w:rFonts w:hint="eastAsia" w:ascii="仿宋_GB2312" w:eastAsia="仿宋_GB2312" w:cs="仿宋"/>
          <w:color w:val="000000" w:themeColor="text1"/>
          <w:kern w:val="0"/>
          <w:sz w:val="32"/>
          <w:szCs w:val="32"/>
          <w:highlight w:val="none"/>
          <w:lang w:val="zh-CN" w:eastAsia="zh-CN" w:bidi="ar-SA"/>
          <w14:textFill>
            <w14:solidFill>
              <w14:schemeClr w14:val="tx1"/>
            </w14:solidFill>
          </w14:textFill>
        </w:rPr>
        <w:t>，</w:t>
      </w:r>
      <w:r>
        <w:rPr>
          <w:rFonts w:hint="eastAsia" w:ascii="仿宋_GB2312" w:hAnsi="Calibri" w:eastAsia="仿宋_GB2312" w:cs="仿宋"/>
          <w:color w:val="000000" w:themeColor="text1"/>
          <w:kern w:val="0"/>
          <w:sz w:val="32"/>
          <w:szCs w:val="32"/>
          <w:highlight w:val="none"/>
          <w:lang w:val="zh-CN" w:eastAsia="zh-CN" w:bidi="ar-SA"/>
          <w14:textFill>
            <w14:solidFill>
              <w14:schemeClr w14:val="tx1"/>
            </w14:solidFill>
          </w14:textFill>
        </w:rPr>
        <w:t>结余资金已退回财政</w:t>
      </w:r>
      <w:r>
        <w:rPr>
          <w:rFonts w:hint="eastAsia" w:ascii="仿宋_GB2312" w:eastAsia="仿宋_GB2312" w:cs="仿宋"/>
          <w:color w:val="000000" w:themeColor="text1"/>
          <w:kern w:val="0"/>
          <w:sz w:val="32"/>
          <w:szCs w:val="32"/>
          <w:highlight w:val="none"/>
          <w:lang w:val="zh-CN" w:eastAsia="zh-CN" w:bidi="ar-SA"/>
          <w14:textFill>
            <w14:solidFill>
              <w14:schemeClr w14:val="tx1"/>
            </w14:solidFill>
          </w14:textFill>
        </w:rPr>
        <w:t>。</w:t>
      </w:r>
    </w:p>
    <w:p>
      <w:pPr>
        <w:ind w:firstLine="320" w:firstLineChars="100"/>
        <w:rPr>
          <w:rFonts w:hint="eastAsia" w:ascii="方正仿宋_GB2312" w:hAnsi="方正仿宋_GB2312" w:eastAsia="方正仿宋_GB2312" w:cs="方正仿宋_GB2312"/>
          <w:sz w:val="32"/>
          <w:szCs w:val="32"/>
          <w:lang w:val="zh-CN" w:eastAsia="zh-CN"/>
        </w:rPr>
      </w:pPr>
      <w:r>
        <w:rPr>
          <w:rFonts w:hint="eastAsia" w:ascii="方正仿宋_GB2312" w:hAnsi="方正仿宋_GB2312" w:eastAsia="方正仿宋_GB2312" w:cs="方正仿宋_GB2312"/>
          <w:sz w:val="32"/>
          <w:szCs w:val="32"/>
          <w:lang w:val="zh-CN" w:eastAsia="zh-CN"/>
        </w:rPr>
        <w:t>“</w:t>
      </w:r>
      <w:r>
        <w:rPr>
          <w:rFonts w:hint="eastAsia" w:ascii="方正仿宋_GB2312" w:hAnsi="方正仿宋_GB2312" w:eastAsia="方正仿宋_GB2312" w:cs="方正仿宋_GB2312"/>
          <w:sz w:val="32"/>
          <w:szCs w:val="32"/>
          <w:lang w:val="en-US" w:eastAsia="zh-CN"/>
        </w:rPr>
        <w:t>壤塘县尕多乡奶源路建设项目</w:t>
      </w:r>
      <w:r>
        <w:rPr>
          <w:rFonts w:hint="default" w:ascii="方正仿宋_GB2312" w:hAnsi="方正仿宋_GB2312" w:eastAsia="方正仿宋_GB2312" w:cs="方正仿宋_GB2312"/>
          <w:sz w:val="32"/>
          <w:szCs w:val="32"/>
          <w:lang w:val="en-US" w:eastAsia="zh-CN"/>
        </w:rPr>
        <w:t>”</w:t>
      </w:r>
      <w:r>
        <w:rPr>
          <w:rFonts w:hint="eastAsia" w:ascii="方正仿宋_GB2312" w:hAnsi="方正仿宋_GB2312" w:eastAsia="方正仿宋_GB2312" w:cs="方正仿宋_GB2312"/>
          <w:sz w:val="32"/>
          <w:szCs w:val="32"/>
          <w:lang w:val="en-US" w:eastAsia="zh-CN"/>
        </w:rPr>
        <w:t>该项目</w:t>
      </w:r>
      <w:r>
        <w:rPr>
          <w:rFonts w:hint="eastAsia" w:ascii="方正仿宋_GB2312" w:hAnsi="方正仿宋_GB2312" w:eastAsia="方正仿宋_GB2312" w:cs="方正仿宋_GB2312"/>
          <w:sz w:val="32"/>
          <w:szCs w:val="32"/>
          <w:lang w:val="zh-CN" w:eastAsia="zh-CN"/>
        </w:rPr>
        <w:t>总投资</w:t>
      </w:r>
      <w:r>
        <w:rPr>
          <w:rFonts w:hint="eastAsia" w:ascii="方正仿宋_GB2312" w:hAnsi="方正仿宋_GB2312" w:eastAsia="方正仿宋_GB2312" w:cs="方正仿宋_GB2312"/>
          <w:sz w:val="32"/>
          <w:szCs w:val="32"/>
          <w:lang w:val="en-US" w:eastAsia="zh-CN"/>
        </w:rPr>
        <w:t>80万</w:t>
      </w:r>
      <w:r>
        <w:rPr>
          <w:rFonts w:hint="eastAsia" w:ascii="方正仿宋_GB2312" w:hAnsi="方正仿宋_GB2312" w:eastAsia="方正仿宋_GB2312" w:cs="方正仿宋_GB2312"/>
          <w:sz w:val="32"/>
          <w:szCs w:val="32"/>
          <w:lang w:val="zh-CN" w:eastAsia="zh-CN"/>
        </w:rPr>
        <w:t>元，资金来源为</w:t>
      </w:r>
      <w:r>
        <w:rPr>
          <w:rFonts w:hint="eastAsia" w:ascii="方正仿宋_GB2312" w:hAnsi="方正仿宋_GB2312" w:eastAsia="方正仿宋_GB2312" w:cs="方正仿宋_GB2312"/>
          <w:sz w:val="32"/>
          <w:szCs w:val="32"/>
          <w:lang w:val="en-US" w:eastAsia="zh-CN"/>
        </w:rPr>
        <w:t>阿州财资环【2025】5号，</w:t>
      </w:r>
      <w:r>
        <w:rPr>
          <w:rFonts w:hint="eastAsia" w:ascii="方正仿宋_GB2312" w:hAnsi="方正仿宋_GB2312" w:eastAsia="方正仿宋_GB2312" w:cs="方正仿宋_GB2312"/>
          <w:sz w:val="32"/>
          <w:szCs w:val="32"/>
          <w:lang w:val="zh-CN" w:eastAsia="zh-CN"/>
        </w:rPr>
        <w:t>该项目实际支付</w:t>
      </w:r>
      <w:r>
        <w:rPr>
          <w:rFonts w:hint="eastAsia" w:ascii="方正仿宋_GB2312" w:hAnsi="方正仿宋_GB2312" w:eastAsia="方正仿宋_GB2312" w:cs="方正仿宋_GB2312"/>
          <w:sz w:val="32"/>
          <w:szCs w:val="32"/>
          <w:lang w:val="en-US" w:eastAsia="zh-CN"/>
        </w:rPr>
        <w:t>60.72万</w:t>
      </w:r>
      <w:r>
        <w:rPr>
          <w:rFonts w:hint="eastAsia" w:ascii="方正仿宋_GB2312" w:hAnsi="方正仿宋_GB2312" w:eastAsia="方正仿宋_GB2312" w:cs="方正仿宋_GB2312"/>
          <w:sz w:val="32"/>
          <w:szCs w:val="32"/>
          <w:lang w:val="zh-CN" w:eastAsia="zh-CN"/>
        </w:rPr>
        <w:t>元，所有款项的支付合规合法，资金支付与预算相符。结余资金</w:t>
      </w:r>
      <w:r>
        <w:rPr>
          <w:rFonts w:hint="eastAsia" w:ascii="方正仿宋_GB2312" w:hAnsi="方正仿宋_GB2312" w:eastAsia="方正仿宋_GB2312" w:cs="方正仿宋_GB2312"/>
          <w:sz w:val="32"/>
          <w:szCs w:val="32"/>
          <w:lang w:val="en-US" w:eastAsia="zh-CN"/>
        </w:rPr>
        <w:t xml:space="preserve"> 19.28万</w:t>
      </w:r>
      <w:r>
        <w:rPr>
          <w:rFonts w:hint="eastAsia" w:ascii="方正仿宋_GB2312" w:hAnsi="方正仿宋_GB2312" w:eastAsia="方正仿宋_GB2312" w:cs="方正仿宋_GB2312"/>
          <w:sz w:val="32"/>
          <w:szCs w:val="32"/>
          <w:lang w:val="zh-CN" w:eastAsia="zh-CN"/>
        </w:rPr>
        <w:t>元，结余资金</w:t>
      </w:r>
      <w:r>
        <w:rPr>
          <w:rFonts w:hint="eastAsia" w:ascii="方正仿宋_GB2312" w:hAnsi="方正仿宋_GB2312" w:eastAsia="方正仿宋_GB2312" w:cs="方正仿宋_GB2312"/>
          <w:sz w:val="32"/>
          <w:szCs w:val="32"/>
          <w:lang w:val="en-US" w:eastAsia="zh-CN"/>
        </w:rPr>
        <w:t>暂</w:t>
      </w:r>
      <w:r>
        <w:rPr>
          <w:rFonts w:hint="eastAsia" w:ascii="方正仿宋_GB2312" w:hAnsi="方正仿宋_GB2312" w:eastAsia="方正仿宋_GB2312" w:cs="方正仿宋_GB2312"/>
          <w:sz w:val="32"/>
          <w:szCs w:val="32"/>
          <w:lang w:val="zh-CN" w:eastAsia="zh-CN"/>
        </w:rPr>
        <w:t>已退回财政。</w:t>
      </w:r>
    </w:p>
    <w:p>
      <w:pPr>
        <w:ind w:firstLine="320" w:firstLineChars="100"/>
        <w:rPr>
          <w:rFonts w:hint="eastAsia" w:ascii="仿宋_GB2312" w:hAnsi="Calibri" w:eastAsia="仿宋_GB2312" w:cs="仿宋"/>
          <w:color w:val="000000" w:themeColor="text1"/>
          <w:kern w:val="0"/>
          <w:sz w:val="32"/>
          <w:szCs w:val="32"/>
          <w:highlight w:val="none"/>
          <w:lang w:val="zh-CN" w:eastAsia="zh-CN" w:bidi="ar-SA"/>
          <w14:textFill>
            <w14:solidFill>
              <w14:schemeClr w14:val="tx1"/>
            </w14:solidFill>
          </w14:textFill>
        </w:rPr>
      </w:pPr>
      <w:r>
        <w:rPr>
          <w:rFonts w:hint="eastAsia" w:ascii="方正仿宋_GB2312" w:hAnsi="方正仿宋_GB2312" w:eastAsia="方正仿宋_GB2312" w:cs="方正仿宋_GB2312"/>
          <w:color w:val="000000" w:themeColor="text1"/>
          <w:sz w:val="32"/>
          <w:szCs w:val="32"/>
          <w:highlight w:val="none"/>
          <w:lang w:val="en-US" w:eastAsia="zh-CN"/>
          <w14:textFill>
            <w14:solidFill>
              <w14:schemeClr w14:val="tx1"/>
            </w14:solidFill>
          </w14:textFill>
        </w:rPr>
        <w:t>“壤塘县尕多乡刑木达和美乡村农旅产业配套基础设施建设项目</w:t>
      </w:r>
      <w:r>
        <w:rPr>
          <w:rFonts w:hint="default" w:ascii="方正仿宋_GB2312" w:hAnsi="方正仿宋_GB2312" w:eastAsia="方正仿宋_GB2312" w:cs="方正仿宋_GB2312"/>
          <w:color w:val="000000" w:themeColor="text1"/>
          <w:sz w:val="32"/>
          <w:szCs w:val="32"/>
          <w:highlight w:val="none"/>
          <w:lang w:val="en-US" w:eastAsia="zh-CN"/>
          <w14:textFill>
            <w14:solidFill>
              <w14:schemeClr w14:val="tx1"/>
            </w14:solidFill>
          </w14:textFill>
        </w:rPr>
        <w:t>”</w:t>
      </w:r>
      <w:r>
        <w:rPr>
          <w:rFonts w:hint="eastAsia" w:ascii="仿宋_GB2312" w:hAnsi="Times New Roman" w:eastAsia="仿宋_GB2312" w:cs="Times New Roman"/>
          <w:color w:val="000000" w:themeColor="text1"/>
          <w:sz w:val="32"/>
          <w:szCs w:val="32"/>
          <w:highlight w:val="none"/>
          <w:lang w:val="en-US" w:eastAsia="zh-CN"/>
          <w14:textFill>
            <w14:solidFill>
              <w14:schemeClr w14:val="tx1"/>
            </w14:solidFill>
          </w14:textFill>
        </w:rPr>
        <w:t>该项目</w:t>
      </w:r>
      <w:r>
        <w:rPr>
          <w:rFonts w:hint="eastAsia" w:ascii="仿宋_GB2312" w:hAnsi="Calibri" w:eastAsia="仿宋_GB2312" w:cs="仿宋"/>
          <w:color w:val="000000" w:themeColor="text1"/>
          <w:kern w:val="0"/>
          <w:sz w:val="32"/>
          <w:szCs w:val="32"/>
          <w:highlight w:val="none"/>
          <w:lang w:val="zh-CN" w:eastAsia="zh-CN" w:bidi="ar-SA"/>
          <w14:textFill>
            <w14:solidFill>
              <w14:schemeClr w14:val="tx1"/>
            </w14:solidFill>
          </w14:textFill>
        </w:rPr>
        <w:t>总投资</w:t>
      </w:r>
      <w:r>
        <w:rPr>
          <w:rFonts w:hint="eastAsia" w:ascii="仿宋_GB2312" w:eastAsia="仿宋_GB2312" w:cs="仿宋"/>
          <w:color w:val="000000" w:themeColor="text1"/>
          <w:kern w:val="0"/>
          <w:sz w:val="32"/>
          <w:szCs w:val="32"/>
          <w:highlight w:val="none"/>
          <w:lang w:val="en-US" w:eastAsia="zh-CN" w:bidi="ar-SA"/>
          <w14:textFill>
            <w14:solidFill>
              <w14:schemeClr w14:val="tx1"/>
            </w14:solidFill>
          </w14:textFill>
        </w:rPr>
        <w:t>3000</w:t>
      </w:r>
      <w:r>
        <w:rPr>
          <w:rFonts w:hint="eastAsia" w:ascii="仿宋_GB2312" w:hAnsi="Calibri" w:eastAsia="仿宋_GB2312" w:cs="仿宋"/>
          <w:color w:val="000000" w:themeColor="text1"/>
          <w:kern w:val="0"/>
          <w:sz w:val="32"/>
          <w:szCs w:val="32"/>
          <w:highlight w:val="none"/>
          <w:lang w:val="en-US" w:eastAsia="zh-CN" w:bidi="ar-SA"/>
          <w14:textFill>
            <w14:solidFill>
              <w14:schemeClr w14:val="tx1"/>
            </w14:solidFill>
          </w14:textFill>
        </w:rPr>
        <w:t>万</w:t>
      </w:r>
      <w:r>
        <w:rPr>
          <w:rFonts w:hint="eastAsia" w:ascii="仿宋_GB2312" w:hAnsi="Calibri" w:eastAsia="仿宋_GB2312" w:cs="仿宋"/>
          <w:color w:val="000000" w:themeColor="text1"/>
          <w:kern w:val="0"/>
          <w:sz w:val="32"/>
          <w:szCs w:val="32"/>
          <w:highlight w:val="none"/>
          <w:lang w:val="zh-CN" w:eastAsia="zh-CN" w:bidi="ar-SA"/>
          <w14:textFill>
            <w14:solidFill>
              <w14:schemeClr w14:val="tx1"/>
            </w14:solidFill>
          </w14:textFill>
        </w:rPr>
        <w:t>元，资金来源为</w:t>
      </w:r>
      <w:r>
        <w:rPr>
          <w:rFonts w:hint="eastAsia" w:ascii="仿宋_GB2312" w:hAnsi="Calibri" w:eastAsia="仿宋_GB2312" w:cs="仿宋"/>
          <w:color w:val="000000" w:themeColor="text1"/>
          <w:kern w:val="0"/>
          <w:sz w:val="32"/>
          <w:szCs w:val="32"/>
          <w:highlight w:val="none"/>
          <w:lang w:val="en-US" w:eastAsia="zh-CN" w:bidi="ar-SA"/>
          <w14:textFill>
            <w14:solidFill>
              <w14:schemeClr w14:val="tx1"/>
            </w14:solidFill>
          </w14:textFill>
        </w:rPr>
        <w:t>阿州财农【2024】69号</w:t>
      </w:r>
      <w:r>
        <w:rPr>
          <w:rFonts w:hint="eastAsia" w:ascii="仿宋_GB2312" w:eastAsia="仿宋_GB2312" w:cs="仿宋"/>
          <w:color w:val="000000" w:themeColor="text1"/>
          <w:kern w:val="0"/>
          <w:sz w:val="32"/>
          <w:szCs w:val="32"/>
          <w:highlight w:val="none"/>
          <w:lang w:val="en-US" w:eastAsia="zh-CN" w:bidi="ar-SA"/>
          <w14:textFill>
            <w14:solidFill>
              <w14:schemeClr w14:val="tx1"/>
            </w14:solidFill>
          </w14:textFill>
        </w:rPr>
        <w:t>，</w:t>
      </w:r>
      <w:r>
        <w:rPr>
          <w:rFonts w:hint="eastAsia" w:ascii="仿宋_GB2312" w:hAnsi="Calibri" w:eastAsia="仿宋_GB2312" w:cs="仿宋"/>
          <w:color w:val="000000" w:themeColor="text1"/>
          <w:kern w:val="0"/>
          <w:sz w:val="32"/>
          <w:szCs w:val="32"/>
          <w:highlight w:val="none"/>
          <w:lang w:val="zh-CN" w:eastAsia="zh-CN" w:bidi="ar-SA"/>
          <w14:textFill>
            <w14:solidFill>
              <w14:schemeClr w14:val="tx1"/>
            </w14:solidFill>
          </w14:textFill>
        </w:rPr>
        <w:t>该项目实际支付</w:t>
      </w:r>
      <w:r>
        <w:rPr>
          <w:rFonts w:hint="eastAsia" w:ascii="仿宋_GB2312" w:eastAsia="仿宋_GB2312" w:cs="仿宋"/>
          <w:color w:val="000000" w:themeColor="text1"/>
          <w:kern w:val="0"/>
          <w:sz w:val="32"/>
          <w:szCs w:val="32"/>
          <w:highlight w:val="none"/>
          <w:lang w:val="en-US" w:eastAsia="zh-CN" w:bidi="ar-SA"/>
          <w14:textFill>
            <w14:solidFill>
              <w14:schemeClr w14:val="tx1"/>
            </w14:solidFill>
          </w14:textFill>
        </w:rPr>
        <w:t>2269.58</w:t>
      </w:r>
      <w:r>
        <w:rPr>
          <w:rFonts w:hint="eastAsia" w:ascii="仿宋_GB2312" w:hAnsi="Calibri" w:eastAsia="仿宋_GB2312" w:cs="仿宋"/>
          <w:color w:val="000000" w:themeColor="text1"/>
          <w:kern w:val="0"/>
          <w:sz w:val="32"/>
          <w:szCs w:val="32"/>
          <w:highlight w:val="none"/>
          <w:lang w:val="en-US" w:eastAsia="zh-CN" w:bidi="ar-SA"/>
          <w14:textFill>
            <w14:solidFill>
              <w14:schemeClr w14:val="tx1"/>
            </w14:solidFill>
          </w14:textFill>
        </w:rPr>
        <w:t>万</w:t>
      </w:r>
      <w:r>
        <w:rPr>
          <w:rFonts w:hint="eastAsia" w:ascii="仿宋_GB2312" w:hAnsi="Calibri" w:eastAsia="仿宋_GB2312" w:cs="仿宋"/>
          <w:color w:val="000000" w:themeColor="text1"/>
          <w:kern w:val="0"/>
          <w:sz w:val="32"/>
          <w:szCs w:val="32"/>
          <w:highlight w:val="none"/>
          <w:lang w:val="zh-CN" w:eastAsia="zh-CN" w:bidi="ar-SA"/>
          <w14:textFill>
            <w14:solidFill>
              <w14:schemeClr w14:val="tx1"/>
            </w14:solidFill>
          </w14:textFill>
        </w:rPr>
        <w:t>元，所有款项的支付合规合法，资金支付与预算相符</w:t>
      </w:r>
      <w:r>
        <w:rPr>
          <w:rFonts w:hint="eastAsia" w:ascii="仿宋_GB2312" w:eastAsia="仿宋_GB2312" w:cs="仿宋"/>
          <w:color w:val="000000" w:themeColor="text1"/>
          <w:kern w:val="0"/>
          <w:sz w:val="32"/>
          <w:szCs w:val="32"/>
          <w:highlight w:val="none"/>
          <w:lang w:val="zh-CN" w:eastAsia="zh-CN" w:bidi="ar-SA"/>
          <w14:textFill>
            <w14:solidFill>
              <w14:schemeClr w14:val="tx1"/>
            </w14:solidFill>
          </w14:textFill>
        </w:rPr>
        <w:t>，</w:t>
      </w:r>
      <w:r>
        <w:rPr>
          <w:rFonts w:hint="eastAsia" w:ascii="仿宋_GB2312" w:hAnsi="Calibri" w:eastAsia="仿宋_GB2312" w:cs="仿宋"/>
          <w:color w:val="000000" w:themeColor="text1"/>
          <w:kern w:val="0"/>
          <w:sz w:val="32"/>
          <w:szCs w:val="32"/>
          <w:highlight w:val="none"/>
          <w:lang w:val="zh-CN" w:eastAsia="zh-CN" w:bidi="ar-SA"/>
          <w14:textFill>
            <w14:solidFill>
              <w14:schemeClr w14:val="tx1"/>
            </w14:solidFill>
          </w14:textFill>
        </w:rPr>
        <w:t>结余资金</w:t>
      </w:r>
      <w:r>
        <w:rPr>
          <w:rFonts w:hint="eastAsia" w:ascii="仿宋_GB2312" w:hAnsi="Calibri" w:eastAsia="仿宋_GB2312" w:cs="仿宋"/>
          <w:color w:val="000000" w:themeColor="text1"/>
          <w:kern w:val="0"/>
          <w:sz w:val="32"/>
          <w:szCs w:val="32"/>
          <w:highlight w:val="none"/>
          <w:lang w:val="en-US" w:eastAsia="zh-CN" w:bidi="ar-SA"/>
          <w14:textFill>
            <w14:solidFill>
              <w14:schemeClr w14:val="tx1"/>
            </w14:solidFill>
          </w14:textFill>
        </w:rPr>
        <w:t xml:space="preserve"> </w:t>
      </w:r>
      <w:r>
        <w:rPr>
          <w:rFonts w:hint="eastAsia" w:ascii="仿宋_GB2312" w:eastAsia="仿宋_GB2312" w:cs="仿宋"/>
          <w:color w:val="000000" w:themeColor="text1"/>
          <w:kern w:val="0"/>
          <w:sz w:val="32"/>
          <w:szCs w:val="32"/>
          <w:highlight w:val="none"/>
          <w:lang w:val="en-US" w:eastAsia="zh-CN" w:bidi="ar-SA"/>
          <w14:textFill>
            <w14:solidFill>
              <w14:schemeClr w14:val="tx1"/>
            </w14:solidFill>
          </w14:textFill>
        </w:rPr>
        <w:t>230.42</w:t>
      </w:r>
      <w:r>
        <w:rPr>
          <w:rFonts w:hint="eastAsia" w:ascii="仿宋_GB2312" w:hAnsi="Calibri" w:eastAsia="仿宋_GB2312" w:cs="仿宋"/>
          <w:color w:val="000000" w:themeColor="text1"/>
          <w:kern w:val="0"/>
          <w:sz w:val="32"/>
          <w:szCs w:val="32"/>
          <w:highlight w:val="none"/>
          <w:lang w:val="en-US" w:eastAsia="zh-CN" w:bidi="ar-SA"/>
          <w14:textFill>
            <w14:solidFill>
              <w14:schemeClr w14:val="tx1"/>
            </w14:solidFill>
          </w14:textFill>
        </w:rPr>
        <w:t>万</w:t>
      </w:r>
      <w:r>
        <w:rPr>
          <w:rFonts w:hint="eastAsia" w:ascii="仿宋_GB2312" w:hAnsi="Calibri" w:eastAsia="仿宋_GB2312" w:cs="仿宋"/>
          <w:color w:val="000000" w:themeColor="text1"/>
          <w:kern w:val="0"/>
          <w:sz w:val="32"/>
          <w:szCs w:val="32"/>
          <w:highlight w:val="none"/>
          <w:lang w:val="zh-CN" w:eastAsia="zh-CN" w:bidi="ar-SA"/>
          <w14:textFill>
            <w14:solidFill>
              <w14:schemeClr w14:val="tx1"/>
            </w14:solidFill>
          </w14:textFill>
        </w:rPr>
        <w:t>元，结余资金</w:t>
      </w:r>
      <w:r>
        <w:rPr>
          <w:rFonts w:hint="eastAsia" w:ascii="仿宋_GB2312" w:hAnsi="Calibri" w:eastAsia="仿宋_GB2312" w:cs="仿宋"/>
          <w:color w:val="000000" w:themeColor="text1"/>
          <w:kern w:val="0"/>
          <w:sz w:val="32"/>
          <w:szCs w:val="32"/>
          <w:highlight w:val="none"/>
          <w:lang w:val="en-US" w:eastAsia="zh-CN" w:bidi="ar-SA"/>
          <w14:textFill>
            <w14:solidFill>
              <w14:schemeClr w14:val="tx1"/>
            </w14:solidFill>
          </w14:textFill>
        </w:rPr>
        <w:t>暂</w:t>
      </w:r>
      <w:r>
        <w:rPr>
          <w:rFonts w:hint="eastAsia" w:ascii="仿宋_GB2312" w:hAnsi="Calibri" w:eastAsia="仿宋_GB2312" w:cs="仿宋"/>
          <w:color w:val="000000" w:themeColor="text1"/>
          <w:kern w:val="0"/>
          <w:sz w:val="32"/>
          <w:szCs w:val="32"/>
          <w:highlight w:val="none"/>
          <w:lang w:val="zh-CN" w:eastAsia="zh-CN" w:bidi="ar-SA"/>
          <w14:textFill>
            <w14:solidFill>
              <w14:schemeClr w14:val="tx1"/>
            </w14:solidFill>
          </w14:textFill>
        </w:rPr>
        <w:t>已退回财政。</w:t>
      </w:r>
    </w:p>
    <w:p>
      <w:pPr>
        <w:ind w:firstLine="320" w:firstLineChars="100"/>
        <w:rPr>
          <w:rFonts w:hint="eastAsia" w:ascii="仿宋_GB2312" w:hAnsi="Calibri" w:eastAsia="仿宋_GB2312" w:cs="仿宋"/>
          <w:color w:val="000000" w:themeColor="text1"/>
          <w:kern w:val="0"/>
          <w:sz w:val="32"/>
          <w:szCs w:val="32"/>
          <w:highlight w:val="none"/>
          <w:lang w:val="zh-CN" w:eastAsia="zh-CN" w:bidi="ar-SA"/>
          <w14:textFill>
            <w14:solidFill>
              <w14:schemeClr w14:val="tx1"/>
            </w14:solidFill>
          </w14:textFill>
        </w:rPr>
      </w:pPr>
      <w:r>
        <w:rPr>
          <w:rFonts w:hint="eastAsia" w:ascii="仿宋_GB2312" w:eastAsia="仿宋_GB2312" w:cs="仿宋"/>
          <w:color w:val="000000" w:themeColor="text1"/>
          <w:kern w:val="0"/>
          <w:sz w:val="32"/>
          <w:szCs w:val="32"/>
          <w:highlight w:val="none"/>
          <w:lang w:val="zh-CN" w:eastAsia="zh-CN" w:bidi="ar-SA"/>
          <w14:textFill>
            <w14:solidFill>
              <w14:schemeClr w14:val="tx1"/>
            </w14:solidFill>
          </w14:textFill>
        </w:rPr>
        <w:t>“</w:t>
      </w:r>
      <w:r>
        <w:rPr>
          <w:rFonts w:hint="eastAsia" w:ascii="方正仿宋_GB2312" w:hAnsi="方正仿宋_GB2312" w:eastAsia="方正仿宋_GB2312" w:cs="方正仿宋_GB2312"/>
          <w:color w:val="000000" w:themeColor="text1"/>
          <w:sz w:val="32"/>
          <w:szCs w:val="32"/>
          <w:highlight w:val="none"/>
          <w:lang w:val="en-US" w:eastAsia="zh-CN"/>
          <w14:textFill>
            <w14:solidFill>
              <w14:schemeClr w14:val="tx1"/>
            </w14:solidFill>
          </w14:textFill>
        </w:rPr>
        <w:t>壤塘县尕多乡瑟谷村生态文化旅游项目</w:t>
      </w:r>
      <w:r>
        <w:rPr>
          <w:rFonts w:hint="default" w:ascii="方正仿宋_GB2312" w:hAnsi="方正仿宋_GB2312" w:eastAsia="方正仿宋_GB2312" w:cs="方正仿宋_GB2312"/>
          <w:color w:val="000000" w:themeColor="text1"/>
          <w:sz w:val="32"/>
          <w:szCs w:val="32"/>
          <w:highlight w:val="none"/>
          <w:lang w:val="en-US" w:eastAsia="zh-CN"/>
          <w14:textFill>
            <w14:solidFill>
              <w14:schemeClr w14:val="tx1"/>
            </w14:solidFill>
          </w14:textFill>
        </w:rPr>
        <w:t>”</w:t>
      </w:r>
      <w:r>
        <w:rPr>
          <w:rFonts w:hint="eastAsia" w:ascii="仿宋_GB2312" w:hAnsi="Times New Roman" w:eastAsia="仿宋_GB2312" w:cs="Times New Roman"/>
          <w:color w:val="000000" w:themeColor="text1"/>
          <w:sz w:val="32"/>
          <w:szCs w:val="32"/>
          <w:highlight w:val="none"/>
          <w:lang w:val="en-US" w:eastAsia="zh-CN"/>
          <w14:textFill>
            <w14:solidFill>
              <w14:schemeClr w14:val="tx1"/>
            </w14:solidFill>
          </w14:textFill>
        </w:rPr>
        <w:t>该项目</w:t>
      </w:r>
      <w:r>
        <w:rPr>
          <w:rFonts w:hint="eastAsia" w:ascii="仿宋_GB2312" w:hAnsi="Calibri" w:eastAsia="仿宋_GB2312" w:cs="仿宋"/>
          <w:color w:val="000000" w:themeColor="text1"/>
          <w:kern w:val="0"/>
          <w:sz w:val="32"/>
          <w:szCs w:val="32"/>
          <w:highlight w:val="none"/>
          <w:lang w:val="zh-CN" w:eastAsia="zh-CN" w:bidi="ar-SA"/>
          <w14:textFill>
            <w14:solidFill>
              <w14:schemeClr w14:val="tx1"/>
            </w14:solidFill>
          </w14:textFill>
        </w:rPr>
        <w:t>总投资</w:t>
      </w:r>
      <w:r>
        <w:rPr>
          <w:rFonts w:hint="eastAsia" w:ascii="仿宋_GB2312" w:eastAsia="仿宋_GB2312" w:cs="仿宋"/>
          <w:color w:val="000000" w:themeColor="text1"/>
          <w:kern w:val="0"/>
          <w:sz w:val="32"/>
          <w:szCs w:val="32"/>
          <w:highlight w:val="none"/>
          <w:lang w:val="en-US" w:eastAsia="zh-CN" w:bidi="ar-SA"/>
          <w14:textFill>
            <w14:solidFill>
              <w14:schemeClr w14:val="tx1"/>
            </w14:solidFill>
          </w14:textFill>
        </w:rPr>
        <w:t>300</w:t>
      </w:r>
      <w:r>
        <w:rPr>
          <w:rFonts w:hint="eastAsia" w:ascii="仿宋_GB2312" w:hAnsi="Calibri" w:eastAsia="仿宋_GB2312" w:cs="仿宋"/>
          <w:color w:val="000000" w:themeColor="text1"/>
          <w:kern w:val="0"/>
          <w:sz w:val="32"/>
          <w:szCs w:val="32"/>
          <w:highlight w:val="none"/>
          <w:lang w:val="en-US" w:eastAsia="zh-CN" w:bidi="ar-SA"/>
          <w14:textFill>
            <w14:solidFill>
              <w14:schemeClr w14:val="tx1"/>
            </w14:solidFill>
          </w14:textFill>
        </w:rPr>
        <w:t>万</w:t>
      </w:r>
      <w:r>
        <w:rPr>
          <w:rFonts w:hint="eastAsia" w:ascii="仿宋_GB2312" w:hAnsi="Calibri" w:eastAsia="仿宋_GB2312" w:cs="仿宋"/>
          <w:color w:val="000000" w:themeColor="text1"/>
          <w:kern w:val="0"/>
          <w:sz w:val="32"/>
          <w:szCs w:val="32"/>
          <w:highlight w:val="none"/>
          <w:lang w:val="zh-CN" w:eastAsia="zh-CN" w:bidi="ar-SA"/>
          <w14:textFill>
            <w14:solidFill>
              <w14:schemeClr w14:val="tx1"/>
            </w14:solidFill>
          </w14:textFill>
        </w:rPr>
        <w:t>元，资金来源为</w:t>
      </w:r>
      <w:r>
        <w:rPr>
          <w:rFonts w:hint="eastAsia" w:ascii="仿宋_GB2312" w:hAnsi="Calibri" w:eastAsia="仿宋_GB2312" w:cs="仿宋"/>
          <w:color w:val="000000" w:themeColor="text1"/>
          <w:kern w:val="0"/>
          <w:sz w:val="32"/>
          <w:szCs w:val="32"/>
          <w:highlight w:val="none"/>
          <w:lang w:val="en-US" w:eastAsia="zh-CN" w:bidi="ar-SA"/>
          <w14:textFill>
            <w14:solidFill>
              <w14:schemeClr w14:val="tx1"/>
            </w14:solidFill>
          </w14:textFill>
        </w:rPr>
        <w:t>阿州财预【2025】27号</w:t>
      </w:r>
      <w:r>
        <w:rPr>
          <w:rFonts w:hint="eastAsia" w:ascii="仿宋_GB2312" w:eastAsia="仿宋_GB2312" w:cs="仿宋"/>
          <w:color w:val="000000" w:themeColor="text1"/>
          <w:kern w:val="0"/>
          <w:sz w:val="32"/>
          <w:szCs w:val="32"/>
          <w:highlight w:val="none"/>
          <w:lang w:val="en-US" w:eastAsia="zh-CN" w:bidi="ar-SA"/>
          <w14:textFill>
            <w14:solidFill>
              <w14:schemeClr w14:val="tx1"/>
            </w14:solidFill>
          </w14:textFill>
        </w:rPr>
        <w:t>，</w:t>
      </w:r>
      <w:r>
        <w:rPr>
          <w:rFonts w:hint="eastAsia" w:ascii="仿宋_GB2312" w:hAnsi="Calibri" w:eastAsia="仿宋_GB2312" w:cs="仿宋"/>
          <w:color w:val="000000" w:themeColor="text1"/>
          <w:kern w:val="0"/>
          <w:sz w:val="32"/>
          <w:szCs w:val="32"/>
          <w:highlight w:val="none"/>
          <w:lang w:val="zh-CN" w:eastAsia="zh-CN" w:bidi="ar-SA"/>
          <w14:textFill>
            <w14:solidFill>
              <w14:schemeClr w14:val="tx1"/>
            </w14:solidFill>
          </w14:textFill>
        </w:rPr>
        <w:t>该项目实际支付</w:t>
      </w:r>
      <w:r>
        <w:rPr>
          <w:rFonts w:hint="eastAsia" w:ascii="仿宋_GB2312" w:eastAsia="仿宋_GB2312" w:cs="仿宋"/>
          <w:color w:val="000000" w:themeColor="text1"/>
          <w:kern w:val="0"/>
          <w:sz w:val="32"/>
          <w:szCs w:val="32"/>
          <w:highlight w:val="none"/>
          <w:lang w:val="en-US" w:eastAsia="zh-CN" w:bidi="ar-SA"/>
          <w14:textFill>
            <w14:solidFill>
              <w14:schemeClr w14:val="tx1"/>
            </w14:solidFill>
          </w14:textFill>
        </w:rPr>
        <w:t>230.26</w:t>
      </w:r>
      <w:r>
        <w:rPr>
          <w:rFonts w:hint="eastAsia" w:ascii="仿宋_GB2312" w:hAnsi="Calibri" w:eastAsia="仿宋_GB2312" w:cs="仿宋"/>
          <w:color w:val="000000" w:themeColor="text1"/>
          <w:kern w:val="0"/>
          <w:sz w:val="32"/>
          <w:szCs w:val="32"/>
          <w:highlight w:val="none"/>
          <w:lang w:val="en-US" w:eastAsia="zh-CN" w:bidi="ar-SA"/>
          <w14:textFill>
            <w14:solidFill>
              <w14:schemeClr w14:val="tx1"/>
            </w14:solidFill>
          </w14:textFill>
        </w:rPr>
        <w:t>万</w:t>
      </w:r>
      <w:r>
        <w:rPr>
          <w:rFonts w:hint="eastAsia" w:ascii="仿宋_GB2312" w:hAnsi="Calibri" w:eastAsia="仿宋_GB2312" w:cs="仿宋"/>
          <w:color w:val="000000" w:themeColor="text1"/>
          <w:kern w:val="0"/>
          <w:sz w:val="32"/>
          <w:szCs w:val="32"/>
          <w:highlight w:val="none"/>
          <w:lang w:val="zh-CN" w:eastAsia="zh-CN" w:bidi="ar-SA"/>
          <w14:textFill>
            <w14:solidFill>
              <w14:schemeClr w14:val="tx1"/>
            </w14:solidFill>
          </w14:textFill>
        </w:rPr>
        <w:t>元，所有款项的支付合规合法，资金支付与预算相符。结余资金</w:t>
      </w:r>
      <w:r>
        <w:rPr>
          <w:rFonts w:hint="eastAsia" w:ascii="仿宋_GB2312" w:eastAsia="仿宋_GB2312" w:cs="仿宋"/>
          <w:color w:val="000000" w:themeColor="text1"/>
          <w:kern w:val="0"/>
          <w:sz w:val="32"/>
          <w:szCs w:val="32"/>
          <w:highlight w:val="none"/>
          <w:lang w:val="en-US" w:eastAsia="zh-CN" w:bidi="ar-SA"/>
          <w14:textFill>
            <w14:solidFill>
              <w14:schemeClr w14:val="tx1"/>
            </w14:solidFill>
          </w14:textFill>
        </w:rPr>
        <w:t>87.54</w:t>
      </w:r>
      <w:r>
        <w:rPr>
          <w:rFonts w:hint="eastAsia" w:ascii="仿宋_GB2312" w:hAnsi="Calibri" w:eastAsia="仿宋_GB2312" w:cs="仿宋"/>
          <w:color w:val="000000" w:themeColor="text1"/>
          <w:kern w:val="0"/>
          <w:sz w:val="32"/>
          <w:szCs w:val="32"/>
          <w:highlight w:val="none"/>
          <w:lang w:val="en-US" w:eastAsia="zh-CN" w:bidi="ar-SA"/>
          <w14:textFill>
            <w14:solidFill>
              <w14:schemeClr w14:val="tx1"/>
            </w14:solidFill>
          </w14:textFill>
        </w:rPr>
        <w:t>万</w:t>
      </w:r>
      <w:r>
        <w:rPr>
          <w:rFonts w:hint="eastAsia" w:ascii="仿宋_GB2312" w:hAnsi="Calibri" w:eastAsia="仿宋_GB2312" w:cs="仿宋"/>
          <w:color w:val="000000" w:themeColor="text1"/>
          <w:kern w:val="0"/>
          <w:sz w:val="32"/>
          <w:szCs w:val="32"/>
          <w:highlight w:val="none"/>
          <w:lang w:val="zh-CN" w:eastAsia="zh-CN" w:bidi="ar-SA"/>
          <w14:textFill>
            <w14:solidFill>
              <w14:schemeClr w14:val="tx1"/>
            </w14:solidFill>
          </w14:textFill>
        </w:rPr>
        <w:t>元，结余资金</w:t>
      </w:r>
      <w:r>
        <w:rPr>
          <w:rFonts w:hint="eastAsia" w:ascii="仿宋_GB2312" w:hAnsi="Calibri" w:eastAsia="仿宋_GB2312" w:cs="仿宋"/>
          <w:color w:val="000000" w:themeColor="text1"/>
          <w:kern w:val="0"/>
          <w:sz w:val="32"/>
          <w:szCs w:val="32"/>
          <w:highlight w:val="none"/>
          <w:lang w:val="en-US" w:eastAsia="zh-CN" w:bidi="ar-SA"/>
          <w14:textFill>
            <w14:solidFill>
              <w14:schemeClr w14:val="tx1"/>
            </w14:solidFill>
          </w14:textFill>
        </w:rPr>
        <w:t>暂</w:t>
      </w:r>
      <w:r>
        <w:rPr>
          <w:rFonts w:hint="eastAsia" w:ascii="仿宋_GB2312" w:hAnsi="Calibri" w:eastAsia="仿宋_GB2312" w:cs="仿宋"/>
          <w:color w:val="000000" w:themeColor="text1"/>
          <w:kern w:val="0"/>
          <w:sz w:val="32"/>
          <w:szCs w:val="32"/>
          <w:highlight w:val="none"/>
          <w:lang w:val="zh-CN" w:eastAsia="zh-CN" w:bidi="ar-SA"/>
          <w14:textFill>
            <w14:solidFill>
              <w14:schemeClr w14:val="tx1"/>
            </w14:solidFill>
          </w14:textFill>
        </w:rPr>
        <w:t>已退回财政。</w:t>
      </w:r>
    </w:p>
    <w:p>
      <w:pPr>
        <w:ind w:firstLine="320" w:firstLineChars="100"/>
        <w:rPr>
          <w:rFonts w:hint="default" w:ascii="仿宋_GB2312" w:hAnsi="Calibri" w:eastAsia="仿宋_GB2312" w:cs="仿宋"/>
          <w:color w:val="0000FF"/>
          <w:kern w:val="0"/>
          <w:sz w:val="32"/>
          <w:szCs w:val="32"/>
          <w:lang w:val="zh-CN" w:eastAsia="zh-CN" w:bidi="ar-SA"/>
        </w:rPr>
      </w:pPr>
      <w:r>
        <w:rPr>
          <w:rFonts w:hint="default" w:ascii="方正仿宋_GB2312" w:hAnsi="方正仿宋_GB2312" w:eastAsia="方正仿宋_GB2312" w:cs="方正仿宋_GB2312"/>
          <w:sz w:val="32"/>
          <w:szCs w:val="32"/>
          <w:lang w:val="en-US" w:eastAsia="zh-CN"/>
        </w:rPr>
        <w:t>“</w:t>
      </w:r>
      <w:r>
        <w:rPr>
          <w:rFonts w:hint="eastAsia" w:ascii="方正仿宋_GB2312" w:hAnsi="方正仿宋_GB2312" w:eastAsia="方正仿宋_GB2312" w:cs="方正仿宋_GB2312"/>
          <w:sz w:val="32"/>
          <w:szCs w:val="32"/>
          <w:lang w:val="en-US" w:eastAsia="zh-CN"/>
        </w:rPr>
        <w:t>壤塘县尕多乡2025年人工饲草种植项目</w:t>
      </w:r>
      <w:r>
        <w:rPr>
          <w:rFonts w:hint="default" w:ascii="方正仿宋_GB2312" w:hAnsi="方正仿宋_GB2312" w:eastAsia="方正仿宋_GB2312" w:cs="方正仿宋_GB2312"/>
          <w:sz w:val="32"/>
          <w:szCs w:val="32"/>
          <w:lang w:val="en-US" w:eastAsia="zh-CN"/>
        </w:rPr>
        <w:t>”</w:t>
      </w:r>
      <w:r>
        <w:rPr>
          <w:rFonts w:hint="eastAsia" w:ascii="仿宋_GB2312" w:hAnsi="Times New Roman" w:eastAsia="仿宋_GB2312" w:cs="Times New Roman"/>
          <w:color w:val="000000" w:themeColor="text1"/>
          <w:sz w:val="32"/>
          <w:szCs w:val="32"/>
          <w:highlight w:val="none"/>
          <w:lang w:val="en-US" w:eastAsia="zh-CN"/>
          <w14:textFill>
            <w14:solidFill>
              <w14:schemeClr w14:val="tx1"/>
            </w14:solidFill>
          </w14:textFill>
        </w:rPr>
        <w:t>该项目</w:t>
      </w:r>
      <w:r>
        <w:rPr>
          <w:rFonts w:hint="eastAsia" w:ascii="仿宋_GB2312" w:hAnsi="Calibri" w:eastAsia="仿宋_GB2312" w:cs="仿宋"/>
          <w:color w:val="000000" w:themeColor="text1"/>
          <w:kern w:val="0"/>
          <w:sz w:val="32"/>
          <w:szCs w:val="32"/>
          <w:highlight w:val="none"/>
          <w:lang w:val="zh-CN" w:eastAsia="zh-CN" w:bidi="ar-SA"/>
          <w14:textFill>
            <w14:solidFill>
              <w14:schemeClr w14:val="tx1"/>
            </w14:solidFill>
          </w14:textFill>
        </w:rPr>
        <w:t>总投资</w:t>
      </w:r>
      <w:r>
        <w:rPr>
          <w:rFonts w:hint="eastAsia" w:ascii="仿宋_GB2312" w:eastAsia="仿宋_GB2312" w:cs="仿宋"/>
          <w:color w:val="000000" w:themeColor="text1"/>
          <w:kern w:val="0"/>
          <w:sz w:val="32"/>
          <w:szCs w:val="32"/>
          <w:highlight w:val="none"/>
          <w:lang w:val="en-US" w:eastAsia="zh-CN" w:bidi="ar-SA"/>
          <w14:textFill>
            <w14:solidFill>
              <w14:schemeClr w14:val="tx1"/>
            </w14:solidFill>
          </w14:textFill>
        </w:rPr>
        <w:t>5.94</w:t>
      </w:r>
      <w:r>
        <w:rPr>
          <w:rFonts w:hint="eastAsia" w:ascii="仿宋_GB2312" w:hAnsi="Calibri" w:eastAsia="仿宋_GB2312" w:cs="仿宋"/>
          <w:color w:val="000000" w:themeColor="text1"/>
          <w:kern w:val="0"/>
          <w:sz w:val="32"/>
          <w:szCs w:val="32"/>
          <w:highlight w:val="none"/>
          <w:lang w:val="en-US" w:eastAsia="zh-CN" w:bidi="ar-SA"/>
          <w14:textFill>
            <w14:solidFill>
              <w14:schemeClr w14:val="tx1"/>
            </w14:solidFill>
          </w14:textFill>
        </w:rPr>
        <w:t>万</w:t>
      </w:r>
      <w:r>
        <w:rPr>
          <w:rFonts w:hint="eastAsia" w:ascii="仿宋_GB2312" w:hAnsi="Calibri" w:eastAsia="仿宋_GB2312" w:cs="仿宋"/>
          <w:color w:val="000000" w:themeColor="text1"/>
          <w:kern w:val="0"/>
          <w:sz w:val="32"/>
          <w:szCs w:val="32"/>
          <w:highlight w:val="none"/>
          <w:lang w:val="zh-CN" w:eastAsia="zh-CN" w:bidi="ar-SA"/>
          <w14:textFill>
            <w14:solidFill>
              <w14:schemeClr w14:val="tx1"/>
            </w14:solidFill>
          </w14:textFill>
        </w:rPr>
        <w:t>元，资金来源为</w:t>
      </w:r>
      <w:r>
        <w:rPr>
          <w:rFonts w:hint="eastAsia" w:ascii="仿宋_GB2312" w:hAnsi="Calibri" w:eastAsia="仿宋_GB2312" w:cs="仿宋"/>
          <w:color w:val="000000" w:themeColor="text1"/>
          <w:kern w:val="0"/>
          <w:sz w:val="32"/>
          <w:szCs w:val="32"/>
          <w:highlight w:val="none"/>
          <w:lang w:val="en-US" w:eastAsia="zh-CN" w:bidi="ar-SA"/>
          <w14:textFill>
            <w14:solidFill>
              <w14:schemeClr w14:val="tx1"/>
            </w14:solidFill>
          </w14:textFill>
        </w:rPr>
        <w:t>阿州财农【2024】69号</w:t>
      </w:r>
      <w:r>
        <w:rPr>
          <w:rFonts w:hint="eastAsia" w:ascii="仿宋_GB2312" w:eastAsia="仿宋_GB2312" w:cs="仿宋"/>
          <w:color w:val="000000" w:themeColor="text1"/>
          <w:kern w:val="0"/>
          <w:sz w:val="32"/>
          <w:szCs w:val="32"/>
          <w:highlight w:val="none"/>
          <w:lang w:val="zh-CN" w:eastAsia="zh-CN" w:bidi="ar-SA"/>
          <w14:textFill>
            <w14:solidFill>
              <w14:schemeClr w14:val="tx1"/>
            </w14:solidFill>
          </w14:textFill>
        </w:rPr>
        <w:t>。</w:t>
      </w:r>
      <w:r>
        <w:rPr>
          <w:rFonts w:hint="eastAsia" w:ascii="仿宋_GB2312" w:hAnsi="Calibri" w:eastAsia="仿宋_GB2312" w:cs="仿宋"/>
          <w:color w:val="000000" w:themeColor="text1"/>
          <w:kern w:val="0"/>
          <w:sz w:val="32"/>
          <w:szCs w:val="32"/>
          <w:highlight w:val="none"/>
          <w:lang w:val="zh-CN" w:eastAsia="zh-CN" w:bidi="ar-SA"/>
          <w14:textFill>
            <w14:solidFill>
              <w14:schemeClr w14:val="tx1"/>
            </w14:solidFill>
          </w14:textFill>
        </w:rPr>
        <w:t>该项目实际支付</w:t>
      </w:r>
      <w:r>
        <w:rPr>
          <w:rFonts w:hint="eastAsia" w:ascii="仿宋_GB2312" w:eastAsia="仿宋_GB2312" w:cs="仿宋"/>
          <w:color w:val="000000" w:themeColor="text1"/>
          <w:kern w:val="0"/>
          <w:sz w:val="32"/>
          <w:szCs w:val="32"/>
          <w:highlight w:val="none"/>
          <w:lang w:val="en-US" w:eastAsia="zh-CN" w:bidi="ar-SA"/>
          <w14:textFill>
            <w14:solidFill>
              <w14:schemeClr w14:val="tx1"/>
            </w14:solidFill>
          </w14:textFill>
        </w:rPr>
        <w:t>5.93</w:t>
      </w:r>
      <w:r>
        <w:rPr>
          <w:rFonts w:hint="eastAsia" w:ascii="仿宋_GB2312" w:hAnsi="Calibri" w:eastAsia="仿宋_GB2312" w:cs="仿宋"/>
          <w:color w:val="000000" w:themeColor="text1"/>
          <w:kern w:val="0"/>
          <w:sz w:val="32"/>
          <w:szCs w:val="32"/>
          <w:highlight w:val="none"/>
          <w:lang w:val="en-US" w:eastAsia="zh-CN" w:bidi="ar-SA"/>
          <w14:textFill>
            <w14:solidFill>
              <w14:schemeClr w14:val="tx1"/>
            </w14:solidFill>
          </w14:textFill>
        </w:rPr>
        <w:t>万</w:t>
      </w:r>
      <w:r>
        <w:rPr>
          <w:rFonts w:hint="eastAsia" w:ascii="仿宋_GB2312" w:hAnsi="Calibri" w:eastAsia="仿宋_GB2312" w:cs="仿宋"/>
          <w:color w:val="000000" w:themeColor="text1"/>
          <w:kern w:val="0"/>
          <w:sz w:val="32"/>
          <w:szCs w:val="32"/>
          <w:highlight w:val="none"/>
          <w:lang w:val="zh-CN" w:eastAsia="zh-CN" w:bidi="ar-SA"/>
          <w14:textFill>
            <w14:solidFill>
              <w14:schemeClr w14:val="tx1"/>
            </w14:solidFill>
          </w14:textFill>
        </w:rPr>
        <w:t>元，所有款项的支付合规合法，资金支付与预算相符。结余资金</w:t>
      </w:r>
      <w:r>
        <w:rPr>
          <w:rFonts w:hint="eastAsia" w:ascii="仿宋_GB2312" w:hAnsi="Calibri" w:eastAsia="仿宋_GB2312" w:cs="仿宋"/>
          <w:color w:val="000000" w:themeColor="text1"/>
          <w:kern w:val="0"/>
          <w:sz w:val="32"/>
          <w:szCs w:val="32"/>
          <w:highlight w:val="none"/>
          <w:lang w:val="en-US" w:eastAsia="zh-CN" w:bidi="ar-SA"/>
          <w14:textFill>
            <w14:solidFill>
              <w14:schemeClr w14:val="tx1"/>
            </w14:solidFill>
          </w14:textFill>
        </w:rPr>
        <w:t xml:space="preserve"> </w:t>
      </w:r>
      <w:r>
        <w:rPr>
          <w:rFonts w:hint="eastAsia" w:ascii="仿宋_GB2312" w:eastAsia="仿宋_GB2312" w:cs="仿宋"/>
          <w:color w:val="000000" w:themeColor="text1"/>
          <w:kern w:val="0"/>
          <w:sz w:val="32"/>
          <w:szCs w:val="32"/>
          <w:highlight w:val="none"/>
          <w:lang w:val="en-US" w:eastAsia="zh-CN" w:bidi="ar-SA"/>
          <w14:textFill>
            <w14:solidFill>
              <w14:schemeClr w14:val="tx1"/>
            </w14:solidFill>
          </w14:textFill>
        </w:rPr>
        <w:t>0.01</w:t>
      </w:r>
      <w:r>
        <w:rPr>
          <w:rFonts w:hint="eastAsia" w:ascii="仿宋_GB2312" w:hAnsi="Calibri" w:eastAsia="仿宋_GB2312" w:cs="仿宋"/>
          <w:color w:val="000000" w:themeColor="text1"/>
          <w:kern w:val="0"/>
          <w:sz w:val="32"/>
          <w:szCs w:val="32"/>
          <w:highlight w:val="none"/>
          <w:lang w:val="en-US" w:eastAsia="zh-CN" w:bidi="ar-SA"/>
          <w14:textFill>
            <w14:solidFill>
              <w14:schemeClr w14:val="tx1"/>
            </w14:solidFill>
          </w14:textFill>
        </w:rPr>
        <w:t>万</w:t>
      </w:r>
      <w:r>
        <w:rPr>
          <w:rFonts w:hint="eastAsia" w:ascii="仿宋_GB2312" w:hAnsi="Calibri" w:eastAsia="仿宋_GB2312" w:cs="仿宋"/>
          <w:color w:val="000000" w:themeColor="text1"/>
          <w:kern w:val="0"/>
          <w:sz w:val="32"/>
          <w:szCs w:val="32"/>
          <w:highlight w:val="none"/>
          <w:lang w:val="zh-CN" w:eastAsia="zh-CN" w:bidi="ar-SA"/>
          <w14:textFill>
            <w14:solidFill>
              <w14:schemeClr w14:val="tx1"/>
            </w14:solidFill>
          </w14:textFill>
        </w:rPr>
        <w:t>元，结余资金</w:t>
      </w:r>
      <w:r>
        <w:rPr>
          <w:rFonts w:hint="eastAsia" w:ascii="仿宋_GB2312" w:hAnsi="Calibri" w:eastAsia="仿宋_GB2312" w:cs="仿宋"/>
          <w:color w:val="000000" w:themeColor="text1"/>
          <w:kern w:val="0"/>
          <w:sz w:val="32"/>
          <w:szCs w:val="32"/>
          <w:highlight w:val="none"/>
          <w:lang w:val="en-US" w:eastAsia="zh-CN" w:bidi="ar-SA"/>
          <w14:textFill>
            <w14:solidFill>
              <w14:schemeClr w14:val="tx1"/>
            </w14:solidFill>
          </w14:textFill>
        </w:rPr>
        <w:t>暂</w:t>
      </w:r>
      <w:r>
        <w:rPr>
          <w:rFonts w:hint="eastAsia" w:ascii="仿宋_GB2312" w:hAnsi="Calibri" w:eastAsia="仿宋_GB2312" w:cs="仿宋"/>
          <w:color w:val="000000" w:themeColor="text1"/>
          <w:kern w:val="0"/>
          <w:sz w:val="32"/>
          <w:szCs w:val="32"/>
          <w:highlight w:val="none"/>
          <w:lang w:val="zh-CN" w:eastAsia="zh-CN" w:bidi="ar-SA"/>
          <w14:textFill>
            <w14:solidFill>
              <w14:schemeClr w14:val="tx1"/>
            </w14:solidFill>
          </w14:textFill>
        </w:rPr>
        <w:t>已退回财政。</w:t>
      </w:r>
    </w:p>
    <w:p>
      <w:pPr>
        <w:pStyle w:val="5"/>
        <w:pageBreakBefore w:val="0"/>
        <w:kinsoku/>
        <w:wordWrap/>
        <w:overflowPunct/>
        <w:topLinePunct w:val="0"/>
        <w:bidi w:val="0"/>
        <w:spacing w:before="0" w:after="0" w:line="560" w:lineRule="exact"/>
        <w:ind w:left="0" w:leftChars="0" w:firstLine="642" w:firstLineChars="200"/>
        <w:rPr>
          <w:rFonts w:hint="eastAsia" w:ascii="楷体_GB2312" w:hAnsi="楷体_GB2312" w:eastAsia="楷体_GB2312" w:cs="楷体_GB2312"/>
          <w:color w:val="000000" w:themeColor="text1"/>
          <w:highlight w:val="none"/>
          <w:lang w:val="zh-CN"/>
          <w14:textFill>
            <w14:solidFill>
              <w14:schemeClr w14:val="tx1"/>
            </w14:solidFill>
          </w14:textFill>
        </w:rPr>
      </w:pPr>
      <w:r>
        <w:rPr>
          <w:rFonts w:hint="eastAsia" w:ascii="楷体_GB2312" w:hAnsi="楷体_GB2312" w:eastAsia="楷体_GB2312" w:cs="楷体_GB2312"/>
          <w:color w:val="000000" w:themeColor="text1"/>
          <w:highlight w:val="none"/>
          <w:lang w:val="zh-CN"/>
          <w14:textFill>
            <w14:solidFill>
              <w14:schemeClr w14:val="tx1"/>
            </w14:solidFill>
          </w14:textFill>
        </w:rPr>
        <w:t>（二）项目绩效目标</w:t>
      </w:r>
    </w:p>
    <w:p>
      <w:pPr>
        <w:ind w:firstLine="640" w:firstLineChars="200"/>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1、“壤塘县尕多乡标准化种植基地项目”该项目实施将有效提升当地农业基础设施条件，还可以带动当地老百姓增收。项目实施后将进一步改善当地农业基础设施条件，带动当地群众参与项目务工，同时提高村经济效益和社会效益，为有效衔接乡村振兴和产业发展奠定良好基础。</w:t>
      </w:r>
    </w:p>
    <w:p>
      <w:pPr>
        <w:ind w:firstLine="640" w:firstLineChars="200"/>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2、</w:t>
      </w:r>
      <w:r>
        <w:rPr>
          <w:rFonts w:hint="eastAsia" w:ascii="方正仿宋_GB2312" w:hAnsi="方正仿宋_GB2312" w:eastAsia="方正仿宋_GB2312" w:cs="方正仿宋_GB2312"/>
          <w:sz w:val="32"/>
          <w:szCs w:val="32"/>
          <w:lang w:val="zh-CN" w:eastAsia="zh-CN"/>
        </w:rPr>
        <w:t>“</w:t>
      </w:r>
      <w:r>
        <w:rPr>
          <w:rFonts w:hint="eastAsia" w:ascii="方正仿宋_GB2312" w:hAnsi="方正仿宋_GB2312" w:eastAsia="方正仿宋_GB2312" w:cs="方正仿宋_GB2312"/>
          <w:sz w:val="32"/>
          <w:szCs w:val="32"/>
          <w:lang w:val="en-US" w:eastAsia="zh-CN"/>
        </w:rPr>
        <w:t>壤塘县尕多乡过境路沿线网围栏提升项目”该项目实施将有效解决牧区道路交通安全，减少牧民群众因牲畜交通事故造成的损失，保障当地道路交通出行安全。</w:t>
      </w:r>
    </w:p>
    <w:p>
      <w:pPr>
        <w:ind w:firstLine="640" w:firstLineChars="200"/>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3、“壤塘县尕多乡奶源路建设项目</w:t>
      </w:r>
      <w:r>
        <w:rPr>
          <w:rFonts w:hint="default" w:ascii="方正仿宋_GB2312" w:hAnsi="方正仿宋_GB2312" w:eastAsia="方正仿宋_GB2312" w:cs="方正仿宋_GB2312"/>
          <w:sz w:val="32"/>
          <w:szCs w:val="32"/>
          <w:lang w:val="en-US" w:eastAsia="zh-CN"/>
        </w:rPr>
        <w:t>”</w:t>
      </w:r>
      <w:r>
        <w:rPr>
          <w:rFonts w:hint="eastAsia" w:ascii="方正仿宋_GB2312" w:hAnsi="方正仿宋_GB2312" w:eastAsia="方正仿宋_GB2312" w:cs="方正仿宋_GB2312"/>
          <w:sz w:val="32"/>
          <w:szCs w:val="32"/>
          <w:lang w:val="en-US" w:eastAsia="zh-CN"/>
        </w:rPr>
        <w:t>该项目实施将有效提升当地出行条件，还可以带动当地老百姓增收。项目实施后将进一步改善当地出行条件，减少畜牧产品运输时间，同时提高村经济效益和社会效益，为有效衔接乡村振兴和产业发展奠定良好基础。</w:t>
      </w:r>
    </w:p>
    <w:p>
      <w:pPr>
        <w:ind w:firstLine="640" w:firstLineChars="200"/>
        <w:rPr>
          <w:rFonts w:hint="eastAsia" w:ascii="方正仿宋_GB2312" w:hAnsi="方正仿宋_GB2312" w:eastAsia="方正仿宋_GB2312" w:cs="方正仿宋_GB2312"/>
          <w:sz w:val="32"/>
          <w:szCs w:val="32"/>
          <w:lang w:val="zh-CN" w:eastAsia="zh-CN"/>
        </w:rPr>
      </w:pPr>
      <w:r>
        <w:rPr>
          <w:rFonts w:hint="eastAsia" w:ascii="方正仿宋_GB2312" w:hAnsi="方正仿宋_GB2312" w:eastAsia="方正仿宋_GB2312" w:cs="方正仿宋_GB2312"/>
          <w:sz w:val="32"/>
          <w:szCs w:val="32"/>
          <w:lang w:val="en-US" w:eastAsia="zh-CN"/>
        </w:rPr>
        <w:t>4、“壤塘县尕多乡刑木达和美乡村农旅产业配套基础设施建设项目</w:t>
      </w:r>
      <w:r>
        <w:rPr>
          <w:rFonts w:hint="default" w:ascii="方正仿宋_GB2312" w:hAnsi="方正仿宋_GB2312" w:eastAsia="方正仿宋_GB2312" w:cs="方正仿宋_GB2312"/>
          <w:sz w:val="32"/>
          <w:szCs w:val="32"/>
          <w:lang w:val="en-US" w:eastAsia="zh-CN"/>
        </w:rPr>
        <w:t>”</w:t>
      </w:r>
      <w:r>
        <w:rPr>
          <w:rFonts w:hint="eastAsia" w:ascii="方正仿宋_GB2312" w:hAnsi="方正仿宋_GB2312" w:eastAsia="方正仿宋_GB2312" w:cs="方正仿宋_GB2312"/>
          <w:sz w:val="32"/>
          <w:szCs w:val="32"/>
          <w:lang w:val="en-US" w:eastAsia="zh-CN"/>
        </w:rPr>
        <w:t>该项目实施将有效提升当地基础设施条件，还可以带动当地老百姓增收。项目实施后将进一步改善当地基础设施条件，带动当地群众参与项目务工，同时提高村经济效益和社会效益，为有效衔接乡村振兴和产业发展奠定良好基础。</w:t>
      </w:r>
    </w:p>
    <w:p>
      <w:pPr>
        <w:ind w:firstLine="640" w:firstLineChars="200"/>
        <w:rPr>
          <w:rFonts w:hint="eastAsia" w:ascii="方正仿宋_GB2312" w:hAnsi="方正仿宋_GB2312" w:eastAsia="方正仿宋_GB2312" w:cs="方正仿宋_GB2312"/>
          <w:sz w:val="32"/>
          <w:szCs w:val="32"/>
          <w:lang w:val="zh-CN" w:eastAsia="zh-CN"/>
        </w:rPr>
      </w:pPr>
      <w:r>
        <w:rPr>
          <w:rFonts w:hint="eastAsia" w:ascii="方正仿宋_GB2312" w:hAnsi="方正仿宋_GB2312" w:eastAsia="方正仿宋_GB2312" w:cs="方正仿宋_GB2312"/>
          <w:sz w:val="32"/>
          <w:szCs w:val="32"/>
          <w:lang w:val="en-US" w:eastAsia="zh-CN"/>
        </w:rPr>
        <w:t>5、“壤塘县尕多乡瑟谷村生态文化旅游项目</w:t>
      </w:r>
      <w:r>
        <w:rPr>
          <w:rFonts w:hint="default" w:ascii="方正仿宋_GB2312" w:hAnsi="方正仿宋_GB2312" w:eastAsia="方正仿宋_GB2312" w:cs="方正仿宋_GB2312"/>
          <w:sz w:val="32"/>
          <w:szCs w:val="32"/>
          <w:lang w:val="en-US" w:eastAsia="zh-CN"/>
        </w:rPr>
        <w:t>”</w:t>
      </w:r>
      <w:r>
        <w:rPr>
          <w:rFonts w:hint="eastAsia" w:ascii="方正仿宋_GB2312" w:hAnsi="方正仿宋_GB2312" w:eastAsia="方正仿宋_GB2312" w:cs="方正仿宋_GB2312"/>
          <w:sz w:val="32"/>
          <w:szCs w:val="32"/>
          <w:lang w:val="en-US" w:eastAsia="zh-CN"/>
        </w:rPr>
        <w:t>该项目实施将有效改善当地旅游基础设施条件，增加农村集体经济收益，还可以带动当地老百姓增收，预计每年稳定提供农村集体经济收益90000元，为有效衔接乡村振兴和产业发展奠定良好基础。</w:t>
      </w:r>
    </w:p>
    <w:p>
      <w:pPr>
        <w:ind w:firstLine="640" w:firstLineChars="200"/>
        <w:rPr>
          <w:rFonts w:hint="default"/>
          <w:lang w:val="en-US"/>
        </w:rPr>
      </w:pPr>
      <w:r>
        <w:rPr>
          <w:rFonts w:hint="eastAsia" w:ascii="方正仿宋_GB2312" w:hAnsi="方正仿宋_GB2312" w:eastAsia="方正仿宋_GB2312" w:cs="方正仿宋_GB2312"/>
          <w:sz w:val="32"/>
          <w:szCs w:val="32"/>
          <w:lang w:val="en-US" w:eastAsia="zh-CN"/>
        </w:rPr>
        <w:t>6、</w:t>
      </w:r>
      <w:r>
        <w:rPr>
          <w:rFonts w:hint="default" w:ascii="方正仿宋_GB2312" w:hAnsi="方正仿宋_GB2312" w:eastAsia="方正仿宋_GB2312" w:cs="方正仿宋_GB2312"/>
          <w:sz w:val="32"/>
          <w:szCs w:val="32"/>
          <w:lang w:val="en-US" w:eastAsia="zh-CN"/>
        </w:rPr>
        <w:t>“</w:t>
      </w:r>
      <w:r>
        <w:rPr>
          <w:rFonts w:hint="eastAsia" w:ascii="方正仿宋_GB2312" w:hAnsi="方正仿宋_GB2312" w:eastAsia="方正仿宋_GB2312" w:cs="方正仿宋_GB2312"/>
          <w:sz w:val="32"/>
          <w:szCs w:val="32"/>
          <w:lang w:val="en-US" w:eastAsia="zh-CN"/>
        </w:rPr>
        <w:t>壤塘县尕多乡2025年人工饲草种植项目</w:t>
      </w:r>
      <w:r>
        <w:rPr>
          <w:rFonts w:hint="default" w:ascii="方正仿宋_GB2312" w:hAnsi="方正仿宋_GB2312" w:eastAsia="方正仿宋_GB2312" w:cs="方正仿宋_GB2312"/>
          <w:sz w:val="32"/>
          <w:szCs w:val="32"/>
          <w:lang w:val="en-US" w:eastAsia="zh-CN"/>
        </w:rPr>
        <w:t>”</w:t>
      </w:r>
      <w:r>
        <w:rPr>
          <w:rFonts w:hint="eastAsia" w:ascii="方正仿宋_GB2312" w:hAnsi="方正仿宋_GB2312" w:eastAsia="方正仿宋_GB2312" w:cs="方正仿宋_GB2312"/>
          <w:sz w:val="32"/>
          <w:szCs w:val="32"/>
          <w:lang w:val="en-US" w:eastAsia="zh-CN"/>
        </w:rPr>
        <w:t>该项目实施将有效帮助当地农户储备冬季饲草，保障冬季牲畜饲草。减少牲畜缺乏饲草造成的损失，同时提高农村经济效益和社会效益，为有效衔接乡村振兴和产业发展奠定良好基础。</w:t>
      </w:r>
    </w:p>
    <w:p>
      <w:pPr>
        <w:pStyle w:val="5"/>
        <w:pageBreakBefore w:val="0"/>
        <w:kinsoku/>
        <w:wordWrap/>
        <w:overflowPunct/>
        <w:topLinePunct w:val="0"/>
        <w:bidi w:val="0"/>
        <w:spacing w:before="0" w:after="0" w:line="560" w:lineRule="exact"/>
        <w:ind w:left="0" w:leftChars="0" w:firstLine="642" w:firstLineChars="200"/>
        <w:rPr>
          <w:rFonts w:hint="eastAsia" w:ascii="楷体_GB2312" w:hAnsi="楷体_GB2312" w:eastAsia="楷体_GB2312" w:cs="楷体_GB2312"/>
          <w:color w:val="000000" w:themeColor="text1"/>
          <w:highlight w:val="none"/>
          <w:lang w:val="zh-CN"/>
          <w14:textFill>
            <w14:solidFill>
              <w14:schemeClr w14:val="tx1"/>
            </w14:solidFill>
          </w14:textFill>
        </w:rPr>
      </w:pPr>
      <w:r>
        <w:rPr>
          <w:rFonts w:hint="eastAsia" w:ascii="楷体_GB2312" w:hAnsi="楷体_GB2312" w:eastAsia="楷体_GB2312" w:cs="楷体_GB2312"/>
          <w:color w:val="000000" w:themeColor="text1"/>
          <w:highlight w:val="none"/>
          <w:lang w:val="zh-CN"/>
          <w14:textFill>
            <w14:solidFill>
              <w14:schemeClr w14:val="tx1"/>
            </w14:solidFill>
          </w14:textFill>
        </w:rPr>
        <w:t>（三）项目自评步骤及方法</w:t>
      </w:r>
    </w:p>
    <w:p>
      <w:pPr>
        <w:pageBreakBefore w:val="0"/>
        <w:kinsoku/>
        <w:wordWrap/>
        <w:overflowPunct/>
        <w:topLinePunct w:val="0"/>
        <w:bidi w:val="0"/>
        <w:spacing w:line="560" w:lineRule="exact"/>
        <w:ind w:left="0" w:leftChars="0" w:firstLine="640" w:firstLineChars="200"/>
        <w:rPr>
          <w:rFonts w:hint="eastAsia" w:ascii="仿宋_GB2312" w:hAnsi="Calibri" w:eastAsia="仿宋_GB2312" w:cs="仿宋"/>
          <w:color w:val="000000" w:themeColor="text1"/>
          <w:kern w:val="0"/>
          <w:sz w:val="32"/>
          <w:szCs w:val="32"/>
          <w:highlight w:val="none"/>
          <w:lang w:val="zh-CN" w:eastAsia="zh-CN" w:bidi="ar-SA"/>
          <w14:textFill>
            <w14:solidFill>
              <w14:schemeClr w14:val="tx1"/>
            </w14:solidFill>
          </w14:textFill>
        </w:rPr>
      </w:pPr>
      <w:r>
        <w:rPr>
          <w:rFonts w:hint="eastAsia" w:ascii="仿宋_GB2312" w:hAnsi="Calibri" w:eastAsia="仿宋_GB2312" w:cs="仿宋"/>
          <w:color w:val="000000" w:themeColor="text1"/>
          <w:kern w:val="0"/>
          <w:sz w:val="32"/>
          <w:szCs w:val="32"/>
          <w:highlight w:val="none"/>
          <w:lang w:val="zh-CN" w:eastAsia="zh-CN" w:bidi="ar-SA"/>
          <w14:textFill>
            <w14:solidFill>
              <w14:schemeClr w14:val="tx1"/>
            </w14:solidFill>
          </w14:textFill>
        </w:rPr>
        <w:t>成立了项目指挥部、基础设施项目配备了监理，乡上安排有专人负责。</w:t>
      </w:r>
    </w:p>
    <w:p>
      <w:pPr>
        <w:pStyle w:val="4"/>
        <w:pageBreakBefore w:val="0"/>
        <w:kinsoku/>
        <w:wordWrap/>
        <w:overflowPunct/>
        <w:topLinePunct w:val="0"/>
        <w:bidi w:val="0"/>
        <w:spacing w:before="0" w:after="0" w:line="560" w:lineRule="exact"/>
        <w:ind w:left="0" w:leftChars="0" w:firstLine="640" w:firstLineChars="200"/>
        <w:rPr>
          <w:rFonts w:hint="eastAsia" w:ascii="黑体" w:hAnsi="黑体" w:eastAsia="黑体" w:cs="黑体"/>
          <w:b w:val="0"/>
          <w:bCs w:val="0"/>
          <w:color w:val="000000" w:themeColor="text1"/>
          <w:highlight w:val="none"/>
          <w14:textFill>
            <w14:solidFill>
              <w14:schemeClr w14:val="tx1"/>
            </w14:solidFill>
          </w14:textFill>
        </w:rPr>
      </w:pPr>
      <w:bookmarkStart w:id="28" w:name="_Toc30223"/>
      <w:r>
        <w:rPr>
          <w:rFonts w:hint="eastAsia" w:ascii="黑体" w:hAnsi="黑体" w:eastAsia="黑体" w:cs="黑体"/>
          <w:b w:val="0"/>
          <w:bCs w:val="0"/>
          <w:color w:val="000000" w:themeColor="text1"/>
          <w:highlight w:val="none"/>
          <w14:textFill>
            <w14:solidFill>
              <w14:schemeClr w14:val="tx1"/>
            </w14:solidFill>
          </w14:textFill>
        </w:rPr>
        <w:t>二、项目资金申报及使用情况</w:t>
      </w:r>
      <w:bookmarkEnd w:id="28"/>
    </w:p>
    <w:p>
      <w:pPr>
        <w:pStyle w:val="5"/>
        <w:pageBreakBefore w:val="0"/>
        <w:kinsoku/>
        <w:wordWrap/>
        <w:overflowPunct/>
        <w:topLinePunct w:val="0"/>
        <w:bidi w:val="0"/>
        <w:spacing w:before="0" w:after="0" w:line="560" w:lineRule="exact"/>
        <w:ind w:left="0" w:leftChars="0" w:firstLine="642" w:firstLineChars="200"/>
        <w:rPr>
          <w:rFonts w:hint="eastAsia" w:ascii="楷体_GB2312" w:hAnsi="楷体_GB2312" w:eastAsia="楷体_GB2312" w:cs="楷体_GB2312"/>
          <w:color w:val="000000" w:themeColor="text1"/>
          <w:highlight w:val="none"/>
          <w:lang w:val="zh-CN"/>
          <w14:textFill>
            <w14:solidFill>
              <w14:schemeClr w14:val="tx1"/>
            </w14:solidFill>
          </w14:textFill>
        </w:rPr>
      </w:pPr>
      <w:r>
        <w:rPr>
          <w:rFonts w:hint="eastAsia" w:ascii="楷体_GB2312" w:hAnsi="楷体_GB2312" w:eastAsia="楷体_GB2312" w:cs="楷体_GB2312"/>
          <w:color w:val="000000" w:themeColor="text1"/>
          <w:highlight w:val="none"/>
          <w:lang w:val="zh-CN"/>
          <w14:textFill>
            <w14:solidFill>
              <w14:schemeClr w14:val="tx1"/>
            </w14:solidFill>
          </w14:textFill>
        </w:rPr>
        <w:t>（一）项目资金申报及批复情况</w:t>
      </w:r>
    </w:p>
    <w:p>
      <w:pPr>
        <w:pageBreakBefore w:val="0"/>
        <w:kinsoku/>
        <w:wordWrap/>
        <w:overflowPunct/>
        <w:topLinePunct w:val="0"/>
        <w:bidi w:val="0"/>
        <w:spacing w:line="560" w:lineRule="exact"/>
        <w:ind w:left="0" w:leftChars="0" w:firstLine="640" w:firstLineChars="200"/>
        <w:rPr>
          <w:rFonts w:hint="eastAsia" w:ascii="仿宋_GB2312" w:hAnsi="Calibri" w:eastAsia="仿宋_GB2312" w:cs="仿宋"/>
          <w:color w:val="000000" w:themeColor="text1"/>
          <w:kern w:val="0"/>
          <w:sz w:val="32"/>
          <w:szCs w:val="32"/>
          <w:highlight w:val="none"/>
          <w:lang w:val="zh-CN" w:eastAsia="zh-CN" w:bidi="ar-SA"/>
          <w14:textFill>
            <w14:solidFill>
              <w14:schemeClr w14:val="tx1"/>
            </w14:solidFill>
          </w14:textFill>
        </w:rPr>
      </w:pPr>
      <w:r>
        <w:rPr>
          <w:rFonts w:hint="eastAsia" w:ascii="仿宋_GB2312" w:hAnsi="Calibri" w:eastAsia="仿宋_GB2312" w:cs="仿宋"/>
          <w:color w:val="000000" w:themeColor="text1"/>
          <w:kern w:val="0"/>
          <w:sz w:val="32"/>
          <w:szCs w:val="32"/>
          <w:highlight w:val="none"/>
          <w:lang w:val="zh-CN" w:eastAsia="zh-CN" w:bidi="ar-SA"/>
          <w14:textFill>
            <w14:solidFill>
              <w14:schemeClr w14:val="tx1"/>
            </w14:solidFill>
          </w14:textFill>
        </w:rPr>
        <w:t>项目资金</w:t>
      </w:r>
      <w:r>
        <w:rPr>
          <w:rFonts w:hint="eastAsia" w:ascii="仿宋_GB2312" w:hAnsi="Calibri" w:eastAsia="仿宋_GB2312" w:cs="仿宋"/>
          <w:color w:val="000000" w:themeColor="text1"/>
          <w:kern w:val="0"/>
          <w:sz w:val="32"/>
          <w:szCs w:val="32"/>
          <w:highlight w:val="none"/>
          <w:lang w:val="en-US" w:eastAsia="zh-CN" w:bidi="ar-SA"/>
          <w14:textFill>
            <w14:solidFill>
              <w14:schemeClr w14:val="tx1"/>
            </w14:solidFill>
          </w14:textFill>
        </w:rPr>
        <w:t>由尕多乡党委政府</w:t>
      </w:r>
      <w:r>
        <w:rPr>
          <w:rFonts w:hint="eastAsia" w:ascii="仿宋_GB2312" w:hAnsi="Calibri" w:eastAsia="仿宋_GB2312" w:cs="仿宋"/>
          <w:color w:val="000000" w:themeColor="text1"/>
          <w:kern w:val="0"/>
          <w:sz w:val="32"/>
          <w:szCs w:val="32"/>
          <w:highlight w:val="none"/>
          <w:lang w:val="zh-CN" w:eastAsia="zh-CN" w:bidi="ar-SA"/>
          <w14:textFill>
            <w14:solidFill>
              <w14:schemeClr w14:val="tx1"/>
            </w14:solidFill>
          </w14:textFill>
        </w:rPr>
        <w:t>申报</w:t>
      </w:r>
      <w:r>
        <w:rPr>
          <w:rFonts w:hint="eastAsia" w:ascii="仿宋_GB2312" w:hAnsi="Calibri" w:eastAsia="仿宋_GB2312" w:cs="仿宋"/>
          <w:color w:val="000000" w:themeColor="text1"/>
          <w:kern w:val="0"/>
          <w:sz w:val="32"/>
          <w:szCs w:val="32"/>
          <w:highlight w:val="none"/>
          <w:lang w:val="en-US" w:eastAsia="zh-CN" w:bidi="ar-SA"/>
          <w14:textFill>
            <w14:solidFill>
              <w14:schemeClr w14:val="tx1"/>
            </w14:solidFill>
          </w14:textFill>
        </w:rPr>
        <w:t>后报发改局立项</w:t>
      </w:r>
      <w:r>
        <w:rPr>
          <w:rFonts w:hint="eastAsia" w:ascii="仿宋_GB2312" w:hAnsi="Calibri" w:eastAsia="仿宋_GB2312" w:cs="仿宋"/>
          <w:color w:val="000000" w:themeColor="text1"/>
          <w:kern w:val="0"/>
          <w:sz w:val="32"/>
          <w:szCs w:val="32"/>
          <w:highlight w:val="none"/>
          <w:lang w:val="zh-CN" w:eastAsia="zh-CN" w:bidi="ar-SA"/>
          <w14:textFill>
            <w14:solidFill>
              <w14:schemeClr w14:val="tx1"/>
            </w14:solidFill>
          </w14:textFill>
        </w:rPr>
        <w:t>批复，</w:t>
      </w:r>
      <w:r>
        <w:rPr>
          <w:rFonts w:hint="eastAsia" w:ascii="仿宋_GB2312" w:hAnsi="Calibri" w:eastAsia="仿宋_GB2312" w:cs="仿宋"/>
          <w:color w:val="000000" w:themeColor="text1"/>
          <w:kern w:val="0"/>
          <w:sz w:val="32"/>
          <w:szCs w:val="32"/>
          <w:highlight w:val="none"/>
          <w:lang w:val="en-US" w:eastAsia="zh-CN" w:bidi="ar-SA"/>
          <w14:textFill>
            <w14:solidFill>
              <w14:schemeClr w14:val="tx1"/>
            </w14:solidFill>
          </w14:textFill>
        </w:rPr>
        <w:t>财政局</w:t>
      </w:r>
      <w:r>
        <w:rPr>
          <w:rFonts w:hint="eastAsia" w:ascii="仿宋_GB2312" w:hAnsi="Calibri" w:eastAsia="仿宋_GB2312" w:cs="仿宋"/>
          <w:color w:val="000000" w:themeColor="text1"/>
          <w:kern w:val="0"/>
          <w:sz w:val="32"/>
          <w:szCs w:val="32"/>
          <w:highlight w:val="none"/>
          <w:lang w:val="zh-CN" w:eastAsia="zh-CN" w:bidi="ar-SA"/>
          <w14:textFill>
            <w14:solidFill>
              <w14:schemeClr w14:val="tx1"/>
            </w14:solidFill>
          </w14:textFill>
        </w:rPr>
        <w:t>预算调整。</w:t>
      </w:r>
    </w:p>
    <w:p>
      <w:pPr>
        <w:pStyle w:val="5"/>
        <w:pageBreakBefore w:val="0"/>
        <w:kinsoku/>
        <w:wordWrap/>
        <w:overflowPunct/>
        <w:topLinePunct w:val="0"/>
        <w:bidi w:val="0"/>
        <w:spacing w:before="0" w:after="0" w:line="560" w:lineRule="exact"/>
        <w:ind w:left="0" w:leftChars="0" w:firstLine="642" w:firstLineChars="200"/>
        <w:rPr>
          <w:rFonts w:hint="eastAsia" w:ascii="楷体_GB2312" w:hAnsi="楷体_GB2312" w:eastAsia="楷体_GB2312" w:cs="楷体_GB2312"/>
          <w:color w:val="000000" w:themeColor="text1"/>
          <w:highlight w:val="none"/>
          <w:lang w:val="zh-CN"/>
          <w14:textFill>
            <w14:solidFill>
              <w14:schemeClr w14:val="tx1"/>
            </w14:solidFill>
          </w14:textFill>
        </w:rPr>
      </w:pPr>
      <w:r>
        <w:rPr>
          <w:rFonts w:hint="eastAsia" w:ascii="楷体_GB2312" w:hAnsi="楷体_GB2312" w:eastAsia="楷体_GB2312" w:cs="楷体_GB2312"/>
          <w:color w:val="000000" w:themeColor="text1"/>
          <w:highlight w:val="none"/>
          <w:lang w:val="zh-CN"/>
          <w14:textFill>
            <w14:solidFill>
              <w14:schemeClr w14:val="tx1"/>
            </w14:solidFill>
          </w14:textFill>
        </w:rPr>
        <w:t>（二）资金计划、到位及使用情况</w:t>
      </w:r>
    </w:p>
    <w:p>
      <w:pPr>
        <w:ind w:firstLine="642" w:firstLineChars="200"/>
        <w:rPr>
          <w:rFonts w:hint="eastAsia" w:ascii="仿宋_GB2312" w:hAnsi="Calibri" w:eastAsia="仿宋_GB2312" w:cs="仿宋"/>
          <w:color w:val="0000FF"/>
          <w:kern w:val="0"/>
          <w:sz w:val="32"/>
          <w:szCs w:val="32"/>
          <w:highlight w:val="none"/>
          <w:lang w:val="en-US" w:eastAsia="zh-CN" w:bidi="ar-SA"/>
        </w:rPr>
      </w:pPr>
      <w:r>
        <w:rPr>
          <w:rFonts w:hint="eastAsia" w:ascii="仿宋_GB2312" w:hAnsi="Calibri" w:eastAsia="仿宋_GB2312" w:cs="仿宋"/>
          <w:b/>
          <w:bCs/>
          <w:color w:val="000000" w:themeColor="text1"/>
          <w:kern w:val="0"/>
          <w:sz w:val="32"/>
          <w:szCs w:val="32"/>
          <w:highlight w:val="none"/>
          <w:lang w:val="zh-CN" w:eastAsia="zh-CN" w:bidi="ar-SA"/>
          <w14:textFill>
            <w14:solidFill>
              <w14:schemeClr w14:val="tx1"/>
            </w14:solidFill>
          </w14:textFill>
        </w:rPr>
        <w:t>1．资金计划及到位情况</w:t>
      </w:r>
      <w:r>
        <w:rPr>
          <w:rFonts w:hint="eastAsia" w:ascii="仿宋_GB2312" w:hAnsi="Calibri" w:eastAsia="仿宋_GB2312" w:cs="仿宋"/>
          <w:color w:val="000000" w:themeColor="text1"/>
          <w:kern w:val="0"/>
          <w:sz w:val="32"/>
          <w:szCs w:val="32"/>
          <w:highlight w:val="none"/>
          <w:lang w:val="zh-CN" w:eastAsia="zh-CN" w:bidi="ar-SA"/>
          <w14:textFill>
            <w14:solidFill>
              <w14:schemeClr w14:val="tx1"/>
            </w14:solidFill>
          </w14:textFill>
        </w:rPr>
        <w:t>。</w:t>
      </w:r>
      <w:r>
        <w:rPr>
          <w:rFonts w:hint="eastAsia" w:ascii="方正仿宋_GB2312" w:hAnsi="方正仿宋_GB2312" w:eastAsia="方正仿宋_GB2312" w:cs="方正仿宋_GB2312"/>
          <w:color w:val="000000" w:themeColor="text1"/>
          <w:sz w:val="32"/>
          <w:szCs w:val="32"/>
          <w:highlight w:val="none"/>
          <w:lang w:val="en-US" w:eastAsia="zh-CN"/>
          <w14:textFill>
            <w14:solidFill>
              <w14:schemeClr w14:val="tx1"/>
            </w14:solidFill>
          </w14:textFill>
        </w:rPr>
        <w:t>“壤塘县尕多乡标准化种植基地项目”</w:t>
      </w:r>
      <w:r>
        <w:rPr>
          <w:rFonts w:hint="eastAsia" w:ascii="仿宋_GB2312" w:hAnsi="Calibri" w:eastAsia="仿宋_GB2312" w:cs="仿宋"/>
          <w:color w:val="000000" w:themeColor="text1"/>
          <w:kern w:val="0"/>
          <w:sz w:val="32"/>
          <w:szCs w:val="32"/>
          <w:highlight w:val="none"/>
          <w:lang w:val="zh-CN" w:eastAsia="zh-CN" w:bidi="ar-SA"/>
          <w14:textFill>
            <w14:solidFill>
              <w14:schemeClr w14:val="tx1"/>
            </w14:solidFill>
          </w14:textFill>
        </w:rPr>
        <w:t>该项目总投资</w:t>
      </w:r>
      <w:r>
        <w:rPr>
          <w:rFonts w:hint="eastAsia" w:ascii="仿宋_GB2312" w:eastAsia="仿宋_GB2312" w:cs="仿宋"/>
          <w:color w:val="000000" w:themeColor="text1"/>
          <w:kern w:val="0"/>
          <w:sz w:val="32"/>
          <w:szCs w:val="32"/>
          <w:highlight w:val="none"/>
          <w:lang w:val="en-US" w:eastAsia="zh-CN" w:bidi="ar-SA"/>
          <w14:textFill>
            <w14:solidFill>
              <w14:schemeClr w14:val="tx1"/>
            </w14:solidFill>
          </w14:textFill>
        </w:rPr>
        <w:t>610</w:t>
      </w:r>
      <w:r>
        <w:rPr>
          <w:rFonts w:hint="eastAsia" w:ascii="仿宋_GB2312" w:hAnsi="Calibri" w:eastAsia="仿宋_GB2312" w:cs="仿宋"/>
          <w:color w:val="000000" w:themeColor="text1"/>
          <w:kern w:val="0"/>
          <w:sz w:val="32"/>
          <w:szCs w:val="32"/>
          <w:highlight w:val="none"/>
          <w:lang w:val="en-US" w:eastAsia="zh-CN" w:bidi="ar-SA"/>
          <w14:textFill>
            <w14:solidFill>
              <w14:schemeClr w14:val="tx1"/>
            </w14:solidFill>
          </w14:textFill>
        </w:rPr>
        <w:t>万</w:t>
      </w:r>
      <w:r>
        <w:rPr>
          <w:rFonts w:hint="eastAsia" w:ascii="仿宋_GB2312" w:hAnsi="Calibri" w:eastAsia="仿宋_GB2312" w:cs="仿宋"/>
          <w:color w:val="000000" w:themeColor="text1"/>
          <w:kern w:val="0"/>
          <w:sz w:val="32"/>
          <w:szCs w:val="32"/>
          <w:highlight w:val="none"/>
          <w:lang w:val="zh-CN" w:eastAsia="zh-CN" w:bidi="ar-SA"/>
          <w14:textFill>
            <w14:solidFill>
              <w14:schemeClr w14:val="tx1"/>
            </w14:solidFill>
          </w14:textFill>
        </w:rPr>
        <w:t>元</w:t>
      </w:r>
      <w:r>
        <w:rPr>
          <w:rFonts w:hint="eastAsia" w:ascii="仿宋_GB2312" w:eastAsia="仿宋_GB2312" w:cs="仿宋"/>
          <w:color w:val="000000" w:themeColor="text1"/>
          <w:kern w:val="0"/>
          <w:sz w:val="32"/>
          <w:szCs w:val="32"/>
          <w:highlight w:val="none"/>
          <w:lang w:val="zh-CN" w:eastAsia="zh-CN" w:bidi="ar-SA"/>
          <w14:textFill>
            <w14:solidFill>
              <w14:schemeClr w14:val="tx1"/>
            </w14:solidFill>
          </w14:textFill>
        </w:rPr>
        <w:t>，</w:t>
      </w:r>
      <w:r>
        <w:rPr>
          <w:rFonts w:hint="eastAsia" w:ascii="仿宋_GB2312" w:eastAsia="仿宋_GB2312" w:cs="仿宋"/>
          <w:color w:val="000000" w:themeColor="text1"/>
          <w:kern w:val="0"/>
          <w:sz w:val="32"/>
          <w:szCs w:val="32"/>
          <w:highlight w:val="none"/>
          <w:lang w:val="en-US" w:eastAsia="zh-CN" w:bidi="ar-SA"/>
          <w14:textFill>
            <w14:solidFill>
              <w14:schemeClr w14:val="tx1"/>
            </w14:solidFill>
          </w14:textFill>
        </w:rPr>
        <w:t>资金到位555万元</w:t>
      </w:r>
      <w:r>
        <w:rPr>
          <w:rFonts w:hint="eastAsia" w:ascii="仿宋_GB2312" w:hAnsi="Calibri" w:eastAsia="仿宋_GB2312" w:cs="仿宋"/>
          <w:color w:val="000000" w:themeColor="text1"/>
          <w:kern w:val="0"/>
          <w:sz w:val="32"/>
          <w:szCs w:val="32"/>
          <w:highlight w:val="none"/>
          <w:lang w:val="zh-CN" w:eastAsia="zh-CN" w:bidi="ar-SA"/>
          <w14:textFill>
            <w14:solidFill>
              <w14:schemeClr w14:val="tx1"/>
            </w14:solidFill>
          </w14:textFill>
        </w:rPr>
        <w:t>。</w:t>
      </w:r>
      <w:r>
        <w:rPr>
          <w:rFonts w:hint="eastAsia" w:ascii="方正仿宋_GB2312" w:hAnsi="方正仿宋_GB2312" w:eastAsia="方正仿宋_GB2312" w:cs="方正仿宋_GB2312"/>
          <w:color w:val="000000" w:themeColor="text1"/>
          <w:sz w:val="32"/>
          <w:szCs w:val="32"/>
          <w:highlight w:val="none"/>
          <w:lang w:val="zh-CN" w:eastAsia="zh-CN"/>
          <w14:textFill>
            <w14:solidFill>
              <w14:schemeClr w14:val="tx1"/>
            </w14:solidFill>
          </w14:textFill>
        </w:rPr>
        <w:t>“</w:t>
      </w:r>
      <w:r>
        <w:rPr>
          <w:rFonts w:hint="eastAsia" w:ascii="方正仿宋_GB2312" w:hAnsi="方正仿宋_GB2312" w:eastAsia="方正仿宋_GB2312" w:cs="方正仿宋_GB2312"/>
          <w:color w:val="000000" w:themeColor="text1"/>
          <w:sz w:val="32"/>
          <w:szCs w:val="32"/>
          <w:highlight w:val="none"/>
          <w:lang w:val="en-US" w:eastAsia="zh-CN"/>
          <w14:textFill>
            <w14:solidFill>
              <w14:schemeClr w14:val="tx1"/>
            </w14:solidFill>
          </w14:textFill>
        </w:rPr>
        <w:t>壤塘县尕多乡过境路沿线网围栏提升项目”</w:t>
      </w:r>
      <w:r>
        <w:rPr>
          <w:rFonts w:hint="eastAsia" w:ascii="仿宋_GB2312" w:hAnsi="Calibri" w:eastAsia="仿宋_GB2312" w:cs="仿宋"/>
          <w:color w:val="000000" w:themeColor="text1"/>
          <w:kern w:val="0"/>
          <w:sz w:val="32"/>
          <w:szCs w:val="32"/>
          <w:highlight w:val="none"/>
          <w:lang w:val="zh-CN" w:eastAsia="zh-CN" w:bidi="ar-SA"/>
          <w14:textFill>
            <w14:solidFill>
              <w14:schemeClr w14:val="tx1"/>
            </w14:solidFill>
          </w14:textFill>
        </w:rPr>
        <w:t>该项目总投资</w:t>
      </w:r>
      <w:r>
        <w:rPr>
          <w:rFonts w:hint="eastAsia" w:ascii="仿宋_GB2312" w:eastAsia="仿宋_GB2312" w:cs="仿宋"/>
          <w:color w:val="000000" w:themeColor="text1"/>
          <w:kern w:val="0"/>
          <w:sz w:val="32"/>
          <w:szCs w:val="32"/>
          <w:highlight w:val="none"/>
          <w:lang w:val="en-US" w:eastAsia="zh-CN" w:bidi="ar-SA"/>
          <w14:textFill>
            <w14:solidFill>
              <w14:schemeClr w14:val="tx1"/>
            </w14:solidFill>
          </w14:textFill>
        </w:rPr>
        <w:t>68</w:t>
      </w:r>
      <w:r>
        <w:rPr>
          <w:rFonts w:hint="eastAsia" w:ascii="仿宋_GB2312" w:hAnsi="Calibri" w:eastAsia="仿宋_GB2312" w:cs="仿宋"/>
          <w:color w:val="000000" w:themeColor="text1"/>
          <w:kern w:val="0"/>
          <w:sz w:val="32"/>
          <w:szCs w:val="32"/>
          <w:highlight w:val="none"/>
          <w:lang w:val="en-US" w:eastAsia="zh-CN" w:bidi="ar-SA"/>
          <w14:textFill>
            <w14:solidFill>
              <w14:schemeClr w14:val="tx1"/>
            </w14:solidFill>
          </w14:textFill>
        </w:rPr>
        <w:t>万</w:t>
      </w:r>
      <w:r>
        <w:rPr>
          <w:rFonts w:hint="eastAsia" w:ascii="仿宋_GB2312" w:hAnsi="Calibri" w:eastAsia="仿宋_GB2312" w:cs="仿宋"/>
          <w:color w:val="000000" w:themeColor="text1"/>
          <w:kern w:val="0"/>
          <w:sz w:val="32"/>
          <w:szCs w:val="32"/>
          <w:highlight w:val="none"/>
          <w:lang w:val="zh-CN" w:eastAsia="zh-CN" w:bidi="ar-SA"/>
          <w14:textFill>
            <w14:solidFill>
              <w14:schemeClr w14:val="tx1"/>
            </w14:solidFill>
          </w14:textFill>
        </w:rPr>
        <w:t>元</w:t>
      </w:r>
      <w:r>
        <w:rPr>
          <w:rFonts w:hint="eastAsia" w:ascii="仿宋_GB2312" w:eastAsia="仿宋_GB2312" w:cs="仿宋"/>
          <w:color w:val="000000" w:themeColor="text1"/>
          <w:kern w:val="0"/>
          <w:sz w:val="32"/>
          <w:szCs w:val="32"/>
          <w:highlight w:val="none"/>
          <w:lang w:val="zh-CN" w:eastAsia="zh-CN" w:bidi="ar-SA"/>
          <w14:textFill>
            <w14:solidFill>
              <w14:schemeClr w14:val="tx1"/>
            </w14:solidFill>
          </w14:textFill>
        </w:rPr>
        <w:t>，</w:t>
      </w:r>
      <w:r>
        <w:rPr>
          <w:rFonts w:hint="eastAsia" w:ascii="仿宋_GB2312" w:eastAsia="仿宋_GB2312" w:cs="仿宋"/>
          <w:color w:val="000000" w:themeColor="text1"/>
          <w:kern w:val="0"/>
          <w:sz w:val="32"/>
          <w:szCs w:val="32"/>
          <w:highlight w:val="none"/>
          <w:lang w:val="en-US" w:eastAsia="zh-CN" w:bidi="ar-SA"/>
          <w14:textFill>
            <w14:solidFill>
              <w14:schemeClr w14:val="tx1"/>
            </w14:solidFill>
          </w14:textFill>
        </w:rPr>
        <w:t>资金到位68万元</w:t>
      </w:r>
      <w:r>
        <w:rPr>
          <w:rFonts w:hint="eastAsia" w:ascii="仿宋_GB2312" w:eastAsia="仿宋_GB2312" w:cs="仿宋"/>
          <w:color w:val="000000" w:themeColor="text1"/>
          <w:kern w:val="0"/>
          <w:sz w:val="32"/>
          <w:szCs w:val="32"/>
          <w:highlight w:val="none"/>
          <w:lang w:val="zh-CN" w:eastAsia="zh-CN" w:bidi="ar-SA"/>
          <w14:textFill>
            <w14:solidFill>
              <w14:schemeClr w14:val="tx1"/>
            </w14:solidFill>
          </w14:textFill>
        </w:rPr>
        <w:t>。</w:t>
      </w:r>
      <w:r>
        <w:rPr>
          <w:rFonts w:hint="eastAsia" w:ascii="方正仿宋_GB2312" w:hAnsi="方正仿宋_GB2312" w:eastAsia="方正仿宋_GB2312" w:cs="方正仿宋_GB2312"/>
          <w:color w:val="000000" w:themeColor="text1"/>
          <w:sz w:val="32"/>
          <w:szCs w:val="32"/>
          <w:highlight w:val="none"/>
          <w:lang w:val="en-US" w:eastAsia="zh-CN"/>
          <w14:textFill>
            <w14:solidFill>
              <w14:schemeClr w14:val="tx1"/>
            </w14:solidFill>
          </w14:textFill>
        </w:rPr>
        <w:t>“壤塘县尕多乡奶源路建设项目</w:t>
      </w:r>
      <w:r>
        <w:rPr>
          <w:rFonts w:hint="default" w:ascii="方正仿宋_GB2312" w:hAnsi="方正仿宋_GB2312" w:eastAsia="方正仿宋_GB2312" w:cs="方正仿宋_GB2312"/>
          <w:color w:val="000000" w:themeColor="text1"/>
          <w:sz w:val="32"/>
          <w:szCs w:val="32"/>
          <w:highlight w:val="none"/>
          <w:lang w:val="en-US" w:eastAsia="zh-CN"/>
          <w14:textFill>
            <w14:solidFill>
              <w14:schemeClr w14:val="tx1"/>
            </w14:solidFill>
          </w14:textFill>
        </w:rPr>
        <w:t>”</w:t>
      </w:r>
      <w:r>
        <w:rPr>
          <w:rFonts w:hint="eastAsia" w:ascii="仿宋_GB2312" w:hAnsi="Calibri" w:eastAsia="仿宋_GB2312" w:cs="仿宋"/>
          <w:color w:val="000000" w:themeColor="text1"/>
          <w:kern w:val="0"/>
          <w:sz w:val="32"/>
          <w:szCs w:val="32"/>
          <w:highlight w:val="none"/>
          <w:lang w:val="zh-CN" w:eastAsia="zh-CN" w:bidi="ar-SA"/>
          <w14:textFill>
            <w14:solidFill>
              <w14:schemeClr w14:val="tx1"/>
            </w14:solidFill>
          </w14:textFill>
        </w:rPr>
        <w:t>该项目总投资</w:t>
      </w:r>
      <w:r>
        <w:rPr>
          <w:rFonts w:hint="eastAsia" w:ascii="仿宋_GB2312" w:eastAsia="仿宋_GB2312" w:cs="仿宋"/>
          <w:color w:val="000000" w:themeColor="text1"/>
          <w:kern w:val="0"/>
          <w:sz w:val="32"/>
          <w:szCs w:val="32"/>
          <w:highlight w:val="none"/>
          <w:lang w:val="en-US" w:eastAsia="zh-CN" w:bidi="ar-SA"/>
          <w14:textFill>
            <w14:solidFill>
              <w14:schemeClr w14:val="tx1"/>
            </w14:solidFill>
          </w14:textFill>
        </w:rPr>
        <w:t>80</w:t>
      </w:r>
      <w:r>
        <w:rPr>
          <w:rFonts w:hint="eastAsia" w:ascii="仿宋_GB2312" w:hAnsi="Calibri" w:eastAsia="仿宋_GB2312" w:cs="仿宋"/>
          <w:color w:val="000000" w:themeColor="text1"/>
          <w:kern w:val="0"/>
          <w:sz w:val="32"/>
          <w:szCs w:val="32"/>
          <w:highlight w:val="none"/>
          <w:lang w:val="en-US" w:eastAsia="zh-CN" w:bidi="ar-SA"/>
          <w14:textFill>
            <w14:solidFill>
              <w14:schemeClr w14:val="tx1"/>
            </w14:solidFill>
          </w14:textFill>
        </w:rPr>
        <w:t>万</w:t>
      </w:r>
      <w:r>
        <w:rPr>
          <w:rFonts w:hint="eastAsia" w:ascii="仿宋_GB2312" w:hAnsi="Calibri" w:eastAsia="仿宋_GB2312" w:cs="仿宋"/>
          <w:color w:val="000000" w:themeColor="text1"/>
          <w:kern w:val="0"/>
          <w:sz w:val="32"/>
          <w:szCs w:val="32"/>
          <w:highlight w:val="none"/>
          <w:lang w:val="zh-CN" w:eastAsia="zh-CN" w:bidi="ar-SA"/>
          <w14:textFill>
            <w14:solidFill>
              <w14:schemeClr w14:val="tx1"/>
            </w14:solidFill>
          </w14:textFill>
        </w:rPr>
        <w:t>元</w:t>
      </w:r>
      <w:r>
        <w:rPr>
          <w:rFonts w:hint="eastAsia" w:ascii="仿宋_GB2312" w:eastAsia="仿宋_GB2312" w:cs="仿宋"/>
          <w:color w:val="000000" w:themeColor="text1"/>
          <w:kern w:val="0"/>
          <w:sz w:val="32"/>
          <w:szCs w:val="32"/>
          <w:highlight w:val="none"/>
          <w:lang w:val="zh-CN" w:eastAsia="zh-CN" w:bidi="ar-SA"/>
          <w14:textFill>
            <w14:solidFill>
              <w14:schemeClr w14:val="tx1"/>
            </w14:solidFill>
          </w14:textFill>
        </w:rPr>
        <w:t>，</w:t>
      </w:r>
      <w:r>
        <w:rPr>
          <w:rFonts w:hint="eastAsia" w:ascii="仿宋_GB2312" w:eastAsia="仿宋_GB2312" w:cs="仿宋"/>
          <w:color w:val="000000" w:themeColor="text1"/>
          <w:kern w:val="0"/>
          <w:sz w:val="32"/>
          <w:szCs w:val="32"/>
          <w:highlight w:val="none"/>
          <w:lang w:val="en-US" w:eastAsia="zh-CN" w:bidi="ar-SA"/>
          <w14:textFill>
            <w14:solidFill>
              <w14:schemeClr w14:val="tx1"/>
            </w14:solidFill>
          </w14:textFill>
        </w:rPr>
        <w:t>资金到位80万元</w:t>
      </w:r>
      <w:r>
        <w:rPr>
          <w:rFonts w:hint="eastAsia" w:ascii="仿宋_GB2312" w:hAnsi="Calibri" w:eastAsia="仿宋_GB2312" w:cs="仿宋"/>
          <w:color w:val="000000" w:themeColor="text1"/>
          <w:kern w:val="0"/>
          <w:sz w:val="32"/>
          <w:szCs w:val="32"/>
          <w:highlight w:val="none"/>
          <w:lang w:val="zh-CN" w:eastAsia="zh-CN" w:bidi="ar-SA"/>
          <w14:textFill>
            <w14:solidFill>
              <w14:schemeClr w14:val="tx1"/>
            </w14:solidFill>
          </w14:textFill>
        </w:rPr>
        <w:t>。</w:t>
      </w:r>
      <w:r>
        <w:rPr>
          <w:rFonts w:hint="eastAsia" w:ascii="方正仿宋_GB2312" w:hAnsi="方正仿宋_GB2312" w:eastAsia="方正仿宋_GB2312" w:cs="方正仿宋_GB2312"/>
          <w:color w:val="000000" w:themeColor="text1"/>
          <w:sz w:val="32"/>
          <w:szCs w:val="32"/>
          <w:highlight w:val="none"/>
          <w:lang w:val="en-US" w:eastAsia="zh-CN"/>
          <w14:textFill>
            <w14:solidFill>
              <w14:schemeClr w14:val="tx1"/>
            </w14:solidFill>
          </w14:textFill>
        </w:rPr>
        <w:t>“壤塘县尕多乡刑木达和美乡村农旅产业配套基础设施建设项目</w:t>
      </w:r>
      <w:r>
        <w:rPr>
          <w:rFonts w:hint="default" w:ascii="方正仿宋_GB2312" w:hAnsi="方正仿宋_GB2312" w:eastAsia="方正仿宋_GB2312" w:cs="方正仿宋_GB2312"/>
          <w:color w:val="000000" w:themeColor="text1"/>
          <w:sz w:val="32"/>
          <w:szCs w:val="32"/>
          <w:highlight w:val="none"/>
          <w:lang w:val="en-US" w:eastAsia="zh-CN"/>
          <w14:textFill>
            <w14:solidFill>
              <w14:schemeClr w14:val="tx1"/>
            </w14:solidFill>
          </w14:textFill>
        </w:rPr>
        <w:t>”</w:t>
      </w:r>
      <w:r>
        <w:rPr>
          <w:rFonts w:hint="eastAsia" w:ascii="仿宋_GB2312" w:hAnsi="Calibri" w:eastAsia="仿宋_GB2312" w:cs="仿宋"/>
          <w:color w:val="000000" w:themeColor="text1"/>
          <w:kern w:val="0"/>
          <w:sz w:val="32"/>
          <w:szCs w:val="32"/>
          <w:highlight w:val="none"/>
          <w:lang w:val="zh-CN" w:eastAsia="zh-CN" w:bidi="ar-SA"/>
          <w14:textFill>
            <w14:solidFill>
              <w14:schemeClr w14:val="tx1"/>
            </w14:solidFill>
          </w14:textFill>
        </w:rPr>
        <w:t>该项目总投资</w:t>
      </w:r>
      <w:r>
        <w:rPr>
          <w:rFonts w:hint="eastAsia" w:ascii="仿宋_GB2312" w:eastAsia="仿宋_GB2312" w:cs="仿宋"/>
          <w:color w:val="000000" w:themeColor="text1"/>
          <w:kern w:val="0"/>
          <w:sz w:val="32"/>
          <w:szCs w:val="32"/>
          <w:highlight w:val="none"/>
          <w:lang w:val="en-US" w:eastAsia="zh-CN" w:bidi="ar-SA"/>
          <w14:textFill>
            <w14:solidFill>
              <w14:schemeClr w14:val="tx1"/>
            </w14:solidFill>
          </w14:textFill>
        </w:rPr>
        <w:t>3000</w:t>
      </w:r>
      <w:r>
        <w:rPr>
          <w:rFonts w:hint="eastAsia" w:ascii="仿宋_GB2312" w:hAnsi="Calibri" w:eastAsia="仿宋_GB2312" w:cs="仿宋"/>
          <w:color w:val="000000" w:themeColor="text1"/>
          <w:kern w:val="0"/>
          <w:sz w:val="32"/>
          <w:szCs w:val="32"/>
          <w:highlight w:val="none"/>
          <w:lang w:val="en-US" w:eastAsia="zh-CN" w:bidi="ar-SA"/>
          <w14:textFill>
            <w14:solidFill>
              <w14:schemeClr w14:val="tx1"/>
            </w14:solidFill>
          </w14:textFill>
        </w:rPr>
        <w:t>万</w:t>
      </w:r>
      <w:r>
        <w:rPr>
          <w:rFonts w:hint="eastAsia" w:ascii="仿宋_GB2312" w:hAnsi="Calibri" w:eastAsia="仿宋_GB2312" w:cs="仿宋"/>
          <w:color w:val="000000" w:themeColor="text1"/>
          <w:kern w:val="0"/>
          <w:sz w:val="32"/>
          <w:szCs w:val="32"/>
          <w:highlight w:val="none"/>
          <w:lang w:val="zh-CN" w:eastAsia="zh-CN" w:bidi="ar-SA"/>
          <w14:textFill>
            <w14:solidFill>
              <w14:schemeClr w14:val="tx1"/>
            </w14:solidFill>
          </w14:textFill>
        </w:rPr>
        <w:t>元</w:t>
      </w:r>
      <w:r>
        <w:rPr>
          <w:rFonts w:hint="eastAsia" w:ascii="仿宋_GB2312" w:eastAsia="仿宋_GB2312" w:cs="仿宋"/>
          <w:color w:val="000000" w:themeColor="text1"/>
          <w:kern w:val="0"/>
          <w:sz w:val="32"/>
          <w:szCs w:val="32"/>
          <w:highlight w:val="none"/>
          <w:lang w:val="zh-CN" w:eastAsia="zh-CN" w:bidi="ar-SA"/>
          <w14:textFill>
            <w14:solidFill>
              <w14:schemeClr w14:val="tx1"/>
            </w14:solidFill>
          </w14:textFill>
        </w:rPr>
        <w:t>，</w:t>
      </w:r>
      <w:r>
        <w:rPr>
          <w:rFonts w:hint="eastAsia" w:ascii="仿宋_GB2312" w:eastAsia="仿宋_GB2312" w:cs="仿宋"/>
          <w:color w:val="000000" w:themeColor="text1"/>
          <w:kern w:val="0"/>
          <w:sz w:val="32"/>
          <w:szCs w:val="32"/>
          <w:highlight w:val="none"/>
          <w:lang w:val="en-US" w:eastAsia="zh-CN" w:bidi="ar-SA"/>
          <w14:textFill>
            <w14:solidFill>
              <w14:schemeClr w14:val="tx1"/>
            </w14:solidFill>
          </w14:textFill>
        </w:rPr>
        <w:t>资金到位2500万元</w:t>
      </w:r>
      <w:r>
        <w:rPr>
          <w:rFonts w:hint="eastAsia" w:ascii="仿宋_GB2312" w:hAnsi="Calibri" w:eastAsia="仿宋_GB2312" w:cs="仿宋"/>
          <w:color w:val="000000" w:themeColor="text1"/>
          <w:kern w:val="0"/>
          <w:sz w:val="32"/>
          <w:szCs w:val="32"/>
          <w:highlight w:val="none"/>
          <w:lang w:val="zh-CN" w:eastAsia="zh-CN" w:bidi="ar-SA"/>
          <w14:textFill>
            <w14:solidFill>
              <w14:schemeClr w14:val="tx1"/>
            </w14:solidFill>
          </w14:textFill>
        </w:rPr>
        <w:t>。</w:t>
      </w:r>
      <w:r>
        <w:rPr>
          <w:rFonts w:hint="eastAsia" w:ascii="方正仿宋_GB2312" w:hAnsi="方正仿宋_GB2312" w:eastAsia="方正仿宋_GB2312" w:cs="方正仿宋_GB2312"/>
          <w:color w:val="000000" w:themeColor="text1"/>
          <w:sz w:val="32"/>
          <w:szCs w:val="32"/>
          <w:highlight w:val="none"/>
          <w:lang w:val="en-US" w:eastAsia="zh-CN"/>
          <w14:textFill>
            <w14:solidFill>
              <w14:schemeClr w14:val="tx1"/>
            </w14:solidFill>
          </w14:textFill>
        </w:rPr>
        <w:t>“</w:t>
      </w:r>
      <w:r>
        <w:rPr>
          <w:rFonts w:hint="eastAsia" w:ascii="方正仿宋_GB2312" w:hAnsi="方正仿宋_GB2312" w:eastAsia="方正仿宋_GB2312" w:cs="方正仿宋_GB2312"/>
          <w:color w:val="000000" w:themeColor="text1"/>
          <w:sz w:val="32"/>
          <w:szCs w:val="32"/>
          <w:lang w:val="en-US" w:eastAsia="zh-CN"/>
          <w14:textFill>
            <w14:solidFill>
              <w14:schemeClr w14:val="tx1"/>
            </w14:solidFill>
          </w14:textFill>
        </w:rPr>
        <w:t>壤塘县尕多乡瑟谷村生态文化旅游项目</w:t>
      </w:r>
      <w:r>
        <w:rPr>
          <w:rFonts w:hint="default" w:ascii="方正仿宋_GB2312" w:hAnsi="方正仿宋_GB2312" w:eastAsia="方正仿宋_GB2312" w:cs="方正仿宋_GB2312"/>
          <w:color w:val="000000" w:themeColor="text1"/>
          <w:sz w:val="32"/>
          <w:szCs w:val="32"/>
          <w:lang w:val="en-US" w:eastAsia="zh-CN"/>
          <w14:textFill>
            <w14:solidFill>
              <w14:schemeClr w14:val="tx1"/>
            </w14:solidFill>
          </w14:textFill>
        </w:rPr>
        <w:t>”</w:t>
      </w:r>
      <w:r>
        <w:rPr>
          <w:rFonts w:hint="eastAsia" w:ascii="仿宋_GB2312" w:hAnsi="Calibri" w:eastAsia="仿宋_GB2312" w:cs="仿宋"/>
          <w:color w:val="000000" w:themeColor="text1"/>
          <w:kern w:val="0"/>
          <w:sz w:val="32"/>
          <w:szCs w:val="32"/>
          <w:highlight w:val="none"/>
          <w:lang w:val="zh-CN" w:eastAsia="zh-CN" w:bidi="ar-SA"/>
          <w14:textFill>
            <w14:solidFill>
              <w14:schemeClr w14:val="tx1"/>
            </w14:solidFill>
          </w14:textFill>
        </w:rPr>
        <w:t>该项目总投资</w:t>
      </w:r>
      <w:r>
        <w:rPr>
          <w:rFonts w:hint="eastAsia" w:ascii="仿宋_GB2312" w:eastAsia="仿宋_GB2312" w:cs="仿宋"/>
          <w:color w:val="000000" w:themeColor="text1"/>
          <w:kern w:val="0"/>
          <w:sz w:val="32"/>
          <w:szCs w:val="32"/>
          <w:highlight w:val="none"/>
          <w:lang w:val="en-US" w:eastAsia="zh-CN" w:bidi="ar-SA"/>
          <w14:textFill>
            <w14:solidFill>
              <w14:schemeClr w14:val="tx1"/>
            </w14:solidFill>
          </w14:textFill>
        </w:rPr>
        <w:t>300</w:t>
      </w:r>
      <w:r>
        <w:rPr>
          <w:rFonts w:hint="eastAsia" w:ascii="仿宋_GB2312" w:hAnsi="Calibri" w:eastAsia="仿宋_GB2312" w:cs="仿宋"/>
          <w:color w:val="000000" w:themeColor="text1"/>
          <w:kern w:val="0"/>
          <w:sz w:val="32"/>
          <w:szCs w:val="32"/>
          <w:highlight w:val="none"/>
          <w:lang w:val="en-US" w:eastAsia="zh-CN" w:bidi="ar-SA"/>
          <w14:textFill>
            <w14:solidFill>
              <w14:schemeClr w14:val="tx1"/>
            </w14:solidFill>
          </w14:textFill>
        </w:rPr>
        <w:t>万</w:t>
      </w:r>
      <w:r>
        <w:rPr>
          <w:rFonts w:hint="eastAsia" w:ascii="仿宋_GB2312" w:hAnsi="Calibri" w:eastAsia="仿宋_GB2312" w:cs="仿宋"/>
          <w:color w:val="000000" w:themeColor="text1"/>
          <w:kern w:val="0"/>
          <w:sz w:val="32"/>
          <w:szCs w:val="32"/>
          <w:highlight w:val="none"/>
          <w:lang w:val="zh-CN" w:eastAsia="zh-CN" w:bidi="ar-SA"/>
          <w14:textFill>
            <w14:solidFill>
              <w14:schemeClr w14:val="tx1"/>
            </w14:solidFill>
          </w14:textFill>
        </w:rPr>
        <w:t>元</w:t>
      </w:r>
      <w:r>
        <w:rPr>
          <w:rFonts w:hint="eastAsia" w:ascii="仿宋_GB2312" w:eastAsia="仿宋_GB2312" w:cs="仿宋"/>
          <w:color w:val="000000" w:themeColor="text1"/>
          <w:kern w:val="0"/>
          <w:sz w:val="32"/>
          <w:szCs w:val="32"/>
          <w:highlight w:val="none"/>
          <w:lang w:val="en-US" w:eastAsia="zh-CN" w:bidi="ar-SA"/>
          <w14:textFill>
            <w14:solidFill>
              <w14:schemeClr w14:val="tx1"/>
            </w14:solidFill>
          </w14:textFill>
        </w:rPr>
        <w:t>,</w:t>
      </w:r>
      <w:r>
        <w:rPr>
          <w:rFonts w:hint="eastAsia" w:ascii="仿宋_GB2312" w:eastAsia="仿宋_GB2312" w:cs="仿宋"/>
          <w:color w:val="000000" w:themeColor="text1"/>
          <w:kern w:val="0"/>
          <w:sz w:val="32"/>
          <w:szCs w:val="32"/>
          <w:highlight w:val="none"/>
          <w:lang w:val="zh-CN" w:eastAsia="zh-CN" w:bidi="ar-SA"/>
          <w14:textFill>
            <w14:solidFill>
              <w14:schemeClr w14:val="tx1"/>
            </w14:solidFill>
          </w14:textFill>
        </w:rPr>
        <w:t>，</w:t>
      </w:r>
      <w:r>
        <w:rPr>
          <w:rFonts w:hint="eastAsia" w:ascii="仿宋_GB2312" w:eastAsia="仿宋_GB2312" w:cs="仿宋"/>
          <w:color w:val="000000" w:themeColor="text1"/>
          <w:kern w:val="0"/>
          <w:sz w:val="32"/>
          <w:szCs w:val="32"/>
          <w:highlight w:val="none"/>
          <w:lang w:val="en-US" w:eastAsia="zh-CN" w:bidi="ar-SA"/>
          <w14:textFill>
            <w14:solidFill>
              <w14:schemeClr w14:val="tx1"/>
            </w14:solidFill>
          </w14:textFill>
        </w:rPr>
        <w:t>资金到位300万元</w:t>
      </w:r>
      <w:r>
        <w:rPr>
          <w:rFonts w:hint="eastAsia" w:ascii="仿宋_GB2312" w:hAnsi="Calibri" w:eastAsia="仿宋_GB2312" w:cs="仿宋"/>
          <w:color w:val="000000" w:themeColor="text1"/>
          <w:kern w:val="0"/>
          <w:sz w:val="32"/>
          <w:szCs w:val="32"/>
          <w:highlight w:val="none"/>
          <w:lang w:val="zh-CN" w:eastAsia="zh-CN" w:bidi="ar-SA"/>
          <w14:textFill>
            <w14:solidFill>
              <w14:schemeClr w14:val="tx1"/>
            </w14:solidFill>
          </w14:textFill>
        </w:rPr>
        <w:t>。</w:t>
      </w:r>
      <w:r>
        <w:rPr>
          <w:rFonts w:hint="default" w:ascii="方正仿宋_GB2312" w:hAnsi="方正仿宋_GB2312" w:eastAsia="方正仿宋_GB2312" w:cs="方正仿宋_GB2312"/>
          <w:color w:val="000000" w:themeColor="text1"/>
          <w:sz w:val="32"/>
          <w:szCs w:val="32"/>
          <w:highlight w:val="none"/>
          <w:lang w:val="en-US" w:eastAsia="zh-CN"/>
          <w14:textFill>
            <w14:solidFill>
              <w14:schemeClr w14:val="tx1"/>
            </w14:solidFill>
          </w14:textFill>
        </w:rPr>
        <w:t>“</w:t>
      </w:r>
      <w:r>
        <w:rPr>
          <w:rFonts w:hint="eastAsia" w:ascii="方正仿宋_GB2312" w:hAnsi="方正仿宋_GB2312" w:eastAsia="方正仿宋_GB2312" w:cs="方正仿宋_GB2312"/>
          <w:color w:val="000000" w:themeColor="text1"/>
          <w:sz w:val="32"/>
          <w:szCs w:val="32"/>
          <w:highlight w:val="none"/>
          <w:lang w:val="en-US" w:eastAsia="zh-CN"/>
          <w14:textFill>
            <w14:solidFill>
              <w14:schemeClr w14:val="tx1"/>
            </w14:solidFill>
          </w14:textFill>
        </w:rPr>
        <w:t>壤塘县尕多乡2025年人工饲草种植项目</w:t>
      </w:r>
      <w:r>
        <w:rPr>
          <w:rFonts w:hint="default" w:ascii="方正仿宋_GB2312" w:hAnsi="方正仿宋_GB2312" w:eastAsia="方正仿宋_GB2312" w:cs="方正仿宋_GB2312"/>
          <w:color w:val="000000" w:themeColor="text1"/>
          <w:sz w:val="32"/>
          <w:szCs w:val="32"/>
          <w:highlight w:val="none"/>
          <w:lang w:val="en-US" w:eastAsia="zh-CN"/>
          <w14:textFill>
            <w14:solidFill>
              <w14:schemeClr w14:val="tx1"/>
            </w14:solidFill>
          </w14:textFill>
        </w:rPr>
        <w:t>”</w:t>
      </w:r>
      <w:r>
        <w:rPr>
          <w:rFonts w:hint="eastAsia" w:ascii="仿宋_GB2312" w:hAnsi="Calibri" w:eastAsia="仿宋_GB2312" w:cs="仿宋"/>
          <w:color w:val="000000" w:themeColor="text1"/>
          <w:kern w:val="0"/>
          <w:sz w:val="32"/>
          <w:szCs w:val="32"/>
          <w:highlight w:val="none"/>
          <w:lang w:val="zh-CN" w:eastAsia="zh-CN" w:bidi="ar-SA"/>
          <w14:textFill>
            <w14:solidFill>
              <w14:schemeClr w14:val="tx1"/>
            </w14:solidFill>
          </w14:textFill>
        </w:rPr>
        <w:t>该项目总投资</w:t>
      </w:r>
      <w:r>
        <w:rPr>
          <w:rFonts w:hint="eastAsia" w:ascii="仿宋_GB2312" w:eastAsia="仿宋_GB2312" w:cs="仿宋"/>
          <w:color w:val="000000" w:themeColor="text1"/>
          <w:kern w:val="0"/>
          <w:sz w:val="32"/>
          <w:szCs w:val="32"/>
          <w:highlight w:val="none"/>
          <w:lang w:val="en-US" w:eastAsia="zh-CN" w:bidi="ar-SA"/>
          <w14:textFill>
            <w14:solidFill>
              <w14:schemeClr w14:val="tx1"/>
            </w14:solidFill>
          </w14:textFill>
        </w:rPr>
        <w:t>5.94</w:t>
      </w:r>
      <w:r>
        <w:rPr>
          <w:rFonts w:hint="eastAsia" w:ascii="仿宋_GB2312" w:hAnsi="Calibri" w:eastAsia="仿宋_GB2312" w:cs="仿宋"/>
          <w:color w:val="000000" w:themeColor="text1"/>
          <w:kern w:val="0"/>
          <w:sz w:val="32"/>
          <w:szCs w:val="32"/>
          <w:highlight w:val="none"/>
          <w:lang w:val="en-US" w:eastAsia="zh-CN" w:bidi="ar-SA"/>
          <w14:textFill>
            <w14:solidFill>
              <w14:schemeClr w14:val="tx1"/>
            </w14:solidFill>
          </w14:textFill>
        </w:rPr>
        <w:t>万</w:t>
      </w:r>
      <w:r>
        <w:rPr>
          <w:rFonts w:hint="eastAsia" w:ascii="仿宋_GB2312" w:hAnsi="Calibri" w:eastAsia="仿宋_GB2312" w:cs="仿宋"/>
          <w:color w:val="000000" w:themeColor="text1"/>
          <w:kern w:val="0"/>
          <w:sz w:val="32"/>
          <w:szCs w:val="32"/>
          <w:highlight w:val="none"/>
          <w:lang w:val="zh-CN" w:eastAsia="zh-CN" w:bidi="ar-SA"/>
          <w14:textFill>
            <w14:solidFill>
              <w14:schemeClr w14:val="tx1"/>
            </w14:solidFill>
          </w14:textFill>
        </w:rPr>
        <w:t>元</w:t>
      </w:r>
      <w:r>
        <w:rPr>
          <w:rFonts w:hint="eastAsia" w:ascii="仿宋_GB2312" w:eastAsia="仿宋_GB2312" w:cs="仿宋"/>
          <w:color w:val="000000" w:themeColor="text1"/>
          <w:kern w:val="0"/>
          <w:sz w:val="32"/>
          <w:szCs w:val="32"/>
          <w:highlight w:val="none"/>
          <w:lang w:val="en-US" w:eastAsia="zh-CN" w:bidi="ar-SA"/>
          <w14:textFill>
            <w14:solidFill>
              <w14:schemeClr w14:val="tx1"/>
            </w14:solidFill>
          </w14:textFill>
        </w:rPr>
        <w:t>资金到位5.94万元</w:t>
      </w:r>
      <w:r>
        <w:rPr>
          <w:rFonts w:hint="eastAsia" w:ascii="仿宋_GB2312" w:hAnsi="Calibri" w:eastAsia="仿宋_GB2312" w:cs="仿宋"/>
          <w:color w:val="000000" w:themeColor="text1"/>
          <w:kern w:val="0"/>
          <w:sz w:val="32"/>
          <w:szCs w:val="32"/>
          <w:highlight w:val="none"/>
          <w:lang w:val="zh-CN" w:eastAsia="zh-CN" w:bidi="ar-SA"/>
          <w14:textFill>
            <w14:solidFill>
              <w14:schemeClr w14:val="tx1"/>
            </w14:solidFill>
          </w14:textFill>
        </w:rPr>
        <w:t>。都来源为</w:t>
      </w:r>
      <w:r>
        <w:rPr>
          <w:rFonts w:hint="eastAsia" w:ascii="仿宋_GB2312" w:hAnsi="Calibri" w:eastAsia="仿宋_GB2312" w:cs="仿宋"/>
          <w:color w:val="000000" w:themeColor="text1"/>
          <w:kern w:val="0"/>
          <w:sz w:val="32"/>
          <w:szCs w:val="32"/>
          <w:highlight w:val="none"/>
          <w:lang w:val="en-US" w:eastAsia="zh-CN" w:bidi="ar-SA"/>
          <w14:textFill>
            <w14:solidFill>
              <w14:schemeClr w14:val="tx1"/>
            </w14:solidFill>
          </w14:textFill>
        </w:rPr>
        <w:t>202</w:t>
      </w:r>
      <w:r>
        <w:rPr>
          <w:rFonts w:hint="eastAsia" w:ascii="仿宋_GB2312" w:eastAsia="仿宋_GB2312" w:cs="仿宋"/>
          <w:color w:val="000000" w:themeColor="text1"/>
          <w:kern w:val="0"/>
          <w:sz w:val="32"/>
          <w:szCs w:val="32"/>
          <w:highlight w:val="none"/>
          <w:lang w:val="en-US" w:eastAsia="zh-CN" w:bidi="ar-SA"/>
          <w14:textFill>
            <w14:solidFill>
              <w14:schemeClr w14:val="tx1"/>
            </w14:solidFill>
          </w14:textFill>
        </w:rPr>
        <w:t>4</w:t>
      </w:r>
      <w:r>
        <w:rPr>
          <w:rFonts w:hint="eastAsia" w:ascii="仿宋_GB2312" w:hAnsi="Calibri" w:eastAsia="仿宋_GB2312" w:cs="仿宋"/>
          <w:color w:val="000000" w:themeColor="text1"/>
          <w:kern w:val="0"/>
          <w:sz w:val="32"/>
          <w:szCs w:val="32"/>
          <w:highlight w:val="none"/>
          <w:lang w:val="en-US" w:eastAsia="zh-CN" w:bidi="ar-SA"/>
          <w14:textFill>
            <w14:solidFill>
              <w14:schemeClr w14:val="tx1"/>
            </w14:solidFill>
          </w14:textFill>
        </w:rPr>
        <w:t>年中央财政衔接推进乡村振兴补助资金</w:t>
      </w:r>
      <w:r>
        <w:rPr>
          <w:rFonts w:hint="eastAsia" w:ascii="仿宋_GB2312" w:eastAsia="仿宋_GB2312" w:cs="仿宋"/>
          <w:color w:val="000000" w:themeColor="text1"/>
          <w:kern w:val="0"/>
          <w:sz w:val="32"/>
          <w:szCs w:val="32"/>
          <w:highlight w:val="none"/>
          <w:lang w:val="en-US" w:eastAsia="zh-CN" w:bidi="ar-SA"/>
          <w14:textFill>
            <w14:solidFill>
              <w14:schemeClr w14:val="tx1"/>
            </w14:solidFill>
          </w14:textFill>
        </w:rPr>
        <w:t>、2024年州级财政衔接推进乡村振兴补助资金</w:t>
      </w:r>
      <w:r>
        <w:rPr>
          <w:rFonts w:hint="eastAsia" w:ascii="仿宋_GB2312" w:hAnsi="Calibri" w:eastAsia="仿宋_GB2312" w:cs="仿宋"/>
          <w:color w:val="000000" w:themeColor="text1"/>
          <w:kern w:val="0"/>
          <w:sz w:val="32"/>
          <w:szCs w:val="32"/>
          <w:highlight w:val="none"/>
          <w:lang w:val="zh-CN" w:eastAsia="zh-CN" w:bidi="ar-SA"/>
          <w14:textFill>
            <w14:solidFill>
              <w14:schemeClr w14:val="tx1"/>
            </w14:solidFill>
          </w14:textFill>
        </w:rPr>
        <w:t>。</w:t>
      </w:r>
    </w:p>
    <w:p>
      <w:pPr>
        <w:pageBreakBefore w:val="0"/>
        <w:kinsoku/>
        <w:wordWrap/>
        <w:overflowPunct/>
        <w:topLinePunct w:val="0"/>
        <w:bidi w:val="0"/>
        <w:spacing w:line="560" w:lineRule="exact"/>
        <w:ind w:left="0" w:leftChars="0" w:firstLine="642" w:firstLineChars="200"/>
        <w:rPr>
          <w:rFonts w:hint="eastAsia" w:ascii="仿宋_GB2312" w:hAnsi="Calibri" w:eastAsia="仿宋_GB2312" w:cs="仿宋"/>
          <w:color w:val="000000" w:themeColor="text1"/>
          <w:kern w:val="0"/>
          <w:sz w:val="32"/>
          <w:szCs w:val="32"/>
          <w:highlight w:val="none"/>
          <w:lang w:val="en-US" w:eastAsia="zh-CN" w:bidi="ar-SA"/>
          <w14:textFill>
            <w14:solidFill>
              <w14:schemeClr w14:val="tx1"/>
            </w14:solidFill>
          </w14:textFill>
        </w:rPr>
      </w:pPr>
      <w:r>
        <w:rPr>
          <w:rFonts w:hint="eastAsia" w:ascii="仿宋_GB2312" w:hAnsi="Calibri" w:eastAsia="仿宋_GB2312" w:cs="仿宋"/>
          <w:b/>
          <w:bCs/>
          <w:color w:val="000000" w:themeColor="text1"/>
          <w:kern w:val="0"/>
          <w:sz w:val="32"/>
          <w:szCs w:val="32"/>
          <w:highlight w:val="none"/>
          <w:lang w:val="en-US" w:eastAsia="zh-CN" w:bidi="ar-SA"/>
          <w14:textFill>
            <w14:solidFill>
              <w14:schemeClr w14:val="tx1"/>
            </w14:solidFill>
          </w14:textFill>
        </w:rPr>
        <w:t>2.</w:t>
      </w:r>
      <w:r>
        <w:rPr>
          <w:rFonts w:hint="eastAsia" w:ascii="仿宋_GB2312" w:hAnsi="Calibri" w:eastAsia="仿宋_GB2312" w:cs="仿宋"/>
          <w:b/>
          <w:bCs/>
          <w:color w:val="000000" w:themeColor="text1"/>
          <w:kern w:val="0"/>
          <w:sz w:val="32"/>
          <w:szCs w:val="32"/>
          <w:highlight w:val="none"/>
          <w:lang w:val="zh-CN" w:eastAsia="zh-CN" w:bidi="ar-SA"/>
          <w14:textFill>
            <w14:solidFill>
              <w14:schemeClr w14:val="tx1"/>
            </w14:solidFill>
          </w14:textFill>
        </w:rPr>
        <w:t>资金使用情况。</w:t>
      </w:r>
      <w:r>
        <w:rPr>
          <w:rFonts w:hint="eastAsia" w:ascii="方正仿宋_GB2312" w:hAnsi="方正仿宋_GB2312" w:eastAsia="方正仿宋_GB2312" w:cs="方正仿宋_GB2312"/>
          <w:color w:val="000000" w:themeColor="text1"/>
          <w:sz w:val="32"/>
          <w:szCs w:val="32"/>
          <w:highlight w:val="none"/>
          <w:lang w:val="en-US" w:eastAsia="zh-CN"/>
          <w14:textFill>
            <w14:solidFill>
              <w14:schemeClr w14:val="tx1"/>
            </w14:solidFill>
          </w14:textFill>
        </w:rPr>
        <w:t>“壤塘县尕多乡标准化种植基地项目”</w:t>
      </w:r>
      <w:r>
        <w:rPr>
          <w:rFonts w:hint="eastAsia" w:ascii="仿宋_GB2312" w:hAnsi="Calibri" w:eastAsia="仿宋_GB2312" w:cs="仿宋"/>
          <w:color w:val="000000" w:themeColor="text1"/>
          <w:kern w:val="0"/>
          <w:sz w:val="32"/>
          <w:szCs w:val="32"/>
          <w:highlight w:val="none"/>
          <w:lang w:val="zh-CN" w:eastAsia="zh-CN" w:bidi="ar-SA"/>
          <w14:textFill>
            <w14:solidFill>
              <w14:schemeClr w14:val="tx1"/>
            </w14:solidFill>
          </w14:textFill>
        </w:rPr>
        <w:t>实际支付</w:t>
      </w:r>
      <w:r>
        <w:rPr>
          <w:rFonts w:hint="eastAsia" w:ascii="仿宋_GB2312" w:eastAsia="仿宋_GB2312" w:cs="仿宋"/>
          <w:color w:val="000000" w:themeColor="text1"/>
          <w:kern w:val="0"/>
          <w:sz w:val="32"/>
          <w:szCs w:val="32"/>
          <w:highlight w:val="none"/>
          <w:lang w:val="en-US" w:eastAsia="zh-CN" w:bidi="ar-SA"/>
          <w14:textFill>
            <w14:solidFill>
              <w14:schemeClr w14:val="tx1"/>
            </w14:solidFill>
          </w14:textFill>
        </w:rPr>
        <w:t>515.45</w:t>
      </w:r>
      <w:r>
        <w:rPr>
          <w:rFonts w:hint="eastAsia" w:ascii="仿宋_GB2312" w:hAnsi="Calibri" w:eastAsia="仿宋_GB2312" w:cs="仿宋"/>
          <w:color w:val="000000" w:themeColor="text1"/>
          <w:kern w:val="0"/>
          <w:sz w:val="32"/>
          <w:szCs w:val="32"/>
          <w:highlight w:val="none"/>
          <w:lang w:val="en-US" w:eastAsia="zh-CN" w:bidi="ar-SA"/>
          <w14:textFill>
            <w14:solidFill>
              <w14:schemeClr w14:val="tx1"/>
            </w14:solidFill>
          </w14:textFill>
        </w:rPr>
        <w:t>万</w:t>
      </w:r>
      <w:r>
        <w:rPr>
          <w:rFonts w:hint="eastAsia" w:ascii="仿宋_GB2312" w:hAnsi="Calibri" w:eastAsia="仿宋_GB2312" w:cs="仿宋"/>
          <w:color w:val="000000" w:themeColor="text1"/>
          <w:kern w:val="0"/>
          <w:sz w:val="32"/>
          <w:szCs w:val="32"/>
          <w:highlight w:val="none"/>
          <w:lang w:val="zh-CN" w:eastAsia="zh-CN" w:bidi="ar-SA"/>
          <w14:textFill>
            <w14:solidFill>
              <w14:schemeClr w14:val="tx1"/>
            </w14:solidFill>
          </w14:textFill>
        </w:rPr>
        <w:t>元</w:t>
      </w:r>
      <w:r>
        <w:rPr>
          <w:rFonts w:hint="eastAsia" w:ascii="方正仿宋_GB2312" w:hAnsi="方正仿宋_GB2312" w:eastAsia="方正仿宋_GB2312" w:cs="方正仿宋_GB2312"/>
          <w:color w:val="000000" w:themeColor="text1"/>
          <w:sz w:val="32"/>
          <w:szCs w:val="32"/>
          <w:highlight w:val="none"/>
          <w:lang w:val="zh-CN" w:eastAsia="zh-CN"/>
          <w14:textFill>
            <w14:solidFill>
              <w14:schemeClr w14:val="tx1"/>
            </w14:solidFill>
          </w14:textFill>
        </w:rPr>
        <w:t>“</w:t>
      </w:r>
      <w:r>
        <w:rPr>
          <w:rFonts w:hint="eastAsia" w:ascii="方正仿宋_GB2312" w:hAnsi="方正仿宋_GB2312" w:eastAsia="方正仿宋_GB2312" w:cs="方正仿宋_GB2312"/>
          <w:color w:val="000000" w:themeColor="text1"/>
          <w:sz w:val="32"/>
          <w:szCs w:val="32"/>
          <w:highlight w:val="none"/>
          <w:lang w:val="en-US" w:eastAsia="zh-CN"/>
          <w14:textFill>
            <w14:solidFill>
              <w14:schemeClr w14:val="tx1"/>
            </w14:solidFill>
          </w14:textFill>
        </w:rPr>
        <w:t>壤塘县尕多乡过境路沿线网围栏提升项目”</w:t>
      </w:r>
      <w:r>
        <w:rPr>
          <w:rFonts w:hint="eastAsia" w:ascii="仿宋_GB2312" w:hAnsi="Calibri" w:eastAsia="仿宋_GB2312" w:cs="仿宋"/>
          <w:color w:val="000000" w:themeColor="text1"/>
          <w:kern w:val="0"/>
          <w:sz w:val="32"/>
          <w:szCs w:val="32"/>
          <w:highlight w:val="none"/>
          <w:lang w:val="zh-CN" w:eastAsia="zh-CN" w:bidi="ar-SA"/>
          <w14:textFill>
            <w14:solidFill>
              <w14:schemeClr w14:val="tx1"/>
            </w14:solidFill>
          </w14:textFill>
        </w:rPr>
        <w:t>实际支付</w:t>
      </w:r>
      <w:r>
        <w:rPr>
          <w:rFonts w:hint="eastAsia" w:ascii="仿宋_GB2312" w:eastAsia="仿宋_GB2312" w:cs="仿宋"/>
          <w:color w:val="000000" w:themeColor="text1"/>
          <w:kern w:val="0"/>
          <w:sz w:val="32"/>
          <w:szCs w:val="32"/>
          <w:highlight w:val="none"/>
          <w:lang w:val="en-US" w:eastAsia="zh-CN" w:bidi="ar-SA"/>
          <w14:textFill>
            <w14:solidFill>
              <w14:schemeClr w14:val="tx1"/>
            </w14:solidFill>
          </w14:textFill>
        </w:rPr>
        <w:t>51.03</w:t>
      </w:r>
      <w:r>
        <w:rPr>
          <w:rFonts w:hint="eastAsia" w:ascii="仿宋_GB2312" w:hAnsi="Calibri" w:eastAsia="仿宋_GB2312" w:cs="仿宋"/>
          <w:color w:val="000000" w:themeColor="text1"/>
          <w:kern w:val="0"/>
          <w:sz w:val="32"/>
          <w:szCs w:val="32"/>
          <w:highlight w:val="none"/>
          <w:lang w:val="en-US" w:eastAsia="zh-CN" w:bidi="ar-SA"/>
          <w14:textFill>
            <w14:solidFill>
              <w14:schemeClr w14:val="tx1"/>
            </w14:solidFill>
          </w14:textFill>
        </w:rPr>
        <w:t>万</w:t>
      </w:r>
      <w:r>
        <w:rPr>
          <w:rFonts w:hint="eastAsia" w:ascii="仿宋_GB2312" w:hAnsi="Calibri" w:eastAsia="仿宋_GB2312" w:cs="仿宋"/>
          <w:color w:val="000000" w:themeColor="text1"/>
          <w:kern w:val="0"/>
          <w:sz w:val="32"/>
          <w:szCs w:val="32"/>
          <w:highlight w:val="none"/>
          <w:lang w:val="zh-CN" w:eastAsia="zh-CN" w:bidi="ar-SA"/>
          <w14:textFill>
            <w14:solidFill>
              <w14:schemeClr w14:val="tx1"/>
            </w14:solidFill>
          </w14:textFill>
        </w:rPr>
        <w:t>元。</w:t>
      </w:r>
      <w:r>
        <w:rPr>
          <w:rFonts w:hint="eastAsia" w:ascii="方正仿宋_GB2312" w:hAnsi="方正仿宋_GB2312" w:eastAsia="方正仿宋_GB2312" w:cs="方正仿宋_GB2312"/>
          <w:color w:val="000000" w:themeColor="text1"/>
          <w:sz w:val="32"/>
          <w:szCs w:val="32"/>
          <w:highlight w:val="none"/>
          <w:lang w:val="en-US" w:eastAsia="zh-CN"/>
          <w14:textFill>
            <w14:solidFill>
              <w14:schemeClr w14:val="tx1"/>
            </w14:solidFill>
          </w14:textFill>
        </w:rPr>
        <w:t>“壤塘县尕多乡奶源路建设项目</w:t>
      </w:r>
      <w:r>
        <w:rPr>
          <w:rFonts w:hint="default" w:ascii="方正仿宋_GB2312" w:hAnsi="方正仿宋_GB2312" w:eastAsia="方正仿宋_GB2312" w:cs="方正仿宋_GB2312"/>
          <w:color w:val="000000" w:themeColor="text1"/>
          <w:sz w:val="32"/>
          <w:szCs w:val="32"/>
          <w:highlight w:val="none"/>
          <w:lang w:val="en-US" w:eastAsia="zh-CN"/>
          <w14:textFill>
            <w14:solidFill>
              <w14:schemeClr w14:val="tx1"/>
            </w14:solidFill>
          </w14:textFill>
        </w:rPr>
        <w:t>”</w:t>
      </w:r>
      <w:r>
        <w:rPr>
          <w:rFonts w:hint="eastAsia" w:ascii="仿宋_GB2312" w:hAnsi="Calibri" w:eastAsia="仿宋_GB2312" w:cs="仿宋"/>
          <w:color w:val="000000" w:themeColor="text1"/>
          <w:kern w:val="0"/>
          <w:sz w:val="32"/>
          <w:szCs w:val="32"/>
          <w:highlight w:val="none"/>
          <w:lang w:val="zh-CN" w:eastAsia="zh-CN" w:bidi="ar-SA"/>
          <w14:textFill>
            <w14:solidFill>
              <w14:schemeClr w14:val="tx1"/>
            </w14:solidFill>
          </w14:textFill>
        </w:rPr>
        <w:t>实际支付</w:t>
      </w:r>
      <w:r>
        <w:rPr>
          <w:rFonts w:hint="eastAsia" w:ascii="仿宋_GB2312" w:eastAsia="仿宋_GB2312" w:cs="仿宋"/>
          <w:color w:val="000000" w:themeColor="text1"/>
          <w:kern w:val="0"/>
          <w:sz w:val="32"/>
          <w:szCs w:val="32"/>
          <w:highlight w:val="none"/>
          <w:lang w:val="en-US" w:eastAsia="zh-CN" w:bidi="ar-SA"/>
          <w14:textFill>
            <w14:solidFill>
              <w14:schemeClr w14:val="tx1"/>
            </w14:solidFill>
          </w14:textFill>
        </w:rPr>
        <w:t>60.72</w:t>
      </w:r>
      <w:r>
        <w:rPr>
          <w:rFonts w:hint="eastAsia" w:ascii="仿宋_GB2312" w:hAnsi="Calibri" w:eastAsia="仿宋_GB2312" w:cs="仿宋"/>
          <w:color w:val="000000" w:themeColor="text1"/>
          <w:kern w:val="0"/>
          <w:sz w:val="32"/>
          <w:szCs w:val="32"/>
          <w:highlight w:val="none"/>
          <w:lang w:val="en-US" w:eastAsia="zh-CN" w:bidi="ar-SA"/>
          <w14:textFill>
            <w14:solidFill>
              <w14:schemeClr w14:val="tx1"/>
            </w14:solidFill>
          </w14:textFill>
        </w:rPr>
        <w:t>万</w:t>
      </w:r>
      <w:r>
        <w:rPr>
          <w:rFonts w:hint="eastAsia" w:ascii="仿宋_GB2312" w:hAnsi="Calibri" w:eastAsia="仿宋_GB2312" w:cs="仿宋"/>
          <w:color w:val="000000" w:themeColor="text1"/>
          <w:kern w:val="0"/>
          <w:sz w:val="32"/>
          <w:szCs w:val="32"/>
          <w:highlight w:val="none"/>
          <w:lang w:val="zh-CN" w:eastAsia="zh-CN" w:bidi="ar-SA"/>
          <w14:textFill>
            <w14:solidFill>
              <w14:schemeClr w14:val="tx1"/>
            </w14:solidFill>
          </w14:textFill>
        </w:rPr>
        <w:t>元</w:t>
      </w:r>
      <w:r>
        <w:rPr>
          <w:rFonts w:hint="eastAsia" w:ascii="仿宋_GB2312" w:hAnsi="Calibri" w:eastAsia="仿宋_GB2312" w:cs="仿宋"/>
          <w:color w:val="000000" w:themeColor="text1"/>
          <w:kern w:val="0"/>
          <w:sz w:val="32"/>
          <w:szCs w:val="32"/>
          <w:highlight w:val="none"/>
          <w:lang w:val="en-US" w:eastAsia="zh-CN" w:bidi="ar-SA"/>
          <w14:textFill>
            <w14:solidFill>
              <w14:schemeClr w14:val="tx1"/>
            </w14:solidFill>
          </w14:textFill>
        </w:rPr>
        <w:t>“</w:t>
      </w:r>
      <w:r>
        <w:rPr>
          <w:rFonts w:hint="eastAsia" w:ascii="方正仿宋_GB2312" w:hAnsi="方正仿宋_GB2312" w:eastAsia="方正仿宋_GB2312" w:cs="方正仿宋_GB2312"/>
          <w:color w:val="000000" w:themeColor="text1"/>
          <w:sz w:val="32"/>
          <w:szCs w:val="32"/>
          <w:highlight w:val="none"/>
          <w:lang w:val="en-US" w:eastAsia="zh-CN"/>
          <w14:textFill>
            <w14:solidFill>
              <w14:schemeClr w14:val="tx1"/>
            </w14:solidFill>
          </w14:textFill>
        </w:rPr>
        <w:t>壤塘县尕多乡刑木达和美乡村农旅产业配套基础设施建设项目</w:t>
      </w:r>
      <w:r>
        <w:rPr>
          <w:rFonts w:hint="default" w:ascii="方正仿宋_GB2312" w:hAnsi="方正仿宋_GB2312" w:eastAsia="方正仿宋_GB2312" w:cs="方正仿宋_GB2312"/>
          <w:color w:val="000000" w:themeColor="text1"/>
          <w:sz w:val="32"/>
          <w:szCs w:val="32"/>
          <w:highlight w:val="none"/>
          <w:lang w:val="en-US" w:eastAsia="zh-CN"/>
          <w14:textFill>
            <w14:solidFill>
              <w14:schemeClr w14:val="tx1"/>
            </w14:solidFill>
          </w14:textFill>
        </w:rPr>
        <w:t>”</w:t>
      </w:r>
      <w:r>
        <w:rPr>
          <w:rFonts w:hint="eastAsia" w:ascii="仿宋_GB2312" w:hAnsi="Calibri" w:eastAsia="仿宋_GB2312" w:cs="仿宋"/>
          <w:color w:val="000000" w:themeColor="text1"/>
          <w:kern w:val="0"/>
          <w:sz w:val="32"/>
          <w:szCs w:val="32"/>
          <w:highlight w:val="none"/>
          <w:lang w:val="zh-CN" w:eastAsia="zh-CN" w:bidi="ar-SA"/>
          <w14:textFill>
            <w14:solidFill>
              <w14:schemeClr w14:val="tx1"/>
            </w14:solidFill>
          </w14:textFill>
        </w:rPr>
        <w:t>实际支付</w:t>
      </w:r>
      <w:r>
        <w:rPr>
          <w:rFonts w:hint="eastAsia" w:ascii="仿宋_GB2312" w:eastAsia="仿宋_GB2312" w:cs="仿宋"/>
          <w:color w:val="000000" w:themeColor="text1"/>
          <w:kern w:val="0"/>
          <w:sz w:val="32"/>
          <w:szCs w:val="32"/>
          <w:highlight w:val="none"/>
          <w:lang w:val="en-US" w:eastAsia="zh-CN" w:bidi="ar-SA"/>
          <w14:textFill>
            <w14:solidFill>
              <w14:schemeClr w14:val="tx1"/>
            </w14:solidFill>
          </w14:textFill>
        </w:rPr>
        <w:t>2269.58</w:t>
      </w:r>
      <w:r>
        <w:rPr>
          <w:rFonts w:hint="eastAsia" w:ascii="仿宋_GB2312" w:hAnsi="Calibri" w:eastAsia="仿宋_GB2312" w:cs="仿宋"/>
          <w:color w:val="000000" w:themeColor="text1"/>
          <w:kern w:val="0"/>
          <w:sz w:val="32"/>
          <w:szCs w:val="32"/>
          <w:highlight w:val="none"/>
          <w:lang w:val="en-US" w:eastAsia="zh-CN" w:bidi="ar-SA"/>
          <w14:textFill>
            <w14:solidFill>
              <w14:schemeClr w14:val="tx1"/>
            </w14:solidFill>
          </w14:textFill>
        </w:rPr>
        <w:t>万</w:t>
      </w:r>
      <w:r>
        <w:rPr>
          <w:rFonts w:hint="eastAsia" w:ascii="仿宋_GB2312" w:hAnsi="Calibri" w:eastAsia="仿宋_GB2312" w:cs="仿宋"/>
          <w:color w:val="000000" w:themeColor="text1"/>
          <w:kern w:val="0"/>
          <w:sz w:val="32"/>
          <w:szCs w:val="32"/>
          <w:highlight w:val="none"/>
          <w:lang w:val="zh-CN" w:eastAsia="zh-CN" w:bidi="ar-SA"/>
          <w14:textFill>
            <w14:solidFill>
              <w14:schemeClr w14:val="tx1"/>
            </w14:solidFill>
          </w14:textFill>
        </w:rPr>
        <w:t>元</w:t>
      </w:r>
      <w:r>
        <w:rPr>
          <w:rFonts w:hint="eastAsia" w:ascii="仿宋_GB2312" w:hAnsi="Calibri" w:eastAsia="仿宋_GB2312" w:cs="仿宋"/>
          <w:color w:val="000000" w:themeColor="text1"/>
          <w:kern w:val="0"/>
          <w:sz w:val="32"/>
          <w:szCs w:val="32"/>
          <w:highlight w:val="none"/>
          <w:lang w:val="en-US" w:eastAsia="zh-CN" w:bidi="ar-SA"/>
          <w14:textFill>
            <w14:solidFill>
              <w14:schemeClr w14:val="tx1"/>
            </w14:solidFill>
          </w14:textFill>
        </w:rPr>
        <w:t>“</w:t>
      </w:r>
      <w:r>
        <w:rPr>
          <w:rFonts w:hint="eastAsia" w:ascii="方正仿宋_GB2312" w:hAnsi="方正仿宋_GB2312" w:eastAsia="方正仿宋_GB2312" w:cs="方正仿宋_GB2312"/>
          <w:color w:val="000000" w:themeColor="text1"/>
          <w:sz w:val="32"/>
          <w:szCs w:val="32"/>
          <w:highlight w:val="none"/>
          <w:lang w:val="en-US" w:eastAsia="zh-CN"/>
          <w14:textFill>
            <w14:solidFill>
              <w14:schemeClr w14:val="tx1"/>
            </w14:solidFill>
          </w14:textFill>
        </w:rPr>
        <w:t>壤塘县尕多乡瑟谷村生态文化旅游项目</w:t>
      </w:r>
      <w:r>
        <w:rPr>
          <w:rFonts w:hint="default" w:ascii="方正仿宋_GB2312" w:hAnsi="方正仿宋_GB2312" w:eastAsia="方正仿宋_GB2312" w:cs="方正仿宋_GB2312"/>
          <w:color w:val="000000" w:themeColor="text1"/>
          <w:sz w:val="32"/>
          <w:szCs w:val="32"/>
          <w:highlight w:val="none"/>
          <w:lang w:val="en-US" w:eastAsia="zh-CN"/>
          <w14:textFill>
            <w14:solidFill>
              <w14:schemeClr w14:val="tx1"/>
            </w14:solidFill>
          </w14:textFill>
        </w:rPr>
        <w:t>”</w:t>
      </w:r>
      <w:r>
        <w:rPr>
          <w:rFonts w:hint="eastAsia" w:ascii="仿宋_GB2312" w:hAnsi="Calibri" w:eastAsia="仿宋_GB2312" w:cs="仿宋"/>
          <w:color w:val="000000" w:themeColor="text1"/>
          <w:kern w:val="0"/>
          <w:sz w:val="32"/>
          <w:szCs w:val="32"/>
          <w:highlight w:val="none"/>
          <w:lang w:val="zh-CN" w:eastAsia="zh-CN" w:bidi="ar-SA"/>
          <w14:textFill>
            <w14:solidFill>
              <w14:schemeClr w14:val="tx1"/>
            </w14:solidFill>
          </w14:textFill>
        </w:rPr>
        <w:t>实际支付</w:t>
      </w:r>
      <w:r>
        <w:rPr>
          <w:rFonts w:hint="eastAsia" w:ascii="仿宋_GB2312" w:eastAsia="仿宋_GB2312" w:cs="仿宋"/>
          <w:color w:val="000000" w:themeColor="text1"/>
          <w:kern w:val="0"/>
          <w:sz w:val="32"/>
          <w:szCs w:val="32"/>
          <w:highlight w:val="none"/>
          <w:lang w:val="en-US" w:eastAsia="zh-CN" w:bidi="ar-SA"/>
          <w14:textFill>
            <w14:solidFill>
              <w14:schemeClr w14:val="tx1"/>
            </w14:solidFill>
          </w14:textFill>
        </w:rPr>
        <w:t>230.26</w:t>
      </w:r>
      <w:r>
        <w:rPr>
          <w:rFonts w:hint="eastAsia" w:ascii="仿宋_GB2312" w:hAnsi="Calibri" w:eastAsia="仿宋_GB2312" w:cs="仿宋"/>
          <w:color w:val="000000" w:themeColor="text1"/>
          <w:kern w:val="0"/>
          <w:sz w:val="32"/>
          <w:szCs w:val="32"/>
          <w:highlight w:val="none"/>
          <w:lang w:val="en-US" w:eastAsia="zh-CN" w:bidi="ar-SA"/>
          <w14:textFill>
            <w14:solidFill>
              <w14:schemeClr w14:val="tx1"/>
            </w14:solidFill>
          </w14:textFill>
        </w:rPr>
        <w:t>万</w:t>
      </w:r>
      <w:r>
        <w:rPr>
          <w:rFonts w:hint="eastAsia" w:ascii="仿宋_GB2312" w:hAnsi="Calibri" w:eastAsia="仿宋_GB2312" w:cs="仿宋"/>
          <w:color w:val="000000" w:themeColor="text1"/>
          <w:kern w:val="0"/>
          <w:sz w:val="32"/>
          <w:szCs w:val="32"/>
          <w:highlight w:val="none"/>
          <w:lang w:val="zh-CN" w:eastAsia="zh-CN" w:bidi="ar-SA"/>
          <w14:textFill>
            <w14:solidFill>
              <w14:schemeClr w14:val="tx1"/>
            </w14:solidFill>
          </w14:textFill>
        </w:rPr>
        <w:t>元</w:t>
      </w:r>
      <w:r>
        <w:rPr>
          <w:rFonts w:hint="eastAsia" w:ascii="仿宋_GB2312" w:eastAsia="仿宋_GB2312" w:cs="仿宋"/>
          <w:color w:val="000000" w:themeColor="text1"/>
          <w:kern w:val="0"/>
          <w:sz w:val="32"/>
          <w:szCs w:val="32"/>
          <w:highlight w:val="none"/>
          <w:lang w:val="zh-CN" w:eastAsia="zh-CN" w:bidi="ar-SA"/>
          <w14:textFill>
            <w14:solidFill>
              <w14:schemeClr w14:val="tx1"/>
            </w14:solidFill>
          </w14:textFill>
        </w:rPr>
        <w:t>。</w:t>
      </w:r>
      <w:r>
        <w:rPr>
          <w:rFonts w:hint="default" w:ascii="方正仿宋_GB2312" w:hAnsi="方正仿宋_GB2312" w:eastAsia="方正仿宋_GB2312" w:cs="方正仿宋_GB2312"/>
          <w:color w:val="000000" w:themeColor="text1"/>
          <w:sz w:val="32"/>
          <w:szCs w:val="32"/>
          <w:highlight w:val="none"/>
          <w:lang w:val="en-US" w:eastAsia="zh-CN"/>
          <w14:textFill>
            <w14:solidFill>
              <w14:schemeClr w14:val="tx1"/>
            </w14:solidFill>
          </w14:textFill>
        </w:rPr>
        <w:t>“</w:t>
      </w:r>
      <w:r>
        <w:rPr>
          <w:rFonts w:hint="eastAsia" w:ascii="方正仿宋_GB2312" w:hAnsi="方正仿宋_GB2312" w:eastAsia="方正仿宋_GB2312" w:cs="方正仿宋_GB2312"/>
          <w:color w:val="000000" w:themeColor="text1"/>
          <w:sz w:val="32"/>
          <w:szCs w:val="32"/>
          <w:highlight w:val="none"/>
          <w:lang w:val="en-US" w:eastAsia="zh-CN"/>
          <w14:textFill>
            <w14:solidFill>
              <w14:schemeClr w14:val="tx1"/>
            </w14:solidFill>
          </w14:textFill>
        </w:rPr>
        <w:t>壤塘县尕多乡2025年人工饲草种植项目</w:t>
      </w:r>
      <w:r>
        <w:rPr>
          <w:rFonts w:hint="default" w:ascii="方正仿宋_GB2312" w:hAnsi="方正仿宋_GB2312" w:eastAsia="方正仿宋_GB2312" w:cs="方正仿宋_GB2312"/>
          <w:color w:val="000000" w:themeColor="text1"/>
          <w:sz w:val="32"/>
          <w:szCs w:val="32"/>
          <w:highlight w:val="none"/>
          <w:lang w:val="en-US" w:eastAsia="zh-CN"/>
          <w14:textFill>
            <w14:solidFill>
              <w14:schemeClr w14:val="tx1"/>
            </w14:solidFill>
          </w14:textFill>
        </w:rPr>
        <w:t>”</w:t>
      </w:r>
      <w:r>
        <w:rPr>
          <w:rFonts w:hint="eastAsia" w:ascii="仿宋_GB2312" w:hAnsi="Calibri" w:eastAsia="仿宋_GB2312" w:cs="仿宋"/>
          <w:color w:val="000000" w:themeColor="text1"/>
          <w:kern w:val="0"/>
          <w:sz w:val="32"/>
          <w:szCs w:val="32"/>
          <w:highlight w:val="none"/>
          <w:lang w:val="zh-CN" w:eastAsia="zh-CN" w:bidi="ar-SA"/>
          <w14:textFill>
            <w14:solidFill>
              <w14:schemeClr w14:val="tx1"/>
            </w14:solidFill>
          </w14:textFill>
        </w:rPr>
        <w:t>实际支付</w:t>
      </w:r>
      <w:r>
        <w:rPr>
          <w:rFonts w:hint="eastAsia" w:ascii="仿宋_GB2312" w:eastAsia="仿宋_GB2312" w:cs="仿宋"/>
          <w:color w:val="000000" w:themeColor="text1"/>
          <w:kern w:val="0"/>
          <w:sz w:val="32"/>
          <w:szCs w:val="32"/>
          <w:highlight w:val="none"/>
          <w:lang w:val="en-US" w:eastAsia="zh-CN" w:bidi="ar-SA"/>
          <w14:textFill>
            <w14:solidFill>
              <w14:schemeClr w14:val="tx1"/>
            </w14:solidFill>
          </w14:textFill>
        </w:rPr>
        <w:t>5.93</w:t>
      </w:r>
      <w:r>
        <w:rPr>
          <w:rFonts w:hint="eastAsia" w:ascii="仿宋_GB2312" w:hAnsi="Calibri" w:eastAsia="仿宋_GB2312" w:cs="仿宋"/>
          <w:color w:val="000000" w:themeColor="text1"/>
          <w:kern w:val="0"/>
          <w:sz w:val="32"/>
          <w:szCs w:val="32"/>
          <w:highlight w:val="none"/>
          <w:lang w:val="en-US" w:eastAsia="zh-CN" w:bidi="ar-SA"/>
          <w14:textFill>
            <w14:solidFill>
              <w14:schemeClr w14:val="tx1"/>
            </w14:solidFill>
          </w14:textFill>
        </w:rPr>
        <w:t>万</w:t>
      </w:r>
      <w:r>
        <w:rPr>
          <w:rFonts w:hint="eastAsia" w:ascii="仿宋_GB2312" w:hAnsi="Calibri" w:eastAsia="仿宋_GB2312" w:cs="仿宋"/>
          <w:color w:val="000000" w:themeColor="text1"/>
          <w:kern w:val="0"/>
          <w:sz w:val="32"/>
          <w:szCs w:val="32"/>
          <w:highlight w:val="none"/>
          <w:lang w:val="zh-CN" w:eastAsia="zh-CN" w:bidi="ar-SA"/>
          <w14:textFill>
            <w14:solidFill>
              <w14:schemeClr w14:val="tx1"/>
            </w14:solidFill>
          </w14:textFill>
        </w:rPr>
        <w:t>元</w:t>
      </w:r>
      <w:r>
        <w:rPr>
          <w:rFonts w:hint="eastAsia" w:ascii="仿宋_GB2312" w:eastAsia="仿宋_GB2312" w:cs="仿宋"/>
          <w:color w:val="000000" w:themeColor="text1"/>
          <w:kern w:val="0"/>
          <w:sz w:val="32"/>
          <w:szCs w:val="32"/>
          <w:highlight w:val="none"/>
          <w:lang w:val="zh-CN" w:eastAsia="zh-CN" w:bidi="ar-SA"/>
          <w14:textFill>
            <w14:solidFill>
              <w14:schemeClr w14:val="tx1"/>
            </w14:solidFill>
          </w14:textFill>
        </w:rPr>
        <w:t>。</w:t>
      </w:r>
    </w:p>
    <w:p>
      <w:pPr>
        <w:pStyle w:val="5"/>
        <w:pageBreakBefore w:val="0"/>
        <w:kinsoku/>
        <w:wordWrap/>
        <w:overflowPunct/>
        <w:topLinePunct w:val="0"/>
        <w:bidi w:val="0"/>
        <w:spacing w:before="0" w:after="0" w:line="560" w:lineRule="exact"/>
        <w:ind w:left="0" w:leftChars="0" w:firstLine="642" w:firstLineChars="200"/>
        <w:rPr>
          <w:rFonts w:hint="eastAsia" w:ascii="楷体_GB2312" w:hAnsi="楷体_GB2312" w:eastAsia="楷体_GB2312" w:cs="楷体_GB2312"/>
          <w:color w:val="000000" w:themeColor="text1"/>
          <w:highlight w:val="none"/>
          <w:lang w:val="zh-CN"/>
          <w14:textFill>
            <w14:solidFill>
              <w14:schemeClr w14:val="tx1"/>
            </w14:solidFill>
          </w14:textFill>
        </w:rPr>
      </w:pPr>
      <w:r>
        <w:rPr>
          <w:rFonts w:hint="eastAsia" w:ascii="楷体_GB2312" w:hAnsi="楷体_GB2312" w:eastAsia="楷体_GB2312" w:cs="楷体_GB2312"/>
          <w:color w:val="000000" w:themeColor="text1"/>
          <w:highlight w:val="none"/>
          <w:lang w:val="zh-CN"/>
          <w14:textFill>
            <w14:solidFill>
              <w14:schemeClr w14:val="tx1"/>
            </w14:solidFill>
          </w14:textFill>
        </w:rPr>
        <w:t>（三）项目财务管理情况</w:t>
      </w:r>
    </w:p>
    <w:p>
      <w:pPr>
        <w:pageBreakBefore w:val="0"/>
        <w:kinsoku/>
        <w:wordWrap/>
        <w:overflowPunct/>
        <w:topLinePunct w:val="0"/>
        <w:bidi w:val="0"/>
        <w:adjustRightInd w:val="0"/>
        <w:snapToGrid w:val="0"/>
        <w:spacing w:line="560" w:lineRule="exact"/>
        <w:ind w:left="0" w:leftChars="0" w:firstLine="720"/>
        <w:rPr>
          <w:rFonts w:ascii="仿宋_GB2312" w:hAnsi="宋体" w:eastAsia="仿宋_GB2312"/>
          <w:color w:val="000000" w:themeColor="text1"/>
          <w:sz w:val="32"/>
          <w:szCs w:val="32"/>
          <w:highlight w:val="none"/>
          <w:lang w:val="zh-CN"/>
          <w14:textFill>
            <w14:solidFill>
              <w14:schemeClr w14:val="tx1"/>
            </w14:solidFill>
          </w14:textFill>
        </w:rPr>
      </w:pPr>
      <w:r>
        <w:rPr>
          <w:rFonts w:hint="eastAsia" w:ascii="仿宋_GB2312" w:hAnsi="宋体" w:eastAsia="仿宋_GB2312"/>
          <w:color w:val="000000" w:themeColor="text1"/>
          <w:sz w:val="32"/>
          <w:szCs w:val="32"/>
          <w:highlight w:val="none"/>
          <w:lang w:val="zh-CN"/>
          <w14:textFill>
            <w14:solidFill>
              <w14:schemeClr w14:val="tx1"/>
            </w14:solidFill>
          </w14:textFill>
        </w:rPr>
        <w:t>总体评价各项目实施单位财务管理制度健全，并严格执行财务管理制度，账务处理及时，会计核算规范。</w:t>
      </w:r>
    </w:p>
    <w:p>
      <w:pPr>
        <w:pStyle w:val="4"/>
        <w:pageBreakBefore w:val="0"/>
        <w:kinsoku/>
        <w:wordWrap/>
        <w:overflowPunct/>
        <w:topLinePunct w:val="0"/>
        <w:bidi w:val="0"/>
        <w:spacing w:before="0" w:after="0" w:line="560" w:lineRule="exact"/>
        <w:ind w:left="0" w:leftChars="0" w:firstLine="640" w:firstLineChars="200"/>
        <w:rPr>
          <w:rFonts w:hint="eastAsia" w:ascii="黑体" w:hAnsi="黑体" w:eastAsia="黑体" w:cs="黑体"/>
          <w:b w:val="0"/>
          <w:bCs w:val="0"/>
          <w:color w:val="000000" w:themeColor="text1"/>
          <w:highlight w:val="none"/>
          <w14:textFill>
            <w14:solidFill>
              <w14:schemeClr w14:val="tx1"/>
            </w14:solidFill>
          </w14:textFill>
        </w:rPr>
      </w:pPr>
      <w:bookmarkStart w:id="29" w:name="_Toc15967"/>
      <w:r>
        <w:rPr>
          <w:rFonts w:hint="eastAsia" w:ascii="黑体" w:hAnsi="黑体" w:eastAsia="黑体" w:cs="黑体"/>
          <w:b w:val="0"/>
          <w:bCs w:val="0"/>
          <w:color w:val="000000" w:themeColor="text1"/>
          <w:highlight w:val="none"/>
          <w14:textFill>
            <w14:solidFill>
              <w14:schemeClr w14:val="tx1"/>
            </w14:solidFill>
          </w14:textFill>
        </w:rPr>
        <w:t>三、项目实施及管理情况</w:t>
      </w:r>
      <w:bookmarkEnd w:id="29"/>
    </w:p>
    <w:p>
      <w:pPr>
        <w:pageBreakBefore w:val="0"/>
        <w:kinsoku/>
        <w:wordWrap/>
        <w:overflowPunct/>
        <w:topLinePunct w:val="0"/>
        <w:bidi w:val="0"/>
        <w:adjustRightInd w:val="0"/>
        <w:snapToGrid w:val="0"/>
        <w:spacing w:line="560" w:lineRule="exact"/>
        <w:ind w:left="0" w:leftChars="0" w:firstLine="720"/>
        <w:rPr>
          <w:rFonts w:ascii="仿宋_GB2312" w:hAnsi="宋体" w:eastAsia="仿宋_GB2312"/>
          <w:color w:val="000000" w:themeColor="text1"/>
          <w:sz w:val="32"/>
          <w:szCs w:val="32"/>
          <w:highlight w:val="none"/>
          <w:lang w:val="zh-CN"/>
          <w14:textFill>
            <w14:solidFill>
              <w14:schemeClr w14:val="tx1"/>
            </w14:solidFill>
          </w14:textFill>
        </w:rPr>
      </w:pPr>
      <w:r>
        <w:rPr>
          <w:rFonts w:hint="eastAsia" w:ascii="仿宋_GB2312" w:hAnsi="宋体" w:eastAsia="仿宋_GB2312"/>
          <w:color w:val="000000" w:themeColor="text1"/>
          <w:sz w:val="32"/>
          <w:szCs w:val="32"/>
          <w:highlight w:val="none"/>
          <w:lang w:val="zh-CN"/>
          <w14:textFill>
            <w14:solidFill>
              <w14:schemeClr w14:val="tx1"/>
            </w14:solidFill>
          </w14:textFill>
        </w:rPr>
        <w:t>结合项目组织实施管理办法，重点围绕以下内容进行分析评价，并对自评中发现的问题分析说明。</w:t>
      </w:r>
    </w:p>
    <w:p>
      <w:pPr>
        <w:pStyle w:val="5"/>
        <w:pageBreakBefore w:val="0"/>
        <w:kinsoku/>
        <w:wordWrap/>
        <w:overflowPunct/>
        <w:topLinePunct w:val="0"/>
        <w:bidi w:val="0"/>
        <w:spacing w:before="0" w:after="0" w:line="560" w:lineRule="exact"/>
        <w:ind w:left="0" w:leftChars="0" w:firstLine="642" w:firstLineChars="200"/>
        <w:rPr>
          <w:rFonts w:hint="eastAsia" w:ascii="楷体_GB2312" w:hAnsi="楷体_GB2312" w:eastAsia="楷体_GB2312" w:cs="楷体_GB2312"/>
          <w:color w:val="000000" w:themeColor="text1"/>
          <w:highlight w:val="none"/>
          <w:lang w:val="zh-CN"/>
          <w14:textFill>
            <w14:solidFill>
              <w14:schemeClr w14:val="tx1"/>
            </w14:solidFill>
          </w14:textFill>
        </w:rPr>
      </w:pPr>
      <w:r>
        <w:rPr>
          <w:rFonts w:hint="eastAsia" w:ascii="楷体_GB2312" w:hAnsi="楷体_GB2312" w:eastAsia="楷体_GB2312" w:cs="楷体_GB2312"/>
          <w:color w:val="000000" w:themeColor="text1"/>
          <w:highlight w:val="none"/>
          <w:lang w:val="zh-CN"/>
          <w14:textFill>
            <w14:solidFill>
              <w14:schemeClr w14:val="tx1"/>
            </w14:solidFill>
          </w14:textFill>
        </w:rPr>
        <w:t>（一）项目管理情况</w:t>
      </w:r>
    </w:p>
    <w:p>
      <w:pPr>
        <w:pStyle w:val="5"/>
        <w:pageBreakBefore w:val="0"/>
        <w:kinsoku/>
        <w:wordWrap/>
        <w:overflowPunct/>
        <w:topLinePunct w:val="0"/>
        <w:bidi w:val="0"/>
        <w:spacing w:before="0" w:after="0" w:line="560" w:lineRule="exact"/>
        <w:ind w:left="0" w:leftChars="0" w:firstLine="640" w:firstLineChars="200"/>
        <w:rPr>
          <w:rFonts w:hint="eastAsia" w:ascii="楷体_GB2312" w:hAnsi="楷体_GB2312" w:eastAsia="楷体_GB2312" w:cs="楷体_GB2312"/>
          <w:color w:val="000000" w:themeColor="text1"/>
          <w:highlight w:val="none"/>
          <w:lang w:val="zh-CN"/>
          <w14:textFill>
            <w14:solidFill>
              <w14:schemeClr w14:val="tx1"/>
            </w14:solidFill>
          </w14:textFill>
        </w:rPr>
      </w:pPr>
      <w:r>
        <w:rPr>
          <w:rFonts w:hint="eastAsia" w:ascii="仿宋_GB2312" w:hAnsi="宋体" w:eastAsia="仿宋_GB2312"/>
          <w:b w:val="0"/>
          <w:bCs w:val="0"/>
          <w:color w:val="000000" w:themeColor="text1"/>
          <w:sz w:val="32"/>
          <w:szCs w:val="32"/>
          <w:highlight w:val="none"/>
          <w:lang w:val="zh-CN"/>
          <w14:textFill>
            <w14:solidFill>
              <w14:schemeClr w14:val="tx1"/>
            </w14:solidFill>
          </w14:textFill>
        </w:rPr>
        <w:t>结合项目特点，总体评价各项目实施单位执行相关法律法规及项目管理制度等情况，如招投标、政府采购、项目公示制等相关规定。</w:t>
      </w:r>
    </w:p>
    <w:p>
      <w:pPr>
        <w:pStyle w:val="5"/>
        <w:pageBreakBefore w:val="0"/>
        <w:kinsoku/>
        <w:wordWrap/>
        <w:overflowPunct/>
        <w:topLinePunct w:val="0"/>
        <w:bidi w:val="0"/>
        <w:spacing w:before="0" w:after="0" w:line="560" w:lineRule="exact"/>
        <w:ind w:left="0" w:leftChars="0" w:firstLine="642" w:firstLineChars="200"/>
        <w:rPr>
          <w:rFonts w:hint="eastAsia" w:ascii="楷体_GB2312" w:hAnsi="楷体_GB2312" w:eastAsia="楷体_GB2312" w:cs="楷体_GB2312"/>
          <w:color w:val="000000" w:themeColor="text1"/>
          <w:highlight w:val="none"/>
          <w:lang w:val="zh-CN"/>
          <w14:textFill>
            <w14:solidFill>
              <w14:schemeClr w14:val="tx1"/>
            </w14:solidFill>
          </w14:textFill>
        </w:rPr>
      </w:pPr>
      <w:r>
        <w:rPr>
          <w:rFonts w:hint="eastAsia" w:ascii="楷体_GB2312" w:hAnsi="楷体_GB2312" w:eastAsia="楷体_GB2312" w:cs="楷体_GB2312"/>
          <w:color w:val="000000" w:themeColor="text1"/>
          <w:highlight w:val="none"/>
          <w:lang w:val="zh-CN"/>
          <w14:textFill>
            <w14:solidFill>
              <w14:schemeClr w14:val="tx1"/>
            </w14:solidFill>
          </w14:textFill>
        </w:rPr>
        <w:t>（二）项目监管情况</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left="0" w:leftChars="0" w:firstLine="640" w:firstLineChars="200"/>
        <w:textAlignment w:val="auto"/>
        <w:rPr>
          <w:rFonts w:ascii="仿宋_GB2312" w:hAnsi="宋体" w:eastAsia="仿宋_GB2312"/>
          <w:color w:val="000000" w:themeColor="text1"/>
          <w:sz w:val="32"/>
          <w:szCs w:val="32"/>
          <w:highlight w:val="none"/>
          <w:lang w:val="zh-CN"/>
          <w14:textFill>
            <w14:solidFill>
              <w14:schemeClr w14:val="tx1"/>
            </w14:solidFill>
          </w14:textFill>
        </w:rPr>
      </w:pPr>
      <w:r>
        <w:rPr>
          <w:rFonts w:hint="eastAsia" w:ascii="仿宋_GB2312" w:hAnsi="宋体" w:eastAsia="仿宋_GB2312"/>
          <w:color w:val="000000" w:themeColor="text1"/>
          <w:sz w:val="32"/>
          <w:szCs w:val="32"/>
          <w:highlight w:val="none"/>
          <w:lang w:val="zh-CN"/>
          <w14:textFill>
            <w14:solidFill>
              <w14:schemeClr w14:val="tx1"/>
            </w14:solidFill>
          </w14:textFill>
        </w:rPr>
        <w:t>说明项目主管部门为加强项目管理所采取的监管手段、监管程序、监管工作开展情况及实现的效果等。</w:t>
      </w:r>
    </w:p>
    <w:p>
      <w:pPr>
        <w:pStyle w:val="4"/>
        <w:pageBreakBefore w:val="0"/>
        <w:kinsoku/>
        <w:wordWrap/>
        <w:overflowPunct/>
        <w:topLinePunct w:val="0"/>
        <w:bidi w:val="0"/>
        <w:spacing w:before="0" w:after="0" w:line="560" w:lineRule="exact"/>
        <w:ind w:left="0" w:leftChars="0" w:firstLine="640" w:firstLineChars="200"/>
        <w:rPr>
          <w:rFonts w:hint="eastAsia" w:ascii="黑体" w:hAnsi="黑体" w:eastAsia="黑体" w:cs="黑体"/>
          <w:b w:val="0"/>
          <w:bCs w:val="0"/>
          <w:color w:val="000000" w:themeColor="text1"/>
          <w:highlight w:val="none"/>
          <w:lang w:val="zh-CN"/>
          <w14:textFill>
            <w14:solidFill>
              <w14:schemeClr w14:val="tx1"/>
            </w14:solidFill>
          </w14:textFill>
        </w:rPr>
      </w:pPr>
      <w:bookmarkStart w:id="30" w:name="_Toc16105"/>
      <w:r>
        <w:rPr>
          <w:rFonts w:hint="eastAsia" w:ascii="黑体" w:hAnsi="黑体" w:eastAsia="黑体" w:cs="黑体"/>
          <w:b w:val="0"/>
          <w:bCs w:val="0"/>
          <w:color w:val="000000" w:themeColor="text1"/>
          <w:highlight w:val="none"/>
          <w14:textFill>
            <w14:solidFill>
              <w14:schemeClr w14:val="tx1"/>
            </w14:solidFill>
          </w14:textFill>
        </w:rPr>
        <w:t>四、项目绩效情况</w:t>
      </w:r>
      <w:bookmarkEnd w:id="30"/>
      <w:r>
        <w:rPr>
          <w:rFonts w:hint="eastAsia" w:ascii="黑体" w:hAnsi="黑体" w:eastAsia="黑体" w:cs="黑体"/>
          <w:b w:val="0"/>
          <w:bCs w:val="0"/>
          <w:color w:val="000000" w:themeColor="text1"/>
          <w:highlight w:val="none"/>
          <w:lang w:val="zh-CN"/>
          <w14:textFill>
            <w14:solidFill>
              <w14:schemeClr w14:val="tx1"/>
            </w14:solidFill>
          </w14:textFill>
        </w:rPr>
        <w:tab/>
      </w:r>
    </w:p>
    <w:p>
      <w:pPr>
        <w:pStyle w:val="5"/>
        <w:pageBreakBefore w:val="0"/>
        <w:kinsoku/>
        <w:wordWrap/>
        <w:overflowPunct/>
        <w:topLinePunct w:val="0"/>
        <w:bidi w:val="0"/>
        <w:spacing w:before="0" w:after="0" w:line="560" w:lineRule="exact"/>
        <w:ind w:left="0" w:leftChars="0" w:firstLine="642" w:firstLineChars="200"/>
        <w:rPr>
          <w:rFonts w:hint="eastAsia" w:ascii="楷体_GB2312" w:hAnsi="楷体_GB2312" w:eastAsia="楷体_GB2312" w:cs="楷体_GB2312"/>
          <w:color w:val="000000" w:themeColor="text1"/>
          <w:highlight w:val="none"/>
          <w:lang w:val="zh-CN"/>
          <w14:textFill>
            <w14:solidFill>
              <w14:schemeClr w14:val="tx1"/>
            </w14:solidFill>
          </w14:textFill>
        </w:rPr>
      </w:pPr>
      <w:r>
        <w:rPr>
          <w:rFonts w:hint="eastAsia" w:ascii="楷体_GB2312" w:hAnsi="楷体_GB2312" w:eastAsia="楷体_GB2312" w:cs="楷体_GB2312"/>
          <w:color w:val="000000" w:themeColor="text1"/>
          <w:highlight w:val="none"/>
          <w:lang w:val="zh-CN"/>
          <w14:textFill>
            <w14:solidFill>
              <w14:schemeClr w14:val="tx1"/>
            </w14:solidFill>
          </w14:textFill>
        </w:rPr>
        <w:t>（一）项目完成情况</w:t>
      </w:r>
    </w:p>
    <w:p>
      <w:pPr>
        <w:pageBreakBefore w:val="0"/>
        <w:kinsoku/>
        <w:wordWrap/>
        <w:overflowPunct/>
        <w:topLinePunct w:val="0"/>
        <w:bidi w:val="0"/>
        <w:adjustRightInd w:val="0"/>
        <w:snapToGrid w:val="0"/>
        <w:spacing w:line="560" w:lineRule="exact"/>
        <w:ind w:left="0" w:leftChars="0" w:firstLine="720"/>
        <w:rPr>
          <w:rFonts w:ascii="楷体_GB2312" w:hAnsi="宋体" w:eastAsia="楷体_GB2312"/>
          <w:b/>
          <w:color w:val="000000" w:themeColor="text1"/>
          <w:sz w:val="32"/>
          <w:szCs w:val="32"/>
          <w:highlight w:val="none"/>
          <w:lang w:val="zh-CN"/>
          <w14:textFill>
            <w14:solidFill>
              <w14:schemeClr w14:val="tx1"/>
            </w14:solidFill>
          </w14:textFill>
        </w:rPr>
      </w:pPr>
      <w:r>
        <w:rPr>
          <w:rFonts w:hint="eastAsia" w:ascii="仿宋_GB2312" w:hAnsi="宋体" w:eastAsia="仿宋_GB2312"/>
          <w:color w:val="000000" w:themeColor="text1"/>
          <w:sz w:val="32"/>
          <w:szCs w:val="32"/>
          <w:highlight w:val="none"/>
          <w:lang w:val="zh-CN"/>
          <w14:textFill>
            <w14:solidFill>
              <w14:schemeClr w14:val="tx1"/>
            </w14:solidFill>
          </w14:textFill>
        </w:rPr>
        <w:t>三个项目完成数量、质量、时效、成本等情况，项目计划完成目标，</w:t>
      </w:r>
      <w:r>
        <w:rPr>
          <w:rFonts w:hint="eastAsia" w:ascii="仿宋_GB2312" w:hAnsi="宋体" w:eastAsia="仿宋_GB2312"/>
          <w:color w:val="000000" w:themeColor="text1"/>
          <w:sz w:val="32"/>
          <w:szCs w:val="32"/>
          <w:highlight w:val="none"/>
          <w:lang w:val="en-US" w:eastAsia="zh-CN"/>
          <w14:textFill>
            <w14:solidFill>
              <w14:schemeClr w14:val="tx1"/>
            </w14:solidFill>
          </w14:textFill>
        </w:rPr>
        <w:t>对</w:t>
      </w:r>
      <w:r>
        <w:rPr>
          <w:rFonts w:hint="eastAsia" w:ascii="仿宋_GB2312" w:hAnsi="宋体" w:eastAsia="仿宋_GB2312"/>
          <w:color w:val="000000" w:themeColor="text1"/>
          <w:sz w:val="32"/>
          <w:szCs w:val="32"/>
          <w:highlight w:val="none"/>
          <w:lang w:val="zh-CN"/>
          <w14:textFill>
            <w14:solidFill>
              <w14:schemeClr w14:val="tx1"/>
            </w14:solidFill>
          </w14:textFill>
        </w:rPr>
        <w:t>评价时点的任务量完成、质量标准、进度计划、成本控制目标的实现程度进行评价，并进行分析说明。</w:t>
      </w:r>
    </w:p>
    <w:p>
      <w:pPr>
        <w:pStyle w:val="5"/>
        <w:pageBreakBefore w:val="0"/>
        <w:kinsoku/>
        <w:wordWrap/>
        <w:overflowPunct/>
        <w:topLinePunct w:val="0"/>
        <w:bidi w:val="0"/>
        <w:spacing w:before="0" w:after="0" w:line="560" w:lineRule="exact"/>
        <w:ind w:left="0" w:leftChars="0" w:firstLine="642" w:firstLineChars="200"/>
        <w:rPr>
          <w:rFonts w:hint="eastAsia" w:ascii="楷体_GB2312" w:hAnsi="楷体_GB2312" w:eastAsia="楷体_GB2312" w:cs="楷体_GB2312"/>
          <w:color w:val="000000" w:themeColor="text1"/>
          <w:highlight w:val="none"/>
          <w:lang w:val="zh-CN"/>
          <w14:textFill>
            <w14:solidFill>
              <w14:schemeClr w14:val="tx1"/>
            </w14:solidFill>
          </w14:textFill>
        </w:rPr>
      </w:pPr>
      <w:r>
        <w:rPr>
          <w:rFonts w:hint="eastAsia" w:ascii="楷体_GB2312" w:hAnsi="楷体_GB2312" w:eastAsia="楷体_GB2312" w:cs="楷体_GB2312"/>
          <w:color w:val="000000" w:themeColor="text1"/>
          <w:highlight w:val="none"/>
          <w:lang w:val="zh-CN"/>
          <w14:textFill>
            <w14:solidFill>
              <w14:schemeClr w14:val="tx1"/>
            </w14:solidFill>
          </w14:textFill>
        </w:rPr>
        <w:t>（二）项目效益情况</w:t>
      </w:r>
    </w:p>
    <w:p>
      <w:pPr>
        <w:ind w:firstLine="640" w:firstLineChars="200"/>
        <w:rPr>
          <w:rFonts w:hint="eastAsia" w:ascii="Times New Roman" w:hAnsi="Times New Roman" w:eastAsia="方正仿宋_GB2312" w:cs="Times New Roman"/>
          <w:snapToGrid w:val="0"/>
          <w:color w:val="0000FF"/>
          <w:kern w:val="0"/>
          <w:sz w:val="32"/>
          <w:szCs w:val="32"/>
          <w:lang w:val="zh-CN" w:eastAsia="zh-CN"/>
        </w:rPr>
      </w:pPr>
      <w:r>
        <w:rPr>
          <w:rFonts w:hint="eastAsia" w:ascii="方正仿宋_GB2312" w:hAnsi="方正仿宋_GB2312" w:eastAsia="方正仿宋_GB2312" w:cs="方正仿宋_GB2312"/>
          <w:color w:val="000000" w:themeColor="text1"/>
          <w:sz w:val="32"/>
          <w:szCs w:val="32"/>
          <w:lang w:val="en-US" w:eastAsia="zh-CN"/>
          <w14:textFill>
            <w14:solidFill>
              <w14:schemeClr w14:val="tx1"/>
            </w14:solidFill>
          </w14:textFill>
        </w:rPr>
        <w:t>1、</w:t>
      </w:r>
      <w:r>
        <w:rPr>
          <w:rFonts w:hint="eastAsia" w:ascii="仿宋_GB2312" w:hAnsi="仿宋_GB2312" w:eastAsia="仿宋_GB2312" w:cs="仿宋_GB2312"/>
          <w:color w:val="000000" w:themeColor="text1"/>
          <w:kern w:val="0"/>
          <w:sz w:val="32"/>
          <w:szCs w:val="32"/>
          <w14:textFill>
            <w14:solidFill>
              <w14:schemeClr w14:val="tx1"/>
            </w14:solidFill>
          </w14:textFill>
        </w:rPr>
        <w:t>通过</w:t>
      </w:r>
      <w:r>
        <w:rPr>
          <w:rFonts w:hint="eastAsia" w:ascii="仿宋_GB2312" w:hAnsi="宋体" w:eastAsia="仿宋_GB2312"/>
          <w:color w:val="000000" w:themeColor="text1"/>
          <w:sz w:val="32"/>
          <w:szCs w:val="32"/>
          <w:highlight w:val="none"/>
          <w:lang w:val="zh-CN"/>
          <w14:textFill>
            <w14:solidFill>
              <w14:schemeClr w14:val="tx1"/>
            </w14:solidFill>
          </w14:textFill>
        </w:rPr>
        <w:t>实施</w:t>
      </w:r>
      <w:r>
        <w:rPr>
          <w:rFonts w:hint="eastAsia" w:ascii="仿宋_GB2312" w:hAnsi="仿宋_GB2312" w:eastAsia="仿宋_GB2312" w:cs="仿宋_GB2312"/>
          <w:color w:val="000000" w:themeColor="text1"/>
          <w:kern w:val="0"/>
          <w:sz w:val="32"/>
          <w:szCs w:val="32"/>
          <w14:textFill>
            <w14:solidFill>
              <w14:schemeClr w14:val="tx1"/>
            </w14:solidFill>
          </w14:textFill>
        </w:rPr>
        <w:t>项目</w:t>
      </w:r>
      <w:r>
        <w:rPr>
          <w:rFonts w:hint="eastAsia" w:ascii="方正仿宋_GB2312" w:hAnsi="方正仿宋_GB2312" w:eastAsia="方正仿宋_GB2312" w:cs="方正仿宋_GB2312"/>
          <w:color w:val="000000" w:themeColor="text1"/>
          <w:sz w:val="32"/>
          <w:szCs w:val="32"/>
          <w:lang w:val="en-US" w:eastAsia="zh-CN"/>
          <w14:textFill>
            <w14:solidFill>
              <w14:schemeClr w14:val="tx1"/>
            </w14:solidFill>
          </w14:textFill>
        </w:rPr>
        <w:t>将有效提升当地农业基础设施条件，还可以带动当地老百姓增收。项目实施后将进一步改善当地农业基础设施条件，带动当地群众参与项目务工，同时提高村经济效益和社会效益，为有效衔接乡村振兴和产业发展奠定良好基础。2、</w:t>
      </w:r>
      <w:r>
        <w:rPr>
          <w:rFonts w:hint="eastAsia" w:ascii="方正仿宋_GB2312" w:hAnsi="方正仿宋_GB2312" w:eastAsia="方正仿宋_GB2312" w:cs="方正仿宋_GB2312"/>
          <w:color w:val="000000" w:themeColor="text1"/>
          <w:sz w:val="32"/>
          <w:szCs w:val="32"/>
          <w:lang w:val="zh-CN" w:eastAsia="zh-CN"/>
          <w14:textFill>
            <w14:solidFill>
              <w14:schemeClr w14:val="tx1"/>
            </w14:solidFill>
          </w14:textFill>
        </w:rPr>
        <w:t>“</w:t>
      </w:r>
      <w:r>
        <w:rPr>
          <w:rFonts w:hint="eastAsia" w:ascii="仿宋_GB2312" w:hAnsi="仿宋_GB2312" w:eastAsia="仿宋_GB2312" w:cs="仿宋_GB2312"/>
          <w:color w:val="000000" w:themeColor="text1"/>
          <w:kern w:val="0"/>
          <w:sz w:val="32"/>
          <w:szCs w:val="32"/>
          <w14:textFill>
            <w14:solidFill>
              <w14:schemeClr w14:val="tx1"/>
            </w14:solidFill>
          </w14:textFill>
        </w:rPr>
        <w:t>通过</w:t>
      </w:r>
      <w:r>
        <w:rPr>
          <w:rFonts w:hint="eastAsia" w:ascii="仿宋_GB2312" w:hAnsi="宋体" w:eastAsia="仿宋_GB2312"/>
          <w:color w:val="000000" w:themeColor="text1"/>
          <w:sz w:val="32"/>
          <w:szCs w:val="32"/>
          <w:highlight w:val="none"/>
          <w:lang w:val="zh-CN"/>
          <w14:textFill>
            <w14:solidFill>
              <w14:schemeClr w14:val="tx1"/>
            </w14:solidFill>
          </w14:textFill>
        </w:rPr>
        <w:t>实施</w:t>
      </w:r>
      <w:r>
        <w:rPr>
          <w:rFonts w:hint="eastAsia" w:ascii="仿宋_GB2312" w:hAnsi="仿宋_GB2312" w:eastAsia="仿宋_GB2312" w:cs="仿宋_GB2312"/>
          <w:color w:val="000000" w:themeColor="text1"/>
          <w:kern w:val="0"/>
          <w:sz w:val="32"/>
          <w:szCs w:val="32"/>
          <w14:textFill>
            <w14:solidFill>
              <w14:schemeClr w14:val="tx1"/>
            </w14:solidFill>
          </w14:textFill>
        </w:rPr>
        <w:t>项目</w:t>
      </w:r>
      <w:r>
        <w:rPr>
          <w:rFonts w:hint="eastAsia" w:ascii="方正仿宋_GB2312" w:hAnsi="方正仿宋_GB2312" w:eastAsia="方正仿宋_GB2312" w:cs="方正仿宋_GB2312"/>
          <w:color w:val="000000" w:themeColor="text1"/>
          <w:sz w:val="32"/>
          <w:szCs w:val="32"/>
          <w:lang w:val="en-US" w:eastAsia="zh-CN"/>
          <w14:textFill>
            <w14:solidFill>
              <w14:schemeClr w14:val="tx1"/>
            </w14:solidFill>
          </w14:textFill>
        </w:rPr>
        <w:t>将有效解决牧区道路交通安全，减少牧民群众因牲畜交通事故造成的损失，保障当地道路交通出行安全。3、</w:t>
      </w:r>
      <w:r>
        <w:rPr>
          <w:rFonts w:hint="eastAsia" w:ascii="仿宋_GB2312" w:hAnsi="仿宋_GB2312" w:eastAsia="仿宋_GB2312" w:cs="仿宋_GB2312"/>
          <w:color w:val="000000" w:themeColor="text1"/>
          <w:kern w:val="0"/>
          <w:sz w:val="32"/>
          <w:szCs w:val="32"/>
          <w14:textFill>
            <w14:solidFill>
              <w14:schemeClr w14:val="tx1"/>
            </w14:solidFill>
          </w14:textFill>
        </w:rPr>
        <w:t>通过</w:t>
      </w:r>
      <w:r>
        <w:rPr>
          <w:rFonts w:hint="eastAsia" w:ascii="仿宋_GB2312" w:hAnsi="宋体" w:eastAsia="仿宋_GB2312"/>
          <w:color w:val="000000" w:themeColor="text1"/>
          <w:sz w:val="32"/>
          <w:szCs w:val="32"/>
          <w:highlight w:val="none"/>
          <w:lang w:val="zh-CN"/>
          <w14:textFill>
            <w14:solidFill>
              <w14:schemeClr w14:val="tx1"/>
            </w14:solidFill>
          </w14:textFill>
        </w:rPr>
        <w:t>实施</w:t>
      </w:r>
      <w:r>
        <w:rPr>
          <w:rFonts w:hint="eastAsia" w:ascii="仿宋_GB2312" w:hAnsi="仿宋_GB2312" w:eastAsia="仿宋_GB2312" w:cs="仿宋_GB2312"/>
          <w:color w:val="000000" w:themeColor="text1"/>
          <w:kern w:val="0"/>
          <w:sz w:val="32"/>
          <w:szCs w:val="32"/>
          <w14:textFill>
            <w14:solidFill>
              <w14:schemeClr w14:val="tx1"/>
            </w14:solidFill>
          </w14:textFill>
        </w:rPr>
        <w:t>项目</w:t>
      </w:r>
      <w:r>
        <w:rPr>
          <w:rFonts w:hint="eastAsia" w:ascii="方正仿宋_GB2312" w:hAnsi="方正仿宋_GB2312" w:eastAsia="方正仿宋_GB2312" w:cs="方正仿宋_GB2312"/>
          <w:color w:val="000000" w:themeColor="text1"/>
          <w:sz w:val="32"/>
          <w:szCs w:val="32"/>
          <w:lang w:val="en-US" w:eastAsia="zh-CN"/>
          <w14:textFill>
            <w14:solidFill>
              <w14:schemeClr w14:val="tx1"/>
            </w14:solidFill>
          </w14:textFill>
        </w:rPr>
        <w:t>将有效提升当地出行条件，还可以带动当地老百姓增收。项目实施后将进一步改善当地出行条件，减少畜牧产品运输时间，同时提高村经济效益和社会效益，为有效衔接乡村振兴和产业发展奠定良好基础。</w:t>
      </w:r>
      <w:r>
        <w:rPr>
          <w:rFonts w:hint="default" w:ascii="Times New Roman" w:hAnsi="Times New Roman" w:eastAsia="方正仿宋_GB2312" w:cs="Times New Roman"/>
          <w:snapToGrid w:val="0"/>
          <w:color w:val="000000" w:themeColor="text1"/>
          <w:kern w:val="0"/>
          <w:sz w:val="32"/>
          <w:szCs w:val="32"/>
          <w:lang w:val="en-US" w:eastAsia="zh-CN"/>
          <w14:textFill>
            <w14:solidFill>
              <w14:schemeClr w14:val="tx1"/>
            </w14:solidFill>
          </w14:textFill>
        </w:rPr>
        <w:t>同时，进一步扩大辐射面，引导我县及周边牧民群众推行自然放牧与舍饲相结合的生产模式，引导牧户转变观念，走上科学养畜的路子，有效增加农牧民收入，促进牧区的安定团结和社会和谐。</w:t>
      </w:r>
      <w:r>
        <w:rPr>
          <w:rFonts w:hint="eastAsia" w:ascii="方正仿宋_GB2312" w:hAnsi="方正仿宋_GB2312" w:eastAsia="方正仿宋_GB2312" w:cs="方正仿宋_GB2312"/>
          <w:color w:val="000000" w:themeColor="text1"/>
          <w:sz w:val="32"/>
          <w:szCs w:val="32"/>
          <w:lang w:val="en-US" w:eastAsia="zh-CN"/>
          <w14:textFill>
            <w14:solidFill>
              <w14:schemeClr w14:val="tx1"/>
            </w14:solidFill>
          </w14:textFill>
        </w:rPr>
        <w:t>4、</w:t>
      </w:r>
      <w:r>
        <w:rPr>
          <w:rFonts w:hint="eastAsia" w:ascii="仿宋_GB2312" w:hAnsi="仿宋_GB2312" w:eastAsia="仿宋_GB2312" w:cs="仿宋_GB2312"/>
          <w:color w:val="000000" w:themeColor="text1"/>
          <w:kern w:val="0"/>
          <w:sz w:val="32"/>
          <w:szCs w:val="32"/>
          <w14:textFill>
            <w14:solidFill>
              <w14:schemeClr w14:val="tx1"/>
            </w14:solidFill>
          </w14:textFill>
        </w:rPr>
        <w:t>通过</w:t>
      </w:r>
      <w:r>
        <w:rPr>
          <w:rFonts w:hint="eastAsia" w:ascii="仿宋_GB2312" w:hAnsi="宋体" w:eastAsia="仿宋_GB2312"/>
          <w:color w:val="000000" w:themeColor="text1"/>
          <w:sz w:val="32"/>
          <w:szCs w:val="32"/>
          <w:highlight w:val="none"/>
          <w:lang w:val="zh-CN"/>
          <w14:textFill>
            <w14:solidFill>
              <w14:schemeClr w14:val="tx1"/>
            </w14:solidFill>
          </w14:textFill>
        </w:rPr>
        <w:t>实施</w:t>
      </w:r>
      <w:r>
        <w:rPr>
          <w:rFonts w:hint="eastAsia" w:ascii="仿宋_GB2312" w:hAnsi="仿宋_GB2312" w:eastAsia="仿宋_GB2312" w:cs="仿宋_GB2312"/>
          <w:color w:val="000000" w:themeColor="text1"/>
          <w:kern w:val="0"/>
          <w:sz w:val="32"/>
          <w:szCs w:val="32"/>
          <w14:textFill>
            <w14:solidFill>
              <w14:schemeClr w14:val="tx1"/>
            </w14:solidFill>
          </w14:textFill>
        </w:rPr>
        <w:t>项目</w:t>
      </w:r>
      <w:r>
        <w:rPr>
          <w:rFonts w:hint="eastAsia" w:ascii="方正仿宋_GB2312" w:hAnsi="方正仿宋_GB2312" w:eastAsia="方正仿宋_GB2312" w:cs="方正仿宋_GB2312"/>
          <w:color w:val="000000" w:themeColor="text1"/>
          <w:sz w:val="32"/>
          <w:szCs w:val="32"/>
          <w:lang w:val="en-US" w:eastAsia="zh-CN"/>
          <w14:textFill>
            <w14:solidFill>
              <w14:schemeClr w14:val="tx1"/>
            </w14:solidFill>
          </w14:textFill>
        </w:rPr>
        <w:t>将有效提升当地基础设施条件，还可以带动当地老百姓增收。项目实施后将进一步改善当地基础设施条件，带动当地群众参与项目务工，同时提高村经济效益和社会效益，为有效衔接乡村振兴和产业发展奠定良好基础。5、</w:t>
      </w:r>
      <w:r>
        <w:rPr>
          <w:rFonts w:hint="eastAsia" w:ascii="仿宋_GB2312" w:hAnsi="仿宋_GB2312" w:eastAsia="仿宋_GB2312" w:cs="仿宋_GB2312"/>
          <w:color w:val="000000" w:themeColor="text1"/>
          <w:kern w:val="0"/>
          <w:sz w:val="32"/>
          <w:szCs w:val="32"/>
          <w14:textFill>
            <w14:solidFill>
              <w14:schemeClr w14:val="tx1"/>
            </w14:solidFill>
          </w14:textFill>
        </w:rPr>
        <w:t>通过</w:t>
      </w:r>
      <w:r>
        <w:rPr>
          <w:rFonts w:hint="eastAsia" w:ascii="仿宋_GB2312" w:hAnsi="宋体" w:eastAsia="仿宋_GB2312"/>
          <w:color w:val="000000" w:themeColor="text1"/>
          <w:sz w:val="32"/>
          <w:szCs w:val="32"/>
          <w:highlight w:val="none"/>
          <w:lang w:val="zh-CN"/>
          <w14:textFill>
            <w14:solidFill>
              <w14:schemeClr w14:val="tx1"/>
            </w14:solidFill>
          </w14:textFill>
        </w:rPr>
        <w:t>实施</w:t>
      </w:r>
      <w:r>
        <w:rPr>
          <w:rFonts w:hint="eastAsia" w:ascii="仿宋_GB2312" w:hAnsi="仿宋_GB2312" w:eastAsia="仿宋_GB2312" w:cs="仿宋_GB2312"/>
          <w:color w:val="000000" w:themeColor="text1"/>
          <w:kern w:val="0"/>
          <w:sz w:val="32"/>
          <w:szCs w:val="32"/>
          <w14:textFill>
            <w14:solidFill>
              <w14:schemeClr w14:val="tx1"/>
            </w14:solidFill>
          </w14:textFill>
        </w:rPr>
        <w:t>项目</w:t>
      </w:r>
      <w:r>
        <w:rPr>
          <w:rFonts w:hint="eastAsia" w:ascii="方正仿宋_GB2312" w:hAnsi="方正仿宋_GB2312" w:eastAsia="方正仿宋_GB2312" w:cs="方正仿宋_GB2312"/>
          <w:color w:val="000000" w:themeColor="text1"/>
          <w:sz w:val="32"/>
          <w:szCs w:val="32"/>
          <w:lang w:val="en-US" w:eastAsia="zh-CN"/>
          <w14:textFill>
            <w14:solidFill>
              <w14:schemeClr w14:val="tx1"/>
            </w14:solidFill>
          </w14:textFill>
        </w:rPr>
        <w:t>将有效改善当地旅游基础设施条件，增加农村集体经济收益，还可以带动当地老百姓增收，预计每年稳定提供农</w:t>
      </w:r>
      <w:bookmarkStart w:id="36" w:name="_GoBack"/>
      <w:bookmarkEnd w:id="36"/>
      <w:r>
        <w:rPr>
          <w:rFonts w:hint="eastAsia" w:ascii="方正仿宋_GB2312" w:hAnsi="方正仿宋_GB2312" w:eastAsia="方正仿宋_GB2312" w:cs="方正仿宋_GB2312"/>
          <w:color w:val="000000" w:themeColor="text1"/>
          <w:sz w:val="32"/>
          <w:szCs w:val="32"/>
          <w:lang w:val="en-US" w:eastAsia="zh-CN"/>
          <w14:textFill>
            <w14:solidFill>
              <w14:schemeClr w14:val="tx1"/>
            </w14:solidFill>
          </w14:textFill>
        </w:rPr>
        <w:t>村集体经济收益90000元，为有效衔接乡村振兴和产业发展奠定良好基础。6、</w:t>
      </w:r>
      <w:r>
        <w:rPr>
          <w:rFonts w:hint="eastAsia" w:ascii="仿宋_GB2312" w:hAnsi="仿宋_GB2312" w:eastAsia="仿宋_GB2312" w:cs="仿宋_GB2312"/>
          <w:color w:val="000000" w:themeColor="text1"/>
          <w:kern w:val="0"/>
          <w:sz w:val="32"/>
          <w:szCs w:val="32"/>
          <w14:textFill>
            <w14:solidFill>
              <w14:schemeClr w14:val="tx1"/>
            </w14:solidFill>
          </w14:textFill>
        </w:rPr>
        <w:t>通过</w:t>
      </w:r>
      <w:r>
        <w:rPr>
          <w:rFonts w:hint="eastAsia" w:ascii="仿宋_GB2312" w:hAnsi="宋体" w:eastAsia="仿宋_GB2312"/>
          <w:color w:val="000000" w:themeColor="text1"/>
          <w:sz w:val="32"/>
          <w:szCs w:val="32"/>
          <w:highlight w:val="none"/>
          <w:lang w:val="zh-CN"/>
          <w14:textFill>
            <w14:solidFill>
              <w14:schemeClr w14:val="tx1"/>
            </w14:solidFill>
          </w14:textFill>
        </w:rPr>
        <w:t>实施</w:t>
      </w:r>
      <w:r>
        <w:rPr>
          <w:rFonts w:hint="eastAsia" w:ascii="仿宋_GB2312" w:hAnsi="仿宋_GB2312" w:eastAsia="仿宋_GB2312" w:cs="仿宋_GB2312"/>
          <w:color w:val="000000" w:themeColor="text1"/>
          <w:kern w:val="0"/>
          <w:sz w:val="32"/>
          <w:szCs w:val="32"/>
          <w14:textFill>
            <w14:solidFill>
              <w14:schemeClr w14:val="tx1"/>
            </w14:solidFill>
          </w14:textFill>
        </w:rPr>
        <w:t>项目</w:t>
      </w:r>
      <w:r>
        <w:rPr>
          <w:rFonts w:hint="eastAsia" w:ascii="方正仿宋_GB2312" w:hAnsi="方正仿宋_GB2312" w:eastAsia="方正仿宋_GB2312" w:cs="方正仿宋_GB2312"/>
          <w:color w:val="000000" w:themeColor="text1"/>
          <w:sz w:val="32"/>
          <w:szCs w:val="32"/>
          <w:lang w:val="en-US" w:eastAsia="zh-CN"/>
          <w14:textFill>
            <w14:solidFill>
              <w14:schemeClr w14:val="tx1"/>
            </w14:solidFill>
          </w14:textFill>
        </w:rPr>
        <w:t>将有效帮助当地农户储备冬季饲草，保障冬季牲畜饲草。减少牲畜缺乏饲草造成的损失，同时提高村经济效益和社会效益，为有效衔接乡村振兴和产业发展奠定良好基础。</w:t>
      </w:r>
    </w:p>
    <w:p>
      <w:pPr>
        <w:pStyle w:val="4"/>
        <w:pageBreakBefore w:val="0"/>
        <w:kinsoku/>
        <w:wordWrap/>
        <w:overflowPunct/>
        <w:topLinePunct w:val="0"/>
        <w:bidi w:val="0"/>
        <w:spacing w:before="0" w:after="0" w:line="560" w:lineRule="exact"/>
        <w:ind w:left="0" w:leftChars="0" w:firstLine="640" w:firstLineChars="200"/>
        <w:rPr>
          <w:rFonts w:hint="eastAsia" w:ascii="黑体" w:hAnsi="黑体" w:eastAsia="黑体" w:cs="黑体"/>
          <w:b w:val="0"/>
          <w:bCs w:val="0"/>
          <w:color w:val="000000" w:themeColor="text1"/>
          <w:highlight w:val="none"/>
          <w14:textFill>
            <w14:solidFill>
              <w14:schemeClr w14:val="tx1"/>
            </w14:solidFill>
          </w14:textFill>
        </w:rPr>
      </w:pPr>
      <w:bookmarkStart w:id="31" w:name="_Toc10379"/>
      <w:r>
        <w:rPr>
          <w:rFonts w:hint="eastAsia" w:ascii="黑体" w:hAnsi="黑体" w:eastAsia="黑体" w:cs="黑体"/>
          <w:b w:val="0"/>
          <w:bCs w:val="0"/>
          <w:color w:val="000000" w:themeColor="text1"/>
          <w:highlight w:val="none"/>
          <w14:textFill>
            <w14:solidFill>
              <w14:schemeClr w14:val="tx1"/>
            </w14:solidFill>
          </w14:textFill>
        </w:rPr>
        <w:t>五、评价结论及建议</w:t>
      </w:r>
      <w:bookmarkEnd w:id="31"/>
    </w:p>
    <w:p>
      <w:pPr>
        <w:pStyle w:val="5"/>
        <w:pageBreakBefore w:val="0"/>
        <w:kinsoku/>
        <w:wordWrap/>
        <w:overflowPunct/>
        <w:topLinePunct w:val="0"/>
        <w:bidi w:val="0"/>
        <w:spacing w:before="0" w:after="0" w:line="560" w:lineRule="exact"/>
        <w:ind w:left="0" w:leftChars="0" w:firstLine="642" w:firstLineChars="200"/>
        <w:rPr>
          <w:rFonts w:hint="eastAsia" w:ascii="楷体_GB2312" w:hAnsi="楷体_GB2312" w:eastAsia="楷体_GB2312" w:cs="楷体_GB2312"/>
          <w:color w:val="000000" w:themeColor="text1"/>
          <w:highlight w:val="none"/>
          <w:lang w:val="zh-CN"/>
          <w14:textFill>
            <w14:solidFill>
              <w14:schemeClr w14:val="tx1"/>
            </w14:solidFill>
          </w14:textFill>
        </w:rPr>
      </w:pPr>
      <w:r>
        <w:rPr>
          <w:rFonts w:hint="eastAsia" w:ascii="楷体_GB2312" w:hAnsi="楷体_GB2312" w:eastAsia="楷体_GB2312" w:cs="楷体_GB2312"/>
          <w:color w:val="000000" w:themeColor="text1"/>
          <w:highlight w:val="none"/>
          <w:lang w:val="zh-CN"/>
          <w14:textFill>
            <w14:solidFill>
              <w14:schemeClr w14:val="tx1"/>
            </w14:solidFill>
          </w14:textFill>
        </w:rPr>
        <w:t>（一）评价结论</w:t>
      </w:r>
    </w:p>
    <w:p>
      <w:pPr>
        <w:pageBreakBefore w:val="0"/>
        <w:kinsoku/>
        <w:wordWrap/>
        <w:overflowPunct/>
        <w:topLinePunct w:val="0"/>
        <w:bidi w:val="0"/>
        <w:adjustRightInd w:val="0"/>
        <w:snapToGrid w:val="0"/>
        <w:spacing w:line="560" w:lineRule="exact"/>
        <w:ind w:left="0" w:leftChars="0" w:firstLine="720"/>
        <w:rPr>
          <w:rFonts w:hint="eastAsia" w:ascii="仿宋_GB2312" w:hAnsi="宋体" w:eastAsia="仿宋_GB2312"/>
          <w:color w:val="000000" w:themeColor="text1"/>
          <w:sz w:val="32"/>
          <w:szCs w:val="32"/>
          <w:highlight w:val="none"/>
          <w:lang w:val="zh-CN"/>
          <w14:textFill>
            <w14:solidFill>
              <w14:schemeClr w14:val="tx1"/>
            </w14:solidFill>
          </w14:textFill>
        </w:rPr>
      </w:pPr>
      <w:r>
        <w:rPr>
          <w:rFonts w:hint="eastAsia" w:ascii="仿宋_GB2312" w:hAnsi="宋体" w:eastAsia="仿宋_GB2312"/>
          <w:color w:val="000000" w:themeColor="text1"/>
          <w:sz w:val="32"/>
          <w:szCs w:val="32"/>
          <w:highlight w:val="none"/>
          <w:lang w:val="zh-CN" w:eastAsia="zh-CN"/>
          <w14:textFill>
            <w14:solidFill>
              <w14:schemeClr w14:val="tx1"/>
            </w14:solidFill>
          </w14:textFill>
        </w:rPr>
        <w:t>项目的实施改善了尕多乡基础设施薄弱、农业产业发展力不足的问题，农业产业项目实施有效增加了农牧民群众增收渠道，使乡域整体经济效益、社会效益、生态效益都已逐步呈现，群众获得感和满意度明显提升，发展现代农业条件日趋完善，可持续发展能力显著提升，为下一步乡村振兴和全面小康奠定了坚实的基础。</w:t>
      </w:r>
    </w:p>
    <w:p>
      <w:pPr>
        <w:pStyle w:val="5"/>
        <w:pageBreakBefore w:val="0"/>
        <w:kinsoku/>
        <w:wordWrap/>
        <w:overflowPunct/>
        <w:topLinePunct w:val="0"/>
        <w:bidi w:val="0"/>
        <w:spacing w:before="0" w:after="0" w:line="560" w:lineRule="exact"/>
        <w:ind w:left="0" w:leftChars="0" w:firstLine="642" w:firstLineChars="200"/>
        <w:rPr>
          <w:rFonts w:hint="eastAsia" w:ascii="楷体_GB2312" w:hAnsi="楷体_GB2312" w:eastAsia="楷体_GB2312" w:cs="楷体_GB2312"/>
          <w:color w:val="000000" w:themeColor="text1"/>
          <w:highlight w:val="none"/>
          <w:lang w:val="zh-CN"/>
          <w14:textFill>
            <w14:solidFill>
              <w14:schemeClr w14:val="tx1"/>
            </w14:solidFill>
          </w14:textFill>
        </w:rPr>
      </w:pPr>
      <w:r>
        <w:rPr>
          <w:rFonts w:hint="eastAsia" w:ascii="楷体_GB2312" w:hAnsi="楷体_GB2312" w:eastAsia="楷体_GB2312" w:cs="楷体_GB2312"/>
          <w:color w:val="000000" w:themeColor="text1"/>
          <w:highlight w:val="none"/>
          <w:lang w:val="zh-CN"/>
          <w14:textFill>
            <w14:solidFill>
              <w14:schemeClr w14:val="tx1"/>
            </w14:solidFill>
          </w14:textFill>
        </w:rPr>
        <w:t>（二）存在的问题</w:t>
      </w:r>
    </w:p>
    <w:p>
      <w:pPr>
        <w:pageBreakBefore w:val="0"/>
        <w:kinsoku/>
        <w:wordWrap/>
        <w:overflowPunct/>
        <w:topLinePunct w:val="0"/>
        <w:bidi w:val="0"/>
        <w:adjustRightInd w:val="0"/>
        <w:snapToGrid w:val="0"/>
        <w:spacing w:line="560" w:lineRule="exact"/>
        <w:ind w:left="0" w:leftChars="0" w:firstLine="720"/>
        <w:rPr>
          <w:rFonts w:hint="eastAsia" w:ascii="仿宋_GB2312" w:hAnsi="宋体" w:eastAsia="仿宋_GB2312"/>
          <w:color w:val="000000" w:themeColor="text1"/>
          <w:sz w:val="32"/>
          <w:szCs w:val="32"/>
          <w:highlight w:val="none"/>
          <w:lang w:val="zh-CN" w:eastAsia="zh-CN"/>
          <w14:textFill>
            <w14:solidFill>
              <w14:schemeClr w14:val="tx1"/>
            </w14:solidFill>
          </w14:textFill>
        </w:rPr>
      </w:pPr>
      <w:r>
        <w:rPr>
          <w:rFonts w:hint="eastAsia" w:ascii="仿宋_GB2312" w:hAnsi="宋体" w:eastAsia="仿宋_GB2312"/>
          <w:color w:val="000000" w:themeColor="text1"/>
          <w:sz w:val="32"/>
          <w:szCs w:val="32"/>
          <w:highlight w:val="none"/>
          <w:lang w:val="en-US" w:eastAsia="zh-CN"/>
          <w14:textFill>
            <w14:solidFill>
              <w14:schemeClr w14:val="tx1"/>
            </w14:solidFill>
          </w14:textFill>
        </w:rPr>
        <w:t>1、部分老板没按</w:t>
      </w:r>
      <w:r>
        <w:rPr>
          <w:rFonts w:hint="eastAsia" w:ascii="仿宋_GB2312" w:hAnsi="宋体" w:eastAsia="仿宋_GB2312"/>
          <w:color w:val="000000" w:themeColor="text1"/>
          <w:sz w:val="32"/>
          <w:szCs w:val="32"/>
          <w:highlight w:val="none"/>
          <w:lang w:val="zh-CN" w:eastAsia="zh-CN"/>
          <w14:textFill>
            <w14:solidFill>
              <w14:schemeClr w14:val="tx1"/>
            </w14:solidFill>
          </w14:textFill>
        </w:rPr>
        <w:t>计划上报工程进度。</w:t>
      </w:r>
    </w:p>
    <w:p>
      <w:pPr>
        <w:pageBreakBefore w:val="0"/>
        <w:kinsoku/>
        <w:wordWrap/>
        <w:overflowPunct/>
        <w:topLinePunct w:val="0"/>
        <w:bidi w:val="0"/>
        <w:adjustRightInd w:val="0"/>
        <w:snapToGrid w:val="0"/>
        <w:spacing w:line="560" w:lineRule="exact"/>
        <w:ind w:left="0" w:leftChars="0" w:firstLine="720"/>
        <w:rPr>
          <w:rFonts w:hint="eastAsia" w:ascii="仿宋_GB2312" w:hAnsi="宋体" w:eastAsia="仿宋_GB2312"/>
          <w:color w:val="000000" w:themeColor="text1"/>
          <w:sz w:val="32"/>
          <w:szCs w:val="32"/>
          <w:highlight w:val="none"/>
          <w:lang w:val="zh-CN" w:eastAsia="zh-CN"/>
          <w14:textFill>
            <w14:solidFill>
              <w14:schemeClr w14:val="tx1"/>
            </w14:solidFill>
          </w14:textFill>
        </w:rPr>
      </w:pPr>
      <w:r>
        <w:rPr>
          <w:rFonts w:hint="eastAsia" w:ascii="仿宋_GB2312" w:hAnsi="宋体" w:eastAsia="仿宋_GB2312"/>
          <w:color w:val="000000" w:themeColor="text1"/>
          <w:sz w:val="32"/>
          <w:szCs w:val="32"/>
          <w:highlight w:val="none"/>
          <w:lang w:val="zh-CN" w:eastAsia="zh-CN"/>
          <w14:textFill>
            <w14:solidFill>
              <w14:schemeClr w14:val="tx1"/>
            </w14:solidFill>
          </w14:textFill>
        </w:rPr>
        <w:t>2、项目实施后报销资料提供缓慢，集中在年底报销，账务处理不及时。</w:t>
      </w:r>
    </w:p>
    <w:p>
      <w:pPr>
        <w:pStyle w:val="5"/>
        <w:pageBreakBefore w:val="0"/>
        <w:kinsoku/>
        <w:wordWrap/>
        <w:overflowPunct/>
        <w:topLinePunct w:val="0"/>
        <w:bidi w:val="0"/>
        <w:spacing w:before="0" w:after="0" w:line="560" w:lineRule="exact"/>
        <w:ind w:left="0" w:leftChars="0" w:firstLine="642" w:firstLineChars="200"/>
        <w:rPr>
          <w:rFonts w:hint="eastAsia" w:ascii="楷体_GB2312" w:hAnsi="楷体_GB2312" w:eastAsia="楷体_GB2312" w:cs="楷体_GB2312"/>
          <w:color w:val="000000" w:themeColor="text1"/>
          <w:highlight w:val="none"/>
          <w:lang w:val="zh-CN"/>
          <w14:textFill>
            <w14:solidFill>
              <w14:schemeClr w14:val="tx1"/>
            </w14:solidFill>
          </w14:textFill>
        </w:rPr>
      </w:pPr>
      <w:r>
        <w:rPr>
          <w:rFonts w:hint="eastAsia" w:ascii="楷体_GB2312" w:hAnsi="楷体_GB2312" w:eastAsia="楷体_GB2312" w:cs="楷体_GB2312"/>
          <w:color w:val="000000" w:themeColor="text1"/>
          <w:highlight w:val="none"/>
          <w:lang w:val="zh-CN"/>
          <w14:textFill>
            <w14:solidFill>
              <w14:schemeClr w14:val="tx1"/>
            </w14:solidFill>
          </w14:textFill>
        </w:rPr>
        <w:t>（三）相关建议</w:t>
      </w:r>
    </w:p>
    <w:p>
      <w:pPr>
        <w:pageBreakBefore w:val="0"/>
        <w:kinsoku/>
        <w:wordWrap/>
        <w:overflowPunct/>
        <w:topLinePunct w:val="0"/>
        <w:bidi w:val="0"/>
        <w:adjustRightInd w:val="0"/>
        <w:snapToGrid w:val="0"/>
        <w:spacing w:line="560" w:lineRule="exact"/>
        <w:ind w:left="0" w:leftChars="0" w:firstLine="720"/>
        <w:rPr>
          <w:rFonts w:hint="eastAsia" w:ascii="仿宋_GB2312" w:hAnsi="宋体" w:eastAsia="仿宋_GB2312"/>
          <w:color w:val="000000" w:themeColor="text1"/>
          <w:sz w:val="32"/>
          <w:szCs w:val="32"/>
          <w:highlight w:val="none"/>
          <w:lang w:val="en-US" w:eastAsia="zh-CN"/>
          <w14:textFill>
            <w14:solidFill>
              <w14:schemeClr w14:val="tx1"/>
            </w14:solidFill>
          </w14:textFill>
        </w:rPr>
      </w:pPr>
      <w:r>
        <w:rPr>
          <w:rFonts w:hint="eastAsia" w:ascii="仿宋_GB2312" w:hAnsi="宋体" w:eastAsia="仿宋_GB2312"/>
          <w:color w:val="000000" w:themeColor="text1"/>
          <w:sz w:val="32"/>
          <w:szCs w:val="32"/>
          <w:highlight w:val="none"/>
          <w:lang w:val="en-US" w:eastAsia="zh-CN"/>
          <w14:textFill>
            <w14:solidFill>
              <w14:schemeClr w14:val="tx1"/>
            </w14:solidFill>
          </w14:textFill>
        </w:rPr>
        <w:t>1、乡工作人员及时督促年初积极制定实施项目内容，上报县财政。</w:t>
      </w:r>
    </w:p>
    <w:p>
      <w:pPr>
        <w:pageBreakBefore w:val="0"/>
        <w:kinsoku/>
        <w:wordWrap/>
        <w:overflowPunct/>
        <w:topLinePunct w:val="0"/>
        <w:bidi w:val="0"/>
        <w:adjustRightInd w:val="0"/>
        <w:snapToGrid w:val="0"/>
        <w:spacing w:line="560" w:lineRule="exact"/>
        <w:ind w:left="0" w:leftChars="0" w:firstLine="720"/>
        <w:rPr>
          <w:rFonts w:hint="eastAsia" w:ascii="仿宋_GB2312" w:hAnsi="宋体" w:eastAsia="仿宋_GB2312"/>
          <w:color w:val="000000" w:themeColor="text1"/>
          <w:sz w:val="32"/>
          <w:szCs w:val="32"/>
          <w:highlight w:val="none"/>
          <w:lang w:val="en-US" w:eastAsia="zh-CN"/>
          <w14:textFill>
            <w14:solidFill>
              <w14:schemeClr w14:val="tx1"/>
            </w14:solidFill>
          </w14:textFill>
        </w:rPr>
      </w:pPr>
      <w:r>
        <w:rPr>
          <w:rFonts w:hint="eastAsia" w:ascii="仿宋_GB2312" w:hAnsi="宋体" w:eastAsia="仿宋_GB2312"/>
          <w:color w:val="000000" w:themeColor="text1"/>
          <w:sz w:val="32"/>
          <w:szCs w:val="32"/>
          <w:highlight w:val="none"/>
          <w:lang w:val="en-US" w:eastAsia="zh-CN"/>
          <w14:textFill>
            <w14:solidFill>
              <w14:schemeClr w14:val="tx1"/>
            </w14:solidFill>
          </w14:textFill>
        </w:rPr>
        <w:t>2、乡督促各村项目验收后积极提供资料，实报实销，提高账务处理度。</w:t>
      </w:r>
    </w:p>
    <w:p>
      <w:pPr>
        <w:pStyle w:val="2"/>
        <w:rPr>
          <w:rFonts w:hint="eastAsia" w:ascii="黑体" w:hAnsi="黑体" w:eastAsia="黑体" w:cs="黑体"/>
          <w:color w:val="0000FF"/>
          <w:kern w:val="0"/>
          <w:sz w:val="32"/>
          <w:szCs w:val="32"/>
          <w:highlight w:val="none"/>
          <w:shd w:val="clear" w:color="auto" w:fill="FFFFFF"/>
          <w:lang w:val="en-US" w:eastAsia="zh-CN"/>
        </w:rPr>
      </w:pPr>
    </w:p>
    <w:p>
      <w:pPr>
        <w:pStyle w:val="2"/>
        <w:rPr>
          <w:rFonts w:hint="eastAsia" w:ascii="黑体" w:hAnsi="黑体" w:eastAsia="黑体" w:cs="黑体"/>
          <w:color w:val="0000FF"/>
          <w:kern w:val="0"/>
          <w:sz w:val="32"/>
          <w:szCs w:val="32"/>
          <w:highlight w:val="none"/>
          <w:shd w:val="clear" w:color="auto" w:fill="FFFFFF"/>
          <w:lang w:val="en-US" w:eastAsia="zh-CN"/>
        </w:rPr>
      </w:pPr>
    </w:p>
    <w:p>
      <w:pPr>
        <w:pStyle w:val="2"/>
        <w:rPr>
          <w:rFonts w:hint="eastAsia" w:ascii="黑体" w:hAnsi="黑体" w:eastAsia="黑体" w:cs="黑体"/>
          <w:color w:val="0000FF"/>
          <w:kern w:val="0"/>
          <w:sz w:val="32"/>
          <w:szCs w:val="32"/>
          <w:highlight w:val="none"/>
          <w:shd w:val="clear" w:color="auto" w:fill="FFFFFF"/>
          <w:lang w:val="en-US" w:eastAsia="zh-CN"/>
        </w:rPr>
      </w:pPr>
    </w:p>
    <w:p>
      <w:pPr>
        <w:pStyle w:val="2"/>
        <w:rPr>
          <w:rFonts w:hint="eastAsia" w:ascii="黑体" w:hAnsi="黑体" w:eastAsia="黑体" w:cs="黑体"/>
          <w:color w:val="0000FF"/>
          <w:kern w:val="0"/>
          <w:sz w:val="32"/>
          <w:szCs w:val="32"/>
          <w:highlight w:val="none"/>
          <w:shd w:val="clear" w:color="auto" w:fill="FFFFFF"/>
          <w:lang w:val="en-US" w:eastAsia="zh-CN"/>
        </w:rPr>
      </w:pPr>
    </w:p>
    <w:p>
      <w:pPr>
        <w:pStyle w:val="2"/>
        <w:rPr>
          <w:rFonts w:hint="eastAsia" w:ascii="黑体" w:hAnsi="黑体" w:eastAsia="黑体" w:cs="黑体"/>
          <w:color w:val="0000FF"/>
          <w:kern w:val="0"/>
          <w:sz w:val="32"/>
          <w:szCs w:val="32"/>
          <w:highlight w:val="none"/>
          <w:shd w:val="clear" w:color="auto" w:fill="FFFFFF"/>
          <w:lang w:val="en-US" w:eastAsia="zh-CN"/>
        </w:rPr>
      </w:pPr>
    </w:p>
    <w:p>
      <w:pPr>
        <w:pStyle w:val="26"/>
        <w:keepNext w:val="0"/>
        <w:keepLines w:val="0"/>
        <w:pageBreakBefore w:val="0"/>
        <w:widowControl w:val="0"/>
        <w:kinsoku/>
        <w:wordWrap/>
        <w:overflowPunct/>
        <w:topLinePunct w:val="0"/>
        <w:autoSpaceDE/>
        <w:autoSpaceDN/>
        <w:bidi w:val="0"/>
        <w:spacing w:line="580" w:lineRule="exact"/>
        <w:jc w:val="center"/>
        <w:textAlignment w:val="auto"/>
        <w:rPr>
          <w:rFonts w:hint="eastAsia" w:ascii="方正小标宋_GBK" w:hAnsi="方正小标宋_GBK" w:eastAsia="方正小标宋_GBK" w:cs="方正小标宋_GBK"/>
          <w:sz w:val="44"/>
          <w:szCs w:val="44"/>
          <w:lang w:eastAsia="zh-CN"/>
        </w:rPr>
      </w:pPr>
      <w:bookmarkStart w:id="32" w:name="_Toc25517"/>
      <w:r>
        <w:rPr>
          <w:rFonts w:hint="eastAsia" w:ascii="方正小标宋_GBK" w:hAnsi="方正小标宋_GBK" w:eastAsia="方正小标宋_GBK" w:cs="方正小标宋_GBK"/>
          <w:sz w:val="44"/>
          <w:szCs w:val="44"/>
          <w:lang w:eastAsia="zh-CN"/>
        </w:rPr>
        <w:t>壤塘县尕多乡刑木达和美乡村农旅产业配套基础设施建设项目</w:t>
      </w:r>
    </w:p>
    <w:p>
      <w:pPr>
        <w:pStyle w:val="26"/>
        <w:keepNext w:val="0"/>
        <w:keepLines w:val="0"/>
        <w:pageBreakBefore w:val="0"/>
        <w:widowControl w:val="0"/>
        <w:kinsoku/>
        <w:wordWrap/>
        <w:overflowPunct/>
        <w:topLinePunct w:val="0"/>
        <w:autoSpaceDE/>
        <w:autoSpaceDN/>
        <w:bidi w:val="0"/>
        <w:spacing w:line="580" w:lineRule="exact"/>
        <w:jc w:val="center"/>
        <w:textAlignment w:val="auto"/>
        <w:rPr>
          <w:rFonts w:hint="eastAsia" w:ascii="方正小标宋_GBK" w:hAnsi="方正小标宋_GBK" w:eastAsia="方正小标宋_GBK" w:cs="方正小标宋_GBK"/>
          <w:color w:val="auto"/>
          <w:kern w:val="2"/>
          <w:sz w:val="44"/>
          <w:szCs w:val="44"/>
        </w:rPr>
      </w:pPr>
      <w:r>
        <w:rPr>
          <w:rFonts w:hint="eastAsia" w:ascii="方正小标宋_GBK" w:hAnsi="方正小标宋_GBK" w:eastAsia="方正小标宋_GBK" w:cs="方正小标宋_GBK"/>
          <w:sz w:val="44"/>
          <w:szCs w:val="44"/>
          <w:lang w:eastAsia="zh-CN"/>
        </w:rPr>
        <w:t>支出</w:t>
      </w:r>
      <w:r>
        <w:rPr>
          <w:rFonts w:hint="eastAsia" w:ascii="方正小标宋_GBK" w:hAnsi="方正小标宋_GBK" w:eastAsia="方正小标宋_GBK" w:cs="方正小标宋_GBK"/>
          <w:sz w:val="44"/>
          <w:szCs w:val="44"/>
        </w:rPr>
        <w:t>绩效自评报告</w:t>
      </w:r>
    </w:p>
    <w:bookmarkEnd w:id="32"/>
    <w:p>
      <w:pPr>
        <w:keepNext w:val="0"/>
        <w:keepLines w:val="0"/>
        <w:pageBreakBefore w:val="0"/>
        <w:widowControl w:val="0"/>
        <w:kinsoku/>
        <w:wordWrap/>
        <w:overflowPunct/>
        <w:topLinePunct w:val="0"/>
        <w:autoSpaceDE/>
        <w:autoSpaceDN/>
        <w:bidi w:val="0"/>
        <w:adjustRightInd w:val="0"/>
        <w:snapToGrid w:val="0"/>
        <w:spacing w:line="580" w:lineRule="exact"/>
        <w:textAlignment w:val="auto"/>
        <w:rPr>
          <w:rFonts w:hint="eastAsia" w:ascii="方正仿宋_GB2312" w:hAnsi="方正仿宋_GB2312" w:eastAsia="方正仿宋_GB2312" w:cs="方正仿宋_GB2312"/>
          <w:b/>
          <w:bCs/>
          <w:kern w:val="2"/>
          <w:sz w:val="32"/>
          <w:szCs w:val="32"/>
          <w:lang w:val="zh-CN" w:eastAsia="zh-CN" w:bidi="ar-SA"/>
        </w:rPr>
      </w:pPr>
      <w:r>
        <w:rPr>
          <w:rFonts w:hint="eastAsia" w:ascii="方正仿宋_GB2312" w:hAnsi="方正仿宋_GB2312" w:eastAsia="方正仿宋_GB2312" w:cs="方正仿宋_GB2312"/>
          <w:b/>
          <w:bCs/>
          <w:kern w:val="2"/>
          <w:sz w:val="32"/>
          <w:szCs w:val="32"/>
          <w:lang w:val="en-US" w:eastAsia="zh-CN" w:bidi="ar-SA"/>
        </w:rPr>
        <w:t>一、</w:t>
      </w:r>
      <w:r>
        <w:rPr>
          <w:rFonts w:hint="eastAsia" w:ascii="方正仿宋_GB2312" w:hAnsi="方正仿宋_GB2312" w:eastAsia="方正仿宋_GB2312" w:cs="方正仿宋_GB2312"/>
          <w:b/>
          <w:bCs/>
          <w:kern w:val="2"/>
          <w:sz w:val="32"/>
          <w:szCs w:val="32"/>
          <w:lang w:val="zh-CN" w:eastAsia="zh-CN" w:bidi="ar-SA"/>
        </w:rPr>
        <w:t>项目概况</w:t>
      </w:r>
    </w:p>
    <w:p>
      <w:pPr>
        <w:pageBreakBefore w:val="0"/>
        <w:kinsoku/>
        <w:wordWrap/>
        <w:overflowPunct/>
        <w:topLinePunct w:val="0"/>
        <w:bidi w:val="0"/>
        <w:adjustRightInd w:val="0"/>
        <w:snapToGrid w:val="0"/>
        <w:spacing w:line="560" w:lineRule="exact"/>
        <w:ind w:left="0" w:leftChars="0" w:firstLine="720"/>
        <w:rPr>
          <w:rFonts w:hint="eastAsia" w:ascii="仿宋_GB2312" w:hAnsi="宋体" w:eastAsia="仿宋_GB2312" w:cs="Times New Roman"/>
          <w:b/>
          <w:bCs/>
          <w:color w:val="000000" w:themeColor="text1"/>
          <w:sz w:val="32"/>
          <w:szCs w:val="32"/>
          <w:highlight w:val="none"/>
          <w:lang w:val="en-US" w:eastAsia="zh-CN"/>
          <w14:textFill>
            <w14:solidFill>
              <w14:schemeClr w14:val="tx1"/>
            </w14:solidFill>
          </w14:textFill>
        </w:rPr>
      </w:pPr>
      <w:r>
        <w:rPr>
          <w:rFonts w:hint="eastAsia" w:ascii="仿宋_GB2312" w:hAnsi="宋体" w:eastAsia="仿宋_GB2312" w:cs="Times New Roman"/>
          <w:b/>
          <w:bCs/>
          <w:color w:val="000000" w:themeColor="text1"/>
          <w:sz w:val="32"/>
          <w:szCs w:val="32"/>
          <w:highlight w:val="none"/>
          <w:lang w:val="en-US" w:eastAsia="zh-CN"/>
          <w14:textFill>
            <w14:solidFill>
              <w14:schemeClr w14:val="tx1"/>
            </w14:solidFill>
          </w14:textFill>
        </w:rPr>
        <w:t>（一）项目申报及批复情况。</w:t>
      </w:r>
    </w:p>
    <w:p>
      <w:pPr>
        <w:pageBreakBefore w:val="0"/>
        <w:kinsoku/>
        <w:wordWrap/>
        <w:overflowPunct/>
        <w:topLinePunct w:val="0"/>
        <w:bidi w:val="0"/>
        <w:adjustRightInd w:val="0"/>
        <w:snapToGrid w:val="0"/>
        <w:spacing w:line="560" w:lineRule="exact"/>
        <w:ind w:left="0" w:leftChars="0" w:firstLine="720"/>
        <w:rPr>
          <w:rFonts w:hint="eastAsia" w:ascii="仿宋_GB2312" w:hAnsi="宋体" w:eastAsia="仿宋_GB2312" w:cs="Times New Roman"/>
          <w:color w:val="000000" w:themeColor="text1"/>
          <w:sz w:val="32"/>
          <w:szCs w:val="32"/>
          <w:highlight w:val="none"/>
          <w:lang w:val="en-US" w:eastAsia="zh-CN"/>
          <w14:textFill>
            <w14:solidFill>
              <w14:schemeClr w14:val="tx1"/>
            </w14:solidFill>
          </w14:textFill>
        </w:rPr>
      </w:pPr>
      <w:r>
        <w:rPr>
          <w:rFonts w:hint="eastAsia" w:ascii="仿宋_GB2312" w:hAnsi="宋体" w:eastAsia="仿宋_GB2312" w:cs="Times New Roman"/>
          <w:color w:val="000000" w:themeColor="text1"/>
          <w:sz w:val="32"/>
          <w:szCs w:val="32"/>
          <w:highlight w:val="none"/>
          <w:lang w:val="en-US" w:eastAsia="zh-CN"/>
          <w14:textFill>
            <w14:solidFill>
              <w14:schemeClr w14:val="tx1"/>
            </w14:solidFill>
          </w14:textFill>
        </w:rPr>
        <w:t>该项目根据《壤塘县发展和改革局关于壤塘县尕多乡刑木达和美乡村农旅产业配套基础设施建设项目可行性研究报告的批复》</w:t>
      </w:r>
      <w:r>
        <w:rPr>
          <w:rFonts w:hint="eastAsia" w:ascii="仿宋_GB2312" w:hAnsi="宋体" w:eastAsia="仿宋_GB2312" w:cs="Times New Roman"/>
          <w:color w:val="000000" w:themeColor="text1"/>
          <w:sz w:val="32"/>
          <w:szCs w:val="32"/>
          <w:highlight w:val="none"/>
          <w:lang w:val="zh-CN" w:eastAsia="zh-CN"/>
          <w14:textFill>
            <w14:solidFill>
              <w14:schemeClr w14:val="tx1"/>
            </w14:solidFill>
          </w14:textFill>
        </w:rPr>
        <w:t>壤发改行审〔202</w:t>
      </w:r>
      <w:r>
        <w:rPr>
          <w:rFonts w:hint="eastAsia" w:ascii="仿宋_GB2312" w:hAnsi="宋体" w:eastAsia="仿宋_GB2312" w:cs="Times New Roman"/>
          <w:color w:val="000000" w:themeColor="text1"/>
          <w:sz w:val="32"/>
          <w:szCs w:val="32"/>
          <w:highlight w:val="none"/>
          <w:lang w:val="en-US" w:eastAsia="zh-CN"/>
          <w14:textFill>
            <w14:solidFill>
              <w14:schemeClr w14:val="tx1"/>
            </w14:solidFill>
          </w14:textFill>
        </w:rPr>
        <w:t>5</w:t>
      </w:r>
      <w:r>
        <w:rPr>
          <w:rFonts w:hint="eastAsia" w:ascii="仿宋_GB2312" w:hAnsi="宋体" w:eastAsia="仿宋_GB2312" w:cs="Times New Roman"/>
          <w:color w:val="000000" w:themeColor="text1"/>
          <w:sz w:val="32"/>
          <w:szCs w:val="32"/>
          <w:highlight w:val="none"/>
          <w:lang w:val="zh-CN" w:eastAsia="zh-CN"/>
          <w14:textFill>
            <w14:solidFill>
              <w14:schemeClr w14:val="tx1"/>
            </w14:solidFill>
          </w14:textFill>
        </w:rPr>
        <w:t>〕</w:t>
      </w:r>
      <w:r>
        <w:rPr>
          <w:rFonts w:hint="eastAsia" w:ascii="仿宋_GB2312" w:hAnsi="宋体" w:eastAsia="仿宋_GB2312" w:cs="Times New Roman"/>
          <w:color w:val="000000" w:themeColor="text1"/>
          <w:sz w:val="32"/>
          <w:szCs w:val="32"/>
          <w:highlight w:val="none"/>
          <w:lang w:val="en-US" w:eastAsia="zh-CN"/>
          <w14:textFill>
            <w14:solidFill>
              <w14:schemeClr w14:val="tx1"/>
            </w14:solidFill>
          </w14:textFill>
        </w:rPr>
        <w:t>15</w:t>
      </w:r>
      <w:r>
        <w:rPr>
          <w:rFonts w:hint="eastAsia" w:ascii="仿宋_GB2312" w:hAnsi="宋体" w:eastAsia="仿宋_GB2312" w:cs="Times New Roman"/>
          <w:color w:val="000000" w:themeColor="text1"/>
          <w:sz w:val="32"/>
          <w:szCs w:val="32"/>
          <w:highlight w:val="none"/>
          <w:lang w:val="zh-CN" w:eastAsia="zh-CN"/>
          <w14:textFill>
            <w14:solidFill>
              <w14:schemeClr w14:val="tx1"/>
            </w14:solidFill>
          </w14:textFill>
        </w:rPr>
        <w:t>号</w:t>
      </w:r>
      <w:r>
        <w:rPr>
          <w:rFonts w:hint="eastAsia" w:ascii="仿宋_GB2312" w:hAnsi="宋体" w:eastAsia="仿宋_GB2312" w:cs="Times New Roman"/>
          <w:color w:val="000000" w:themeColor="text1"/>
          <w:sz w:val="32"/>
          <w:szCs w:val="32"/>
          <w:highlight w:val="none"/>
          <w:lang w:val="en-US" w:eastAsia="zh-CN"/>
          <w14:textFill>
            <w14:solidFill>
              <w14:schemeClr w14:val="tx1"/>
            </w14:solidFill>
          </w14:textFill>
        </w:rPr>
        <w:t>予以批准建设，批复总投资3000万元。</w:t>
      </w:r>
    </w:p>
    <w:p>
      <w:pPr>
        <w:pageBreakBefore w:val="0"/>
        <w:kinsoku/>
        <w:wordWrap/>
        <w:overflowPunct/>
        <w:topLinePunct w:val="0"/>
        <w:bidi w:val="0"/>
        <w:adjustRightInd w:val="0"/>
        <w:snapToGrid w:val="0"/>
        <w:spacing w:line="560" w:lineRule="exact"/>
        <w:ind w:left="0" w:leftChars="0" w:firstLine="720"/>
        <w:rPr>
          <w:rFonts w:hint="eastAsia" w:ascii="仿宋_GB2312" w:hAnsi="宋体" w:eastAsia="仿宋_GB2312" w:cs="Times New Roman"/>
          <w:b/>
          <w:bCs/>
          <w:color w:val="000000" w:themeColor="text1"/>
          <w:sz w:val="32"/>
          <w:szCs w:val="32"/>
          <w:highlight w:val="none"/>
          <w:lang w:val="en-US" w:eastAsia="zh-CN"/>
          <w14:textFill>
            <w14:solidFill>
              <w14:schemeClr w14:val="tx1"/>
            </w14:solidFill>
          </w14:textFill>
        </w:rPr>
      </w:pPr>
      <w:r>
        <w:rPr>
          <w:rFonts w:hint="eastAsia" w:ascii="仿宋_GB2312" w:hAnsi="宋体" w:eastAsia="仿宋_GB2312" w:cs="Times New Roman"/>
          <w:b/>
          <w:bCs/>
          <w:color w:val="000000" w:themeColor="text1"/>
          <w:sz w:val="32"/>
          <w:szCs w:val="32"/>
          <w:highlight w:val="none"/>
          <w:lang w:val="en-US" w:eastAsia="zh-CN"/>
          <w14:textFill>
            <w14:solidFill>
              <w14:schemeClr w14:val="tx1"/>
            </w14:solidFill>
          </w14:textFill>
        </w:rPr>
        <w:t>（二）项目建设任务完成情况。</w:t>
      </w:r>
    </w:p>
    <w:p>
      <w:pPr>
        <w:pageBreakBefore w:val="0"/>
        <w:kinsoku/>
        <w:wordWrap/>
        <w:overflowPunct/>
        <w:topLinePunct w:val="0"/>
        <w:bidi w:val="0"/>
        <w:adjustRightInd w:val="0"/>
        <w:snapToGrid w:val="0"/>
        <w:spacing w:line="560" w:lineRule="exact"/>
        <w:ind w:left="0" w:leftChars="0" w:firstLine="720"/>
        <w:rPr>
          <w:rFonts w:hint="eastAsia" w:ascii="仿宋_GB2312" w:hAnsi="宋体" w:eastAsia="仿宋_GB2312" w:cs="Times New Roman"/>
          <w:color w:val="000000" w:themeColor="text1"/>
          <w:sz w:val="32"/>
          <w:szCs w:val="32"/>
          <w:highlight w:val="none"/>
          <w:lang w:val="en-US" w:eastAsia="zh-CN"/>
          <w14:textFill>
            <w14:solidFill>
              <w14:schemeClr w14:val="tx1"/>
            </w14:solidFill>
          </w14:textFill>
        </w:rPr>
      </w:pPr>
      <w:r>
        <w:rPr>
          <w:rFonts w:hint="eastAsia" w:ascii="仿宋_GB2312" w:hAnsi="宋体" w:eastAsia="仿宋_GB2312" w:cs="Times New Roman"/>
          <w:color w:val="000000" w:themeColor="text1"/>
          <w:sz w:val="32"/>
          <w:szCs w:val="32"/>
          <w:highlight w:val="none"/>
          <w:lang w:val="en-US" w:eastAsia="zh-CN"/>
          <w14:textFill>
            <w14:solidFill>
              <w14:schemeClr w14:val="tx1"/>
            </w14:solidFill>
          </w14:textFill>
        </w:rPr>
        <w:t>该项目建设主要内容包括：新建排水沟7公里，河道治理2公里，泄洪沟沟口处理4处，人行道3公里，生态护栏20公里，公共厕所4座，路基挡墙650立方米，人居环境整治16500平方米，供水管网7公里，硬化工程10000平米，线路改造等附属配套设施。项目于2025年7月开工，于2025年10月完工。</w:t>
      </w:r>
    </w:p>
    <w:p>
      <w:pPr>
        <w:pageBreakBefore w:val="0"/>
        <w:kinsoku/>
        <w:wordWrap/>
        <w:overflowPunct/>
        <w:topLinePunct w:val="0"/>
        <w:bidi w:val="0"/>
        <w:adjustRightInd w:val="0"/>
        <w:snapToGrid w:val="0"/>
        <w:spacing w:line="560" w:lineRule="exact"/>
        <w:ind w:left="0" w:leftChars="0" w:firstLine="720"/>
        <w:rPr>
          <w:rFonts w:hint="eastAsia" w:ascii="仿宋_GB2312" w:hAnsi="宋体" w:eastAsia="仿宋_GB2312" w:cs="Times New Roman"/>
          <w:b/>
          <w:bCs/>
          <w:color w:val="000000" w:themeColor="text1"/>
          <w:sz w:val="32"/>
          <w:szCs w:val="32"/>
          <w:highlight w:val="none"/>
          <w:lang w:val="en-US" w:eastAsia="zh-CN"/>
          <w14:textFill>
            <w14:solidFill>
              <w14:schemeClr w14:val="tx1"/>
            </w14:solidFill>
          </w14:textFill>
        </w:rPr>
      </w:pPr>
      <w:r>
        <w:rPr>
          <w:rFonts w:hint="eastAsia" w:ascii="仿宋_GB2312" w:hAnsi="宋体" w:eastAsia="仿宋_GB2312" w:cs="Times New Roman"/>
          <w:b/>
          <w:bCs/>
          <w:color w:val="000000" w:themeColor="text1"/>
          <w:sz w:val="32"/>
          <w:szCs w:val="32"/>
          <w:highlight w:val="none"/>
          <w:lang w:val="en-US" w:eastAsia="zh-CN"/>
          <w14:textFill>
            <w14:solidFill>
              <w14:schemeClr w14:val="tx1"/>
            </w14:solidFill>
          </w14:textFill>
        </w:rPr>
        <w:t>（三）项目资金申报相符性</w:t>
      </w:r>
    </w:p>
    <w:p>
      <w:pPr>
        <w:pageBreakBefore w:val="0"/>
        <w:kinsoku/>
        <w:wordWrap/>
        <w:overflowPunct/>
        <w:topLinePunct w:val="0"/>
        <w:bidi w:val="0"/>
        <w:adjustRightInd w:val="0"/>
        <w:snapToGrid w:val="0"/>
        <w:spacing w:line="560" w:lineRule="exact"/>
        <w:ind w:left="0" w:leftChars="0" w:firstLine="720"/>
        <w:rPr>
          <w:rFonts w:hint="eastAsia" w:ascii="仿宋_GB2312" w:hAnsi="宋体" w:eastAsia="仿宋_GB2312" w:cs="Times New Roman"/>
          <w:color w:val="0000FF"/>
          <w:sz w:val="32"/>
          <w:szCs w:val="32"/>
          <w:highlight w:val="none"/>
          <w:lang w:val="en-US" w:eastAsia="zh-CN"/>
        </w:rPr>
      </w:pPr>
      <w:r>
        <w:rPr>
          <w:rFonts w:hint="eastAsia" w:ascii="仿宋_GB2312" w:hAnsi="宋体" w:eastAsia="仿宋_GB2312" w:cs="Times New Roman"/>
          <w:b w:val="0"/>
          <w:bCs w:val="0"/>
          <w:color w:val="000000" w:themeColor="text1"/>
          <w:sz w:val="32"/>
          <w:szCs w:val="32"/>
          <w:highlight w:val="none"/>
          <w:lang w:val="en-US" w:eastAsia="zh-CN"/>
          <w14:textFill>
            <w14:solidFill>
              <w14:schemeClr w14:val="tx1"/>
            </w14:solidFill>
          </w14:textFill>
        </w:rPr>
        <w:t>项目申报内容与具体实施内容相符，申报目标合理可行。</w:t>
      </w:r>
    </w:p>
    <w:p>
      <w:pPr>
        <w:keepNext w:val="0"/>
        <w:keepLines w:val="0"/>
        <w:pageBreakBefore w:val="0"/>
        <w:widowControl w:val="0"/>
        <w:kinsoku/>
        <w:wordWrap/>
        <w:overflowPunct/>
        <w:topLinePunct w:val="0"/>
        <w:autoSpaceDE/>
        <w:autoSpaceDN/>
        <w:bidi w:val="0"/>
        <w:adjustRightInd w:val="0"/>
        <w:snapToGrid w:val="0"/>
        <w:spacing w:line="580" w:lineRule="exact"/>
        <w:textAlignment w:val="auto"/>
        <w:rPr>
          <w:rFonts w:hint="eastAsia" w:ascii="方正仿宋_GB2312" w:hAnsi="方正仿宋_GB2312" w:eastAsia="方正仿宋_GB2312" w:cs="方正仿宋_GB2312"/>
          <w:b/>
          <w:bCs/>
          <w:kern w:val="2"/>
          <w:sz w:val="32"/>
          <w:szCs w:val="32"/>
          <w:lang w:val="en-US" w:eastAsia="zh-CN" w:bidi="ar-SA"/>
        </w:rPr>
      </w:pPr>
      <w:bookmarkStart w:id="33" w:name="_Toc4738"/>
      <w:r>
        <w:rPr>
          <w:rFonts w:hint="eastAsia" w:ascii="方正仿宋_GB2312" w:hAnsi="方正仿宋_GB2312" w:eastAsia="方正仿宋_GB2312" w:cs="方正仿宋_GB2312"/>
          <w:b/>
          <w:bCs/>
          <w:kern w:val="2"/>
          <w:sz w:val="32"/>
          <w:szCs w:val="32"/>
          <w:lang w:val="en-US" w:eastAsia="zh-CN" w:bidi="ar-SA"/>
        </w:rPr>
        <w:t>二、项目实施</w:t>
      </w:r>
      <w:bookmarkEnd w:id="33"/>
    </w:p>
    <w:p>
      <w:pPr>
        <w:pageBreakBefore w:val="0"/>
        <w:kinsoku/>
        <w:wordWrap/>
        <w:overflowPunct/>
        <w:topLinePunct w:val="0"/>
        <w:bidi w:val="0"/>
        <w:adjustRightInd w:val="0"/>
        <w:snapToGrid w:val="0"/>
        <w:spacing w:line="560" w:lineRule="exact"/>
        <w:ind w:left="0" w:leftChars="0" w:firstLine="720"/>
        <w:rPr>
          <w:rFonts w:hint="eastAsia" w:ascii="仿宋_GB2312" w:hAnsi="宋体" w:eastAsia="仿宋_GB2312" w:cs="Times New Roman"/>
          <w:b/>
          <w:bCs/>
          <w:color w:val="000000" w:themeColor="text1"/>
          <w:sz w:val="32"/>
          <w:szCs w:val="32"/>
          <w:highlight w:val="none"/>
          <w:lang w:val="zh-CN" w:eastAsia="zh-CN"/>
          <w14:textFill>
            <w14:solidFill>
              <w14:schemeClr w14:val="tx1"/>
            </w14:solidFill>
          </w14:textFill>
        </w:rPr>
      </w:pPr>
      <w:r>
        <w:rPr>
          <w:rFonts w:hint="eastAsia" w:ascii="仿宋_GB2312" w:hAnsi="宋体" w:eastAsia="仿宋_GB2312" w:cs="Times New Roman"/>
          <w:b/>
          <w:bCs/>
          <w:color w:val="000000" w:themeColor="text1"/>
          <w:sz w:val="32"/>
          <w:szCs w:val="32"/>
          <w:highlight w:val="none"/>
          <w:lang w:val="zh-CN" w:eastAsia="zh-CN"/>
          <w14:textFill>
            <w14:solidFill>
              <w14:schemeClr w14:val="tx1"/>
            </w14:solidFill>
          </w14:textFill>
        </w:rPr>
        <w:t>（一）项目组织实施情况</w:t>
      </w:r>
    </w:p>
    <w:p>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lang w:val="zh-CN"/>
        </w:rPr>
        <w:t>壤塘县尕多乡刑木达和美乡村农旅产业配套基础设施建设项目</w:t>
      </w:r>
      <w:r>
        <w:rPr>
          <w:rFonts w:hint="eastAsia" w:ascii="方正仿宋_GB2312" w:hAnsi="方正仿宋_GB2312" w:eastAsia="方正仿宋_GB2312" w:cs="方正仿宋_GB2312"/>
          <w:sz w:val="32"/>
          <w:szCs w:val="32"/>
        </w:rPr>
        <w:t>严格按照国家相关法律法规和招投标程序进行</w:t>
      </w:r>
      <w:r>
        <w:rPr>
          <w:rFonts w:hint="eastAsia" w:ascii="方正仿宋_GB2312" w:hAnsi="方正仿宋_GB2312" w:eastAsia="方正仿宋_GB2312" w:cs="方正仿宋_GB2312"/>
          <w:spacing w:val="-20"/>
          <w:sz w:val="32"/>
          <w:szCs w:val="32"/>
          <w:lang w:val="en-US" w:eastAsia="zh-CN"/>
        </w:rPr>
        <w:t>公开招标</w:t>
      </w:r>
      <w:r>
        <w:rPr>
          <w:rFonts w:hint="eastAsia" w:ascii="方正仿宋_GB2312" w:hAnsi="方正仿宋_GB2312" w:eastAsia="方正仿宋_GB2312" w:cs="方正仿宋_GB2312"/>
          <w:sz w:val="32"/>
          <w:szCs w:val="32"/>
        </w:rPr>
        <w:t>。</w:t>
      </w:r>
    </w:p>
    <w:p>
      <w:pPr>
        <w:keepNext w:val="0"/>
        <w:keepLines w:val="0"/>
        <w:pageBreakBefore w:val="0"/>
        <w:widowControl w:val="0"/>
        <w:kinsoku/>
        <w:wordWrap/>
        <w:overflowPunct/>
        <w:topLinePunct w:val="0"/>
        <w:autoSpaceDE/>
        <w:autoSpaceDN/>
        <w:bidi w:val="0"/>
        <w:adjustRightInd w:val="0"/>
        <w:snapToGrid w:val="0"/>
        <w:spacing w:line="580" w:lineRule="exact"/>
        <w:ind w:firstLine="642" w:firstLineChars="200"/>
        <w:textAlignment w:val="auto"/>
        <w:rPr>
          <w:rFonts w:hint="eastAsia" w:ascii="方正仿宋_GB2312" w:hAnsi="方正仿宋_GB2312" w:eastAsia="方正仿宋_GB2312" w:cs="方正仿宋_GB2312"/>
          <w:sz w:val="32"/>
          <w:szCs w:val="32"/>
          <w:lang w:val="zh-CN"/>
        </w:rPr>
      </w:pPr>
      <w:r>
        <w:rPr>
          <w:rFonts w:hint="eastAsia" w:ascii="方正仿宋_GB2312" w:hAnsi="方正仿宋_GB2312" w:eastAsia="方正仿宋_GB2312" w:cs="方正仿宋_GB2312"/>
          <w:b/>
          <w:bCs/>
          <w:sz w:val="32"/>
          <w:szCs w:val="32"/>
        </w:rPr>
        <w:t>该项目</w:t>
      </w:r>
      <w:r>
        <w:rPr>
          <w:rFonts w:hint="eastAsia" w:ascii="方正仿宋_GB2312" w:hAnsi="方正仿宋_GB2312" w:eastAsia="方正仿宋_GB2312" w:cs="方正仿宋_GB2312"/>
          <w:b/>
          <w:bCs/>
          <w:sz w:val="32"/>
          <w:szCs w:val="32"/>
          <w:lang w:val="en-US" w:eastAsia="zh-CN"/>
        </w:rPr>
        <w:t>施工</w:t>
      </w:r>
      <w:r>
        <w:rPr>
          <w:rFonts w:hint="eastAsia" w:ascii="方正仿宋_GB2312" w:hAnsi="方正仿宋_GB2312" w:eastAsia="方正仿宋_GB2312" w:cs="方正仿宋_GB2312"/>
          <w:b/>
          <w:bCs/>
          <w:sz w:val="32"/>
          <w:szCs w:val="32"/>
        </w:rPr>
        <w:t>单位：</w:t>
      </w:r>
      <w:r>
        <w:rPr>
          <w:rFonts w:hint="eastAsia" w:ascii="方正仿宋_GB2312" w:hAnsi="方正仿宋_GB2312" w:eastAsia="方正仿宋_GB2312" w:cs="方正仿宋_GB2312"/>
          <w:sz w:val="32"/>
          <w:szCs w:val="32"/>
          <w:lang w:val="en-US" w:eastAsia="zh-CN"/>
        </w:rPr>
        <w:t>四川鑫博大园林工程有限公司</w:t>
      </w:r>
      <w:r>
        <w:rPr>
          <w:rFonts w:hint="eastAsia" w:ascii="方正仿宋_GB2312" w:hAnsi="方正仿宋_GB2312" w:eastAsia="方正仿宋_GB2312" w:cs="方正仿宋_GB2312"/>
          <w:sz w:val="32"/>
          <w:szCs w:val="32"/>
          <w:lang w:val="zh-CN"/>
        </w:rPr>
        <w:t>，</w:t>
      </w:r>
      <w:r>
        <w:rPr>
          <w:rFonts w:hint="eastAsia" w:ascii="方正仿宋_GB2312" w:hAnsi="方正仿宋_GB2312" w:eastAsia="方正仿宋_GB2312" w:cs="方正仿宋_GB2312"/>
          <w:sz w:val="32"/>
          <w:szCs w:val="32"/>
          <w:lang w:val="en-US" w:eastAsia="zh-CN"/>
        </w:rPr>
        <w:t>中标价</w:t>
      </w:r>
      <w:r>
        <w:rPr>
          <w:rFonts w:hint="eastAsia" w:ascii="方正仿宋_GB2312" w:hAnsi="方正仿宋_GB2312" w:eastAsia="方正仿宋_GB2312" w:cs="方正仿宋_GB2312"/>
          <w:sz w:val="32"/>
          <w:szCs w:val="32"/>
          <w:lang w:val="zh-CN"/>
        </w:rPr>
        <w:t>：</w:t>
      </w:r>
      <w:r>
        <w:rPr>
          <w:rFonts w:hint="eastAsia" w:ascii="方正仿宋_GB2312" w:hAnsi="方正仿宋_GB2312" w:eastAsia="方正仿宋_GB2312" w:cs="方正仿宋_GB2312"/>
          <w:sz w:val="32"/>
          <w:szCs w:val="32"/>
          <w:lang w:val="en-US" w:eastAsia="zh-CN"/>
        </w:rPr>
        <w:t>2510.029193万</w:t>
      </w:r>
      <w:r>
        <w:rPr>
          <w:rFonts w:hint="eastAsia" w:ascii="方正仿宋_GB2312" w:hAnsi="方正仿宋_GB2312" w:eastAsia="方正仿宋_GB2312" w:cs="方正仿宋_GB2312"/>
          <w:sz w:val="32"/>
          <w:szCs w:val="32"/>
          <w:lang w:val="zh-CN"/>
        </w:rPr>
        <w:t>元；</w:t>
      </w:r>
      <w:r>
        <w:rPr>
          <w:rFonts w:hint="eastAsia" w:ascii="方正仿宋_GB2312" w:hAnsi="方正仿宋_GB2312" w:eastAsia="方正仿宋_GB2312" w:cs="方正仿宋_GB2312"/>
          <w:b/>
          <w:bCs/>
          <w:sz w:val="32"/>
          <w:szCs w:val="32"/>
          <w:lang w:val="en-US" w:eastAsia="zh-CN"/>
        </w:rPr>
        <w:t>可研编制单位：</w:t>
      </w:r>
      <w:r>
        <w:rPr>
          <w:rFonts w:hint="eastAsia" w:ascii="方正仿宋_GB2312" w:hAnsi="方正仿宋_GB2312" w:eastAsia="方正仿宋_GB2312" w:cs="方正仿宋_GB2312"/>
          <w:sz w:val="32"/>
          <w:szCs w:val="32"/>
          <w:lang w:val="en-US" w:eastAsia="zh-CN"/>
        </w:rPr>
        <w:t>盛世黔图工程设计有限公司成都高新分公司，合同价8.33万元；</w:t>
      </w:r>
      <w:r>
        <w:rPr>
          <w:rFonts w:hint="eastAsia" w:ascii="方正仿宋_GB2312" w:hAnsi="方正仿宋_GB2312" w:eastAsia="方正仿宋_GB2312" w:cs="方正仿宋_GB2312"/>
          <w:b/>
          <w:bCs/>
          <w:sz w:val="32"/>
          <w:szCs w:val="32"/>
          <w:lang w:val="en-US" w:eastAsia="zh-CN"/>
        </w:rPr>
        <w:t>勘察设计单位：</w:t>
      </w:r>
      <w:r>
        <w:rPr>
          <w:rFonts w:hint="eastAsia" w:ascii="方正仿宋_GB2312" w:hAnsi="方正仿宋_GB2312" w:eastAsia="方正仿宋_GB2312" w:cs="方正仿宋_GB2312"/>
          <w:sz w:val="32"/>
          <w:szCs w:val="32"/>
          <w:lang w:val="en-US" w:eastAsia="zh-CN"/>
        </w:rPr>
        <w:t>中咨环北工程顾问有限公司，合同价79.17万元；</w:t>
      </w:r>
      <w:r>
        <w:rPr>
          <w:rFonts w:hint="eastAsia" w:ascii="方正仿宋_GB2312" w:hAnsi="方正仿宋_GB2312" w:eastAsia="方正仿宋_GB2312" w:cs="方正仿宋_GB2312"/>
          <w:b/>
          <w:bCs/>
          <w:sz w:val="32"/>
          <w:szCs w:val="32"/>
          <w:lang w:val="en-US" w:eastAsia="zh-CN"/>
        </w:rPr>
        <w:t>清单编制单位</w:t>
      </w:r>
      <w:r>
        <w:rPr>
          <w:rFonts w:hint="eastAsia" w:ascii="方正仿宋_GB2312" w:hAnsi="方正仿宋_GB2312" w:eastAsia="方正仿宋_GB2312" w:cs="方正仿宋_GB2312"/>
          <w:sz w:val="32"/>
          <w:szCs w:val="32"/>
          <w:lang w:val="en-US" w:eastAsia="zh-CN"/>
        </w:rPr>
        <w:t>：四川鑫叁金工程项目管理有限公司，合同价9.1万元；</w:t>
      </w:r>
      <w:r>
        <w:rPr>
          <w:rFonts w:hint="eastAsia" w:ascii="方正仿宋_GB2312" w:hAnsi="方正仿宋_GB2312" w:eastAsia="方正仿宋_GB2312" w:cs="方正仿宋_GB2312"/>
          <w:b/>
          <w:bCs/>
          <w:sz w:val="32"/>
          <w:szCs w:val="32"/>
          <w:lang w:val="en-US" w:eastAsia="zh-CN"/>
        </w:rPr>
        <w:t>图审单位：</w:t>
      </w:r>
      <w:r>
        <w:rPr>
          <w:rFonts w:hint="eastAsia" w:ascii="方正仿宋_GB2312" w:hAnsi="方正仿宋_GB2312" w:eastAsia="方正仿宋_GB2312" w:cs="方正仿宋_GB2312"/>
          <w:sz w:val="32"/>
          <w:szCs w:val="32"/>
          <w:lang w:val="en-US" w:eastAsia="zh-CN"/>
        </w:rPr>
        <w:t>四川省和博诚建设工程咨询有限公司，合同价3.48万元；</w:t>
      </w:r>
      <w:r>
        <w:rPr>
          <w:rFonts w:hint="eastAsia" w:ascii="方正仿宋_GB2312" w:hAnsi="方正仿宋_GB2312" w:eastAsia="方正仿宋_GB2312" w:cs="方正仿宋_GB2312"/>
          <w:b/>
          <w:bCs/>
          <w:sz w:val="32"/>
          <w:szCs w:val="32"/>
          <w:lang w:val="en-US" w:eastAsia="zh-CN"/>
        </w:rPr>
        <w:t>选址论证单位：</w:t>
      </w:r>
      <w:r>
        <w:rPr>
          <w:rFonts w:hint="eastAsia" w:ascii="方正仿宋_GB2312" w:hAnsi="方正仿宋_GB2312" w:eastAsia="方正仿宋_GB2312" w:cs="方正仿宋_GB2312"/>
          <w:sz w:val="32"/>
          <w:szCs w:val="32"/>
          <w:lang w:val="en-US" w:eastAsia="zh-CN"/>
        </w:rPr>
        <w:t>众策工程咨询（成都）有限公司，合同价7.5万元；</w:t>
      </w:r>
      <w:r>
        <w:rPr>
          <w:rFonts w:hint="eastAsia" w:ascii="方正仿宋_GB2312" w:hAnsi="方正仿宋_GB2312" w:eastAsia="方正仿宋_GB2312" w:cs="方正仿宋_GB2312"/>
          <w:b/>
          <w:bCs/>
          <w:sz w:val="32"/>
          <w:szCs w:val="32"/>
          <w:lang w:val="en-US" w:eastAsia="zh-CN"/>
        </w:rPr>
        <w:t>林草选址单位：</w:t>
      </w:r>
      <w:r>
        <w:rPr>
          <w:rFonts w:hint="eastAsia" w:ascii="方正仿宋_GB2312" w:hAnsi="方正仿宋_GB2312" w:eastAsia="方正仿宋_GB2312" w:cs="方正仿宋_GB2312"/>
          <w:sz w:val="32"/>
          <w:szCs w:val="32"/>
          <w:lang w:val="en-US" w:eastAsia="zh-CN"/>
        </w:rPr>
        <w:t>四川鼎力普信科技服务有限公司，合同价11万元；</w:t>
      </w:r>
      <w:r>
        <w:rPr>
          <w:rFonts w:hint="eastAsia" w:ascii="方正仿宋_GB2312" w:hAnsi="方正仿宋_GB2312" w:eastAsia="方正仿宋_GB2312" w:cs="方正仿宋_GB2312"/>
          <w:b/>
          <w:bCs/>
          <w:sz w:val="32"/>
          <w:szCs w:val="32"/>
          <w:lang w:val="en-US" w:eastAsia="zh-CN"/>
        </w:rPr>
        <w:t>监理单位：</w:t>
      </w:r>
      <w:r>
        <w:rPr>
          <w:rFonts w:hint="eastAsia" w:ascii="方正仿宋_GB2312" w:hAnsi="方正仿宋_GB2312" w:eastAsia="方正仿宋_GB2312" w:cs="方正仿宋_GB2312"/>
          <w:sz w:val="32"/>
          <w:szCs w:val="32"/>
          <w:lang w:val="en-US" w:eastAsia="zh-CN"/>
        </w:rPr>
        <w:t>中鸿同创项目管理有限公司，合同价56.1万元；</w:t>
      </w:r>
      <w:r>
        <w:rPr>
          <w:rFonts w:hint="eastAsia" w:ascii="方正仿宋_GB2312" w:hAnsi="方正仿宋_GB2312" w:eastAsia="方正仿宋_GB2312" w:cs="方正仿宋_GB2312"/>
          <w:b/>
          <w:bCs/>
          <w:sz w:val="32"/>
          <w:szCs w:val="32"/>
          <w:lang w:val="en-US" w:eastAsia="zh-CN"/>
        </w:rPr>
        <w:t>测绘单位：</w:t>
      </w:r>
      <w:r>
        <w:rPr>
          <w:rFonts w:hint="eastAsia" w:ascii="方正仿宋_GB2312" w:hAnsi="方正仿宋_GB2312" w:eastAsia="方正仿宋_GB2312" w:cs="方正仿宋_GB2312"/>
          <w:sz w:val="32"/>
          <w:szCs w:val="32"/>
          <w:lang w:val="en-US" w:eastAsia="zh-CN"/>
        </w:rPr>
        <w:t>中鸿新域项目管理有限公司，合同价13万元；</w:t>
      </w:r>
      <w:r>
        <w:rPr>
          <w:rFonts w:hint="eastAsia" w:ascii="方正仿宋_GB2312" w:hAnsi="方正仿宋_GB2312" w:eastAsia="方正仿宋_GB2312" w:cs="方正仿宋_GB2312"/>
          <w:b/>
          <w:bCs/>
          <w:sz w:val="32"/>
          <w:szCs w:val="32"/>
          <w:lang w:val="en-US" w:eastAsia="zh-CN"/>
        </w:rPr>
        <w:t>水土保持服务：</w:t>
      </w:r>
      <w:r>
        <w:rPr>
          <w:rFonts w:hint="eastAsia" w:ascii="方正仿宋_GB2312" w:hAnsi="方正仿宋_GB2312" w:eastAsia="方正仿宋_GB2312" w:cs="方正仿宋_GB2312"/>
          <w:sz w:val="32"/>
          <w:szCs w:val="32"/>
          <w:lang w:val="en-US" w:eastAsia="zh-CN"/>
        </w:rPr>
        <w:t>四川百源工程勘察设计有限公司，合同价10万元</w:t>
      </w:r>
      <w:r>
        <w:rPr>
          <w:rFonts w:hint="eastAsia" w:ascii="方正仿宋_GB2312" w:hAnsi="方正仿宋_GB2312" w:eastAsia="方正仿宋_GB2312" w:cs="方正仿宋_GB2312"/>
          <w:sz w:val="32"/>
          <w:szCs w:val="32"/>
          <w:lang w:val="zh-CN"/>
        </w:rPr>
        <w:t>。</w:t>
      </w:r>
    </w:p>
    <w:p>
      <w:pPr>
        <w:keepNext w:val="0"/>
        <w:keepLines w:val="0"/>
        <w:pageBreakBefore w:val="0"/>
        <w:widowControl w:val="0"/>
        <w:kinsoku/>
        <w:wordWrap/>
        <w:overflowPunct/>
        <w:topLinePunct w:val="0"/>
        <w:autoSpaceDE/>
        <w:autoSpaceDN/>
        <w:bidi w:val="0"/>
        <w:adjustRightInd w:val="0"/>
        <w:snapToGrid w:val="0"/>
        <w:spacing w:line="580" w:lineRule="exact"/>
        <w:ind w:firstLine="642" w:firstLineChars="200"/>
        <w:textAlignment w:val="auto"/>
        <w:rPr>
          <w:rFonts w:hint="eastAsia" w:ascii="方正仿宋_GB2312" w:hAnsi="方正仿宋_GB2312" w:eastAsia="方正仿宋_GB2312" w:cs="方正仿宋_GB2312"/>
          <w:b/>
          <w:bCs/>
          <w:sz w:val="32"/>
          <w:szCs w:val="32"/>
        </w:rPr>
      </w:pPr>
      <w:r>
        <w:rPr>
          <w:rFonts w:hint="eastAsia" w:ascii="方正仿宋_GB2312" w:hAnsi="方正仿宋_GB2312" w:eastAsia="方正仿宋_GB2312" w:cs="方正仿宋_GB2312"/>
          <w:b/>
          <w:bCs/>
          <w:sz w:val="32"/>
          <w:szCs w:val="32"/>
        </w:rPr>
        <w:t>（二）资金计划、到位及使用情况。</w:t>
      </w:r>
    </w:p>
    <w:p>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rPr>
        <w:t>1</w:t>
      </w:r>
      <w:r>
        <w:rPr>
          <w:rFonts w:hint="eastAsia" w:ascii="方正仿宋_GB2312" w:hAnsi="方正仿宋_GB2312" w:eastAsia="方正仿宋_GB2312" w:cs="方正仿宋_GB2312"/>
          <w:sz w:val="32"/>
          <w:szCs w:val="32"/>
          <w:lang w:val="zh-CN"/>
        </w:rPr>
        <w:t>、资金计划及到位情况。该项目总投资</w:t>
      </w:r>
      <w:r>
        <w:rPr>
          <w:rFonts w:hint="eastAsia" w:ascii="方正仿宋_GB2312" w:hAnsi="方正仿宋_GB2312" w:eastAsia="方正仿宋_GB2312" w:cs="方正仿宋_GB2312"/>
          <w:sz w:val="32"/>
          <w:szCs w:val="32"/>
          <w:lang w:val="en-US" w:eastAsia="zh-CN"/>
        </w:rPr>
        <w:t>3000万</w:t>
      </w:r>
      <w:r>
        <w:rPr>
          <w:rFonts w:hint="eastAsia" w:ascii="方正仿宋_GB2312" w:hAnsi="方正仿宋_GB2312" w:eastAsia="方正仿宋_GB2312" w:cs="方正仿宋_GB2312"/>
          <w:sz w:val="32"/>
          <w:szCs w:val="32"/>
          <w:lang w:val="zh-CN"/>
        </w:rPr>
        <w:t>元，资金来源为</w:t>
      </w:r>
      <w:r>
        <w:rPr>
          <w:rFonts w:hint="eastAsia" w:ascii="方正仿宋_GB2312" w:hAnsi="方正仿宋_GB2312" w:eastAsia="方正仿宋_GB2312" w:cs="方正仿宋_GB2312"/>
          <w:sz w:val="32"/>
          <w:szCs w:val="32"/>
          <w:lang w:val="en-US" w:eastAsia="zh-CN"/>
        </w:rPr>
        <w:t>乡村振兴衔接资金2600万元，绵阳援建资金400万元</w:t>
      </w:r>
      <w:r>
        <w:rPr>
          <w:rFonts w:hint="eastAsia" w:ascii="方正仿宋_GB2312" w:hAnsi="方正仿宋_GB2312" w:eastAsia="方正仿宋_GB2312" w:cs="方正仿宋_GB2312"/>
          <w:sz w:val="32"/>
          <w:szCs w:val="32"/>
          <w:lang w:val="zh-CN"/>
        </w:rPr>
        <w:t>；</w:t>
      </w:r>
      <w:r>
        <w:rPr>
          <w:rFonts w:hint="eastAsia" w:ascii="方正仿宋_GB2312" w:hAnsi="方正仿宋_GB2312" w:eastAsia="方正仿宋_GB2312" w:cs="方正仿宋_GB2312"/>
          <w:sz w:val="32"/>
          <w:szCs w:val="32"/>
          <w:lang w:val="en-US" w:eastAsia="zh-CN"/>
        </w:rPr>
        <w:t>到位资金乡村振兴衔接资金2100万元，绵阳援建资金400万元</w:t>
      </w:r>
    </w:p>
    <w:p>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hint="eastAsia" w:ascii="方正仿宋_GB2312" w:hAnsi="方正仿宋_GB2312" w:eastAsia="方正仿宋_GB2312" w:cs="方正仿宋_GB2312"/>
          <w:sz w:val="32"/>
          <w:szCs w:val="32"/>
          <w:lang w:val="zh-CN"/>
        </w:rPr>
      </w:pPr>
      <w:r>
        <w:rPr>
          <w:rFonts w:hint="eastAsia" w:ascii="方正仿宋_GB2312" w:hAnsi="方正仿宋_GB2312" w:eastAsia="方正仿宋_GB2312" w:cs="方正仿宋_GB2312"/>
          <w:sz w:val="32"/>
          <w:szCs w:val="32"/>
          <w:lang w:val="zh-CN"/>
        </w:rPr>
        <w:t>2、资金使用情况。该项目实际</w:t>
      </w:r>
      <w:r>
        <w:rPr>
          <w:rFonts w:hint="eastAsia" w:ascii="方正仿宋_GB2312" w:hAnsi="方正仿宋_GB2312" w:eastAsia="方正仿宋_GB2312" w:cs="方正仿宋_GB2312"/>
          <w:sz w:val="32"/>
          <w:szCs w:val="32"/>
          <w:lang w:val="en-US" w:eastAsia="zh-CN"/>
        </w:rPr>
        <w:t>支付2269.22159万元，其中建安费2100万元，二类费用支出169.22159万元（草原植被恢复费0.70209万元、水土保持补偿费10.348万元、勘察设计费75.2115万元、监理费28.05万元、水土保持服务费10万元、草勘技术服务费11万元、可研编制服务费8.33万元、测绘费13万元、清单编制费9.1万元、图审费3.48万元），</w:t>
      </w:r>
      <w:r>
        <w:rPr>
          <w:rFonts w:hint="eastAsia" w:ascii="方正仿宋_GB2312" w:hAnsi="方正仿宋_GB2312" w:eastAsia="方正仿宋_GB2312" w:cs="方正仿宋_GB2312"/>
          <w:sz w:val="32"/>
          <w:szCs w:val="32"/>
          <w:lang w:val="zh-CN"/>
        </w:rPr>
        <w:t>所有款项的支付合规合法，资金支付与预算相符。</w:t>
      </w:r>
    </w:p>
    <w:p>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hint="eastAsia" w:ascii="仿宋_GB2312" w:hAnsi="宋体" w:eastAsia="仿宋_GB2312" w:cs="Times New Roman"/>
          <w:color w:val="0000FF"/>
          <w:sz w:val="32"/>
          <w:szCs w:val="32"/>
          <w:highlight w:val="none"/>
          <w:lang w:val="en-US" w:eastAsia="zh-CN"/>
        </w:rPr>
      </w:pPr>
      <w:r>
        <w:rPr>
          <w:rFonts w:hint="eastAsia" w:ascii="方正仿宋_GB2312" w:hAnsi="方正仿宋_GB2312" w:eastAsia="方正仿宋_GB2312" w:cs="方正仿宋_GB2312"/>
          <w:sz w:val="32"/>
          <w:szCs w:val="32"/>
          <w:lang w:val="zh-CN"/>
        </w:rPr>
        <w:t>该项目概算投资</w:t>
      </w:r>
      <w:r>
        <w:rPr>
          <w:rFonts w:hint="eastAsia" w:ascii="方正仿宋_GB2312" w:hAnsi="方正仿宋_GB2312" w:eastAsia="方正仿宋_GB2312" w:cs="方正仿宋_GB2312"/>
          <w:sz w:val="32"/>
          <w:szCs w:val="32"/>
          <w:lang w:val="en-US" w:eastAsia="zh-CN"/>
        </w:rPr>
        <w:t>3000万</w:t>
      </w:r>
      <w:r>
        <w:rPr>
          <w:rFonts w:hint="eastAsia" w:ascii="方正仿宋_GB2312" w:hAnsi="方正仿宋_GB2312" w:eastAsia="方正仿宋_GB2312" w:cs="方正仿宋_GB2312"/>
          <w:sz w:val="32"/>
          <w:szCs w:val="32"/>
          <w:lang w:val="zh-CN"/>
        </w:rPr>
        <w:t>元，实际到位为</w:t>
      </w:r>
      <w:r>
        <w:rPr>
          <w:rFonts w:hint="eastAsia" w:ascii="方正仿宋_GB2312" w:hAnsi="方正仿宋_GB2312" w:eastAsia="方正仿宋_GB2312" w:cs="方正仿宋_GB2312"/>
          <w:sz w:val="32"/>
          <w:szCs w:val="32"/>
          <w:lang w:val="en-US" w:eastAsia="zh-CN"/>
        </w:rPr>
        <w:t>2500万</w:t>
      </w:r>
      <w:r>
        <w:rPr>
          <w:rFonts w:hint="eastAsia" w:ascii="方正仿宋_GB2312" w:hAnsi="方正仿宋_GB2312" w:eastAsia="方正仿宋_GB2312" w:cs="方正仿宋_GB2312"/>
          <w:sz w:val="32"/>
          <w:szCs w:val="32"/>
          <w:lang w:val="zh-CN"/>
        </w:rPr>
        <w:t>元，实际完</w:t>
      </w:r>
      <w:r>
        <w:rPr>
          <w:rFonts w:hint="eastAsia" w:ascii="方正仿宋_GB2312" w:hAnsi="方正仿宋_GB2312" w:eastAsia="方正仿宋_GB2312" w:cs="方正仿宋_GB2312"/>
          <w:sz w:val="32"/>
          <w:szCs w:val="32"/>
          <w:lang w:val="zh-CN" w:eastAsia="zh-CN"/>
        </w:rPr>
        <w:t>成支出为</w:t>
      </w:r>
      <w:r>
        <w:rPr>
          <w:rFonts w:hint="eastAsia" w:ascii="方正仿宋_GB2312" w:hAnsi="方正仿宋_GB2312" w:eastAsia="方正仿宋_GB2312" w:cs="方正仿宋_GB2312"/>
          <w:sz w:val="32"/>
          <w:szCs w:val="32"/>
          <w:lang w:val="en-US" w:eastAsia="zh-CN"/>
        </w:rPr>
        <w:t>2269.22159万</w:t>
      </w:r>
      <w:r>
        <w:rPr>
          <w:rFonts w:hint="eastAsia" w:ascii="方正仿宋_GB2312" w:hAnsi="方正仿宋_GB2312" w:eastAsia="方正仿宋_GB2312" w:cs="方正仿宋_GB2312"/>
          <w:sz w:val="32"/>
          <w:szCs w:val="32"/>
          <w:lang w:val="zh-CN" w:eastAsia="zh-CN"/>
        </w:rPr>
        <w:t>元。</w:t>
      </w:r>
    </w:p>
    <w:p>
      <w:pPr>
        <w:pStyle w:val="4"/>
        <w:pageBreakBefore w:val="0"/>
        <w:kinsoku/>
        <w:wordWrap/>
        <w:overflowPunct/>
        <w:topLinePunct w:val="0"/>
        <w:bidi w:val="0"/>
        <w:spacing w:before="0" w:after="0" w:line="560" w:lineRule="exact"/>
        <w:ind w:left="0" w:leftChars="0" w:firstLine="640" w:firstLineChars="200"/>
        <w:rPr>
          <w:rFonts w:hint="eastAsia" w:ascii="黑体" w:hAnsi="黑体" w:eastAsia="黑体" w:cs="黑体"/>
          <w:b w:val="0"/>
          <w:bCs w:val="0"/>
          <w:color w:val="000000" w:themeColor="text1"/>
          <w:highlight w:val="none"/>
          <w:lang w:val="zh-CN"/>
          <w14:textFill>
            <w14:solidFill>
              <w14:schemeClr w14:val="tx1"/>
            </w14:solidFill>
          </w14:textFill>
        </w:rPr>
      </w:pPr>
      <w:bookmarkStart w:id="34" w:name="_Toc28794"/>
      <w:r>
        <w:rPr>
          <w:rFonts w:hint="eastAsia" w:ascii="黑体" w:hAnsi="黑体" w:eastAsia="黑体" w:cs="黑体"/>
          <w:b w:val="0"/>
          <w:bCs w:val="0"/>
          <w:color w:val="000000" w:themeColor="text1"/>
          <w:highlight w:val="none"/>
          <w14:textFill>
            <w14:solidFill>
              <w14:schemeClr w14:val="tx1"/>
            </w14:solidFill>
          </w14:textFill>
        </w:rPr>
        <w:t>三、项目绩效情况</w:t>
      </w:r>
      <w:bookmarkEnd w:id="34"/>
      <w:r>
        <w:rPr>
          <w:rFonts w:hint="eastAsia" w:ascii="黑体" w:hAnsi="黑体" w:eastAsia="黑体" w:cs="黑体"/>
          <w:b w:val="0"/>
          <w:bCs w:val="0"/>
          <w:color w:val="000000" w:themeColor="text1"/>
          <w:highlight w:val="none"/>
          <w:lang w:val="zh-CN"/>
          <w14:textFill>
            <w14:solidFill>
              <w14:schemeClr w14:val="tx1"/>
            </w14:solidFill>
          </w14:textFill>
        </w:rPr>
        <w:tab/>
      </w:r>
    </w:p>
    <w:p>
      <w:pPr>
        <w:keepNext w:val="0"/>
        <w:keepLines w:val="0"/>
        <w:pageBreakBefore w:val="0"/>
        <w:widowControl w:val="0"/>
        <w:kinsoku/>
        <w:wordWrap/>
        <w:overflowPunct/>
        <w:topLinePunct w:val="0"/>
        <w:autoSpaceDE/>
        <w:autoSpaceDN/>
        <w:bidi w:val="0"/>
        <w:adjustRightInd w:val="0"/>
        <w:snapToGrid w:val="0"/>
        <w:spacing w:line="580" w:lineRule="exact"/>
        <w:ind w:firstLine="642" w:firstLineChars="200"/>
        <w:textAlignment w:val="auto"/>
        <w:rPr>
          <w:rFonts w:hint="eastAsia" w:ascii="方正仿宋_GB2312" w:hAnsi="方正仿宋_GB2312" w:eastAsia="方正仿宋_GB2312" w:cs="方正仿宋_GB2312"/>
          <w:b/>
          <w:bCs/>
          <w:color w:val="000000" w:themeColor="text1"/>
          <w:sz w:val="32"/>
          <w:szCs w:val="32"/>
          <w:lang w:val="zh-CN"/>
          <w14:textFill>
            <w14:solidFill>
              <w14:schemeClr w14:val="tx1"/>
            </w14:solidFill>
          </w14:textFill>
        </w:rPr>
      </w:pPr>
      <w:bookmarkStart w:id="35" w:name="_Toc15129"/>
      <w:r>
        <w:rPr>
          <w:rFonts w:hint="eastAsia" w:ascii="方正仿宋_GB2312" w:hAnsi="方正仿宋_GB2312" w:eastAsia="方正仿宋_GB2312" w:cs="方正仿宋_GB2312"/>
          <w:b/>
          <w:bCs/>
          <w:color w:val="000000" w:themeColor="text1"/>
          <w:sz w:val="32"/>
          <w:szCs w:val="32"/>
          <w:lang w:val="zh-CN"/>
          <w14:textFill>
            <w14:solidFill>
              <w14:schemeClr w14:val="tx1"/>
            </w14:solidFill>
          </w14:textFill>
        </w:rPr>
        <w:t>（一）项目完成情况。</w:t>
      </w:r>
    </w:p>
    <w:p>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jc w:val="both"/>
        <w:textAlignment w:val="auto"/>
        <w:rPr>
          <w:rFonts w:hint="eastAsia" w:ascii="仿宋" w:hAnsi="仿宋" w:eastAsia="仿宋" w:cs="仿宋"/>
          <w:color w:val="000000" w:themeColor="text1"/>
          <w:spacing w:val="5"/>
          <w:sz w:val="31"/>
          <w:szCs w:val="31"/>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sz w:val="32"/>
          <w:szCs w:val="32"/>
          <w:lang w:val="en-US" w:eastAsia="zh-CN"/>
          <w14:textFill>
            <w14:solidFill>
              <w14:schemeClr w14:val="tx1"/>
            </w14:solidFill>
          </w14:textFill>
        </w:rPr>
        <w:t>该项目实施内容为：</w:t>
      </w:r>
      <w:r>
        <w:rPr>
          <w:rFonts w:hint="eastAsia" w:ascii="仿宋" w:hAnsi="仿宋" w:eastAsia="仿宋" w:cs="仿宋"/>
          <w:color w:val="000000" w:themeColor="text1"/>
          <w:spacing w:val="5"/>
          <w:sz w:val="31"/>
          <w:szCs w:val="31"/>
          <w:lang w:val="en-US" w:eastAsia="zh-CN"/>
          <w14:textFill>
            <w14:solidFill>
              <w14:schemeClr w14:val="tx1"/>
            </w14:solidFill>
          </w14:textFill>
        </w:rPr>
        <w:t xml:space="preserve"> 新建排水沟7公里，河道治理2公里，泄洪沟沟口处理4处，人行道3公里，生态护栏20公里，公共厕所4座，路基挡墙650立方米，人居环境整治16500平方米，供水管网7公里，硬化工程10000平米，线路改造等附属配套设施。项目于2025年7月开工，于2025年10月完工。</w:t>
      </w:r>
    </w:p>
    <w:p>
      <w:pPr>
        <w:keepNext w:val="0"/>
        <w:keepLines w:val="0"/>
        <w:pageBreakBefore w:val="0"/>
        <w:widowControl w:val="0"/>
        <w:numPr>
          <w:ilvl w:val="0"/>
          <w:numId w:val="4"/>
        </w:numPr>
        <w:kinsoku/>
        <w:wordWrap/>
        <w:overflowPunct/>
        <w:topLinePunct w:val="0"/>
        <w:autoSpaceDE/>
        <w:autoSpaceDN/>
        <w:bidi w:val="0"/>
        <w:adjustRightInd w:val="0"/>
        <w:snapToGrid w:val="0"/>
        <w:spacing w:line="580" w:lineRule="exact"/>
        <w:ind w:firstLine="720"/>
        <w:textAlignment w:val="auto"/>
        <w:rPr>
          <w:rFonts w:hint="eastAsia" w:ascii="方正仿宋_GB2312" w:hAnsi="方正仿宋_GB2312" w:eastAsia="方正仿宋_GB2312" w:cs="方正仿宋_GB2312"/>
          <w:b/>
          <w:bCs/>
          <w:color w:val="000000" w:themeColor="text1"/>
          <w:sz w:val="32"/>
          <w:szCs w:val="32"/>
          <w:lang w:val="zh-CN"/>
          <w14:textFill>
            <w14:solidFill>
              <w14:schemeClr w14:val="tx1"/>
            </w14:solidFill>
          </w14:textFill>
        </w:rPr>
      </w:pPr>
      <w:r>
        <w:rPr>
          <w:rFonts w:hint="eastAsia" w:ascii="方正仿宋_GB2312" w:hAnsi="方正仿宋_GB2312" w:eastAsia="方正仿宋_GB2312" w:cs="方正仿宋_GB2312"/>
          <w:b/>
          <w:bCs/>
          <w:color w:val="000000" w:themeColor="text1"/>
          <w:sz w:val="32"/>
          <w:szCs w:val="32"/>
          <w:lang w:val="zh-CN"/>
          <w14:textFill>
            <w14:solidFill>
              <w14:schemeClr w14:val="tx1"/>
            </w14:solidFill>
          </w14:textFill>
        </w:rPr>
        <w:t>项目效益情况。</w:t>
      </w:r>
    </w:p>
    <w:p>
      <w:pPr>
        <w:keepNext w:val="0"/>
        <w:keepLines w:val="0"/>
        <w:pageBreakBefore w:val="0"/>
        <w:widowControl w:val="0"/>
        <w:kinsoku/>
        <w:wordWrap/>
        <w:overflowPunct/>
        <w:topLinePunct w:val="0"/>
        <w:autoSpaceDE/>
        <w:autoSpaceDN/>
        <w:bidi w:val="0"/>
        <w:adjustRightInd w:val="0"/>
        <w:snapToGrid w:val="0"/>
        <w:spacing w:line="580" w:lineRule="exact"/>
        <w:ind w:firstLine="720"/>
        <w:textAlignment w:val="auto"/>
        <w:rPr>
          <w:rFonts w:hint="eastAsia" w:ascii="方正仿宋_GB2312" w:hAnsi="方正仿宋_GB2312" w:eastAsia="方正仿宋_GB2312" w:cs="方正仿宋_GB2312"/>
          <w:b/>
          <w:bCs/>
          <w:color w:val="000000" w:themeColor="text1"/>
          <w:sz w:val="32"/>
          <w:szCs w:val="32"/>
          <w:lang w:val="zh-CN"/>
          <w14:textFill>
            <w14:solidFill>
              <w14:schemeClr w14:val="tx1"/>
            </w14:solidFill>
          </w14:textFill>
        </w:rPr>
      </w:pPr>
      <w:r>
        <w:rPr>
          <w:rFonts w:hint="eastAsia" w:ascii="方正仿宋_GB2312" w:hAnsi="方正仿宋_GB2312" w:eastAsia="方正仿宋_GB2312" w:cs="方正仿宋_GB2312"/>
          <w:color w:val="000000" w:themeColor="text1"/>
          <w:sz w:val="32"/>
          <w:szCs w:val="32"/>
          <w:lang w:val="en-US" w:eastAsia="zh-CN"/>
          <w14:textFill>
            <w14:solidFill>
              <w14:schemeClr w14:val="tx1"/>
            </w14:solidFill>
          </w14:textFill>
        </w:rPr>
        <w:t>该项目实施</w:t>
      </w:r>
      <w:r>
        <w:rPr>
          <w:rFonts w:ascii="仿宋" w:hAnsi="仿宋" w:eastAsia="仿宋" w:cs="仿宋"/>
          <w:color w:val="000000" w:themeColor="text1"/>
          <w:sz w:val="31"/>
          <w:szCs w:val="31"/>
          <w14:textFill>
            <w14:solidFill>
              <w14:schemeClr w14:val="tx1"/>
            </w14:solidFill>
          </w14:textFill>
        </w:rPr>
        <w:t>将有效</w:t>
      </w:r>
      <w:r>
        <w:rPr>
          <w:rFonts w:hint="eastAsia" w:ascii="仿宋" w:hAnsi="仿宋" w:eastAsia="仿宋" w:cs="仿宋"/>
          <w:color w:val="000000" w:themeColor="text1"/>
          <w:sz w:val="31"/>
          <w:szCs w:val="31"/>
          <w:lang w:val="en-US" w:eastAsia="zh-CN"/>
          <w14:textFill>
            <w14:solidFill>
              <w14:schemeClr w14:val="tx1"/>
            </w14:solidFill>
          </w14:textFill>
        </w:rPr>
        <w:t>提升当地基础设施条件</w:t>
      </w:r>
      <w:r>
        <w:rPr>
          <w:rFonts w:hint="eastAsia" w:ascii="仿宋" w:hAnsi="仿宋" w:eastAsia="仿宋" w:cs="仿宋"/>
          <w:color w:val="000000" w:themeColor="text1"/>
          <w:sz w:val="31"/>
          <w:szCs w:val="31"/>
          <w:lang w:eastAsia="zh-CN"/>
          <w14:textFill>
            <w14:solidFill>
              <w14:schemeClr w14:val="tx1"/>
            </w14:solidFill>
          </w14:textFill>
        </w:rPr>
        <w:t>，</w:t>
      </w:r>
      <w:r>
        <w:rPr>
          <w:rFonts w:ascii="仿宋" w:hAnsi="仿宋" w:eastAsia="仿宋" w:cs="仿宋"/>
          <w:color w:val="000000" w:themeColor="text1"/>
          <w:sz w:val="31"/>
          <w:szCs w:val="31"/>
          <w14:textFill>
            <w14:solidFill>
              <w14:schemeClr w14:val="tx1"/>
            </w14:solidFill>
          </w14:textFill>
        </w:rPr>
        <w:t>还可以带动当</w:t>
      </w:r>
      <w:r>
        <w:rPr>
          <w:rFonts w:ascii="仿宋" w:hAnsi="仿宋" w:eastAsia="仿宋" w:cs="仿宋"/>
          <w:color w:val="000000" w:themeColor="text1"/>
          <w:spacing w:val="-1"/>
          <w:sz w:val="31"/>
          <w:szCs w:val="31"/>
          <w14:textFill>
            <w14:solidFill>
              <w14:schemeClr w14:val="tx1"/>
            </w14:solidFill>
          </w14:textFill>
        </w:rPr>
        <w:t>地老百姓</w:t>
      </w:r>
      <w:r>
        <w:rPr>
          <w:rFonts w:ascii="仿宋" w:hAnsi="仿宋" w:eastAsia="仿宋" w:cs="仿宋"/>
          <w:color w:val="000000" w:themeColor="text1"/>
          <w:sz w:val="31"/>
          <w:szCs w:val="31"/>
          <w14:textFill>
            <w14:solidFill>
              <w14:schemeClr w14:val="tx1"/>
            </w14:solidFill>
          </w14:textFill>
        </w:rPr>
        <w:t>增收。项目实施后</w:t>
      </w:r>
      <w:r>
        <w:rPr>
          <w:rFonts w:hint="eastAsia" w:ascii="仿宋" w:hAnsi="仿宋" w:eastAsia="仿宋" w:cs="仿宋"/>
          <w:color w:val="000000" w:themeColor="text1"/>
          <w:sz w:val="31"/>
          <w:szCs w:val="31"/>
          <w:lang w:val="en-US" w:eastAsia="zh-CN"/>
          <w14:textFill>
            <w14:solidFill>
              <w14:schemeClr w14:val="tx1"/>
            </w14:solidFill>
          </w14:textFill>
        </w:rPr>
        <w:t>将进一步改善当地基础设施条件，带动当地群众参与项目务工</w:t>
      </w:r>
      <w:r>
        <w:rPr>
          <w:rFonts w:hint="eastAsia" w:ascii="仿宋" w:hAnsi="仿宋" w:eastAsia="仿宋" w:cs="仿宋"/>
          <w:color w:val="000000" w:themeColor="text1"/>
          <w:spacing w:val="5"/>
          <w:sz w:val="31"/>
          <w:szCs w:val="31"/>
          <w:lang w:eastAsia="zh-CN"/>
          <w14:textFill>
            <w14:solidFill>
              <w14:schemeClr w14:val="tx1"/>
            </w14:solidFill>
          </w14:textFill>
        </w:rPr>
        <w:t>，</w:t>
      </w:r>
      <w:r>
        <w:rPr>
          <w:rFonts w:ascii="仿宋" w:hAnsi="仿宋" w:eastAsia="仿宋" w:cs="仿宋"/>
          <w:color w:val="000000" w:themeColor="text1"/>
          <w:spacing w:val="5"/>
          <w:sz w:val="31"/>
          <w:szCs w:val="31"/>
          <w14:textFill>
            <w14:solidFill>
              <w14:schemeClr w14:val="tx1"/>
            </w14:solidFill>
          </w14:textFill>
        </w:rPr>
        <w:t>同时提高村经济效益和社会效</w:t>
      </w:r>
      <w:r>
        <w:rPr>
          <w:rFonts w:ascii="仿宋" w:hAnsi="仿宋" w:eastAsia="仿宋" w:cs="仿宋"/>
          <w:color w:val="000000" w:themeColor="text1"/>
          <w:spacing w:val="8"/>
          <w:sz w:val="31"/>
          <w:szCs w:val="31"/>
          <w14:textFill>
            <w14:solidFill>
              <w14:schemeClr w14:val="tx1"/>
            </w14:solidFill>
          </w14:textFill>
        </w:rPr>
        <w:t>益</w:t>
      </w:r>
      <w:r>
        <w:rPr>
          <w:rFonts w:hint="eastAsia" w:ascii="仿宋" w:hAnsi="仿宋" w:eastAsia="仿宋" w:cs="仿宋"/>
          <w:color w:val="000000" w:themeColor="text1"/>
          <w:spacing w:val="8"/>
          <w:sz w:val="31"/>
          <w:szCs w:val="31"/>
          <w:lang w:eastAsia="zh-CN"/>
          <w14:textFill>
            <w14:solidFill>
              <w14:schemeClr w14:val="tx1"/>
            </w14:solidFill>
          </w14:textFill>
        </w:rPr>
        <w:t>，</w:t>
      </w:r>
      <w:r>
        <w:rPr>
          <w:rFonts w:hint="eastAsia" w:ascii="方正仿宋_GB2312" w:hAnsi="方正仿宋_GB2312" w:eastAsia="方正仿宋_GB2312" w:cs="方正仿宋_GB2312"/>
          <w:color w:val="000000" w:themeColor="text1"/>
          <w:sz w:val="32"/>
          <w:szCs w:val="32"/>
          <w:lang w:val="en-US" w:eastAsia="zh-CN"/>
          <w14:textFill>
            <w14:solidFill>
              <w14:schemeClr w14:val="tx1"/>
            </w14:solidFill>
          </w14:textFill>
        </w:rPr>
        <w:t>为有效衔接乡村振兴和产业发展奠定良好基础。</w:t>
      </w:r>
    </w:p>
    <w:p>
      <w:pPr>
        <w:pStyle w:val="4"/>
        <w:pageBreakBefore w:val="0"/>
        <w:kinsoku/>
        <w:wordWrap/>
        <w:overflowPunct/>
        <w:topLinePunct w:val="0"/>
        <w:bidi w:val="0"/>
        <w:spacing w:before="0" w:after="0" w:line="560" w:lineRule="exact"/>
        <w:ind w:firstLine="640" w:firstLineChars="200"/>
        <w:rPr>
          <w:rFonts w:hint="eastAsia" w:ascii="黑体" w:hAnsi="黑体" w:eastAsia="黑体" w:cs="黑体"/>
          <w:b w:val="0"/>
          <w:bCs w:val="0"/>
          <w:color w:val="000000" w:themeColor="text1"/>
          <w:highlight w:val="none"/>
          <w:lang w:val="zh-CN"/>
          <w14:textFill>
            <w14:solidFill>
              <w14:schemeClr w14:val="tx1"/>
            </w14:solidFill>
          </w14:textFill>
        </w:rPr>
      </w:pPr>
      <w:r>
        <w:rPr>
          <w:rFonts w:hint="eastAsia" w:ascii="黑体" w:hAnsi="黑体" w:eastAsia="黑体" w:cs="黑体"/>
          <w:b w:val="0"/>
          <w:bCs w:val="0"/>
          <w:color w:val="000000" w:themeColor="text1"/>
          <w:highlight w:val="none"/>
          <w:lang w:val="zh-CN"/>
          <w14:textFill>
            <w14:solidFill>
              <w14:schemeClr w14:val="tx1"/>
            </w14:solidFill>
          </w14:textFill>
        </w:rPr>
        <w:t>四、问题及建议</w:t>
      </w:r>
      <w:bookmarkEnd w:id="35"/>
    </w:p>
    <w:p>
      <w:pPr>
        <w:pStyle w:val="5"/>
        <w:pageBreakBefore w:val="0"/>
        <w:kinsoku/>
        <w:wordWrap/>
        <w:overflowPunct/>
        <w:topLinePunct w:val="0"/>
        <w:bidi w:val="0"/>
        <w:spacing w:before="0" w:after="0" w:line="560" w:lineRule="exact"/>
        <w:ind w:left="0" w:leftChars="0" w:firstLine="642" w:firstLineChars="200"/>
        <w:rPr>
          <w:rFonts w:hint="eastAsia" w:ascii="楷体_GB2312" w:hAnsi="楷体_GB2312" w:eastAsia="楷体_GB2312" w:cs="楷体_GB2312"/>
          <w:color w:val="000000" w:themeColor="text1"/>
          <w:highlight w:val="none"/>
          <w:lang w:val="zh-CN"/>
          <w14:textFill>
            <w14:solidFill>
              <w14:schemeClr w14:val="tx1"/>
            </w14:solidFill>
          </w14:textFill>
        </w:rPr>
      </w:pPr>
      <w:r>
        <w:rPr>
          <w:rFonts w:hint="eastAsia" w:ascii="楷体_GB2312" w:hAnsi="楷体_GB2312" w:eastAsia="楷体_GB2312" w:cs="楷体_GB2312"/>
          <w:color w:val="000000" w:themeColor="text1"/>
          <w:highlight w:val="none"/>
          <w:lang w:val="zh-CN"/>
          <w14:textFill>
            <w14:solidFill>
              <w14:schemeClr w14:val="tx1"/>
            </w14:solidFill>
          </w14:textFill>
        </w:rPr>
        <w:t>（一）存在的问题</w:t>
      </w:r>
    </w:p>
    <w:p>
      <w:pPr>
        <w:pStyle w:val="2"/>
        <w:keepNext w:val="0"/>
        <w:keepLines w:val="0"/>
        <w:pageBreakBefore w:val="0"/>
        <w:widowControl w:val="0"/>
        <w:kinsoku/>
        <w:wordWrap/>
        <w:overflowPunct/>
        <w:topLinePunct w:val="0"/>
        <w:autoSpaceDE/>
        <w:autoSpaceDN/>
        <w:bidi w:val="0"/>
        <w:spacing w:beforeLines="0" w:line="560" w:lineRule="exact"/>
        <w:ind w:left="0" w:leftChars="0" w:firstLine="640" w:firstLineChars="200"/>
        <w:textAlignment w:val="auto"/>
        <w:rPr>
          <w:rFonts w:hint="eastAsia" w:ascii="方正仿宋_GB2312" w:hAnsi="方正仿宋_GB2312" w:eastAsia="方正仿宋_GB2312" w:cs="方正仿宋_GB2312"/>
          <w:color w:val="000000" w:themeColor="text1"/>
          <w:kern w:val="2"/>
          <w:sz w:val="32"/>
          <w:szCs w:val="32"/>
          <w:highlight w:val="none"/>
          <w:lang w:val="en-US" w:eastAsia="zh-CN" w:bidi="ar-SA"/>
          <w14:textFill>
            <w14:solidFill>
              <w14:schemeClr w14:val="tx1"/>
            </w14:solidFill>
          </w14:textFill>
        </w:rPr>
      </w:pPr>
      <w:r>
        <w:rPr>
          <w:rFonts w:hint="eastAsia" w:ascii="方正仿宋_GB2312" w:hAnsi="方正仿宋_GB2312" w:eastAsia="方正仿宋_GB2312" w:cs="方正仿宋_GB2312"/>
          <w:color w:val="000000" w:themeColor="text1"/>
          <w:kern w:val="2"/>
          <w:sz w:val="32"/>
          <w:szCs w:val="32"/>
          <w:highlight w:val="none"/>
          <w:lang w:val="en-US" w:eastAsia="zh-CN" w:bidi="ar-SA"/>
          <w14:textFill>
            <w14:solidFill>
              <w14:schemeClr w14:val="tx1"/>
            </w14:solidFill>
          </w14:textFill>
        </w:rPr>
        <w:t>无</w:t>
      </w:r>
    </w:p>
    <w:p>
      <w:pPr>
        <w:pStyle w:val="5"/>
        <w:pageBreakBefore w:val="0"/>
        <w:kinsoku/>
        <w:wordWrap/>
        <w:overflowPunct/>
        <w:topLinePunct w:val="0"/>
        <w:bidi w:val="0"/>
        <w:spacing w:before="0" w:after="0" w:line="560" w:lineRule="exact"/>
        <w:ind w:left="0" w:leftChars="0" w:firstLine="642" w:firstLineChars="200"/>
        <w:rPr>
          <w:rFonts w:hint="eastAsia" w:ascii="楷体_GB2312" w:hAnsi="楷体_GB2312" w:eastAsia="楷体_GB2312" w:cs="楷体_GB2312"/>
          <w:color w:val="000000" w:themeColor="text1"/>
          <w:highlight w:val="none"/>
          <w:lang w:val="zh-CN" w:eastAsia="zh-CN"/>
          <w14:textFill>
            <w14:solidFill>
              <w14:schemeClr w14:val="tx1"/>
            </w14:solidFill>
          </w14:textFill>
        </w:rPr>
      </w:pPr>
      <w:r>
        <w:rPr>
          <w:rFonts w:hint="eastAsia" w:ascii="楷体_GB2312" w:hAnsi="楷体_GB2312" w:eastAsia="楷体_GB2312" w:cs="楷体_GB2312"/>
          <w:color w:val="000000" w:themeColor="text1"/>
          <w:highlight w:val="none"/>
          <w:lang w:val="zh-CN" w:eastAsia="zh-CN"/>
          <w14:textFill>
            <w14:solidFill>
              <w14:schemeClr w14:val="tx1"/>
            </w14:solidFill>
          </w14:textFill>
        </w:rPr>
        <w:t>（二）相关建议</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720"/>
        <w:textAlignment w:val="auto"/>
        <w:rPr>
          <w:rFonts w:hint="eastAsia" w:ascii="方正仿宋_GB2312" w:hAnsi="方正仿宋_GB2312" w:eastAsia="方正仿宋_GB2312" w:cs="方正仿宋_GB2312"/>
          <w:color w:val="000000" w:themeColor="text1"/>
          <w:sz w:val="32"/>
          <w:szCs w:val="32"/>
          <w:highlight w:val="none"/>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sz w:val="32"/>
          <w:szCs w:val="32"/>
          <w:highlight w:val="none"/>
          <w:lang w:val="en-US" w:eastAsia="zh-CN"/>
          <w14:textFill>
            <w14:solidFill>
              <w14:schemeClr w14:val="tx1"/>
            </w14:solidFill>
          </w14:textFill>
        </w:rPr>
        <w:t>无</w:t>
      </w:r>
    </w:p>
    <w:p>
      <w:pPr>
        <w:pStyle w:val="2"/>
        <w:rPr>
          <w:rFonts w:hint="eastAsia" w:ascii="方正仿宋_GB2312" w:hAnsi="方正仿宋_GB2312" w:eastAsia="方正仿宋_GB2312" w:cs="方正仿宋_GB2312"/>
          <w:color w:val="0000FF"/>
          <w:sz w:val="32"/>
          <w:szCs w:val="32"/>
          <w:highlight w:val="none"/>
          <w:lang w:val="en-US" w:eastAsia="zh-CN"/>
        </w:rPr>
      </w:pPr>
    </w:p>
    <w:tbl>
      <w:tblPr>
        <w:tblStyle w:val="17"/>
        <w:tblW w:w="8683" w:type="dxa"/>
        <w:tblInd w:w="0" w:type="dxa"/>
        <w:tblLayout w:type="fixed"/>
        <w:tblCellMar>
          <w:top w:w="0" w:type="dxa"/>
          <w:left w:w="0" w:type="dxa"/>
          <w:bottom w:w="0" w:type="dxa"/>
          <w:right w:w="0" w:type="dxa"/>
        </w:tblCellMar>
      </w:tblPr>
      <w:tblGrid>
        <w:gridCol w:w="860"/>
        <w:gridCol w:w="984"/>
        <w:gridCol w:w="1040"/>
        <w:gridCol w:w="1240"/>
        <w:gridCol w:w="390"/>
        <w:gridCol w:w="943"/>
        <w:gridCol w:w="1030"/>
        <w:gridCol w:w="887"/>
        <w:gridCol w:w="1309"/>
      </w:tblGrid>
      <w:tr>
        <w:tblPrEx>
          <w:tblCellMar>
            <w:top w:w="0" w:type="dxa"/>
            <w:left w:w="0" w:type="dxa"/>
            <w:bottom w:w="0" w:type="dxa"/>
            <w:right w:w="0" w:type="dxa"/>
          </w:tblCellMar>
        </w:tblPrEx>
        <w:trPr>
          <w:trHeight w:val="520" w:hRule="atLeast"/>
        </w:trPr>
        <w:tc>
          <w:tcPr>
            <w:tcW w:w="8683" w:type="dxa"/>
            <w:gridSpan w:val="9"/>
            <w:tcBorders>
              <w:top w:val="nil"/>
              <w:left w:val="nil"/>
              <w:bottom w:val="nil"/>
              <w:right w:val="nil"/>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themeColor="text1"/>
                <w:sz w:val="18"/>
                <w:szCs w:val="18"/>
                <w:u w:val="none"/>
                <w14:textFill>
                  <w14:solidFill>
                    <w14:schemeClr w14:val="tx1"/>
                  </w14:solidFill>
                </w14:textFill>
              </w:rPr>
            </w:pPr>
            <w:r>
              <w:rPr>
                <w:rFonts w:hint="eastAsia" w:ascii="宋体" w:hAnsi="宋体" w:eastAsia="宋体" w:cs="宋体"/>
                <w:b/>
                <w:i w:val="0"/>
                <w:color w:val="000000" w:themeColor="text1"/>
                <w:kern w:val="0"/>
                <w:sz w:val="32"/>
                <w:szCs w:val="32"/>
                <w:u w:val="none"/>
                <w:lang w:val="en-US" w:eastAsia="zh-CN" w:bidi="ar"/>
                <w14:textFill>
                  <w14:solidFill>
                    <w14:schemeClr w14:val="tx1"/>
                  </w14:solidFill>
                </w14:textFill>
              </w:rPr>
              <w:t>绩效目标自评表</w:t>
            </w:r>
          </w:p>
        </w:tc>
      </w:tr>
      <w:tr>
        <w:tblPrEx>
          <w:tblCellMar>
            <w:top w:w="0" w:type="dxa"/>
            <w:left w:w="0" w:type="dxa"/>
            <w:bottom w:w="0" w:type="dxa"/>
            <w:right w:w="0" w:type="dxa"/>
          </w:tblCellMar>
        </w:tblPrEx>
        <w:trPr>
          <w:trHeight w:val="340" w:hRule="atLeast"/>
        </w:trPr>
        <w:tc>
          <w:tcPr>
            <w:tcW w:w="8683" w:type="dxa"/>
            <w:gridSpan w:val="9"/>
            <w:tcBorders>
              <w:top w:val="nil"/>
              <w:left w:val="nil"/>
              <w:bottom w:val="nil"/>
              <w:right w:val="nil"/>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themeColor="text1"/>
                <w:sz w:val="18"/>
                <w:szCs w:val="18"/>
                <w:u w:val="none"/>
                <w14:textFill>
                  <w14:solidFill>
                    <w14:schemeClr w14:val="tx1"/>
                  </w14:solidFill>
                </w14:textFill>
              </w:rPr>
            </w:pPr>
            <w:r>
              <w:rPr>
                <w:rFonts w:hint="eastAsia" w:ascii="宋体" w:hAnsi="宋体" w:eastAsia="宋体" w:cs="宋体"/>
                <w:b/>
                <w:i w:val="0"/>
                <w:color w:val="000000" w:themeColor="text1"/>
                <w:kern w:val="0"/>
                <w:sz w:val="18"/>
                <w:szCs w:val="18"/>
                <w:u w:val="none"/>
                <w:lang w:val="en-US" w:eastAsia="zh-CN" w:bidi="ar"/>
                <w14:textFill>
                  <w14:solidFill>
                    <w14:schemeClr w14:val="tx1"/>
                  </w14:solidFill>
                </w14:textFill>
              </w:rPr>
              <w:t>（202</w:t>
            </w:r>
            <w:r>
              <w:rPr>
                <w:rFonts w:hint="eastAsia" w:ascii="宋体" w:hAnsi="宋体" w:cs="宋体"/>
                <w:b/>
                <w:i w:val="0"/>
                <w:color w:val="000000" w:themeColor="text1"/>
                <w:kern w:val="0"/>
                <w:sz w:val="18"/>
                <w:szCs w:val="18"/>
                <w:u w:val="none"/>
                <w:lang w:val="en-US" w:eastAsia="zh-CN" w:bidi="ar"/>
                <w14:textFill>
                  <w14:solidFill>
                    <w14:schemeClr w14:val="tx1"/>
                  </w14:solidFill>
                </w14:textFill>
              </w:rPr>
              <w:t>5</w:t>
            </w:r>
            <w:r>
              <w:rPr>
                <w:rFonts w:hint="eastAsia" w:ascii="宋体" w:hAnsi="宋体" w:eastAsia="宋体" w:cs="宋体"/>
                <w:b/>
                <w:i w:val="0"/>
                <w:color w:val="000000" w:themeColor="text1"/>
                <w:kern w:val="0"/>
                <w:sz w:val="18"/>
                <w:szCs w:val="18"/>
                <w:u w:val="none"/>
                <w:lang w:val="en-US" w:eastAsia="zh-CN" w:bidi="ar"/>
                <w14:textFill>
                  <w14:solidFill>
                    <w14:schemeClr w14:val="tx1"/>
                  </w14:solidFill>
                </w14:textFill>
              </w:rPr>
              <w:t>年度）</w:t>
            </w:r>
          </w:p>
        </w:tc>
      </w:tr>
      <w:tr>
        <w:tblPrEx>
          <w:tblCellMar>
            <w:top w:w="0" w:type="dxa"/>
            <w:left w:w="0" w:type="dxa"/>
            <w:bottom w:w="0" w:type="dxa"/>
            <w:right w:w="0" w:type="dxa"/>
          </w:tblCellMar>
        </w:tblPrEx>
        <w:trPr>
          <w:trHeight w:val="1120" w:hRule="atLeast"/>
        </w:trPr>
        <w:tc>
          <w:tcPr>
            <w:tcW w:w="2884"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18"/>
                <w:szCs w:val="18"/>
                <w:u w:val="none"/>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项目名称</w:t>
            </w:r>
          </w:p>
        </w:tc>
        <w:tc>
          <w:tcPr>
            <w:tcW w:w="163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18"/>
                <w:szCs w:val="18"/>
                <w:u w:val="none"/>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壤塘县尕多乡刑木达和美乡村农旅产业配套基础设施建设项目</w:t>
            </w:r>
          </w:p>
        </w:tc>
        <w:tc>
          <w:tcPr>
            <w:tcW w:w="94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18"/>
                <w:szCs w:val="18"/>
                <w:u w:val="none"/>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项目负责人    及电话</w:t>
            </w:r>
          </w:p>
        </w:tc>
        <w:tc>
          <w:tcPr>
            <w:tcW w:w="3226"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18"/>
                <w:szCs w:val="18"/>
                <w:u w:val="none"/>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方志强18096391117</w:t>
            </w:r>
          </w:p>
        </w:tc>
      </w:tr>
      <w:tr>
        <w:tblPrEx>
          <w:tblCellMar>
            <w:top w:w="0" w:type="dxa"/>
            <w:left w:w="0" w:type="dxa"/>
            <w:bottom w:w="0" w:type="dxa"/>
            <w:right w:w="0" w:type="dxa"/>
          </w:tblCellMar>
        </w:tblPrEx>
        <w:trPr>
          <w:trHeight w:val="540" w:hRule="atLeast"/>
        </w:trPr>
        <w:tc>
          <w:tcPr>
            <w:tcW w:w="2884"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18"/>
                <w:szCs w:val="18"/>
                <w:u w:val="none"/>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主管部门</w:t>
            </w:r>
          </w:p>
        </w:tc>
        <w:tc>
          <w:tcPr>
            <w:tcW w:w="163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18"/>
                <w:szCs w:val="18"/>
                <w:u w:val="none"/>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壤塘县发展和改革局</w:t>
            </w:r>
          </w:p>
        </w:tc>
        <w:tc>
          <w:tcPr>
            <w:tcW w:w="94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18"/>
                <w:szCs w:val="18"/>
                <w:u w:val="none"/>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实施单位</w:t>
            </w:r>
          </w:p>
        </w:tc>
        <w:tc>
          <w:tcPr>
            <w:tcW w:w="3226"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18"/>
                <w:szCs w:val="18"/>
                <w:u w:val="none"/>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尕多乡人民政府</w:t>
            </w:r>
          </w:p>
        </w:tc>
      </w:tr>
      <w:tr>
        <w:tblPrEx>
          <w:tblCellMar>
            <w:top w:w="0" w:type="dxa"/>
            <w:left w:w="0" w:type="dxa"/>
            <w:bottom w:w="0" w:type="dxa"/>
            <w:right w:w="0" w:type="dxa"/>
          </w:tblCellMar>
        </w:tblPrEx>
        <w:trPr>
          <w:trHeight w:val="540" w:hRule="atLeast"/>
        </w:trPr>
        <w:tc>
          <w:tcPr>
            <w:tcW w:w="2884" w:type="dxa"/>
            <w:gridSpan w:val="3"/>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18"/>
                <w:szCs w:val="18"/>
                <w:u w:val="none"/>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资金情况 （万元）</w:t>
            </w:r>
          </w:p>
        </w:tc>
        <w:tc>
          <w:tcPr>
            <w:tcW w:w="163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18"/>
                <w:szCs w:val="18"/>
                <w:u w:val="none"/>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全年预算数（A)</w:t>
            </w:r>
          </w:p>
        </w:tc>
        <w:tc>
          <w:tcPr>
            <w:tcW w:w="943" w:type="dxa"/>
            <w:tcBorders>
              <w:top w:val="single" w:color="000000" w:sz="4" w:space="0"/>
              <w:left w:val="nil"/>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18"/>
                <w:szCs w:val="18"/>
                <w:u w:val="none"/>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全年执行数（B)</w:t>
            </w:r>
          </w:p>
        </w:tc>
        <w:tc>
          <w:tcPr>
            <w:tcW w:w="10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18"/>
                <w:szCs w:val="18"/>
                <w:u w:val="none"/>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分值</w:t>
            </w:r>
          </w:p>
        </w:tc>
        <w:tc>
          <w:tcPr>
            <w:tcW w:w="88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18"/>
                <w:szCs w:val="18"/>
                <w:u w:val="none"/>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执行率(B/A)</w:t>
            </w:r>
          </w:p>
        </w:tc>
        <w:tc>
          <w:tcPr>
            <w:tcW w:w="130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18"/>
                <w:szCs w:val="18"/>
                <w:u w:val="none"/>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得分</w:t>
            </w:r>
          </w:p>
        </w:tc>
      </w:tr>
      <w:tr>
        <w:tblPrEx>
          <w:tblCellMar>
            <w:top w:w="0" w:type="dxa"/>
            <w:left w:w="0" w:type="dxa"/>
            <w:bottom w:w="0" w:type="dxa"/>
            <w:right w:w="0" w:type="dxa"/>
          </w:tblCellMar>
        </w:tblPrEx>
        <w:trPr>
          <w:trHeight w:val="270" w:hRule="atLeast"/>
        </w:trPr>
        <w:tc>
          <w:tcPr>
            <w:tcW w:w="2884" w:type="dxa"/>
            <w:gridSpan w:val="3"/>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themeColor="text1"/>
                <w:sz w:val="18"/>
                <w:szCs w:val="18"/>
                <w:u w:val="none"/>
                <w14:textFill>
                  <w14:solidFill>
                    <w14:schemeClr w14:val="tx1"/>
                  </w14:solidFill>
                </w14:textFill>
              </w:rPr>
            </w:pPr>
          </w:p>
        </w:tc>
        <w:tc>
          <w:tcPr>
            <w:tcW w:w="12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themeColor="text1"/>
                <w:sz w:val="18"/>
                <w:szCs w:val="18"/>
                <w:u w:val="none"/>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年度资金总额这:</w:t>
            </w:r>
          </w:p>
        </w:tc>
        <w:tc>
          <w:tcPr>
            <w:tcW w:w="390" w:type="dxa"/>
            <w:tcBorders>
              <w:top w:val="single" w:color="000000" w:sz="4" w:space="0"/>
              <w:left w:val="nil"/>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default" w:ascii="宋体" w:hAnsi="宋体" w:eastAsia="宋体" w:cs="宋体"/>
                <w:i w:val="0"/>
                <w:color w:val="000000" w:themeColor="text1"/>
                <w:sz w:val="18"/>
                <w:szCs w:val="18"/>
                <w:u w:val="none"/>
                <w:lang w:val="en-US"/>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2500</w:t>
            </w:r>
          </w:p>
        </w:tc>
        <w:tc>
          <w:tcPr>
            <w:tcW w:w="943" w:type="dxa"/>
            <w:tcBorders>
              <w:top w:val="single" w:color="000000" w:sz="4" w:space="0"/>
              <w:left w:val="nil"/>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default" w:ascii="宋体" w:hAnsi="宋体" w:eastAsia="宋体" w:cs="宋体"/>
                <w:i w:val="0"/>
                <w:color w:val="000000" w:themeColor="text1"/>
                <w:sz w:val="18"/>
                <w:szCs w:val="18"/>
                <w:u w:val="none"/>
                <w:lang w:val="en-US"/>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2269.22</w:t>
            </w:r>
          </w:p>
        </w:tc>
        <w:tc>
          <w:tcPr>
            <w:tcW w:w="103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18"/>
                <w:szCs w:val="18"/>
                <w:u w:val="none"/>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10</w:t>
            </w:r>
          </w:p>
        </w:tc>
        <w:tc>
          <w:tcPr>
            <w:tcW w:w="88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18"/>
                <w:szCs w:val="18"/>
                <w:u w:val="none"/>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90.77</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w:t>
            </w:r>
          </w:p>
        </w:tc>
        <w:tc>
          <w:tcPr>
            <w:tcW w:w="1309"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default" w:ascii="宋体" w:hAnsi="宋体" w:eastAsia="宋体" w:cs="宋体"/>
                <w:i w:val="0"/>
                <w:color w:val="000000" w:themeColor="text1"/>
                <w:sz w:val="18"/>
                <w:szCs w:val="18"/>
                <w:u w:val="none"/>
                <w:lang w:val="en-US"/>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9</w:t>
            </w:r>
          </w:p>
        </w:tc>
      </w:tr>
      <w:tr>
        <w:tblPrEx>
          <w:tblCellMar>
            <w:top w:w="0" w:type="dxa"/>
            <w:left w:w="0" w:type="dxa"/>
            <w:bottom w:w="0" w:type="dxa"/>
            <w:right w:w="0" w:type="dxa"/>
          </w:tblCellMar>
        </w:tblPrEx>
        <w:trPr>
          <w:trHeight w:val="270" w:hRule="atLeast"/>
        </w:trPr>
        <w:tc>
          <w:tcPr>
            <w:tcW w:w="2884" w:type="dxa"/>
            <w:gridSpan w:val="3"/>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themeColor="text1"/>
                <w:sz w:val="18"/>
                <w:szCs w:val="18"/>
                <w:u w:val="none"/>
                <w14:textFill>
                  <w14:solidFill>
                    <w14:schemeClr w14:val="tx1"/>
                  </w14:solidFill>
                </w14:textFill>
              </w:rPr>
            </w:pPr>
          </w:p>
        </w:tc>
        <w:tc>
          <w:tcPr>
            <w:tcW w:w="12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themeColor="text1"/>
                <w:sz w:val="18"/>
                <w:szCs w:val="18"/>
                <w:u w:val="none"/>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其中：本年财政拨款</w:t>
            </w:r>
          </w:p>
        </w:tc>
        <w:tc>
          <w:tcPr>
            <w:tcW w:w="390" w:type="dxa"/>
            <w:tcBorders>
              <w:top w:val="single" w:color="000000" w:sz="4" w:space="0"/>
              <w:left w:val="nil"/>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default" w:ascii="宋体" w:hAnsi="宋体" w:eastAsia="宋体" w:cs="宋体"/>
                <w:i w:val="0"/>
                <w:color w:val="000000" w:themeColor="text1"/>
                <w:sz w:val="18"/>
                <w:szCs w:val="18"/>
                <w:u w:val="none"/>
                <w:lang w:val="en-US"/>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2500</w:t>
            </w:r>
          </w:p>
        </w:tc>
        <w:tc>
          <w:tcPr>
            <w:tcW w:w="943" w:type="dxa"/>
            <w:tcBorders>
              <w:top w:val="single" w:color="000000" w:sz="4" w:space="0"/>
              <w:left w:val="nil"/>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18"/>
                <w:szCs w:val="18"/>
                <w:u w:val="none"/>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2269.22</w:t>
            </w:r>
          </w:p>
        </w:tc>
        <w:tc>
          <w:tcPr>
            <w:tcW w:w="103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themeColor="text1"/>
                <w:sz w:val="18"/>
                <w:szCs w:val="18"/>
                <w:u w:val="none"/>
                <w14:textFill>
                  <w14:solidFill>
                    <w14:schemeClr w14:val="tx1"/>
                  </w14:solidFill>
                </w14:textFill>
              </w:rPr>
            </w:pPr>
          </w:p>
        </w:tc>
        <w:tc>
          <w:tcPr>
            <w:tcW w:w="88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18"/>
                <w:szCs w:val="18"/>
                <w:u w:val="none"/>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90.77</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w:t>
            </w:r>
          </w:p>
        </w:tc>
        <w:tc>
          <w:tcPr>
            <w:tcW w:w="1309"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themeColor="text1"/>
                <w:sz w:val="18"/>
                <w:szCs w:val="18"/>
                <w:u w:val="none"/>
                <w14:textFill>
                  <w14:solidFill>
                    <w14:schemeClr w14:val="tx1"/>
                  </w14:solidFill>
                </w14:textFill>
              </w:rPr>
            </w:pPr>
          </w:p>
        </w:tc>
      </w:tr>
      <w:tr>
        <w:tblPrEx>
          <w:tblCellMar>
            <w:top w:w="0" w:type="dxa"/>
            <w:left w:w="0" w:type="dxa"/>
            <w:bottom w:w="0" w:type="dxa"/>
            <w:right w:w="0" w:type="dxa"/>
          </w:tblCellMar>
        </w:tblPrEx>
        <w:trPr>
          <w:trHeight w:val="90" w:hRule="atLeast"/>
        </w:trPr>
        <w:tc>
          <w:tcPr>
            <w:tcW w:w="2884" w:type="dxa"/>
            <w:gridSpan w:val="3"/>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themeColor="text1"/>
                <w:sz w:val="18"/>
                <w:szCs w:val="18"/>
                <w:u w:val="none"/>
                <w14:textFill>
                  <w14:solidFill>
                    <w14:schemeClr w14:val="tx1"/>
                  </w14:solidFill>
                </w14:textFill>
              </w:rPr>
            </w:pPr>
          </w:p>
        </w:tc>
        <w:tc>
          <w:tcPr>
            <w:tcW w:w="12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themeColor="text1"/>
                <w:sz w:val="18"/>
                <w:szCs w:val="18"/>
                <w:u w:val="none"/>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其他资金</w:t>
            </w:r>
          </w:p>
        </w:tc>
        <w:tc>
          <w:tcPr>
            <w:tcW w:w="3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18"/>
                <w:szCs w:val="18"/>
                <w:u w:val="none"/>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0</w:t>
            </w:r>
          </w:p>
        </w:tc>
        <w:tc>
          <w:tcPr>
            <w:tcW w:w="943" w:type="dxa"/>
            <w:tcBorders>
              <w:top w:val="single" w:color="000000" w:sz="4" w:space="0"/>
              <w:left w:val="nil"/>
              <w:bottom w:val="single" w:color="000000" w:sz="4" w:space="0"/>
              <w:right w:val="single" w:color="000000" w:sz="4" w:space="0"/>
            </w:tcBorders>
            <w:noWrap w:val="0"/>
            <w:tcMar>
              <w:top w:w="15" w:type="dxa"/>
              <w:left w:w="15" w:type="dxa"/>
              <w:right w:w="15" w:type="dxa"/>
            </w:tcMar>
            <w:vAlign w:val="center"/>
          </w:tcPr>
          <w:p>
            <w:pPr>
              <w:jc w:val="left"/>
              <w:rPr>
                <w:rFonts w:hint="eastAsia" w:ascii="宋体" w:hAnsi="宋体" w:eastAsia="宋体" w:cs="宋体"/>
                <w:i w:val="0"/>
                <w:color w:val="000000" w:themeColor="text1"/>
                <w:sz w:val="18"/>
                <w:szCs w:val="18"/>
                <w:u w:val="none"/>
                <w14:textFill>
                  <w14:solidFill>
                    <w14:schemeClr w14:val="tx1"/>
                  </w14:solidFill>
                </w14:textFill>
              </w:rPr>
            </w:pPr>
          </w:p>
        </w:tc>
        <w:tc>
          <w:tcPr>
            <w:tcW w:w="10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themeColor="text1"/>
                <w:sz w:val="18"/>
                <w:szCs w:val="18"/>
                <w:u w:val="none"/>
                <w14:textFill>
                  <w14:solidFill>
                    <w14:schemeClr w14:val="tx1"/>
                  </w14:solidFill>
                </w14:textFill>
              </w:rPr>
            </w:pPr>
          </w:p>
        </w:tc>
        <w:tc>
          <w:tcPr>
            <w:tcW w:w="88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themeColor="text1"/>
                <w:sz w:val="18"/>
                <w:szCs w:val="18"/>
                <w:u w:val="none"/>
                <w14:textFill>
                  <w14:solidFill>
                    <w14:schemeClr w14:val="tx1"/>
                  </w14:solidFill>
                </w14:textFill>
              </w:rPr>
            </w:pPr>
          </w:p>
        </w:tc>
        <w:tc>
          <w:tcPr>
            <w:tcW w:w="130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themeColor="text1"/>
                <w:sz w:val="18"/>
                <w:szCs w:val="18"/>
                <w:u w:val="none"/>
                <w14:textFill>
                  <w14:solidFill>
                    <w14:schemeClr w14:val="tx1"/>
                  </w14:solidFill>
                </w14:textFill>
              </w:rPr>
            </w:pPr>
          </w:p>
        </w:tc>
      </w:tr>
      <w:tr>
        <w:tblPrEx>
          <w:tblCellMar>
            <w:top w:w="0" w:type="dxa"/>
            <w:left w:w="0" w:type="dxa"/>
            <w:bottom w:w="0" w:type="dxa"/>
            <w:right w:w="0" w:type="dxa"/>
          </w:tblCellMar>
        </w:tblPrEx>
        <w:trPr>
          <w:trHeight w:val="440" w:hRule="atLeast"/>
        </w:trPr>
        <w:tc>
          <w:tcPr>
            <w:tcW w:w="86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18"/>
                <w:szCs w:val="18"/>
                <w:u w:val="none"/>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年度总体目标</w:t>
            </w:r>
          </w:p>
        </w:tc>
        <w:tc>
          <w:tcPr>
            <w:tcW w:w="3654" w:type="dxa"/>
            <w:gridSpan w:val="4"/>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18"/>
                <w:szCs w:val="18"/>
                <w:u w:val="none"/>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年初设定目标</w:t>
            </w:r>
          </w:p>
        </w:tc>
        <w:tc>
          <w:tcPr>
            <w:tcW w:w="4169" w:type="dxa"/>
            <w:gridSpan w:val="4"/>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18"/>
                <w:szCs w:val="18"/>
                <w:u w:val="none"/>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年度总体目标完成情况综述</w:t>
            </w:r>
          </w:p>
        </w:tc>
      </w:tr>
      <w:tr>
        <w:tblPrEx>
          <w:tblCellMar>
            <w:top w:w="0" w:type="dxa"/>
            <w:left w:w="0" w:type="dxa"/>
            <w:bottom w:w="0" w:type="dxa"/>
            <w:right w:w="0" w:type="dxa"/>
          </w:tblCellMar>
        </w:tblPrEx>
        <w:trPr>
          <w:trHeight w:val="90" w:hRule="atLeast"/>
        </w:trPr>
        <w:tc>
          <w:tcPr>
            <w:tcW w:w="86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eastAsia="宋体" w:cs="宋体"/>
                <w:i w:val="0"/>
                <w:color w:val="000000" w:themeColor="text1"/>
                <w:sz w:val="18"/>
                <w:szCs w:val="18"/>
                <w:u w:val="none"/>
                <w14:textFill>
                  <w14:solidFill>
                    <w14:schemeClr w14:val="tx1"/>
                  </w14:solidFill>
                </w14:textFill>
              </w:rPr>
            </w:pPr>
          </w:p>
        </w:tc>
        <w:tc>
          <w:tcPr>
            <w:tcW w:w="3654" w:type="dxa"/>
            <w:gridSpan w:val="4"/>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themeColor="text1"/>
                <w:sz w:val="18"/>
                <w:szCs w:val="18"/>
                <w:u w:val="none"/>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新建排水沟7公里，河道治理2公里，泄洪沟沟口处理4处，人行道3公里，生态护栏20公里，公共厕所4座，路基挡墙650立方米，人居环境整治16500平方米，供水管网7公里，硬化工程10000平米，线路改造等附属配套设施。</w:t>
            </w:r>
          </w:p>
        </w:tc>
        <w:tc>
          <w:tcPr>
            <w:tcW w:w="4169" w:type="dxa"/>
            <w:gridSpan w:val="4"/>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themeColor="text1"/>
                <w:sz w:val="18"/>
                <w:szCs w:val="18"/>
                <w:u w:val="none"/>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新建排水沟7公里，河道治理2公里，泄洪沟沟口处理4处，人行道3公里，生态护栏20公里，公共厕所4座，路基挡墙650立方米，人居环境整治16500平方米，供水管网7公里，硬化工程10000平米，线路改造等附属配套设施。</w:t>
            </w:r>
          </w:p>
        </w:tc>
      </w:tr>
      <w:tr>
        <w:tblPrEx>
          <w:tblCellMar>
            <w:top w:w="0" w:type="dxa"/>
            <w:left w:w="0" w:type="dxa"/>
            <w:bottom w:w="0" w:type="dxa"/>
            <w:right w:w="0" w:type="dxa"/>
          </w:tblCellMar>
        </w:tblPrEx>
        <w:trPr>
          <w:trHeight w:val="762" w:hRule="atLeast"/>
        </w:trPr>
        <w:tc>
          <w:tcPr>
            <w:tcW w:w="86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18"/>
                <w:szCs w:val="18"/>
                <w:u w:val="none"/>
                <w14:textFill>
                  <w14:solidFill>
                    <w14:schemeClr w14:val="tx1"/>
                  </w14:solidFill>
                </w14:textFill>
              </w:rPr>
            </w:pPr>
            <w:r>
              <w:rPr>
                <w:rStyle w:val="27"/>
                <w:color w:val="000000" w:themeColor="text1"/>
                <w:lang w:val="en-US" w:eastAsia="zh-CN" w:bidi="ar"/>
                <w14:textFill>
                  <w14:solidFill>
                    <w14:schemeClr w14:val="tx1"/>
                  </w14:solidFill>
                </w14:textFill>
              </w:rPr>
              <w:t>绩效</w:t>
            </w:r>
            <w:r>
              <w:rPr>
                <w:rStyle w:val="27"/>
                <w:color w:val="000000" w:themeColor="text1"/>
                <w:lang w:val="en-US" w:eastAsia="zh-CN" w:bidi="ar"/>
                <w14:textFill>
                  <w14:solidFill>
                    <w14:schemeClr w14:val="tx1"/>
                  </w14:solidFill>
                </w14:textFill>
              </w:rPr>
              <w:br w:type="textWrapping"/>
            </w:r>
            <w:r>
              <w:rPr>
                <w:rStyle w:val="27"/>
                <w:color w:val="000000" w:themeColor="text1"/>
                <w:lang w:val="en-US" w:eastAsia="zh-CN" w:bidi="ar"/>
                <w14:textFill>
                  <w14:solidFill>
                    <w14:schemeClr w14:val="tx1"/>
                  </w14:solidFill>
                </w14:textFill>
              </w:rPr>
              <w:t>指标</w:t>
            </w:r>
          </w:p>
        </w:tc>
        <w:tc>
          <w:tcPr>
            <w:tcW w:w="98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18"/>
                <w:szCs w:val="18"/>
                <w:u w:val="none"/>
                <w14:textFill>
                  <w14:solidFill>
                    <w14:schemeClr w14:val="tx1"/>
                  </w14:solidFill>
                </w14:textFill>
              </w:rPr>
            </w:pPr>
            <w:r>
              <w:rPr>
                <w:rStyle w:val="27"/>
                <w:color w:val="000000" w:themeColor="text1"/>
                <w:lang w:val="en-US" w:eastAsia="zh-CN" w:bidi="ar"/>
                <w14:textFill>
                  <w14:solidFill>
                    <w14:schemeClr w14:val="tx1"/>
                  </w14:solidFill>
                </w14:textFill>
              </w:rPr>
              <w:t>一级指标</w:t>
            </w:r>
          </w:p>
        </w:tc>
        <w:tc>
          <w:tcPr>
            <w:tcW w:w="10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18"/>
                <w:szCs w:val="18"/>
                <w:u w:val="none"/>
                <w14:textFill>
                  <w14:solidFill>
                    <w14:schemeClr w14:val="tx1"/>
                  </w14:solidFill>
                </w14:textFill>
              </w:rPr>
            </w:pPr>
            <w:r>
              <w:rPr>
                <w:rStyle w:val="27"/>
                <w:color w:val="000000" w:themeColor="text1"/>
                <w:lang w:val="en-US" w:eastAsia="zh-CN" w:bidi="ar"/>
                <w14:textFill>
                  <w14:solidFill>
                    <w14:schemeClr w14:val="tx1"/>
                  </w14:solidFill>
                </w14:textFill>
              </w:rPr>
              <w:t>二级指标</w:t>
            </w:r>
          </w:p>
        </w:tc>
        <w:tc>
          <w:tcPr>
            <w:tcW w:w="1240" w:type="dxa"/>
            <w:tcBorders>
              <w:top w:val="single" w:color="000000" w:sz="4" w:space="0"/>
              <w:left w:val="single" w:color="000000" w:sz="4" w:space="0"/>
              <w:bottom w:val="single" w:color="000000" w:sz="4" w:space="0"/>
              <w:right w:val="nil"/>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18"/>
                <w:szCs w:val="18"/>
                <w:u w:val="none"/>
                <w14:textFill>
                  <w14:solidFill>
                    <w14:schemeClr w14:val="tx1"/>
                  </w14:solidFill>
                </w14:textFill>
              </w:rPr>
            </w:pPr>
            <w:r>
              <w:rPr>
                <w:rStyle w:val="27"/>
                <w:color w:val="000000" w:themeColor="text1"/>
                <w:lang w:val="en-US" w:eastAsia="zh-CN" w:bidi="ar"/>
                <w14:textFill>
                  <w14:solidFill>
                    <w14:schemeClr w14:val="tx1"/>
                  </w14:solidFill>
                </w14:textFill>
              </w:rPr>
              <w:t>三级指标</w:t>
            </w:r>
          </w:p>
        </w:tc>
        <w:tc>
          <w:tcPr>
            <w:tcW w:w="3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18"/>
                <w:szCs w:val="18"/>
                <w:u w:val="none"/>
                <w14:textFill>
                  <w14:solidFill>
                    <w14:schemeClr w14:val="tx1"/>
                  </w14:solidFill>
                </w14:textFill>
              </w:rPr>
            </w:pPr>
            <w:r>
              <w:rPr>
                <w:rStyle w:val="27"/>
                <w:color w:val="000000" w:themeColor="text1"/>
                <w:lang w:val="en-US" w:eastAsia="zh-CN" w:bidi="ar"/>
                <w14:textFill>
                  <w14:solidFill>
                    <w14:schemeClr w14:val="tx1"/>
                  </w14:solidFill>
                </w14:textFill>
              </w:rPr>
              <w:t>分值</w:t>
            </w:r>
          </w:p>
        </w:tc>
        <w:tc>
          <w:tcPr>
            <w:tcW w:w="94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18"/>
                <w:szCs w:val="18"/>
                <w:u w:val="none"/>
                <w14:textFill>
                  <w14:solidFill>
                    <w14:schemeClr w14:val="tx1"/>
                  </w14:solidFill>
                </w14:textFill>
              </w:rPr>
            </w:pPr>
            <w:r>
              <w:rPr>
                <w:rStyle w:val="27"/>
                <w:color w:val="000000" w:themeColor="text1"/>
                <w:lang w:val="en-US" w:eastAsia="zh-CN" w:bidi="ar"/>
                <w14:textFill>
                  <w14:solidFill>
                    <w14:schemeClr w14:val="tx1"/>
                  </w14:solidFill>
                </w14:textFill>
              </w:rPr>
              <w:t>全年指标值</w:t>
            </w:r>
          </w:p>
        </w:tc>
        <w:tc>
          <w:tcPr>
            <w:tcW w:w="10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18"/>
                <w:szCs w:val="18"/>
                <w:u w:val="none"/>
                <w14:textFill>
                  <w14:solidFill>
                    <w14:schemeClr w14:val="tx1"/>
                  </w14:solidFill>
                </w14:textFill>
              </w:rPr>
            </w:pPr>
            <w:r>
              <w:rPr>
                <w:rStyle w:val="27"/>
                <w:color w:val="000000" w:themeColor="text1"/>
                <w:lang w:val="en-US" w:eastAsia="zh-CN" w:bidi="ar"/>
                <w14:textFill>
                  <w14:solidFill>
                    <w14:schemeClr w14:val="tx1"/>
                  </w14:solidFill>
                </w14:textFill>
              </w:rPr>
              <w:t>全年实际值</w:t>
            </w:r>
          </w:p>
        </w:tc>
        <w:tc>
          <w:tcPr>
            <w:tcW w:w="88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18"/>
                <w:szCs w:val="18"/>
                <w:u w:val="none"/>
                <w14:textFill>
                  <w14:solidFill>
                    <w14:schemeClr w14:val="tx1"/>
                  </w14:solidFill>
                </w14:textFill>
              </w:rPr>
            </w:pPr>
            <w:r>
              <w:rPr>
                <w:rStyle w:val="27"/>
                <w:color w:val="000000" w:themeColor="text1"/>
                <w:lang w:val="en-US" w:eastAsia="zh-CN" w:bidi="ar"/>
                <w14:textFill>
                  <w14:solidFill>
                    <w14:schemeClr w14:val="tx1"/>
                  </w14:solidFill>
                </w14:textFill>
              </w:rPr>
              <w:t>得分</w:t>
            </w:r>
          </w:p>
        </w:tc>
        <w:tc>
          <w:tcPr>
            <w:tcW w:w="130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pPr>
              <w:keepNext w:val="0"/>
              <w:keepLines w:val="0"/>
              <w:widowControl/>
              <w:suppressLineNumbers w:val="0"/>
              <w:jc w:val="center"/>
              <w:textAlignment w:val="top"/>
              <w:rPr>
                <w:rFonts w:hint="eastAsia" w:ascii="宋体" w:hAnsi="宋体" w:eastAsia="宋体" w:cs="宋体"/>
                <w:i w:val="0"/>
                <w:color w:val="000000" w:themeColor="text1"/>
                <w:sz w:val="18"/>
                <w:szCs w:val="18"/>
                <w:u w:val="none"/>
                <w14:textFill>
                  <w14:solidFill>
                    <w14:schemeClr w14:val="tx1"/>
                  </w14:solidFill>
                </w14:textFill>
              </w:rPr>
            </w:pPr>
            <w:r>
              <w:rPr>
                <w:rStyle w:val="27"/>
                <w:color w:val="000000" w:themeColor="text1"/>
                <w:lang w:val="en-US" w:eastAsia="zh-CN" w:bidi="ar"/>
                <w14:textFill>
                  <w14:solidFill>
                    <w14:schemeClr w14:val="tx1"/>
                  </w14:solidFill>
                </w14:textFill>
              </w:rPr>
              <w:t>未完成原因及</w:t>
            </w:r>
            <w:r>
              <w:rPr>
                <w:rStyle w:val="27"/>
                <w:color w:val="000000" w:themeColor="text1"/>
                <w:lang w:val="en-US" w:eastAsia="zh-CN" w:bidi="ar"/>
                <w14:textFill>
                  <w14:solidFill>
                    <w14:schemeClr w14:val="tx1"/>
                  </w14:solidFill>
                </w14:textFill>
              </w:rPr>
              <w:br w:type="textWrapping"/>
            </w:r>
            <w:r>
              <w:rPr>
                <w:rStyle w:val="27"/>
                <w:color w:val="000000" w:themeColor="text1"/>
                <w:lang w:val="en-US" w:eastAsia="zh-CN" w:bidi="ar"/>
                <w14:textFill>
                  <w14:solidFill>
                    <w14:schemeClr w14:val="tx1"/>
                  </w14:solidFill>
                </w14:textFill>
              </w:rPr>
              <w:t>拟采取的改进</w:t>
            </w:r>
            <w:r>
              <w:rPr>
                <w:rStyle w:val="27"/>
                <w:color w:val="000000" w:themeColor="text1"/>
                <w:lang w:val="en-US" w:eastAsia="zh-CN" w:bidi="ar"/>
                <w14:textFill>
                  <w14:solidFill>
                    <w14:schemeClr w14:val="tx1"/>
                  </w14:solidFill>
                </w14:textFill>
              </w:rPr>
              <w:br w:type="textWrapping"/>
            </w:r>
            <w:r>
              <w:rPr>
                <w:rStyle w:val="27"/>
                <w:color w:val="000000" w:themeColor="text1"/>
                <w:lang w:val="en-US" w:eastAsia="zh-CN" w:bidi="ar"/>
                <w14:textFill>
                  <w14:solidFill>
                    <w14:schemeClr w14:val="tx1"/>
                  </w14:solidFill>
                </w14:textFill>
              </w:rPr>
              <w:t>措施</w:t>
            </w:r>
          </w:p>
        </w:tc>
      </w:tr>
      <w:tr>
        <w:tblPrEx>
          <w:tblCellMar>
            <w:top w:w="0" w:type="dxa"/>
            <w:left w:w="0" w:type="dxa"/>
            <w:bottom w:w="0" w:type="dxa"/>
            <w:right w:w="0" w:type="dxa"/>
          </w:tblCellMar>
        </w:tblPrEx>
        <w:trPr>
          <w:trHeight w:val="440" w:hRule="atLeast"/>
        </w:trPr>
        <w:tc>
          <w:tcPr>
            <w:tcW w:w="860" w:type="dxa"/>
            <w:vMerge w:val="continue"/>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pPr>
              <w:jc w:val="center"/>
              <w:rPr>
                <w:rFonts w:hint="eastAsia" w:ascii="宋体" w:hAnsi="宋体" w:eastAsia="宋体" w:cs="宋体"/>
                <w:i w:val="0"/>
                <w:color w:val="000000" w:themeColor="text1"/>
                <w:sz w:val="18"/>
                <w:szCs w:val="18"/>
                <w:u w:val="none"/>
                <w14:textFill>
                  <w14:solidFill>
                    <w14:schemeClr w14:val="tx1"/>
                  </w14:solidFill>
                </w14:textFill>
              </w:rPr>
            </w:pPr>
          </w:p>
        </w:tc>
        <w:tc>
          <w:tcPr>
            <w:tcW w:w="984" w:type="dxa"/>
            <w:vMerge w:val="restart"/>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val="0"/>
                <w:bCs w:val="0"/>
                <w:i w:val="0"/>
                <w:color w:val="000000" w:themeColor="text1"/>
                <w:sz w:val="18"/>
                <w:szCs w:val="18"/>
                <w:u w:val="none"/>
                <w14:textFill>
                  <w14:solidFill>
                    <w14:schemeClr w14:val="tx1"/>
                  </w14:solidFill>
                </w14:textFill>
              </w:rPr>
            </w:pPr>
            <w:r>
              <w:rPr>
                <w:rStyle w:val="27"/>
                <w:rFonts w:hint="default" w:ascii="宋体" w:hAnsi="宋体" w:eastAsia="宋体" w:cs="宋体"/>
                <w:b w:val="0"/>
                <w:bCs w:val="0"/>
                <w:i w:val="0"/>
                <w:iCs w:val="0"/>
                <w:color w:val="000000" w:themeColor="text1"/>
                <w:lang w:val="en-US" w:eastAsia="zh-CN" w:bidi="ar"/>
                <w14:textFill>
                  <w14:solidFill>
                    <w14:schemeClr w14:val="tx1"/>
                  </w14:solidFill>
                </w14:textFill>
              </w:rPr>
              <w:t>产出指标</w:t>
            </w:r>
            <w:r>
              <w:rPr>
                <w:rStyle w:val="27"/>
                <w:rFonts w:ascii="宋体" w:hAnsi="宋体" w:eastAsia="宋体" w:cs="宋体"/>
                <w:b w:val="0"/>
                <w:bCs w:val="0"/>
                <w:i w:val="0"/>
                <w:iCs w:val="0"/>
                <w:color w:val="000000" w:themeColor="text1"/>
                <w:lang w:val="en-US" w:eastAsia="zh-CN" w:bidi="ar"/>
                <w14:textFill>
                  <w14:solidFill>
                    <w14:schemeClr w14:val="tx1"/>
                  </w14:solidFill>
                </w14:textFill>
              </w:rPr>
              <w:t>50分</w:t>
            </w:r>
          </w:p>
        </w:tc>
        <w:tc>
          <w:tcPr>
            <w:tcW w:w="1040" w:type="dxa"/>
            <w:vMerge w:val="restart"/>
            <w:tcBorders>
              <w:top w:val="single" w:color="000000" w:sz="4" w:space="0"/>
              <w:left w:val="single" w:color="000000" w:sz="4" w:space="0"/>
              <w:bottom w:val="nil"/>
              <w:right w:val="single" w:color="000000" w:sz="4" w:space="0"/>
            </w:tcBorders>
            <w:shd w:val="clear" w:color="auto" w:fill="FFFFFF"/>
            <w:noWrap w:val="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themeColor="text1"/>
                <w:sz w:val="18"/>
                <w:szCs w:val="18"/>
                <w:u w:val="none"/>
                <w14:textFill>
                  <w14:solidFill>
                    <w14:schemeClr w14:val="tx1"/>
                  </w14:solidFill>
                </w14:textFill>
              </w:rPr>
            </w:pPr>
            <w:r>
              <w:rPr>
                <w:rStyle w:val="27"/>
                <w:color w:val="000000" w:themeColor="text1"/>
                <w:lang w:val="en-US" w:eastAsia="zh-CN" w:bidi="ar"/>
                <w14:textFill>
                  <w14:solidFill>
                    <w14:schemeClr w14:val="tx1"/>
                  </w14:solidFill>
                </w14:textFill>
              </w:rPr>
              <w:t>数量指标</w:t>
            </w:r>
          </w:p>
        </w:tc>
        <w:tc>
          <w:tcPr>
            <w:tcW w:w="1240"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themeColor="text1"/>
                <w:sz w:val="18"/>
                <w:szCs w:val="18"/>
                <w:u w:val="none"/>
                <w14:textFill>
                  <w14:solidFill>
                    <w14:schemeClr w14:val="tx1"/>
                  </w14:solidFill>
                </w14:textFill>
              </w:rPr>
            </w:pPr>
            <w:r>
              <w:rPr>
                <w:rStyle w:val="27"/>
                <w:color w:val="000000" w:themeColor="text1"/>
                <w:lang w:val="en-US" w:eastAsia="zh-CN" w:bidi="ar"/>
                <w14:textFill>
                  <w14:solidFill>
                    <w14:schemeClr w14:val="tx1"/>
                  </w14:solidFill>
                </w14:textFill>
              </w:rPr>
              <w:t>新建排水沟</w:t>
            </w:r>
          </w:p>
        </w:tc>
        <w:tc>
          <w:tcPr>
            <w:tcW w:w="390"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 xml:space="preserve">3 </w:t>
            </w:r>
          </w:p>
        </w:tc>
        <w:tc>
          <w:tcPr>
            <w:tcW w:w="943"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18"/>
                <w:szCs w:val="18"/>
                <w:u w:val="none"/>
                <w14:textFill>
                  <w14:solidFill>
                    <w14:schemeClr w14:val="tx1"/>
                  </w14:solidFill>
                </w14:textFill>
              </w:rPr>
            </w:pPr>
            <w:r>
              <w:rPr>
                <w:rStyle w:val="27"/>
                <w:color w:val="000000" w:themeColor="text1"/>
                <w:lang w:val="en-US" w:eastAsia="zh-CN" w:bidi="ar"/>
                <w14:textFill>
                  <w14:solidFill>
                    <w14:schemeClr w14:val="tx1"/>
                  </w14:solidFill>
                </w14:textFill>
              </w:rPr>
              <w:t>=7公里</w:t>
            </w:r>
          </w:p>
        </w:tc>
        <w:tc>
          <w:tcPr>
            <w:tcW w:w="1030" w:type="dxa"/>
            <w:tcBorders>
              <w:top w:val="single" w:color="000000" w:sz="4" w:space="0"/>
              <w:left w:val="single" w:color="000000" w:sz="4" w:space="0"/>
              <w:bottom w:val="nil"/>
              <w:right w:val="nil"/>
            </w:tcBorders>
            <w:shd w:val="clear" w:color="auto" w:fill="FFFFFF"/>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18"/>
                <w:szCs w:val="18"/>
                <w:u w:val="none"/>
                <w14:textFill>
                  <w14:solidFill>
                    <w14:schemeClr w14:val="tx1"/>
                  </w14:solidFill>
                </w14:textFill>
              </w:rPr>
            </w:pPr>
            <w:r>
              <w:rPr>
                <w:rStyle w:val="27"/>
                <w:color w:val="000000" w:themeColor="text1"/>
                <w:lang w:val="en-US" w:eastAsia="zh-CN" w:bidi="ar"/>
                <w14:textFill>
                  <w14:solidFill>
                    <w14:schemeClr w14:val="tx1"/>
                  </w14:solidFill>
                </w14:textFill>
              </w:rPr>
              <w:t>7公里</w:t>
            </w:r>
          </w:p>
        </w:tc>
        <w:tc>
          <w:tcPr>
            <w:tcW w:w="88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 xml:space="preserve">3 </w:t>
            </w:r>
          </w:p>
        </w:tc>
        <w:tc>
          <w:tcPr>
            <w:tcW w:w="130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pPr>
              <w:jc w:val="left"/>
              <w:rPr>
                <w:rFonts w:hint="eastAsia" w:ascii="宋体" w:hAnsi="宋体" w:eastAsia="宋体" w:cs="宋体"/>
                <w:i w:val="0"/>
                <w:color w:val="000000" w:themeColor="text1"/>
                <w:sz w:val="18"/>
                <w:szCs w:val="18"/>
                <w:u w:val="none"/>
                <w14:textFill>
                  <w14:solidFill>
                    <w14:schemeClr w14:val="tx1"/>
                  </w14:solidFill>
                </w14:textFill>
              </w:rPr>
            </w:pPr>
          </w:p>
        </w:tc>
      </w:tr>
      <w:tr>
        <w:tblPrEx>
          <w:tblCellMar>
            <w:top w:w="0" w:type="dxa"/>
            <w:left w:w="0" w:type="dxa"/>
            <w:bottom w:w="0" w:type="dxa"/>
            <w:right w:w="0" w:type="dxa"/>
          </w:tblCellMar>
        </w:tblPrEx>
        <w:trPr>
          <w:trHeight w:val="440" w:hRule="atLeast"/>
        </w:trPr>
        <w:tc>
          <w:tcPr>
            <w:tcW w:w="860" w:type="dxa"/>
            <w:vMerge w:val="continue"/>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pPr>
              <w:jc w:val="center"/>
              <w:rPr>
                <w:rFonts w:hint="eastAsia" w:ascii="宋体" w:hAnsi="宋体" w:eastAsia="宋体" w:cs="宋体"/>
                <w:i w:val="0"/>
                <w:color w:val="000000" w:themeColor="text1"/>
                <w:sz w:val="18"/>
                <w:szCs w:val="18"/>
                <w:u w:val="none"/>
                <w14:textFill>
                  <w14:solidFill>
                    <w14:schemeClr w14:val="tx1"/>
                  </w14:solidFill>
                </w14:textFill>
              </w:rPr>
            </w:pPr>
          </w:p>
        </w:tc>
        <w:tc>
          <w:tcPr>
            <w:tcW w:w="984"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jc w:val="center"/>
              <w:rPr>
                <w:rFonts w:hint="eastAsia" w:ascii="宋体" w:hAnsi="宋体" w:eastAsia="宋体" w:cs="宋体"/>
                <w:b w:val="0"/>
                <w:bCs w:val="0"/>
                <w:i w:val="0"/>
                <w:color w:val="000000" w:themeColor="text1"/>
                <w:sz w:val="18"/>
                <w:szCs w:val="18"/>
                <w:u w:val="none"/>
                <w14:textFill>
                  <w14:solidFill>
                    <w14:schemeClr w14:val="tx1"/>
                  </w14:solidFill>
                </w14:textFill>
              </w:rPr>
            </w:pPr>
          </w:p>
        </w:tc>
        <w:tc>
          <w:tcPr>
            <w:tcW w:w="1040" w:type="dxa"/>
            <w:vMerge w:val="continue"/>
            <w:tcBorders>
              <w:top w:val="single" w:color="000000" w:sz="4" w:space="0"/>
              <w:left w:val="single" w:color="000000" w:sz="4" w:space="0"/>
              <w:bottom w:val="nil"/>
              <w:right w:val="single" w:color="000000" w:sz="4" w:space="0"/>
            </w:tcBorders>
            <w:shd w:val="clear" w:color="auto" w:fill="FFFFFF"/>
            <w:noWrap w:val="0"/>
            <w:tcMar>
              <w:top w:w="15" w:type="dxa"/>
              <w:left w:w="15" w:type="dxa"/>
              <w:right w:w="15" w:type="dxa"/>
            </w:tcMar>
            <w:vAlign w:val="center"/>
          </w:tcPr>
          <w:p>
            <w:pPr>
              <w:rPr>
                <w:rFonts w:hint="eastAsia" w:ascii="宋体" w:hAnsi="宋体" w:eastAsia="宋体" w:cs="宋体"/>
                <w:i w:val="0"/>
                <w:color w:val="000000" w:themeColor="text1"/>
                <w:sz w:val="18"/>
                <w:szCs w:val="18"/>
                <w:u w:val="none"/>
                <w14:textFill>
                  <w14:solidFill>
                    <w14:schemeClr w14:val="tx1"/>
                  </w14:solidFill>
                </w14:textFill>
              </w:rPr>
            </w:pPr>
          </w:p>
        </w:tc>
        <w:tc>
          <w:tcPr>
            <w:tcW w:w="1240"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themeColor="text1"/>
                <w:sz w:val="18"/>
                <w:szCs w:val="18"/>
                <w:u w:val="none"/>
                <w14:textFill>
                  <w14:solidFill>
                    <w14:schemeClr w14:val="tx1"/>
                  </w14:solidFill>
                </w14:textFill>
              </w:rPr>
            </w:pPr>
            <w:r>
              <w:rPr>
                <w:rStyle w:val="27"/>
                <w:color w:val="000000" w:themeColor="text1"/>
                <w:lang w:val="en-US" w:eastAsia="zh-CN" w:bidi="ar"/>
                <w14:textFill>
                  <w14:solidFill>
                    <w14:schemeClr w14:val="tx1"/>
                  </w14:solidFill>
                </w14:textFill>
              </w:rPr>
              <w:t>河道治理</w:t>
            </w:r>
          </w:p>
        </w:tc>
        <w:tc>
          <w:tcPr>
            <w:tcW w:w="390"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 xml:space="preserve">3 </w:t>
            </w:r>
          </w:p>
        </w:tc>
        <w:tc>
          <w:tcPr>
            <w:tcW w:w="943"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18"/>
                <w:szCs w:val="18"/>
                <w:u w:val="none"/>
                <w14:textFill>
                  <w14:solidFill>
                    <w14:schemeClr w14:val="tx1"/>
                  </w14:solidFill>
                </w14:textFill>
              </w:rPr>
            </w:pPr>
            <w:r>
              <w:rPr>
                <w:rStyle w:val="27"/>
                <w:color w:val="000000" w:themeColor="text1"/>
                <w:lang w:val="en-US" w:eastAsia="zh-CN" w:bidi="ar"/>
                <w14:textFill>
                  <w14:solidFill>
                    <w14:schemeClr w14:val="tx1"/>
                  </w14:solidFill>
                </w14:textFill>
              </w:rPr>
              <w:t>=2公里</w:t>
            </w:r>
          </w:p>
        </w:tc>
        <w:tc>
          <w:tcPr>
            <w:tcW w:w="1030" w:type="dxa"/>
            <w:tcBorders>
              <w:top w:val="single" w:color="000000" w:sz="4" w:space="0"/>
              <w:left w:val="single" w:color="000000" w:sz="4" w:space="0"/>
              <w:bottom w:val="nil"/>
              <w:right w:val="nil"/>
            </w:tcBorders>
            <w:shd w:val="clear" w:color="auto" w:fill="FFFFFF"/>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18"/>
                <w:szCs w:val="18"/>
                <w:u w:val="none"/>
                <w14:textFill>
                  <w14:solidFill>
                    <w14:schemeClr w14:val="tx1"/>
                  </w14:solidFill>
                </w14:textFill>
              </w:rPr>
            </w:pPr>
            <w:r>
              <w:rPr>
                <w:rStyle w:val="27"/>
                <w:color w:val="000000" w:themeColor="text1"/>
                <w:lang w:val="en-US" w:eastAsia="zh-CN" w:bidi="ar"/>
                <w14:textFill>
                  <w14:solidFill>
                    <w14:schemeClr w14:val="tx1"/>
                  </w14:solidFill>
                </w14:textFill>
              </w:rPr>
              <w:t>2公里</w:t>
            </w:r>
          </w:p>
        </w:tc>
        <w:tc>
          <w:tcPr>
            <w:tcW w:w="88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 xml:space="preserve">3 </w:t>
            </w:r>
          </w:p>
        </w:tc>
        <w:tc>
          <w:tcPr>
            <w:tcW w:w="130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pPr>
              <w:jc w:val="left"/>
              <w:rPr>
                <w:rFonts w:hint="eastAsia" w:ascii="宋体" w:hAnsi="宋体" w:eastAsia="宋体" w:cs="宋体"/>
                <w:i w:val="0"/>
                <w:color w:val="000000" w:themeColor="text1"/>
                <w:sz w:val="18"/>
                <w:szCs w:val="18"/>
                <w:u w:val="none"/>
                <w14:textFill>
                  <w14:solidFill>
                    <w14:schemeClr w14:val="tx1"/>
                  </w14:solidFill>
                </w14:textFill>
              </w:rPr>
            </w:pPr>
          </w:p>
        </w:tc>
      </w:tr>
      <w:tr>
        <w:tblPrEx>
          <w:tblCellMar>
            <w:top w:w="0" w:type="dxa"/>
            <w:left w:w="0" w:type="dxa"/>
            <w:bottom w:w="0" w:type="dxa"/>
            <w:right w:w="0" w:type="dxa"/>
          </w:tblCellMar>
        </w:tblPrEx>
        <w:trPr>
          <w:trHeight w:val="440" w:hRule="atLeast"/>
        </w:trPr>
        <w:tc>
          <w:tcPr>
            <w:tcW w:w="860" w:type="dxa"/>
            <w:vMerge w:val="continue"/>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pPr>
              <w:jc w:val="center"/>
              <w:rPr>
                <w:rFonts w:hint="eastAsia" w:ascii="宋体" w:hAnsi="宋体" w:eastAsia="宋体" w:cs="宋体"/>
                <w:i w:val="0"/>
                <w:color w:val="000000" w:themeColor="text1"/>
                <w:sz w:val="18"/>
                <w:szCs w:val="18"/>
                <w:u w:val="none"/>
                <w14:textFill>
                  <w14:solidFill>
                    <w14:schemeClr w14:val="tx1"/>
                  </w14:solidFill>
                </w14:textFill>
              </w:rPr>
            </w:pPr>
          </w:p>
        </w:tc>
        <w:tc>
          <w:tcPr>
            <w:tcW w:w="984"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jc w:val="center"/>
              <w:rPr>
                <w:rFonts w:hint="eastAsia" w:ascii="宋体" w:hAnsi="宋体" w:eastAsia="宋体" w:cs="宋体"/>
                <w:b w:val="0"/>
                <w:bCs w:val="0"/>
                <w:i w:val="0"/>
                <w:color w:val="000000" w:themeColor="text1"/>
                <w:sz w:val="18"/>
                <w:szCs w:val="18"/>
                <w:u w:val="none"/>
                <w14:textFill>
                  <w14:solidFill>
                    <w14:schemeClr w14:val="tx1"/>
                  </w14:solidFill>
                </w14:textFill>
              </w:rPr>
            </w:pPr>
          </w:p>
        </w:tc>
        <w:tc>
          <w:tcPr>
            <w:tcW w:w="1040" w:type="dxa"/>
            <w:vMerge w:val="continue"/>
            <w:tcBorders>
              <w:top w:val="single" w:color="000000" w:sz="4" w:space="0"/>
              <w:left w:val="single" w:color="000000" w:sz="4" w:space="0"/>
              <w:bottom w:val="nil"/>
              <w:right w:val="single" w:color="000000" w:sz="4" w:space="0"/>
            </w:tcBorders>
            <w:shd w:val="clear" w:color="auto" w:fill="FFFFFF"/>
            <w:noWrap w:val="0"/>
            <w:tcMar>
              <w:top w:w="15" w:type="dxa"/>
              <w:left w:w="15" w:type="dxa"/>
              <w:right w:w="15" w:type="dxa"/>
            </w:tcMar>
            <w:vAlign w:val="center"/>
          </w:tcPr>
          <w:p>
            <w:pPr>
              <w:rPr>
                <w:rFonts w:hint="eastAsia" w:ascii="宋体" w:hAnsi="宋体" w:eastAsia="宋体" w:cs="宋体"/>
                <w:i w:val="0"/>
                <w:color w:val="000000" w:themeColor="text1"/>
                <w:sz w:val="18"/>
                <w:szCs w:val="18"/>
                <w:u w:val="none"/>
                <w14:textFill>
                  <w14:solidFill>
                    <w14:schemeClr w14:val="tx1"/>
                  </w14:solidFill>
                </w14:textFill>
              </w:rPr>
            </w:pPr>
          </w:p>
        </w:tc>
        <w:tc>
          <w:tcPr>
            <w:tcW w:w="1240"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themeColor="text1"/>
                <w:sz w:val="18"/>
                <w:szCs w:val="18"/>
                <w:u w:val="none"/>
                <w14:textFill>
                  <w14:solidFill>
                    <w14:schemeClr w14:val="tx1"/>
                  </w14:solidFill>
                </w14:textFill>
              </w:rPr>
            </w:pPr>
            <w:r>
              <w:rPr>
                <w:rStyle w:val="27"/>
                <w:color w:val="000000" w:themeColor="text1"/>
                <w:lang w:val="en-US" w:eastAsia="zh-CN" w:bidi="ar"/>
                <w14:textFill>
                  <w14:solidFill>
                    <w14:schemeClr w14:val="tx1"/>
                  </w14:solidFill>
                </w14:textFill>
              </w:rPr>
              <w:t>人行道</w:t>
            </w:r>
          </w:p>
        </w:tc>
        <w:tc>
          <w:tcPr>
            <w:tcW w:w="390"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 xml:space="preserve">3 </w:t>
            </w:r>
          </w:p>
        </w:tc>
        <w:tc>
          <w:tcPr>
            <w:tcW w:w="943"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18"/>
                <w:szCs w:val="18"/>
                <w:u w:val="none"/>
                <w14:textFill>
                  <w14:solidFill>
                    <w14:schemeClr w14:val="tx1"/>
                  </w14:solidFill>
                </w14:textFill>
              </w:rPr>
            </w:pPr>
            <w:r>
              <w:rPr>
                <w:rStyle w:val="27"/>
                <w:color w:val="000000" w:themeColor="text1"/>
                <w:lang w:val="en-US" w:eastAsia="zh-CN" w:bidi="ar"/>
                <w14:textFill>
                  <w14:solidFill>
                    <w14:schemeClr w14:val="tx1"/>
                  </w14:solidFill>
                </w14:textFill>
              </w:rPr>
              <w:t>=3公里</w:t>
            </w:r>
          </w:p>
        </w:tc>
        <w:tc>
          <w:tcPr>
            <w:tcW w:w="1030" w:type="dxa"/>
            <w:tcBorders>
              <w:top w:val="single" w:color="000000" w:sz="4" w:space="0"/>
              <w:left w:val="single" w:color="000000" w:sz="4" w:space="0"/>
              <w:bottom w:val="nil"/>
              <w:right w:val="nil"/>
            </w:tcBorders>
            <w:shd w:val="clear" w:color="auto" w:fill="FFFFFF"/>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18"/>
                <w:szCs w:val="18"/>
                <w:u w:val="none"/>
                <w14:textFill>
                  <w14:solidFill>
                    <w14:schemeClr w14:val="tx1"/>
                  </w14:solidFill>
                </w14:textFill>
              </w:rPr>
            </w:pPr>
            <w:r>
              <w:rPr>
                <w:rStyle w:val="27"/>
                <w:color w:val="000000" w:themeColor="text1"/>
                <w:lang w:val="en-US" w:eastAsia="zh-CN" w:bidi="ar"/>
                <w14:textFill>
                  <w14:solidFill>
                    <w14:schemeClr w14:val="tx1"/>
                  </w14:solidFill>
                </w14:textFill>
              </w:rPr>
              <w:t>3公里</w:t>
            </w:r>
          </w:p>
        </w:tc>
        <w:tc>
          <w:tcPr>
            <w:tcW w:w="88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 xml:space="preserve">3 </w:t>
            </w:r>
          </w:p>
        </w:tc>
        <w:tc>
          <w:tcPr>
            <w:tcW w:w="130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pPr>
              <w:jc w:val="left"/>
              <w:rPr>
                <w:rFonts w:hint="eastAsia" w:ascii="宋体" w:hAnsi="宋体" w:eastAsia="宋体" w:cs="宋体"/>
                <w:i w:val="0"/>
                <w:color w:val="000000" w:themeColor="text1"/>
                <w:sz w:val="18"/>
                <w:szCs w:val="18"/>
                <w:u w:val="none"/>
                <w14:textFill>
                  <w14:solidFill>
                    <w14:schemeClr w14:val="tx1"/>
                  </w14:solidFill>
                </w14:textFill>
              </w:rPr>
            </w:pPr>
          </w:p>
        </w:tc>
      </w:tr>
      <w:tr>
        <w:tblPrEx>
          <w:tblCellMar>
            <w:top w:w="0" w:type="dxa"/>
            <w:left w:w="0" w:type="dxa"/>
            <w:bottom w:w="0" w:type="dxa"/>
            <w:right w:w="0" w:type="dxa"/>
          </w:tblCellMar>
        </w:tblPrEx>
        <w:trPr>
          <w:trHeight w:val="440" w:hRule="atLeast"/>
        </w:trPr>
        <w:tc>
          <w:tcPr>
            <w:tcW w:w="860" w:type="dxa"/>
            <w:vMerge w:val="continue"/>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pPr>
              <w:jc w:val="center"/>
              <w:rPr>
                <w:rFonts w:hint="eastAsia" w:ascii="宋体" w:hAnsi="宋体" w:eastAsia="宋体" w:cs="宋体"/>
                <w:i w:val="0"/>
                <w:color w:val="000000" w:themeColor="text1"/>
                <w:sz w:val="18"/>
                <w:szCs w:val="18"/>
                <w:u w:val="none"/>
                <w14:textFill>
                  <w14:solidFill>
                    <w14:schemeClr w14:val="tx1"/>
                  </w14:solidFill>
                </w14:textFill>
              </w:rPr>
            </w:pPr>
          </w:p>
        </w:tc>
        <w:tc>
          <w:tcPr>
            <w:tcW w:w="984"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jc w:val="center"/>
              <w:rPr>
                <w:rFonts w:hint="eastAsia" w:ascii="宋体" w:hAnsi="宋体" w:eastAsia="宋体" w:cs="宋体"/>
                <w:b w:val="0"/>
                <w:bCs w:val="0"/>
                <w:i w:val="0"/>
                <w:color w:val="000000" w:themeColor="text1"/>
                <w:sz w:val="18"/>
                <w:szCs w:val="18"/>
                <w:u w:val="none"/>
                <w14:textFill>
                  <w14:solidFill>
                    <w14:schemeClr w14:val="tx1"/>
                  </w14:solidFill>
                </w14:textFill>
              </w:rPr>
            </w:pPr>
          </w:p>
        </w:tc>
        <w:tc>
          <w:tcPr>
            <w:tcW w:w="1040" w:type="dxa"/>
            <w:vMerge w:val="continue"/>
            <w:tcBorders>
              <w:top w:val="single" w:color="000000" w:sz="4" w:space="0"/>
              <w:left w:val="single" w:color="000000" w:sz="4" w:space="0"/>
              <w:bottom w:val="nil"/>
              <w:right w:val="single" w:color="000000" w:sz="4" w:space="0"/>
            </w:tcBorders>
            <w:shd w:val="clear" w:color="auto" w:fill="FFFFFF"/>
            <w:noWrap w:val="0"/>
            <w:tcMar>
              <w:top w:w="15" w:type="dxa"/>
              <w:left w:w="15" w:type="dxa"/>
              <w:right w:w="15" w:type="dxa"/>
            </w:tcMar>
            <w:vAlign w:val="center"/>
          </w:tcPr>
          <w:p>
            <w:pPr>
              <w:rPr>
                <w:rFonts w:hint="eastAsia" w:ascii="宋体" w:hAnsi="宋体" w:eastAsia="宋体" w:cs="宋体"/>
                <w:i w:val="0"/>
                <w:color w:val="000000" w:themeColor="text1"/>
                <w:sz w:val="18"/>
                <w:szCs w:val="18"/>
                <w:u w:val="none"/>
                <w14:textFill>
                  <w14:solidFill>
                    <w14:schemeClr w14:val="tx1"/>
                  </w14:solidFill>
                </w14:textFill>
              </w:rPr>
            </w:pPr>
          </w:p>
        </w:tc>
        <w:tc>
          <w:tcPr>
            <w:tcW w:w="1240"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themeColor="text1"/>
                <w:sz w:val="18"/>
                <w:szCs w:val="18"/>
                <w:u w:val="none"/>
                <w14:textFill>
                  <w14:solidFill>
                    <w14:schemeClr w14:val="tx1"/>
                  </w14:solidFill>
                </w14:textFill>
              </w:rPr>
            </w:pPr>
            <w:r>
              <w:rPr>
                <w:rStyle w:val="27"/>
                <w:color w:val="000000" w:themeColor="text1"/>
                <w:lang w:val="en-US" w:eastAsia="zh-CN" w:bidi="ar"/>
                <w14:textFill>
                  <w14:solidFill>
                    <w14:schemeClr w14:val="tx1"/>
                  </w14:solidFill>
                </w14:textFill>
              </w:rPr>
              <w:t>生态护栏</w:t>
            </w:r>
          </w:p>
        </w:tc>
        <w:tc>
          <w:tcPr>
            <w:tcW w:w="390"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 xml:space="preserve">3 </w:t>
            </w:r>
          </w:p>
        </w:tc>
        <w:tc>
          <w:tcPr>
            <w:tcW w:w="943"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18"/>
                <w:szCs w:val="18"/>
                <w:u w:val="none"/>
                <w14:textFill>
                  <w14:solidFill>
                    <w14:schemeClr w14:val="tx1"/>
                  </w14:solidFill>
                </w14:textFill>
              </w:rPr>
            </w:pPr>
            <w:r>
              <w:rPr>
                <w:rStyle w:val="27"/>
                <w:color w:val="000000" w:themeColor="text1"/>
                <w:lang w:val="en-US" w:eastAsia="zh-CN" w:bidi="ar"/>
                <w14:textFill>
                  <w14:solidFill>
                    <w14:schemeClr w14:val="tx1"/>
                  </w14:solidFill>
                </w14:textFill>
              </w:rPr>
              <w:t>=20公里</w:t>
            </w:r>
          </w:p>
        </w:tc>
        <w:tc>
          <w:tcPr>
            <w:tcW w:w="1030" w:type="dxa"/>
            <w:tcBorders>
              <w:top w:val="single" w:color="000000" w:sz="4" w:space="0"/>
              <w:left w:val="single" w:color="000000" w:sz="4" w:space="0"/>
              <w:bottom w:val="single" w:color="000000" w:sz="4" w:space="0"/>
              <w:right w:val="nil"/>
            </w:tcBorders>
            <w:shd w:val="clear" w:color="auto" w:fill="FFFFFF"/>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18"/>
                <w:szCs w:val="18"/>
                <w:u w:val="none"/>
                <w14:textFill>
                  <w14:solidFill>
                    <w14:schemeClr w14:val="tx1"/>
                  </w14:solidFill>
                </w14:textFill>
              </w:rPr>
            </w:pPr>
            <w:r>
              <w:rPr>
                <w:rStyle w:val="27"/>
                <w:color w:val="000000" w:themeColor="text1"/>
                <w:lang w:val="en-US" w:eastAsia="zh-CN" w:bidi="ar"/>
                <w14:textFill>
                  <w14:solidFill>
                    <w14:schemeClr w14:val="tx1"/>
                  </w14:solidFill>
                </w14:textFill>
              </w:rPr>
              <w:t>20公里</w:t>
            </w:r>
          </w:p>
        </w:tc>
        <w:tc>
          <w:tcPr>
            <w:tcW w:w="88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 xml:space="preserve">3 </w:t>
            </w:r>
          </w:p>
        </w:tc>
        <w:tc>
          <w:tcPr>
            <w:tcW w:w="130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pPr>
              <w:jc w:val="left"/>
              <w:rPr>
                <w:rFonts w:hint="eastAsia" w:ascii="宋体" w:hAnsi="宋体" w:eastAsia="宋体" w:cs="宋体"/>
                <w:i w:val="0"/>
                <w:color w:val="000000" w:themeColor="text1"/>
                <w:sz w:val="18"/>
                <w:szCs w:val="18"/>
                <w:u w:val="none"/>
                <w14:textFill>
                  <w14:solidFill>
                    <w14:schemeClr w14:val="tx1"/>
                  </w14:solidFill>
                </w14:textFill>
              </w:rPr>
            </w:pPr>
          </w:p>
        </w:tc>
      </w:tr>
      <w:tr>
        <w:tblPrEx>
          <w:tblCellMar>
            <w:top w:w="0" w:type="dxa"/>
            <w:left w:w="0" w:type="dxa"/>
            <w:bottom w:w="0" w:type="dxa"/>
            <w:right w:w="0" w:type="dxa"/>
          </w:tblCellMar>
        </w:tblPrEx>
        <w:trPr>
          <w:trHeight w:val="92" w:hRule="atLeast"/>
        </w:trPr>
        <w:tc>
          <w:tcPr>
            <w:tcW w:w="860" w:type="dxa"/>
            <w:vMerge w:val="continue"/>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pPr>
              <w:jc w:val="center"/>
              <w:rPr>
                <w:rFonts w:hint="eastAsia" w:ascii="宋体" w:hAnsi="宋体" w:eastAsia="宋体" w:cs="宋体"/>
                <w:i w:val="0"/>
                <w:color w:val="000000" w:themeColor="text1"/>
                <w:sz w:val="18"/>
                <w:szCs w:val="18"/>
                <w:u w:val="none"/>
                <w14:textFill>
                  <w14:solidFill>
                    <w14:schemeClr w14:val="tx1"/>
                  </w14:solidFill>
                </w14:textFill>
              </w:rPr>
            </w:pPr>
          </w:p>
        </w:tc>
        <w:tc>
          <w:tcPr>
            <w:tcW w:w="984"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jc w:val="center"/>
              <w:rPr>
                <w:rFonts w:hint="eastAsia" w:ascii="宋体" w:hAnsi="宋体" w:eastAsia="宋体" w:cs="宋体"/>
                <w:b w:val="0"/>
                <w:bCs w:val="0"/>
                <w:i w:val="0"/>
                <w:color w:val="000000" w:themeColor="text1"/>
                <w:sz w:val="18"/>
                <w:szCs w:val="18"/>
                <w:u w:val="none"/>
                <w14:textFill>
                  <w14:solidFill>
                    <w14:schemeClr w14:val="tx1"/>
                  </w14:solidFill>
                </w14:textFill>
              </w:rPr>
            </w:pPr>
          </w:p>
        </w:tc>
        <w:tc>
          <w:tcPr>
            <w:tcW w:w="1040"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rPr>
                <w:rFonts w:hint="eastAsia" w:ascii="宋体" w:hAnsi="宋体" w:eastAsia="宋体" w:cs="宋体"/>
                <w:i w:val="0"/>
                <w:color w:val="000000" w:themeColor="text1"/>
                <w:sz w:val="18"/>
                <w:szCs w:val="18"/>
                <w:u w:val="none"/>
                <w14:textFill>
                  <w14:solidFill>
                    <w14:schemeClr w14:val="tx1"/>
                  </w14:solidFill>
                </w14:textFill>
              </w:rPr>
            </w:pPr>
          </w:p>
        </w:tc>
        <w:tc>
          <w:tcPr>
            <w:tcW w:w="1240"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themeColor="text1"/>
                <w:sz w:val="18"/>
                <w:szCs w:val="18"/>
                <w:u w:val="none"/>
                <w14:textFill>
                  <w14:solidFill>
                    <w14:schemeClr w14:val="tx1"/>
                  </w14:solidFill>
                </w14:textFill>
              </w:rPr>
            </w:pPr>
            <w:r>
              <w:rPr>
                <w:rStyle w:val="27"/>
                <w:color w:val="000000" w:themeColor="text1"/>
                <w:lang w:val="en-US" w:eastAsia="zh-CN" w:bidi="ar"/>
                <w14:textFill>
                  <w14:solidFill>
                    <w14:schemeClr w14:val="tx1"/>
                  </w14:solidFill>
                </w14:textFill>
              </w:rPr>
              <w:t>人居环境整治</w:t>
            </w:r>
          </w:p>
        </w:tc>
        <w:tc>
          <w:tcPr>
            <w:tcW w:w="390"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 xml:space="preserve">3 </w:t>
            </w:r>
          </w:p>
        </w:tc>
        <w:tc>
          <w:tcPr>
            <w:tcW w:w="943"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18"/>
                <w:szCs w:val="18"/>
                <w:u w:val="none"/>
                <w14:textFill>
                  <w14:solidFill>
                    <w14:schemeClr w14:val="tx1"/>
                  </w14:solidFill>
                </w14:textFill>
              </w:rPr>
            </w:pPr>
            <w:r>
              <w:rPr>
                <w:rStyle w:val="27"/>
                <w:color w:val="000000" w:themeColor="text1"/>
                <w:lang w:val="en-US" w:eastAsia="zh-CN" w:bidi="ar"/>
                <w14:textFill>
                  <w14:solidFill>
                    <w14:schemeClr w14:val="tx1"/>
                  </w14:solidFill>
                </w14:textFill>
              </w:rPr>
              <w:t>=16500平方米</w:t>
            </w:r>
          </w:p>
        </w:tc>
        <w:tc>
          <w:tcPr>
            <w:tcW w:w="1030" w:type="dxa"/>
            <w:tcBorders>
              <w:top w:val="single" w:color="000000" w:sz="4" w:space="0"/>
              <w:left w:val="single" w:color="000000" w:sz="4" w:space="0"/>
              <w:bottom w:val="single" w:color="000000" w:sz="4" w:space="0"/>
              <w:right w:val="nil"/>
            </w:tcBorders>
            <w:shd w:val="clear" w:color="auto" w:fill="FFFFFF"/>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18"/>
                <w:szCs w:val="18"/>
                <w:u w:val="none"/>
                <w14:textFill>
                  <w14:solidFill>
                    <w14:schemeClr w14:val="tx1"/>
                  </w14:solidFill>
                </w14:textFill>
              </w:rPr>
            </w:pPr>
            <w:r>
              <w:rPr>
                <w:rStyle w:val="27"/>
                <w:color w:val="000000" w:themeColor="text1"/>
                <w:lang w:val="en-US" w:eastAsia="zh-CN" w:bidi="ar"/>
                <w14:textFill>
                  <w14:solidFill>
                    <w14:schemeClr w14:val="tx1"/>
                  </w14:solidFill>
                </w14:textFill>
              </w:rPr>
              <w:t>16500平方米</w:t>
            </w:r>
          </w:p>
        </w:tc>
        <w:tc>
          <w:tcPr>
            <w:tcW w:w="88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 xml:space="preserve">3 </w:t>
            </w:r>
          </w:p>
        </w:tc>
        <w:tc>
          <w:tcPr>
            <w:tcW w:w="130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pPr>
              <w:jc w:val="left"/>
              <w:rPr>
                <w:rFonts w:hint="eastAsia" w:ascii="宋体" w:hAnsi="宋体" w:eastAsia="宋体" w:cs="宋体"/>
                <w:i w:val="0"/>
                <w:color w:val="000000" w:themeColor="text1"/>
                <w:sz w:val="18"/>
                <w:szCs w:val="18"/>
                <w:u w:val="none"/>
                <w14:textFill>
                  <w14:solidFill>
                    <w14:schemeClr w14:val="tx1"/>
                  </w14:solidFill>
                </w14:textFill>
              </w:rPr>
            </w:pPr>
          </w:p>
        </w:tc>
      </w:tr>
      <w:tr>
        <w:tblPrEx>
          <w:tblCellMar>
            <w:top w:w="0" w:type="dxa"/>
            <w:left w:w="0" w:type="dxa"/>
            <w:bottom w:w="0" w:type="dxa"/>
            <w:right w:w="0" w:type="dxa"/>
          </w:tblCellMar>
        </w:tblPrEx>
        <w:trPr>
          <w:trHeight w:val="500" w:hRule="atLeast"/>
        </w:trPr>
        <w:tc>
          <w:tcPr>
            <w:tcW w:w="860" w:type="dxa"/>
            <w:vMerge w:val="continue"/>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pPr>
              <w:jc w:val="center"/>
              <w:rPr>
                <w:rFonts w:hint="eastAsia" w:ascii="宋体" w:hAnsi="宋体" w:eastAsia="宋体" w:cs="宋体"/>
                <w:i w:val="0"/>
                <w:color w:val="000000" w:themeColor="text1"/>
                <w:sz w:val="18"/>
                <w:szCs w:val="18"/>
                <w:u w:val="none"/>
                <w14:textFill>
                  <w14:solidFill>
                    <w14:schemeClr w14:val="tx1"/>
                  </w14:solidFill>
                </w14:textFill>
              </w:rPr>
            </w:pPr>
          </w:p>
        </w:tc>
        <w:tc>
          <w:tcPr>
            <w:tcW w:w="984"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jc w:val="center"/>
              <w:rPr>
                <w:rFonts w:hint="eastAsia" w:ascii="宋体" w:hAnsi="宋体" w:eastAsia="宋体" w:cs="宋体"/>
                <w:b w:val="0"/>
                <w:bCs w:val="0"/>
                <w:i w:val="0"/>
                <w:color w:val="000000" w:themeColor="text1"/>
                <w:sz w:val="18"/>
                <w:szCs w:val="18"/>
                <w:u w:val="none"/>
                <w14:textFill>
                  <w14:solidFill>
                    <w14:schemeClr w14:val="tx1"/>
                  </w14:solidFill>
                </w14:textFill>
              </w:rPr>
            </w:pPr>
          </w:p>
        </w:tc>
        <w:tc>
          <w:tcPr>
            <w:tcW w:w="1040"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rPr>
                <w:rFonts w:hint="eastAsia" w:ascii="宋体" w:hAnsi="宋体" w:eastAsia="宋体" w:cs="宋体"/>
                <w:i w:val="0"/>
                <w:color w:val="000000" w:themeColor="text1"/>
                <w:sz w:val="18"/>
                <w:szCs w:val="18"/>
                <w:u w:val="none"/>
                <w14:textFill>
                  <w14:solidFill>
                    <w14:schemeClr w14:val="tx1"/>
                  </w14:solidFill>
                </w14:textFill>
              </w:rPr>
            </w:pPr>
          </w:p>
        </w:tc>
        <w:tc>
          <w:tcPr>
            <w:tcW w:w="1240"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themeColor="text1"/>
                <w:sz w:val="18"/>
                <w:szCs w:val="18"/>
                <w:u w:val="none"/>
                <w14:textFill>
                  <w14:solidFill>
                    <w14:schemeClr w14:val="tx1"/>
                  </w14:solidFill>
                </w14:textFill>
              </w:rPr>
            </w:pPr>
            <w:r>
              <w:rPr>
                <w:rStyle w:val="27"/>
                <w:color w:val="000000" w:themeColor="text1"/>
                <w:lang w:val="en-US" w:eastAsia="zh-CN" w:bidi="ar"/>
                <w14:textFill>
                  <w14:solidFill>
                    <w14:schemeClr w14:val="tx1"/>
                  </w14:solidFill>
                </w14:textFill>
              </w:rPr>
              <w:t>供水管网</w:t>
            </w:r>
          </w:p>
        </w:tc>
        <w:tc>
          <w:tcPr>
            <w:tcW w:w="390"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 xml:space="preserve">5 </w:t>
            </w:r>
          </w:p>
        </w:tc>
        <w:tc>
          <w:tcPr>
            <w:tcW w:w="943"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18"/>
                <w:szCs w:val="18"/>
                <w:u w:val="none"/>
                <w14:textFill>
                  <w14:solidFill>
                    <w14:schemeClr w14:val="tx1"/>
                  </w14:solidFill>
                </w14:textFill>
              </w:rPr>
            </w:pPr>
            <w:r>
              <w:rPr>
                <w:rStyle w:val="27"/>
                <w:color w:val="000000" w:themeColor="text1"/>
                <w:lang w:val="en-US" w:eastAsia="zh-CN" w:bidi="ar"/>
                <w14:textFill>
                  <w14:solidFill>
                    <w14:schemeClr w14:val="tx1"/>
                  </w14:solidFill>
                </w14:textFill>
              </w:rPr>
              <w:t>=7公里</w:t>
            </w:r>
          </w:p>
        </w:tc>
        <w:tc>
          <w:tcPr>
            <w:tcW w:w="1030" w:type="dxa"/>
            <w:tcBorders>
              <w:top w:val="single" w:color="000000" w:sz="4" w:space="0"/>
              <w:left w:val="single" w:color="000000" w:sz="4" w:space="0"/>
              <w:bottom w:val="single" w:color="000000" w:sz="4" w:space="0"/>
              <w:right w:val="nil"/>
            </w:tcBorders>
            <w:shd w:val="clear" w:color="auto" w:fill="FFFFFF"/>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18"/>
                <w:szCs w:val="18"/>
                <w:u w:val="none"/>
                <w14:textFill>
                  <w14:solidFill>
                    <w14:schemeClr w14:val="tx1"/>
                  </w14:solidFill>
                </w14:textFill>
              </w:rPr>
            </w:pPr>
            <w:r>
              <w:rPr>
                <w:rStyle w:val="27"/>
                <w:color w:val="000000" w:themeColor="text1"/>
                <w:lang w:val="en-US" w:eastAsia="zh-CN" w:bidi="ar"/>
                <w14:textFill>
                  <w14:solidFill>
                    <w14:schemeClr w14:val="tx1"/>
                  </w14:solidFill>
                </w14:textFill>
              </w:rPr>
              <w:t>7公里</w:t>
            </w:r>
          </w:p>
        </w:tc>
        <w:tc>
          <w:tcPr>
            <w:tcW w:w="88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 xml:space="preserve">5 </w:t>
            </w:r>
          </w:p>
        </w:tc>
        <w:tc>
          <w:tcPr>
            <w:tcW w:w="130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pPr>
              <w:jc w:val="left"/>
              <w:rPr>
                <w:rFonts w:hint="eastAsia" w:ascii="宋体" w:hAnsi="宋体" w:eastAsia="宋体" w:cs="宋体"/>
                <w:i w:val="0"/>
                <w:color w:val="000000" w:themeColor="text1"/>
                <w:sz w:val="18"/>
                <w:szCs w:val="18"/>
                <w:u w:val="none"/>
                <w14:textFill>
                  <w14:solidFill>
                    <w14:schemeClr w14:val="tx1"/>
                  </w14:solidFill>
                </w14:textFill>
              </w:rPr>
            </w:pPr>
          </w:p>
        </w:tc>
      </w:tr>
      <w:tr>
        <w:tblPrEx>
          <w:tblCellMar>
            <w:top w:w="0" w:type="dxa"/>
            <w:left w:w="0" w:type="dxa"/>
            <w:bottom w:w="0" w:type="dxa"/>
            <w:right w:w="0" w:type="dxa"/>
          </w:tblCellMar>
        </w:tblPrEx>
        <w:trPr>
          <w:trHeight w:val="374" w:hRule="atLeast"/>
        </w:trPr>
        <w:tc>
          <w:tcPr>
            <w:tcW w:w="860" w:type="dxa"/>
            <w:vMerge w:val="continue"/>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pPr>
              <w:jc w:val="center"/>
              <w:rPr>
                <w:rFonts w:hint="eastAsia" w:ascii="宋体" w:hAnsi="宋体" w:eastAsia="宋体" w:cs="宋体"/>
                <w:i w:val="0"/>
                <w:color w:val="000000" w:themeColor="text1"/>
                <w:sz w:val="18"/>
                <w:szCs w:val="18"/>
                <w:u w:val="none"/>
                <w14:textFill>
                  <w14:solidFill>
                    <w14:schemeClr w14:val="tx1"/>
                  </w14:solidFill>
                </w14:textFill>
              </w:rPr>
            </w:pPr>
          </w:p>
        </w:tc>
        <w:tc>
          <w:tcPr>
            <w:tcW w:w="984"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jc w:val="center"/>
              <w:rPr>
                <w:rFonts w:hint="eastAsia" w:ascii="宋体" w:hAnsi="宋体" w:eastAsia="宋体" w:cs="宋体"/>
                <w:b w:val="0"/>
                <w:bCs w:val="0"/>
                <w:i w:val="0"/>
                <w:color w:val="000000" w:themeColor="text1"/>
                <w:sz w:val="18"/>
                <w:szCs w:val="18"/>
                <w:u w:val="none"/>
                <w14:textFill>
                  <w14:solidFill>
                    <w14:schemeClr w14:val="tx1"/>
                  </w14:solidFill>
                </w14:textFill>
              </w:rPr>
            </w:pPr>
          </w:p>
        </w:tc>
        <w:tc>
          <w:tcPr>
            <w:tcW w:w="1040"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18"/>
                <w:szCs w:val="18"/>
                <w:u w:val="none"/>
                <w14:textFill>
                  <w14:solidFill>
                    <w14:schemeClr w14:val="tx1"/>
                  </w14:solidFill>
                </w14:textFill>
              </w:rPr>
            </w:pPr>
            <w:r>
              <w:rPr>
                <w:rStyle w:val="27"/>
                <w:color w:val="000000" w:themeColor="text1"/>
                <w:lang w:val="en-US" w:eastAsia="zh-CN" w:bidi="ar"/>
                <w14:textFill>
                  <w14:solidFill>
                    <w14:schemeClr w14:val="tx1"/>
                  </w14:solidFill>
                </w14:textFill>
              </w:rPr>
              <w:t>质量指标</w:t>
            </w:r>
          </w:p>
        </w:tc>
        <w:tc>
          <w:tcPr>
            <w:tcW w:w="1240"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themeColor="text1"/>
                <w:sz w:val="18"/>
                <w:szCs w:val="18"/>
                <w:u w:val="none"/>
                <w14:textFill>
                  <w14:solidFill>
                    <w14:schemeClr w14:val="tx1"/>
                  </w14:solidFill>
                </w14:textFill>
              </w:rPr>
            </w:pPr>
            <w:r>
              <w:rPr>
                <w:rStyle w:val="27"/>
                <w:color w:val="000000" w:themeColor="text1"/>
                <w:lang w:val="en-US" w:eastAsia="zh-CN" w:bidi="ar"/>
                <w14:textFill>
                  <w14:solidFill>
                    <w14:schemeClr w14:val="tx1"/>
                  </w14:solidFill>
                </w14:textFill>
              </w:rPr>
              <w:t>项目验收合格串</w:t>
            </w:r>
          </w:p>
        </w:tc>
        <w:tc>
          <w:tcPr>
            <w:tcW w:w="390"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 xml:space="preserve">10 </w:t>
            </w:r>
          </w:p>
        </w:tc>
        <w:tc>
          <w:tcPr>
            <w:tcW w:w="943"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=100%</w:t>
            </w:r>
          </w:p>
        </w:tc>
        <w:tc>
          <w:tcPr>
            <w:tcW w:w="1030" w:type="dxa"/>
            <w:tcBorders>
              <w:top w:val="single" w:color="000000" w:sz="4" w:space="0"/>
              <w:left w:val="single" w:color="000000" w:sz="4" w:space="0"/>
              <w:bottom w:val="single" w:color="000000" w:sz="4" w:space="0"/>
              <w:right w:val="nil"/>
            </w:tcBorders>
            <w:shd w:val="clear" w:color="auto" w:fill="FFFFFF"/>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=100%</w:t>
            </w:r>
          </w:p>
        </w:tc>
        <w:tc>
          <w:tcPr>
            <w:tcW w:w="88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 xml:space="preserve">10 </w:t>
            </w:r>
          </w:p>
        </w:tc>
        <w:tc>
          <w:tcPr>
            <w:tcW w:w="130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pPr>
              <w:jc w:val="left"/>
              <w:rPr>
                <w:rFonts w:hint="eastAsia" w:ascii="宋体" w:hAnsi="宋体" w:eastAsia="宋体" w:cs="宋体"/>
                <w:i w:val="0"/>
                <w:color w:val="000000" w:themeColor="text1"/>
                <w:sz w:val="18"/>
                <w:szCs w:val="18"/>
                <w:u w:val="none"/>
                <w14:textFill>
                  <w14:solidFill>
                    <w14:schemeClr w14:val="tx1"/>
                  </w14:solidFill>
                </w14:textFill>
              </w:rPr>
            </w:pPr>
          </w:p>
        </w:tc>
      </w:tr>
      <w:tr>
        <w:tblPrEx>
          <w:tblCellMar>
            <w:top w:w="0" w:type="dxa"/>
            <w:left w:w="0" w:type="dxa"/>
            <w:bottom w:w="0" w:type="dxa"/>
            <w:right w:w="0" w:type="dxa"/>
          </w:tblCellMar>
        </w:tblPrEx>
        <w:trPr>
          <w:trHeight w:val="905" w:hRule="atLeast"/>
        </w:trPr>
        <w:tc>
          <w:tcPr>
            <w:tcW w:w="860" w:type="dxa"/>
            <w:vMerge w:val="continue"/>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pPr>
              <w:jc w:val="center"/>
              <w:rPr>
                <w:rFonts w:hint="eastAsia" w:ascii="宋体" w:hAnsi="宋体" w:eastAsia="宋体" w:cs="宋体"/>
                <w:i w:val="0"/>
                <w:color w:val="000000" w:themeColor="text1"/>
                <w:sz w:val="18"/>
                <w:szCs w:val="18"/>
                <w:u w:val="none"/>
                <w14:textFill>
                  <w14:solidFill>
                    <w14:schemeClr w14:val="tx1"/>
                  </w14:solidFill>
                </w14:textFill>
              </w:rPr>
            </w:pPr>
          </w:p>
        </w:tc>
        <w:tc>
          <w:tcPr>
            <w:tcW w:w="984"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jc w:val="center"/>
              <w:rPr>
                <w:rFonts w:hint="eastAsia" w:ascii="宋体" w:hAnsi="宋体" w:eastAsia="宋体" w:cs="宋体"/>
                <w:b w:val="0"/>
                <w:bCs w:val="0"/>
                <w:i w:val="0"/>
                <w:color w:val="000000" w:themeColor="text1"/>
                <w:sz w:val="18"/>
                <w:szCs w:val="18"/>
                <w:u w:val="none"/>
                <w14:textFill>
                  <w14:solidFill>
                    <w14:schemeClr w14:val="tx1"/>
                  </w14:solidFill>
                </w14:textFill>
              </w:rPr>
            </w:pPr>
          </w:p>
        </w:tc>
        <w:tc>
          <w:tcPr>
            <w:tcW w:w="1040"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18"/>
                <w:szCs w:val="18"/>
                <w:u w:val="none"/>
                <w14:textFill>
                  <w14:solidFill>
                    <w14:schemeClr w14:val="tx1"/>
                  </w14:solidFill>
                </w14:textFill>
              </w:rPr>
            </w:pPr>
            <w:r>
              <w:rPr>
                <w:rStyle w:val="27"/>
                <w:color w:val="000000" w:themeColor="text1"/>
                <w:lang w:val="en-US" w:eastAsia="zh-CN" w:bidi="ar"/>
                <w14:textFill>
                  <w14:solidFill>
                    <w14:schemeClr w14:val="tx1"/>
                  </w14:solidFill>
                </w14:textFill>
              </w:rPr>
              <w:t>时效指标</w:t>
            </w:r>
          </w:p>
        </w:tc>
        <w:tc>
          <w:tcPr>
            <w:tcW w:w="1240"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themeColor="text1"/>
                <w:sz w:val="18"/>
                <w:szCs w:val="18"/>
                <w:u w:val="none"/>
                <w14:textFill>
                  <w14:solidFill>
                    <w14:schemeClr w14:val="tx1"/>
                  </w14:solidFill>
                </w14:textFill>
              </w:rPr>
            </w:pPr>
            <w:r>
              <w:rPr>
                <w:rStyle w:val="27"/>
                <w:color w:val="000000" w:themeColor="text1"/>
                <w:lang w:val="en-US" w:eastAsia="zh-CN" w:bidi="ar"/>
                <w14:textFill>
                  <w14:solidFill>
                    <w14:schemeClr w14:val="tx1"/>
                  </w14:solidFill>
                </w14:textFill>
              </w:rPr>
              <w:t>项目建设期限2025年3</w:t>
            </w:r>
            <w:r>
              <w:rPr>
                <w:rStyle w:val="27"/>
                <w:color w:val="000000" w:themeColor="text1"/>
                <w:lang w:val="en-US" w:eastAsia="zh-CN" w:bidi="ar"/>
                <w14:textFill>
                  <w14:solidFill>
                    <w14:schemeClr w14:val="tx1"/>
                  </w14:solidFill>
                </w14:textFill>
              </w:rPr>
              <w:br w:type="textWrapping"/>
            </w:r>
            <w:r>
              <w:rPr>
                <w:rStyle w:val="27"/>
                <w:color w:val="000000" w:themeColor="text1"/>
                <w:lang w:val="en-US" w:eastAsia="zh-CN" w:bidi="ar"/>
                <w14:textFill>
                  <w14:solidFill>
                    <w14:schemeClr w14:val="tx1"/>
                  </w14:solidFill>
                </w14:textFill>
              </w:rPr>
              <w:t>月-2025年10月</w:t>
            </w:r>
          </w:p>
        </w:tc>
        <w:tc>
          <w:tcPr>
            <w:tcW w:w="390"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 xml:space="preserve">10 </w:t>
            </w:r>
          </w:p>
        </w:tc>
        <w:tc>
          <w:tcPr>
            <w:tcW w:w="943"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18"/>
                <w:szCs w:val="18"/>
                <w:u w:val="none"/>
                <w14:textFill>
                  <w14:solidFill>
                    <w14:schemeClr w14:val="tx1"/>
                  </w14:solidFill>
                </w14:textFill>
              </w:rPr>
            </w:pPr>
            <w:r>
              <w:rPr>
                <w:rStyle w:val="27"/>
                <w:rFonts w:hint="eastAsia"/>
                <w:color w:val="000000" w:themeColor="text1"/>
                <w:lang w:val="en-US" w:eastAsia="zh-CN" w:bidi="ar"/>
                <w14:textFill>
                  <w14:solidFill>
                    <w14:schemeClr w14:val="tx1"/>
                  </w14:solidFill>
                </w14:textFill>
              </w:rPr>
              <w:t>≤</w:t>
            </w:r>
            <w:r>
              <w:rPr>
                <w:rStyle w:val="27"/>
                <w:color w:val="000000" w:themeColor="text1"/>
                <w:lang w:val="en-US" w:eastAsia="zh-CN" w:bidi="ar"/>
                <w14:textFill>
                  <w14:solidFill>
                    <w14:schemeClr w14:val="tx1"/>
                  </w14:solidFill>
                </w14:textFill>
              </w:rPr>
              <w:t>8个月</w:t>
            </w:r>
          </w:p>
        </w:tc>
        <w:tc>
          <w:tcPr>
            <w:tcW w:w="1030" w:type="dxa"/>
            <w:tcBorders>
              <w:top w:val="single" w:color="000000" w:sz="4" w:space="0"/>
              <w:left w:val="single" w:color="000000" w:sz="4" w:space="0"/>
              <w:bottom w:val="single" w:color="000000" w:sz="4" w:space="0"/>
              <w:right w:val="nil"/>
            </w:tcBorders>
            <w:shd w:val="clear" w:color="auto" w:fill="FFFFFF"/>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18"/>
                <w:szCs w:val="18"/>
                <w:u w:val="none"/>
                <w14:textFill>
                  <w14:solidFill>
                    <w14:schemeClr w14:val="tx1"/>
                  </w14:solidFill>
                </w14:textFill>
              </w:rPr>
            </w:pPr>
            <w:r>
              <w:rPr>
                <w:rStyle w:val="27"/>
                <w:color w:val="000000" w:themeColor="text1"/>
                <w:lang w:val="en-US" w:eastAsia="zh-CN" w:bidi="ar"/>
                <w14:textFill>
                  <w14:solidFill>
                    <w14:schemeClr w14:val="tx1"/>
                  </w14:solidFill>
                </w14:textFill>
              </w:rPr>
              <w:t>4个月</w:t>
            </w:r>
          </w:p>
        </w:tc>
        <w:tc>
          <w:tcPr>
            <w:tcW w:w="88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 xml:space="preserve">10 </w:t>
            </w:r>
          </w:p>
        </w:tc>
        <w:tc>
          <w:tcPr>
            <w:tcW w:w="130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pPr>
              <w:jc w:val="left"/>
              <w:rPr>
                <w:rFonts w:hint="eastAsia" w:ascii="宋体" w:hAnsi="宋体" w:eastAsia="宋体" w:cs="宋体"/>
                <w:i w:val="0"/>
                <w:color w:val="000000" w:themeColor="text1"/>
                <w:sz w:val="18"/>
                <w:szCs w:val="18"/>
                <w:u w:val="none"/>
                <w14:textFill>
                  <w14:solidFill>
                    <w14:schemeClr w14:val="tx1"/>
                  </w14:solidFill>
                </w14:textFill>
              </w:rPr>
            </w:pPr>
          </w:p>
        </w:tc>
      </w:tr>
      <w:tr>
        <w:tblPrEx>
          <w:tblCellMar>
            <w:top w:w="0" w:type="dxa"/>
            <w:left w:w="0" w:type="dxa"/>
            <w:bottom w:w="0" w:type="dxa"/>
            <w:right w:w="0" w:type="dxa"/>
          </w:tblCellMar>
        </w:tblPrEx>
        <w:trPr>
          <w:trHeight w:val="1169" w:hRule="atLeast"/>
        </w:trPr>
        <w:tc>
          <w:tcPr>
            <w:tcW w:w="860" w:type="dxa"/>
            <w:vMerge w:val="continue"/>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pPr>
              <w:jc w:val="center"/>
              <w:rPr>
                <w:rFonts w:hint="eastAsia" w:ascii="宋体" w:hAnsi="宋体" w:eastAsia="宋体" w:cs="宋体"/>
                <w:i w:val="0"/>
                <w:color w:val="000000" w:themeColor="text1"/>
                <w:sz w:val="18"/>
                <w:szCs w:val="18"/>
                <w:u w:val="none"/>
                <w14:textFill>
                  <w14:solidFill>
                    <w14:schemeClr w14:val="tx1"/>
                  </w14:solidFill>
                </w14:textFill>
              </w:rPr>
            </w:pPr>
          </w:p>
        </w:tc>
        <w:tc>
          <w:tcPr>
            <w:tcW w:w="984"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jc w:val="center"/>
              <w:rPr>
                <w:rFonts w:hint="eastAsia" w:ascii="宋体" w:hAnsi="宋体" w:eastAsia="宋体" w:cs="宋体"/>
                <w:b w:val="0"/>
                <w:bCs w:val="0"/>
                <w:i w:val="0"/>
                <w:color w:val="000000" w:themeColor="text1"/>
                <w:sz w:val="18"/>
                <w:szCs w:val="18"/>
                <w:u w:val="none"/>
                <w14:textFill>
                  <w14:solidFill>
                    <w14:schemeClr w14:val="tx1"/>
                  </w14:solidFill>
                </w14:textFill>
              </w:rPr>
            </w:pPr>
          </w:p>
        </w:tc>
        <w:tc>
          <w:tcPr>
            <w:tcW w:w="1040"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18"/>
                <w:szCs w:val="18"/>
                <w:u w:val="none"/>
                <w14:textFill>
                  <w14:solidFill>
                    <w14:schemeClr w14:val="tx1"/>
                  </w14:solidFill>
                </w14:textFill>
              </w:rPr>
            </w:pPr>
            <w:r>
              <w:rPr>
                <w:rStyle w:val="27"/>
                <w:color w:val="000000" w:themeColor="text1"/>
                <w:lang w:val="en-US" w:eastAsia="zh-CN" w:bidi="ar"/>
                <w14:textFill>
                  <w14:solidFill>
                    <w14:schemeClr w14:val="tx1"/>
                  </w14:solidFill>
                </w14:textFill>
              </w:rPr>
              <w:t>成本指标</w:t>
            </w:r>
          </w:p>
        </w:tc>
        <w:tc>
          <w:tcPr>
            <w:tcW w:w="1240" w:type="dxa"/>
            <w:tcBorders>
              <w:top w:val="single" w:color="000000" w:sz="4" w:space="0"/>
              <w:left w:val="single" w:color="000000" w:sz="4" w:space="0"/>
              <w:bottom w:val="single" w:color="000000" w:sz="4" w:space="0"/>
              <w:right w:val="nil"/>
            </w:tcBorders>
            <w:shd w:val="clear" w:color="auto" w:fill="FFFFFF"/>
            <w:noWrap w:val="0"/>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themeColor="text1"/>
                <w:sz w:val="18"/>
                <w:szCs w:val="18"/>
                <w:u w:val="none"/>
                <w14:textFill>
                  <w14:solidFill>
                    <w14:schemeClr w14:val="tx1"/>
                  </w14:solidFill>
                </w14:textFill>
              </w:rPr>
            </w:pPr>
            <w:r>
              <w:rPr>
                <w:rStyle w:val="27"/>
                <w:color w:val="000000" w:themeColor="text1"/>
                <w:lang w:val="en-US" w:eastAsia="zh-CN" w:bidi="ar"/>
                <w14:textFill>
                  <w14:solidFill>
                    <w14:schemeClr w14:val="tx1"/>
                  </w14:solidFill>
                </w14:textFill>
              </w:rPr>
              <w:t>项目实际总投资控制</w:t>
            </w:r>
            <w:r>
              <w:rPr>
                <w:rStyle w:val="27"/>
                <w:color w:val="000000" w:themeColor="text1"/>
                <w:lang w:val="en-US" w:eastAsia="zh-CN" w:bidi="ar"/>
                <w14:textFill>
                  <w14:solidFill>
                    <w14:schemeClr w14:val="tx1"/>
                  </w14:solidFill>
                </w14:textFill>
              </w:rPr>
              <w:br w:type="textWrapping"/>
            </w:r>
            <w:r>
              <w:rPr>
                <w:rStyle w:val="27"/>
                <w:color w:val="000000" w:themeColor="text1"/>
                <w:lang w:val="en-US" w:eastAsia="zh-CN" w:bidi="ar"/>
                <w14:textFill>
                  <w14:solidFill>
                    <w14:schemeClr w14:val="tx1"/>
                  </w14:solidFill>
                </w14:textFill>
              </w:rPr>
              <w:t>在预算内</w:t>
            </w:r>
          </w:p>
        </w:tc>
        <w:tc>
          <w:tcPr>
            <w:tcW w:w="390"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 xml:space="preserve">10 </w:t>
            </w:r>
          </w:p>
        </w:tc>
        <w:tc>
          <w:tcPr>
            <w:tcW w:w="943"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18"/>
                <w:szCs w:val="18"/>
                <w:u w:val="none"/>
                <w14:textFill>
                  <w14:solidFill>
                    <w14:schemeClr w14:val="tx1"/>
                  </w14:solidFill>
                </w14:textFill>
              </w:rPr>
            </w:pPr>
            <w:r>
              <w:rPr>
                <w:rStyle w:val="27"/>
                <w:color w:val="000000" w:themeColor="text1"/>
                <w:lang w:val="en-US" w:eastAsia="zh-CN" w:bidi="ar"/>
                <w14:textFill>
                  <w14:solidFill>
                    <w14:schemeClr w14:val="tx1"/>
                  </w14:solidFill>
                </w14:textFill>
              </w:rPr>
              <w:t>S3000万元</w:t>
            </w:r>
          </w:p>
        </w:tc>
        <w:tc>
          <w:tcPr>
            <w:tcW w:w="1030" w:type="dxa"/>
            <w:tcBorders>
              <w:top w:val="single" w:color="000000" w:sz="4" w:space="0"/>
              <w:left w:val="single" w:color="000000" w:sz="4" w:space="0"/>
              <w:bottom w:val="single" w:color="000000" w:sz="4" w:space="0"/>
              <w:right w:val="nil"/>
            </w:tcBorders>
            <w:shd w:val="clear" w:color="auto" w:fill="FFFFFF"/>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 xml:space="preserve">2269.22159 </w:t>
            </w:r>
          </w:p>
        </w:tc>
        <w:tc>
          <w:tcPr>
            <w:tcW w:w="88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 xml:space="preserve">10 </w:t>
            </w:r>
          </w:p>
        </w:tc>
        <w:tc>
          <w:tcPr>
            <w:tcW w:w="130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pPr>
              <w:jc w:val="left"/>
              <w:rPr>
                <w:rFonts w:hint="eastAsia" w:ascii="宋体" w:hAnsi="宋体" w:eastAsia="宋体" w:cs="宋体"/>
                <w:i w:val="0"/>
                <w:color w:val="000000" w:themeColor="text1"/>
                <w:sz w:val="18"/>
                <w:szCs w:val="18"/>
                <w:u w:val="none"/>
                <w14:textFill>
                  <w14:solidFill>
                    <w14:schemeClr w14:val="tx1"/>
                  </w14:solidFill>
                </w14:textFill>
              </w:rPr>
            </w:pPr>
          </w:p>
        </w:tc>
      </w:tr>
      <w:tr>
        <w:tblPrEx>
          <w:tblCellMar>
            <w:top w:w="0" w:type="dxa"/>
            <w:left w:w="0" w:type="dxa"/>
            <w:bottom w:w="0" w:type="dxa"/>
            <w:right w:w="0" w:type="dxa"/>
          </w:tblCellMar>
        </w:tblPrEx>
        <w:trPr>
          <w:trHeight w:val="600" w:hRule="atLeast"/>
        </w:trPr>
        <w:tc>
          <w:tcPr>
            <w:tcW w:w="860" w:type="dxa"/>
            <w:vMerge w:val="continue"/>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pPr>
              <w:jc w:val="center"/>
              <w:rPr>
                <w:rFonts w:hint="eastAsia" w:ascii="宋体" w:hAnsi="宋体" w:eastAsia="宋体" w:cs="宋体"/>
                <w:i w:val="0"/>
                <w:color w:val="000000" w:themeColor="text1"/>
                <w:sz w:val="18"/>
                <w:szCs w:val="18"/>
                <w:u w:val="none"/>
                <w14:textFill>
                  <w14:solidFill>
                    <w14:schemeClr w14:val="tx1"/>
                  </w14:solidFill>
                </w14:textFill>
              </w:rPr>
            </w:pPr>
          </w:p>
        </w:tc>
        <w:tc>
          <w:tcPr>
            <w:tcW w:w="984" w:type="dxa"/>
            <w:vMerge w:val="restart"/>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val="0"/>
                <w:bCs w:val="0"/>
                <w:i w:val="0"/>
                <w:color w:val="000000" w:themeColor="text1"/>
                <w:sz w:val="18"/>
                <w:szCs w:val="18"/>
                <w:u w:val="none"/>
                <w14:textFill>
                  <w14:solidFill>
                    <w14:schemeClr w14:val="tx1"/>
                  </w14:solidFill>
                </w14:textFill>
              </w:rPr>
            </w:pPr>
            <w:r>
              <w:rPr>
                <w:rStyle w:val="27"/>
                <w:rFonts w:hint="default" w:ascii="宋体" w:hAnsi="宋体" w:eastAsia="宋体" w:cs="宋体"/>
                <w:b w:val="0"/>
                <w:bCs w:val="0"/>
                <w:i w:val="0"/>
                <w:iCs w:val="0"/>
                <w:color w:val="000000" w:themeColor="text1"/>
                <w:lang w:val="en-US" w:eastAsia="zh-CN" w:bidi="ar"/>
                <w14:textFill>
                  <w14:solidFill>
                    <w14:schemeClr w14:val="tx1"/>
                  </w14:solidFill>
                </w14:textFill>
              </w:rPr>
              <w:t>效益指标30分</w:t>
            </w:r>
          </w:p>
        </w:tc>
        <w:tc>
          <w:tcPr>
            <w:tcW w:w="1040"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top"/>
          </w:tcPr>
          <w:p>
            <w:pPr>
              <w:keepNext w:val="0"/>
              <w:keepLines w:val="0"/>
              <w:widowControl/>
              <w:suppressLineNumbers w:val="0"/>
              <w:jc w:val="center"/>
              <w:textAlignment w:val="top"/>
              <w:rPr>
                <w:rFonts w:hint="eastAsia" w:ascii="宋体" w:hAnsi="宋体" w:eastAsia="宋体" w:cs="宋体"/>
                <w:i w:val="0"/>
                <w:color w:val="000000" w:themeColor="text1"/>
                <w:sz w:val="18"/>
                <w:szCs w:val="18"/>
                <w:u w:val="none"/>
                <w14:textFill>
                  <w14:solidFill>
                    <w14:schemeClr w14:val="tx1"/>
                  </w14:solidFill>
                </w14:textFill>
              </w:rPr>
            </w:pPr>
            <w:r>
              <w:rPr>
                <w:rStyle w:val="27"/>
                <w:color w:val="000000" w:themeColor="text1"/>
                <w:lang w:val="en-US" w:eastAsia="zh-CN" w:bidi="ar"/>
                <w14:textFill>
                  <w14:solidFill>
                    <w14:schemeClr w14:val="tx1"/>
                  </w14:solidFill>
                </w14:textFill>
              </w:rPr>
              <w:t>经济效益</w:t>
            </w:r>
            <w:r>
              <w:rPr>
                <w:rStyle w:val="27"/>
                <w:color w:val="000000" w:themeColor="text1"/>
                <w:lang w:val="en-US" w:eastAsia="zh-CN" w:bidi="ar"/>
                <w14:textFill>
                  <w14:solidFill>
                    <w14:schemeClr w14:val="tx1"/>
                  </w14:solidFill>
                </w14:textFill>
              </w:rPr>
              <w:br w:type="textWrapping"/>
            </w:r>
            <w:r>
              <w:rPr>
                <w:rStyle w:val="27"/>
                <w:color w:val="000000" w:themeColor="text1"/>
                <w:lang w:val="en-US" w:eastAsia="zh-CN" w:bidi="ar"/>
                <w14:textFill>
                  <w14:solidFill>
                    <w14:schemeClr w14:val="tx1"/>
                  </w14:solidFill>
                </w14:textFill>
              </w:rPr>
              <w:t>指标</w:t>
            </w:r>
          </w:p>
        </w:tc>
        <w:tc>
          <w:tcPr>
            <w:tcW w:w="1240" w:type="dxa"/>
            <w:tcBorders>
              <w:top w:val="single" w:color="000000" w:sz="4" w:space="0"/>
              <w:left w:val="single" w:color="000000" w:sz="4" w:space="0"/>
              <w:bottom w:val="single" w:color="000000" w:sz="4" w:space="0"/>
              <w:right w:val="nil"/>
            </w:tcBorders>
            <w:shd w:val="clear" w:color="auto" w:fill="FFFFFF"/>
            <w:noWrap w:val="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themeColor="text1"/>
                <w:sz w:val="18"/>
                <w:szCs w:val="18"/>
                <w:u w:val="none"/>
                <w14:textFill>
                  <w14:solidFill>
                    <w14:schemeClr w14:val="tx1"/>
                  </w14:solidFill>
                </w14:textFill>
              </w:rPr>
            </w:pPr>
            <w:r>
              <w:rPr>
                <w:rStyle w:val="27"/>
                <w:color w:val="000000" w:themeColor="text1"/>
                <w:lang w:val="en-US" w:eastAsia="zh-CN" w:bidi="ar"/>
                <w14:textFill>
                  <w14:solidFill>
                    <w14:schemeClr w14:val="tx1"/>
                  </w14:solidFill>
                </w14:textFill>
              </w:rPr>
              <w:t>当地劳务报酬发放</w:t>
            </w:r>
          </w:p>
        </w:tc>
        <w:tc>
          <w:tcPr>
            <w:tcW w:w="390"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 xml:space="preserve">15 </w:t>
            </w:r>
          </w:p>
        </w:tc>
        <w:tc>
          <w:tcPr>
            <w:tcW w:w="943"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18"/>
                <w:szCs w:val="18"/>
                <w:u w:val="none"/>
                <w14:textFill>
                  <w14:solidFill>
                    <w14:schemeClr w14:val="tx1"/>
                  </w14:solidFill>
                </w14:textFill>
              </w:rPr>
            </w:pPr>
            <w:r>
              <w:rPr>
                <w:rStyle w:val="27"/>
                <w:color w:val="000000" w:themeColor="text1"/>
                <w:lang w:val="en-US" w:eastAsia="zh-CN" w:bidi="ar"/>
                <w14:textFill>
                  <w14:solidFill>
                    <w14:schemeClr w14:val="tx1"/>
                  </w14:solidFill>
                </w14:textFill>
              </w:rPr>
              <w:t>≥300万元</w:t>
            </w:r>
          </w:p>
        </w:tc>
        <w:tc>
          <w:tcPr>
            <w:tcW w:w="1030" w:type="dxa"/>
            <w:tcBorders>
              <w:top w:val="single" w:color="000000" w:sz="4" w:space="0"/>
              <w:left w:val="single" w:color="000000" w:sz="4" w:space="0"/>
              <w:bottom w:val="single" w:color="000000" w:sz="4" w:space="0"/>
              <w:right w:val="nil"/>
            </w:tcBorders>
            <w:shd w:val="clear" w:color="auto" w:fill="FFFFFF"/>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 xml:space="preserve">318.6325 </w:t>
            </w:r>
          </w:p>
        </w:tc>
        <w:tc>
          <w:tcPr>
            <w:tcW w:w="88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 xml:space="preserve">15 </w:t>
            </w:r>
          </w:p>
        </w:tc>
        <w:tc>
          <w:tcPr>
            <w:tcW w:w="130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pPr>
              <w:jc w:val="left"/>
              <w:rPr>
                <w:rFonts w:hint="eastAsia" w:ascii="宋体" w:hAnsi="宋体" w:eastAsia="宋体" w:cs="宋体"/>
                <w:i w:val="0"/>
                <w:color w:val="000000" w:themeColor="text1"/>
                <w:sz w:val="18"/>
                <w:szCs w:val="18"/>
                <w:u w:val="none"/>
                <w14:textFill>
                  <w14:solidFill>
                    <w14:schemeClr w14:val="tx1"/>
                  </w14:solidFill>
                </w14:textFill>
              </w:rPr>
            </w:pPr>
          </w:p>
        </w:tc>
      </w:tr>
      <w:tr>
        <w:tblPrEx>
          <w:tblCellMar>
            <w:top w:w="0" w:type="dxa"/>
            <w:left w:w="0" w:type="dxa"/>
            <w:bottom w:w="0" w:type="dxa"/>
            <w:right w:w="0" w:type="dxa"/>
          </w:tblCellMar>
        </w:tblPrEx>
        <w:trPr>
          <w:trHeight w:val="90" w:hRule="atLeast"/>
        </w:trPr>
        <w:tc>
          <w:tcPr>
            <w:tcW w:w="860" w:type="dxa"/>
            <w:vMerge w:val="continue"/>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pPr>
              <w:jc w:val="center"/>
              <w:rPr>
                <w:rFonts w:hint="eastAsia" w:ascii="宋体" w:hAnsi="宋体" w:eastAsia="宋体" w:cs="宋体"/>
                <w:i w:val="0"/>
                <w:color w:val="000000" w:themeColor="text1"/>
                <w:sz w:val="18"/>
                <w:szCs w:val="18"/>
                <w:u w:val="none"/>
                <w14:textFill>
                  <w14:solidFill>
                    <w14:schemeClr w14:val="tx1"/>
                  </w14:solidFill>
                </w14:textFill>
              </w:rPr>
            </w:pPr>
          </w:p>
        </w:tc>
        <w:tc>
          <w:tcPr>
            <w:tcW w:w="984"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jc w:val="center"/>
              <w:rPr>
                <w:rFonts w:hint="eastAsia" w:ascii="宋体" w:hAnsi="宋体" w:eastAsia="宋体" w:cs="宋体"/>
                <w:b w:val="0"/>
                <w:bCs w:val="0"/>
                <w:i w:val="0"/>
                <w:color w:val="000000" w:themeColor="text1"/>
                <w:sz w:val="18"/>
                <w:szCs w:val="18"/>
                <w:u w:val="none"/>
                <w14:textFill>
                  <w14:solidFill>
                    <w14:schemeClr w14:val="tx1"/>
                  </w14:solidFill>
                </w14:textFill>
              </w:rPr>
            </w:pPr>
          </w:p>
        </w:tc>
        <w:tc>
          <w:tcPr>
            <w:tcW w:w="1040"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top"/>
          </w:tcPr>
          <w:p>
            <w:pPr>
              <w:keepNext w:val="0"/>
              <w:keepLines w:val="0"/>
              <w:widowControl/>
              <w:suppressLineNumbers w:val="0"/>
              <w:jc w:val="center"/>
              <w:textAlignment w:val="top"/>
              <w:rPr>
                <w:rFonts w:hint="eastAsia" w:ascii="宋体" w:hAnsi="宋体" w:eastAsia="宋体" w:cs="宋体"/>
                <w:i w:val="0"/>
                <w:color w:val="000000" w:themeColor="text1"/>
                <w:sz w:val="18"/>
                <w:szCs w:val="18"/>
                <w:u w:val="none"/>
                <w14:textFill>
                  <w14:solidFill>
                    <w14:schemeClr w14:val="tx1"/>
                  </w14:solidFill>
                </w14:textFill>
              </w:rPr>
            </w:pPr>
            <w:r>
              <w:rPr>
                <w:rStyle w:val="27"/>
                <w:color w:val="000000" w:themeColor="text1"/>
                <w:lang w:val="en-US" w:eastAsia="zh-CN" w:bidi="ar"/>
                <w14:textFill>
                  <w14:solidFill>
                    <w14:schemeClr w14:val="tx1"/>
                  </w14:solidFill>
                </w14:textFill>
              </w:rPr>
              <w:t>社会效益</w:t>
            </w:r>
            <w:r>
              <w:rPr>
                <w:rStyle w:val="27"/>
                <w:color w:val="000000" w:themeColor="text1"/>
                <w:lang w:val="en-US" w:eastAsia="zh-CN" w:bidi="ar"/>
                <w14:textFill>
                  <w14:solidFill>
                    <w14:schemeClr w14:val="tx1"/>
                  </w14:solidFill>
                </w14:textFill>
              </w:rPr>
              <w:br w:type="textWrapping"/>
            </w:r>
            <w:r>
              <w:rPr>
                <w:rStyle w:val="27"/>
                <w:color w:val="000000" w:themeColor="text1"/>
                <w:lang w:val="en-US" w:eastAsia="zh-CN" w:bidi="ar"/>
                <w14:textFill>
                  <w14:solidFill>
                    <w14:schemeClr w14:val="tx1"/>
                  </w14:solidFill>
                </w14:textFill>
              </w:rPr>
              <w:t>指标</w:t>
            </w:r>
          </w:p>
        </w:tc>
        <w:tc>
          <w:tcPr>
            <w:tcW w:w="1240" w:type="dxa"/>
            <w:tcBorders>
              <w:top w:val="single" w:color="000000" w:sz="4" w:space="0"/>
              <w:left w:val="single" w:color="000000" w:sz="4" w:space="0"/>
              <w:bottom w:val="single" w:color="000000" w:sz="4" w:space="0"/>
              <w:right w:val="nil"/>
            </w:tcBorders>
            <w:shd w:val="clear" w:color="auto" w:fill="FFFFFF"/>
            <w:noWrap w:val="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themeColor="text1"/>
                <w:sz w:val="18"/>
                <w:szCs w:val="18"/>
                <w:u w:val="none"/>
                <w14:textFill>
                  <w14:solidFill>
                    <w14:schemeClr w14:val="tx1"/>
                  </w14:solidFill>
                </w14:textFill>
              </w:rPr>
            </w:pPr>
            <w:r>
              <w:rPr>
                <w:rStyle w:val="27"/>
                <w:color w:val="000000" w:themeColor="text1"/>
                <w:lang w:val="en-US" w:eastAsia="zh-CN" w:bidi="ar"/>
                <w14:textFill>
                  <w14:solidFill>
                    <w14:schemeClr w14:val="tx1"/>
                  </w14:solidFill>
                </w14:textFill>
              </w:rPr>
              <w:t>提供临时务工岗位</w:t>
            </w:r>
          </w:p>
        </w:tc>
        <w:tc>
          <w:tcPr>
            <w:tcW w:w="390"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 xml:space="preserve">15 </w:t>
            </w:r>
          </w:p>
        </w:tc>
        <w:tc>
          <w:tcPr>
            <w:tcW w:w="943"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18"/>
                <w:szCs w:val="18"/>
                <w:u w:val="none"/>
                <w14:textFill>
                  <w14:solidFill>
                    <w14:schemeClr w14:val="tx1"/>
                  </w14:solidFill>
                </w14:textFill>
              </w:rPr>
            </w:pPr>
            <w:r>
              <w:rPr>
                <w:rStyle w:val="27"/>
                <w:color w:val="000000" w:themeColor="text1"/>
                <w:lang w:val="en-US" w:eastAsia="zh-CN" w:bidi="ar"/>
                <w14:textFill>
                  <w14:solidFill>
                    <w14:schemeClr w14:val="tx1"/>
                  </w14:solidFill>
                </w14:textFill>
              </w:rPr>
              <w:t>250个</w:t>
            </w:r>
          </w:p>
        </w:tc>
        <w:tc>
          <w:tcPr>
            <w:tcW w:w="1030" w:type="dxa"/>
            <w:tcBorders>
              <w:top w:val="single" w:color="000000" w:sz="4" w:space="0"/>
              <w:left w:val="single" w:color="000000" w:sz="4" w:space="0"/>
              <w:bottom w:val="single" w:color="000000" w:sz="4" w:space="0"/>
              <w:right w:val="nil"/>
            </w:tcBorders>
            <w:shd w:val="clear" w:color="auto" w:fill="FFFFFF"/>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 xml:space="preserve">348 </w:t>
            </w:r>
          </w:p>
        </w:tc>
        <w:tc>
          <w:tcPr>
            <w:tcW w:w="88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 xml:space="preserve">15 </w:t>
            </w:r>
          </w:p>
        </w:tc>
        <w:tc>
          <w:tcPr>
            <w:tcW w:w="130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pPr>
              <w:jc w:val="left"/>
              <w:rPr>
                <w:rFonts w:hint="eastAsia" w:ascii="宋体" w:hAnsi="宋体" w:eastAsia="宋体" w:cs="宋体"/>
                <w:i w:val="0"/>
                <w:color w:val="000000" w:themeColor="text1"/>
                <w:sz w:val="18"/>
                <w:szCs w:val="18"/>
                <w:u w:val="none"/>
                <w14:textFill>
                  <w14:solidFill>
                    <w14:schemeClr w14:val="tx1"/>
                  </w14:solidFill>
                </w14:textFill>
              </w:rPr>
            </w:pPr>
          </w:p>
        </w:tc>
      </w:tr>
      <w:tr>
        <w:tblPrEx>
          <w:tblCellMar>
            <w:top w:w="0" w:type="dxa"/>
            <w:left w:w="0" w:type="dxa"/>
            <w:bottom w:w="0" w:type="dxa"/>
            <w:right w:w="0" w:type="dxa"/>
          </w:tblCellMar>
        </w:tblPrEx>
        <w:trPr>
          <w:trHeight w:val="540" w:hRule="atLeast"/>
        </w:trPr>
        <w:tc>
          <w:tcPr>
            <w:tcW w:w="860" w:type="dxa"/>
            <w:vMerge w:val="continue"/>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pPr>
              <w:jc w:val="center"/>
              <w:rPr>
                <w:rFonts w:hint="eastAsia" w:ascii="宋体" w:hAnsi="宋体" w:eastAsia="宋体" w:cs="宋体"/>
                <w:i w:val="0"/>
                <w:color w:val="000000" w:themeColor="text1"/>
                <w:sz w:val="18"/>
                <w:szCs w:val="18"/>
                <w:u w:val="none"/>
                <w14:textFill>
                  <w14:solidFill>
                    <w14:schemeClr w14:val="tx1"/>
                  </w14:solidFill>
                </w14:textFill>
              </w:rPr>
            </w:pPr>
          </w:p>
        </w:tc>
        <w:tc>
          <w:tcPr>
            <w:tcW w:w="984"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val="0"/>
                <w:bCs w:val="0"/>
                <w:i w:val="0"/>
                <w:color w:val="000000" w:themeColor="text1"/>
                <w:sz w:val="18"/>
                <w:szCs w:val="18"/>
                <w:u w:val="none"/>
                <w14:textFill>
                  <w14:solidFill>
                    <w14:schemeClr w14:val="tx1"/>
                  </w14:solidFill>
                </w14:textFill>
              </w:rPr>
            </w:pPr>
            <w:r>
              <w:rPr>
                <w:rStyle w:val="27"/>
                <w:b w:val="0"/>
                <w:bCs w:val="0"/>
                <w:color w:val="000000" w:themeColor="text1"/>
                <w:lang w:val="en-US" w:eastAsia="zh-CN" w:bidi="ar"/>
                <w14:textFill>
                  <w14:solidFill>
                    <w14:schemeClr w14:val="tx1"/>
                  </w14:solidFill>
                </w14:textFill>
              </w:rPr>
              <w:t>满意度指标10分</w:t>
            </w:r>
          </w:p>
        </w:tc>
        <w:tc>
          <w:tcPr>
            <w:tcW w:w="1040"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18"/>
                <w:szCs w:val="18"/>
                <w:u w:val="none"/>
                <w14:textFill>
                  <w14:solidFill>
                    <w14:schemeClr w14:val="tx1"/>
                  </w14:solidFill>
                </w14:textFill>
              </w:rPr>
            </w:pPr>
            <w:r>
              <w:rPr>
                <w:rStyle w:val="27"/>
                <w:color w:val="000000" w:themeColor="text1"/>
                <w:lang w:val="en-US" w:eastAsia="zh-CN" w:bidi="ar"/>
                <w14:textFill>
                  <w14:solidFill>
                    <w14:schemeClr w14:val="tx1"/>
                  </w14:solidFill>
                </w14:textFill>
              </w:rPr>
              <w:t>服务对象</w:t>
            </w:r>
            <w:r>
              <w:rPr>
                <w:rStyle w:val="27"/>
                <w:color w:val="000000" w:themeColor="text1"/>
                <w:lang w:val="en-US" w:eastAsia="zh-CN" w:bidi="ar"/>
                <w14:textFill>
                  <w14:solidFill>
                    <w14:schemeClr w14:val="tx1"/>
                  </w14:solidFill>
                </w14:textFill>
              </w:rPr>
              <w:br w:type="textWrapping"/>
            </w:r>
            <w:r>
              <w:rPr>
                <w:rStyle w:val="27"/>
                <w:color w:val="000000" w:themeColor="text1"/>
                <w:lang w:val="en-US" w:eastAsia="zh-CN" w:bidi="ar"/>
                <w14:textFill>
                  <w14:solidFill>
                    <w14:schemeClr w14:val="tx1"/>
                  </w14:solidFill>
                </w14:textFill>
              </w:rPr>
              <w:t>满意度指</w:t>
            </w:r>
          </w:p>
        </w:tc>
        <w:tc>
          <w:tcPr>
            <w:tcW w:w="1240"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themeColor="text1"/>
                <w:sz w:val="18"/>
                <w:szCs w:val="18"/>
                <w:u w:val="none"/>
                <w14:textFill>
                  <w14:solidFill>
                    <w14:schemeClr w14:val="tx1"/>
                  </w14:solidFill>
                </w14:textFill>
              </w:rPr>
            </w:pPr>
            <w:r>
              <w:rPr>
                <w:rStyle w:val="27"/>
                <w:color w:val="000000" w:themeColor="text1"/>
                <w:lang w:val="en-US" w:eastAsia="zh-CN" w:bidi="ar"/>
                <w14:textFill>
                  <w14:solidFill>
                    <w14:schemeClr w14:val="tx1"/>
                  </w14:solidFill>
                </w14:textFill>
              </w:rPr>
              <w:t>当地群众满意度</w:t>
            </w:r>
          </w:p>
        </w:tc>
        <w:tc>
          <w:tcPr>
            <w:tcW w:w="390"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 xml:space="preserve">10 </w:t>
            </w:r>
          </w:p>
        </w:tc>
        <w:tc>
          <w:tcPr>
            <w:tcW w:w="943"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290%</w:t>
            </w:r>
          </w:p>
        </w:tc>
        <w:tc>
          <w:tcPr>
            <w:tcW w:w="1030" w:type="dxa"/>
            <w:tcBorders>
              <w:top w:val="single" w:color="000000" w:sz="4" w:space="0"/>
              <w:left w:val="single" w:color="000000" w:sz="4" w:space="0"/>
              <w:bottom w:val="single" w:color="000000" w:sz="4" w:space="0"/>
              <w:right w:val="nil"/>
            </w:tcBorders>
            <w:shd w:val="clear" w:color="auto" w:fill="FFFFFF"/>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18"/>
                <w:szCs w:val="18"/>
                <w:u w:val="none"/>
                <w14:textFill>
                  <w14:solidFill>
                    <w14:schemeClr w14:val="tx1"/>
                  </w14:solidFill>
                </w14:textFill>
              </w:rPr>
            </w:pPr>
            <w:r>
              <w:rPr>
                <w:rStyle w:val="27"/>
                <w:color w:val="000000" w:themeColor="text1"/>
                <w:lang w:val="en-US" w:eastAsia="zh-CN" w:bidi="ar"/>
                <w14:textFill>
                  <w14:solidFill>
                    <w14:schemeClr w14:val="tx1"/>
                  </w14:solidFill>
                </w14:textFill>
              </w:rPr>
              <w:t>≥98%</w:t>
            </w:r>
          </w:p>
        </w:tc>
        <w:tc>
          <w:tcPr>
            <w:tcW w:w="88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18"/>
                <w:szCs w:val="18"/>
                <w:u w:val="none"/>
                <w14:textFill>
                  <w14:solidFill>
                    <w14:schemeClr w14:val="tx1"/>
                  </w14:solidFill>
                </w14:textFill>
              </w:rPr>
            </w:pPr>
            <w:r>
              <w:rPr>
                <w:rFonts w:ascii="宋体" w:hAnsi="宋体" w:eastAsia="宋体" w:cs="宋体"/>
                <w:i w:val="0"/>
                <w:iCs w:val="0"/>
                <w:color w:val="000000" w:themeColor="text1"/>
                <w:kern w:val="0"/>
                <w:sz w:val="18"/>
                <w:szCs w:val="18"/>
                <w:u w:val="none"/>
                <w:lang w:val="en-US" w:eastAsia="zh-CN" w:bidi="ar"/>
                <w14:textFill>
                  <w14:solidFill>
                    <w14:schemeClr w14:val="tx1"/>
                  </w14:solidFill>
                </w14:textFill>
              </w:rPr>
              <w:t xml:space="preserve">10 </w:t>
            </w:r>
          </w:p>
        </w:tc>
        <w:tc>
          <w:tcPr>
            <w:tcW w:w="130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pPr>
              <w:jc w:val="left"/>
              <w:rPr>
                <w:rFonts w:hint="eastAsia" w:ascii="宋体" w:hAnsi="宋体" w:eastAsia="宋体" w:cs="宋体"/>
                <w:i w:val="0"/>
                <w:color w:val="000000" w:themeColor="text1"/>
                <w:sz w:val="18"/>
                <w:szCs w:val="18"/>
                <w:u w:val="none"/>
                <w14:textFill>
                  <w14:solidFill>
                    <w14:schemeClr w14:val="tx1"/>
                  </w14:solidFill>
                </w14:textFill>
              </w:rPr>
            </w:pPr>
          </w:p>
        </w:tc>
      </w:tr>
      <w:tr>
        <w:tblPrEx>
          <w:tblCellMar>
            <w:top w:w="0" w:type="dxa"/>
            <w:left w:w="0" w:type="dxa"/>
            <w:bottom w:w="0" w:type="dxa"/>
            <w:right w:w="0" w:type="dxa"/>
          </w:tblCellMar>
        </w:tblPrEx>
        <w:trPr>
          <w:trHeight w:val="459" w:hRule="atLeast"/>
        </w:trPr>
        <w:tc>
          <w:tcPr>
            <w:tcW w:w="4124" w:type="dxa"/>
            <w:gridSpan w:val="4"/>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18"/>
                <w:szCs w:val="18"/>
                <w:u w:val="none"/>
                <w14:textFill>
                  <w14:solidFill>
                    <w14:schemeClr w14:val="tx1"/>
                  </w14:solidFill>
                </w14:textFill>
              </w:rPr>
            </w:pPr>
            <w:r>
              <w:rPr>
                <w:rFonts w:hint="eastAsia" w:ascii="宋体" w:hAnsi="宋体" w:eastAsia="宋体" w:cs="宋体"/>
                <w:b/>
                <w:bCs/>
                <w:i w:val="0"/>
                <w:iCs w:val="0"/>
                <w:color w:val="000000" w:themeColor="text1"/>
                <w:kern w:val="0"/>
                <w:sz w:val="22"/>
                <w:szCs w:val="22"/>
                <w:u w:val="none"/>
                <w:lang w:val="en-US" w:eastAsia="zh-CN" w:bidi="ar"/>
                <w14:textFill>
                  <w14:solidFill>
                    <w14:schemeClr w14:val="tx1"/>
                  </w14:solidFill>
                </w14:textFill>
              </w:rPr>
              <w:t>总分</w:t>
            </w:r>
          </w:p>
        </w:tc>
        <w:tc>
          <w:tcPr>
            <w:tcW w:w="390"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themeColor="text1"/>
                <w:sz w:val="18"/>
                <w:szCs w:val="18"/>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100</w:t>
            </w:r>
          </w:p>
        </w:tc>
        <w:tc>
          <w:tcPr>
            <w:tcW w:w="943"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rPr>
                <w:rFonts w:hint="eastAsia" w:ascii="宋体" w:hAnsi="宋体" w:eastAsia="宋体" w:cs="宋体"/>
                <w:i w:val="0"/>
                <w:color w:val="000000" w:themeColor="text1"/>
                <w:sz w:val="18"/>
                <w:szCs w:val="18"/>
                <w:u w:val="none"/>
                <w14:textFill>
                  <w14:solidFill>
                    <w14:schemeClr w14:val="tx1"/>
                  </w14:solidFill>
                </w14:textFill>
              </w:rPr>
            </w:pPr>
          </w:p>
        </w:tc>
        <w:tc>
          <w:tcPr>
            <w:tcW w:w="1030" w:type="dxa"/>
            <w:tcBorders>
              <w:top w:val="single" w:color="000000" w:sz="4" w:space="0"/>
              <w:left w:val="single" w:color="000000" w:sz="4" w:space="0"/>
              <w:bottom w:val="single" w:color="000000" w:sz="4" w:space="0"/>
              <w:right w:val="nil"/>
            </w:tcBorders>
            <w:shd w:val="clear" w:color="auto" w:fill="FFFFFF"/>
            <w:noWrap w:val="0"/>
            <w:tcMar>
              <w:top w:w="15" w:type="dxa"/>
              <w:left w:w="15" w:type="dxa"/>
              <w:right w:w="15" w:type="dxa"/>
            </w:tcMar>
            <w:vAlign w:val="top"/>
          </w:tcPr>
          <w:p>
            <w:pPr>
              <w:jc w:val="left"/>
              <w:rPr>
                <w:rFonts w:hint="eastAsia" w:ascii="宋体" w:hAnsi="宋体" w:eastAsia="宋体" w:cs="宋体"/>
                <w:i w:val="0"/>
                <w:color w:val="000000" w:themeColor="text1"/>
                <w:sz w:val="18"/>
                <w:szCs w:val="18"/>
                <w:u w:val="none"/>
                <w14:textFill>
                  <w14:solidFill>
                    <w14:schemeClr w14:val="tx1"/>
                  </w14:solidFill>
                </w14:textFill>
              </w:rPr>
            </w:pPr>
          </w:p>
        </w:tc>
        <w:tc>
          <w:tcPr>
            <w:tcW w:w="88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pPr>
              <w:keepNext w:val="0"/>
              <w:keepLines w:val="0"/>
              <w:widowControl/>
              <w:suppressLineNumbers w:val="0"/>
              <w:ind w:firstLine="220" w:firstLineChars="100"/>
              <w:jc w:val="both"/>
              <w:textAlignment w:val="center"/>
              <w:rPr>
                <w:rFonts w:hint="default" w:ascii="宋体" w:hAnsi="宋体" w:eastAsia="宋体" w:cs="宋体"/>
                <w:i w:val="0"/>
                <w:color w:val="000000" w:themeColor="text1"/>
                <w:sz w:val="18"/>
                <w:szCs w:val="18"/>
                <w:u w:val="none"/>
                <w:lang w:val="en-US"/>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99</w:t>
            </w:r>
          </w:p>
        </w:tc>
        <w:tc>
          <w:tcPr>
            <w:tcW w:w="130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pPr>
              <w:jc w:val="left"/>
              <w:rPr>
                <w:rFonts w:hint="eastAsia" w:ascii="宋体" w:hAnsi="宋体" w:eastAsia="宋体" w:cs="宋体"/>
                <w:i w:val="0"/>
                <w:color w:val="000000" w:themeColor="text1"/>
                <w:sz w:val="18"/>
                <w:szCs w:val="18"/>
                <w:u w:val="none"/>
                <w14:textFill>
                  <w14:solidFill>
                    <w14:schemeClr w14:val="tx1"/>
                  </w14:solidFill>
                </w14:textFill>
              </w:rPr>
            </w:pPr>
          </w:p>
        </w:tc>
      </w:tr>
    </w:tbl>
    <w:p>
      <w:pPr>
        <w:spacing w:line="600" w:lineRule="exact"/>
        <w:ind w:firstLine="2200" w:firstLineChars="500"/>
        <w:jc w:val="both"/>
        <w:outlineLvl w:val="0"/>
        <w:rPr>
          <w:rFonts w:hint="eastAsia" w:ascii="黑体" w:hAnsi="黑体" w:eastAsia="黑体"/>
          <w:color w:val="auto"/>
          <w:sz w:val="44"/>
          <w:szCs w:val="44"/>
          <w:highlight w:val="none"/>
        </w:rPr>
      </w:pPr>
    </w:p>
    <w:p>
      <w:pPr>
        <w:spacing w:line="600" w:lineRule="exact"/>
        <w:ind w:firstLine="2200" w:firstLineChars="500"/>
        <w:jc w:val="both"/>
        <w:outlineLvl w:val="0"/>
        <w:rPr>
          <w:rFonts w:hint="eastAsia" w:ascii="黑体" w:hAnsi="黑体" w:eastAsia="黑体"/>
          <w:color w:val="auto"/>
          <w:sz w:val="44"/>
          <w:szCs w:val="44"/>
          <w:highlight w:val="none"/>
        </w:rPr>
      </w:pPr>
    </w:p>
    <w:p>
      <w:pPr>
        <w:spacing w:line="600" w:lineRule="exact"/>
        <w:ind w:firstLine="2200" w:firstLineChars="500"/>
        <w:jc w:val="both"/>
        <w:outlineLvl w:val="0"/>
        <w:rPr>
          <w:rFonts w:hint="eastAsia" w:ascii="黑体" w:hAnsi="黑体" w:eastAsia="黑体"/>
          <w:color w:val="auto"/>
          <w:sz w:val="44"/>
          <w:szCs w:val="44"/>
          <w:highlight w:val="none"/>
        </w:rPr>
      </w:pPr>
    </w:p>
    <w:p>
      <w:pPr>
        <w:spacing w:line="600" w:lineRule="exact"/>
        <w:ind w:firstLine="2200" w:firstLineChars="500"/>
        <w:jc w:val="both"/>
        <w:outlineLvl w:val="0"/>
        <w:rPr>
          <w:rFonts w:hint="eastAsia" w:ascii="黑体" w:hAnsi="黑体" w:eastAsia="黑体"/>
          <w:color w:val="auto"/>
          <w:sz w:val="44"/>
          <w:szCs w:val="44"/>
          <w:highlight w:val="none"/>
        </w:rPr>
      </w:pPr>
    </w:p>
    <w:p>
      <w:pPr>
        <w:spacing w:line="600" w:lineRule="exact"/>
        <w:ind w:firstLine="2200" w:firstLineChars="500"/>
        <w:jc w:val="both"/>
        <w:outlineLvl w:val="0"/>
        <w:rPr>
          <w:rFonts w:hint="eastAsia" w:ascii="黑体" w:hAnsi="黑体" w:eastAsia="黑体"/>
          <w:color w:val="auto"/>
          <w:sz w:val="44"/>
          <w:szCs w:val="44"/>
          <w:highlight w:val="none"/>
        </w:rPr>
      </w:pPr>
    </w:p>
    <w:p>
      <w:pPr>
        <w:spacing w:line="600" w:lineRule="exact"/>
        <w:ind w:firstLine="2200" w:firstLineChars="500"/>
        <w:jc w:val="both"/>
        <w:outlineLvl w:val="0"/>
        <w:rPr>
          <w:rFonts w:hint="eastAsia" w:ascii="黑体" w:hAnsi="黑体" w:eastAsia="黑体"/>
          <w:color w:val="auto"/>
          <w:sz w:val="44"/>
          <w:szCs w:val="44"/>
          <w:highlight w:val="none"/>
        </w:rPr>
      </w:pPr>
    </w:p>
    <w:p>
      <w:pPr>
        <w:spacing w:line="600" w:lineRule="exact"/>
        <w:ind w:firstLine="2200" w:firstLineChars="500"/>
        <w:jc w:val="both"/>
        <w:outlineLvl w:val="0"/>
        <w:rPr>
          <w:rFonts w:hint="eastAsia" w:ascii="黑体" w:hAnsi="黑体" w:eastAsia="黑体"/>
          <w:color w:val="auto"/>
          <w:sz w:val="44"/>
          <w:szCs w:val="44"/>
          <w:highlight w:val="none"/>
        </w:rPr>
      </w:pPr>
    </w:p>
    <w:p>
      <w:pPr>
        <w:spacing w:line="600" w:lineRule="exact"/>
        <w:ind w:firstLine="2200" w:firstLineChars="500"/>
        <w:jc w:val="both"/>
        <w:outlineLvl w:val="0"/>
        <w:rPr>
          <w:rFonts w:hint="eastAsia" w:ascii="黑体" w:hAnsi="黑体" w:eastAsia="黑体"/>
          <w:color w:val="auto"/>
          <w:sz w:val="44"/>
          <w:szCs w:val="44"/>
          <w:highlight w:val="none"/>
        </w:rPr>
      </w:pPr>
    </w:p>
    <w:p>
      <w:pPr>
        <w:spacing w:line="600" w:lineRule="exact"/>
        <w:ind w:firstLine="2200" w:firstLineChars="500"/>
        <w:jc w:val="both"/>
        <w:outlineLvl w:val="0"/>
        <w:rPr>
          <w:rFonts w:hint="eastAsia" w:ascii="黑体" w:hAnsi="黑体" w:eastAsia="黑体"/>
          <w:color w:val="auto"/>
          <w:sz w:val="44"/>
          <w:szCs w:val="44"/>
          <w:highlight w:val="none"/>
        </w:rPr>
      </w:pPr>
    </w:p>
    <w:p>
      <w:pPr>
        <w:spacing w:line="600" w:lineRule="exact"/>
        <w:ind w:firstLine="2200" w:firstLineChars="500"/>
        <w:jc w:val="both"/>
        <w:outlineLvl w:val="0"/>
        <w:rPr>
          <w:rFonts w:hint="eastAsia" w:ascii="黑体" w:hAnsi="黑体" w:eastAsia="黑体"/>
          <w:color w:val="auto"/>
          <w:sz w:val="44"/>
          <w:szCs w:val="44"/>
          <w:highlight w:val="none"/>
        </w:rPr>
      </w:pPr>
    </w:p>
    <w:p>
      <w:pPr>
        <w:spacing w:line="600" w:lineRule="exact"/>
        <w:ind w:firstLine="2200" w:firstLineChars="500"/>
        <w:jc w:val="both"/>
        <w:outlineLvl w:val="0"/>
        <w:rPr>
          <w:rFonts w:hint="eastAsia" w:ascii="黑体" w:hAnsi="黑体" w:eastAsia="黑体"/>
          <w:color w:val="auto"/>
          <w:sz w:val="44"/>
          <w:szCs w:val="44"/>
          <w:highlight w:val="none"/>
        </w:rPr>
      </w:pPr>
    </w:p>
    <w:p>
      <w:pPr>
        <w:spacing w:line="600" w:lineRule="exact"/>
        <w:ind w:firstLine="2200" w:firstLineChars="500"/>
        <w:jc w:val="both"/>
        <w:outlineLvl w:val="0"/>
        <w:rPr>
          <w:rFonts w:hint="eastAsia" w:ascii="黑体" w:hAnsi="黑体" w:eastAsia="黑体"/>
          <w:color w:val="auto"/>
          <w:sz w:val="44"/>
          <w:szCs w:val="44"/>
          <w:highlight w:val="none"/>
        </w:rPr>
      </w:pPr>
    </w:p>
    <w:p>
      <w:pPr>
        <w:spacing w:line="600" w:lineRule="exact"/>
        <w:ind w:firstLine="2200" w:firstLineChars="500"/>
        <w:jc w:val="both"/>
        <w:outlineLvl w:val="0"/>
        <w:rPr>
          <w:rFonts w:hint="eastAsia" w:ascii="黑体" w:hAnsi="黑体" w:eastAsia="黑体"/>
          <w:color w:val="auto"/>
          <w:sz w:val="44"/>
          <w:szCs w:val="44"/>
          <w:highlight w:val="none"/>
        </w:rPr>
      </w:pPr>
    </w:p>
    <w:p>
      <w:pPr>
        <w:spacing w:line="600" w:lineRule="exact"/>
        <w:ind w:firstLine="2200" w:firstLineChars="500"/>
        <w:jc w:val="both"/>
        <w:outlineLvl w:val="0"/>
        <w:rPr>
          <w:rFonts w:hint="eastAsia" w:ascii="黑体" w:hAnsi="黑体" w:eastAsia="黑体"/>
          <w:color w:val="auto"/>
          <w:sz w:val="44"/>
          <w:szCs w:val="44"/>
          <w:highlight w:val="none"/>
        </w:rPr>
      </w:pPr>
    </w:p>
    <w:p>
      <w:pPr>
        <w:spacing w:line="600" w:lineRule="exact"/>
        <w:ind w:firstLine="1760" w:firstLineChars="400"/>
        <w:jc w:val="both"/>
        <w:outlineLvl w:val="0"/>
        <w:rPr>
          <w:rFonts w:hint="eastAsia" w:ascii="黑体" w:hAnsi="黑体" w:eastAsia="黑体"/>
          <w:color w:val="auto"/>
          <w:sz w:val="44"/>
          <w:szCs w:val="44"/>
          <w:highlight w:val="none"/>
        </w:rPr>
      </w:pPr>
    </w:p>
    <w:p>
      <w:pPr>
        <w:spacing w:line="600" w:lineRule="exact"/>
        <w:ind w:firstLine="1760" w:firstLineChars="400"/>
        <w:jc w:val="both"/>
        <w:outlineLvl w:val="0"/>
        <w:rPr>
          <w:rFonts w:hint="eastAsia" w:ascii="黑体" w:hAnsi="黑体" w:eastAsia="黑体"/>
          <w:color w:val="auto"/>
          <w:sz w:val="44"/>
          <w:szCs w:val="44"/>
          <w:highlight w:val="none"/>
        </w:rPr>
      </w:pPr>
    </w:p>
    <w:p>
      <w:pPr>
        <w:spacing w:line="600" w:lineRule="exact"/>
        <w:ind w:firstLine="1760" w:firstLineChars="400"/>
        <w:jc w:val="both"/>
        <w:outlineLvl w:val="0"/>
        <w:rPr>
          <w:rFonts w:hint="eastAsia" w:ascii="黑体" w:hAnsi="黑体" w:eastAsia="黑体"/>
          <w:color w:val="auto"/>
          <w:sz w:val="44"/>
          <w:szCs w:val="44"/>
          <w:highlight w:val="none"/>
        </w:rPr>
      </w:pPr>
    </w:p>
    <w:p>
      <w:pPr>
        <w:spacing w:line="600" w:lineRule="exact"/>
        <w:ind w:firstLine="2200" w:firstLineChars="500"/>
        <w:jc w:val="both"/>
        <w:outlineLvl w:val="0"/>
        <w:rPr>
          <w:rFonts w:hint="eastAsia" w:ascii="仿宋" w:hAnsi="仿宋" w:eastAsia="仿宋"/>
          <w:b w:val="0"/>
          <w:color w:val="auto"/>
          <w:highlight w:val="none"/>
        </w:rPr>
      </w:pPr>
      <w:r>
        <w:rPr>
          <w:rFonts w:hint="eastAsia" w:ascii="黑体" w:hAnsi="黑体" w:eastAsia="黑体"/>
          <w:color w:val="auto"/>
          <w:sz w:val="44"/>
          <w:szCs w:val="44"/>
          <w:highlight w:val="none"/>
        </w:rPr>
        <w:t>第</w:t>
      </w:r>
      <w:r>
        <w:rPr>
          <w:rStyle w:val="21"/>
          <w:rFonts w:hint="eastAsia" w:ascii="黑体" w:hAnsi="黑体" w:eastAsia="黑体"/>
          <w:b w:val="0"/>
          <w:color w:val="auto"/>
          <w:highlight w:val="none"/>
        </w:rPr>
        <w:t>五部分 附表</w:t>
      </w:r>
    </w:p>
    <w:p>
      <w:pPr>
        <w:pStyle w:val="4"/>
        <w:rPr>
          <w:rFonts w:ascii="仿宋" w:hAnsi="仿宋" w:eastAsia="仿宋"/>
          <w:color w:val="auto"/>
          <w:highlight w:val="none"/>
        </w:rPr>
      </w:pPr>
      <w:r>
        <w:rPr>
          <w:rFonts w:hint="eastAsia" w:ascii="仿宋" w:hAnsi="仿宋" w:eastAsia="仿宋"/>
          <w:b w:val="0"/>
          <w:color w:val="auto"/>
          <w:highlight w:val="none"/>
        </w:rPr>
        <w:t>一、收</w:t>
      </w:r>
      <w:r>
        <w:rPr>
          <w:rStyle w:val="22"/>
          <w:rFonts w:hint="eastAsia" w:ascii="仿宋" w:hAnsi="仿宋" w:eastAsia="仿宋"/>
          <w:b w:val="0"/>
          <w:bCs w:val="0"/>
          <w:color w:val="auto"/>
          <w:highlight w:val="none"/>
        </w:rPr>
        <w:t>入支出决算总表</w:t>
      </w:r>
    </w:p>
    <w:p>
      <w:pPr>
        <w:pStyle w:val="4"/>
        <w:rPr>
          <w:rFonts w:ascii="仿宋" w:hAnsi="仿宋" w:eastAsia="仿宋"/>
          <w:color w:val="auto"/>
          <w:highlight w:val="none"/>
        </w:rPr>
      </w:pPr>
      <w:r>
        <w:rPr>
          <w:rFonts w:hint="eastAsia" w:ascii="仿宋" w:hAnsi="仿宋" w:eastAsia="仿宋"/>
          <w:b w:val="0"/>
          <w:color w:val="auto"/>
          <w:highlight w:val="none"/>
        </w:rPr>
        <w:t>二、收</w:t>
      </w:r>
      <w:r>
        <w:rPr>
          <w:rStyle w:val="22"/>
          <w:rFonts w:hint="eastAsia" w:ascii="仿宋" w:hAnsi="仿宋" w:eastAsia="仿宋"/>
          <w:b w:val="0"/>
          <w:bCs w:val="0"/>
          <w:color w:val="auto"/>
          <w:highlight w:val="none"/>
        </w:rPr>
        <w:t>入决算表</w:t>
      </w:r>
    </w:p>
    <w:p>
      <w:pPr>
        <w:pStyle w:val="4"/>
        <w:rPr>
          <w:rFonts w:ascii="仿宋" w:hAnsi="仿宋" w:eastAsia="仿宋"/>
          <w:color w:val="auto"/>
          <w:highlight w:val="none"/>
        </w:rPr>
      </w:pPr>
      <w:r>
        <w:rPr>
          <w:rStyle w:val="22"/>
          <w:rFonts w:hint="eastAsia" w:ascii="仿宋" w:hAnsi="仿宋" w:eastAsia="仿宋"/>
          <w:b w:val="0"/>
          <w:bCs w:val="0"/>
          <w:color w:val="auto"/>
          <w:highlight w:val="none"/>
        </w:rPr>
        <w:t>三、</w:t>
      </w:r>
      <w:r>
        <w:rPr>
          <w:rFonts w:hint="eastAsia" w:ascii="仿宋" w:hAnsi="仿宋" w:eastAsia="仿宋"/>
          <w:b w:val="0"/>
          <w:color w:val="auto"/>
          <w:highlight w:val="none"/>
        </w:rPr>
        <w:t>支</w:t>
      </w:r>
      <w:r>
        <w:rPr>
          <w:rStyle w:val="22"/>
          <w:rFonts w:hint="eastAsia" w:ascii="仿宋" w:hAnsi="仿宋" w:eastAsia="仿宋"/>
          <w:b w:val="0"/>
          <w:bCs w:val="0"/>
          <w:color w:val="auto"/>
          <w:highlight w:val="none"/>
        </w:rPr>
        <w:t>出决算表</w:t>
      </w:r>
    </w:p>
    <w:p>
      <w:pPr>
        <w:pStyle w:val="4"/>
        <w:rPr>
          <w:rFonts w:ascii="仿宋" w:hAnsi="仿宋" w:eastAsia="仿宋"/>
          <w:b w:val="0"/>
          <w:color w:val="auto"/>
          <w:highlight w:val="none"/>
        </w:rPr>
      </w:pPr>
      <w:r>
        <w:rPr>
          <w:rStyle w:val="22"/>
          <w:rFonts w:hint="eastAsia" w:ascii="仿宋" w:hAnsi="仿宋" w:eastAsia="仿宋"/>
          <w:b w:val="0"/>
          <w:bCs w:val="0"/>
          <w:color w:val="auto"/>
          <w:highlight w:val="none"/>
        </w:rPr>
        <w:t>四、</w:t>
      </w:r>
      <w:r>
        <w:rPr>
          <w:rFonts w:hint="eastAsia" w:ascii="仿宋" w:hAnsi="仿宋" w:eastAsia="仿宋"/>
          <w:b w:val="0"/>
          <w:color w:val="auto"/>
          <w:highlight w:val="none"/>
        </w:rPr>
        <w:t>财</w:t>
      </w:r>
      <w:r>
        <w:rPr>
          <w:rStyle w:val="22"/>
          <w:rFonts w:hint="eastAsia" w:ascii="仿宋" w:hAnsi="仿宋" w:eastAsia="仿宋"/>
          <w:b w:val="0"/>
          <w:bCs w:val="0"/>
          <w:color w:val="auto"/>
          <w:highlight w:val="none"/>
        </w:rPr>
        <w:t>政拨款收入支出决算总表</w:t>
      </w:r>
    </w:p>
    <w:p>
      <w:pPr>
        <w:pStyle w:val="4"/>
        <w:rPr>
          <w:rStyle w:val="22"/>
          <w:rFonts w:ascii="仿宋" w:hAnsi="仿宋" w:eastAsia="仿宋"/>
          <w:b w:val="0"/>
          <w:bCs w:val="0"/>
          <w:color w:val="auto"/>
          <w:highlight w:val="none"/>
        </w:rPr>
      </w:pPr>
      <w:r>
        <w:rPr>
          <w:rStyle w:val="22"/>
          <w:rFonts w:hint="eastAsia" w:ascii="仿宋" w:hAnsi="仿宋" w:eastAsia="仿宋"/>
          <w:b w:val="0"/>
          <w:bCs w:val="0"/>
          <w:color w:val="auto"/>
          <w:highlight w:val="none"/>
        </w:rPr>
        <w:t>五、</w:t>
      </w:r>
      <w:r>
        <w:rPr>
          <w:rFonts w:hint="eastAsia" w:ascii="仿宋" w:hAnsi="仿宋" w:eastAsia="仿宋"/>
          <w:b w:val="0"/>
          <w:color w:val="auto"/>
          <w:highlight w:val="none"/>
        </w:rPr>
        <w:t>财</w:t>
      </w:r>
      <w:r>
        <w:rPr>
          <w:rStyle w:val="22"/>
          <w:rFonts w:hint="eastAsia" w:ascii="仿宋" w:hAnsi="仿宋" w:eastAsia="仿宋"/>
          <w:b w:val="0"/>
          <w:bCs w:val="0"/>
          <w:color w:val="auto"/>
          <w:highlight w:val="none"/>
        </w:rPr>
        <w:t>政拨款支出决算明细表</w:t>
      </w:r>
    </w:p>
    <w:p>
      <w:pPr>
        <w:pStyle w:val="4"/>
        <w:rPr>
          <w:rFonts w:ascii="仿宋" w:hAnsi="仿宋" w:eastAsia="仿宋"/>
          <w:color w:val="auto"/>
          <w:highlight w:val="none"/>
        </w:rPr>
      </w:pPr>
      <w:r>
        <w:rPr>
          <w:rStyle w:val="22"/>
          <w:rFonts w:hint="eastAsia" w:ascii="仿宋" w:hAnsi="仿宋" w:eastAsia="仿宋"/>
          <w:b w:val="0"/>
          <w:bCs w:val="0"/>
          <w:color w:val="auto"/>
          <w:highlight w:val="none"/>
        </w:rPr>
        <w:t>六、</w:t>
      </w:r>
      <w:r>
        <w:rPr>
          <w:rFonts w:hint="eastAsia" w:ascii="仿宋" w:hAnsi="仿宋" w:eastAsia="仿宋"/>
          <w:b w:val="0"/>
          <w:color w:val="auto"/>
          <w:highlight w:val="none"/>
        </w:rPr>
        <w:t>一</w:t>
      </w:r>
      <w:r>
        <w:rPr>
          <w:rStyle w:val="22"/>
          <w:rFonts w:hint="eastAsia" w:ascii="仿宋" w:hAnsi="仿宋" w:eastAsia="仿宋"/>
          <w:b w:val="0"/>
          <w:bCs w:val="0"/>
          <w:color w:val="auto"/>
          <w:highlight w:val="none"/>
        </w:rPr>
        <w:t>般公共预算财政拨款支出决算表</w:t>
      </w:r>
    </w:p>
    <w:p>
      <w:pPr>
        <w:pStyle w:val="4"/>
        <w:rPr>
          <w:rFonts w:ascii="仿宋" w:hAnsi="仿宋" w:eastAsia="仿宋"/>
          <w:color w:val="auto"/>
          <w:highlight w:val="none"/>
        </w:rPr>
      </w:pPr>
      <w:r>
        <w:rPr>
          <w:rStyle w:val="22"/>
          <w:rFonts w:hint="eastAsia" w:ascii="仿宋" w:hAnsi="仿宋" w:eastAsia="仿宋"/>
          <w:b w:val="0"/>
          <w:bCs w:val="0"/>
          <w:color w:val="auto"/>
          <w:highlight w:val="none"/>
        </w:rPr>
        <w:t>七、</w:t>
      </w:r>
      <w:r>
        <w:rPr>
          <w:rFonts w:hint="eastAsia" w:ascii="仿宋" w:hAnsi="仿宋" w:eastAsia="仿宋"/>
          <w:b w:val="0"/>
          <w:color w:val="auto"/>
          <w:highlight w:val="none"/>
        </w:rPr>
        <w:t>一</w:t>
      </w:r>
      <w:r>
        <w:rPr>
          <w:rStyle w:val="22"/>
          <w:rFonts w:hint="eastAsia" w:ascii="仿宋" w:hAnsi="仿宋" w:eastAsia="仿宋"/>
          <w:b w:val="0"/>
          <w:bCs w:val="0"/>
          <w:color w:val="auto"/>
          <w:highlight w:val="none"/>
        </w:rPr>
        <w:t>般公共预算财政拨款支出决算明细表</w:t>
      </w:r>
    </w:p>
    <w:p>
      <w:pPr>
        <w:pStyle w:val="4"/>
        <w:rPr>
          <w:rFonts w:ascii="仿宋" w:hAnsi="仿宋" w:eastAsia="仿宋"/>
          <w:color w:val="auto"/>
          <w:highlight w:val="none"/>
        </w:rPr>
      </w:pPr>
      <w:r>
        <w:rPr>
          <w:rStyle w:val="22"/>
          <w:rFonts w:hint="eastAsia" w:ascii="仿宋" w:hAnsi="仿宋" w:eastAsia="仿宋"/>
          <w:b w:val="0"/>
          <w:bCs w:val="0"/>
          <w:color w:val="auto"/>
          <w:highlight w:val="none"/>
        </w:rPr>
        <w:t>八、</w:t>
      </w:r>
      <w:r>
        <w:rPr>
          <w:rFonts w:hint="eastAsia" w:ascii="仿宋" w:hAnsi="仿宋" w:eastAsia="仿宋"/>
          <w:b w:val="0"/>
          <w:color w:val="auto"/>
          <w:highlight w:val="none"/>
        </w:rPr>
        <w:t>一</w:t>
      </w:r>
      <w:r>
        <w:rPr>
          <w:rStyle w:val="22"/>
          <w:rFonts w:hint="eastAsia" w:ascii="仿宋" w:hAnsi="仿宋" w:eastAsia="仿宋"/>
          <w:b w:val="0"/>
          <w:bCs w:val="0"/>
          <w:color w:val="auto"/>
          <w:highlight w:val="none"/>
        </w:rPr>
        <w:t>般公共预算财政拨款基本支出决算表</w:t>
      </w:r>
    </w:p>
    <w:p>
      <w:pPr>
        <w:pStyle w:val="4"/>
        <w:rPr>
          <w:rFonts w:ascii="仿宋" w:hAnsi="仿宋" w:eastAsia="仿宋"/>
          <w:color w:val="auto"/>
          <w:highlight w:val="none"/>
        </w:rPr>
      </w:pPr>
      <w:r>
        <w:rPr>
          <w:rStyle w:val="22"/>
          <w:rFonts w:hint="eastAsia" w:ascii="仿宋" w:hAnsi="仿宋" w:eastAsia="仿宋"/>
          <w:b w:val="0"/>
          <w:bCs w:val="0"/>
          <w:color w:val="auto"/>
          <w:highlight w:val="none"/>
        </w:rPr>
        <w:t>九、</w:t>
      </w:r>
      <w:r>
        <w:rPr>
          <w:rFonts w:hint="eastAsia" w:ascii="仿宋" w:hAnsi="仿宋" w:eastAsia="仿宋"/>
          <w:b w:val="0"/>
          <w:color w:val="auto"/>
          <w:highlight w:val="none"/>
        </w:rPr>
        <w:t>一</w:t>
      </w:r>
      <w:r>
        <w:rPr>
          <w:rStyle w:val="22"/>
          <w:rFonts w:hint="eastAsia" w:ascii="仿宋" w:hAnsi="仿宋" w:eastAsia="仿宋"/>
          <w:b w:val="0"/>
          <w:bCs w:val="0"/>
          <w:color w:val="auto"/>
          <w:highlight w:val="none"/>
        </w:rPr>
        <w:t>般公共预算财政拨款项目支出决算表</w:t>
      </w:r>
    </w:p>
    <w:p>
      <w:pPr>
        <w:pStyle w:val="4"/>
        <w:rPr>
          <w:rFonts w:ascii="仿宋" w:hAnsi="仿宋" w:eastAsia="仿宋"/>
          <w:color w:val="auto"/>
          <w:highlight w:val="none"/>
        </w:rPr>
      </w:pPr>
      <w:r>
        <w:rPr>
          <w:rStyle w:val="22"/>
          <w:rFonts w:hint="eastAsia" w:ascii="仿宋" w:hAnsi="仿宋" w:eastAsia="仿宋"/>
          <w:b w:val="0"/>
          <w:bCs w:val="0"/>
          <w:color w:val="auto"/>
          <w:highlight w:val="none"/>
        </w:rPr>
        <w:t>十、</w:t>
      </w:r>
      <w:r>
        <w:rPr>
          <w:rFonts w:hint="eastAsia" w:ascii="仿宋" w:hAnsi="仿宋" w:eastAsia="仿宋"/>
          <w:b w:val="0"/>
          <w:color w:val="auto"/>
          <w:highlight w:val="none"/>
        </w:rPr>
        <w:t>政</w:t>
      </w:r>
      <w:r>
        <w:rPr>
          <w:rStyle w:val="22"/>
          <w:rFonts w:hint="eastAsia" w:ascii="仿宋" w:hAnsi="仿宋" w:eastAsia="仿宋"/>
          <w:b w:val="0"/>
          <w:bCs w:val="0"/>
          <w:color w:val="auto"/>
          <w:highlight w:val="none"/>
        </w:rPr>
        <w:t>府性基金预算财政拨款收入支出决算表</w:t>
      </w:r>
    </w:p>
    <w:p>
      <w:pPr>
        <w:pStyle w:val="4"/>
        <w:rPr>
          <w:rFonts w:ascii="仿宋" w:hAnsi="仿宋" w:eastAsia="仿宋"/>
          <w:color w:val="auto"/>
          <w:highlight w:val="none"/>
        </w:rPr>
      </w:pPr>
      <w:r>
        <w:rPr>
          <w:rStyle w:val="22"/>
          <w:rFonts w:hint="eastAsia" w:ascii="仿宋" w:hAnsi="仿宋" w:eastAsia="仿宋"/>
          <w:b w:val="0"/>
          <w:bCs w:val="0"/>
          <w:color w:val="auto"/>
          <w:highlight w:val="none"/>
        </w:rPr>
        <w:t>十一、</w:t>
      </w:r>
      <w:r>
        <w:rPr>
          <w:rFonts w:hint="eastAsia" w:ascii="仿宋" w:hAnsi="仿宋" w:eastAsia="仿宋"/>
          <w:b w:val="0"/>
          <w:color w:val="auto"/>
          <w:highlight w:val="none"/>
        </w:rPr>
        <w:t>国</w:t>
      </w:r>
      <w:r>
        <w:rPr>
          <w:rStyle w:val="22"/>
          <w:rFonts w:hint="eastAsia" w:ascii="仿宋" w:hAnsi="仿宋" w:eastAsia="仿宋"/>
          <w:b w:val="0"/>
          <w:bCs w:val="0"/>
          <w:color w:val="auto"/>
          <w:highlight w:val="none"/>
        </w:rPr>
        <w:t>有资本经营预算</w:t>
      </w:r>
      <w:r>
        <w:rPr>
          <w:rStyle w:val="22"/>
          <w:rFonts w:hint="eastAsia" w:ascii="仿宋" w:hAnsi="仿宋" w:eastAsia="仿宋"/>
          <w:b w:val="0"/>
          <w:bCs w:val="0"/>
          <w:color w:val="auto"/>
          <w:highlight w:val="none"/>
          <w:lang w:eastAsia="zh-CN"/>
        </w:rPr>
        <w:t>财政拨款收入</w:t>
      </w:r>
      <w:r>
        <w:rPr>
          <w:rStyle w:val="22"/>
          <w:rFonts w:hint="eastAsia" w:ascii="仿宋" w:hAnsi="仿宋" w:eastAsia="仿宋"/>
          <w:b w:val="0"/>
          <w:bCs w:val="0"/>
          <w:color w:val="auto"/>
          <w:highlight w:val="none"/>
        </w:rPr>
        <w:t>支出决算表</w:t>
      </w:r>
    </w:p>
    <w:p>
      <w:pPr>
        <w:pStyle w:val="4"/>
        <w:rPr>
          <w:rFonts w:ascii="仿宋" w:hAnsi="仿宋" w:eastAsia="仿宋"/>
          <w:color w:val="auto"/>
          <w:highlight w:val="none"/>
        </w:rPr>
      </w:pPr>
      <w:r>
        <w:rPr>
          <w:rStyle w:val="22"/>
          <w:rFonts w:hint="eastAsia" w:ascii="仿宋" w:hAnsi="仿宋" w:eastAsia="仿宋"/>
          <w:b w:val="0"/>
          <w:bCs w:val="0"/>
          <w:color w:val="auto"/>
          <w:highlight w:val="none"/>
        </w:rPr>
        <w:t>十二、</w:t>
      </w:r>
      <w:r>
        <w:rPr>
          <w:rStyle w:val="22"/>
          <w:rFonts w:hint="eastAsia" w:ascii="仿宋" w:hAnsi="仿宋" w:eastAsia="仿宋"/>
          <w:b w:val="0"/>
          <w:bCs w:val="0"/>
          <w:color w:val="auto"/>
          <w:highlight w:val="none"/>
          <w:lang w:eastAsia="zh-CN"/>
        </w:rPr>
        <w:t>国有资本经营预算财政拨款支出决算表</w:t>
      </w:r>
    </w:p>
    <w:p>
      <w:pPr>
        <w:pStyle w:val="4"/>
        <w:rPr>
          <w:rFonts w:hint="eastAsia" w:eastAsia="仿宋"/>
          <w:color w:val="auto"/>
          <w:highlight w:val="none"/>
          <w:lang w:eastAsia="zh-CN"/>
        </w:rPr>
      </w:pPr>
      <w:r>
        <w:rPr>
          <w:rStyle w:val="22"/>
          <w:rFonts w:hint="eastAsia" w:ascii="仿宋" w:hAnsi="仿宋" w:eastAsia="仿宋"/>
          <w:b w:val="0"/>
          <w:bCs w:val="0"/>
          <w:color w:val="auto"/>
          <w:highlight w:val="none"/>
        </w:rPr>
        <w:t>十三、</w:t>
      </w:r>
      <w:r>
        <w:rPr>
          <w:rStyle w:val="22"/>
          <w:rFonts w:hint="eastAsia" w:ascii="仿宋" w:hAnsi="仿宋" w:eastAsia="仿宋"/>
          <w:b w:val="0"/>
          <w:bCs w:val="0"/>
          <w:color w:val="auto"/>
          <w:highlight w:val="none"/>
          <w:lang w:eastAsia="zh-CN"/>
        </w:rPr>
        <w:t>财政拨款“三公”经费支出决算表</w:t>
      </w:r>
    </w:p>
    <w:p/>
    <w:p/>
    <w:p/>
    <w:sectPr>
      <w:headerReference r:id="rId5" w:type="default"/>
      <w:footerReference r:id="rId6" w:type="default"/>
      <w:pgSz w:w="11906" w:h="16838"/>
      <w:pgMar w:top="1440" w:right="1800" w:bottom="1440" w:left="1800" w:header="720" w:footer="720" w:gutter="0"/>
      <w:pgNumType w:fmt="numberInDash"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Cambria">
    <w:altName w:val="Noto Sans Syriac Eastern"/>
    <w:panose1 w:val="02040503050406030204"/>
    <w:charset w:val="00"/>
    <w:family w:val="roman"/>
    <w:pitch w:val="default"/>
    <w:sig w:usb0="00000000" w:usb1="00000000" w:usb2="00000000" w:usb3="00000000" w:csb0="2000019F" w:csb1="00000000"/>
  </w:font>
  <w:font w:name="Noto Sans Syriac Eastern">
    <w:panose1 w:val="02040503050306020203"/>
    <w:charset w:val="86"/>
    <w:family w:val="auto"/>
    <w:pitch w:val="default"/>
    <w:sig w:usb0="00000000" w:usb1="00000000" w:usb2="00000080" w:usb3="00000000" w:csb0="203E0161" w:csb1="D7FF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Arial Unicode MS">
    <w:altName w:val="Times New Roman"/>
    <w:panose1 w:val="020B0604020202020204"/>
    <w:charset w:val="86"/>
    <w:family w:val="auto"/>
    <w:pitch w:val="default"/>
    <w:sig w:usb0="00000000" w:usb1="00000000" w:usb2="0000003F" w:usb3="00000000" w:csb0="603F01FF" w:csb1="FFFF0000"/>
  </w:font>
  <w:font w:name="??">
    <w:altName w:val="仿宋"/>
    <w:panose1 w:val="00000000000000000000"/>
    <w:charset w:val="00"/>
    <w:family w:val="roman"/>
    <w:pitch w:val="default"/>
    <w:sig w:usb0="00000000" w:usb1="00000000" w:usb2="00000000" w:usb3="00000000" w:csb0="00000000" w:csb1="00000000"/>
  </w:font>
  <w:font w:name="楷体_GB2312">
    <w:panose1 w:val="02010609030101010101"/>
    <w:charset w:val="86"/>
    <w:family w:val="auto"/>
    <w:pitch w:val="default"/>
    <w:sig w:usb0="00000001" w:usb1="080E0000" w:usb2="00000000" w:usb3="00000000" w:csb0="00040000" w:csb1="00000000"/>
  </w:font>
  <w:font w:name="方正仿宋_GB2312">
    <w:altName w:val="仿宋"/>
    <w:panose1 w:val="02000000000000000000"/>
    <w:charset w:val="86"/>
    <w:family w:val="auto"/>
    <w:pitch w:val="default"/>
    <w:sig w:usb0="00000000" w:usb1="00000000" w:usb2="00000000" w:usb3="00000000" w:csb0="00000000" w:csb1="00000000"/>
  </w:font>
  <w:font w:name="微软雅黑">
    <w:altName w:val="黑体"/>
    <w:panose1 w:val="020B0503020204020204"/>
    <w:charset w:val="86"/>
    <w:family w:val="auto"/>
    <w:pitch w:val="default"/>
    <w:sig w:usb0="00000000" w:usb1="00000000" w:usb2="00000000" w:usb3="00000000" w:csb0="00000000" w:csb1="00000000"/>
  </w:font>
  <w:font w:name="等线">
    <w:altName w:val="宋体"/>
    <w:panose1 w:val="02010600030101010101"/>
    <w:charset w:val="86"/>
    <w:family w:val="auto"/>
    <w:pitch w:val="default"/>
    <w:sig w:usb0="00000000" w:usb1="00000000" w:usb2="00000000" w:usb3="00000000" w:csb0="00000000" w:csb1="00000000"/>
  </w:font>
  <w:font w:name="方正小标宋简体">
    <w:panose1 w:val="02000000000000000000"/>
    <w:charset w:val="86"/>
    <w:family w:val="script"/>
    <w:pitch w:val="default"/>
    <w:sig w:usb0="A00002BF" w:usb1="184F6CFA" w:usb2="00000012" w:usb3="00000000" w:csb0="00040001" w:csb1="00000000"/>
  </w:font>
  <w:font w:name="方正小标宋_GBK">
    <w:panose1 w:val="03000502000000000000"/>
    <w:charset w:val="86"/>
    <w:family w:val="auto"/>
    <w:pitch w:val="default"/>
    <w:sig w:usb0="00000001" w:usb1="080E0000" w:usb2="00000000" w:usb3="00000000" w:csb0="00040000" w:csb1="00000000"/>
  </w:font>
  <w:font w:name="文泉驿微米黑">
    <w:panose1 w:val="020B0606030804020204"/>
    <w:charset w:val="86"/>
    <w:family w:val="auto"/>
    <w:pitch w:val="default"/>
    <w:sig w:usb0="E10002EF" w:usb1="6BDFFCFB" w:usb2="00800036" w:usb3="00000000" w:csb0="603E019F" w:csb1="DFD70000"/>
  </w:font>
  <w:font w:name="方正仿宋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BYAAABkcnMvUEsBAhQAFAAAAAgAh07iQM6pebnPAAAABQEAAA8AAAAAAAAAAQAg&#10;AAAAOAAAAGRycy9kb3ducmV2LnhtbFBLAQIUABQAAAAIAIdO4kDkov7PyAEAAJkDAAAOAAAAAAAA&#10;AAEAIAAAADQBAABkcnMvZTJvRG9jLnhtbFBLBQYAAAAABgAGAFkBAABuBQAAAAA=&#10;">
              <v:fill on="f" focussize="0,0"/>
              <v:stroke on="f"/>
              <v:imagedata o:title=""/>
              <o:lock v:ext="edit" aspectratio="f"/>
              <v:textbox inset="0mm,0mm,0mm,0mm" style="mso-fit-shape-to-text:t;">
                <w:txbxContent>
                  <w:p>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423795C"/>
    <w:multiLevelType w:val="singleLevel"/>
    <w:tmpl w:val="8423795C"/>
    <w:lvl w:ilvl="0" w:tentative="0">
      <w:start w:val="2"/>
      <w:numFmt w:val="chineseCounting"/>
      <w:suff w:val="nothing"/>
      <w:lvlText w:val="（%1）"/>
      <w:lvlJc w:val="left"/>
      <w:rPr>
        <w:rFonts w:hint="eastAsia"/>
      </w:rPr>
    </w:lvl>
  </w:abstractNum>
  <w:abstractNum w:abstractNumId="1">
    <w:nsid w:val="9913B622"/>
    <w:multiLevelType w:val="singleLevel"/>
    <w:tmpl w:val="9913B622"/>
    <w:lvl w:ilvl="0" w:tentative="0">
      <w:start w:val="2"/>
      <w:numFmt w:val="chineseCounting"/>
      <w:suff w:val="nothing"/>
      <w:lvlText w:val="（%1）"/>
      <w:lvlJc w:val="left"/>
      <w:rPr>
        <w:rFonts w:hint="eastAsia"/>
      </w:rPr>
    </w:lvl>
  </w:abstractNum>
  <w:abstractNum w:abstractNumId="2">
    <w:nsid w:val="33532F58"/>
    <w:multiLevelType w:val="singleLevel"/>
    <w:tmpl w:val="33532F58"/>
    <w:lvl w:ilvl="0" w:tentative="0">
      <w:start w:val="2"/>
      <w:numFmt w:val="chineseCounting"/>
      <w:suff w:val="nothing"/>
      <w:lvlText w:val="（%1）"/>
      <w:lvlJc w:val="left"/>
      <w:rPr>
        <w:rFonts w:hint="eastAsia"/>
      </w:rPr>
    </w:lvl>
  </w:abstractNum>
  <w:abstractNum w:abstractNumId="3">
    <w:nsid w:val="3818A09A"/>
    <w:multiLevelType w:val="singleLevel"/>
    <w:tmpl w:val="3818A09A"/>
    <w:lvl w:ilvl="0" w:tentative="0">
      <w:start w:val="1"/>
      <w:numFmt w:val="chineseCounting"/>
      <w:suff w:val="nothing"/>
      <w:lvlText w:val="%1、"/>
      <w:lvlJc w:val="left"/>
      <w:rPr>
        <w:rFonts w:hint="eastAsia"/>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NotDisplayPageBoundaries w:val="1"/>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FDF3DF6"/>
    <w:rsid w:val="001C048E"/>
    <w:rsid w:val="02E8741F"/>
    <w:rsid w:val="03DB0660"/>
    <w:rsid w:val="03DB565E"/>
    <w:rsid w:val="05250587"/>
    <w:rsid w:val="071B2190"/>
    <w:rsid w:val="076B4C8A"/>
    <w:rsid w:val="08B80F05"/>
    <w:rsid w:val="08B815A4"/>
    <w:rsid w:val="098E3D06"/>
    <w:rsid w:val="0B5A630E"/>
    <w:rsid w:val="0D8A27C9"/>
    <w:rsid w:val="0E6D1FA6"/>
    <w:rsid w:val="0EA87B9E"/>
    <w:rsid w:val="115E1ACB"/>
    <w:rsid w:val="11E769B7"/>
    <w:rsid w:val="11F254F3"/>
    <w:rsid w:val="13FE40D6"/>
    <w:rsid w:val="149433CE"/>
    <w:rsid w:val="14BA279E"/>
    <w:rsid w:val="155A43E1"/>
    <w:rsid w:val="163E6C07"/>
    <w:rsid w:val="16AD40A8"/>
    <w:rsid w:val="19D41982"/>
    <w:rsid w:val="1BE5796A"/>
    <w:rsid w:val="1C566E7F"/>
    <w:rsid w:val="1D5E2A3C"/>
    <w:rsid w:val="1DD91BCB"/>
    <w:rsid w:val="2059498F"/>
    <w:rsid w:val="213D14CF"/>
    <w:rsid w:val="249E6E14"/>
    <w:rsid w:val="24B76BDB"/>
    <w:rsid w:val="25D72EC5"/>
    <w:rsid w:val="2D4F631A"/>
    <w:rsid w:val="2FBB4D1E"/>
    <w:rsid w:val="30336FAA"/>
    <w:rsid w:val="30900AD5"/>
    <w:rsid w:val="30CB3873"/>
    <w:rsid w:val="311C47DE"/>
    <w:rsid w:val="328F6CC8"/>
    <w:rsid w:val="348222AE"/>
    <w:rsid w:val="36D05553"/>
    <w:rsid w:val="37212036"/>
    <w:rsid w:val="374D1D52"/>
    <w:rsid w:val="382D2531"/>
    <w:rsid w:val="395C5536"/>
    <w:rsid w:val="39903CA0"/>
    <w:rsid w:val="399E5C14"/>
    <w:rsid w:val="3A377697"/>
    <w:rsid w:val="3A4C661E"/>
    <w:rsid w:val="3D2D6887"/>
    <w:rsid w:val="3E856123"/>
    <w:rsid w:val="3EE85404"/>
    <w:rsid w:val="402E5098"/>
    <w:rsid w:val="409475F1"/>
    <w:rsid w:val="40B913D4"/>
    <w:rsid w:val="42730573"/>
    <w:rsid w:val="4295652A"/>
    <w:rsid w:val="45C156B4"/>
    <w:rsid w:val="47364A29"/>
    <w:rsid w:val="47AC72E5"/>
    <w:rsid w:val="47D46133"/>
    <w:rsid w:val="481039F9"/>
    <w:rsid w:val="4A7945A4"/>
    <w:rsid w:val="4BCE3AD9"/>
    <w:rsid w:val="4BF522C0"/>
    <w:rsid w:val="4E1276A7"/>
    <w:rsid w:val="4E7473B3"/>
    <w:rsid w:val="4E9706A2"/>
    <w:rsid w:val="505D75A2"/>
    <w:rsid w:val="522E64C9"/>
    <w:rsid w:val="523F23C8"/>
    <w:rsid w:val="535A3D5F"/>
    <w:rsid w:val="550C4641"/>
    <w:rsid w:val="581B3CFC"/>
    <w:rsid w:val="591064E5"/>
    <w:rsid w:val="5B5C4D58"/>
    <w:rsid w:val="5BA5225B"/>
    <w:rsid w:val="5DDD2180"/>
    <w:rsid w:val="5EB81824"/>
    <w:rsid w:val="5F7C32E7"/>
    <w:rsid w:val="604A33D1"/>
    <w:rsid w:val="6108329D"/>
    <w:rsid w:val="64290FF2"/>
    <w:rsid w:val="67377A7D"/>
    <w:rsid w:val="678E6299"/>
    <w:rsid w:val="67B415C3"/>
    <w:rsid w:val="68052940"/>
    <w:rsid w:val="68161CF2"/>
    <w:rsid w:val="68B206DF"/>
    <w:rsid w:val="68F42855"/>
    <w:rsid w:val="695D23C7"/>
    <w:rsid w:val="6A617C95"/>
    <w:rsid w:val="6B6E2A6F"/>
    <w:rsid w:val="6C3134F5"/>
    <w:rsid w:val="6D317796"/>
    <w:rsid w:val="6D5B4E6F"/>
    <w:rsid w:val="6D9D7236"/>
    <w:rsid w:val="6EBE032E"/>
    <w:rsid w:val="70EC2B0E"/>
    <w:rsid w:val="72526A9A"/>
    <w:rsid w:val="74934EEE"/>
    <w:rsid w:val="76643889"/>
    <w:rsid w:val="77F67DFF"/>
    <w:rsid w:val="77F92A79"/>
    <w:rsid w:val="784D1858"/>
    <w:rsid w:val="78E87062"/>
    <w:rsid w:val="79FD47FB"/>
    <w:rsid w:val="7B6873A0"/>
    <w:rsid w:val="7DE440D5"/>
    <w:rsid w:val="7E541F75"/>
    <w:rsid w:val="7EBC14E6"/>
    <w:rsid w:val="7FDF3DF6"/>
    <w:rsid w:val="DE1EFBC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qFormat="1"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qFormat="1" w:unhideWhenUsed="0" w:uiPriority="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qFormat="1"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99"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uppressAutoHyphens/>
      <w:bidi w:val="0"/>
      <w:jc w:val="both"/>
    </w:pPr>
    <w:rPr>
      <w:rFonts w:ascii="Calibri" w:hAnsi="Calibri" w:eastAsia="宋体" w:cs="Times New Roman"/>
      <w:color w:val="auto"/>
      <w:kern w:val="2"/>
      <w:sz w:val="21"/>
      <w:szCs w:val="24"/>
      <w:lang w:val="en-US" w:eastAsia="zh-CN" w:bidi="ar-SA"/>
    </w:rPr>
  </w:style>
  <w:style w:type="paragraph" w:styleId="3">
    <w:name w:val="heading 1"/>
    <w:basedOn w:val="1"/>
    <w:next w:val="1"/>
    <w:link w:val="21"/>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22"/>
    <w:unhideWhenUsed/>
    <w:qFormat/>
    <w:uiPriority w:val="9"/>
    <w:pPr>
      <w:keepNext/>
      <w:keepLines/>
      <w:spacing w:before="260" w:after="260" w:line="416" w:lineRule="auto"/>
      <w:outlineLvl w:val="1"/>
    </w:pPr>
    <w:rPr>
      <w:rFonts w:ascii="Cambria" w:hAnsi="Cambria" w:eastAsia="宋体" w:cs="Times New Roman"/>
      <w:b/>
      <w:bCs/>
      <w:sz w:val="32"/>
      <w:szCs w:val="32"/>
    </w:rPr>
  </w:style>
  <w:style w:type="paragraph" w:styleId="5">
    <w:name w:val="heading 3"/>
    <w:basedOn w:val="1"/>
    <w:next w:val="6"/>
    <w:unhideWhenUsed/>
    <w:qFormat/>
    <w:uiPriority w:val="9"/>
    <w:pPr>
      <w:keepNext/>
      <w:keepLines/>
      <w:spacing w:before="260" w:after="260" w:line="416" w:lineRule="auto"/>
      <w:outlineLvl w:val="2"/>
    </w:pPr>
    <w:rPr>
      <w:b/>
      <w:bCs/>
      <w:sz w:val="32"/>
      <w:szCs w:val="32"/>
    </w:rPr>
  </w:style>
  <w:style w:type="character" w:default="1" w:styleId="18">
    <w:name w:val="Default Paragraph Font"/>
    <w:semiHidden/>
    <w:qFormat/>
    <w:uiPriority w:val="0"/>
  </w:style>
  <w:style w:type="table" w:default="1" w:styleId="17">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pacing w:before="0" w:after="140" w:line="276" w:lineRule="auto"/>
    </w:pPr>
  </w:style>
  <w:style w:type="paragraph" w:styleId="6">
    <w:name w:val="Normal Indent"/>
    <w:basedOn w:val="1"/>
    <w:qFormat/>
    <w:uiPriority w:val="99"/>
    <w:pPr>
      <w:spacing w:line="360" w:lineRule="auto"/>
      <w:ind w:firstLine="420"/>
    </w:pPr>
    <w:rPr>
      <w:rFonts w:ascii="仿宋_GB2312" w:hAnsi="Times New Roman" w:eastAsia="仿宋_GB2312"/>
      <w:kern w:val="0"/>
      <w:sz w:val="30"/>
      <w:szCs w:val="20"/>
    </w:rPr>
  </w:style>
  <w:style w:type="paragraph" w:styleId="7">
    <w:name w:val="Body Text Indent"/>
    <w:basedOn w:val="1"/>
    <w:next w:val="8"/>
    <w:qFormat/>
    <w:uiPriority w:val="0"/>
    <w:pPr>
      <w:spacing w:after="120"/>
      <w:ind w:leftChars="200"/>
    </w:pPr>
    <w:rPr>
      <w:rFonts w:ascii="仿宋_GB2312"/>
      <w:szCs w:val="32"/>
    </w:rPr>
  </w:style>
  <w:style w:type="paragraph" w:styleId="8">
    <w:name w:val="Body Text First Indent 2"/>
    <w:basedOn w:val="7"/>
    <w:next w:val="1"/>
    <w:unhideWhenUsed/>
    <w:qFormat/>
    <w:uiPriority w:val="99"/>
    <w:pPr>
      <w:ind w:firstLine="420" w:firstLineChars="200"/>
    </w:pPr>
  </w:style>
  <w:style w:type="paragraph" w:styleId="9">
    <w:name w:val="Plain Text"/>
    <w:basedOn w:val="1"/>
    <w:qFormat/>
    <w:uiPriority w:val="0"/>
    <w:rPr>
      <w:rFonts w:ascii="宋体" w:hAnsi="宋体" w:eastAsia="仿宋" w:cs="Arial Unicode MS"/>
      <w:kern w:val="0"/>
      <w:sz w:val="32"/>
      <w:szCs w:val="21"/>
      <w:lang w:bidi="bo-CN"/>
    </w:rPr>
  </w:style>
  <w:style w:type="paragraph" w:styleId="10">
    <w:name w:val="footer"/>
    <w:basedOn w:val="1"/>
    <w:qFormat/>
    <w:uiPriority w:val="0"/>
    <w:pPr>
      <w:tabs>
        <w:tab w:val="center" w:pos="4153"/>
        <w:tab w:val="right" w:pos="8306"/>
      </w:tabs>
      <w:snapToGrid w:val="0"/>
      <w:jc w:val="left"/>
    </w:pPr>
    <w:rPr>
      <w:sz w:val="18"/>
    </w:rPr>
  </w:style>
  <w:style w:type="paragraph" w:styleId="11">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2">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3">
    <w:name w:val="footnote text"/>
    <w:basedOn w:val="1"/>
    <w:next w:val="8"/>
    <w:semiHidden/>
    <w:qFormat/>
    <w:uiPriority w:val="0"/>
    <w:pPr>
      <w:snapToGrid w:val="0"/>
      <w:jc w:val="left"/>
    </w:pPr>
    <w:rPr>
      <w:sz w:val="18"/>
      <w:szCs w:val="18"/>
    </w:rPr>
  </w:style>
  <w:style w:type="paragraph" w:styleId="14">
    <w:name w:val="table of figures"/>
    <w:basedOn w:val="1"/>
    <w:next w:val="1"/>
    <w:qFormat/>
    <w:uiPriority w:val="0"/>
    <w:pPr>
      <w:ind w:left="400" w:leftChars="200" w:hanging="200" w:hangingChars="200"/>
    </w:pPr>
    <w:rPr>
      <w:rFonts w:ascii="Calibri" w:hAnsi="Calibri" w:eastAsia="仿宋"/>
      <w:sz w:val="32"/>
    </w:rPr>
  </w:style>
  <w:style w:type="paragraph" w:styleId="15">
    <w:name w:val="toc 2"/>
    <w:basedOn w:val="1"/>
    <w:next w:val="1"/>
    <w:unhideWhenUsed/>
    <w:qFormat/>
    <w:uiPriority w:val="39"/>
    <w:pPr>
      <w:tabs>
        <w:tab w:val="right" w:leader="dot" w:pos="8296"/>
      </w:tabs>
      <w:ind w:left="420" w:leftChars="200"/>
    </w:pPr>
  </w:style>
  <w:style w:type="paragraph" w:styleId="16">
    <w:name w:val="Normal (Web)"/>
    <w:basedOn w:val="1"/>
    <w:unhideWhenUsed/>
    <w:qFormat/>
    <w:uiPriority w:val="99"/>
    <w:pPr>
      <w:spacing w:before="100" w:beforeAutospacing="1" w:after="100" w:afterAutospacing="1"/>
      <w:ind w:left="0" w:right="0"/>
      <w:jc w:val="left"/>
    </w:pPr>
    <w:rPr>
      <w:kern w:val="0"/>
      <w:sz w:val="24"/>
      <w:lang w:val="en-US" w:eastAsia="zh-CN" w:bidi="ar"/>
    </w:rPr>
  </w:style>
  <w:style w:type="character" w:styleId="19">
    <w:name w:val="Strong"/>
    <w:basedOn w:val="18"/>
    <w:qFormat/>
    <w:uiPriority w:val="99"/>
    <w:rPr>
      <w:b/>
    </w:rPr>
  </w:style>
  <w:style w:type="character" w:styleId="20">
    <w:name w:val="Hyperlink"/>
    <w:basedOn w:val="18"/>
    <w:unhideWhenUsed/>
    <w:qFormat/>
    <w:uiPriority w:val="99"/>
    <w:rPr>
      <w:color w:val="0000FF"/>
      <w:u w:val="single"/>
    </w:rPr>
  </w:style>
  <w:style w:type="character" w:customStyle="1" w:styleId="21">
    <w:name w:val="标题 1 Char"/>
    <w:basedOn w:val="18"/>
    <w:link w:val="3"/>
    <w:qFormat/>
    <w:uiPriority w:val="9"/>
    <w:rPr>
      <w:b/>
      <w:bCs/>
      <w:kern w:val="44"/>
      <w:sz w:val="44"/>
      <w:szCs w:val="44"/>
    </w:rPr>
  </w:style>
  <w:style w:type="character" w:customStyle="1" w:styleId="22">
    <w:name w:val="标题 2 Char"/>
    <w:basedOn w:val="18"/>
    <w:link w:val="4"/>
    <w:qFormat/>
    <w:uiPriority w:val="9"/>
    <w:rPr>
      <w:rFonts w:ascii="Cambria" w:hAnsi="Cambria" w:eastAsia="宋体" w:cs="Times New Roman"/>
      <w:b/>
      <w:bCs/>
      <w:sz w:val="32"/>
      <w:szCs w:val="32"/>
    </w:rPr>
  </w:style>
  <w:style w:type="paragraph" w:customStyle="1" w:styleId="23">
    <w:name w:val="正文文本1"/>
    <w:basedOn w:val="1"/>
    <w:qFormat/>
    <w:uiPriority w:val="0"/>
    <w:pPr>
      <w:spacing w:before="93"/>
    </w:pPr>
    <w:rPr>
      <w:rFonts w:ascii="仿宋_GB2312" w:eastAsia="仿宋_GB2312" w:cs="仿宋_GB2312"/>
      <w:kern w:val="0"/>
      <w:sz w:val="30"/>
      <w:szCs w:val="30"/>
      <w:lang w:bidi="ar-SA"/>
    </w:rPr>
  </w:style>
  <w:style w:type="paragraph" w:styleId="24">
    <w:name w:val="List Paragraph"/>
    <w:basedOn w:val="1"/>
    <w:qFormat/>
    <w:uiPriority w:val="34"/>
    <w:pPr>
      <w:ind w:firstLine="420" w:firstLineChars="200"/>
    </w:pPr>
  </w:style>
  <w:style w:type="paragraph" w:customStyle="1" w:styleId="25">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customStyle="1" w:styleId="26">
    <w:name w:val="四号正文"/>
    <w:basedOn w:val="1"/>
    <w:qFormat/>
    <w:uiPriority w:val="0"/>
    <w:pPr>
      <w:spacing w:line="360" w:lineRule="auto"/>
    </w:pPr>
    <w:rPr>
      <w:rFonts w:ascii="??" w:hAnsi="??" w:eastAsia="宋体"/>
      <w:color w:val="000000"/>
      <w:kern w:val="0"/>
      <w:sz w:val="28"/>
      <w:szCs w:val="21"/>
      <w:lang w:val="zh-CN" w:eastAsia="zh-CN"/>
    </w:rPr>
  </w:style>
  <w:style w:type="character" w:customStyle="1" w:styleId="27">
    <w:name w:val="font51"/>
    <w:basedOn w:val="18"/>
    <w:qFormat/>
    <w:uiPriority w:val="0"/>
    <w:rPr>
      <w:rFonts w:ascii="宋体" w:hAnsi="宋体" w:eastAsia="宋体" w:cs="宋体"/>
      <w:color w:val="000000"/>
      <w:sz w:val="18"/>
      <w:szCs w:val="18"/>
      <w:u w:val="none"/>
    </w:rPr>
  </w:style>
  <w:style w:type="character" w:customStyle="1" w:styleId="28">
    <w:name w:val="font01"/>
    <w:basedOn w:val="18"/>
    <w:qFormat/>
    <w:uiPriority w:val="0"/>
    <w:rPr>
      <w:rFonts w:hint="default" w:ascii="Arial" w:hAnsi="Arial" w:cs="Arial"/>
      <w:color w:val="000000"/>
      <w:sz w:val="22"/>
      <w:szCs w:val="22"/>
      <w:u w:val="none"/>
    </w:rPr>
  </w:style>
  <w:style w:type="character" w:customStyle="1" w:styleId="29">
    <w:name w:val="font61"/>
    <w:basedOn w:val="18"/>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chart" Target="charts/chart1.xml"/><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chart" Target="charts/chart6.xml"/><Relationship Id="rId13" Type="http://schemas.openxmlformats.org/officeDocument/2006/relationships/chart" Target="charts/chart5.xml"/><Relationship Id="rId12" Type="http://schemas.openxmlformats.org/officeDocument/2006/relationships/chart" Target="charts/chart4.xml"/><Relationship Id="rId11" Type="http://schemas.openxmlformats.org/officeDocument/2006/relationships/chart" Target="charts/chart3.xml"/><Relationship Id="rId10" Type="http://schemas.openxmlformats.org/officeDocument/2006/relationships/chart" Target="charts/chart2.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4" Type="http://schemas.microsoft.com/office/2011/relationships/chartColorStyle" Target="colors4.xml"/><Relationship Id="rId3" Type="http://schemas.microsoft.com/office/2011/relationships/chartStyle" Target="style4.xml"/><Relationship Id="rId2" Type="http://schemas.openxmlformats.org/officeDocument/2006/relationships/themeOverride" Target="../theme/themeOverride3.xml"/><Relationship Id="rId1" Type="http://schemas.openxmlformats.org/officeDocument/2006/relationships/oleObject" Target="&#24037;&#20316;&#31807;1" TargetMode="External"/></Relationships>
</file>

<file path=word/charts/_rels/chart2.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oleObject" Target="&#24037;&#20316;&#31807;1" TargetMode="External"/></Relationships>
</file>

<file path=word/charts/_rels/chart3.xml.rels><?xml version="1.0" encoding="UTF-8" standalone="yes"?>
<Relationships xmlns="http://schemas.openxmlformats.org/package/2006/relationships"><Relationship Id="rId5" Type="http://schemas.microsoft.com/office/2011/relationships/chartColorStyle" Target="colors2.xml"/><Relationship Id="rId4" Type="http://schemas.microsoft.com/office/2011/relationships/chartStyle" Target="style2.xml"/><Relationship Id="rId3" Type="http://schemas.openxmlformats.org/officeDocument/2006/relationships/image" Target="../media/image3.png"/><Relationship Id="rId2" Type="http://schemas.openxmlformats.org/officeDocument/2006/relationships/themeOverride" Target="../theme/themeOverride2.xml"/><Relationship Id="rId1" Type="http://schemas.openxmlformats.org/officeDocument/2006/relationships/oleObject" Target="&#24037;&#20316;&#31807;1" TargetMode="External"/></Relationships>
</file>

<file path=word/charts/_rels/chart4.xml.rels><?xml version="1.0" encoding="UTF-8" standalone="yes"?>
<Relationships xmlns="http://schemas.openxmlformats.org/package/2006/relationships"><Relationship Id="rId5" Type="http://schemas.microsoft.com/office/2011/relationships/chartColorStyle" Target="colors1.xml"/><Relationship Id="rId4" Type="http://schemas.microsoft.com/office/2011/relationships/chartStyle" Target="style1.xml"/><Relationship Id="rId3" Type="http://schemas.openxmlformats.org/officeDocument/2006/relationships/image" Target="../media/image2.png"/><Relationship Id="rId2" Type="http://schemas.openxmlformats.org/officeDocument/2006/relationships/themeOverride" Target="../theme/themeOverride1.xml"/><Relationship Id="rId1" Type="http://schemas.openxmlformats.org/officeDocument/2006/relationships/oleObject" Target="&#24037;&#20316;&#31807;1" TargetMode="External"/></Relationships>
</file>

<file path=word/charts/_rels/chart5.xml.rels><?xml version="1.0" encoding="UTF-8" standalone="yes"?>
<Relationships xmlns="http://schemas.openxmlformats.org/package/2006/relationships"><Relationship Id="rId4" Type="http://schemas.microsoft.com/office/2011/relationships/chartColorStyle" Target="colors5.xml"/><Relationship Id="rId3" Type="http://schemas.microsoft.com/office/2011/relationships/chartStyle" Target="style5.xml"/><Relationship Id="rId2" Type="http://schemas.openxmlformats.org/officeDocument/2006/relationships/themeOverride" Target="../theme/themeOverride4.xml"/><Relationship Id="rId1" Type="http://schemas.openxmlformats.org/officeDocument/2006/relationships/oleObject" Target="&#24037;&#20316;&#31807;1"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24037;&#20316;&#34920;%20&#22312;%202024&#24180;&#24230;&#22235;&#24029;&#30465;&#38463;&#22365;&#24030;&#22756;&#22616;&#21439;&#23573;&#22810;&#20065;&#20154;&#27665;&#25919;&#24220;&#37096;&#38376;&#20915;&#31639;.doc"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forceAA="0"/>
          <a:lstStyle/>
          <a:p>
            <a:pPr>
              <a:defRPr lang="zh-CN" sz="1400" b="0" i="0" u="none" strike="noStrike" kern="1200" spc="0" baseline="0">
                <a:solidFill>
                  <a:srgbClr val="404040">
                    <a:lumMod val="75000"/>
                    <a:lumOff val="25000"/>
                  </a:srgb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r>
              <a:t>2025年收入决算情况图</a:t>
            </a:r>
          </a:p>
        </c:rich>
      </c:tx>
      <c:layout>
        <c:manualLayout>
          <c:xMode val="edge"/>
          <c:yMode val="edge"/>
          <c:x val="0.354407999024509"/>
          <c:y val="0.0224489795918367"/>
        </c:manualLayout>
      </c:layout>
      <c:overlay val="0"/>
      <c:spPr>
        <a:noFill/>
        <a:ln>
          <a:noFill/>
        </a:ln>
        <a:effectLst/>
      </c:spPr>
    </c:title>
    <c:autoTitleDeleted val="0"/>
    <c:plotArea>
      <c:layout>
        <c:manualLayout>
          <c:layoutTarget val="inner"/>
          <c:xMode val="edge"/>
          <c:yMode val="edge"/>
          <c:x val="0.0289473684210526"/>
          <c:y val="0.163502109704641"/>
          <c:w val="0.942105263157895"/>
          <c:h val="0.787974683544304"/>
        </c:manualLayout>
      </c:layout>
      <c:pieChart>
        <c:varyColors val="1"/>
        <c:ser>
          <c:idx val="0"/>
          <c:order val="0"/>
          <c:spPr>
            <a:solidFill>
              <a:srgbClr val="30C0B4">
                <a:lumMod val="60000"/>
                <a:lumOff val="40000"/>
              </a:srgbClr>
            </a:solidFill>
            <a:ln w="19050" cap="rnd">
              <a:solidFill>
                <a:srgbClr val="262626">
                  <a:lumMod val="85000"/>
                  <a:lumOff val="15000"/>
                </a:srgbClr>
              </a:solidFill>
              <a:round/>
            </a:ln>
            <a:effectLst/>
          </c:spPr>
          <c:explosion val="0"/>
          <c:dPt>
            <c:idx val="0"/>
            <c:bubble3D val="0"/>
            <c:spPr>
              <a:solidFill>
                <a:srgbClr val="30C0B4">
                  <a:lumMod val="60000"/>
                  <a:lumOff val="40000"/>
                </a:srgbClr>
              </a:solidFill>
              <a:ln w="19050" cap="rnd">
                <a:solidFill>
                  <a:srgbClr val="262626">
                    <a:lumMod val="85000"/>
                    <a:lumOff val="15000"/>
                  </a:srgbClr>
                </a:solidFill>
                <a:round/>
              </a:ln>
              <a:effectLst/>
            </c:spPr>
          </c:dPt>
          <c:dPt>
            <c:idx val="1"/>
            <c:bubble3D val="0"/>
            <c:spPr>
              <a:solidFill>
                <a:srgbClr val="30C0B4">
                  <a:lumMod val="60000"/>
                  <a:lumOff val="40000"/>
                </a:srgbClr>
              </a:solidFill>
              <a:ln w="19050" cap="rnd">
                <a:solidFill>
                  <a:srgbClr val="262626">
                    <a:lumMod val="85000"/>
                    <a:lumOff val="15000"/>
                  </a:srgbClr>
                </a:solidFill>
                <a:round/>
              </a:ln>
              <a:effectLst/>
            </c:spPr>
          </c:dPt>
          <c:dPt>
            <c:idx val="2"/>
            <c:bubble3D val="0"/>
            <c:spPr>
              <a:solidFill>
                <a:srgbClr val="30C0B4">
                  <a:lumMod val="60000"/>
                  <a:lumOff val="40000"/>
                </a:srgbClr>
              </a:solidFill>
              <a:ln w="19050" cap="rnd">
                <a:solidFill>
                  <a:srgbClr val="262626">
                    <a:lumMod val="85000"/>
                    <a:lumOff val="15000"/>
                  </a:srgbClr>
                </a:solidFill>
                <a:round/>
              </a:ln>
              <a:effectLst/>
            </c:spPr>
          </c:dPt>
          <c:dPt>
            <c:idx val="3"/>
            <c:bubble3D val="0"/>
            <c:spPr>
              <a:solidFill>
                <a:srgbClr val="30C0B4">
                  <a:lumMod val="60000"/>
                  <a:lumOff val="40000"/>
                </a:srgbClr>
              </a:solidFill>
              <a:ln w="19050" cap="rnd">
                <a:solidFill>
                  <a:srgbClr val="262626">
                    <a:lumMod val="85000"/>
                    <a:lumOff val="15000"/>
                  </a:srgbClr>
                </a:solidFill>
                <a:round/>
              </a:ln>
              <a:effectLst/>
            </c:spPr>
          </c:dPt>
          <c:dPt>
            <c:idx val="4"/>
            <c:bubble3D val="0"/>
            <c:spPr>
              <a:solidFill>
                <a:srgbClr val="30C0B4">
                  <a:lumMod val="60000"/>
                  <a:lumOff val="40000"/>
                </a:srgbClr>
              </a:solidFill>
              <a:ln w="19050" cap="rnd">
                <a:solidFill>
                  <a:srgbClr val="262626">
                    <a:lumMod val="85000"/>
                    <a:lumOff val="15000"/>
                  </a:srgbClr>
                </a:solidFill>
                <a:round/>
              </a:ln>
              <a:effectLst/>
            </c:spPr>
          </c:dPt>
          <c:dLbls>
            <c:dLbl>
              <c:idx val="0"/>
              <c:layout/>
              <c:tx>
                <c:rich>
                  <a:bodyPr rot="0" spcFirstLastPara="0" vertOverflow="ellipsis" vert="horz" wrap="square" lIns="38100" tIns="19050" rIns="38100" bIns="19050" anchor="ctr" anchorCtr="1" forceAA="0"/>
                  <a:lstStyle/>
                  <a:p>
                    <a:pPr defTabSz="914400">
                      <a:defRPr lang="zh-CN" sz="900" b="0" i="0" u="none" strike="noStrike" kern="1200" baseline="0">
                        <a:solidFill>
                          <a:srgbClr val="404040">
                            <a:lumMod val="75000"/>
                            <a:lumOff val="25000"/>
                          </a:srgb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r>
                      <a:t>一般公共预算财政拨款收入5978.8万元</a:t>
                    </a:r>
                  </a:p>
                </c:rich>
              </c:tx>
              <c:dLblPos val="inEnd"/>
              <c:showLegendKey val="0"/>
              <c:showVal val="1"/>
              <c:showCatName val="1"/>
              <c:showSerName val="0"/>
              <c:showPercent val="0"/>
              <c:showBubbleSize val="0"/>
              <c:separator>
</c:separator>
              <c:extLst>
                <c:ext xmlns:c15="http://schemas.microsoft.com/office/drawing/2012/chart" uri="{CE6537A1-D6FC-4f65-9D91-7224C49458BB}"/>
              </c:extLst>
            </c:dLbl>
            <c:dLbl>
              <c:idx val="1"/>
              <c:layout>
                <c:manualLayout>
                  <c:x val="0.0522391161980814"/>
                  <c:y val="0.00510202254800105"/>
                </c:manualLayout>
              </c:layout>
              <c:tx>
                <c:rich>
                  <a:bodyPr rot="0" spcFirstLastPara="0" vertOverflow="ellipsis" vert="horz" wrap="square" lIns="38100" tIns="19050" rIns="38100" bIns="19050" anchor="ctr" anchorCtr="1" forceAA="0"/>
                  <a:lstStyle/>
                  <a:p>
                    <a:pPr defTabSz="914400">
                      <a:defRPr lang="zh-CN" sz="900" b="0" i="0" u="none" strike="noStrike" kern="1200" baseline="0">
                        <a:solidFill>
                          <a:srgbClr val="404040">
                            <a:lumMod val="75000"/>
                            <a:lumOff val="25000"/>
                          </a:srgb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r>
                      <a:t>其他收入6.9万元</a:t>
                    </a:r>
                  </a:p>
                </c:rich>
              </c:tx>
              <c:dLblPos val="bestFit"/>
              <c:showLegendKey val="0"/>
              <c:showVal val="1"/>
              <c:showCatName val="1"/>
              <c:showSerName val="0"/>
              <c:showPercent val="0"/>
              <c:showBubbleSize val="0"/>
              <c:separator>
</c:separator>
              <c:extLst>
                <c:ext xmlns:c15="http://schemas.microsoft.com/office/drawing/2012/chart" uri="{CE6537A1-D6FC-4f65-9D91-7224C49458BB}">
                  <c15:layout/>
                </c:ext>
              </c:extLst>
            </c:dLbl>
            <c:dLbl>
              <c:idx val="2"/>
              <c:layout>
                <c:manualLayout>
                  <c:x val="-0.40066414674606"/>
                  <c:y val="0.0497328968057804"/>
                </c:manualLayout>
              </c:layout>
              <c:dLblPos val="bestFit"/>
              <c:showLegendKey val="0"/>
              <c:showVal val="1"/>
              <c:showCatName val="1"/>
              <c:showSerName val="0"/>
              <c:showPercent val="0"/>
              <c:showBubbleSize val="0"/>
              <c:separator>
</c:separator>
              <c:extLst>
                <c:ext xmlns:c15="http://schemas.microsoft.com/office/drawing/2012/chart" uri="{CE6537A1-D6FC-4f65-9D91-7224C49458BB}">
                  <c15:layout/>
                </c:ext>
              </c:extLst>
            </c:dLbl>
            <c:dLbl>
              <c:idx val="3"/>
              <c:layout>
                <c:manualLayout>
                  <c:x val="-0.40066414674606"/>
                  <c:y val="0.327175889360394"/>
                </c:manualLayout>
              </c:layout>
              <c:dLblPos val="bestFit"/>
              <c:showLegendKey val="0"/>
              <c:showVal val="1"/>
              <c:showCatName val="1"/>
              <c:showSerName val="0"/>
              <c:showPercent val="0"/>
              <c:showBubbleSize val="0"/>
              <c:separator>
</c:separator>
              <c:extLst>
                <c:ext xmlns:c15="http://schemas.microsoft.com/office/drawing/2012/chart" uri="{CE6537A1-D6FC-4f65-9D91-7224C49458BB}">
                  <c15:layout/>
                </c:ext>
              </c:extLst>
            </c:dLbl>
            <c:dLbl>
              <c:idx val="4"/>
              <c:layout>
                <c:manualLayout>
                  <c:x val="-0.425611182615896"/>
                  <c:y val="0.164212956069452"/>
                </c:manualLayout>
              </c:layout>
              <c:dLblPos val="bestFit"/>
              <c:showLegendKey val="0"/>
              <c:showVal val="1"/>
              <c:showCatName val="1"/>
              <c:showSerName val="0"/>
              <c:showPercent val="0"/>
              <c:showBubbleSize val="0"/>
              <c:separator>
</c:separator>
              <c:extLst>
                <c:ext xmlns:c15="http://schemas.microsoft.com/office/drawing/2012/chart" uri="{CE6537A1-D6FC-4f65-9D91-7224C49458BB}">
                  <c15:layout/>
                </c:ext>
              </c:extLst>
            </c:dLbl>
            <c:numFmt formatCode="General" sourceLinked="1"/>
            <c:spPr>
              <a:noFill/>
              <a:ln>
                <a:noFill/>
              </a:ln>
              <a:effectLst/>
            </c:spPr>
            <c:txPr>
              <a:bodyPr rot="0" spcFirstLastPara="0" vertOverflow="ellipsis" vert="horz" wrap="square" lIns="38100" tIns="19050" rIns="38100" bIns="19050" anchor="ctr" anchorCtr="1" forceAA="0"/>
              <a:lstStyle/>
              <a:p>
                <a:pPr>
                  <a:defRPr lang="zh-CN" sz="900" b="0" i="0" u="none" strike="noStrike" kern="1200" baseline="0">
                    <a:solidFill>
                      <a:srgbClr val="404040">
                        <a:lumMod val="75000"/>
                        <a:lumOff val="25000"/>
                      </a:srgb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dLblPos val="inEnd"/>
            <c:showLegendKey val="0"/>
            <c:showVal val="1"/>
            <c:showCatName val="1"/>
            <c:showSerName val="0"/>
            <c:showPercent val="0"/>
            <c:showBubbleSize val="0"/>
            <c:separator>
</c:separator>
            <c:showLeaderLines val="0"/>
            <c:extLst>
              <c:ext xmlns:c15="http://schemas.microsoft.com/office/drawing/2012/chart" uri="{CE6537A1-D6FC-4f65-9D91-7224C49458BB}">
                <c15:layout/>
                <c15:showLeaderLines val="0"/>
                <c15:leaderLines>
                  <c:spPr>
                    <a:ln w="9525" cap="flat" cmpd="sng" algn="ctr">
                      <a:solidFill>
                        <a:srgbClr val="A6A6A6">
                          <a:lumMod val="35000"/>
                          <a:lumOff val="65000"/>
                        </a:srgbClr>
                      </a:solidFill>
                      <a:round/>
                    </a:ln>
                    <a:effectLst/>
                  </c:spPr>
                </c15:leaderLines>
              </c:ext>
            </c:extLst>
          </c:dLbls>
          <c:cat>
            <c:strRef>
              <c:f>[工作簿1]Sheet2!$B$29:$B$33</c:f>
              <c:strCache>
                <c:ptCount val="5"/>
                <c:pt idx="0">
                  <c:v>一般公共预算财政拨款收入</c:v>
                </c:pt>
                <c:pt idx="1">
                  <c:v>其他收入</c:v>
                </c:pt>
                <c:pt idx="2">
                  <c:v>政府性基金预直财政拨款收入</c:v>
                </c:pt>
                <c:pt idx="3">
                  <c:v>国有资本经营预算财政拨款收入</c:v>
                </c:pt>
                <c:pt idx="4">
                  <c:v>上级补助收入</c:v>
                </c:pt>
              </c:strCache>
            </c:strRef>
          </c:cat>
          <c:val>
            <c:numRef>
              <c:f>[工作簿1]Sheet2!$C$29:$C$33</c:f>
              <c:numCache>
                <c:formatCode>General</c:formatCode>
                <c:ptCount val="5"/>
                <c:pt idx="0">
                  <c:v>5978.8</c:v>
                </c:pt>
                <c:pt idx="1">
                  <c:v>6.9</c:v>
                </c:pt>
                <c:pt idx="2">
                  <c:v>0</c:v>
                </c:pt>
                <c:pt idx="3">
                  <c:v>0</c:v>
                </c:pt>
                <c:pt idx="4">
                  <c:v>0</c:v>
                </c:pt>
              </c:numCache>
            </c:numRef>
          </c:val>
        </c:ser>
        <c:dLbls>
          <c:showLegendKey val="0"/>
          <c:showVal val="1"/>
          <c:showCatName val="0"/>
          <c:showSerName val="0"/>
          <c:showPercent val="0"/>
          <c:showBubbleSize val="0"/>
          <c:showLeaderLines val="1"/>
        </c:dLbls>
        <c:firstSliceAng val="0"/>
      </c:pieChart>
      <c:spPr>
        <a:noFill/>
        <a:ln>
          <a:noFill/>
        </a:ln>
        <a:effectLst/>
      </c:spPr>
    </c:plotArea>
    <c:plotVisOnly val="1"/>
    <c:dispBlanksAs val="gap"/>
    <c:showDLblsOverMax val="0"/>
  </c:chart>
  <c:spPr>
    <a:solidFill>
      <a:srgbClr val="4874CB">
        <a:lumMod val="40000"/>
        <a:lumOff val="60000"/>
      </a:srgbClr>
    </a:solidFill>
    <a:ln w="9525" cap="flat" cmpd="sng" algn="ctr">
      <a:solidFill>
        <a:srgbClr val="808080">
          <a:lumMod val="50000"/>
          <a:lumOff val="50000"/>
          <a:alpha val="25000"/>
        </a:srgbClr>
      </a:solidFill>
      <a:round/>
    </a:ln>
    <a:effectLst>
      <a:outerShdw blurRad="63500" dist="37357" dir="2700000" sx="0" sy="0" rotWithShape="0">
        <a:scrgbClr r="0" g="0" b="0"/>
      </a:outerShdw>
    </a:effectLst>
  </c:spPr>
  <c:txPr>
    <a:bodyPr/>
    <a:lstStyle/>
    <a:p>
      <a:pPr>
        <a:defRPr lang="zh-CN">
          <a:solidFill>
            <a:srgbClr val="404040">
              <a:lumMod val="75000"/>
              <a:lumOff val="25000"/>
            </a:srgb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forceAA="0"/>
          <a:lstStyle/>
          <a:p>
            <a:pPr defTabSz="914400">
              <a:defRPr lang="zh-CN" sz="1400" b="0" i="0" u="none" strike="noStrike" kern="1200" cap="all" baseline="0">
                <a:solidFill>
                  <a:sysClr val="windowText" lastClr="000000"/>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r>
              <a:rPr>
                <a:solidFill>
                  <a:sysClr val="windowText" lastClr="000000"/>
                </a:solidFill>
              </a:rPr>
              <a:t>2025年支出决算情况图</a:t>
            </a:r>
            <a:endParaRPr>
              <a:solidFill>
                <a:sysClr val="windowText" lastClr="000000"/>
              </a:solidFill>
            </a:endParaRPr>
          </a:p>
        </c:rich>
      </c:tx>
      <c:layout/>
      <c:overlay val="0"/>
      <c:spPr>
        <a:noFill/>
        <a:ln>
          <a:noFill/>
        </a:ln>
        <a:effectLst/>
      </c:spPr>
    </c:title>
    <c:autoTitleDeleted val="0"/>
    <c:plotArea>
      <c:layout/>
      <c:pieChart>
        <c:varyColors val="1"/>
        <c:ser>
          <c:idx val="0"/>
          <c:order val="0"/>
          <c:spPr>
            <a:ln>
              <a:solidFill>
                <a:srgbClr val="FFFFFF"/>
              </a:solidFill>
            </a:ln>
            <a:effectLst>
              <a:glow rad="88900">
                <a:srgbClr val="267DE6">
                  <a:satMod val="175000"/>
                  <a:alpha val="40000"/>
                </a:srgbClr>
              </a:glow>
            </a:effectLst>
          </c:spPr>
          <c:explosion val="0"/>
          <c:dPt>
            <c:idx val="0"/>
            <c:bubble3D val="0"/>
            <c:explosion val="10"/>
            <c:spPr>
              <a:solidFill>
                <a:srgbClr val="4F81BD"/>
              </a:solidFill>
              <a:ln>
                <a:solidFill>
                  <a:srgbClr val="FFFFFF"/>
                </a:solidFill>
              </a:ln>
              <a:effectLst>
                <a:glow rad="88900">
                  <a:srgbClr val="267DE6">
                    <a:satMod val="175000"/>
                    <a:alpha val="40000"/>
                  </a:srgbClr>
                </a:glow>
              </a:effectLst>
            </c:spPr>
          </c:dPt>
          <c:dPt>
            <c:idx val="1"/>
            <c:bubble3D val="0"/>
            <c:spPr>
              <a:solidFill>
                <a:srgbClr val="C0504D"/>
              </a:solidFill>
              <a:ln>
                <a:solidFill>
                  <a:srgbClr val="FFFFFF"/>
                </a:solidFill>
              </a:ln>
              <a:effectLst>
                <a:glow rad="88900">
                  <a:srgbClr val="C0504D">
                    <a:alpha val="40000"/>
                  </a:srgbClr>
                </a:glow>
              </a:effectLst>
            </c:spPr>
          </c:dPt>
          <c:dPt>
            <c:idx val="2"/>
            <c:bubble3D val="0"/>
            <c:spPr>
              <a:solidFill>
                <a:srgbClr val="9BBB59"/>
              </a:solidFill>
              <a:ln>
                <a:solidFill>
                  <a:srgbClr val="FFFFFF"/>
                </a:solidFill>
              </a:ln>
              <a:effectLst>
                <a:glow rad="88900">
                  <a:srgbClr val="9BBB59">
                    <a:alpha val="40000"/>
                  </a:srgbClr>
                </a:glow>
              </a:effectLst>
            </c:spPr>
          </c:dPt>
          <c:dPt>
            <c:idx val="3"/>
            <c:bubble3D val="0"/>
            <c:spPr>
              <a:solidFill>
                <a:srgbClr val="8064A2"/>
              </a:solidFill>
              <a:ln>
                <a:solidFill>
                  <a:srgbClr val="FFFFFF"/>
                </a:solidFill>
              </a:ln>
              <a:effectLst>
                <a:glow rad="88900">
                  <a:srgbClr val="8064A2">
                    <a:alpha val="40000"/>
                  </a:srgbClr>
                </a:glow>
              </a:effectLst>
            </c:spPr>
          </c:dPt>
          <c:dPt>
            <c:idx val="4"/>
            <c:bubble3D val="0"/>
            <c:explosion val="0"/>
            <c:spPr>
              <a:solidFill>
                <a:srgbClr val="4BACC6"/>
              </a:solidFill>
              <a:ln>
                <a:solidFill>
                  <a:srgbClr val="FFFFFF"/>
                </a:solidFill>
              </a:ln>
              <a:effectLst>
                <a:glow rad="88900">
                  <a:srgbClr val="4BACC6">
                    <a:alpha val="40000"/>
                  </a:srgbClr>
                </a:glow>
              </a:effectLst>
            </c:spPr>
          </c:dPt>
          <c:dLbls>
            <c:dLbl>
              <c:idx val="0"/>
              <c:layout>
                <c:manualLayout>
                  <c:x val="0.0731592849921028"/>
                  <c:y val="0.128225250936263"/>
                </c:manualLayout>
              </c:layout>
              <c:tx>
                <c:rich>
                  <a:bodyPr rot="0" spcFirstLastPara="0" vertOverflow="ellipsis" vert="horz" wrap="square" lIns="38100" tIns="19050" rIns="38100" bIns="19050" anchor="ctr" anchorCtr="1" forceAA="0"/>
                  <a:lstStyle/>
                  <a:p>
                    <a:pPr defTabSz="914400">
                      <a:defRPr lang="zh-CN" sz="900" b="1" i="0" u="none" strike="noStrike" kern="1200" spc="0" baseline="0">
                        <a:solidFill>
                          <a:sysClr val="windowText" lastClr="000000"/>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r>
                      <a:rPr>
                        <a:solidFill>
                          <a:sysClr val="windowText" lastClr="000000"/>
                        </a:solidFill>
                      </a:rPr>
                      <a:t>基本支出1,026.27万元</a:t>
                    </a:r>
                    <a:endParaRPr>
                      <a:solidFill>
                        <a:sysClr val="windowText" lastClr="000000"/>
                      </a:solidFill>
                    </a:endParaRPr>
                  </a:p>
                </c:rich>
              </c:tx>
              <c:numFmt formatCode="General" sourceLinked="1"/>
              <c:spPr>
                <a:noFill/>
                <a:ln>
                  <a:noFill/>
                </a:ln>
                <a:effectLst/>
              </c:spPr>
              <c:txPr>
                <a:bodyPr rot="0" spcFirstLastPara="0" vertOverflow="ellipsis" vert="horz" wrap="square" lIns="38100" tIns="19050" rIns="38100" bIns="19050" anchor="ctr" anchorCtr="1" forceAA="0"/>
                <a:lstStyle/>
                <a:p>
                  <a:pPr>
                    <a:defRPr lang="zh-CN" sz="900" b="1" i="0" u="none" strike="noStrike" kern="1200" spc="0" baseline="0">
                      <a:solidFill>
                        <a:sysClr val="windowText" lastClr="000000"/>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dLblPos val="bestFit"/>
              <c:showLegendKey val="0"/>
              <c:showVal val="1"/>
              <c:showCatName val="1"/>
              <c:showSerName val="0"/>
              <c:showPercent val="0"/>
              <c:showBubbleSize val="0"/>
              <c:separator>
</c:separator>
              <c:extLst>
                <c:ext xmlns:c15="http://schemas.microsoft.com/office/drawing/2012/chart" uri="{CE6537A1-D6FC-4f65-9D91-7224C49458BB}">
                  <c15:layout/>
                </c:ext>
              </c:extLst>
            </c:dLbl>
            <c:dLbl>
              <c:idx val="1"/>
              <c:layout/>
              <c:tx>
                <c:rich>
                  <a:bodyPr rot="0" spcFirstLastPara="0" vertOverflow="ellipsis" vert="horz" wrap="square" lIns="38100" tIns="19050" rIns="38100" bIns="19050" anchor="ctr" anchorCtr="1" forceAA="0"/>
                  <a:lstStyle/>
                  <a:p>
                    <a:pPr defTabSz="914400">
                      <a:defRPr lang="zh-CN" sz="900" b="1" i="0" u="none" strike="noStrike" kern="1200" spc="0" baseline="0">
                        <a:solidFill>
                          <a:sysClr val="windowText" lastClr="000000"/>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r>
                      <a:rPr>
                        <a:solidFill>
                          <a:sysClr val="windowText" lastClr="000000"/>
                        </a:solidFill>
                      </a:rPr>
                      <a:t>项目支出4,952.53万元</a:t>
                    </a:r>
                    <a:endParaRPr>
                      <a:solidFill>
                        <a:sysClr val="windowText" lastClr="000000"/>
                      </a:solidFill>
                    </a:endParaRPr>
                  </a:p>
                </c:rich>
              </c:tx>
              <c:numFmt formatCode="General" sourceLinked="1"/>
              <c:spPr>
                <a:noFill/>
                <a:ln>
                  <a:noFill/>
                </a:ln>
                <a:effectLst/>
              </c:spPr>
              <c:txPr>
                <a:bodyPr rot="0" spcFirstLastPara="0" vertOverflow="ellipsis" vert="horz" wrap="square" lIns="38100" tIns="19050" rIns="38100" bIns="19050" anchor="ctr" anchorCtr="1" forceAA="0"/>
                <a:lstStyle/>
                <a:p>
                  <a:pPr>
                    <a:defRPr lang="zh-CN" sz="900" b="1" i="0" u="none" strike="noStrike" kern="1200" spc="0" baseline="0">
                      <a:solidFill>
                        <a:sysClr val="windowText" lastClr="000000"/>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dLblPos val="inEnd"/>
              <c:showLegendKey val="0"/>
              <c:showVal val="1"/>
              <c:showCatName val="1"/>
              <c:showSerName val="0"/>
              <c:showPercent val="0"/>
              <c:showBubbleSize val="0"/>
              <c:separator>
</c:separator>
              <c:extLst>
                <c:ext xmlns:c15="http://schemas.microsoft.com/office/drawing/2012/chart" uri="{CE6537A1-D6FC-4f65-9D91-7224C49458BB}"/>
              </c:extLst>
            </c:dLbl>
            <c:dLbl>
              <c:idx val="2"/>
              <c:layout>
                <c:manualLayout>
                  <c:x val="-0.106579570262052"/>
                  <c:y val="0.106215277776866"/>
                </c:manualLayout>
              </c:layout>
              <c:numFmt formatCode="General" sourceLinked="1"/>
              <c:spPr>
                <a:noFill/>
                <a:ln>
                  <a:noFill/>
                </a:ln>
                <a:effectLst/>
              </c:spPr>
              <c:txPr>
                <a:bodyPr rot="0" spcFirstLastPara="0" vertOverflow="ellipsis" vert="horz" wrap="square" lIns="38100" tIns="19050" rIns="38100" bIns="19050" anchor="ctr" anchorCtr="1" forceAA="0"/>
                <a:lstStyle/>
                <a:p>
                  <a:pPr>
                    <a:defRPr lang="zh-CN" sz="900" b="1" i="0" u="none" strike="noStrike" kern="1200" spc="0" baseline="0">
                      <a:solidFill>
                        <a:sysClr val="windowText" lastClr="000000"/>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dLblPos val="bestFit"/>
              <c:showLegendKey val="0"/>
              <c:showVal val="1"/>
              <c:showCatName val="1"/>
              <c:showSerName val="0"/>
              <c:showPercent val="0"/>
              <c:showBubbleSize val="0"/>
              <c:separator>
</c:separator>
              <c:extLst>
                <c:ext xmlns:c15="http://schemas.microsoft.com/office/drawing/2012/chart" uri="{CE6537A1-D6FC-4f65-9D91-7224C49458BB}">
                  <c15:layout/>
                </c:ext>
              </c:extLst>
            </c:dLbl>
            <c:dLbl>
              <c:idx val="3"/>
              <c:layout>
                <c:manualLayout>
                  <c:x val="-0.298684666763975"/>
                  <c:y val="0.346956018517606"/>
                </c:manualLayout>
              </c:layout>
              <c:numFmt formatCode="General" sourceLinked="1"/>
              <c:spPr>
                <a:noFill/>
                <a:ln>
                  <a:noFill/>
                </a:ln>
                <a:effectLst/>
              </c:spPr>
              <c:txPr>
                <a:bodyPr rot="0" spcFirstLastPara="0" vertOverflow="ellipsis" vert="horz" wrap="square" lIns="38100" tIns="19050" rIns="38100" bIns="19050" anchor="ctr" anchorCtr="1" forceAA="0"/>
                <a:lstStyle/>
                <a:p>
                  <a:pPr>
                    <a:defRPr lang="zh-CN" sz="900" b="1" i="0" u="none" strike="noStrike" kern="1200" spc="0" baseline="0">
                      <a:solidFill>
                        <a:sysClr val="windowText" lastClr="000000"/>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dLblPos val="bestFit"/>
              <c:showLegendKey val="0"/>
              <c:showVal val="1"/>
              <c:showCatName val="1"/>
              <c:showSerName val="0"/>
              <c:showPercent val="0"/>
              <c:showBubbleSize val="0"/>
              <c:separator>
</c:separator>
              <c:extLst>
                <c:ext xmlns:c15="http://schemas.microsoft.com/office/drawing/2012/chart" uri="{CE6537A1-D6FC-4f65-9D91-7224C49458BB}">
                  <c15:layout/>
                </c:ext>
              </c:extLst>
            </c:dLbl>
            <c:dLbl>
              <c:idx val="4"/>
              <c:layout>
                <c:manualLayout>
                  <c:x val="-0.265790179905827"/>
                  <c:y val="0.192430555557232"/>
                </c:manualLayout>
              </c:layout>
              <c:numFmt formatCode="General" sourceLinked="1"/>
              <c:spPr>
                <a:noFill/>
                <a:ln>
                  <a:noFill/>
                </a:ln>
                <a:effectLst/>
              </c:spPr>
              <c:txPr>
                <a:bodyPr rot="0" spcFirstLastPara="0" vertOverflow="ellipsis" vert="horz" wrap="square" lIns="38100" tIns="19050" rIns="38100" bIns="19050" anchor="ctr" anchorCtr="1" forceAA="0"/>
                <a:lstStyle/>
                <a:p>
                  <a:pPr>
                    <a:defRPr lang="zh-CN" sz="900" b="1" i="0" u="none" strike="noStrike" kern="1200" spc="0" baseline="0">
                      <a:solidFill>
                        <a:sysClr val="windowText" lastClr="000000"/>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dLblPos val="bestFit"/>
              <c:showLegendKey val="0"/>
              <c:showVal val="1"/>
              <c:showCatName val="1"/>
              <c:showSerName val="0"/>
              <c:showPercent val="0"/>
              <c:showBubbleSize val="0"/>
              <c:separator>
</c:separator>
              <c:extLst>
                <c:ext xmlns:c15="http://schemas.microsoft.com/office/drawing/2012/chart" uri="{CE6537A1-D6FC-4f65-9D91-7224C49458BB}">
                  <c15:layout/>
                </c:ext>
              </c:extLst>
            </c:dLbl>
            <c:numFmt formatCode="General" sourceLinked="1"/>
            <c:spPr>
              <a:noFill/>
              <a:ln>
                <a:noFill/>
              </a:ln>
              <a:effectLst/>
            </c:spPr>
            <c:txPr>
              <a:bodyPr rot="0" spcFirstLastPara="0" vertOverflow="ellipsis" vert="horz" wrap="square" lIns="38100" tIns="19050" rIns="38100" bIns="19050" anchor="ctr" anchorCtr="1" forceAA="0"/>
              <a:lstStyle/>
              <a:p>
                <a:pPr>
                  <a:defRPr lang="zh-CN" sz="900" b="1" i="0" u="none" strike="noStrike" kern="1200" spc="0" baseline="0">
                    <a:solidFill>
                      <a:sysClr val="windowText" lastClr="000000"/>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dLblPos val="inEnd"/>
            <c:showLegendKey val="0"/>
            <c:showVal val="1"/>
            <c:showCatName val="1"/>
            <c:showSerName val="0"/>
            <c:showPercent val="0"/>
            <c:showBubbleSize val="0"/>
            <c:separator>
</c:separator>
            <c:showLeaderLines val="1"/>
            <c:extLst>
              <c:ext xmlns:c15="http://schemas.microsoft.com/office/drawing/2012/chart" uri="{CE6537A1-D6FC-4f65-9D91-7224C49458BB}">
                <c15:layout/>
                <c15:showLeaderLines val="1"/>
                <c15:leaderLines>
                  <c:spPr>
                    <a:ln w="9525" cap="flat" cmpd="sng" algn="ctr">
                      <a:solidFill>
                        <a:srgbClr val="A6A6A6">
                          <a:lumMod val="35000"/>
                          <a:lumOff val="65000"/>
                        </a:srgbClr>
                      </a:solidFill>
                      <a:round/>
                    </a:ln>
                    <a:effectLst/>
                  </c:spPr>
                </c15:leaderLines>
              </c:ext>
            </c:extLst>
          </c:dLbls>
          <c:cat>
            <c:strRef>
              <c:f>[工作簿1]Sheet2!$B$45:$B$49</c:f>
              <c:strCache>
                <c:ptCount val="5"/>
                <c:pt idx="0" c:formatCode="#,##0.000000">
                  <c:v>基本支出</c:v>
                </c:pt>
                <c:pt idx="1" c:formatCode="#,##0.000000">
                  <c:v>项目支出</c:v>
                </c:pt>
                <c:pt idx="2">
                  <c:v>上缴上级支出</c:v>
                </c:pt>
                <c:pt idx="3">
                  <c:v>经营支出</c:v>
                </c:pt>
                <c:pt idx="4">
                  <c:v>对附属事业补助支出</c:v>
                </c:pt>
              </c:strCache>
            </c:strRef>
          </c:cat>
          <c:val>
            <c:numRef>
              <c:f>[工作簿1]Sheet2!$C$45:$C$49</c:f>
              <c:numCache>
                <c:formatCode>#,##0.00</c:formatCode>
                <c:ptCount val="5"/>
                <c:pt idx="0">
                  <c:v>1026.27</c:v>
                </c:pt>
                <c:pt idx="1">
                  <c:v>4952.53</c:v>
                </c:pt>
                <c:pt idx="2" c:formatCode="General">
                  <c:v>0</c:v>
                </c:pt>
                <c:pt idx="3" c:formatCode="General">
                  <c:v>0</c:v>
                </c:pt>
                <c:pt idx="4" c:formatCode="General">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ysClr val="windowText" lastClr="000000"/>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legend>
    <c:plotVisOnly val="1"/>
    <c:dispBlanksAs val="gap"/>
    <c:showDLblsOverMax val="0"/>
  </c:chart>
  <c:spPr>
    <a:solidFill>
      <a:srgbClr val="EEECE1"/>
    </a:solidFill>
    <a:ln w="6350" cap="flat" cmpd="sng" algn="ctr">
      <a:solidFill>
        <a:srgbClr val="808080">
          <a:lumMod val="50000"/>
          <a:lumOff val="50000"/>
          <a:alpha val="25000"/>
        </a:srgbClr>
      </a:solidFill>
      <a:round/>
    </a:ln>
    <a:effectLst>
      <a:outerShdw blurRad="63500" dist="37357" dir="2700000" sx="0" sy="0" rotWithShape="0">
        <a:scrgbClr r="0" g="0" b="0"/>
      </a:outerShdw>
    </a:effectLst>
  </c:spPr>
  <c:txPr>
    <a:bodyPr/>
    <a:lstStyle/>
    <a:p>
      <a:pPr>
        <a:defRPr lang="zh-CN">
          <a:solidFill>
            <a:sysClr val="windowText" lastClr="000000"/>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forceAA="0"/>
          <a:lstStyle/>
          <a:p>
            <a:pPr>
              <a:defRPr lang="zh-CN" sz="1320" b="0" i="0" u="none" strike="noStrike" kern="1200" spc="0" baseline="0">
                <a:solidFill>
                  <a:srgbClr val="404040">
                    <a:lumMod val="75000"/>
                    <a:lumOff val="25000"/>
                  </a:srgb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r>
              <a:rPr sz="1200" b="1"/>
              <a:t>2025年度财政拨款收、支出总计变动情况图</a:t>
            </a:r>
            <a:endParaRPr sz="1320"/>
          </a:p>
          <a:p>
            <a:pPr>
              <a:defRPr lang="zh-CN" sz="1320" b="0" i="0" u="none" strike="noStrike" kern="1200" spc="0" baseline="0">
                <a:solidFill>
                  <a:srgbClr val="404040">
                    <a:lumMod val="75000"/>
                    <a:lumOff val="25000"/>
                  </a:srgb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r>
              <a:rPr sz="1320"/>
              <a:t>单位：万元</a:t>
            </a:r>
            <a:endParaRPr sz="1320"/>
          </a:p>
        </c:rich>
      </c:tx>
      <c:layout/>
      <c:overlay val="0"/>
      <c:spPr>
        <a:noFill/>
        <a:ln>
          <a:noFill/>
        </a:ln>
        <a:effectLst/>
      </c:spPr>
    </c:title>
    <c:autoTitleDeleted val="0"/>
    <c:plotArea>
      <c:layout/>
      <c:barChart>
        <c:barDir val="col"/>
        <c:grouping val="clustered"/>
        <c:varyColors val="0"/>
        <c:ser>
          <c:idx val="0"/>
          <c:order val="0"/>
          <c:tx>
            <c:strRef>
              <c:f>[工作簿1]Sheet2!$A$57</c:f>
              <c:strCache>
                <c:ptCount val="1"/>
                <c:pt idx="0">
                  <c:v>收入总计</c:v>
                </c:pt>
              </c:strCache>
            </c:strRef>
          </c:tx>
          <c:spPr>
            <a:blipFill rotWithShape="1">
              <a:blip xmlns:r="http://schemas.openxmlformats.org/officeDocument/2006/relationships" r:embed="rId3">
                <a:duotone>
                  <a:srgbClr val="4F81BD"/>
                  <a:prstClr val="white"/>
                </a:duotone>
              </a:blip>
              <a:stretch>
                <a:fillRect/>
              </a:stretch>
            </a:blipFill>
            <a:ln>
              <a:noFill/>
            </a:ln>
            <a:effectLst/>
          </c:spPr>
          <c:invertIfNegative val="0"/>
          <c:dLbls>
            <c:delete val="1"/>
          </c:dLbls>
          <c:cat>
            <c:strRef>
              <c:f>[工作簿1]Sheet2!$B$56:$C$56</c:f>
              <c:strCache>
                <c:ptCount val="2"/>
                <c:pt idx="0">
                  <c:v>2024年</c:v>
                </c:pt>
                <c:pt idx="1">
                  <c:v>2025年</c:v>
                </c:pt>
              </c:strCache>
            </c:strRef>
          </c:cat>
          <c:val>
            <c:numRef>
              <c:f>[工作簿1]Sheet2!$B$57:$C$57</c:f>
              <c:numCache>
                <c:formatCode>General</c:formatCode>
                <c:ptCount val="2"/>
                <c:pt idx="0">
                  <c:v>4110.51</c:v>
                </c:pt>
                <c:pt idx="1">
                  <c:v>5985.7</c:v>
                </c:pt>
              </c:numCache>
            </c:numRef>
          </c:val>
        </c:ser>
        <c:ser>
          <c:idx val="1"/>
          <c:order val="1"/>
          <c:tx>
            <c:strRef>
              <c:f>[工作簿1]Sheet2!$A$58</c:f>
              <c:strCache>
                <c:ptCount val="1"/>
                <c:pt idx="0">
                  <c:v>支出总计</c:v>
                </c:pt>
              </c:strCache>
            </c:strRef>
          </c:tx>
          <c:spPr>
            <a:blipFill rotWithShape="1">
              <a:blip xmlns:r="http://schemas.openxmlformats.org/officeDocument/2006/relationships" r:embed="rId3">
                <a:duotone>
                  <a:srgbClr val="C0504D"/>
                  <a:prstClr val="white"/>
                </a:duotone>
              </a:blip>
              <a:stretch>
                <a:fillRect/>
              </a:stretch>
            </a:blipFill>
            <a:ln>
              <a:noFill/>
            </a:ln>
            <a:effectLst/>
          </c:spPr>
          <c:invertIfNegative val="0"/>
          <c:dLbls>
            <c:delete val="1"/>
          </c:dLbls>
          <c:cat>
            <c:strRef>
              <c:f>[工作簿1]Sheet2!$B$56:$C$56</c:f>
              <c:strCache>
                <c:ptCount val="2"/>
                <c:pt idx="0">
                  <c:v>2024年</c:v>
                </c:pt>
                <c:pt idx="1">
                  <c:v>2025年</c:v>
                </c:pt>
              </c:strCache>
            </c:strRef>
          </c:cat>
          <c:val>
            <c:numRef>
              <c:f>[工作簿1]Sheet2!$B$58:$C$58</c:f>
              <c:numCache>
                <c:formatCode>General</c:formatCode>
                <c:ptCount val="2"/>
                <c:pt idx="0">
                  <c:v>4110.51</c:v>
                </c:pt>
                <c:pt idx="1">
                  <c:v>5985.7</c:v>
                </c:pt>
              </c:numCache>
            </c:numRef>
          </c:val>
        </c:ser>
        <c:dLbls>
          <c:showLegendKey val="0"/>
          <c:showVal val="1"/>
          <c:showCatName val="0"/>
          <c:showSerName val="0"/>
          <c:showPercent val="0"/>
          <c:showBubbleSize val="0"/>
        </c:dLbls>
        <c:gapWidth val="150"/>
        <c:overlap val="0"/>
        <c:axId val="902180079"/>
        <c:axId val="835484086"/>
      </c:barChart>
      <c:catAx>
        <c:axId val="902180079"/>
        <c:scaling>
          <c:orientation val="minMax"/>
        </c:scaling>
        <c:delete val="0"/>
        <c:axPos val="b"/>
        <c:numFmt formatCode="General" sourceLinked="1"/>
        <c:majorTickMark val="out"/>
        <c:minorTickMark val="none"/>
        <c:tickLblPos val="nextTo"/>
        <c:spPr>
          <a:noFill/>
          <a:ln w="6350" cap="flat" cmpd="sng" algn="ctr">
            <a:solidFill>
              <a:srgbClr val="808080">
                <a:lumMod val="50000"/>
                <a:lumOff val="50000"/>
                <a:alpha val="25000"/>
              </a:srgbClr>
            </a:solidFill>
            <a:round/>
          </a:ln>
          <a:effectLst/>
        </c:spPr>
        <c:txPr>
          <a:bodyPr rot="-60000000" spcFirstLastPara="0" vertOverflow="ellipsis" vert="horz" wrap="square" anchor="ctr" anchorCtr="1" forceAA="0"/>
          <a:lstStyle/>
          <a:p>
            <a:pPr>
              <a:defRPr lang="zh-CN" sz="1100" b="0" i="0" u="none" strike="noStrike" kern="1200" baseline="0">
                <a:solidFill>
                  <a:srgbClr val="404040">
                    <a:lumMod val="75000"/>
                    <a:lumOff val="25000"/>
                  </a:srgb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crossAx val="835484086"/>
        <c:crosses val="autoZero"/>
        <c:auto val="1"/>
        <c:lblAlgn val="ctr"/>
        <c:lblOffset val="100"/>
        <c:noMultiLvlLbl val="0"/>
      </c:catAx>
      <c:valAx>
        <c:axId val="835484086"/>
        <c:scaling>
          <c:orientation val="minMax"/>
        </c:scaling>
        <c:delete val="0"/>
        <c:axPos val="l"/>
        <c:majorGridlines>
          <c:spPr>
            <a:ln w="9525" cap="flat" cmpd="sng" algn="ctr">
              <a:solidFill>
                <a:srgbClr val="D9D9D9">
                  <a:lumMod val="15000"/>
                  <a:lumOff val="85000"/>
                </a:srgbClr>
              </a:solidFill>
              <a:round/>
            </a:ln>
            <a:effectLst/>
          </c:spPr>
        </c:majorGridlines>
        <c:numFmt formatCode="General" sourceLinked="1"/>
        <c:majorTickMark val="out"/>
        <c:minorTickMark val="none"/>
        <c:tickLblPos val="nextTo"/>
        <c:spPr>
          <a:noFill/>
          <a:ln>
            <a:noFill/>
          </a:ln>
          <a:effectLst/>
        </c:spPr>
        <c:txPr>
          <a:bodyPr rot="-60000000" spcFirstLastPara="0" vertOverflow="ellipsis" vert="horz" wrap="square" anchor="ctr" anchorCtr="1" forceAA="0"/>
          <a:lstStyle/>
          <a:p>
            <a:pPr>
              <a:defRPr lang="zh-CN" sz="1100" b="0" i="0" u="none" strike="noStrike" kern="1200" baseline="0">
                <a:solidFill>
                  <a:srgbClr val="404040">
                    <a:lumMod val="75000"/>
                    <a:lumOff val="25000"/>
                  </a:srgb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crossAx val="902180079"/>
        <c:crosses val="autoZero"/>
        <c:crossBetween val="between"/>
      </c:valAx>
      <c:dTable>
        <c:showHorzBorder val="1"/>
        <c:showVertBorder val="1"/>
        <c:showOutline val="1"/>
        <c:showKeys val="1"/>
        <c:spPr>
          <a:noFill/>
          <a:ln w="9525" cap="flat" cmpd="sng" algn="ctr">
            <a:solidFill>
              <a:srgbClr val="D9D9D9">
                <a:lumMod val="15000"/>
                <a:lumOff val="85000"/>
              </a:srgbClr>
            </a:solidFill>
            <a:round/>
          </a:ln>
          <a:effectLst/>
        </c:spPr>
        <c:txPr>
          <a:bodyPr rot="0" spcFirstLastPara="0" vertOverflow="ellipsis" vert="horz" wrap="square" anchor="ctr" anchorCtr="1"/>
          <a:lstStyle/>
          <a:p>
            <a:pPr>
              <a:defRPr lang="zh-CN" sz="1100" b="0" i="0" u="none" strike="noStrike" kern="1200" baseline="0">
                <a:solidFill>
                  <a:srgbClr val="404040">
                    <a:lumMod val="75000"/>
                    <a:lumOff val="25000"/>
                  </a:srgb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dTable>
      <c:spPr>
        <a:noFill/>
        <a:ln>
          <a:noFill/>
        </a:ln>
        <a:effectLst/>
      </c:spPr>
    </c:plotArea>
    <c:plotVisOnly val="1"/>
    <c:dispBlanksAs val="gap"/>
    <c:showDLblsOverMax val="0"/>
  </c:chart>
  <c:spPr>
    <a:solidFill>
      <a:srgbClr val="E7E6E6"/>
    </a:solidFill>
    <a:ln w="6350" cap="flat" cmpd="sng" algn="ctr">
      <a:solidFill>
        <a:srgbClr val="808080">
          <a:lumMod val="50000"/>
          <a:lumOff val="50000"/>
          <a:alpha val="25000"/>
        </a:srgbClr>
      </a:solidFill>
      <a:round/>
    </a:ln>
    <a:effectLst/>
  </c:spPr>
  <c:txPr>
    <a:bodyPr/>
    <a:lstStyle/>
    <a:p>
      <a:pPr>
        <a:defRPr lang="zh-CN" sz="1100" b="0">
          <a:solidFill>
            <a:srgbClr val="404040">
              <a:lumMod val="75000"/>
              <a:lumOff val="25000"/>
            </a:srgb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forceAA="0"/>
          <a:lstStyle/>
          <a:p>
            <a:pPr defTabSz="914400">
              <a:defRPr lang="zh-CN" sz="1400" b="0" i="0" u="none" strike="noStrike" kern="1200" spc="0" baseline="0">
                <a:solidFill>
                  <a:srgbClr val="404040">
                    <a:lumMod val="75000"/>
                    <a:lumOff val="25000"/>
                  </a:srgb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r>
              <a:t>一般公共预算财政拨款支出决算变动图</a:t>
            </a:r>
          </a:p>
          <a:p>
            <a:pPr defTabSz="914400">
              <a:defRPr lang="zh-CN" sz="1400" b="0" i="0" u="none" strike="noStrike" kern="1200" spc="0" baseline="0">
                <a:solidFill>
                  <a:srgbClr val="404040">
                    <a:lumMod val="75000"/>
                    <a:lumOff val="25000"/>
                  </a:srgb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r>
              <a:rPr sz="1000"/>
              <a:t>单位：万元</a:t>
            </a:r>
            <a:endParaRPr sz="1000"/>
          </a:p>
        </c:rich>
      </c:tx>
      <c:layout/>
      <c:overlay val="0"/>
      <c:spPr>
        <a:noFill/>
        <a:ln>
          <a:noFill/>
        </a:ln>
        <a:effectLst/>
      </c:spPr>
    </c:title>
    <c:autoTitleDeleted val="0"/>
    <c:plotArea>
      <c:layout/>
      <c:barChart>
        <c:barDir val="col"/>
        <c:grouping val="clustered"/>
        <c:varyColors val="0"/>
        <c:ser>
          <c:idx val="0"/>
          <c:order val="0"/>
          <c:spPr>
            <a:blipFill rotWithShape="1">
              <a:blip xmlns:r="http://schemas.openxmlformats.org/officeDocument/2006/relationships" r:embed="rId3">
                <a:duotone>
                  <a:srgbClr val="4F81BD"/>
                  <a:prstClr val="white"/>
                </a:duotone>
              </a:blip>
              <a:stretch>
                <a:fillRect/>
              </a:stretch>
            </a:blipFill>
            <a:ln>
              <a:noFill/>
            </a:ln>
            <a:effectLst>
              <a:outerShdw blurRad="76200" dir="18900000" sy="23000" kx="-1200000" algn="bl" rotWithShape="0">
                <a:prstClr val="black">
                  <a:alpha val="20000"/>
                </a:prstClr>
              </a:outerShdw>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rgbClr val="404040">
                        <a:lumMod val="75000"/>
                        <a:lumOff val="25000"/>
                      </a:srgb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rgbClr val="A6A6A6">
                          <a:lumMod val="35000"/>
                          <a:lumOff val="65000"/>
                        </a:srgbClr>
                      </a:solidFill>
                      <a:round/>
                    </a:ln>
                    <a:effectLst/>
                  </c:spPr>
                </c15:leaderLines>
              </c:ext>
            </c:extLst>
          </c:dLbls>
          <c:cat>
            <c:strRef>
              <c:f>[工作簿1]Sheet2!$A$68:$A$69</c:f>
              <c:strCache>
                <c:ptCount val="2"/>
                <c:pt idx="0">
                  <c:v>2024年</c:v>
                </c:pt>
                <c:pt idx="1">
                  <c:v>2025年</c:v>
                </c:pt>
              </c:strCache>
            </c:strRef>
          </c:cat>
          <c:val>
            <c:numRef>
              <c:f>[工作簿1]Sheet2!$B$68:$B$69</c:f>
              <c:numCache>
                <c:formatCode>General</c:formatCode>
                <c:ptCount val="2"/>
                <c:pt idx="0">
                  <c:v>5978.8</c:v>
                </c:pt>
                <c:pt idx="1">
                  <c:v>4105.51</c:v>
                </c:pt>
              </c:numCache>
            </c:numRef>
          </c:val>
        </c:ser>
        <c:dLbls>
          <c:showLegendKey val="0"/>
          <c:showVal val="1"/>
          <c:showCatName val="0"/>
          <c:showSerName val="0"/>
          <c:showPercent val="0"/>
          <c:showBubbleSize val="0"/>
        </c:dLbls>
        <c:gapWidth val="150"/>
        <c:overlap val="0"/>
        <c:axId val="961842764"/>
        <c:axId val="352398030"/>
      </c:barChart>
      <c:catAx>
        <c:axId val="961842764"/>
        <c:scaling>
          <c:orientation val="minMax"/>
        </c:scaling>
        <c:delete val="0"/>
        <c:axPos val="b"/>
        <c:numFmt formatCode="General" sourceLinked="1"/>
        <c:majorTickMark val="none"/>
        <c:minorTickMark val="none"/>
        <c:tickLblPos val="nextTo"/>
        <c:spPr>
          <a:noFill/>
          <a:ln w="6350" cap="flat" cmpd="sng" algn="ctr">
            <a:solidFill>
              <a:srgbClr val="808080">
                <a:lumMod val="50000"/>
                <a:lumOff val="50000"/>
                <a:alpha val="25000"/>
              </a:srgbClr>
            </a:solidFill>
            <a:round/>
          </a:ln>
          <a:effectLst/>
        </c:spPr>
        <c:txPr>
          <a:bodyPr rot="-60000000" spcFirstLastPara="0" vertOverflow="ellipsis" vert="horz" wrap="square" anchor="ctr" anchorCtr="1" forceAA="0"/>
          <a:lstStyle/>
          <a:p>
            <a:pPr>
              <a:defRPr lang="zh-CN" sz="900" b="0" i="0" u="none" strike="noStrike" kern="1200" baseline="0">
                <a:solidFill>
                  <a:srgbClr val="404040">
                    <a:lumMod val="75000"/>
                    <a:lumOff val="25000"/>
                  </a:srgb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crossAx val="352398030"/>
        <c:crosses val="autoZero"/>
        <c:auto val="1"/>
        <c:lblAlgn val="ctr"/>
        <c:lblOffset val="100"/>
        <c:noMultiLvlLbl val="0"/>
      </c:catAx>
      <c:valAx>
        <c:axId val="352398030"/>
        <c:scaling>
          <c:orientation val="minMax"/>
        </c:scaling>
        <c:delete val="0"/>
        <c:axPos val="l"/>
        <c:majorGridlines>
          <c:spPr>
            <a:ln w="6350" cap="flat" cmpd="sng" algn="ctr">
              <a:solidFill>
                <a:srgbClr val="808080">
                  <a:lumMod val="50000"/>
                  <a:lumOff val="50000"/>
                  <a:alpha val="20000"/>
                </a:srgb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forceAA="0"/>
          <a:lstStyle/>
          <a:p>
            <a:pPr>
              <a:defRPr lang="zh-CN" sz="900" b="0" i="0" u="none" strike="noStrike" kern="1200" baseline="0">
                <a:solidFill>
                  <a:srgbClr val="404040">
                    <a:lumMod val="75000"/>
                    <a:lumOff val="25000"/>
                  </a:srgb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crossAx val="961842764"/>
        <c:crosses val="autoZero"/>
        <c:crossBetween val="between"/>
      </c:valAx>
      <c:spPr>
        <a:noFill/>
        <a:ln>
          <a:noFill/>
        </a:ln>
        <a:effectLst/>
      </c:spPr>
    </c:plotArea>
    <c:plotVisOnly val="1"/>
    <c:dispBlanksAs val="gap"/>
    <c:showDLblsOverMax val="0"/>
  </c:chart>
  <c:spPr>
    <a:solidFill>
      <a:srgbClr val="4874CB">
        <a:lumMod val="20000"/>
        <a:lumOff val="80000"/>
      </a:srgbClr>
    </a:solidFill>
    <a:ln w="6350" cap="flat" cmpd="sng" algn="ctr">
      <a:solidFill>
        <a:srgbClr val="808080">
          <a:lumMod val="50000"/>
          <a:lumOff val="50000"/>
          <a:alpha val="15000"/>
        </a:srgbClr>
      </a:solidFill>
      <a:round/>
    </a:ln>
    <a:effectLst/>
  </c:spPr>
  <c:txPr>
    <a:bodyPr/>
    <a:lstStyle/>
    <a:p>
      <a:pPr>
        <a:defRPr lang="zh-CN">
          <a:solidFill>
            <a:srgbClr val="404040">
              <a:lumMod val="75000"/>
              <a:lumOff val="25000"/>
            </a:srgb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forceAA="0"/>
          <a:lstStyle/>
          <a:p>
            <a:pPr>
              <a:defRPr lang="zh-CN" sz="1400" b="1" i="0" u="none" strike="noStrike" kern="1200" spc="0" baseline="0">
                <a:solidFill>
                  <a:srgbClr val="000000"/>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r>
              <a:rPr b="1">
                <a:solidFill>
                  <a:srgbClr val="7030A0"/>
                </a:solidFill>
              </a:rPr>
              <a:t>2025年度一般公共预算财政拨款支出图</a:t>
            </a:r>
            <a:endParaRPr b="1">
              <a:solidFill>
                <a:srgbClr val="000000"/>
              </a:solidFill>
            </a:endParaRPr>
          </a:p>
          <a:p>
            <a:pPr>
              <a:defRPr lang="zh-CN" sz="1400" b="1" i="0" u="none" strike="noStrike" kern="1200" spc="0" baseline="0">
                <a:solidFill>
                  <a:srgbClr val="000000"/>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r>
              <a:rPr sz="1000" b="1">
                <a:solidFill>
                  <a:srgbClr val="7030A0"/>
                </a:solidFill>
              </a:rPr>
              <a:t>单位：万元</a:t>
            </a:r>
            <a:endParaRPr sz="1000" b="1">
              <a:solidFill>
                <a:srgbClr val="7030A0"/>
              </a:solidFill>
            </a:endParaRPr>
          </a:p>
        </c:rich>
      </c:tx>
      <c:layout>
        <c:manualLayout>
          <c:xMode val="edge"/>
          <c:yMode val="edge"/>
          <c:x val="0.162894736842105"/>
          <c:y val="0.0277777777777778"/>
        </c:manualLayout>
      </c:layout>
      <c:overlay val="0"/>
      <c:spPr>
        <a:noFill/>
        <a:ln>
          <a:noFill/>
        </a:ln>
        <a:effectLst/>
      </c:spPr>
    </c:title>
    <c:autoTitleDeleted val="0"/>
    <c:plotArea>
      <c:layout>
        <c:manualLayout>
          <c:layoutTarget val="inner"/>
          <c:xMode val="edge"/>
          <c:yMode val="edge"/>
          <c:x val="0.0259189443920829"/>
          <c:y val="0.1625"/>
          <c:w val="0.948162111215834"/>
          <c:h val="0.7925"/>
        </c:manualLayout>
      </c:layout>
      <c:pieChart>
        <c:varyColors val="1"/>
        <c:ser>
          <c:idx val="0"/>
          <c:order val="0"/>
          <c:spPr>
            <a:pattFill prst="pct40">
              <a:fgClr>
                <a:srgbClr val="FFFFFF"/>
              </a:fgClr>
              <a:bgClr>
                <a:srgbClr val="4F81BD"/>
              </a:bgClr>
            </a:pattFill>
            <a:ln>
              <a:noFill/>
            </a:ln>
            <a:effectLst/>
          </c:spPr>
          <c:explosion val="0"/>
          <c:dPt>
            <c:idx val="0"/>
            <c:bubble3D val="0"/>
            <c:spPr>
              <a:pattFill prst="pct40">
                <a:fgClr>
                  <a:srgbClr val="FFFFFF"/>
                </a:fgClr>
                <a:bgClr>
                  <a:srgbClr val="4F81BD"/>
                </a:bgClr>
              </a:pattFill>
              <a:ln>
                <a:noFill/>
              </a:ln>
              <a:effectLst/>
            </c:spPr>
          </c:dPt>
          <c:dPt>
            <c:idx val="1"/>
            <c:bubble3D val="0"/>
            <c:spPr>
              <a:pattFill prst="pct40">
                <a:fgClr>
                  <a:srgbClr val="FFFFFF"/>
                </a:fgClr>
                <a:bgClr>
                  <a:srgbClr val="C0504D"/>
                </a:bgClr>
              </a:pattFill>
              <a:ln>
                <a:noFill/>
              </a:ln>
              <a:effectLst/>
            </c:spPr>
          </c:dPt>
          <c:dPt>
            <c:idx val="2"/>
            <c:bubble3D val="0"/>
            <c:spPr>
              <a:pattFill prst="pct40">
                <a:fgClr>
                  <a:srgbClr val="FFFFFF"/>
                </a:fgClr>
                <a:bgClr>
                  <a:srgbClr val="9BBB59"/>
                </a:bgClr>
              </a:pattFill>
              <a:ln>
                <a:noFill/>
              </a:ln>
              <a:effectLst/>
            </c:spPr>
          </c:dPt>
          <c:dPt>
            <c:idx val="3"/>
            <c:bubble3D val="0"/>
            <c:spPr>
              <a:pattFill prst="pct40">
                <a:fgClr>
                  <a:srgbClr val="FFFFFF"/>
                </a:fgClr>
                <a:bgClr>
                  <a:srgbClr val="8064A2"/>
                </a:bgClr>
              </a:pattFill>
              <a:ln>
                <a:noFill/>
              </a:ln>
              <a:effectLst/>
            </c:spPr>
          </c:dPt>
          <c:dPt>
            <c:idx val="4"/>
            <c:bubble3D val="0"/>
            <c:spPr>
              <a:pattFill prst="pct40">
                <a:fgClr>
                  <a:srgbClr val="FFFFFF"/>
                </a:fgClr>
                <a:bgClr>
                  <a:srgbClr val="4BACC6"/>
                </a:bgClr>
              </a:pattFill>
              <a:ln>
                <a:noFill/>
              </a:ln>
              <a:effectLst/>
            </c:spPr>
          </c:dPt>
          <c:dPt>
            <c:idx val="5"/>
            <c:bubble3D val="0"/>
            <c:spPr>
              <a:solidFill>
                <a:srgbClr val="75BD42">
                  <a:lumMod val="60000"/>
                  <a:lumOff val="40000"/>
                </a:srgbClr>
              </a:solidFill>
              <a:ln>
                <a:noFill/>
              </a:ln>
              <a:effectLst/>
            </c:spPr>
          </c:dPt>
          <c:dPt>
            <c:idx val="6"/>
            <c:bubble3D val="0"/>
            <c:spPr>
              <a:pattFill prst="pct40">
                <a:fgClr>
                  <a:srgbClr val="FFFFFF"/>
                </a:fgClr>
                <a:bgClr>
                  <a:srgbClr val="376092">
                    <a:lumMod val="75000"/>
                  </a:srgbClr>
                </a:bgClr>
              </a:pattFill>
              <a:ln>
                <a:noFill/>
              </a:ln>
              <a:effectLst/>
            </c:spPr>
          </c:dPt>
          <c:dPt>
            <c:idx val="7"/>
            <c:bubble3D val="0"/>
            <c:spPr>
              <a:pattFill prst="pct40">
                <a:fgClr>
                  <a:srgbClr val="FFFFFF"/>
                </a:fgClr>
                <a:bgClr>
                  <a:srgbClr val="953735">
                    <a:lumMod val="75000"/>
                  </a:srgbClr>
                </a:bgClr>
              </a:pattFill>
              <a:ln>
                <a:noFill/>
              </a:ln>
              <a:effectLst/>
            </c:spPr>
          </c:dPt>
          <c:dLbls>
            <c:dLbl>
              <c:idx val="0"/>
              <c:layout>
                <c:manualLayout>
                  <c:x val="0.108254695193065"/>
                  <c:y val="0.0395388668800191"/>
                </c:manualLayout>
              </c:layout>
              <c:dLblPos val="bestFit"/>
              <c:showLegendKey val="0"/>
              <c:showVal val="1"/>
              <c:showCatName val="1"/>
              <c:showSerName val="0"/>
              <c:showPercent val="0"/>
              <c:showBubbleSize val="0"/>
              <c:separator>
</c:separator>
              <c:extLst>
                <c:ext xmlns:c15="http://schemas.microsoft.com/office/drawing/2012/chart" uri="{CE6537A1-D6FC-4f65-9D91-7224C49458BB}">
                  <c15:layout/>
                </c:ext>
              </c:extLst>
            </c:dLbl>
            <c:dLbl>
              <c:idx val="1"/>
              <c:layout>
                <c:manualLayout>
                  <c:x val="-0.281202455251629"/>
                  <c:y val="0.0846463593737378"/>
                </c:manualLayout>
              </c:layout>
              <c:dLblPos val="bestFit"/>
              <c:showLegendKey val="0"/>
              <c:showVal val="1"/>
              <c:showCatName val="1"/>
              <c:showSerName val="0"/>
              <c:showPercent val="0"/>
              <c:showBubbleSize val="0"/>
              <c:separator>
</c:separator>
              <c:extLst>
                <c:ext xmlns:c15="http://schemas.microsoft.com/office/drawing/2012/chart" uri="{CE6537A1-D6FC-4f65-9D91-7224C49458BB}">
                  <c15:layout/>
                </c:ext>
              </c:extLst>
            </c:dLbl>
            <c:dLbl>
              <c:idx val="2"/>
              <c:layout>
                <c:manualLayout>
                  <c:x val="0.0951543806094179"/>
                  <c:y val="0.109227968700959"/>
                </c:manualLayout>
              </c:layout>
              <c:dLblPos val="bestFit"/>
              <c:showLegendKey val="0"/>
              <c:showVal val="1"/>
              <c:showCatName val="1"/>
              <c:showSerName val="0"/>
              <c:showPercent val="0"/>
              <c:showBubbleSize val="0"/>
              <c:separator>
</c:separator>
              <c:extLst>
                <c:ext xmlns:c15="http://schemas.microsoft.com/office/drawing/2012/chart" uri="{CE6537A1-D6FC-4f65-9D91-7224C49458BB}">
                  <c15:layout/>
                </c:ext>
              </c:extLst>
            </c:dLbl>
            <c:dLbl>
              <c:idx val="3"/>
              <c:layout>
                <c:manualLayout>
                  <c:x val="0.108854766331007"/>
                  <c:y val="0.0476354289864681"/>
                </c:manualLayout>
              </c:layout>
              <c:dLblPos val="bestFit"/>
              <c:showLegendKey val="0"/>
              <c:showVal val="1"/>
              <c:showCatName val="1"/>
              <c:showSerName val="0"/>
              <c:showPercent val="0"/>
              <c:showBubbleSize val="0"/>
              <c:separator>
</c:separator>
              <c:extLst>
                <c:ext xmlns:c15="http://schemas.microsoft.com/office/drawing/2012/chart" uri="{CE6537A1-D6FC-4f65-9D91-7224C49458BB}">
                  <c15:layout/>
                </c:ext>
              </c:extLst>
            </c:dLbl>
            <c:dLbl>
              <c:idx val="4"/>
              <c:layout>
                <c:manualLayout>
                  <c:x val="-0.0264217821262306"/>
                  <c:y val="0.161860512659887"/>
                </c:manualLayout>
              </c:layout>
              <c:dLblPos val="bestFit"/>
              <c:showLegendKey val="0"/>
              <c:showVal val="1"/>
              <c:showCatName val="1"/>
              <c:showSerName val="0"/>
              <c:showPercent val="0"/>
              <c:showBubbleSize val="0"/>
              <c:separator>
</c:separator>
              <c:extLst>
                <c:ext xmlns:c15="http://schemas.microsoft.com/office/drawing/2012/chart" uri="{CE6537A1-D6FC-4f65-9D91-7224C49458BB}">
                  <c15:layout/>
                </c:ext>
              </c:extLst>
            </c:dLbl>
            <c:dLbl>
              <c:idx val="6"/>
              <c:layout>
                <c:manualLayout>
                  <c:x val="0.104808651653595"/>
                  <c:y val="0.0440503146992216"/>
                </c:manualLayout>
              </c:layout>
              <c:dLblPos val="bestFit"/>
              <c:showLegendKey val="0"/>
              <c:showVal val="1"/>
              <c:showCatName val="1"/>
              <c:showSerName val="0"/>
              <c:showPercent val="0"/>
              <c:showBubbleSize val="0"/>
              <c:separator>
</c:separator>
              <c:extLst>
                <c:ext xmlns:c15="http://schemas.microsoft.com/office/drawing/2012/chart" uri="{CE6537A1-D6FC-4f65-9D91-7224C49458BB}">
                  <c15:layout/>
                </c:ext>
              </c:extLst>
            </c:dLbl>
            <c:dLbl>
              <c:idx val="7"/>
              <c:layout>
                <c:manualLayout>
                  <c:x val="-0.156569201992516"/>
                  <c:y val="0.0193144359399518"/>
                </c:manualLayout>
              </c:layout>
              <c:dLblPos val="bestFit"/>
              <c:showLegendKey val="0"/>
              <c:showVal val="1"/>
              <c:showCatName val="1"/>
              <c:showSerName val="0"/>
              <c:showPercent val="0"/>
              <c:showBubbleSize val="0"/>
              <c:separator>
</c:separator>
              <c:extLst>
                <c:ext xmlns:c15="http://schemas.microsoft.com/office/drawing/2012/chart" uri="{CE6537A1-D6FC-4f65-9D91-7224C49458BB}">
                  <c15:layout/>
                </c:ext>
              </c:extLst>
            </c:dLbl>
            <c:numFmt formatCode="General" sourceLinked="1"/>
            <c:spPr>
              <a:noFill/>
              <a:ln>
                <a:noFill/>
              </a:ln>
              <a:effectLst/>
            </c:spPr>
            <c:txPr>
              <a:bodyPr rot="0" spcFirstLastPara="0" vertOverflow="ellipsis" vert="horz" wrap="square" lIns="38100" tIns="19050" rIns="38100" bIns="19050" anchor="ctr" anchorCtr="1" forceAA="0"/>
              <a:lstStyle/>
              <a:p>
                <a:pPr>
                  <a:defRPr lang="zh-CN" sz="900" b="1" i="0" u="none" strike="noStrike" kern="1200" baseline="0">
                    <a:solidFill>
                      <a:srgbClr val="000000"/>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dLblPos val="inEnd"/>
            <c:showLegendKey val="0"/>
            <c:showVal val="1"/>
            <c:showCatName val="1"/>
            <c:showSerName val="0"/>
            <c:showPercent val="0"/>
            <c:showBubbleSize val="0"/>
            <c:separator>
</c:separator>
            <c:showLeaderLines val="1"/>
            <c:extLst>
              <c:ext xmlns:c15="http://schemas.microsoft.com/office/drawing/2012/chart" uri="{CE6537A1-D6FC-4f65-9D91-7224C49458BB}">
                <c15:layout/>
                <c15:showLeaderLines val="1"/>
                <c15:leaderLines>
                  <c:spPr>
                    <a:ln w="9525" cap="flat" cmpd="sng" algn="ctr">
                      <a:solidFill>
                        <a:srgbClr val="A6A6A6">
                          <a:lumMod val="35000"/>
                          <a:lumOff val="65000"/>
                        </a:srgbClr>
                      </a:solidFill>
                      <a:round/>
                    </a:ln>
                    <a:effectLst/>
                  </c:spPr>
                </c15:leaderLines>
              </c:ext>
            </c:extLst>
          </c:dLbls>
          <c:cat>
            <c:strRef>
              <c:f>[工作簿1]Sheet2!$A$86:$A$93</c:f>
              <c:strCache>
                <c:ptCount val="8"/>
                <c:pt idx="0">
                  <c:v>一般公共服务支出</c:v>
                </c:pt>
                <c:pt idx="1">
                  <c:v>国防支出</c:v>
                </c:pt>
                <c:pt idx="2">
                  <c:v>教育支出</c:v>
                </c:pt>
                <c:pt idx="3">
                  <c:v>社会保障和就业支出</c:v>
                </c:pt>
                <c:pt idx="4">
                  <c:v>卫生健康支出</c:v>
                </c:pt>
                <c:pt idx="5">
                  <c:v>农林水支出</c:v>
                </c:pt>
                <c:pt idx="6">
                  <c:v>住房保障支出</c:v>
                </c:pt>
                <c:pt idx="7">
                  <c:v>灾害防治及应急管理支出</c:v>
                </c:pt>
              </c:strCache>
            </c:strRef>
          </c:cat>
          <c:val>
            <c:numRef>
              <c:f>[工作簿1]Sheet2!$B$86:$B$93</c:f>
              <c:numCache>
                <c:formatCode>#,##0.00</c:formatCode>
                <c:ptCount val="8"/>
                <c:pt idx="0">
                  <c:v>511.06</c:v>
                </c:pt>
                <c:pt idx="1">
                  <c:v>4.99</c:v>
                </c:pt>
                <c:pt idx="2">
                  <c:v>2</c:v>
                </c:pt>
                <c:pt idx="3">
                  <c:v>138.77</c:v>
                </c:pt>
                <c:pt idx="4">
                  <c:v>43.79</c:v>
                </c:pt>
                <c:pt idx="5">
                  <c:v>5208.83</c:v>
                </c:pt>
                <c:pt idx="6">
                  <c:v>63.11</c:v>
                </c:pt>
                <c:pt idx="7">
                  <c:v>6.26</c:v>
                </c:pt>
              </c:numCache>
            </c:numRef>
          </c:val>
        </c:ser>
        <c:dLbls>
          <c:showLegendKey val="0"/>
          <c:showVal val="1"/>
          <c:showCatName val="1"/>
          <c:showSerName val="0"/>
          <c:showPercent val="0"/>
          <c:showBubbleSize val="0"/>
          <c:showLeaderLines val="1"/>
        </c:dLbls>
        <c:firstSliceAng val="0"/>
      </c:pieChart>
      <c:spPr>
        <a:noFill/>
        <a:ln>
          <a:noFill/>
        </a:ln>
        <a:effectLst/>
      </c:spPr>
    </c:plotArea>
    <c:plotVisOnly val="1"/>
    <c:dispBlanksAs val="gap"/>
    <c:showDLblsOverMax val="0"/>
  </c:chart>
  <c:spPr>
    <a:solidFill>
      <a:srgbClr val="E7E6E6"/>
    </a:solidFill>
    <a:ln w="6350" cap="flat" cmpd="sng" algn="ctr">
      <a:solidFill>
        <a:srgbClr val="808080">
          <a:lumMod val="50000"/>
          <a:lumOff val="50000"/>
          <a:alpha val="25000"/>
        </a:srgbClr>
      </a:solidFill>
      <a:round/>
    </a:ln>
    <a:effectLst/>
  </c:spPr>
  <c:txPr>
    <a:bodyPr/>
    <a:lstStyle/>
    <a:p>
      <a:pPr>
        <a:defRPr lang="zh-CN" b="1">
          <a:solidFill>
            <a:srgbClr val="000000"/>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800" b="1" i="0" u="none" strike="noStrike" kern="1200" baseline="0">
              <a:solidFill>
                <a:srgbClr val="000000"/>
              </a:solidFill>
              <a:latin typeface="+mn-lt"/>
              <a:ea typeface="+mn-ea"/>
              <a:cs typeface="+mn-cs"/>
            </a:defRPr>
          </a:pPr>
        </a:p>
      </c:txPr>
    </c:title>
    <c:autoTitleDeleted val="0"/>
    <c:plotArea>
      <c:layout/>
      <c:pieChart>
        <c:varyColors val="1"/>
        <c:ser>
          <c:idx val="0"/>
          <c:order val="0"/>
          <c:tx>
            <c:strRef>
              <c:f>'[工作表 在 2024年度四川省阿坝州壤塘县尕多乡人民政府部门决算.doc]Sheet1'!$B$1</c:f>
              <c:strCache>
                <c:ptCount val="1"/>
                <c:pt idx="0">
                  <c:v>“三公”经费财政拨款支出</c:v>
                </c:pt>
              </c:strCache>
            </c:strRef>
          </c:tx>
          <c:explosion val="8"/>
          <c:dPt>
            <c:idx val="0"/>
            <c:bubble3D val="0"/>
            <c:explosion val="8"/>
            <c:spPr>
              <a:solidFill>
                <a:srgbClr val="C0504D"/>
              </a:solidFill>
              <a:ln>
                <a:noFill/>
              </a:ln>
              <a:effectLst>
                <a:innerShdw blurRad="114300">
                  <a:srgbClr val="376092">
                    <a:lumMod val="75000"/>
                  </a:srgbClr>
                </a:innerShdw>
              </a:effectLst>
              <a:scene3d>
                <a:camera prst="orthographicFront"/>
                <a:lightRig rig="threePt" dir="t"/>
              </a:scene3d>
              <a:sp3d contourW="19050" prstMaterial="flat">
                <a:contourClr>
                  <a:srgbClr val="376092">
                    <a:lumMod val="75000"/>
                  </a:srgbClr>
                </a:contourClr>
              </a:sp3d>
            </c:spPr>
          </c:dPt>
          <c:dPt>
            <c:idx val="1"/>
            <c:bubble3D val="0"/>
            <c:explosion val="80"/>
            <c:spPr>
              <a:solidFill>
                <a:srgbClr val="8064A2"/>
              </a:solidFill>
              <a:ln>
                <a:noFill/>
              </a:ln>
              <a:effectLst>
                <a:innerShdw blurRad="114300">
                  <a:srgbClr val="77933C">
                    <a:lumMod val="75000"/>
                  </a:srgbClr>
                </a:innerShdw>
              </a:effectLst>
              <a:scene3d>
                <a:camera prst="orthographicFront"/>
                <a:lightRig rig="threePt" dir="t"/>
              </a:scene3d>
              <a:sp3d contourW="19050" prstMaterial="flat">
                <a:contourClr>
                  <a:srgbClr val="77933C">
                    <a:lumMod val="75000"/>
                  </a:srgbClr>
                </a:contourClr>
              </a:sp3d>
            </c:spPr>
          </c:dPt>
          <c:dPt>
            <c:idx val="2"/>
            <c:bubble3D val="0"/>
            <c:explosion val="5"/>
            <c:spPr>
              <a:solidFill>
                <a:srgbClr val="F79646"/>
              </a:solidFill>
              <a:ln>
                <a:noFill/>
              </a:ln>
              <a:effectLst>
                <a:innerShdw blurRad="114300">
                  <a:srgbClr val="31859C">
                    <a:lumMod val="75000"/>
                  </a:srgbClr>
                </a:innerShdw>
              </a:effectLst>
              <a:scene3d>
                <a:camera prst="orthographicFront"/>
                <a:lightRig rig="threePt" dir="t"/>
              </a:scene3d>
              <a:sp3d contourW="19050" prstMaterial="flat">
                <a:contourClr>
                  <a:srgbClr val="31859C">
                    <a:lumMod val="75000"/>
                  </a:srgbClr>
                </a:contourClr>
              </a:sp3d>
            </c:spPr>
          </c:dPt>
          <c:dLbls>
            <c:dLbl>
              <c:idx val="0"/>
              <c:layout>
                <c:manualLayout>
                  <c:x val="0.176468839391215"/>
                  <c:y val="0.15221169098743"/>
                </c:manualLayout>
              </c:layout>
              <c:tx>
                <c:rich>
                  <a:bodyPr rot="0" spcFirstLastPara="0" vertOverflow="ellipsis" vert="horz" wrap="square" lIns="38100" tIns="19050" rIns="38100" bIns="19050" anchor="ctr" anchorCtr="1"/>
                  <a:lstStyle/>
                  <a:p>
                    <a:pPr defTabSz="914400">
                      <a:defRPr lang="zh-CN" sz="1000" b="0" i="0" u="none" strike="noStrike" kern="1200" baseline="0">
                        <a:solidFill>
                          <a:srgbClr val="000000"/>
                        </a:solidFill>
                        <a:latin typeface="+mn-lt"/>
                        <a:ea typeface="+mn-ea"/>
                        <a:cs typeface="+mn-cs"/>
                      </a:defRPr>
                    </a:pPr>
                    <a:r>
                      <a:t>因公出国（境） 0%</a:t>
                    </a:r>
                    <a:endParaRPr sz="1000" b="0" i="0" u="none" strike="noStrike" baseline="0">
                      <a:solidFill>
                        <a:srgbClr val="000000">
                          <a:alpha val="100000"/>
                        </a:srgbClr>
                      </a:solidFill>
                      <a:latin typeface="等线" panose="02010600030101010101" charset="-122"/>
                      <a:ea typeface="等线" panose="02010600030101010101" charset="-122"/>
                      <a:cs typeface="等线" panose="02010600030101010101" charset="-122"/>
                    </a:endParaRPr>
                  </a:p>
                </c:rich>
              </c:tx>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000000"/>
                      </a:solidFill>
                      <a:latin typeface="+mn-lt"/>
                      <a:ea typeface="+mn-ea"/>
                      <a:cs typeface="+mn-cs"/>
                    </a:defRPr>
                  </a:pPr>
                </a:p>
              </c:txPr>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0632559880325577"/>
                  <c:y val="-0.314247432357908"/>
                </c:manualLayout>
              </c:layout>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000000"/>
                      </a:solidFill>
                      <a:latin typeface="+mn-lt"/>
                      <a:ea typeface="+mn-ea"/>
                      <a:cs typeface="+mn-cs"/>
                    </a:defRPr>
                  </a:pPr>
                </a:p>
              </c:txPr>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322646669162661"/>
                  <c:y val="0.158466742840349"/>
                </c:manualLayout>
              </c:layout>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000000"/>
                      </a:solidFill>
                      <a:latin typeface="+mn-lt"/>
                      <a:ea typeface="+mn-ea"/>
                      <a:cs typeface="+mn-cs"/>
                    </a:defRPr>
                  </a:pPr>
                </a:p>
              </c:txPr>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000000"/>
                    </a:solidFill>
                    <a:latin typeface="+mn-lt"/>
                    <a:ea typeface="+mn-ea"/>
                    <a:cs typeface="+mn-cs"/>
                  </a:defRPr>
                </a:pPr>
              </a:p>
            </c:txPr>
            <c:dLblPos val="inEnd"/>
            <c:showLegendKey val="0"/>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rgbClr val="000000">
                          <a:alpha val="100000"/>
                        </a:srgbClr>
                      </a:solidFill>
                      <a:prstDash val="solid"/>
                      <a:round/>
                    </a:ln>
                  </c:spPr>
                </c15:leaderLines>
              </c:ext>
            </c:extLst>
          </c:dLbls>
          <c:cat>
            <c:strRef>
              <c:f>'[工作表 在 2024年度四川省阿坝州壤塘县尕多乡人民政府部门决算.doc]Sheet1'!$A$2:$A$4</c:f>
              <c:strCache>
                <c:ptCount val="3"/>
                <c:pt idx="0">
                  <c:v>因公出国（境） 0</c:v>
                </c:pt>
                <c:pt idx="1">
                  <c:v>公务用车运行维护费</c:v>
                </c:pt>
                <c:pt idx="2">
                  <c:v>公务接待费</c:v>
                </c:pt>
              </c:strCache>
            </c:strRef>
          </c:cat>
          <c:val>
            <c:numRef>
              <c:f>[001b052e1]Sheet1!$B$2:$B$4</c:f>
              <c:numCache>
                <c:formatCode>General</c:formatCode>
                <c:ptCount val="3"/>
                <c:pt idx="0">
                  <c:v>0</c:v>
                </c:pt>
                <c:pt idx="1">
                  <c:v>9.02</c:v>
                </c:pt>
                <c:pt idx="2">
                  <c:v>0</c:v>
                </c:pt>
              </c:numCache>
            </c:numRef>
          </c:val>
        </c:ser>
        <c:dLbls>
          <c:showLegendKey val="0"/>
          <c:showVal val="0"/>
          <c:showCatName val="0"/>
          <c:showSerName val="0"/>
          <c:showPercent val="0"/>
          <c:showBubbleSize val="0"/>
          <c:showLeaderLines val="1"/>
        </c:dLbls>
        <c:firstSliceAng val="15"/>
      </c:pieChart>
      <c:spPr>
        <a:noFill/>
        <a:ln>
          <a:noFill/>
        </a:ln>
        <a:effectLst/>
      </c:spPr>
    </c:plotArea>
    <c:plotVisOnly val="1"/>
    <c:dispBlanksAs val="zero"/>
    <c:showDLblsOverMax val="0"/>
  </c:chart>
  <c:spPr>
    <a:gradFill>
      <a:gsLst>
        <a:gs pos="0">
          <a:srgbClr val="F6F9FC">
            <a:lumMod val="5000"/>
            <a:lumOff val="95000"/>
          </a:srgbClr>
        </a:gs>
        <a:gs pos="74000">
          <a:srgbClr val="B0C6E1">
            <a:lumMod val="45000"/>
            <a:lumOff val="55000"/>
          </a:srgbClr>
        </a:gs>
        <a:gs pos="83000">
          <a:srgbClr val="B0C6E1">
            <a:lumMod val="45000"/>
            <a:lumOff val="55000"/>
          </a:srgbClr>
        </a:gs>
        <a:gs pos="100000">
          <a:srgbClr val="CAD9EB">
            <a:lumMod val="30000"/>
            <a:lumOff val="70000"/>
          </a:srgbClr>
        </a:gs>
      </a:gsLst>
      <a:lin ang="5400000" scaled="0"/>
    </a:gradFill>
    <a:ln w="9525" cap="flat" cmpd="sng" algn="ctr">
      <a:solidFill>
        <a:srgbClr val="D9D9D9">
          <a:lumMod val="15000"/>
          <a:lumOff val="85000"/>
        </a:srgbClr>
      </a:solidFill>
      <a:prstDash val="solid"/>
      <a:round/>
    </a:ln>
    <a:effectLst/>
  </c:spPr>
  <c:txPr>
    <a:bodyPr wrap="square"/>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rgbClr val="4F81BD"/>
  <a:srgbClr val="C0504D"/>
  <a:srgbClr val="9BBB59"/>
  <a:srgbClr val="8064A2"/>
  <a:srgbClr val="4BACC6"/>
  <a:srgbClr val="F7964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rgbClr val="4F81BD"/>
  <a:srgbClr val="C0504D"/>
  <a:srgbClr val="9BBB59"/>
  <a:srgbClr val="8064A2"/>
  <a:srgbClr val="4BACC6"/>
  <a:srgbClr val="F7964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rgbClr val="4F81BD"/>
  <a:srgbClr val="C0504D"/>
  <a:srgbClr val="9BBB59"/>
  <a:srgbClr val="8064A2"/>
  <a:srgbClr val="4BACC6"/>
  <a:srgbClr val="F7964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rgbClr val="4F81BD"/>
  <a:srgbClr val="C0504D"/>
  <a:srgbClr val="9BBB59"/>
  <a:srgbClr val="8064A2"/>
  <a:srgbClr val="4BACC6"/>
  <a:srgbClr val="F7964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rgbClr val="4F81BD"/>
  <a:srgbClr val="C0504D"/>
  <a:srgbClr val="9BBB59"/>
  <a:srgbClr val="8064A2"/>
  <a:srgbClr val="4BACC6"/>
  <a:srgbClr val="F7964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rgbClr val="595959">
        <a:lumMod val="65000"/>
        <a:lumOff val="35000"/>
      </a:srgbClr>
    </cs:fontRef>
    <cs:defRPr sz="1000" kern="1200"/>
  </cs:axisTitle>
  <cs:categoryAxis>
    <cs:lnRef idx="0"/>
    <cs:fillRef idx="0"/>
    <cs:effectRef idx="0"/>
    <cs:fontRef idx="minor">
      <a:srgbClr val="595959">
        <a:lumMod val="65000"/>
        <a:lumOff val="35000"/>
      </a:srgbClr>
    </cs:fontRef>
    <cs:spPr>
      <a:ln w="9525" cap="flat" cmpd="sng" algn="ctr">
        <a:solidFill>
          <a:srgbClr val="D9D9D9">
            <a:lumMod val="15000"/>
            <a:lumOff val="85000"/>
          </a:srgbClr>
        </a:solidFill>
        <a:round/>
      </a:ln>
    </cs:spPr>
    <cs:defRPr sz="900" kern="1200"/>
  </cs:categoryAxis>
  <cs:chartArea mods="allowNoFillOverride allowNoLineOverride">
    <cs:lnRef idx="0"/>
    <cs:fillRef idx="0"/>
    <cs:effectRef idx="0"/>
    <cs:fontRef idx="minor">
      <a:srgbClr val="000000"/>
    </cs:fontRef>
    <cs:spPr>
      <a:solidFill>
        <a:srgbClr val="FFFFFF"/>
      </a:solidFill>
      <a:ln w="9525" cap="flat" cmpd="sng" algn="ctr">
        <a:solidFill>
          <a:srgbClr val="D9D9D9">
            <a:lumMod val="15000"/>
            <a:lumOff val="85000"/>
          </a:srgbClr>
        </a:solidFill>
        <a:round/>
      </a:ln>
    </cs:spPr>
    <cs:defRPr sz="1000" kern="1200"/>
  </cs:chartArea>
  <cs:dataLabel>
    <cs:lnRef idx="0"/>
    <cs:fillRef idx="0"/>
    <cs:effectRef idx="0"/>
    <cs:fontRef idx="minor">
      <a:srgbClr val="404040">
        <a:lumMod val="75000"/>
        <a:lumOff val="25000"/>
      </a:srgbClr>
    </cs:fontRef>
    <cs:defRPr sz="900" kern="1200"/>
  </cs:dataLabel>
  <cs:dataLabelCallout>
    <cs:lnRef idx="0"/>
    <cs:fillRef idx="0"/>
    <cs:effectRef idx="0"/>
    <cs:fontRef idx="minor">
      <a:srgbClr val="595959">
        <a:lumMod val="65000"/>
        <a:lumOff val="35000"/>
      </a:srgbClr>
    </cs:fontRef>
    <cs:spPr>
      <a:solidFill>
        <a:srgbClr val="FFFFFF"/>
      </a:solidFill>
      <a:ln>
        <a:solidFill>
          <a:srgbClr val="BFBFBF">
            <a:lumMod val="25000"/>
            <a:lumOff val="75000"/>
          </a:srgb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rgbClr val="000000"/>
    </cs:fontRef>
  </cs:dataPoint>
  <cs:dataPoint3D>
    <cs:lnRef idx="0"/>
    <cs:fillRef idx="1">
      <cs:styleClr val="auto"/>
    </cs:fillRef>
    <cs:effectRef idx="0"/>
    <cs:fontRef idx="minor">
      <a:srgbClr val="000000"/>
    </cs:fontRef>
  </cs:dataPoint3D>
  <cs:dataPointLine>
    <cs:lnRef idx="0">
      <cs:styleClr val="auto"/>
    </cs:lnRef>
    <cs:fillRef idx="1"/>
    <cs:effectRef idx="0"/>
    <cs:fontRef idx="minor">
      <a:srgbClr val="000000"/>
    </cs:fontRef>
    <cs:spPr>
      <a:ln w="28575" cap="rnd">
        <a:solidFill>
          <a:srgbClr val="FFFFFF"/>
        </a:solidFill>
        <a:round/>
      </a:ln>
    </cs:spPr>
  </cs:dataPointLine>
  <cs:dataPointMarker>
    <cs:lnRef idx="0">
      <cs:styleClr val="auto"/>
    </cs:lnRef>
    <cs:fillRef idx="1">
      <cs:styleClr val="auto"/>
    </cs:fillRef>
    <cs:effectRef idx="0"/>
    <cs:fontRef idx="minor">
      <a:srgbClr val="000000"/>
    </cs:fontRef>
    <cs:spPr>
      <a:ln w="9525">
        <a:solidFill>
          <a:srgbClr val="FFFFFF"/>
        </a:solidFill>
      </a:ln>
    </cs:spPr>
  </cs:dataPointMarker>
  <cs:dataPointMarkerLayout symbol="circle" size="5"/>
  <cs:dataPointWireframe>
    <cs:lnRef idx="0">
      <cs:styleClr val="auto"/>
    </cs:lnRef>
    <cs:fillRef idx="1"/>
    <cs:effectRef idx="0"/>
    <cs:fontRef idx="minor">
      <a:srgbClr val="000000"/>
    </cs:fontRef>
    <cs:spPr>
      <a:ln w="9525" cap="rnd">
        <a:solidFill>
          <a:srgbClr val="FFFFFF"/>
        </a:solidFill>
        <a:round/>
      </a:ln>
    </cs:spPr>
  </cs:dataPointWireframe>
  <cs:dataTable>
    <cs:lnRef idx="0"/>
    <cs:fillRef idx="0"/>
    <cs:effectRef idx="0"/>
    <cs:fontRef idx="minor">
      <a:srgbClr val="595959">
        <a:lumMod val="65000"/>
        <a:lumOff val="35000"/>
      </a:srgbClr>
    </cs:fontRef>
    <cs:spPr>
      <a:noFill/>
      <a:ln w="9525" cap="flat" cmpd="sng" algn="ctr">
        <a:solidFill>
          <a:srgbClr val="D9D9D9">
            <a:lumMod val="15000"/>
            <a:lumOff val="85000"/>
          </a:srgbClr>
        </a:solidFill>
        <a:round/>
      </a:ln>
    </cs:spPr>
    <cs:defRPr sz="900" kern="1200"/>
  </cs:dataTable>
  <cs:downBar>
    <cs:lnRef idx="0"/>
    <cs:fillRef idx="0"/>
    <cs:effectRef idx="0"/>
    <cs:fontRef idx="minor">
      <a:srgbClr val="000000"/>
    </cs:fontRef>
    <cs:spPr>
      <a:solidFill>
        <a:srgbClr val="595959">
          <a:lumMod val="65000"/>
          <a:lumOff val="35000"/>
        </a:srgbClr>
      </a:solidFill>
      <a:ln w="9525">
        <a:solidFill>
          <a:srgbClr val="595959">
            <a:lumMod val="65000"/>
            <a:lumOff val="35000"/>
          </a:srgbClr>
        </a:solidFill>
      </a:ln>
    </cs:spPr>
  </cs:downBar>
  <cs:dropLine>
    <cs:lnRef idx="0"/>
    <cs:fillRef idx="0"/>
    <cs:effectRef idx="0"/>
    <cs:fontRef idx="minor">
      <a:srgbClr val="000000"/>
    </cs:fontRef>
    <cs:spPr>
      <a:ln w="9525" cap="flat" cmpd="sng" algn="ctr">
        <a:solidFill>
          <a:srgbClr val="A6A6A6">
            <a:lumMod val="35000"/>
            <a:lumOff val="65000"/>
          </a:srgbClr>
        </a:solidFill>
        <a:round/>
      </a:ln>
    </cs:spPr>
  </cs:dropLine>
  <cs:errorBar>
    <cs:lnRef idx="0"/>
    <cs:fillRef idx="0"/>
    <cs:effectRef idx="0"/>
    <cs:fontRef idx="minor">
      <a:srgbClr val="000000"/>
    </cs:fontRef>
    <cs:spPr>
      <a:ln w="9525" cap="flat" cmpd="sng" algn="ctr">
        <a:solidFill>
          <a:srgbClr val="595959">
            <a:lumMod val="65000"/>
            <a:lumOff val="35000"/>
          </a:srgbClr>
        </a:solidFill>
        <a:round/>
      </a:ln>
    </cs:spPr>
  </cs:errorBar>
  <cs:floor>
    <cs:lnRef idx="0"/>
    <cs:fillRef idx="0"/>
    <cs:effectRef idx="0"/>
    <cs:fontRef idx="minor">
      <a:srgbClr val="000000"/>
    </cs:fontRef>
    <cs:spPr>
      <a:noFill/>
      <a:ln>
        <a:noFill/>
      </a:ln>
    </cs:spPr>
  </cs:floor>
  <cs:gridlineMajor>
    <cs:lnRef idx="0"/>
    <cs:fillRef idx="0"/>
    <cs:effectRef idx="0"/>
    <cs:fontRef idx="minor">
      <a:srgbClr val="000000"/>
    </cs:fontRef>
    <cs:spPr>
      <a:ln w="9525" cap="flat" cmpd="sng" algn="ctr">
        <a:solidFill>
          <a:srgbClr val="D9D9D9">
            <a:lumMod val="15000"/>
            <a:lumOff val="85000"/>
          </a:srgbClr>
        </a:solidFill>
        <a:round/>
      </a:ln>
    </cs:spPr>
  </cs:gridlineMajor>
  <cs:gridlineMinor>
    <cs:lnRef idx="0"/>
    <cs:fillRef idx="0"/>
    <cs:effectRef idx="0"/>
    <cs:fontRef idx="minor">
      <a:srgbClr val="000000"/>
    </cs:fontRef>
    <cs:spPr>
      <a:ln w="9525" cap="flat" cmpd="sng" algn="ctr">
        <a:solidFill>
          <a:srgbClr val="F2F2F2">
            <a:lumMod val="5000"/>
            <a:lumOff val="95000"/>
          </a:srgbClr>
        </a:solidFill>
        <a:round/>
      </a:ln>
    </cs:spPr>
  </cs:gridlineMinor>
  <cs:hiLoLine>
    <cs:lnRef idx="0"/>
    <cs:fillRef idx="0"/>
    <cs:effectRef idx="0"/>
    <cs:fontRef idx="minor">
      <a:srgbClr val="000000"/>
    </cs:fontRef>
    <cs:spPr>
      <a:ln w="9525" cap="flat" cmpd="sng" algn="ctr">
        <a:solidFill>
          <a:srgbClr val="404040">
            <a:lumMod val="75000"/>
            <a:lumOff val="25000"/>
          </a:srgbClr>
        </a:solidFill>
        <a:round/>
      </a:ln>
    </cs:spPr>
  </cs:hiLoLine>
  <cs:leaderLine>
    <cs:lnRef idx="0"/>
    <cs:fillRef idx="0"/>
    <cs:effectRef idx="0"/>
    <cs:fontRef idx="minor">
      <a:srgbClr val="000000"/>
    </cs:fontRef>
    <cs:spPr>
      <a:ln w="9525" cap="flat" cmpd="sng" algn="ctr">
        <a:solidFill>
          <a:srgbClr val="A6A6A6">
            <a:lumMod val="35000"/>
            <a:lumOff val="65000"/>
          </a:srgbClr>
        </a:solidFill>
        <a:round/>
      </a:ln>
    </cs:spPr>
  </cs:leaderLine>
  <cs:legend>
    <cs:lnRef idx="0"/>
    <cs:fillRef idx="0"/>
    <cs:effectRef idx="0"/>
    <cs:fontRef idx="minor">
      <a:srgbClr val="595959">
        <a:lumMod val="65000"/>
        <a:lumOff val="35000"/>
      </a:srgbClr>
    </cs:fontRef>
    <cs:defRPr sz="900" kern="1200"/>
  </cs:legend>
  <cs:plotArea mods="allowNoFillOverride allowNoLineOverride">
    <cs:lnRef idx="0"/>
    <cs:fillRef idx="0"/>
    <cs:effectRef idx="0"/>
    <cs:fontRef idx="minor">
      <a:srgbClr val="000000"/>
    </cs:fontRef>
  </cs:plotArea>
  <cs:plotArea3D mods="allowNoFillOverride allowNoLineOverride">
    <cs:lnRef idx="0"/>
    <cs:fillRef idx="0"/>
    <cs:effectRef idx="0"/>
    <cs:fontRef idx="minor">
      <a:srgbClr val="000000"/>
    </cs:fontRef>
  </cs:plotArea3D>
  <cs:seriesAxis>
    <cs:lnRef idx="0"/>
    <cs:fillRef idx="0"/>
    <cs:effectRef idx="0"/>
    <cs:fontRef idx="minor">
      <a:srgbClr val="595959">
        <a:lumMod val="65000"/>
        <a:lumOff val="35000"/>
      </a:srgbClr>
    </cs:fontRef>
    <cs:defRPr sz="900" kern="1200"/>
  </cs:seriesAxis>
  <cs:seriesLine>
    <cs:lnRef idx="0"/>
    <cs:fillRef idx="0"/>
    <cs:effectRef idx="0"/>
    <cs:fontRef idx="minor">
      <a:srgbClr val="000000"/>
    </cs:fontRef>
    <cs:spPr>
      <a:ln w="9525" cap="flat" cmpd="sng" algn="ctr">
        <a:solidFill>
          <a:srgbClr val="A6A6A6">
            <a:lumMod val="35000"/>
            <a:lumOff val="65000"/>
          </a:srgbClr>
        </a:solidFill>
        <a:round/>
      </a:ln>
    </cs:spPr>
  </cs:seriesLine>
  <cs:title>
    <cs:lnRef idx="0"/>
    <cs:fillRef idx="0"/>
    <cs:effectRef idx="0"/>
    <cs:fontRef idx="minor">
      <a:srgbClr val="595959">
        <a:lumMod val="65000"/>
        <a:lumOff val="35000"/>
      </a:srgbClr>
    </cs:fontRef>
    <cs:defRPr sz="1400" b="0" kern="1200" spc="0" baseline="0"/>
  </cs:title>
  <cs:trendline>
    <cs:lnRef idx="0">
      <cs:styleClr val="auto"/>
    </cs:lnRef>
    <cs:fillRef idx="0"/>
    <cs:effectRef idx="0"/>
    <cs:fontRef idx="minor">
      <a:srgbClr val="000000"/>
    </cs:fontRef>
    <cs:spPr>
      <a:ln w="19050" cap="rnd">
        <a:solidFill>
          <a:srgbClr val="FFFFFF"/>
        </a:solidFill>
        <a:prstDash val="sysDot"/>
      </a:ln>
    </cs:spPr>
  </cs:trendline>
  <cs:trendlineLabel>
    <cs:lnRef idx="0"/>
    <cs:fillRef idx="0"/>
    <cs:effectRef idx="0"/>
    <cs:fontRef idx="minor">
      <a:srgbClr val="595959">
        <a:lumMod val="65000"/>
        <a:lumOff val="35000"/>
      </a:srgbClr>
    </cs:fontRef>
    <cs:defRPr sz="900" kern="1200"/>
  </cs:trendlineLabel>
  <cs:upBar>
    <cs:lnRef idx="0"/>
    <cs:fillRef idx="0"/>
    <cs:effectRef idx="0"/>
    <cs:fontRef idx="minor">
      <a:srgbClr val="000000"/>
    </cs:fontRef>
    <cs:spPr>
      <a:solidFill>
        <a:srgbClr val="FFFFFF"/>
      </a:solidFill>
      <a:ln w="9525">
        <a:solidFill>
          <a:srgbClr val="D9D9D9">
            <a:lumMod val="15000"/>
            <a:lumOff val="85000"/>
          </a:srgbClr>
        </a:solidFill>
      </a:ln>
    </cs:spPr>
  </cs:upBar>
  <cs:valueAxis>
    <cs:lnRef idx="0"/>
    <cs:fillRef idx="0"/>
    <cs:effectRef idx="0"/>
    <cs:fontRef idx="minor">
      <a:srgbClr val="595959">
        <a:lumMod val="65000"/>
        <a:lumOff val="35000"/>
      </a:srgbClr>
    </cs:fontRef>
    <cs:defRPr sz="900" kern="1200"/>
  </cs:valueAxis>
  <cs:wall>
    <cs:lnRef idx="0"/>
    <cs:fillRef idx="0"/>
    <cs:effectRef idx="0"/>
    <cs:fontRef idx="minor">
      <a:srgbClr val="000000"/>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rgbClr val="595959">
        <a:lumMod val="65000"/>
        <a:lumOff val="35000"/>
      </a:srgbClr>
    </cs:fontRef>
    <cs:defRPr sz="1000" kern="1200"/>
  </cs:axisTitle>
  <cs:categoryAxis>
    <cs:lnRef idx="0"/>
    <cs:fillRef idx="0"/>
    <cs:effectRef idx="0"/>
    <cs:fontRef idx="minor">
      <a:srgbClr val="595959">
        <a:lumMod val="65000"/>
        <a:lumOff val="35000"/>
      </a:srgbClr>
    </cs:fontRef>
    <cs:spPr>
      <a:ln w="9525" cap="flat" cmpd="sng" algn="ctr">
        <a:solidFill>
          <a:srgbClr val="D9D9D9">
            <a:lumMod val="15000"/>
            <a:lumOff val="85000"/>
          </a:srgbClr>
        </a:solidFill>
        <a:round/>
      </a:ln>
    </cs:spPr>
    <cs:defRPr sz="900" kern="1200"/>
  </cs:categoryAxis>
  <cs:chartArea mods="allowNoFillOverride allowNoLineOverride">
    <cs:lnRef idx="0"/>
    <cs:fillRef idx="0"/>
    <cs:effectRef idx="0"/>
    <cs:fontRef idx="minor">
      <a:srgbClr val="000000"/>
    </cs:fontRef>
    <cs:spPr>
      <a:solidFill>
        <a:srgbClr val="FFFFFF"/>
      </a:solidFill>
      <a:ln w="9525" cap="flat" cmpd="sng" algn="ctr">
        <a:solidFill>
          <a:srgbClr val="D9D9D9">
            <a:lumMod val="15000"/>
            <a:lumOff val="85000"/>
          </a:srgbClr>
        </a:solidFill>
        <a:round/>
      </a:ln>
    </cs:spPr>
    <cs:defRPr sz="1000" kern="1200"/>
  </cs:chartArea>
  <cs:dataLabel>
    <cs:lnRef idx="0"/>
    <cs:fillRef idx="0"/>
    <cs:effectRef idx="0"/>
    <cs:fontRef idx="minor">
      <a:srgbClr val="404040">
        <a:lumMod val="75000"/>
        <a:lumOff val="25000"/>
      </a:srgbClr>
    </cs:fontRef>
    <cs:defRPr sz="900" kern="1200"/>
  </cs:dataLabel>
  <cs:dataLabelCallout>
    <cs:lnRef idx="0"/>
    <cs:fillRef idx="0"/>
    <cs:effectRef idx="0"/>
    <cs:fontRef idx="minor">
      <a:srgbClr val="595959">
        <a:lumMod val="65000"/>
        <a:lumOff val="35000"/>
      </a:srgbClr>
    </cs:fontRef>
    <cs:spPr>
      <a:solidFill>
        <a:srgbClr val="FFFFFF"/>
      </a:solidFill>
      <a:ln>
        <a:solidFill>
          <a:srgbClr val="BFBFBF">
            <a:lumMod val="25000"/>
            <a:lumOff val="75000"/>
          </a:srgb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rgbClr val="000000"/>
    </cs:fontRef>
  </cs:dataPoint>
  <cs:dataPoint3D>
    <cs:lnRef idx="0"/>
    <cs:fillRef idx="1">
      <cs:styleClr val="auto"/>
    </cs:fillRef>
    <cs:effectRef idx="0"/>
    <cs:fontRef idx="minor">
      <a:srgbClr val="000000"/>
    </cs:fontRef>
  </cs:dataPoint3D>
  <cs:dataPointLine>
    <cs:lnRef idx="0">
      <cs:styleClr val="auto"/>
    </cs:lnRef>
    <cs:fillRef idx="1"/>
    <cs:effectRef idx="0"/>
    <cs:fontRef idx="minor">
      <a:srgbClr val="000000"/>
    </cs:fontRef>
    <cs:spPr>
      <a:ln w="28575" cap="rnd">
        <a:solidFill>
          <a:srgbClr val="FFFFFF"/>
        </a:solidFill>
        <a:round/>
      </a:ln>
    </cs:spPr>
  </cs:dataPointLine>
  <cs:dataPointMarker>
    <cs:lnRef idx="0">
      <cs:styleClr val="auto"/>
    </cs:lnRef>
    <cs:fillRef idx="1">
      <cs:styleClr val="auto"/>
    </cs:fillRef>
    <cs:effectRef idx="0"/>
    <cs:fontRef idx="minor">
      <a:srgbClr val="000000"/>
    </cs:fontRef>
    <cs:spPr>
      <a:ln w="9525">
        <a:solidFill>
          <a:srgbClr val="FFFFFF"/>
        </a:solidFill>
      </a:ln>
    </cs:spPr>
  </cs:dataPointMarker>
  <cs:dataPointMarkerLayout symbol="circle" size="5"/>
  <cs:dataPointWireframe>
    <cs:lnRef idx="0">
      <cs:styleClr val="auto"/>
    </cs:lnRef>
    <cs:fillRef idx="1"/>
    <cs:effectRef idx="0"/>
    <cs:fontRef idx="minor">
      <a:srgbClr val="000000"/>
    </cs:fontRef>
    <cs:spPr>
      <a:ln w="9525" cap="rnd">
        <a:solidFill>
          <a:srgbClr val="FFFFFF"/>
        </a:solidFill>
        <a:round/>
      </a:ln>
    </cs:spPr>
  </cs:dataPointWireframe>
  <cs:dataTable>
    <cs:lnRef idx="0"/>
    <cs:fillRef idx="0"/>
    <cs:effectRef idx="0"/>
    <cs:fontRef idx="minor">
      <a:srgbClr val="595959">
        <a:lumMod val="65000"/>
        <a:lumOff val="35000"/>
      </a:srgbClr>
    </cs:fontRef>
    <cs:spPr>
      <a:noFill/>
      <a:ln w="9525" cap="flat" cmpd="sng" algn="ctr">
        <a:solidFill>
          <a:srgbClr val="D9D9D9">
            <a:lumMod val="15000"/>
            <a:lumOff val="85000"/>
          </a:srgbClr>
        </a:solidFill>
        <a:round/>
      </a:ln>
    </cs:spPr>
    <cs:defRPr sz="900" kern="1200"/>
  </cs:dataTable>
  <cs:downBar>
    <cs:lnRef idx="0"/>
    <cs:fillRef idx="0"/>
    <cs:effectRef idx="0"/>
    <cs:fontRef idx="minor">
      <a:srgbClr val="000000"/>
    </cs:fontRef>
    <cs:spPr>
      <a:solidFill>
        <a:srgbClr val="595959">
          <a:lumMod val="65000"/>
          <a:lumOff val="35000"/>
        </a:srgbClr>
      </a:solidFill>
      <a:ln w="9525">
        <a:solidFill>
          <a:srgbClr val="595959">
            <a:lumMod val="65000"/>
            <a:lumOff val="35000"/>
          </a:srgbClr>
        </a:solidFill>
      </a:ln>
    </cs:spPr>
  </cs:downBar>
  <cs:dropLine>
    <cs:lnRef idx="0"/>
    <cs:fillRef idx="0"/>
    <cs:effectRef idx="0"/>
    <cs:fontRef idx="minor">
      <a:srgbClr val="000000"/>
    </cs:fontRef>
    <cs:spPr>
      <a:ln w="9525" cap="flat" cmpd="sng" algn="ctr">
        <a:solidFill>
          <a:srgbClr val="A6A6A6">
            <a:lumMod val="35000"/>
            <a:lumOff val="65000"/>
          </a:srgbClr>
        </a:solidFill>
        <a:round/>
      </a:ln>
    </cs:spPr>
  </cs:dropLine>
  <cs:errorBar>
    <cs:lnRef idx="0"/>
    <cs:fillRef idx="0"/>
    <cs:effectRef idx="0"/>
    <cs:fontRef idx="minor">
      <a:srgbClr val="000000"/>
    </cs:fontRef>
    <cs:spPr>
      <a:ln w="9525" cap="flat" cmpd="sng" algn="ctr">
        <a:solidFill>
          <a:srgbClr val="595959">
            <a:lumMod val="65000"/>
            <a:lumOff val="35000"/>
          </a:srgbClr>
        </a:solidFill>
        <a:round/>
      </a:ln>
    </cs:spPr>
  </cs:errorBar>
  <cs:floor>
    <cs:lnRef idx="0"/>
    <cs:fillRef idx="0"/>
    <cs:effectRef idx="0"/>
    <cs:fontRef idx="minor">
      <a:srgbClr val="000000"/>
    </cs:fontRef>
    <cs:spPr>
      <a:noFill/>
      <a:ln>
        <a:noFill/>
      </a:ln>
    </cs:spPr>
  </cs:floor>
  <cs:gridlineMajor>
    <cs:lnRef idx="0"/>
    <cs:fillRef idx="0"/>
    <cs:effectRef idx="0"/>
    <cs:fontRef idx="minor">
      <a:srgbClr val="000000"/>
    </cs:fontRef>
    <cs:spPr>
      <a:ln w="9525" cap="flat" cmpd="sng" algn="ctr">
        <a:solidFill>
          <a:srgbClr val="D9D9D9">
            <a:lumMod val="15000"/>
            <a:lumOff val="85000"/>
          </a:srgbClr>
        </a:solidFill>
        <a:round/>
      </a:ln>
    </cs:spPr>
  </cs:gridlineMajor>
  <cs:gridlineMinor>
    <cs:lnRef idx="0"/>
    <cs:fillRef idx="0"/>
    <cs:effectRef idx="0"/>
    <cs:fontRef idx="minor">
      <a:srgbClr val="000000"/>
    </cs:fontRef>
    <cs:spPr>
      <a:ln w="9525" cap="flat" cmpd="sng" algn="ctr">
        <a:solidFill>
          <a:srgbClr val="F2F2F2">
            <a:lumMod val="5000"/>
            <a:lumOff val="95000"/>
          </a:srgbClr>
        </a:solidFill>
        <a:round/>
      </a:ln>
    </cs:spPr>
  </cs:gridlineMinor>
  <cs:hiLoLine>
    <cs:lnRef idx="0"/>
    <cs:fillRef idx="0"/>
    <cs:effectRef idx="0"/>
    <cs:fontRef idx="minor">
      <a:srgbClr val="000000"/>
    </cs:fontRef>
    <cs:spPr>
      <a:ln w="9525" cap="flat" cmpd="sng" algn="ctr">
        <a:solidFill>
          <a:srgbClr val="404040">
            <a:lumMod val="75000"/>
            <a:lumOff val="25000"/>
          </a:srgbClr>
        </a:solidFill>
        <a:round/>
      </a:ln>
    </cs:spPr>
  </cs:hiLoLine>
  <cs:leaderLine>
    <cs:lnRef idx="0"/>
    <cs:fillRef idx="0"/>
    <cs:effectRef idx="0"/>
    <cs:fontRef idx="minor">
      <a:srgbClr val="000000"/>
    </cs:fontRef>
    <cs:spPr>
      <a:ln w="9525" cap="flat" cmpd="sng" algn="ctr">
        <a:solidFill>
          <a:srgbClr val="A6A6A6">
            <a:lumMod val="35000"/>
            <a:lumOff val="65000"/>
          </a:srgbClr>
        </a:solidFill>
        <a:round/>
      </a:ln>
    </cs:spPr>
  </cs:leaderLine>
  <cs:legend>
    <cs:lnRef idx="0"/>
    <cs:fillRef idx="0"/>
    <cs:effectRef idx="0"/>
    <cs:fontRef idx="minor">
      <a:srgbClr val="595959">
        <a:lumMod val="65000"/>
        <a:lumOff val="35000"/>
      </a:srgbClr>
    </cs:fontRef>
    <cs:defRPr sz="900" kern="1200"/>
  </cs:legend>
  <cs:plotArea mods="allowNoFillOverride allowNoLineOverride">
    <cs:lnRef idx="0"/>
    <cs:fillRef idx="0"/>
    <cs:effectRef idx="0"/>
    <cs:fontRef idx="minor">
      <a:srgbClr val="000000"/>
    </cs:fontRef>
  </cs:plotArea>
  <cs:plotArea3D mods="allowNoFillOverride allowNoLineOverride">
    <cs:lnRef idx="0"/>
    <cs:fillRef idx="0"/>
    <cs:effectRef idx="0"/>
    <cs:fontRef idx="minor">
      <a:srgbClr val="000000"/>
    </cs:fontRef>
  </cs:plotArea3D>
  <cs:seriesAxis>
    <cs:lnRef idx="0"/>
    <cs:fillRef idx="0"/>
    <cs:effectRef idx="0"/>
    <cs:fontRef idx="minor">
      <a:srgbClr val="595959">
        <a:lumMod val="65000"/>
        <a:lumOff val="35000"/>
      </a:srgbClr>
    </cs:fontRef>
    <cs:defRPr sz="900" kern="1200"/>
  </cs:seriesAxis>
  <cs:seriesLine>
    <cs:lnRef idx="0"/>
    <cs:fillRef idx="0"/>
    <cs:effectRef idx="0"/>
    <cs:fontRef idx="minor">
      <a:srgbClr val="000000"/>
    </cs:fontRef>
    <cs:spPr>
      <a:ln w="9525" cap="flat" cmpd="sng" algn="ctr">
        <a:solidFill>
          <a:srgbClr val="A6A6A6">
            <a:lumMod val="35000"/>
            <a:lumOff val="65000"/>
          </a:srgbClr>
        </a:solidFill>
        <a:round/>
      </a:ln>
    </cs:spPr>
  </cs:seriesLine>
  <cs:title>
    <cs:lnRef idx="0"/>
    <cs:fillRef idx="0"/>
    <cs:effectRef idx="0"/>
    <cs:fontRef idx="minor">
      <a:srgbClr val="595959">
        <a:lumMod val="65000"/>
        <a:lumOff val="35000"/>
      </a:srgbClr>
    </cs:fontRef>
    <cs:defRPr sz="1400" b="0" kern="1200" spc="0" baseline="0"/>
  </cs:title>
  <cs:trendline>
    <cs:lnRef idx="0">
      <cs:styleClr val="auto"/>
    </cs:lnRef>
    <cs:fillRef idx="0"/>
    <cs:effectRef idx="0"/>
    <cs:fontRef idx="minor">
      <a:srgbClr val="000000"/>
    </cs:fontRef>
    <cs:spPr>
      <a:ln w="19050" cap="rnd">
        <a:solidFill>
          <a:srgbClr val="FFFFFF"/>
        </a:solidFill>
        <a:prstDash val="sysDot"/>
      </a:ln>
    </cs:spPr>
  </cs:trendline>
  <cs:trendlineLabel>
    <cs:lnRef idx="0"/>
    <cs:fillRef idx="0"/>
    <cs:effectRef idx="0"/>
    <cs:fontRef idx="minor">
      <a:srgbClr val="595959">
        <a:lumMod val="65000"/>
        <a:lumOff val="35000"/>
      </a:srgbClr>
    </cs:fontRef>
    <cs:defRPr sz="900" kern="1200"/>
  </cs:trendlineLabel>
  <cs:upBar>
    <cs:lnRef idx="0"/>
    <cs:fillRef idx="0"/>
    <cs:effectRef idx="0"/>
    <cs:fontRef idx="minor">
      <a:srgbClr val="000000"/>
    </cs:fontRef>
    <cs:spPr>
      <a:solidFill>
        <a:srgbClr val="FFFFFF"/>
      </a:solidFill>
      <a:ln w="9525">
        <a:solidFill>
          <a:srgbClr val="D9D9D9">
            <a:lumMod val="15000"/>
            <a:lumOff val="85000"/>
          </a:srgbClr>
        </a:solidFill>
      </a:ln>
    </cs:spPr>
  </cs:upBar>
  <cs:valueAxis>
    <cs:lnRef idx="0"/>
    <cs:fillRef idx="0"/>
    <cs:effectRef idx="0"/>
    <cs:fontRef idx="minor">
      <a:srgbClr val="595959">
        <a:lumMod val="65000"/>
        <a:lumOff val="35000"/>
      </a:srgbClr>
    </cs:fontRef>
    <cs:defRPr sz="900" kern="1200"/>
  </cs:valueAxis>
  <cs:wall>
    <cs:lnRef idx="0"/>
    <cs:fillRef idx="0"/>
    <cs:effectRef idx="0"/>
    <cs:fontRef idx="minor">
      <a:srgbClr val="000000"/>
    </cs:fontRef>
    <cs:spPr>
      <a:noFill/>
      <a:ln>
        <a:noFill/>
      </a:ln>
    </cs:spPr>
  </cs:wall>
</cs:chartStyle>
</file>

<file path=word/charts/style3.xml><?xml version="1.0" encoding="utf-8"?>
<cs:chartStyle xmlns:cs="http://schemas.microsoft.com/office/drawing/2012/chartStyle" xmlns:a="http://schemas.openxmlformats.org/drawingml/2006/main" id="259">
  <cs:axisTitle>
    <cs:lnRef idx="0"/>
    <cs:fillRef idx="0"/>
    <cs:effectRef idx="0"/>
    <cs:fontRef idx="minor">
      <a:srgbClr val="595959">
        <a:lumMod val="65000"/>
        <a:lumOff val="35000"/>
      </a:srgbClr>
    </cs:fontRef>
    <cs:defRPr sz="900" kern="1200" cap="all"/>
  </cs:axisTitle>
  <cs:categoryAxis>
    <cs:lnRef idx="0"/>
    <cs:fillRef idx="0"/>
    <cs:effectRef idx="0"/>
    <cs:fontRef idx="minor">
      <a:srgbClr val="595959">
        <a:lumMod val="65000"/>
        <a:lumOff val="35000"/>
      </a:srgbClr>
    </cs:fontRef>
    <cs:defRPr sz="900" kern="1200"/>
  </cs:categoryAxis>
  <cs:chartArea mods="allowNoFillOverride allowNoLineOverride">
    <cs:lnRef idx="0"/>
    <cs:fillRef idx="0"/>
    <cs:effectRef idx="0"/>
    <cs:fontRef idx="minor">
      <a:srgbClr val="000000"/>
    </cs:fontRef>
    <cs:spPr>
      <a:solidFill>
        <a:srgbClr val="FFFFFF"/>
      </a:solidFill>
      <a:ln w="9525" cap="flat" cmpd="sng" algn="ctr">
        <a:solidFill>
          <a:srgbClr val="D9D9D9">
            <a:lumMod val="15000"/>
            <a:lumOff val="85000"/>
          </a:srgb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rgbClr val="FFFFFF"/>
      </a:solidFill>
      <a:ln>
        <a:solidFill>
          <a:srgbClr val="FFFFFF"/>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rgbClr val="000000"/>
    </cs:fontRef>
    <cs:spPr>
      <a:solidFill>
        <a:srgbClr val="FFFFFF"/>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rgbClr val="000000"/>
    </cs:fontRef>
    <cs:spPr>
      <a:solidFill>
        <a:srgbClr val="FFFFFF"/>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rgbClr val="000000"/>
    </cs:fontRef>
    <cs:spPr>
      <a:ln w="28575" cap="rnd">
        <a:solidFill>
          <a:srgbClr val="FFFFFF"/>
        </a:solidFill>
        <a:round/>
      </a:ln>
    </cs:spPr>
  </cs:dataPointLine>
  <cs:dataPointMarker>
    <cs:lnRef idx="0"/>
    <cs:fillRef idx="0">
      <cs:styleClr val="auto"/>
    </cs:fillRef>
    <cs:effectRef idx="0"/>
    <cs:fontRef idx="minor">
      <a:srgbClr val="000000"/>
    </cs:fontRef>
    <cs:spPr>
      <a:solidFill>
        <a:srgbClr val="FFFFFF"/>
      </a:solidFill>
      <a:ln w="9525">
        <a:solidFill>
          <a:srgbClr val="FFFFFF"/>
        </a:solidFill>
      </a:ln>
    </cs:spPr>
  </cs:dataPointMarker>
  <cs:dataPointMarkerLayout symbol="circle" size="6"/>
  <cs:dataPointWireframe>
    <cs:lnRef idx="0">
      <cs:styleClr val="auto"/>
    </cs:lnRef>
    <cs:fillRef idx="0"/>
    <cs:effectRef idx="0"/>
    <cs:fontRef idx="minor">
      <a:srgbClr val="000000"/>
    </cs:fontRef>
    <cs:spPr>
      <a:ln w="9525" cap="rnd">
        <a:solidFill>
          <a:srgbClr val="FFFFFF"/>
        </a:solidFill>
        <a:round/>
      </a:ln>
    </cs:spPr>
  </cs:dataPointWireframe>
  <cs:dataTable>
    <cs:lnRef idx="0"/>
    <cs:fillRef idx="0"/>
    <cs:effectRef idx="0"/>
    <cs:fontRef idx="minor">
      <a:srgbClr val="595959">
        <a:lumMod val="65000"/>
        <a:lumOff val="35000"/>
      </a:srgbClr>
    </cs:fontRef>
    <cs:spPr>
      <a:noFill/>
      <a:ln w="9525" cap="flat" cmpd="sng" algn="ctr">
        <a:solidFill>
          <a:srgbClr val="D9D9D9">
            <a:lumMod val="15000"/>
            <a:lumOff val="85000"/>
          </a:srgbClr>
        </a:solidFill>
        <a:round/>
      </a:ln>
    </cs:spPr>
    <cs:defRPr sz="900" kern="1200"/>
  </cs:dataTable>
  <cs:downBar>
    <cs:lnRef idx="0"/>
    <cs:fillRef idx="0"/>
    <cs:effectRef idx="0"/>
    <cs:fontRef idx="minor">
      <a:srgbClr val="000000"/>
    </cs:fontRef>
    <cs:spPr>
      <a:solidFill>
        <a:srgbClr val="404040">
          <a:lumMod val="75000"/>
          <a:lumOff val="25000"/>
        </a:srgbClr>
      </a:solidFill>
      <a:ln w="9525" cap="flat" cmpd="sng" algn="ctr">
        <a:solidFill>
          <a:srgbClr val="595959">
            <a:lumMod val="65000"/>
            <a:lumOff val="35000"/>
          </a:srgbClr>
        </a:solidFill>
        <a:round/>
      </a:ln>
    </cs:spPr>
  </cs:downBar>
  <cs:dropLine>
    <cs:lnRef idx="0"/>
    <cs:fillRef idx="0"/>
    <cs:effectRef idx="0"/>
    <cs:fontRef idx="minor">
      <a:srgbClr val="000000"/>
    </cs:fontRef>
    <cs:spPr>
      <a:ln w="9525" cap="flat" cmpd="sng" algn="ctr">
        <a:solidFill>
          <a:srgbClr val="A6A6A6">
            <a:lumMod val="35000"/>
            <a:lumOff val="65000"/>
          </a:srgbClr>
        </a:solidFill>
        <a:round/>
      </a:ln>
    </cs:spPr>
  </cs:dropLine>
  <cs:errorBar>
    <cs:lnRef idx="0"/>
    <cs:fillRef idx="0"/>
    <cs:effectRef idx="0"/>
    <cs:fontRef idx="minor">
      <a:srgbClr val="000000"/>
    </cs:fontRef>
    <cs:spPr>
      <a:ln w="9525" cap="flat" cmpd="sng" algn="ctr">
        <a:solidFill>
          <a:srgbClr val="595959">
            <a:lumMod val="65000"/>
            <a:lumOff val="35000"/>
          </a:srgbClr>
        </a:solidFill>
        <a:round/>
      </a:ln>
    </cs:spPr>
  </cs:errorBar>
  <cs:floor>
    <cs:lnRef idx="0"/>
    <cs:fillRef idx="0"/>
    <cs:effectRef idx="0"/>
    <cs:fontRef idx="minor">
      <a:srgbClr val="000000"/>
    </cs:fontRef>
    <cs:spPr>
      <a:noFill/>
      <a:ln>
        <a:noFill/>
      </a:ln>
    </cs:spPr>
  </cs:floor>
  <cs:gridlineMajor>
    <cs:lnRef idx="0"/>
    <cs:fillRef idx="0"/>
    <cs:effectRef idx="0"/>
    <cs:fontRef idx="minor">
      <a:srgbClr val="000000"/>
    </cs:fontRef>
    <cs:spPr>
      <a:ln w="9525" cap="flat" cmpd="sng" algn="ctr">
        <a:solidFill>
          <a:srgbClr val="D9D9D9">
            <a:lumMod val="15000"/>
            <a:lumOff val="85000"/>
          </a:srgbClr>
        </a:solidFill>
        <a:round/>
      </a:ln>
    </cs:spPr>
  </cs:gridlineMajor>
  <cs:gridlineMinor>
    <cs:lnRef idx="0"/>
    <cs:fillRef idx="0"/>
    <cs:effectRef idx="0"/>
    <cs:fontRef idx="minor">
      <a:srgbClr val="000000"/>
    </cs:fontRef>
    <cs:spPr>
      <a:ln w="9525" cap="flat" cmpd="sng" algn="ctr">
        <a:solidFill>
          <a:srgbClr val="F2F2F2">
            <a:lumMod val="5000"/>
            <a:lumOff val="95000"/>
          </a:srgbClr>
        </a:solidFill>
        <a:round/>
      </a:ln>
    </cs:spPr>
  </cs:gridlineMinor>
  <cs:hiLoLine>
    <cs:lnRef idx="0"/>
    <cs:fillRef idx="0"/>
    <cs:effectRef idx="0"/>
    <cs:fontRef idx="minor">
      <a:srgbClr val="000000"/>
    </cs:fontRef>
    <cs:spPr>
      <a:ln w="9525" cap="flat" cmpd="sng" algn="ctr">
        <a:solidFill>
          <a:srgbClr val="808080">
            <a:lumMod val="50000"/>
            <a:lumOff val="50000"/>
          </a:srgbClr>
        </a:solidFill>
        <a:round/>
      </a:ln>
    </cs:spPr>
  </cs:hiLoLine>
  <cs:leaderLine>
    <cs:lnRef idx="0"/>
    <cs:fillRef idx="0"/>
    <cs:effectRef idx="0"/>
    <cs:fontRef idx="minor">
      <a:srgbClr val="000000"/>
    </cs:fontRef>
    <cs:spPr>
      <a:ln w="9525" cap="flat" cmpd="sng" algn="ctr">
        <a:solidFill>
          <a:srgbClr val="A6A6A6">
            <a:lumMod val="35000"/>
            <a:lumOff val="65000"/>
          </a:srgbClr>
        </a:solidFill>
        <a:round/>
      </a:ln>
    </cs:spPr>
  </cs:leaderLine>
  <cs:legend>
    <cs:lnRef idx="0"/>
    <cs:fillRef idx="0"/>
    <cs:effectRef idx="0"/>
    <cs:fontRef idx="minor">
      <a:srgbClr val="595959">
        <a:lumMod val="65000"/>
        <a:lumOff val="35000"/>
      </a:srgbClr>
    </cs:fontRef>
    <cs:defRPr sz="900" kern="1200"/>
  </cs:legend>
  <cs:plotArea mods="allowNoFillOverride allowNoLineOverride">
    <cs:lnRef idx="0"/>
    <cs:fillRef idx="0"/>
    <cs:effectRef idx="0"/>
    <cs:fontRef idx="minor">
      <a:srgbClr val="000000"/>
    </cs:fontRef>
  </cs:plotArea>
  <cs:plotArea3D mods="allowNoFillOverride allowNoLineOverride">
    <cs:lnRef idx="0"/>
    <cs:fillRef idx="0"/>
    <cs:effectRef idx="0"/>
    <cs:fontRef idx="minor">
      <a:srgbClr val="000000"/>
    </cs:fontRef>
  </cs:plotArea3D>
  <cs:seriesAxis>
    <cs:lnRef idx="0"/>
    <cs:fillRef idx="0"/>
    <cs:effectRef idx="0"/>
    <cs:fontRef idx="minor">
      <a:srgbClr val="595959">
        <a:lumMod val="65000"/>
        <a:lumOff val="35000"/>
      </a:srgbClr>
    </cs:fontRef>
    <cs:defRPr sz="900" kern="1200"/>
  </cs:seriesAxis>
  <cs:seriesLine>
    <cs:lnRef idx="0"/>
    <cs:fillRef idx="0"/>
    <cs:effectRef idx="0"/>
    <cs:fontRef idx="minor">
      <a:srgbClr val="000000"/>
    </cs:fontRef>
    <cs:spPr>
      <a:ln w="9525" cap="flat" cmpd="sng" algn="ctr">
        <a:solidFill>
          <a:srgbClr val="A6A6A6">
            <a:lumMod val="35000"/>
            <a:lumOff val="65000"/>
          </a:srgbClr>
        </a:solidFill>
        <a:round/>
      </a:ln>
    </cs:spPr>
  </cs:seriesLine>
  <cs:title>
    <cs:lnRef idx="0"/>
    <cs:fillRef idx="0"/>
    <cs:effectRef idx="0"/>
    <cs:fontRef idx="minor">
      <a:srgbClr val="595959">
        <a:lumMod val="65000"/>
        <a:lumOff val="35000"/>
      </a:srgbClr>
    </cs:fontRef>
    <cs:defRPr sz="1600" b="1" kern="1200" cap="all" baseline="0"/>
  </cs:title>
  <cs:trendline>
    <cs:lnRef idx="0">
      <cs:styleClr val="auto"/>
    </cs:lnRef>
    <cs:fillRef idx="0"/>
    <cs:effectRef idx="0"/>
    <cs:fontRef idx="minor">
      <a:srgbClr val="000000"/>
    </cs:fontRef>
    <cs:spPr>
      <a:ln w="19050" cap="rnd">
        <a:solidFill>
          <a:srgbClr val="FFFFFF"/>
        </a:solidFill>
        <a:prstDash val="sysDash"/>
      </a:ln>
    </cs:spPr>
  </cs:trendline>
  <cs:trendlineLabel>
    <cs:lnRef idx="0"/>
    <cs:fillRef idx="0"/>
    <cs:effectRef idx="0"/>
    <cs:fontRef idx="minor">
      <a:srgbClr val="595959">
        <a:lumMod val="65000"/>
        <a:lumOff val="35000"/>
      </a:srgbClr>
    </cs:fontRef>
    <cs:defRPr sz="900" kern="1200"/>
  </cs:trendlineLabel>
  <cs:upBar>
    <cs:lnRef idx="0"/>
    <cs:fillRef idx="0"/>
    <cs:effectRef idx="0"/>
    <cs:fontRef idx="minor">
      <a:srgbClr val="000000"/>
    </cs:fontRef>
    <cs:spPr>
      <a:solidFill>
        <a:srgbClr val="FFFFFF"/>
      </a:solidFill>
      <a:ln w="9525" cap="flat" cmpd="sng" algn="ctr">
        <a:solidFill>
          <a:srgbClr val="595959">
            <a:lumMod val="65000"/>
            <a:lumOff val="35000"/>
          </a:srgbClr>
        </a:solidFill>
        <a:round/>
      </a:ln>
    </cs:spPr>
  </cs:upBar>
  <cs:valueAxis>
    <cs:lnRef idx="0"/>
    <cs:fillRef idx="0"/>
    <cs:effectRef idx="0"/>
    <cs:fontRef idx="minor">
      <a:srgbClr val="595959">
        <a:lumMod val="65000"/>
        <a:lumOff val="35000"/>
      </a:srgbClr>
    </cs:fontRef>
    <cs:defRPr sz="900" kern="1200"/>
  </cs:valueAxis>
  <cs:wall>
    <cs:lnRef idx="0"/>
    <cs:fillRef idx="0"/>
    <cs:effectRef idx="0"/>
    <cs:fontRef idx="minor">
      <a:srgbClr val="000000"/>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rgbClr val="595959">
        <a:lumMod val="65000"/>
        <a:lumOff val="35000"/>
      </a:srgbClr>
    </cs:fontRef>
    <cs:defRPr sz="1000" kern="1200"/>
  </cs:axisTitle>
  <cs:categoryAxis>
    <cs:lnRef idx="0"/>
    <cs:fillRef idx="0"/>
    <cs:effectRef idx="0"/>
    <cs:fontRef idx="minor">
      <a:srgbClr val="595959">
        <a:lumMod val="65000"/>
        <a:lumOff val="35000"/>
      </a:srgbClr>
    </cs:fontRef>
    <cs:spPr>
      <a:ln w="9525" cap="flat" cmpd="sng" algn="ctr">
        <a:solidFill>
          <a:srgbClr val="D9D9D9">
            <a:lumMod val="15000"/>
            <a:lumOff val="85000"/>
          </a:srgbClr>
        </a:solidFill>
        <a:round/>
      </a:ln>
    </cs:spPr>
    <cs:defRPr sz="900" kern="1200"/>
  </cs:categoryAxis>
  <cs:chartArea mods="allowNoFillOverride allowNoLineOverride">
    <cs:lnRef idx="0"/>
    <cs:fillRef idx="0"/>
    <cs:effectRef idx="0"/>
    <cs:fontRef idx="minor">
      <a:srgbClr val="000000"/>
    </cs:fontRef>
    <cs:spPr>
      <a:solidFill>
        <a:srgbClr val="FFFFFF"/>
      </a:solidFill>
      <a:ln w="9525" cap="flat" cmpd="sng" algn="ctr">
        <a:solidFill>
          <a:srgbClr val="D9D9D9">
            <a:lumMod val="15000"/>
            <a:lumOff val="85000"/>
          </a:srgbClr>
        </a:solidFill>
        <a:round/>
      </a:ln>
    </cs:spPr>
    <cs:defRPr sz="1000" kern="1200"/>
  </cs:chartArea>
  <cs:dataLabel>
    <cs:lnRef idx="0"/>
    <cs:fillRef idx="0"/>
    <cs:effectRef idx="0"/>
    <cs:fontRef idx="minor">
      <a:srgbClr val="404040">
        <a:lumMod val="75000"/>
        <a:lumOff val="25000"/>
      </a:srgbClr>
    </cs:fontRef>
    <cs:defRPr sz="900" kern="1200"/>
  </cs:dataLabel>
  <cs:dataLabelCallout>
    <cs:lnRef idx="0"/>
    <cs:fillRef idx="0"/>
    <cs:effectRef idx="0"/>
    <cs:fontRef idx="minor">
      <a:srgbClr val="595959">
        <a:lumMod val="65000"/>
        <a:lumOff val="35000"/>
      </a:srgbClr>
    </cs:fontRef>
    <cs:spPr>
      <a:solidFill>
        <a:srgbClr val="FFFFFF"/>
      </a:solidFill>
      <a:ln>
        <a:solidFill>
          <a:srgbClr val="BFBFBF">
            <a:lumMod val="25000"/>
            <a:lumOff val="75000"/>
          </a:srgb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rgbClr val="000000"/>
    </cs:fontRef>
  </cs:dataPoint>
  <cs:dataPoint3D>
    <cs:lnRef idx="0"/>
    <cs:fillRef idx="1">
      <cs:styleClr val="auto"/>
    </cs:fillRef>
    <cs:effectRef idx="0"/>
    <cs:fontRef idx="minor">
      <a:srgbClr val="000000"/>
    </cs:fontRef>
  </cs:dataPoint3D>
  <cs:dataPointLine>
    <cs:lnRef idx="0">
      <cs:styleClr val="auto"/>
    </cs:lnRef>
    <cs:fillRef idx="1"/>
    <cs:effectRef idx="0"/>
    <cs:fontRef idx="minor">
      <a:srgbClr val="000000"/>
    </cs:fontRef>
    <cs:spPr>
      <a:ln w="28575" cap="rnd">
        <a:solidFill>
          <a:srgbClr val="FFFFFF"/>
        </a:solidFill>
        <a:round/>
      </a:ln>
    </cs:spPr>
  </cs:dataPointLine>
  <cs:dataPointMarker>
    <cs:lnRef idx="0">
      <cs:styleClr val="auto"/>
    </cs:lnRef>
    <cs:fillRef idx="1">
      <cs:styleClr val="auto"/>
    </cs:fillRef>
    <cs:effectRef idx="0"/>
    <cs:fontRef idx="minor">
      <a:srgbClr val="000000"/>
    </cs:fontRef>
    <cs:spPr>
      <a:ln w="9525">
        <a:solidFill>
          <a:srgbClr val="FFFFFF"/>
        </a:solidFill>
      </a:ln>
    </cs:spPr>
  </cs:dataPointMarker>
  <cs:dataPointMarkerLayout symbol="circle" size="5"/>
  <cs:dataPointWireframe>
    <cs:lnRef idx="0">
      <cs:styleClr val="auto"/>
    </cs:lnRef>
    <cs:fillRef idx="1"/>
    <cs:effectRef idx="0"/>
    <cs:fontRef idx="minor">
      <a:srgbClr val="000000"/>
    </cs:fontRef>
    <cs:spPr>
      <a:ln w="9525" cap="rnd">
        <a:solidFill>
          <a:srgbClr val="FFFFFF"/>
        </a:solidFill>
        <a:round/>
      </a:ln>
    </cs:spPr>
  </cs:dataPointWireframe>
  <cs:dataTable>
    <cs:lnRef idx="0"/>
    <cs:fillRef idx="0"/>
    <cs:effectRef idx="0"/>
    <cs:fontRef idx="minor">
      <a:srgbClr val="595959">
        <a:lumMod val="65000"/>
        <a:lumOff val="35000"/>
      </a:srgbClr>
    </cs:fontRef>
    <cs:spPr>
      <a:noFill/>
      <a:ln w="9525" cap="flat" cmpd="sng" algn="ctr">
        <a:solidFill>
          <a:srgbClr val="D9D9D9">
            <a:lumMod val="15000"/>
            <a:lumOff val="85000"/>
          </a:srgbClr>
        </a:solidFill>
        <a:round/>
      </a:ln>
    </cs:spPr>
    <cs:defRPr sz="900" kern="1200"/>
  </cs:dataTable>
  <cs:downBar>
    <cs:lnRef idx="0"/>
    <cs:fillRef idx="0"/>
    <cs:effectRef idx="0"/>
    <cs:fontRef idx="minor">
      <a:srgbClr val="000000"/>
    </cs:fontRef>
    <cs:spPr>
      <a:solidFill>
        <a:srgbClr val="595959">
          <a:lumMod val="65000"/>
          <a:lumOff val="35000"/>
        </a:srgbClr>
      </a:solidFill>
      <a:ln w="9525">
        <a:solidFill>
          <a:srgbClr val="595959">
            <a:lumMod val="65000"/>
            <a:lumOff val="35000"/>
          </a:srgbClr>
        </a:solidFill>
      </a:ln>
    </cs:spPr>
  </cs:downBar>
  <cs:dropLine>
    <cs:lnRef idx="0"/>
    <cs:fillRef idx="0"/>
    <cs:effectRef idx="0"/>
    <cs:fontRef idx="minor">
      <a:srgbClr val="000000"/>
    </cs:fontRef>
    <cs:spPr>
      <a:ln w="9525" cap="flat" cmpd="sng" algn="ctr">
        <a:solidFill>
          <a:srgbClr val="A6A6A6">
            <a:lumMod val="35000"/>
            <a:lumOff val="65000"/>
          </a:srgbClr>
        </a:solidFill>
        <a:round/>
      </a:ln>
    </cs:spPr>
  </cs:dropLine>
  <cs:errorBar>
    <cs:lnRef idx="0"/>
    <cs:fillRef idx="0"/>
    <cs:effectRef idx="0"/>
    <cs:fontRef idx="minor">
      <a:srgbClr val="000000"/>
    </cs:fontRef>
    <cs:spPr>
      <a:ln w="9525" cap="flat" cmpd="sng" algn="ctr">
        <a:solidFill>
          <a:srgbClr val="595959">
            <a:lumMod val="65000"/>
            <a:lumOff val="35000"/>
          </a:srgbClr>
        </a:solidFill>
        <a:round/>
      </a:ln>
    </cs:spPr>
  </cs:errorBar>
  <cs:floor>
    <cs:lnRef idx="0"/>
    <cs:fillRef idx="0"/>
    <cs:effectRef idx="0"/>
    <cs:fontRef idx="minor">
      <a:srgbClr val="000000"/>
    </cs:fontRef>
    <cs:spPr>
      <a:noFill/>
      <a:ln>
        <a:noFill/>
      </a:ln>
    </cs:spPr>
  </cs:floor>
  <cs:gridlineMajor>
    <cs:lnRef idx="0"/>
    <cs:fillRef idx="0"/>
    <cs:effectRef idx="0"/>
    <cs:fontRef idx="minor">
      <a:srgbClr val="000000"/>
    </cs:fontRef>
    <cs:spPr>
      <a:ln w="9525" cap="flat" cmpd="sng" algn="ctr">
        <a:solidFill>
          <a:srgbClr val="D9D9D9">
            <a:lumMod val="15000"/>
            <a:lumOff val="85000"/>
          </a:srgbClr>
        </a:solidFill>
        <a:round/>
      </a:ln>
    </cs:spPr>
  </cs:gridlineMajor>
  <cs:gridlineMinor>
    <cs:lnRef idx="0"/>
    <cs:fillRef idx="0"/>
    <cs:effectRef idx="0"/>
    <cs:fontRef idx="minor">
      <a:srgbClr val="000000"/>
    </cs:fontRef>
    <cs:spPr>
      <a:ln w="9525" cap="flat" cmpd="sng" algn="ctr">
        <a:solidFill>
          <a:srgbClr val="F2F2F2">
            <a:lumMod val="5000"/>
            <a:lumOff val="95000"/>
          </a:srgbClr>
        </a:solidFill>
        <a:round/>
      </a:ln>
    </cs:spPr>
  </cs:gridlineMinor>
  <cs:hiLoLine>
    <cs:lnRef idx="0"/>
    <cs:fillRef idx="0"/>
    <cs:effectRef idx="0"/>
    <cs:fontRef idx="minor">
      <a:srgbClr val="000000"/>
    </cs:fontRef>
    <cs:spPr>
      <a:ln w="9525" cap="flat" cmpd="sng" algn="ctr">
        <a:solidFill>
          <a:srgbClr val="404040">
            <a:lumMod val="75000"/>
            <a:lumOff val="25000"/>
          </a:srgbClr>
        </a:solidFill>
        <a:round/>
      </a:ln>
    </cs:spPr>
  </cs:hiLoLine>
  <cs:leaderLine>
    <cs:lnRef idx="0"/>
    <cs:fillRef idx="0"/>
    <cs:effectRef idx="0"/>
    <cs:fontRef idx="minor">
      <a:srgbClr val="000000"/>
    </cs:fontRef>
    <cs:spPr>
      <a:ln w="9525" cap="flat" cmpd="sng" algn="ctr">
        <a:solidFill>
          <a:srgbClr val="A6A6A6">
            <a:lumMod val="35000"/>
            <a:lumOff val="65000"/>
          </a:srgbClr>
        </a:solidFill>
        <a:round/>
      </a:ln>
    </cs:spPr>
  </cs:leaderLine>
  <cs:legend>
    <cs:lnRef idx="0"/>
    <cs:fillRef idx="0"/>
    <cs:effectRef idx="0"/>
    <cs:fontRef idx="minor">
      <a:srgbClr val="595959">
        <a:lumMod val="65000"/>
        <a:lumOff val="35000"/>
      </a:srgbClr>
    </cs:fontRef>
    <cs:defRPr sz="900" kern="1200"/>
  </cs:legend>
  <cs:plotArea mods="allowNoFillOverride allowNoLineOverride">
    <cs:lnRef idx="0"/>
    <cs:fillRef idx="0"/>
    <cs:effectRef idx="0"/>
    <cs:fontRef idx="minor">
      <a:srgbClr val="000000"/>
    </cs:fontRef>
  </cs:plotArea>
  <cs:plotArea3D mods="allowNoFillOverride allowNoLineOverride">
    <cs:lnRef idx="0"/>
    <cs:fillRef idx="0"/>
    <cs:effectRef idx="0"/>
    <cs:fontRef idx="minor">
      <a:srgbClr val="000000"/>
    </cs:fontRef>
  </cs:plotArea3D>
  <cs:seriesAxis>
    <cs:lnRef idx="0"/>
    <cs:fillRef idx="0"/>
    <cs:effectRef idx="0"/>
    <cs:fontRef idx="minor">
      <a:srgbClr val="595959">
        <a:lumMod val="65000"/>
        <a:lumOff val="35000"/>
      </a:srgbClr>
    </cs:fontRef>
    <cs:defRPr sz="900" kern="1200"/>
  </cs:seriesAxis>
  <cs:seriesLine>
    <cs:lnRef idx="0"/>
    <cs:fillRef idx="0"/>
    <cs:effectRef idx="0"/>
    <cs:fontRef idx="minor">
      <a:srgbClr val="000000"/>
    </cs:fontRef>
    <cs:spPr>
      <a:ln w="9525" cap="flat" cmpd="sng" algn="ctr">
        <a:solidFill>
          <a:srgbClr val="A6A6A6">
            <a:lumMod val="35000"/>
            <a:lumOff val="65000"/>
          </a:srgbClr>
        </a:solidFill>
        <a:round/>
      </a:ln>
    </cs:spPr>
  </cs:seriesLine>
  <cs:title>
    <cs:lnRef idx="0"/>
    <cs:fillRef idx="0"/>
    <cs:effectRef idx="0"/>
    <cs:fontRef idx="minor">
      <a:srgbClr val="595959">
        <a:lumMod val="65000"/>
        <a:lumOff val="35000"/>
      </a:srgbClr>
    </cs:fontRef>
    <cs:defRPr sz="1400" b="0" kern="1200" spc="0" baseline="0"/>
  </cs:title>
  <cs:trendline>
    <cs:lnRef idx="0">
      <cs:styleClr val="auto"/>
    </cs:lnRef>
    <cs:fillRef idx="0"/>
    <cs:effectRef idx="0"/>
    <cs:fontRef idx="minor">
      <a:srgbClr val="000000"/>
    </cs:fontRef>
    <cs:spPr>
      <a:ln w="19050" cap="rnd">
        <a:solidFill>
          <a:srgbClr val="FFFFFF"/>
        </a:solidFill>
        <a:prstDash val="sysDot"/>
      </a:ln>
    </cs:spPr>
  </cs:trendline>
  <cs:trendlineLabel>
    <cs:lnRef idx="0"/>
    <cs:fillRef idx="0"/>
    <cs:effectRef idx="0"/>
    <cs:fontRef idx="minor">
      <a:srgbClr val="595959">
        <a:lumMod val="65000"/>
        <a:lumOff val="35000"/>
      </a:srgbClr>
    </cs:fontRef>
    <cs:defRPr sz="900" kern="1200"/>
  </cs:trendlineLabel>
  <cs:upBar>
    <cs:lnRef idx="0"/>
    <cs:fillRef idx="0"/>
    <cs:effectRef idx="0"/>
    <cs:fontRef idx="minor">
      <a:srgbClr val="000000"/>
    </cs:fontRef>
    <cs:spPr>
      <a:solidFill>
        <a:srgbClr val="FFFFFF"/>
      </a:solidFill>
      <a:ln w="9525">
        <a:solidFill>
          <a:srgbClr val="D9D9D9">
            <a:lumMod val="15000"/>
            <a:lumOff val="85000"/>
          </a:srgbClr>
        </a:solidFill>
      </a:ln>
    </cs:spPr>
  </cs:upBar>
  <cs:valueAxis>
    <cs:lnRef idx="0"/>
    <cs:fillRef idx="0"/>
    <cs:effectRef idx="0"/>
    <cs:fontRef idx="minor">
      <a:srgbClr val="595959">
        <a:lumMod val="65000"/>
        <a:lumOff val="35000"/>
      </a:srgbClr>
    </cs:fontRef>
    <cs:defRPr sz="900" kern="1200"/>
  </cs:valueAxis>
  <cs:wall>
    <cs:lnRef idx="0"/>
    <cs:fillRef idx="0"/>
    <cs:effectRef idx="0"/>
    <cs:fontRef idx="minor">
      <a:srgbClr val="000000"/>
    </cs:fontRef>
    <cs:spPr>
      <a:noFill/>
      <a:ln>
        <a:noFill/>
      </a:ln>
    </cs:spPr>
  </cs:wall>
</cs:chartStyle>
</file>

<file path=word/charts/style5.xml><?xml version="1.0" encoding="utf-8"?>
<cs:chartStyle xmlns:cs="http://schemas.microsoft.com/office/drawing/2012/chartStyle" xmlns:a="http://schemas.openxmlformats.org/drawingml/2006/main" id="216">
  <cs:axisTitle>
    <cs:lnRef idx="0"/>
    <cs:fillRef idx="0"/>
    <cs:effectRef idx="0"/>
    <cs:fontRef idx="minor">
      <a:srgbClr val="595959">
        <a:lumMod val="65000"/>
        <a:lumOff val="35000"/>
      </a:srgbClr>
    </cs:fontRef>
    <cs:defRPr sz="1000" kern="1200"/>
  </cs:axisTitle>
  <cs:categoryAxis>
    <cs:lnRef idx="0"/>
    <cs:fillRef idx="0"/>
    <cs:effectRef idx="0"/>
    <cs:fontRef idx="minor">
      <a:srgbClr val="595959">
        <a:lumMod val="65000"/>
        <a:lumOff val="35000"/>
      </a:srgbClr>
    </cs:fontRef>
    <cs:spPr>
      <a:ln w="9525" cap="flat" cmpd="sng" algn="ctr">
        <a:solidFill>
          <a:srgbClr val="D9D9D9">
            <a:lumMod val="15000"/>
            <a:lumOff val="85000"/>
          </a:srgbClr>
        </a:solidFill>
        <a:round/>
      </a:ln>
    </cs:spPr>
    <cs:defRPr sz="900" kern="1200"/>
  </cs:categoryAxis>
  <cs:chartArea mods="allowNoFillOverride allowNoLineOverride">
    <cs:lnRef idx="0"/>
    <cs:fillRef idx="0"/>
    <cs:effectRef idx="0"/>
    <cs:fontRef idx="minor">
      <a:srgbClr val="000000"/>
    </cs:fontRef>
    <cs:spPr>
      <a:solidFill>
        <a:srgbClr val="FFFFFF"/>
      </a:solidFill>
      <a:ln w="9525" cap="flat" cmpd="sng" algn="ctr">
        <a:solidFill>
          <a:srgbClr val="D9D9D9">
            <a:lumMod val="15000"/>
            <a:lumOff val="85000"/>
          </a:srgbClr>
        </a:solidFill>
        <a:round/>
      </a:ln>
    </cs:spPr>
    <cs:defRPr sz="1000" kern="1200"/>
  </cs:chartArea>
  <cs:dataLabel>
    <cs:lnRef idx="0"/>
    <cs:fillRef idx="0"/>
    <cs:effectRef idx="0"/>
    <cs:fontRef idx="minor">
      <a:srgbClr val="404040">
        <a:lumMod val="75000"/>
        <a:lumOff val="25000"/>
      </a:srgbClr>
    </cs:fontRef>
    <cs:defRPr sz="900" kern="1200"/>
  </cs:dataLabel>
  <cs:dataLabelCallout>
    <cs:lnRef idx="0"/>
    <cs:fillRef idx="0"/>
    <cs:effectRef idx="0"/>
    <cs:fontRef idx="minor">
      <a:srgbClr val="595959">
        <a:lumMod val="65000"/>
        <a:lumOff val="35000"/>
      </a:srgbClr>
    </cs:fontRef>
    <cs:spPr>
      <a:solidFill>
        <a:srgbClr val="FFFFFF"/>
      </a:solidFill>
      <a:ln>
        <a:solidFill>
          <a:srgbClr val="BFBFBF">
            <a:lumMod val="25000"/>
            <a:lumOff val="75000"/>
          </a:srgb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rgbClr val="000000"/>
    </cs:fontRef>
  </cs:dataPoint>
  <cs:dataPoint3D>
    <cs:lnRef idx="0"/>
    <cs:fillRef idx="1">
      <cs:styleClr val="auto"/>
    </cs:fillRef>
    <cs:effectRef idx="0"/>
    <cs:fontRef idx="minor">
      <a:srgbClr val="000000"/>
    </cs:fontRef>
  </cs:dataPoint3D>
  <cs:dataPointLine>
    <cs:lnRef idx="0">
      <cs:styleClr val="auto"/>
    </cs:lnRef>
    <cs:fillRef idx="1"/>
    <cs:effectRef idx="0"/>
    <cs:fontRef idx="minor">
      <a:srgbClr val="000000"/>
    </cs:fontRef>
    <cs:spPr>
      <a:ln w="28575" cap="rnd">
        <a:solidFill>
          <a:srgbClr val="FFFFFF"/>
        </a:solidFill>
        <a:round/>
      </a:ln>
    </cs:spPr>
  </cs:dataPointLine>
  <cs:dataPointMarker>
    <cs:lnRef idx="0">
      <cs:styleClr val="auto"/>
    </cs:lnRef>
    <cs:fillRef idx="1">
      <cs:styleClr val="auto"/>
    </cs:fillRef>
    <cs:effectRef idx="0"/>
    <cs:fontRef idx="minor">
      <a:srgbClr val="000000"/>
    </cs:fontRef>
    <cs:spPr>
      <a:ln w="9525">
        <a:solidFill>
          <a:srgbClr val="FFFFFF"/>
        </a:solidFill>
      </a:ln>
    </cs:spPr>
  </cs:dataPointMarker>
  <cs:dataPointMarkerLayout symbol="circle" size="5"/>
  <cs:dataPointWireframe>
    <cs:lnRef idx="0">
      <cs:styleClr val="auto"/>
    </cs:lnRef>
    <cs:fillRef idx="1"/>
    <cs:effectRef idx="0"/>
    <cs:fontRef idx="minor">
      <a:srgbClr val="000000"/>
    </cs:fontRef>
    <cs:spPr>
      <a:ln w="9525" cap="rnd">
        <a:solidFill>
          <a:srgbClr val="FFFFFF"/>
        </a:solidFill>
        <a:round/>
      </a:ln>
    </cs:spPr>
  </cs:dataPointWireframe>
  <cs:dataTable>
    <cs:lnRef idx="0"/>
    <cs:fillRef idx="0"/>
    <cs:effectRef idx="0"/>
    <cs:fontRef idx="minor">
      <a:srgbClr val="595959">
        <a:lumMod val="65000"/>
        <a:lumOff val="35000"/>
      </a:srgbClr>
    </cs:fontRef>
    <cs:spPr>
      <a:noFill/>
      <a:ln w="9525" cap="flat" cmpd="sng" algn="ctr">
        <a:solidFill>
          <a:srgbClr val="D9D9D9">
            <a:lumMod val="15000"/>
            <a:lumOff val="85000"/>
          </a:srgbClr>
        </a:solidFill>
        <a:round/>
      </a:ln>
    </cs:spPr>
    <cs:defRPr sz="900" kern="1200"/>
  </cs:dataTable>
  <cs:downBar>
    <cs:lnRef idx="0"/>
    <cs:fillRef idx="0"/>
    <cs:effectRef idx="0"/>
    <cs:fontRef idx="minor">
      <a:srgbClr val="000000"/>
    </cs:fontRef>
    <cs:spPr>
      <a:solidFill>
        <a:srgbClr val="404040">
          <a:lumMod val="75000"/>
          <a:lumOff val="25000"/>
        </a:srgbClr>
      </a:solidFill>
      <a:ln w="9525" cap="flat" cmpd="sng" algn="ctr">
        <a:solidFill>
          <a:srgbClr val="595959">
            <a:lumMod val="65000"/>
            <a:lumOff val="35000"/>
          </a:srgbClr>
        </a:solidFill>
        <a:round/>
      </a:ln>
    </cs:spPr>
  </cs:downBar>
  <cs:dropLine>
    <cs:lnRef idx="0"/>
    <cs:fillRef idx="0"/>
    <cs:effectRef idx="0"/>
    <cs:fontRef idx="minor">
      <a:srgbClr val="000000"/>
    </cs:fontRef>
    <cs:spPr>
      <a:ln w="9525" cap="flat" cmpd="sng" algn="ctr">
        <a:solidFill>
          <a:srgbClr val="A6A6A6">
            <a:lumMod val="35000"/>
            <a:lumOff val="65000"/>
          </a:srgbClr>
        </a:solidFill>
        <a:round/>
      </a:ln>
    </cs:spPr>
  </cs:dropLine>
  <cs:errorBar>
    <cs:lnRef idx="0"/>
    <cs:fillRef idx="0"/>
    <cs:effectRef idx="0"/>
    <cs:fontRef idx="minor">
      <a:srgbClr val="000000"/>
    </cs:fontRef>
    <cs:spPr>
      <a:ln w="9525" cap="flat" cmpd="sng" algn="ctr">
        <a:solidFill>
          <a:srgbClr val="595959">
            <a:lumMod val="65000"/>
            <a:lumOff val="35000"/>
          </a:srgbClr>
        </a:solidFill>
        <a:round/>
      </a:ln>
    </cs:spPr>
  </cs:errorBar>
  <cs:floor>
    <cs:lnRef idx="0"/>
    <cs:fillRef idx="0"/>
    <cs:effectRef idx="0"/>
    <cs:fontRef idx="minor">
      <a:srgbClr val="000000"/>
    </cs:fontRef>
    <cs:spPr>
      <a:noFill/>
      <a:ln>
        <a:noFill/>
      </a:ln>
    </cs:spPr>
  </cs:floor>
  <cs:gridlineMajor>
    <cs:lnRef idx="0"/>
    <cs:fillRef idx="0"/>
    <cs:effectRef idx="0"/>
    <cs:fontRef idx="minor">
      <a:srgbClr val="000000"/>
    </cs:fontRef>
    <cs:spPr>
      <a:ln w="9525" cap="flat" cmpd="sng" algn="ctr">
        <a:solidFill>
          <a:srgbClr val="D9D9D9">
            <a:lumMod val="15000"/>
            <a:lumOff val="85000"/>
          </a:srgbClr>
        </a:solidFill>
        <a:round/>
      </a:ln>
    </cs:spPr>
  </cs:gridlineMajor>
  <cs:gridlineMinor>
    <cs:lnRef idx="0"/>
    <cs:fillRef idx="0"/>
    <cs:effectRef idx="0"/>
    <cs:fontRef idx="minor">
      <a:srgbClr val="000000"/>
    </cs:fontRef>
    <cs:spPr>
      <a:ln w="9525" cap="flat" cmpd="sng" algn="ctr">
        <a:solidFill>
          <a:srgbClr val="F2F2F2">
            <a:lumMod val="5000"/>
            <a:lumOff val="95000"/>
          </a:srgbClr>
        </a:solidFill>
        <a:round/>
      </a:ln>
    </cs:spPr>
  </cs:gridlineMinor>
  <cs:hiLoLine>
    <cs:lnRef idx="0"/>
    <cs:fillRef idx="0"/>
    <cs:effectRef idx="0"/>
    <cs:fontRef idx="minor">
      <a:srgbClr val="000000"/>
    </cs:fontRef>
    <cs:spPr>
      <a:ln w="9525" cap="flat" cmpd="sng" algn="ctr">
        <a:solidFill>
          <a:srgbClr val="808080">
            <a:lumMod val="50000"/>
            <a:lumOff val="50000"/>
          </a:srgbClr>
        </a:solidFill>
        <a:round/>
      </a:ln>
    </cs:spPr>
  </cs:hiLoLine>
  <cs:leaderLine>
    <cs:lnRef idx="0"/>
    <cs:fillRef idx="0"/>
    <cs:effectRef idx="0"/>
    <cs:fontRef idx="minor">
      <a:srgbClr val="000000"/>
    </cs:fontRef>
    <cs:spPr>
      <a:ln w="9525" cap="flat" cmpd="sng" algn="ctr">
        <a:solidFill>
          <a:srgbClr val="A6A6A6">
            <a:lumMod val="35000"/>
            <a:lumOff val="65000"/>
          </a:srgbClr>
        </a:solidFill>
        <a:round/>
      </a:ln>
    </cs:spPr>
  </cs:leaderLine>
  <cs:legend>
    <cs:lnRef idx="0"/>
    <cs:fillRef idx="0"/>
    <cs:effectRef idx="0"/>
    <cs:fontRef idx="minor">
      <a:srgbClr val="595959">
        <a:lumMod val="65000"/>
        <a:lumOff val="35000"/>
      </a:srgbClr>
    </cs:fontRef>
    <cs:defRPr sz="900" kern="1200"/>
  </cs:legend>
  <cs:plotArea mods="allowNoFillOverride allowNoLineOverride">
    <cs:lnRef idx="0"/>
    <cs:fillRef idx="0"/>
    <cs:effectRef idx="0"/>
    <cs:fontRef idx="minor">
      <a:srgbClr val="000000"/>
    </cs:fontRef>
  </cs:plotArea>
  <cs:plotArea3D mods="allowNoFillOverride allowNoLineOverride">
    <cs:lnRef idx="0"/>
    <cs:fillRef idx="0"/>
    <cs:effectRef idx="0"/>
    <cs:fontRef idx="minor">
      <a:srgbClr val="000000"/>
    </cs:fontRef>
  </cs:plotArea3D>
  <cs:seriesAxis>
    <cs:lnRef idx="0"/>
    <cs:fillRef idx="0"/>
    <cs:effectRef idx="0"/>
    <cs:fontRef idx="minor">
      <a:srgbClr val="595959">
        <a:lumMod val="65000"/>
        <a:lumOff val="35000"/>
      </a:srgbClr>
    </cs:fontRef>
    <cs:defRPr sz="900" kern="1200"/>
  </cs:seriesAxis>
  <cs:seriesLine>
    <cs:lnRef idx="0"/>
    <cs:fillRef idx="0"/>
    <cs:effectRef idx="0"/>
    <cs:fontRef idx="minor">
      <a:srgbClr val="000000"/>
    </cs:fontRef>
    <cs:spPr>
      <a:ln w="9525" cap="flat" cmpd="sng" algn="ctr">
        <a:solidFill>
          <a:srgbClr val="A6A6A6">
            <a:lumMod val="35000"/>
            <a:lumOff val="65000"/>
          </a:srgbClr>
        </a:solidFill>
        <a:round/>
      </a:ln>
    </cs:spPr>
  </cs:seriesLine>
  <cs:title>
    <cs:lnRef idx="0"/>
    <cs:fillRef idx="0"/>
    <cs:effectRef idx="0"/>
    <cs:fontRef idx="minor">
      <a:srgbClr val="595959">
        <a:lumMod val="65000"/>
        <a:lumOff val="35000"/>
      </a:srgbClr>
    </cs:fontRef>
    <cs:defRPr sz="1400" b="0" kern="1200" spc="0" baseline="0"/>
  </cs:title>
  <cs:trendline>
    <cs:lnRef idx="0">
      <cs:styleClr val="auto"/>
    </cs:lnRef>
    <cs:fillRef idx="0"/>
    <cs:effectRef idx="0"/>
    <cs:fontRef idx="minor">
      <a:srgbClr val="000000"/>
    </cs:fontRef>
    <cs:spPr>
      <a:ln w="19050" cap="rnd">
        <a:solidFill>
          <a:srgbClr val="FFFFFF"/>
        </a:solidFill>
        <a:prstDash val="sysDot"/>
      </a:ln>
    </cs:spPr>
  </cs:trendline>
  <cs:trendlineLabel>
    <cs:lnRef idx="0"/>
    <cs:fillRef idx="0"/>
    <cs:effectRef idx="0"/>
    <cs:fontRef idx="minor">
      <a:srgbClr val="595959">
        <a:lumMod val="65000"/>
        <a:lumOff val="35000"/>
      </a:srgbClr>
    </cs:fontRef>
    <cs:defRPr sz="900" kern="1200"/>
  </cs:trendlineLabel>
  <cs:upBar>
    <cs:lnRef idx="0"/>
    <cs:fillRef idx="0"/>
    <cs:effectRef idx="0"/>
    <cs:fontRef idx="minor">
      <a:srgbClr val="000000"/>
    </cs:fontRef>
    <cs:spPr>
      <a:solidFill>
        <a:srgbClr val="FFFFFF"/>
      </a:solidFill>
      <a:ln w="9525" cap="flat" cmpd="sng" algn="ctr">
        <a:solidFill>
          <a:srgbClr val="595959">
            <a:lumMod val="65000"/>
            <a:lumOff val="35000"/>
          </a:srgbClr>
        </a:solidFill>
        <a:round/>
      </a:ln>
    </cs:spPr>
  </cs:upBar>
  <cs:valueAxis>
    <cs:lnRef idx="0"/>
    <cs:fillRef idx="0"/>
    <cs:effectRef idx="0"/>
    <cs:fontRef idx="minor">
      <a:srgbClr val="595959">
        <a:lumMod val="65000"/>
        <a:lumOff val="35000"/>
      </a:srgbClr>
    </cs:fontRef>
    <cs:defRPr sz="900" kern="1200"/>
  </cs:valueAxis>
  <cs:wall>
    <cs:lnRef idx="0"/>
    <cs:fillRef idx="0"/>
    <cs:effectRef idx="0"/>
    <cs:fontRef idx="minor">
      <a:srgbClr val="000000"/>
    </cs:fontRef>
    <cs:spPr>
      <a:noFill/>
      <a:ln>
        <a:noFill/>
      </a:ln>
    </cs:spPr>
  </cs:wall>
</cs:chartStyle>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word/theme/themeOverride1.xml><?xml version="1.0" encoding="utf-8"?>
<a:themeOverride xmlns:a="http://schemas.openxmlformats.org/drawingml/2006/main">
  <a:clrScheme name="自定义 58">
    <a:dk1>
      <a:srgbClr val="000000"/>
    </a:dk1>
    <a:lt1>
      <a:srgbClr val="FFFFFF"/>
    </a:lt1>
    <a:dk2>
      <a:srgbClr val="44546A"/>
    </a:dk2>
    <a:lt2>
      <a:srgbClr val="E7E6E6"/>
    </a:lt2>
    <a:accent1>
      <a:srgbClr val="FF9205"/>
    </a:accent1>
    <a:accent2>
      <a:srgbClr val="EF534C"/>
    </a:accent2>
    <a:accent3>
      <a:srgbClr val="5DB020"/>
    </a:accent3>
    <a:accent4>
      <a:srgbClr val="468ED8"/>
    </a:accent4>
    <a:accent5>
      <a:srgbClr val="7058CA"/>
    </a:accent5>
    <a:accent6>
      <a:srgbClr val="C358CA"/>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rgbClr val="FFFFFF"/>
      </a:solidFill>
      <a:gradFill rotWithShape="1">
        <a:gsLst>
          <a:gs pos="0">
            <a:srgbClr val="FFFFFF">
              <a:lumMod val="110000"/>
              <a:satMod val="105000"/>
              <a:tint val="67000"/>
            </a:srgbClr>
          </a:gs>
          <a:gs pos="50000">
            <a:srgbClr val="FFFFFF">
              <a:lumMod val="105000"/>
              <a:satMod val="103000"/>
              <a:tint val="73000"/>
            </a:srgbClr>
          </a:gs>
          <a:gs pos="100000">
            <a:srgbClr val="FFFFFF">
              <a:lumMod val="105000"/>
              <a:satMod val="109000"/>
              <a:tint val="81000"/>
            </a:srgbClr>
          </a:gs>
        </a:gsLst>
        <a:lin ang="5400000" scaled="0"/>
      </a:gradFill>
      <a:gradFill rotWithShape="1">
        <a:gsLst>
          <a:gs pos="0">
            <a:srgbClr val="FFFFFF">
              <a:satMod val="103000"/>
              <a:lumMod val="102000"/>
              <a:tint val="94000"/>
            </a:srgbClr>
          </a:gs>
          <a:gs pos="50000">
            <a:srgbClr val="FFFFFF">
              <a:satMod val="110000"/>
              <a:lumMod val="100000"/>
              <a:shade val="100000"/>
            </a:srgbClr>
          </a:gs>
          <a:gs pos="100000">
            <a:srgbClr val="E2E2E2">
              <a:lumMod val="99000"/>
              <a:satMod val="120000"/>
              <a:shade val="78000"/>
            </a:srgbClr>
          </a:gs>
        </a:gsLst>
        <a:lin ang="5400000" scaled="0"/>
      </a:gradFill>
    </a:fillStyleLst>
    <a:lnStyleLst>
      <a:ln w="6350" cap="flat" cmpd="sng" algn="ctr">
        <a:solidFill>
          <a:srgbClr val="FFFFFF"/>
        </a:solidFill>
        <a:prstDash val="solid"/>
        <a:miter lim="800000"/>
      </a:ln>
      <a:ln w="12700" cap="flat" cmpd="sng" algn="ctr">
        <a:solidFill>
          <a:srgbClr val="FFFFFF"/>
        </a:solidFill>
        <a:prstDash val="solid"/>
        <a:miter lim="800000"/>
      </a:ln>
      <a:ln w="19050" cap="flat" cmpd="sng" algn="ctr">
        <a:solidFill>
          <a:srgbClr val="FFFFFF"/>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rgbClr val="FFFFFF"/>
      </a:solidFill>
      <a:solidFill>
        <a:srgbClr val="FFFFFF">
          <a:tint val="95000"/>
          <a:satMod val="170000"/>
        </a:srgbClr>
      </a:solidFill>
      <a:gradFill rotWithShape="1">
        <a:gsLst>
          <a:gs pos="0">
            <a:srgbClr val="FFFFFF">
              <a:tint val="93000"/>
              <a:satMod val="150000"/>
              <a:shade val="98000"/>
              <a:lumMod val="102000"/>
            </a:srgbClr>
          </a:gs>
          <a:gs pos="50000">
            <a:srgbClr val="FBFBFB">
              <a:tint val="98000"/>
              <a:satMod val="130000"/>
              <a:shade val="90000"/>
              <a:lumMod val="103000"/>
            </a:srgbClr>
          </a:gs>
          <a:gs pos="100000">
            <a:srgbClr val="D0D0D0">
              <a:shade val="63000"/>
              <a:satMod val="120000"/>
            </a:srgbClr>
          </a:gs>
        </a:gsLst>
        <a:lin ang="5400000" scaled="0"/>
      </a:gradFill>
    </a:bgFillStyleLst>
  </a:fmtScheme>
</a:themeOverride>
</file>

<file path=word/theme/themeOverride2.xml><?xml version="1.0" encoding="utf-8"?>
<a:themeOverride xmlns:a="http://schemas.openxmlformats.org/drawingml/2006/main">
  <a:clrScheme name="彩色3">
    <a:dk1>
      <a:srgbClr val="000000"/>
    </a:dk1>
    <a:lt1>
      <a:srgbClr val="FFFFFF"/>
    </a:lt1>
    <a:dk2>
      <a:srgbClr val="44546A"/>
    </a:dk2>
    <a:lt2>
      <a:srgbClr val="E7E6E6"/>
    </a:lt2>
    <a:accent1>
      <a:srgbClr val="906BE9"/>
    </a:accent1>
    <a:accent2>
      <a:srgbClr val="06C0D5"/>
    </a:accent2>
    <a:accent3>
      <a:srgbClr val="558BF7"/>
    </a:accent3>
    <a:accent4>
      <a:srgbClr val="FFC800"/>
    </a:accent4>
    <a:accent5>
      <a:srgbClr val="9ADB00"/>
    </a:accent5>
    <a:accent6>
      <a:srgbClr val="32C267"/>
    </a:accent6>
    <a:hlink>
      <a:srgbClr val="0026E5"/>
    </a:hlink>
    <a:folHlink>
      <a:srgbClr val="7E1FAD"/>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rgbClr val="FFFFFF"/>
      </a:solidFill>
      <a:gradFill rotWithShape="1">
        <a:gsLst>
          <a:gs pos="0">
            <a:srgbClr val="FFFFFF">
              <a:lumMod val="110000"/>
              <a:satMod val="105000"/>
              <a:tint val="67000"/>
            </a:srgbClr>
          </a:gs>
          <a:gs pos="50000">
            <a:srgbClr val="FFFFFF">
              <a:lumMod val="105000"/>
              <a:satMod val="103000"/>
              <a:tint val="73000"/>
            </a:srgbClr>
          </a:gs>
          <a:gs pos="100000">
            <a:srgbClr val="FFFFFF">
              <a:lumMod val="105000"/>
              <a:satMod val="109000"/>
              <a:tint val="81000"/>
            </a:srgbClr>
          </a:gs>
        </a:gsLst>
        <a:lin ang="5400000" scaled="0"/>
      </a:gradFill>
      <a:gradFill rotWithShape="1">
        <a:gsLst>
          <a:gs pos="0">
            <a:srgbClr val="FFFFFF">
              <a:satMod val="103000"/>
              <a:lumMod val="102000"/>
              <a:tint val="94000"/>
            </a:srgbClr>
          </a:gs>
          <a:gs pos="50000">
            <a:srgbClr val="FFFFFF">
              <a:satMod val="110000"/>
              <a:lumMod val="100000"/>
              <a:shade val="100000"/>
            </a:srgbClr>
          </a:gs>
          <a:gs pos="100000">
            <a:srgbClr val="E2E2E2">
              <a:lumMod val="99000"/>
              <a:satMod val="120000"/>
              <a:shade val="78000"/>
            </a:srgbClr>
          </a:gs>
        </a:gsLst>
        <a:lin ang="5400000" scaled="0"/>
      </a:gradFill>
    </a:fillStyleLst>
    <a:lnStyleLst>
      <a:ln w="6350" cap="flat" cmpd="sng" algn="ctr">
        <a:solidFill>
          <a:srgbClr val="FFFFFF"/>
        </a:solidFill>
        <a:prstDash val="solid"/>
        <a:miter lim="800000"/>
      </a:ln>
      <a:ln w="12700" cap="flat" cmpd="sng" algn="ctr">
        <a:solidFill>
          <a:srgbClr val="FFFFFF"/>
        </a:solidFill>
        <a:prstDash val="solid"/>
        <a:miter lim="800000"/>
      </a:ln>
      <a:ln w="19050" cap="flat" cmpd="sng" algn="ctr">
        <a:solidFill>
          <a:srgbClr val="FFFFFF"/>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rgbClr val="FFFFFF"/>
      </a:solidFill>
      <a:solidFill>
        <a:srgbClr val="FFFFFF">
          <a:tint val="95000"/>
          <a:satMod val="170000"/>
        </a:srgbClr>
      </a:solidFill>
      <a:gradFill rotWithShape="1">
        <a:gsLst>
          <a:gs pos="0">
            <a:srgbClr val="FFFFFF">
              <a:tint val="93000"/>
              <a:satMod val="150000"/>
              <a:shade val="98000"/>
              <a:lumMod val="102000"/>
            </a:srgbClr>
          </a:gs>
          <a:gs pos="50000">
            <a:srgbClr val="FBFBFB">
              <a:tint val="98000"/>
              <a:satMod val="130000"/>
              <a:shade val="90000"/>
              <a:lumMod val="103000"/>
            </a:srgbClr>
          </a:gs>
          <a:gs pos="100000">
            <a:srgbClr val="D0D0D0">
              <a:shade val="63000"/>
              <a:satMod val="120000"/>
            </a:srgbClr>
          </a:gs>
        </a:gsLst>
        <a:lin ang="5400000" scaled="0"/>
      </a:gradFill>
    </a:bgFillStyleLst>
  </a:fmtScheme>
</a:themeOverride>
</file>

<file path=word/theme/themeOverride3.xml><?xml version="1.0" encoding="utf-8"?>
<a:themeOverride xmlns:a="http://schemas.openxmlformats.org/drawingml/2006/main">
  <a:clrScheme name="可爱风">
    <a:dk1>
      <a:srgbClr val="000000"/>
    </a:dk1>
    <a:lt1>
      <a:srgbClr val="FFFFFF"/>
    </a:lt1>
    <a:dk2>
      <a:srgbClr val="44546A"/>
    </a:dk2>
    <a:lt2>
      <a:srgbClr val="E7E6E6"/>
    </a:lt2>
    <a:accent1>
      <a:srgbClr val="8ECBEE"/>
    </a:accent1>
    <a:accent2>
      <a:srgbClr val="FFD873"/>
    </a:accent2>
    <a:accent3>
      <a:srgbClr val="F279A3"/>
    </a:accent3>
    <a:accent4>
      <a:srgbClr val="F8B39E"/>
    </a:accent4>
    <a:accent5>
      <a:srgbClr val="B8E2DD"/>
    </a:accent5>
    <a:accent6>
      <a:srgbClr val="DEDC6A"/>
    </a:accent6>
    <a:hlink>
      <a:srgbClr val="0026E5"/>
    </a:hlink>
    <a:folHlink>
      <a:srgbClr val="7E1FA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Narrow"/>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rgbClr val="FFFFFF"/>
      </a:solidFill>
      <a:gradFill rotWithShape="1">
        <a:gsLst>
          <a:gs pos="0">
            <a:srgbClr val="FFFFFF">
              <a:lumMod val="110000"/>
              <a:satMod val="105000"/>
              <a:tint val="67000"/>
            </a:srgbClr>
          </a:gs>
          <a:gs pos="50000">
            <a:srgbClr val="FFFFFF">
              <a:lumMod val="105000"/>
              <a:satMod val="103000"/>
              <a:tint val="73000"/>
            </a:srgbClr>
          </a:gs>
          <a:gs pos="100000">
            <a:srgbClr val="FFFFFF">
              <a:lumMod val="105000"/>
              <a:satMod val="109000"/>
              <a:tint val="81000"/>
            </a:srgbClr>
          </a:gs>
        </a:gsLst>
        <a:lin ang="5400000" scaled="0"/>
      </a:gradFill>
      <a:gradFill rotWithShape="1">
        <a:gsLst>
          <a:gs pos="0">
            <a:srgbClr val="FFFFFF">
              <a:satMod val="103000"/>
              <a:lumMod val="102000"/>
              <a:tint val="94000"/>
            </a:srgbClr>
          </a:gs>
          <a:gs pos="50000">
            <a:srgbClr val="FFFFFF">
              <a:satMod val="110000"/>
              <a:lumMod val="100000"/>
              <a:shade val="100000"/>
            </a:srgbClr>
          </a:gs>
          <a:gs pos="100000">
            <a:srgbClr val="E2E2E2">
              <a:lumMod val="99000"/>
              <a:satMod val="120000"/>
              <a:shade val="78000"/>
            </a:srgbClr>
          </a:gs>
        </a:gsLst>
        <a:lin ang="5400000" scaled="0"/>
      </a:gradFill>
    </a:fillStyleLst>
    <a:lnStyleLst>
      <a:ln w="12700" cap="flat" cmpd="sng" algn="ctr">
        <a:solidFill>
          <a:srgbClr val="FFFFFF"/>
        </a:solidFill>
        <a:prstDash val="solid"/>
        <a:miter lim="800000"/>
      </a:ln>
      <a:ln w="19050" cap="flat" cmpd="sng" algn="ctr">
        <a:solidFill>
          <a:srgbClr val="FFFFFF"/>
        </a:solidFill>
        <a:prstDash val="solid"/>
        <a:miter lim="800000"/>
      </a:ln>
      <a:ln w="25400" cap="flat" cmpd="sng" algn="ctr">
        <a:solidFill>
          <a:srgbClr val="FFFFFF"/>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rgbClr val="FFFFFF"/>
      </a:solidFill>
      <a:solidFill>
        <a:srgbClr val="FFFFFF">
          <a:tint val="95000"/>
          <a:satMod val="170000"/>
        </a:srgbClr>
      </a:solidFill>
      <a:gradFill rotWithShape="1">
        <a:gsLst>
          <a:gs pos="0">
            <a:srgbClr val="FFFFFF">
              <a:tint val="93000"/>
              <a:satMod val="150000"/>
              <a:shade val="98000"/>
              <a:lumMod val="102000"/>
            </a:srgbClr>
          </a:gs>
          <a:gs pos="50000">
            <a:srgbClr val="FBFBFB">
              <a:tint val="98000"/>
              <a:satMod val="130000"/>
              <a:shade val="90000"/>
              <a:lumMod val="103000"/>
            </a:srgbClr>
          </a:gs>
          <a:gs pos="100000">
            <a:srgbClr val="D0D0D0">
              <a:shade val="63000"/>
              <a:satMod val="120000"/>
            </a:srgbClr>
          </a:gs>
        </a:gsLst>
        <a:lin ang="5400000" scaled="0"/>
      </a:gradFill>
    </a:bgFillStyleLst>
  </a:fmtScheme>
</a:themeOverride>
</file>

<file path=word/theme/themeOverride4.xml><?xml version="1.0" encoding="utf-8"?>
<a:themeOverride xmlns:a="http://schemas.openxmlformats.org/drawingml/2006/main">
  <a:clrScheme name="彩色8">
    <a:dk1>
      <a:srgbClr val="000000"/>
    </a:dk1>
    <a:lt1>
      <a:srgbClr val="FFFFFF"/>
    </a:lt1>
    <a:dk2>
      <a:srgbClr val="44546A"/>
    </a:dk2>
    <a:lt2>
      <a:srgbClr val="E7E6E6"/>
    </a:lt2>
    <a:accent1>
      <a:srgbClr val="59CFFF"/>
    </a:accent1>
    <a:accent2>
      <a:srgbClr val="8275FF"/>
    </a:accent2>
    <a:accent3>
      <a:srgbClr val="FEB348"/>
    </a:accent3>
    <a:accent4>
      <a:srgbClr val="FE7F7F"/>
    </a:accent4>
    <a:accent5>
      <a:srgbClr val="4165FF"/>
    </a:accent5>
    <a:accent6>
      <a:srgbClr val="48C8AC"/>
    </a:accent6>
    <a:hlink>
      <a:srgbClr val="0026E5"/>
    </a:hlink>
    <a:folHlink>
      <a:srgbClr val="7E1FAD"/>
    </a:folHlink>
  </a:clrScheme>
  <a:fontScheme name="WPS">
    <a:majorFont>
      <a:latin typeface="Calibri Light"/>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rgbClr val="FFFFFF"/>
      </a:solidFill>
      <a:gradFill>
        <a:gsLst>
          <a:gs pos="0">
            <a:srgbClr val="FFFFFF">
              <a:lumOff val="17500"/>
            </a:srgbClr>
          </a:gs>
          <a:gs pos="100000">
            <a:srgbClr val="FFFFFF"/>
          </a:gs>
        </a:gsLst>
        <a:lin ang="2700000" scaled="0"/>
      </a:gradFill>
      <a:gradFill>
        <a:gsLst>
          <a:gs pos="0">
            <a:srgbClr val="FFFFFF">
              <a:hueOff val="-2520000"/>
            </a:srgbClr>
          </a:gs>
          <a:gs pos="100000">
            <a:srgbClr val="FFFFFF"/>
          </a:gs>
        </a:gsLst>
        <a:lin ang="2700000" scaled="0"/>
      </a:gradFill>
    </a:fillStyleLst>
    <a:lnStyleLst>
      <a:ln w="12700" cap="flat" cmpd="sng" algn="ctr">
        <a:solidFill>
          <a:srgbClr val="FFFFFF"/>
        </a:solidFill>
        <a:prstDash val="solid"/>
        <a:miter lim="800000"/>
      </a:ln>
      <a:ln w="12700" cap="flat" cmpd="sng" algn="ctr">
        <a:solidFill>
          <a:srgbClr val="FFFFFF"/>
        </a:solidFill>
        <a:prstDash val="solid"/>
        <a:miter lim="800000"/>
      </a:ln>
      <a:ln w="12700" cap="flat" cmpd="sng" algn="ctr">
        <a:gradFill>
          <a:gsLst>
            <a:gs pos="0">
              <a:srgbClr val="FFFFFF">
                <a:hueOff val="-4200000"/>
              </a:srgbClr>
            </a:gs>
            <a:gs pos="100000">
              <a:srgbClr val="FFFFFF"/>
            </a:gs>
          </a:gsLst>
          <a:lin ang="2700000" scaled="1"/>
        </a:gradFill>
        <a:prstDash val="solid"/>
        <a:miter lim="800000"/>
      </a:ln>
    </a:lnStyleLst>
    <a:effectStyleLst>
      <a:effectStyle>
        <a:effectLst>
          <a:outerShdw blurRad="101600" dist="50800" dir="5400000" algn="ctr" rotWithShape="0">
            <a:srgbClr val="FFFFFF">
              <a:alpha val="60000"/>
            </a:srgb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rgbClr val="FFFFFF"/>
      </a:solidFill>
      <a:solidFill>
        <a:srgbClr val="FFFFFF">
          <a:tint val="95000"/>
          <a:satMod val="170000"/>
        </a:srgbClr>
      </a:solidFill>
      <a:gradFill rotWithShape="1">
        <a:gsLst>
          <a:gs pos="0">
            <a:srgbClr val="FFFFFF">
              <a:tint val="93000"/>
              <a:satMod val="150000"/>
              <a:shade val="98000"/>
              <a:lumMod val="102000"/>
            </a:srgbClr>
          </a:gs>
          <a:gs pos="50000">
            <a:srgbClr val="FBFBFB">
              <a:tint val="98000"/>
              <a:satMod val="130000"/>
              <a:shade val="90000"/>
              <a:lumMod val="103000"/>
            </a:srgbClr>
          </a:gs>
          <a:gs pos="100000">
            <a:srgbClr val="D0D0D0">
              <a:shade val="63000"/>
              <a:satMod val="120000"/>
            </a:srgb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42</Pages>
  <Words>3715</Words>
  <Characters>4456</Characters>
  <Lines>0</Lines>
  <Paragraphs>0</Paragraphs>
  <TotalTime>6</TotalTime>
  <ScaleCrop>false</ScaleCrop>
  <LinksUpToDate>false</LinksUpToDate>
  <CharactersWithSpaces>4508</CharactersWithSpaces>
  <Application>WPS Office_11.8.2.1132_F1E327BC-269C-435d-A152-05C5408002CA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2026-10-12T13:28:00Z</dcterms:created>
  <dc:creator>Cassiopeia-米</dc:creator>
  <cp:lastModifiedBy>user</cp:lastModifiedBy>
  <dcterms:modified xsi:type="dcterms:W3CDTF">2026-10-19T09:56:32Z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2052-11.8.2.1132</vt:lpwstr>
  </property>
  <property fmtid="{D5CDD505-2E9C-101B-9397-08002B2CF9AE}" pid="3" name="ICV">
    <vt:lpwstr>77F36D6F845947DE809CA2EF55DB4477_11</vt:lpwstr>
  </property>
  <property fmtid="{D5CDD505-2E9C-101B-9397-08002B2CF9AE}" pid="4" name="KSOTemplateDocerSaveRecord">
    <vt:lpwstr>eyJoZGlkIjoiMWE1ZjVlNzE0MGQyMWE3NTRkMTFiMWFlZDYyODQxMWUiLCJ1c2VySWQiOiIxOTEzNDI0MjQ1In0=</vt:lpwstr>
  </property>
</Properties>
</file>