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475"/>
      <w:bookmarkStart w:id="2" w:name="_Toc15306267"/>
      <w:bookmarkStart w:id="3" w:name="_Toc15377193"/>
      <w:bookmarkStart w:id="4" w:name="_Toc15396597"/>
      <w:bookmarkStart w:id="5" w:name="_Toc15378441"/>
    </w:p>
    <w:p>
      <w:pPr>
        <w:pStyle w:val="7"/>
        <w:rPr>
          <w:rFonts w:hint="eastAsia" w:ascii="Times New Roman" w:hAnsi="Times New Roman" w:eastAsia="方正小标宋简体" w:cs="Times New Roman"/>
          <w:color w:val="auto"/>
          <w:kern w:val="2"/>
          <w:sz w:val="72"/>
          <w:szCs w:val="72"/>
          <w:highlight w:val="none"/>
          <w:lang w:val="en-US" w:eastAsia="zh-CN" w:bidi="ar-SA"/>
        </w:rPr>
      </w:pPr>
    </w:p>
    <w:p>
      <w:pPr>
        <w:pStyle w:val="7"/>
        <w:rPr>
          <w:rFonts w:hint="eastAsia" w:ascii="Times New Roman" w:hAnsi="Times New Roman" w:eastAsia="方正小标宋简体" w:cs="Times New Roman"/>
          <w:color w:val="auto"/>
          <w:kern w:val="2"/>
          <w:sz w:val="72"/>
          <w:szCs w:val="72"/>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2025年度壤塘县茸木达乡人民政府</w:t>
      </w:r>
      <w:r>
        <w:rPr>
          <w:rFonts w:hint="eastAsia" w:ascii="Times New Roman" w:hAnsi="Times New Roman" w:eastAsia="方正小标宋简体" w:cs="Times New Roman"/>
          <w:color w:val="auto"/>
          <w:kern w:val="2"/>
          <w:sz w:val="44"/>
          <w:szCs w:val="44"/>
          <w:highlight w:val="none"/>
          <w:lang w:val="en-US" w:eastAsia="zh-CN" w:bidi="ar-SA"/>
        </w:rPr>
        <w:t>决算</w:t>
      </w:r>
    </w:p>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bookmarkStart w:id="63" w:name="_GoBack"/>
      <w:bookmarkEnd w:id="63"/>
    </w:p>
    <w:p>
      <w:pPr>
        <w:spacing w:line="600" w:lineRule="exact"/>
        <w:jc w:val="center"/>
        <w:outlineLvl w:val="0"/>
        <w:rPr>
          <w:rFonts w:ascii="Times New Roman" w:hAnsi="Times New Roman" w:eastAsia="方正小标宋简体"/>
          <w:color w:val="auto"/>
          <w:sz w:val="72"/>
          <w:szCs w:val="72"/>
          <w:highlight w:val="none"/>
        </w:rPr>
      </w:pPr>
    </w:p>
    <w:p>
      <w:pPr>
        <w:pStyle w:val="21"/>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茸木达乡人民政府</w:t>
      </w:r>
      <w:r>
        <w:rPr>
          <w:rFonts w:hint="eastAsia" w:ascii="Times New Roman" w:hAnsi="Times New Roman" w:eastAsia="方正小标宋简体" w:cs="Times New Roman"/>
          <w:color w:val="auto"/>
          <w:kern w:val="2"/>
          <w:sz w:val="44"/>
          <w:szCs w:val="44"/>
          <w:highlight w:val="none"/>
          <w:lang w:val="en-US" w:eastAsia="zh-CN" w:bidi="ar-SA"/>
        </w:rPr>
        <w:t>决算公开</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pPr>
        <w:widowControl/>
        <w:jc w:val="center"/>
        <w:outlineLvl w:val="1"/>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outlineLvl w:val="1"/>
        <w:rPr>
          <w:rFonts w:ascii="Times New Roman" w:hAnsi="Times New Roman" w:eastAsia="黑体" w:cstheme="minorBidi"/>
          <w:color w:val="auto"/>
          <w:sz w:val="28"/>
          <w:szCs w:val="28"/>
          <w:highlight w:val="none"/>
        </w:rPr>
      </w:pPr>
    </w:p>
    <w:p>
      <w:pPr>
        <w:pStyle w:val="12"/>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27 </w:t>
      </w:r>
      <w:r>
        <w:rPr>
          <w:rFonts w:hint="eastAsia" w:ascii="Times New Roman" w:hAnsi="Times New Roman" w:eastAsia="仿宋_GB2312" w:cs="仿宋_GB2312"/>
          <w:color w:val="auto"/>
          <w:sz w:val="32"/>
          <w:szCs w:val="32"/>
          <w:highlight w:val="none"/>
        </w:rPr>
        <w:t>日</w:t>
      </w:r>
    </w:p>
    <w:p>
      <w:pPr>
        <w:outlineLvl w:val="1"/>
        <w:rPr>
          <w:rFonts w:ascii="Times New Roman" w:hAnsi="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outlineLvl w:val="1"/>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outlineLvl w:val="1"/>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outlineLvl w:val="1"/>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outlineLvl w:val="1"/>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outlineLvl w:val="1"/>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sectPr>
          <w:footerReference r:id="rId7" w:type="default"/>
          <w:pgSz w:w="11904" w:h="16835"/>
          <w:pgMar w:top="1430" w:right="1348" w:bottom="1755" w:left="1597" w:header="0" w:footer="1391" w:gutter="0"/>
          <w:pgNumType w:fmt="decimal"/>
          <w:cols w:space="720" w:num="1"/>
        </w:sectPr>
      </w:pP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5"/>
        <w:jc w:val="center"/>
        <w:outlineLvl w:val="1"/>
        <w:rPr>
          <w:rFonts w:hint="eastAsia" w:ascii="Times New Roman" w:hAnsi="Times New Roman" w:eastAsia="方正小标宋简体" w:cs="方正小标宋简体"/>
          <w:b w:val="0"/>
          <w:color w:val="auto"/>
          <w:highlight w:val="none"/>
        </w:rPr>
      </w:pPr>
      <w:bookmarkStart w:id="6" w:name="_Toc15377196"/>
      <w:bookmarkStart w:id="7" w:name="_Toc15396599"/>
    </w:p>
    <w:p>
      <w:pPr>
        <w:pStyle w:val="2"/>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pStyle w:val="2"/>
        <w:rPr>
          <w:rFonts w:hint="eastAsia" w:ascii="Times New Roman" w:hAnsi="Times New Roman" w:eastAsia="方正小标宋简体" w:cs="方正小标宋简体"/>
          <w:b w:val="0"/>
          <w:color w:val="auto"/>
          <w:highlight w:val="none"/>
        </w:rPr>
      </w:pPr>
    </w:p>
    <w:p>
      <w:pPr>
        <w:rPr>
          <w:rFonts w:hint="eastAsia"/>
        </w:rPr>
        <w:sectPr>
          <w:footerReference r:id="rId8" w:type="default"/>
          <w:pgSz w:w="11904" w:h="16835"/>
          <w:pgMar w:top="1430" w:right="1348" w:bottom="1755" w:left="1597" w:header="0" w:footer="1391" w:gutter="0"/>
          <w:pgNumType w:fmt="decimal"/>
          <w:cols w:space="720" w:num="1"/>
        </w:sectPr>
      </w:pPr>
    </w:p>
    <w:p>
      <w:pPr>
        <w:pStyle w:val="4"/>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pPr>
        <w:pStyle w:val="5"/>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000000"/>
          <w:sz w:val="32"/>
          <w:szCs w:val="32"/>
        </w:rPr>
      </w:pPr>
      <w:bookmarkStart w:id="8" w:name="_Toc15396601"/>
      <w:bookmarkStart w:id="9" w:name="_Toc15377200"/>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执行本级人民代表大会的决议和上级国家行政机关的决定和命令，在辖区内发布决定和命令</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按照国家宪法和法律，行使对本辖区内的行政及民政事务的管理</w:t>
      </w:r>
      <w:r>
        <w:rPr>
          <w:rFonts w:hint="eastAsia" w:ascii="仿宋" w:hAnsi="仿宋" w:eastAsia="仿宋" w:cs="仿宋"/>
          <w:color w:val="000000"/>
          <w:sz w:val="32"/>
          <w:szCs w:val="32"/>
          <w:lang w:val="en-US" w:eastAsia="zh-CN"/>
        </w:rPr>
        <w:t>权</w:t>
      </w:r>
      <w:r>
        <w:rPr>
          <w:rFonts w:hint="eastAsia" w:ascii="仿宋" w:hAnsi="仿宋" w:eastAsia="仿宋" w:cs="仿宋"/>
          <w:color w:val="000000"/>
          <w:sz w:val="32"/>
          <w:szCs w:val="32"/>
        </w:rPr>
        <w:t>；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制定</w:t>
      </w:r>
      <w:r>
        <w:rPr>
          <w:rFonts w:hint="eastAsia" w:ascii="仿宋" w:hAnsi="仿宋" w:eastAsia="仿宋" w:cs="仿宋"/>
          <w:color w:val="000000"/>
          <w:sz w:val="32"/>
          <w:szCs w:val="32"/>
          <w:lang w:eastAsia="zh-CN"/>
        </w:rPr>
        <w:t>本单位</w:t>
      </w:r>
      <w:r>
        <w:rPr>
          <w:rFonts w:hint="eastAsia" w:ascii="仿宋" w:hAnsi="仿宋" w:eastAsia="仿宋" w:cs="仿宋"/>
          <w:color w:val="000000"/>
          <w:sz w:val="32"/>
          <w:szCs w:val="32"/>
        </w:rPr>
        <w:t>的经济和社会发展规划，并组织实施；组织和领导行政经济体制改革，协调本行政区域村民委员会与各经济组织之间的关系；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组织规划财政管理的各项收入，管理范围内的各项财政支出和行政筹集、分配和使用的资金；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负责管理对外经济技术交流与合作，开展经济信息预测工作，推广科学技术成果；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对</w:t>
      </w:r>
      <w:r>
        <w:rPr>
          <w:rFonts w:hint="eastAsia" w:ascii="仿宋" w:hAnsi="仿宋" w:eastAsia="仿宋" w:cs="仿宋"/>
          <w:color w:val="000000"/>
          <w:sz w:val="32"/>
          <w:szCs w:val="32"/>
          <w:lang w:eastAsia="zh-CN"/>
        </w:rPr>
        <w:t>本单位</w:t>
      </w:r>
      <w:r>
        <w:rPr>
          <w:rFonts w:hint="eastAsia" w:ascii="仿宋" w:hAnsi="仿宋" w:eastAsia="仿宋" w:cs="仿宋"/>
          <w:color w:val="000000"/>
          <w:sz w:val="32"/>
          <w:szCs w:val="32"/>
        </w:rPr>
        <w:t>各项社会建设进行宏观管理，抓好环境卫生整治工作；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加强基本农田水利建设和道路、桥梁</w:t>
      </w:r>
      <w:r>
        <w:rPr>
          <w:rFonts w:hint="eastAsia" w:ascii="仿宋" w:hAnsi="仿宋" w:eastAsia="仿宋" w:cs="仿宋"/>
          <w:color w:val="000000"/>
          <w:sz w:val="32"/>
          <w:szCs w:val="32"/>
          <w:lang w:eastAsia="zh-CN"/>
        </w:rPr>
        <w:t>等</w:t>
      </w:r>
      <w:r>
        <w:rPr>
          <w:rFonts w:hint="eastAsia" w:ascii="仿宋" w:hAnsi="仿宋" w:eastAsia="仿宋" w:cs="仿宋"/>
          <w:color w:val="000000"/>
          <w:sz w:val="32"/>
          <w:szCs w:val="32"/>
        </w:rPr>
        <w:t>建设，加强土地的统一管理、统筹规划，协助有关部门做好地质灾害的防治工作</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负责农村土地承包管理、农民负担监督管理、农村集体资产财务管理；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组织和开展社会主义精神文明活动，正确调解和处理人民内部矛盾，认真调解民事纠纷；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10.</w:t>
      </w:r>
      <w:r>
        <w:rPr>
          <w:rFonts w:hint="eastAsia" w:ascii="仿宋" w:hAnsi="仿宋" w:eastAsia="仿宋" w:cs="仿宋"/>
          <w:color w:val="000000"/>
          <w:sz w:val="32"/>
          <w:szCs w:val="32"/>
        </w:rPr>
        <w:t>充分发挥行政职能，组织和开展</w:t>
      </w:r>
      <w:r>
        <w:rPr>
          <w:rFonts w:hint="eastAsia" w:ascii="仿宋" w:hAnsi="仿宋" w:eastAsia="仿宋" w:cs="仿宋"/>
          <w:color w:val="000000"/>
          <w:sz w:val="32"/>
          <w:szCs w:val="32"/>
          <w:lang w:eastAsia="zh-CN"/>
        </w:rPr>
        <w:t>本地地</w:t>
      </w:r>
      <w:r>
        <w:rPr>
          <w:rFonts w:hint="eastAsia" w:ascii="仿宋" w:hAnsi="仿宋" w:eastAsia="仿宋" w:cs="仿宋"/>
          <w:color w:val="000000"/>
          <w:sz w:val="32"/>
          <w:szCs w:val="32"/>
        </w:rPr>
        <w:t>文化、教育、卫生、民政和科技等工作；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根据经济发展需要，建立经济、技术咨询服务机构，向经济组织和农牧民提供全面服务。 </w:t>
      </w:r>
    </w:p>
    <w:p>
      <w:pPr>
        <w:pageBreakBefore w:val="0"/>
        <w:kinsoku/>
        <w:wordWrap/>
        <w:overflowPunct/>
        <w:topLinePunct w:val="0"/>
        <w:autoSpaceDE/>
        <w:autoSpaceDN/>
        <w:bidi w:val="0"/>
        <w:adjustRightInd/>
        <w:spacing w:line="560" w:lineRule="exact"/>
        <w:ind w:firstLine="640" w:firstLineChars="200"/>
        <w:textAlignment w:val="auto"/>
        <w:outlineLvl w:val="2"/>
        <w:rPr>
          <w:rFonts w:hint="eastAsia"/>
          <w:lang w:eastAsia="zh-CN"/>
        </w:rPr>
      </w:pPr>
      <w:bookmarkStart w:id="10" w:name="_Toc12397"/>
      <w:r>
        <w:rPr>
          <w:rFonts w:hint="eastAsia" w:ascii="仿宋" w:hAnsi="仿宋" w:eastAsia="仿宋" w:cs="仿宋"/>
          <w:color w:val="000000"/>
          <w:sz w:val="32"/>
          <w:szCs w:val="32"/>
          <w:lang w:val="en-US" w:eastAsia="zh-CN"/>
        </w:rPr>
        <w:t>12.</w:t>
      </w:r>
      <w:r>
        <w:rPr>
          <w:rFonts w:hint="eastAsia" w:ascii="仿宋" w:hAnsi="仿宋" w:eastAsia="仿宋" w:cs="仿宋"/>
          <w:color w:val="000000"/>
          <w:sz w:val="32"/>
          <w:szCs w:val="32"/>
        </w:rPr>
        <w:t>做好民族宗教、寺庙的管理等工作。</w:t>
      </w:r>
      <w:bookmarkEnd w:id="10"/>
    </w:p>
    <w:p>
      <w:pPr>
        <w:pStyle w:val="5"/>
        <w:rPr>
          <w:rStyle w:val="31"/>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8"/>
      <w:bookmarkEnd w:id="9"/>
    </w:p>
    <w:p>
      <w:pPr>
        <w:pStyle w:val="5"/>
        <w:ind w:firstLine="640" w:firstLineChars="200"/>
        <w:rPr>
          <w:rFonts w:ascii="仿宋" w:hAnsi="仿宋" w:eastAsia="仿宋"/>
          <w:color w:val="auto"/>
          <w:kern w:val="0"/>
          <w:sz w:val="32"/>
          <w:szCs w:val="32"/>
          <w:highlight w:val="none"/>
        </w:rPr>
      </w:pPr>
      <w:r>
        <w:rPr>
          <w:rFonts w:hint="eastAsia" w:ascii="Times New Roman" w:hAnsi="Times New Roman" w:eastAsia="仿宋_GB2312" w:cs="Times New Roman"/>
          <w:b w:val="0"/>
          <w:bCs w:val="0"/>
          <w:color w:val="auto"/>
          <w:sz w:val="32"/>
          <w:szCs w:val="32"/>
          <w:highlight w:val="none"/>
          <w:lang w:val="en-US" w:eastAsia="zh-CN"/>
        </w:rPr>
        <w:t>壤塘县茸木达乡人民政府属一级预算单位，无下属</w:t>
      </w:r>
      <w:r>
        <w:rPr>
          <w:rFonts w:hint="eastAsia" w:eastAsia="仿宋_GB2312" w:cs="Times New Roman"/>
          <w:b w:val="0"/>
          <w:bCs w:val="0"/>
          <w:color w:val="auto"/>
          <w:sz w:val="32"/>
          <w:szCs w:val="32"/>
          <w:highlight w:val="none"/>
          <w:lang w:val="en-US" w:eastAsia="zh-CN"/>
        </w:rPr>
        <w:t>二级</w:t>
      </w:r>
      <w:r>
        <w:rPr>
          <w:rFonts w:hint="eastAsia" w:ascii="Times New Roman" w:hAnsi="Times New Roman" w:eastAsia="仿宋_GB2312" w:cs="Times New Roman"/>
          <w:b w:val="0"/>
          <w:bCs w:val="0"/>
          <w:color w:val="auto"/>
          <w:sz w:val="32"/>
          <w:szCs w:val="32"/>
          <w:highlight w:val="none"/>
          <w:lang w:val="en-US" w:eastAsia="zh-CN"/>
        </w:rPr>
        <w:t>单位。</w:t>
      </w:r>
      <w:r>
        <w:rPr>
          <w:rFonts w:hint="default" w:ascii="Times New Roman" w:hAnsi="Times New Roman" w:eastAsia="仿宋_GB2312" w:cs="Times New Roman"/>
          <w:b w:val="0"/>
          <w:bCs w:val="0"/>
          <w:color w:val="auto"/>
          <w:sz w:val="32"/>
          <w:szCs w:val="32"/>
          <w:highlight w:val="none"/>
          <w:lang w:val="en-US" w:eastAsia="zh-CN"/>
        </w:rPr>
        <w:t>截至202</w:t>
      </w:r>
      <w:r>
        <w:rPr>
          <w:rFonts w:hint="eastAsia" w:ascii="Times New Roman" w:hAnsi="Times New Roman" w:eastAsia="仿宋_GB2312" w:cs="Times New Roman"/>
          <w:b w:val="0"/>
          <w:bCs w:val="0"/>
          <w:color w:val="auto"/>
          <w:sz w:val="32"/>
          <w:szCs w:val="32"/>
          <w:highlight w:val="none"/>
          <w:lang w:val="en-US" w:eastAsia="zh-CN"/>
        </w:rPr>
        <w:t>5</w:t>
      </w:r>
      <w:r>
        <w:rPr>
          <w:rFonts w:hint="default" w:ascii="Times New Roman" w:hAnsi="Times New Roman" w:eastAsia="仿宋_GB2312" w:cs="Times New Roman"/>
          <w:b w:val="0"/>
          <w:bCs w:val="0"/>
          <w:color w:val="auto"/>
          <w:sz w:val="32"/>
          <w:szCs w:val="32"/>
          <w:highlight w:val="none"/>
          <w:lang w:val="en-US" w:eastAsia="zh-CN"/>
        </w:rPr>
        <w:t>年末，</w:t>
      </w:r>
      <w:r>
        <w:rPr>
          <w:rFonts w:hint="eastAsia" w:ascii="Times New Roman" w:hAnsi="Times New Roman" w:eastAsia="仿宋_GB2312" w:cs="Times New Roman"/>
          <w:b w:val="0"/>
          <w:bCs w:val="0"/>
          <w:color w:val="auto"/>
          <w:sz w:val="32"/>
          <w:szCs w:val="32"/>
          <w:highlight w:val="none"/>
          <w:lang w:val="en-US" w:eastAsia="zh-CN"/>
        </w:rPr>
        <w:t>我</w:t>
      </w:r>
      <w:r>
        <w:rPr>
          <w:rFonts w:hint="default" w:ascii="Times New Roman" w:hAnsi="Times New Roman" w:eastAsia="仿宋_GB2312" w:cs="Times New Roman"/>
          <w:b w:val="0"/>
          <w:bCs w:val="0"/>
          <w:color w:val="auto"/>
          <w:sz w:val="32"/>
          <w:szCs w:val="32"/>
          <w:highlight w:val="none"/>
          <w:lang w:val="en-US" w:eastAsia="zh-CN"/>
        </w:rPr>
        <w:t>单位编制</w:t>
      </w:r>
      <w:r>
        <w:rPr>
          <w:rFonts w:hint="eastAsia" w:ascii="Times New Roman" w:hAnsi="Times New Roman" w:eastAsia="仿宋_GB2312" w:cs="Times New Roman"/>
          <w:b w:val="0"/>
          <w:bCs w:val="0"/>
          <w:color w:val="auto"/>
          <w:sz w:val="32"/>
          <w:szCs w:val="32"/>
          <w:highlight w:val="none"/>
          <w:lang w:val="en-US" w:eastAsia="zh-CN"/>
        </w:rPr>
        <w:t>情况为总编制数 37 人，其中行政编22人，事业编13人，机关工勤事业编制2人。</w:t>
      </w:r>
      <w:r>
        <w:rPr>
          <w:rFonts w:hint="default" w:ascii="Times New Roman" w:hAnsi="Times New Roman" w:eastAsia="仿宋_GB2312" w:cs="Times New Roman"/>
          <w:b w:val="0"/>
          <w:bCs w:val="0"/>
          <w:color w:val="auto"/>
          <w:sz w:val="32"/>
          <w:szCs w:val="32"/>
          <w:highlight w:val="none"/>
          <w:lang w:val="en-US" w:eastAsia="zh-CN"/>
        </w:rPr>
        <w:t>年末实有人数</w:t>
      </w:r>
      <w:r>
        <w:rPr>
          <w:rFonts w:hint="eastAsia" w:ascii="Times New Roman" w:hAnsi="Times New Roman" w:eastAsia="仿宋_GB2312" w:cs="Times New Roman"/>
          <w:b w:val="0"/>
          <w:bCs w:val="0"/>
          <w:color w:val="auto"/>
          <w:sz w:val="32"/>
          <w:szCs w:val="32"/>
          <w:highlight w:val="none"/>
          <w:lang w:val="en-US" w:eastAsia="zh-CN"/>
        </w:rPr>
        <w:t>情况为2025年底在职人数35人，其中行政</w:t>
      </w:r>
      <w:r>
        <w:rPr>
          <w:rFonts w:hint="eastAsia" w:eastAsia="仿宋_GB2312" w:cs="Times New Roman"/>
          <w:b w:val="0"/>
          <w:bCs w:val="0"/>
          <w:color w:val="auto"/>
          <w:sz w:val="32"/>
          <w:szCs w:val="32"/>
          <w:highlight w:val="none"/>
          <w:lang w:val="en-US" w:eastAsia="zh-CN"/>
        </w:rPr>
        <w:t>人数22</w:t>
      </w:r>
      <w:r>
        <w:rPr>
          <w:rFonts w:hint="eastAsia" w:ascii="Times New Roman" w:hAnsi="Times New Roman" w:eastAsia="仿宋_GB2312" w:cs="Times New Roman"/>
          <w:b w:val="0"/>
          <w:bCs w:val="0"/>
          <w:color w:val="auto"/>
          <w:sz w:val="32"/>
          <w:szCs w:val="32"/>
          <w:highlight w:val="none"/>
          <w:lang w:val="en-US" w:eastAsia="zh-CN"/>
        </w:rPr>
        <w:t>人</w:t>
      </w:r>
      <w:r>
        <w:rPr>
          <w:rFonts w:hint="eastAsia" w:eastAsia="仿宋_GB2312" w:cs="Times New Roman"/>
          <w:b w:val="0"/>
          <w:bCs w:val="0"/>
          <w:color w:val="auto"/>
          <w:sz w:val="32"/>
          <w:szCs w:val="32"/>
          <w:highlight w:val="none"/>
          <w:lang w:val="en-US" w:eastAsia="zh-CN"/>
        </w:rPr>
        <w:t>，事业人数11人，机关工勤1人，事业工勤1人。</w:t>
      </w:r>
    </w:p>
    <w:p>
      <w:pPr>
        <w:spacing w:before="139" w:line="305" w:lineRule="auto"/>
        <w:ind w:firstLine="616"/>
        <w:rPr>
          <w:rFonts w:hint="eastAsia" w:ascii="仿宋_GB2312" w:hAnsi="宋体" w:eastAsia="仿宋_GB2312" w:cs="仿宋_GB2312"/>
          <w:color w:val="000000"/>
          <w:kern w:val="0"/>
          <w:sz w:val="31"/>
          <w:szCs w:val="31"/>
          <w:lang w:val="en-US" w:eastAsia="zh-CN" w:bidi="ar"/>
        </w:rPr>
      </w:pPr>
    </w:p>
    <w:p>
      <w:pPr>
        <w:spacing w:before="139" w:line="305" w:lineRule="auto"/>
        <w:ind w:firstLine="616"/>
        <w:rPr>
          <w:rFonts w:hint="eastAsia" w:ascii="仿宋_GB2312" w:hAnsi="宋体" w:eastAsia="仿宋_GB2312" w:cs="仿宋_GB2312"/>
          <w:color w:val="000000"/>
          <w:kern w:val="0"/>
          <w:sz w:val="31"/>
          <w:szCs w:val="31"/>
          <w:lang w:val="en-US" w:eastAsia="zh-CN" w:bidi="ar"/>
        </w:rPr>
        <w:sectPr>
          <w:footerReference r:id="rId9" w:type="default"/>
          <w:pgSz w:w="11904" w:h="16835"/>
          <w:pgMar w:top="1430" w:right="1348" w:bottom="1755" w:left="1597" w:header="0" w:footer="1391" w:gutter="0"/>
          <w:pgNumType w:fmt="decimal" w:start="1"/>
          <w:cols w:space="720" w:num="1"/>
        </w:sectPr>
      </w:pPr>
    </w:p>
    <w:p>
      <w:pPr>
        <w:pStyle w:val="4"/>
        <w:jc w:val="center"/>
        <w:rPr>
          <w:rFonts w:ascii="Times New Roman" w:hAnsi="Times New Roman"/>
          <w:color w:val="auto"/>
          <w:highlight w:val="none"/>
        </w:rPr>
      </w:pPr>
      <w:bookmarkStart w:id="11" w:name="_Toc15377204"/>
      <w:bookmarkStart w:id="12"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1"/>
      <w:bookmarkEnd w:id="12"/>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3" w:name="_Toc15396603"/>
      <w:bookmarkStart w:id="14"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3"/>
      <w:bookmarkEnd w:id="14"/>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3412.85万元</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eastAsia="仿宋_GB2312" w:cs="仿宋_GB2312"/>
          <w:color w:val="auto"/>
          <w:sz w:val="32"/>
          <w:szCs w:val="32"/>
          <w:highlight w:val="none"/>
          <w:lang w:val="en-US" w:eastAsia="zh-CN"/>
        </w:rPr>
        <w:t>3353.85万元、年末结转和结余59万元</w:t>
      </w:r>
      <w:r>
        <w:rPr>
          <w:rFonts w:hint="eastAsia" w:ascii="Times New Roman" w:hAnsi="Times New Roman" w:eastAsia="仿宋_GB2312" w:cs="仿宋_GB2312"/>
          <w:color w:val="auto"/>
          <w:sz w:val="32"/>
          <w:szCs w:val="32"/>
          <w:highlight w:val="none"/>
        </w:rPr>
        <w:t>。与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增加1334.73万元</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eastAsia="仿宋_GB2312" w:cs="仿宋_GB2312"/>
          <w:color w:val="auto"/>
          <w:sz w:val="32"/>
          <w:szCs w:val="32"/>
          <w:highlight w:val="none"/>
          <w:lang w:val="en-US" w:eastAsia="zh-CN"/>
        </w:rPr>
        <w:t>1316.29万元</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val="en-US" w:eastAsia="zh-CN"/>
        </w:rPr>
        <w:t>收入</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64.22%</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支出增长64.60%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人员、五险、捐赠资金增加。</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826000" cy="2448560"/>
            <wp:effectExtent l="4445" t="4445" r="8255" b="2349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5" w:name="_Toc15377206"/>
      <w:bookmarkStart w:id="16" w:name="_Toc15396604"/>
      <w:r>
        <w:rPr>
          <w:rFonts w:hint="eastAsia" w:ascii="Times New Roman" w:hAnsi="Times New Roman" w:eastAsia="黑体"/>
          <w:color w:val="auto"/>
          <w:sz w:val="32"/>
          <w:szCs w:val="32"/>
          <w:highlight w:val="none"/>
          <w:lang w:eastAsia="zh-CN"/>
        </w:rPr>
        <w:t>二、收入决算情况说明</w:t>
      </w:r>
      <w:bookmarkEnd w:id="15"/>
      <w:bookmarkEnd w:id="16"/>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3412.85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3353.85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98.27</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59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1.73</w:t>
      </w:r>
      <w:r>
        <w:rPr>
          <w:rFonts w:hint="eastAsia" w:ascii="Times New Roman" w:hAnsi="Times New Roman" w:eastAsia="仿宋_GB2312" w:cs="仿宋_GB2312"/>
          <w:color w:val="auto"/>
          <w:sz w:val="32"/>
          <w:szCs w:val="32"/>
          <w:highlight w:val="none"/>
          <w:lang w:eastAsia="zh-CN"/>
        </w:rPr>
        <w:t>%。</w:t>
      </w:r>
    </w:p>
    <w:p>
      <w:pPr>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1705610"/>
            <wp:effectExtent l="4445" t="4445" r="8255" b="2349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7" w:name="_Toc15377207"/>
      <w:bookmarkStart w:id="18"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7"/>
      <w:bookmarkEnd w:id="18"/>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3353.85</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910.58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27.16</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2443.26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72.84</w:t>
      </w:r>
      <w:r>
        <w:rPr>
          <w:rFonts w:hint="eastAsia" w:ascii="Times New Roman" w:hAnsi="Times New Roman" w:eastAsia="仿宋_GB2312" w:cs="仿宋_GB2312"/>
          <w:color w:val="auto"/>
          <w:sz w:val="32"/>
          <w:szCs w:val="32"/>
          <w:highlight w:val="none"/>
          <w:lang w:eastAsia="zh-CN"/>
        </w:rPr>
        <w:t>%。</w:t>
      </w:r>
    </w:p>
    <w:p>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1947545"/>
            <wp:effectExtent l="4445" t="4445" r="8255" b="10160"/>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0" w:firstLineChars="200"/>
        <w:outlineLvl w:val="1"/>
        <w:rPr>
          <w:rStyle w:val="31"/>
          <w:rFonts w:ascii="Times New Roman" w:hAnsi="Times New Roman" w:eastAsia="黑体"/>
          <w:b w:val="0"/>
          <w:color w:val="auto"/>
          <w:highlight w:val="none"/>
        </w:rPr>
      </w:pPr>
      <w:bookmarkStart w:id="19" w:name="_Toc15396606"/>
      <w:bookmarkStart w:id="20"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9"/>
      <w:bookmarkEnd w:id="20"/>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3353.85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1381.23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人员、五险增加。</w:t>
      </w:r>
    </w:p>
    <w:p>
      <w:pPr>
        <w:spacing w:line="240" w:lineRule="auto"/>
        <w:ind w:firstLine="640" w:firstLineChars="20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drawing>
          <wp:inline distT="0" distB="0" distL="114300" distR="114300">
            <wp:extent cx="4838700" cy="2216785"/>
            <wp:effectExtent l="0" t="0" r="0" b="12065"/>
            <wp:docPr id="20" name="图片 20" descr="723a636d7c27b3f3e5beaef45bd6be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723a636d7c27b3f3e5beaef45bd6beb0"/>
                    <pic:cNvPicPr>
                      <a:picLocks noChangeAspect="1"/>
                    </pic:cNvPicPr>
                  </pic:nvPicPr>
                  <pic:blipFill>
                    <a:blip r:embed="rId16"/>
                    <a:stretch>
                      <a:fillRect/>
                    </a:stretch>
                  </pic:blipFill>
                  <pic:spPr>
                    <a:xfrm>
                      <a:off x="0" y="0"/>
                      <a:ext cx="4838700" cy="2216785"/>
                    </a:xfrm>
                    <a:prstGeom prst="rect">
                      <a:avLst/>
                    </a:prstGeom>
                  </pic:spPr>
                </pic:pic>
              </a:graphicData>
            </a:graphic>
          </wp:inline>
        </w:drawing>
      </w:r>
    </w:p>
    <w:p>
      <w:pPr>
        <w:spacing w:line="600" w:lineRule="exact"/>
        <w:ind w:firstLine="640" w:firstLineChars="200"/>
        <w:outlineLvl w:val="1"/>
        <w:rPr>
          <w:rStyle w:val="31"/>
          <w:rFonts w:ascii="Times New Roman" w:hAnsi="Times New Roman" w:eastAsia="黑体"/>
          <w:b w:val="0"/>
          <w:color w:val="auto"/>
          <w:highlight w:val="none"/>
        </w:rPr>
      </w:pPr>
      <w:bookmarkStart w:id="21" w:name="_Toc15396607"/>
      <w:bookmarkStart w:id="22"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1"/>
      <w:bookmarkEnd w:id="2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3"/>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3353.85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98.27</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1381.23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人员、五险增加。</w:t>
      </w:r>
    </w:p>
    <w:p>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drawing>
          <wp:inline distT="0" distB="0" distL="114300" distR="114300">
            <wp:extent cx="4791075" cy="2085340"/>
            <wp:effectExtent l="0" t="0" r="9525" b="10160"/>
            <wp:docPr id="28" name="图片 28" descr="934f293f1f85ff0101daae66097b93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934f293f1f85ff0101daae66097b93ce"/>
                    <pic:cNvPicPr>
                      <a:picLocks noChangeAspect="1"/>
                    </pic:cNvPicPr>
                  </pic:nvPicPr>
                  <pic:blipFill>
                    <a:blip r:embed="rId17"/>
                    <a:stretch>
                      <a:fillRect/>
                    </a:stretch>
                  </pic:blipFill>
                  <pic:spPr>
                    <a:xfrm>
                      <a:off x="0" y="0"/>
                      <a:ext cx="4791075" cy="2085340"/>
                    </a:xfrm>
                    <a:prstGeom prst="rect">
                      <a:avLst/>
                    </a:prstGeom>
                  </pic:spPr>
                </pic:pic>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4"/>
    </w:p>
    <w:p>
      <w:pPr>
        <w:spacing w:line="600" w:lineRule="exact"/>
        <w:ind w:firstLine="640"/>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3353.85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523.25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15.60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国防</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117.07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3.49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44.33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2572.10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76.69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84.51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2.52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灾害防治及应急管理</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5.59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0.18</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59264" behindDoc="0" locked="0" layoutInCell="1" allowOverlap="1">
            <wp:simplePos x="0" y="0"/>
            <wp:positionH relativeFrom="column">
              <wp:posOffset>263525</wp:posOffset>
            </wp:positionH>
            <wp:positionV relativeFrom="paragraph">
              <wp:posOffset>39370</wp:posOffset>
            </wp:positionV>
            <wp:extent cx="4768850" cy="2441575"/>
            <wp:effectExtent l="4445" t="4445" r="8255" b="11430"/>
            <wp:wrapSquare wrapText="bothSides"/>
            <wp:docPr id="2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pPr>
        <w:spacing w:line="600" w:lineRule="exact"/>
        <w:outlineLvl w:val="2"/>
        <w:rPr>
          <w:rFonts w:hint="eastAsia" w:ascii="Times New Roman" w:hAnsi="Times New Roman" w:eastAsia="楷体_GB2312" w:cs="楷体_GB2312"/>
          <w:b/>
          <w:color w:val="auto"/>
          <w:sz w:val="32"/>
          <w:szCs w:val="32"/>
          <w:highlight w:val="none"/>
        </w:rPr>
      </w:pPr>
      <w:bookmarkStart w:id="2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6" w:name="_Toc15377213"/>
      <w:bookmarkStart w:id="27" w:name="_Toc15378460"/>
      <w:bookmarkStart w:id="28"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3353.85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6"/>
      <w:bookmarkEnd w:id="27"/>
      <w:bookmarkEnd w:id="28"/>
    </w:p>
    <w:p>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人大事务（20101款）人大会议（2010104项）政府办公厅（室）及相关机构事务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20103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行政运行（2010301）一般行政管理事务（2010302项）其他政府办公厅（室）及相关事务支出（2010399项）财政事务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20106款</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其他财政事务支出（2010699项）社会工作事务（20139款）专项业务（2013904项）：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523.25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国防</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国防动员</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20306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民兵</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2030607</w:t>
      </w:r>
      <w:r>
        <w:rPr>
          <w:rFonts w:hint="eastAsia" w:ascii="Times New Roman" w:hAnsi="Times New Roman" w:eastAsia="仿宋_GB2312" w:cs="仿宋_GB2312"/>
          <w:color w:val="auto"/>
          <w:kern w:val="2"/>
          <w:sz w:val="32"/>
          <w:szCs w:val="32"/>
          <w:highlight w:val="none"/>
          <w:lang w:val="en-US" w:eastAsia="zh-CN" w:bidi="ar-SA"/>
        </w:rPr>
        <w:t>项）: 支出决算为</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教育（</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其他教育</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20599</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其他教育支出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2059999</w:t>
      </w:r>
      <w:r>
        <w:rPr>
          <w:rFonts w:hint="eastAsia" w:ascii="Times New Roman" w:hAnsi="Times New Roman" w:eastAsia="仿宋_GB2312" w:cs="仿宋_GB2312"/>
          <w:color w:val="auto"/>
          <w:kern w:val="2"/>
          <w:sz w:val="32"/>
          <w:szCs w:val="32"/>
          <w:highlight w:val="none"/>
          <w:lang w:val="en-US" w:eastAsia="zh-CN" w:bidi="ar-SA"/>
        </w:rPr>
        <w:t>项）: 支出决算为</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机关事业单位养老保险缴费支出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机关事业单位职业年金缴费支出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117.07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事业单位医疗(2101102项）公务员医疗补助（2101103）其他行政事业单位医疗支出（2101199项）：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44.33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农业农村</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21301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一般行政管理事务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2130102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事业运行（2130104项）病虫害控制（2130108）水利（21303款）防汛（2130314项）巩固</w:t>
      </w:r>
      <w:r>
        <w:rPr>
          <w:rStyle w:val="19"/>
          <w:rFonts w:hint="eastAsia" w:ascii="仿宋" w:hAnsi="仿宋" w:eastAsia="仿宋" w:cs="Times New Roman"/>
          <w:b w:val="0"/>
          <w:bCs/>
          <w:color w:val="auto"/>
          <w:sz w:val="32"/>
          <w:szCs w:val="32"/>
          <w:highlight w:val="none"/>
          <w:lang w:val="en-US" w:eastAsia="zh-CN"/>
        </w:rPr>
        <w:t>拓展</w:t>
      </w:r>
      <w:r>
        <w:rPr>
          <w:rFonts w:hint="eastAsia" w:eastAsia="仿宋_GB2312" w:cs="仿宋_GB2312"/>
          <w:color w:val="auto"/>
          <w:kern w:val="2"/>
          <w:sz w:val="32"/>
          <w:szCs w:val="32"/>
          <w:highlight w:val="none"/>
          <w:lang w:val="en-US" w:eastAsia="zh-CN" w:bidi="ar-SA"/>
        </w:rPr>
        <w:t>脱贫攻坚成果衔接乡村振兴（21305款）农村基础设施建设（2130504项）生产发展（2130505项）其他巩</w:t>
      </w:r>
      <w:r>
        <w:rPr>
          <w:rStyle w:val="19"/>
          <w:rFonts w:hint="eastAsia" w:ascii="仿宋" w:hAnsi="仿宋" w:eastAsia="仿宋" w:cs="Times New Roman"/>
          <w:b w:val="0"/>
          <w:bCs/>
          <w:color w:val="auto"/>
          <w:sz w:val="32"/>
          <w:szCs w:val="32"/>
          <w:highlight w:val="none"/>
        </w:rPr>
        <w:t>固</w:t>
      </w:r>
      <w:r>
        <w:rPr>
          <w:rStyle w:val="19"/>
          <w:rFonts w:hint="eastAsia" w:ascii="仿宋" w:hAnsi="仿宋" w:eastAsia="仿宋" w:cs="Times New Roman"/>
          <w:b w:val="0"/>
          <w:bCs/>
          <w:color w:val="auto"/>
          <w:sz w:val="32"/>
          <w:szCs w:val="32"/>
          <w:highlight w:val="none"/>
          <w:lang w:val="en-US" w:eastAsia="zh-CN"/>
        </w:rPr>
        <w:t>拓展</w:t>
      </w:r>
      <w:r>
        <w:rPr>
          <w:rStyle w:val="19"/>
          <w:rFonts w:hint="eastAsia" w:ascii="仿宋" w:hAnsi="仿宋" w:eastAsia="仿宋" w:cs="Times New Roman"/>
          <w:b w:val="0"/>
          <w:bCs/>
          <w:color w:val="auto"/>
          <w:sz w:val="32"/>
          <w:szCs w:val="32"/>
          <w:highlight w:val="none"/>
        </w:rPr>
        <w:t>脱贫攻坚成果衔接乡村振兴支出</w:t>
      </w:r>
      <w:r>
        <w:rPr>
          <w:rStyle w:val="19"/>
          <w:rFonts w:hint="eastAsia" w:ascii="仿宋" w:hAnsi="仿宋" w:eastAsia="仿宋" w:cs="Times New Roman"/>
          <w:b w:val="0"/>
          <w:bCs/>
          <w:color w:val="auto"/>
          <w:sz w:val="32"/>
          <w:szCs w:val="32"/>
          <w:highlight w:val="none"/>
          <w:lang w:eastAsia="zh-CN"/>
        </w:rPr>
        <w:t>（</w:t>
      </w:r>
      <w:r>
        <w:rPr>
          <w:rStyle w:val="19"/>
          <w:rFonts w:hint="eastAsia" w:ascii="仿宋" w:hAnsi="仿宋" w:eastAsia="仿宋" w:cs="Times New Roman"/>
          <w:b w:val="0"/>
          <w:bCs/>
          <w:color w:val="auto"/>
          <w:sz w:val="32"/>
          <w:szCs w:val="32"/>
          <w:highlight w:val="none"/>
          <w:lang w:val="en-US" w:eastAsia="zh-CN"/>
        </w:rPr>
        <w:t>2130599项</w:t>
      </w:r>
      <w:r>
        <w:rPr>
          <w:rFonts w:hint="eastAsia" w:eastAsia="仿宋_GB2312" w:cs="仿宋_GB2312"/>
          <w:color w:val="auto"/>
          <w:kern w:val="2"/>
          <w:sz w:val="32"/>
          <w:szCs w:val="32"/>
          <w:highlight w:val="none"/>
          <w:lang w:val="en-US" w:eastAsia="zh-CN" w:bidi="ar-SA"/>
        </w:rPr>
        <w:t>）农村综合改革（21307款）对村民委员会和村党支部的补助（2130705项）农村综合改革示范试点补助（2130707项）：支出决</w:t>
      </w:r>
      <w:r>
        <w:rPr>
          <w:rFonts w:hint="eastAsia" w:ascii="Times New Roman" w:hAnsi="Times New Roman" w:eastAsia="仿宋_GB2312" w:cs="仿宋_GB2312"/>
          <w:color w:val="auto"/>
          <w:kern w:val="2"/>
          <w:sz w:val="32"/>
          <w:szCs w:val="32"/>
          <w:highlight w:val="none"/>
          <w:lang w:val="en-US" w:eastAsia="zh-CN" w:bidi="ar-SA"/>
        </w:rPr>
        <w:t>算为</w:t>
      </w:r>
      <w:r>
        <w:rPr>
          <w:rFonts w:hint="eastAsia" w:eastAsia="仿宋_GB2312" w:cs="仿宋_GB2312"/>
          <w:color w:val="auto"/>
          <w:kern w:val="2"/>
          <w:sz w:val="32"/>
          <w:szCs w:val="32"/>
          <w:highlight w:val="none"/>
          <w:lang w:val="en-US" w:eastAsia="zh-CN" w:bidi="ar-SA"/>
        </w:rPr>
        <w:t>2572.10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保障性安居工程支出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其他保障性安居工程支出（2210199项）住房改革支出（22102款）住房公积金</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2210201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84.51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灾害防治及应急管理支出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224</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应急管理事务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22401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灾害风险防治（2240104项）其他应急管理支出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2240199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5.59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pStyle w:val="13"/>
        <w:rPr>
          <w:rFonts w:hint="eastAsia"/>
          <w:lang w:val="en-US" w:eastAsia="zh-CN"/>
        </w:rPr>
      </w:pPr>
    </w:p>
    <w:p>
      <w:pPr>
        <w:tabs>
          <w:tab w:val="right" w:pos="8306"/>
        </w:tabs>
        <w:spacing w:line="600" w:lineRule="exact"/>
        <w:ind w:firstLine="640"/>
        <w:outlineLvl w:val="1"/>
        <w:rPr>
          <w:rStyle w:val="31"/>
          <w:rFonts w:ascii="Times New Roman" w:hAnsi="Times New Roman"/>
          <w:color w:val="auto"/>
          <w:highlight w:val="none"/>
        </w:rPr>
      </w:pPr>
      <w:bookmarkStart w:id="29" w:name="_Toc15396608"/>
      <w:bookmarkStart w:id="30"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29"/>
      <w:bookmarkEnd w:id="30"/>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910.58</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841.24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69.34</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31"/>
          <w:rFonts w:ascii="Times New Roman" w:hAnsi="Times New Roman" w:eastAsia="黑体"/>
          <w:b w:val="0"/>
          <w:color w:val="auto"/>
          <w:highlight w:val="none"/>
        </w:rPr>
      </w:pPr>
      <w:bookmarkStart w:id="31" w:name="_Toc15377215"/>
      <w:bookmarkStart w:id="32"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1"/>
      <w:bookmarkEnd w:id="3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3"/>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10.40</w:t>
      </w:r>
      <w:r>
        <w:rPr>
          <w:rFonts w:hint="eastAsia" w:ascii="Times New Roman" w:hAnsi="Times New Roman" w:eastAsia="仿宋_GB2312" w:cs="仿宋_GB2312"/>
          <w:color w:val="auto"/>
          <w:kern w:val="2"/>
          <w:sz w:val="32"/>
          <w:szCs w:val="32"/>
          <w:highlight w:val="none"/>
          <w:lang w:val="en-US" w:eastAsia="zh-CN" w:bidi="ar-SA"/>
        </w:rPr>
        <w:t>万元，完成</w:t>
      </w:r>
      <w:r>
        <w:rPr>
          <w:rFonts w:hint="eastAsia" w:eastAsia="仿宋_GB2312" w:cs="仿宋_GB2312"/>
          <w:color w:val="auto"/>
          <w:kern w:val="2"/>
          <w:sz w:val="32"/>
          <w:szCs w:val="32"/>
          <w:highlight w:val="none"/>
          <w:lang w:val="en-US" w:eastAsia="zh-CN" w:bidi="ar-SA"/>
        </w:rPr>
        <w:t>预算100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10.40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0288" behindDoc="1" locked="0" layoutInCell="1" allowOverlap="1">
            <wp:simplePos x="0" y="0"/>
            <wp:positionH relativeFrom="column">
              <wp:posOffset>384810</wp:posOffset>
            </wp:positionH>
            <wp:positionV relativeFrom="paragraph">
              <wp:posOffset>-638810</wp:posOffset>
            </wp:positionV>
            <wp:extent cx="4584700" cy="2353945"/>
            <wp:effectExtent l="4445" t="4445" r="20955" b="22860"/>
            <wp:wrapNone/>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numPr>
          <w:ilvl w:val="0"/>
          <w:numId w:val="3"/>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无。</w:t>
      </w:r>
    </w:p>
    <w:p>
      <w:pPr>
        <w:spacing w:line="600" w:lineRule="exact"/>
        <w:ind w:firstLine="640"/>
      </w:pPr>
      <w:r>
        <w:rPr>
          <w:rFonts w:hint="eastAsia" w:ascii="仿宋_GB2312" w:eastAsia="仿宋_GB2312"/>
          <w:color w:val="auto"/>
          <w:sz w:val="32"/>
          <w:szCs w:val="32"/>
          <w:highlight w:val="none"/>
        </w:rPr>
        <w:t>开支内容包括：</w:t>
      </w:r>
      <w:r>
        <w:rPr>
          <w:rFonts w:hint="eastAsia" w:ascii="仿宋_GB2312" w:eastAsia="仿宋_GB2312"/>
          <w:color w:val="auto"/>
          <w:sz w:val="32"/>
          <w:szCs w:val="32"/>
          <w:highlight w:val="none"/>
          <w:lang w:val="en-US" w:eastAsia="zh-CN"/>
        </w:rPr>
        <w:t>无</w:t>
      </w:r>
      <w:r>
        <w:rPr>
          <w:rFonts w:hint="eastAsia" w:ascii="仿宋_GB2312" w:eastAsia="仿宋_GB2312"/>
          <w:color w:val="auto"/>
          <w:sz w:val="32"/>
          <w:szCs w:val="32"/>
          <w:highlight w:val="none"/>
        </w:rPr>
        <w:t>（团组名称、出访地点、取得成效）等。</w:t>
      </w:r>
    </w:p>
    <w:p>
      <w:pPr>
        <w:numPr>
          <w:ilvl w:val="0"/>
          <w:numId w:val="3"/>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lang w:val="en-US" w:eastAsia="zh-CN"/>
        </w:rPr>
        <w:t>其</w:t>
      </w:r>
      <w:r>
        <w:rPr>
          <w:rFonts w:hint="eastAsia" w:ascii="仿宋_GB2312" w:eastAsia="仿宋_GB2312" w:cs="Times New Roman"/>
          <w:color w:val="auto"/>
          <w:sz w:val="32"/>
          <w:szCs w:val="32"/>
          <w:highlight w:val="none"/>
          <w:lang w:val="en-US" w:eastAsia="zh-CN"/>
        </w:rPr>
        <w:t>他用车2辆</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10.40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lang w:val="en-US" w:eastAsia="zh-CN"/>
        </w:rPr>
        <w:t>出差、下村等</w:t>
      </w:r>
      <w:r>
        <w:rPr>
          <w:rFonts w:hint="eastAsia" w:ascii="Times New Roman" w:hAnsi="Times New Roman" w:eastAsia="仿宋_GB2312" w:cs="仿宋_GB2312"/>
          <w:color w:val="auto"/>
          <w:kern w:val="2"/>
          <w:sz w:val="32"/>
          <w:szCs w:val="32"/>
          <w:highlight w:val="none"/>
          <w:lang w:val="en-US" w:eastAsia="zh-CN" w:bidi="ar-SA"/>
        </w:rPr>
        <w:t>工作所需的公务用车燃料费、维修费、过路过桥费、保险费等支出。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（接待具体项目、金额）。</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（具体项目）。外事接待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5" w:name="_Toc15377218"/>
      <w:bookmarkStart w:id="36" w:name="_Toc15396610"/>
    </w:p>
    <w:p>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5"/>
      <w:bookmarkEnd w:id="36"/>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无。</w:t>
      </w:r>
    </w:p>
    <w:p>
      <w:pPr>
        <w:spacing w:line="600" w:lineRule="exact"/>
        <w:ind w:firstLine="640"/>
        <w:rPr>
          <w:rFonts w:hint="eastAsia"/>
          <w:lang w:val="en-US" w:eastAsia="zh-CN"/>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5"/>
        <w:gridCol w:w="688"/>
        <w:gridCol w:w="690"/>
        <w:gridCol w:w="1180"/>
        <w:gridCol w:w="664"/>
        <w:gridCol w:w="1195"/>
        <w:gridCol w:w="664"/>
        <w:gridCol w:w="664"/>
        <w:gridCol w:w="664"/>
        <w:gridCol w:w="14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01"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02"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02"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695"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8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701"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8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8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8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837" w:type="pct"/>
            <w:tcBorders>
              <w:top w:val="nil"/>
              <w:left w:val="nil"/>
              <w:bottom w:val="nil"/>
              <w:right w:val="nil"/>
            </w:tcBorders>
            <w:shd w:val="clear" w:color="auto" w:fill="auto"/>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财决公开10表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02" w:type="pct"/>
            <w:gridSpan w:val="4"/>
            <w:tcBorders>
              <w:top w:val="nil"/>
              <w:left w:val="nil"/>
              <w:bottom w:val="nil"/>
              <w:right w:val="nil"/>
            </w:tcBorders>
            <w:shd w:val="clear" w:color="auto" w:fill="auto"/>
            <w:noWrap/>
            <w:vAlign w:val="bottom"/>
          </w:tcPr>
          <w:p>
            <w:pPr>
              <w:keepNext w:val="0"/>
              <w:keepLines w:val="0"/>
              <w:widowControl/>
              <w:suppressLineNumbers w:val="0"/>
              <w:snapToGrid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单位名称：壤塘县茸木达乡人民政府</w:t>
            </w:r>
          </w:p>
        </w:tc>
        <w:tc>
          <w:tcPr>
            <w:tcW w:w="389" w:type="pct"/>
            <w:tcBorders>
              <w:top w:val="nil"/>
              <w:left w:val="nil"/>
              <w:bottom w:val="nil"/>
              <w:right w:val="nil"/>
            </w:tcBorders>
            <w:shd w:val="clear" w:color="auto" w:fill="auto"/>
            <w:noWrap/>
            <w:vAlign w:val="bottom"/>
          </w:tcPr>
          <w:p>
            <w:pPr>
              <w:snapToGrid w:val="0"/>
              <w:rPr>
                <w:rFonts w:hint="eastAsia" w:ascii="宋体" w:hAnsi="宋体" w:eastAsia="宋体" w:cs="宋体"/>
                <w:i w:val="0"/>
                <w:iCs w:val="0"/>
                <w:color w:val="000000"/>
                <w:sz w:val="20"/>
                <w:szCs w:val="20"/>
                <w:u w:val="none"/>
              </w:rPr>
            </w:pPr>
          </w:p>
        </w:tc>
        <w:tc>
          <w:tcPr>
            <w:tcW w:w="701" w:type="pct"/>
            <w:tcBorders>
              <w:top w:val="nil"/>
              <w:left w:val="nil"/>
              <w:bottom w:val="nil"/>
              <w:right w:val="nil"/>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2025年度</w:t>
            </w:r>
          </w:p>
        </w:tc>
        <w:tc>
          <w:tcPr>
            <w:tcW w:w="389" w:type="pct"/>
            <w:tcBorders>
              <w:top w:val="nil"/>
              <w:left w:val="nil"/>
              <w:bottom w:val="nil"/>
              <w:right w:val="nil"/>
            </w:tcBorders>
            <w:shd w:val="clear" w:color="auto" w:fill="auto"/>
            <w:noWrap/>
            <w:vAlign w:val="bottom"/>
          </w:tcPr>
          <w:p>
            <w:pPr>
              <w:snapToGrid w:val="0"/>
              <w:rPr>
                <w:rFonts w:hint="eastAsia" w:ascii="宋体" w:hAnsi="宋体" w:eastAsia="宋体" w:cs="宋体"/>
                <w:i w:val="0"/>
                <w:iCs w:val="0"/>
                <w:color w:val="000000"/>
                <w:sz w:val="20"/>
                <w:szCs w:val="20"/>
                <w:u w:val="none"/>
              </w:rPr>
            </w:pPr>
          </w:p>
        </w:tc>
        <w:tc>
          <w:tcPr>
            <w:tcW w:w="389" w:type="pct"/>
            <w:tcBorders>
              <w:top w:val="nil"/>
              <w:left w:val="nil"/>
              <w:bottom w:val="nil"/>
              <w:right w:val="nil"/>
            </w:tcBorders>
            <w:shd w:val="clear" w:color="auto" w:fill="auto"/>
            <w:noWrap/>
            <w:vAlign w:val="bottom"/>
          </w:tcPr>
          <w:p>
            <w:pPr>
              <w:snapToGrid w:val="0"/>
              <w:rPr>
                <w:rFonts w:hint="eastAsia" w:ascii="宋体" w:hAnsi="宋体" w:eastAsia="宋体" w:cs="宋体"/>
                <w:i w:val="0"/>
                <w:iCs w:val="0"/>
                <w:color w:val="000000"/>
                <w:sz w:val="20"/>
                <w:szCs w:val="20"/>
                <w:u w:val="none"/>
              </w:rPr>
            </w:pPr>
          </w:p>
        </w:tc>
        <w:tc>
          <w:tcPr>
            <w:tcW w:w="389" w:type="pct"/>
            <w:tcBorders>
              <w:top w:val="nil"/>
              <w:left w:val="nil"/>
              <w:bottom w:val="nil"/>
              <w:right w:val="nil"/>
            </w:tcBorders>
            <w:shd w:val="clear" w:color="auto" w:fill="auto"/>
            <w:noWrap/>
            <w:vAlign w:val="bottom"/>
          </w:tcPr>
          <w:p>
            <w:pPr>
              <w:snapToGrid w:val="0"/>
              <w:rPr>
                <w:rFonts w:hint="eastAsia" w:ascii="宋体" w:hAnsi="宋体" w:eastAsia="宋体" w:cs="宋体"/>
                <w:i w:val="0"/>
                <w:iCs w:val="0"/>
                <w:color w:val="000000"/>
                <w:sz w:val="20"/>
                <w:szCs w:val="20"/>
                <w:u w:val="none"/>
              </w:rPr>
            </w:pPr>
          </w:p>
        </w:tc>
        <w:tc>
          <w:tcPr>
            <w:tcW w:w="837" w:type="pct"/>
            <w:tcBorders>
              <w:top w:val="nil"/>
              <w:left w:val="nil"/>
              <w:bottom w:val="nil"/>
              <w:right w:val="nil"/>
            </w:tcBorders>
            <w:shd w:val="clear" w:color="auto" w:fill="auto"/>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06"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695"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389"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701"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1168"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83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06"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695"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89"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701"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8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38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38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837"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06"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695"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89"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701"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89" w:type="pct"/>
            <w:vMerge w:val="continue"/>
            <w:tcBorders>
              <w:top w:val="nil"/>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89" w:type="pct"/>
            <w:vMerge w:val="continue"/>
            <w:tcBorders>
              <w:top w:val="nil"/>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89" w:type="pct"/>
            <w:vMerge w:val="continue"/>
            <w:tcBorders>
              <w:top w:val="nil"/>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837"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1" w:type="pc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40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40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69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snapToGrid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snapToGrid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snapToGrid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snapToGrid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snapToGrid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snapToGrid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pPr>
        <w:pStyle w:val="2"/>
        <w:ind w:left="0" w:leftChars="0" w:firstLine="0" w:firstLineChars="0"/>
        <w:rPr>
          <w:rFonts w:hint="eastAsia"/>
          <w:lang w:val="en-US" w:eastAsia="zh-CN"/>
        </w:rPr>
      </w:pPr>
      <w:r>
        <w:rPr>
          <w:rFonts w:hint="eastAsia" w:eastAsia="仿宋_GB2312"/>
          <w:color w:val="auto"/>
          <w:sz w:val="32"/>
          <w:szCs w:val="32"/>
          <w:highlight w:val="none"/>
          <w:lang w:val="en-US" w:eastAsia="zh-CN"/>
        </w:rPr>
        <w:t>空表备注：此表无数据</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7" w:name="_Toc15377219"/>
      <w:bookmarkStart w:id="38"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7"/>
      <w:bookmarkEnd w:id="38"/>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无。</w:t>
      </w:r>
    </w:p>
    <w:p>
      <w:pPr>
        <w:rPr>
          <w:rFonts w:hint="eastAsia"/>
          <w:lang w:val="en-US" w:eastAsia="zh-CN"/>
        </w:rPr>
      </w:pP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48"/>
        <w:gridCol w:w="424"/>
        <w:gridCol w:w="424"/>
        <w:gridCol w:w="424"/>
        <w:gridCol w:w="1211"/>
        <w:gridCol w:w="671"/>
        <w:gridCol w:w="671"/>
        <w:gridCol w:w="14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国有资本经营预算财政拨款收入支出决算表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05"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48"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48"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48" w:type="pct"/>
            <w:tcBorders>
              <w:top w:val="nil"/>
              <w:left w:val="nil"/>
              <w:bottom w:val="nil"/>
              <w:right w:val="nil"/>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c>
          <w:tcPr>
            <w:tcW w:w="71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93"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93"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850" w:type="pct"/>
            <w:tcBorders>
              <w:top w:val="nil"/>
              <w:left w:val="nil"/>
              <w:bottom w:val="nil"/>
              <w:right w:val="nil"/>
            </w:tcBorders>
            <w:shd w:val="clear" w:color="auto" w:fill="auto"/>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财决公开11表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05" w:type="pct"/>
            <w:tcBorders>
              <w:top w:val="nil"/>
              <w:left w:val="nil"/>
              <w:bottom w:val="nil"/>
              <w:right w:val="nil"/>
            </w:tcBorders>
            <w:shd w:val="clear" w:color="auto" w:fill="auto"/>
            <w:noWrap/>
            <w:vAlign w:val="bottom"/>
          </w:tcPr>
          <w:p>
            <w:pPr>
              <w:keepNext w:val="0"/>
              <w:keepLines w:val="0"/>
              <w:widowControl/>
              <w:suppressLineNumbers w:val="0"/>
              <w:snapToGrid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单位名称：壤塘县茸木达乡人民政府</w:t>
            </w:r>
          </w:p>
        </w:tc>
        <w:tc>
          <w:tcPr>
            <w:tcW w:w="248" w:type="pct"/>
            <w:tcBorders>
              <w:top w:val="nil"/>
              <w:left w:val="nil"/>
              <w:bottom w:val="nil"/>
              <w:right w:val="nil"/>
            </w:tcBorders>
            <w:shd w:val="clear" w:color="auto" w:fill="auto"/>
            <w:noWrap/>
            <w:vAlign w:val="bottom"/>
          </w:tcPr>
          <w:p>
            <w:pPr>
              <w:snapToGrid w:val="0"/>
              <w:rPr>
                <w:rFonts w:hint="eastAsia" w:ascii="宋体" w:hAnsi="宋体" w:eastAsia="宋体" w:cs="宋体"/>
                <w:i w:val="0"/>
                <w:iCs w:val="0"/>
                <w:color w:val="000000"/>
                <w:sz w:val="20"/>
                <w:szCs w:val="20"/>
                <w:u w:val="none"/>
              </w:rPr>
            </w:pPr>
          </w:p>
        </w:tc>
        <w:tc>
          <w:tcPr>
            <w:tcW w:w="248" w:type="pct"/>
            <w:tcBorders>
              <w:top w:val="nil"/>
              <w:left w:val="nil"/>
              <w:bottom w:val="nil"/>
              <w:right w:val="nil"/>
            </w:tcBorders>
            <w:shd w:val="clear" w:color="auto" w:fill="auto"/>
            <w:noWrap/>
            <w:vAlign w:val="bottom"/>
          </w:tcPr>
          <w:p>
            <w:pPr>
              <w:snapToGrid w:val="0"/>
              <w:rPr>
                <w:rFonts w:hint="eastAsia" w:ascii="宋体" w:hAnsi="宋体" w:eastAsia="宋体" w:cs="宋体"/>
                <w:i w:val="0"/>
                <w:iCs w:val="0"/>
                <w:color w:val="000000"/>
                <w:sz w:val="20"/>
                <w:szCs w:val="20"/>
                <w:u w:val="none"/>
              </w:rPr>
            </w:pPr>
          </w:p>
        </w:tc>
        <w:tc>
          <w:tcPr>
            <w:tcW w:w="248" w:type="pct"/>
            <w:tcBorders>
              <w:top w:val="nil"/>
              <w:left w:val="nil"/>
              <w:bottom w:val="nil"/>
              <w:right w:val="nil"/>
            </w:tcBorders>
            <w:shd w:val="clear" w:color="auto" w:fill="auto"/>
            <w:noWrap/>
            <w:vAlign w:val="bottom"/>
          </w:tcPr>
          <w:p>
            <w:pPr>
              <w:snapToGrid w:val="0"/>
              <w:rPr>
                <w:rFonts w:hint="eastAsia" w:ascii="宋体" w:hAnsi="宋体" w:eastAsia="宋体" w:cs="宋体"/>
                <w:i w:val="0"/>
                <w:iCs w:val="0"/>
                <w:color w:val="000000"/>
                <w:sz w:val="20"/>
                <w:szCs w:val="20"/>
                <w:u w:val="none"/>
              </w:rPr>
            </w:pPr>
          </w:p>
        </w:tc>
        <w:tc>
          <w:tcPr>
            <w:tcW w:w="710" w:type="pct"/>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2025年度</w:t>
            </w:r>
          </w:p>
        </w:tc>
        <w:tc>
          <w:tcPr>
            <w:tcW w:w="393"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0"/>
                <w:szCs w:val="20"/>
                <w:u w:val="none"/>
              </w:rPr>
            </w:pPr>
          </w:p>
        </w:tc>
        <w:tc>
          <w:tcPr>
            <w:tcW w:w="393"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0"/>
                <w:szCs w:val="20"/>
                <w:u w:val="none"/>
              </w:rPr>
            </w:pPr>
          </w:p>
        </w:tc>
        <w:tc>
          <w:tcPr>
            <w:tcW w:w="850" w:type="pct"/>
            <w:tcBorders>
              <w:top w:val="nil"/>
              <w:left w:val="nil"/>
              <w:bottom w:val="nil"/>
              <w:right w:val="nil"/>
            </w:tcBorders>
            <w:shd w:val="clear" w:color="auto" w:fill="auto"/>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51" w:type="pct"/>
            <w:gridSpan w:val="4"/>
            <w:tcBorders>
              <w:top w:val="single" w:color="000000" w:sz="4" w:space="0"/>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    目</w:t>
            </w:r>
          </w:p>
        </w:tc>
        <w:tc>
          <w:tcPr>
            <w:tcW w:w="71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393"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393"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85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403"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24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10"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93"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93"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850"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403"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248" w:type="pct"/>
            <w:vMerge w:val="continue"/>
            <w:tcBorders>
              <w:top w:val="nil"/>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710"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93"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93"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850"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403"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248" w:type="pct"/>
            <w:vMerge w:val="continue"/>
            <w:tcBorders>
              <w:top w:val="nil"/>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710"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93"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393"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c>
          <w:tcPr>
            <w:tcW w:w="850" w:type="pct"/>
            <w:vMerge w:val="continue"/>
            <w:tcBorders>
              <w:top w:val="single" w:color="000000" w:sz="4" w:space="0"/>
              <w:left w:val="nil"/>
              <w:bottom w:val="single" w:color="000000" w:sz="4" w:space="0"/>
              <w:right w:val="single" w:color="000000" w:sz="4" w:space="0"/>
            </w:tcBorders>
            <w:shd w:val="clear" w:color="FFFFFF" w:fill="C0C0C0"/>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05" w:type="pc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24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24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24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snapToGrid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snapToGrid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snapToGrid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5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snapToGrid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注：本表反映部门本年度国有资本经营预算财政拨款收入、支出及结转和结余情况。</w:t>
            </w:r>
          </w:p>
        </w:tc>
      </w:tr>
    </w:tbl>
    <w:p>
      <w:pPr>
        <w:pStyle w:val="2"/>
        <w:ind w:left="0" w:leftChars="0" w:firstLine="0" w:firstLineChars="0"/>
        <w:rPr>
          <w:rFonts w:hint="eastAsia"/>
          <w:lang w:val="en-US" w:eastAsia="zh-CN"/>
        </w:rPr>
      </w:pPr>
      <w:r>
        <w:rPr>
          <w:rFonts w:hint="eastAsia" w:eastAsia="仿宋_GB2312"/>
          <w:color w:val="auto"/>
          <w:sz w:val="32"/>
          <w:szCs w:val="32"/>
          <w:highlight w:val="none"/>
          <w:lang w:val="en-US" w:eastAsia="zh-CN"/>
        </w:rPr>
        <w:t>空表备注：此表无数据</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39" w:name="_Toc15396612"/>
      <w:bookmarkStart w:id="40"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9"/>
      <w:bookmarkEnd w:id="40"/>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2"/>
      <w:r>
        <w:rPr>
          <w:rFonts w:hint="eastAsia" w:ascii="Times New Roman" w:hAnsi="Times New Roman" w:eastAsia="楷体_GB2312" w:cs="楷体_GB2312"/>
          <w:b/>
          <w:color w:val="auto"/>
          <w:sz w:val="32"/>
          <w:szCs w:val="32"/>
          <w:highlight w:val="none"/>
        </w:rPr>
        <w:t>（一）机关运行经费支出情况</w:t>
      </w:r>
      <w:bookmarkEnd w:id="41"/>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茸木达乡人民政府</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50.08</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6.97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日常办公运转经费增加。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23"/>
      <w:r>
        <w:rPr>
          <w:rFonts w:hint="eastAsia" w:ascii="Times New Roman" w:hAnsi="Times New Roman" w:eastAsia="楷体_GB2312" w:cs="楷体_GB2312"/>
          <w:b/>
          <w:color w:val="auto"/>
          <w:sz w:val="32"/>
          <w:szCs w:val="32"/>
          <w:highlight w:val="none"/>
        </w:rPr>
        <w:t>（二）政府采购支出情况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茸木达乡人民政府</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465.32</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183.23</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151.42</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130.67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茸木达乡人工饲草种植、特色产业标准化种植基地建设、茸木达乡旅游配套设施建设项目（设计、监理）</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465.32</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46.32</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3" w:name="_Toc15377224"/>
      <w:r>
        <w:rPr>
          <w:rFonts w:hint="eastAsia" w:ascii="Times New Roman" w:hAnsi="Times New Roman" w:eastAsia="楷体_GB2312" w:cs="楷体_GB2312"/>
          <w:b/>
          <w:color w:val="auto"/>
          <w:sz w:val="32"/>
          <w:szCs w:val="32"/>
          <w:highlight w:val="none"/>
        </w:rPr>
        <w:t>（三）国有资产占有使用情况</w:t>
      </w:r>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茸木达乡人民政府</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eastAsia="仿宋_GB2312"/>
          <w:color w:val="auto"/>
          <w:sz w:val="32"/>
          <w:szCs w:val="32"/>
          <w:highlight w:val="none"/>
          <w:lang w:val="en-US" w:eastAsia="zh-CN"/>
        </w:rPr>
        <w:t>下村办事</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茸木达乡人民政府</w:t>
      </w:r>
      <w:r>
        <w:rPr>
          <w:rFonts w:hint="eastAsia" w:ascii="Times New Roman" w:hAnsi="Times New Roman" w:eastAsia="仿宋_GB2312" w:cs="仿宋_GB2312"/>
          <w:color w:val="auto"/>
          <w:kern w:val="2"/>
          <w:sz w:val="32"/>
          <w:szCs w:val="32"/>
          <w:highlight w:val="none"/>
          <w:lang w:val="en-US" w:eastAsia="zh-CN" w:bidi="ar-SA"/>
        </w:rPr>
        <w:t>在2025年度，组织对壤塘县茸木达乡2025年标准化种植基地项目涉及金额</w:t>
      </w:r>
      <w:r>
        <w:rPr>
          <w:rFonts w:hint="eastAsia" w:eastAsia="仿宋_GB2312" w:cs="仿宋_GB2312"/>
          <w:color w:val="auto"/>
          <w:kern w:val="2"/>
          <w:sz w:val="32"/>
          <w:szCs w:val="32"/>
          <w:highlight w:val="none"/>
          <w:lang w:val="en-US" w:eastAsia="zh-CN" w:bidi="ar-SA"/>
        </w:rPr>
        <w:t>150</w:t>
      </w:r>
      <w:r>
        <w:rPr>
          <w:rFonts w:hint="eastAsia" w:ascii="Times New Roman" w:hAnsi="Times New Roman" w:eastAsia="仿宋_GB2312" w:cs="仿宋_GB2312"/>
          <w:color w:val="auto"/>
          <w:kern w:val="2"/>
          <w:sz w:val="32"/>
          <w:szCs w:val="32"/>
          <w:highlight w:val="none"/>
          <w:lang w:val="en-US" w:eastAsia="zh-CN" w:bidi="ar-SA"/>
        </w:rPr>
        <w:t>万元开展了事前绩效评估，编制了绩效目标，预算执行过程中，</w:t>
      </w:r>
      <w:r>
        <w:rPr>
          <w:rFonts w:hint="eastAsia" w:eastAsia="仿宋_GB2312" w:cs="仿宋_GB2312"/>
          <w:color w:val="auto"/>
          <w:kern w:val="2"/>
          <w:sz w:val="32"/>
          <w:szCs w:val="32"/>
          <w:highlight w:val="none"/>
          <w:lang w:val="en-US" w:eastAsia="zh-CN" w:bidi="ar-SA"/>
        </w:rPr>
        <w:t>对</w:t>
      </w:r>
      <w:r>
        <w:rPr>
          <w:rFonts w:hint="eastAsia" w:ascii="Times New Roman" w:hAnsi="Times New Roman" w:eastAsia="仿宋_GB2312" w:cs="仿宋_GB2312"/>
          <w:color w:val="auto"/>
          <w:kern w:val="2"/>
          <w:sz w:val="32"/>
          <w:szCs w:val="32"/>
          <w:highlight w:val="none"/>
          <w:lang w:val="en-US" w:eastAsia="zh-CN" w:bidi="ar-SA"/>
        </w:rPr>
        <w:t>茸木达乡2025年标准化种植基地项目开展绩效监控。</w:t>
      </w:r>
    </w:p>
    <w:p>
      <w:pPr>
        <w:adjustRightInd w:val="0"/>
        <w:snapToGrid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、国有资本经营预算</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、社会保险基金预算以及资本资产</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、债券资金</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等全面开展绩效自评，形成绩效自评报告、专项预算项目绩效自评报告，其中，</w:t>
      </w:r>
      <w:r>
        <w:rPr>
          <w:rFonts w:hint="eastAsia" w:ascii="仿宋_GB2312" w:hAnsi="仿宋_GB2312" w:eastAsia="仿宋_GB2312" w:cs="仿宋_GB2312"/>
          <w:color w:val="auto"/>
          <w:sz w:val="32"/>
          <w:szCs w:val="32"/>
          <w:highlight w:val="none"/>
          <w:lang w:val="en-US" w:eastAsia="zh-CN"/>
        </w:rPr>
        <w:t>整体绩效</w:t>
      </w:r>
      <w:r>
        <w:rPr>
          <w:rFonts w:hint="eastAsia" w:ascii="Times New Roman" w:hAnsi="Times New Roman" w:eastAsia="仿宋_GB2312" w:cs="仿宋_GB2312"/>
          <w:color w:val="auto"/>
          <w:kern w:val="2"/>
          <w:sz w:val="32"/>
          <w:szCs w:val="32"/>
          <w:highlight w:val="none"/>
          <w:lang w:val="en-US" w:eastAsia="zh-CN" w:bidi="ar-SA"/>
        </w:rPr>
        <w:t>绩效自评得分为</w:t>
      </w:r>
      <w:r>
        <w:rPr>
          <w:rFonts w:hint="eastAsia" w:eastAsia="仿宋_GB2312" w:cs="仿宋_GB2312"/>
          <w:color w:val="auto"/>
          <w:kern w:val="2"/>
          <w:sz w:val="32"/>
          <w:szCs w:val="32"/>
          <w:highlight w:val="none"/>
          <w:lang w:val="en-US" w:eastAsia="zh-CN" w:bidi="ar-SA"/>
        </w:rPr>
        <w:t>80</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default" w:ascii="Times New Roman" w:hAnsi="Times New Roman" w:eastAsia="仿宋_GB2312" w:cs="仿宋_GB2312"/>
          <w:color w:val="auto"/>
          <w:kern w:val="2"/>
          <w:sz w:val="32"/>
          <w:szCs w:val="32"/>
          <w:highlight w:val="none"/>
          <w:lang w:val="zh-CN" w:eastAsia="zh-CN" w:bidi="ar-SA"/>
        </w:rPr>
        <w:t>我</w:t>
      </w:r>
      <w:r>
        <w:rPr>
          <w:rFonts w:hint="default" w:ascii="Times New Roman" w:hAnsi="Times New Roman" w:eastAsia="仿宋_GB2312" w:cs="仿宋_GB2312"/>
          <w:color w:val="auto"/>
          <w:kern w:val="2"/>
          <w:sz w:val="32"/>
          <w:szCs w:val="32"/>
          <w:highlight w:val="none"/>
          <w:lang w:val="en-US" w:eastAsia="zh-CN" w:bidi="ar-SA"/>
        </w:rPr>
        <w:t>单位</w:t>
      </w:r>
      <w:r>
        <w:rPr>
          <w:rFonts w:hint="default" w:ascii="Times New Roman" w:hAnsi="Times New Roman" w:eastAsia="仿宋_GB2312" w:cs="仿宋_GB2312"/>
          <w:color w:val="auto"/>
          <w:kern w:val="2"/>
          <w:sz w:val="32"/>
          <w:szCs w:val="32"/>
          <w:highlight w:val="none"/>
          <w:lang w:val="zh-CN" w:eastAsia="zh-CN" w:bidi="ar-SA"/>
        </w:rPr>
        <w:t>通过加强预算</w:t>
      </w:r>
      <w:r>
        <w:rPr>
          <w:rFonts w:hint="eastAsia" w:eastAsia="仿宋_GB2312" w:cs="仿宋_GB2312"/>
          <w:color w:val="auto"/>
          <w:kern w:val="2"/>
          <w:sz w:val="32"/>
          <w:szCs w:val="32"/>
          <w:highlight w:val="none"/>
          <w:lang w:val="en-US" w:eastAsia="zh-CN" w:bidi="ar-SA"/>
        </w:rPr>
        <w:t>绩效</w:t>
      </w:r>
      <w:r>
        <w:rPr>
          <w:rFonts w:hint="default" w:ascii="Times New Roman" w:hAnsi="Times New Roman" w:eastAsia="仿宋_GB2312" w:cs="仿宋_GB2312"/>
          <w:color w:val="auto"/>
          <w:kern w:val="2"/>
          <w:sz w:val="32"/>
          <w:szCs w:val="32"/>
          <w:highlight w:val="none"/>
          <w:lang w:val="zh-CN" w:eastAsia="zh-CN" w:bidi="ar-SA"/>
        </w:rPr>
        <w:t>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w:t>
      </w:r>
      <w:r>
        <w:rPr>
          <w:rFonts w:hint="default" w:ascii="Times New Roman" w:hAnsi="Times New Roman" w:eastAsia="仿宋_GB2312" w:cs="仿宋_GB2312"/>
          <w:color w:val="auto"/>
          <w:kern w:val="2"/>
          <w:sz w:val="32"/>
          <w:szCs w:val="32"/>
          <w:highlight w:val="none"/>
          <w:lang w:val="en-US" w:eastAsia="zh-CN" w:bidi="ar-SA"/>
        </w:rPr>
        <w:t>单位</w:t>
      </w:r>
      <w:r>
        <w:rPr>
          <w:rFonts w:hint="default" w:ascii="Times New Roman" w:hAnsi="Times New Roman" w:eastAsia="仿宋_GB2312" w:cs="仿宋_GB2312"/>
          <w:color w:val="auto"/>
          <w:kern w:val="2"/>
          <w:sz w:val="32"/>
          <w:szCs w:val="32"/>
          <w:highlight w:val="none"/>
          <w:lang w:val="zh-CN" w:eastAsia="zh-CN" w:bidi="ar-SA"/>
        </w:rPr>
        <w:t>将继续努力，科学合理编制预决算，进行绩效评价，加强精细管理，完善不足</w:t>
      </w:r>
      <w:r>
        <w:rPr>
          <w:rFonts w:hint="eastAsia" w:ascii="Times New Roman" w:hAnsi="Times New Roman" w:eastAsia="仿宋_GB2312" w:cs="仿宋_GB2312"/>
          <w:color w:val="auto"/>
          <w:kern w:val="2"/>
          <w:sz w:val="32"/>
          <w:szCs w:val="32"/>
          <w:highlight w:val="none"/>
          <w:lang w:val="en-US" w:eastAsia="zh-CN" w:bidi="ar-SA"/>
        </w:rPr>
        <w:t>；茸木达乡2025年标准化种植基地项目绩效自评得分为</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分，绩效自评综述壤塘县茸木达乡2025年标准化种植基地项目</w:t>
      </w:r>
      <w:r>
        <w:rPr>
          <w:rFonts w:hint="eastAsia" w:ascii="Times New Roman" w:hAnsi="Times New Roman" w:eastAsia="仿宋_GB2312" w:cs="仿宋_GB2312"/>
          <w:color w:val="auto"/>
          <w:kern w:val="2"/>
          <w:sz w:val="32"/>
          <w:szCs w:val="32"/>
          <w:highlight w:val="none"/>
          <w:lang w:val="zh-CN" w:eastAsia="zh-CN" w:bidi="ar-SA"/>
        </w:rPr>
        <w:t>的实施，将</w:t>
      </w:r>
      <w:r>
        <w:rPr>
          <w:rFonts w:hint="eastAsia" w:ascii="Times New Roman" w:hAnsi="Times New Roman" w:eastAsia="仿宋_GB2312" w:cs="仿宋_GB2312"/>
          <w:color w:val="auto"/>
          <w:kern w:val="2"/>
          <w:sz w:val="32"/>
          <w:szCs w:val="32"/>
          <w:highlight w:val="none"/>
          <w:lang w:val="en-US" w:eastAsia="zh-CN" w:bidi="ar-SA"/>
        </w:rPr>
        <w:t>有效</w:t>
      </w:r>
      <w:r>
        <w:rPr>
          <w:rFonts w:hint="eastAsia" w:ascii="Times New Roman" w:hAnsi="Times New Roman" w:eastAsia="仿宋_GB2312" w:cs="仿宋_GB2312"/>
          <w:color w:val="auto"/>
          <w:kern w:val="2"/>
          <w:sz w:val="32"/>
          <w:szCs w:val="32"/>
          <w:highlight w:val="none"/>
          <w:lang w:val="zh-CN" w:eastAsia="zh-CN" w:bidi="ar-SA"/>
        </w:rPr>
        <w:t>改善农牧民收入短板，进一步提高农牧民生产生活积极性，其经济效益和社会效益都将十分显著，是一项利村、利民、利社会的系统工程、民心工程、德政工程。</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4" w:name="_Toc15377225"/>
      <w:bookmarkStart w:id="45"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4"/>
      <w:bookmarkEnd w:id="45"/>
    </w:p>
    <w:p>
      <w:pPr>
        <w:spacing w:line="600" w:lineRule="exact"/>
        <w:jc w:val="left"/>
        <w:rPr>
          <w:rFonts w:ascii="Times New Roman" w:hAnsi="Times New Roman"/>
          <w:b/>
          <w:color w:val="auto"/>
          <w:sz w:val="44"/>
          <w:szCs w:val="44"/>
          <w:highlight w:val="none"/>
        </w:rPr>
      </w:pPr>
    </w:p>
    <w:p>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其他收入：指单位取得的除上述收入以外的各项收入。主要是（收入类型）等。</w:t>
      </w:r>
      <w:r>
        <w:rPr>
          <w:rFonts w:ascii="仿宋_GB2312" w:eastAsia="仿宋_GB2312"/>
          <w:color w:val="auto"/>
          <w:sz w:val="32"/>
          <w:szCs w:val="32"/>
          <w:highlight w:val="none"/>
        </w:rPr>
        <w:t xml:space="preserve"> </w:t>
      </w:r>
    </w:p>
    <w:p>
      <w:pPr>
        <w:pStyle w:val="28"/>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pPr>
        <w:pStyle w:val="28"/>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年末结转和结余：指单位按有关规定结转到下年或以后年度继续使用的资金。</w:t>
      </w: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360" w:lineRule="atLeast"/>
        <w:ind w:left="0" w:right="0" w:firstLine="640" w:firstLineChars="200"/>
        <w:jc w:val="both"/>
        <w:rPr>
          <w:rFonts w:hint="default" w:ascii="仿宋_GB2312" w:hAnsi="Calibri" w:eastAsia="仿宋_GB2312" w:cs="仿宋"/>
          <w:color w:val="000000"/>
          <w:kern w:val="0"/>
          <w:sz w:val="32"/>
          <w:szCs w:val="32"/>
          <w:lang w:val="en-US" w:eastAsia="zh-CN" w:bidi="ar-SA"/>
        </w:rPr>
      </w:pPr>
      <w:r>
        <w:rPr>
          <w:rFonts w:hint="eastAsia" w:ascii="仿宋_GB2312" w:eastAsia="仿宋_GB2312"/>
          <w:color w:val="000000"/>
          <w:sz w:val="32"/>
          <w:szCs w:val="32"/>
          <w:lang w:val="en-US" w:eastAsia="zh-CN"/>
        </w:rPr>
        <w:t>5</w:t>
      </w:r>
      <w:r>
        <w:rPr>
          <w:rFonts w:ascii="仿宋_GB2312" w:eastAsia="仿宋_GB2312"/>
          <w:color w:val="000000"/>
          <w:sz w:val="32"/>
          <w:szCs w:val="32"/>
        </w:rPr>
        <w:t>.</w:t>
      </w:r>
      <w:r>
        <w:rPr>
          <w:rFonts w:hint="default" w:ascii="仿宋_GB2312" w:hAnsi="Calibri" w:eastAsia="仿宋_GB2312" w:cs="仿宋"/>
          <w:color w:val="000000"/>
          <w:kern w:val="0"/>
          <w:sz w:val="32"/>
          <w:szCs w:val="32"/>
          <w:lang w:val="en-US" w:eastAsia="zh-CN" w:bidi="ar-SA"/>
        </w:rPr>
        <w:t>一般公共服务（201）人大事务（20101）</w:t>
      </w:r>
      <w:r>
        <w:rPr>
          <w:rFonts w:hint="eastAsia" w:ascii="仿宋_GB2312" w:hAnsi="Calibri" w:eastAsia="仿宋_GB2312" w:cs="仿宋"/>
          <w:color w:val="000000"/>
          <w:kern w:val="0"/>
          <w:sz w:val="32"/>
          <w:szCs w:val="32"/>
          <w:lang w:val="en-US" w:eastAsia="zh-CN" w:bidi="ar-SA"/>
        </w:rPr>
        <w:t>人大会议</w:t>
      </w:r>
      <w:r>
        <w:rPr>
          <w:rFonts w:hint="default" w:ascii="仿宋_GB2312" w:hAnsi="Calibri" w:eastAsia="仿宋_GB2312" w:cs="仿宋"/>
          <w:color w:val="000000"/>
          <w:kern w:val="0"/>
          <w:sz w:val="32"/>
          <w:szCs w:val="32"/>
          <w:lang w:val="en-US" w:eastAsia="zh-CN" w:bidi="ar-SA"/>
        </w:rPr>
        <w:t>（20101</w:t>
      </w:r>
      <w:r>
        <w:rPr>
          <w:rFonts w:hint="eastAsia" w:ascii="仿宋_GB2312" w:hAnsi="Calibri" w:eastAsia="仿宋_GB2312" w:cs="仿宋"/>
          <w:color w:val="000000"/>
          <w:kern w:val="0"/>
          <w:sz w:val="32"/>
          <w:szCs w:val="32"/>
          <w:lang w:val="en-US" w:eastAsia="zh-CN" w:bidi="ar-SA"/>
        </w:rPr>
        <w:t>04</w:t>
      </w:r>
      <w:r>
        <w:rPr>
          <w:rFonts w:hint="default" w:ascii="仿宋_GB2312" w:hAnsi="Calibri" w:eastAsia="仿宋_GB2312" w:cs="仿宋"/>
          <w:color w:val="000000"/>
          <w:kern w:val="0"/>
          <w:sz w:val="32"/>
          <w:szCs w:val="32"/>
          <w:lang w:val="en-US" w:eastAsia="zh-CN" w:bidi="ar-SA"/>
        </w:rPr>
        <w:t>）：指行政单位人大</w:t>
      </w:r>
      <w:r>
        <w:rPr>
          <w:rFonts w:hint="eastAsia" w:ascii="仿宋_GB2312" w:hAnsi="Calibri" w:eastAsia="仿宋_GB2312" w:cs="仿宋"/>
          <w:color w:val="000000"/>
          <w:kern w:val="0"/>
          <w:sz w:val="32"/>
          <w:szCs w:val="32"/>
          <w:lang w:val="en-US" w:eastAsia="zh-CN" w:bidi="ar-SA"/>
        </w:rPr>
        <w:t>会议费</w:t>
      </w:r>
      <w:r>
        <w:rPr>
          <w:rFonts w:hint="default" w:ascii="仿宋_GB2312" w:hAnsi="Calibri" w:eastAsia="仿宋_GB2312" w:cs="仿宋"/>
          <w:color w:val="000000"/>
          <w:kern w:val="0"/>
          <w:sz w:val="32"/>
          <w:szCs w:val="32"/>
          <w:lang w:val="en-US" w:eastAsia="zh-CN" w:bidi="ar-SA"/>
        </w:rPr>
        <w:t>支出；（20103）政府相关事务（2010301）行政运行</w:t>
      </w:r>
      <w:r>
        <w:rPr>
          <w:rFonts w:hint="eastAsia" w:ascii="仿宋_GB2312" w:hAnsi="Calibri" w:eastAsia="仿宋_GB2312" w:cs="仿宋"/>
          <w:color w:val="000000"/>
          <w:kern w:val="0"/>
          <w:sz w:val="32"/>
          <w:szCs w:val="32"/>
          <w:lang w:val="en-US" w:eastAsia="zh-CN" w:bidi="ar-SA"/>
        </w:rPr>
        <w:t>：</w:t>
      </w:r>
      <w:r>
        <w:rPr>
          <w:rFonts w:hint="default" w:ascii="仿宋_GB2312" w:hAnsi="Calibri" w:eastAsia="仿宋_GB2312" w:cs="仿宋"/>
          <w:color w:val="000000"/>
          <w:kern w:val="0"/>
          <w:sz w:val="32"/>
          <w:szCs w:val="32"/>
          <w:lang w:val="en-US" w:eastAsia="zh-CN" w:bidi="ar-SA"/>
        </w:rPr>
        <w:t>指行政单位工资及五险等基本支出；一般行政管理事务（2010302）：指行政单位财政所工作、纪委工作、伙食团工作、</w:t>
      </w:r>
      <w:r>
        <w:rPr>
          <w:rFonts w:hint="eastAsia" w:ascii="仿宋_GB2312" w:hAnsi="Calibri" w:eastAsia="仿宋_GB2312" w:cs="仿宋"/>
          <w:color w:val="000000"/>
          <w:kern w:val="0"/>
          <w:sz w:val="32"/>
          <w:szCs w:val="32"/>
          <w:lang w:val="en-US" w:eastAsia="zh-CN" w:bidi="ar-SA"/>
        </w:rPr>
        <w:t>乡镇</w:t>
      </w:r>
      <w:r>
        <w:rPr>
          <w:rFonts w:hint="default" w:ascii="仿宋_GB2312" w:hAnsi="Calibri" w:eastAsia="仿宋_GB2312" w:cs="仿宋"/>
          <w:color w:val="000000"/>
          <w:kern w:val="0"/>
          <w:sz w:val="32"/>
          <w:szCs w:val="32"/>
          <w:lang w:val="en-US" w:eastAsia="zh-CN" w:bidi="ar-SA"/>
        </w:rPr>
        <w:t>设施建设等支出。 </w:t>
      </w: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360" w:lineRule="atLeast"/>
        <w:ind w:left="0" w:right="0" w:firstLine="640" w:firstLineChars="200"/>
        <w:jc w:val="both"/>
        <w:rPr>
          <w:rFonts w:hint="default"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6</w:t>
      </w:r>
      <w:r>
        <w:rPr>
          <w:rFonts w:hint="default" w:ascii="仿宋_GB2312" w:hAnsi="Calibri" w:eastAsia="仿宋_GB2312" w:cs="仿宋"/>
          <w:color w:val="000000"/>
          <w:kern w:val="0"/>
          <w:sz w:val="32"/>
          <w:szCs w:val="32"/>
          <w:lang w:val="en-US" w:eastAsia="zh-CN" w:bidi="ar-SA"/>
        </w:rPr>
        <w:t>.国防支出（203）国防动员（20306）民兵（2030607）：指用于民兵建设与管理等方面的支出。 </w:t>
      </w: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360" w:lineRule="atLeast"/>
        <w:ind w:left="0" w:right="0" w:firstLine="640" w:firstLineChars="200"/>
        <w:jc w:val="both"/>
        <w:rPr>
          <w:rFonts w:hint="default"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7</w:t>
      </w:r>
      <w:r>
        <w:rPr>
          <w:rFonts w:hint="default" w:ascii="仿宋_GB2312" w:hAnsi="Calibri" w:eastAsia="仿宋_GB2312" w:cs="仿宋"/>
          <w:color w:val="000000"/>
          <w:kern w:val="0"/>
          <w:sz w:val="32"/>
          <w:szCs w:val="32"/>
          <w:lang w:val="en-US" w:eastAsia="zh-CN" w:bidi="ar-SA"/>
        </w:rPr>
        <w:t>.社会保障和就业（208）行政事业单位离退休（20805）机关事业单位基本养老保险（2080505）机关事业单位职业年金（2080506）：指机关事业单位实施养老保险制度由单位缴纳的基本养老保险费支出和职业年金支出。 </w:t>
      </w: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360" w:lineRule="atLeast"/>
        <w:ind w:right="0" w:firstLine="640" w:firstLineChars="200"/>
        <w:jc w:val="both"/>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8</w:t>
      </w:r>
      <w:r>
        <w:rPr>
          <w:rFonts w:hint="default" w:ascii="仿宋_GB2312" w:hAnsi="Calibri" w:eastAsia="仿宋_GB2312" w:cs="仿宋"/>
          <w:color w:val="000000"/>
          <w:kern w:val="0"/>
          <w:sz w:val="32"/>
          <w:szCs w:val="32"/>
          <w:lang w:val="en-US" w:eastAsia="zh-CN" w:bidi="ar-SA"/>
        </w:rPr>
        <w:t>.</w:t>
      </w:r>
      <w:r>
        <w:rPr>
          <w:rFonts w:hint="eastAsia" w:ascii="仿宋_GB2312" w:hAnsi="Calibri" w:eastAsia="仿宋_GB2312" w:cs="仿宋"/>
          <w:color w:val="000000"/>
          <w:kern w:val="0"/>
          <w:sz w:val="32"/>
          <w:szCs w:val="32"/>
          <w:lang w:val="en-US" w:eastAsia="zh-CN" w:bidi="ar-SA"/>
        </w:rPr>
        <w:t>卫生健康</w:t>
      </w:r>
      <w:r>
        <w:rPr>
          <w:rFonts w:hint="default" w:ascii="仿宋_GB2312" w:hAnsi="Calibri" w:eastAsia="仿宋_GB2312" w:cs="仿宋"/>
          <w:color w:val="000000"/>
          <w:kern w:val="0"/>
          <w:sz w:val="32"/>
          <w:szCs w:val="32"/>
          <w:lang w:val="en-US" w:eastAsia="zh-CN" w:bidi="ar-SA"/>
        </w:rPr>
        <w:t>(210)</w:t>
      </w:r>
      <w:r>
        <w:rPr>
          <w:rFonts w:hint="eastAsia" w:ascii="仿宋_GB2312" w:hAnsi="Calibri" w:eastAsia="仿宋_GB2312" w:cs="仿宋"/>
          <w:color w:val="000000"/>
          <w:kern w:val="0"/>
          <w:sz w:val="32"/>
          <w:szCs w:val="32"/>
          <w:lang w:val="en-US" w:eastAsia="zh-CN" w:bidi="ar-SA"/>
        </w:rPr>
        <w:t>公共卫生</w:t>
      </w:r>
      <w:r>
        <w:rPr>
          <w:rFonts w:hint="default" w:ascii="仿宋_GB2312" w:hAnsi="Calibri" w:eastAsia="仿宋_GB2312" w:cs="仿宋"/>
          <w:color w:val="000000"/>
          <w:kern w:val="0"/>
          <w:sz w:val="32"/>
          <w:szCs w:val="32"/>
          <w:lang w:val="en-US" w:eastAsia="zh-CN" w:bidi="ar-SA"/>
        </w:rPr>
        <w:t>（210</w:t>
      </w:r>
      <w:r>
        <w:rPr>
          <w:rFonts w:hint="eastAsia" w:ascii="仿宋_GB2312" w:hAnsi="Calibri" w:eastAsia="仿宋_GB2312" w:cs="仿宋"/>
          <w:color w:val="000000"/>
          <w:kern w:val="0"/>
          <w:sz w:val="32"/>
          <w:szCs w:val="32"/>
          <w:lang w:val="en-US" w:eastAsia="zh-CN" w:bidi="ar-SA"/>
        </w:rPr>
        <w:t>04</w:t>
      </w:r>
      <w:r>
        <w:rPr>
          <w:rFonts w:hint="default" w:ascii="仿宋_GB2312" w:hAnsi="Calibri" w:eastAsia="仿宋_GB2312" w:cs="仿宋"/>
          <w:color w:val="000000"/>
          <w:kern w:val="0"/>
          <w:sz w:val="32"/>
          <w:szCs w:val="32"/>
          <w:lang w:val="en-US" w:eastAsia="zh-CN" w:bidi="ar-SA"/>
        </w:rPr>
        <w:t>）</w:t>
      </w:r>
      <w:r>
        <w:rPr>
          <w:rFonts w:hint="eastAsia" w:ascii="仿宋_GB2312" w:hAnsi="Calibri" w:eastAsia="仿宋_GB2312" w:cs="仿宋"/>
          <w:color w:val="000000"/>
          <w:kern w:val="0"/>
          <w:sz w:val="32"/>
          <w:szCs w:val="32"/>
          <w:lang w:val="en-US" w:eastAsia="zh-CN" w:bidi="ar-SA"/>
        </w:rPr>
        <w:t>重大公共卫生服务</w:t>
      </w:r>
      <w:r>
        <w:rPr>
          <w:rFonts w:hint="default" w:ascii="仿宋_GB2312" w:hAnsi="Calibri" w:eastAsia="仿宋_GB2312" w:cs="仿宋"/>
          <w:color w:val="000000"/>
          <w:kern w:val="0"/>
          <w:sz w:val="32"/>
          <w:szCs w:val="32"/>
          <w:lang w:val="en-US" w:eastAsia="zh-CN" w:bidi="ar-SA"/>
        </w:rPr>
        <w:t>（210</w:t>
      </w:r>
      <w:r>
        <w:rPr>
          <w:rFonts w:hint="eastAsia" w:ascii="仿宋_GB2312" w:hAnsi="Calibri" w:eastAsia="仿宋_GB2312" w:cs="仿宋"/>
          <w:color w:val="000000"/>
          <w:kern w:val="0"/>
          <w:sz w:val="32"/>
          <w:szCs w:val="32"/>
          <w:lang w:val="en-US" w:eastAsia="zh-CN" w:bidi="ar-SA"/>
        </w:rPr>
        <w:t>0409</w:t>
      </w:r>
      <w:r>
        <w:rPr>
          <w:rFonts w:hint="default" w:ascii="仿宋_GB2312" w:hAnsi="Calibri" w:eastAsia="仿宋_GB2312" w:cs="仿宋"/>
          <w:color w:val="000000"/>
          <w:kern w:val="0"/>
          <w:sz w:val="32"/>
          <w:szCs w:val="32"/>
          <w:lang w:val="en-US" w:eastAsia="zh-CN" w:bidi="ar-SA"/>
        </w:rPr>
        <w:t>）</w:t>
      </w:r>
      <w:r>
        <w:rPr>
          <w:rFonts w:hint="eastAsia" w:ascii="仿宋_GB2312" w:hAnsi="Calibri" w:eastAsia="仿宋_GB2312" w:cs="仿宋"/>
          <w:color w:val="000000"/>
          <w:kern w:val="0"/>
          <w:sz w:val="32"/>
          <w:szCs w:val="32"/>
          <w:lang w:val="en-US" w:eastAsia="zh-CN" w:bidi="ar-SA"/>
        </w:rPr>
        <w:t>：</w:t>
      </w:r>
      <w:r>
        <w:rPr>
          <w:rFonts w:hint="default" w:ascii="仿宋_GB2312" w:hAnsi="Calibri" w:eastAsia="仿宋_GB2312" w:cs="仿宋"/>
          <w:color w:val="000000"/>
          <w:kern w:val="0"/>
          <w:sz w:val="32"/>
          <w:szCs w:val="32"/>
          <w:lang w:val="en-US" w:eastAsia="zh-CN" w:bidi="ar-SA"/>
        </w:rPr>
        <w:t>指行政单位医疗方面的支出；事业单位医疗（2101102）</w:t>
      </w:r>
      <w:r>
        <w:rPr>
          <w:rFonts w:hint="eastAsia" w:ascii="仿宋_GB2312" w:hAnsi="Calibri" w:eastAsia="仿宋_GB2312" w:cs="仿宋"/>
          <w:color w:val="000000"/>
          <w:kern w:val="0"/>
          <w:sz w:val="32"/>
          <w:szCs w:val="32"/>
          <w:lang w:val="en-US" w:eastAsia="zh-CN" w:bidi="ar-SA"/>
        </w:rPr>
        <w:t>：</w:t>
      </w:r>
      <w:r>
        <w:rPr>
          <w:rFonts w:hint="default" w:ascii="仿宋_GB2312" w:hAnsi="Calibri" w:eastAsia="仿宋_GB2312" w:cs="仿宋"/>
          <w:color w:val="000000"/>
          <w:kern w:val="0"/>
          <w:sz w:val="32"/>
          <w:szCs w:val="32"/>
          <w:lang w:val="en-US" w:eastAsia="zh-CN" w:bidi="ar-SA"/>
        </w:rPr>
        <w:t>指事业单位医疗方面的支出；公务员医疗补助（2101103）</w:t>
      </w:r>
      <w:r>
        <w:rPr>
          <w:rFonts w:hint="eastAsia" w:ascii="仿宋_GB2312" w:hAnsi="Calibri" w:eastAsia="仿宋_GB2312" w:cs="仿宋"/>
          <w:color w:val="000000"/>
          <w:kern w:val="0"/>
          <w:sz w:val="32"/>
          <w:szCs w:val="32"/>
          <w:lang w:val="en-US" w:eastAsia="zh-CN" w:bidi="ar-SA"/>
        </w:rPr>
        <w:t>：</w:t>
      </w:r>
      <w:r>
        <w:rPr>
          <w:rFonts w:hint="default" w:ascii="仿宋_GB2312" w:hAnsi="Calibri" w:eastAsia="仿宋_GB2312" w:cs="仿宋"/>
          <w:color w:val="000000"/>
          <w:kern w:val="0"/>
          <w:sz w:val="32"/>
          <w:szCs w:val="32"/>
          <w:lang w:val="en-US" w:eastAsia="zh-CN" w:bidi="ar-SA"/>
        </w:rPr>
        <w:t>指行政单位医疗方面的支出。 </w:t>
      </w:r>
      <w:r>
        <w:rPr>
          <w:rFonts w:hint="eastAsia" w:ascii="仿宋_GB2312" w:hAnsi="Calibri" w:eastAsia="仿宋_GB2312" w:cs="仿宋"/>
          <w:color w:val="000000"/>
          <w:kern w:val="0"/>
          <w:sz w:val="32"/>
          <w:szCs w:val="32"/>
          <w:lang w:val="en-US" w:eastAsia="zh-CN" w:bidi="ar-SA"/>
        </w:rPr>
        <w:t xml:space="preserve">       </w:t>
      </w:r>
      <w:r>
        <w:rPr>
          <w:rFonts w:hint="default" w:ascii="仿宋_GB2312" w:hAnsi="Calibri" w:eastAsia="仿宋_GB2312" w:cs="仿宋"/>
          <w:color w:val="000000"/>
          <w:kern w:val="0"/>
          <w:sz w:val="32"/>
          <w:szCs w:val="32"/>
          <w:lang w:val="en-US" w:eastAsia="zh-CN" w:bidi="ar-SA"/>
        </w:rPr>
        <w:t>1</w:t>
      </w:r>
      <w:r>
        <w:rPr>
          <w:rFonts w:hint="eastAsia" w:ascii="仿宋_GB2312" w:hAnsi="Calibri" w:eastAsia="仿宋_GB2312" w:cs="仿宋"/>
          <w:color w:val="000000"/>
          <w:kern w:val="0"/>
          <w:sz w:val="32"/>
          <w:szCs w:val="32"/>
          <w:lang w:val="en-US" w:eastAsia="zh-CN" w:bidi="ar-SA"/>
        </w:rPr>
        <w:t xml:space="preserve">   9</w:t>
      </w:r>
      <w:r>
        <w:rPr>
          <w:rFonts w:hint="default" w:ascii="仿宋_GB2312" w:hAnsi="Calibri" w:eastAsia="仿宋_GB2312" w:cs="仿宋"/>
          <w:color w:val="000000"/>
          <w:kern w:val="0"/>
          <w:sz w:val="32"/>
          <w:szCs w:val="32"/>
          <w:lang w:val="en-US" w:eastAsia="zh-CN" w:bidi="ar-SA"/>
        </w:rPr>
        <w:t>.农林水（213）</w:t>
      </w:r>
      <w:r>
        <w:rPr>
          <w:rFonts w:hint="eastAsia" w:ascii="仿宋_GB2312" w:hAnsi="Calibri" w:eastAsia="仿宋_GB2312" w:cs="仿宋"/>
          <w:color w:val="000000"/>
          <w:kern w:val="0"/>
          <w:sz w:val="32"/>
          <w:szCs w:val="32"/>
          <w:lang w:val="en-US" w:eastAsia="zh-CN" w:bidi="ar-SA"/>
        </w:rPr>
        <w:t>农业农村</w:t>
      </w:r>
      <w:r>
        <w:rPr>
          <w:rFonts w:hint="default" w:ascii="仿宋_GB2312" w:hAnsi="Calibri" w:eastAsia="仿宋_GB2312" w:cs="仿宋"/>
          <w:color w:val="000000"/>
          <w:kern w:val="0"/>
          <w:sz w:val="32"/>
          <w:szCs w:val="32"/>
          <w:lang w:val="en-US" w:eastAsia="zh-CN" w:bidi="ar-SA"/>
        </w:rPr>
        <w:t>（213</w:t>
      </w:r>
      <w:r>
        <w:rPr>
          <w:rFonts w:hint="eastAsia" w:ascii="仿宋_GB2312" w:hAnsi="Calibri" w:eastAsia="仿宋_GB2312" w:cs="仿宋"/>
          <w:color w:val="000000"/>
          <w:kern w:val="0"/>
          <w:sz w:val="32"/>
          <w:szCs w:val="32"/>
          <w:lang w:val="en-US" w:eastAsia="zh-CN" w:bidi="ar-SA"/>
        </w:rPr>
        <w:t>01</w:t>
      </w:r>
      <w:r>
        <w:rPr>
          <w:rFonts w:hint="default" w:ascii="仿宋_GB2312" w:hAnsi="Calibri" w:eastAsia="仿宋_GB2312" w:cs="仿宋"/>
          <w:color w:val="000000"/>
          <w:kern w:val="0"/>
          <w:sz w:val="32"/>
          <w:szCs w:val="32"/>
          <w:lang w:val="en-US" w:eastAsia="zh-CN" w:bidi="ar-SA"/>
        </w:rPr>
        <w:t>）</w:t>
      </w:r>
      <w:r>
        <w:rPr>
          <w:rFonts w:hint="eastAsia" w:ascii="仿宋_GB2312" w:hAnsi="Calibri" w:eastAsia="仿宋_GB2312" w:cs="仿宋"/>
          <w:color w:val="000000"/>
          <w:kern w:val="0"/>
          <w:sz w:val="32"/>
          <w:szCs w:val="32"/>
          <w:lang w:val="en-US" w:eastAsia="zh-CN" w:bidi="ar-SA"/>
        </w:rPr>
        <w:t>事业运行</w:t>
      </w:r>
      <w:r>
        <w:rPr>
          <w:rFonts w:hint="default" w:ascii="仿宋_GB2312" w:hAnsi="Calibri" w:eastAsia="仿宋_GB2312" w:cs="仿宋"/>
          <w:color w:val="000000"/>
          <w:kern w:val="0"/>
          <w:sz w:val="32"/>
          <w:szCs w:val="32"/>
          <w:lang w:val="en-US" w:eastAsia="zh-CN" w:bidi="ar-SA"/>
        </w:rPr>
        <w:t>（213050</w:t>
      </w:r>
      <w:r>
        <w:rPr>
          <w:rFonts w:hint="eastAsia" w:ascii="仿宋_GB2312" w:hAnsi="Calibri" w:eastAsia="仿宋_GB2312" w:cs="仿宋"/>
          <w:color w:val="000000"/>
          <w:kern w:val="0"/>
          <w:sz w:val="32"/>
          <w:szCs w:val="32"/>
          <w:lang w:val="en-US" w:eastAsia="zh-CN" w:bidi="ar-SA"/>
        </w:rPr>
        <w:t>8</w:t>
      </w:r>
      <w:r>
        <w:rPr>
          <w:rFonts w:hint="default" w:ascii="仿宋_GB2312" w:hAnsi="Calibri" w:eastAsia="仿宋_GB2312" w:cs="仿宋"/>
          <w:color w:val="000000"/>
          <w:kern w:val="0"/>
          <w:sz w:val="32"/>
          <w:szCs w:val="32"/>
          <w:lang w:val="en-US" w:eastAsia="zh-CN" w:bidi="ar-SA"/>
        </w:rPr>
        <w:t>）</w:t>
      </w:r>
      <w:r>
        <w:rPr>
          <w:rFonts w:hint="eastAsia" w:ascii="仿宋_GB2312" w:hAnsi="Calibri" w:eastAsia="仿宋_GB2312" w:cs="仿宋"/>
          <w:color w:val="000000"/>
          <w:kern w:val="0"/>
          <w:sz w:val="32"/>
          <w:szCs w:val="32"/>
          <w:lang w:val="en-US" w:eastAsia="zh-CN" w:bidi="ar-SA"/>
        </w:rPr>
        <w:t>病虫害控制支出</w:t>
      </w:r>
      <w:r>
        <w:rPr>
          <w:rFonts w:hint="default" w:ascii="仿宋_GB2312" w:hAnsi="Calibri" w:eastAsia="仿宋_GB2312" w:cs="仿宋"/>
          <w:color w:val="000000"/>
          <w:kern w:val="0"/>
          <w:sz w:val="32"/>
          <w:szCs w:val="32"/>
          <w:lang w:val="en-US" w:eastAsia="zh-CN" w:bidi="ar-SA"/>
        </w:rPr>
        <w:t>；</w:t>
      </w:r>
      <w:r>
        <w:rPr>
          <w:rFonts w:hint="eastAsia" w:ascii="仿宋_GB2312" w:hAnsi="Calibri" w:eastAsia="仿宋_GB2312" w:cs="仿宋"/>
          <w:color w:val="000000"/>
          <w:kern w:val="0"/>
          <w:sz w:val="32"/>
          <w:szCs w:val="32"/>
          <w:lang w:val="en-US" w:eastAsia="zh-CN" w:bidi="ar-SA"/>
        </w:rPr>
        <w:t>（21303）水利（2130314）防汛支出；（21305）巩固</w:t>
      </w:r>
      <w:r>
        <w:rPr>
          <w:rStyle w:val="19"/>
          <w:rFonts w:hint="eastAsia" w:ascii="仿宋" w:hAnsi="仿宋" w:eastAsia="仿宋" w:cs="Times New Roman"/>
          <w:b w:val="0"/>
          <w:bCs/>
          <w:color w:val="auto"/>
          <w:sz w:val="32"/>
          <w:szCs w:val="32"/>
          <w:highlight w:val="none"/>
          <w:lang w:val="en-US" w:eastAsia="zh-CN"/>
        </w:rPr>
        <w:t>拓展</w:t>
      </w:r>
      <w:r>
        <w:rPr>
          <w:rFonts w:hint="eastAsia" w:ascii="仿宋_GB2312" w:hAnsi="Calibri" w:eastAsia="仿宋_GB2312" w:cs="仿宋"/>
          <w:color w:val="000000"/>
          <w:kern w:val="0"/>
          <w:sz w:val="32"/>
          <w:szCs w:val="32"/>
          <w:lang w:val="en-US" w:eastAsia="zh-CN" w:bidi="ar-SA"/>
        </w:rPr>
        <w:t>脱贫攻坚成果衔接乡村振兴（2130504）农村基础设施建设；（2130599）其他巩固</w:t>
      </w:r>
      <w:r>
        <w:rPr>
          <w:rStyle w:val="19"/>
          <w:rFonts w:hint="eastAsia" w:ascii="仿宋" w:hAnsi="仿宋" w:eastAsia="仿宋" w:cs="Times New Roman"/>
          <w:b w:val="0"/>
          <w:bCs/>
          <w:color w:val="auto"/>
          <w:sz w:val="32"/>
          <w:szCs w:val="32"/>
          <w:highlight w:val="none"/>
          <w:lang w:val="en-US" w:eastAsia="zh-CN"/>
        </w:rPr>
        <w:t>拓展</w:t>
      </w:r>
      <w:r>
        <w:rPr>
          <w:rFonts w:hint="eastAsia" w:ascii="仿宋_GB2312" w:hAnsi="Calibri" w:eastAsia="仿宋_GB2312" w:cs="仿宋"/>
          <w:color w:val="000000"/>
          <w:kern w:val="0"/>
          <w:sz w:val="32"/>
          <w:szCs w:val="32"/>
          <w:lang w:val="en-US" w:eastAsia="zh-CN" w:bidi="ar-SA"/>
        </w:rPr>
        <w:t>脱贫攻坚成果衔接乡村振兴支出；农村综合改革</w:t>
      </w:r>
      <w:r>
        <w:rPr>
          <w:rFonts w:hint="default" w:ascii="仿宋_GB2312" w:hAnsi="Calibri" w:eastAsia="仿宋_GB2312" w:cs="仿宋"/>
          <w:color w:val="000000"/>
          <w:kern w:val="0"/>
          <w:sz w:val="32"/>
          <w:szCs w:val="32"/>
          <w:lang w:val="en-US" w:eastAsia="zh-CN" w:bidi="ar-SA"/>
        </w:rPr>
        <w:t>（21307）对村民委员会和村党支部的补助（2130705）：指用于基层组织活动和公共服务运行维护方面的补助支出</w:t>
      </w:r>
      <w:r>
        <w:rPr>
          <w:rFonts w:hint="eastAsia" w:ascii="仿宋_GB2312" w:hAnsi="Calibri" w:eastAsia="仿宋_GB2312" w:cs="仿宋"/>
          <w:color w:val="000000"/>
          <w:kern w:val="0"/>
          <w:sz w:val="32"/>
          <w:szCs w:val="32"/>
          <w:lang w:val="en-US" w:eastAsia="zh-CN" w:bidi="ar-SA"/>
        </w:rPr>
        <w:t>；</w:t>
      </w:r>
      <w:r>
        <w:rPr>
          <w:rFonts w:hint="default" w:ascii="仿宋_GB2312" w:hAnsi="Calibri" w:eastAsia="仿宋_GB2312" w:cs="仿宋"/>
          <w:color w:val="000000"/>
          <w:kern w:val="0"/>
          <w:sz w:val="32"/>
          <w:szCs w:val="32"/>
          <w:lang w:val="en-US" w:eastAsia="zh-CN" w:bidi="ar-SA"/>
        </w:rPr>
        <w:t>（213070</w:t>
      </w:r>
      <w:r>
        <w:rPr>
          <w:rFonts w:hint="eastAsia" w:ascii="仿宋_GB2312" w:hAnsi="Calibri" w:eastAsia="仿宋_GB2312" w:cs="仿宋"/>
          <w:color w:val="000000"/>
          <w:kern w:val="0"/>
          <w:sz w:val="32"/>
          <w:szCs w:val="32"/>
          <w:lang w:val="en-US" w:eastAsia="zh-CN" w:bidi="ar-SA"/>
        </w:rPr>
        <w:t>7</w:t>
      </w:r>
      <w:r>
        <w:rPr>
          <w:rFonts w:hint="default" w:ascii="仿宋_GB2312" w:hAnsi="Calibri" w:eastAsia="仿宋_GB2312" w:cs="仿宋"/>
          <w:color w:val="000000"/>
          <w:kern w:val="0"/>
          <w:sz w:val="32"/>
          <w:szCs w:val="32"/>
          <w:lang w:val="en-US" w:eastAsia="zh-CN" w:bidi="ar-SA"/>
        </w:rPr>
        <w:t>）：</w:t>
      </w:r>
      <w:r>
        <w:rPr>
          <w:rFonts w:hint="eastAsia" w:ascii="仿宋_GB2312" w:hAnsi="Calibri" w:eastAsia="仿宋_GB2312" w:cs="仿宋"/>
          <w:color w:val="000000"/>
          <w:kern w:val="0"/>
          <w:sz w:val="32"/>
          <w:szCs w:val="32"/>
          <w:lang w:val="en-US" w:eastAsia="zh-CN" w:bidi="ar-SA"/>
        </w:rPr>
        <w:t>指农村综合改革示范点补助支出</w:t>
      </w:r>
      <w:r>
        <w:rPr>
          <w:rFonts w:hint="default" w:ascii="仿宋_GB2312" w:hAnsi="Calibri" w:eastAsia="仿宋_GB2312" w:cs="仿宋"/>
          <w:color w:val="000000"/>
          <w:kern w:val="0"/>
          <w:sz w:val="32"/>
          <w:szCs w:val="32"/>
          <w:lang w:val="en-US" w:eastAsia="zh-CN" w:bidi="ar-SA"/>
        </w:rPr>
        <w:t>。 </w:t>
      </w:r>
    </w:p>
    <w:p>
      <w:pPr>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10</w:t>
      </w:r>
      <w:r>
        <w:rPr>
          <w:rFonts w:hint="default" w:ascii="仿宋_GB2312" w:hAnsi="Calibri" w:eastAsia="仿宋_GB2312" w:cs="仿宋"/>
          <w:color w:val="000000"/>
          <w:kern w:val="0"/>
          <w:sz w:val="32"/>
          <w:szCs w:val="32"/>
          <w:lang w:val="en-US" w:eastAsia="zh-CN" w:bidi="ar-SA"/>
        </w:rPr>
        <w:t>.住房保障支出（221）住房改革支出（22102）住房公积金（2210201）：指反映行政事业单位按人力资源和社会保障部、财政部规定的基本</w:t>
      </w:r>
      <w:r>
        <w:rPr>
          <w:rFonts w:hint="eastAsia" w:ascii="仿宋_GB2312" w:hAnsi="Calibri" w:eastAsia="仿宋_GB2312" w:cs="仿宋"/>
          <w:color w:val="000000"/>
          <w:kern w:val="0"/>
          <w:sz w:val="32"/>
          <w:szCs w:val="32"/>
          <w:lang w:val="en-US" w:eastAsia="zh-CN" w:bidi="ar-SA"/>
        </w:rPr>
        <w:t>0</w:t>
      </w:r>
    </w:p>
    <w:p>
      <w:pPr>
        <w:ind w:firstLine="640" w:firstLineChars="200"/>
        <w:rPr>
          <w:rFonts w:hint="default"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069</w:t>
      </w:r>
      <w:r>
        <w:rPr>
          <w:rFonts w:hint="default" w:ascii="仿宋_GB2312" w:hAnsi="Calibri" w:eastAsia="仿宋_GB2312" w:cs="仿宋"/>
          <w:color w:val="000000"/>
          <w:kern w:val="0"/>
          <w:sz w:val="32"/>
          <w:szCs w:val="32"/>
          <w:lang w:val="en-US" w:eastAsia="zh-CN" w:bidi="ar-SA"/>
        </w:rPr>
        <w:t>工资和津贴补贴以及</w:t>
      </w:r>
      <w:r>
        <w:rPr>
          <w:rFonts w:hint="eastAsia" w:ascii="仿宋_GB2312" w:hAnsi="Calibri" w:eastAsia="仿宋_GB2312" w:cs="仿宋"/>
          <w:color w:val="000000"/>
          <w:kern w:val="0"/>
          <w:sz w:val="32"/>
          <w:szCs w:val="32"/>
          <w:lang w:val="en-US" w:eastAsia="zh-CN" w:bidi="ar-SA"/>
        </w:rPr>
        <w:t>按</w:t>
      </w:r>
      <w:r>
        <w:rPr>
          <w:rFonts w:hint="default" w:ascii="仿宋_GB2312" w:hAnsi="Calibri" w:eastAsia="仿宋_GB2312" w:cs="仿宋"/>
          <w:color w:val="000000"/>
          <w:kern w:val="0"/>
          <w:sz w:val="32"/>
          <w:szCs w:val="32"/>
          <w:lang w:val="en-US" w:eastAsia="zh-CN" w:bidi="ar-SA"/>
        </w:rPr>
        <w:t>规定比例为职工缴纳的住房公积金。</w:t>
      </w:r>
    </w:p>
    <w:p>
      <w:pPr>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eastAsia="仿宋_GB2312" w:cs="仿宋"/>
          <w:color w:val="000000"/>
          <w:kern w:val="0"/>
          <w:sz w:val="32"/>
          <w:szCs w:val="32"/>
          <w:lang w:val="en-US" w:eastAsia="zh-CN" w:bidi="ar-SA"/>
        </w:rPr>
        <w:t>11.（224）灾害防治及应急管理（22407）自然灾害救灾及恢复重建（2240703）：指自然灾害。</w:t>
      </w:r>
      <w:r>
        <w:rPr>
          <w:rFonts w:hint="default" w:ascii="仿宋_GB2312" w:hAnsi="Calibri" w:eastAsia="仿宋_GB2312" w:cs="仿宋"/>
          <w:color w:val="000000"/>
          <w:kern w:val="0"/>
          <w:sz w:val="32"/>
          <w:szCs w:val="32"/>
          <w:lang w:val="en-US" w:eastAsia="zh-CN" w:bidi="ar-SA"/>
        </w:rPr>
        <w:t> </w:t>
      </w:r>
    </w:p>
    <w:p>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pPr>
        <w:pStyle w:val="28"/>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8"/>
        <w:spacing w:line="560" w:lineRule="exact"/>
        <w:ind w:firstLine="640" w:firstLineChars="200"/>
        <w:rPr>
          <w:rStyle w:val="30"/>
          <w:rFonts w:hint="eastAsia" w:ascii="Times New Roman" w:hAnsi="Times New Roman" w:eastAsia="黑体"/>
          <w:b w:val="0"/>
          <w:color w:val="auto"/>
          <w:highlight w:val="none"/>
          <w:lang w:eastAsia="zh-CN"/>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4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7"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7"/>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default" w:ascii="仿宋_GB2312" w:hAnsi="Calibri" w:eastAsia="仿宋_GB2312" w:cs="仿宋"/>
          <w:color w:val="auto"/>
          <w:kern w:val="0"/>
          <w:sz w:val="32"/>
          <w:szCs w:val="32"/>
          <w:highlight w:val="none"/>
          <w:lang w:val="en-US" w:eastAsia="zh-CN" w:bidi="ar-SA"/>
        </w:rPr>
        <w:t>壤塘县茸木达乡设6个内设机构。</w:t>
      </w:r>
    </w:p>
    <w:p>
      <w:pPr>
        <w:spacing w:before="139" w:line="305" w:lineRule="auto"/>
        <w:ind w:firstLine="620" w:firstLineChars="200"/>
        <w:rPr>
          <w:rFonts w:hint="eastAsia" w:ascii="仿宋_GB2312" w:hAnsi="宋体" w:eastAsia="仿宋_GB2312" w:cs="仿宋_GB2312"/>
          <w:color w:val="000000"/>
          <w:kern w:val="0"/>
          <w:sz w:val="31"/>
          <w:szCs w:val="31"/>
          <w:lang w:val="en-US" w:eastAsia="zh-CN" w:bidi="ar"/>
        </w:rPr>
      </w:pPr>
      <w:r>
        <w:rPr>
          <w:rFonts w:ascii="华文楷体" w:hAnsi="华文楷体" w:eastAsia="华文楷体" w:cs="华文楷体"/>
          <w:b/>
          <w:bCs/>
          <w:color w:val="000000"/>
          <w:sz w:val="31"/>
          <w:szCs w:val="31"/>
        </w:rPr>
        <w:t>一</w:t>
      </w:r>
      <w:r>
        <w:rPr>
          <w:rFonts w:hint="eastAsia" w:ascii="华文楷体" w:hAnsi="华文楷体" w:eastAsia="华文楷体" w:cs="华文楷体"/>
          <w:b/>
          <w:bCs/>
          <w:color w:val="000000"/>
          <w:sz w:val="31"/>
          <w:szCs w:val="31"/>
          <w:lang w:eastAsia="zh-CN"/>
        </w:rPr>
        <w:t>、</w:t>
      </w:r>
      <w:r>
        <w:rPr>
          <w:rFonts w:ascii="方正仿宋_GBK" w:hAnsi="方正仿宋_GBK" w:eastAsia="方正仿宋_GBK" w:cs="方正仿宋_GBK"/>
          <w:b/>
          <w:bCs/>
          <w:spacing w:val="2"/>
          <w:sz w:val="31"/>
          <w:szCs w:val="31"/>
        </w:rPr>
        <w:t>党政综合办公室。</w:t>
      </w:r>
      <w:r>
        <w:rPr>
          <w:rFonts w:hint="eastAsia" w:ascii="仿宋_GB2312" w:hAnsi="宋体" w:eastAsia="仿宋_GB2312" w:cs="仿宋_GB2312"/>
          <w:color w:val="000000"/>
          <w:kern w:val="0"/>
          <w:sz w:val="31"/>
          <w:szCs w:val="31"/>
          <w:lang w:val="en-US" w:eastAsia="zh-CN" w:bidi="ar"/>
        </w:rPr>
        <w:t>负责综合文秘、文电会务、党政印章管理、信息档案、机要保密等 日常运转工作。承担安全、宣传、史志编纂、绩效考核、后勤保障、综合性文稿起草等综合协调工作。组织办理人大代表议案建议、政协委员提案和人大代表、政协委员的联络服务工作。督促指导政务村务、财政信息公开工作；指导和监督本行政区域内农村集体资产与村级财务管理工作；管理行政事业单位和其他组织的各类财政资金等工作；负责贯彻党和国家财经方针政策，严格执行行政法规和财经制度；负责组织和管理各项财政收入和支出，编制年度财政预决算并组织执行；负责国有资产和农村集体资金、资产的监督管理；协助有关机构代收代缴各类社会保障资金；负责管理政府性债务；负责审计和内审工作。</w:t>
      </w:r>
    </w:p>
    <w:p>
      <w:pPr>
        <w:spacing w:before="139" w:line="305" w:lineRule="auto"/>
        <w:ind w:firstLine="630" w:firstLineChars="200"/>
        <w:rPr>
          <w:rFonts w:hint="eastAsia" w:ascii="仿宋_GB2312" w:hAnsi="宋体" w:eastAsia="仿宋_GB2312" w:cs="仿宋_GB2312"/>
          <w:color w:val="000000"/>
          <w:kern w:val="0"/>
          <w:sz w:val="31"/>
          <w:szCs w:val="31"/>
          <w:lang w:val="en-US" w:eastAsia="zh-CN" w:bidi="ar"/>
        </w:rPr>
      </w:pPr>
      <w:r>
        <w:rPr>
          <w:rFonts w:hint="eastAsia" w:ascii="方正仿宋_GBK" w:hAnsi="方正仿宋_GBK" w:eastAsia="方正仿宋_GBK" w:cs="方正仿宋_GBK"/>
          <w:b/>
          <w:bCs/>
          <w:spacing w:val="2"/>
          <w:sz w:val="31"/>
          <w:szCs w:val="31"/>
          <w:lang w:val="en-US" w:eastAsia="zh-CN"/>
        </w:rPr>
        <w:t>二、</w:t>
      </w:r>
      <w:r>
        <w:rPr>
          <w:rFonts w:ascii="方正仿宋_GBK" w:hAnsi="方正仿宋_GBK" w:eastAsia="方正仿宋_GBK" w:cs="方正仿宋_GBK"/>
          <w:b/>
          <w:bCs/>
          <w:spacing w:val="2"/>
          <w:sz w:val="31"/>
          <w:szCs w:val="31"/>
        </w:rPr>
        <w:t>党建工作办公室。</w:t>
      </w:r>
      <w:r>
        <w:rPr>
          <w:rFonts w:hint="eastAsia" w:ascii="仿宋_GB2312" w:hAnsi="宋体" w:eastAsia="仿宋_GB2312" w:cs="仿宋_GB2312"/>
          <w:color w:val="000000"/>
          <w:kern w:val="0"/>
          <w:sz w:val="31"/>
          <w:szCs w:val="31"/>
          <w:lang w:val="en-US" w:eastAsia="zh-CN" w:bidi="ar"/>
        </w:rPr>
        <w:t>负责基层党组织建设、流动党支部建设、党风廉政建设、反腐败等工作；负责研究和提出全乡基层组织建设的阶段性规划、意见及相关政策建议；研究、指导全乡党组织的设置和调整等工作；负责乡党员代表大会的组织工作；办理党员代表大会的审批手续，指导基层党组织及村民委员会换届选举工作。负责统筹本行政区域内党员和流动党员的发展、教育、管理和党费收缴工作，指导村党组织建设管理等工作。检查指导基层党组织坚持党的民主生活会制度，督促指导各支部领导班子民主生活会。负责宣传思想、意识形态、精神文明建设、干部人才队伍建设、机构编制管理、离退休人员管理、关心下一代等工作 ；负责深化改革、组织人事、纪检监察、巡察监督等工作。负责工会、共青团、妇联等群团组织行政管理工作。</w:t>
      </w:r>
    </w:p>
    <w:p>
      <w:pPr>
        <w:spacing w:before="139" w:line="305" w:lineRule="auto"/>
        <w:ind w:firstLine="616"/>
        <w:rPr>
          <w:rFonts w:hint="eastAsia" w:ascii="仿宋_GB2312" w:hAnsi="宋体" w:eastAsia="仿宋_GB2312" w:cs="仿宋_GB2312"/>
          <w:color w:val="000000"/>
          <w:kern w:val="0"/>
          <w:sz w:val="31"/>
          <w:szCs w:val="31"/>
          <w:lang w:val="en-US" w:eastAsia="zh-CN" w:bidi="ar"/>
        </w:rPr>
      </w:pPr>
      <w:r>
        <w:rPr>
          <w:rFonts w:hint="eastAsia" w:ascii="方正仿宋_GBK" w:hAnsi="方正仿宋_GBK" w:eastAsia="方正仿宋_GBK" w:cs="方正仿宋_GBK"/>
          <w:b/>
          <w:bCs/>
          <w:spacing w:val="2"/>
          <w:sz w:val="31"/>
          <w:szCs w:val="31"/>
          <w:lang w:val="en-US" w:eastAsia="zh-CN"/>
        </w:rPr>
        <w:t>三、经济发展和乡村振兴办公室。</w:t>
      </w:r>
      <w:r>
        <w:rPr>
          <w:rFonts w:hint="eastAsia" w:ascii="仿宋_GB2312" w:hAnsi="宋体" w:eastAsia="仿宋_GB2312" w:cs="仿宋_GB2312"/>
          <w:color w:val="000000"/>
          <w:kern w:val="0"/>
          <w:sz w:val="31"/>
          <w:szCs w:val="31"/>
          <w:lang w:val="en-US" w:eastAsia="zh-CN" w:bidi="ar"/>
        </w:rPr>
        <w:t>负责贯彻执行国家及上级有关部门制定的经济法规、经济政策及各项指标、任务的传达，对本行政区域内重大基础设施建设、重大公共服务资源布局、重大政策提出意见及建议 ；负责统筹、协调、指导、配合开展、监督管理本行政区域内经济结构调整、项 目建设、招商引资、旅游开发、移民搬迁等经济工作；负责农村土地承包和流转管理工作；负责乡村规划建设管理，统筹农村基础设施建设等工作。承担促进经济发展，培育新型农牧业经营主体，促进农牧民增收等职责；履行乡人民政府综合统计和农村经济统计职能，指导村级统计工作 ；负责本行政区域内人口普查、农业普查、经济普查等重大国情国力普查任务。负责指导农村经济发展、农业生产和农田基本建设；开展农村集体产权制度改革工作，负责本行政区域内农村集体经济组织管理；负责统筹协调乡村振兴战略实施有关工作，促进巩固</w:t>
      </w:r>
      <w:r>
        <w:rPr>
          <w:rStyle w:val="19"/>
          <w:rFonts w:hint="eastAsia" w:ascii="仿宋" w:hAnsi="仿宋" w:eastAsia="仿宋" w:cs="Times New Roman"/>
          <w:b w:val="0"/>
          <w:bCs/>
          <w:color w:val="auto"/>
          <w:sz w:val="32"/>
          <w:szCs w:val="32"/>
          <w:highlight w:val="none"/>
          <w:lang w:val="en-US" w:eastAsia="zh-CN"/>
        </w:rPr>
        <w:t>拓展</w:t>
      </w:r>
      <w:r>
        <w:rPr>
          <w:rFonts w:hint="eastAsia" w:ascii="仿宋_GB2312" w:hAnsi="宋体" w:eastAsia="仿宋_GB2312" w:cs="仿宋_GB2312"/>
          <w:color w:val="000000"/>
          <w:kern w:val="0"/>
          <w:sz w:val="31"/>
          <w:szCs w:val="31"/>
          <w:lang w:val="en-US" w:eastAsia="zh-CN" w:bidi="ar"/>
        </w:rPr>
        <w:t>脱贫攻坚成果同乡村振兴有效衔接；负责推动乡风文明建设等工作。</w:t>
      </w:r>
    </w:p>
    <w:p>
      <w:pPr>
        <w:spacing w:before="139" w:line="305" w:lineRule="auto"/>
        <w:ind w:firstLine="616"/>
        <w:rPr>
          <w:rFonts w:hint="eastAsia" w:ascii="仿宋_GB2312" w:hAnsi="宋体" w:eastAsia="仿宋_GB2312" w:cs="仿宋_GB2312"/>
          <w:color w:val="000000"/>
          <w:kern w:val="0"/>
          <w:sz w:val="31"/>
          <w:szCs w:val="31"/>
          <w:lang w:val="en-US" w:eastAsia="zh-CN" w:bidi="ar"/>
        </w:rPr>
      </w:pPr>
      <w:r>
        <w:rPr>
          <w:rFonts w:hint="eastAsia" w:ascii="方正仿宋_GBK" w:hAnsi="方正仿宋_GBK" w:eastAsia="方正仿宋_GBK" w:cs="方正仿宋_GBK"/>
          <w:b/>
          <w:bCs/>
          <w:spacing w:val="2"/>
          <w:sz w:val="31"/>
          <w:szCs w:val="31"/>
          <w:lang w:val="en-US" w:eastAsia="zh-CN"/>
        </w:rPr>
        <w:t>四、维护稳定和基层治理办公室。</w:t>
      </w:r>
      <w:r>
        <w:rPr>
          <w:rFonts w:hint="eastAsia" w:ascii="仿宋_GB2312" w:hAnsi="宋体" w:eastAsia="仿宋_GB2312" w:cs="仿宋_GB2312"/>
          <w:color w:val="000000"/>
          <w:kern w:val="0"/>
          <w:sz w:val="31"/>
          <w:szCs w:val="31"/>
          <w:lang w:val="en-US" w:eastAsia="zh-CN" w:bidi="ar"/>
        </w:rPr>
        <w:t>负责本行政区域内社会治安综合治理、维护稳定、基层治理、统一战线、民族宗教、人民信访、防邪和网格化管理等相关工作；负责本行政区域内法治建设，配合开展调解和帮教管理，承担矛盾纠纷多元化解协调工作；协助司法机关开展打击违法犯罪和禁毒、扫黑除恶等活动。组织开展本行政区域内国防教育、军事设施保护、拥军优属、优抚慰问、兵役工作及预备役人员的登记统计等工作。保障少数民族的权利和尊重少数民族的风俗习惯；负责流动人 口、外来僧尼管理等工作。组织开展法治、综治、平安建设等宣传教育活动；负责基层综治干部和群防群治队伍的教育、培训和管理等工作；负责基层自治建设和民主法治建设，指导基层群众自治组织规范化、制度化建设。</w:t>
      </w:r>
    </w:p>
    <w:p>
      <w:pPr>
        <w:spacing w:before="139" w:line="305" w:lineRule="auto"/>
        <w:ind w:firstLine="616"/>
        <w:rPr>
          <w:rFonts w:hint="eastAsia" w:ascii="仿宋_GB2312" w:hAnsi="宋体" w:eastAsia="仿宋_GB2312" w:cs="仿宋_GB2312"/>
          <w:color w:val="000000"/>
          <w:kern w:val="0"/>
          <w:sz w:val="31"/>
          <w:szCs w:val="31"/>
          <w:lang w:val="en-US" w:eastAsia="zh-CN" w:bidi="ar"/>
        </w:rPr>
      </w:pPr>
      <w:r>
        <w:rPr>
          <w:rFonts w:hint="eastAsia" w:ascii="方正仿宋_GBK" w:hAnsi="方正仿宋_GBK" w:eastAsia="方正仿宋_GBK" w:cs="方正仿宋_GBK"/>
          <w:b/>
          <w:bCs/>
          <w:spacing w:val="2"/>
          <w:sz w:val="31"/>
          <w:szCs w:val="31"/>
          <w:lang w:val="en-US" w:eastAsia="zh-CN"/>
        </w:rPr>
        <w:t>五、社会事务和应急管理办公室。</w:t>
      </w:r>
      <w:r>
        <w:rPr>
          <w:rFonts w:hint="eastAsia" w:ascii="仿宋_GB2312" w:hAnsi="宋体" w:eastAsia="仿宋_GB2312" w:cs="仿宋_GB2312"/>
          <w:color w:val="000000"/>
          <w:kern w:val="0"/>
          <w:sz w:val="31"/>
          <w:szCs w:val="31"/>
          <w:lang w:val="en-US" w:eastAsia="zh-CN" w:bidi="ar"/>
        </w:rPr>
        <w:t>承担本行政区域内民政、教育、卫生健康、文化旅游、医疗保障、科学技术等社会管理事务；负责保障宪法和法律赋予妇女的男女平等、同工 同酬和婚姻自 由等各项权利 ；负责未成年人保护等工作。承担土地空间、乡（村）规划、农房建设、农村宅基地、耕地保护管理等工作；承担乡道、村道建设规划编制；协助开展基础设施建设、农牧业产业发展、新村聚集点建设等项 目的选址、用地等工作。负责应急管理体系建设和制度建设；承担本行政区域内生产经营单位安全生产状况的监督检查工作，协助有关部门依法履行安全生产监督管理职责。负责组织、指导、协调防汛抗旱、森林草原防灭火、地质灾害防治、消防安全、卫生防疫、食品安全等防灾减灾日常工作；负责应急抢险和应急队伍建设、管理、培训、演习、应急设备和物资的储备、管理、应急值守等工作。协助气象主管部门开展气象灾害防御知识宣传、应急联络、信息传递、灾害报告和灾情调查等工作。负责农村老旧危房安全排查，落实农村老旧住房安全监管和住房安全宣传引导职责。负责城镇公用设施管理、秩序管理（户外广告空间资源和区位设置及外观形式等）、临时摊位和临时停车场的统一规划及管理等。</w:t>
      </w:r>
    </w:p>
    <w:p>
      <w:pPr>
        <w:spacing w:before="139" w:line="305" w:lineRule="auto"/>
        <w:ind w:firstLine="616"/>
        <w:rPr>
          <w:rFonts w:hint="eastAsia" w:ascii="仿宋_GB2312" w:hAnsi="宋体" w:eastAsia="仿宋_GB2312" w:cs="仿宋_GB2312"/>
          <w:color w:val="000000"/>
          <w:kern w:val="0"/>
          <w:sz w:val="31"/>
          <w:szCs w:val="31"/>
          <w:lang w:val="en-US" w:eastAsia="zh-CN" w:bidi="ar"/>
        </w:rPr>
      </w:pPr>
      <w:r>
        <w:rPr>
          <w:rFonts w:hint="eastAsia" w:ascii="方正仿宋_GBK" w:hAnsi="方正仿宋_GBK" w:eastAsia="方正仿宋_GBK" w:cs="方正仿宋_GBK"/>
          <w:b/>
          <w:bCs/>
          <w:spacing w:val="2"/>
          <w:sz w:val="31"/>
          <w:szCs w:val="31"/>
          <w:lang w:val="en-US" w:eastAsia="zh-CN"/>
        </w:rPr>
        <w:t>六、生态环境保护和综合行政执法办公室。</w:t>
      </w:r>
      <w:r>
        <w:rPr>
          <w:rFonts w:hint="eastAsia" w:ascii="仿宋_GB2312" w:hAnsi="宋体" w:eastAsia="仿宋_GB2312" w:cs="仿宋_GB2312"/>
          <w:color w:val="000000"/>
          <w:kern w:val="0"/>
          <w:sz w:val="31"/>
          <w:szCs w:val="31"/>
          <w:lang w:val="en-US" w:eastAsia="zh-CN" w:bidi="ar"/>
        </w:rPr>
        <w:t>根据依法下放、授权或委托在本行政区域内实施自然资源、交通运输、村镇建设、生态保护、市场监管、卫生健康、乡村治理等方面的行政处罚权，以及与之相关的行政检查权、行政强制措施权。负责整合本行政区域内基层站所、派驻机构执法力量和资源，统一组织和指挥协调开展综合行政执法有关工作；协助行业主管部门负责 日常巡查和发现问题、快速处置、案件移送以及社会监督等工作 ；负责城乡环境综合治理等工作，负责农村人居环境整治和管理等工作 ；配合相关部门组织开展工业、生活、生产、经营、农业等污染的监督检查和防控整治工作，指导本行政区域内生态农业、牧业建设。负责自然资源保护、水资源保护、水环境治理、生态环境保护等工作。参与重大生态破坏事件的调查处理。负责整合落实行政执法信息平台和行政执法监督网络平台建设等工作。</w:t>
      </w:r>
    </w:p>
    <w:p>
      <w:pPr>
        <w:pStyle w:val="2"/>
        <w:ind w:left="0" w:leftChars="0" w:firstLine="321" w:firstLineChars="100"/>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pPr>
        <w:pStyle w:val="15"/>
        <w:keepNext w:val="0"/>
        <w:keepLines w:val="0"/>
        <w:widowControl/>
        <w:suppressLineNumbers w:val="0"/>
        <w:ind w:firstLine="310" w:firstLineChars="100"/>
        <w:rPr>
          <w:rFonts w:hint="eastAsia"/>
          <w:lang w:val="zh-CN"/>
        </w:rPr>
      </w:pPr>
      <w:r>
        <w:rPr>
          <w:rFonts w:ascii="MCUUBH + FZKTK--GBK1-0" w:hAnsi="MCUUBH + FZKTK--GBK1-0" w:eastAsia="MCUUBH + FZKTK--GBK1-0" w:cs="MCUUBH + FZKTK--GBK1-0"/>
          <w:b/>
          <w:bCs/>
          <w:color w:val="000000"/>
          <w:sz w:val="31"/>
          <w:szCs w:val="31"/>
        </w:rPr>
        <w:t>（一）乡党委主要职责</w:t>
      </w:r>
    </w:p>
    <w:p>
      <w:pPr>
        <w:pStyle w:val="15"/>
        <w:keepNext w:val="0"/>
        <w:keepLines w:val="0"/>
        <w:widowControl/>
        <w:suppressLineNumbers w:val="0"/>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宣传和贯彻执行党的路线方针政策和党中央、省委、州委、</w:t>
      </w:r>
      <w:r>
        <w:rPr>
          <w:rFonts w:hint="default" w:ascii="Times New Roman" w:hAnsi="Times New Roman" w:eastAsia="仿宋_GB2312" w:cs="Times New Roman"/>
          <w:color w:val="auto"/>
          <w:kern w:val="2"/>
          <w:sz w:val="32"/>
          <w:szCs w:val="32"/>
          <w:lang w:val="en-US" w:eastAsia="zh-CN" w:bidi="ar-SA"/>
        </w:rPr>
        <w:t>县委及乡党员代表大会（党员大会）的决议；讨论和决定本乡经济建设、政治建设、文化建设、社会建设、生态文明建设和党的建设以及乡村振兴中的重大问题；领导乡政权机关、群团组织和其他各类组织，加强指导和规范，支持和保证这些机关和组织依照国家法律法规以及各自章程履行职责；加强乡党委自身建设和村党组织建设，以及其他隶属乡党委的党组织建设，抓好发展党员工作，加强党员队伍建设；维护和执行党的纪律，监督党员干部和其他任何工作人员严格遵守国家法律法规；按照干部管理权限，负责对干部的教育、培训、选拔、考核和监督工作；协助管理上级有关部门驻乡单位的干部；负责人才服务和引进工作；领导本乡的基层治理，加强社会主义民主法治建设和精神文明建设，加强社会治安综合治理，负责生态环保、美丽乡村建设、民</w:t>
      </w:r>
    </w:p>
    <w:p>
      <w:pPr>
        <w:pStyle w:val="15"/>
        <w:keepNext w:val="0"/>
        <w:keepLines w:val="0"/>
        <w:widowControl/>
        <w:suppressLineNumbers w:val="0"/>
        <w:rPr>
          <w:rFonts w:hint="eastAsia"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生保障、民族宗教等工作；完成县委交办的其他工作。</w:t>
      </w:r>
    </w:p>
    <w:p>
      <w:pPr>
        <w:pStyle w:val="15"/>
        <w:keepNext w:val="0"/>
        <w:keepLines w:val="0"/>
        <w:widowControl/>
        <w:suppressLineNumbers w:val="0"/>
        <w:rPr>
          <w:rFonts w:hint="eastAsia"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（二）乡人民代表大会主要职责</w:t>
      </w:r>
    </w:p>
    <w:p>
      <w:pPr>
        <w:pStyle w:val="15"/>
        <w:keepNext w:val="0"/>
        <w:keepLines w:val="0"/>
        <w:widowControl/>
        <w:suppressLineNumbers w:val="0"/>
        <w:ind w:left="0" w:firstLine="640"/>
        <w:rPr>
          <w:rFonts w:hint="eastAsia"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在本行政区域内，保证宪法、法律、行政法规和县人民代表大会及其常务委员会决议的遵守和执行；在职权范围内通过和发布决议；根据国家计划，决定本行政区域内的经济、文化事业和公共事业的建设计划和项目；审查和批准本行政区域内的预算和预算执行情况的报告；决定本行政区域内的民政工作的实施计划；选举本级人民代表大会主席、副主席；选举乡长、副乡长；听取和审议乡人民政府的工作报告、</w:t>
      </w:r>
      <w:r>
        <w:rPr>
          <w:rFonts w:hint="eastAsia" w:ascii="Times New Roman" w:hAnsi="Times New Roman" w:eastAsia="仿宋_GB2312" w:cs="Times New Roman"/>
          <w:color w:val="auto"/>
          <w:kern w:val="2"/>
          <w:sz w:val="32"/>
          <w:szCs w:val="32"/>
          <w:lang w:val="en-US" w:eastAsia="zh-CN" w:bidi="ar-SA"/>
        </w:rPr>
        <w:t>乡</w:t>
      </w:r>
      <w:r>
        <w:rPr>
          <w:rFonts w:hint="default" w:ascii="Times New Roman" w:hAnsi="Times New Roman" w:eastAsia="仿宋_GB2312" w:cs="Times New Roman"/>
          <w:color w:val="auto"/>
          <w:kern w:val="2"/>
          <w:sz w:val="32"/>
          <w:szCs w:val="32"/>
          <w:lang w:val="en-US" w:eastAsia="zh-CN" w:bidi="ar-SA"/>
        </w:rPr>
        <w:t>人民代表大会主席团的工作报告；撤销乡人民政府的不适当的决定和命令；保护社会主义的全民所有的财产和劳动群众集体所有的财产，保护公民私人所有的合法财产，维护社会秩序，保障公民的人身权利、民主权利和其他权利；保护各种经济组织的合法权益；保障少数民族的合法权利和权益；保障宪法和法律赋予妇女的男女平等、同工同酬和婚姻自由等各项权利；完成县人民代表大会常务委员会和乡人民代表大会交办的其他工作。</w:t>
      </w:r>
    </w:p>
    <w:p>
      <w:pPr>
        <w:pStyle w:val="15"/>
        <w:keepNext w:val="0"/>
        <w:keepLines w:val="0"/>
        <w:widowControl/>
        <w:suppressLineNumbers w:val="0"/>
        <w:ind w:left="0" w:firstLine="640"/>
        <w:rPr>
          <w:rFonts w:hint="eastAsia"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（三）乡政府主要职责</w:t>
      </w:r>
    </w:p>
    <w:p>
      <w:pPr>
        <w:pStyle w:val="15"/>
        <w:keepNext w:val="0"/>
        <w:keepLines w:val="0"/>
        <w:widowControl/>
        <w:suppressLineNumbers w:val="0"/>
        <w:ind w:left="0" w:firstLine="640"/>
        <w:rPr>
          <w:rFonts w:hint="eastAsia"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执行本级人民代表大会的决议和上级国家行政机关的决定和命令，发布决定和命令；执行本行政区域内的经济和社会发展计划、预算，管理本行政区域内的经济、教育、科技农牧、文化体育、卫生健康、旅游、财政、民政、公安、司法等行政工作；保护社会主义的全民所有的财产和劳动群众集体所有的财产，保护公民私人所有的合法财产，维护社会秩序，保障公民的人身权利、民主权利和其他权利；保护各种经济组织的合法权益；保障少数民族的权利和尊重少数民族的风俗习惯；保障宪法和法律赋予妇女的男女平等、同工同酬和婚姻自由等各项权利；完成县委、县政府交办的其他工作。</w:t>
      </w:r>
    </w:p>
    <w:p>
      <w:pPr>
        <w:pStyle w:val="15"/>
        <w:keepNext w:val="0"/>
        <w:keepLines w:val="0"/>
        <w:widowControl/>
        <w:suppressLineNumbers w:val="0"/>
        <w:rPr>
          <w:rFonts w:hint="eastAsia"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（四）乡纪委（监察室）主要职责</w:t>
      </w:r>
    </w:p>
    <w:p>
      <w:pPr>
        <w:pStyle w:val="15"/>
        <w:keepNext w:val="0"/>
        <w:keepLines w:val="0"/>
        <w:widowControl/>
        <w:suppressLineNumbers w:val="0"/>
        <w:ind w:left="0" w:firstLine="640"/>
        <w:rPr>
          <w:rFonts w:hint="eastAsia"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在同级党委和上级纪委监委的领导下，协助同级党委加强党风廉政建设和组织协调反腐败工作，对党的路线方针政策、决议决定执行情况和重大决策部署贯彻落实情况进行监督检查；对党员干部勤政廉政、履行职责、作风状态和行使权力情况进行监督，审查基层党组织、副科级以下党员违反党章和其他党内法规的案件，受理党员干部及其他监察对象涉嫌违纪违法的信访举报；受理党员的控告和申诉，保障党员的权利；开展党纪党规教育；对乡纪检监察干部和村务监督委员会及成员进行业务指导；按照管理权限依法对公职人员及有关人员履行监督、调查、处置职责，受理监察对象不服政务处分的复审；完成上级纪检监察机关交办的其他工作。</w:t>
      </w:r>
    </w:p>
    <w:p>
      <w:pPr>
        <w:pStyle w:val="15"/>
        <w:keepNext w:val="0"/>
        <w:keepLines w:val="0"/>
        <w:widowControl/>
        <w:suppressLineNumbers w:val="0"/>
        <w:ind w:left="0" w:firstLine="640"/>
        <w:rPr>
          <w:rFonts w:hint="eastAsia"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（五）乡人民武装部主要职责</w:t>
      </w:r>
    </w:p>
    <w:p>
      <w:pPr>
        <w:pStyle w:val="15"/>
        <w:keepNext w:val="0"/>
        <w:keepLines w:val="0"/>
        <w:widowControl/>
        <w:suppressLineNumbers w:val="0"/>
        <w:ind w:left="0" w:firstLine="640"/>
        <w:rPr>
          <w:rFonts w:hint="default" w:eastAsia="楷体_GB2312"/>
          <w:lang w:val="en-US" w:eastAsia="zh-CN"/>
        </w:rPr>
      </w:pPr>
      <w:r>
        <w:rPr>
          <w:rFonts w:hint="default" w:ascii="Times New Roman" w:hAnsi="Times New Roman" w:eastAsia="仿宋_GB2312" w:cs="Times New Roman"/>
          <w:color w:val="auto"/>
          <w:kern w:val="2"/>
          <w:sz w:val="32"/>
          <w:szCs w:val="32"/>
          <w:lang w:val="en-US" w:eastAsia="zh-CN" w:bidi="ar-SA"/>
        </w:rPr>
        <w:t>负责本单位的民兵组织建设、政治教育、军事训练、武器装备管理；组织带领民兵完成战备执勤任务，配合公安机关维护社会治安；发动和组织民兵参加经济社会建设，完成急难险重任务；负责组织实施战时兵员动员、支持保障作战和保卫后方等任务；负责本区域内的兵役工作和预备役人员的登记、统计工作；会同有关部门进行国防动员潜力调查，做好国防动员准备工作；协助有关部门开展国防教育、退伍军人安置和烈军属优抚等工作；协助军队做好本区域的军事设施保护工作；完成上级赋予的其他工作任务。</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b w:val="0"/>
          <w:bCs w:val="0"/>
          <w:color w:val="auto"/>
          <w:sz w:val="32"/>
          <w:szCs w:val="32"/>
          <w:highlight w:val="none"/>
          <w:lang w:val="en-US" w:eastAsia="zh-CN"/>
        </w:rPr>
        <w:t>截至202</w:t>
      </w:r>
      <w:r>
        <w:rPr>
          <w:rFonts w:hint="eastAsia" w:ascii="Times New Roman" w:hAnsi="Times New Roman" w:eastAsia="仿宋_GB2312" w:cs="Times New Roman"/>
          <w:b w:val="0"/>
          <w:bCs w:val="0"/>
          <w:color w:val="auto"/>
          <w:sz w:val="32"/>
          <w:szCs w:val="32"/>
          <w:highlight w:val="none"/>
          <w:lang w:val="en-US" w:eastAsia="zh-CN"/>
        </w:rPr>
        <w:t>5</w:t>
      </w:r>
      <w:r>
        <w:rPr>
          <w:rFonts w:hint="default" w:ascii="Times New Roman" w:hAnsi="Times New Roman" w:eastAsia="仿宋_GB2312" w:cs="Times New Roman"/>
          <w:b w:val="0"/>
          <w:bCs w:val="0"/>
          <w:color w:val="auto"/>
          <w:sz w:val="32"/>
          <w:szCs w:val="32"/>
          <w:highlight w:val="none"/>
          <w:lang w:val="en-US" w:eastAsia="zh-CN"/>
        </w:rPr>
        <w:t>年末，</w:t>
      </w:r>
      <w:r>
        <w:rPr>
          <w:rFonts w:hint="eastAsia" w:ascii="Times New Roman" w:hAnsi="Times New Roman" w:eastAsia="仿宋_GB2312" w:cs="Times New Roman"/>
          <w:b w:val="0"/>
          <w:bCs w:val="0"/>
          <w:color w:val="auto"/>
          <w:sz w:val="32"/>
          <w:szCs w:val="32"/>
          <w:highlight w:val="none"/>
          <w:lang w:val="en-US" w:eastAsia="zh-CN"/>
        </w:rPr>
        <w:t>我</w:t>
      </w:r>
      <w:r>
        <w:rPr>
          <w:rFonts w:hint="default" w:ascii="Times New Roman" w:hAnsi="Times New Roman" w:eastAsia="仿宋_GB2312" w:cs="Times New Roman"/>
          <w:b w:val="0"/>
          <w:bCs w:val="0"/>
          <w:color w:val="auto"/>
          <w:sz w:val="32"/>
          <w:szCs w:val="32"/>
          <w:highlight w:val="none"/>
          <w:lang w:val="en-US" w:eastAsia="zh-CN"/>
        </w:rPr>
        <w:t>单位编制</w:t>
      </w:r>
      <w:r>
        <w:rPr>
          <w:rFonts w:hint="eastAsia" w:ascii="Times New Roman" w:hAnsi="Times New Roman" w:eastAsia="仿宋_GB2312" w:cs="Times New Roman"/>
          <w:b w:val="0"/>
          <w:bCs w:val="0"/>
          <w:color w:val="auto"/>
          <w:sz w:val="32"/>
          <w:szCs w:val="32"/>
          <w:highlight w:val="none"/>
          <w:lang w:val="en-US" w:eastAsia="zh-CN"/>
        </w:rPr>
        <w:t>情况为总编制数 37 人，其中行政编22人，事业编13人，机关工勤事业编制2人。</w:t>
      </w:r>
      <w:r>
        <w:rPr>
          <w:rFonts w:hint="default" w:ascii="Times New Roman" w:hAnsi="Times New Roman" w:eastAsia="仿宋_GB2312" w:cs="Times New Roman"/>
          <w:b w:val="0"/>
          <w:bCs w:val="0"/>
          <w:color w:val="auto"/>
          <w:sz w:val="32"/>
          <w:szCs w:val="32"/>
          <w:highlight w:val="none"/>
          <w:lang w:val="en-US" w:eastAsia="zh-CN"/>
        </w:rPr>
        <w:t>年末实有人数</w:t>
      </w:r>
      <w:r>
        <w:rPr>
          <w:rFonts w:hint="eastAsia" w:ascii="Times New Roman" w:hAnsi="Times New Roman" w:eastAsia="仿宋_GB2312" w:cs="Times New Roman"/>
          <w:b w:val="0"/>
          <w:bCs w:val="0"/>
          <w:color w:val="auto"/>
          <w:sz w:val="32"/>
          <w:szCs w:val="32"/>
          <w:highlight w:val="none"/>
          <w:lang w:val="en-US" w:eastAsia="zh-CN"/>
        </w:rPr>
        <w:t>情况为2025年底在职人数35人，其中行政</w:t>
      </w:r>
      <w:r>
        <w:rPr>
          <w:rFonts w:hint="eastAsia" w:eastAsia="仿宋_GB2312" w:cs="Times New Roman"/>
          <w:b w:val="0"/>
          <w:bCs w:val="0"/>
          <w:color w:val="auto"/>
          <w:sz w:val="32"/>
          <w:szCs w:val="32"/>
          <w:highlight w:val="none"/>
          <w:lang w:val="en-US" w:eastAsia="zh-CN"/>
        </w:rPr>
        <w:t>人数22</w:t>
      </w:r>
      <w:r>
        <w:rPr>
          <w:rFonts w:hint="eastAsia" w:ascii="Times New Roman" w:hAnsi="Times New Roman" w:eastAsia="仿宋_GB2312" w:cs="Times New Roman"/>
          <w:b w:val="0"/>
          <w:bCs w:val="0"/>
          <w:color w:val="auto"/>
          <w:sz w:val="32"/>
          <w:szCs w:val="32"/>
          <w:highlight w:val="none"/>
          <w:lang w:val="en-US" w:eastAsia="zh-CN"/>
        </w:rPr>
        <w:t>人</w:t>
      </w:r>
      <w:r>
        <w:rPr>
          <w:rFonts w:hint="eastAsia" w:eastAsia="仿宋_GB2312" w:cs="Times New Roman"/>
          <w:b w:val="0"/>
          <w:bCs w:val="0"/>
          <w:color w:val="auto"/>
          <w:sz w:val="32"/>
          <w:szCs w:val="32"/>
          <w:highlight w:val="none"/>
          <w:lang w:val="en-US" w:eastAsia="zh-CN"/>
        </w:rPr>
        <w:t>，事业人数11人，机关工勤1人，事业工勤1人。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茸木达乡人民政府</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eastAsia="仿宋_GB2312" w:cs="Times New Roman"/>
          <w:sz w:val="32"/>
          <w:szCs w:val="32"/>
          <w:lang w:val="en-US" w:eastAsia="zh-CN"/>
        </w:rPr>
        <w:t>总体收入3412.85万元。一般公共预算财政拨款收入3353.85；其他收入59万元。</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茸木达乡人民政府</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w:t>
      </w:r>
      <w:r>
        <w:rPr>
          <w:rFonts w:hint="eastAsia" w:eastAsia="仿宋_GB2312" w:cs="Times New Roman"/>
          <w:sz w:val="32"/>
          <w:szCs w:val="32"/>
          <w:lang w:val="en-US" w:eastAsia="zh-CN"/>
        </w:rPr>
        <w:t>总体支出3353.85万元。</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523.25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国防</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万元；教育支出</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万元；社会保障和就业支出</w:t>
      </w:r>
      <w:r>
        <w:rPr>
          <w:rFonts w:hint="eastAsia" w:eastAsia="仿宋_GB2312" w:cs="仿宋_GB2312"/>
          <w:color w:val="auto"/>
          <w:kern w:val="2"/>
          <w:sz w:val="32"/>
          <w:szCs w:val="32"/>
          <w:highlight w:val="none"/>
          <w:lang w:val="en-US" w:eastAsia="zh-CN" w:bidi="ar-SA"/>
        </w:rPr>
        <w:t>117.07</w:t>
      </w:r>
      <w:r>
        <w:rPr>
          <w:rFonts w:hint="eastAsia" w:ascii="Times New Roman" w:hAnsi="Times New Roman" w:eastAsia="仿宋_GB2312" w:cs="仿宋_GB2312"/>
          <w:color w:val="auto"/>
          <w:kern w:val="2"/>
          <w:sz w:val="32"/>
          <w:szCs w:val="32"/>
          <w:highlight w:val="none"/>
          <w:lang w:val="en-US" w:eastAsia="zh-CN" w:bidi="ar-SA"/>
        </w:rPr>
        <w:t>万元；卫生健康支出</w:t>
      </w:r>
      <w:r>
        <w:rPr>
          <w:rFonts w:hint="eastAsia" w:eastAsia="仿宋_GB2312" w:cs="仿宋_GB2312"/>
          <w:color w:val="auto"/>
          <w:kern w:val="2"/>
          <w:sz w:val="32"/>
          <w:szCs w:val="32"/>
          <w:highlight w:val="none"/>
          <w:lang w:val="en-US" w:eastAsia="zh-CN" w:bidi="ar-SA"/>
        </w:rPr>
        <w:t>44.33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农林水</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2572.10</w:t>
      </w:r>
      <w:r>
        <w:rPr>
          <w:rFonts w:hint="eastAsia" w:ascii="Times New Roman" w:hAnsi="Times New Roman" w:eastAsia="仿宋_GB2312" w:cs="仿宋_GB2312"/>
          <w:color w:val="auto"/>
          <w:kern w:val="2"/>
          <w:sz w:val="32"/>
          <w:szCs w:val="32"/>
          <w:highlight w:val="none"/>
          <w:lang w:val="en-US" w:eastAsia="zh-CN" w:bidi="ar-SA"/>
        </w:rPr>
        <w:t>万元；住房保障支出</w:t>
      </w:r>
      <w:r>
        <w:rPr>
          <w:rFonts w:hint="eastAsia" w:eastAsia="仿宋_GB2312" w:cs="仿宋_GB2312"/>
          <w:color w:val="auto"/>
          <w:kern w:val="2"/>
          <w:sz w:val="32"/>
          <w:szCs w:val="32"/>
          <w:highlight w:val="none"/>
          <w:lang w:val="en-US" w:eastAsia="zh-CN" w:bidi="ar-SA"/>
        </w:rPr>
        <w:t>84.51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灾害防治及应急管理</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5.59</w:t>
      </w:r>
      <w:r>
        <w:rPr>
          <w:rFonts w:hint="eastAsia" w:ascii="Times New Roman" w:hAnsi="Times New Roman" w:eastAsia="仿宋_GB2312" w:cs="仿宋_GB2312"/>
          <w:color w:val="auto"/>
          <w:kern w:val="2"/>
          <w:sz w:val="32"/>
          <w:szCs w:val="32"/>
          <w:highlight w:val="none"/>
          <w:lang w:val="en-US" w:eastAsia="zh-CN" w:bidi="ar-SA"/>
        </w:rPr>
        <w:t>万元。</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bidi="ar-SA"/>
        </w:rPr>
        <w:t>茸木达乡人民政府</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59万元</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Times New Roman"/>
          <w:sz w:val="32"/>
          <w:szCs w:val="32"/>
          <w:lang w:val="zh-CN" w:eastAsia="zh-CN"/>
        </w:rPr>
        <w:t>根据部门预算绩效评价指标体系“总体绩效”涉及</w:t>
      </w:r>
      <w:r>
        <w:rPr>
          <w:rFonts w:hint="eastAsia" w:ascii="Times New Roman" w:hAnsi="Times New Roman" w:eastAsia="仿宋_GB2312" w:cs="Times New Roman"/>
          <w:sz w:val="32"/>
          <w:szCs w:val="32"/>
          <w:lang w:val="zh-CN" w:eastAsia="zh-CN"/>
        </w:rPr>
        <w:t>二、三级</w:t>
      </w:r>
      <w:r>
        <w:rPr>
          <w:rFonts w:hint="default" w:ascii="Times New Roman" w:hAnsi="Times New Roman" w:eastAsia="仿宋_GB2312" w:cs="Times New Roman"/>
          <w:sz w:val="32"/>
          <w:szCs w:val="32"/>
          <w:lang w:val="zh-CN" w:eastAsia="zh-CN"/>
        </w:rPr>
        <w:t>指标进行</w:t>
      </w:r>
      <w:r>
        <w:rPr>
          <w:rFonts w:hint="eastAsia" w:ascii="Times New Roman" w:hAnsi="Times New Roman" w:eastAsia="仿宋_GB2312" w:cs="Times New Roman"/>
          <w:sz w:val="32"/>
          <w:szCs w:val="32"/>
          <w:lang w:val="zh-CN" w:eastAsia="zh-CN"/>
        </w:rPr>
        <w:t>逐项</w:t>
      </w:r>
      <w:r>
        <w:rPr>
          <w:rFonts w:hint="default" w:ascii="Times New Roman" w:hAnsi="Times New Roman" w:eastAsia="仿宋_GB2312" w:cs="Times New Roman"/>
          <w:sz w:val="32"/>
          <w:szCs w:val="32"/>
          <w:lang w:val="zh-CN" w:eastAsia="zh-CN"/>
        </w:rPr>
        <w:t>绩效分析</w:t>
      </w:r>
      <w:r>
        <w:rPr>
          <w:rFonts w:hint="eastAsia" w:ascii="Times New Roman" w:hAnsi="Times New Roman" w:eastAsia="仿宋_GB2312" w:cs="Times New Roman"/>
          <w:sz w:val="32"/>
          <w:szCs w:val="32"/>
          <w:lang w:val="zh-CN" w:eastAsia="zh-CN"/>
        </w:rPr>
        <w:t>并评分</w:t>
      </w:r>
      <w:r>
        <w:rPr>
          <w:rFonts w:hint="default" w:ascii="Times New Roman" w:hAnsi="Times New Roman" w:eastAsia="仿宋_GB2312" w:cs="Times New Roman"/>
          <w:sz w:val="32"/>
          <w:szCs w:val="32"/>
          <w:lang w:val="zh-CN" w:eastAsia="zh-CN"/>
        </w:rPr>
        <w:t>，依次包括履职效能、预算管理、财务管理、资产管理、采购管理等情况。</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000000"/>
          <w:kern w:val="0"/>
          <w:sz w:val="32"/>
          <w:szCs w:val="32"/>
          <w:highlight w:val="none"/>
          <w:shd w:val="clear" w:color="auto" w:fill="FFFFFF"/>
          <w:lang w:val="zh-CN"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w:t>
      </w:r>
      <w:r>
        <w:rPr>
          <w:rFonts w:hint="eastAsia" w:ascii="仿宋_GB2312" w:hAnsi="仿宋_GB2312" w:eastAsia="仿宋_GB2312" w:cs="仿宋_GB2312"/>
          <w:b w:val="0"/>
          <w:bCs w:val="0"/>
          <w:color w:val="auto"/>
          <w:kern w:val="0"/>
          <w:sz w:val="32"/>
          <w:szCs w:val="32"/>
          <w:highlight w:val="none"/>
          <w:shd w:val="clear" w:color="auto" w:fill="FFFFFF"/>
          <w:lang w:val="zh-CN" w:eastAsia="zh-CN"/>
        </w:rPr>
        <w:t>工资性支出绩效目标：每月按时，金额准确的进行发放。目标实现：合理控制工资支出，提高工作效率，确保工资的准确性和及时性。支出控制在预算执行范围内，执行进度良好；公用经费绩效目标：有效合理的使用管理办公费、电费、印刷费等经费。目标实现：推动政府工作有效有序的开展，保障日常运转。支出控制在预算执行范围内，执行进度良好；村级公共运行经费</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绩效目标：增强党组织政治功能和组织功能，充分发挥基层党组织促改革发展，基层治理等作用。目标实现：</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资金主要用于办公运转、基层活动、服务群众、公共维护等，巩固农村综合改革成果</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。支出控制在预算执行范围内，执行进度良好。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2.</w:t>
      </w:r>
      <w:r>
        <w:rPr>
          <w:rFonts w:hint="default" w:ascii="楷体_GB2312" w:hAnsi="楷体_GB2312" w:eastAsia="楷体_GB2312" w:cs="楷体_GB2312"/>
          <w:color w:val="000000"/>
          <w:kern w:val="0"/>
          <w:sz w:val="32"/>
          <w:szCs w:val="32"/>
          <w:highlight w:val="none"/>
          <w:shd w:val="clear" w:color="auto" w:fill="FFFFFF"/>
          <w:lang w:val="zh-CN"/>
        </w:rPr>
        <w:t>预算管理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不断强化预算意识，实行综合预算管理，保证预算编制质量。结合单位业务情况，进行科学合理分配细化，部门预算经批复后，跟踪预算执行进度，及时组织收入，科学合理安排支出，降低预算支出的波动幅度。</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3.</w:t>
      </w:r>
      <w:r>
        <w:rPr>
          <w:rFonts w:hint="default" w:ascii="楷体_GB2312" w:hAnsi="楷体_GB2312" w:eastAsia="楷体_GB2312" w:cs="楷体_GB2312"/>
          <w:color w:val="000000"/>
          <w:kern w:val="0"/>
          <w:sz w:val="32"/>
          <w:szCs w:val="32"/>
          <w:highlight w:val="none"/>
          <w:shd w:val="clear" w:color="auto" w:fill="FFFFFF"/>
          <w:lang w:val="zh-CN"/>
        </w:rPr>
        <w:t>财务管理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eastAsia="仿宋_GB2312" w:cs="Times New Roman"/>
          <w:color w:val="000000"/>
          <w:sz w:val="32"/>
          <w:szCs w:val="32"/>
          <w:lang w:val="zh-CN" w:eastAsia="zh-CN"/>
        </w:rPr>
        <w:t>健全</w:t>
      </w:r>
      <w:r>
        <w:rPr>
          <w:rFonts w:hint="eastAsia" w:ascii="Times New Roman" w:hAnsi="Times New Roman" w:eastAsia="仿宋_GB2312" w:cs="Times New Roman"/>
          <w:color w:val="000000"/>
          <w:sz w:val="32"/>
          <w:szCs w:val="32"/>
          <w:lang w:val="zh-CN" w:eastAsia="zh-CN"/>
        </w:rPr>
        <w:t>财务管理制度、</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有效运用不相容岗位相互分离、内部授权审批控制、归口管理、预算控制、财产保护控制、信息内部公开等基本方法，加强对单位层面和业务层面的内部控制，实现内部控制体系全面、有效实施。</w:t>
      </w:r>
      <w:r>
        <w:rPr>
          <w:rFonts w:hint="eastAsia" w:ascii="Times New Roman" w:hAnsi="Times New Roman" w:eastAsia="仿宋_GB2312" w:cs="Times New Roman"/>
          <w:color w:val="000000"/>
          <w:sz w:val="32"/>
          <w:szCs w:val="32"/>
          <w:lang w:val="zh-CN" w:eastAsia="zh-CN"/>
        </w:rPr>
        <w:t>资金使用规范</w:t>
      </w:r>
      <w:r>
        <w:rPr>
          <w:rFonts w:hint="eastAsia" w:eastAsia="仿宋_GB2312" w:cs="Times New Roman"/>
          <w:color w:val="000000"/>
          <w:sz w:val="32"/>
          <w:szCs w:val="32"/>
          <w:lang w:val="zh-CN" w:eastAsia="zh-CN"/>
        </w:rPr>
        <w:t>，</w:t>
      </w:r>
      <w:r>
        <w:rPr>
          <w:rFonts w:ascii="仿宋_GB2312" w:hAnsi="仿宋_GB2312" w:eastAsia="仿宋_GB2312"/>
          <w:color w:val="000000"/>
          <w:spacing w:val="6"/>
          <w:kern w:val="0"/>
          <w:sz w:val="32"/>
          <w:szCs w:val="32"/>
        </w:rPr>
        <w:t>严格执行“收支两条线”制度和预算外资金专储制度，现金严格按规定管理，杜绝公款私借、挪用。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4.</w:t>
      </w:r>
      <w:r>
        <w:rPr>
          <w:rFonts w:hint="default" w:ascii="楷体_GB2312" w:hAnsi="楷体_GB2312" w:eastAsia="楷体_GB2312" w:cs="楷体_GB2312"/>
          <w:color w:val="000000"/>
          <w:kern w:val="0"/>
          <w:sz w:val="32"/>
          <w:szCs w:val="32"/>
          <w:highlight w:val="none"/>
          <w:shd w:val="clear" w:color="auto" w:fill="FFFFFF"/>
          <w:lang w:val="zh-CN"/>
        </w:rPr>
        <w:t>资产管理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仿宋_GB2312" w:hAnsi="仿宋_GB2312" w:eastAsia="仿宋_GB2312" w:cs="仿宋_GB2312"/>
          <w:color w:val="auto"/>
          <w:spacing w:val="6"/>
          <w:kern w:val="2"/>
          <w:sz w:val="32"/>
          <w:szCs w:val="32"/>
          <w:lang w:val="en-US" w:eastAsia="zh-CN" w:bidi="ar-SA"/>
        </w:rPr>
        <w:t>进一步加强资产信息管理，提高资产管理效率和水平，认真做好资产管理的各项基础工作，做到程序化、规范化、提高其使用效率。明确资产管理部门同使用部门的使用权限，各尽所能、各负其责。定期开展资产清查工作，确保资产账实相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楷体_GB2312" w:hAnsi="楷体_GB2312" w:eastAsia="楷体_GB2312" w:cs="楷体_GB2312"/>
          <w:color w:val="000000"/>
          <w:kern w:val="0"/>
          <w:sz w:val="32"/>
          <w:szCs w:val="32"/>
          <w:highlight w:val="none"/>
          <w:shd w:val="clear" w:color="auto" w:fill="FFFFFF"/>
          <w:lang w:val="en-US" w:eastAsia="zh-CN"/>
        </w:rPr>
        <w:t>5.</w:t>
      </w:r>
      <w:r>
        <w:rPr>
          <w:rFonts w:hint="default" w:ascii="楷体_GB2312" w:hAnsi="楷体_GB2312" w:eastAsia="楷体_GB2312" w:cs="楷体_GB2312"/>
          <w:color w:val="000000"/>
          <w:kern w:val="0"/>
          <w:sz w:val="32"/>
          <w:szCs w:val="32"/>
          <w:highlight w:val="none"/>
          <w:shd w:val="clear" w:color="auto" w:fill="FFFFFF"/>
          <w:lang w:val="zh-CN"/>
        </w:rPr>
        <w:t>采购管理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对于达到政府采购标准的项目支出，明确规定采购项目的采购期限，组织实施采购计划。</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我单位2025年政府采购支出额为465.32万元</w:t>
      </w:r>
      <w:r>
        <w:rPr>
          <w:rFonts w:hint="eastAsia" w:ascii="Times New Roman" w:hAnsi="Times New Roman" w:eastAsia="仿宋_GB2312" w:cs="Times New Roman"/>
          <w:color w:val="000000"/>
          <w:sz w:val="32"/>
          <w:szCs w:val="32"/>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en-US" w:eastAsia="zh-CN" w:bidi="ar-SA"/>
        </w:rPr>
        <w:t>壤塘县茸木达乡2025年标准化种植基地项目：</w:t>
      </w:r>
      <w:r>
        <w:rPr>
          <w:rFonts w:hint="default" w:ascii="Times New Roman" w:hAnsi="Times New Roman" w:eastAsia="仿宋_GB2312" w:cs="仿宋_GB2312"/>
          <w:color w:val="auto"/>
          <w:kern w:val="2"/>
          <w:sz w:val="32"/>
          <w:szCs w:val="32"/>
          <w:highlight w:val="none"/>
          <w:lang w:val="zh-CN" w:eastAsia="zh-CN" w:bidi="ar-SA"/>
        </w:rPr>
        <w:t>总金额</w:t>
      </w:r>
      <w:r>
        <w:rPr>
          <w:rFonts w:hint="eastAsia" w:eastAsia="仿宋_GB2312" w:cs="仿宋_GB2312"/>
          <w:color w:val="auto"/>
          <w:kern w:val="2"/>
          <w:sz w:val="32"/>
          <w:szCs w:val="32"/>
          <w:highlight w:val="none"/>
          <w:lang w:val="en-US" w:eastAsia="zh-CN" w:bidi="ar-SA"/>
        </w:rPr>
        <w:t>150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ascii="仿宋_GB2312" w:hAnsi="仿宋_GB2312" w:eastAsia="仿宋_GB2312" w:cs="仿宋_GB2312"/>
          <w:color w:val="auto"/>
          <w:spacing w:val="6"/>
          <w:kern w:val="2"/>
          <w:sz w:val="32"/>
          <w:szCs w:val="32"/>
          <w:lang w:val="en-US" w:eastAsia="zh-CN" w:bidi="ar-SA"/>
        </w:rPr>
        <w:t>2025年积极争取</w:t>
      </w:r>
      <w:r>
        <w:rPr>
          <w:rFonts w:ascii="仿宋" w:hAnsi="仿宋" w:eastAsia="仿宋" w:cs="仿宋"/>
          <w:spacing w:val="10"/>
          <w:sz w:val="28"/>
          <w:szCs w:val="28"/>
        </w:rPr>
        <w:t>巩</w:t>
      </w:r>
      <w:r>
        <w:rPr>
          <w:rFonts w:ascii="仿宋" w:hAnsi="仿宋" w:eastAsia="仿宋" w:cs="仿宋"/>
          <w:spacing w:val="9"/>
          <w:sz w:val="28"/>
          <w:szCs w:val="28"/>
        </w:rPr>
        <w:t>固拓展脱贫攻坚成果同乡村振兴有效衔接项目</w:t>
      </w:r>
      <w:r>
        <w:rPr>
          <w:rFonts w:hint="eastAsia" w:ascii="仿宋_GB2312" w:hAnsi="仿宋_GB2312" w:eastAsia="仿宋_GB2312" w:cs="仿宋_GB2312"/>
          <w:color w:val="auto"/>
          <w:spacing w:val="6"/>
          <w:kern w:val="2"/>
          <w:sz w:val="32"/>
          <w:szCs w:val="32"/>
          <w:lang w:val="en-US" w:eastAsia="zh-CN" w:bidi="ar-SA"/>
        </w:rPr>
        <w:t>建设，力争通过该项目建设,实现农民收入有增加，基础设施有改善，指标短板全清零</w:t>
      </w:r>
      <w:r>
        <w:rPr>
          <w:rFonts w:hint="eastAsia" w:ascii="仿宋_GB2312" w:hAnsi="仿宋_GB2312" w:eastAsia="仿宋_GB2312" w:cs="仿宋_GB2312"/>
          <w:color w:val="auto"/>
          <w:spacing w:val="6"/>
          <w:kern w:val="2"/>
          <w:sz w:val="32"/>
          <w:szCs w:val="32"/>
          <w:lang w:val="zh-CN" w:eastAsia="zh-CN" w:bidi="ar-SA"/>
        </w:rPr>
        <w:t>。</w:t>
      </w:r>
      <w:r>
        <w:rPr>
          <w:rFonts w:hint="eastAsia" w:ascii="仿宋_GB2312" w:hAnsi="仿宋_GB2312" w:eastAsia="仿宋_GB2312" w:cs="仿宋_GB2312"/>
          <w:color w:val="auto"/>
          <w:spacing w:val="6"/>
          <w:kern w:val="2"/>
          <w:sz w:val="32"/>
          <w:szCs w:val="32"/>
          <w:lang w:val="en-US" w:eastAsia="zh-CN" w:bidi="ar-SA"/>
        </w:rPr>
        <w:t>通过项目的实施，让受益群众收入增加。绩效目标具体如下：（1）数量指标：新建大棚3616平方米、采购香菇菌棒104000袋，均按照建设内容完成。（2）质量指标：项目验收合格率100%。（3）时效指标：项目完成时限4个月。（4）成本指标：按照合同约定完成项目款的拨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color w:val="auto"/>
          <w:spacing w:val="6"/>
          <w:kern w:val="2"/>
          <w:sz w:val="32"/>
          <w:szCs w:val="32"/>
          <w:lang w:val="zh-CN" w:eastAsia="zh-CN" w:bidi="ar-SA"/>
        </w:rPr>
        <w:t>资金计划及到位：</w:t>
      </w:r>
      <w:r>
        <w:rPr>
          <w:rFonts w:hint="eastAsia" w:ascii="仿宋_GB2312" w:hAnsi="仿宋_GB2312" w:eastAsia="仿宋_GB2312" w:cs="仿宋_GB2312"/>
          <w:color w:val="auto"/>
          <w:spacing w:val="6"/>
          <w:kern w:val="2"/>
          <w:sz w:val="32"/>
          <w:szCs w:val="32"/>
          <w:lang w:val="en-US" w:eastAsia="zh-CN" w:bidi="ar-SA"/>
        </w:rPr>
        <w:t>壤塘县茸木达乡2025年标准化种植基地项目建设预算</w:t>
      </w:r>
      <w:r>
        <w:rPr>
          <w:rFonts w:hint="eastAsia" w:ascii="仿宋_GB2312" w:hAnsi="仿宋_GB2312" w:eastAsia="仿宋_GB2312" w:cs="仿宋_GB2312"/>
          <w:color w:val="auto"/>
          <w:spacing w:val="6"/>
          <w:kern w:val="2"/>
          <w:sz w:val="32"/>
          <w:szCs w:val="32"/>
          <w:lang w:val="zh-CN" w:eastAsia="zh-CN" w:bidi="ar-SA"/>
        </w:rPr>
        <w:t>资金</w:t>
      </w:r>
      <w:r>
        <w:rPr>
          <w:rFonts w:hint="eastAsia" w:ascii="仿宋_GB2312" w:hAnsi="仿宋_GB2312" w:eastAsia="仿宋_GB2312" w:cs="仿宋_GB2312"/>
          <w:color w:val="auto"/>
          <w:spacing w:val="6"/>
          <w:kern w:val="2"/>
          <w:sz w:val="32"/>
          <w:szCs w:val="32"/>
          <w:lang w:val="en-US" w:eastAsia="zh-CN" w:bidi="ar-SA"/>
        </w:rPr>
        <w:t>150万元，中标资金149.50万元</w:t>
      </w:r>
      <w:r>
        <w:rPr>
          <w:rFonts w:hint="eastAsia" w:ascii="仿宋_GB2312" w:hAnsi="仿宋_GB2312" w:eastAsia="仿宋_GB2312" w:cs="仿宋_GB2312"/>
          <w:color w:val="auto"/>
          <w:spacing w:val="6"/>
          <w:kern w:val="2"/>
          <w:sz w:val="32"/>
          <w:szCs w:val="32"/>
          <w:lang w:val="zh-CN" w:eastAsia="zh-CN" w:bidi="ar-SA"/>
        </w:rPr>
        <w:t>，资金到位及时，到位率为</w:t>
      </w:r>
      <w:r>
        <w:rPr>
          <w:rFonts w:hint="eastAsia" w:ascii="仿宋_GB2312" w:hAnsi="仿宋_GB2312" w:eastAsia="仿宋_GB2312" w:cs="仿宋_GB2312"/>
          <w:color w:val="auto"/>
          <w:spacing w:val="6"/>
          <w:kern w:val="2"/>
          <w:sz w:val="32"/>
          <w:szCs w:val="32"/>
          <w:lang w:val="en-US" w:eastAsia="zh-CN" w:bidi="ar-SA"/>
        </w:rPr>
        <w:t>100%</w:t>
      </w:r>
      <w:r>
        <w:rPr>
          <w:rFonts w:hint="eastAsia" w:ascii="仿宋_GB2312" w:hAnsi="仿宋_GB2312" w:eastAsia="仿宋_GB2312" w:cs="仿宋_GB2312"/>
          <w:color w:val="auto"/>
          <w:spacing w:val="6"/>
          <w:kern w:val="2"/>
          <w:sz w:val="32"/>
          <w:szCs w:val="32"/>
          <w:lang w:val="zh-CN" w:eastAsia="zh-CN" w:bidi="ar-SA"/>
        </w:rPr>
        <w:t>。资金使用：项目资金</w:t>
      </w:r>
      <w:r>
        <w:rPr>
          <w:rFonts w:hint="eastAsia" w:ascii="仿宋_GB2312" w:hAnsi="仿宋_GB2312" w:eastAsia="仿宋_GB2312" w:cs="仿宋_GB2312"/>
          <w:color w:val="auto"/>
          <w:spacing w:val="6"/>
          <w:kern w:val="2"/>
          <w:sz w:val="32"/>
          <w:szCs w:val="32"/>
          <w:lang w:val="en-US" w:eastAsia="zh-CN" w:bidi="ar-SA"/>
        </w:rPr>
        <w:t>已支付149.50万元，</w:t>
      </w:r>
      <w:r>
        <w:rPr>
          <w:rFonts w:hint="eastAsia" w:ascii="仿宋_GB2312" w:hAnsi="仿宋_GB2312" w:eastAsia="仿宋_GB2312" w:cs="仿宋_GB2312"/>
          <w:color w:val="auto"/>
          <w:spacing w:val="6"/>
          <w:kern w:val="2"/>
          <w:sz w:val="32"/>
          <w:szCs w:val="32"/>
          <w:lang w:val="zh-CN" w:eastAsia="zh-CN" w:bidi="ar-SA"/>
        </w:rPr>
        <w:t>资金支付率</w:t>
      </w:r>
      <w:r>
        <w:rPr>
          <w:rFonts w:hint="eastAsia" w:ascii="仿宋_GB2312" w:hAnsi="仿宋_GB2312" w:eastAsia="仿宋_GB2312" w:cs="仿宋_GB2312"/>
          <w:color w:val="auto"/>
          <w:spacing w:val="6"/>
          <w:kern w:val="2"/>
          <w:sz w:val="32"/>
          <w:szCs w:val="32"/>
          <w:lang w:val="en-US" w:eastAsia="zh-CN" w:bidi="ar-SA"/>
        </w:rPr>
        <w:t>100%</w:t>
      </w:r>
      <w:r>
        <w:rPr>
          <w:rFonts w:hint="default" w:ascii="仿宋_GB2312" w:hAnsi="仿宋_GB2312" w:eastAsia="仿宋_GB2312" w:cs="仿宋_GB2312"/>
          <w:color w:val="auto"/>
          <w:spacing w:val="6"/>
          <w:kern w:val="2"/>
          <w:sz w:val="32"/>
          <w:szCs w:val="32"/>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color w:val="auto"/>
          <w:spacing w:val="6"/>
          <w:kern w:val="2"/>
          <w:sz w:val="32"/>
          <w:szCs w:val="32"/>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ascii="仿宋_GB2312" w:hAnsi="仿宋_GB2312" w:eastAsia="仿宋_GB2312" w:cs="仿宋_GB2312"/>
          <w:color w:val="auto"/>
          <w:spacing w:val="6"/>
          <w:kern w:val="2"/>
          <w:sz w:val="32"/>
          <w:szCs w:val="32"/>
          <w:lang w:val="zh-CN" w:eastAsia="zh-CN" w:bidi="ar-SA"/>
        </w:rPr>
        <w:t>项目成立了项目管理办公室，配有项目分管一人、项目专干一人。项目按施工合同约定，如期保质保量完成。</w:t>
      </w:r>
      <w:r>
        <w:rPr>
          <w:rFonts w:hint="eastAsia" w:ascii="仿宋_GB2312" w:hAnsi="仿宋_GB2312" w:eastAsia="仿宋_GB2312" w:cs="仿宋_GB2312"/>
          <w:color w:val="auto"/>
          <w:spacing w:val="6"/>
          <w:kern w:val="2"/>
          <w:sz w:val="32"/>
          <w:szCs w:val="32"/>
          <w:lang w:val="en-US" w:eastAsia="zh-CN" w:bidi="ar-SA"/>
        </w:rPr>
        <w:t>项目资金按合同约定和项目进度及时发放，达到相关部门要求的发放进度。该项目覆盖村4个，群众户数10户，受益人口14人，带动附近农牧民群众增收大于1000元。通过平时调研走访和督查情况看，群众对该项目认可度高，对项目建设开展情况满意，没有出现不良舆情，满意率较高。</w:t>
      </w:r>
    </w:p>
    <w:p>
      <w:pPr>
        <w:pageBreakBefore w:val="0"/>
        <w:kinsoku/>
        <w:wordWrap/>
        <w:overflowPunct/>
        <w:topLinePunct w:val="0"/>
        <w:autoSpaceDE/>
        <w:autoSpaceDN/>
        <w:bidi w:val="0"/>
        <w:adjustRightInd/>
        <w:snapToGrid/>
        <w:spacing w:line="578"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default" w:ascii="Times New Roman" w:hAnsi="Times New Roman" w:eastAsia="仿宋_GB2312" w:cs="Times New Roman"/>
          <w:sz w:val="32"/>
          <w:szCs w:val="32"/>
          <w:u w:val="none"/>
        </w:rPr>
        <w:t>省级部门</w:t>
      </w:r>
      <w:r>
        <w:rPr>
          <w:rFonts w:hint="eastAsia" w:ascii="Times New Roman" w:hAnsi="Times New Roman" w:eastAsia="仿宋_GB2312" w:cs="Times New Roman"/>
          <w:sz w:val="32"/>
          <w:szCs w:val="32"/>
          <w:u w:val="none"/>
          <w:lang w:val="en-US" w:eastAsia="zh-CN"/>
        </w:rPr>
        <w:t>202</w:t>
      </w:r>
      <w:r>
        <w:rPr>
          <w:rFonts w:hint="eastAsia" w:eastAsia="仿宋_GB2312" w:cs="Times New Roman"/>
          <w:sz w:val="32"/>
          <w:szCs w:val="32"/>
          <w:u w:val="none"/>
          <w:lang w:val="en-US" w:eastAsia="zh-CN"/>
        </w:rPr>
        <w:t>5</w:t>
      </w:r>
      <w:r>
        <w:rPr>
          <w:rFonts w:hint="eastAsia" w:ascii="Times New Roman" w:hAnsi="Times New Roman" w:eastAsia="仿宋_GB2312" w:cs="Times New Roman"/>
          <w:sz w:val="32"/>
          <w:szCs w:val="32"/>
          <w:u w:val="none"/>
          <w:lang w:val="en-US" w:eastAsia="zh-CN"/>
        </w:rPr>
        <w:t>年度</w:t>
      </w:r>
      <w:r>
        <w:rPr>
          <w:rFonts w:hint="default" w:ascii="Times New Roman" w:hAnsi="Times New Roman" w:eastAsia="仿宋_GB2312" w:cs="Times New Roman"/>
          <w:sz w:val="32"/>
          <w:szCs w:val="32"/>
          <w:u w:val="none"/>
        </w:rPr>
        <w:t>若涉及国有资</w:t>
      </w:r>
      <w:r>
        <w:rPr>
          <w:rFonts w:hint="default" w:ascii="Times New Roman" w:hAnsi="Times New Roman" w:eastAsia="仿宋_GB2312" w:cs="Times New Roman"/>
          <w:sz w:val="32"/>
          <w:szCs w:val="32"/>
          <w:highlight w:val="none"/>
          <w:u w:val="none"/>
        </w:rPr>
        <w:t>本经营预算、社会保险基金预算的，</w:t>
      </w:r>
      <w:r>
        <w:rPr>
          <w:rFonts w:hint="default" w:ascii="Times New Roman" w:hAnsi="Times New Roman" w:eastAsia="仿宋_GB2312" w:cs="Times New Roman"/>
          <w:sz w:val="32"/>
          <w:szCs w:val="32"/>
          <w:highlight w:val="none"/>
          <w:u w:val="none"/>
          <w:lang w:bidi="ar"/>
        </w:rPr>
        <w:t>应在部门</w:t>
      </w:r>
      <w:r>
        <w:rPr>
          <w:rFonts w:hint="default" w:ascii="Times New Roman" w:hAnsi="Times New Roman" w:eastAsia="仿宋_GB2312" w:cs="Times New Roman"/>
          <w:sz w:val="32"/>
          <w:szCs w:val="32"/>
          <w:u w:val="none"/>
          <w:lang w:eastAsia="zh-CN" w:bidi="ar"/>
        </w:rPr>
        <w:t>预算</w:t>
      </w:r>
      <w:r>
        <w:rPr>
          <w:rFonts w:hint="default" w:ascii="Times New Roman" w:hAnsi="Times New Roman" w:eastAsia="仿宋_GB2312" w:cs="Times New Roman"/>
          <w:sz w:val="32"/>
          <w:szCs w:val="32"/>
          <w:highlight w:val="none"/>
          <w:u w:val="none"/>
          <w:lang w:bidi="ar"/>
        </w:rPr>
        <w:t>绩效自评报告中</w:t>
      </w:r>
      <w:r>
        <w:rPr>
          <w:rFonts w:hint="default" w:ascii="Times New Roman" w:hAnsi="Times New Roman" w:eastAsia="仿宋_GB2312" w:cs="Times New Roman"/>
          <w:sz w:val="32"/>
          <w:szCs w:val="32"/>
          <w:highlight w:val="none"/>
          <w:u w:val="none"/>
          <w:lang w:eastAsia="zh-CN" w:bidi="ar"/>
        </w:rPr>
        <w:t>对</w:t>
      </w:r>
      <w:r>
        <w:rPr>
          <w:rFonts w:hint="default" w:ascii="Times New Roman" w:hAnsi="Times New Roman" w:eastAsia="仿宋_GB2312" w:cs="Times New Roman"/>
          <w:sz w:val="32"/>
          <w:szCs w:val="32"/>
          <w:highlight w:val="none"/>
          <w:u w:val="none"/>
          <w:lang w:bidi="ar"/>
        </w:rPr>
        <w:t>完成情况</w:t>
      </w:r>
      <w:r>
        <w:rPr>
          <w:rFonts w:hint="default" w:ascii="Times New Roman" w:hAnsi="Times New Roman" w:eastAsia="仿宋_GB2312" w:cs="Times New Roman"/>
          <w:sz w:val="32"/>
          <w:szCs w:val="32"/>
          <w:highlight w:val="none"/>
          <w:u w:val="none"/>
          <w:lang w:eastAsia="zh-CN" w:bidi="ar"/>
        </w:rPr>
        <w:t>进行梳理阐述</w:t>
      </w:r>
      <w:r>
        <w:rPr>
          <w:rFonts w:hint="default" w:ascii="Times New Roman" w:hAnsi="Times New Roman" w:eastAsia="仿宋_GB2312" w:cs="Times New Roman"/>
          <w:sz w:val="32"/>
          <w:szCs w:val="32"/>
          <w:highlight w:val="none"/>
          <w:u w:val="none"/>
        </w:rPr>
        <w:t>。国有资本经营预算绩效自评</w:t>
      </w:r>
      <w:r>
        <w:rPr>
          <w:rFonts w:hint="eastAsia" w:cs="Times New Roman"/>
          <w:sz w:val="32"/>
          <w:szCs w:val="32"/>
          <w:highlight w:val="none"/>
          <w:u w:val="none"/>
          <w:lang w:eastAsia="zh-CN"/>
        </w:rPr>
        <w:t>重点</w:t>
      </w:r>
      <w:r>
        <w:rPr>
          <w:rFonts w:hint="default" w:ascii="Times New Roman" w:hAnsi="Times New Roman" w:eastAsia="仿宋_GB2312" w:cs="Times New Roman"/>
          <w:sz w:val="32"/>
          <w:szCs w:val="32"/>
          <w:highlight w:val="none"/>
          <w:u w:val="none"/>
        </w:rPr>
        <w:t>关注企业的运营质量、行业水平等情况；社会保险基金预算绩效自评重点关注基金可持续性、区域安全性等情况。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仿宋_GB2312" w:eastAsia="仿宋_GB2312" w:cs="仿宋_GB2312"/>
          <w:color w:val="auto"/>
          <w:spacing w:val="6"/>
          <w:kern w:val="2"/>
          <w:sz w:val="32"/>
          <w:szCs w:val="32"/>
          <w:lang w:val="en-US" w:eastAsia="zh-CN" w:bidi="ar-SA"/>
        </w:rPr>
        <w:t>本单位2025年度不</w:t>
      </w:r>
      <w:r>
        <w:rPr>
          <w:rFonts w:hint="default" w:ascii="仿宋_GB2312" w:hAnsi="仿宋_GB2312" w:eastAsia="仿宋_GB2312" w:cs="仿宋_GB2312"/>
          <w:color w:val="auto"/>
          <w:spacing w:val="6"/>
          <w:kern w:val="2"/>
          <w:sz w:val="32"/>
          <w:szCs w:val="32"/>
          <w:lang w:val="en-US" w:eastAsia="zh-CN" w:bidi="ar-SA"/>
        </w:rPr>
        <w:t>涉及国</w:t>
      </w:r>
      <w:r>
        <w:rPr>
          <w:rFonts w:hint="default" w:ascii="Times New Roman" w:hAnsi="Times New Roman" w:eastAsia="仿宋_GB2312" w:cs="Times New Roman"/>
          <w:color w:val="auto"/>
          <w:sz w:val="32"/>
          <w:szCs w:val="32"/>
          <w:highlight w:val="none"/>
          <w:u w:val="none"/>
        </w:rPr>
        <w:t>有资本、</w:t>
      </w:r>
      <w:r>
        <w:rPr>
          <w:rFonts w:hint="default" w:ascii="Times New Roman" w:hAnsi="Times New Roman" w:eastAsia="仿宋_GB2312" w:cs="Times New Roman"/>
          <w:b w:val="0"/>
          <w:bCs w:val="0"/>
          <w:color w:val="auto"/>
          <w:sz w:val="32"/>
          <w:szCs w:val="32"/>
          <w:highlight w:val="none"/>
          <w:u w:val="none"/>
        </w:rPr>
        <w:t>债</w:t>
      </w:r>
      <w:r>
        <w:rPr>
          <w:rFonts w:hint="default" w:ascii="Times New Roman" w:hAnsi="Times New Roman" w:eastAsia="仿宋_GB2312" w:cs="Times New Roman"/>
          <w:b w:val="0"/>
          <w:bCs w:val="0"/>
          <w:sz w:val="32"/>
          <w:szCs w:val="32"/>
          <w:highlight w:val="none"/>
          <w:u w:val="none"/>
        </w:rPr>
        <w:t>券</w:t>
      </w:r>
      <w:r>
        <w:rPr>
          <w:rFonts w:hint="default" w:ascii="Times New Roman" w:hAnsi="Times New Roman" w:eastAsia="仿宋_GB2312" w:cs="Times New Roman"/>
          <w:b w:val="0"/>
          <w:bCs w:val="0"/>
          <w:sz w:val="32"/>
          <w:szCs w:val="32"/>
          <w:highlight w:val="none"/>
          <w:u w:val="none"/>
          <w:lang w:eastAsia="zh-CN"/>
        </w:rPr>
        <w:t>资金和政府购买服务等重点领域</w:t>
      </w:r>
      <w:r>
        <w:rPr>
          <w:rFonts w:hint="eastAsia" w:ascii="Times New Roman" w:hAnsi="Times New Roman" w:cs="Times New Roman"/>
          <w:sz w:val="32"/>
          <w:szCs w:val="32"/>
          <w:highlight w:val="none"/>
          <w:u w:val="none"/>
          <w:lang w:eastAsia="zh-CN" w:bidi="ar"/>
        </w:rPr>
        <w:t>。</w:t>
      </w:r>
      <w:r>
        <w:rPr>
          <w:rFonts w:hint="default" w:ascii="Times New Roman" w:hAnsi="Times New Roman" w:eastAsia="仿宋_GB2312" w:cs="Times New Roman"/>
          <w:color w:val="000000"/>
          <w:sz w:val="32"/>
          <w:szCs w:val="32"/>
          <w:highlight w:val="none"/>
          <w:u w:val="none"/>
        </w:rPr>
        <w:t>行政事业性国有资产</w:t>
      </w:r>
      <w:r>
        <w:rPr>
          <w:rFonts w:hint="eastAsia" w:ascii="Times New Roman" w:hAnsi="Times New Roman" w:eastAsia="仿宋_GB2312" w:cs="Times New Roman"/>
          <w:color w:val="000000"/>
          <w:sz w:val="32"/>
          <w:szCs w:val="32"/>
          <w:highlight w:val="none"/>
          <w:u w:val="none"/>
          <w:lang w:eastAsia="zh-CN"/>
        </w:rPr>
        <w:t>：</w:t>
      </w:r>
      <w:r>
        <w:rPr>
          <w:rFonts w:hint="eastAsia" w:ascii="Times New Roman" w:hAnsi="Times New Roman" w:eastAsia="仿宋_GB2312" w:cs="Times New Roman"/>
          <w:color w:val="000000"/>
          <w:sz w:val="32"/>
          <w:szCs w:val="32"/>
          <w:highlight w:val="none"/>
          <w:u w:val="none"/>
          <w:lang w:val="en-US" w:eastAsia="zh-CN"/>
        </w:rPr>
        <w:t>202</w:t>
      </w:r>
      <w:r>
        <w:rPr>
          <w:rFonts w:hint="eastAsia" w:eastAsia="仿宋_GB2312" w:cs="Times New Roman"/>
          <w:color w:val="000000"/>
          <w:sz w:val="32"/>
          <w:szCs w:val="32"/>
          <w:highlight w:val="none"/>
          <w:u w:val="none"/>
          <w:lang w:val="en-US" w:eastAsia="zh-CN"/>
        </w:rPr>
        <w:t>5</w:t>
      </w:r>
      <w:r>
        <w:rPr>
          <w:rFonts w:hint="eastAsia" w:ascii="Times New Roman" w:hAnsi="Times New Roman" w:eastAsia="仿宋_GB2312" w:cs="Times New Roman"/>
          <w:color w:val="000000"/>
          <w:sz w:val="32"/>
          <w:szCs w:val="32"/>
          <w:highlight w:val="none"/>
          <w:u w:val="none"/>
          <w:lang w:val="en-US" w:eastAsia="zh-CN"/>
        </w:rPr>
        <w:t>入账</w:t>
      </w:r>
      <w:r>
        <w:rPr>
          <w:rFonts w:hint="eastAsia" w:eastAsia="仿宋_GB2312" w:cs="Times New Roman"/>
          <w:color w:val="000000"/>
          <w:sz w:val="32"/>
          <w:szCs w:val="32"/>
          <w:highlight w:val="none"/>
          <w:u w:val="none"/>
          <w:lang w:val="en-US" w:eastAsia="zh-CN"/>
        </w:rPr>
        <w:t>42000元（人大办公桌椅柜子）</w:t>
      </w:r>
      <w:r>
        <w:rPr>
          <w:rFonts w:hint="eastAsia" w:ascii="Times New Roman" w:hAnsi="Times New Roman" w:eastAsia="仿宋_GB2312" w:cs="Times New Roman"/>
          <w:color w:val="000000"/>
          <w:sz w:val="32"/>
          <w:szCs w:val="32"/>
          <w:highlight w:val="none"/>
          <w:u w:val="none"/>
          <w:lang w:val="en-US" w:eastAsia="zh-CN"/>
        </w:rPr>
        <w:t>。</w:t>
      </w:r>
      <w:r>
        <w:rPr>
          <w:rFonts w:hint="default" w:ascii="Times New Roman" w:hAnsi="Times New Roman" w:eastAsia="仿宋_GB2312" w:cs="Times New Roman"/>
          <w:b w:val="0"/>
          <w:bCs w:val="0"/>
          <w:sz w:val="32"/>
          <w:szCs w:val="32"/>
          <w:highlight w:val="none"/>
          <w:u w:val="none"/>
          <w:lang w:eastAsia="zh-CN"/>
        </w:rPr>
        <w:t>政府采购</w:t>
      </w:r>
      <w:r>
        <w:rPr>
          <w:rFonts w:hint="eastAsia" w:ascii="Times New Roman" w:hAnsi="Times New Roman" w:eastAsia="仿宋_GB2312" w:cs="Times New Roman"/>
          <w:b w:val="0"/>
          <w:bCs w:val="0"/>
          <w:sz w:val="32"/>
          <w:szCs w:val="32"/>
          <w:highlight w:val="none"/>
          <w:u w:val="none"/>
          <w:lang w:eastAsia="zh-CN"/>
        </w:rPr>
        <w:t>：</w:t>
      </w:r>
      <w:r>
        <w:rPr>
          <w:rFonts w:hint="eastAsia" w:ascii="仿宋_GB2312" w:hAnsi="仿宋_GB2312" w:eastAsia="仿宋_GB2312" w:cs="仿宋_GB2312"/>
          <w:color w:val="auto"/>
          <w:spacing w:val="6"/>
          <w:kern w:val="2"/>
          <w:sz w:val="32"/>
          <w:szCs w:val="32"/>
          <w:lang w:val="en-US" w:eastAsia="zh-CN" w:bidi="ar-SA"/>
        </w:rPr>
        <w:t>茸木达乡2025年标准化种植基地项目</w:t>
      </w:r>
      <w:r>
        <w:rPr>
          <w:rFonts w:hint="eastAsia" w:ascii="Times New Roman" w:hAnsi="Times New Roman" w:eastAsia="仿宋_GB2312" w:cs="Times New Roman"/>
          <w:b w:val="0"/>
          <w:bCs w:val="0"/>
          <w:sz w:val="32"/>
          <w:szCs w:val="32"/>
          <w:highlight w:val="none"/>
          <w:u w:val="none"/>
          <w:lang w:val="en-US" w:eastAsia="zh-CN"/>
        </w:rPr>
        <w:t>投资</w:t>
      </w:r>
      <w:r>
        <w:rPr>
          <w:rFonts w:hint="eastAsia" w:eastAsia="仿宋_GB2312" w:cs="Times New Roman"/>
          <w:b w:val="0"/>
          <w:bCs w:val="0"/>
          <w:sz w:val="32"/>
          <w:szCs w:val="32"/>
          <w:highlight w:val="none"/>
          <w:u w:val="none"/>
          <w:lang w:val="en-US" w:eastAsia="zh-CN"/>
        </w:rPr>
        <w:t>149.50</w:t>
      </w:r>
      <w:r>
        <w:rPr>
          <w:rFonts w:hint="eastAsia" w:ascii="Times New Roman" w:hAnsi="Times New Roman" w:eastAsia="仿宋_GB2312" w:cs="Times New Roman"/>
          <w:b w:val="0"/>
          <w:bCs w:val="0"/>
          <w:sz w:val="32"/>
          <w:szCs w:val="32"/>
          <w:highlight w:val="none"/>
          <w:u w:val="none"/>
          <w:lang w:val="en-US" w:eastAsia="zh-CN"/>
        </w:rPr>
        <w:t>万元已全部拨付，拨付率</w:t>
      </w:r>
      <w:r>
        <w:rPr>
          <w:rFonts w:hint="eastAsia" w:eastAsia="仿宋_GB2312" w:cs="Times New Roman"/>
          <w:b w:val="0"/>
          <w:bCs w:val="0"/>
          <w:sz w:val="32"/>
          <w:szCs w:val="32"/>
          <w:highlight w:val="none"/>
          <w:u w:val="none"/>
          <w:lang w:val="en-US" w:eastAsia="zh-CN"/>
        </w:rPr>
        <w:t>100</w:t>
      </w:r>
      <w:r>
        <w:rPr>
          <w:rFonts w:hint="eastAsia" w:ascii="Times New Roman" w:hAnsi="Times New Roman" w:eastAsia="仿宋_GB2312" w:cs="Times New Roman"/>
          <w:b w:val="0"/>
          <w:bCs w:val="0"/>
          <w:sz w:val="32"/>
          <w:szCs w:val="32"/>
          <w:highlight w:val="none"/>
          <w:u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widowControl/>
        <w:adjustRightInd w:val="0"/>
        <w:snapToGrid w:val="0"/>
        <w:spacing w:line="580" w:lineRule="exact"/>
        <w:ind w:firstLine="642" w:firstLineChars="200"/>
        <w:contextualSpacing/>
        <w:jc w:val="left"/>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default" w:ascii="仿宋_GB2312" w:hAnsi="Times New Roman" w:eastAsia="仿宋_GB2312" w:cs="Times New Roman"/>
          <w:color w:val="000000"/>
          <w:kern w:val="0"/>
          <w:sz w:val="32"/>
          <w:szCs w:val="32"/>
          <w:lang w:val="zh-CN" w:eastAsia="zh-CN" w:bidi="ar"/>
        </w:rPr>
        <w:t>按照县政府的工作任务要求，结合</w:t>
      </w:r>
      <w:r>
        <w:rPr>
          <w:rFonts w:hint="eastAsia" w:ascii="仿宋_GB2312" w:hAnsi="Times New Roman" w:eastAsia="仿宋_GB2312" w:cs="Times New Roman"/>
          <w:color w:val="000000"/>
          <w:kern w:val="0"/>
          <w:sz w:val="32"/>
          <w:szCs w:val="32"/>
          <w:lang w:val="en-US" w:eastAsia="zh-CN" w:bidi="ar"/>
        </w:rPr>
        <w:t>乡</w:t>
      </w:r>
      <w:r>
        <w:rPr>
          <w:rFonts w:hint="default" w:ascii="仿宋_GB2312" w:hAnsi="Times New Roman" w:eastAsia="仿宋_GB2312" w:cs="Times New Roman"/>
          <w:color w:val="000000"/>
          <w:kern w:val="0"/>
          <w:sz w:val="32"/>
          <w:szCs w:val="32"/>
          <w:lang w:val="zh-CN" w:eastAsia="zh-CN" w:bidi="ar"/>
        </w:rPr>
        <w:t>政府</w:t>
      </w:r>
      <w:r>
        <w:rPr>
          <w:rFonts w:hint="eastAsia" w:ascii="仿宋_GB2312" w:eastAsia="仿宋_GB2312" w:cs="Times New Roman"/>
          <w:color w:val="000000"/>
          <w:kern w:val="0"/>
          <w:sz w:val="32"/>
          <w:szCs w:val="32"/>
          <w:lang w:val="en-US" w:eastAsia="zh-CN" w:bidi="ar"/>
        </w:rPr>
        <w:t>2025</w:t>
      </w:r>
      <w:r>
        <w:rPr>
          <w:rFonts w:hint="default" w:ascii="仿宋_GB2312" w:hAnsi="Times New Roman" w:eastAsia="仿宋_GB2312" w:cs="Times New Roman"/>
          <w:color w:val="000000"/>
          <w:kern w:val="0"/>
          <w:sz w:val="32"/>
          <w:szCs w:val="32"/>
          <w:lang w:val="zh-CN" w:eastAsia="zh-CN" w:bidi="ar"/>
        </w:rPr>
        <w:t>年度工作开展实际，根据年初工作计划有序开展各项工作，进一步细化工作任务，按照工作计划和要求细致分工，</w:t>
      </w:r>
      <w:r>
        <w:rPr>
          <w:rFonts w:hint="eastAsia" w:ascii="仿宋_GB2312" w:eastAsia="仿宋_GB2312" w:cs="Times New Roman"/>
          <w:color w:val="000000"/>
          <w:kern w:val="0"/>
          <w:sz w:val="32"/>
          <w:szCs w:val="32"/>
          <w:lang w:val="zh-CN" w:eastAsia="zh-CN" w:bidi="ar"/>
        </w:rPr>
        <w:t>使</w:t>
      </w:r>
      <w:r>
        <w:rPr>
          <w:rFonts w:hint="default" w:ascii="仿宋_GB2312" w:hAnsi="Times New Roman" w:eastAsia="仿宋_GB2312" w:cs="Times New Roman"/>
          <w:color w:val="000000"/>
          <w:kern w:val="0"/>
          <w:sz w:val="32"/>
          <w:szCs w:val="32"/>
          <w:lang w:val="zh-CN" w:eastAsia="zh-CN" w:bidi="ar"/>
        </w:rPr>
        <w:t>财政收支预算执行得到了良好的制度保障和实施效果。</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_GB2312" w:hAnsi="Times New Roman" w:eastAsia="仿宋_GB2312" w:cs="Times New Roman"/>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仿宋_GB2312" w:hAnsi="Times New Roman" w:eastAsia="仿宋_GB2312" w:cs="Times New Roman"/>
          <w:color w:val="000000"/>
          <w:kern w:val="0"/>
          <w:sz w:val="32"/>
          <w:szCs w:val="32"/>
          <w:lang w:val="en-US" w:eastAsia="zh-CN" w:bidi="ar"/>
        </w:rPr>
        <w:t>执行期间根据工作安排和开展情况追加收入较多，年初预算数与调整预算数差别较大，预算安排不够精确。</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_GB2312" w:hAnsi="Times New Roman" w:eastAsia="仿宋_GB2312" w:cs="Times New Roman"/>
          <w:color w:val="000000"/>
          <w:kern w:val="0"/>
          <w:sz w:val="32"/>
          <w:szCs w:val="32"/>
          <w:lang w:val="zh-C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48" w:name="_Hlk110546638"/>
      <w:r>
        <w:rPr>
          <w:rFonts w:hint="default" w:ascii="仿宋_GB2312" w:hAnsi="Times New Roman" w:eastAsia="仿宋_GB2312" w:cs="Times New Roman"/>
          <w:color w:val="000000"/>
          <w:kern w:val="0"/>
          <w:sz w:val="32"/>
          <w:szCs w:val="32"/>
          <w:lang w:val="en-US" w:eastAsia="zh-CN" w:bidi="ar"/>
        </w:rPr>
        <w:t>提高预算编制的可操作性，强化预算执行约束力，尽量减少预算调整。</w:t>
      </w:r>
      <w:bookmarkEnd w:id="48"/>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6"/>
        <w:keepNext w:val="0"/>
        <w:keepLines w:val="0"/>
        <w:pageBreakBefore w:val="0"/>
        <w:widowControl w:val="0"/>
        <w:kinsoku/>
        <w:wordWrap/>
        <w:overflowPunct/>
        <w:topLinePunct w:val="0"/>
        <w:autoSpaceDE/>
        <w:autoSpaceDN/>
        <w:bidi w:val="0"/>
        <w:spacing w:line="578" w:lineRule="exact"/>
        <w:jc w:val="both"/>
        <w:textAlignment w:val="auto"/>
        <w:rPr>
          <w:rFonts w:ascii="Times New Roman" w:hAnsi="Times New Roman"/>
          <w:color w:val="auto"/>
          <w:kern w:val="2"/>
          <w:sz w:val="32"/>
          <w:szCs w:val="32"/>
          <w:highlight w:val="none"/>
        </w:rPr>
      </w:pPr>
    </w:p>
    <w:p>
      <w:pPr>
        <w:adjustRightInd w:val="0"/>
        <w:snapToGrid w:val="0"/>
        <w:spacing w:line="560" w:lineRule="exact"/>
        <w:ind w:firstLine="720"/>
        <w:jc w:val="center"/>
        <w:rPr>
          <w:rFonts w:hint="eastAsia" w:ascii="微软雅黑" w:hAnsi="微软雅黑" w:eastAsia="微软雅黑" w:cs="微软雅黑"/>
          <w:b w:val="0"/>
          <w:bCs/>
          <w:sz w:val="44"/>
          <w:szCs w:val="44"/>
          <w:lang w:val="en-US" w:eastAsia="zh-CN"/>
        </w:rPr>
      </w:pPr>
      <w:r>
        <w:rPr>
          <w:rFonts w:hint="eastAsia" w:ascii="微软雅黑" w:hAnsi="微软雅黑" w:eastAsia="微软雅黑" w:cs="微软雅黑"/>
          <w:b w:val="0"/>
          <w:bCs/>
          <w:sz w:val="44"/>
          <w:szCs w:val="44"/>
          <w:lang w:val="en-US" w:eastAsia="zh-CN"/>
        </w:rPr>
        <w:t>茸木达乡人民政府</w:t>
      </w:r>
    </w:p>
    <w:p>
      <w:pPr>
        <w:adjustRightInd w:val="0"/>
        <w:snapToGrid w:val="0"/>
        <w:spacing w:line="560" w:lineRule="exact"/>
        <w:ind w:firstLine="720"/>
        <w:jc w:val="center"/>
        <w:rPr>
          <w:rFonts w:hint="eastAsia" w:ascii="仿宋_GB2312" w:hAnsi="宋体" w:eastAsia="仿宋_GB2312" w:cs="Times New Roman"/>
          <w:color w:val="auto"/>
          <w:kern w:val="2"/>
          <w:sz w:val="32"/>
          <w:szCs w:val="32"/>
        </w:rPr>
      </w:pPr>
      <w:r>
        <w:rPr>
          <w:rFonts w:hint="eastAsia" w:ascii="宋体" w:hAnsi="宋体" w:eastAsia="宋体" w:cs="Times New Roman"/>
          <w:b/>
          <w:sz w:val="44"/>
          <w:szCs w:val="44"/>
          <w:lang w:val="en-US" w:eastAsia="zh-CN"/>
        </w:rPr>
        <w:t>关于壤塘县茸木达乡2025年标准化种植基地项目</w:t>
      </w:r>
      <w:r>
        <w:rPr>
          <w:rFonts w:hint="eastAsia" w:ascii="宋体" w:hAnsi="宋体" w:eastAsia="宋体"/>
          <w:b/>
          <w:sz w:val="44"/>
          <w:szCs w:val="44"/>
        </w:rPr>
        <w:t>绩效自评报告</w:t>
      </w:r>
    </w:p>
    <w:p>
      <w:pPr>
        <w:pStyle w:val="36"/>
        <w:spacing w:line="240" w:lineRule="auto"/>
        <w:jc w:val="center"/>
        <w:rPr>
          <w:rFonts w:hint="eastAsia" w:ascii="宋体" w:hAnsi="宋体" w:cs="Times New Roman"/>
          <w:color w:val="auto"/>
          <w:kern w:val="2"/>
          <w:sz w:val="32"/>
          <w:szCs w:val="32"/>
        </w:rPr>
      </w:pPr>
    </w:p>
    <w:p>
      <w:pPr>
        <w:adjustRightInd w:val="0"/>
        <w:snapToGrid w:val="0"/>
        <w:spacing w:line="560" w:lineRule="exact"/>
        <w:ind w:firstLine="720"/>
        <w:rPr>
          <w:rFonts w:hint="eastAsia" w:ascii="方正小标宋_GBK" w:hAnsi="方正小标宋_GBK" w:eastAsia="方正小标宋_GBK" w:cs="方正小标宋_GBK"/>
          <w:b/>
          <w:bCs/>
          <w:sz w:val="32"/>
          <w:szCs w:val="32"/>
          <w:lang w:val="zh-CN"/>
        </w:rPr>
      </w:pPr>
      <w:r>
        <w:rPr>
          <w:rFonts w:hint="eastAsia" w:ascii="方正小标宋_GBK" w:hAnsi="方正小标宋_GBK" w:eastAsia="方正小标宋_GBK" w:cs="方正小标宋_GBK"/>
          <w:b/>
          <w:bCs/>
          <w:sz w:val="32"/>
          <w:szCs w:val="32"/>
        </w:rPr>
        <w:t>一、</w:t>
      </w:r>
      <w:r>
        <w:rPr>
          <w:rFonts w:hint="eastAsia" w:ascii="方正小标宋_GBK" w:hAnsi="方正小标宋_GBK" w:eastAsia="方正小标宋_GBK" w:cs="方正小标宋_GBK"/>
          <w:b/>
          <w:bCs/>
          <w:sz w:val="32"/>
          <w:szCs w:val="32"/>
          <w:lang w:val="zh-CN"/>
        </w:rPr>
        <w:t>项目概况</w:t>
      </w:r>
    </w:p>
    <w:p>
      <w:pPr>
        <w:adjustRightInd w:val="0"/>
        <w:snapToGrid w:val="0"/>
        <w:spacing w:line="560" w:lineRule="exact"/>
        <w:ind w:firstLine="843" w:firstLineChars="300"/>
        <w:rPr>
          <w:rFonts w:hint="default" w:ascii="Times New Roman" w:hAnsi="Times New Roman" w:eastAsia="仿宋_GB2312" w:cs="仿宋_GB2312"/>
          <w:b w:val="0"/>
          <w:bCs w:val="0"/>
          <w:kern w:val="0"/>
          <w:position w:val="0"/>
          <w:sz w:val="28"/>
          <w:szCs w:val="28"/>
          <w:highlight w:val="none"/>
          <w:lang w:val="en-US" w:eastAsia="zh-CN" w:bidi="ar-SA"/>
        </w:rPr>
      </w:pPr>
      <w:r>
        <w:rPr>
          <w:rFonts w:hint="eastAsia" w:ascii="Times New Roman" w:hAnsi="Times New Roman" w:eastAsia="仿宋_GB2312" w:cs="仿宋_GB2312"/>
          <w:b/>
          <w:bCs/>
          <w:kern w:val="0"/>
          <w:position w:val="0"/>
          <w:sz w:val="28"/>
          <w:szCs w:val="28"/>
          <w:highlight w:val="none"/>
          <w:lang w:val="en-US" w:eastAsia="zh-CN" w:bidi="ar-SA"/>
        </w:rPr>
        <w:t>项目名称：</w:t>
      </w:r>
      <w:r>
        <w:rPr>
          <w:rFonts w:hint="eastAsia" w:ascii="Times New Roman" w:hAnsi="Times New Roman" w:eastAsia="仿宋_GB2312" w:cs="仿宋_GB2312"/>
          <w:b w:val="0"/>
          <w:bCs w:val="0"/>
          <w:kern w:val="0"/>
          <w:position w:val="0"/>
          <w:sz w:val="28"/>
          <w:szCs w:val="28"/>
          <w:highlight w:val="none"/>
          <w:lang w:val="en-US" w:eastAsia="zh-CN" w:bidi="ar-SA"/>
        </w:rPr>
        <w:t>壤塘县茸木达乡2025年标准化种植基地项目</w:t>
      </w:r>
    </w:p>
    <w:p>
      <w:pPr>
        <w:adjustRightInd w:val="0"/>
        <w:snapToGrid w:val="0"/>
        <w:spacing w:line="560" w:lineRule="exact"/>
        <w:ind w:firstLine="720"/>
        <w:rPr>
          <w:rFonts w:hint="eastAsia" w:ascii="Times New Roman" w:hAnsi="Times New Roman" w:eastAsia="仿宋_GB2312" w:cs="仿宋_GB2312"/>
          <w:b w:val="0"/>
          <w:bCs w:val="0"/>
          <w:kern w:val="0"/>
          <w:position w:val="0"/>
          <w:sz w:val="28"/>
          <w:szCs w:val="28"/>
          <w:highlight w:val="none"/>
          <w:lang w:val="en-US" w:eastAsia="zh-CN" w:bidi="ar-SA"/>
        </w:rPr>
      </w:pPr>
      <w:r>
        <w:rPr>
          <w:rFonts w:hint="eastAsia" w:ascii="Times New Roman" w:hAnsi="Times New Roman" w:eastAsia="仿宋_GB2312" w:cs="仿宋_GB2312"/>
          <w:b/>
          <w:bCs/>
          <w:kern w:val="0"/>
          <w:position w:val="0"/>
          <w:sz w:val="28"/>
          <w:szCs w:val="28"/>
          <w:highlight w:val="none"/>
          <w:lang w:val="en-US" w:eastAsia="zh-CN" w:bidi="ar-SA"/>
        </w:rPr>
        <w:t>建设内容：</w:t>
      </w:r>
      <w:r>
        <w:rPr>
          <w:rFonts w:hint="eastAsia" w:ascii="Times New Roman" w:hAnsi="Times New Roman" w:eastAsia="仿宋_GB2312" w:cs="仿宋_GB2312"/>
          <w:b w:val="0"/>
          <w:bCs w:val="0"/>
          <w:kern w:val="0"/>
          <w:position w:val="0"/>
          <w:sz w:val="28"/>
          <w:szCs w:val="28"/>
          <w:highlight w:val="none"/>
          <w:lang w:val="en-US" w:eastAsia="zh-CN" w:bidi="ar-SA"/>
        </w:rPr>
        <w:t>在茸木达乡啄坤村、茸木达村建设特色产业标准化种植基地，占地8.2亩新建大棚3616平方米及配套设施。</w:t>
      </w:r>
    </w:p>
    <w:p>
      <w:pPr>
        <w:adjustRightInd w:val="0"/>
        <w:snapToGrid w:val="0"/>
        <w:spacing w:line="560" w:lineRule="exact"/>
        <w:ind w:firstLine="720"/>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总投资：</w:t>
      </w:r>
      <w:r>
        <w:rPr>
          <w:rFonts w:hint="eastAsia" w:ascii="Times New Roman" w:hAnsi="Times New Roman" w:eastAsia="仿宋_GB2312" w:cs="仿宋_GB2312"/>
          <w:b w:val="0"/>
          <w:bCs w:val="0"/>
          <w:kern w:val="0"/>
          <w:position w:val="0"/>
          <w:sz w:val="32"/>
          <w:szCs w:val="32"/>
          <w:highlight w:val="none"/>
          <w:lang w:val="en-US" w:eastAsia="zh-CN" w:bidi="ar-SA"/>
        </w:rPr>
        <w:t>150万元。</w:t>
      </w:r>
    </w:p>
    <w:p>
      <w:pPr>
        <w:adjustRightInd w:val="0"/>
        <w:snapToGrid w:val="0"/>
        <w:spacing w:line="560"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pPr>
        <w:pStyle w:val="37"/>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经过村申报，乡镇审核，上报县级部门审定，批复文件壤发改行审</w:t>
      </w:r>
      <w:r>
        <w:rPr>
          <w:rFonts w:hint="eastAsia" w:ascii="仿宋" w:hAnsi="仿宋" w:eastAsia="仿宋" w:cs="仿宋"/>
          <w:color w:val="000000"/>
          <w:spacing w:val="0"/>
          <w:w w:val="100"/>
          <w:kern w:val="0"/>
          <w:position w:val="0"/>
          <w:sz w:val="32"/>
          <w:szCs w:val="32"/>
          <w:shd w:val="clear" w:color="auto" w:fill="auto"/>
          <w:lang w:val="en-US" w:eastAsia="zh-CN" w:bidi="en-US"/>
        </w:rPr>
        <w:t>【2025】</w:t>
      </w:r>
      <w:r>
        <w:rPr>
          <w:rFonts w:hint="eastAsia" w:ascii="Times New Roman" w:hAnsi="Times New Roman" w:eastAsia="仿宋_GB2312" w:cs="仿宋_GB2312"/>
          <w:b w:val="0"/>
          <w:bCs w:val="0"/>
          <w:kern w:val="0"/>
          <w:position w:val="0"/>
          <w:sz w:val="32"/>
          <w:szCs w:val="32"/>
          <w:highlight w:val="none"/>
          <w:lang w:val="en-US" w:eastAsia="zh-CN" w:bidi="ar-SA"/>
        </w:rPr>
        <w:t>58号，批复了壤塘县茸木达乡2025年标准化种植基地项目。项目总投资150万元。</w:t>
      </w:r>
    </w:p>
    <w:p>
      <w:pPr>
        <w:adjustRightInd w:val="0"/>
        <w:snapToGrid w:val="0"/>
        <w:spacing w:line="560"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（二）项目绩效目标</w:t>
      </w:r>
    </w:p>
    <w:p>
      <w:pPr>
        <w:adjustRightInd w:val="0"/>
        <w:snapToGrid w:val="0"/>
        <w:spacing w:line="560" w:lineRule="exact"/>
        <w:ind w:firstLine="720"/>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该项目建设将为群众带来收益，让受益群众收入增加。同时提升当地群众生活条件，完善配套设施，提升群众获得感、幸福感。项目计划于2025年4月开工。</w:t>
      </w:r>
    </w:p>
    <w:p>
      <w:pPr>
        <w:adjustRightInd w:val="0"/>
        <w:snapToGrid w:val="0"/>
        <w:spacing w:line="560"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（三）项目资金申报相符性</w:t>
      </w:r>
    </w:p>
    <w:p>
      <w:pPr>
        <w:adjustRightInd w:val="0"/>
        <w:snapToGrid w:val="0"/>
        <w:spacing w:line="560" w:lineRule="exact"/>
        <w:ind w:firstLine="72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项目申报实施内容与实际实施内容一致，</w:t>
      </w:r>
      <w:r>
        <w:rPr>
          <w:rFonts w:hint="eastAsia" w:ascii="Times New Roman" w:hAnsi="Times New Roman" w:eastAsia="仿宋_GB2312" w:cs="仿宋_GB2312"/>
          <w:b w:val="0"/>
          <w:bCs w:val="0"/>
          <w:kern w:val="0"/>
          <w:position w:val="0"/>
          <w:sz w:val="32"/>
          <w:szCs w:val="32"/>
          <w:highlight w:val="none"/>
          <w:lang w:val="en-US" w:eastAsia="zh-CN" w:bidi="ar-SA"/>
        </w:rPr>
        <w:t>围绕进一步改善农村基础设施条件、为群众提供生活便利，群众得到了实质性的优惠与农村居民的生产生活息息相关，项目的实施能够得到广大群众的积极支持并参与建设，</w:t>
      </w:r>
      <w:r>
        <w:rPr>
          <w:rFonts w:hint="eastAsia" w:ascii="Times New Roman" w:hAnsi="Times New Roman" w:eastAsia="仿宋_GB2312" w:cs="仿宋_GB2312"/>
          <w:b w:val="0"/>
          <w:bCs w:val="0"/>
          <w:kern w:val="0"/>
          <w:position w:val="0"/>
          <w:sz w:val="32"/>
          <w:szCs w:val="32"/>
          <w:highlight w:val="none"/>
          <w:lang w:val="zh-CN" w:eastAsia="zh-CN" w:bidi="ar-SA"/>
        </w:rPr>
        <w:t>该项目的实施十分合理可行，社会效益显著。</w:t>
      </w:r>
    </w:p>
    <w:p>
      <w:pPr>
        <w:adjustRightInd w:val="0"/>
        <w:snapToGrid w:val="0"/>
        <w:spacing w:line="560" w:lineRule="exact"/>
        <w:ind w:firstLine="720"/>
        <w:rPr>
          <w:rFonts w:hint="eastAsia" w:ascii="黑体" w:hAnsi="宋体" w:eastAsia="黑体"/>
          <w:b/>
          <w:bCs/>
          <w:sz w:val="32"/>
          <w:szCs w:val="32"/>
        </w:rPr>
      </w:pPr>
      <w:r>
        <w:rPr>
          <w:rFonts w:hint="eastAsia" w:ascii="黑体" w:hAnsi="宋体" w:eastAsia="黑体"/>
          <w:b/>
          <w:bCs/>
          <w:sz w:val="32"/>
          <w:szCs w:val="32"/>
        </w:rPr>
        <w:t>二、项目实施及管理情况</w:t>
      </w:r>
    </w:p>
    <w:p>
      <w:pPr>
        <w:adjustRightInd w:val="0"/>
        <w:snapToGrid w:val="0"/>
        <w:spacing w:line="560" w:lineRule="exact"/>
        <w:ind w:firstLine="720"/>
        <w:rPr>
          <w:rFonts w:hint="eastAsia" w:ascii="楷体_GB2312" w:hAnsi="宋体" w:eastAsia="楷体_GB2312"/>
          <w:b/>
          <w:szCs w:val="32"/>
          <w:lang w:val="zh-CN"/>
        </w:rPr>
      </w:pPr>
      <w:r>
        <w:rPr>
          <w:rFonts w:hint="eastAsia" w:ascii="仿宋_GB2312" w:hAnsi="宋体"/>
          <w:szCs w:val="32"/>
          <w:lang w:val="zh-CN"/>
        </w:rPr>
        <w:tab/>
      </w:r>
      <w:r>
        <w:rPr>
          <w:rFonts w:hint="eastAsia" w:ascii="楷体_GB2312" w:hAnsi="宋体" w:eastAsia="楷体_GB2312"/>
          <w:b/>
          <w:sz w:val="28"/>
          <w:szCs w:val="28"/>
          <w:lang w:val="zh-CN"/>
        </w:rPr>
        <w:t>（一）资金计划、到位及使用情况</w:t>
      </w:r>
    </w:p>
    <w:p>
      <w:pPr>
        <w:adjustRightInd w:val="0"/>
        <w:snapToGrid w:val="0"/>
        <w:spacing w:line="560" w:lineRule="exact"/>
        <w:ind w:firstLine="72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1、资金计划及到位。该项目计划资金</w:t>
      </w:r>
      <w:r>
        <w:rPr>
          <w:rFonts w:hint="eastAsia" w:ascii="Times New Roman" w:hAnsi="Times New Roman" w:eastAsia="仿宋_GB2312" w:cs="仿宋_GB2312"/>
          <w:b w:val="0"/>
          <w:bCs w:val="0"/>
          <w:kern w:val="0"/>
          <w:position w:val="0"/>
          <w:sz w:val="32"/>
          <w:szCs w:val="32"/>
          <w:highlight w:val="none"/>
          <w:lang w:val="en-US" w:eastAsia="zh-CN" w:bidi="ar-SA"/>
        </w:rPr>
        <w:t>150万元，</w:t>
      </w:r>
      <w:r>
        <w:rPr>
          <w:rFonts w:hint="eastAsia" w:ascii="Times New Roman" w:hAnsi="Times New Roman" w:eastAsia="仿宋_GB2312" w:cs="仿宋_GB2312"/>
          <w:b w:val="0"/>
          <w:bCs w:val="0"/>
          <w:kern w:val="0"/>
          <w:position w:val="0"/>
          <w:sz w:val="32"/>
          <w:szCs w:val="32"/>
          <w:highlight w:val="none"/>
          <w:lang w:val="zh-CN" w:eastAsia="zh-CN" w:bidi="ar-SA"/>
        </w:rPr>
        <w:t>实际到位</w:t>
      </w:r>
      <w:r>
        <w:rPr>
          <w:rFonts w:hint="eastAsia" w:ascii="Times New Roman" w:hAnsi="Times New Roman" w:eastAsia="仿宋_GB2312" w:cs="仿宋_GB2312"/>
          <w:b w:val="0"/>
          <w:bCs w:val="0"/>
          <w:kern w:val="0"/>
          <w:position w:val="0"/>
          <w:sz w:val="32"/>
          <w:szCs w:val="32"/>
          <w:highlight w:val="none"/>
          <w:lang w:val="en-US" w:eastAsia="zh-CN" w:bidi="ar-SA"/>
        </w:rPr>
        <w:t>150万元，实际</w:t>
      </w:r>
      <w:r>
        <w:rPr>
          <w:rFonts w:hint="eastAsia" w:ascii="Times New Roman" w:hAnsi="Times New Roman" w:eastAsia="仿宋_GB2312" w:cs="仿宋_GB2312"/>
          <w:b w:val="0"/>
          <w:bCs w:val="0"/>
          <w:kern w:val="0"/>
          <w:position w:val="0"/>
          <w:sz w:val="32"/>
          <w:szCs w:val="32"/>
          <w:highlight w:val="none"/>
          <w:lang w:val="zh-CN" w:eastAsia="zh-CN" w:bidi="ar-SA"/>
        </w:rPr>
        <w:t>资金到位率</w:t>
      </w:r>
      <w:r>
        <w:rPr>
          <w:rFonts w:hint="eastAsia" w:ascii="Times New Roman" w:hAnsi="Times New Roman" w:eastAsia="仿宋_GB2312" w:cs="仿宋_GB2312"/>
          <w:b w:val="0"/>
          <w:bCs w:val="0"/>
          <w:kern w:val="0"/>
          <w:position w:val="0"/>
          <w:sz w:val="32"/>
          <w:szCs w:val="32"/>
          <w:highlight w:val="none"/>
          <w:lang w:val="en-US" w:eastAsia="zh-CN" w:bidi="ar-SA"/>
        </w:rPr>
        <w:t>100%</w:t>
      </w:r>
      <w:r>
        <w:rPr>
          <w:rFonts w:hint="eastAsia" w:ascii="Times New Roman" w:hAnsi="Times New Roman" w:eastAsia="仿宋_GB2312" w:cs="仿宋_GB2312"/>
          <w:b w:val="0"/>
          <w:bCs w:val="0"/>
          <w:kern w:val="0"/>
          <w:position w:val="0"/>
          <w:sz w:val="32"/>
          <w:szCs w:val="32"/>
          <w:highlight w:val="none"/>
          <w:lang w:val="zh-CN" w:eastAsia="zh-CN" w:bidi="ar-SA"/>
        </w:rPr>
        <w:t>。</w:t>
      </w:r>
    </w:p>
    <w:p>
      <w:pPr>
        <w:adjustRightInd w:val="0"/>
        <w:snapToGrid w:val="0"/>
        <w:spacing w:line="560" w:lineRule="exact"/>
        <w:ind w:firstLine="72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2、资金使用。截</w:t>
      </w:r>
      <w:r>
        <w:rPr>
          <w:rFonts w:hint="eastAsia" w:eastAsia="仿宋_GB2312" w:cs="仿宋_GB2312"/>
          <w:b w:val="0"/>
          <w:bCs w:val="0"/>
          <w:kern w:val="0"/>
          <w:position w:val="0"/>
          <w:sz w:val="32"/>
          <w:szCs w:val="32"/>
          <w:highlight w:val="none"/>
          <w:lang w:val="en-US" w:eastAsia="zh-CN" w:bidi="ar-SA"/>
        </w:rPr>
        <w:t>至</w:t>
      </w:r>
      <w:r>
        <w:rPr>
          <w:rFonts w:hint="eastAsia" w:ascii="Times New Roman" w:hAnsi="Times New Roman" w:eastAsia="仿宋_GB2312" w:cs="仿宋_GB2312"/>
          <w:b w:val="0"/>
          <w:bCs w:val="0"/>
          <w:kern w:val="0"/>
          <w:position w:val="0"/>
          <w:sz w:val="32"/>
          <w:szCs w:val="32"/>
          <w:highlight w:val="none"/>
          <w:lang w:val="zh-CN" w:eastAsia="zh-CN" w:bidi="ar-SA"/>
        </w:rPr>
        <w:t>评价时点项目资金的实际支出</w:t>
      </w:r>
      <w:r>
        <w:rPr>
          <w:rFonts w:hint="eastAsia" w:ascii="Times New Roman" w:hAnsi="Times New Roman" w:eastAsia="仿宋_GB2312" w:cs="仿宋_GB2312"/>
          <w:b w:val="0"/>
          <w:bCs w:val="0"/>
          <w:kern w:val="0"/>
          <w:position w:val="0"/>
          <w:sz w:val="32"/>
          <w:szCs w:val="32"/>
          <w:highlight w:val="none"/>
          <w:lang w:val="en-US" w:eastAsia="zh-CN" w:bidi="ar-SA"/>
        </w:rPr>
        <w:t>150余</w:t>
      </w:r>
      <w:r>
        <w:rPr>
          <w:rFonts w:hint="eastAsia" w:ascii="Times New Roman" w:hAnsi="Times New Roman" w:eastAsia="仿宋_GB2312" w:cs="仿宋_GB2312"/>
          <w:b w:val="0"/>
          <w:bCs w:val="0"/>
          <w:kern w:val="0"/>
          <w:position w:val="0"/>
          <w:sz w:val="32"/>
          <w:szCs w:val="32"/>
          <w:highlight w:val="none"/>
          <w:lang w:val="zh-CN" w:eastAsia="zh-CN" w:bidi="ar-SA"/>
        </w:rPr>
        <w:t>万元，资金开支范围主要为</w:t>
      </w:r>
      <w:r>
        <w:rPr>
          <w:rFonts w:hint="eastAsia" w:ascii="Times New Roman" w:hAnsi="Times New Roman" w:eastAsia="仿宋_GB2312" w:cs="仿宋_GB2312"/>
          <w:b w:val="0"/>
          <w:bCs w:val="0"/>
          <w:kern w:val="0"/>
          <w:position w:val="0"/>
          <w:sz w:val="32"/>
          <w:szCs w:val="32"/>
          <w:highlight w:val="none"/>
          <w:lang w:val="en-US" w:eastAsia="zh-CN" w:bidi="ar-SA"/>
        </w:rPr>
        <w:t>项目建设费</w:t>
      </w:r>
      <w:r>
        <w:rPr>
          <w:rFonts w:hint="eastAsia" w:ascii="Times New Roman" w:hAnsi="Times New Roman" w:eastAsia="仿宋_GB2312" w:cs="仿宋_GB2312"/>
          <w:b w:val="0"/>
          <w:bCs w:val="0"/>
          <w:kern w:val="0"/>
          <w:position w:val="0"/>
          <w:sz w:val="32"/>
          <w:szCs w:val="32"/>
          <w:highlight w:val="none"/>
          <w:lang w:val="zh-CN" w:eastAsia="zh-CN" w:bidi="ar-SA"/>
        </w:rPr>
        <w:t>、支付依据合规合法，资金支付等于预算资金。</w:t>
      </w:r>
      <w:r>
        <w:rPr>
          <w:rFonts w:hint="eastAsia" w:ascii="Times New Roman" w:hAnsi="Times New Roman" w:eastAsia="仿宋_GB2312" w:cs="仿宋_GB2312"/>
          <w:b w:val="0"/>
          <w:bCs w:val="0"/>
          <w:kern w:val="0"/>
          <w:position w:val="0"/>
          <w:sz w:val="32"/>
          <w:szCs w:val="32"/>
          <w:highlight w:val="none"/>
          <w:lang w:val="en-US" w:eastAsia="zh-CN" w:bidi="ar-SA"/>
        </w:rPr>
        <w:t>支付合法合规</w:t>
      </w:r>
      <w:r>
        <w:rPr>
          <w:rFonts w:hint="eastAsia" w:ascii="Times New Roman" w:hAnsi="Times New Roman" w:eastAsia="仿宋_GB2312" w:cs="仿宋_GB2312"/>
          <w:b w:val="0"/>
          <w:bCs w:val="0"/>
          <w:kern w:val="0"/>
          <w:position w:val="0"/>
          <w:sz w:val="32"/>
          <w:szCs w:val="32"/>
          <w:highlight w:val="none"/>
          <w:lang w:val="zh-CN" w:eastAsia="zh-CN" w:bidi="ar-SA"/>
        </w:rPr>
        <w:t>。</w:t>
      </w:r>
    </w:p>
    <w:p>
      <w:pPr>
        <w:adjustRightInd w:val="0"/>
        <w:snapToGrid w:val="0"/>
        <w:spacing w:line="560"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（二）项目财务管理情况</w:t>
      </w:r>
    </w:p>
    <w:p>
      <w:pPr>
        <w:adjustRightInd w:val="0"/>
        <w:snapToGrid w:val="0"/>
        <w:spacing w:line="560" w:lineRule="exact"/>
        <w:ind w:firstLine="72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严格按照会计法和相关财务制度实施，对照项目资金管理办法，评价项目严格执行财务管理制度、财务处理及时、会计核算规范。资金到位后，我乡加强对项目资金使用情况的监督管理，做到专款专用，确保不挪用转借和挤占项目工程款。</w:t>
      </w:r>
    </w:p>
    <w:p>
      <w:pPr>
        <w:adjustRightInd w:val="0"/>
        <w:snapToGrid w:val="0"/>
        <w:spacing w:line="560"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（三）项目组织实施情况</w:t>
      </w:r>
    </w:p>
    <w:p>
      <w:pPr>
        <w:adjustRightInd w:val="0"/>
        <w:snapToGrid w:val="0"/>
        <w:spacing w:line="560" w:lineRule="exact"/>
        <w:ind w:firstLine="72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仿宋_GB2312" w:hAnsi="宋体"/>
          <w:szCs w:val="32"/>
          <w:lang w:val="en-US" w:eastAsia="zh-CN"/>
        </w:rPr>
        <w:t>该</w:t>
      </w:r>
      <w:r>
        <w:rPr>
          <w:rFonts w:hint="eastAsia" w:ascii="Times New Roman" w:hAnsi="Times New Roman" w:eastAsia="仿宋_GB2312" w:cs="仿宋_GB2312"/>
          <w:b w:val="0"/>
          <w:bCs w:val="0"/>
          <w:kern w:val="0"/>
          <w:position w:val="0"/>
          <w:sz w:val="32"/>
          <w:szCs w:val="32"/>
          <w:highlight w:val="none"/>
          <w:lang w:val="en-US" w:eastAsia="zh-CN" w:bidi="ar-SA"/>
        </w:rPr>
        <w:t>项目按照招标相关程序确定施工方，并</w:t>
      </w:r>
      <w:r>
        <w:rPr>
          <w:rFonts w:hint="eastAsia" w:ascii="Times New Roman" w:hAnsi="Times New Roman" w:eastAsia="仿宋_GB2312" w:cs="仿宋_GB2312"/>
          <w:b w:val="0"/>
          <w:bCs w:val="0"/>
          <w:kern w:val="0"/>
          <w:position w:val="0"/>
          <w:sz w:val="32"/>
          <w:szCs w:val="32"/>
          <w:highlight w:val="none"/>
          <w:lang w:val="zh-CN" w:eastAsia="zh-CN" w:bidi="ar-SA"/>
        </w:rPr>
        <w:t>成立了项目</w:t>
      </w:r>
      <w:r>
        <w:rPr>
          <w:rFonts w:hint="eastAsia" w:ascii="Times New Roman" w:hAnsi="Times New Roman" w:eastAsia="仿宋_GB2312" w:cs="仿宋_GB2312"/>
          <w:b w:val="0"/>
          <w:bCs w:val="0"/>
          <w:kern w:val="0"/>
          <w:position w:val="0"/>
          <w:sz w:val="32"/>
          <w:szCs w:val="32"/>
          <w:highlight w:val="none"/>
          <w:lang w:val="en-US" w:eastAsia="zh-CN" w:bidi="ar-SA"/>
        </w:rPr>
        <w:t>领导小组</w:t>
      </w:r>
      <w:r>
        <w:rPr>
          <w:rFonts w:hint="eastAsia" w:ascii="Times New Roman" w:hAnsi="Times New Roman" w:eastAsia="仿宋_GB2312" w:cs="仿宋_GB2312"/>
          <w:b w:val="0"/>
          <w:bCs w:val="0"/>
          <w:kern w:val="0"/>
          <w:position w:val="0"/>
          <w:sz w:val="32"/>
          <w:szCs w:val="32"/>
          <w:highlight w:val="none"/>
          <w:lang w:val="zh-CN" w:eastAsia="zh-CN" w:bidi="ar-SA"/>
        </w:rPr>
        <w:t>、配备了监理，</w:t>
      </w:r>
      <w:r>
        <w:rPr>
          <w:rFonts w:hint="eastAsia" w:ascii="Times New Roman" w:hAnsi="Times New Roman" w:eastAsia="仿宋_GB2312" w:cs="仿宋_GB2312"/>
          <w:b w:val="0"/>
          <w:bCs w:val="0"/>
          <w:kern w:val="0"/>
          <w:position w:val="0"/>
          <w:sz w:val="32"/>
          <w:szCs w:val="32"/>
          <w:highlight w:val="none"/>
          <w:lang w:val="en-US" w:eastAsia="zh-CN" w:bidi="ar-SA"/>
        </w:rPr>
        <w:t>村上</w:t>
      </w:r>
      <w:r>
        <w:rPr>
          <w:rFonts w:hint="eastAsia" w:ascii="Times New Roman" w:hAnsi="Times New Roman" w:eastAsia="仿宋_GB2312" w:cs="仿宋_GB2312"/>
          <w:b w:val="0"/>
          <w:bCs w:val="0"/>
          <w:kern w:val="0"/>
          <w:position w:val="0"/>
          <w:sz w:val="32"/>
          <w:szCs w:val="32"/>
          <w:highlight w:val="none"/>
          <w:lang w:val="zh-CN" w:eastAsia="zh-CN" w:bidi="ar-SA"/>
        </w:rPr>
        <w:t>安排有专人</w:t>
      </w:r>
      <w:r>
        <w:rPr>
          <w:rFonts w:hint="eastAsia" w:ascii="Times New Roman" w:hAnsi="Times New Roman" w:eastAsia="仿宋_GB2312" w:cs="仿宋_GB2312"/>
          <w:b w:val="0"/>
          <w:bCs w:val="0"/>
          <w:kern w:val="0"/>
          <w:position w:val="0"/>
          <w:sz w:val="32"/>
          <w:szCs w:val="32"/>
          <w:highlight w:val="none"/>
          <w:lang w:val="en-US" w:eastAsia="zh-CN" w:bidi="ar-SA"/>
        </w:rPr>
        <w:t>监督，并按照</w:t>
      </w:r>
      <w:r>
        <w:rPr>
          <w:rFonts w:hint="eastAsia" w:ascii="Times New Roman" w:hAnsi="Times New Roman" w:eastAsia="仿宋_GB2312" w:cs="仿宋_GB2312"/>
          <w:b w:val="0"/>
          <w:bCs w:val="0"/>
          <w:kern w:val="0"/>
          <w:position w:val="0"/>
          <w:sz w:val="32"/>
          <w:szCs w:val="32"/>
          <w:highlight w:val="none"/>
          <w:lang w:val="zh-CN" w:eastAsia="zh-CN" w:bidi="ar-SA"/>
        </w:rPr>
        <w:t>项目实施方案实施。</w:t>
      </w:r>
    </w:p>
    <w:p>
      <w:pPr>
        <w:adjustRightInd w:val="0"/>
        <w:snapToGrid w:val="0"/>
        <w:spacing w:line="560" w:lineRule="exact"/>
        <w:ind w:firstLine="720"/>
        <w:rPr>
          <w:rFonts w:hint="eastAsia" w:ascii="仿宋_GB2312" w:hAnsi="宋体"/>
          <w:b/>
          <w:bCs/>
          <w:sz w:val="32"/>
          <w:szCs w:val="32"/>
          <w:lang w:val="zh-CN"/>
        </w:rPr>
      </w:pPr>
      <w:r>
        <w:rPr>
          <w:rFonts w:hint="eastAsia" w:ascii="黑体" w:hAnsi="宋体" w:eastAsia="黑体"/>
          <w:b/>
          <w:bCs/>
          <w:sz w:val="32"/>
          <w:szCs w:val="32"/>
        </w:rPr>
        <w:t>三、目标完成情况</w:t>
      </w:r>
      <w:r>
        <w:rPr>
          <w:rFonts w:hint="eastAsia" w:ascii="仿宋_GB2312" w:hAnsi="宋体"/>
          <w:b/>
          <w:bCs/>
          <w:sz w:val="32"/>
          <w:szCs w:val="32"/>
          <w:lang w:val="zh-CN"/>
        </w:rPr>
        <w:tab/>
      </w:r>
    </w:p>
    <w:p>
      <w:pPr>
        <w:adjustRightInd w:val="0"/>
        <w:snapToGrid w:val="0"/>
        <w:spacing w:line="560" w:lineRule="exact"/>
        <w:ind w:firstLine="720"/>
        <w:rPr>
          <w:rFonts w:hint="eastAsia" w:ascii="楷体_GB2312" w:hAnsi="宋体" w:eastAsia="楷体_GB2312"/>
          <w:b/>
          <w:sz w:val="28"/>
          <w:szCs w:val="28"/>
          <w:lang w:val="zh-CN"/>
        </w:rPr>
      </w:pPr>
      <w:r>
        <w:rPr>
          <w:rFonts w:hint="eastAsia" w:ascii="楷体_GB2312" w:hAnsi="宋体" w:eastAsia="楷体_GB2312"/>
          <w:b/>
          <w:sz w:val="28"/>
          <w:szCs w:val="28"/>
          <w:lang w:val="zh-CN"/>
        </w:rPr>
        <w:t>（一）目标任务量完成情况</w:t>
      </w:r>
    </w:p>
    <w:p>
      <w:pPr>
        <w:adjustRightInd w:val="0"/>
        <w:snapToGrid w:val="0"/>
        <w:spacing w:line="560" w:lineRule="exact"/>
        <w:ind w:firstLine="72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我乡成立了项目领导小组并配备监理协助抓好工程工期</w:t>
      </w:r>
      <w:r>
        <w:rPr>
          <w:rFonts w:hint="eastAsia" w:ascii="Times New Roman" w:hAnsi="Times New Roman" w:eastAsia="仿宋_GB2312" w:cs="仿宋_GB2312"/>
          <w:b w:val="0"/>
          <w:bCs w:val="0"/>
          <w:kern w:val="0"/>
          <w:position w:val="0"/>
          <w:sz w:val="32"/>
          <w:szCs w:val="32"/>
          <w:highlight w:val="none"/>
          <w:lang w:val="en-US" w:eastAsia="zh-CN" w:bidi="ar-SA"/>
        </w:rPr>
        <w:t>与</w:t>
      </w:r>
      <w:r>
        <w:rPr>
          <w:rFonts w:hint="eastAsia" w:ascii="Times New Roman" w:hAnsi="Times New Roman" w:eastAsia="仿宋_GB2312" w:cs="仿宋_GB2312"/>
          <w:b w:val="0"/>
          <w:bCs w:val="0"/>
          <w:kern w:val="0"/>
          <w:position w:val="0"/>
          <w:sz w:val="32"/>
          <w:szCs w:val="32"/>
          <w:highlight w:val="none"/>
          <w:lang w:val="zh-CN" w:eastAsia="zh-CN" w:bidi="ar-SA"/>
        </w:rPr>
        <w:t>质量等工作。</w:t>
      </w:r>
      <w:r>
        <w:rPr>
          <w:rFonts w:hint="eastAsia" w:ascii="Times New Roman" w:hAnsi="Times New Roman" w:eastAsia="仿宋_GB2312" w:cs="仿宋_GB2312"/>
          <w:b w:val="0"/>
          <w:bCs w:val="0"/>
          <w:kern w:val="0"/>
          <w:position w:val="0"/>
          <w:sz w:val="32"/>
          <w:szCs w:val="32"/>
          <w:highlight w:val="none"/>
          <w:lang w:val="en-US" w:eastAsia="zh-CN" w:bidi="ar-SA"/>
        </w:rPr>
        <w:t>该项目建设内容和设计清单内容及批复内容相符，并按时完成各项指标，验收合格</w:t>
      </w:r>
      <w:r>
        <w:rPr>
          <w:rFonts w:hint="eastAsia" w:ascii="Times New Roman" w:hAnsi="Times New Roman" w:eastAsia="仿宋_GB2312" w:cs="仿宋_GB2312"/>
          <w:b w:val="0"/>
          <w:bCs w:val="0"/>
          <w:kern w:val="0"/>
          <w:position w:val="0"/>
          <w:sz w:val="32"/>
          <w:szCs w:val="32"/>
          <w:highlight w:val="none"/>
          <w:lang w:val="zh-CN" w:eastAsia="zh-CN" w:bidi="ar-SA"/>
        </w:rPr>
        <w:t>。</w:t>
      </w:r>
    </w:p>
    <w:p>
      <w:pPr>
        <w:adjustRightInd w:val="0"/>
        <w:snapToGrid w:val="0"/>
        <w:spacing w:line="560"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（二）目标质量完成情况</w:t>
      </w:r>
    </w:p>
    <w:p>
      <w:pPr>
        <w:adjustRightInd w:val="0"/>
        <w:snapToGrid w:val="0"/>
        <w:spacing w:line="560" w:lineRule="exact"/>
        <w:ind w:firstLine="72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工程建设质量符合设计规范、验收合格</w:t>
      </w:r>
      <w:r>
        <w:rPr>
          <w:rFonts w:hint="eastAsia" w:ascii="Times New Roman" w:hAnsi="Times New Roman" w:eastAsia="仿宋_GB2312" w:cs="仿宋_GB2312"/>
          <w:b w:val="0"/>
          <w:bCs w:val="0"/>
          <w:kern w:val="0"/>
          <w:position w:val="0"/>
          <w:sz w:val="32"/>
          <w:szCs w:val="32"/>
          <w:highlight w:val="none"/>
          <w:lang w:val="zh-CN" w:eastAsia="zh-CN" w:bidi="ar-SA"/>
        </w:rPr>
        <w:t>。</w:t>
      </w:r>
    </w:p>
    <w:p>
      <w:pPr>
        <w:adjustRightInd w:val="0"/>
        <w:snapToGrid w:val="0"/>
        <w:spacing w:line="560"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（三）目标进度完成情况</w:t>
      </w:r>
    </w:p>
    <w:p>
      <w:pPr>
        <w:adjustRightInd w:val="0"/>
        <w:snapToGrid w:val="0"/>
        <w:spacing w:line="560" w:lineRule="exact"/>
        <w:ind w:firstLine="72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该项目计划工期与实际工期一致，如约完成建设</w:t>
      </w:r>
      <w:r>
        <w:rPr>
          <w:rFonts w:hint="eastAsia" w:ascii="Times New Roman" w:hAnsi="Times New Roman" w:eastAsia="仿宋_GB2312" w:cs="仿宋_GB2312"/>
          <w:b w:val="0"/>
          <w:bCs w:val="0"/>
          <w:kern w:val="0"/>
          <w:position w:val="0"/>
          <w:sz w:val="32"/>
          <w:szCs w:val="32"/>
          <w:highlight w:val="none"/>
          <w:lang w:val="zh-CN" w:eastAsia="zh-CN" w:bidi="ar-SA"/>
        </w:rPr>
        <w:t>。</w:t>
      </w:r>
    </w:p>
    <w:p>
      <w:pPr>
        <w:adjustRightInd w:val="0"/>
        <w:snapToGrid w:val="0"/>
        <w:spacing w:line="560" w:lineRule="exact"/>
        <w:ind w:firstLine="720"/>
        <w:rPr>
          <w:rFonts w:hint="eastAsia" w:ascii="黑体" w:hAnsi="宋体" w:eastAsia="黑体"/>
          <w:b/>
          <w:bCs/>
          <w:sz w:val="32"/>
          <w:szCs w:val="32"/>
        </w:rPr>
      </w:pPr>
      <w:r>
        <w:rPr>
          <w:rFonts w:hint="eastAsia" w:ascii="黑体" w:hAnsi="宋体" w:eastAsia="黑体"/>
          <w:b/>
          <w:bCs/>
          <w:sz w:val="32"/>
          <w:szCs w:val="32"/>
        </w:rPr>
        <w:t>四、项目效益情况</w:t>
      </w:r>
    </w:p>
    <w:p>
      <w:pPr>
        <w:adjustRightInd w:val="0"/>
        <w:snapToGrid w:val="0"/>
        <w:spacing w:line="560" w:lineRule="exact"/>
        <w:ind w:firstLine="72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壤塘县茸木达乡2025年标准化种植基地项目</w:t>
      </w:r>
      <w:r>
        <w:rPr>
          <w:rFonts w:hint="eastAsia" w:ascii="Times New Roman" w:hAnsi="Times New Roman" w:eastAsia="仿宋_GB2312" w:cs="仿宋_GB2312"/>
          <w:b w:val="0"/>
          <w:bCs w:val="0"/>
          <w:kern w:val="0"/>
          <w:position w:val="0"/>
          <w:sz w:val="32"/>
          <w:szCs w:val="32"/>
          <w:highlight w:val="none"/>
          <w:lang w:val="zh-CN" w:eastAsia="zh-CN" w:bidi="ar-SA"/>
        </w:rPr>
        <w:t>的实施，将</w:t>
      </w:r>
      <w:r>
        <w:rPr>
          <w:rFonts w:hint="eastAsia" w:ascii="Times New Roman" w:hAnsi="Times New Roman" w:eastAsia="仿宋_GB2312" w:cs="仿宋_GB2312"/>
          <w:b w:val="0"/>
          <w:bCs w:val="0"/>
          <w:kern w:val="0"/>
          <w:position w:val="0"/>
          <w:sz w:val="32"/>
          <w:szCs w:val="32"/>
          <w:highlight w:val="none"/>
          <w:lang w:val="en-US" w:eastAsia="zh-CN" w:bidi="ar-SA"/>
        </w:rPr>
        <w:t>有效</w:t>
      </w:r>
      <w:r>
        <w:rPr>
          <w:rFonts w:hint="eastAsia" w:ascii="Times New Roman" w:hAnsi="Times New Roman" w:eastAsia="仿宋_GB2312" w:cs="仿宋_GB2312"/>
          <w:b w:val="0"/>
          <w:bCs w:val="0"/>
          <w:kern w:val="0"/>
          <w:position w:val="0"/>
          <w:sz w:val="32"/>
          <w:szCs w:val="32"/>
          <w:highlight w:val="none"/>
          <w:lang w:val="zh-CN" w:eastAsia="zh-CN" w:bidi="ar-SA"/>
        </w:rPr>
        <w:t>改善农牧民收入短板，进一步提高农牧民生产生活积极性，其经济效益和社会效益都将十分显著，是一项利村、利民、利社会的系统工程、民心工程、德政工程。</w:t>
      </w:r>
    </w:p>
    <w:p>
      <w:pPr>
        <w:adjustRightInd w:val="0"/>
        <w:snapToGrid w:val="0"/>
        <w:spacing w:line="560" w:lineRule="exact"/>
        <w:ind w:firstLine="720"/>
        <w:rPr>
          <w:rFonts w:hint="eastAsia" w:ascii="黑体" w:hAnsi="宋体" w:eastAsia="黑体"/>
          <w:b/>
          <w:bCs/>
          <w:sz w:val="32"/>
          <w:szCs w:val="32"/>
        </w:rPr>
      </w:pPr>
      <w:r>
        <w:rPr>
          <w:rFonts w:hint="eastAsia" w:ascii="黑体" w:hAnsi="宋体" w:eastAsia="黑体"/>
          <w:b/>
          <w:bCs/>
          <w:sz w:val="32"/>
          <w:szCs w:val="32"/>
        </w:rPr>
        <w:t>五、问题及建议</w:t>
      </w:r>
    </w:p>
    <w:p>
      <w:pPr>
        <w:adjustRightInd w:val="0"/>
        <w:snapToGrid w:val="0"/>
        <w:spacing w:line="560" w:lineRule="exact"/>
        <w:ind w:firstLine="720"/>
        <w:rPr>
          <w:rFonts w:hint="eastAsia" w:ascii="楷体_GB2312" w:hAnsi="宋体" w:eastAsia="楷体_GB2312"/>
          <w:b/>
          <w:sz w:val="32"/>
          <w:szCs w:val="32"/>
          <w:lang w:val="en-US" w:eastAsia="zh-CN"/>
        </w:rPr>
      </w:pPr>
      <w:r>
        <w:rPr>
          <w:rFonts w:hint="eastAsia" w:ascii="楷体_GB2312" w:hAnsi="宋体" w:eastAsia="楷体_GB2312"/>
          <w:b/>
          <w:sz w:val="32"/>
          <w:szCs w:val="32"/>
          <w:lang w:val="zh-CN"/>
        </w:rPr>
        <w:t>（一）存在的问题：</w:t>
      </w:r>
      <w:r>
        <w:rPr>
          <w:rFonts w:hint="eastAsia" w:ascii="Times New Roman" w:hAnsi="Times New Roman" w:eastAsia="仿宋_GB2312" w:cs="仿宋_GB2312"/>
          <w:b w:val="0"/>
          <w:bCs w:val="0"/>
          <w:kern w:val="0"/>
          <w:position w:val="0"/>
          <w:sz w:val="32"/>
          <w:szCs w:val="32"/>
          <w:highlight w:val="none"/>
          <w:lang w:val="en-US" w:eastAsia="zh-CN" w:bidi="ar-SA"/>
        </w:rPr>
        <w:t>无</w:t>
      </w:r>
    </w:p>
    <w:p>
      <w:pPr>
        <w:adjustRightInd w:val="0"/>
        <w:snapToGrid w:val="0"/>
        <w:spacing w:line="560"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（二）相关建议：</w:t>
      </w:r>
      <w:r>
        <w:rPr>
          <w:rFonts w:hint="eastAsia" w:ascii="Times New Roman" w:hAnsi="Times New Roman" w:eastAsia="仿宋_GB2312" w:cs="仿宋_GB2312"/>
          <w:b w:val="0"/>
          <w:bCs w:val="0"/>
          <w:kern w:val="0"/>
          <w:position w:val="0"/>
          <w:sz w:val="32"/>
          <w:szCs w:val="32"/>
          <w:highlight w:val="none"/>
          <w:lang w:val="en-US" w:eastAsia="zh-CN" w:bidi="ar-SA"/>
        </w:rPr>
        <w:t>无</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4"/>
        <w:gridCol w:w="614"/>
        <w:gridCol w:w="1011"/>
        <w:gridCol w:w="1626"/>
        <w:gridCol w:w="614"/>
        <w:gridCol w:w="1657"/>
        <w:gridCol w:w="1458"/>
        <w:gridCol w:w="713"/>
        <w:gridCol w:w="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9"/>
            <w:tcBorders>
              <w:top w:val="nil"/>
              <w:left w:val="nil"/>
              <w:bottom w:val="nil"/>
              <w:right w:val="nil"/>
            </w:tcBorders>
            <w:shd w:val="clear" w:color="auto" w:fill="auto"/>
            <w:noWrap/>
            <w:vAlign w:val="center"/>
          </w:tcPr>
          <w:p>
            <w:pPr>
              <w:snapToGrid w:val="0"/>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9"/>
            <w:tcBorders>
              <w:top w:val="nil"/>
              <w:left w:val="nil"/>
              <w:bottom w:val="nil"/>
              <w:right w:val="nil"/>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绩效目标自评表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9"/>
            <w:tcBorders>
              <w:top w:val="nil"/>
              <w:left w:val="nil"/>
              <w:bottom w:val="nil"/>
              <w:right w:val="nil"/>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13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壤塘县茸木达乡2025年标准化种植基地项目</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项目负责人    及电话</w:t>
            </w:r>
          </w:p>
        </w:tc>
        <w:tc>
          <w:tcPr>
            <w:tcW w:w="15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罗俊：18828800088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13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科农局</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实施单位</w:t>
            </w:r>
          </w:p>
        </w:tc>
        <w:tc>
          <w:tcPr>
            <w:tcW w:w="15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茸木达乡人民政府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资金情况          （万元）</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全年预算数（A)</w:t>
            </w:r>
          </w:p>
        </w:tc>
        <w:tc>
          <w:tcPr>
            <w:tcW w:w="972" w:type="pc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全年执行数（B)</w:t>
            </w:r>
          </w:p>
        </w:tc>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执行率(B/A)</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年度资金总额这:</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972"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其中：本年财政拨款</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972"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其他资金</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22"/>
                <w:szCs w:val="22"/>
                <w:u w:val="none"/>
              </w:rPr>
            </w:pPr>
          </w:p>
        </w:tc>
        <w:tc>
          <w:tcPr>
            <w:tcW w:w="972" w:type="pct"/>
            <w:tcBorders>
              <w:top w:val="single" w:color="000000" w:sz="4" w:space="0"/>
              <w:left w:val="nil"/>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年度总体目标</w:t>
            </w:r>
          </w:p>
        </w:tc>
        <w:tc>
          <w:tcPr>
            <w:tcW w:w="226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年初设定目标</w:t>
            </w:r>
          </w:p>
        </w:tc>
        <w:tc>
          <w:tcPr>
            <w:tcW w:w="248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226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目标1：新建大棚4706平方米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目标2：增加群众收入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目标3：采购香菇菌棒104000袋</w:t>
            </w:r>
          </w:p>
        </w:tc>
        <w:tc>
          <w:tcPr>
            <w:tcW w:w="248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目标1：新建大棚4706平方米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目标2：增加群众收入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目标3：采购香菇菌棒104000袋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全年指标值</w:t>
            </w:r>
          </w:p>
        </w:tc>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全年实际值</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产出指标（50分）</w:t>
            </w:r>
          </w:p>
        </w:tc>
        <w:tc>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9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新建大棚</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`=3616平方米</w:t>
            </w:r>
          </w:p>
        </w:tc>
        <w:tc>
          <w:tcPr>
            <w:tcW w:w="8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`=3616平方米</w:t>
            </w:r>
          </w:p>
        </w:tc>
        <w:tc>
          <w:tcPr>
            <w:tcW w:w="4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2"/>
                <w:szCs w:val="1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4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采购香菇菌棒</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`=104000袋</w:t>
            </w: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`=104000袋</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项目验收合格率</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项目完成时限</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≤6个月</w:t>
            </w: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4个月</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截</w:t>
            </w:r>
            <w:r>
              <w:rPr>
                <w:rFonts w:hint="eastAsia" w:ascii="宋体" w:hAnsi="宋体" w:cs="宋体"/>
                <w:i w:val="0"/>
                <w:iCs w:val="0"/>
                <w:color w:val="000000"/>
                <w:kern w:val="0"/>
                <w:sz w:val="12"/>
                <w:szCs w:val="12"/>
                <w:u w:val="none"/>
                <w:lang w:val="en-US" w:eastAsia="zh-CN" w:bidi="ar"/>
              </w:rPr>
              <w:t>至</w:t>
            </w:r>
            <w:r>
              <w:rPr>
                <w:rFonts w:hint="eastAsia" w:ascii="宋体" w:hAnsi="宋体" w:eastAsia="宋体" w:cs="宋体"/>
                <w:i w:val="0"/>
                <w:iCs w:val="0"/>
                <w:color w:val="000000"/>
                <w:kern w:val="0"/>
                <w:sz w:val="12"/>
                <w:szCs w:val="12"/>
                <w:u w:val="none"/>
                <w:lang w:val="en-US" w:eastAsia="zh-CN" w:bidi="ar"/>
              </w:rPr>
              <w:t>2025年12月资金支付率</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9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项目投入经济成本</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≤150万元</w:t>
            </w:r>
          </w:p>
        </w:tc>
        <w:tc>
          <w:tcPr>
            <w:tcW w:w="8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150万元</w:t>
            </w:r>
          </w:p>
        </w:tc>
        <w:tc>
          <w:tcPr>
            <w:tcW w:w="4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2"/>
                <w:szCs w:val="1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nil"/>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效益指标（30分）</w:t>
            </w:r>
          </w:p>
        </w:tc>
        <w:tc>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经济效益指标</w:t>
            </w:r>
          </w:p>
        </w:tc>
        <w:tc>
          <w:tcPr>
            <w:tcW w:w="9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增加种植群众收</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≥150元/人/ 天</w:t>
            </w:r>
          </w:p>
        </w:tc>
        <w:tc>
          <w:tcPr>
            <w:tcW w:w="8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150元/人/ 天</w:t>
            </w:r>
          </w:p>
        </w:tc>
        <w:tc>
          <w:tcPr>
            <w:tcW w:w="4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2"/>
                <w:szCs w:val="1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带动就近务工人数</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≥6人</w:t>
            </w: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14人</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生态效益指标</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2"/>
                <w:szCs w:val="1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16"/>
                <w:szCs w:val="16"/>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满意度指标（10分）</w:t>
            </w:r>
          </w:p>
        </w:tc>
        <w:tc>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受益贫困人口满意度</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94%</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2"/>
                <w:szCs w:val="22"/>
                <w:u w:val="none"/>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5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总分</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hAnsi="宋体" w:eastAsia="宋体" w:cs="宋体"/>
                <w:i w:val="0"/>
                <w:iCs w:val="0"/>
                <w:color w:val="000000"/>
                <w:sz w:val="22"/>
                <w:szCs w:val="22"/>
                <w:u w:val="none"/>
              </w:rPr>
            </w:pP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9"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6"/>
      <w:bookmarkEnd w:id="49"/>
      <w:bookmarkStart w:id="50"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0"/>
      <w:r>
        <w:rPr>
          <w:rFonts w:hint="eastAsia" w:ascii="Times New Roman" w:hAnsi="Times New Roman" w:eastAsia="仿宋_GB2312" w:cs="仿宋_GB2312"/>
          <w:color w:val="auto"/>
          <w:sz w:val="32"/>
          <w:szCs w:val="32"/>
          <w:highlight w:val="none"/>
        </w:rPr>
        <w:t>二、收入决算表</w:t>
      </w:r>
      <w:bookmarkEnd w:id="5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1"/>
      <w:r>
        <w:rPr>
          <w:rFonts w:hint="eastAsia" w:ascii="Times New Roman" w:hAnsi="Times New Roman" w:eastAsia="仿宋_GB2312" w:cs="仿宋_GB2312"/>
          <w:color w:val="auto"/>
          <w:sz w:val="32"/>
          <w:szCs w:val="32"/>
          <w:highlight w:val="none"/>
        </w:rPr>
        <w:t>三、支出决算表</w:t>
      </w:r>
      <w:bookmarkEnd w:id="5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2"/>
      <w:r>
        <w:rPr>
          <w:rFonts w:hint="eastAsia" w:ascii="Times New Roman" w:hAnsi="Times New Roman" w:eastAsia="仿宋_GB2312" w:cs="仿宋_GB2312"/>
          <w:color w:val="auto"/>
          <w:sz w:val="32"/>
          <w:szCs w:val="32"/>
          <w:highlight w:val="none"/>
        </w:rPr>
        <w:t>四、财政拨款收入支出决算总表</w:t>
      </w:r>
      <w:bookmarkEnd w:id="5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3"/>
      <w:r>
        <w:rPr>
          <w:rFonts w:hint="eastAsia" w:ascii="Times New Roman" w:hAnsi="Times New Roman" w:eastAsia="仿宋_GB2312" w:cs="仿宋_GB2312"/>
          <w:color w:val="auto"/>
          <w:sz w:val="32"/>
          <w:szCs w:val="32"/>
          <w:highlight w:val="none"/>
        </w:rPr>
        <w:t>五、财政拨款支出决算明细表</w:t>
      </w:r>
      <w:bookmarkEnd w:id="54"/>
      <w:bookmarkStart w:id="55"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5"/>
      <w:r>
        <w:rPr>
          <w:rFonts w:hint="eastAsia" w:ascii="Times New Roman" w:hAnsi="Times New Roman" w:eastAsia="仿宋_GB2312" w:cs="仿宋_GB2312"/>
          <w:color w:val="auto"/>
          <w:sz w:val="32"/>
          <w:szCs w:val="32"/>
          <w:highlight w:val="none"/>
        </w:rPr>
        <w:t>七、一般公共预算财政拨款支出决算明细表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6"/>
      <w:r>
        <w:rPr>
          <w:rFonts w:hint="eastAsia" w:ascii="Times New Roman" w:hAnsi="Times New Roman" w:eastAsia="仿宋_GB2312" w:cs="仿宋_GB2312"/>
          <w:color w:val="auto"/>
          <w:sz w:val="32"/>
          <w:szCs w:val="32"/>
          <w:highlight w:val="none"/>
        </w:rPr>
        <w:t>八、一般公共预算财政拨款基本支出决算表</w:t>
      </w:r>
      <w:bookmarkEnd w:id="5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7"/>
      <w:r>
        <w:rPr>
          <w:rFonts w:hint="eastAsia" w:ascii="Times New Roman" w:hAnsi="Times New Roman" w:eastAsia="仿宋_GB2312" w:cs="仿宋_GB2312"/>
          <w:color w:val="auto"/>
          <w:sz w:val="32"/>
          <w:szCs w:val="32"/>
          <w:highlight w:val="none"/>
        </w:rPr>
        <w:t>九、一般公共预算财政拨款项目支出决算表</w:t>
      </w:r>
      <w:bookmarkEnd w:id="5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8"/>
      <w:r>
        <w:rPr>
          <w:rFonts w:hint="eastAsia" w:ascii="Times New Roman" w:hAnsi="Times New Roman" w:eastAsia="仿宋_GB2312" w:cs="仿宋_GB2312"/>
          <w:color w:val="auto"/>
          <w:sz w:val="32"/>
          <w:szCs w:val="32"/>
          <w:highlight w:val="none"/>
        </w:rPr>
        <w:t>十、</w:t>
      </w:r>
      <w:bookmarkEnd w:id="59"/>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9"/>
      <w:r>
        <w:rPr>
          <w:rFonts w:hint="eastAsia" w:ascii="Times New Roman" w:hAnsi="Times New Roman" w:eastAsia="仿宋_GB2312" w:cs="仿宋_GB2312"/>
          <w:color w:val="auto"/>
          <w:sz w:val="32"/>
          <w:szCs w:val="32"/>
          <w:highlight w:val="none"/>
        </w:rPr>
        <w:t>十一、</w:t>
      </w:r>
      <w:bookmarkEnd w:id="6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30"/>
      <w:r>
        <w:rPr>
          <w:rFonts w:hint="eastAsia" w:ascii="Times New Roman" w:hAnsi="Times New Roman" w:eastAsia="仿宋_GB2312" w:cs="仿宋_GB2312"/>
          <w:color w:val="auto"/>
          <w:sz w:val="32"/>
          <w:szCs w:val="32"/>
          <w:highlight w:val="none"/>
        </w:rPr>
        <w:t>十二、</w:t>
      </w:r>
      <w:bookmarkEnd w:id="61"/>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2" w:name="_Toc15396631"/>
      <w:r>
        <w:rPr>
          <w:rFonts w:hint="eastAsia" w:ascii="Times New Roman" w:hAnsi="Times New Roman" w:eastAsia="仿宋_GB2312" w:cs="仿宋_GB2312"/>
          <w:color w:val="auto"/>
          <w:sz w:val="32"/>
          <w:szCs w:val="32"/>
          <w:highlight w:val="none"/>
        </w:rPr>
        <w:t>十三、</w:t>
      </w:r>
      <w:bookmarkEnd w:id="62"/>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11" w:type="first"/>
      <w:footerReference r:id="rId10" w:type="default"/>
      <w:pgSz w:w="11906" w:h="16838"/>
      <w:pgMar w:top="1440" w:right="1800" w:bottom="1440" w:left="1800" w:header="851" w:footer="992" w:gutter="0"/>
      <w:pgNumType w:fmt="decimal" w:start="8"/>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MCUUBH + FZKTK--GBK1-0">
    <w:altName w:val="华文中宋"/>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微软雅黑">
    <w:altName w:val="黑体"/>
    <w:panose1 w:val="020B0503020204020204"/>
    <w:charset w:val="86"/>
    <w:family w:val="auto"/>
    <w:pitch w:val="default"/>
    <w:sig w:usb0="00000000" w:usb1="00000000" w:usb2="00000016" w:usb3="00000000" w:csb0="0004001F" w:csb1="00000000"/>
  </w:font>
  <w:font w:name="方正小标宋_GBK">
    <w:panose1 w:val="03000502000000000000"/>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207"/>
      <w:rPr>
        <w:rFonts w:ascii="宋体" w:hAnsi="宋体" w:eastAsia="宋体" w:cs="宋体"/>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207"/>
      <w:rPr>
        <w:rFonts w:ascii="宋体" w:hAnsi="宋体" w:eastAsia="宋体" w:cs="宋体"/>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207"/>
      <w:rPr>
        <w:rFonts w:hint="eastAsia" w:ascii="宋体" w:hAnsi="宋体" w:eastAsia="宋体" w:cs="宋体"/>
        <w:sz w:val="28"/>
        <w:szCs w:val="28"/>
        <w:lang w:val="en-US" w:eastAsia="zh-C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AD6E2E"/>
    <w:multiLevelType w:val="singleLevel"/>
    <w:tmpl w:val="C5AD6E2E"/>
    <w:lvl w:ilvl="0" w:tentative="0">
      <w:start w:val="1"/>
      <w:numFmt w:val="decimal"/>
      <w:lvlText w:val="%1."/>
      <w:lvlJc w:val="left"/>
      <w:pPr>
        <w:tabs>
          <w:tab w:val="left" w:pos="312"/>
        </w:tabs>
      </w:pPr>
    </w:lvl>
  </w:abstractNum>
  <w:abstractNum w:abstractNumId="1">
    <w:nsid w:val="274B3144"/>
    <w:multiLevelType w:val="singleLevel"/>
    <w:tmpl w:val="274B3144"/>
    <w:lvl w:ilvl="0" w:tentative="0">
      <w:start w:val="1"/>
      <w:numFmt w:val="decimal"/>
      <w:lvlText w:val="%1."/>
      <w:lvlJc w:val="left"/>
      <w:pPr>
        <w:tabs>
          <w:tab w:val="left" w:pos="312"/>
        </w:tabs>
      </w:pPr>
    </w:lvl>
  </w:abstractNum>
  <w:abstractNum w:abstractNumId="2">
    <w:nsid w:val="2B62B8BC"/>
    <w:multiLevelType w:val="singleLevel"/>
    <w:tmpl w:val="2B62B8BC"/>
    <w:lvl w:ilvl="0" w:tentative="0">
      <w:start w:val="1"/>
      <w:numFmt w:val="chineseCounting"/>
      <w:suff w:val="nothing"/>
      <w:lvlText w:val="%1、"/>
      <w:lvlJc w:val="left"/>
      <w:rPr>
        <w:rFonts w:hint="eastAsia"/>
      </w:rPr>
    </w:lvl>
  </w:abstractNum>
  <w:abstractNum w:abstractNumId="3">
    <w:nsid w:val="5F4C052C"/>
    <w:multiLevelType w:val="singleLevel"/>
    <w:tmpl w:val="5F4C052C"/>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2108C3"/>
    <w:rsid w:val="09867E8F"/>
    <w:rsid w:val="0A2032A3"/>
    <w:rsid w:val="0AB27766"/>
    <w:rsid w:val="0C6C4794"/>
    <w:rsid w:val="0CA8290A"/>
    <w:rsid w:val="0D35B1ED"/>
    <w:rsid w:val="0DE07E2B"/>
    <w:rsid w:val="0F98263C"/>
    <w:rsid w:val="101860EC"/>
    <w:rsid w:val="10C055FF"/>
    <w:rsid w:val="11772AA4"/>
    <w:rsid w:val="118107EC"/>
    <w:rsid w:val="12070D49"/>
    <w:rsid w:val="130C6D51"/>
    <w:rsid w:val="13D50BC4"/>
    <w:rsid w:val="14022904"/>
    <w:rsid w:val="152F2A07"/>
    <w:rsid w:val="165E0673"/>
    <w:rsid w:val="16BB723D"/>
    <w:rsid w:val="17746C8E"/>
    <w:rsid w:val="17B142F3"/>
    <w:rsid w:val="186504BB"/>
    <w:rsid w:val="1938089F"/>
    <w:rsid w:val="196F567B"/>
    <w:rsid w:val="19A445FC"/>
    <w:rsid w:val="1B7D550C"/>
    <w:rsid w:val="1BE539D2"/>
    <w:rsid w:val="1BE8440E"/>
    <w:rsid w:val="1D155CEE"/>
    <w:rsid w:val="1E740ACF"/>
    <w:rsid w:val="1FE87421"/>
    <w:rsid w:val="1FF35744"/>
    <w:rsid w:val="1FF6BC77"/>
    <w:rsid w:val="2096601E"/>
    <w:rsid w:val="21962A9E"/>
    <w:rsid w:val="21AE7C77"/>
    <w:rsid w:val="22BC3C41"/>
    <w:rsid w:val="22C02AA3"/>
    <w:rsid w:val="23860B96"/>
    <w:rsid w:val="240371BF"/>
    <w:rsid w:val="25AD3AD4"/>
    <w:rsid w:val="260F557C"/>
    <w:rsid w:val="281408E2"/>
    <w:rsid w:val="29FD04D3"/>
    <w:rsid w:val="2BFF7BC6"/>
    <w:rsid w:val="2C8A61B5"/>
    <w:rsid w:val="2D2E01CF"/>
    <w:rsid w:val="2D9029AB"/>
    <w:rsid w:val="2DF04E50"/>
    <w:rsid w:val="2E9545B0"/>
    <w:rsid w:val="2F040D46"/>
    <w:rsid w:val="2FAE5751"/>
    <w:rsid w:val="2FB1A395"/>
    <w:rsid w:val="2FD076CB"/>
    <w:rsid w:val="2FD9A7D8"/>
    <w:rsid w:val="2FE33058"/>
    <w:rsid w:val="317F1D7B"/>
    <w:rsid w:val="319F7F4E"/>
    <w:rsid w:val="321B2544"/>
    <w:rsid w:val="324B3B99"/>
    <w:rsid w:val="3304709D"/>
    <w:rsid w:val="33AE5D47"/>
    <w:rsid w:val="34281836"/>
    <w:rsid w:val="347569FD"/>
    <w:rsid w:val="349D6851"/>
    <w:rsid w:val="35BA6CAF"/>
    <w:rsid w:val="364D14C1"/>
    <w:rsid w:val="3670418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CFC2AFF"/>
    <w:rsid w:val="3D945DE0"/>
    <w:rsid w:val="3D98207C"/>
    <w:rsid w:val="3D9B0D99"/>
    <w:rsid w:val="3DEE7CF3"/>
    <w:rsid w:val="3DF02244"/>
    <w:rsid w:val="3DF97B88"/>
    <w:rsid w:val="3E78745D"/>
    <w:rsid w:val="3FF4CAE0"/>
    <w:rsid w:val="3FF7B227"/>
    <w:rsid w:val="40E54C45"/>
    <w:rsid w:val="43A407DF"/>
    <w:rsid w:val="44515BEA"/>
    <w:rsid w:val="44E268DA"/>
    <w:rsid w:val="453F7E5B"/>
    <w:rsid w:val="4762475E"/>
    <w:rsid w:val="486A6C7A"/>
    <w:rsid w:val="49176D9B"/>
    <w:rsid w:val="4A627F82"/>
    <w:rsid w:val="4B0E749A"/>
    <w:rsid w:val="4B1B669A"/>
    <w:rsid w:val="4B4F25DA"/>
    <w:rsid w:val="4BDA0CFB"/>
    <w:rsid w:val="4BE068DB"/>
    <w:rsid w:val="4CD00F4C"/>
    <w:rsid w:val="4D3C0CCC"/>
    <w:rsid w:val="4D577224"/>
    <w:rsid w:val="4DBF1CEB"/>
    <w:rsid w:val="4E027201"/>
    <w:rsid w:val="4EAB630A"/>
    <w:rsid w:val="4ECE2238"/>
    <w:rsid w:val="4ECF1B63"/>
    <w:rsid w:val="4F061C5A"/>
    <w:rsid w:val="4F833267"/>
    <w:rsid w:val="4FE9BD67"/>
    <w:rsid w:val="4FFB052F"/>
    <w:rsid w:val="53083A92"/>
    <w:rsid w:val="536F0BB3"/>
    <w:rsid w:val="537E6D0A"/>
    <w:rsid w:val="53AF27A2"/>
    <w:rsid w:val="53F74C96"/>
    <w:rsid w:val="5494789D"/>
    <w:rsid w:val="56E47B74"/>
    <w:rsid w:val="57BD3DD4"/>
    <w:rsid w:val="58DC16DE"/>
    <w:rsid w:val="5AF92295"/>
    <w:rsid w:val="5BDD79E6"/>
    <w:rsid w:val="5BF561CA"/>
    <w:rsid w:val="5BFF5DFC"/>
    <w:rsid w:val="5C4A64F3"/>
    <w:rsid w:val="5CD71FC4"/>
    <w:rsid w:val="5D1F11B5"/>
    <w:rsid w:val="5DAE1B18"/>
    <w:rsid w:val="5DE7D9E5"/>
    <w:rsid w:val="5ECEC941"/>
    <w:rsid w:val="5F493CB7"/>
    <w:rsid w:val="5FBF9FF3"/>
    <w:rsid w:val="5FCD4E2C"/>
    <w:rsid w:val="5FD15F49"/>
    <w:rsid w:val="5FEF394A"/>
    <w:rsid w:val="5FF67715"/>
    <w:rsid w:val="61A53E1C"/>
    <w:rsid w:val="622639C9"/>
    <w:rsid w:val="62BF3928"/>
    <w:rsid w:val="647F5392"/>
    <w:rsid w:val="64B531B3"/>
    <w:rsid w:val="664B1D71"/>
    <w:rsid w:val="67AA3209"/>
    <w:rsid w:val="681C4F0D"/>
    <w:rsid w:val="69046D0F"/>
    <w:rsid w:val="690D66AB"/>
    <w:rsid w:val="6954706E"/>
    <w:rsid w:val="698D0931"/>
    <w:rsid w:val="6A993CED"/>
    <w:rsid w:val="6B053271"/>
    <w:rsid w:val="6B3F3082"/>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062326"/>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7FFE88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qFormat/>
    <w:uiPriority w:val="0"/>
    <w:pPr>
      <w:spacing w:after="120"/>
      <w:ind w:leftChars="200"/>
    </w:pPr>
    <w:rPr>
      <w:rFonts w:ascii="仿宋_GB2312"/>
      <w:szCs w:val="32"/>
    </w:rPr>
  </w:style>
  <w:style w:type="paragraph" w:styleId="7">
    <w:name w:val="Body Text"/>
    <w:basedOn w:val="1"/>
    <w:link w:val="27"/>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lenovo\Desktop\&#36130;&#21153;&#24037;&#20316;&#65292;&#38472;\&#20915;&#31639;&#20844;&#24320;\&#26032;&#24314;%20XLSX%20&#24037;&#20316;&#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Desktop\&#36130;&#21153;&#24037;&#20316;&#65292;&#38472;\&#20915;&#31639;&#20844;&#24320;\&#26032;&#24314;%20XLSX%20&#24037;&#20316;&#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Desktop\&#36130;&#21153;&#24037;&#20316;&#65292;&#38472;\&#20915;&#31639;&#20844;&#24320;\&#26032;&#24314;%20XLSX%20&#24037;&#20316;&#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enovo\Desktop\&#36130;&#21153;&#24037;&#20316;&#65292;&#38472;\&#20915;&#31639;&#20844;&#24320;\&#26032;&#24314;%20XLSX%20&#24037;&#20316;&#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enovo\Desktop\&#36130;&#21153;&#24037;&#20316;&#65292;&#38472;\&#20915;&#31639;&#20844;&#24320;\&#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收入、支出决算总计变动情况图（单位：万元）</a:t>
            </a:r>
          </a:p>
        </c:rich>
      </c:tx>
      <c:layout/>
      <c:overlay val="0"/>
      <c:spPr>
        <a:noFill/>
        <a:ln>
          <a:noFill/>
        </a:ln>
        <a:effectLst/>
      </c:spPr>
    </c:title>
    <c:autoTitleDeleted val="0"/>
    <c:plotArea>
      <c:layout/>
      <c:barChart>
        <c:barDir val="col"/>
        <c:grouping val="clustered"/>
        <c:varyColors val="0"/>
        <c:ser>
          <c:idx val="0"/>
          <c:order val="0"/>
          <c:tx>
            <c:strRef>
              <c:f>'[新建 XLSX 工作表.xlsx]图1收入、支出决算总计变动情况图'!$A$3</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'[新建 XLSX 工作表.xlsx]图1收入、支出决算总计变动情况图'!$B$1:$C$2</c:f>
              <c:multiLvlStrCache>
                <c:ptCount val="2"/>
                <c:lvl>
                  <c:pt idx="0">
                    <c:v>收入</c:v>
                  </c:pt>
                  <c:pt idx="1">
                    <c:v>支出</c:v>
                  </c:pt>
                </c:lvl>
                <c:lvl/>
              </c:multiLvlStrCache>
            </c:multiLvlStrRef>
          </c:cat>
          <c:val>
            <c:numRef>
              <c:f>'[新建 XLSX 工作表.xlsx]图1收入、支出决算总计变动情况图'!$B$3:$C$3</c:f>
              <c:numCache>
                <c:formatCode>General</c:formatCode>
                <c:ptCount val="2"/>
                <c:pt idx="0">
                  <c:v>2078.12</c:v>
                </c:pt>
                <c:pt idx="1">
                  <c:v>2037.56</c:v>
                </c:pt>
              </c:numCache>
            </c:numRef>
          </c:val>
        </c:ser>
        <c:ser>
          <c:idx val="1"/>
          <c:order val="1"/>
          <c:tx>
            <c:strRef>
              <c:f>'[新建 XLSX 工作表.xlsx]图1收入、支出决算总计变动情况图'!$A$4</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'[新建 XLSX 工作表.xlsx]图1收入、支出决算总计变动情况图'!$B$1:$C$2</c:f>
              <c:multiLvlStrCache>
                <c:ptCount val="2"/>
                <c:lvl>
                  <c:pt idx="0">
                    <c:v>收入</c:v>
                  </c:pt>
                  <c:pt idx="1">
                    <c:v>支出</c:v>
                  </c:pt>
                </c:lvl>
                <c:lvl/>
              </c:multiLvlStrCache>
            </c:multiLvlStrRef>
          </c:cat>
          <c:val>
            <c:numRef>
              <c:f>'[新建 XLSX 工作表.xlsx]图1收入、支出决算总计变动情况图'!$B$4:$C$4</c:f>
              <c:numCache>
                <c:formatCode>General</c:formatCode>
                <c:ptCount val="2"/>
                <c:pt idx="0">
                  <c:v>3412.85</c:v>
                </c:pt>
                <c:pt idx="1">
                  <c:v>3353.85</c:v>
                </c:pt>
              </c:numCache>
            </c:numRef>
          </c:val>
        </c:ser>
        <c:dLbls>
          <c:showLegendKey val="0"/>
          <c:showVal val="1"/>
          <c:showCatName val="0"/>
          <c:showSerName val="0"/>
          <c:showPercent val="0"/>
          <c:showBubbleSize val="0"/>
        </c:dLbls>
        <c:gapWidth val="246"/>
        <c:overlap val="-28"/>
        <c:axId val="453376903"/>
        <c:axId val="352185923"/>
      </c:barChart>
      <c:catAx>
        <c:axId val="45337690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2185923"/>
        <c:crosses val="autoZero"/>
        <c:auto val="1"/>
        <c:lblAlgn val="ctr"/>
        <c:lblOffset val="100"/>
        <c:noMultiLvlLbl val="0"/>
      </c:catAx>
      <c:valAx>
        <c:axId val="35218592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37690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收入决算结构图（单位：万元）</a:t>
            </a:r>
          </a:p>
        </c:rich>
      </c:tx>
      <c:layout/>
      <c:overlay val="0"/>
      <c:spPr>
        <a:noFill/>
        <a:ln>
          <a:noFill/>
        </a:ln>
        <a:effectLst/>
      </c:spPr>
    </c:title>
    <c:autoTitleDeleted val="0"/>
    <c:plotArea>
      <c:layout/>
      <c:pieChart>
        <c:varyColors val="1"/>
        <c:ser>
          <c:idx val="0"/>
          <c:order val="0"/>
          <c:tx>
            <c:strRef>
              <c:f>'[新建 XLSX 工作表.xlsx]收入决算结构图'!$B$2</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工作表.xlsx]收入决算结构图'!$A$3:$A$4</c:f>
              <c:strCache>
                <c:ptCount val="2"/>
                <c:pt idx="0">
                  <c:v>一般公共预算财政拨款收入</c:v>
                </c:pt>
                <c:pt idx="1">
                  <c:v>其他收入</c:v>
                </c:pt>
              </c:strCache>
            </c:strRef>
          </c:cat>
          <c:val>
            <c:numRef>
              <c:f>'[新建 XLSX 工作表.xlsx]收入决算结构图'!$B$3:$B$4</c:f>
              <c:numCache>
                <c:formatCode>General</c:formatCode>
                <c:ptCount val="2"/>
                <c:pt idx="0">
                  <c:v>3353.85</c:v>
                </c:pt>
                <c:pt idx="1">
                  <c:v>59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支出决算结构图（单位：万元）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工作表.xlsx]（图3支出决算结构图）（饼状图）'!$A$1:$A$4</c:f>
              <c:strCache>
                <c:ptCount val="4"/>
                <c:pt idx="0">
                  <c:v>图3：支出决算结构图（单位：万元）</c:v>
                </c:pt>
                <c:pt idx="2">
                  <c:v>基本支出</c:v>
                </c:pt>
                <c:pt idx="3">
                  <c:v>项目支出</c:v>
                </c:pt>
              </c:strCache>
            </c:strRef>
          </c:cat>
          <c:val>
            <c:numRef>
              <c:f>'[新建 XLSX 工作表.xlsx]（图3支出决算结构图）（饼状图）'!$B$1:$B$4</c:f>
              <c:numCache>
                <c:formatCode>General</c:formatCode>
                <c:ptCount val="4"/>
                <c:pt idx="2">
                  <c:v>910.58</c:v>
                </c:pt>
                <c:pt idx="3">
                  <c:v>2443.26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一般公共预算财政拨款支出决算结构（单位：万元</a:t>
            </a:r>
          </a:p>
        </c:rich>
      </c:tx>
      <c:layout>
        <c:manualLayout>
          <c:xMode val="edge"/>
          <c:yMode val="edge"/>
          <c:x val="0.126231691078562"/>
          <c:y val="0.0254013898873712"/>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工作表.xlsx]图6一般公共预算财政拨款支出决算结构饼状图'!$A$3:$A$10</c:f>
              <c:strCache>
                <c:ptCount val="8"/>
                <c:pt idx="0">
                  <c:v>一般公共服务支出</c:v>
                </c:pt>
                <c:pt idx="1">
                  <c:v>国防支出</c:v>
                </c:pt>
                <c:pt idx="2">
                  <c:v>教育支出</c:v>
                </c:pt>
                <c:pt idx="3">
                  <c:v>社会保障和就业支</c:v>
                </c:pt>
                <c:pt idx="4">
                  <c:v>社会保障和就业支</c:v>
                </c:pt>
                <c:pt idx="5">
                  <c:v>农林水支出</c:v>
                </c:pt>
                <c:pt idx="6">
                  <c:v>住房保障支出</c:v>
                </c:pt>
                <c:pt idx="7">
                  <c:v>灾害防治及应急管理支出</c:v>
                </c:pt>
              </c:strCache>
            </c:strRef>
          </c:cat>
          <c:val>
            <c:numRef>
              <c:f>'[新建 XLSX 工作表.xlsx]图6一般公共预算财政拨款支出决算结构饼状图'!$B$3:$B$10</c:f>
              <c:numCache>
                <c:formatCode>General</c:formatCode>
                <c:ptCount val="8"/>
                <c:pt idx="0">
                  <c:v>523.25</c:v>
                </c:pt>
                <c:pt idx="1">
                  <c:v>5</c:v>
                </c:pt>
                <c:pt idx="2">
                  <c:v>2</c:v>
                </c:pt>
                <c:pt idx="3">
                  <c:v>117.07</c:v>
                </c:pt>
                <c:pt idx="4">
                  <c:v>44.33</c:v>
                </c:pt>
                <c:pt idx="5">
                  <c:v>2572.1</c:v>
                </c:pt>
                <c:pt idx="6">
                  <c:v>84.51</c:v>
                </c:pt>
                <c:pt idx="7">
                  <c:v>5.59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财政拨款“三公”经费支出结构（单位：万元）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'[图表.xlsx]图7财政拨款“三公”经费支出结构（饼状图）'!$A$2:$A$4</c:f>
              <c:strCache>
                <c:ptCount val="3"/>
                <c:pt idx="0">
                  <c:v>因公出国（境）费</c:v>
                </c:pt>
                <c:pt idx="1">
                  <c:v>公务用车购置及运行维护费</c:v>
                </c:pt>
                <c:pt idx="2">
                  <c:v>公务接待费</c:v>
                </c:pt>
              </c:strCache>
            </c:strRef>
          </c:cat>
          <c:val>
            <c:numRef>
              <c:f>'[图表.xlsx]图7财政拨款“三公”经费支出结构（饼状图）'!$B$2:$B$4</c:f>
              <c:numCache>
                <c:formatCode>General</c:formatCode>
                <c:ptCount val="3"/>
                <c:pt idx="0">
                  <c:v>0</c:v>
                </c:pt>
                <c:pt idx="1">
                  <c:v>10.4</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6923</Words>
  <Characters>7848</Characters>
  <Lines>61</Lines>
  <Paragraphs>17</Paragraphs>
  <TotalTime>29</TotalTime>
  <ScaleCrop>false</ScaleCrop>
  <LinksUpToDate>false</LinksUpToDate>
  <CharactersWithSpaces>7906</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2026-10-22T16:50:00Z</cp:lastPrinted>
  <dcterms:modified xsi:type="dcterms:W3CDTF">2026-10-27T14:58:26Z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y fmtid="{D5CDD505-2E9C-101B-9397-08002B2CF9AE}" pid="4" name="KSOTemplateDocerSaveRecord">
    <vt:lpwstr>eyJoZGlkIjoiMTQxZDVkNDBjMTg0OGY5ZjNmZWVkNjk0MThiODEwNmIiLCJ1c2VySWQiOiIxMzY3OTY3ODQzIn0=</vt:lpwstr>
  </property>
</Properties>
</file>