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A2721">
      <w:pPr>
        <w:pStyle w:val="5"/>
        <w:jc w:val="center"/>
        <w:rPr>
          <w:rFonts w:hint="default" w:ascii="Times New Roman" w:hAnsi="Times New Roman" w:eastAsia="方正小标宋简体" w:cs="Times New Roman"/>
          <w:color w:val="auto"/>
          <w:kern w:val="2"/>
          <w:sz w:val="44"/>
          <w:szCs w:val="44"/>
          <w:highlight w:val="none"/>
          <w:lang w:val="en-US" w:eastAsia="zh-CN" w:bidi="ar-SA"/>
        </w:rPr>
      </w:pPr>
      <w:bookmarkStart w:id="0" w:name="_Toc15377193"/>
      <w:bookmarkStart w:id="1" w:name="_Toc15306267"/>
      <w:bookmarkStart w:id="2" w:name="_Toc15396475"/>
      <w:bookmarkStart w:id="3" w:name="_Toc15396597"/>
      <w:bookmarkStart w:id="4" w:name="_Toc15377425"/>
      <w:bookmarkStart w:id="5" w:name="_Toc15378441"/>
    </w:p>
    <w:p w14:paraId="325B6996">
      <w:pPr>
        <w:pStyle w:val="5"/>
        <w:keepNext w:val="0"/>
        <w:keepLines w:val="0"/>
        <w:pageBreakBefore w:val="0"/>
        <w:widowControl w:val="0"/>
        <w:kinsoku/>
        <w:wordWrap/>
        <w:overflowPunct/>
        <w:topLinePunct w:val="0"/>
        <w:autoSpaceDE/>
        <w:autoSpaceDN/>
        <w:bidi w:val="0"/>
        <w:adjustRightInd/>
        <w:snapToGrid/>
        <w:spacing w:after="0" w:line="700" w:lineRule="exact"/>
        <w:jc w:val="center"/>
        <w:textAlignment w:val="auto"/>
        <w:rPr>
          <w:rFonts w:hint="eastAsia" w:ascii="方正小标宋_GBK" w:hAnsi="方正小标宋_GBK" w:eastAsia="方正小标宋_GBK" w:cs="方正小标宋_GBK"/>
          <w:color w:val="auto"/>
          <w:kern w:val="2"/>
          <w:sz w:val="44"/>
          <w:szCs w:val="44"/>
          <w:highlight w:val="none"/>
          <w:lang w:val="en-US" w:eastAsia="zh-CN" w:bidi="ar-SA"/>
        </w:rPr>
      </w:pPr>
      <w:r>
        <w:rPr>
          <w:rFonts w:hint="eastAsia" w:ascii="方正小标宋_GBK" w:hAnsi="方正小标宋_GBK" w:eastAsia="方正小标宋_GBK" w:cs="方正小标宋_GBK"/>
          <w:color w:val="auto"/>
          <w:kern w:val="2"/>
          <w:sz w:val="44"/>
          <w:szCs w:val="44"/>
          <w:highlight w:val="none"/>
          <w:lang w:val="en-US" w:eastAsia="zh-CN" w:bidi="ar-SA"/>
        </w:rPr>
        <w:t>阿坝州壤塘县</w:t>
      </w:r>
    </w:p>
    <w:p w14:paraId="2F40E3FE">
      <w:pPr>
        <w:pStyle w:val="5"/>
        <w:keepNext w:val="0"/>
        <w:keepLines w:val="0"/>
        <w:pageBreakBefore w:val="0"/>
        <w:widowControl w:val="0"/>
        <w:kinsoku/>
        <w:wordWrap/>
        <w:overflowPunct/>
        <w:topLinePunct w:val="0"/>
        <w:autoSpaceDE/>
        <w:autoSpaceDN/>
        <w:bidi w:val="0"/>
        <w:adjustRightInd/>
        <w:snapToGrid/>
        <w:spacing w:after="0" w:line="700" w:lineRule="exact"/>
        <w:jc w:val="center"/>
        <w:textAlignment w:val="auto"/>
        <w:rPr>
          <w:rFonts w:hint="eastAsia" w:ascii="方正小标宋_GBK" w:hAnsi="方正小标宋_GBK" w:eastAsia="方正小标宋_GBK" w:cs="方正小标宋_GBK"/>
          <w:color w:val="auto"/>
          <w:kern w:val="2"/>
          <w:sz w:val="44"/>
          <w:szCs w:val="44"/>
          <w:highlight w:val="none"/>
          <w:lang w:val="en-US" w:eastAsia="zh-CN" w:bidi="ar-SA"/>
        </w:rPr>
      </w:pPr>
      <w:r>
        <w:rPr>
          <w:rFonts w:hint="eastAsia" w:ascii="方正小标宋_GBK" w:hAnsi="方正小标宋_GBK" w:eastAsia="方正小标宋_GBK" w:cs="方正小标宋_GBK"/>
          <w:color w:val="auto"/>
          <w:kern w:val="2"/>
          <w:sz w:val="44"/>
          <w:szCs w:val="44"/>
          <w:highlight w:val="none"/>
          <w:lang w:val="en-US" w:eastAsia="zh-CN" w:bidi="ar-SA"/>
        </w:rPr>
        <w:t>2025年度上杜柯乡人民政府部门决算公开</w:t>
      </w:r>
    </w:p>
    <w:p w14:paraId="60B46A62">
      <w:pPr>
        <w:pStyle w:val="5"/>
        <w:rPr>
          <w:rFonts w:hint="default" w:ascii="Times New Roman" w:hAnsi="Times New Roman" w:cs="Times New Roman"/>
        </w:rPr>
      </w:pPr>
    </w:p>
    <w:p w14:paraId="143A0D45">
      <w:pPr>
        <w:pStyle w:val="5"/>
        <w:rPr>
          <w:rFonts w:hint="default" w:ascii="Times New Roman" w:hAnsi="Times New Roman" w:cs="Times New Roman"/>
        </w:rPr>
      </w:pPr>
    </w:p>
    <w:p w14:paraId="1A2356EA">
      <w:pPr>
        <w:pStyle w:val="5"/>
        <w:jc w:val="both"/>
        <w:rPr>
          <w:rFonts w:hint="default" w:ascii="Times New Roman" w:hAnsi="Times New Roman" w:eastAsia="方正小标宋简体" w:cs="Times New Roman"/>
          <w:color w:val="auto"/>
          <w:kern w:val="2"/>
          <w:sz w:val="44"/>
          <w:szCs w:val="44"/>
          <w:highlight w:val="none"/>
          <w:lang w:val="en-US" w:eastAsia="zh-CN" w:bidi="ar-SA"/>
        </w:rPr>
      </w:pPr>
    </w:p>
    <w:p w14:paraId="47369354">
      <w:pPr>
        <w:pStyle w:val="5"/>
        <w:jc w:val="both"/>
        <w:rPr>
          <w:rFonts w:hint="default" w:ascii="Times New Roman" w:hAnsi="Times New Roman" w:eastAsia="方正小标宋简体" w:cs="Times New Roman"/>
          <w:color w:val="auto"/>
          <w:kern w:val="2"/>
          <w:sz w:val="44"/>
          <w:szCs w:val="44"/>
          <w:highlight w:val="none"/>
          <w:lang w:val="en-US" w:eastAsia="zh-CN" w:bidi="ar-SA"/>
        </w:rPr>
      </w:pPr>
    </w:p>
    <w:p w14:paraId="0FA2F888">
      <w:pPr>
        <w:pStyle w:val="5"/>
        <w:jc w:val="both"/>
        <w:rPr>
          <w:rFonts w:hint="default" w:ascii="Times New Roman" w:hAnsi="Times New Roman" w:eastAsia="方正小标宋简体" w:cs="Times New Roman"/>
          <w:color w:val="auto"/>
          <w:kern w:val="2"/>
          <w:sz w:val="44"/>
          <w:szCs w:val="44"/>
          <w:highlight w:val="none"/>
          <w:lang w:val="en-US" w:eastAsia="zh-CN" w:bidi="ar-SA"/>
        </w:rPr>
      </w:pPr>
    </w:p>
    <w:p w14:paraId="46E91E91">
      <w:pPr>
        <w:pStyle w:val="5"/>
        <w:jc w:val="both"/>
        <w:rPr>
          <w:rFonts w:hint="default" w:ascii="Times New Roman" w:hAnsi="Times New Roman" w:eastAsia="方正小标宋简体" w:cs="Times New Roman"/>
          <w:color w:val="auto"/>
          <w:kern w:val="2"/>
          <w:sz w:val="44"/>
          <w:szCs w:val="44"/>
          <w:highlight w:val="none"/>
          <w:lang w:val="en-US" w:eastAsia="zh-CN" w:bidi="ar-SA"/>
        </w:rPr>
      </w:pPr>
    </w:p>
    <w:p w14:paraId="686DA86B">
      <w:pPr>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保密审查情况：已审查，内容审定</w:t>
      </w:r>
    </w:p>
    <w:p w14:paraId="48308A45">
      <w:pPr>
        <w:pStyle w:val="5"/>
        <w:ind w:firstLine="640" w:firstLineChars="200"/>
        <w:rPr>
          <w:rFonts w:hint="default" w:ascii="Times New Roman" w:hAnsi="Times New Roman" w:cs="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default" w:ascii="Times New Roman" w:hAnsi="Times New Roman" w:eastAsia="方正仿宋_GBK" w:cs="Times New Roman"/>
          <w:sz w:val="32"/>
          <w:szCs w:val="32"/>
        </w:rPr>
        <w:t>部门主要负责人审签情况：已审签，同意对外公开</w:t>
      </w:r>
      <w:r>
        <w:rPr>
          <w:rFonts w:hint="default" w:ascii="Times New Roman" w:hAnsi="Times New Roman" w:eastAsia="方正小标宋简体" w:cs="Times New Roman"/>
          <w:color w:val="auto"/>
          <w:sz w:val="32"/>
          <w:szCs w:val="32"/>
          <w:highlight w:val="none"/>
        </w:rPr>
        <w:br w:type="page"/>
      </w:r>
    </w:p>
    <w:bookmarkEnd w:id="0"/>
    <w:bookmarkEnd w:id="1"/>
    <w:bookmarkEnd w:id="2"/>
    <w:bookmarkEnd w:id="3"/>
    <w:bookmarkEnd w:id="4"/>
    <w:bookmarkEnd w:id="5"/>
    <w:p w14:paraId="5C312AF1">
      <w:pPr>
        <w:widowControl/>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w:t>
      </w:r>
      <w:r>
        <w:rPr>
          <w:rFonts w:hint="eastAsia" w:eastAsia="黑体" w:cs="Times New Roman"/>
          <w:color w:val="auto"/>
          <w:sz w:val="48"/>
          <w:szCs w:val="48"/>
          <w:highlight w:val="none"/>
          <w:lang w:val="en-US" w:eastAsia="zh-CN"/>
        </w:rPr>
        <w:t xml:space="preserve"> </w:t>
      </w:r>
      <w:r>
        <w:rPr>
          <w:rFonts w:hint="default" w:ascii="Times New Roman" w:hAnsi="Times New Roman" w:eastAsia="黑体" w:cs="Times New Roman"/>
          <w:color w:val="auto"/>
          <w:sz w:val="48"/>
          <w:szCs w:val="48"/>
          <w:highlight w:val="none"/>
        </w:rPr>
        <w:t>录</w:t>
      </w:r>
    </w:p>
    <w:p w14:paraId="14EB49E8">
      <w:pPr>
        <w:widowControl/>
        <w:jc w:val="center"/>
        <w:rPr>
          <w:rFonts w:hint="default" w:ascii="Times New Roman" w:hAnsi="Times New Roman" w:eastAsia="黑体" w:cs="Times New Roman"/>
          <w:color w:val="auto"/>
          <w:sz w:val="28"/>
          <w:szCs w:val="28"/>
          <w:highlight w:val="none"/>
        </w:rPr>
      </w:pPr>
    </w:p>
    <w:p w14:paraId="5A4E982B">
      <w:pPr>
        <w:pStyle w:val="13"/>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 xml:space="preserve"> 10 </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 xml:space="preserve"> </w:t>
      </w:r>
      <w:r>
        <w:rPr>
          <w:rFonts w:hint="eastAsia" w:ascii="Times New Roman" w:hAnsi="Times New Roman" w:eastAsia="仿宋_GB2312" w:cs="Times New Roman"/>
          <w:color w:val="auto"/>
          <w:sz w:val="32"/>
          <w:szCs w:val="32"/>
          <w:highlight w:val="none"/>
          <w:lang w:val="en-US" w:eastAsia="zh-CN"/>
        </w:rPr>
        <w:t>15</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日</w:t>
      </w:r>
    </w:p>
    <w:sdt>
      <w:sdtPr>
        <w:rPr>
          <w:rFonts w:ascii="宋体" w:hAnsi="宋体" w:eastAsia="宋体" w:cs="Times New Roman"/>
          <w:kern w:val="2"/>
          <w:sz w:val="21"/>
          <w:szCs w:val="24"/>
          <w:lang w:val="en-US" w:eastAsia="zh-CN" w:bidi="ar-SA"/>
        </w:rPr>
        <w:id w:val="147469053"/>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062A5844">
          <w:pPr>
            <w:spacing w:before="0" w:beforeLines="0" w:after="0" w:afterLines="0" w:line="240" w:lineRule="auto"/>
            <w:ind w:left="0" w:leftChars="0" w:right="0" w:rightChars="0" w:firstLine="0" w:firstLineChars="0"/>
            <w:jc w:val="center"/>
          </w:pPr>
        </w:p>
        <w:p w14:paraId="232228B2">
          <w:pPr>
            <w:pStyle w:val="13"/>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pPr>
          <w:r>
            <w:fldChar w:fldCharType="begin"/>
          </w:r>
          <w:r>
            <w:instrText xml:space="preserve">TOC \o "1-2" \h \u </w:instrText>
          </w:r>
          <w:r>
            <w:fldChar w:fldCharType="separate"/>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_Toc14338 </w:instrText>
          </w:r>
          <w:r>
            <w:rPr>
              <w:rFonts w:hint="eastAsia" w:ascii="黑体" w:hAnsi="黑体" w:eastAsia="黑体" w:cs="黑体"/>
              <w:sz w:val="32"/>
              <w:szCs w:val="32"/>
            </w:rPr>
            <w:fldChar w:fldCharType="separate"/>
          </w:r>
          <w:r>
            <w:rPr>
              <w:rFonts w:hint="eastAsia" w:ascii="黑体" w:hAnsi="黑体" w:eastAsia="黑体" w:cs="黑体"/>
              <w:sz w:val="32"/>
              <w:szCs w:val="32"/>
              <w:highlight w:val="none"/>
            </w:rPr>
            <w:t>第一部分</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 xml:space="preserve"> </w:t>
          </w:r>
          <w:r>
            <w:rPr>
              <w:rFonts w:hint="eastAsia" w:ascii="黑体" w:hAnsi="黑体" w:eastAsia="黑体" w:cs="黑体"/>
              <w:bCs w:val="0"/>
              <w:sz w:val="32"/>
              <w:szCs w:val="32"/>
              <w:highlight w:val="none"/>
            </w:rPr>
            <w:t>部门概况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_Toc14338 \h </w:instrText>
          </w:r>
          <w:r>
            <w:rPr>
              <w:rFonts w:hint="eastAsia" w:ascii="黑体" w:hAnsi="黑体" w:eastAsia="黑体" w:cs="黑体"/>
              <w:sz w:val="32"/>
              <w:szCs w:val="32"/>
            </w:rPr>
            <w:fldChar w:fldCharType="separate"/>
          </w:r>
          <w:r>
            <w:rPr>
              <w:rFonts w:hint="eastAsia" w:ascii="黑体" w:hAnsi="黑体" w:eastAsia="黑体" w:cs="黑体"/>
              <w:sz w:val="32"/>
              <w:szCs w:val="32"/>
            </w:rPr>
            <w:t>3</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DEAB92D">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_Toc26785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lang w:eastAsia="zh-CN"/>
            </w:rPr>
            <w:t>部门职责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_Toc26785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BA2D5B7">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_Toc29186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二、机</w:t>
          </w:r>
          <w:r>
            <w:rPr>
              <w:rFonts w:hint="eastAsia" w:ascii="仿宋_GB2312" w:hAnsi="仿宋_GB2312" w:eastAsia="仿宋_GB2312" w:cs="仿宋_GB2312"/>
              <w:bCs w:val="0"/>
              <w:sz w:val="32"/>
              <w:szCs w:val="32"/>
              <w:highlight w:val="none"/>
            </w:rPr>
            <w:t>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_Toc29186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06A2D41">
          <w:pPr>
            <w:pStyle w:val="13"/>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_Toc2935 </w:instrText>
          </w:r>
          <w:r>
            <w:rPr>
              <w:rFonts w:hint="eastAsia" w:ascii="黑体" w:hAnsi="黑体" w:eastAsia="黑体" w:cs="黑体"/>
              <w:sz w:val="32"/>
              <w:szCs w:val="32"/>
            </w:rPr>
            <w:fldChar w:fldCharType="separate"/>
          </w:r>
          <w:r>
            <w:rPr>
              <w:rFonts w:hint="default" w:ascii="黑体" w:hAnsi="黑体" w:eastAsia="黑体" w:cs="黑体"/>
              <w:sz w:val="32"/>
              <w:szCs w:val="32"/>
            </w:rPr>
            <w:t>第二部分</w:t>
          </w:r>
          <w:r>
            <w:rPr>
              <w:rFonts w:hint="default" w:ascii="黑体" w:hAnsi="黑体" w:eastAsia="黑体" w:cs="黑体"/>
              <w:sz w:val="32"/>
              <w:szCs w:val="32"/>
              <w:lang w:val="en-US" w:eastAsia="zh-CN"/>
            </w:rPr>
            <w:t xml:space="preserve"> </w:t>
          </w:r>
          <w:r>
            <w:rPr>
              <w:rFonts w:hint="default" w:ascii="黑体" w:hAnsi="黑体" w:eastAsia="黑体" w:cs="黑体"/>
              <w:sz w:val="32"/>
              <w:szCs w:val="32"/>
            </w:rPr>
            <w:t xml:space="preserve"> </w:t>
          </w:r>
          <w:r>
            <w:rPr>
              <w:rFonts w:hint="default" w:ascii="黑体" w:hAnsi="黑体" w:eastAsia="黑体" w:cs="黑体"/>
              <w:sz w:val="32"/>
              <w:szCs w:val="32"/>
              <w:lang w:val="en-US" w:eastAsia="zh-CN"/>
            </w:rPr>
            <w:t>2025年度</w:t>
          </w:r>
          <w:r>
            <w:rPr>
              <w:rFonts w:hint="default" w:ascii="黑体" w:hAnsi="黑体" w:eastAsia="黑体" w:cs="黑体"/>
              <w:sz w:val="32"/>
              <w:szCs w:val="32"/>
            </w:rPr>
            <w:t>部门决算情况说明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_Toc2935 \h </w:instrText>
          </w:r>
          <w:r>
            <w:rPr>
              <w:rFonts w:hint="eastAsia" w:ascii="黑体" w:hAnsi="黑体" w:eastAsia="黑体" w:cs="黑体"/>
              <w:sz w:val="32"/>
              <w:szCs w:val="32"/>
            </w:rPr>
            <w:fldChar w:fldCharType="separate"/>
          </w:r>
          <w:r>
            <w:rPr>
              <w:rFonts w:hint="eastAsia" w:ascii="黑体" w:hAnsi="黑体" w:eastAsia="黑体" w:cs="黑体"/>
              <w:sz w:val="32"/>
              <w:szCs w:val="32"/>
            </w:rPr>
            <w:t>7</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05D98405">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_Toc22006 </w:instrText>
          </w:r>
          <w:r>
            <w:rPr>
              <w:rFonts w:hint="eastAsia" w:ascii="仿宋_GB2312" w:hAnsi="仿宋_GB2312" w:eastAsia="仿宋_GB2312" w:cs="仿宋_GB2312"/>
              <w:sz w:val="32"/>
              <w:szCs w:val="32"/>
            </w:rPr>
            <w:fldChar w:fldCharType="separate"/>
          </w:r>
          <w:r>
            <w:rPr>
              <w:rFonts w:hint="default" w:ascii="仿宋_GB2312" w:hAnsi="仿宋_GB2312" w:eastAsia="仿宋_GB2312" w:cs="仿宋_GB2312"/>
              <w:sz w:val="32"/>
              <w:szCs w:val="32"/>
              <w:lang w:eastAsia="zh-CN"/>
            </w:rPr>
            <w:t>一、</w:t>
          </w:r>
          <w:r>
            <w:rPr>
              <w:rFonts w:hint="default" w:ascii="仿宋_GB2312" w:hAnsi="仿宋_GB2312" w:eastAsia="仿宋_GB2312" w:cs="仿宋_GB2312"/>
              <w:sz w:val="32"/>
              <w:szCs w:val="32"/>
            </w:rPr>
            <w:t>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_Toc22006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B2A9CB2">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_Toc17516 </w:instrText>
          </w:r>
          <w:r>
            <w:rPr>
              <w:rFonts w:hint="eastAsia" w:ascii="仿宋_GB2312" w:hAnsi="仿宋_GB2312" w:eastAsia="仿宋_GB2312" w:cs="仿宋_GB2312"/>
              <w:sz w:val="32"/>
              <w:szCs w:val="32"/>
            </w:rPr>
            <w:fldChar w:fldCharType="separate"/>
          </w:r>
          <w:r>
            <w:rPr>
              <w:rFonts w:hint="default" w:ascii="仿宋_GB2312" w:hAnsi="仿宋_GB2312" w:eastAsia="仿宋_GB2312" w:cs="仿宋_GB2312"/>
              <w:sz w:val="32"/>
              <w:szCs w:val="32"/>
              <w:lang w:eastAsia="zh-CN"/>
            </w:rPr>
            <w:t>二、收入决算情况说明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_Toc17516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AE92225">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_Toc14415 </w:instrText>
          </w:r>
          <w:r>
            <w:rPr>
              <w:rFonts w:hint="eastAsia" w:ascii="仿宋_GB2312" w:hAnsi="仿宋_GB2312" w:eastAsia="仿宋_GB2312" w:cs="仿宋_GB2312"/>
              <w:sz w:val="32"/>
              <w:szCs w:val="32"/>
            </w:rPr>
            <w:fldChar w:fldCharType="separate"/>
          </w:r>
          <w:r>
            <w:rPr>
              <w:rFonts w:hint="default" w:ascii="仿宋_GB2312" w:hAnsi="仿宋_GB2312" w:eastAsia="仿宋_GB2312" w:cs="仿宋_GB2312"/>
              <w:sz w:val="32"/>
              <w:szCs w:val="32"/>
              <w:lang w:eastAsia="zh-CN"/>
            </w:rPr>
            <w:t>三、</w:t>
          </w:r>
          <w:r>
            <w:rPr>
              <w:rFonts w:hint="default" w:ascii="仿宋_GB2312" w:hAnsi="仿宋_GB2312" w:eastAsia="仿宋_GB2312" w:cs="仿宋_GB2312"/>
              <w:sz w:val="32"/>
              <w:szCs w:val="32"/>
            </w:rPr>
            <w:t>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_Toc14415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6F7F81D">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_Toc2845 </w:instrText>
          </w:r>
          <w:r>
            <w:rPr>
              <w:rFonts w:hint="eastAsia" w:ascii="仿宋_GB2312" w:hAnsi="仿宋_GB2312" w:eastAsia="仿宋_GB2312" w:cs="仿宋_GB2312"/>
              <w:sz w:val="32"/>
              <w:szCs w:val="32"/>
            </w:rPr>
            <w:fldChar w:fldCharType="separate"/>
          </w:r>
          <w:r>
            <w:rPr>
              <w:rFonts w:hint="default" w:ascii="仿宋_GB2312" w:hAnsi="仿宋_GB2312" w:eastAsia="仿宋_GB2312" w:cs="仿宋_GB2312"/>
              <w:sz w:val="32"/>
              <w:szCs w:val="32"/>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_Toc2845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0A0922F">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_Toc24934 </w:instrText>
          </w:r>
          <w:r>
            <w:rPr>
              <w:rFonts w:hint="eastAsia" w:ascii="仿宋_GB2312" w:hAnsi="仿宋_GB2312" w:eastAsia="仿宋_GB2312" w:cs="仿宋_GB2312"/>
              <w:sz w:val="32"/>
              <w:szCs w:val="32"/>
            </w:rPr>
            <w:fldChar w:fldCharType="separate"/>
          </w:r>
          <w:r>
            <w:rPr>
              <w:rFonts w:hint="default" w:ascii="仿宋_GB2312" w:hAnsi="仿宋_GB2312" w:eastAsia="仿宋_GB2312" w:cs="仿宋_GB2312"/>
              <w:sz w:val="32"/>
              <w:szCs w:val="32"/>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_Toc24934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456F8D7">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_Toc23837 </w:instrText>
          </w:r>
          <w:r>
            <w:rPr>
              <w:rFonts w:hint="eastAsia" w:ascii="仿宋_GB2312" w:hAnsi="仿宋_GB2312" w:eastAsia="仿宋_GB2312" w:cs="仿宋_GB2312"/>
              <w:sz w:val="32"/>
              <w:szCs w:val="32"/>
            </w:rPr>
            <w:fldChar w:fldCharType="separate"/>
          </w:r>
          <w:r>
            <w:rPr>
              <w:rFonts w:hint="default" w:ascii="仿宋_GB2312" w:hAnsi="仿宋_GB2312" w:eastAsia="仿宋_GB2312" w:cs="仿宋_GB2312"/>
              <w:sz w:val="32"/>
              <w:szCs w:val="32"/>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_Toc23837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38A6EDB">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_Toc11889 </w:instrText>
          </w:r>
          <w:r>
            <w:rPr>
              <w:rFonts w:hint="eastAsia" w:ascii="仿宋_GB2312" w:hAnsi="仿宋_GB2312" w:eastAsia="仿宋_GB2312" w:cs="仿宋_GB2312"/>
              <w:sz w:val="32"/>
              <w:szCs w:val="32"/>
            </w:rPr>
            <w:fldChar w:fldCharType="separate"/>
          </w:r>
          <w:r>
            <w:rPr>
              <w:rFonts w:hint="default" w:ascii="仿宋_GB2312" w:hAnsi="仿宋_GB2312" w:eastAsia="仿宋_GB2312" w:cs="仿宋_GB2312"/>
              <w:sz w:val="32"/>
              <w:szCs w:val="32"/>
            </w:rPr>
            <w:t>七、财政拨款“三公”经费支出决算情况说明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_Toc11889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CA305F7">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_Toc24062 </w:instrText>
          </w:r>
          <w:r>
            <w:rPr>
              <w:rFonts w:hint="eastAsia" w:ascii="仿宋_GB2312" w:hAnsi="仿宋_GB2312" w:eastAsia="仿宋_GB2312" w:cs="仿宋_GB2312"/>
              <w:sz w:val="32"/>
              <w:szCs w:val="32"/>
            </w:rPr>
            <w:fldChar w:fldCharType="separate"/>
          </w:r>
          <w:r>
            <w:rPr>
              <w:rFonts w:hint="default" w:ascii="仿宋_GB2312" w:hAnsi="仿宋_GB2312" w:eastAsia="仿宋_GB2312" w:cs="仿宋_GB2312"/>
              <w:sz w:val="32"/>
              <w:szCs w:val="32"/>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_Toc24062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611E516">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_Toc32273 </w:instrText>
          </w:r>
          <w:r>
            <w:rPr>
              <w:rFonts w:hint="eastAsia" w:ascii="仿宋_GB2312" w:hAnsi="仿宋_GB2312" w:eastAsia="仿宋_GB2312" w:cs="仿宋_GB2312"/>
              <w:sz w:val="32"/>
              <w:szCs w:val="32"/>
            </w:rPr>
            <w:fldChar w:fldCharType="separate"/>
          </w:r>
          <w:r>
            <w:rPr>
              <w:rFonts w:hint="default" w:ascii="仿宋_GB2312" w:hAnsi="仿宋_GB2312" w:eastAsia="仿宋_GB2312" w:cs="仿宋_GB2312"/>
              <w:sz w:val="32"/>
              <w:szCs w:val="32"/>
              <w:lang w:eastAsia="zh-CN"/>
            </w:rPr>
            <w:t>九、</w:t>
          </w:r>
          <w:r>
            <w:rPr>
              <w:rFonts w:hint="default" w:ascii="仿宋_GB2312" w:hAnsi="仿宋_GB2312" w:eastAsia="仿宋_GB2312" w:cs="仿宋_GB2312"/>
              <w:sz w:val="32"/>
              <w:szCs w:val="32"/>
            </w:rPr>
            <w:t>国有资本经营预算支出决算情况说明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_Toc32273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08602CF">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_Toc9618 </w:instrText>
          </w:r>
          <w:r>
            <w:rPr>
              <w:rFonts w:hint="eastAsia" w:ascii="仿宋_GB2312" w:hAnsi="仿宋_GB2312" w:eastAsia="仿宋_GB2312" w:cs="仿宋_GB2312"/>
              <w:sz w:val="32"/>
              <w:szCs w:val="32"/>
            </w:rPr>
            <w:fldChar w:fldCharType="separate"/>
          </w:r>
          <w:r>
            <w:rPr>
              <w:rFonts w:hint="default" w:ascii="仿宋_GB2312" w:hAnsi="仿宋_GB2312" w:eastAsia="仿宋_GB2312" w:cs="仿宋_GB2312"/>
              <w:sz w:val="32"/>
              <w:szCs w:val="32"/>
              <w:lang w:eastAsia="zh-CN"/>
            </w:rPr>
            <w:t>十、</w:t>
          </w:r>
          <w:r>
            <w:rPr>
              <w:rFonts w:hint="default" w:ascii="仿宋_GB2312" w:hAnsi="仿宋_GB2312" w:eastAsia="仿宋_GB2312" w:cs="仿宋_GB2312"/>
              <w:sz w:val="32"/>
              <w:szCs w:val="32"/>
            </w:rPr>
            <w:t>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_Toc9618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8560E63">
          <w:pPr>
            <w:pStyle w:val="13"/>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_Toc8209 </w:instrText>
          </w:r>
          <w:r>
            <w:rPr>
              <w:rFonts w:hint="eastAsia" w:ascii="黑体" w:hAnsi="黑体" w:eastAsia="黑体" w:cs="黑体"/>
              <w:sz w:val="32"/>
              <w:szCs w:val="32"/>
            </w:rPr>
            <w:fldChar w:fldCharType="separate"/>
          </w:r>
          <w:r>
            <w:rPr>
              <w:rFonts w:hint="default" w:ascii="黑体" w:hAnsi="黑体" w:eastAsia="黑体" w:cs="黑体"/>
              <w:sz w:val="32"/>
              <w:szCs w:val="32"/>
            </w:rPr>
            <w:t>第</w:t>
          </w:r>
          <w:r>
            <w:rPr>
              <w:rFonts w:hint="default" w:ascii="黑体" w:hAnsi="黑体" w:eastAsia="黑体" w:cs="黑体"/>
              <w:sz w:val="32"/>
              <w:szCs w:val="32"/>
              <w:lang w:eastAsia="zh-CN"/>
            </w:rPr>
            <w:t>三</w:t>
          </w:r>
          <w:r>
            <w:rPr>
              <w:rFonts w:hint="default" w:ascii="黑体" w:hAnsi="黑体" w:eastAsia="黑体" w:cs="黑体"/>
              <w:sz w:val="32"/>
              <w:szCs w:val="32"/>
            </w:rPr>
            <w:t>部分</w:t>
          </w:r>
          <w:r>
            <w:rPr>
              <w:rFonts w:hint="default" w:ascii="黑体" w:hAnsi="黑体" w:eastAsia="黑体" w:cs="黑体"/>
              <w:sz w:val="32"/>
              <w:szCs w:val="32"/>
              <w:lang w:val="en-US" w:eastAsia="zh-CN"/>
            </w:rPr>
            <w:t xml:space="preserve">  </w:t>
          </w:r>
          <w:r>
            <w:rPr>
              <w:rFonts w:hint="default" w:ascii="黑体" w:hAnsi="黑体" w:eastAsia="黑体" w:cs="黑体"/>
              <w:sz w:val="32"/>
              <w:szCs w:val="32"/>
            </w:rPr>
            <w:t>名词解释</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_Toc8209 \h </w:instrText>
          </w:r>
          <w:r>
            <w:rPr>
              <w:rFonts w:hint="eastAsia" w:ascii="黑体" w:hAnsi="黑体" w:eastAsia="黑体" w:cs="黑体"/>
              <w:sz w:val="32"/>
              <w:szCs w:val="32"/>
            </w:rPr>
            <w:fldChar w:fldCharType="separate"/>
          </w:r>
          <w:r>
            <w:rPr>
              <w:rFonts w:hint="eastAsia" w:ascii="黑体" w:hAnsi="黑体" w:eastAsia="黑体" w:cs="黑体"/>
              <w:sz w:val="32"/>
              <w:szCs w:val="32"/>
            </w:rPr>
            <w:t>17</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E62AD82">
          <w:pPr>
            <w:pStyle w:val="13"/>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rPr>
              <w:rFonts w:hint="default" w:ascii="黑体" w:hAnsi="黑体" w:eastAsia="黑体" w:cs="黑体"/>
              <w:sz w:val="32"/>
              <w:szCs w:val="32"/>
              <w:lang w:val="en-US" w:eastAsia="zh-CN"/>
            </w:rPr>
          </w:pPr>
          <w:r>
            <w:fldChar w:fldCharType="end"/>
          </w:r>
          <w:r>
            <w:rPr>
              <w:rFonts w:hint="default" w:ascii="Times New Roman" w:hAnsi="Times New Roman" w:eastAsia="黑体" w:cs="Times New Roman"/>
              <w:color w:val="auto"/>
              <w:sz w:val="32"/>
              <w:szCs w:val="32"/>
              <w:highlight w:val="none"/>
            </w:rPr>
            <w:t>第四部分 附件</w:t>
          </w:r>
          <w:r>
            <w:tab/>
          </w:r>
          <w:r>
            <w:rPr>
              <w:rFonts w:hint="eastAsia" w:ascii="黑体" w:hAnsi="黑体" w:eastAsia="黑体" w:cs="黑体"/>
              <w:sz w:val="32"/>
              <w:szCs w:val="32"/>
              <w:lang w:val="en-US" w:eastAsia="zh-CN"/>
            </w:rPr>
            <w:t>20</w:t>
          </w:r>
        </w:p>
        <w:p w14:paraId="1A67DFFE">
          <w:pPr>
            <w:pStyle w:val="13"/>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第五部分 附表</w:t>
          </w:r>
          <w:r>
            <w:tab/>
          </w:r>
          <w:r>
            <w:rPr>
              <w:rFonts w:hint="eastAsia" w:ascii="黑体" w:hAnsi="黑体" w:eastAsia="黑体" w:cs="黑体"/>
              <w:sz w:val="32"/>
              <w:szCs w:val="32"/>
              <w:lang w:val="en-US" w:eastAsia="zh-CN"/>
            </w:rPr>
            <w:t>25</w:t>
          </w:r>
        </w:p>
        <w:p w14:paraId="54BB7BF6">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default" w:ascii="仿宋_GB2312" w:hAnsi="仿宋_GB2312" w:eastAsia="仿宋_GB2312" w:cs="仿宋_GB2312"/>
              <w:sz w:val="32"/>
              <w:szCs w:val="32"/>
              <w:lang w:val="en-US"/>
            </w:rPr>
          </w:pPr>
          <w:r>
            <w:rPr>
              <w:rFonts w:hint="default" w:ascii="仿宋_GB2312" w:hAnsi="仿宋_GB2312" w:eastAsia="仿宋_GB2312" w:cs="仿宋_GB2312"/>
              <w:sz w:val="32"/>
              <w:szCs w:val="32"/>
            </w:rPr>
            <w:t>一、收入支出决算总表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25</w:t>
          </w:r>
        </w:p>
        <w:p w14:paraId="233F2F28">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default" w:ascii="仿宋_GB2312" w:hAnsi="仿宋_GB2312" w:eastAsia="仿宋_GB2312" w:cs="仿宋_GB2312"/>
              <w:sz w:val="32"/>
              <w:szCs w:val="32"/>
              <w:lang w:val="en-US"/>
            </w:rPr>
          </w:pPr>
          <w:r>
            <w:rPr>
              <w:rFonts w:hint="default" w:ascii="仿宋_GB2312" w:hAnsi="仿宋_GB2312" w:eastAsia="仿宋_GB2312" w:cs="仿宋_GB2312"/>
              <w:sz w:val="32"/>
              <w:szCs w:val="32"/>
            </w:rPr>
            <w:t>二、收入决算表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25</w:t>
          </w:r>
        </w:p>
        <w:p w14:paraId="220CFA1A">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rPr>
            <w:t>三、支出决算表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25</w:t>
          </w:r>
        </w:p>
        <w:p w14:paraId="3EF42EDF">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default" w:ascii="仿宋_GB2312" w:hAnsi="仿宋_GB2312" w:eastAsia="仿宋_GB2312" w:cs="仿宋_GB2312"/>
              <w:sz w:val="32"/>
              <w:szCs w:val="32"/>
              <w:lang w:val="en-US"/>
            </w:rPr>
          </w:pPr>
          <w:r>
            <w:rPr>
              <w:rFonts w:hint="default" w:ascii="仿宋_GB2312" w:hAnsi="仿宋_GB2312" w:eastAsia="仿宋_GB2312" w:cs="仿宋_GB2312"/>
              <w:sz w:val="32"/>
              <w:szCs w:val="32"/>
            </w:rPr>
            <w:t>四、财政拨款收入支出决算总表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25</w:t>
          </w:r>
        </w:p>
        <w:p w14:paraId="26829AB6">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default" w:ascii="仿宋_GB2312" w:hAnsi="仿宋_GB2312" w:eastAsia="仿宋_GB2312" w:cs="仿宋_GB2312"/>
              <w:sz w:val="32"/>
              <w:szCs w:val="32"/>
              <w:lang w:val="en-US"/>
            </w:rPr>
          </w:pPr>
          <w:r>
            <w:rPr>
              <w:rFonts w:hint="default" w:ascii="仿宋_GB2312" w:hAnsi="仿宋_GB2312" w:eastAsia="仿宋_GB2312" w:cs="仿宋_GB2312"/>
              <w:sz w:val="32"/>
              <w:szCs w:val="32"/>
            </w:rPr>
            <w:t>五、财政拨款支出决算明细表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25</w:t>
          </w:r>
        </w:p>
        <w:p w14:paraId="151C37EC">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default" w:ascii="仿宋_GB2312" w:hAnsi="仿宋_GB2312" w:eastAsia="仿宋_GB2312" w:cs="仿宋_GB2312"/>
              <w:sz w:val="32"/>
              <w:szCs w:val="32"/>
              <w:lang w:val="en-US"/>
            </w:rPr>
          </w:pPr>
          <w:r>
            <w:rPr>
              <w:rFonts w:hint="default" w:ascii="仿宋_GB2312" w:hAnsi="仿宋_GB2312" w:eastAsia="仿宋_GB2312" w:cs="仿宋_GB2312"/>
              <w:sz w:val="32"/>
              <w:szCs w:val="32"/>
            </w:rPr>
            <w:t>六、一般公共预算财政拨款支出决算表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25</w:t>
          </w:r>
        </w:p>
        <w:p w14:paraId="10CF9DAA">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default" w:ascii="仿宋_GB2312" w:hAnsi="仿宋_GB2312" w:eastAsia="仿宋_GB2312" w:cs="仿宋_GB2312"/>
              <w:sz w:val="32"/>
              <w:szCs w:val="32"/>
              <w:lang w:val="en-US"/>
            </w:rPr>
          </w:pPr>
          <w:r>
            <w:rPr>
              <w:rFonts w:hint="default" w:ascii="仿宋_GB2312" w:hAnsi="仿宋_GB2312" w:eastAsia="仿宋_GB2312" w:cs="仿宋_GB2312"/>
              <w:sz w:val="32"/>
              <w:szCs w:val="32"/>
            </w:rPr>
            <w:t>七、一般公共预算财政拨款支出决算明细表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25</w:t>
          </w:r>
        </w:p>
        <w:p w14:paraId="0D29FB96">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default" w:ascii="仿宋_GB2312" w:hAnsi="仿宋_GB2312" w:eastAsia="仿宋_GB2312" w:cs="仿宋_GB2312"/>
              <w:sz w:val="32"/>
              <w:szCs w:val="32"/>
              <w:lang w:val="en-US"/>
            </w:rPr>
          </w:pPr>
          <w:r>
            <w:rPr>
              <w:rFonts w:hint="default" w:ascii="仿宋_GB2312" w:hAnsi="仿宋_GB2312" w:eastAsia="仿宋_GB2312" w:cs="仿宋_GB2312"/>
              <w:sz w:val="32"/>
              <w:szCs w:val="32"/>
            </w:rPr>
            <w:t>八、一般公共预算财政拨款基本支出决算</w:t>
          </w:r>
          <w:r>
            <w:rPr>
              <w:rFonts w:hint="default" w:ascii="仿宋_GB2312" w:hAnsi="仿宋_GB2312" w:eastAsia="仿宋_GB2312" w:cs="仿宋_GB2312"/>
              <w:sz w:val="32"/>
              <w:szCs w:val="32"/>
              <w:lang w:eastAsia="zh-CN"/>
            </w:rPr>
            <w:t>明细</w:t>
          </w:r>
          <w:r>
            <w:rPr>
              <w:rFonts w:hint="default" w:ascii="仿宋_GB2312" w:hAnsi="仿宋_GB2312" w:eastAsia="仿宋_GB2312" w:cs="仿宋_GB2312"/>
              <w:sz w:val="32"/>
              <w:szCs w:val="32"/>
            </w:rPr>
            <w:t>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25</w:t>
          </w:r>
        </w:p>
        <w:p w14:paraId="7EF70C21">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default" w:ascii="仿宋_GB2312" w:hAnsi="仿宋_GB2312" w:eastAsia="仿宋_GB2312" w:cs="仿宋_GB2312"/>
              <w:sz w:val="32"/>
              <w:szCs w:val="32"/>
              <w:lang w:val="en-US"/>
            </w:rPr>
          </w:pPr>
          <w:r>
            <w:rPr>
              <w:rFonts w:hint="default" w:ascii="仿宋_GB2312" w:hAnsi="仿宋_GB2312" w:eastAsia="仿宋_GB2312" w:cs="仿宋_GB2312"/>
              <w:sz w:val="32"/>
              <w:szCs w:val="32"/>
            </w:rPr>
            <w:t>九、一般公共预算财政拨款项目支出决算表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25</w:t>
          </w:r>
        </w:p>
        <w:p w14:paraId="4291BBE3">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default" w:ascii="仿宋_GB2312" w:hAnsi="仿宋_GB2312" w:eastAsia="仿宋_GB2312" w:cs="仿宋_GB2312"/>
              <w:sz w:val="32"/>
              <w:szCs w:val="32"/>
              <w:lang w:val="en-US"/>
            </w:rPr>
          </w:pPr>
          <w:r>
            <w:rPr>
              <w:rFonts w:hint="default" w:ascii="仿宋_GB2312" w:hAnsi="仿宋_GB2312" w:eastAsia="仿宋_GB2312" w:cs="仿宋_GB2312"/>
              <w:sz w:val="32"/>
              <w:szCs w:val="32"/>
            </w:rPr>
            <w:t>十、政府性基金预算财政拨款收入支出决算表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25</w:t>
          </w:r>
        </w:p>
        <w:p w14:paraId="54701865">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default" w:ascii="仿宋_GB2312" w:hAnsi="仿宋_GB2312" w:eastAsia="仿宋_GB2312" w:cs="仿宋_GB2312"/>
              <w:sz w:val="32"/>
              <w:szCs w:val="32"/>
              <w:lang w:val="en-US"/>
            </w:rPr>
          </w:pPr>
          <w:r>
            <w:rPr>
              <w:rFonts w:hint="default" w:ascii="仿宋_GB2312" w:hAnsi="仿宋_GB2312" w:eastAsia="仿宋_GB2312" w:cs="仿宋_GB2312"/>
              <w:sz w:val="32"/>
              <w:szCs w:val="32"/>
            </w:rPr>
            <w:t>十一、国有资本经营预算财政拨款收入支出决算表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25</w:t>
          </w:r>
        </w:p>
        <w:p w14:paraId="4D9AF467">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default" w:ascii="仿宋_GB2312" w:hAnsi="仿宋_GB2312" w:eastAsia="仿宋_GB2312" w:cs="仿宋_GB2312"/>
              <w:sz w:val="32"/>
              <w:szCs w:val="32"/>
              <w:lang w:val="en-US"/>
            </w:rPr>
          </w:pPr>
          <w:r>
            <w:rPr>
              <w:rFonts w:hint="default" w:ascii="仿宋_GB2312" w:hAnsi="仿宋_GB2312" w:eastAsia="仿宋_GB2312" w:cs="仿宋_GB2312"/>
              <w:sz w:val="32"/>
              <w:szCs w:val="32"/>
            </w:rPr>
            <w:t>十二、</w:t>
          </w:r>
          <w:r>
            <w:rPr>
              <w:rFonts w:hint="default" w:ascii="仿宋_GB2312" w:hAnsi="仿宋_GB2312" w:eastAsia="仿宋_GB2312" w:cs="仿宋_GB2312"/>
              <w:sz w:val="32"/>
              <w:szCs w:val="32"/>
              <w:lang w:val="en-US" w:eastAsia="zh-CN"/>
            </w:rPr>
            <w:t>国有资本经营预算财政拨款支出决算表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25</w:t>
          </w:r>
        </w:p>
        <w:p w14:paraId="094EFE41">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default" w:ascii="仿宋_GB2312" w:hAnsi="仿宋_GB2312" w:eastAsia="仿宋_GB2312" w:cs="仿宋_GB2312"/>
              <w:sz w:val="32"/>
              <w:szCs w:val="32"/>
              <w:lang w:val="en-US"/>
            </w:rPr>
          </w:pPr>
          <w:r>
            <w:rPr>
              <w:rFonts w:hint="default" w:ascii="仿宋_GB2312" w:hAnsi="仿宋_GB2312" w:eastAsia="仿宋_GB2312" w:cs="仿宋_GB2312"/>
              <w:sz w:val="32"/>
              <w:szCs w:val="32"/>
            </w:rPr>
            <w:t>十三、财政拨款“三公”经费支出决算表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25</w:t>
          </w:r>
        </w:p>
        <w:p w14:paraId="30DF0CE0">
          <w:pPr>
            <w:pStyle w:val="16"/>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default" w:ascii="仿宋_GB2312" w:hAnsi="仿宋_GB2312" w:eastAsia="仿宋_GB2312" w:cs="仿宋_GB2312"/>
              <w:sz w:val="32"/>
              <w:szCs w:val="32"/>
              <w:lang w:val="en-US"/>
            </w:rPr>
          </w:pPr>
        </w:p>
        <w:p w14:paraId="33230DD8"/>
      </w:sdtContent>
    </w:sdt>
    <w:p w14:paraId="5124639B"/>
    <w:p w14:paraId="4780A82E">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
          <w:color w:val="auto"/>
          <w:sz w:val="32"/>
          <w:szCs w:val="32"/>
          <w:highlight w:val="none"/>
        </w:rPr>
      </w:pPr>
    </w:p>
    <w:p w14:paraId="5319142E">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
          <w:color w:val="auto"/>
          <w:sz w:val="32"/>
          <w:szCs w:val="32"/>
          <w:highlight w:val="none"/>
        </w:rPr>
      </w:pPr>
    </w:p>
    <w:p w14:paraId="03E4FFC3">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
          <w:color w:val="auto"/>
          <w:sz w:val="32"/>
          <w:szCs w:val="32"/>
          <w:highlight w:val="none"/>
        </w:rPr>
      </w:pPr>
    </w:p>
    <w:p w14:paraId="2D9684BB">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
          <w:color w:val="auto"/>
          <w:sz w:val="32"/>
          <w:szCs w:val="32"/>
          <w:highlight w:val="none"/>
        </w:rPr>
      </w:pPr>
    </w:p>
    <w:p w14:paraId="1627E7BB">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
          <w:color w:val="auto"/>
          <w:sz w:val="32"/>
          <w:szCs w:val="32"/>
          <w:highlight w:val="none"/>
        </w:rPr>
      </w:pPr>
    </w:p>
    <w:p w14:paraId="41F36BDD">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
          <w:color w:val="auto"/>
          <w:sz w:val="32"/>
          <w:szCs w:val="32"/>
          <w:highlight w:val="none"/>
        </w:rPr>
      </w:pPr>
    </w:p>
    <w:p w14:paraId="45D2ED98">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
          <w:color w:val="auto"/>
          <w:sz w:val="32"/>
          <w:szCs w:val="32"/>
          <w:highlight w:val="none"/>
        </w:rPr>
      </w:pPr>
    </w:p>
    <w:p w14:paraId="2D42D219">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Cs/>
          <w:color w:val="auto"/>
          <w:kern w:val="44"/>
          <w:sz w:val="32"/>
          <w:szCs w:val="32"/>
          <w:highlight w:val="none"/>
        </w:rPr>
      </w:pPr>
      <w:r>
        <w:rPr>
          <w:rFonts w:hint="default" w:ascii="Times New Roman" w:hAnsi="Times New Roman" w:eastAsia="仿宋_GB2312" w:cs="Times New Roman"/>
          <w:b/>
          <w:color w:val="auto"/>
          <w:sz w:val="32"/>
          <w:szCs w:val="32"/>
          <w:highlight w:val="none"/>
        </w:rPr>
        <w:br w:type="page"/>
      </w:r>
    </w:p>
    <w:p w14:paraId="35B0FB8E">
      <w:pPr>
        <w:pStyle w:val="2"/>
        <w:keepNext/>
        <w:keepLines/>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auto"/>
          <w:sz w:val="32"/>
          <w:szCs w:val="32"/>
          <w:highlight w:val="none"/>
        </w:rPr>
      </w:pPr>
      <w:bookmarkStart w:id="6" w:name="_Toc14338"/>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Style w:val="31"/>
          <w:rFonts w:hint="default" w:ascii="Times New Roman" w:hAnsi="Times New Roman" w:eastAsia="方正小标宋简体" w:cs="Times New Roman"/>
          <w:b w:val="0"/>
          <w:bCs w:val="0"/>
          <w:color w:val="auto"/>
          <w:highlight w:val="none"/>
        </w:rPr>
        <w:t>部门概况</w:t>
      </w:r>
      <w:bookmarkEnd w:id="6"/>
    </w:p>
    <w:p w14:paraId="386932AC">
      <w:pPr>
        <w:pStyle w:val="3"/>
        <w:pageBreakBefore w:val="0"/>
        <w:numPr>
          <w:ilvl w:val="0"/>
          <w:numId w:val="0"/>
        </w:numPr>
        <w:kinsoku/>
        <w:wordWrap/>
        <w:overflowPunct/>
        <w:topLinePunct w:val="0"/>
        <w:autoSpaceDE/>
        <w:autoSpaceDN/>
        <w:bidi w:val="0"/>
        <w:adjustRightInd/>
        <w:spacing w:line="560" w:lineRule="exact"/>
        <w:textAlignment w:val="auto"/>
        <w:rPr>
          <w:rFonts w:hint="default" w:ascii="Times New Roman" w:hAnsi="Times New Roman" w:cs="Times New Roman"/>
          <w:lang w:eastAsia="zh-CN"/>
        </w:rPr>
      </w:pPr>
      <w:bookmarkStart w:id="7" w:name="_Toc26785"/>
      <w:r>
        <w:rPr>
          <w:rFonts w:hint="eastAsia" w:ascii="Times New Roman" w:hAnsi="Times New Roman" w:eastAsia="黑体" w:cs="Times New Roman"/>
          <w:b w:val="0"/>
          <w:color w:val="auto"/>
          <w:highlight w:val="none"/>
          <w:lang w:val="en-US" w:eastAsia="zh-CN"/>
        </w:rPr>
        <w:t>一、</w:t>
      </w:r>
      <w:r>
        <w:rPr>
          <w:rFonts w:hint="default" w:ascii="Times New Roman" w:hAnsi="Times New Roman" w:eastAsia="黑体" w:cs="Times New Roman"/>
          <w:b w:val="0"/>
          <w:color w:val="auto"/>
          <w:highlight w:val="none"/>
          <w:lang w:eastAsia="zh-CN"/>
        </w:rPr>
        <w:t>部门职责</w:t>
      </w:r>
      <w:bookmarkEnd w:id="7"/>
    </w:p>
    <w:p w14:paraId="3DFCF27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1、主要职</w:t>
      </w:r>
      <w:r>
        <w:rPr>
          <w:rFonts w:hint="eastAsia" w:eastAsia="方正仿宋_GBK" w:cs="Times New Roman"/>
          <w:sz w:val="32"/>
          <w:szCs w:val="32"/>
          <w:lang w:eastAsia="zh-CN"/>
        </w:rPr>
        <w:t>能是</w:t>
      </w:r>
      <w:r>
        <w:rPr>
          <w:rFonts w:hint="default" w:ascii="Times New Roman" w:hAnsi="Times New Roman" w:eastAsia="方正仿宋_GBK" w:cs="Times New Roman"/>
          <w:sz w:val="32"/>
          <w:szCs w:val="32"/>
        </w:rPr>
        <w:t>执行本级人民代表大会的决议和上级国家行政机关的决定和命令，在辖区内发布决定和命令； </w:t>
      </w:r>
    </w:p>
    <w:p w14:paraId="47AC867A">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2、按照国家宪法和法律，行使对本辖区内的行政及民政事务的管理,推进计划生育工作； </w:t>
      </w:r>
    </w:p>
    <w:p w14:paraId="78F20419">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3、制定经济和社会发展规划，并组织实施；组织和领导行政经济体制改革，协调本行政区域村民委员会与各经济组织之间的关系； </w:t>
      </w:r>
    </w:p>
    <w:p w14:paraId="65649F44">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4、组织规划财政管理的各项收入，管理乡范围内的各项财政支出和行政筹集、分配和使用的资金； </w:t>
      </w:r>
    </w:p>
    <w:p w14:paraId="636D7FC1">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5、负责管理对外经济技术交流与合作，开展经济信息预测工作，推广科学技术成果； </w:t>
      </w:r>
    </w:p>
    <w:p w14:paraId="3EAC3D1A">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6、对各项社会建设进行宏观管理，抓好环境卫生整治工作； </w:t>
      </w:r>
    </w:p>
    <w:p w14:paraId="75955BE1">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7、加强基本农田水利建设和道路、桥梁等的建设，加强土地的统一管理、统筹规划，协助有关部门做好地质灾害的防治工作; </w:t>
      </w:r>
    </w:p>
    <w:p w14:paraId="57651C41">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8、负责农村土地承包管理、农民负担监督管理、农村集体资产财务管理； </w:t>
      </w:r>
    </w:p>
    <w:p w14:paraId="725B7AD1">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9、充分发挥行政</w:t>
      </w:r>
      <w:r>
        <w:rPr>
          <w:rFonts w:hint="eastAsia" w:eastAsia="方正仿宋_GBK" w:cs="Times New Roman"/>
          <w:sz w:val="32"/>
          <w:szCs w:val="32"/>
          <w:lang w:val="en-US" w:eastAsia="zh-CN"/>
        </w:rPr>
        <w:t>效能</w:t>
      </w:r>
      <w:r>
        <w:rPr>
          <w:rFonts w:hint="default" w:ascii="Times New Roman" w:hAnsi="Times New Roman" w:eastAsia="方正仿宋_GBK" w:cs="Times New Roman"/>
          <w:sz w:val="32"/>
          <w:szCs w:val="32"/>
        </w:rPr>
        <w:t>，组织和开展本乡的文化、教育、卫生、民政和科技等工作； </w:t>
      </w:r>
    </w:p>
    <w:p w14:paraId="1A9D721C">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cs="Times New Roman"/>
          <w:lang w:val="en-US" w:eastAsia="zh-CN"/>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、根据经济发展需要，建立经济、技术咨询服务机构，向经济组织和农牧民提供全面服务。 </w:t>
      </w:r>
    </w:p>
    <w:p w14:paraId="215E26B7">
      <w:pPr>
        <w:pStyle w:val="3"/>
        <w:pageBreakBefore w:val="0"/>
        <w:kinsoku/>
        <w:wordWrap/>
        <w:overflowPunct/>
        <w:topLinePunct w:val="0"/>
        <w:autoSpaceDE/>
        <w:autoSpaceDN/>
        <w:bidi w:val="0"/>
        <w:adjustRightInd/>
        <w:spacing w:line="560" w:lineRule="exact"/>
        <w:textAlignment w:val="auto"/>
        <w:rPr>
          <w:rStyle w:val="32"/>
          <w:rFonts w:hint="default" w:ascii="Times New Roman" w:hAnsi="Times New Roman" w:cs="Times New Roman"/>
          <w:b w:val="0"/>
          <w:bCs w:val="0"/>
          <w:color w:val="auto"/>
          <w:highlight w:val="none"/>
        </w:rPr>
      </w:pPr>
      <w:bookmarkStart w:id="8" w:name="_Toc15396601"/>
      <w:bookmarkStart w:id="9" w:name="_Toc29186"/>
      <w:bookmarkStart w:id="10" w:name="_Toc15377200"/>
      <w:r>
        <w:rPr>
          <w:rFonts w:hint="default" w:ascii="Times New Roman" w:hAnsi="Times New Roman" w:eastAsia="黑体" w:cs="Times New Roman"/>
          <w:b w:val="0"/>
          <w:color w:val="auto"/>
          <w:highlight w:val="none"/>
        </w:rPr>
        <w:t>二、机</w:t>
      </w:r>
      <w:r>
        <w:rPr>
          <w:rStyle w:val="32"/>
          <w:rFonts w:hint="default" w:ascii="Times New Roman" w:hAnsi="Times New Roman" w:eastAsia="黑体" w:cs="Times New Roman"/>
          <w:b w:val="0"/>
          <w:bCs w:val="0"/>
          <w:color w:val="auto"/>
          <w:highlight w:val="none"/>
        </w:rPr>
        <w:t>构设置</w:t>
      </w:r>
      <w:bookmarkEnd w:id="8"/>
      <w:bookmarkEnd w:id="9"/>
      <w:bookmarkEnd w:id="10"/>
    </w:p>
    <w:p w14:paraId="779A45D6">
      <w:pPr>
        <w:pageBreakBefore w:val="0"/>
        <w:widowControl/>
        <w:kinsoku/>
        <w:wordWrap/>
        <w:overflowPunct/>
        <w:topLinePunct w:val="0"/>
        <w:autoSpaceDE/>
        <w:autoSpaceDN/>
        <w:bidi w:val="0"/>
        <w:adjustRightInd/>
        <w:spacing w:line="560" w:lineRule="exact"/>
        <w:ind w:left="0" w:leftChars="0" w:firstLine="640" w:firstLineChars="200"/>
        <w:jc w:val="left"/>
        <w:textAlignment w:val="auto"/>
        <w:outlineLvl w:val="0"/>
        <w:rPr>
          <w:rFonts w:hint="default" w:ascii="Times New Roman" w:hAnsi="Times New Roman" w:eastAsia="方正仿宋_GBK" w:cs="Times New Roman"/>
          <w:kern w:val="0"/>
          <w:sz w:val="32"/>
          <w:szCs w:val="32"/>
          <w:lang w:val="en-US" w:eastAsia="zh-CN"/>
        </w:rPr>
      </w:pPr>
      <w:bookmarkStart w:id="11" w:name="_Toc13075"/>
      <w:bookmarkStart w:id="12" w:name="_Toc10638"/>
      <w:bookmarkStart w:id="13" w:name="_Toc15306275"/>
      <w:bookmarkStart w:id="14" w:name="_Toc15377432"/>
      <w:bookmarkStart w:id="15" w:name="_Toc15377201"/>
      <w:bookmarkStart w:id="16" w:name="_Toc15378448"/>
      <w:r>
        <w:rPr>
          <w:rFonts w:hint="default" w:ascii="Times New Roman" w:hAnsi="Times New Roman" w:eastAsia="方正仿宋_GBK" w:cs="Times New Roman"/>
          <w:sz w:val="32"/>
          <w:szCs w:val="32"/>
        </w:rPr>
        <w:t>1、</w:t>
      </w:r>
      <w:r>
        <w:rPr>
          <w:rFonts w:hint="default" w:ascii="Times New Roman" w:hAnsi="Times New Roman" w:eastAsia="方正仿宋_GBK" w:cs="Times New Roman"/>
          <w:kern w:val="0"/>
          <w:sz w:val="32"/>
          <w:szCs w:val="32"/>
          <w:lang w:val="en-US" w:eastAsia="zh-CN"/>
        </w:rPr>
        <w:t>本单位本年度纳入本套决算编制范围的独立编制机构数共2个，主要为行政、便民服务中心，分别列支预算。</w:t>
      </w:r>
      <w:bookmarkEnd w:id="11"/>
      <w:bookmarkEnd w:id="12"/>
    </w:p>
    <w:p w14:paraId="27D06867">
      <w:pPr>
        <w:pageBreakBefore w:val="0"/>
        <w:widowControl/>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方正仿宋_GBK" w:cs="Times New Roman"/>
          <w:sz w:val="32"/>
          <w:szCs w:val="32"/>
        </w:rPr>
        <w:t>2、</w:t>
      </w:r>
      <w:r>
        <w:rPr>
          <w:rFonts w:hint="default" w:ascii="Times New Roman" w:hAnsi="Times New Roman" w:eastAsia="仿宋_GB2312" w:cs="Times New Roman"/>
          <w:kern w:val="0"/>
          <w:sz w:val="32"/>
          <w:szCs w:val="32"/>
        </w:rPr>
        <w:t>总编制</w:t>
      </w:r>
      <w:r>
        <w:rPr>
          <w:rFonts w:hint="default" w:ascii="Times New Roman" w:hAnsi="Times New Roman" w:eastAsia="仿宋_GB2312" w:cs="Times New Roman"/>
          <w:kern w:val="0"/>
          <w:sz w:val="32"/>
          <w:szCs w:val="32"/>
          <w:u w:val="single"/>
          <w:lang w:val="en-US" w:eastAsia="zh-CN"/>
        </w:rPr>
        <w:t>30</w:t>
      </w:r>
      <w:r>
        <w:rPr>
          <w:rFonts w:hint="default" w:ascii="Times New Roman" w:hAnsi="Times New Roman" w:eastAsia="仿宋_GB2312" w:cs="Times New Roman"/>
          <w:kern w:val="0"/>
          <w:sz w:val="32"/>
          <w:szCs w:val="32"/>
        </w:rPr>
        <w:t>名,其中:行政编制</w:t>
      </w:r>
      <w:r>
        <w:rPr>
          <w:rFonts w:hint="default" w:ascii="Times New Roman" w:hAnsi="Times New Roman" w:eastAsia="仿宋_GB2312" w:cs="Times New Roman"/>
          <w:kern w:val="0"/>
          <w:sz w:val="32"/>
          <w:szCs w:val="32"/>
          <w:lang w:val="en-US" w:eastAsia="zh-CN"/>
        </w:rPr>
        <w:t>19</w:t>
      </w:r>
      <w:r>
        <w:rPr>
          <w:rFonts w:hint="default" w:ascii="Times New Roman" w:hAnsi="Times New Roman" w:eastAsia="仿宋_GB2312" w:cs="Times New Roman"/>
          <w:kern w:val="0"/>
          <w:sz w:val="32"/>
          <w:szCs w:val="32"/>
        </w:rPr>
        <w:t>人、</w:t>
      </w:r>
      <w:r>
        <w:rPr>
          <w:rFonts w:hint="default" w:ascii="Times New Roman" w:hAnsi="Times New Roman" w:eastAsia="仿宋_GB2312" w:cs="Times New Roman"/>
          <w:kern w:val="0"/>
          <w:sz w:val="32"/>
          <w:szCs w:val="32"/>
          <w:lang w:val="en-US" w:eastAsia="zh-CN"/>
        </w:rPr>
        <w:t>事业编制10名、行政</w:t>
      </w:r>
      <w:r>
        <w:rPr>
          <w:rFonts w:hint="default" w:ascii="Times New Roman" w:hAnsi="Times New Roman" w:eastAsia="仿宋_GB2312" w:cs="Times New Roman"/>
          <w:kern w:val="0"/>
          <w:sz w:val="32"/>
          <w:szCs w:val="32"/>
        </w:rPr>
        <w:t>工勤1人。</w:t>
      </w:r>
    </w:p>
    <w:p w14:paraId="6B859FB8">
      <w:pPr>
        <w:pageBreakBefore w:val="0"/>
        <w:numPr>
          <w:ilvl w:val="0"/>
          <w:numId w:val="0"/>
        </w:numPr>
        <w:kinsoku/>
        <w:wordWrap/>
        <w:overflowPunct/>
        <w:topLinePunct w:val="0"/>
        <w:autoSpaceDE/>
        <w:autoSpaceDN/>
        <w:bidi w:val="0"/>
        <w:adjustRightInd/>
        <w:spacing w:line="560" w:lineRule="exact"/>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val="en-US" w:eastAsia="zh-CN"/>
        </w:rPr>
        <w:t xml:space="preserve"> </w:t>
      </w:r>
      <w:r>
        <w:rPr>
          <w:rFonts w:hint="default" w:ascii="Times New Roman" w:hAnsi="Times New Roman" w:eastAsia="楷体_GB2312" w:cs="Times New Roman"/>
          <w:b/>
          <w:bCs/>
          <w:sz w:val="32"/>
          <w:szCs w:val="32"/>
        </w:rPr>
        <w:t>主要工作任务完成情况</w:t>
      </w:r>
    </w:p>
    <w:p w14:paraId="1E3474D8">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楷体_GB2312" w:cs="Times New Roman"/>
          <w:b/>
          <w:bCs/>
          <w:color w:val="000000"/>
          <w:sz w:val="32"/>
          <w:szCs w:val="32"/>
          <w:lang w:val="en-US" w:eastAsia="zh-CN"/>
        </w:rPr>
        <w:t>（一）聚焦思想解放，破除思想壁垒。</w:t>
      </w:r>
      <w:r>
        <w:rPr>
          <w:rFonts w:hint="default" w:ascii="Times New Roman" w:hAnsi="Times New Roman" w:eastAsia="仿宋_GB2312" w:cs="Times New Roman"/>
          <w:color w:val="000000"/>
          <w:sz w:val="32"/>
          <w:szCs w:val="32"/>
          <w:lang w:val="en-US" w:eastAsia="zh-CN"/>
        </w:rPr>
        <w:t>立足畜牧发展历史优势、资源优势，在培养养殖大户，竭力打造育肥基地，大力推进畜种改良、畜草种植，延长畜产品加工产业链，全力推进牦牛出栏上再下苦功夫、深功夫，用沉甸甸的钱袋，激发农牧民群众致富增收的信念，调动群众内生动力。</w:t>
      </w:r>
    </w:p>
    <w:p w14:paraId="132494A1">
      <w:pPr>
        <w:keepNext w:val="0"/>
        <w:keepLines w:val="0"/>
        <w:pageBreakBefore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楷体_GB2312" w:cs="Times New Roman"/>
          <w:b/>
          <w:bCs/>
          <w:color w:val="000000"/>
          <w:sz w:val="32"/>
          <w:szCs w:val="32"/>
          <w:highlight w:val="none"/>
          <w:lang w:val="en-US" w:eastAsia="zh-CN"/>
        </w:rPr>
        <w:t>（二）加强规划引领，促进经济发展。</w:t>
      </w:r>
      <w:r>
        <w:rPr>
          <w:rFonts w:hint="default" w:ascii="Times New Roman" w:hAnsi="Times New Roman" w:eastAsia="仿宋_GB2312" w:cs="Times New Roman"/>
          <w:color w:val="000000"/>
          <w:sz w:val="32"/>
          <w:szCs w:val="32"/>
          <w:lang w:val="en-US" w:eastAsia="zh-CN"/>
        </w:rPr>
        <w:t>立足自身实际，充分发挥土地、林地、畜牧等优势资源，深入推动传统农业、畜牧业转型升级，</w:t>
      </w:r>
      <w:r>
        <w:rPr>
          <w:rFonts w:hint="default" w:ascii="Times New Roman" w:hAnsi="Times New Roman" w:eastAsia="仿宋_GB2312" w:cs="Times New Roman"/>
          <w:color w:val="000000"/>
          <w:sz w:val="32"/>
          <w:szCs w:val="32"/>
          <w:highlight w:val="none"/>
          <w:lang w:val="en-US" w:eastAsia="zh-CN"/>
        </w:rPr>
        <w:t>大力推广高原绿色蔬菜、地道中药材种植、畜牧业等产业发展</w:t>
      </w:r>
      <w:r>
        <w:rPr>
          <w:rFonts w:hint="default" w:ascii="Times New Roman" w:hAnsi="Times New Roman" w:eastAsia="仿宋_GB2312" w:cs="Times New Roman"/>
          <w:color w:val="000000"/>
          <w:sz w:val="32"/>
          <w:szCs w:val="32"/>
          <w:lang w:val="en-US" w:eastAsia="zh-CN"/>
        </w:rPr>
        <w:t>，促进群众增收致富。</w:t>
      </w:r>
      <w:r>
        <w:rPr>
          <w:rFonts w:hint="default" w:ascii="Times New Roman" w:hAnsi="Times New Roman" w:eastAsia="仿宋_GB2312" w:cs="Times New Roman"/>
          <w:color w:val="000000"/>
          <w:kern w:val="2"/>
          <w:sz w:val="32"/>
          <w:szCs w:val="32"/>
          <w:highlight w:val="none"/>
          <w:lang w:val="en-US" w:eastAsia="zh-CN" w:bidi="ar-SA"/>
        </w:rPr>
        <w:t>积极拓宽就业保障渠道，</w:t>
      </w:r>
      <w:r>
        <w:rPr>
          <w:rFonts w:hint="default" w:ascii="Times New Roman" w:hAnsi="Times New Roman" w:eastAsia="仿宋_GB2312" w:cs="Times New Roman"/>
          <w:color w:val="000000"/>
          <w:sz w:val="32"/>
          <w:szCs w:val="32"/>
          <w:highlight w:val="none"/>
          <w:lang w:val="en-US" w:eastAsia="zh-CN"/>
        </w:rPr>
        <w:t>坚持外出务工和就近就业双向发力，大力推动稳岗就业，持续输出劳动力到浙江、绵阳等地务工，倾力扶持个体工商户发展，竭力谋划产业项目，</w:t>
      </w:r>
      <w:r>
        <w:rPr>
          <w:rFonts w:hint="default" w:ascii="Times New Roman" w:hAnsi="Times New Roman" w:eastAsia="仿宋_GB2312" w:cs="Times New Roman"/>
          <w:color w:val="000000"/>
          <w:kern w:val="2"/>
          <w:sz w:val="32"/>
          <w:szCs w:val="32"/>
          <w:highlight w:val="none"/>
          <w:lang w:val="en-US" w:eastAsia="zh-CN" w:bidi="ar-SA"/>
        </w:rPr>
        <w:t xml:space="preserve">促进农牧民、就业困难人员等重点群体稳定就业、充分就业。 </w:t>
      </w:r>
    </w:p>
    <w:p w14:paraId="4314ED51">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楷体_GB2312" w:cs="Times New Roman"/>
          <w:b/>
          <w:bCs/>
          <w:color w:val="000000"/>
          <w:sz w:val="32"/>
          <w:szCs w:val="32"/>
          <w:highlight w:val="none"/>
          <w:lang w:val="en-US" w:eastAsia="zh-CN"/>
        </w:rPr>
        <w:t>（三）强化理论武装，筑牢思想根基。</w:t>
      </w:r>
      <w:r>
        <w:rPr>
          <w:rFonts w:hint="default" w:ascii="Times New Roman" w:hAnsi="Times New Roman" w:eastAsia="仿宋_GB2312" w:cs="Times New Roman"/>
          <w:color w:val="000000"/>
          <w:sz w:val="32"/>
          <w:szCs w:val="32"/>
          <w:highlight w:val="none"/>
          <w:lang w:val="en-US" w:eastAsia="zh-CN"/>
        </w:rPr>
        <w:t>利用集中学和分散深入学相结合，线上软件学和线下书本学相结合的方式，</w:t>
      </w:r>
      <w:r>
        <w:rPr>
          <w:rFonts w:hint="default" w:ascii="Times New Roman" w:hAnsi="Times New Roman" w:eastAsia="仿宋_GB2312" w:cs="Times New Roman"/>
          <w:b w:val="0"/>
          <w:bCs w:val="0"/>
          <w:color w:val="000000"/>
          <w:sz w:val="32"/>
          <w:szCs w:val="32"/>
          <w:highlight w:val="none"/>
          <w:lang w:val="en-US" w:eastAsia="zh-CN"/>
        </w:rPr>
        <w:t>紧密结合主责主业，</w:t>
      </w:r>
      <w:r>
        <w:rPr>
          <w:rFonts w:hint="default" w:ascii="Times New Roman" w:hAnsi="Times New Roman" w:eastAsia="仿宋_GB2312" w:cs="Times New Roman"/>
          <w:color w:val="000000"/>
          <w:sz w:val="32"/>
          <w:szCs w:val="32"/>
          <w:highlight w:val="none"/>
          <w:lang w:val="en-US" w:eastAsia="zh-CN"/>
        </w:rPr>
        <w:t>读原著、学原文、悟原理，深刻认识和领会其理论意义、实践意义，深刻理解其核心要义、精神实质、丰富内涵、实践要求，贯彻落实好党的二十大精神，用理论武装头脑，坚持</w:t>
      </w:r>
      <w:r>
        <w:rPr>
          <w:rFonts w:hint="default" w:ascii="Times New Roman" w:hAnsi="Times New Roman" w:eastAsia="仿宋_GB2312" w:cs="Times New Roman"/>
          <w:b w:val="0"/>
          <w:bCs w:val="0"/>
          <w:color w:val="000000"/>
          <w:sz w:val="32"/>
          <w:szCs w:val="32"/>
          <w:highlight w:val="none"/>
          <w:lang w:val="en-US" w:eastAsia="zh-CN"/>
        </w:rPr>
        <w:t>结合工作学、带着问题学、上下贯通学，</w:t>
      </w:r>
      <w:r>
        <w:rPr>
          <w:rFonts w:hint="default" w:ascii="Times New Roman" w:hAnsi="Times New Roman" w:eastAsia="仿宋_GB2312" w:cs="Times New Roman"/>
          <w:color w:val="000000"/>
          <w:sz w:val="32"/>
          <w:szCs w:val="32"/>
          <w:highlight w:val="none"/>
          <w:lang w:val="en-US" w:eastAsia="zh-CN"/>
        </w:rPr>
        <w:t>不断提升干部队伍发现问题、解决问题的能力和水平。</w:t>
      </w:r>
    </w:p>
    <w:p w14:paraId="447D3366">
      <w:pPr>
        <w:keepNext w:val="0"/>
        <w:keepLines w:val="0"/>
        <w:pageBreakBefore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楷体_GB2312" w:cs="Times New Roman"/>
          <w:b/>
          <w:bCs/>
          <w:color w:val="000000"/>
          <w:sz w:val="32"/>
          <w:szCs w:val="32"/>
          <w:highlight w:val="none"/>
          <w:lang w:val="en-US" w:eastAsia="zh-CN"/>
        </w:rPr>
        <w:t>（四）聚焦社会稳定，提升治理能力。</w:t>
      </w:r>
      <w:r>
        <w:rPr>
          <w:rFonts w:hint="default" w:ascii="Times New Roman" w:hAnsi="Times New Roman" w:eastAsia="仿宋_GB2312" w:cs="Times New Roman"/>
          <w:b/>
          <w:bCs/>
          <w:color w:val="000000"/>
          <w:sz w:val="32"/>
          <w:szCs w:val="32"/>
          <w:highlight w:val="none"/>
          <w:lang w:val="en-US" w:eastAsia="zh-CN"/>
        </w:rPr>
        <w:t>一是</w:t>
      </w:r>
      <w:r>
        <w:rPr>
          <w:rFonts w:hint="default" w:ascii="Times New Roman" w:hAnsi="Times New Roman" w:eastAsia="仿宋_GB2312" w:cs="Times New Roman"/>
          <w:color w:val="000000"/>
          <w:sz w:val="32"/>
          <w:szCs w:val="32"/>
          <w:highlight w:val="none"/>
          <w:lang w:val="en-US" w:eastAsia="zh-CN"/>
        </w:rPr>
        <w:t>以“平安村居”创建、“红黑榜”制度、农牧民夜校为抓手，强基础、查弱项、补短板、提效能，解决群众反映的急难愁盼问题，激发乡村治理活力，推进基层社会治理，实现治村管人。</w:t>
      </w:r>
      <w:r>
        <w:rPr>
          <w:rFonts w:hint="default" w:ascii="Times New Roman" w:hAnsi="Times New Roman" w:eastAsia="仿宋_GB2312" w:cs="Times New Roman"/>
          <w:b/>
          <w:bCs/>
          <w:color w:val="000000"/>
          <w:sz w:val="32"/>
          <w:szCs w:val="32"/>
          <w:highlight w:val="none"/>
          <w:lang w:val="en-US" w:eastAsia="zh-CN"/>
        </w:rPr>
        <w:t>二是</w:t>
      </w:r>
      <w:r>
        <w:rPr>
          <w:rFonts w:hint="default" w:ascii="Times New Roman" w:hAnsi="Times New Roman" w:eastAsia="仿宋_GB2312" w:cs="Times New Roman"/>
          <w:color w:val="000000"/>
          <w:sz w:val="32"/>
          <w:szCs w:val="32"/>
          <w:highlight w:val="none"/>
          <w:lang w:val="en-US" w:eastAsia="zh-CN"/>
        </w:rPr>
        <w:t>不断加强基层法治阵地建设，将法治宣传、法律服务的触角延伸到基层。以用实法律顾问制度为载体，加强对缠访、闹访等无理取闹人员的管理，有效采取法律手段，推进依法行政。深入落实“八五”普法规划目标任务，不断提升农牧民法治意识。</w:t>
      </w:r>
    </w:p>
    <w:p w14:paraId="1F25CB5F">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rPr>
          <w:rFonts w:hint="default" w:ascii="Times New Roman" w:hAnsi="Times New Roman" w:eastAsia="仿宋_GB2312" w:cs="Times New Roman"/>
          <w:b w:val="0"/>
          <w:bCs w:val="0"/>
          <w:color w:val="000000"/>
          <w:sz w:val="32"/>
          <w:szCs w:val="32"/>
          <w:highlight w:val="none"/>
          <w:lang w:val="en-US" w:eastAsia="zh-CN"/>
        </w:rPr>
      </w:pPr>
      <w:r>
        <w:rPr>
          <w:rFonts w:hint="default" w:ascii="Times New Roman" w:hAnsi="Times New Roman" w:eastAsia="楷体_GB2312" w:cs="Times New Roman"/>
          <w:b/>
          <w:bCs/>
          <w:color w:val="000000"/>
          <w:sz w:val="32"/>
          <w:szCs w:val="32"/>
          <w:highlight w:val="none"/>
          <w:lang w:val="en-US" w:eastAsia="zh-CN"/>
        </w:rPr>
        <w:t>（五）兜住民生底线，增进人民福祉。</w:t>
      </w:r>
      <w:r>
        <w:rPr>
          <w:rFonts w:hint="default" w:ascii="Times New Roman" w:hAnsi="Times New Roman" w:eastAsia="仿宋_GB2312" w:cs="Times New Roman"/>
          <w:b/>
          <w:bCs/>
          <w:color w:val="000000"/>
          <w:sz w:val="32"/>
          <w:szCs w:val="32"/>
          <w:highlight w:val="none"/>
          <w:lang w:val="en-US" w:eastAsia="zh-CN"/>
        </w:rPr>
        <w:t>一是</w:t>
      </w:r>
      <w:r>
        <w:rPr>
          <w:rFonts w:hint="default" w:ascii="Times New Roman" w:hAnsi="Times New Roman" w:eastAsia="仿宋_GB2312" w:cs="Times New Roman"/>
          <w:b w:val="0"/>
          <w:bCs w:val="0"/>
          <w:color w:val="000000"/>
          <w:sz w:val="32"/>
          <w:szCs w:val="32"/>
          <w:highlight w:val="none"/>
          <w:lang w:val="en-US" w:eastAsia="zh-CN"/>
        </w:rPr>
        <w:t>坚决扛起巩固拓展脱贫攻坚成果同乡村振兴有效衔接政治责任，持续加强精准监测帮扶，夯实“两不愁三保障”及饮水安全成果，定期开展风险排查，对符合条件的新增监测对象做到应纳尽纳，强化帮扶工作。</w:t>
      </w:r>
      <w:r>
        <w:rPr>
          <w:rFonts w:hint="default" w:ascii="Times New Roman" w:hAnsi="Times New Roman" w:eastAsia="仿宋_GB2312" w:cs="Times New Roman"/>
          <w:b/>
          <w:bCs/>
          <w:color w:val="000000"/>
          <w:sz w:val="32"/>
          <w:szCs w:val="32"/>
          <w:highlight w:val="none"/>
          <w:lang w:val="en-US" w:eastAsia="zh-CN"/>
        </w:rPr>
        <w:t>二是</w:t>
      </w:r>
      <w:r>
        <w:rPr>
          <w:rFonts w:hint="default" w:ascii="Times New Roman" w:hAnsi="Times New Roman" w:eastAsia="仿宋_GB2312" w:cs="Times New Roman"/>
          <w:b w:val="0"/>
          <w:bCs w:val="0"/>
          <w:color w:val="000000"/>
          <w:sz w:val="32"/>
          <w:szCs w:val="32"/>
          <w:highlight w:val="none"/>
          <w:lang w:val="en-US" w:eastAsia="zh-CN"/>
        </w:rPr>
        <w:t>用心用情为群众办实事、办好事、办暖心事，</w:t>
      </w:r>
      <w:r>
        <w:rPr>
          <w:rFonts w:hint="default" w:ascii="Times New Roman" w:hAnsi="Times New Roman" w:eastAsia="仿宋_GB2312" w:cs="Times New Roman"/>
          <w:color w:val="000000"/>
          <w:sz w:val="32"/>
          <w:szCs w:val="32"/>
          <w:lang w:val="en-US" w:eastAsia="zh-CN"/>
        </w:rPr>
        <w:t>全力推进医保、养老保险等惠民政策缴费工作。加强摸底排查，保障</w:t>
      </w:r>
      <w:r>
        <w:rPr>
          <w:rFonts w:hint="default" w:ascii="Times New Roman" w:hAnsi="Times New Roman" w:eastAsia="仿宋_GB2312" w:cs="Times New Roman"/>
          <w:b w:val="0"/>
          <w:bCs w:val="0"/>
          <w:color w:val="000000"/>
          <w:sz w:val="32"/>
          <w:szCs w:val="32"/>
          <w:highlight w:val="none"/>
          <w:lang w:val="en-US" w:eastAsia="zh-CN"/>
        </w:rPr>
        <w:t>城乡低保、特困人员、残疾人、孤残儿童、</w:t>
      </w:r>
      <w:r>
        <w:rPr>
          <w:rFonts w:hint="default" w:ascii="Times New Roman" w:hAnsi="Times New Roman" w:eastAsia="仿宋_GB2312" w:cs="Times New Roman"/>
          <w:color w:val="000000"/>
          <w:sz w:val="32"/>
          <w:szCs w:val="32"/>
          <w:lang w:val="en-US" w:eastAsia="zh-CN"/>
        </w:rPr>
        <w:t>高龄老人</w:t>
      </w:r>
      <w:r>
        <w:rPr>
          <w:rFonts w:hint="default" w:ascii="Times New Roman" w:hAnsi="Times New Roman" w:eastAsia="仿宋_GB2312" w:cs="Times New Roman"/>
          <w:b w:val="0"/>
          <w:bCs w:val="0"/>
          <w:color w:val="000000"/>
          <w:sz w:val="32"/>
          <w:szCs w:val="32"/>
          <w:highlight w:val="none"/>
          <w:lang w:val="en-US" w:eastAsia="zh-CN"/>
        </w:rPr>
        <w:t>等困难群体救助</w:t>
      </w:r>
      <w:r>
        <w:rPr>
          <w:rFonts w:hint="default" w:ascii="Times New Roman" w:hAnsi="Times New Roman" w:eastAsia="仿宋_GB2312" w:cs="Times New Roman"/>
          <w:color w:val="000000"/>
          <w:sz w:val="32"/>
          <w:szCs w:val="32"/>
          <w:lang w:val="en-US" w:eastAsia="zh-CN"/>
        </w:rPr>
        <w:t>资金的发放全覆盖。</w:t>
      </w:r>
      <w:r>
        <w:rPr>
          <w:rFonts w:hint="default" w:ascii="Times New Roman" w:hAnsi="Times New Roman" w:eastAsia="仿宋_GB2312" w:cs="Times New Roman"/>
          <w:b/>
          <w:bCs/>
          <w:color w:val="000000"/>
          <w:sz w:val="32"/>
          <w:szCs w:val="32"/>
          <w:highlight w:val="none"/>
          <w:lang w:val="en-US" w:eastAsia="zh-CN"/>
        </w:rPr>
        <w:t>三是</w:t>
      </w:r>
      <w:r>
        <w:rPr>
          <w:rFonts w:hint="default" w:ascii="Times New Roman" w:hAnsi="Times New Roman" w:eastAsia="仿宋_GB2312" w:cs="Times New Roman"/>
          <w:b w:val="0"/>
          <w:bCs w:val="0"/>
          <w:color w:val="000000"/>
          <w:sz w:val="32"/>
          <w:szCs w:val="32"/>
          <w:highlight w:val="none"/>
          <w:lang w:val="en-US" w:eastAsia="zh-CN"/>
        </w:rPr>
        <w:t>牢固树立生态优先、绿色发展理念，全面落实河长制、田长制，齐心协力抓好治水、管水、护水工作，坚决扛起耕地保护和粮食安全的政治责任，坚决遏制耕地“非农化”、基本农田“非粮化”。定期开展乱占耕地建房动态巡查，及时预防、发现和处置各类违法违规行为。</w:t>
      </w:r>
    </w:p>
    <w:p w14:paraId="0072E2CB">
      <w:pPr>
        <w:keepNext w:val="0"/>
        <w:keepLines w:val="0"/>
        <w:pageBreakBefore w:val="0"/>
        <w:kinsoku/>
        <w:wordWrap/>
        <w:overflowPunct/>
        <w:topLinePunct w:val="0"/>
        <w:autoSpaceDE/>
        <w:autoSpaceDN/>
        <w:bidi w:val="0"/>
        <w:adjustRightInd/>
        <w:snapToGrid/>
        <w:spacing w:line="576" w:lineRule="exact"/>
        <w:jc w:val="left"/>
        <w:textAlignment w:val="auto"/>
        <w:rPr>
          <w:rFonts w:hint="default" w:ascii="Times New Roman" w:hAnsi="Times New Roman" w:cs="Times New Roman"/>
          <w:color w:val="0000FF"/>
          <w:highlight w:val="yellow"/>
        </w:rPr>
      </w:pPr>
    </w:p>
    <w:p w14:paraId="1B12D7AE">
      <w:pPr>
        <w:pStyle w:val="7"/>
        <w:rPr>
          <w:rFonts w:hint="default" w:ascii="Times New Roman" w:hAnsi="Times New Roman" w:cs="Times New Roman"/>
        </w:rPr>
      </w:pPr>
    </w:p>
    <w:p w14:paraId="2554A40E">
      <w:pPr>
        <w:pStyle w:val="7"/>
        <w:rPr>
          <w:rFonts w:hint="default" w:ascii="Times New Roman" w:hAnsi="Times New Roman" w:cs="Times New Roman"/>
        </w:rPr>
      </w:pPr>
    </w:p>
    <w:p w14:paraId="4E3D1012">
      <w:pPr>
        <w:pStyle w:val="7"/>
        <w:ind w:left="0" w:leftChars="0" w:firstLine="420" w:firstLineChars="200"/>
        <w:rPr>
          <w:rFonts w:hint="default" w:ascii="Times New Roman" w:hAnsi="Times New Roman" w:eastAsia="宋体" w:cs="Times New Roman"/>
          <w:lang w:val="en-US" w:eastAsia="zh-CN"/>
        </w:rPr>
      </w:pPr>
    </w:p>
    <w:bookmarkEnd w:id="13"/>
    <w:bookmarkEnd w:id="14"/>
    <w:bookmarkEnd w:id="15"/>
    <w:bookmarkEnd w:id="16"/>
    <w:p w14:paraId="6F4C1365">
      <w:pPr>
        <w:widowControl/>
        <w:jc w:val="left"/>
        <w:rPr>
          <w:rFonts w:hint="default" w:ascii="Times New Roman" w:hAnsi="Times New Roman" w:eastAsia="仿宋" w:cs="Times New Roman"/>
          <w:color w:val="auto"/>
          <w:kern w:val="0"/>
          <w:sz w:val="32"/>
          <w:szCs w:val="32"/>
          <w:highlight w:val="none"/>
        </w:rPr>
      </w:pPr>
      <w:r>
        <w:rPr>
          <w:rFonts w:hint="default" w:ascii="Times New Roman" w:hAnsi="Times New Roman" w:eastAsia="仿宋" w:cs="Times New Roman"/>
          <w:color w:val="auto"/>
          <w:sz w:val="32"/>
          <w:szCs w:val="32"/>
          <w:highlight w:val="none"/>
        </w:rPr>
        <w:br w:type="page"/>
      </w:r>
    </w:p>
    <w:p w14:paraId="2C0283E9">
      <w:pPr>
        <w:pStyle w:val="2"/>
        <w:keepNext/>
        <w:keepLines/>
        <w:pageBreakBefore w:val="0"/>
        <w:widowControl w:val="0"/>
        <w:kinsoku/>
        <w:wordWrap/>
        <w:overflowPunct/>
        <w:topLinePunct w:val="0"/>
        <w:autoSpaceDE/>
        <w:autoSpaceDN/>
        <w:bidi w:val="0"/>
        <w:adjustRightInd/>
        <w:snapToGrid/>
        <w:spacing w:line="579" w:lineRule="auto"/>
        <w:jc w:val="center"/>
        <w:textAlignment w:val="auto"/>
        <w:rPr>
          <w:rFonts w:hint="default" w:ascii="Times New Roman" w:hAnsi="Times New Roman" w:eastAsia="方正小标宋简体" w:cs="Times New Roman"/>
          <w:b w:val="0"/>
          <w:color w:val="auto"/>
          <w:highlight w:val="none"/>
        </w:rPr>
      </w:pPr>
      <w:bookmarkStart w:id="17" w:name="_Toc2935"/>
      <w:bookmarkStart w:id="18" w:name="_Toc15396602"/>
      <w:bookmarkStart w:id="19" w:name="_Toc15377204"/>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w:t>
      </w:r>
      <w:r>
        <w:rPr>
          <w:rFonts w:hint="default" w:ascii="Times New Roman" w:hAnsi="Times New Roman" w:eastAsia="方正小标宋简体" w:cs="Times New Roman"/>
          <w:b w:val="0"/>
          <w:color w:val="auto"/>
          <w:highlight w:val="none"/>
        </w:rPr>
        <w:t>部门决算情况说明</w:t>
      </w:r>
      <w:bookmarkEnd w:id="17"/>
      <w:bookmarkEnd w:id="18"/>
      <w:bookmarkEnd w:id="19"/>
    </w:p>
    <w:p w14:paraId="4AE3294C">
      <w:pPr>
        <w:rPr>
          <w:rFonts w:hint="default" w:ascii="Times New Roman" w:hAnsi="Times New Roman" w:cs="Times New Roman"/>
          <w:color w:val="auto"/>
          <w:highlight w:val="none"/>
        </w:rPr>
      </w:pPr>
    </w:p>
    <w:p w14:paraId="113CF3F9">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Style w:val="32"/>
          <w:rFonts w:hint="default" w:ascii="Times New Roman" w:hAnsi="Times New Roman" w:eastAsia="黑体" w:cs="Times New Roman"/>
          <w:b w:val="0"/>
          <w:color w:val="auto"/>
          <w:highlight w:val="none"/>
        </w:rPr>
      </w:pPr>
      <w:bookmarkStart w:id="20" w:name="_Toc22006"/>
      <w:bookmarkStart w:id="21" w:name="_Toc15396603"/>
      <w:bookmarkStart w:id="22" w:name="_Toc15377205"/>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32"/>
          <w:rFonts w:hint="default" w:ascii="Times New Roman" w:hAnsi="Times New Roman" w:eastAsia="黑体" w:cs="Times New Roman"/>
          <w:b w:val="0"/>
          <w:color w:val="auto"/>
          <w:highlight w:val="none"/>
        </w:rPr>
        <w:t>入支出决算总体情况说明</w:t>
      </w:r>
      <w:bookmarkEnd w:id="20"/>
      <w:bookmarkEnd w:id="21"/>
      <w:bookmarkEnd w:id="22"/>
    </w:p>
    <w:p w14:paraId="792FA5FF">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bookmarkStart w:id="23" w:name="_Toc18471"/>
      <w:bookmarkStart w:id="24" w:name="_Toc14425"/>
      <w:r>
        <w:rPr>
          <w:rFonts w:hint="default" w:ascii="Times New Roman" w:hAnsi="Times New Roman" w:eastAsia="仿宋_GB2312" w:cs="Times New Roman"/>
          <w:color w:val="auto"/>
          <w:sz w:val="32"/>
          <w:szCs w:val="32"/>
          <w:highlight w:val="none"/>
          <w:lang w:eastAsia="zh-CN"/>
        </w:rPr>
        <w:t>2025年度收入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color w:val="auto"/>
          <w:sz w:val="32"/>
          <w:szCs w:val="32"/>
          <w:highlight w:val="none"/>
          <w:lang w:val="en-US" w:eastAsia="zh-CN"/>
        </w:rPr>
        <w:t>1822.35</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eastAsia="zh-CN"/>
        </w:rPr>
        <w:t>上</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总计减少</w:t>
      </w:r>
      <w:r>
        <w:rPr>
          <w:rFonts w:hint="default" w:ascii="Times New Roman" w:hAnsi="Times New Roman" w:eastAsia="仿宋_GB2312" w:cs="Times New Roman"/>
          <w:color w:val="auto"/>
          <w:sz w:val="32"/>
          <w:szCs w:val="32"/>
          <w:highlight w:val="none"/>
          <w:lang w:val="en-US" w:eastAsia="zh-CN"/>
        </w:rPr>
        <w:t>1031.16</w:t>
      </w:r>
      <w:r>
        <w:rPr>
          <w:rFonts w:hint="default" w:ascii="Times New Roman" w:hAnsi="Times New Roman" w:eastAsia="仿宋_GB2312" w:cs="Times New Roman"/>
          <w:color w:val="auto"/>
          <w:sz w:val="32"/>
          <w:szCs w:val="32"/>
          <w:highlight w:val="none"/>
        </w:rPr>
        <w:t>万元，下降</w:t>
      </w:r>
      <w:r>
        <w:rPr>
          <w:rFonts w:hint="default" w:ascii="Times New Roman" w:hAnsi="Times New Roman" w:eastAsia="仿宋_GB2312" w:cs="Times New Roman"/>
          <w:color w:val="auto"/>
          <w:sz w:val="32"/>
          <w:szCs w:val="32"/>
          <w:highlight w:val="none"/>
          <w:lang w:val="en-US" w:eastAsia="zh-CN"/>
        </w:rPr>
        <w:t>35.76</w:t>
      </w:r>
      <w:r>
        <w:rPr>
          <w:rFonts w:hint="default" w:ascii="Times New Roman" w:hAnsi="Times New Roman" w:eastAsia="仿宋_GB2312" w:cs="Times New Roman"/>
          <w:color w:val="auto"/>
          <w:sz w:val="32"/>
          <w:szCs w:val="32"/>
          <w:highlight w:val="none"/>
        </w:rPr>
        <w:t>%。主要变动原因是单位业务量下降及项目减少，导致收入整体下降。</w:t>
      </w:r>
      <w:bookmarkEnd w:id="23"/>
      <w:bookmarkEnd w:id="24"/>
    </w:p>
    <w:p w14:paraId="065ECF46">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880" w:firstLineChars="900"/>
        <w:textAlignment w:val="auto"/>
        <w:outlineLvl w:val="1"/>
        <w:rPr>
          <w:rFonts w:hint="default" w:ascii="Times New Roman" w:hAnsi="Times New Roman" w:cs="Times New Roman"/>
        </w:rPr>
      </w:pPr>
      <w:bookmarkStart w:id="25" w:name="_Toc22137"/>
      <w:bookmarkStart w:id="26" w:name="_Toc25859"/>
      <w:r>
        <w:rPr>
          <w:rFonts w:hint="default" w:ascii="Times New Roman" w:hAnsi="Times New Roman" w:eastAsia="仿宋_GB2312" w:cs="Times New Roman"/>
          <w:sz w:val="32"/>
          <w:szCs w:val="32"/>
        </w:rPr>
        <w:drawing>
          <wp:anchor distT="0" distB="0" distL="114300" distR="114300" simplePos="0" relativeHeight="251660288" behindDoc="0" locked="0" layoutInCell="1" allowOverlap="1">
            <wp:simplePos x="0" y="0"/>
            <wp:positionH relativeFrom="column">
              <wp:posOffset>347345</wp:posOffset>
            </wp:positionH>
            <wp:positionV relativeFrom="paragraph">
              <wp:posOffset>297815</wp:posOffset>
            </wp:positionV>
            <wp:extent cx="5088890" cy="3460750"/>
            <wp:effectExtent l="4445" t="4445" r="12065" b="2095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default" w:ascii="Times New Roman" w:hAnsi="Times New Roman" w:cs="Times New Roman"/>
        </w:rPr>
        <w:t>收、支决算总计变动情况图</w:t>
      </w:r>
      <w:bookmarkEnd w:id="25"/>
      <w:bookmarkEnd w:id="26"/>
    </w:p>
    <w:p w14:paraId="364E678A">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p>
    <w:p w14:paraId="3A5A56B6">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p>
    <w:p w14:paraId="3F425ACE">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bookmarkStart w:id="27" w:name="_Toc28787"/>
      <w:bookmarkStart w:id="28" w:name="_Toc12031"/>
      <w:r>
        <w:rPr>
          <w:rFonts w:hint="default" w:ascii="Times New Roman" w:hAnsi="Times New Roman" w:eastAsia="仿宋_GB2312" w:cs="Times New Roman"/>
          <w:color w:val="auto"/>
          <w:sz w:val="32"/>
          <w:szCs w:val="32"/>
          <w:highlight w:val="none"/>
        </w:rPr>
        <w:t>（图1：</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决算总计变动情况图）（柱状图）</w:t>
      </w:r>
      <w:bookmarkEnd w:id="27"/>
      <w:bookmarkEnd w:id="28"/>
    </w:p>
    <w:p w14:paraId="044E2EC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color w:val="auto"/>
          <w:sz w:val="32"/>
          <w:szCs w:val="32"/>
          <w:highlight w:val="none"/>
        </w:rPr>
      </w:pPr>
    </w:p>
    <w:p w14:paraId="5A4E3DF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color w:val="auto"/>
          <w:sz w:val="32"/>
          <w:szCs w:val="32"/>
          <w:highlight w:val="none"/>
        </w:rPr>
      </w:pPr>
    </w:p>
    <w:p w14:paraId="53F800C7">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29" w:name="_Toc15377206"/>
      <w:bookmarkStart w:id="30" w:name="_Toc15396604"/>
      <w:bookmarkStart w:id="31" w:name="_Toc17516"/>
      <w:r>
        <w:rPr>
          <w:rFonts w:hint="default" w:ascii="Times New Roman" w:hAnsi="Times New Roman" w:eastAsia="黑体" w:cs="Times New Roman"/>
          <w:color w:val="auto"/>
          <w:sz w:val="32"/>
          <w:szCs w:val="32"/>
          <w:highlight w:val="none"/>
          <w:lang w:eastAsia="zh-CN"/>
        </w:rPr>
        <w:t>二、收入决算情况说明</w:t>
      </w:r>
      <w:bookmarkEnd w:id="29"/>
      <w:bookmarkEnd w:id="30"/>
      <w:bookmarkEnd w:id="31"/>
    </w:p>
    <w:p w14:paraId="7A156C51">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outlineLvl w:val="1"/>
        <w:rPr>
          <w:rFonts w:hint="eastAsia" w:ascii="Times New Roman" w:hAnsi="Times New Roman" w:eastAsia="方正仿宋_GBK" w:cs="Times New Roman"/>
          <w:sz w:val="32"/>
          <w:szCs w:val="32"/>
          <w:lang w:eastAsia="zh-CN"/>
        </w:rPr>
      </w:pPr>
      <w:bookmarkStart w:id="32" w:name="_Toc27357"/>
      <w:bookmarkStart w:id="33" w:name="_Toc31981"/>
      <w:r>
        <w:rPr>
          <w:rFonts w:hint="default" w:ascii="Times New Roman" w:hAnsi="Times New Roman" w:eastAsia="仿宋_GB2312" w:cs="Times New Roman"/>
          <w:color w:val="auto"/>
          <w:sz w:val="32"/>
          <w:szCs w:val="32"/>
          <w:highlight w:val="none"/>
          <w:lang w:eastAsia="zh-CN"/>
        </w:rPr>
        <w:t>2025年度本年收入合计</w:t>
      </w:r>
      <w:r>
        <w:rPr>
          <w:rFonts w:hint="default" w:ascii="Times New Roman" w:hAnsi="Times New Roman" w:eastAsia="仿宋_GB2312" w:cs="Times New Roman"/>
          <w:color w:val="auto"/>
          <w:sz w:val="32"/>
          <w:szCs w:val="32"/>
          <w:highlight w:val="none"/>
          <w:lang w:val="en-US" w:eastAsia="zh-CN"/>
        </w:rPr>
        <w:t>1822.35</w:t>
      </w:r>
      <w:r>
        <w:rPr>
          <w:rFonts w:hint="default" w:ascii="Times New Roman" w:hAnsi="Times New Roman" w:eastAsia="仿宋_GB2312" w:cs="Times New Roman"/>
          <w:color w:val="auto"/>
          <w:sz w:val="32"/>
          <w:szCs w:val="32"/>
          <w:highlight w:val="none"/>
          <w:lang w:eastAsia="zh-CN"/>
        </w:rPr>
        <w:t>万元，其中：</w:t>
      </w:r>
      <w:r>
        <w:rPr>
          <w:rFonts w:hint="default" w:ascii="Times New Roman" w:hAnsi="Times New Roman" w:eastAsia="方正仿宋_GBK" w:cs="Times New Roman"/>
          <w:sz w:val="32"/>
          <w:szCs w:val="32"/>
        </w:rPr>
        <w:t>一般公共预算财政拨款收入</w:t>
      </w:r>
      <w:r>
        <w:rPr>
          <w:rFonts w:hint="default" w:ascii="Times New Roman" w:hAnsi="Times New Roman" w:eastAsia="仿宋_GB2312" w:cs="Times New Roman"/>
          <w:sz w:val="32"/>
          <w:szCs w:val="32"/>
          <w:lang w:val="en-US" w:eastAsia="zh-CN"/>
        </w:rPr>
        <w:t>1822.35万</w:t>
      </w:r>
      <w:r>
        <w:rPr>
          <w:rFonts w:hint="default" w:ascii="Times New Roman" w:hAnsi="Times New Roman" w:eastAsia="仿宋_GB2312" w:cs="Times New Roman"/>
          <w:sz w:val="32"/>
          <w:szCs w:val="32"/>
        </w:rPr>
        <w:t>元</w:t>
      </w:r>
      <w:r>
        <w:rPr>
          <w:rFonts w:hint="default" w:ascii="Times New Roman" w:hAnsi="Times New Roman" w:eastAsia="方正仿宋_GBK" w:cs="Times New Roman"/>
          <w:sz w:val="32"/>
          <w:szCs w:val="32"/>
        </w:rPr>
        <w:t>，占比</w:t>
      </w:r>
      <w:r>
        <w:rPr>
          <w:rFonts w:hint="default" w:ascii="Times New Roman" w:hAnsi="Times New Roman" w:eastAsia="方正仿宋_GBK" w:cs="Times New Roman"/>
          <w:sz w:val="32"/>
          <w:szCs w:val="32"/>
          <w:lang w:val="en-US" w:eastAsia="zh-CN"/>
        </w:rPr>
        <w:t>100</w:t>
      </w:r>
      <w:r>
        <w:rPr>
          <w:rFonts w:hint="default" w:ascii="Times New Roman" w:hAnsi="Times New Roman" w:eastAsia="方正仿宋_GBK" w:cs="Times New Roman"/>
          <w:sz w:val="32"/>
          <w:szCs w:val="32"/>
        </w:rPr>
        <w:t>%</w:t>
      </w:r>
      <w:bookmarkEnd w:id="32"/>
      <w:bookmarkEnd w:id="33"/>
      <w:r>
        <w:rPr>
          <w:rFonts w:hint="eastAsia" w:eastAsia="方正仿宋_GBK" w:cs="Times New Roman"/>
          <w:sz w:val="32"/>
          <w:szCs w:val="32"/>
          <w:lang w:eastAsia="zh-CN"/>
        </w:rPr>
        <w:t>。</w:t>
      </w:r>
    </w:p>
    <w:p w14:paraId="01D6B80C">
      <w:pPr>
        <w:spacing w:line="600" w:lineRule="exact"/>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仿宋_GB2312" w:cs="Times New Roman"/>
          <w:color w:val="000000"/>
          <w:sz w:val="32"/>
          <w:szCs w:val="32"/>
          <w:lang w:eastAsia="zh-CN"/>
        </w:rPr>
        <w:pict>
          <v:shape id="_x0000_s1026" o:spid="_x0000_s1026" o:spt="75" type="#_x0000_t75" style="position:absolute;left:0pt;margin-left:-0.1pt;margin-top:11.3pt;height:293.1pt;width:445.25pt;mso-wrap-distance-bottom:0pt;mso-wrap-distance-top:0pt;z-index:251661312;mso-width-relative:page;mso-height-relative:page;" o:ole="t" filled="f" o:preferrelative="t" stroked="f" coordsize="21600,21600" o:gfxdata="UEsDBAoAAAAAAIdO4kAAAAAAAAAAAAAAAAAEAAAAZHJzL1BLAwQUAAAACACHTuJAnxvY79oAAAAL&#10;AQAADwAAAGRycy9kb3ducmV2LnhtbE2PwU7DMBBE70j8g7VI3Fo7oaJNiNMDUg8VElJDxNmNlzg0&#10;Xke2m7Z/jznBcTVPM2+r7dWObEYfBkcSsqUAhtQ5PVAvof3YLTbAQlSk1egIJdwwwLa+v6tUqd2F&#10;Djg3sWephEKpJJgYp5Lz0Bm0KizdhJSyL+etiun0PddeXVK5HXkuxDO3aqC0YNSErwa7U3O2EvRk&#10;2vd9bP3pe998jm+7Qz7fjJSPD5l4ARbxGv9g+NVP6lAnp6M7kw5slLBYZ0VCU1DkK2CJKESRATtK&#10;WG+eVsDriv//of4BUEsDBBQAAAAIAIdO4kD86V7/BgEAADcCAAAOAAAAZHJzL2Uyb0RvYy54bWyd&#10;kcFOwzAQRO9I/IO1d+q0aSsU1eklQuLEBT5gsdeNpcS21m4Df49pAyonpN5md6Sn2dnd/mMcxIk4&#10;ueAVLBcVCPI6GOcPCt5enx4eQaSM3uAQPCn4pAT79v5uN8WGVqEPgyEWBeJTM0UFfc6xkTLpnkZM&#10;ixDJF9MGHjGXkQ/SME6FPg5yVVVbOQU2kYOmlMq2u5jQnvnWks4v1ibKYlCwXq83IPKP4JK3ruuy&#10;elewrTcVyHaHzYEx9k7PmfCGSCM6XxL8ojrMKI7sbkDpHjkXlm7Oag6lbybNgHL6/0UHa52mLujj&#10;SD5f2mYaMJdXp97FBIIbZxTws1l+dyf/XHw9F3397/YLUEsDBAoAAAAAAIdO4kAAAAAAAAAAAAAA&#10;AAAPAAAAZHJzL2VtYmVkZGluZ3MvUEsDBBQAAAAIAIdO4kCfwuDOgCAAAPQlAAAdAAAAZHJzL2Vt&#10;YmVkZGluZ3MvV29ya2Jvb2sxLnhsc3iFegVUXMvSNQzuHixA0ODuJMElOAR3d5fg7u4JluDuHlwC&#10;gyS4OwR3d/uH5L2bG9797t+zzumZM1XV3bv7VNeq3bISEJDwYI8lSPoH388v/7nBgWoDa31ZO2sb&#10;ewZZkBgm6AHsT7EBAQ1wJnAwMC4AGBjq38V0bWzonS0tPsW0i0MwoQYe+B6g2pWZhgXHW4Sm/xCm&#10;VWnu3rXAn5ISMNJQS+sKg2nnOFydpbzEMeJIVz9ataR4GORdlFl1Hx0rDgieaPSVQQam+rC0VFsp&#10;HqasXW0mspDtiWu6wUAtAo7rZxbjwjYhhCq9aYU5aS+TKb/781UFiqzwx2rKUxPhS5lG0CwX9eFx&#10;nq23gIvqcRMSwU2hfkHvk7tEXuWynRjxEpSw5n7TpGklCFA6JvOfwZMqyGmopnA9xaqoivBRC82g&#10;ZOBzWsOeEVGozFFFCHQ3MCGSv6MydsLLCKNzLsoaj5R3N/4mwTsJTlUYNblxUdc9mIdNFft58drW&#10;hGDgXFbKVRDvfYQm37pYB/3yiDySsyKdQzav90vBpc/EK0apO2xgaymCLS22Dac06re39deAP+HN&#10;M0PnFgfBawSCF+3v8Opb2xk+4usRKyfxlREzYBHqQbDXLaU6hVlwtp3Cze4Fp9z5s9hG+qlstt7d&#10;8wOp2ZL3lAJadoP12gPNZJ+IFHHdfSoqR3BDSX0BQ03o8ti4rvPFHbjwxfpq5ZUj0RkYKqyD1tby&#10;Wu+0cJ3ZFZGAb8t9XppKuHzKaLZn65o6fk1pRHowpDWnKMK0UZbbxrZCVAyWimoXhcVJkaj/BSrw&#10;jE/IOHsJovJNYiUEbGQGJNSM6nNRpvsjbsa+++khKtK82H2Fm6QB226LdjdbG6KS5+FSo0L92WHL&#10;J92XHnenIxF44vP7oRB979qpONo0DI+hRmebb+MlsakIx2cJPnxvqNG+kPZVST02VLwmSJzPkDyy&#10;HhdsxHVlDm7Ly7xDxF6zrHSfK5b9HO2MB+xMQ0qSO+aDm66N0j6ro7rx5Ra9/JgoSd/pL63vyoGP&#10;xuDd9M3jjuXY+k/gx20o8ClAwCOBgMf4A3hHewdry0foc2IGH6HvPvAFQf+6P6pUnXsmsmae7xUl&#10;pxuDaQNWcjbZlkPwQyOufSgMg6u7O1HahctBTpEyF6SorkWZIrRYMP8LzEnLsnNc5wVLYggfxwiz&#10;FH6aGJ+4cp2ExYXsKJGoji9aU22k8f1t7fW2IdFrMMT4+NcqV9mjIuwDH42iHCbPNBSSZeQpgyiB&#10;9p0vd6r9V7CRNZy/Zd3QVI7fWhjvzJueNrhcw/FCfXLwSPGpo6YvogYyZadk+0PGASjkKr0TdSUR&#10;1KziztYJIFfqk3z52EbKPB9Olyr2OjWZzgTVEVaGReueA7F3JKVtJYmJiRFMe4z8szd5JIYVl9OY&#10;hxXXS4u9JMsmFBX0RMQEQnHVZWt1TxJFDFKW2LKEr1KQuLW3j7tvIR5h/WevAgGC1dnipz/5Z4HH&#10;pyABB109C8OnfofU1zUDCzQ/GaDr0Rv9lvspzvQ4QYbRg+Jf+VCBIN9T/n3eCk8om5WKGhPySOcM&#10;fMJghHY3rbyqZh38FA5zkBBShgS2Ra4oapmiwMu3btp6PeWAg+ezhnlX6VBMNYXP8gtAIEVVPesJ&#10;JP1AHs9NWw9CHIIhEoUsaTvZ/AKem21BNFRdBqT4QRHaRnxCPhSSRQCFA/xO9eHy1noqdRBJHvqw&#10;edcK5cyKmhiE5Drxs0Q0bosHd3dkR/oC+cw3d6RctOicOJHITj4uOwGZLI2pCe9x00nFeJJJi57N&#10;oH7b7biE/NGyIKPX5lZai+9lX3ywoMwhUzRbF/Ux6OzOnOXbrB8HGv7O90n4KCldXKj4AofVRh/o&#10;wnHpTt4C8AtpJZx7uueznDyjUXh36zna//d8IP+C0cnaztzexNDQ4SnkaDNKeayg16EFEgwM539k&#10;f6r8hD0iXipqhhHk8hOuiWgXOZCH3iOIq9DJjiWowZ2dWKTCVdjsjrEbXCw67VoAYJHdqhYr0lyM&#10;X709P9SgsYPcyR7mIiCnIk8PoMpeWDu9KDubNxZP3WhY6jPp2ULgvGb0eqA3j5hvhG/DIDP5ONp3&#10;YwRMxMAamyPPBY+IGZlKdpubIbCPgNLqlKjRW2G96zSjZ9uDZbl5FkglQaVj2JkBvccTDNX1+top&#10;wUJDxo1+oZOG1rpiYmEwqUsRG9c5C0X53oyq2Db3NISRbadYU5nLcDSM29wWqmG4OHn2LqNe0Mav&#10;yzIn9p78wyw+wOtHtWVKdYSEv6ej7UT68GuI1lec1ttYF6kDVZcA/G/rqsQVYctbIQHMeVFZ03oC&#10;clEv78VM5qeTnVvu4OD9gwCiAbGMAHX98+UlDHFTnW4In56Aj6IqvvJcd3ZR704Z1tvIKXQEA08c&#10;0ywJgoz034KT81K2sm6X0bonjFLt1RDl3sHbKbtUM799I6+HrPUWaXEJFt6Pi0DbDBau9GZbgGE9&#10;iY2unatdT+PrV8woI/1iAcgjNMVsnjmiDVNgpIliE/DZRsUwqn4PfnriAzTmODg3IT3QP8yGNDEE&#10;Lm7rDrVlSdrKTo7gS9yyXjcSh/TcKeb+l3l9ByTTS+QW+8a4GTQocpJRSKLB958iza2T8/UG64Ar&#10;KmeN8K1WbcAcOAraiKM7aLeFrgm5TrrIWF+kugU0XWS8Uf9CmISpJFo7s7TQSx0L2CX/8uVBlgeU&#10;/3tVPsYejy+3iaGl4U9f8Tv2iBF2wN6AAgN7ifvLR/8l9lP451rcUx2MwmfDbCE94g1fl47bXRet&#10;MqudkarU3LRSZzOVixoIZ1kBshBOD1jZC+6hwcHJyTKIBSPAQCqYkUdTevV/yJTPvkd45UaBwWM7&#10;tVcIwzffTPb54LWX58GV2/nqyJob3FkkI7Z/DkHr+4xtN04kFbGR/JVFvH0Pm+ELfyHTYEoJ2+40&#10;3WXtBc+HZgkTCSBnO+FUnh6C461Kn0WRPBo4IqmtjyFngLE+EINsmSaKmli0e4kjIyHCrEb1Lepb&#10;DwZhuC/NbwjjwNwGva7O1uqibvfqL94EUMlTjfHxXfFdAT+EAAPjkgWCkzbl9wmIZ450M6MJUI5e&#10;b7lhwsGhcHsqPlwl7ElgVSviyNUDJ8pnR70CNHVRpdlPU1/hJcRN7ES42uedloErlP64LvGsWqS9&#10;MwWDB6iYDnSdTk9ZHpzjQU2ArRERtLiVLBj1d+DfcyhzHrCOtQZMps95eUC11k0GUKo5I/UdRWC5&#10;Ny/MbE7QNUGvXa7DtyjOb42rP9Py0xMf6YVvmDGxer9RREesL3Lx6fB9VsvkDGUqg6wskqFjARWQ&#10;NmHHjI7fCXcRwhsgT/Z2u1c1sJvSm3mfRFwk1RmGLDQnGdpS1+DVYBCggjnb6FSo7S0Fz70orm9E&#10;xeH19TRKWdrrIy1eN3e7h63euzQZwlec9Q/v9r8xz4maGuC1XO+ftLbcd96c9HKUEXpuAREwHm6i&#10;0t487CFwoJ4P+w6HlRE+HJ0ehYmmNd/eZ0C0fB3u8Ud56xvghETkxqEKMB/1qUhaQfNiCdMNDzb0&#10;0Tvcs5n/WAHVxC44FjDb9f7Qyj4aFfuw77S0yxH1pIAsMqkMGAL1yiB8n3kfsU2R7SPa8jJrxFzc&#10;SUFIY8hQjPk+vXjJ2HkerslL2/pd4FSmi1+mQiZsnorrNm6Kzq7KPIFA8RfCWG+WduBIo2CTplAq&#10;MW5sjKIYQpZHLJ+WEb1vtBkNe1Bds6aIZtH+Mik+HD5ADuaKOFcJpyy9QCjk2xoq+RjiJXhsRdiq&#10;DhACYxIbnZlAt6/JMzjAZlpjo1yLdEuZ/82cKW92VaeI3VsK+jSYYCaMaf04q/DY7wEE0azsFUSh&#10;cPGUx1aMW75EzG5B+QfRMPGlUheWviUOafSQdXxcUuJhADmZ3LmYbzSJqmc8icNMHWqGfFN0zdJi&#10;roXOGyxNcXuRrV9D7E92GULOuOe8ZDPdTJIX2spplNTHeAI884buH7QyJvfW6sq+IVBBJygFtd92&#10;lgwu9s6sXCTKckezhKL4v/FBMOFbJkSk5vG46FxzpA1bzprpZfQJCOMcYSc0PtYnWeEPZ+ZsnnRf&#10;I0MP2BFzxsWwMR/7Kr0IL5PXS4xwom5ckmuVWO8MS4a9Mi7ChcwBnZSVUtIlVehQNi1yDeR5mW6x&#10;6O/PlCSlN8qfyUakwD9yYQ6b7OevNa2uO/y+/Ev+3OC7mg5AfoKqD0YszEZh5GK+HxxOew2c3PPC&#10;V2sFn42VX55YGrlqMpbA53c0RmQCniVZ0ZSaf8xT+vhxBpfZMoaxr58igzTLLTFYLjhsWyHLOOMo&#10;t96KQd5s+F0GpZ7ukInm7ctnG/1sU3TmEFJSOekFTnNHKSlIlElghgReiHVOl4kGsjwCnyzQIpYI&#10;VF64tCwPZtHiYlcGCaXCaIRJl0LDxSS6xZMRaNO1SkJI1QSaWNUgofp70dWz9/S1Rjwnm5dmJoyy&#10;fdFfjU9KPXKlLHupQZMqU3N11d4XK0U878f56lzEoc+ahLJCpCgXgIMOXuZs5sIqCLAmlyBWH1uU&#10;16c2mHSnyzenJBJlDZMblpNkGlxW65PgvlbHhVhRrzCCzUeLzUSLJBnX6U9Xm6/exeMKqtG8cCDF&#10;4hJkxX49Ko81zjZPbdTPaA0hUfFKO45DpV8QcW9k97DegUHCyq3UUWLDv1KCr+3bJVfDPi6eL78l&#10;U5KwFJNWgm7OdFf+PM86wquAGdVk/4zr/vrZnC8Jrzu4CBA/F534zduNdww5e5aOxUy0aie2MpYP&#10;a6JGETZ9+yRPZeczlL7XCv5n7E5YdMF0Cdo35KRA8fuv7cPewQUUQz4GheMaltazE1j3b3QefHTK&#10;PXCMJLLzsXM/VKmw+4Dvyb7AZdTBB6hmWgAwt2IUdMooo9mk5h17vInnK7GgJmp6KlHC6hy/PnOQ&#10;ujYmEb6vbi231+5xY3CkYioVGkZDjcMcvLEfeN10Ia8+GRlUajeLLNB9MVNYq6qINbtz5dHNY1LE&#10;22RqWa1AHt6g1bpz/XleSWZXtrn2rt/aImA4xHyRs3pPDPyZ1pQSStbmplkO+jnyni7H3GmUBUoL&#10;7mV7OX67qY0sXBSgcRYFbXioZHPcLIt5l/tzQ/NaROAEI3zCZ97jzFozso+Yx/0XNzZy77A6SlYu&#10;+BPU+5ziaRab7XJcJVyQCB4M/HhvzgdFPE9noK/8Di4X6IRLOjOdW2oQW1LGMc3f8y957s2437sm&#10;82bcLypH9YBbA78rNymyaMci1IezHlOhpXCShm7HXDWnh27GwEfsn0+0XahEn1EL4WpOL8B7lc7t&#10;N3jzIgnnbzR6pguBkQYzt/xwDGKv13c/L8IeJFxqRG7kh90k9WeD0Pw6leWETDCIMtQFH1NB9nY8&#10;7Bsc8vlsIdRD4SFKharJxCQ2NFcunXKi3y1tCHZNqWnGIHMJfj/2FMC4NtQubxrcNMJQrY53sSE5&#10;4A0NxpRAaoB70Vpszlp/HVS7YJIO3XgT15DQZwt6Nmdm3WorOqwY1RcZlR+esyQp2u41LMxpWnGh&#10;SRaV4UXaS7LwRFzDS62I1Oq5h/BX9I09I+lOuhCHcBpAo5dQ2hVnLaQvCF96T+w/0Gk7n01cMi5b&#10;BlCurYtskDOA+Qz1Ev51i4sd5KdQGCTmDuuAubqlfb90t8wtnMMrWIFFx2uxMD/kRSJ+bWyufONS&#10;K3apUQvTCKUiQzw2JA6hm1Oj7p3ZbnbWYST3+g7cGOXlavfta2n9we1d4kZlhm+V3P0J3zIP127V&#10;YFqTaz5MD7U3Kz6vBFiM011irikfWuRRqn6KNC1VeRahy6+HRwsVFiCuZyQPMPMeM2peKDTPtTLp&#10;mm21uur6wLf9wB32oLbKkXRbc5lW5UV3jIC3RWtu3a3hmJAd3SFDRfPcAH219P1crt6XimoV7yHC&#10;NVcCj1Bc+y8GKhc65ft61c9udFtcX98xdjX0rpZ1eVoxqry7RaCi0kgMo6Ni/Z56W+OPKzPX3Afm&#10;Q8S8XPF+EeW6fC5rKOEZxmfK3pw9uklCIdSmNi5OIS/SB9iAkSgSL1gYjzy3JTdNbGQaJuFbbLkO&#10;ZrRi2JrxTdSyzegkGDXvaVojqHlxw9XstmsdRzt07x8VC1xUwTHag0ACAo+hF3GTIpEkaRHP+aXx&#10;uUINp3ooLk5meuRWq2JIe0xJRWMmRWBjEdeY1K7vTRZriFkgUdWf0bItudC38YqHdjmrvjA2ufg0&#10;zBgT5yBB1kVPQlLLJybgU9ZZQGUfMHuihocgfdSX8IBgahRTFW1QkVRVuFZz5isndY0O0T+KK5U1&#10;w7rt6hcf7lJpWh/wY75K8wKauooXjwxrjo/81rmNzuQr3hu1XSHz9U1UCuotYqrJVQO3oh1umIWh&#10;cx24cWSSvKBnOm42ZnGKoyv8oSU+kxXYR4oNoqL7IVDHFQ520NTlVQSvABUnOxWEuyMpPkTTzbAH&#10;b/mKOssKqTfAq029Xfn8AjwXoITGicIDb97rLFvCS/r5Jqz+gPwE9Q6dFUgYT1MPGMR1TmvLgWWe&#10;RrGjUuhvI9UwygiM48qgfxbFmIX7EmkpQ4gbz7lsICeMS9s/PfRDT8Zz5uVeNuRrGrBR6oZaUjbs&#10;SCtD/AAdpU3myw+CENzZKxSSVIydAPeNeCrbOe32y05T2JQudCy2fBVJ0S+mkZE8XedE+eaZkZDN&#10;x9Sqzmq2kc3ueIKDDr3u4TPF3wLgp2RfKOOazaZaYPg0/QgFSxDfHkcv6MGiI4g8mfCLxaQTq67s&#10;TLbPhj6iyyPl4oMnxaTk7Y6iGUAvbcSOp77VjcO31ykTiG1oGCLxQ5jcoJYusHsNe1S6wgx+PvaR&#10;FWNoNaya3U97o7NuaJm0KMKbliokNBVjuTyVDUVxhXMkmTEFail1pds3iDM3m16hXZ6qN6eW4lVg&#10;grjEQEIOFPloRXU/gGj3OJL9e4yriwTqgfgmrbgaJRfd2bFZL9StvMLJ8ToH9kHy0MqH6uRJvuXj&#10;PGmkJmVPOgZhz491XUvyMP03pRwLWJ4En4v77BGOrwMmVhJW2oWx19nEvJ9LkFSAqaKUrqkbdAf6&#10;FcxJQ9oSCfzAgWqenVPqlkmTJmotogBS3ZB2B9wldSpMicVQJN7vHF1uMXhq3JmCprXfJNnESzFZ&#10;pMxTYloWqO3JdHcz33sg3S1D+Nnr+uj0YxrNUBpqllyFoaTZasmkMwOUouP1bfvlQlYioIY9HEBY&#10;RG4XUsoEtT2FA7UQ91nJwf1hP8z4ovug1el+OCg1xKRNL955xyl5RMWExDVQV9LscjyK9eOR14Ce&#10;pVxu1axjgbaLoz73GDgj93Gkbl9MREBDplpPIo7dxv3NwpXfRpz2SzR+yo38bCb3q6CNpfnexTfh&#10;4101viEdbm3GzcdXp7tFJ0HGDLyuTtykiv6RYyVxXvdrt6d+QtmwBLLqgE+SRD6cAFXW+YEk9bgO&#10;vePerau8VuUlJXEygZAmsPhap+vVwZVFd7AQ5qvLMrgMWKJrHsSCNnRTuBBYYuftj1NcHre4X4zs&#10;NmzFU2GzGjBFxzgpwcY40djLV1+iiYWgc/yAY4IGcw7+gGooQhoTkbeNi7+5QGaRb6HkKLTbphHs&#10;T/nuPbrCbWKXwVdkAjh8hWbp1mDNnLAl8D1DMmMvV5dzRmK0DAj7cvTYXmMnCi931paH2aPmxjiZ&#10;FkkT4VPvDvSZ79RIndXiYcGFEiyi8uuq5cIq7RKN6K/FFJNq+IWwnWUFeK66t1YHvPQ9bFd6AYJa&#10;61LGs5fDVauetrR+pi9Dgk94Dpqcr8mI0YizJYjjt1RhqY5onX0ZKAIVKjur4O6XNwidoQ+rqeVe&#10;v0MBikDicsp2UNgX61sINbXrh/pL5bLDaZiRLPTIqGWvfCxA0o8T+FSNKp6aMgaHU+yy4auGbk+G&#10;GAsPTko5CMYOfItjcO1XgXYEd/Oa3IL5rn0qODGATh2dHd0evTpTSmtuyFiMILkARp9UbyK6ga3q&#10;lpmdxAjJFF78+9s+PIMUnUhWJ+Z+XQuh6okc/gHWoAq0YbVufiMU1qEZUc2p20gn3JfNr5eKrFEa&#10;SDkaktynlaaP8J1JeTo/LZzl2s9GMYbV9kVqizJ8iNadfROphbL8GvWyKByQV9JSUzfK6nRB65Gl&#10;OG9qicPW2KI74fSeY1vE2NhpkrnIteaEfYzlVF1fOYpNf/0CGCjNcCjohWp5vuSB5cVo43q+yxCZ&#10;hMVy38+kY8fmsFzqjSeR0NpeWqO4758f1aYBXtP7MBUsnnj7bOb84UmIuHnM2Q4OSh0K/U4f2pvo&#10;2hkavHOwM7Uy/hkpaka3P6YPH6mLx/QhJhpVyh7/Idwp+AcDC0CvVfI0ZrNLOfUpmUJTsAD/oayQ&#10;nJBrOcMK8JxOA1+I8vvaxkMLLs4w1wDLRHesfJbglAVUm6wohbQjh/9Xv7sITR2DhEhFI9ZAG19I&#10;gvoWimDak9JcVHTzMPYNTPJEGrMkQI11pGQSzY7+9JpCfL6eOKrl56OSF1PL9eJs5T0KM4HlSMUj&#10;pmUdza20UDnytDLVBbIxvHtOqB88IHsh6+QPtfXe9rqe7kOj7N+e3WzltnhqlbS+kd74iMFxeFKJ&#10;k+Zics9eKlrleqki8wbfZfyoJmWhoTGjMY2evhSvBO1ebr/1hRfYn1G1BEfKCiUIrnnQhfI7/adn&#10;bW3+GFdHxHyT/sqIKnwhduvH5rbNaikXkqwg4L0JrQjom+mMAxZqV2rK339+myn/oXjdkGixXqtE&#10;RqSKAVGOS73DIRZcUJ2nYLfF/6IuL4W8PNE/QYAnjNxd39/R0aNmW4PTndtJB7K8wp+dXNuGcOdZ&#10;RDDGxvBItm17sJDh1MkmBDyueqcB62DV7gf8DNpwf5LboOVkkfHLpe0s/hQRMT469N6okmO0QsUs&#10;1n1gROLhvTDOiMdIW3Xwllyhf6U/bkLpVwl9cNrnd3dypskL/ZXPnc8aV9llh60b3011SbQyqOYV&#10;O8wHxRbQEWvTsxzb7L7OmqkLseg3PhEeXPHC8UPrxCOp8uubXEil4lroRoLLeIUZGlseM+pj06KE&#10;oGkNsfPVxuaN9uoK/kZagedPUP853Q0NAlXbztDiad7VjfN90wPov0VQ7hXhLxn6R8mS2EHxTsaf&#10;GW7U9RYpJyy0aQcGkl0pAw/vRMmHIQqMWNW9lmZ+OdqxBpiopKv1lEV3g0b8+RdaTLmRTb6Ocr58&#10;1j3vW+QO3Z1V5n3FipvHIVwUbDogG7eP9W78/dZfxc/Qk8VoussPMQfxUMWZDm8pyPKl8bAJ53Hx&#10;6pP6sTdbyVr1HYsA0whlpV51LVAHuzVC23IGNF1ZWxfuDCy9TsoSHGShWVWI+eRoEY0V7ueeNdWK&#10;eiYMDc01aOf45tuBk3hQcYkRHZKwRkDiu9C5NY1WW9qkbg1polDy9P4rvtHRjY72mGH16m9i3P7k&#10;mTsPZMzdnasfXN6waYvZHdMVOf1/s4b/BOfaYSbOHgjGBhCceKAalDX8JfaY+P7vav4vumZfGRGB&#10;B37NfsMetiMRTCKftIDpkyVuYPo0XiZ6MBLqKXVpPRmq6Q4fNRDT/FsPXn6bna8/GEOhMNNnlDXg&#10;okSkv2Yfg25BPkBhSA+2PKwNA0cKFyunOTioJZpS/SAxVg1BZQtnkK5LqFVDMaljTRUGAb2lwHT2&#10;QThXDWWCwDLCNW5jkPvuzNtuueB8gW/m5qVskG306kOzvmIN8mLmzT7TYQKsVITUJi9XrzMZkH28&#10;B/rZmmQwv3aQiwZWYLe0ln1u4mnJZX/yES1PB5dHrCt3mDpiVzJiXmLk2Ivj77ZUMRYS3Ng4zZe2&#10;a/9Cw/yHXvkbL/BPsOannoHVgOAkB7kH0l+w/o/Gb47gJ74BUe3wHYyoQiACDfXcasQVNSa3OXio&#10;aBOmeKsWqfZtj8hwK8eSMP8h6y7yjVGeGeEJ2T7mtGteRjwUrB3QaQIJbyDvqxmCL0YD8ssDsa9x&#10;OMmu9fmRrLp9oq9m2kjePTfHeQfPkzMVzkoqQdRjmHdhC4zv5sz3Xg+FKHCUs1C4NeC768K0zCOu&#10;1YT7cYrIdcU7e9HMVn2xzh4nwUui0PFNCDfYNj2bv+8icFG+75Y2v0Fee20b+0+nyI0hTmkPGnEE&#10;KA39SBOqC1pbORhaOWgruNgY2ms+OsaSeCnrDkbEwIO4c6JCjTz28q+sUpjIN5xWYvq8LyQQI0zi&#10;KNkR7+/mwOL4wlHacxTxbzy0eKRd/YTfGdsHmzTTCNdtBiOmngMb3lK1iFhfZfVEx7MUniOLV0Bi&#10;+t3vSVlXI3rjGvPQCgtjfs4W0uTPKj8Ef14W7mGBeWSc2pN+qiDFt+DEjSLvJrpEmackeOrGwKhU&#10;lVw5CfWgxRUim9XzWdmHrgiT2n/GTHhXYeDTdMaquUB7EhU0Df5hpCVs/ceh0lsUlQ0PG/NMtmgk&#10;xWyn8XIk0yZCESLZyowf5X2EKZ6vavFU9CdsEOBNJNh1jttiUXs70jb8LPZIU1EWT/P736RwCh73&#10;X33/5OsYy4XWkk+uRO17ld2DEYI9yiQkC00DZratJ+HGQn0zs3CdboikzBEtFBX91oNFNVf5oo9A&#10;LLP70j2fX/6m6XmaQSSYl3uqpxtvs12J6WSYiKoTgBeKVIZIpm9N0TpKU10bfeEyeot57wHEoYMD&#10;MH/Sgr8OKTydJdBEgYGDvQDdKYj+cc5+Gfi/3fSjgV/nHYzwfzvtPxt96rYfNX41GvqXzs/X4N8a&#10;e2Q/fhXU/9R/O4fxZ3tPT2I8yv9q7yXo219q/zmX8RSipwcNfmsHgpb3X9r/PXbwVP0pXf5b/QHk&#10;Zn+r/0We/9ugH4nhXwUVVCmB6EaQj/43hT9Rqnz+N6f+tKNPvf9jO79Qmv672v/sBU/tPA0gf9tZ&#10;AHGjoP7+Tzj51MLTLOVvC40gJvbRwl85y38b+69F+qiMCrqcfoH1F2X+5xJ5Spo/av0afNofer8p&#10;9H9r+U/U3WF/dvq/PN2fDT9l6n43nPV3td+83VOwngafvw2ggfZwEFh/n7B/6/Qjyf2roIKqdZDb&#10;/o/yX5T3Y8//+c1/3Ah/FVRQdU/wVPe/2+KfY3+6MT5a+AU6I+E/W3iyTT7F4ikP/9sgOiiE/HM4&#10;v03JSkA9BphgWKAPJmjYfS8ef/0/UEsDBAoAAAAAAIdO4kAAAAAAAAAAAAAAAAALAAAAZHJzL2No&#10;YXJ0cy9QSwMEFAAAAAgAh07iQIHjnTfLBgAAPhYAABUAAABkcnMvY2hhcnRzL2NoYXJ0MS54bWzd&#10;WM2P20QUvyPxPxhrOaFs7Gyym0RNqsTZoIptu2ra3if2OLF27HHHk+5mERIHCkg9IRVxQSBVQuJQ&#10;IRAIoR7oP8Mu7X/BezPjxM5+dOkHULpVNH4z8+Z9v9/MpcsHMbPuUpFFPOnY7rpjWzTxeRAlk459&#10;6+aw0rStTJIkIIwntGPPaWZf7r791iW/7U+JkKOU+NQCJknW9jv2VMq0Xa1m/pTGJFvnKU1gLuQi&#10;JhI+xaQaCLIPzGNWrTnOZlUxsQ0D8gIMYhIl+X5xkf08DCOfDrg/i2kitRSCMiLBAtk0SjO7C8oF&#10;RFK35dStu4R1bMeuIpGRZKIJh9OKd00TBZ8lAQ08LhIwY2F97Ld7TFKRACuPJxJOM3rGF7JUTMTe&#10;LK34PE5BuHHEIjlX4oKAwNubctDDukHvzCJBs47tu/XcEDA8YYo48gXPeCjXgWNVWyH3BrLdqjar&#10;NeMPUNattzM5Z1Qr5Do11La6OFeJMCSMjYm/h7YpLF4sXc7jxlVj4C7lfhzISDKqBgf4KyJ/2r1E&#10;2mMezHeFJbhEJ1hZ6g8jkckdksldIiBegAjRK6/DT8j4fsemjIEPo8y2plwcLuncrNDrwTowa1v7&#10;gqQdO7szI4LaFkl8IIMlpcg/PAnfLupO2iyTIzSJ+kiRkoJsAQ1vkvHosGO33HrdccA7pA3EGzCH&#10;AdOxdbBYGSxxcYE1VnJH6nfWsRPILMwyEe1BhiV8pEa2tQexA1vAN0pztXxMMsoizER9UMZZFAwj&#10;xvDUTEzGHhPaZY0W/ilp2Cy+ygNN3mw4wE/rM4uvh6Emb+Tk6oINuBvGRf6YJIkl5ykNIes79ntx&#10;UmFSM6NkZYISPeFnKxN+hhPAWxtJDcGQqID6kd3jB78e3fvu6NOf//zhq+Mvf8S1Ui2DeRiD6at5&#10;iMBAqohhZM5nEhj7bXQ1fGrFTOpm5oSEo7G0+gkeuSAAY6YoNAypL3cyZAbs9U48Jw9RMpP8Jn4M&#10;KKOSGsOag1LGZU9QgoIUZEoj6mG9RPJdIuYeZzyvFiq84CAK6vntKDgoSc5FQI1LzRFaYYiXGzTE&#10;HWF3NKVUuu+s9ddcFFlRYd4jUIdxRSo9qFJS8zXHpdKCo3QcgUwnjY5E5Jai7THBc376Qx0OQyON&#10;se+pxvPb9ADsgj2mpFqwq+yxqvF4Nh4zujEorV3hkNvMHFsK01Ia1IdNtz8wEVdaxhIL6gUU+cbz&#10;Ummo/p3k8dyQMQqu6mmEv4ieK+FbUqCkpwdq1P9tPXfGLMN4S2bxMJaW7vseD6BWvE+hPRIGlYzP&#10;hE93omSPBqa05klWyMY8GS+YnhiGuoS8TMfATnJ6Z2BXEuiwG00Xa7FUHzpwLFGcGRdnXqSbnNs7&#10;sHC/SO+4eM+AE/AQXZ5LsfaaS/+iqms3Av6CUNrlBk5FyXYSoFQQKFO+v0MnNAk+oCsVHmZuEwCz&#10;BcCGqz0ir5HY4Jg8nYA+ouJU+i6F8Fyplcinr6rSKDo8yWqHEqjRENLUCGwSnB5gG0GxYWTNBHT8&#10;D73tzcbGVs+tDDaHXqUebjYqrUHLrWzVanWv3qo3mv3+R0sc1/i7OM4tYrhGoQW5DWO8U2WFWbbU&#10;Qnc+EFpV/lwNKPboFpXhPlF6LZtQvqioq1MbNLaaLmjobg8q9Q1/XGnVvFql1mg69WbN2R70vFeo&#10;azhjTLdE1PWOgO6YN8beWq291lurQyNbzOnxYhNot6pwsbUaDhvYCs/vrwr+Ytss99c/fvv46eeP&#10;ju7B/5+ePfwEoM3TXx4eP3hyfP/740e/a8iDzJdNd8nDtTGIsEc/OXr89dE394++ffzssy80G82g&#10;vBX4nNWvjecgTUylNijiv+3APjqw/zIONByWDoQmtQBIy07VddYd513lZXVrxe6FhipBqDNc7Ky3&#10;tsp+OOlCYK9EWLoZfLUURX/k2Eo5CX2poeEi+96gKgjSL8QO8e42YnBt7eUXad1swEwFfPwKsHoJ&#10;hat2gT5karRoK0K3FE3dTqSY46IFGjVFPFAgvwCdQaOVLQWc/zruHq8G3Pwz1+HzAEzrteOXN+/O&#10;uwJ8FrGlSg5cJW9H2fWEGaSTR2SUpX14WtjLegZvTEi6hEcD7NH48HGVFG+SwHrx2pJnWAnila4T&#10;Z115EJfjtanVqDVsy8fXkxCwIQzjFOB8lkzg5YRN4N3Ch0cUjIazzxgA8BmcfKFw86cIOKvwQtHM&#10;yWAyIyqgkxX+KRSYAcmmOl3V0WgYeFnAVzqNa8+55f8PMk3rqK7FK7Gl8A0+R7IBkcQSUOk6trgS&#10;aHCBjxq3Unz2LCBoiBmABYs9Cg2qIFLPvt2/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BEA&#10;AABkcnMvY2hhcnRzL19yZWxzL1BLAwQUAAAACACHTuJAIy06Vr8AAAAvAQAAIAAAAGRycy9jaGFy&#10;dHMvX3JlbHMvY2hhcnQxLnhtbC5yZWxzhY89awMxEET7QP6D2D7aOxchhNO5CQG3wSa1LO19cCet&#10;0Crm/O+tFIEYAimHYd5juv0WVnWhLDNHA61uQFF07Oc4Gjgd359eQEmx0duVIxm4ksC+f3zoPmi1&#10;pY5kmpOoSoliYColvSKKmyhY0Zwo1mbgHGypMY+YrFvsSLhrmmfMvxnQ3zHVwRvIB9+COl5TNf/P&#10;5mGYHb2x+woUyx+KH3tF2jxSMaA1UjiT//4r+Ml5OTMvrd5W2QD7Du9u9jdQSwMECgAAAAAAh07i&#10;QAAAAAAAAAAAAAAAAAoAAABkcnMvX3JlbHMvUEsDBBQAAAAIAIdO4kCrFs1GswAAACIBAAAZAAAA&#10;ZHJzL19yZWxzL2Uyb0RvYy54bWwucmVsc4WPzQrCMBCE74LvEPZu03oQkSa9iNCr1AdY0u0PtknI&#10;RrFvb9CLguBxdphvdsrqMU/iToFHZxUUWQ6CrHHtaHsFl+a02YPgiLbFyVlSsBBDpder8kwTxhTi&#10;YfQsEsWygiFGf5CSzUAzcuY82eR0LswYkwy99Giu2JPc5vlOhk8G6C+mqFsFoW4LEM3iU/N/tuu6&#10;0dDRmdtMNv6okGbAEBMQQ09RwUvy+1pk6VOQupRfy/QTUEsDBBQAAAAIAIdO4kCtaumHIgEAAMkC&#10;AAATAAAAW0NvbnRlbnRfVHlwZXNdLnhtbJVSS08CMRC+m/gfml4NLXAwxrBwcPGoxuAPaNrZR+gr&#10;nbIs/95hWS5GRE7NdPq9ZrpY9c6yDhK2wRd8JqacgdfBtL4u+NfmdfLEGWbljbLBQ8EPgHy1vL9b&#10;bA4RkBHaY8GbnOOzlKgbcApFiOCpU4XkVKYy1TIqvVU1yPl0+ih18Bl8nuQjB18uSqjUzma27un6&#10;5KS32HP2cnp41Cq4itG2WmVyKjtvfqhMQlW1GkzQO0fcAmMCZbAByM6K4eTyV6kEFm+TGsMIQg52&#10;sGkjPlDiCwrHzuUsI+6dtpBaA+xDpfymHCWWJqHUDdXjMRN/U10fi0lqT7ulkQy8Z9OXxE3Y+wTd&#10;P2QdjhsQZcKSYJ/QXWOHeSiDvpV8PaDO3HL4iMtvUEsBAhQAFAAAAAgAh07iQK1q6YciAQAAyQIA&#10;ABMAAAAAAAAAAQAgAAAAxi0AAFtDb250ZW50X1R5cGVzXS54bWxQSwECFAAKAAAAAACHTuJAAAAA&#10;AAAAAAAAAAAABgAAAAAAAAAAABAAAABqKgAAX3JlbHMvUEsBAhQAFAAAAAgAh07iQIoUZjzRAAAA&#10;lAEAAAsAAAAAAAAAAQAgAAAAjioAAF9yZWxzLy5yZWxzUEsBAhQACgAAAAAAh07iQAAAAAAAAAAA&#10;AAAAAAQAAAAAAAAAAAAQAAAAAAAAAGRycy9QSwECFAAKAAAAAACHTuJAAAAAAAAAAAAAAAAACgAA&#10;AAAAAAAAABAAAAC0LAAAZHJzL19yZWxzL1BLAQIUABQAAAAIAIdO4kCrFs1GswAAACIBAAAZAAAA&#10;AAAAAAEAIAAAANwsAABkcnMvX3JlbHMvZTJvRG9jLnhtbC5yZWxzUEsBAhQACgAAAAAAh07iQAAA&#10;AAAAAAAAAAAAAAsAAAAAAAAAAAAQAAAAQyMAAGRycy9jaGFydHMvUEsBAhQACgAAAAAAh07iQAAA&#10;AAAAAAAAAAAAABEAAAAAAAAAAAAQAAAAiCsAAGRycy9jaGFydHMvX3JlbHMvUEsBAhQAFAAAAAgA&#10;h07iQCMtOla/AAAALwEAACAAAAAAAAAAAQAgAAAAtysAAGRycy9jaGFydHMvX3JlbHMvY2hhcnQx&#10;LnhtbC5yZWxzUEsBAhQAFAAAAAgAh07iQIHjnTfLBgAAPhYAABUAAAAAAAAAAQAgAAAAbCMAAGRy&#10;cy9jaGFydHMvY2hhcnQxLnhtbFBLAQIUABQAAAAIAIdO4kCfG9jv2gAAAAsBAAAPAAAAAAAAAAEA&#10;IAAAACIAAABkcnMvZG93bnJldi54bWxQSwECFAAUAAAACACHTuJA/Ole/wYBAAA3AgAADgAAAAAA&#10;AAABACAAAAApAQAAZHJzL2Uyb0RvYy54bWxQSwECFAAKAAAAAACHTuJAAAAAAAAAAAAAAAAADwAA&#10;AAAAAAAAABAAAABbAgAAZHJzL2VtYmVkZGluZ3MvUEsBAhQAFAAAAAgAh07iQJ/C4M6AIAAA9CUA&#10;AB0AAAAAAAAAAQAgAAAAiAIAAGRycy9lbWJlZGRpbmdzL1dvcmtib29rMS54bHN4UEsFBgAAAAAO&#10;AA4AaQMAABkvAAAAAA==&#10;">
            <v:path/>
            <v:fill on="f" focussize="0,0"/>
            <v:stroke on="f"/>
            <v:imagedata r:id="rId11" o:title=""/>
            <o:lock v:ext="edit" aspectratio="f"/>
            <w10:wrap type="topAndBottom"/>
          </v:shape>
          <o:OLEObject Type="Embed" ProgID="Excel.Sheet.8" ShapeID="_x0000_s1026" DrawAspect="Content" ObjectID="_1468075725" r:id="rId10">
            <o:LockedField>false</o:LockedField>
          </o:OLEObject>
        </w:pict>
      </w:r>
      <w:r>
        <w:rPr>
          <w:rFonts w:hint="default" w:ascii="Times New Roman" w:hAnsi="Times New Roman" w:eastAsia="方正仿宋_GBK" w:cs="Times New Roman"/>
          <w:color w:val="auto"/>
          <w:sz w:val="32"/>
          <w:szCs w:val="32"/>
          <w:highlight w:val="none"/>
        </w:rPr>
        <w:t>（图2：收入决算结构图）（饼状图）</w:t>
      </w:r>
    </w:p>
    <w:p w14:paraId="094BDA75">
      <w:pPr>
        <w:pStyle w:val="7"/>
        <w:ind w:left="0" w:leftChars="0" w:firstLine="0" w:firstLineChars="0"/>
        <w:rPr>
          <w:rFonts w:hint="default" w:ascii="Times New Roman" w:hAnsi="Times New Roman" w:eastAsia="方正仿宋_GBK" w:cs="Times New Roman"/>
          <w:color w:val="auto"/>
          <w:sz w:val="32"/>
          <w:szCs w:val="32"/>
          <w:highlight w:val="none"/>
        </w:rPr>
      </w:pPr>
    </w:p>
    <w:p w14:paraId="27C59862">
      <w:pPr>
        <w:rPr>
          <w:rFonts w:hint="default" w:ascii="Times New Roman" w:hAnsi="Times New Roman" w:cs="Times New Roman"/>
          <w:lang w:eastAsia="zh-CN"/>
        </w:rPr>
      </w:pPr>
    </w:p>
    <w:p w14:paraId="546DA58D">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default" w:ascii="Times New Roman" w:hAnsi="Times New Roman" w:eastAsia="黑体" w:cs="Times New Roman"/>
          <w:b w:val="0"/>
          <w:color w:val="auto"/>
          <w:highlight w:val="none"/>
        </w:rPr>
      </w:pPr>
      <w:bookmarkStart w:id="34" w:name="_Toc14415"/>
      <w:bookmarkStart w:id="35" w:name="_Toc15396605"/>
      <w:bookmarkStart w:id="36" w:name="_Toc15377207"/>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32"/>
          <w:rFonts w:hint="default" w:ascii="Times New Roman" w:hAnsi="Times New Roman" w:eastAsia="黑体" w:cs="Times New Roman"/>
          <w:b w:val="0"/>
          <w:color w:val="auto"/>
          <w:highlight w:val="none"/>
        </w:rPr>
        <w:t>出决算情况说明</w:t>
      </w:r>
      <w:bookmarkEnd w:id="34"/>
      <w:bookmarkEnd w:id="35"/>
      <w:bookmarkEnd w:id="36"/>
    </w:p>
    <w:p w14:paraId="2AAA27AA">
      <w:pPr>
        <w:snapToGrid w:val="0"/>
        <w:spacing w:line="520" w:lineRule="exact"/>
        <w:ind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本年度总支出为</w:t>
      </w:r>
      <w:r>
        <w:rPr>
          <w:rFonts w:hint="default" w:ascii="Times New Roman" w:hAnsi="Times New Roman" w:eastAsia="仿宋" w:cs="Times New Roman"/>
          <w:sz w:val="32"/>
          <w:szCs w:val="32"/>
          <w:lang w:val="en-US" w:eastAsia="zh-CN"/>
        </w:rPr>
        <w:t>1822.35</w:t>
      </w:r>
      <w:r>
        <w:rPr>
          <w:rFonts w:hint="default" w:ascii="Times New Roman" w:hAnsi="Times New Roman" w:eastAsia="仿宋" w:cs="Times New Roman"/>
          <w:sz w:val="32"/>
          <w:szCs w:val="32"/>
        </w:rPr>
        <w:t>万元。其中：一般公共服务支出为</w:t>
      </w:r>
      <w:r>
        <w:rPr>
          <w:rFonts w:hint="default" w:ascii="Times New Roman" w:hAnsi="Times New Roman" w:eastAsia="仿宋" w:cs="Times New Roman"/>
          <w:sz w:val="32"/>
          <w:szCs w:val="32"/>
          <w:lang w:val="en-US" w:eastAsia="zh-CN"/>
        </w:rPr>
        <w:t>496.54</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27.25</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国防支出5</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0.28</w:t>
      </w:r>
      <w:r>
        <w:rPr>
          <w:rFonts w:hint="default" w:ascii="Times New Roman" w:hAnsi="Times New Roman" w:eastAsia="仿宋" w:cs="Times New Roman"/>
          <w:sz w:val="32"/>
          <w:szCs w:val="32"/>
        </w:rPr>
        <w:t>%；</w:t>
      </w:r>
      <w:r>
        <w:rPr>
          <w:rFonts w:hint="default" w:ascii="Times New Roman" w:hAnsi="Times New Roman" w:eastAsia="仿宋_GB2312" w:cs="Times New Roman"/>
          <w:sz w:val="32"/>
          <w:szCs w:val="32"/>
          <w:lang w:val="en-US" w:eastAsia="zh-CN"/>
        </w:rPr>
        <w:t>教育支出2万元，</w:t>
      </w:r>
      <w:r>
        <w:rPr>
          <w:rFonts w:hint="default" w:ascii="Times New Roman" w:hAnsi="Times New Roman" w:eastAsia="仿宋" w:cs="Times New Roman"/>
          <w:sz w:val="32"/>
          <w:szCs w:val="32"/>
        </w:rPr>
        <w:t>占比</w:t>
      </w:r>
      <w:r>
        <w:rPr>
          <w:rFonts w:hint="default" w:ascii="Times New Roman" w:hAnsi="Times New Roman" w:eastAsia="仿宋" w:cs="Times New Roman"/>
          <w:sz w:val="32"/>
          <w:szCs w:val="32"/>
          <w:lang w:val="en-US" w:eastAsia="zh-CN"/>
        </w:rPr>
        <w:t>0.1</w:t>
      </w:r>
      <w:r>
        <w:rPr>
          <w:rFonts w:hint="default" w:ascii="Times New Roman" w:hAnsi="Times New Roman" w:eastAsia="仿宋" w:cs="Times New Roman"/>
          <w:sz w:val="32"/>
          <w:szCs w:val="32"/>
        </w:rPr>
        <w:t>%；社会保障和就业支出为</w:t>
      </w:r>
      <w:r>
        <w:rPr>
          <w:rFonts w:hint="default" w:ascii="Times New Roman" w:hAnsi="Times New Roman" w:eastAsia="仿宋" w:cs="Times New Roman"/>
          <w:sz w:val="32"/>
          <w:szCs w:val="32"/>
          <w:lang w:val="en-US" w:eastAsia="zh-CN"/>
        </w:rPr>
        <w:t>117</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6.4</w:t>
      </w:r>
      <w:r>
        <w:rPr>
          <w:rFonts w:hint="default" w:ascii="Times New Roman" w:hAnsi="Times New Roman" w:eastAsia="仿宋" w:cs="Times New Roman"/>
          <w:sz w:val="32"/>
          <w:szCs w:val="32"/>
        </w:rPr>
        <w:t>%；卫生健康支出为</w:t>
      </w:r>
      <w:r>
        <w:rPr>
          <w:rFonts w:hint="default" w:ascii="Times New Roman" w:hAnsi="Times New Roman" w:eastAsia="仿宋" w:cs="Times New Roman"/>
          <w:sz w:val="32"/>
          <w:szCs w:val="32"/>
          <w:lang w:val="en-US" w:eastAsia="zh-CN"/>
        </w:rPr>
        <w:t>41.33</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2.23</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农林水支出为</w:t>
      </w:r>
      <w:r>
        <w:rPr>
          <w:rFonts w:hint="default" w:ascii="Times New Roman" w:hAnsi="Times New Roman" w:eastAsia="仿宋" w:cs="Times New Roman"/>
          <w:sz w:val="32"/>
          <w:szCs w:val="32"/>
          <w:lang w:val="en-US" w:eastAsia="zh-CN"/>
        </w:rPr>
        <w:t>1102.97</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60.5</w:t>
      </w:r>
      <w:r>
        <w:rPr>
          <w:rFonts w:hint="default" w:ascii="Times New Roman" w:hAnsi="Times New Roman" w:eastAsia="仿宋" w:cs="Times New Roman"/>
          <w:sz w:val="32"/>
          <w:szCs w:val="32"/>
        </w:rPr>
        <w:t>%；住房保障支出为</w:t>
      </w:r>
      <w:r>
        <w:rPr>
          <w:rFonts w:hint="default" w:ascii="Times New Roman" w:hAnsi="Times New Roman" w:eastAsia="仿宋" w:cs="Times New Roman"/>
          <w:sz w:val="32"/>
          <w:szCs w:val="32"/>
          <w:lang w:val="en-US" w:eastAsia="zh-CN"/>
        </w:rPr>
        <w:t>66.03</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3.6</w:t>
      </w:r>
      <w:r>
        <w:rPr>
          <w:rFonts w:hint="default" w:ascii="Times New Roman" w:hAnsi="Times New Roman" w:eastAsia="仿宋" w:cs="Times New Roman"/>
          <w:sz w:val="32"/>
          <w:szCs w:val="32"/>
        </w:rPr>
        <w:t>%；灾害防治及应急管理支出为</w:t>
      </w:r>
      <w:r>
        <w:rPr>
          <w:rFonts w:hint="default" w:ascii="Times New Roman" w:hAnsi="Times New Roman" w:eastAsia="仿宋" w:cs="Times New Roman"/>
          <w:sz w:val="32"/>
          <w:szCs w:val="32"/>
          <w:lang w:val="en-US" w:eastAsia="zh-CN"/>
        </w:rPr>
        <w:t>11.28</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0.61</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w:t>
      </w:r>
    </w:p>
    <w:p w14:paraId="1F224B1C">
      <w:pPr>
        <w:pStyle w:val="7"/>
        <w:rPr>
          <w:rFonts w:hint="default" w:ascii="Times New Roman" w:hAnsi="Times New Roman" w:eastAsia="仿宋" w:cs="Times New Roman"/>
          <w:sz w:val="32"/>
          <w:szCs w:val="32"/>
          <w:lang w:val="en-US" w:eastAsia="zh-CN"/>
        </w:rPr>
      </w:pPr>
      <w:r>
        <w:rPr>
          <w:rFonts w:hint="default" w:ascii="Times New Roman" w:hAnsi="Times New Roman" w:eastAsia="仿宋_GB2312" w:cs="Times New Roman"/>
          <w:sz w:val="32"/>
          <w:szCs w:val="32"/>
          <w:lang w:eastAsia="zh-CN"/>
        </w:rPr>
        <w:drawing>
          <wp:inline distT="0" distB="0" distL="114300" distR="114300">
            <wp:extent cx="4514850" cy="4073525"/>
            <wp:effectExtent l="5080" t="4445" r="13970" b="1778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4C4EFF6">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920" w:firstLineChars="600"/>
        <w:textAlignment w:val="auto"/>
        <w:outlineLvl w:val="1"/>
        <w:rPr>
          <w:rFonts w:hint="default" w:ascii="Times New Roman" w:hAnsi="Times New Roman" w:eastAsia="仿宋_GB2312" w:cs="Times New Roman"/>
          <w:color w:val="auto"/>
          <w:sz w:val="32"/>
          <w:szCs w:val="32"/>
          <w:highlight w:val="none"/>
          <w:lang w:eastAsia="zh-CN"/>
        </w:rPr>
      </w:pPr>
      <w:bookmarkStart w:id="37" w:name="_Toc13272"/>
      <w:bookmarkStart w:id="38" w:name="_Toc28374"/>
      <w:r>
        <w:rPr>
          <w:rFonts w:hint="default" w:ascii="Times New Roman" w:hAnsi="Times New Roman" w:eastAsia="仿宋_GB2312" w:cs="Times New Roman"/>
          <w:color w:val="auto"/>
          <w:sz w:val="32"/>
          <w:szCs w:val="32"/>
          <w:highlight w:val="none"/>
          <w:lang w:eastAsia="zh-CN"/>
        </w:rPr>
        <w:t>（图3：支出决算结构图）（饼状图）</w:t>
      </w:r>
      <w:bookmarkEnd w:id="37"/>
      <w:bookmarkEnd w:id="38"/>
    </w:p>
    <w:p w14:paraId="3DF6DE0F">
      <w:pPr>
        <w:ind w:firstLine="800" w:firstLineChars="250"/>
        <w:rPr>
          <w:rFonts w:hint="default" w:ascii="Times New Roman" w:hAnsi="Times New Roman" w:eastAsia="仿宋_GB2312" w:cs="Times New Roman"/>
          <w:color w:val="auto"/>
          <w:sz w:val="32"/>
          <w:szCs w:val="32"/>
          <w:highlight w:val="none"/>
          <w:lang w:eastAsia="zh-CN"/>
        </w:rPr>
      </w:pPr>
    </w:p>
    <w:p w14:paraId="30A081A2">
      <w:pPr>
        <w:spacing w:line="600" w:lineRule="exact"/>
        <w:ind w:firstLine="640" w:firstLineChars="200"/>
        <w:outlineLvl w:val="1"/>
        <w:rPr>
          <w:rStyle w:val="32"/>
          <w:rFonts w:hint="default" w:ascii="Times New Roman" w:hAnsi="Times New Roman" w:eastAsia="黑体" w:cs="Times New Roman"/>
          <w:b w:val="0"/>
          <w:color w:val="auto"/>
          <w:highlight w:val="none"/>
        </w:rPr>
      </w:pPr>
      <w:bookmarkStart w:id="39" w:name="_Toc15396606"/>
      <w:bookmarkStart w:id="40" w:name="_Toc2845"/>
      <w:bookmarkStart w:id="41" w:name="_Toc15377208"/>
      <w:r>
        <w:rPr>
          <w:rFonts w:hint="default" w:ascii="Times New Roman" w:hAnsi="Times New Roman" w:eastAsia="黑体" w:cs="Times New Roman"/>
          <w:color w:val="auto"/>
          <w:sz w:val="32"/>
          <w:szCs w:val="32"/>
          <w:highlight w:val="none"/>
        </w:rPr>
        <w:t>四、财</w:t>
      </w:r>
      <w:r>
        <w:rPr>
          <w:rStyle w:val="32"/>
          <w:rFonts w:hint="default" w:ascii="Times New Roman" w:hAnsi="Times New Roman" w:eastAsia="黑体" w:cs="Times New Roman"/>
          <w:b w:val="0"/>
          <w:color w:val="auto"/>
          <w:highlight w:val="none"/>
        </w:rPr>
        <w:t>政拨款收入支出决算总体情况说明</w:t>
      </w:r>
      <w:bookmarkEnd w:id="39"/>
      <w:bookmarkEnd w:id="40"/>
      <w:bookmarkEnd w:id="41"/>
    </w:p>
    <w:p w14:paraId="0AFEC8A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2025年度财政拨款收入、支出总计均为1822.35万元。与上年度相比，财政拨款收入、支出总计减少1031.16万元，下降35.76%。主要变动原因是单位业务量下降及项目减少，导致收入整体下降。</w:t>
      </w:r>
    </w:p>
    <w:p w14:paraId="22318D78">
      <w:pPr>
        <w:pStyle w:val="7"/>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sz w:val="32"/>
          <w:lang w:val="en-US" w:eastAsia="zh-CN"/>
        </w:rPr>
        <w:object>
          <v:shape id="_x0000_i1025" o:spt="75" type="#_x0000_t75" style="height:224.75pt;width:371.15pt;" o:ole="t" filled="f" o:preferrelative="t" stroked="f" coordsize="21600,21600">
            <v:path/>
            <v:fill on="f" focussize="0,0"/>
            <v:stroke on="f"/>
            <v:imagedata r:id="rId14" o:title=""/>
            <o:lock v:ext="edit" aspectratio="t"/>
            <w10:wrap type="none"/>
            <w10:anchorlock/>
          </v:shape>
          <o:OLEObject Type="Embed" ProgID="Excel.Chart.8" ShapeID="_x0000_i1025" DrawAspect="Content" ObjectID="_1468075726" r:id="rId13">
            <o:LockedField>false</o:LockedField>
          </o:OLEObject>
        </w:object>
      </w:r>
      <w:r>
        <w:rPr>
          <w:rFonts w:hint="default" w:ascii="Times New Roman" w:hAnsi="Times New Roman" w:eastAsia="仿宋_GB2312" w:cs="Times New Roman"/>
          <w:sz w:val="32"/>
          <w:lang w:val="en-US" w:eastAsia="zh-CN"/>
        </w:rPr>
        <w:t xml:space="preserve">  </w:t>
      </w: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（图4：财政拨款收、支决算总计变动情况）（柱状图）</w:t>
      </w:r>
    </w:p>
    <w:p w14:paraId="0B32450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5FBD3E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Style w:val="32"/>
          <w:rFonts w:hint="default" w:ascii="Times New Roman" w:hAnsi="Times New Roman" w:eastAsia="黑体" w:cs="Times New Roman"/>
          <w:b w:val="0"/>
          <w:color w:val="auto"/>
          <w:highlight w:val="none"/>
        </w:rPr>
      </w:pPr>
      <w:bookmarkStart w:id="42" w:name="_Toc15396607"/>
      <w:bookmarkStart w:id="43" w:name="_Toc15377209"/>
      <w:bookmarkStart w:id="44" w:name="_Toc24934"/>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32"/>
          <w:rFonts w:hint="default" w:ascii="Times New Roman" w:hAnsi="Times New Roman" w:eastAsia="黑体" w:cs="Times New Roman"/>
          <w:b w:val="0"/>
          <w:color w:val="auto"/>
          <w:highlight w:val="none"/>
        </w:rPr>
        <w:t>般公共预算财政拨款支出决算情况说明</w:t>
      </w:r>
      <w:bookmarkEnd w:id="42"/>
      <w:bookmarkEnd w:id="43"/>
      <w:bookmarkEnd w:id="44"/>
    </w:p>
    <w:p w14:paraId="5B49B7D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45"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45"/>
    </w:p>
    <w:p w14:paraId="35CCE7C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年度收入决算总额为</w:t>
      </w:r>
      <w:r>
        <w:rPr>
          <w:rFonts w:hint="default" w:ascii="Times New Roman" w:hAnsi="Times New Roman" w:eastAsia="仿宋_GB2312" w:cs="Times New Roman"/>
          <w:sz w:val="32"/>
          <w:szCs w:val="32"/>
          <w:lang w:val="en-US" w:eastAsia="zh-CN"/>
        </w:rPr>
        <w:t>1822.35万</w:t>
      </w:r>
      <w:r>
        <w:rPr>
          <w:rFonts w:hint="default" w:ascii="Times New Roman" w:hAnsi="Times New Roman" w:eastAsia="仿宋" w:cs="Times New Roman"/>
          <w:sz w:val="32"/>
          <w:szCs w:val="32"/>
        </w:rPr>
        <w:t>元，其中：一般公共预算财政拨款收入为</w:t>
      </w:r>
      <w:r>
        <w:rPr>
          <w:rFonts w:hint="default" w:ascii="Times New Roman" w:hAnsi="Times New Roman" w:eastAsia="仿宋" w:cs="Times New Roman"/>
          <w:sz w:val="32"/>
          <w:szCs w:val="32"/>
          <w:lang w:val="en-US" w:eastAsia="zh-CN"/>
        </w:rPr>
        <w:t>1822.35</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100</w:t>
      </w:r>
      <w:r>
        <w:rPr>
          <w:rFonts w:hint="default" w:ascii="Times New Roman" w:hAnsi="Times New Roman" w:eastAsia="仿宋" w:cs="Times New Roman"/>
          <w:sz w:val="32"/>
          <w:szCs w:val="32"/>
        </w:rPr>
        <w:t>%；本年度总支出为</w:t>
      </w:r>
      <w:r>
        <w:rPr>
          <w:rFonts w:hint="default" w:ascii="Times New Roman" w:hAnsi="Times New Roman" w:eastAsia="仿宋" w:cs="Times New Roman"/>
          <w:sz w:val="32"/>
          <w:szCs w:val="32"/>
          <w:lang w:val="en-US" w:eastAsia="zh-CN"/>
        </w:rPr>
        <w:t>1822.35</w:t>
      </w:r>
      <w:r>
        <w:rPr>
          <w:rFonts w:hint="default" w:ascii="Times New Roman" w:hAnsi="Times New Roman" w:eastAsia="仿宋" w:cs="Times New Roman"/>
          <w:sz w:val="32"/>
          <w:szCs w:val="32"/>
        </w:rPr>
        <w:t>万元。其中：一般公共服务支出为</w:t>
      </w:r>
      <w:r>
        <w:rPr>
          <w:rFonts w:hint="default" w:ascii="Times New Roman" w:hAnsi="Times New Roman" w:eastAsia="仿宋" w:cs="Times New Roman"/>
          <w:sz w:val="32"/>
          <w:szCs w:val="32"/>
          <w:lang w:val="en-US" w:eastAsia="zh-CN"/>
        </w:rPr>
        <w:t>496.54</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27.25</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国防支出5</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0.28</w:t>
      </w:r>
      <w:r>
        <w:rPr>
          <w:rFonts w:hint="default" w:ascii="Times New Roman" w:hAnsi="Times New Roman" w:eastAsia="仿宋" w:cs="Times New Roman"/>
          <w:sz w:val="32"/>
          <w:szCs w:val="32"/>
        </w:rPr>
        <w:t>%；</w:t>
      </w:r>
      <w:r>
        <w:rPr>
          <w:rFonts w:hint="default" w:ascii="Times New Roman" w:hAnsi="Times New Roman" w:eastAsia="仿宋_GB2312" w:cs="Times New Roman"/>
          <w:sz w:val="32"/>
          <w:szCs w:val="32"/>
          <w:lang w:val="en-US" w:eastAsia="zh-CN"/>
        </w:rPr>
        <w:t>教育支出2万元，</w:t>
      </w:r>
      <w:r>
        <w:rPr>
          <w:rFonts w:hint="default" w:ascii="Times New Roman" w:hAnsi="Times New Roman" w:eastAsia="仿宋" w:cs="Times New Roman"/>
          <w:sz w:val="32"/>
          <w:szCs w:val="32"/>
        </w:rPr>
        <w:t>占比</w:t>
      </w:r>
      <w:r>
        <w:rPr>
          <w:rFonts w:hint="default" w:ascii="Times New Roman" w:hAnsi="Times New Roman" w:eastAsia="仿宋" w:cs="Times New Roman"/>
          <w:sz w:val="32"/>
          <w:szCs w:val="32"/>
          <w:lang w:val="en-US" w:eastAsia="zh-CN"/>
        </w:rPr>
        <w:t>0.1</w:t>
      </w:r>
      <w:r>
        <w:rPr>
          <w:rFonts w:hint="default" w:ascii="Times New Roman" w:hAnsi="Times New Roman" w:eastAsia="仿宋" w:cs="Times New Roman"/>
          <w:sz w:val="32"/>
          <w:szCs w:val="32"/>
        </w:rPr>
        <w:t>%；社会保障和就业支出为</w:t>
      </w:r>
      <w:r>
        <w:rPr>
          <w:rFonts w:hint="default" w:ascii="Times New Roman" w:hAnsi="Times New Roman" w:eastAsia="仿宋" w:cs="Times New Roman"/>
          <w:sz w:val="32"/>
          <w:szCs w:val="32"/>
          <w:lang w:val="en-US" w:eastAsia="zh-CN"/>
        </w:rPr>
        <w:t>117</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6.4</w:t>
      </w:r>
      <w:r>
        <w:rPr>
          <w:rFonts w:hint="default" w:ascii="Times New Roman" w:hAnsi="Times New Roman" w:eastAsia="仿宋" w:cs="Times New Roman"/>
          <w:sz w:val="32"/>
          <w:szCs w:val="32"/>
        </w:rPr>
        <w:t>%；卫生健康支出为</w:t>
      </w:r>
      <w:r>
        <w:rPr>
          <w:rFonts w:hint="default" w:ascii="Times New Roman" w:hAnsi="Times New Roman" w:eastAsia="仿宋" w:cs="Times New Roman"/>
          <w:sz w:val="32"/>
          <w:szCs w:val="32"/>
          <w:lang w:val="en-US" w:eastAsia="zh-CN"/>
        </w:rPr>
        <w:t>41.33</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2.23</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农林水支出为</w:t>
      </w:r>
      <w:r>
        <w:rPr>
          <w:rFonts w:hint="default" w:ascii="Times New Roman" w:hAnsi="Times New Roman" w:eastAsia="仿宋" w:cs="Times New Roman"/>
          <w:sz w:val="32"/>
          <w:szCs w:val="32"/>
          <w:lang w:val="en-US" w:eastAsia="zh-CN"/>
        </w:rPr>
        <w:t>1102.97</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60.5</w:t>
      </w:r>
      <w:r>
        <w:rPr>
          <w:rFonts w:hint="default" w:ascii="Times New Roman" w:hAnsi="Times New Roman" w:eastAsia="仿宋" w:cs="Times New Roman"/>
          <w:sz w:val="32"/>
          <w:szCs w:val="32"/>
        </w:rPr>
        <w:t>%；住房保障支出为</w:t>
      </w:r>
      <w:r>
        <w:rPr>
          <w:rFonts w:hint="default" w:ascii="Times New Roman" w:hAnsi="Times New Roman" w:eastAsia="仿宋" w:cs="Times New Roman"/>
          <w:sz w:val="32"/>
          <w:szCs w:val="32"/>
          <w:lang w:val="en-US" w:eastAsia="zh-CN"/>
        </w:rPr>
        <w:t>66.03</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3.6</w:t>
      </w:r>
      <w:r>
        <w:rPr>
          <w:rFonts w:hint="default" w:ascii="Times New Roman" w:hAnsi="Times New Roman" w:eastAsia="仿宋" w:cs="Times New Roman"/>
          <w:sz w:val="32"/>
          <w:szCs w:val="32"/>
        </w:rPr>
        <w:t>%；灾害防治及应急管理支出为</w:t>
      </w:r>
      <w:r>
        <w:rPr>
          <w:rFonts w:hint="default" w:ascii="Times New Roman" w:hAnsi="Times New Roman" w:eastAsia="仿宋" w:cs="Times New Roman"/>
          <w:sz w:val="32"/>
          <w:szCs w:val="32"/>
          <w:lang w:val="en-US" w:eastAsia="zh-CN"/>
        </w:rPr>
        <w:t>11.28</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0.61</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w:t>
      </w:r>
      <w:r>
        <w:rPr>
          <w:rFonts w:hint="default" w:ascii="Times New Roman" w:hAnsi="Times New Roman" w:eastAsia="仿宋_GB2312" w:cs="Times New Roman"/>
          <w:color w:val="auto"/>
          <w:kern w:val="2"/>
          <w:sz w:val="32"/>
          <w:szCs w:val="32"/>
          <w:highlight w:val="none"/>
          <w:lang w:val="en-US" w:eastAsia="zh-CN" w:bidi="ar-SA"/>
        </w:rPr>
        <w:t>与上年度相比，财政拨款收入、支出总计减少1031.16万元，下降35.76%。主要变动原因是单位业务量下降及项目减少，导致收入整体下降。</w:t>
      </w:r>
    </w:p>
    <w:p w14:paraId="61D4D253">
      <w:pPr>
        <w:snapToGrid w:val="0"/>
        <w:spacing w:line="520" w:lineRule="exact"/>
        <w:ind w:firstLine="640" w:firstLineChars="200"/>
        <w:rPr>
          <w:rFonts w:hint="default" w:ascii="Times New Roman" w:hAnsi="Times New Roman" w:eastAsia="仿宋_GB2312" w:cs="Times New Roman"/>
          <w:sz w:val="32"/>
          <w:szCs w:val="32"/>
          <w:lang w:val="en-US" w:eastAsia="zh-CN"/>
        </w:rPr>
      </w:pPr>
    </w:p>
    <w:p w14:paraId="653DFB6A">
      <w:pPr>
        <w:pStyle w:val="15"/>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lang w:val="en-US" w:eastAsia="zh-CN"/>
        </w:rPr>
        <w:object>
          <v:shape id="_x0000_i1026" o:spt="75" type="#_x0000_t75" style="height:254.95pt;width:399.15pt;" o:ole="t" filled="f" o:preferrelative="t" stroked="f" coordsize="21600,21600">
            <v:path/>
            <v:fill on="f" focussize="0,0"/>
            <v:stroke on="f"/>
            <v:imagedata r:id="rId16" o:title=""/>
            <o:lock v:ext="edit" aspectratio="t"/>
            <w10:wrap type="none"/>
            <w10:anchorlock/>
          </v:shape>
          <o:OLEObject Type="Embed" ProgID="Excel.Chart.8" ShapeID="_x0000_i1026" DrawAspect="Content" ObjectID="_1468075727" r:id="rId15">
            <o:LockedField>false</o:LockedField>
          </o:OLEObject>
        </w:object>
      </w:r>
    </w:p>
    <w:p w14:paraId="4F9EA9C6">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（图5：一般公共预算财政拨款支出决算变动情况）（柱状图）</w:t>
      </w:r>
    </w:p>
    <w:p w14:paraId="0C691E64">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46"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46"/>
    </w:p>
    <w:p w14:paraId="2630263E">
      <w:pPr>
        <w:snapToGrid w:val="0"/>
        <w:spacing w:line="520" w:lineRule="exact"/>
        <w:ind w:firstLine="640" w:firstLineChars="200"/>
        <w:rPr>
          <w:rFonts w:hint="eastAsia" w:ascii="Times New Roman" w:hAnsi="Times New Roman" w:eastAsia="仿宋" w:cs="Times New Roman"/>
          <w:sz w:val="32"/>
          <w:szCs w:val="32"/>
          <w:lang w:val="en-US" w:eastAsia="zh-CN"/>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2025年度一般公共预算财政拨款支出1822.35万元，主要用于以下方面：</w:t>
      </w:r>
      <w:r>
        <w:rPr>
          <w:rFonts w:hint="default" w:ascii="Times New Roman" w:hAnsi="Times New Roman" w:eastAsia="仿宋" w:cs="Times New Roman"/>
          <w:sz w:val="32"/>
          <w:szCs w:val="32"/>
        </w:rPr>
        <w:t>其中：一般公共服务支出为</w:t>
      </w:r>
      <w:r>
        <w:rPr>
          <w:rFonts w:hint="default" w:ascii="Times New Roman" w:hAnsi="Times New Roman" w:eastAsia="仿宋" w:cs="Times New Roman"/>
          <w:sz w:val="32"/>
          <w:szCs w:val="32"/>
          <w:lang w:val="en-US" w:eastAsia="zh-CN"/>
        </w:rPr>
        <w:t>496.54</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27.25</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国防支出5</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0.28</w:t>
      </w:r>
      <w:r>
        <w:rPr>
          <w:rFonts w:hint="default" w:ascii="Times New Roman" w:hAnsi="Times New Roman" w:eastAsia="仿宋" w:cs="Times New Roman"/>
          <w:sz w:val="32"/>
          <w:szCs w:val="32"/>
        </w:rPr>
        <w:t>%；</w:t>
      </w:r>
      <w:r>
        <w:rPr>
          <w:rFonts w:hint="default" w:ascii="Times New Roman" w:hAnsi="Times New Roman" w:eastAsia="仿宋_GB2312" w:cs="Times New Roman"/>
          <w:sz w:val="32"/>
          <w:szCs w:val="32"/>
          <w:lang w:val="en-US" w:eastAsia="zh-CN"/>
        </w:rPr>
        <w:t>教育支出2万元，</w:t>
      </w:r>
      <w:r>
        <w:rPr>
          <w:rFonts w:hint="default" w:ascii="Times New Roman" w:hAnsi="Times New Roman" w:eastAsia="仿宋" w:cs="Times New Roman"/>
          <w:sz w:val="32"/>
          <w:szCs w:val="32"/>
        </w:rPr>
        <w:t>占比</w:t>
      </w:r>
      <w:r>
        <w:rPr>
          <w:rFonts w:hint="default" w:ascii="Times New Roman" w:hAnsi="Times New Roman" w:eastAsia="仿宋" w:cs="Times New Roman"/>
          <w:sz w:val="32"/>
          <w:szCs w:val="32"/>
          <w:lang w:val="en-US" w:eastAsia="zh-CN"/>
        </w:rPr>
        <w:t>0.1</w:t>
      </w:r>
      <w:r>
        <w:rPr>
          <w:rFonts w:hint="default" w:ascii="Times New Roman" w:hAnsi="Times New Roman" w:eastAsia="仿宋" w:cs="Times New Roman"/>
          <w:sz w:val="32"/>
          <w:szCs w:val="32"/>
        </w:rPr>
        <w:t>%；社会保障和就业支出为</w:t>
      </w:r>
      <w:r>
        <w:rPr>
          <w:rFonts w:hint="default" w:ascii="Times New Roman" w:hAnsi="Times New Roman" w:eastAsia="仿宋" w:cs="Times New Roman"/>
          <w:sz w:val="32"/>
          <w:szCs w:val="32"/>
          <w:lang w:val="en-US" w:eastAsia="zh-CN"/>
        </w:rPr>
        <w:t>117</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6.4</w:t>
      </w:r>
      <w:r>
        <w:rPr>
          <w:rFonts w:hint="default" w:ascii="Times New Roman" w:hAnsi="Times New Roman" w:eastAsia="仿宋" w:cs="Times New Roman"/>
          <w:sz w:val="32"/>
          <w:szCs w:val="32"/>
        </w:rPr>
        <w:t>%；卫生健康支出为</w:t>
      </w:r>
      <w:r>
        <w:rPr>
          <w:rFonts w:hint="default" w:ascii="Times New Roman" w:hAnsi="Times New Roman" w:eastAsia="仿宋" w:cs="Times New Roman"/>
          <w:sz w:val="32"/>
          <w:szCs w:val="32"/>
          <w:lang w:val="en-US" w:eastAsia="zh-CN"/>
        </w:rPr>
        <w:t>41.33</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2.23</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农林水支出为</w:t>
      </w:r>
      <w:r>
        <w:rPr>
          <w:rFonts w:hint="default" w:ascii="Times New Roman" w:hAnsi="Times New Roman" w:eastAsia="仿宋" w:cs="Times New Roman"/>
          <w:sz w:val="32"/>
          <w:szCs w:val="32"/>
          <w:lang w:val="en-US" w:eastAsia="zh-CN"/>
        </w:rPr>
        <w:t>1102.97</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60.5</w:t>
      </w:r>
      <w:r>
        <w:rPr>
          <w:rFonts w:hint="default" w:ascii="Times New Roman" w:hAnsi="Times New Roman" w:eastAsia="仿宋" w:cs="Times New Roman"/>
          <w:sz w:val="32"/>
          <w:szCs w:val="32"/>
        </w:rPr>
        <w:t>%；住房保障支出为</w:t>
      </w:r>
      <w:r>
        <w:rPr>
          <w:rFonts w:hint="default" w:ascii="Times New Roman" w:hAnsi="Times New Roman" w:eastAsia="仿宋" w:cs="Times New Roman"/>
          <w:sz w:val="32"/>
          <w:szCs w:val="32"/>
          <w:lang w:val="en-US" w:eastAsia="zh-CN"/>
        </w:rPr>
        <w:t>66.03</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3.6</w:t>
      </w:r>
      <w:r>
        <w:rPr>
          <w:rFonts w:hint="default" w:ascii="Times New Roman" w:hAnsi="Times New Roman" w:eastAsia="仿宋" w:cs="Times New Roman"/>
          <w:sz w:val="32"/>
          <w:szCs w:val="32"/>
        </w:rPr>
        <w:t>%；灾害防治及应急管理支出为</w:t>
      </w:r>
      <w:r>
        <w:rPr>
          <w:rFonts w:hint="default" w:ascii="Times New Roman" w:hAnsi="Times New Roman" w:eastAsia="仿宋" w:cs="Times New Roman"/>
          <w:sz w:val="32"/>
          <w:szCs w:val="32"/>
          <w:lang w:val="en-US" w:eastAsia="zh-CN"/>
        </w:rPr>
        <w:t>11.28</w:t>
      </w:r>
      <w:r>
        <w:rPr>
          <w:rFonts w:hint="default" w:ascii="Times New Roman" w:hAnsi="Times New Roman" w:eastAsia="仿宋" w:cs="Times New Roman"/>
          <w:sz w:val="32"/>
          <w:szCs w:val="32"/>
        </w:rPr>
        <w:t>万元，占比</w:t>
      </w:r>
      <w:r>
        <w:rPr>
          <w:rFonts w:hint="default" w:ascii="Times New Roman" w:hAnsi="Times New Roman" w:eastAsia="仿宋" w:cs="Times New Roman"/>
          <w:sz w:val="32"/>
          <w:szCs w:val="32"/>
          <w:lang w:val="en-US" w:eastAsia="zh-CN"/>
        </w:rPr>
        <w:t>0.61</w:t>
      </w:r>
      <w:r>
        <w:rPr>
          <w:rFonts w:hint="default" w:ascii="Times New Roman" w:hAnsi="Times New Roman" w:eastAsia="仿宋" w:cs="Times New Roman"/>
          <w:sz w:val="32"/>
          <w:szCs w:val="32"/>
        </w:rPr>
        <w:t>%</w:t>
      </w:r>
      <w:r>
        <w:rPr>
          <w:rFonts w:hint="eastAsia" w:eastAsia="仿宋" w:cs="Times New Roman"/>
          <w:sz w:val="32"/>
          <w:szCs w:val="32"/>
          <w:lang w:eastAsia="zh-CN"/>
        </w:rPr>
        <w:t>。</w:t>
      </w:r>
    </w:p>
    <w:p w14:paraId="77DA67F9">
      <w:pPr>
        <w:pStyle w:val="7"/>
        <w:rPr>
          <w:rFonts w:hint="default" w:ascii="Times New Roman" w:hAnsi="Times New Roman" w:eastAsia="仿宋" w:cs="Times New Roman"/>
          <w:sz w:val="32"/>
          <w:szCs w:val="32"/>
          <w:lang w:val="en-US" w:eastAsia="zh-CN"/>
        </w:rPr>
      </w:pPr>
    </w:p>
    <w:p w14:paraId="500A1387">
      <w:pPr>
        <w:rPr>
          <w:rFonts w:hint="default" w:ascii="Times New Roman" w:hAnsi="Times New Roman" w:eastAsia="仿宋" w:cs="Times New Roman"/>
          <w:sz w:val="32"/>
          <w:szCs w:val="32"/>
          <w:lang w:val="en-US" w:eastAsia="zh-CN"/>
        </w:rPr>
      </w:pPr>
      <w:r>
        <w:rPr>
          <w:rFonts w:hint="default" w:ascii="Times New Roman" w:hAnsi="Times New Roman" w:cs="Times New Roman"/>
        </w:rPr>
        <w:drawing>
          <wp:inline distT="0" distB="0" distL="114300" distR="114300">
            <wp:extent cx="5423535" cy="3439795"/>
            <wp:effectExtent l="5080" t="4445" r="19685" b="22860"/>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BB9347A">
      <w:pPr>
        <w:pStyle w:val="7"/>
        <w:rPr>
          <w:rFonts w:hint="default" w:ascii="Times New Roman" w:hAnsi="Times New Roman" w:cs="Times New Roman"/>
          <w:lang w:val="en-US" w:eastAsia="zh-CN"/>
        </w:rPr>
      </w:pPr>
    </w:p>
    <w:p w14:paraId="6189EE38">
      <w:pPr>
        <w:pStyle w:val="7"/>
        <w:rPr>
          <w:rFonts w:hint="default" w:ascii="Times New Roman" w:hAnsi="Times New Roman" w:cs="Times New Roman"/>
          <w:lang w:val="en-US" w:eastAsia="zh-CN"/>
        </w:rPr>
      </w:pPr>
    </w:p>
    <w:p w14:paraId="7456AE16">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（图6：一般公共预算财政拨款支出决算结构）（饼状图）</w:t>
      </w:r>
    </w:p>
    <w:p w14:paraId="2F43DB45">
      <w:pPr>
        <w:pStyle w:val="7"/>
        <w:rPr>
          <w:rFonts w:hint="default" w:ascii="Times New Roman" w:hAnsi="Times New Roman" w:cs="Times New Roman"/>
          <w:lang w:val="en-US" w:eastAsia="zh-CN"/>
        </w:rPr>
      </w:pPr>
    </w:p>
    <w:p w14:paraId="5947440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47"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47"/>
    </w:p>
    <w:p w14:paraId="1E2FBE1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bookmarkStart w:id="48" w:name="_Toc15378460"/>
      <w:bookmarkStart w:id="49" w:name="_Toc15377213"/>
      <w:bookmarkStart w:id="50" w:name="_Toc15377444"/>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2025年度一般公共预算支出决算数为1822.35，完成预算100%。其中：</w:t>
      </w:r>
      <w:bookmarkEnd w:id="48"/>
      <w:bookmarkEnd w:id="49"/>
      <w:bookmarkEnd w:id="50"/>
    </w:p>
    <w:p w14:paraId="7CF1A589">
      <w:pPr>
        <w:pStyle w:val="1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leftChars="0" w:firstLine="640" w:firstLineChars="200"/>
        <w:textAlignment w:val="auto"/>
        <w:rPr>
          <w:rStyle w:val="19"/>
          <w:rFonts w:hint="default" w:ascii="Times New Roman" w:hAnsi="Times New Roman" w:eastAsia="方正仿宋_GBK" w:cs="Times New Roman"/>
          <w:b w:val="0"/>
          <w:bCs/>
          <w:color w:val="auto"/>
          <w:sz w:val="32"/>
          <w:szCs w:val="32"/>
          <w:highlight w:val="none"/>
        </w:rPr>
      </w:pPr>
      <w:r>
        <w:rPr>
          <w:rFonts w:hint="default" w:ascii="Times New Roman" w:hAnsi="Times New Roman" w:eastAsia="仿宋_GB2312" w:cs="Times New Roman"/>
          <w:color w:val="auto"/>
          <w:kern w:val="2"/>
          <w:sz w:val="32"/>
          <w:szCs w:val="32"/>
          <w:highlight w:val="none"/>
          <w:lang w:val="en-US" w:eastAsia="zh-CN" w:bidi="ar-SA"/>
        </w:rPr>
        <w:t>1.一般公共服务（类）201：支出决算为496.54万元，完成预算100%，</w:t>
      </w:r>
      <w:r>
        <w:rPr>
          <w:rStyle w:val="19"/>
          <w:rFonts w:hint="default" w:ascii="Times New Roman" w:hAnsi="Times New Roman" w:eastAsia="方正仿宋_GBK" w:cs="Times New Roman"/>
          <w:b w:val="0"/>
          <w:bCs/>
          <w:color w:val="auto"/>
          <w:sz w:val="32"/>
          <w:szCs w:val="32"/>
          <w:highlight w:val="none"/>
        </w:rPr>
        <w:t>决算数</w:t>
      </w:r>
      <w:r>
        <w:rPr>
          <w:rStyle w:val="19"/>
          <w:rFonts w:hint="default" w:ascii="Times New Roman" w:hAnsi="Times New Roman" w:eastAsia="方正仿宋_GBK" w:cs="Times New Roman"/>
          <w:b w:val="0"/>
          <w:bCs/>
          <w:color w:val="auto"/>
          <w:sz w:val="32"/>
          <w:szCs w:val="32"/>
          <w:highlight w:val="none"/>
          <w:lang w:val="en-US" w:eastAsia="zh-CN"/>
        </w:rPr>
        <w:t>大于</w:t>
      </w:r>
      <w:r>
        <w:rPr>
          <w:rStyle w:val="19"/>
          <w:rFonts w:hint="default" w:ascii="Times New Roman" w:hAnsi="Times New Roman" w:eastAsia="方正仿宋_GBK" w:cs="Times New Roman"/>
          <w:b w:val="0"/>
          <w:bCs/>
          <w:color w:val="auto"/>
          <w:sz w:val="32"/>
          <w:szCs w:val="32"/>
          <w:highlight w:val="none"/>
        </w:rPr>
        <w:t>预算数的主要原因</w:t>
      </w:r>
      <w:r>
        <w:rPr>
          <w:rStyle w:val="19"/>
          <w:rFonts w:hint="default" w:ascii="Times New Roman" w:hAnsi="Times New Roman" w:eastAsia="方正仿宋_GBK" w:cs="Times New Roman"/>
          <w:b w:val="0"/>
          <w:bCs/>
          <w:color w:val="000000"/>
          <w:sz w:val="32"/>
          <w:szCs w:val="32"/>
          <w:lang w:eastAsia="zh-CN"/>
        </w:rPr>
        <w:t>人员变动较大增加了基本收入</w:t>
      </w:r>
      <w:r>
        <w:rPr>
          <w:rStyle w:val="19"/>
          <w:rFonts w:hint="default" w:ascii="Times New Roman" w:hAnsi="Times New Roman" w:eastAsia="方正仿宋_GBK" w:cs="Times New Roman"/>
          <w:b w:val="0"/>
          <w:bCs/>
          <w:color w:val="auto"/>
          <w:sz w:val="32"/>
          <w:szCs w:val="32"/>
          <w:highlight w:val="none"/>
        </w:rPr>
        <w:t>。</w:t>
      </w:r>
      <w:r>
        <w:rPr>
          <w:rFonts w:hint="default" w:ascii="Times New Roman" w:hAnsi="Times New Roman" w:eastAsia="仿宋_GB2312" w:cs="Times New Roman"/>
          <w:color w:val="auto"/>
          <w:kern w:val="2"/>
          <w:sz w:val="32"/>
          <w:szCs w:val="32"/>
          <w:highlight w:val="none"/>
          <w:lang w:val="en-US" w:eastAsia="zh-CN" w:bidi="ar-SA"/>
        </w:rPr>
        <w:t>人大会议2010104：支出决算数为：6.72万元；行政运行2010301：支出决算数为：430.28万元；一般行政管理事务2010302：支出决算数为：25.05万元；其他政府办公厅（室）及相关机构事务支出2010399：支出决算数为：27.57万元；其他财务事务2010699：支出决算数为:0.7万元。</w:t>
      </w:r>
    </w:p>
    <w:p w14:paraId="165F88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2.国防（类）203: 支出决算为5万元，完成预算100%，年初预算数为0。</w:t>
      </w:r>
    </w:p>
    <w:p w14:paraId="4FBA64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3.社会保障和就业（类）208: 支出决算为117万元，年初预算数为118.59万元，减少0.8%。机关事业单位基本养老保险费支出2080505：支出决算数为78万元；机关事业单位职业年金缴费支出2080506：支出决算数为39万元。</w:t>
      </w:r>
    </w:p>
    <w:p w14:paraId="4EAAC81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卫生健康（类）210:支出决算数为41.33万元，年初预算数为41.94万元，减少0.6万元。其中重大公共卫生服务2100409：支出决算数为1万元；行政单位医疗2101101：支出决算数为21.81万元；事业单位医疗2101102：支出决算数为12.37万元；公务员医疗补助2101103：支出决算数为3.79万元；其他行政事业单位医疗2101199：支出决算为2.36万元。</w:t>
      </w:r>
    </w:p>
    <w:p w14:paraId="199AE2B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5.农林水支（类）213：支出决算数为1083.16万元，年初预算数为296.71万元，增加75.4%。</w:t>
      </w:r>
    </w:p>
    <w:p w14:paraId="28B29AC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6.住房保障（类）221：支出为66.03万元，年初预算数为66.44万元减少0.06%。</w:t>
      </w:r>
    </w:p>
    <w:p w14:paraId="4255F6E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7.灾害防治及应急管理（类）224：支出为11.28万元，年初预算数为0万元，增加100%。</w:t>
      </w:r>
    </w:p>
    <w:p w14:paraId="605C0C76">
      <w:pPr>
        <w:keepNext w:val="0"/>
        <w:keepLines w:val="0"/>
        <w:pageBreakBefore w:val="0"/>
        <w:widowControl w:val="0"/>
        <w:tabs>
          <w:tab w:val="right" w:pos="8306"/>
        </w:tabs>
        <w:kinsoku/>
        <w:wordWrap/>
        <w:overflowPunct/>
        <w:topLinePunct w:val="0"/>
        <w:autoSpaceDE/>
        <w:autoSpaceDN/>
        <w:bidi w:val="0"/>
        <w:adjustRightInd/>
        <w:snapToGrid/>
        <w:spacing w:line="560" w:lineRule="exact"/>
        <w:ind w:firstLine="640"/>
        <w:textAlignment w:val="auto"/>
        <w:outlineLvl w:val="1"/>
        <w:rPr>
          <w:rStyle w:val="32"/>
          <w:rFonts w:hint="default" w:ascii="Times New Roman" w:hAnsi="Times New Roman" w:cs="Times New Roman"/>
          <w:color w:val="auto"/>
          <w:highlight w:val="none"/>
        </w:rPr>
      </w:pPr>
      <w:bookmarkStart w:id="51" w:name="_Toc15396608"/>
      <w:bookmarkStart w:id="52" w:name="_Toc23837"/>
      <w:bookmarkStart w:id="53" w:name="_Toc15377214"/>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32"/>
          <w:rFonts w:hint="default" w:ascii="Times New Roman" w:hAnsi="Times New Roman" w:eastAsia="黑体" w:cs="Times New Roman"/>
          <w:b w:val="0"/>
          <w:color w:val="auto"/>
          <w:highlight w:val="none"/>
        </w:rPr>
        <w:t>般公共预算财政拨款基本支出决算情况说明</w:t>
      </w:r>
      <w:bookmarkEnd w:id="51"/>
      <w:bookmarkEnd w:id="52"/>
      <w:bookmarkEnd w:id="53"/>
      <w:r>
        <w:rPr>
          <w:rStyle w:val="32"/>
          <w:rFonts w:hint="default" w:ascii="Times New Roman" w:hAnsi="Times New Roman" w:eastAsia="黑体" w:cs="Times New Roman"/>
          <w:b w:val="0"/>
          <w:color w:val="auto"/>
          <w:highlight w:val="none"/>
        </w:rPr>
        <w:tab/>
      </w:r>
    </w:p>
    <w:p w14:paraId="144A0AE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2025年度一般公共预算财政拨款基本支出899.33万元，其中：</w:t>
      </w:r>
    </w:p>
    <w:p w14:paraId="67EFE378">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822.44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公用经费76.89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2C6EE5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Style w:val="32"/>
          <w:rFonts w:hint="default" w:ascii="Times New Roman" w:hAnsi="Times New Roman" w:eastAsia="黑体" w:cs="Times New Roman"/>
          <w:b w:val="0"/>
          <w:color w:val="auto"/>
          <w:highlight w:val="none"/>
        </w:rPr>
      </w:pPr>
      <w:bookmarkStart w:id="54" w:name="_Toc15377215"/>
      <w:bookmarkStart w:id="55" w:name="_Toc15396609"/>
      <w:bookmarkStart w:id="56" w:name="_Toc11889"/>
      <w:r>
        <w:rPr>
          <w:rFonts w:hint="default" w:ascii="Times New Roman" w:hAnsi="Times New Roman" w:eastAsia="黑体" w:cs="Times New Roman"/>
          <w:color w:val="auto"/>
          <w:sz w:val="32"/>
          <w:szCs w:val="32"/>
          <w:highlight w:val="none"/>
        </w:rPr>
        <w:t>七、</w:t>
      </w:r>
      <w:r>
        <w:rPr>
          <w:rStyle w:val="32"/>
          <w:rFonts w:hint="default" w:ascii="Times New Roman" w:hAnsi="Times New Roman" w:eastAsia="黑体" w:cs="Times New Roman"/>
          <w:b w:val="0"/>
          <w:color w:val="auto"/>
          <w:highlight w:val="none"/>
        </w:rPr>
        <w:t>财政拨款</w:t>
      </w:r>
      <w:r>
        <w:rPr>
          <w:rStyle w:val="32"/>
          <w:rFonts w:hint="default" w:ascii="Times New Roman" w:hAnsi="Times New Roman" w:eastAsia="黑体" w:cs="Times New Roman"/>
          <w:color w:val="auto"/>
          <w:highlight w:val="none"/>
        </w:rPr>
        <w:t>“</w:t>
      </w:r>
      <w:r>
        <w:rPr>
          <w:rStyle w:val="32"/>
          <w:rFonts w:hint="default" w:ascii="Times New Roman" w:hAnsi="Times New Roman" w:eastAsia="黑体" w:cs="Times New Roman"/>
          <w:b w:val="0"/>
          <w:color w:val="auto"/>
          <w:highlight w:val="none"/>
        </w:rPr>
        <w:t>三公”经费支出决算情况说明</w:t>
      </w:r>
      <w:bookmarkEnd w:id="54"/>
      <w:bookmarkEnd w:id="55"/>
      <w:bookmarkEnd w:id="56"/>
    </w:p>
    <w:p w14:paraId="2EF792C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57" w:name="_Toc15377216"/>
      <w:r>
        <w:rPr>
          <w:rFonts w:hint="default" w:ascii="Times New Roman" w:hAnsi="Times New Roman" w:eastAsia="楷体_GB2312" w:cs="Times New Roman"/>
          <w:b/>
          <w:color w:val="auto"/>
          <w:sz w:val="32"/>
          <w:szCs w:val="32"/>
          <w:highlight w:val="none"/>
        </w:rPr>
        <w:t>（一）财政拨款“三公”经费支出决算总体情况说明</w:t>
      </w:r>
      <w:bookmarkEnd w:id="57"/>
    </w:p>
    <w:p w14:paraId="7616889E">
      <w:pPr>
        <w:keepNext w:val="0"/>
        <w:keepLines w:val="0"/>
        <w:pageBreakBefore w:val="0"/>
        <w:widowControl w:val="0"/>
        <w:kinsoku/>
        <w:wordWrap/>
        <w:overflowPunct/>
        <w:topLinePunct w:val="0"/>
        <w:autoSpaceDE/>
        <w:autoSpaceDN/>
        <w:bidi w:val="0"/>
        <w:adjustRightInd/>
        <w:snapToGrid/>
        <w:spacing w:line="560" w:lineRule="exact"/>
        <w:ind w:firstLine="709"/>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2025年度财政拨款“三公”经费支出决算为11.25万元，完成预算100%，较上年度增加1.55万元，主要原因是</w:t>
      </w:r>
      <w:r>
        <w:rPr>
          <w:rFonts w:hint="default" w:ascii="Times New Roman" w:hAnsi="Times New Roman" w:eastAsia="仿宋" w:cs="Times New Roman"/>
          <w:sz w:val="32"/>
          <w:szCs w:val="32"/>
        </w:rPr>
        <w:t>车辆使用频率上升，维修保养成本提高</w:t>
      </w:r>
      <w:r>
        <w:rPr>
          <w:rFonts w:hint="default" w:ascii="Times New Roman" w:hAnsi="Times New Roman" w:eastAsia="仿宋" w:cs="Times New Roman"/>
          <w:sz w:val="32"/>
          <w:szCs w:val="32"/>
          <w:lang w:eastAsia="zh-CN"/>
        </w:rPr>
        <w:t>。</w:t>
      </w:r>
    </w:p>
    <w:p w14:paraId="234495A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58" w:name="_Toc15377217"/>
      <w:r>
        <w:rPr>
          <w:rFonts w:hint="default" w:ascii="Times New Roman" w:hAnsi="Times New Roman" w:eastAsia="楷体_GB2312" w:cs="Times New Roman"/>
          <w:b/>
          <w:color w:val="auto"/>
          <w:sz w:val="32"/>
          <w:szCs w:val="32"/>
          <w:highlight w:val="none"/>
        </w:rPr>
        <w:t>（二）财政拨款“三公”经费支出决算具体情况说明</w:t>
      </w:r>
      <w:bookmarkEnd w:id="58"/>
    </w:p>
    <w:p w14:paraId="519D497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2025年度财政拨款“三公”经费支出决算中，因公出国（境）费支出决算0万元，占0%；公务用车购置及运行维护费支出决算11.25万元，占100%；公务接待费支出决算0万元，占0%。具体情况如下：</w:t>
      </w:r>
    </w:p>
    <w:p w14:paraId="41F4AF28">
      <w:pPr>
        <w:pStyle w:val="7"/>
        <w:rPr>
          <w:rFonts w:hint="default" w:ascii="Times New Roman" w:hAnsi="Times New Roman" w:cs="Times New Roman"/>
          <w:lang w:val="en-US" w:eastAsia="zh-CN"/>
        </w:rPr>
      </w:pPr>
      <w:r>
        <w:rPr>
          <w:rFonts w:hint="default" w:ascii="Times New Roman" w:hAnsi="Times New Roman" w:eastAsia="仿宋" w:cs="Times New Roman"/>
          <w:color w:val="auto"/>
          <w:sz w:val="32"/>
          <w:szCs w:val="32"/>
          <w:highlight w:val="none"/>
          <w:lang w:eastAsia="zh-CN"/>
        </w:rPr>
        <w:drawing>
          <wp:inline distT="0" distB="0" distL="114300" distR="114300">
            <wp:extent cx="4418330" cy="2632710"/>
            <wp:effectExtent l="0" t="0" r="1270" b="15240"/>
            <wp:docPr id="5" name="图片 14"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4" descr="图片3"/>
                    <pic:cNvPicPr>
                      <a:picLocks noChangeAspect="1"/>
                    </pic:cNvPicPr>
                  </pic:nvPicPr>
                  <pic:blipFill>
                    <a:blip r:embed="rId18"/>
                    <a:stretch>
                      <a:fillRect/>
                    </a:stretch>
                  </pic:blipFill>
                  <pic:spPr>
                    <a:xfrm>
                      <a:off x="0" y="0"/>
                      <a:ext cx="4418330" cy="2632710"/>
                    </a:xfrm>
                    <a:prstGeom prst="rect">
                      <a:avLst/>
                    </a:prstGeom>
                    <a:noFill/>
                    <a:ln>
                      <a:noFill/>
                    </a:ln>
                  </pic:spPr>
                </pic:pic>
              </a:graphicData>
            </a:graphic>
          </wp:inline>
        </w:drawing>
      </w:r>
    </w:p>
    <w:p w14:paraId="0FB3C1B1">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（图7：财政拨款“三公”经费支出结构）（饼状图）</w:t>
      </w:r>
    </w:p>
    <w:p w14:paraId="7859973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color w:val="auto"/>
          <w:sz w:val="32"/>
          <w:szCs w:val="32"/>
          <w:highlight w:val="none"/>
        </w:rPr>
      </w:pPr>
      <w:bookmarkStart w:id="59" w:name="_Toc15396610"/>
      <w:bookmarkStart w:id="60" w:name="_Toc15377218"/>
    </w:p>
    <w:p w14:paraId="6AF52C2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color w:val="auto"/>
          <w:sz w:val="32"/>
          <w:szCs w:val="32"/>
          <w:highlight w:val="none"/>
        </w:rPr>
        <w:t>1.因公出国（境）经费支出</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万元，</w:t>
      </w:r>
      <w:r>
        <w:rPr>
          <w:rStyle w:val="19"/>
          <w:rFonts w:hint="default" w:ascii="Times New Roman" w:hAnsi="Times New Roman" w:eastAsia="方正仿宋_GBK" w:cs="Times New Roman"/>
          <w:b w:val="0"/>
          <w:bCs/>
          <w:color w:val="auto"/>
          <w:sz w:val="32"/>
          <w:szCs w:val="32"/>
          <w:highlight w:val="none"/>
        </w:rPr>
        <w:t>完成预算</w:t>
      </w:r>
      <w:r>
        <w:rPr>
          <w:rStyle w:val="19"/>
          <w:rFonts w:hint="default" w:ascii="Times New Roman" w:hAnsi="Times New Roman" w:eastAsia="方正仿宋_GBK" w:cs="Times New Roman"/>
          <w:b w:val="0"/>
          <w:bCs/>
          <w:color w:val="auto"/>
          <w:sz w:val="32"/>
          <w:szCs w:val="32"/>
          <w:highlight w:val="none"/>
          <w:lang w:val="en-US" w:eastAsia="zh-CN"/>
        </w:rPr>
        <w:t>0</w:t>
      </w:r>
      <w:r>
        <w:rPr>
          <w:rStyle w:val="19"/>
          <w:rFonts w:hint="default" w:ascii="Times New Roman" w:hAnsi="Times New Roman" w:eastAsia="方正仿宋_GBK" w:cs="Times New Roman"/>
          <w:b w:val="0"/>
          <w:bCs/>
          <w:color w:val="auto"/>
          <w:sz w:val="32"/>
          <w:szCs w:val="32"/>
          <w:highlight w:val="none"/>
        </w:rPr>
        <w:t>%。</w:t>
      </w:r>
    </w:p>
    <w:p w14:paraId="7D4C46C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 w:cs="Times New Roman"/>
          <w:sz w:val="32"/>
          <w:szCs w:val="32"/>
          <w:lang w:eastAsia="zh-CN"/>
        </w:rPr>
      </w:pPr>
      <w:r>
        <w:rPr>
          <w:rFonts w:hint="default" w:ascii="Times New Roman" w:hAnsi="Times New Roman" w:eastAsia="方正仿宋_GBK" w:cs="Times New Roman"/>
          <w:b/>
          <w:color w:val="auto"/>
          <w:sz w:val="32"/>
          <w:szCs w:val="32"/>
          <w:highlight w:val="none"/>
        </w:rPr>
        <w:t>2.公务用车购置及运行维护费支出</w:t>
      </w:r>
      <w:r>
        <w:rPr>
          <w:rFonts w:hint="default" w:ascii="Times New Roman" w:hAnsi="Times New Roman" w:eastAsia="方正仿宋_GBK" w:cs="Times New Roman"/>
          <w:color w:val="auto"/>
          <w:sz w:val="32"/>
          <w:szCs w:val="32"/>
          <w:highlight w:val="none"/>
          <w:lang w:val="en-US" w:eastAsia="zh-CN"/>
        </w:rPr>
        <w:t>11.25</w:t>
      </w:r>
      <w:r>
        <w:rPr>
          <w:rFonts w:hint="default" w:ascii="Times New Roman" w:hAnsi="Times New Roman" w:eastAsia="方正仿宋_GBK" w:cs="Times New Roman"/>
          <w:color w:val="auto"/>
          <w:sz w:val="32"/>
          <w:szCs w:val="32"/>
          <w:highlight w:val="none"/>
        </w:rPr>
        <w:t>万元,</w:t>
      </w:r>
      <w:r>
        <w:rPr>
          <w:rStyle w:val="19"/>
          <w:rFonts w:hint="default" w:ascii="Times New Roman" w:hAnsi="Times New Roman" w:eastAsia="方正仿宋_GBK" w:cs="Times New Roman"/>
          <w:b w:val="0"/>
          <w:bCs/>
          <w:color w:val="auto"/>
          <w:sz w:val="32"/>
          <w:szCs w:val="32"/>
          <w:highlight w:val="none"/>
        </w:rPr>
        <w:t>完成预算</w:t>
      </w:r>
      <w:r>
        <w:rPr>
          <w:rStyle w:val="19"/>
          <w:rFonts w:hint="default" w:ascii="Times New Roman" w:hAnsi="Times New Roman" w:eastAsia="方正仿宋_GBK" w:cs="Times New Roman"/>
          <w:b w:val="0"/>
          <w:bCs/>
          <w:color w:val="auto"/>
          <w:sz w:val="32"/>
          <w:szCs w:val="32"/>
          <w:highlight w:val="none"/>
          <w:lang w:val="en-US" w:eastAsia="zh-CN"/>
        </w:rPr>
        <w:t>100</w:t>
      </w:r>
      <w:r>
        <w:rPr>
          <w:rStyle w:val="19"/>
          <w:rFonts w:hint="default" w:ascii="Times New Roman" w:hAnsi="Times New Roman" w:eastAsia="方正仿宋_GBK" w:cs="Times New Roman"/>
          <w:b w:val="0"/>
          <w:bCs/>
          <w:color w:val="auto"/>
          <w:sz w:val="32"/>
          <w:szCs w:val="32"/>
          <w:highlight w:val="none"/>
        </w:rPr>
        <w:t>%。</w:t>
      </w:r>
      <w:r>
        <w:rPr>
          <w:rFonts w:hint="default" w:ascii="Times New Roman" w:hAnsi="Times New Roman" w:eastAsia="方正仿宋_GBK" w:cs="Times New Roman"/>
          <w:color w:val="auto"/>
          <w:sz w:val="32"/>
          <w:szCs w:val="32"/>
          <w:highlight w:val="none"/>
        </w:rPr>
        <w:t>公务用车购置及运行维护费支出决算</w:t>
      </w:r>
      <w:r>
        <w:rPr>
          <w:rFonts w:hint="default" w:ascii="Times New Roman" w:hAnsi="Times New Roman" w:eastAsia="方正仿宋_GBK" w:cs="Times New Roman"/>
          <w:color w:val="auto"/>
          <w:sz w:val="32"/>
          <w:szCs w:val="32"/>
          <w:highlight w:val="none"/>
          <w:lang w:eastAsia="zh-CN"/>
        </w:rPr>
        <w:t>较上年度增加</w:t>
      </w:r>
      <w:r>
        <w:rPr>
          <w:rFonts w:hint="default" w:ascii="Times New Roman" w:hAnsi="Times New Roman" w:eastAsia="方正仿宋_GBK" w:cs="Times New Roman"/>
          <w:color w:val="auto"/>
          <w:sz w:val="32"/>
          <w:szCs w:val="32"/>
          <w:highlight w:val="none"/>
          <w:lang w:val="en-US" w:eastAsia="zh-CN"/>
        </w:rPr>
        <w:t>1.55万元，减少15.96%。</w:t>
      </w:r>
      <w:r>
        <w:rPr>
          <w:rFonts w:hint="default" w:ascii="Times New Roman" w:hAnsi="Times New Roman" w:eastAsia="仿宋_GB2312" w:cs="Times New Roman"/>
          <w:color w:val="auto"/>
          <w:kern w:val="2"/>
          <w:sz w:val="32"/>
          <w:szCs w:val="32"/>
          <w:highlight w:val="none"/>
          <w:lang w:val="en-US" w:eastAsia="zh-CN" w:bidi="ar-SA"/>
        </w:rPr>
        <w:t>主要原因是</w:t>
      </w:r>
      <w:r>
        <w:rPr>
          <w:rFonts w:hint="default" w:ascii="Times New Roman" w:hAnsi="Times New Roman" w:eastAsia="仿宋" w:cs="Times New Roman"/>
          <w:sz w:val="32"/>
          <w:szCs w:val="32"/>
        </w:rPr>
        <w:t>车辆使用频率上升，维修保养成本提高</w:t>
      </w:r>
      <w:r>
        <w:rPr>
          <w:rFonts w:hint="default" w:ascii="Times New Roman" w:hAnsi="Times New Roman" w:eastAsia="仿宋" w:cs="Times New Roman"/>
          <w:sz w:val="32"/>
          <w:szCs w:val="32"/>
          <w:lang w:eastAsia="zh-CN"/>
        </w:rPr>
        <w:t>。</w:t>
      </w:r>
    </w:p>
    <w:p w14:paraId="483DA3FA">
      <w:pPr>
        <w:keepNext w:val="0"/>
        <w:keepLines w:val="0"/>
        <w:pageBreakBefore w:val="0"/>
        <w:widowControl w:val="0"/>
        <w:kinsoku/>
        <w:wordWrap/>
        <w:overflowPunct/>
        <w:topLinePunct w:val="0"/>
        <w:autoSpaceDE/>
        <w:autoSpaceDN/>
        <w:bidi w:val="0"/>
        <w:adjustRightInd/>
        <w:snapToGrid/>
        <w:spacing w:line="560" w:lineRule="exact"/>
        <w:ind w:firstLine="709"/>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color w:val="auto"/>
          <w:sz w:val="32"/>
          <w:szCs w:val="32"/>
          <w:highlight w:val="none"/>
        </w:rPr>
        <w:t>公务用车运行维护费支出</w:t>
      </w:r>
      <w:r>
        <w:rPr>
          <w:rFonts w:hint="default" w:ascii="Times New Roman" w:hAnsi="Times New Roman" w:eastAsia="方正仿宋_GBK" w:cs="Times New Roman"/>
          <w:color w:val="auto"/>
          <w:sz w:val="32"/>
          <w:szCs w:val="32"/>
          <w:highlight w:val="none"/>
          <w:lang w:val="en-US" w:eastAsia="zh-CN"/>
        </w:rPr>
        <w:t>11.25</w:t>
      </w:r>
      <w:r>
        <w:rPr>
          <w:rFonts w:hint="default" w:ascii="Times New Roman" w:hAnsi="Times New Roman" w:eastAsia="方正仿宋_GBK" w:cs="Times New Roman"/>
          <w:color w:val="auto"/>
          <w:sz w:val="32"/>
          <w:szCs w:val="32"/>
          <w:highlight w:val="none"/>
        </w:rPr>
        <w:t>万元。主要用于所需的公务用车燃料费、维修费、过路过桥费、保险费等支出。</w:t>
      </w:r>
    </w:p>
    <w:p w14:paraId="5AA44E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1"/>
        <w:rPr>
          <w:rFonts w:hint="default" w:ascii="Times New Roman" w:hAnsi="Times New Roman" w:eastAsia="仿宋_GB2312" w:cs="Times New Roman"/>
          <w:color w:val="auto"/>
          <w:kern w:val="2"/>
          <w:sz w:val="32"/>
          <w:szCs w:val="32"/>
          <w:highlight w:val="none"/>
          <w:lang w:val="en-US" w:eastAsia="zh-CN" w:bidi="ar-SA"/>
        </w:rPr>
      </w:pPr>
      <w:bookmarkStart w:id="61" w:name="_Toc27771"/>
      <w:bookmarkStart w:id="62" w:name="_Toc4289"/>
      <w:r>
        <w:rPr>
          <w:rFonts w:hint="default" w:ascii="Times New Roman" w:hAnsi="Times New Roman" w:eastAsia="方正仿宋_GBK" w:cs="Times New Roman"/>
          <w:b/>
          <w:color w:val="auto"/>
          <w:sz w:val="32"/>
          <w:szCs w:val="32"/>
          <w:highlight w:val="none"/>
          <w:lang w:val="en-US" w:eastAsia="zh-CN"/>
        </w:rPr>
        <w:t>3.</w:t>
      </w:r>
      <w:r>
        <w:rPr>
          <w:rFonts w:hint="default" w:ascii="Times New Roman" w:hAnsi="Times New Roman" w:eastAsia="方正仿宋_GBK" w:cs="Times New Roman"/>
          <w:b/>
          <w:color w:val="auto"/>
          <w:sz w:val="32"/>
          <w:szCs w:val="32"/>
          <w:highlight w:val="none"/>
        </w:rPr>
        <w:t>公务接待费支出</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万元，</w:t>
      </w:r>
      <w:r>
        <w:rPr>
          <w:rStyle w:val="19"/>
          <w:rFonts w:hint="default" w:ascii="Times New Roman" w:hAnsi="Times New Roman" w:eastAsia="方正仿宋_GBK" w:cs="Times New Roman"/>
          <w:b w:val="0"/>
          <w:bCs/>
          <w:color w:val="auto"/>
          <w:sz w:val="32"/>
          <w:szCs w:val="32"/>
          <w:highlight w:val="none"/>
        </w:rPr>
        <w:t>完成预算</w:t>
      </w:r>
      <w:r>
        <w:rPr>
          <w:rStyle w:val="19"/>
          <w:rFonts w:hint="default" w:ascii="Times New Roman" w:hAnsi="Times New Roman" w:eastAsia="方正仿宋_GBK" w:cs="Times New Roman"/>
          <w:b w:val="0"/>
          <w:bCs/>
          <w:color w:val="auto"/>
          <w:sz w:val="32"/>
          <w:szCs w:val="32"/>
          <w:highlight w:val="none"/>
          <w:lang w:val="en-US" w:eastAsia="zh-CN"/>
        </w:rPr>
        <w:t>0</w:t>
      </w:r>
      <w:r>
        <w:rPr>
          <w:rStyle w:val="19"/>
          <w:rFonts w:hint="default" w:ascii="Times New Roman" w:hAnsi="Times New Roman" w:eastAsia="方正仿宋_GBK" w:cs="Times New Roman"/>
          <w:b w:val="0"/>
          <w:bCs/>
          <w:color w:val="auto"/>
          <w:sz w:val="32"/>
          <w:szCs w:val="32"/>
          <w:highlight w:val="none"/>
        </w:rPr>
        <w:t>%。</w:t>
      </w:r>
      <w:bookmarkEnd w:id="61"/>
      <w:bookmarkEnd w:id="62"/>
    </w:p>
    <w:p w14:paraId="632E1D8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Style w:val="32"/>
          <w:rFonts w:hint="default" w:ascii="Times New Roman" w:hAnsi="Times New Roman" w:eastAsia="黑体" w:cs="Times New Roman"/>
          <w:color w:val="auto"/>
          <w:highlight w:val="none"/>
        </w:rPr>
      </w:pPr>
      <w:bookmarkStart w:id="63" w:name="_Toc24062"/>
      <w:r>
        <w:rPr>
          <w:rFonts w:hint="default" w:ascii="Times New Roman" w:hAnsi="Times New Roman" w:eastAsia="黑体" w:cs="Times New Roman"/>
          <w:color w:val="auto"/>
          <w:sz w:val="32"/>
          <w:szCs w:val="32"/>
          <w:highlight w:val="none"/>
        </w:rPr>
        <w:t>八、</w:t>
      </w:r>
      <w:r>
        <w:rPr>
          <w:rStyle w:val="32"/>
          <w:rFonts w:hint="default" w:ascii="Times New Roman" w:hAnsi="Times New Roman" w:eastAsia="黑体" w:cs="Times New Roman"/>
          <w:b w:val="0"/>
          <w:color w:val="auto"/>
          <w:highlight w:val="none"/>
        </w:rPr>
        <w:t>政府性基金预算支出决算情况说明</w:t>
      </w:r>
      <w:bookmarkEnd w:id="59"/>
      <w:bookmarkEnd w:id="60"/>
      <w:bookmarkEnd w:id="63"/>
    </w:p>
    <w:p w14:paraId="243648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textAlignment w:val="auto"/>
        <w:outlineLvl w:val="1"/>
        <w:rPr>
          <w:rFonts w:hint="default" w:ascii="Times New Roman" w:hAnsi="Times New Roman" w:eastAsia="仿宋_GB2312" w:cs="Times New Roman"/>
          <w:color w:val="auto"/>
          <w:kern w:val="2"/>
          <w:sz w:val="32"/>
          <w:szCs w:val="32"/>
          <w:highlight w:val="none"/>
          <w:lang w:val="en-US" w:eastAsia="zh-CN" w:bidi="ar-SA"/>
        </w:rPr>
      </w:pPr>
      <w:bookmarkStart w:id="64" w:name="_Toc382"/>
      <w:bookmarkStart w:id="65" w:name="_Toc2724"/>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2025年度政府性基金预算财政拨款支出0万元.</w:t>
      </w:r>
      <w:bookmarkEnd w:id="64"/>
      <w:bookmarkEnd w:id="65"/>
      <w:bookmarkStart w:id="66" w:name="_Toc15396611"/>
      <w:bookmarkStart w:id="67" w:name="_Toc15377219"/>
    </w:p>
    <w:p w14:paraId="707672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textAlignment w:val="auto"/>
        <w:outlineLvl w:val="1"/>
        <w:rPr>
          <w:rStyle w:val="32"/>
          <w:rFonts w:hint="default" w:ascii="Times New Roman" w:hAnsi="Times New Roman" w:eastAsia="黑体" w:cs="Times New Roman"/>
          <w:b w:val="0"/>
          <w:color w:val="auto"/>
          <w:highlight w:val="none"/>
        </w:rPr>
      </w:pPr>
      <w:bookmarkStart w:id="68" w:name="_Toc32273"/>
      <w:r>
        <w:rPr>
          <w:rStyle w:val="32"/>
          <w:rFonts w:hint="default" w:ascii="Times New Roman" w:hAnsi="Times New Roman" w:eastAsia="黑体" w:cs="Times New Roman"/>
          <w:b w:val="0"/>
          <w:color w:val="auto"/>
          <w:highlight w:val="none"/>
          <w:lang w:eastAsia="zh-CN"/>
        </w:rPr>
        <w:t>九、</w:t>
      </w:r>
      <w:r>
        <w:rPr>
          <w:rStyle w:val="32"/>
          <w:rFonts w:hint="default" w:ascii="Times New Roman" w:hAnsi="Times New Roman" w:eastAsia="黑体" w:cs="Times New Roman"/>
          <w:b w:val="0"/>
          <w:color w:val="auto"/>
          <w:highlight w:val="none"/>
        </w:rPr>
        <w:t>国有资本经营预算支出决算情况说明</w:t>
      </w:r>
      <w:bookmarkEnd w:id="66"/>
      <w:bookmarkEnd w:id="67"/>
      <w:bookmarkEnd w:id="68"/>
    </w:p>
    <w:p w14:paraId="35E4C4B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2025年度国有资本经营预算财政拨款支出0万元。</w:t>
      </w:r>
    </w:p>
    <w:p w14:paraId="77DF4F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textAlignment w:val="auto"/>
        <w:outlineLvl w:val="1"/>
        <w:rPr>
          <w:rStyle w:val="32"/>
          <w:rFonts w:hint="default" w:ascii="Times New Roman" w:hAnsi="Times New Roman" w:eastAsia="黑体" w:cs="Times New Roman"/>
          <w:b w:val="0"/>
          <w:color w:val="auto"/>
          <w:highlight w:val="none"/>
        </w:rPr>
      </w:pPr>
      <w:bookmarkStart w:id="69" w:name="_Toc15396612"/>
      <w:bookmarkStart w:id="70" w:name="_Toc15377221"/>
      <w:bookmarkStart w:id="71" w:name="_Toc9618"/>
      <w:r>
        <w:rPr>
          <w:rStyle w:val="32"/>
          <w:rFonts w:hint="default" w:ascii="Times New Roman" w:hAnsi="Times New Roman" w:eastAsia="黑体" w:cs="Times New Roman"/>
          <w:b w:val="0"/>
          <w:color w:val="auto"/>
          <w:highlight w:val="none"/>
          <w:lang w:eastAsia="zh-CN"/>
        </w:rPr>
        <w:t>十、</w:t>
      </w:r>
      <w:r>
        <w:rPr>
          <w:rStyle w:val="32"/>
          <w:rFonts w:hint="default" w:ascii="Times New Roman" w:hAnsi="Times New Roman" w:eastAsia="黑体" w:cs="Times New Roman"/>
          <w:b w:val="0"/>
          <w:color w:val="auto"/>
          <w:highlight w:val="none"/>
        </w:rPr>
        <w:t>其他重要事项的情况说明</w:t>
      </w:r>
      <w:bookmarkEnd w:id="69"/>
      <w:bookmarkEnd w:id="70"/>
      <w:bookmarkEnd w:id="71"/>
    </w:p>
    <w:p w14:paraId="11C06E7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72" w:name="_Toc15377222"/>
      <w:r>
        <w:rPr>
          <w:rFonts w:hint="default" w:ascii="Times New Roman" w:hAnsi="Times New Roman" w:eastAsia="楷体_GB2312" w:cs="Times New Roman"/>
          <w:b/>
          <w:color w:val="auto"/>
          <w:sz w:val="32"/>
          <w:szCs w:val="32"/>
          <w:highlight w:val="none"/>
        </w:rPr>
        <w:t>（一）机关运行经费支出情况</w:t>
      </w:r>
      <w:bookmarkEnd w:id="72"/>
    </w:p>
    <w:p w14:paraId="17CD1CE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2025年度，机关运行经费支出44.46万元，比上年度减少0.37万元，下降0.83%。主要原因是日常办公费用减少。</w:t>
      </w:r>
    </w:p>
    <w:p w14:paraId="5EE5F4C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73" w:name="_Toc15377223"/>
      <w:r>
        <w:rPr>
          <w:rFonts w:hint="default" w:ascii="Times New Roman" w:hAnsi="Times New Roman" w:eastAsia="楷体_GB2312" w:cs="Times New Roman"/>
          <w:b/>
          <w:color w:val="auto"/>
          <w:sz w:val="32"/>
          <w:szCs w:val="32"/>
          <w:highlight w:val="none"/>
        </w:rPr>
        <w:t>（二）政府采购支出情况</w:t>
      </w:r>
      <w:bookmarkEnd w:id="73"/>
    </w:p>
    <w:p w14:paraId="4A3586E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2025年度，政府采购支出总额103.81万元，其中：政府采购货物支出103.81万元。其中：授予小微企业合同金额103.81万元，占政府采购支出总额的100%。</w:t>
      </w:r>
    </w:p>
    <w:p w14:paraId="26C375D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74" w:name="_Toc15377224"/>
      <w:r>
        <w:rPr>
          <w:rFonts w:hint="default" w:ascii="Times New Roman" w:hAnsi="Times New Roman" w:eastAsia="楷体_GB2312" w:cs="Times New Roman"/>
          <w:b/>
          <w:color w:val="auto"/>
          <w:sz w:val="32"/>
          <w:szCs w:val="32"/>
          <w:highlight w:val="none"/>
        </w:rPr>
        <w:t>（三）国有资产占有使用情况</w:t>
      </w:r>
      <w:bookmarkEnd w:id="74"/>
    </w:p>
    <w:p w14:paraId="378A63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方正仿宋_GBK" w:cs="Times New Roman"/>
          <w:color w:val="auto"/>
          <w:sz w:val="32"/>
          <w:szCs w:val="32"/>
          <w:highlight w:val="none"/>
          <w:lang w:eastAsia="zh-CN"/>
        </w:rPr>
        <w:t>上杜柯乡政府共有车辆</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eastAsia="zh-CN"/>
        </w:rPr>
        <w:t>辆，其中：应急保障用车</w:t>
      </w:r>
      <w:r>
        <w:rPr>
          <w:rFonts w:hint="default"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lang w:eastAsia="zh-CN"/>
        </w:rPr>
        <w:t>辆、 其他</w:t>
      </w:r>
      <w:r>
        <w:rPr>
          <w:rFonts w:hint="default" w:ascii="Times New Roman" w:hAnsi="Times New Roman" w:eastAsia="方正仿宋_GBK" w:cs="Times New Roman"/>
          <w:color w:val="auto"/>
          <w:sz w:val="32"/>
          <w:szCs w:val="32"/>
          <w:highlight w:val="none"/>
          <w:lang w:val="en-US" w:eastAsia="zh-CN"/>
        </w:rPr>
        <w:t>5辆。</w:t>
      </w:r>
    </w:p>
    <w:p w14:paraId="7833F28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（四）预算绩效管理情况</w:t>
      </w:r>
    </w:p>
    <w:p w14:paraId="7971EF9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bidi="ar-SA"/>
        </w:rPr>
        <w:t>根据预算绩效管理要求，在2025年度，组织对上杜柯乡2025年以工代赈示范工程，2025年人工饲草2个项目涉开展了事前绩效评估，对2个项目编制了绩效目标，预算执行过程中，选取2个项目开展绩效监控。</w:t>
      </w:r>
      <w:r>
        <w:rPr>
          <w:rFonts w:hint="default" w:ascii="Times New Roman" w:hAnsi="Times New Roman" w:eastAsia="方正仿宋_GBK" w:cs="Times New Roman"/>
          <w:color w:val="auto"/>
          <w:sz w:val="32"/>
          <w:szCs w:val="32"/>
          <w:highlight w:val="none"/>
          <w:lang w:val="en-US" w:eastAsia="zh-CN"/>
        </w:rPr>
        <w:t>绩效自评表详见第四部分附件。</w:t>
      </w:r>
    </w:p>
    <w:p w14:paraId="3913AA5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color w:val="auto"/>
          <w:sz w:val="32"/>
          <w:szCs w:val="32"/>
          <w:highlight w:val="none"/>
          <w:lang w:val="en-US" w:eastAsia="zh-CN"/>
        </w:rPr>
      </w:pPr>
    </w:p>
    <w:p w14:paraId="2A58510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color w:val="auto"/>
          <w:sz w:val="32"/>
          <w:szCs w:val="32"/>
          <w:highlight w:val="none"/>
          <w:lang w:val="en-US" w:eastAsia="zh-CN"/>
        </w:rPr>
      </w:pPr>
    </w:p>
    <w:p w14:paraId="709A213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color w:val="auto"/>
          <w:sz w:val="32"/>
          <w:szCs w:val="32"/>
          <w:highlight w:val="none"/>
          <w:lang w:val="en-US" w:eastAsia="zh-CN"/>
        </w:rPr>
      </w:pPr>
    </w:p>
    <w:p w14:paraId="2440134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color w:val="auto"/>
          <w:sz w:val="32"/>
          <w:szCs w:val="32"/>
          <w:highlight w:val="none"/>
          <w:lang w:val="en-US" w:eastAsia="zh-CN"/>
        </w:rPr>
      </w:pPr>
    </w:p>
    <w:p w14:paraId="60E6379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color w:val="auto"/>
          <w:sz w:val="32"/>
          <w:szCs w:val="32"/>
          <w:highlight w:val="none"/>
          <w:lang w:val="en-US" w:eastAsia="zh-CN"/>
        </w:rPr>
      </w:pPr>
    </w:p>
    <w:p w14:paraId="0A49E12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color w:val="auto"/>
          <w:sz w:val="32"/>
          <w:szCs w:val="32"/>
          <w:highlight w:val="none"/>
          <w:lang w:val="en-US" w:eastAsia="zh-CN"/>
        </w:rPr>
      </w:pPr>
    </w:p>
    <w:p w14:paraId="5BFBB81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color w:val="auto"/>
          <w:sz w:val="32"/>
          <w:szCs w:val="32"/>
          <w:highlight w:val="none"/>
          <w:lang w:val="en-US" w:eastAsia="zh-CN"/>
        </w:rPr>
      </w:pPr>
    </w:p>
    <w:p w14:paraId="56C0E8E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color w:val="auto"/>
          <w:sz w:val="32"/>
          <w:szCs w:val="32"/>
          <w:highlight w:val="none"/>
          <w:lang w:val="en-US" w:eastAsia="zh-CN"/>
        </w:rPr>
      </w:pPr>
    </w:p>
    <w:p w14:paraId="286C003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方正仿宋_GBK" w:cs="Times New Roman"/>
          <w:color w:val="auto"/>
          <w:sz w:val="32"/>
          <w:szCs w:val="32"/>
          <w:highlight w:val="none"/>
          <w:lang w:val="en-US" w:eastAsia="zh-CN"/>
        </w:rPr>
      </w:pPr>
    </w:p>
    <w:p w14:paraId="0782B0BF">
      <w:pPr>
        <w:keepNext w:val="0"/>
        <w:keepLines w:val="0"/>
        <w:pageBreakBefore w:val="0"/>
        <w:widowControl w:val="0"/>
        <w:numPr>
          <w:ilvl w:val="0"/>
          <w:numId w:val="0"/>
        </w:numPr>
        <w:kinsoku/>
        <w:wordWrap/>
        <w:overflowPunct/>
        <w:topLinePunct w:val="0"/>
        <w:bidi w:val="0"/>
        <w:snapToGrid/>
        <w:spacing w:line="560" w:lineRule="exact"/>
        <w:jc w:val="center"/>
        <w:textAlignment w:val="auto"/>
        <w:outlineLvl w:val="0"/>
        <w:rPr>
          <w:rFonts w:hint="default" w:ascii="Times New Roman" w:hAnsi="Times New Roman" w:eastAsia="黑体" w:cs="Times New Roman"/>
          <w:color w:val="auto"/>
          <w:sz w:val="44"/>
          <w:szCs w:val="44"/>
          <w:highlight w:val="none"/>
        </w:rPr>
      </w:pPr>
      <w:bookmarkStart w:id="75" w:name="_Toc8209"/>
      <w:bookmarkStart w:id="76" w:name="_Toc15396613"/>
      <w:bookmarkStart w:id="77" w:name="_Toc15377225"/>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bookmarkEnd w:id="75"/>
      <w:bookmarkEnd w:id="76"/>
      <w:bookmarkEnd w:id="77"/>
    </w:p>
    <w:p w14:paraId="314F0721">
      <w:pPr>
        <w:keepNext w:val="0"/>
        <w:keepLines w:val="0"/>
        <w:pageBreakBefore w:val="0"/>
        <w:widowControl w:val="0"/>
        <w:kinsoku/>
        <w:wordWrap/>
        <w:overflowPunct/>
        <w:topLinePunct w:val="0"/>
        <w:bidi w:val="0"/>
        <w:snapToGrid/>
        <w:spacing w:line="560" w:lineRule="exact"/>
        <w:jc w:val="left"/>
        <w:textAlignment w:val="auto"/>
        <w:rPr>
          <w:rFonts w:hint="default" w:ascii="Times New Roman" w:hAnsi="Times New Roman" w:cs="Times New Roman"/>
          <w:b/>
          <w:color w:val="auto"/>
          <w:sz w:val="44"/>
          <w:szCs w:val="44"/>
          <w:highlight w:val="none"/>
        </w:rPr>
      </w:pPr>
    </w:p>
    <w:p w14:paraId="76D97CA3">
      <w:pPr>
        <w:pStyle w:val="29"/>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sz w:val="32"/>
          <w:szCs w:val="32"/>
          <w:highlight w:val="none"/>
        </w:rPr>
      </w:pPr>
      <w:bookmarkStart w:id="78" w:name="_Toc15396614"/>
      <w:bookmarkStart w:id="79" w:name="_Toc15377226"/>
      <w:r>
        <w:rPr>
          <w:rFonts w:hint="default" w:ascii="Times New Roman" w:hAnsi="Times New Roman" w:eastAsia="方正仿宋_GBK" w:cs="Times New Roman"/>
          <w:color w:val="auto"/>
          <w:sz w:val="32"/>
          <w:szCs w:val="32"/>
          <w:highlight w:val="none"/>
        </w:rPr>
        <w:t>1.财政拨款收入：指单位从同级财政部门取得的财政预算资金。</w:t>
      </w:r>
    </w:p>
    <w:p w14:paraId="6CF923A1">
      <w:pPr>
        <w:pStyle w:val="29"/>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2.事业收入：指事业单位开展专业业务活动及辅助活动取得的收入。</w:t>
      </w:r>
    </w:p>
    <w:p w14:paraId="483F0D50">
      <w:pPr>
        <w:pStyle w:val="29"/>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3.经营收入：指事业单位在专业业务活动及其辅助活动之外开展非独立核算经营活动取得的收入。</w:t>
      </w:r>
    </w:p>
    <w:p w14:paraId="288C746B">
      <w:pPr>
        <w:pStyle w:val="29"/>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4.其他收入：指单位取得的除上述收入以外的各项收入。</w:t>
      </w:r>
    </w:p>
    <w:p w14:paraId="54D74B43">
      <w:pPr>
        <w:pStyle w:val="29"/>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5.</w:t>
      </w:r>
      <w:r>
        <w:rPr>
          <w:rFonts w:hint="default" w:ascii="Times New Roman" w:hAnsi="Times New Roman" w:eastAsia="方正仿宋_GBK" w:cs="Times New Roman"/>
          <w:sz w:val="32"/>
          <w:szCs w:val="32"/>
          <w:u w:val="none"/>
          <w:lang w:eastAsia="zh-CN"/>
        </w:rPr>
        <w:t>使用非财政拨款结余（含专用结余）</w:t>
      </w:r>
      <w:r>
        <w:rPr>
          <w:rFonts w:hint="default" w:ascii="Times New Roman" w:hAnsi="Times New Roman" w:eastAsia="方正仿宋_GBK" w:cs="Times New Roman"/>
          <w:color w:val="auto"/>
          <w:sz w:val="32"/>
          <w:szCs w:val="32"/>
          <w:highlight w:val="none"/>
        </w:rPr>
        <w:t>：指事业单位</w:t>
      </w:r>
      <w:r>
        <w:rPr>
          <w:rFonts w:hint="default" w:ascii="Times New Roman" w:hAnsi="Times New Roman" w:eastAsia="方正仿宋_GBK" w:cs="Times New Roman"/>
          <w:color w:val="auto"/>
          <w:sz w:val="32"/>
          <w:szCs w:val="32"/>
          <w:highlight w:val="none"/>
          <w:lang w:eastAsia="zh-CN"/>
        </w:rPr>
        <w:t>使用以前年度积累的非财政拨款结余弥补当年收支差额的金额。</w:t>
      </w:r>
      <w:r>
        <w:rPr>
          <w:rFonts w:hint="default" w:ascii="Times New Roman" w:hAnsi="Times New Roman" w:eastAsia="方正仿宋_GBK" w:cs="Times New Roman"/>
          <w:color w:val="auto"/>
          <w:sz w:val="32"/>
          <w:szCs w:val="32"/>
          <w:highlight w:val="none"/>
        </w:rPr>
        <w:t xml:space="preserve"> </w:t>
      </w:r>
    </w:p>
    <w:p w14:paraId="673F705B">
      <w:pPr>
        <w:pStyle w:val="29"/>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6.年初结转和结余：指以前年度尚未完成、结转到本年按有关规定继续使用的资金。 </w:t>
      </w:r>
    </w:p>
    <w:p w14:paraId="504121A0">
      <w:pPr>
        <w:pStyle w:val="29"/>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7.结余分配：指事业单位按照会计制度规定</w:t>
      </w:r>
      <w:r>
        <w:rPr>
          <w:rFonts w:hint="default" w:ascii="Times New Roman" w:hAnsi="Times New Roman" w:eastAsia="方正仿宋_GBK" w:cs="Times New Roman"/>
          <w:color w:val="auto"/>
          <w:sz w:val="32"/>
          <w:szCs w:val="32"/>
          <w:highlight w:val="none"/>
          <w:lang w:eastAsia="zh-CN"/>
        </w:rPr>
        <w:t>缴纳的所得税、提取的专用结余以及转入非财政拨款结余的金额</w:t>
      </w:r>
      <w:r>
        <w:rPr>
          <w:rFonts w:hint="default" w:ascii="Times New Roman" w:hAnsi="Times New Roman" w:eastAsia="方正仿宋_GBK" w:cs="Times New Roman"/>
          <w:color w:val="auto"/>
          <w:sz w:val="32"/>
          <w:szCs w:val="32"/>
          <w:highlight w:val="none"/>
        </w:rPr>
        <w:t>等。</w:t>
      </w:r>
    </w:p>
    <w:p w14:paraId="06FF5073">
      <w:pPr>
        <w:pStyle w:val="29"/>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8</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年末结转和结余：指单位按有关规定结转到下年或以后年度继续使用的资金。</w:t>
      </w:r>
    </w:p>
    <w:p w14:paraId="09C77DFC">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z w:val="32"/>
          <w:szCs w:val="32"/>
          <w:highlight w:val="none"/>
        </w:rPr>
        <w:t>9.</w:t>
      </w:r>
      <w:r>
        <w:rPr>
          <w:rFonts w:hint="default" w:ascii="Times New Roman" w:hAnsi="Times New Roman" w:eastAsia="方正仿宋_GBK" w:cs="Times New Roman"/>
          <w:color w:val="auto"/>
          <w:kern w:val="2"/>
          <w:sz w:val="32"/>
          <w:szCs w:val="32"/>
          <w:highlight w:val="none"/>
          <w:lang w:val="en-US" w:eastAsia="zh-CN" w:bidi="ar-SA"/>
        </w:rPr>
        <w:t>一般公共服务（类）201：指反映政府提供一般公共服务的支出。</w:t>
      </w:r>
    </w:p>
    <w:p w14:paraId="429775CA">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kern w:val="2"/>
          <w:sz w:val="32"/>
          <w:szCs w:val="32"/>
          <w:highlight w:val="none"/>
          <w:lang w:val="en-US" w:eastAsia="zh-CN" w:bidi="ar-SA"/>
        </w:rPr>
        <w:t>10.国防支出（类）203：指反映政府用于国防方面支出。</w:t>
      </w:r>
    </w:p>
    <w:p w14:paraId="722A1F31">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11.</w:t>
      </w:r>
      <w:r>
        <w:rPr>
          <w:rFonts w:hint="default" w:ascii="Times New Roman" w:hAnsi="Times New Roman" w:eastAsia="方正仿宋_GBK" w:cs="Times New Roman"/>
          <w:color w:val="auto"/>
          <w:kern w:val="2"/>
          <w:sz w:val="32"/>
          <w:szCs w:val="32"/>
          <w:highlight w:val="none"/>
          <w:lang w:val="en-US" w:eastAsia="zh-CN" w:bidi="ar-SA"/>
        </w:rPr>
        <w:t>公共安全（类）204：指反映政府维护社会公共安全方面的支出。</w:t>
      </w:r>
    </w:p>
    <w:p w14:paraId="31851A2C">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12.文化体育与传媒 （类）207：指反映政府在文化、体育、文物、广播影视、新闻出版等方面的支出。</w:t>
      </w:r>
    </w:p>
    <w:p w14:paraId="0C13C92B">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13.社会保障和就业（类）208：指反映政府在社会保障与就业方面的支出。</w:t>
      </w:r>
    </w:p>
    <w:p w14:paraId="669566CB">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14.医疗卫生与计划生育（类）210：指反映医疗卫生与计划生育、中医等管理事务方面的支出。</w:t>
      </w:r>
    </w:p>
    <w:p w14:paraId="77506254">
      <w:pPr>
        <w:keepNext w:val="0"/>
        <w:keepLines w:val="0"/>
        <w:pageBreakBefore w:val="0"/>
        <w:widowControl w:val="0"/>
        <w:numPr>
          <w:ilvl w:val="0"/>
          <w:numId w:val="0"/>
        </w:numPr>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15.农林水（类）213：指反映政府农林水支出。</w:t>
      </w:r>
    </w:p>
    <w:p w14:paraId="4E3E4EA5">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16.住房保障（类）221：指集中反映政府用于住房方面的支出。</w:t>
      </w:r>
    </w:p>
    <w:p w14:paraId="5E719430">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17.基本支出：指为保障机构正常运转、完成日常工作任务而发生的人员支出和公用支出。</w:t>
      </w:r>
    </w:p>
    <w:p w14:paraId="478D8BF0">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18.项目支出：指在基本支出之外为完成特定行政任务和事业发展目标所发生的支出。</w:t>
      </w:r>
    </w:p>
    <w:p w14:paraId="5BFCB887">
      <w:pPr>
        <w:pStyle w:val="29"/>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19.“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18EF509">
      <w:pPr>
        <w:keepNext w:val="0"/>
        <w:keepLines w:val="0"/>
        <w:pageBreakBefore w:val="0"/>
        <w:widowControl w:val="0"/>
        <w:kinsoku/>
        <w:wordWrap/>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93331DC">
      <w:pPr>
        <w:spacing w:line="600" w:lineRule="exact"/>
        <w:jc w:val="center"/>
        <w:rPr>
          <w:rFonts w:hint="default" w:ascii="Times New Roman" w:hAnsi="Times New Roman" w:eastAsia="黑体" w:cs="Times New Roman"/>
          <w:color w:val="000000" w:themeColor="text1"/>
          <w:sz w:val="44"/>
          <w:szCs w:val="44"/>
          <w:highlight w:val="none"/>
          <w14:textFill>
            <w14:solidFill>
              <w14:schemeClr w14:val="tx1"/>
            </w14:solidFill>
          </w14:textFill>
        </w:rPr>
      </w:pPr>
      <w:r>
        <w:rPr>
          <w:rFonts w:hint="default" w:ascii="Times New Roman" w:hAnsi="Times New Roman" w:cs="Times New Roman"/>
          <w:b/>
          <w:color w:val="auto"/>
          <w:sz w:val="44"/>
          <w:szCs w:val="44"/>
          <w:highlight w:val="none"/>
        </w:rPr>
        <w:br w:type="page"/>
      </w:r>
      <w:r>
        <w:rPr>
          <w:rFonts w:hint="default" w:ascii="Times New Roman" w:hAnsi="Times New Roman" w:eastAsia="黑体" w:cs="Times New Roman"/>
          <w:color w:val="000000" w:themeColor="text1"/>
          <w:sz w:val="44"/>
          <w:szCs w:val="44"/>
          <w:highlight w:val="none"/>
          <w14:textFill>
            <w14:solidFill>
              <w14:schemeClr w14:val="tx1"/>
            </w14:solidFill>
          </w14:textFill>
        </w:rPr>
        <w:t>第四部分</w:t>
      </w:r>
      <w:r>
        <w:rPr>
          <w:rFonts w:hint="default" w:ascii="Times New Roman" w:hAnsi="Times New Roman" w:eastAsia="黑体" w:cs="Times New Roman"/>
          <w:color w:val="000000" w:themeColor="text1"/>
          <w:sz w:val="44"/>
          <w:szCs w:val="44"/>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44"/>
          <w:szCs w:val="44"/>
          <w:highlight w:val="none"/>
          <w14:textFill>
            <w14:solidFill>
              <w14:schemeClr w14:val="tx1"/>
            </w14:solidFill>
          </w14:textFill>
        </w:rPr>
        <w:t xml:space="preserve"> 附件</w:t>
      </w:r>
      <w:bookmarkEnd w:id="78"/>
    </w:p>
    <w:p w14:paraId="68657FF3">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000000" w:themeColor="text1"/>
          <w:sz w:val="44"/>
          <w:szCs w:val="44"/>
          <w:highlight w:val="none"/>
          <w14:textFill>
            <w14:solidFill>
              <w14:schemeClr w14:val="tx1"/>
            </w14:solidFill>
          </w14:textFill>
        </w:rPr>
      </w:pPr>
      <w:bookmarkStart w:id="80" w:name="_Toc17281"/>
      <w:bookmarkStart w:id="81" w:name="_Toc1255"/>
      <w:r>
        <w:rPr>
          <w:rFonts w:hint="default" w:ascii="Times New Roman" w:hAnsi="Times New Roman" w:eastAsia="黑体" w:cs="Times New Roman"/>
          <w:color w:val="000000" w:themeColor="text1"/>
          <w:sz w:val="32"/>
          <w:szCs w:val="32"/>
          <w:highlight w:val="none"/>
          <w14:textFill>
            <w14:solidFill>
              <w14:schemeClr w14:val="tx1"/>
            </w14:solidFill>
          </w14:textFill>
        </w:rPr>
        <w:t>附件</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1</w:t>
      </w:r>
      <w:bookmarkEnd w:id="80"/>
      <w:bookmarkEnd w:id="81"/>
    </w:p>
    <w:p w14:paraId="4111DC54">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0"/>
        <w:rPr>
          <w:rFonts w:hint="default" w:ascii="Times New Roman" w:hAnsi="Times New Roman" w:eastAsia="方正仿宋_GBK" w:cs="Times New Roman"/>
          <w:color w:val="FF0000"/>
          <w:sz w:val="32"/>
          <w:szCs w:val="32"/>
          <w:highlight w:val="none"/>
        </w:rPr>
      </w:pPr>
      <w:bookmarkStart w:id="82" w:name="_Toc11929"/>
      <w:bookmarkStart w:id="83" w:name="_Toc3397"/>
      <w:r>
        <w:rPr>
          <w:rFonts w:hint="default" w:ascii="Times New Roman" w:hAnsi="Times New Roman" w:eastAsia="方正仿宋_GBK" w:cs="Times New Roman"/>
          <w:color w:val="000000"/>
          <w:sz w:val="32"/>
          <w:szCs w:val="32"/>
          <w:highlight w:val="none"/>
          <w:lang w:val="en-US" w:eastAsia="zh-CN"/>
        </w:rPr>
        <w:t>部门预算项目支出绩效自评表（2</w:t>
      </w:r>
      <w:r>
        <w:rPr>
          <w:rFonts w:hint="default" w:ascii="Times New Roman" w:hAnsi="Times New Roman" w:eastAsia="方正仿宋_GBK" w:cs="Times New Roman"/>
          <w:sz w:val="32"/>
          <w:szCs w:val="32"/>
          <w:highlight w:val="none"/>
          <w:lang w:val="en-US" w:eastAsia="zh-CN"/>
        </w:rPr>
        <w:t>025年度）</w:t>
      </w:r>
      <w:bookmarkEnd w:id="82"/>
      <w:bookmarkEnd w:id="83"/>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6"/>
        <w:gridCol w:w="1149"/>
        <w:gridCol w:w="980"/>
        <w:gridCol w:w="1277"/>
        <w:gridCol w:w="396"/>
        <w:gridCol w:w="922"/>
        <w:gridCol w:w="396"/>
        <w:gridCol w:w="577"/>
        <w:gridCol w:w="397"/>
        <w:gridCol w:w="397"/>
        <w:gridCol w:w="1455"/>
      </w:tblGrid>
      <w:tr w14:paraId="564BF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522" w:type="dxa"/>
            <w:gridSpan w:val="11"/>
            <w:tcBorders>
              <w:top w:val="single" w:color="000000" w:sz="4" w:space="0"/>
              <w:left w:val="single" w:color="000000" w:sz="4" w:space="0"/>
              <w:bottom w:val="single" w:color="000000" w:sz="4" w:space="0"/>
              <w:right w:val="single" w:color="000000" w:sz="4" w:space="0"/>
            </w:tcBorders>
            <w:noWrap w:val="0"/>
            <w:vAlign w:val="center"/>
          </w:tcPr>
          <w:p w14:paraId="1DDEBF48">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12DF3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725" w:type="dxa"/>
            <w:gridSpan w:val="2"/>
            <w:tcBorders>
              <w:top w:val="single" w:color="000000" w:sz="4" w:space="0"/>
              <w:left w:val="single" w:color="000000" w:sz="4" w:space="0"/>
              <w:bottom w:val="single" w:color="000000" w:sz="4" w:space="0"/>
              <w:right w:val="single" w:color="000000" w:sz="4" w:space="0"/>
            </w:tcBorders>
            <w:noWrap w:val="0"/>
            <w:vAlign w:val="center"/>
          </w:tcPr>
          <w:p w14:paraId="7D7F750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6797" w:type="dxa"/>
            <w:gridSpan w:val="9"/>
            <w:tcBorders>
              <w:top w:val="single" w:color="000000" w:sz="4" w:space="0"/>
              <w:left w:val="single" w:color="000000" w:sz="4" w:space="0"/>
              <w:bottom w:val="single" w:color="000000" w:sz="4" w:space="0"/>
              <w:right w:val="single" w:color="000000" w:sz="4" w:space="0"/>
            </w:tcBorders>
            <w:noWrap w:val="0"/>
            <w:vAlign w:val="center"/>
          </w:tcPr>
          <w:p w14:paraId="01874971">
            <w:pP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壤塘县上杜柯乡2025年人工饲草种植项目</w:t>
            </w:r>
          </w:p>
        </w:tc>
      </w:tr>
      <w:tr w14:paraId="09ABA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725" w:type="dxa"/>
            <w:gridSpan w:val="2"/>
            <w:tcBorders>
              <w:top w:val="single" w:color="000000" w:sz="4" w:space="0"/>
              <w:left w:val="single" w:color="000000" w:sz="4" w:space="0"/>
              <w:bottom w:val="single" w:color="000000" w:sz="4" w:space="0"/>
              <w:right w:val="single" w:color="000000" w:sz="4" w:space="0"/>
            </w:tcBorders>
            <w:noWrap w:val="0"/>
            <w:vAlign w:val="center"/>
          </w:tcPr>
          <w:p w14:paraId="4BF2564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71" w:type="dxa"/>
            <w:gridSpan w:val="5"/>
            <w:tcBorders>
              <w:top w:val="single" w:color="000000" w:sz="4" w:space="0"/>
              <w:left w:val="single" w:color="000000" w:sz="4" w:space="0"/>
              <w:bottom w:val="single" w:color="000000" w:sz="4" w:space="0"/>
              <w:right w:val="single" w:color="000000" w:sz="4" w:space="0"/>
            </w:tcBorders>
            <w:noWrap w:val="0"/>
            <w:vAlign w:val="center"/>
          </w:tcPr>
          <w:p w14:paraId="31D9115A">
            <w:pP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壤塘县科农局</w:t>
            </w:r>
          </w:p>
        </w:tc>
        <w:tc>
          <w:tcPr>
            <w:tcW w:w="577" w:type="dxa"/>
            <w:tcBorders>
              <w:top w:val="nil"/>
              <w:left w:val="nil"/>
              <w:bottom w:val="nil"/>
              <w:right w:val="nil"/>
            </w:tcBorders>
            <w:noWrap w:val="0"/>
            <w:vAlign w:val="center"/>
          </w:tcPr>
          <w:p w14:paraId="402CDE2D">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2249" w:type="dxa"/>
            <w:gridSpan w:val="3"/>
            <w:tcBorders>
              <w:top w:val="single" w:color="000000" w:sz="4" w:space="0"/>
              <w:left w:val="single" w:color="000000" w:sz="4" w:space="0"/>
              <w:bottom w:val="single" w:color="000000" w:sz="4" w:space="0"/>
              <w:right w:val="single" w:color="000000" w:sz="4" w:space="0"/>
            </w:tcBorders>
            <w:noWrap w:val="0"/>
            <w:vAlign w:val="center"/>
          </w:tcPr>
          <w:p w14:paraId="6BCB4169">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上杜柯乡人民政府</w:t>
            </w:r>
          </w:p>
        </w:tc>
      </w:tr>
      <w:tr w14:paraId="35B0E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vMerge w:val="restart"/>
            <w:tcBorders>
              <w:top w:val="single" w:color="000000" w:sz="4" w:space="0"/>
              <w:left w:val="single" w:color="000000" w:sz="4" w:space="0"/>
              <w:bottom w:val="single" w:color="000000" w:sz="4" w:space="0"/>
              <w:right w:val="single" w:color="000000" w:sz="4" w:space="0"/>
            </w:tcBorders>
            <w:noWrap w:val="0"/>
            <w:vAlign w:val="center"/>
          </w:tcPr>
          <w:p w14:paraId="0EC146E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149" w:type="dxa"/>
            <w:vMerge w:val="restart"/>
            <w:tcBorders>
              <w:top w:val="single" w:color="000000" w:sz="4" w:space="0"/>
              <w:left w:val="single" w:color="000000" w:sz="4" w:space="0"/>
              <w:bottom w:val="single" w:color="000000" w:sz="4" w:space="0"/>
              <w:right w:val="single" w:color="000000" w:sz="4" w:space="0"/>
            </w:tcBorders>
            <w:noWrap w:val="0"/>
            <w:vAlign w:val="center"/>
          </w:tcPr>
          <w:p w14:paraId="5E782A1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71" w:type="dxa"/>
            <w:gridSpan w:val="5"/>
            <w:tcBorders>
              <w:top w:val="single" w:color="000000" w:sz="4" w:space="0"/>
              <w:left w:val="single" w:color="000000" w:sz="4" w:space="0"/>
              <w:bottom w:val="single" w:color="000000" w:sz="4" w:space="0"/>
              <w:right w:val="single" w:color="000000" w:sz="4" w:space="0"/>
            </w:tcBorders>
            <w:noWrap w:val="0"/>
            <w:vAlign w:val="center"/>
          </w:tcPr>
          <w:p w14:paraId="5368C6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26" w:type="dxa"/>
            <w:gridSpan w:val="4"/>
            <w:tcBorders>
              <w:top w:val="single" w:color="000000" w:sz="4" w:space="0"/>
              <w:left w:val="single" w:color="000000" w:sz="4" w:space="0"/>
              <w:bottom w:val="single" w:color="000000" w:sz="4" w:space="0"/>
              <w:right w:val="single" w:color="000000" w:sz="4" w:space="0"/>
            </w:tcBorders>
            <w:noWrap w:val="0"/>
            <w:vAlign w:val="center"/>
          </w:tcPr>
          <w:p w14:paraId="0D322582">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260E6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795FCD">
            <w:pPr>
              <w:rPr>
                <w:rFonts w:hint="default" w:ascii="Times New Roman" w:hAnsi="Times New Roman" w:eastAsia="宋体" w:cs="Times New Roman"/>
                <w:i w:val="0"/>
                <w:iCs w:val="0"/>
                <w:color w:val="000000"/>
                <w:sz w:val="18"/>
                <w:szCs w:val="18"/>
                <w:u w:val="none"/>
              </w:rPr>
            </w:pPr>
          </w:p>
        </w:tc>
        <w:tc>
          <w:tcPr>
            <w:tcW w:w="11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E04F2">
            <w:pPr>
              <w:rPr>
                <w:rFonts w:hint="default" w:ascii="Times New Roman" w:hAnsi="Times New Roman" w:eastAsia="宋体" w:cs="Times New Roman"/>
                <w:i w:val="0"/>
                <w:iCs w:val="0"/>
                <w:color w:val="000000"/>
                <w:sz w:val="18"/>
                <w:szCs w:val="18"/>
                <w:u w:val="none"/>
              </w:rPr>
            </w:pPr>
          </w:p>
        </w:tc>
        <w:tc>
          <w:tcPr>
            <w:tcW w:w="3971" w:type="dxa"/>
            <w:gridSpan w:val="5"/>
            <w:tcBorders>
              <w:top w:val="single" w:color="000000" w:sz="4" w:space="0"/>
              <w:left w:val="single" w:color="000000" w:sz="4" w:space="0"/>
              <w:bottom w:val="single" w:color="000000" w:sz="4" w:space="0"/>
              <w:right w:val="single" w:color="000000" w:sz="4" w:space="0"/>
            </w:tcBorders>
            <w:noWrap w:val="0"/>
            <w:vAlign w:val="center"/>
          </w:tcPr>
          <w:p w14:paraId="6CB92FF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上杜柯乡辖区内种植人工饲草基地1200亩，种植牧草1200亩，采购燕麦种子18000公斤、背负式收割机6台、翻耕机2台，肥料（含追肥），购买网围栏7000米，及土地复耕1200亩</w:t>
            </w:r>
            <w:r>
              <w:rPr>
                <w:rFonts w:hint="eastAsia" w:cs="Times New Roman"/>
                <w:i w:val="0"/>
                <w:iCs w:val="0"/>
                <w:color w:val="000000"/>
                <w:sz w:val="18"/>
                <w:szCs w:val="18"/>
                <w:u w:val="none"/>
                <w:lang w:val="en-US" w:eastAsia="zh-CN"/>
              </w:rPr>
              <w:t>。</w:t>
            </w:r>
          </w:p>
        </w:tc>
        <w:tc>
          <w:tcPr>
            <w:tcW w:w="2826" w:type="dxa"/>
            <w:gridSpan w:val="4"/>
            <w:tcBorders>
              <w:top w:val="single" w:color="000000" w:sz="4" w:space="0"/>
              <w:left w:val="single" w:color="000000" w:sz="4" w:space="0"/>
              <w:bottom w:val="single" w:color="000000" w:sz="4" w:space="0"/>
              <w:right w:val="single" w:color="000000" w:sz="4" w:space="0"/>
            </w:tcBorders>
            <w:noWrap w:val="0"/>
            <w:vAlign w:val="center"/>
          </w:tcPr>
          <w:p w14:paraId="049B7189">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cs="Times New Roman"/>
                <w:i w:val="0"/>
                <w:iCs w:val="0"/>
                <w:color w:val="000000"/>
                <w:sz w:val="18"/>
                <w:szCs w:val="18"/>
                <w:u w:val="none"/>
                <w:lang w:val="en-US" w:eastAsia="zh-CN"/>
              </w:rPr>
              <w:t>上杜柯乡辖区内种植人工饲草基地1200亩，种植牧草1200亩，采购燕麦种子18000公斤、背负式收割机6台、翻耕机2台，肥料（含追肥），购买网围栏7000米，及土地复耕1200亩。</w:t>
            </w:r>
          </w:p>
        </w:tc>
      </w:tr>
      <w:tr w14:paraId="2FBDF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A56027">
            <w:pPr>
              <w:rPr>
                <w:rFonts w:hint="default" w:ascii="Times New Roman" w:hAnsi="Times New Roman" w:eastAsia="宋体" w:cs="Times New Roman"/>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noWrap w:val="0"/>
            <w:vAlign w:val="center"/>
          </w:tcPr>
          <w:p w14:paraId="0AA4A3A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6797" w:type="dxa"/>
            <w:gridSpan w:val="9"/>
            <w:tcBorders>
              <w:top w:val="single" w:color="000000" w:sz="4" w:space="0"/>
              <w:left w:val="single" w:color="000000" w:sz="4" w:space="0"/>
              <w:bottom w:val="single" w:color="000000" w:sz="4" w:space="0"/>
              <w:right w:val="single" w:color="000000" w:sz="4" w:space="0"/>
            </w:tcBorders>
            <w:noWrap w:val="0"/>
            <w:vAlign w:val="center"/>
          </w:tcPr>
          <w:p w14:paraId="51C89F2C">
            <w:pPr>
              <w:rPr>
                <w:rFonts w:hint="default" w:ascii="Times New Roman" w:hAnsi="Times New Roman" w:eastAsia="宋体" w:cs="Times New Roman"/>
                <w:i w:val="0"/>
                <w:iCs w:val="0"/>
                <w:color w:val="000000"/>
                <w:sz w:val="18"/>
                <w:szCs w:val="18"/>
                <w:u w:val="none"/>
              </w:rPr>
            </w:pPr>
            <w:r>
              <w:rPr>
                <w:rFonts w:hint="default" w:ascii="Times New Roman" w:hAnsi="Times New Roman" w:cs="Times New Roman"/>
                <w:i w:val="0"/>
                <w:iCs w:val="0"/>
                <w:color w:val="000000"/>
                <w:sz w:val="18"/>
                <w:szCs w:val="18"/>
                <w:u w:val="none"/>
                <w:lang w:val="en-US" w:eastAsia="zh-CN"/>
              </w:rPr>
              <w:t>上杜柯乡辖区内种植人工饲草基地1200亩，种植牧草1200亩，采购燕麦种子18000公斤、背负式收割机6台、翻耕机2台，肥料（含追肥），购买网围栏7000米，及土地复耕1200亩。</w:t>
            </w:r>
          </w:p>
        </w:tc>
      </w:tr>
      <w:tr w14:paraId="4430A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76" w:type="dxa"/>
            <w:vMerge w:val="restart"/>
            <w:tcBorders>
              <w:top w:val="single" w:color="000000" w:sz="4" w:space="0"/>
              <w:left w:val="single" w:color="000000" w:sz="4" w:space="0"/>
              <w:bottom w:val="single" w:color="000000" w:sz="4" w:space="0"/>
              <w:right w:val="single" w:color="000000" w:sz="4" w:space="0"/>
            </w:tcBorders>
            <w:noWrap w:val="0"/>
            <w:vAlign w:val="center"/>
          </w:tcPr>
          <w:p w14:paraId="71A1D2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14:paraId="14B3B4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63ABFC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28445A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714" w:type="dxa"/>
            <w:gridSpan w:val="3"/>
            <w:tcBorders>
              <w:top w:val="single" w:color="000000" w:sz="4" w:space="0"/>
              <w:left w:val="single" w:color="000000" w:sz="4" w:space="0"/>
              <w:bottom w:val="single" w:color="000000" w:sz="4" w:space="0"/>
              <w:right w:val="single" w:color="000000" w:sz="4" w:space="0"/>
            </w:tcBorders>
            <w:noWrap w:val="0"/>
            <w:vAlign w:val="center"/>
          </w:tcPr>
          <w:p w14:paraId="1A906B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676205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065080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6BE95F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49BACA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2D64D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480997">
            <w:pPr>
              <w:jc w:val="center"/>
              <w:rPr>
                <w:rFonts w:hint="default" w:ascii="Times New Roman" w:hAnsi="Times New Roman" w:eastAsia="宋体" w:cs="Times New Roman"/>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noWrap w:val="0"/>
            <w:vAlign w:val="center"/>
          </w:tcPr>
          <w:p w14:paraId="528C8E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7B071087">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105</w:t>
            </w: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2F18FA3B">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103.81</w:t>
            </w:r>
          </w:p>
        </w:tc>
        <w:tc>
          <w:tcPr>
            <w:tcW w:w="1714" w:type="dxa"/>
            <w:gridSpan w:val="3"/>
            <w:tcBorders>
              <w:top w:val="single" w:color="000000" w:sz="4" w:space="0"/>
              <w:left w:val="single" w:color="000000" w:sz="4" w:space="0"/>
              <w:bottom w:val="single" w:color="000000" w:sz="4" w:space="0"/>
              <w:right w:val="single" w:color="000000" w:sz="4" w:space="0"/>
            </w:tcBorders>
            <w:noWrap w:val="0"/>
            <w:vAlign w:val="center"/>
          </w:tcPr>
          <w:p w14:paraId="6C370C07">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103.81</w:t>
            </w: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1612C9F9">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98.87%</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6DE2B636">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31FD5E4E">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8</w:t>
            </w:r>
          </w:p>
        </w:tc>
        <w:tc>
          <w:tcPr>
            <w:tcW w:w="1455" w:type="dxa"/>
            <w:vMerge w:val="restart"/>
            <w:tcBorders>
              <w:top w:val="single" w:color="000000" w:sz="4" w:space="0"/>
              <w:left w:val="single" w:color="000000" w:sz="4" w:space="0"/>
              <w:bottom w:val="single" w:color="000000" w:sz="4" w:space="0"/>
              <w:right w:val="single" w:color="000000" w:sz="4" w:space="0"/>
            </w:tcBorders>
            <w:noWrap w:val="0"/>
            <w:vAlign w:val="center"/>
          </w:tcPr>
          <w:p w14:paraId="00D25EDE">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lang w:val="en-US" w:eastAsia="zh-CN"/>
              </w:rPr>
            </w:pPr>
            <w:r>
              <w:rPr>
                <w:rFonts w:hint="default" w:ascii="Times New Roman" w:hAnsi="Times New Roman" w:eastAsia="黑体" w:cs="Times New Roman"/>
                <w:i/>
                <w:iCs/>
                <w:color w:val="000000"/>
                <w:sz w:val="18"/>
                <w:szCs w:val="18"/>
                <w:u w:val="none"/>
                <w:lang w:val="en-US" w:eastAsia="zh-CN"/>
              </w:rPr>
              <w:t>未完成审计</w:t>
            </w:r>
          </w:p>
        </w:tc>
      </w:tr>
      <w:tr w14:paraId="164FB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33F5E0">
            <w:pPr>
              <w:jc w:val="center"/>
              <w:rPr>
                <w:rFonts w:hint="default" w:ascii="Times New Roman" w:hAnsi="Times New Roman" w:eastAsia="宋体" w:cs="Times New Roman"/>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noWrap w:val="0"/>
            <w:vAlign w:val="center"/>
          </w:tcPr>
          <w:p w14:paraId="0069D8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7335E014">
            <w:pPr>
              <w:jc w:val="center"/>
              <w:rPr>
                <w:rFonts w:hint="default" w:ascii="Times New Roman" w:hAnsi="Times New Roman" w:eastAsia="宋体" w:cs="Times New Roman"/>
                <w:i w:val="0"/>
                <w:iCs w:val="0"/>
                <w:color w:val="000000"/>
                <w:sz w:val="18"/>
                <w:szCs w:val="18"/>
                <w:u w:val="none"/>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79B36678">
            <w:pPr>
              <w:jc w:val="center"/>
              <w:rPr>
                <w:rFonts w:hint="default" w:ascii="Times New Roman" w:hAnsi="Times New Roman" w:eastAsia="宋体" w:cs="Times New Roman"/>
                <w:i w:val="0"/>
                <w:iCs w:val="0"/>
                <w:color w:val="000000"/>
                <w:sz w:val="18"/>
                <w:szCs w:val="18"/>
                <w:u w:val="none"/>
              </w:rPr>
            </w:pPr>
          </w:p>
        </w:tc>
        <w:tc>
          <w:tcPr>
            <w:tcW w:w="1714" w:type="dxa"/>
            <w:gridSpan w:val="3"/>
            <w:tcBorders>
              <w:top w:val="single" w:color="000000" w:sz="4" w:space="0"/>
              <w:left w:val="single" w:color="000000" w:sz="4" w:space="0"/>
              <w:bottom w:val="single" w:color="000000" w:sz="4" w:space="0"/>
              <w:right w:val="single" w:color="000000" w:sz="4" w:space="0"/>
            </w:tcBorders>
            <w:noWrap w:val="0"/>
            <w:vAlign w:val="center"/>
          </w:tcPr>
          <w:p w14:paraId="5B87822F">
            <w:pPr>
              <w:jc w:val="center"/>
              <w:rPr>
                <w:rFonts w:hint="default" w:ascii="Times New Roman" w:hAnsi="Times New Roman" w:eastAsia="宋体" w:cs="Times New Roman"/>
                <w:i w:val="0"/>
                <w:iCs w:val="0"/>
                <w:color w:val="000000"/>
                <w:sz w:val="18"/>
                <w:szCs w:val="18"/>
                <w:u w:val="none"/>
              </w:rPr>
            </w:pP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16D73C0B">
            <w:pPr>
              <w:jc w:val="center"/>
              <w:rPr>
                <w:rFonts w:hint="default" w:ascii="Times New Roman" w:hAnsi="Times New Roman" w:eastAsia="宋体" w:cs="Times New Roman"/>
                <w:i w:val="0"/>
                <w:iCs w:val="0"/>
                <w:color w:val="000000"/>
                <w:sz w:val="18"/>
                <w:szCs w:val="18"/>
                <w:u w:val="none"/>
              </w:rPr>
            </w:pP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713A9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54D574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4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A0724A">
            <w:pPr>
              <w:rPr>
                <w:rFonts w:hint="default" w:ascii="Times New Roman" w:hAnsi="Times New Roman" w:eastAsia="黑体" w:cs="Times New Roman"/>
                <w:i/>
                <w:iCs/>
                <w:color w:val="000000"/>
                <w:sz w:val="18"/>
                <w:szCs w:val="18"/>
                <w:u w:val="none"/>
              </w:rPr>
            </w:pPr>
          </w:p>
        </w:tc>
      </w:tr>
      <w:tr w14:paraId="12509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31B36B">
            <w:pPr>
              <w:jc w:val="center"/>
              <w:rPr>
                <w:rFonts w:hint="default" w:ascii="Times New Roman" w:hAnsi="Times New Roman" w:eastAsia="宋体" w:cs="Times New Roman"/>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noWrap w:val="0"/>
            <w:vAlign w:val="center"/>
          </w:tcPr>
          <w:p w14:paraId="75AC9E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1B70B49E">
            <w:pPr>
              <w:jc w:val="center"/>
              <w:rPr>
                <w:rFonts w:hint="default" w:ascii="Times New Roman" w:hAnsi="Times New Roman" w:eastAsia="宋体" w:cs="Times New Roman"/>
                <w:i w:val="0"/>
                <w:iCs w:val="0"/>
                <w:color w:val="000000"/>
                <w:sz w:val="18"/>
                <w:szCs w:val="18"/>
                <w:u w:val="none"/>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259A5363">
            <w:pPr>
              <w:jc w:val="center"/>
              <w:rPr>
                <w:rFonts w:hint="default" w:ascii="Times New Roman" w:hAnsi="Times New Roman" w:eastAsia="宋体" w:cs="Times New Roman"/>
                <w:i w:val="0"/>
                <w:iCs w:val="0"/>
                <w:color w:val="000000"/>
                <w:sz w:val="18"/>
                <w:szCs w:val="18"/>
                <w:u w:val="none"/>
              </w:rPr>
            </w:pPr>
          </w:p>
        </w:tc>
        <w:tc>
          <w:tcPr>
            <w:tcW w:w="1714" w:type="dxa"/>
            <w:gridSpan w:val="3"/>
            <w:tcBorders>
              <w:top w:val="single" w:color="000000" w:sz="4" w:space="0"/>
              <w:left w:val="single" w:color="000000" w:sz="4" w:space="0"/>
              <w:bottom w:val="single" w:color="000000" w:sz="4" w:space="0"/>
              <w:right w:val="single" w:color="000000" w:sz="4" w:space="0"/>
            </w:tcBorders>
            <w:noWrap w:val="0"/>
            <w:vAlign w:val="center"/>
          </w:tcPr>
          <w:p w14:paraId="6C8E0D82">
            <w:pPr>
              <w:jc w:val="center"/>
              <w:rPr>
                <w:rFonts w:hint="default" w:ascii="Times New Roman" w:hAnsi="Times New Roman" w:eastAsia="宋体" w:cs="Times New Roman"/>
                <w:i w:val="0"/>
                <w:iCs w:val="0"/>
                <w:color w:val="000000"/>
                <w:sz w:val="18"/>
                <w:szCs w:val="18"/>
                <w:u w:val="none"/>
              </w:rPr>
            </w:pP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7F9CC78E">
            <w:pPr>
              <w:jc w:val="center"/>
              <w:rPr>
                <w:rFonts w:hint="default" w:ascii="Times New Roman" w:hAnsi="Times New Roman" w:eastAsia="宋体" w:cs="Times New Roman"/>
                <w:i w:val="0"/>
                <w:iCs w:val="0"/>
                <w:color w:val="000000"/>
                <w:sz w:val="18"/>
                <w:szCs w:val="18"/>
                <w:u w:val="none"/>
              </w:rPr>
            </w:pP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40EF3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A6041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4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3F524D">
            <w:pPr>
              <w:rPr>
                <w:rFonts w:hint="default" w:ascii="Times New Roman" w:hAnsi="Times New Roman" w:eastAsia="黑体" w:cs="Times New Roman"/>
                <w:i/>
                <w:iCs/>
                <w:color w:val="000000"/>
                <w:sz w:val="18"/>
                <w:szCs w:val="18"/>
                <w:u w:val="none"/>
              </w:rPr>
            </w:pPr>
          </w:p>
        </w:tc>
      </w:tr>
      <w:tr w14:paraId="332BF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14885E">
            <w:pPr>
              <w:jc w:val="center"/>
              <w:rPr>
                <w:rFonts w:hint="default" w:ascii="Times New Roman" w:hAnsi="Times New Roman" w:eastAsia="宋体" w:cs="Times New Roman"/>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noWrap w:val="0"/>
            <w:vAlign w:val="center"/>
          </w:tcPr>
          <w:p w14:paraId="691944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4DB740B1">
            <w:pPr>
              <w:jc w:val="center"/>
              <w:rPr>
                <w:rFonts w:hint="default" w:ascii="Times New Roman" w:hAnsi="Times New Roman" w:eastAsia="宋体" w:cs="Times New Roman"/>
                <w:i w:val="0"/>
                <w:iCs w:val="0"/>
                <w:color w:val="000000"/>
                <w:sz w:val="18"/>
                <w:szCs w:val="18"/>
                <w:u w:val="none"/>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3535C00B">
            <w:pPr>
              <w:jc w:val="center"/>
              <w:rPr>
                <w:rFonts w:hint="default" w:ascii="Times New Roman" w:hAnsi="Times New Roman" w:eastAsia="宋体" w:cs="Times New Roman"/>
                <w:i w:val="0"/>
                <w:iCs w:val="0"/>
                <w:color w:val="000000"/>
                <w:sz w:val="18"/>
                <w:szCs w:val="18"/>
                <w:u w:val="none"/>
              </w:rPr>
            </w:pPr>
          </w:p>
        </w:tc>
        <w:tc>
          <w:tcPr>
            <w:tcW w:w="1714" w:type="dxa"/>
            <w:gridSpan w:val="3"/>
            <w:tcBorders>
              <w:top w:val="single" w:color="000000" w:sz="4" w:space="0"/>
              <w:left w:val="single" w:color="000000" w:sz="4" w:space="0"/>
              <w:bottom w:val="single" w:color="000000" w:sz="4" w:space="0"/>
              <w:right w:val="single" w:color="000000" w:sz="4" w:space="0"/>
            </w:tcBorders>
            <w:noWrap w:val="0"/>
            <w:vAlign w:val="center"/>
          </w:tcPr>
          <w:p w14:paraId="13D38EB9">
            <w:pPr>
              <w:jc w:val="center"/>
              <w:rPr>
                <w:rFonts w:hint="default" w:ascii="Times New Roman" w:hAnsi="Times New Roman" w:eastAsia="宋体" w:cs="Times New Roman"/>
                <w:i w:val="0"/>
                <w:iCs w:val="0"/>
                <w:color w:val="000000"/>
                <w:sz w:val="18"/>
                <w:szCs w:val="18"/>
                <w:u w:val="none"/>
              </w:rPr>
            </w:pP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1DDD2545">
            <w:pPr>
              <w:jc w:val="center"/>
              <w:rPr>
                <w:rFonts w:hint="default" w:ascii="Times New Roman" w:hAnsi="Times New Roman" w:eastAsia="宋体" w:cs="Times New Roman"/>
                <w:i w:val="0"/>
                <w:iCs w:val="0"/>
                <w:color w:val="000000"/>
                <w:sz w:val="18"/>
                <w:szCs w:val="18"/>
                <w:u w:val="none"/>
              </w:rPr>
            </w:pP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5A4E1C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38FEBD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4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F8BB1">
            <w:pPr>
              <w:rPr>
                <w:rFonts w:hint="default" w:ascii="Times New Roman" w:hAnsi="Times New Roman" w:eastAsia="黑体" w:cs="Times New Roman"/>
                <w:i/>
                <w:iCs/>
                <w:color w:val="000000"/>
                <w:sz w:val="18"/>
                <w:szCs w:val="18"/>
                <w:u w:val="none"/>
              </w:rPr>
            </w:pPr>
          </w:p>
        </w:tc>
      </w:tr>
      <w:tr w14:paraId="1B3F6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5234F6">
            <w:pPr>
              <w:jc w:val="center"/>
              <w:rPr>
                <w:rFonts w:hint="default" w:ascii="Times New Roman" w:hAnsi="Times New Roman" w:eastAsia="宋体" w:cs="Times New Roman"/>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noWrap w:val="0"/>
            <w:vAlign w:val="center"/>
          </w:tcPr>
          <w:p w14:paraId="694859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2C3BAB43">
            <w:pPr>
              <w:jc w:val="center"/>
              <w:rPr>
                <w:rFonts w:hint="default" w:ascii="Times New Roman" w:hAnsi="Times New Roman" w:eastAsia="微软雅黑" w:cs="Times New Roman"/>
                <w:i/>
                <w:iCs/>
                <w:color w:val="000000"/>
                <w:sz w:val="16"/>
                <w:szCs w:val="16"/>
                <w:u w:val="none"/>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583EE91C">
            <w:pPr>
              <w:jc w:val="center"/>
              <w:rPr>
                <w:rFonts w:hint="default" w:ascii="Times New Roman" w:hAnsi="Times New Roman" w:eastAsia="微软雅黑" w:cs="Times New Roman"/>
                <w:i/>
                <w:iCs/>
                <w:color w:val="000000"/>
                <w:sz w:val="16"/>
                <w:szCs w:val="16"/>
                <w:u w:val="none"/>
              </w:rPr>
            </w:pPr>
          </w:p>
        </w:tc>
        <w:tc>
          <w:tcPr>
            <w:tcW w:w="1714" w:type="dxa"/>
            <w:gridSpan w:val="3"/>
            <w:tcBorders>
              <w:top w:val="single" w:color="000000" w:sz="4" w:space="0"/>
              <w:left w:val="single" w:color="000000" w:sz="4" w:space="0"/>
              <w:bottom w:val="single" w:color="000000" w:sz="4" w:space="0"/>
              <w:right w:val="single" w:color="000000" w:sz="4" w:space="0"/>
            </w:tcBorders>
            <w:noWrap w:val="0"/>
            <w:vAlign w:val="center"/>
          </w:tcPr>
          <w:p w14:paraId="210BDC75">
            <w:pPr>
              <w:jc w:val="center"/>
              <w:rPr>
                <w:rFonts w:hint="default" w:ascii="Times New Roman" w:hAnsi="Times New Roman" w:eastAsia="微软雅黑" w:cs="Times New Roman"/>
                <w:i/>
                <w:iCs/>
                <w:color w:val="000000"/>
                <w:sz w:val="16"/>
                <w:szCs w:val="16"/>
                <w:u w:val="none"/>
              </w:rPr>
            </w:pP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29A2927A">
            <w:pPr>
              <w:jc w:val="center"/>
              <w:rPr>
                <w:rFonts w:hint="default" w:ascii="Times New Roman" w:hAnsi="Times New Roman" w:eastAsia="微软雅黑" w:cs="Times New Roman"/>
                <w:i/>
                <w:iCs/>
                <w:color w:val="000000"/>
                <w:sz w:val="16"/>
                <w:szCs w:val="16"/>
                <w:u w:val="none"/>
              </w:rPr>
            </w:pP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C437F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3750F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4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061A29">
            <w:pPr>
              <w:rPr>
                <w:rFonts w:hint="default" w:ascii="Times New Roman" w:hAnsi="Times New Roman" w:eastAsia="黑体" w:cs="Times New Roman"/>
                <w:i/>
                <w:iCs/>
                <w:color w:val="000000"/>
                <w:sz w:val="18"/>
                <w:szCs w:val="18"/>
                <w:u w:val="none"/>
              </w:rPr>
            </w:pPr>
          </w:p>
        </w:tc>
      </w:tr>
      <w:tr w14:paraId="246B9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504009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14:paraId="60C8A5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4F9D3C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35AC53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440B37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2E3029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9888B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2B2844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A7431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63B71C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0523E5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08FC9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 w:hRule="atLeast"/>
        </w:trPr>
        <w:tc>
          <w:tcPr>
            <w:tcW w:w="576" w:type="dxa"/>
            <w:vMerge w:val="restart"/>
            <w:tcBorders>
              <w:top w:val="single" w:color="000000" w:sz="4" w:space="0"/>
              <w:left w:val="single" w:color="000000" w:sz="4" w:space="0"/>
              <w:right w:val="single" w:color="000000" w:sz="4" w:space="0"/>
            </w:tcBorders>
            <w:noWrap w:val="0"/>
            <w:vAlign w:val="center"/>
          </w:tcPr>
          <w:p w14:paraId="75F4AAE3">
            <w:pPr>
              <w:jc w:val="center"/>
              <w:rPr>
                <w:rFonts w:hint="default" w:ascii="Times New Roman" w:hAnsi="Times New Roman" w:eastAsia="宋体" w:cs="Times New Roman"/>
                <w:i w:val="0"/>
                <w:iCs w:val="0"/>
                <w:color w:val="000000"/>
                <w:sz w:val="18"/>
                <w:szCs w:val="18"/>
                <w:u w:val="none"/>
              </w:rPr>
            </w:pPr>
          </w:p>
        </w:tc>
        <w:tc>
          <w:tcPr>
            <w:tcW w:w="1149" w:type="dxa"/>
            <w:vMerge w:val="restart"/>
            <w:tcBorders>
              <w:top w:val="single" w:color="000000" w:sz="4" w:space="0"/>
              <w:left w:val="single" w:color="000000" w:sz="4" w:space="0"/>
              <w:right w:val="single" w:color="000000" w:sz="4" w:space="0"/>
            </w:tcBorders>
            <w:noWrap w:val="0"/>
            <w:vAlign w:val="center"/>
          </w:tcPr>
          <w:p w14:paraId="46E9BF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980" w:type="dxa"/>
            <w:vMerge w:val="restart"/>
            <w:tcBorders>
              <w:top w:val="single" w:color="000000" w:sz="4" w:space="0"/>
              <w:left w:val="single" w:color="000000" w:sz="4" w:space="0"/>
              <w:right w:val="single" w:color="000000" w:sz="4" w:space="0"/>
            </w:tcBorders>
            <w:noWrap w:val="0"/>
            <w:vAlign w:val="center"/>
          </w:tcPr>
          <w:p w14:paraId="20BCEFB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数量指标</w:t>
            </w:r>
          </w:p>
          <w:p w14:paraId="140260F3">
            <w:pPr>
              <w:keepNext w:val="0"/>
              <w:keepLines w:val="0"/>
              <w:widowControl/>
              <w:suppressLineNumbers w:val="0"/>
              <w:jc w:val="center"/>
              <w:textAlignment w:val="center"/>
              <w:rPr>
                <w:rFonts w:hint="default" w:ascii="Times New Roman" w:hAnsi="Times New Roman" w:cs="Times New Roman"/>
                <w:i w:val="0"/>
                <w:iCs w:val="0"/>
                <w:color w:val="000000"/>
                <w:kern w:val="0"/>
                <w:sz w:val="18"/>
                <w:szCs w:val="18"/>
                <w:u w:val="none"/>
                <w:lang w:val="en-US" w:eastAsia="zh-CN" w:bidi="ar"/>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0DA936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人工饲草基地</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41635C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5EC71475">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1200</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841B5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亩</w:t>
            </w: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0F4190C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lang w:val="en-US" w:eastAsia="zh-CN"/>
              </w:rPr>
            </w:pPr>
            <w:r>
              <w:rPr>
                <w:rFonts w:hint="default" w:ascii="Times New Roman" w:hAnsi="Times New Roman" w:cs="Times New Roman"/>
                <w:i w:val="0"/>
                <w:iCs w:val="0"/>
                <w:color w:val="000000"/>
                <w:kern w:val="0"/>
                <w:sz w:val="18"/>
                <w:szCs w:val="18"/>
                <w:u w:val="none"/>
                <w:lang w:val="en-US" w:eastAsia="zh-CN" w:bidi="ar"/>
              </w:rPr>
              <w:t>1200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042C95B9">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4</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1FD677B">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4</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84A6259">
            <w:pPr>
              <w:jc w:val="center"/>
              <w:rPr>
                <w:rFonts w:hint="default" w:ascii="Times New Roman" w:hAnsi="Times New Roman" w:eastAsia="微软雅黑" w:cs="Times New Roman"/>
                <w:i/>
                <w:iCs/>
                <w:color w:val="000000"/>
                <w:sz w:val="16"/>
                <w:szCs w:val="16"/>
                <w:u w:val="none"/>
              </w:rPr>
            </w:pPr>
          </w:p>
        </w:tc>
      </w:tr>
      <w:tr w14:paraId="16BF8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 w:hRule="atLeast"/>
        </w:trPr>
        <w:tc>
          <w:tcPr>
            <w:tcW w:w="576" w:type="dxa"/>
            <w:vMerge w:val="continue"/>
            <w:tcBorders>
              <w:left w:val="single" w:color="000000" w:sz="4" w:space="0"/>
              <w:right w:val="single" w:color="000000" w:sz="4" w:space="0"/>
            </w:tcBorders>
            <w:noWrap w:val="0"/>
            <w:vAlign w:val="center"/>
          </w:tcPr>
          <w:p w14:paraId="1A90F0B7">
            <w:pPr>
              <w:keepNext w:val="0"/>
              <w:keepLines w:val="0"/>
              <w:widowControl/>
              <w:suppressLineNumbers w:val="0"/>
              <w:jc w:val="center"/>
              <w:textAlignment w:val="center"/>
              <w:rPr>
                <w:rFonts w:hint="default" w:ascii="Times New Roman" w:hAnsi="Times New Roman" w:cs="Times New Roman"/>
              </w:rPr>
            </w:pPr>
          </w:p>
        </w:tc>
        <w:tc>
          <w:tcPr>
            <w:tcW w:w="1149" w:type="dxa"/>
            <w:vMerge w:val="continue"/>
            <w:tcBorders>
              <w:left w:val="single" w:color="000000" w:sz="4" w:space="0"/>
              <w:right w:val="single" w:color="000000" w:sz="4" w:space="0"/>
            </w:tcBorders>
            <w:noWrap w:val="0"/>
            <w:vAlign w:val="center"/>
          </w:tcPr>
          <w:p w14:paraId="19540E8C">
            <w:pPr>
              <w:keepNext w:val="0"/>
              <w:keepLines w:val="0"/>
              <w:widowControl/>
              <w:suppressLineNumbers w:val="0"/>
              <w:jc w:val="center"/>
              <w:textAlignment w:val="center"/>
              <w:rPr>
                <w:rFonts w:hint="default" w:ascii="Times New Roman" w:hAnsi="Times New Roman" w:cs="Times New Roman"/>
              </w:rPr>
            </w:pPr>
          </w:p>
        </w:tc>
        <w:tc>
          <w:tcPr>
            <w:tcW w:w="980" w:type="dxa"/>
            <w:vMerge w:val="continue"/>
            <w:tcBorders>
              <w:left w:val="single" w:color="000000" w:sz="4" w:space="0"/>
              <w:right w:val="single" w:color="000000" w:sz="4" w:space="0"/>
            </w:tcBorders>
            <w:noWrap w:val="0"/>
            <w:vAlign w:val="center"/>
          </w:tcPr>
          <w:p w14:paraId="7086B2CF">
            <w:pPr>
              <w:keepNext w:val="0"/>
              <w:keepLines w:val="0"/>
              <w:widowControl/>
              <w:suppressLineNumbers w:val="0"/>
              <w:jc w:val="center"/>
              <w:textAlignment w:val="center"/>
              <w:rPr>
                <w:rFonts w:hint="default" w:ascii="Times New Roman" w:hAnsi="Times New Roman" w:cs="Times New Roman"/>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561E88B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种植饲草</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6E55A88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7D86782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1200</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77242C0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亩</w:t>
            </w: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23308F5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1200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0AF3A22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4</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069C20F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4</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F863DF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60DE0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 w:hRule="atLeast"/>
        </w:trPr>
        <w:tc>
          <w:tcPr>
            <w:tcW w:w="576" w:type="dxa"/>
            <w:vMerge w:val="continue"/>
            <w:tcBorders>
              <w:left w:val="single" w:color="000000" w:sz="4" w:space="0"/>
              <w:right w:val="single" w:color="000000" w:sz="4" w:space="0"/>
            </w:tcBorders>
            <w:noWrap w:val="0"/>
            <w:vAlign w:val="center"/>
          </w:tcPr>
          <w:p w14:paraId="45D1B9A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149" w:type="dxa"/>
            <w:vMerge w:val="continue"/>
            <w:tcBorders>
              <w:left w:val="single" w:color="000000" w:sz="4" w:space="0"/>
              <w:right w:val="single" w:color="000000" w:sz="4" w:space="0"/>
            </w:tcBorders>
            <w:noWrap w:val="0"/>
            <w:vAlign w:val="center"/>
          </w:tcPr>
          <w:p w14:paraId="5225964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980" w:type="dxa"/>
            <w:vMerge w:val="continue"/>
            <w:tcBorders>
              <w:left w:val="single" w:color="000000" w:sz="4" w:space="0"/>
              <w:right w:val="single" w:color="000000" w:sz="4" w:space="0"/>
            </w:tcBorders>
            <w:noWrap w:val="0"/>
            <w:vAlign w:val="center"/>
          </w:tcPr>
          <w:p w14:paraId="67FC749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7002174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采购燕麦种子</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300A7B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6C71A55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18000</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059CF23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公斤</w:t>
            </w: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248AC71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1800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6D0C06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4</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02B6D05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4</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4BEB4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55833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14:paraId="7C7ECC6A">
            <w:pPr>
              <w:jc w:val="center"/>
              <w:rPr>
                <w:rFonts w:hint="default" w:ascii="Times New Roman" w:hAnsi="Times New Roman" w:eastAsia="宋体" w:cs="Times New Roman"/>
                <w:i w:val="0"/>
                <w:iCs w:val="0"/>
                <w:color w:val="000000"/>
                <w:sz w:val="18"/>
                <w:szCs w:val="18"/>
                <w:u w:val="none"/>
              </w:rPr>
            </w:pPr>
          </w:p>
        </w:tc>
        <w:tc>
          <w:tcPr>
            <w:tcW w:w="1149" w:type="dxa"/>
            <w:vMerge w:val="continue"/>
            <w:tcBorders>
              <w:left w:val="single" w:color="000000" w:sz="4" w:space="0"/>
              <w:right w:val="single" w:color="000000" w:sz="4" w:space="0"/>
            </w:tcBorders>
            <w:noWrap w:val="0"/>
            <w:vAlign w:val="center"/>
          </w:tcPr>
          <w:p w14:paraId="7D0F4934">
            <w:pPr>
              <w:jc w:val="center"/>
              <w:rPr>
                <w:rFonts w:hint="default" w:ascii="Times New Roman" w:hAnsi="Times New Roman" w:eastAsia="宋体" w:cs="Times New Roman"/>
                <w:i w:val="0"/>
                <w:iCs w:val="0"/>
                <w:color w:val="000000"/>
                <w:sz w:val="18"/>
                <w:szCs w:val="18"/>
                <w:u w:val="none"/>
              </w:rPr>
            </w:pPr>
          </w:p>
        </w:tc>
        <w:tc>
          <w:tcPr>
            <w:tcW w:w="980" w:type="dxa"/>
            <w:vMerge w:val="continue"/>
            <w:tcBorders>
              <w:left w:val="single" w:color="000000" w:sz="4" w:space="0"/>
              <w:right w:val="single" w:color="000000" w:sz="4" w:space="0"/>
            </w:tcBorders>
            <w:noWrap w:val="0"/>
            <w:vAlign w:val="center"/>
          </w:tcPr>
          <w:p w14:paraId="12AB8D48">
            <w:pPr>
              <w:jc w:val="center"/>
              <w:rPr>
                <w:rFonts w:hint="default" w:ascii="Times New Roman" w:hAnsi="Times New Roman" w:eastAsia="宋体" w:cs="Times New Roman"/>
                <w:i w:val="0"/>
                <w:iCs w:val="0"/>
                <w:color w:val="000000"/>
                <w:sz w:val="18"/>
                <w:szCs w:val="18"/>
                <w:u w:val="none"/>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6A4DEB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背负式收割机</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2B9B24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3B6F2E27">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6</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C54CE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台</w:t>
            </w: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1A91278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lang w:val="en-US" w:eastAsia="zh-CN"/>
              </w:rPr>
            </w:pPr>
            <w:r>
              <w:rPr>
                <w:rFonts w:hint="default" w:ascii="Times New Roman" w:hAnsi="Times New Roman" w:cs="Times New Roman"/>
                <w:i w:val="0"/>
                <w:iCs w:val="0"/>
                <w:color w:val="000000"/>
                <w:kern w:val="0"/>
                <w:sz w:val="18"/>
                <w:szCs w:val="18"/>
                <w:u w:val="none"/>
                <w:lang w:val="en-US" w:eastAsia="zh-CN" w:bidi="ar"/>
              </w:rPr>
              <w:t>6台</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53D2BF2B">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4</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74C30F19">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4</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71694D4">
            <w:pPr>
              <w:jc w:val="center"/>
              <w:rPr>
                <w:rFonts w:hint="default" w:ascii="Times New Roman" w:hAnsi="Times New Roman" w:eastAsia="微软雅黑" w:cs="Times New Roman"/>
                <w:i/>
                <w:iCs/>
                <w:color w:val="000000"/>
                <w:sz w:val="16"/>
                <w:szCs w:val="16"/>
                <w:u w:val="none"/>
              </w:rPr>
            </w:pPr>
          </w:p>
        </w:tc>
      </w:tr>
      <w:tr w14:paraId="2052C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14:paraId="75EA1660">
            <w:pPr>
              <w:jc w:val="center"/>
              <w:rPr>
                <w:rFonts w:hint="default" w:ascii="Times New Roman" w:hAnsi="Times New Roman" w:eastAsia="宋体" w:cs="Times New Roman"/>
                <w:i w:val="0"/>
                <w:iCs w:val="0"/>
                <w:color w:val="000000"/>
                <w:sz w:val="18"/>
                <w:szCs w:val="18"/>
                <w:u w:val="none"/>
              </w:rPr>
            </w:pPr>
          </w:p>
        </w:tc>
        <w:tc>
          <w:tcPr>
            <w:tcW w:w="1149" w:type="dxa"/>
            <w:vMerge w:val="continue"/>
            <w:tcBorders>
              <w:left w:val="single" w:color="000000" w:sz="4" w:space="0"/>
              <w:right w:val="single" w:color="000000" w:sz="4" w:space="0"/>
            </w:tcBorders>
            <w:noWrap w:val="0"/>
            <w:vAlign w:val="center"/>
          </w:tcPr>
          <w:p w14:paraId="0577CE57">
            <w:pPr>
              <w:jc w:val="center"/>
              <w:rPr>
                <w:rFonts w:hint="default" w:ascii="Times New Roman" w:hAnsi="Times New Roman" w:eastAsia="宋体" w:cs="Times New Roman"/>
                <w:i w:val="0"/>
                <w:iCs w:val="0"/>
                <w:color w:val="000000"/>
                <w:sz w:val="18"/>
                <w:szCs w:val="18"/>
                <w:u w:val="none"/>
              </w:rPr>
            </w:pPr>
          </w:p>
        </w:tc>
        <w:tc>
          <w:tcPr>
            <w:tcW w:w="980" w:type="dxa"/>
            <w:vMerge w:val="continue"/>
            <w:tcBorders>
              <w:left w:val="single" w:color="000000" w:sz="4" w:space="0"/>
              <w:right w:val="single" w:color="000000" w:sz="4" w:space="0"/>
            </w:tcBorders>
            <w:noWrap w:val="0"/>
            <w:vAlign w:val="center"/>
          </w:tcPr>
          <w:p w14:paraId="2C3C62D0">
            <w:pPr>
              <w:keepNext w:val="0"/>
              <w:keepLines w:val="0"/>
              <w:widowControl/>
              <w:suppressLineNumbers w:val="0"/>
              <w:jc w:val="center"/>
              <w:textAlignment w:val="center"/>
              <w:rPr>
                <w:rFonts w:hint="default" w:ascii="Times New Roman" w:hAnsi="Times New Roman" w:cs="Times New Roman"/>
                <w:i w:val="0"/>
                <w:iCs w:val="0"/>
                <w:color w:val="000000"/>
                <w:kern w:val="0"/>
                <w:sz w:val="18"/>
                <w:szCs w:val="18"/>
                <w:u w:val="none"/>
                <w:lang w:val="en-US" w:eastAsia="zh-CN" w:bidi="ar"/>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6BBD54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cs="Times New Roman"/>
                <w:i w:val="0"/>
                <w:iCs w:val="0"/>
                <w:color w:val="000000"/>
                <w:kern w:val="0"/>
                <w:sz w:val="18"/>
                <w:szCs w:val="18"/>
                <w:u w:val="none"/>
                <w:lang w:val="en-US" w:eastAsia="zh-CN" w:bidi="ar"/>
              </w:rPr>
              <w:t>翻耕机</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7FCA0B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7B286479">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2</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173092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台</w:t>
            </w: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48654506">
            <w:pPr>
              <w:jc w:val="center"/>
              <w:rPr>
                <w:rFonts w:hint="default" w:ascii="Times New Roman" w:hAnsi="Times New Roman" w:eastAsia="微软雅黑" w:cs="Times New Roman"/>
                <w:i/>
                <w:iCs/>
                <w:color w:val="000000"/>
                <w:sz w:val="16"/>
                <w:szCs w:val="16"/>
                <w:u w:val="none"/>
                <w:lang w:val="en-US" w:eastAsia="zh-CN"/>
              </w:rPr>
            </w:pPr>
            <w:r>
              <w:rPr>
                <w:rFonts w:hint="default" w:ascii="Times New Roman" w:hAnsi="Times New Roman" w:eastAsia="宋体" w:cs="Times New Roman"/>
                <w:i w:val="0"/>
                <w:iCs w:val="0"/>
                <w:color w:val="000000"/>
                <w:sz w:val="18"/>
                <w:szCs w:val="18"/>
                <w:u w:val="none"/>
                <w:lang w:val="en-US" w:eastAsia="zh-CN"/>
              </w:rPr>
              <w:t>2台</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0147882C">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4</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60A77175">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4</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098FC9EB">
            <w:pPr>
              <w:jc w:val="center"/>
              <w:rPr>
                <w:rFonts w:hint="default" w:ascii="Times New Roman" w:hAnsi="Times New Roman" w:eastAsia="微软雅黑" w:cs="Times New Roman"/>
                <w:i/>
                <w:iCs/>
                <w:color w:val="000000"/>
                <w:sz w:val="16"/>
                <w:szCs w:val="16"/>
                <w:u w:val="none"/>
              </w:rPr>
            </w:pPr>
          </w:p>
        </w:tc>
      </w:tr>
      <w:tr w14:paraId="3922E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right w:val="single" w:color="000000" w:sz="4" w:space="0"/>
            </w:tcBorders>
            <w:noWrap w:val="0"/>
            <w:vAlign w:val="center"/>
          </w:tcPr>
          <w:p w14:paraId="0D103232">
            <w:pPr>
              <w:jc w:val="center"/>
              <w:rPr>
                <w:rFonts w:hint="default" w:ascii="Times New Roman" w:hAnsi="Times New Roman" w:eastAsia="宋体" w:cs="Times New Roman"/>
                <w:i w:val="0"/>
                <w:iCs w:val="0"/>
                <w:color w:val="000000"/>
                <w:sz w:val="18"/>
                <w:szCs w:val="18"/>
                <w:u w:val="none"/>
              </w:rPr>
            </w:pPr>
          </w:p>
        </w:tc>
        <w:tc>
          <w:tcPr>
            <w:tcW w:w="1149" w:type="dxa"/>
            <w:vMerge w:val="continue"/>
            <w:tcBorders>
              <w:left w:val="single" w:color="000000" w:sz="4" w:space="0"/>
              <w:right w:val="single" w:color="000000" w:sz="4" w:space="0"/>
            </w:tcBorders>
            <w:noWrap w:val="0"/>
            <w:vAlign w:val="center"/>
          </w:tcPr>
          <w:p w14:paraId="16B00D7C">
            <w:pPr>
              <w:jc w:val="center"/>
              <w:rPr>
                <w:rFonts w:hint="default" w:ascii="Times New Roman" w:hAnsi="Times New Roman" w:eastAsia="宋体" w:cs="Times New Roman"/>
                <w:i w:val="0"/>
                <w:iCs w:val="0"/>
                <w:color w:val="000000"/>
                <w:sz w:val="18"/>
                <w:szCs w:val="18"/>
                <w:u w:val="none"/>
              </w:rPr>
            </w:pPr>
          </w:p>
        </w:tc>
        <w:tc>
          <w:tcPr>
            <w:tcW w:w="980" w:type="dxa"/>
            <w:vMerge w:val="continue"/>
            <w:tcBorders>
              <w:left w:val="single" w:color="000000" w:sz="4" w:space="0"/>
              <w:right w:val="single" w:color="000000" w:sz="4" w:space="0"/>
            </w:tcBorders>
            <w:noWrap w:val="0"/>
            <w:vAlign w:val="center"/>
          </w:tcPr>
          <w:p w14:paraId="35EE0E5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2EADB2F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采购网围栏</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29076B1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62BCFF3B">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7000</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76D38075">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米</w:t>
            </w: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037D1D10">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7000米</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5D1D734C">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4</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AB0C7D8">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4</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1ECD4655">
            <w:pPr>
              <w:jc w:val="center"/>
              <w:rPr>
                <w:rFonts w:hint="default" w:ascii="Times New Roman" w:hAnsi="Times New Roman" w:eastAsia="微软雅黑" w:cs="Times New Roman"/>
                <w:i/>
                <w:iCs/>
                <w:color w:val="000000"/>
                <w:sz w:val="16"/>
                <w:szCs w:val="16"/>
                <w:u w:val="none"/>
              </w:rPr>
            </w:pPr>
          </w:p>
        </w:tc>
      </w:tr>
      <w:tr w14:paraId="46E58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76" w:type="dxa"/>
            <w:vMerge w:val="continue"/>
            <w:tcBorders>
              <w:left w:val="single" w:color="000000" w:sz="4" w:space="0"/>
              <w:bottom w:val="single" w:color="000000" w:sz="4" w:space="0"/>
              <w:right w:val="single" w:color="000000" w:sz="4" w:space="0"/>
            </w:tcBorders>
            <w:noWrap w:val="0"/>
            <w:vAlign w:val="center"/>
          </w:tcPr>
          <w:p w14:paraId="6BB3E737">
            <w:pPr>
              <w:jc w:val="center"/>
              <w:rPr>
                <w:rFonts w:hint="default" w:ascii="Times New Roman" w:hAnsi="Times New Roman" w:eastAsia="宋体" w:cs="Times New Roman"/>
                <w:i w:val="0"/>
                <w:iCs w:val="0"/>
                <w:color w:val="000000"/>
                <w:sz w:val="18"/>
                <w:szCs w:val="18"/>
                <w:u w:val="none"/>
              </w:rPr>
            </w:pPr>
          </w:p>
        </w:tc>
        <w:tc>
          <w:tcPr>
            <w:tcW w:w="1149" w:type="dxa"/>
            <w:vMerge w:val="continue"/>
            <w:tcBorders>
              <w:left w:val="single" w:color="000000" w:sz="4" w:space="0"/>
              <w:right w:val="single" w:color="000000" w:sz="4" w:space="0"/>
            </w:tcBorders>
            <w:noWrap w:val="0"/>
            <w:vAlign w:val="center"/>
          </w:tcPr>
          <w:p w14:paraId="7B4D87EF">
            <w:pPr>
              <w:jc w:val="center"/>
              <w:rPr>
                <w:rFonts w:hint="default" w:ascii="Times New Roman" w:hAnsi="Times New Roman" w:eastAsia="宋体" w:cs="Times New Roman"/>
                <w:i w:val="0"/>
                <w:iCs w:val="0"/>
                <w:color w:val="000000"/>
                <w:sz w:val="18"/>
                <w:szCs w:val="18"/>
                <w:u w:val="none"/>
              </w:rPr>
            </w:pPr>
          </w:p>
        </w:tc>
        <w:tc>
          <w:tcPr>
            <w:tcW w:w="980" w:type="dxa"/>
            <w:vMerge w:val="continue"/>
            <w:tcBorders>
              <w:left w:val="single" w:color="000000" w:sz="4" w:space="0"/>
              <w:bottom w:val="single" w:color="000000" w:sz="4" w:space="0"/>
              <w:right w:val="single" w:color="000000" w:sz="4" w:space="0"/>
            </w:tcBorders>
            <w:noWrap w:val="0"/>
            <w:vAlign w:val="center"/>
          </w:tcPr>
          <w:p w14:paraId="01C16D38">
            <w:pPr>
              <w:keepNext w:val="0"/>
              <w:keepLines w:val="0"/>
              <w:widowControl/>
              <w:suppressLineNumbers w:val="0"/>
              <w:jc w:val="center"/>
              <w:textAlignment w:val="center"/>
              <w:rPr>
                <w:rFonts w:hint="default" w:ascii="Times New Roman" w:hAnsi="Times New Roman" w:cs="Times New Roman"/>
                <w:i w:val="0"/>
                <w:iCs w:val="0"/>
                <w:color w:val="000000"/>
                <w:kern w:val="0"/>
                <w:sz w:val="18"/>
                <w:szCs w:val="18"/>
                <w:u w:val="none"/>
                <w:lang w:val="en-US" w:eastAsia="zh-CN" w:bidi="ar"/>
              </w:rPr>
            </w:pP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1BA66713">
            <w:pPr>
              <w:keepNext w:val="0"/>
              <w:keepLines w:val="0"/>
              <w:widowControl/>
              <w:suppressLineNumbers w:val="0"/>
              <w:jc w:val="center"/>
              <w:textAlignment w:val="center"/>
              <w:rPr>
                <w:rFonts w:hint="default" w:ascii="Times New Roman" w:hAnsi="Times New Roman"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土地复耕</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17E48648">
            <w:pPr>
              <w:keepNext w:val="0"/>
              <w:keepLines w:val="0"/>
              <w:widowControl/>
              <w:suppressLineNumbers w:val="0"/>
              <w:jc w:val="center"/>
              <w:textAlignment w:val="center"/>
              <w:rPr>
                <w:rFonts w:hint="default" w:ascii="Times New Roman" w:hAnsi="Times New Roman"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675FE917">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1200</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0FA09C9E">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亩</w:t>
            </w: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528A6D48">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1200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0A359457">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6</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839A3D5">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6</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31105E5D">
            <w:pPr>
              <w:jc w:val="center"/>
              <w:rPr>
                <w:rFonts w:hint="default" w:ascii="Times New Roman" w:hAnsi="Times New Roman" w:eastAsia="微软雅黑" w:cs="Times New Roman"/>
                <w:i/>
                <w:iCs/>
                <w:color w:val="000000"/>
                <w:sz w:val="16"/>
                <w:szCs w:val="16"/>
                <w:u w:val="none"/>
              </w:rPr>
            </w:pPr>
          </w:p>
        </w:tc>
      </w:tr>
      <w:tr w14:paraId="38F0A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751AF231">
            <w:pPr>
              <w:jc w:val="center"/>
              <w:rPr>
                <w:rFonts w:hint="default" w:ascii="Times New Roman" w:hAnsi="Times New Roman" w:eastAsia="宋体" w:cs="Times New Roman"/>
                <w:i w:val="0"/>
                <w:iCs w:val="0"/>
                <w:color w:val="000000"/>
                <w:sz w:val="18"/>
                <w:szCs w:val="18"/>
                <w:u w:val="none"/>
              </w:rPr>
            </w:pPr>
          </w:p>
        </w:tc>
        <w:tc>
          <w:tcPr>
            <w:tcW w:w="1149" w:type="dxa"/>
            <w:vMerge w:val="continue"/>
            <w:tcBorders>
              <w:left w:val="single" w:color="000000" w:sz="4" w:space="0"/>
              <w:right w:val="single" w:color="000000" w:sz="4" w:space="0"/>
            </w:tcBorders>
            <w:noWrap w:val="0"/>
            <w:vAlign w:val="center"/>
          </w:tcPr>
          <w:p w14:paraId="28C427EC">
            <w:pPr>
              <w:keepNext w:val="0"/>
              <w:keepLines w:val="0"/>
              <w:widowControl/>
              <w:suppressLineNumbers w:val="0"/>
              <w:jc w:val="both"/>
              <w:textAlignment w:val="center"/>
              <w:rPr>
                <w:rFonts w:hint="default" w:ascii="Times New Roman" w:hAnsi="Times New Roman" w:eastAsia="宋体" w:cs="Times New Roman"/>
                <w:i w:val="0"/>
                <w:iCs w:val="0"/>
                <w:color w:val="000000"/>
                <w:sz w:val="18"/>
                <w:szCs w:val="18"/>
                <w:u w:val="none"/>
              </w:rPr>
            </w:pP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58CAEF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eastAsia="zh-CN"/>
              </w:rPr>
            </w:pPr>
            <w:r>
              <w:rPr>
                <w:rFonts w:hint="default" w:ascii="Times New Roman" w:hAnsi="Times New Roman" w:eastAsia="宋体" w:cs="Times New Roman"/>
                <w:i w:val="0"/>
                <w:iCs w:val="0"/>
                <w:color w:val="000000"/>
                <w:sz w:val="18"/>
                <w:szCs w:val="18"/>
                <w:u w:val="none"/>
                <w:lang w:eastAsia="zh-CN"/>
              </w:rPr>
              <w:t>质量指标</w:t>
            </w: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0AAB31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项目验收合格率</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6C35A0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4881A1E4">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100%</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4956B7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w:t>
            </w: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4195F680">
            <w:pPr>
              <w:jc w:val="both"/>
              <w:rPr>
                <w:rFonts w:hint="default" w:ascii="Times New Roman" w:hAnsi="Times New Roman" w:eastAsia="微软雅黑" w:cs="Times New Roman"/>
                <w:i/>
                <w:iCs/>
                <w:color w:val="000000"/>
                <w:sz w:val="16"/>
                <w:szCs w:val="16"/>
                <w:u w:val="none"/>
                <w:lang w:val="en-US" w:eastAsia="zh-CN"/>
              </w:rPr>
            </w:pPr>
            <w:r>
              <w:rPr>
                <w:rFonts w:hint="default" w:ascii="Times New Roman" w:hAnsi="Times New Roman" w:eastAsia="宋体" w:cs="Times New Roman"/>
                <w:i w:val="0"/>
                <w:iCs w:val="0"/>
                <w:color w:val="000000"/>
                <w:sz w:val="18"/>
                <w:szCs w:val="18"/>
                <w:u w:val="none"/>
                <w:lang w:val="en-US" w:eastAsia="zh-CN"/>
              </w:rPr>
              <w:t>100%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0CD53E4B">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303F8600">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10</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FDC4729">
            <w:pPr>
              <w:jc w:val="center"/>
              <w:rPr>
                <w:rFonts w:hint="default" w:ascii="Times New Roman" w:hAnsi="Times New Roman" w:eastAsia="微软雅黑" w:cs="Times New Roman"/>
                <w:i/>
                <w:iCs/>
                <w:color w:val="000000"/>
                <w:sz w:val="16"/>
                <w:szCs w:val="16"/>
                <w:u w:val="none"/>
              </w:rPr>
            </w:pPr>
          </w:p>
        </w:tc>
      </w:tr>
      <w:tr w14:paraId="126E1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369B1DE9">
            <w:pPr>
              <w:jc w:val="center"/>
              <w:rPr>
                <w:rFonts w:hint="default" w:ascii="Times New Roman" w:hAnsi="Times New Roman" w:eastAsia="宋体" w:cs="Times New Roman"/>
                <w:i w:val="0"/>
                <w:iCs w:val="0"/>
                <w:color w:val="000000"/>
                <w:sz w:val="18"/>
                <w:szCs w:val="18"/>
                <w:u w:val="none"/>
              </w:rPr>
            </w:pPr>
          </w:p>
        </w:tc>
        <w:tc>
          <w:tcPr>
            <w:tcW w:w="1149" w:type="dxa"/>
            <w:vMerge w:val="continue"/>
            <w:tcBorders>
              <w:left w:val="single" w:color="000000" w:sz="4" w:space="0"/>
              <w:bottom w:val="single" w:color="000000" w:sz="4" w:space="0"/>
              <w:right w:val="single" w:color="000000" w:sz="4" w:space="0"/>
            </w:tcBorders>
            <w:noWrap w:val="0"/>
            <w:vAlign w:val="center"/>
          </w:tcPr>
          <w:p w14:paraId="16BC71E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7712F654">
            <w:pPr>
              <w:keepNext w:val="0"/>
              <w:keepLines w:val="0"/>
              <w:widowControl/>
              <w:suppressLineNumbers w:val="0"/>
              <w:jc w:val="center"/>
              <w:textAlignment w:val="center"/>
              <w:rPr>
                <w:rFonts w:hint="default" w:ascii="Times New Roman" w:hAnsi="Times New Roman"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时效指标</w:t>
            </w: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5B2F4FDB">
            <w:pPr>
              <w:keepNext w:val="0"/>
              <w:keepLines w:val="0"/>
              <w:widowControl/>
              <w:suppressLineNumbers w:val="0"/>
              <w:jc w:val="center"/>
              <w:textAlignment w:val="center"/>
              <w:rPr>
                <w:rFonts w:hint="default" w:ascii="Times New Roman" w:hAnsi="Times New Roman"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项目时限（2025年4月至2025年10月</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10B71EF">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25C5E8A1">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7</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36EF0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eastAsia="zh-CN"/>
              </w:rPr>
            </w:pPr>
            <w:r>
              <w:rPr>
                <w:rFonts w:hint="default" w:ascii="Times New Roman" w:hAnsi="Times New Roman" w:eastAsia="宋体" w:cs="Times New Roman"/>
                <w:i w:val="0"/>
                <w:iCs w:val="0"/>
                <w:color w:val="000000"/>
                <w:sz w:val="18"/>
                <w:szCs w:val="18"/>
                <w:u w:val="none"/>
                <w:lang w:eastAsia="zh-CN"/>
              </w:rPr>
              <w:t>月</w:t>
            </w: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342848CC">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7个月</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56B523B8">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93090C9">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10</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3A5FF275">
            <w:pPr>
              <w:jc w:val="center"/>
              <w:rPr>
                <w:rFonts w:hint="default" w:ascii="Times New Roman" w:hAnsi="Times New Roman" w:eastAsia="微软雅黑" w:cs="Times New Roman"/>
                <w:i/>
                <w:iCs/>
                <w:color w:val="000000"/>
                <w:sz w:val="16"/>
                <w:szCs w:val="16"/>
                <w:u w:val="none"/>
              </w:rPr>
            </w:pPr>
          </w:p>
        </w:tc>
      </w:tr>
      <w:tr w14:paraId="31232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20BCA7B7">
            <w:pPr>
              <w:jc w:val="center"/>
              <w:rPr>
                <w:rFonts w:hint="default" w:ascii="Times New Roman" w:hAnsi="Times New Roman" w:eastAsia="宋体" w:cs="Times New Roman"/>
                <w:i w:val="0"/>
                <w:iCs w:val="0"/>
                <w:color w:val="000000"/>
                <w:sz w:val="18"/>
                <w:szCs w:val="18"/>
                <w:u w:val="none"/>
              </w:rPr>
            </w:pPr>
          </w:p>
        </w:tc>
        <w:tc>
          <w:tcPr>
            <w:tcW w:w="1149" w:type="dxa"/>
            <w:vMerge w:val="restart"/>
            <w:tcBorders>
              <w:top w:val="single" w:color="000000" w:sz="4" w:space="0"/>
              <w:left w:val="single" w:color="000000" w:sz="4" w:space="0"/>
              <w:right w:val="single" w:color="000000" w:sz="4" w:space="0"/>
            </w:tcBorders>
            <w:noWrap w:val="0"/>
            <w:vAlign w:val="center"/>
          </w:tcPr>
          <w:p w14:paraId="736547A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6D21FEE5">
            <w:pPr>
              <w:keepNext w:val="0"/>
              <w:keepLines w:val="0"/>
              <w:widowControl/>
              <w:suppressLineNumbers w:val="0"/>
              <w:jc w:val="center"/>
              <w:textAlignment w:val="center"/>
              <w:rPr>
                <w:rFonts w:hint="default" w:ascii="Times New Roman" w:hAnsi="Times New Roman"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经济效益指标</w:t>
            </w: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4B070BA0">
            <w:pPr>
              <w:keepNext w:val="0"/>
              <w:keepLines w:val="0"/>
              <w:widowControl/>
              <w:suppressLineNumbers w:val="0"/>
              <w:jc w:val="center"/>
              <w:textAlignment w:val="center"/>
              <w:rPr>
                <w:rFonts w:hint="default" w:ascii="Times New Roman" w:hAnsi="Times New Roman"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带动牧民务工增收</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955982B">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1773814B">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10000</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13DEE0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eastAsia="zh-CN"/>
              </w:rPr>
            </w:pPr>
            <w:r>
              <w:rPr>
                <w:rFonts w:hint="default" w:ascii="Times New Roman" w:hAnsi="Times New Roman" w:eastAsia="宋体" w:cs="Times New Roman"/>
                <w:i w:val="0"/>
                <w:iCs w:val="0"/>
                <w:color w:val="000000"/>
                <w:sz w:val="18"/>
                <w:szCs w:val="18"/>
                <w:u w:val="none"/>
                <w:lang w:eastAsia="zh-CN"/>
              </w:rPr>
              <w:t>元</w:t>
            </w: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3CA2F965">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10000元</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092D30C8">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8</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0E6074E7">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10</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1E510E94">
            <w:pPr>
              <w:jc w:val="center"/>
              <w:rPr>
                <w:rFonts w:hint="default" w:ascii="Times New Roman" w:hAnsi="Times New Roman" w:eastAsia="微软雅黑" w:cs="Times New Roman"/>
                <w:i/>
                <w:iCs/>
                <w:color w:val="000000"/>
                <w:sz w:val="16"/>
                <w:szCs w:val="16"/>
                <w:u w:val="none"/>
              </w:rPr>
            </w:pPr>
          </w:p>
        </w:tc>
      </w:tr>
      <w:tr w14:paraId="0F20B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0C3F9BF2">
            <w:pPr>
              <w:jc w:val="center"/>
              <w:rPr>
                <w:rFonts w:hint="default" w:ascii="Times New Roman" w:hAnsi="Times New Roman" w:eastAsia="宋体" w:cs="Times New Roman"/>
                <w:i w:val="0"/>
                <w:iCs w:val="0"/>
                <w:color w:val="000000"/>
                <w:sz w:val="18"/>
                <w:szCs w:val="18"/>
                <w:u w:val="none"/>
              </w:rPr>
            </w:pPr>
          </w:p>
        </w:tc>
        <w:tc>
          <w:tcPr>
            <w:tcW w:w="1149" w:type="dxa"/>
            <w:vMerge w:val="continue"/>
            <w:tcBorders>
              <w:left w:val="single" w:color="000000" w:sz="4" w:space="0"/>
              <w:bottom w:val="single" w:color="000000" w:sz="4" w:space="0"/>
              <w:right w:val="single" w:color="000000" w:sz="4" w:space="0"/>
            </w:tcBorders>
            <w:noWrap w:val="0"/>
            <w:vAlign w:val="center"/>
          </w:tcPr>
          <w:p w14:paraId="689275C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2CADCDDC">
            <w:pPr>
              <w:keepNext w:val="0"/>
              <w:keepLines w:val="0"/>
              <w:widowControl/>
              <w:suppressLineNumbers w:val="0"/>
              <w:jc w:val="center"/>
              <w:textAlignment w:val="center"/>
              <w:rPr>
                <w:rFonts w:hint="default" w:ascii="Times New Roman" w:hAnsi="Times New Roman"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社会效益指标</w:t>
            </w: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4F4F2908">
            <w:pPr>
              <w:keepNext w:val="0"/>
              <w:keepLines w:val="0"/>
              <w:widowControl/>
              <w:suppressLineNumbers w:val="0"/>
              <w:jc w:val="center"/>
              <w:textAlignment w:val="center"/>
              <w:rPr>
                <w:rFonts w:hint="default" w:ascii="Times New Roman" w:hAnsi="Times New Roman"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收益牧民人数</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3604F15D">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0E2D3CE1">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100</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1E4291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eastAsia="zh-CN"/>
              </w:rPr>
            </w:pPr>
            <w:r>
              <w:rPr>
                <w:rFonts w:hint="default" w:ascii="Times New Roman" w:hAnsi="Times New Roman" w:eastAsia="宋体" w:cs="Times New Roman"/>
                <w:i w:val="0"/>
                <w:iCs w:val="0"/>
                <w:color w:val="000000"/>
                <w:sz w:val="18"/>
                <w:szCs w:val="18"/>
                <w:u w:val="none"/>
                <w:lang w:eastAsia="zh-CN"/>
              </w:rPr>
              <w:t>人</w:t>
            </w: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12EB2308">
            <w:pPr>
              <w:jc w:val="both"/>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100人</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4C3D4EF">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38D5A2E">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10</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023E41D">
            <w:pPr>
              <w:jc w:val="center"/>
              <w:rPr>
                <w:rFonts w:hint="default" w:ascii="Times New Roman" w:hAnsi="Times New Roman" w:eastAsia="微软雅黑" w:cs="Times New Roman"/>
                <w:i/>
                <w:iCs/>
                <w:color w:val="000000"/>
                <w:sz w:val="16"/>
                <w:szCs w:val="16"/>
                <w:u w:val="none"/>
              </w:rPr>
            </w:pPr>
          </w:p>
        </w:tc>
      </w:tr>
      <w:tr w14:paraId="2B726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779B82E5">
            <w:pPr>
              <w:jc w:val="center"/>
              <w:rPr>
                <w:rFonts w:hint="default" w:ascii="Times New Roman" w:hAnsi="Times New Roman" w:eastAsia="宋体" w:cs="Times New Roman"/>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noWrap w:val="0"/>
            <w:vAlign w:val="center"/>
          </w:tcPr>
          <w:p w14:paraId="5C9E126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77E12CE9">
            <w:pPr>
              <w:keepNext w:val="0"/>
              <w:keepLines w:val="0"/>
              <w:widowControl/>
              <w:suppressLineNumbers w:val="0"/>
              <w:jc w:val="center"/>
              <w:textAlignment w:val="center"/>
              <w:rPr>
                <w:rFonts w:hint="default" w:ascii="Times New Roman" w:hAnsi="Times New Roman"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帮扶对象满意度指标</w:t>
            </w: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0A013910">
            <w:pPr>
              <w:keepNext w:val="0"/>
              <w:keepLines w:val="0"/>
              <w:widowControl/>
              <w:suppressLineNumbers w:val="0"/>
              <w:jc w:val="center"/>
              <w:textAlignment w:val="center"/>
              <w:rPr>
                <w:rFonts w:hint="default" w:ascii="Times New Roman" w:hAnsi="Times New Roman"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帮扶对象满意度</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4D93B684">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5FA1AC9B">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98</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3B013B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w:t>
            </w: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21451E4D">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98%</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7B2A9B36">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7F7AEAAA">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10</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5E81ED91">
            <w:pPr>
              <w:jc w:val="center"/>
              <w:rPr>
                <w:rFonts w:hint="default" w:ascii="Times New Roman" w:hAnsi="Times New Roman" w:eastAsia="微软雅黑" w:cs="Times New Roman"/>
                <w:i/>
                <w:iCs/>
                <w:color w:val="000000"/>
                <w:sz w:val="16"/>
                <w:szCs w:val="16"/>
                <w:u w:val="none"/>
              </w:rPr>
            </w:pPr>
          </w:p>
        </w:tc>
      </w:tr>
      <w:tr w14:paraId="03F6E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48863551">
            <w:pPr>
              <w:jc w:val="center"/>
              <w:rPr>
                <w:rFonts w:hint="default" w:ascii="Times New Roman" w:hAnsi="Times New Roman" w:eastAsia="宋体" w:cs="Times New Roman"/>
                <w:i w:val="0"/>
                <w:iCs w:val="0"/>
                <w:color w:val="000000"/>
                <w:sz w:val="18"/>
                <w:szCs w:val="18"/>
                <w:u w:val="none"/>
              </w:rPr>
            </w:pPr>
          </w:p>
        </w:tc>
        <w:tc>
          <w:tcPr>
            <w:tcW w:w="1149" w:type="dxa"/>
            <w:tcBorders>
              <w:top w:val="single" w:color="000000" w:sz="4" w:space="0"/>
              <w:left w:val="single" w:color="000000" w:sz="4" w:space="0"/>
              <w:bottom w:val="single" w:color="000000" w:sz="4" w:space="0"/>
              <w:right w:val="single" w:color="000000" w:sz="4" w:space="0"/>
            </w:tcBorders>
            <w:noWrap w:val="0"/>
            <w:vAlign w:val="center"/>
          </w:tcPr>
          <w:p w14:paraId="5D3080C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343FCFA2">
            <w:pPr>
              <w:keepNext w:val="0"/>
              <w:keepLines w:val="0"/>
              <w:widowControl/>
              <w:suppressLineNumbers w:val="0"/>
              <w:jc w:val="center"/>
              <w:textAlignment w:val="center"/>
              <w:rPr>
                <w:rFonts w:hint="default" w:ascii="Times New Roman" w:hAnsi="Times New Roman"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经济成本指标</w:t>
            </w:r>
          </w:p>
        </w:tc>
        <w:tc>
          <w:tcPr>
            <w:tcW w:w="1277" w:type="dxa"/>
            <w:tcBorders>
              <w:top w:val="single" w:color="000000" w:sz="4" w:space="0"/>
              <w:left w:val="single" w:color="000000" w:sz="4" w:space="0"/>
              <w:bottom w:val="single" w:color="000000" w:sz="4" w:space="0"/>
              <w:right w:val="single" w:color="000000" w:sz="4" w:space="0"/>
            </w:tcBorders>
            <w:noWrap w:val="0"/>
            <w:vAlign w:val="center"/>
          </w:tcPr>
          <w:p w14:paraId="7AB0AA3D">
            <w:pPr>
              <w:keepNext w:val="0"/>
              <w:keepLines w:val="0"/>
              <w:widowControl/>
              <w:suppressLineNumbers w:val="0"/>
              <w:jc w:val="center"/>
              <w:textAlignment w:val="center"/>
              <w:rPr>
                <w:rFonts w:hint="default" w:ascii="Times New Roman" w:hAnsi="Times New Roman"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项目总投资控制在财政预算内</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254648B6">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67C5CFFF">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105</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2CCC9F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eastAsia="zh-CN"/>
              </w:rPr>
            </w:pPr>
            <w:r>
              <w:rPr>
                <w:rFonts w:hint="default" w:ascii="Times New Roman" w:hAnsi="Times New Roman" w:eastAsia="宋体" w:cs="Times New Roman"/>
                <w:i w:val="0"/>
                <w:iCs w:val="0"/>
                <w:color w:val="000000"/>
                <w:sz w:val="18"/>
                <w:szCs w:val="18"/>
                <w:u w:val="none"/>
                <w:lang w:eastAsia="zh-CN"/>
              </w:rPr>
              <w:t>万元</w:t>
            </w:r>
          </w:p>
        </w:tc>
        <w:tc>
          <w:tcPr>
            <w:tcW w:w="577" w:type="dxa"/>
            <w:tcBorders>
              <w:top w:val="single" w:color="000000" w:sz="4" w:space="0"/>
              <w:left w:val="single" w:color="000000" w:sz="4" w:space="0"/>
              <w:bottom w:val="single" w:color="000000" w:sz="4" w:space="0"/>
              <w:right w:val="single" w:color="000000" w:sz="4" w:space="0"/>
            </w:tcBorders>
            <w:noWrap w:val="0"/>
            <w:vAlign w:val="center"/>
          </w:tcPr>
          <w:p w14:paraId="413EC8AB">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105万元</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EB27A73">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73E6EC8E">
            <w:pPr>
              <w:jc w:val="center"/>
              <w:rPr>
                <w:rFonts w:hint="default" w:ascii="Times New Roman" w:hAnsi="Times New Roman"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10</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7247AABD">
            <w:pPr>
              <w:jc w:val="center"/>
              <w:rPr>
                <w:rFonts w:hint="default" w:ascii="Times New Roman" w:hAnsi="Times New Roman" w:eastAsia="微软雅黑" w:cs="Times New Roman"/>
                <w:i/>
                <w:iCs/>
                <w:color w:val="000000"/>
                <w:sz w:val="16"/>
                <w:szCs w:val="16"/>
                <w:u w:val="none"/>
              </w:rPr>
            </w:pPr>
          </w:p>
        </w:tc>
      </w:tr>
      <w:tr w14:paraId="1C977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273" w:type="dxa"/>
            <w:gridSpan w:val="8"/>
            <w:tcBorders>
              <w:top w:val="single" w:color="000000" w:sz="4" w:space="0"/>
              <w:left w:val="single" w:color="000000" w:sz="4" w:space="0"/>
              <w:bottom w:val="single" w:color="000000" w:sz="4" w:space="0"/>
              <w:right w:val="single" w:color="000000" w:sz="4" w:space="0"/>
            </w:tcBorders>
            <w:noWrap w:val="0"/>
            <w:vAlign w:val="center"/>
          </w:tcPr>
          <w:p w14:paraId="220087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5100AD74">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100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62EF73DC">
            <w:pP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cs="Times New Roman"/>
                <w:i w:val="0"/>
                <w:iCs w:val="0"/>
                <w:color w:val="000000"/>
                <w:sz w:val="18"/>
                <w:szCs w:val="18"/>
                <w:u w:val="none"/>
                <w:lang w:val="en-US" w:eastAsia="zh-CN"/>
              </w:rPr>
              <w:t>90</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135A115C">
            <w:pPr>
              <w:rPr>
                <w:rFonts w:hint="default" w:ascii="Times New Roman" w:hAnsi="Times New Roman" w:eastAsia="宋体" w:cs="Times New Roman"/>
                <w:i w:val="0"/>
                <w:iCs w:val="0"/>
                <w:color w:val="000000"/>
                <w:sz w:val="18"/>
                <w:szCs w:val="18"/>
                <w:u w:val="none"/>
              </w:rPr>
            </w:pPr>
          </w:p>
        </w:tc>
      </w:tr>
      <w:tr w14:paraId="591A8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1AC4A3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946" w:type="dxa"/>
            <w:gridSpan w:val="10"/>
            <w:tcBorders>
              <w:top w:val="single" w:color="000000" w:sz="4" w:space="0"/>
              <w:left w:val="single" w:color="000000" w:sz="4" w:space="0"/>
              <w:bottom w:val="single" w:color="000000" w:sz="4" w:space="0"/>
              <w:right w:val="single" w:color="000000" w:sz="4" w:space="0"/>
            </w:tcBorders>
            <w:noWrap w:val="0"/>
            <w:vAlign w:val="center"/>
          </w:tcPr>
          <w:p w14:paraId="3E09E8B7">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9B9D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4E376D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946" w:type="dxa"/>
            <w:gridSpan w:val="10"/>
            <w:tcBorders>
              <w:top w:val="single" w:color="000000" w:sz="4" w:space="0"/>
              <w:left w:val="single" w:color="000000" w:sz="4" w:space="0"/>
              <w:bottom w:val="single" w:color="000000" w:sz="4" w:space="0"/>
              <w:right w:val="single" w:color="000000" w:sz="4" w:space="0"/>
            </w:tcBorders>
            <w:noWrap w:val="0"/>
            <w:vAlign w:val="center"/>
          </w:tcPr>
          <w:p w14:paraId="677AD2EE">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6AAF5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6D9C40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946" w:type="dxa"/>
            <w:gridSpan w:val="10"/>
            <w:tcBorders>
              <w:top w:val="single" w:color="000000" w:sz="4" w:space="0"/>
              <w:left w:val="single" w:color="000000" w:sz="4" w:space="0"/>
              <w:bottom w:val="single" w:color="000000" w:sz="4" w:space="0"/>
              <w:right w:val="single" w:color="000000" w:sz="4" w:space="0"/>
            </w:tcBorders>
            <w:noWrap w:val="0"/>
            <w:vAlign w:val="center"/>
          </w:tcPr>
          <w:p w14:paraId="5590622B">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lang w:eastAsia="zh-CN"/>
              </w:rPr>
            </w:pPr>
            <w:r>
              <w:rPr>
                <w:rFonts w:hint="default" w:ascii="Times New Roman" w:hAnsi="Times New Roman" w:eastAsia="微软雅黑" w:cs="Times New Roman"/>
                <w:i/>
                <w:iCs/>
                <w:color w:val="000000"/>
                <w:sz w:val="16"/>
                <w:szCs w:val="16"/>
                <w:u w:val="none"/>
                <w:lang w:eastAsia="zh-CN"/>
              </w:rPr>
              <w:t>无</w:t>
            </w:r>
          </w:p>
        </w:tc>
      </w:tr>
      <w:tr w14:paraId="6CD69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378" w:type="dxa"/>
            <w:gridSpan w:val="5"/>
            <w:tcBorders>
              <w:top w:val="single" w:color="000000" w:sz="4" w:space="0"/>
              <w:left w:val="single" w:color="000000" w:sz="4" w:space="0"/>
              <w:bottom w:val="single" w:color="000000" w:sz="4" w:space="0"/>
              <w:right w:val="single" w:color="000000" w:sz="4" w:space="0"/>
            </w:tcBorders>
            <w:noWrap w:val="0"/>
            <w:vAlign w:val="center"/>
          </w:tcPr>
          <w:p w14:paraId="1540B2AF">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lang w:val="en-US"/>
              </w:rPr>
            </w:pPr>
            <w:r>
              <w:rPr>
                <w:rFonts w:hint="default" w:ascii="Times New Roman" w:hAnsi="Times New Roman" w:eastAsia="黑体" w:cs="Times New Roman"/>
                <w:i w:val="0"/>
                <w:iCs w:val="0"/>
                <w:color w:val="000000"/>
                <w:kern w:val="0"/>
                <w:sz w:val="18"/>
                <w:szCs w:val="18"/>
                <w:u w:val="none"/>
                <w:lang w:val="en-US" w:eastAsia="zh-CN" w:bidi="ar"/>
              </w:rPr>
              <w:t>项目负责人：何永鑫</w:t>
            </w:r>
          </w:p>
        </w:tc>
        <w:tc>
          <w:tcPr>
            <w:tcW w:w="4144" w:type="dxa"/>
            <w:gridSpan w:val="6"/>
            <w:tcBorders>
              <w:top w:val="single" w:color="000000" w:sz="4" w:space="0"/>
              <w:left w:val="single" w:color="000000" w:sz="4" w:space="0"/>
              <w:bottom w:val="single" w:color="000000" w:sz="4" w:space="0"/>
              <w:right w:val="single" w:color="000000" w:sz="4" w:space="0"/>
            </w:tcBorders>
            <w:noWrap w:val="0"/>
            <w:vAlign w:val="center"/>
          </w:tcPr>
          <w:p w14:paraId="7836A05B">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lang w:val="en-US"/>
              </w:rPr>
            </w:pPr>
            <w:r>
              <w:rPr>
                <w:rFonts w:hint="default" w:ascii="Times New Roman" w:hAnsi="Times New Roman" w:eastAsia="黑体" w:cs="Times New Roman"/>
                <w:i w:val="0"/>
                <w:iCs w:val="0"/>
                <w:color w:val="000000"/>
                <w:kern w:val="0"/>
                <w:sz w:val="18"/>
                <w:szCs w:val="18"/>
                <w:u w:val="none"/>
                <w:lang w:val="en-US" w:eastAsia="zh-CN" w:bidi="ar"/>
              </w:rPr>
              <w:t>财务负责人：曲穷</w:t>
            </w:r>
          </w:p>
        </w:tc>
      </w:tr>
      <w:tr w14:paraId="3F66E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tcBorders>
              <w:top w:val="nil"/>
              <w:left w:val="nil"/>
              <w:bottom w:val="nil"/>
              <w:right w:val="nil"/>
            </w:tcBorders>
            <w:noWrap w:val="0"/>
            <w:vAlign w:val="center"/>
          </w:tcPr>
          <w:p w14:paraId="423552DC">
            <w:pPr>
              <w:rPr>
                <w:rFonts w:hint="default" w:ascii="Times New Roman" w:hAnsi="Times New Roman" w:eastAsia="宋体" w:cs="Times New Roman"/>
                <w:i w:val="0"/>
                <w:iCs w:val="0"/>
                <w:color w:val="000000"/>
                <w:sz w:val="18"/>
                <w:szCs w:val="18"/>
                <w:u w:val="none"/>
              </w:rPr>
            </w:pPr>
          </w:p>
        </w:tc>
        <w:tc>
          <w:tcPr>
            <w:tcW w:w="1149" w:type="dxa"/>
            <w:tcBorders>
              <w:top w:val="nil"/>
              <w:left w:val="nil"/>
              <w:bottom w:val="nil"/>
              <w:right w:val="nil"/>
            </w:tcBorders>
            <w:noWrap w:val="0"/>
            <w:vAlign w:val="center"/>
          </w:tcPr>
          <w:p w14:paraId="41C946B3">
            <w:pPr>
              <w:rPr>
                <w:rFonts w:hint="default" w:ascii="Times New Roman" w:hAnsi="Times New Roman" w:eastAsia="宋体" w:cs="Times New Roman"/>
                <w:i w:val="0"/>
                <w:iCs w:val="0"/>
                <w:color w:val="000000"/>
                <w:sz w:val="18"/>
                <w:szCs w:val="18"/>
                <w:u w:val="none"/>
              </w:rPr>
            </w:pPr>
          </w:p>
        </w:tc>
        <w:tc>
          <w:tcPr>
            <w:tcW w:w="980" w:type="dxa"/>
            <w:tcBorders>
              <w:top w:val="nil"/>
              <w:left w:val="nil"/>
              <w:bottom w:val="nil"/>
              <w:right w:val="nil"/>
            </w:tcBorders>
            <w:noWrap w:val="0"/>
            <w:vAlign w:val="center"/>
          </w:tcPr>
          <w:p w14:paraId="781AE39F">
            <w:pPr>
              <w:rPr>
                <w:rFonts w:hint="default" w:ascii="Times New Roman" w:hAnsi="Times New Roman" w:eastAsia="宋体" w:cs="Times New Roman"/>
                <w:i w:val="0"/>
                <w:iCs w:val="0"/>
                <w:color w:val="000000"/>
                <w:sz w:val="18"/>
                <w:szCs w:val="18"/>
                <w:u w:val="none"/>
              </w:rPr>
            </w:pPr>
          </w:p>
        </w:tc>
        <w:tc>
          <w:tcPr>
            <w:tcW w:w="1277" w:type="dxa"/>
            <w:tcBorders>
              <w:top w:val="nil"/>
              <w:left w:val="nil"/>
              <w:bottom w:val="nil"/>
              <w:right w:val="nil"/>
            </w:tcBorders>
            <w:noWrap w:val="0"/>
            <w:vAlign w:val="center"/>
          </w:tcPr>
          <w:p w14:paraId="7D3AB757">
            <w:pPr>
              <w:rPr>
                <w:rFonts w:hint="default" w:ascii="Times New Roman" w:hAnsi="Times New Roman" w:eastAsia="宋体" w:cs="Times New Roman"/>
                <w:i w:val="0"/>
                <w:iCs w:val="0"/>
                <w:color w:val="000000"/>
                <w:sz w:val="18"/>
                <w:szCs w:val="18"/>
                <w:u w:val="none"/>
              </w:rPr>
            </w:pPr>
          </w:p>
        </w:tc>
        <w:tc>
          <w:tcPr>
            <w:tcW w:w="396" w:type="dxa"/>
            <w:tcBorders>
              <w:top w:val="nil"/>
              <w:left w:val="nil"/>
              <w:bottom w:val="nil"/>
              <w:right w:val="nil"/>
            </w:tcBorders>
            <w:noWrap w:val="0"/>
            <w:vAlign w:val="center"/>
          </w:tcPr>
          <w:p w14:paraId="7C21DDCB">
            <w:pPr>
              <w:rPr>
                <w:rFonts w:hint="default" w:ascii="Times New Roman" w:hAnsi="Times New Roman" w:eastAsia="宋体" w:cs="Times New Roman"/>
                <w:i w:val="0"/>
                <w:iCs w:val="0"/>
                <w:color w:val="000000"/>
                <w:sz w:val="18"/>
                <w:szCs w:val="18"/>
                <w:u w:val="none"/>
              </w:rPr>
            </w:pPr>
          </w:p>
        </w:tc>
        <w:tc>
          <w:tcPr>
            <w:tcW w:w="922" w:type="dxa"/>
            <w:tcBorders>
              <w:top w:val="nil"/>
              <w:left w:val="nil"/>
              <w:bottom w:val="nil"/>
              <w:right w:val="nil"/>
            </w:tcBorders>
            <w:noWrap w:val="0"/>
            <w:vAlign w:val="center"/>
          </w:tcPr>
          <w:p w14:paraId="23B04D6D">
            <w:pPr>
              <w:rPr>
                <w:rFonts w:hint="default" w:ascii="Times New Roman" w:hAnsi="Times New Roman" w:eastAsia="宋体" w:cs="Times New Roman"/>
                <w:i w:val="0"/>
                <w:iCs w:val="0"/>
                <w:color w:val="000000"/>
                <w:sz w:val="18"/>
                <w:szCs w:val="18"/>
                <w:u w:val="none"/>
              </w:rPr>
            </w:pPr>
          </w:p>
        </w:tc>
        <w:tc>
          <w:tcPr>
            <w:tcW w:w="396" w:type="dxa"/>
            <w:tcBorders>
              <w:top w:val="nil"/>
              <w:left w:val="nil"/>
              <w:bottom w:val="nil"/>
              <w:right w:val="nil"/>
            </w:tcBorders>
            <w:noWrap w:val="0"/>
            <w:vAlign w:val="center"/>
          </w:tcPr>
          <w:p w14:paraId="3EAB88E8">
            <w:pPr>
              <w:rPr>
                <w:rFonts w:hint="default" w:ascii="Times New Roman" w:hAnsi="Times New Roman" w:eastAsia="宋体" w:cs="Times New Roman"/>
                <w:i w:val="0"/>
                <w:iCs w:val="0"/>
                <w:color w:val="000000"/>
                <w:sz w:val="18"/>
                <w:szCs w:val="18"/>
                <w:u w:val="none"/>
              </w:rPr>
            </w:pPr>
          </w:p>
        </w:tc>
        <w:tc>
          <w:tcPr>
            <w:tcW w:w="577" w:type="dxa"/>
            <w:tcBorders>
              <w:top w:val="nil"/>
              <w:left w:val="nil"/>
              <w:bottom w:val="nil"/>
              <w:right w:val="nil"/>
            </w:tcBorders>
            <w:noWrap w:val="0"/>
            <w:vAlign w:val="center"/>
          </w:tcPr>
          <w:p w14:paraId="65558EC7">
            <w:pPr>
              <w:rPr>
                <w:rFonts w:hint="default" w:ascii="Times New Roman" w:hAnsi="Times New Roman" w:eastAsia="宋体" w:cs="Times New Roman"/>
                <w:i w:val="0"/>
                <w:iCs w:val="0"/>
                <w:color w:val="000000"/>
                <w:sz w:val="18"/>
                <w:szCs w:val="18"/>
                <w:u w:val="none"/>
              </w:rPr>
            </w:pPr>
          </w:p>
        </w:tc>
        <w:tc>
          <w:tcPr>
            <w:tcW w:w="397" w:type="dxa"/>
            <w:tcBorders>
              <w:top w:val="nil"/>
              <w:left w:val="nil"/>
              <w:bottom w:val="nil"/>
              <w:right w:val="nil"/>
            </w:tcBorders>
            <w:noWrap w:val="0"/>
            <w:vAlign w:val="center"/>
          </w:tcPr>
          <w:p w14:paraId="6D5ADF3C">
            <w:pPr>
              <w:rPr>
                <w:rFonts w:hint="default" w:ascii="Times New Roman" w:hAnsi="Times New Roman" w:eastAsia="宋体" w:cs="Times New Roman"/>
                <w:i w:val="0"/>
                <w:iCs w:val="0"/>
                <w:color w:val="000000"/>
                <w:sz w:val="18"/>
                <w:szCs w:val="18"/>
                <w:u w:val="none"/>
              </w:rPr>
            </w:pPr>
          </w:p>
        </w:tc>
        <w:tc>
          <w:tcPr>
            <w:tcW w:w="397" w:type="dxa"/>
            <w:tcBorders>
              <w:top w:val="nil"/>
              <w:left w:val="nil"/>
              <w:bottom w:val="nil"/>
              <w:right w:val="nil"/>
            </w:tcBorders>
            <w:noWrap w:val="0"/>
            <w:vAlign w:val="center"/>
          </w:tcPr>
          <w:p w14:paraId="40E20D7E">
            <w:pPr>
              <w:rPr>
                <w:rFonts w:hint="default" w:ascii="Times New Roman" w:hAnsi="Times New Roman" w:eastAsia="宋体" w:cs="Times New Roman"/>
                <w:i w:val="0"/>
                <w:iCs w:val="0"/>
                <w:color w:val="000000"/>
                <w:sz w:val="18"/>
                <w:szCs w:val="18"/>
                <w:u w:val="none"/>
              </w:rPr>
            </w:pPr>
          </w:p>
        </w:tc>
        <w:tc>
          <w:tcPr>
            <w:tcW w:w="1455" w:type="dxa"/>
            <w:tcBorders>
              <w:top w:val="nil"/>
              <w:left w:val="nil"/>
              <w:bottom w:val="nil"/>
              <w:right w:val="nil"/>
            </w:tcBorders>
            <w:noWrap w:val="0"/>
            <w:vAlign w:val="center"/>
          </w:tcPr>
          <w:p w14:paraId="6776BED4">
            <w:pPr>
              <w:rPr>
                <w:rFonts w:hint="default" w:ascii="Times New Roman" w:hAnsi="Times New Roman" w:eastAsia="宋体" w:cs="Times New Roman"/>
                <w:i w:val="0"/>
                <w:iCs w:val="0"/>
                <w:color w:val="000000"/>
                <w:sz w:val="18"/>
                <w:szCs w:val="18"/>
                <w:u w:val="none"/>
              </w:rPr>
            </w:pPr>
          </w:p>
        </w:tc>
      </w:tr>
      <w:tr w14:paraId="55A92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76" w:type="dxa"/>
            <w:tcBorders>
              <w:top w:val="nil"/>
              <w:left w:val="nil"/>
              <w:bottom w:val="nil"/>
              <w:right w:val="nil"/>
            </w:tcBorders>
            <w:noWrap w:val="0"/>
            <w:vAlign w:val="center"/>
          </w:tcPr>
          <w:p w14:paraId="6DD76412">
            <w:pPr>
              <w:rPr>
                <w:rFonts w:hint="default" w:ascii="Times New Roman" w:hAnsi="Times New Roman" w:eastAsia="宋体" w:cs="Times New Roman"/>
                <w:i w:val="0"/>
                <w:iCs w:val="0"/>
                <w:color w:val="000000"/>
                <w:sz w:val="18"/>
                <w:szCs w:val="18"/>
                <w:u w:val="none"/>
              </w:rPr>
            </w:pPr>
          </w:p>
        </w:tc>
        <w:tc>
          <w:tcPr>
            <w:tcW w:w="1149" w:type="dxa"/>
            <w:tcBorders>
              <w:top w:val="nil"/>
              <w:left w:val="nil"/>
              <w:bottom w:val="nil"/>
              <w:right w:val="nil"/>
            </w:tcBorders>
            <w:noWrap w:val="0"/>
            <w:vAlign w:val="center"/>
          </w:tcPr>
          <w:p w14:paraId="31051FB1">
            <w:pPr>
              <w:rPr>
                <w:rFonts w:hint="default" w:ascii="Times New Roman" w:hAnsi="Times New Roman" w:eastAsia="宋体" w:cs="Times New Roman"/>
                <w:i w:val="0"/>
                <w:iCs w:val="0"/>
                <w:color w:val="000000"/>
                <w:sz w:val="18"/>
                <w:szCs w:val="18"/>
                <w:u w:val="none"/>
              </w:rPr>
            </w:pPr>
          </w:p>
        </w:tc>
        <w:tc>
          <w:tcPr>
            <w:tcW w:w="980" w:type="dxa"/>
            <w:tcBorders>
              <w:top w:val="nil"/>
              <w:left w:val="nil"/>
              <w:bottom w:val="nil"/>
              <w:right w:val="nil"/>
            </w:tcBorders>
            <w:noWrap w:val="0"/>
            <w:vAlign w:val="center"/>
          </w:tcPr>
          <w:p w14:paraId="025C6B24">
            <w:pPr>
              <w:rPr>
                <w:rFonts w:hint="default" w:ascii="Times New Roman" w:hAnsi="Times New Roman" w:eastAsia="宋体" w:cs="Times New Roman"/>
                <w:i w:val="0"/>
                <w:iCs w:val="0"/>
                <w:color w:val="000000"/>
                <w:sz w:val="18"/>
                <w:szCs w:val="18"/>
                <w:u w:val="none"/>
              </w:rPr>
            </w:pPr>
          </w:p>
        </w:tc>
        <w:tc>
          <w:tcPr>
            <w:tcW w:w="1277" w:type="dxa"/>
            <w:tcBorders>
              <w:top w:val="nil"/>
              <w:left w:val="nil"/>
              <w:bottom w:val="nil"/>
              <w:right w:val="nil"/>
            </w:tcBorders>
            <w:noWrap w:val="0"/>
            <w:vAlign w:val="center"/>
          </w:tcPr>
          <w:p w14:paraId="53A19C9B">
            <w:pPr>
              <w:rPr>
                <w:rFonts w:hint="default" w:ascii="Times New Roman" w:hAnsi="Times New Roman" w:eastAsia="宋体" w:cs="Times New Roman"/>
                <w:i w:val="0"/>
                <w:iCs w:val="0"/>
                <w:color w:val="000000"/>
                <w:sz w:val="18"/>
                <w:szCs w:val="18"/>
                <w:u w:val="none"/>
              </w:rPr>
            </w:pPr>
          </w:p>
        </w:tc>
        <w:tc>
          <w:tcPr>
            <w:tcW w:w="396" w:type="dxa"/>
            <w:tcBorders>
              <w:top w:val="nil"/>
              <w:left w:val="nil"/>
              <w:bottom w:val="nil"/>
              <w:right w:val="nil"/>
            </w:tcBorders>
            <w:noWrap w:val="0"/>
            <w:vAlign w:val="center"/>
          </w:tcPr>
          <w:p w14:paraId="6B34F661">
            <w:pPr>
              <w:rPr>
                <w:rFonts w:hint="default" w:ascii="Times New Roman" w:hAnsi="Times New Roman" w:eastAsia="宋体" w:cs="Times New Roman"/>
                <w:i w:val="0"/>
                <w:iCs w:val="0"/>
                <w:color w:val="000000"/>
                <w:sz w:val="18"/>
                <w:szCs w:val="18"/>
                <w:u w:val="none"/>
              </w:rPr>
            </w:pPr>
          </w:p>
        </w:tc>
        <w:tc>
          <w:tcPr>
            <w:tcW w:w="922" w:type="dxa"/>
            <w:tcBorders>
              <w:top w:val="nil"/>
              <w:left w:val="nil"/>
              <w:bottom w:val="nil"/>
              <w:right w:val="nil"/>
            </w:tcBorders>
            <w:noWrap w:val="0"/>
            <w:vAlign w:val="center"/>
          </w:tcPr>
          <w:p w14:paraId="4E4B0FF8">
            <w:pPr>
              <w:rPr>
                <w:rFonts w:hint="default" w:ascii="Times New Roman" w:hAnsi="Times New Roman" w:eastAsia="宋体" w:cs="Times New Roman"/>
                <w:i w:val="0"/>
                <w:iCs w:val="0"/>
                <w:color w:val="000000"/>
                <w:sz w:val="18"/>
                <w:szCs w:val="18"/>
                <w:u w:val="none"/>
              </w:rPr>
            </w:pPr>
          </w:p>
        </w:tc>
        <w:tc>
          <w:tcPr>
            <w:tcW w:w="396" w:type="dxa"/>
            <w:tcBorders>
              <w:top w:val="nil"/>
              <w:left w:val="nil"/>
              <w:bottom w:val="nil"/>
              <w:right w:val="nil"/>
            </w:tcBorders>
            <w:noWrap w:val="0"/>
            <w:vAlign w:val="center"/>
          </w:tcPr>
          <w:p w14:paraId="2EB25BCC">
            <w:pPr>
              <w:rPr>
                <w:rFonts w:hint="default" w:ascii="Times New Roman" w:hAnsi="Times New Roman" w:eastAsia="宋体" w:cs="Times New Roman"/>
                <w:i w:val="0"/>
                <w:iCs w:val="0"/>
                <w:color w:val="000000"/>
                <w:sz w:val="18"/>
                <w:szCs w:val="18"/>
                <w:u w:val="none"/>
              </w:rPr>
            </w:pPr>
          </w:p>
        </w:tc>
        <w:tc>
          <w:tcPr>
            <w:tcW w:w="577" w:type="dxa"/>
            <w:tcBorders>
              <w:top w:val="nil"/>
              <w:left w:val="nil"/>
              <w:bottom w:val="nil"/>
              <w:right w:val="nil"/>
            </w:tcBorders>
            <w:noWrap w:val="0"/>
            <w:vAlign w:val="center"/>
          </w:tcPr>
          <w:p w14:paraId="7806F77E">
            <w:pPr>
              <w:rPr>
                <w:rFonts w:hint="default" w:ascii="Times New Roman" w:hAnsi="Times New Roman" w:eastAsia="宋体" w:cs="Times New Roman"/>
                <w:i w:val="0"/>
                <w:iCs w:val="0"/>
                <w:color w:val="000000"/>
                <w:sz w:val="18"/>
                <w:szCs w:val="18"/>
                <w:u w:val="none"/>
              </w:rPr>
            </w:pPr>
          </w:p>
        </w:tc>
        <w:tc>
          <w:tcPr>
            <w:tcW w:w="397" w:type="dxa"/>
            <w:tcBorders>
              <w:top w:val="nil"/>
              <w:left w:val="nil"/>
              <w:bottom w:val="nil"/>
              <w:right w:val="nil"/>
            </w:tcBorders>
            <w:noWrap w:val="0"/>
            <w:vAlign w:val="center"/>
          </w:tcPr>
          <w:p w14:paraId="467A391A">
            <w:pPr>
              <w:rPr>
                <w:rFonts w:hint="default" w:ascii="Times New Roman" w:hAnsi="Times New Roman" w:eastAsia="宋体" w:cs="Times New Roman"/>
                <w:i w:val="0"/>
                <w:iCs w:val="0"/>
                <w:color w:val="000000"/>
                <w:sz w:val="18"/>
                <w:szCs w:val="18"/>
                <w:u w:val="none"/>
              </w:rPr>
            </w:pPr>
          </w:p>
        </w:tc>
        <w:tc>
          <w:tcPr>
            <w:tcW w:w="397" w:type="dxa"/>
            <w:tcBorders>
              <w:top w:val="nil"/>
              <w:left w:val="nil"/>
              <w:bottom w:val="nil"/>
              <w:right w:val="nil"/>
            </w:tcBorders>
            <w:noWrap w:val="0"/>
            <w:vAlign w:val="center"/>
          </w:tcPr>
          <w:p w14:paraId="1B56D566">
            <w:pPr>
              <w:rPr>
                <w:rFonts w:hint="default" w:ascii="Times New Roman" w:hAnsi="Times New Roman" w:eastAsia="宋体" w:cs="Times New Roman"/>
                <w:i w:val="0"/>
                <w:iCs w:val="0"/>
                <w:color w:val="000000"/>
                <w:sz w:val="18"/>
                <w:szCs w:val="18"/>
                <w:u w:val="none"/>
              </w:rPr>
            </w:pPr>
          </w:p>
        </w:tc>
        <w:tc>
          <w:tcPr>
            <w:tcW w:w="1455" w:type="dxa"/>
            <w:tcBorders>
              <w:top w:val="nil"/>
              <w:left w:val="nil"/>
              <w:bottom w:val="nil"/>
              <w:right w:val="nil"/>
            </w:tcBorders>
            <w:noWrap w:val="0"/>
            <w:vAlign w:val="center"/>
          </w:tcPr>
          <w:p w14:paraId="4AE5D1E6">
            <w:pPr>
              <w:rPr>
                <w:rFonts w:hint="default" w:ascii="Times New Roman" w:hAnsi="Times New Roman" w:eastAsia="宋体" w:cs="Times New Roman"/>
                <w:i w:val="0"/>
                <w:iCs w:val="0"/>
                <w:color w:val="000000"/>
                <w:sz w:val="18"/>
                <w:szCs w:val="18"/>
                <w:u w:val="none"/>
              </w:rPr>
            </w:pPr>
          </w:p>
        </w:tc>
      </w:tr>
      <w:tr w14:paraId="41026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522" w:type="dxa"/>
            <w:gridSpan w:val="11"/>
            <w:tcBorders>
              <w:top w:val="nil"/>
              <w:left w:val="nil"/>
              <w:bottom w:val="nil"/>
              <w:right w:val="nil"/>
            </w:tcBorders>
            <w:noWrap w:val="0"/>
            <w:vAlign w:val="center"/>
          </w:tcPr>
          <w:p w14:paraId="243E566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1、报表说明:该报表查询项目信息、绩效目标信息、预算及执行情况，用于预算单位查询导出开展项目自评。</w:t>
            </w:r>
          </w:p>
        </w:tc>
      </w:tr>
      <w:tr w14:paraId="27360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522" w:type="dxa"/>
            <w:gridSpan w:val="11"/>
            <w:tcBorders>
              <w:top w:val="nil"/>
              <w:left w:val="nil"/>
              <w:bottom w:val="nil"/>
              <w:right w:val="nil"/>
            </w:tcBorders>
            <w:noWrap w:val="0"/>
            <w:vAlign w:val="center"/>
          </w:tcPr>
          <w:p w14:paraId="3ED1EBB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2、取数口径：部门项目绩效目标表信息，包括年初预算、追加预算、结转预算和调整预算的绩效目标（以项目的最终绩效目标为准）。</w:t>
            </w:r>
          </w:p>
        </w:tc>
      </w:tr>
      <w:tr w14:paraId="64DD1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522" w:type="dxa"/>
            <w:gridSpan w:val="11"/>
            <w:tcBorders>
              <w:top w:val="nil"/>
              <w:left w:val="nil"/>
              <w:bottom w:val="nil"/>
              <w:right w:val="nil"/>
            </w:tcBorders>
            <w:noWrap w:val="0"/>
            <w:vAlign w:val="center"/>
          </w:tcPr>
          <w:p w14:paraId="6672147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适用地区：全省范围</w:t>
            </w:r>
          </w:p>
        </w:tc>
      </w:tr>
      <w:tr w14:paraId="53AED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522" w:type="dxa"/>
            <w:gridSpan w:val="11"/>
            <w:tcBorders>
              <w:top w:val="nil"/>
              <w:left w:val="nil"/>
              <w:bottom w:val="nil"/>
              <w:right w:val="nil"/>
            </w:tcBorders>
            <w:noWrap w:val="0"/>
            <w:vAlign w:val="center"/>
          </w:tcPr>
          <w:p w14:paraId="027DCA8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适用用户：部门用户、单位用户</w:t>
            </w:r>
          </w:p>
        </w:tc>
      </w:tr>
    </w:tbl>
    <w:p w14:paraId="6CB20783">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FF0000"/>
          <w:sz w:val="32"/>
          <w:szCs w:val="32"/>
          <w:highlight w:val="none"/>
        </w:rPr>
      </w:pPr>
    </w:p>
    <w:p w14:paraId="0B3AED55">
      <w:pPr>
        <w:pStyle w:val="5"/>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kern w:val="0"/>
          <w:sz w:val="32"/>
          <w:szCs w:val="32"/>
          <w:highlight w:val="none"/>
          <w:shd w:val="clear" w:color="auto" w:fill="FFFFFF"/>
          <w:lang w:val="zh-CN"/>
        </w:rPr>
        <w:t>附件</w:t>
      </w:r>
      <w:r>
        <w:rPr>
          <w:rFonts w:hint="default" w:ascii="Times New Roman" w:hAnsi="Times New Roman" w:eastAsia="黑体" w:cs="Times New Roman"/>
          <w:color w:val="auto"/>
          <w:kern w:val="0"/>
          <w:sz w:val="32"/>
          <w:szCs w:val="32"/>
          <w:highlight w:val="none"/>
          <w:shd w:val="clear" w:color="auto" w:fill="FFFFFF"/>
          <w:lang w:val="en-US" w:eastAsia="zh-CN"/>
        </w:rPr>
        <w:t>2</w:t>
      </w:r>
    </w:p>
    <w:p w14:paraId="113CDF92">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方正小标宋_GBK" w:cs="Times New Roman"/>
          <w:b w:val="0"/>
          <w:bCs/>
          <w:color w:val="auto"/>
          <w:sz w:val="44"/>
          <w:szCs w:val="44"/>
          <w:lang w:eastAsia="zh-CN"/>
        </w:rPr>
      </w:pPr>
      <w:r>
        <w:rPr>
          <w:rFonts w:hint="default" w:ascii="Times New Roman" w:hAnsi="Times New Roman" w:eastAsia="方正小标宋_GBK" w:cs="Times New Roman"/>
          <w:b w:val="0"/>
          <w:bCs/>
          <w:color w:val="auto"/>
          <w:sz w:val="44"/>
          <w:szCs w:val="44"/>
          <w:lang w:eastAsia="zh-CN"/>
        </w:rPr>
        <w:t>壤塘县上杜柯乡2025年人工饲草种植项目</w:t>
      </w:r>
    </w:p>
    <w:p w14:paraId="0A1C6427">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方正小标宋_GBK" w:cs="Times New Roman"/>
          <w:b w:val="0"/>
          <w:bCs/>
          <w:color w:val="auto"/>
          <w:sz w:val="44"/>
          <w:szCs w:val="44"/>
        </w:rPr>
      </w:pPr>
      <w:r>
        <w:rPr>
          <w:rFonts w:hint="default" w:ascii="Times New Roman" w:hAnsi="Times New Roman" w:eastAsia="方正小标宋_GBK" w:cs="Times New Roman"/>
          <w:b w:val="0"/>
          <w:bCs/>
          <w:color w:val="auto"/>
          <w:sz w:val="44"/>
          <w:szCs w:val="44"/>
        </w:rPr>
        <w:t>绩效自评报告</w:t>
      </w:r>
    </w:p>
    <w:p w14:paraId="671D2F0C">
      <w:pPr>
        <w:pStyle w:val="37"/>
        <w:spacing w:line="240" w:lineRule="auto"/>
        <w:jc w:val="both"/>
        <w:rPr>
          <w:rFonts w:hint="default" w:ascii="Times New Roman" w:hAnsi="Times New Roman" w:cs="Times New Roman"/>
          <w:color w:val="auto"/>
          <w:kern w:val="2"/>
          <w:sz w:val="32"/>
          <w:szCs w:val="32"/>
        </w:rPr>
      </w:pPr>
    </w:p>
    <w:p w14:paraId="5958C13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lang w:val="zh-CN"/>
        </w:rPr>
      </w:pPr>
      <w:r>
        <w:rPr>
          <w:rFonts w:hint="default" w:ascii="Times New Roman" w:hAnsi="Times New Roman" w:eastAsia="黑体" w:cs="Times New Roman"/>
          <w:color w:val="auto"/>
          <w:sz w:val="32"/>
          <w:szCs w:val="32"/>
          <w:lang w:val="zh-CN"/>
        </w:rPr>
        <w:t>一、项目概况</w:t>
      </w:r>
    </w:p>
    <w:p w14:paraId="64A3F17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b/>
          <w:color w:val="auto"/>
          <w:sz w:val="32"/>
          <w:szCs w:val="32"/>
          <w:lang w:val="zh-CN"/>
        </w:rPr>
        <w:t>（一）</w:t>
      </w:r>
      <w:r>
        <w:rPr>
          <w:rFonts w:hint="default" w:ascii="Times New Roman" w:hAnsi="Times New Roman" w:eastAsia="楷体_GB2312" w:cs="Times New Roman"/>
          <w:b/>
          <w:color w:val="auto"/>
          <w:sz w:val="32"/>
          <w:szCs w:val="32"/>
          <w:lang w:val="zh-CN"/>
        </w:rPr>
        <w:t>项目资金申报及批复情况。</w:t>
      </w:r>
      <w:r>
        <w:rPr>
          <w:rFonts w:hint="default" w:ascii="Times New Roman" w:hAnsi="Times New Roman" w:eastAsia="仿宋_GB2312" w:cs="Times New Roman"/>
          <w:color w:val="auto"/>
          <w:sz w:val="32"/>
          <w:szCs w:val="32"/>
          <w:lang w:val="en-US" w:eastAsia="zh-CN"/>
        </w:rPr>
        <w:t>本项总投资105万元,资金来源为涉农统筹整合资金105万元。各部门</w:t>
      </w:r>
      <w:r>
        <w:rPr>
          <w:rFonts w:hint="default" w:ascii="Times New Roman" w:hAnsi="Times New Roman" w:eastAsia="仿宋_GB2312" w:cs="Times New Roman"/>
          <w:color w:val="auto"/>
          <w:sz w:val="32"/>
          <w:szCs w:val="32"/>
          <w:lang w:val="zh-CN" w:eastAsia="zh-CN"/>
        </w:rPr>
        <w:t>批复</w:t>
      </w:r>
      <w:r>
        <w:rPr>
          <w:rFonts w:hint="default" w:ascii="Times New Roman" w:hAnsi="Times New Roman" w:eastAsia="仿宋_GB2312" w:cs="Times New Roman"/>
          <w:color w:val="auto"/>
          <w:sz w:val="32"/>
          <w:szCs w:val="32"/>
          <w:lang w:val="en-US" w:eastAsia="zh-CN"/>
        </w:rPr>
        <w:t>及</w:t>
      </w:r>
      <w:r>
        <w:rPr>
          <w:rFonts w:hint="default" w:ascii="Times New Roman" w:hAnsi="Times New Roman" w:eastAsia="仿宋_GB2312" w:cs="Times New Roman"/>
          <w:color w:val="auto"/>
          <w:sz w:val="32"/>
          <w:szCs w:val="32"/>
          <w:lang w:val="zh-CN" w:eastAsia="zh-CN"/>
        </w:rPr>
        <w:t>资金管理办法等</w:t>
      </w:r>
      <w:r>
        <w:rPr>
          <w:rFonts w:hint="default" w:ascii="Times New Roman" w:hAnsi="Times New Roman" w:eastAsia="仿宋_GB2312" w:cs="Times New Roman"/>
          <w:color w:val="auto"/>
          <w:sz w:val="32"/>
          <w:szCs w:val="32"/>
          <w:lang w:val="en-US" w:eastAsia="zh-CN"/>
        </w:rPr>
        <w:t>均符合相关规定。</w:t>
      </w:r>
    </w:p>
    <w:p w14:paraId="0E8CE256">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color w:val="auto"/>
          <w:sz w:val="32"/>
          <w:szCs w:val="32"/>
          <w:lang w:val="zh-CN"/>
        </w:rPr>
        <w:t>（二）项目绩效目标。</w:t>
      </w:r>
      <w:r>
        <w:rPr>
          <w:rFonts w:hint="default" w:ascii="Times New Roman" w:hAnsi="Times New Roman" w:eastAsia="仿宋_GB2312" w:cs="Times New Roman"/>
          <w:color w:val="auto"/>
          <w:sz w:val="32"/>
          <w:szCs w:val="32"/>
          <w:lang w:val="en-US" w:eastAsia="zh-CN"/>
        </w:rPr>
        <w:t>上杜柯乡辖区内种植人工饲草基地1200亩，种植牧草1200亩，采购燕麦种子18000公斤、背负式收割机6台、翻耕机2台，肥料（含追肥），购买网围栏7000米，及土地复耕1200亩。</w:t>
      </w:r>
    </w:p>
    <w:p w14:paraId="0C825A4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仿宋_GB2312" w:cs="Times New Roman"/>
          <w:color w:val="auto"/>
          <w:sz w:val="32"/>
          <w:szCs w:val="32"/>
          <w:lang w:val="zh-CN" w:eastAsia="zh-CN"/>
        </w:rPr>
      </w:pPr>
      <w:r>
        <w:rPr>
          <w:rFonts w:hint="default" w:ascii="Times New Roman" w:hAnsi="Times New Roman" w:eastAsia="楷体_GB2312" w:cs="Times New Roman"/>
          <w:b/>
          <w:color w:val="auto"/>
          <w:sz w:val="32"/>
          <w:szCs w:val="32"/>
          <w:lang w:val="zh-CN"/>
        </w:rPr>
        <w:t>（</w:t>
      </w:r>
      <w:r>
        <w:rPr>
          <w:rFonts w:hint="default" w:ascii="Times New Roman" w:hAnsi="Times New Roman" w:eastAsia="楷体_GB2312" w:cs="Times New Roman"/>
          <w:b/>
          <w:color w:val="auto"/>
          <w:sz w:val="32"/>
          <w:szCs w:val="32"/>
          <w:lang w:val="en-US" w:eastAsia="zh-CN"/>
        </w:rPr>
        <w:t>三</w:t>
      </w:r>
      <w:r>
        <w:rPr>
          <w:rFonts w:hint="default" w:ascii="Times New Roman" w:hAnsi="Times New Roman" w:eastAsia="楷体_GB2312" w:cs="Times New Roman"/>
          <w:b/>
          <w:color w:val="auto"/>
          <w:sz w:val="32"/>
          <w:szCs w:val="32"/>
          <w:lang w:val="zh-CN"/>
        </w:rPr>
        <w:t>）项目资金申报相符性。</w:t>
      </w:r>
      <w:r>
        <w:rPr>
          <w:rFonts w:hint="default" w:ascii="Times New Roman" w:hAnsi="Times New Roman" w:eastAsia="仿宋_GB2312" w:cs="Times New Roman"/>
          <w:color w:val="auto"/>
          <w:sz w:val="32"/>
          <w:szCs w:val="32"/>
          <w:lang w:val="zh-CN" w:eastAsia="zh-CN"/>
        </w:rPr>
        <w:t>项目申报内容与具体实施内容相符、申报目标合理可行。</w:t>
      </w:r>
    </w:p>
    <w:p w14:paraId="06DF641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lang w:val="zh-CN"/>
        </w:rPr>
      </w:pPr>
      <w:r>
        <w:rPr>
          <w:rFonts w:hint="default" w:ascii="Times New Roman" w:hAnsi="Times New Roman" w:eastAsia="黑体" w:cs="Times New Roman"/>
          <w:color w:val="auto"/>
          <w:sz w:val="32"/>
          <w:szCs w:val="32"/>
          <w:lang w:val="zh-CN"/>
        </w:rPr>
        <w:t>二、项目实施及管理情况</w:t>
      </w:r>
    </w:p>
    <w:p w14:paraId="161F40EB">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default" w:ascii="Times New Roman" w:hAnsi="Times New Roman" w:eastAsia="楷体_GB2312" w:cs="Times New Roman"/>
          <w:b/>
          <w:color w:val="auto"/>
          <w:sz w:val="32"/>
          <w:szCs w:val="32"/>
          <w:lang w:val="zh-CN"/>
        </w:rPr>
      </w:pPr>
      <w:r>
        <w:rPr>
          <w:rFonts w:hint="default" w:ascii="Times New Roman" w:hAnsi="Times New Roman" w:cs="Times New Roman"/>
          <w:color w:val="auto"/>
          <w:szCs w:val="32"/>
          <w:lang w:val="zh-CN"/>
        </w:rPr>
        <w:tab/>
      </w:r>
      <w:r>
        <w:rPr>
          <w:rFonts w:hint="default" w:ascii="Times New Roman" w:hAnsi="Times New Roman" w:eastAsia="楷体_GB2312" w:cs="Times New Roman"/>
          <w:b/>
          <w:color w:val="auto"/>
          <w:sz w:val="32"/>
          <w:szCs w:val="32"/>
          <w:lang w:val="zh-CN"/>
        </w:rPr>
        <w:t>（一）资金计划、到位及使用情况。</w:t>
      </w:r>
    </w:p>
    <w:p w14:paraId="174E35A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zh-CN" w:eastAsia="zh-CN"/>
        </w:rPr>
        <w:t>1.资金计划及到位。</w:t>
      </w:r>
      <w:r>
        <w:rPr>
          <w:rFonts w:hint="default" w:ascii="Times New Roman" w:hAnsi="Times New Roman" w:eastAsia="仿宋_GB2312" w:cs="Times New Roman"/>
          <w:color w:val="auto"/>
          <w:sz w:val="32"/>
          <w:szCs w:val="32"/>
          <w:lang w:val="en-US" w:eastAsia="zh-CN"/>
        </w:rPr>
        <w:t>本项目计划投资105万元，实际批复105万元,各级资金到位105万元，资金到位率为100%，</w:t>
      </w:r>
      <w:r>
        <w:rPr>
          <w:rFonts w:hint="default" w:ascii="Times New Roman" w:hAnsi="Times New Roman" w:eastAsia="仿宋_GB2312" w:cs="Times New Roman"/>
          <w:color w:val="auto"/>
          <w:sz w:val="32"/>
          <w:szCs w:val="32"/>
          <w:lang w:val="zh-CN" w:eastAsia="zh-CN"/>
        </w:rPr>
        <w:t>到位及时性及配套资金筹措能力</w:t>
      </w:r>
      <w:r>
        <w:rPr>
          <w:rFonts w:hint="default" w:ascii="Times New Roman" w:hAnsi="Times New Roman" w:eastAsia="仿宋_GB2312" w:cs="Times New Roman"/>
          <w:color w:val="auto"/>
          <w:sz w:val="32"/>
          <w:szCs w:val="32"/>
          <w:lang w:val="en-US" w:eastAsia="zh-CN"/>
        </w:rPr>
        <w:t>符合相关文件规定。</w:t>
      </w:r>
    </w:p>
    <w:p w14:paraId="74C47AC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zh-CN" w:eastAsia="zh-CN"/>
        </w:rPr>
        <w:t>2.资金使用。</w:t>
      </w:r>
      <w:r>
        <w:rPr>
          <w:rFonts w:hint="default" w:ascii="Times New Roman" w:hAnsi="Times New Roman" w:eastAsia="仿宋_GB2312" w:cs="Times New Roman"/>
          <w:color w:val="auto"/>
          <w:sz w:val="32"/>
          <w:szCs w:val="32"/>
          <w:lang w:val="en-US" w:eastAsia="zh-CN"/>
        </w:rPr>
        <w:t>本项目</w:t>
      </w:r>
      <w:r>
        <w:rPr>
          <w:rFonts w:hint="default" w:ascii="Times New Roman" w:hAnsi="Times New Roman" w:eastAsia="仿宋_GB2312" w:cs="Times New Roman"/>
          <w:color w:val="auto"/>
          <w:sz w:val="32"/>
          <w:szCs w:val="32"/>
          <w:lang w:val="zh-CN" w:eastAsia="zh-CN"/>
        </w:rPr>
        <w:t>实际支出</w:t>
      </w:r>
      <w:r>
        <w:rPr>
          <w:rFonts w:hint="default" w:ascii="Times New Roman" w:hAnsi="Times New Roman" w:eastAsia="仿宋_GB2312" w:cs="Times New Roman"/>
          <w:color w:val="auto"/>
          <w:sz w:val="32"/>
          <w:szCs w:val="32"/>
          <w:lang w:val="en-US" w:eastAsia="zh-CN"/>
        </w:rPr>
        <w:t>80万元，</w:t>
      </w:r>
      <w:r>
        <w:rPr>
          <w:rFonts w:hint="default" w:ascii="Times New Roman" w:hAnsi="Times New Roman" w:eastAsia="仿宋_GB2312" w:cs="Times New Roman"/>
          <w:color w:val="auto"/>
          <w:sz w:val="32"/>
          <w:szCs w:val="32"/>
          <w:lang w:val="zh-CN" w:eastAsia="zh-CN"/>
        </w:rPr>
        <w:t>资金开支范围、标准</w:t>
      </w:r>
      <w:r>
        <w:rPr>
          <w:rFonts w:hint="default" w:ascii="Times New Roman" w:hAnsi="Times New Roman" w:eastAsia="仿宋_GB2312" w:cs="Times New Roman"/>
          <w:color w:val="auto"/>
          <w:sz w:val="32"/>
          <w:szCs w:val="32"/>
          <w:lang w:val="en-US" w:eastAsia="zh-CN"/>
        </w:rPr>
        <w:t>均使用与项目建设过程中，</w:t>
      </w:r>
      <w:r>
        <w:rPr>
          <w:rFonts w:hint="default" w:ascii="Times New Roman" w:hAnsi="Times New Roman" w:eastAsia="仿宋_GB2312" w:cs="Times New Roman"/>
          <w:color w:val="auto"/>
          <w:sz w:val="32"/>
          <w:szCs w:val="32"/>
          <w:lang w:val="zh-CN" w:eastAsia="zh-CN"/>
        </w:rPr>
        <w:t>支付进度</w:t>
      </w:r>
      <w:r>
        <w:rPr>
          <w:rFonts w:hint="default" w:ascii="Times New Roman" w:hAnsi="Times New Roman" w:eastAsia="仿宋_GB2312" w:cs="Times New Roman"/>
          <w:color w:val="auto"/>
          <w:sz w:val="32"/>
          <w:szCs w:val="32"/>
          <w:lang w:val="en-US" w:eastAsia="zh-CN"/>
        </w:rPr>
        <w:t>按照合同按期支付，</w:t>
      </w:r>
      <w:r>
        <w:rPr>
          <w:rFonts w:hint="default" w:ascii="Times New Roman" w:hAnsi="Times New Roman" w:eastAsia="仿宋_GB2312" w:cs="Times New Roman"/>
          <w:color w:val="auto"/>
          <w:sz w:val="32"/>
          <w:szCs w:val="32"/>
          <w:lang w:val="zh-CN" w:eastAsia="zh-CN"/>
        </w:rPr>
        <w:t>支付依据合规合法，资金支付与预算相符。</w:t>
      </w:r>
    </w:p>
    <w:p w14:paraId="2B9B5FD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1470" w:leftChars="0" w:firstLine="643" w:firstLineChars="200"/>
        <w:textAlignment w:val="auto"/>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（二）项目财务管理情况。</w:t>
      </w:r>
    </w:p>
    <w:p w14:paraId="601CC3C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按照国家会计制度、</w:t>
      </w:r>
      <w:r>
        <w:rPr>
          <w:rFonts w:hint="default" w:ascii="Times New Roman" w:hAnsi="Times New Roman" w:eastAsia="仿宋_GB2312" w:cs="Times New Roman"/>
          <w:color w:val="auto"/>
          <w:sz w:val="32"/>
          <w:szCs w:val="32"/>
          <w:lang w:val="en-US" w:eastAsia="zh-CN"/>
        </w:rPr>
        <w:t>上杜柯乡</w:t>
      </w:r>
      <w:r>
        <w:rPr>
          <w:rFonts w:hint="default" w:ascii="Times New Roman" w:hAnsi="Times New Roman" w:eastAsia="仿宋_GB2312" w:cs="Times New Roman"/>
          <w:color w:val="auto"/>
          <w:sz w:val="32"/>
          <w:szCs w:val="32"/>
          <w:lang w:val="zh-CN" w:eastAsia="zh-CN"/>
        </w:rPr>
        <w:t>财务管理办法的规定，依法组织会计日常核算、记</w:t>
      </w:r>
      <w:r>
        <w:rPr>
          <w:rFonts w:hint="eastAsia" w:eastAsia="仿宋_GB2312" w:cs="Times New Roman"/>
          <w:color w:val="auto"/>
          <w:sz w:val="32"/>
          <w:szCs w:val="32"/>
          <w:lang w:val="zh-CN" w:eastAsia="zh-CN"/>
        </w:rPr>
        <w:t>账</w:t>
      </w:r>
      <w:r>
        <w:rPr>
          <w:rFonts w:hint="default" w:ascii="Times New Roman" w:hAnsi="Times New Roman" w:eastAsia="仿宋_GB2312" w:cs="Times New Roman"/>
          <w:color w:val="auto"/>
          <w:sz w:val="32"/>
          <w:szCs w:val="32"/>
          <w:lang w:val="zh-CN" w:eastAsia="zh-CN"/>
        </w:rPr>
        <w:t>、复</w:t>
      </w:r>
      <w:r>
        <w:rPr>
          <w:rFonts w:hint="eastAsia" w:eastAsia="仿宋_GB2312" w:cs="Times New Roman"/>
          <w:color w:val="auto"/>
          <w:sz w:val="32"/>
          <w:szCs w:val="32"/>
          <w:lang w:val="zh-CN" w:eastAsia="zh-CN"/>
        </w:rPr>
        <w:t>账</w:t>
      </w:r>
      <w:r>
        <w:rPr>
          <w:rFonts w:hint="default" w:ascii="Times New Roman" w:hAnsi="Times New Roman" w:eastAsia="仿宋_GB2312" w:cs="Times New Roman"/>
          <w:color w:val="auto"/>
          <w:sz w:val="32"/>
          <w:szCs w:val="32"/>
          <w:lang w:val="zh-CN" w:eastAsia="zh-CN"/>
        </w:rPr>
        <w:t>、报</w:t>
      </w:r>
      <w:r>
        <w:rPr>
          <w:rFonts w:hint="eastAsia" w:eastAsia="仿宋_GB2312" w:cs="Times New Roman"/>
          <w:color w:val="auto"/>
          <w:sz w:val="32"/>
          <w:szCs w:val="32"/>
          <w:lang w:val="zh-CN" w:eastAsia="zh-CN"/>
        </w:rPr>
        <w:t>账</w:t>
      </w:r>
      <w:r>
        <w:rPr>
          <w:rFonts w:hint="default" w:ascii="Times New Roman" w:hAnsi="Times New Roman" w:eastAsia="仿宋_GB2312" w:cs="Times New Roman"/>
          <w:color w:val="auto"/>
          <w:sz w:val="32"/>
          <w:szCs w:val="32"/>
          <w:lang w:val="zh-CN" w:eastAsia="zh-CN"/>
        </w:rPr>
        <w:t>，做到手续完备，</w:t>
      </w:r>
      <w:r>
        <w:rPr>
          <w:rFonts w:hint="eastAsia" w:eastAsia="仿宋_GB2312" w:cs="Times New Roman"/>
          <w:color w:val="auto"/>
          <w:sz w:val="32"/>
          <w:szCs w:val="32"/>
          <w:lang w:val="zh-CN" w:eastAsia="zh-CN"/>
        </w:rPr>
        <w:t>账</w:t>
      </w:r>
      <w:r>
        <w:rPr>
          <w:rFonts w:hint="default" w:ascii="Times New Roman" w:hAnsi="Times New Roman" w:eastAsia="仿宋_GB2312" w:cs="Times New Roman"/>
          <w:color w:val="auto"/>
          <w:sz w:val="32"/>
          <w:szCs w:val="32"/>
          <w:lang w:val="zh-CN" w:eastAsia="zh-CN"/>
        </w:rPr>
        <w:t>目清楚。按期报</w:t>
      </w:r>
      <w:r>
        <w:rPr>
          <w:rFonts w:hint="eastAsia" w:eastAsia="仿宋_GB2312" w:cs="Times New Roman"/>
          <w:color w:val="auto"/>
          <w:sz w:val="32"/>
          <w:szCs w:val="32"/>
          <w:lang w:val="zh-CN" w:eastAsia="zh-CN"/>
        </w:rPr>
        <w:t>账</w:t>
      </w:r>
      <w:r>
        <w:rPr>
          <w:rFonts w:hint="default" w:ascii="Times New Roman" w:hAnsi="Times New Roman" w:eastAsia="仿宋_GB2312" w:cs="Times New Roman"/>
          <w:color w:val="auto"/>
          <w:sz w:val="32"/>
          <w:szCs w:val="32"/>
          <w:lang w:val="zh-CN" w:eastAsia="zh-CN"/>
        </w:rPr>
        <w:t>，登记会计账簿，编制会计报表。对照项目资金管理办法，</w:t>
      </w:r>
      <w:r>
        <w:rPr>
          <w:rFonts w:hint="default" w:ascii="Times New Roman" w:hAnsi="Times New Roman" w:eastAsia="仿宋_GB2312" w:cs="Times New Roman"/>
          <w:color w:val="auto"/>
          <w:sz w:val="32"/>
          <w:szCs w:val="32"/>
          <w:lang w:val="en-US" w:eastAsia="zh-CN"/>
        </w:rPr>
        <w:t>本</w:t>
      </w:r>
      <w:r>
        <w:rPr>
          <w:rFonts w:hint="default" w:ascii="Times New Roman" w:hAnsi="Times New Roman" w:eastAsia="仿宋_GB2312" w:cs="Times New Roman"/>
          <w:color w:val="auto"/>
          <w:sz w:val="32"/>
          <w:szCs w:val="32"/>
          <w:lang w:val="zh-CN" w:eastAsia="zh-CN"/>
        </w:rPr>
        <w:t>项目严格执行财务管理制度、财务处理及时、会计核算规范。</w:t>
      </w:r>
    </w:p>
    <w:p w14:paraId="013096F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（三）项目组织实施情况。</w:t>
      </w:r>
    </w:p>
    <w:p w14:paraId="40811AF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成立了由乡党委副书记、乡长</w:t>
      </w:r>
      <w:r>
        <w:rPr>
          <w:rFonts w:hint="default" w:ascii="Times New Roman" w:hAnsi="Times New Roman" w:eastAsia="仿宋_GB2312" w:cs="Times New Roman"/>
          <w:color w:val="auto"/>
          <w:sz w:val="32"/>
          <w:szCs w:val="32"/>
          <w:lang w:val="en-US" w:eastAsia="zh-CN"/>
        </w:rPr>
        <w:t>柔波</w:t>
      </w:r>
      <w:r>
        <w:rPr>
          <w:rFonts w:hint="default" w:ascii="Times New Roman" w:hAnsi="Times New Roman" w:eastAsia="仿宋_GB2312" w:cs="Times New Roman"/>
          <w:color w:val="auto"/>
          <w:sz w:val="32"/>
          <w:szCs w:val="32"/>
          <w:lang w:val="zh-CN" w:eastAsia="zh-CN"/>
        </w:rPr>
        <w:t>为组长，相关单位负责人为成员的建设项目领导小组，领导小组分工明确，责任到人，为项目的实施提供宽松的环境和组织保证。工程共分三个阶段进行：第一阶段从</w:t>
      </w:r>
      <w:r>
        <w:rPr>
          <w:rFonts w:hint="default" w:ascii="Times New Roman" w:hAnsi="Times New Roman" w:eastAsia="仿宋_GB2312" w:cs="Times New Roman"/>
          <w:color w:val="auto"/>
          <w:sz w:val="32"/>
          <w:szCs w:val="32"/>
          <w:lang w:val="en-US" w:eastAsia="zh-CN"/>
        </w:rPr>
        <w:t>202</w:t>
      </w:r>
      <w:r>
        <w:rPr>
          <w:rFonts w:hint="eastAsia"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年5月1日</w:t>
      </w:r>
      <w:r>
        <w:rPr>
          <w:rFonts w:hint="default" w:ascii="Times New Roman" w:hAnsi="Times New Roman" w:eastAsia="仿宋_GB2312" w:cs="Times New Roman"/>
          <w:color w:val="auto"/>
          <w:sz w:val="32"/>
          <w:szCs w:val="32"/>
          <w:lang w:val="zh-CN" w:eastAsia="zh-CN"/>
        </w:rPr>
        <w:t>到20</w:t>
      </w:r>
      <w:r>
        <w:rPr>
          <w:rFonts w:hint="default" w:ascii="Times New Roman" w:hAnsi="Times New Roman" w:eastAsia="仿宋_GB2312" w:cs="Times New Roman"/>
          <w:color w:val="auto"/>
          <w:sz w:val="32"/>
          <w:szCs w:val="32"/>
          <w:lang w:val="en-US" w:eastAsia="zh-CN"/>
        </w:rPr>
        <w:t>2</w:t>
      </w:r>
      <w:r>
        <w:rPr>
          <w:rFonts w:hint="eastAsia"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zh-CN" w:eastAsia="zh-CN"/>
        </w:rPr>
        <w:t>年</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zh-CN" w:eastAsia="zh-CN"/>
        </w:rPr>
        <w:t>月</w:t>
      </w:r>
      <w:r>
        <w:rPr>
          <w:rFonts w:hint="default" w:ascii="Times New Roman" w:hAnsi="Times New Roman" w:eastAsia="仿宋_GB2312" w:cs="Times New Roman"/>
          <w:color w:val="auto"/>
          <w:sz w:val="32"/>
          <w:szCs w:val="32"/>
          <w:lang w:val="en-US" w:eastAsia="zh-CN"/>
        </w:rPr>
        <w:t>30</w:t>
      </w:r>
      <w:r>
        <w:rPr>
          <w:rFonts w:hint="default" w:ascii="Times New Roman" w:hAnsi="Times New Roman" w:eastAsia="仿宋_GB2312" w:cs="Times New Roman"/>
          <w:color w:val="auto"/>
          <w:sz w:val="32"/>
          <w:szCs w:val="32"/>
          <w:lang w:val="zh-CN" w:eastAsia="zh-CN"/>
        </w:rPr>
        <w:t>日完成</w:t>
      </w:r>
      <w:r>
        <w:rPr>
          <w:rFonts w:hint="default" w:ascii="Times New Roman" w:hAnsi="Times New Roman" w:eastAsia="仿宋_GB2312" w:cs="Times New Roman"/>
          <w:color w:val="auto"/>
          <w:sz w:val="32"/>
          <w:szCs w:val="32"/>
          <w:lang w:val="en-US" w:eastAsia="zh-CN"/>
        </w:rPr>
        <w:t>项目</w:t>
      </w:r>
      <w:r>
        <w:rPr>
          <w:rFonts w:hint="default" w:ascii="Times New Roman" w:hAnsi="Times New Roman" w:eastAsia="仿宋_GB2312" w:cs="Times New Roman"/>
          <w:color w:val="auto"/>
          <w:sz w:val="32"/>
          <w:szCs w:val="32"/>
          <w:lang w:val="zh-CN" w:eastAsia="zh-CN"/>
        </w:rPr>
        <w:t>开工前期准备工作；第二阶段从20</w:t>
      </w:r>
      <w:r>
        <w:rPr>
          <w:rFonts w:hint="default" w:ascii="Times New Roman" w:hAnsi="Times New Roman" w:eastAsia="仿宋_GB2312" w:cs="Times New Roman"/>
          <w:color w:val="auto"/>
          <w:sz w:val="32"/>
          <w:szCs w:val="32"/>
          <w:lang w:val="en-US" w:eastAsia="zh-CN"/>
        </w:rPr>
        <w:t>2</w:t>
      </w:r>
      <w:r>
        <w:rPr>
          <w:rFonts w:hint="eastAsia"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zh-CN" w:eastAsia="zh-CN"/>
        </w:rPr>
        <w:t>年</w:t>
      </w:r>
      <w:r>
        <w:rPr>
          <w:rFonts w:hint="default"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lang w:val="zh-CN" w:eastAsia="zh-CN"/>
        </w:rPr>
        <w:t>月</w:t>
      </w:r>
      <w:r>
        <w:rPr>
          <w:rFonts w:hint="default" w:ascii="Times New Roman" w:hAnsi="Times New Roman" w:eastAsia="仿宋_GB2312" w:cs="Times New Roman"/>
          <w:color w:val="auto"/>
          <w:sz w:val="32"/>
          <w:szCs w:val="32"/>
          <w:lang w:val="en-US" w:eastAsia="zh-CN"/>
        </w:rPr>
        <w:t xml:space="preserve">1 </w:t>
      </w:r>
      <w:r>
        <w:rPr>
          <w:rFonts w:hint="default" w:ascii="Times New Roman" w:hAnsi="Times New Roman" w:eastAsia="仿宋_GB2312" w:cs="Times New Roman"/>
          <w:color w:val="auto"/>
          <w:sz w:val="32"/>
          <w:szCs w:val="32"/>
          <w:lang w:val="zh-CN" w:eastAsia="zh-CN"/>
        </w:rPr>
        <w:t>日至</w:t>
      </w: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lang w:val="zh-CN" w:eastAsia="zh-CN"/>
        </w:rPr>
        <w:t>月</w:t>
      </w:r>
      <w:r>
        <w:rPr>
          <w:rFonts w:hint="default" w:ascii="Times New Roman" w:hAnsi="Times New Roman" w:eastAsia="仿宋_GB2312" w:cs="Times New Roman"/>
          <w:color w:val="auto"/>
          <w:sz w:val="32"/>
          <w:szCs w:val="32"/>
          <w:lang w:val="en-US" w:eastAsia="zh-CN"/>
        </w:rPr>
        <w:t>30</w:t>
      </w:r>
      <w:r>
        <w:rPr>
          <w:rFonts w:hint="default" w:ascii="Times New Roman" w:hAnsi="Times New Roman" w:eastAsia="仿宋_GB2312" w:cs="Times New Roman"/>
          <w:color w:val="auto"/>
          <w:sz w:val="32"/>
          <w:szCs w:val="32"/>
          <w:lang w:val="zh-CN" w:eastAsia="zh-CN"/>
        </w:rPr>
        <w:t>日完成项目的主体</w:t>
      </w:r>
      <w:r>
        <w:rPr>
          <w:rFonts w:hint="default" w:ascii="Times New Roman" w:hAnsi="Times New Roman" w:eastAsia="仿宋_GB2312" w:cs="Times New Roman"/>
          <w:color w:val="auto"/>
          <w:sz w:val="32"/>
          <w:szCs w:val="32"/>
          <w:lang w:val="en-US" w:eastAsia="zh-CN"/>
        </w:rPr>
        <w:t>任务</w:t>
      </w:r>
      <w:r>
        <w:rPr>
          <w:rFonts w:hint="default" w:ascii="Times New Roman" w:hAnsi="Times New Roman" w:eastAsia="仿宋_GB2312" w:cs="Times New Roman"/>
          <w:color w:val="auto"/>
          <w:sz w:val="32"/>
          <w:szCs w:val="32"/>
          <w:lang w:val="zh-CN" w:eastAsia="zh-CN"/>
        </w:rPr>
        <w:t>；第三阶段从20</w:t>
      </w:r>
      <w:r>
        <w:rPr>
          <w:rFonts w:hint="default" w:ascii="Times New Roman" w:hAnsi="Times New Roman" w:eastAsia="仿宋_GB2312" w:cs="Times New Roman"/>
          <w:color w:val="auto"/>
          <w:sz w:val="32"/>
          <w:szCs w:val="32"/>
          <w:lang w:val="en-US" w:eastAsia="zh-CN"/>
        </w:rPr>
        <w:t>2</w:t>
      </w:r>
      <w:r>
        <w:rPr>
          <w:rFonts w:hint="eastAsia" w:eastAsia="仿宋_GB2312" w:cs="Times New Roman"/>
          <w:color w:val="auto"/>
          <w:sz w:val="32"/>
          <w:szCs w:val="32"/>
          <w:lang w:val="en-US" w:eastAsia="zh-CN"/>
        </w:rPr>
        <w:t>5</w:t>
      </w:r>
      <w:bookmarkStart w:id="98" w:name="_GoBack"/>
      <w:bookmarkEnd w:id="98"/>
      <w:r>
        <w:rPr>
          <w:rFonts w:hint="default" w:ascii="Times New Roman" w:hAnsi="Times New Roman" w:eastAsia="仿宋_GB2312" w:cs="Times New Roman"/>
          <w:color w:val="auto"/>
          <w:sz w:val="32"/>
          <w:szCs w:val="32"/>
          <w:lang w:val="zh-CN" w:eastAsia="zh-CN"/>
        </w:rPr>
        <w:t>年</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lang w:val="zh-CN" w:eastAsia="zh-CN"/>
        </w:rPr>
        <w:t>月1日</w:t>
      </w:r>
      <w:r>
        <w:rPr>
          <w:rFonts w:hint="default" w:ascii="Times New Roman" w:hAnsi="Times New Roman" w:eastAsia="仿宋_GB2312" w:cs="Times New Roman"/>
          <w:color w:val="auto"/>
          <w:sz w:val="32"/>
          <w:szCs w:val="32"/>
          <w:lang w:val="en-US" w:eastAsia="zh-CN"/>
        </w:rPr>
        <w:t>至今</w:t>
      </w:r>
      <w:r>
        <w:rPr>
          <w:rFonts w:hint="default" w:ascii="Times New Roman" w:hAnsi="Times New Roman" w:eastAsia="仿宋_GB2312" w:cs="Times New Roman"/>
          <w:color w:val="auto"/>
          <w:sz w:val="32"/>
          <w:szCs w:val="32"/>
          <w:lang w:val="zh-CN" w:eastAsia="zh-CN"/>
        </w:rPr>
        <w:t>组织检查验收并投入正常使用。</w:t>
      </w:r>
    </w:p>
    <w:p w14:paraId="4F04AD9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lang w:val="zh-CN"/>
        </w:rPr>
      </w:pPr>
      <w:r>
        <w:rPr>
          <w:rFonts w:hint="default" w:ascii="Times New Roman" w:hAnsi="Times New Roman" w:eastAsia="黑体" w:cs="Times New Roman"/>
          <w:color w:val="auto"/>
          <w:sz w:val="32"/>
          <w:szCs w:val="32"/>
          <w:lang w:val="zh-CN"/>
        </w:rPr>
        <w:t>三、目标完成情况</w:t>
      </w:r>
      <w:r>
        <w:rPr>
          <w:rFonts w:hint="default" w:ascii="Times New Roman" w:hAnsi="Times New Roman" w:eastAsia="黑体" w:cs="Times New Roman"/>
          <w:color w:val="auto"/>
          <w:sz w:val="32"/>
          <w:szCs w:val="32"/>
          <w:lang w:val="zh-CN"/>
        </w:rPr>
        <w:tab/>
      </w:r>
    </w:p>
    <w:p w14:paraId="7128B35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（一）目标任务量完成情况。</w:t>
      </w:r>
    </w:p>
    <w:p w14:paraId="71CDAA9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zh-CN" w:eastAsia="zh-CN"/>
        </w:rPr>
        <w:t>项目实际投资</w:t>
      </w:r>
      <w:r>
        <w:rPr>
          <w:rFonts w:hint="default" w:ascii="Times New Roman" w:hAnsi="Times New Roman" w:eastAsia="仿宋_GB2312" w:cs="Times New Roman"/>
          <w:color w:val="auto"/>
          <w:sz w:val="32"/>
          <w:szCs w:val="32"/>
          <w:lang w:val="en-US" w:eastAsia="zh-CN"/>
        </w:rPr>
        <w:t>105万元，上杜柯乡辖区内种植人工饲草基地1200亩，种植牧草1200亩，采购燕麦种子18000公斤、背负式收割机6台、翻耕机2台，肥料（含追肥），购买网围栏7000米，及土地复耕1200亩。</w:t>
      </w:r>
    </w:p>
    <w:p w14:paraId="003B3D7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（二）目标质量完成情况。</w:t>
      </w:r>
    </w:p>
    <w:p w14:paraId="3956825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zh-CN" w:eastAsia="zh-CN"/>
        </w:rPr>
        <w:t>项目计划目标</w:t>
      </w:r>
      <w:r>
        <w:rPr>
          <w:rFonts w:hint="default" w:ascii="Times New Roman" w:hAnsi="Times New Roman" w:eastAsia="仿宋_GB2312" w:cs="Times New Roman"/>
          <w:color w:val="auto"/>
          <w:sz w:val="32"/>
          <w:szCs w:val="32"/>
          <w:lang w:val="en-US" w:eastAsia="zh-CN"/>
        </w:rPr>
        <w:t>上杜柯乡辖区内种植人工饲草基地1200亩，种植牧草1200亩，采购燕麦种子18000公斤、背负式收割机6台、翻耕机2台，肥料（含追肥），购买网围栏7000米，及土地复耕1200亩。</w:t>
      </w:r>
      <w:r>
        <w:rPr>
          <w:rFonts w:hint="default" w:ascii="Times New Roman" w:hAnsi="Times New Roman" w:eastAsia="仿宋_GB2312" w:cs="Times New Roman"/>
          <w:color w:val="auto"/>
          <w:sz w:val="32"/>
          <w:szCs w:val="32"/>
          <w:lang w:val="zh-CN" w:eastAsia="zh-CN"/>
        </w:rPr>
        <w:t>目标质量完成</w:t>
      </w:r>
      <w:r>
        <w:rPr>
          <w:rFonts w:hint="default" w:ascii="Times New Roman" w:hAnsi="Times New Roman" w:eastAsia="仿宋_GB2312" w:cs="Times New Roman"/>
          <w:color w:val="auto"/>
          <w:sz w:val="32"/>
          <w:szCs w:val="32"/>
          <w:lang w:val="en-US" w:eastAsia="zh-CN"/>
        </w:rPr>
        <w:t>率≥99.99%。</w:t>
      </w:r>
    </w:p>
    <w:p w14:paraId="6AD3DCC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（三）目标进度完成情况。</w:t>
      </w:r>
    </w:p>
    <w:p w14:paraId="0AF6806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zh-CN" w:eastAsia="zh-CN"/>
        </w:rPr>
        <w:t>对照预定进度计划，</w:t>
      </w:r>
      <w:r>
        <w:rPr>
          <w:rFonts w:hint="default" w:ascii="Times New Roman" w:hAnsi="Times New Roman" w:eastAsia="仿宋_GB2312" w:cs="Times New Roman"/>
          <w:color w:val="auto"/>
          <w:sz w:val="32"/>
          <w:szCs w:val="32"/>
          <w:lang w:val="en-US" w:eastAsia="zh-CN"/>
        </w:rPr>
        <w:t>壤塘县上杜柯乡2025年人工饲草种植项目</w:t>
      </w:r>
      <w:r>
        <w:rPr>
          <w:rFonts w:hint="default" w:ascii="Times New Roman" w:hAnsi="Times New Roman" w:eastAsia="仿宋_GB2312" w:cs="Times New Roman"/>
          <w:color w:val="auto"/>
          <w:sz w:val="32"/>
          <w:szCs w:val="32"/>
          <w:lang w:val="zh-CN" w:eastAsia="zh-CN"/>
        </w:rPr>
        <w:t>实际完成进度</w:t>
      </w:r>
      <w:r>
        <w:rPr>
          <w:rFonts w:hint="default" w:ascii="Times New Roman" w:hAnsi="Times New Roman" w:eastAsia="仿宋_GB2312" w:cs="Times New Roman"/>
          <w:color w:val="auto"/>
          <w:sz w:val="32"/>
          <w:szCs w:val="32"/>
          <w:lang w:val="en-US" w:eastAsia="zh-CN"/>
        </w:rPr>
        <w:t>率=100%。</w:t>
      </w:r>
    </w:p>
    <w:p w14:paraId="544F4F0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lang w:val="zh-CN"/>
        </w:rPr>
      </w:pPr>
      <w:r>
        <w:rPr>
          <w:rFonts w:hint="default" w:ascii="Times New Roman" w:hAnsi="Times New Roman" w:eastAsia="黑体" w:cs="Times New Roman"/>
          <w:color w:val="auto"/>
          <w:sz w:val="32"/>
          <w:szCs w:val="32"/>
          <w:lang w:val="zh-CN"/>
        </w:rPr>
        <w:t>四、项目效益情况</w:t>
      </w:r>
    </w:p>
    <w:p w14:paraId="75F88EE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项目覆盖3个村，通过实施该项目以推动我县现代草原畜牧业产业化基地建设为导向，以“试点示范、稳步推进”的原则，最大限度减少因自然灾害造成牲畜死亡和掉膘带来的经济损失，缩短牲畜出栏周期，增加牧民群众收入。同时，进一步扩大辐射面，引导我县及周边牧民群众推行自然放牧与舍饲相结合的生产模式，引导牧户转变观念，走上科学养畜的路子，有效增加农牧民收入，促进牧区的安定团结和社会和谐。</w:t>
      </w:r>
    </w:p>
    <w:p w14:paraId="040A68B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color w:val="auto"/>
          <w:sz w:val="32"/>
          <w:szCs w:val="32"/>
          <w:lang w:val="zh-CN"/>
        </w:rPr>
      </w:pPr>
      <w:r>
        <w:rPr>
          <w:rFonts w:hint="default" w:ascii="Times New Roman" w:hAnsi="Times New Roman" w:eastAsia="黑体" w:cs="Times New Roman"/>
          <w:color w:val="auto"/>
          <w:sz w:val="32"/>
          <w:szCs w:val="32"/>
          <w:lang w:val="zh-CN"/>
        </w:rPr>
        <w:t>五、问题及建议</w:t>
      </w:r>
    </w:p>
    <w:p w14:paraId="510C3C1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楷体_GB2312" w:cs="Times New Roman"/>
          <w:b/>
          <w:color w:val="auto"/>
          <w:sz w:val="32"/>
          <w:szCs w:val="32"/>
          <w:lang w:val="en-US" w:eastAsia="zh-CN"/>
        </w:rPr>
      </w:pPr>
      <w:r>
        <w:rPr>
          <w:rFonts w:hint="default" w:ascii="Times New Roman" w:hAnsi="Times New Roman" w:eastAsia="楷体_GB2312" w:cs="Times New Roman"/>
          <w:b/>
          <w:color w:val="auto"/>
          <w:sz w:val="32"/>
          <w:szCs w:val="32"/>
          <w:lang w:val="zh-CN"/>
        </w:rPr>
        <w:t>（一）存在的问题。</w:t>
      </w:r>
      <w:r>
        <w:rPr>
          <w:rFonts w:hint="default" w:ascii="Times New Roman" w:hAnsi="Times New Roman" w:eastAsia="楷体_GB2312" w:cs="Times New Roman"/>
          <w:b/>
          <w:color w:val="auto"/>
          <w:sz w:val="32"/>
          <w:szCs w:val="32"/>
          <w:lang w:val="en-US" w:eastAsia="zh-CN"/>
        </w:rPr>
        <w:t>无</w:t>
      </w:r>
    </w:p>
    <w:p w14:paraId="29210E2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楷体_GB2312" w:cs="Times New Roman"/>
          <w:b/>
          <w:color w:val="auto"/>
          <w:sz w:val="32"/>
          <w:szCs w:val="32"/>
          <w:lang w:val="zh-CN"/>
        </w:rPr>
      </w:pPr>
      <w:r>
        <w:rPr>
          <w:rFonts w:hint="default" w:ascii="Times New Roman" w:hAnsi="Times New Roman" w:eastAsia="楷体_GB2312" w:cs="Times New Roman"/>
          <w:b/>
          <w:color w:val="auto"/>
          <w:sz w:val="32"/>
          <w:szCs w:val="32"/>
          <w:lang w:val="zh-CN"/>
        </w:rPr>
        <w:t>（二）相关建议。</w:t>
      </w:r>
      <w:r>
        <w:rPr>
          <w:rFonts w:hint="default" w:ascii="Times New Roman" w:hAnsi="Times New Roman" w:eastAsia="楷体_GB2312" w:cs="Times New Roman"/>
          <w:b/>
          <w:color w:val="auto"/>
          <w:sz w:val="32"/>
          <w:szCs w:val="32"/>
          <w:lang w:val="en-US" w:eastAsia="zh-CN"/>
        </w:rPr>
        <w:t>无</w:t>
      </w:r>
    </w:p>
    <w:p w14:paraId="397D1E34">
      <w:pPr>
        <w:rPr>
          <w:rFonts w:hint="default" w:ascii="Times New Roman" w:hAnsi="Times New Roman" w:cs="Times New Roman"/>
          <w:color w:val="auto"/>
        </w:rPr>
      </w:pPr>
    </w:p>
    <w:p w14:paraId="76A5C965">
      <w:pPr>
        <w:bidi w:val="0"/>
        <w:rPr>
          <w:rFonts w:hint="default" w:ascii="Times New Roman" w:hAnsi="Times New Roman" w:eastAsia="仿宋_GB2312" w:cs="Times New Roman"/>
          <w:kern w:val="2"/>
          <w:sz w:val="32"/>
          <w:szCs w:val="24"/>
          <w:lang w:val="en-US" w:eastAsia="zh-CN" w:bidi="ar-SA"/>
        </w:rPr>
      </w:pPr>
    </w:p>
    <w:p w14:paraId="7415E7AA">
      <w:pPr>
        <w:bidi w:val="0"/>
        <w:rPr>
          <w:rFonts w:hint="default" w:ascii="Times New Roman" w:hAnsi="Times New Roman" w:cs="Times New Roman"/>
          <w:lang w:val="en-US" w:eastAsia="zh-CN"/>
        </w:rPr>
      </w:pPr>
    </w:p>
    <w:p w14:paraId="4B3F7E0D">
      <w:pPr>
        <w:bidi w:val="0"/>
        <w:rPr>
          <w:rFonts w:hint="default" w:ascii="Times New Roman" w:hAnsi="Times New Roman" w:cs="Times New Roman"/>
          <w:lang w:val="en-US" w:eastAsia="zh-CN"/>
        </w:rPr>
      </w:pPr>
    </w:p>
    <w:p w14:paraId="63971F2B">
      <w:pPr>
        <w:numPr>
          <w:ilvl w:val="0"/>
          <w:numId w:val="0"/>
        </w:numPr>
        <w:adjustRightInd w:val="0"/>
        <w:snapToGrid w:val="0"/>
        <w:spacing w:line="560" w:lineRule="exact"/>
        <w:jc w:val="righ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上杜柯乡人民政府</w:t>
      </w:r>
    </w:p>
    <w:p w14:paraId="4BF9D7D1">
      <w:pPr>
        <w:numPr>
          <w:ilvl w:val="0"/>
          <w:numId w:val="0"/>
        </w:numPr>
        <w:adjustRightInd w:val="0"/>
        <w:snapToGrid w:val="0"/>
        <w:spacing w:line="560" w:lineRule="exact"/>
        <w:jc w:val="righ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2025年12月1日</w:t>
      </w:r>
    </w:p>
    <w:p w14:paraId="71523A6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32E70A5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73D978D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bookmarkStart w:id="84" w:name="_Toc15396618"/>
      <w:r>
        <w:rPr>
          <w:rFonts w:hint="default" w:ascii="Times New Roman" w:hAnsi="Times New Roman" w:eastAsia="仿宋_GB2312" w:cs="Times New Roman"/>
          <w:b w:val="0"/>
          <w:bCs w:val="0"/>
          <w:kern w:val="0"/>
          <w:position w:val="0"/>
          <w:sz w:val="32"/>
          <w:szCs w:val="32"/>
          <w:highlight w:val="none"/>
          <w:lang w:val="en-US" w:eastAsia="zh-CN" w:bidi="ar-SA"/>
        </w:rPr>
        <w:br w:type="page"/>
      </w:r>
    </w:p>
    <w:p w14:paraId="13098ECC">
      <w:pPr>
        <w:widowControl/>
        <w:jc w:val="center"/>
        <w:rPr>
          <w:rFonts w:hint="default" w:ascii="Times New Roman" w:hAnsi="Times New Roman" w:eastAsia="仿宋" w:cs="Times New Roman"/>
          <w:b w:val="0"/>
          <w:color w:val="auto"/>
          <w:highlight w:val="none"/>
        </w:rPr>
      </w:pPr>
      <w:r>
        <w:rPr>
          <w:rFonts w:hint="default" w:ascii="Times New Roman" w:hAnsi="Times New Roman" w:eastAsia="黑体" w:cs="Times New Roman"/>
          <w:color w:val="auto"/>
          <w:sz w:val="44"/>
          <w:szCs w:val="44"/>
          <w:highlight w:val="none"/>
        </w:rPr>
        <w:t>第</w:t>
      </w:r>
      <w:r>
        <w:rPr>
          <w:rStyle w:val="31"/>
          <w:rFonts w:hint="default" w:ascii="Times New Roman" w:hAnsi="Times New Roman" w:eastAsia="黑体" w:cs="Times New Roman"/>
          <w:b w:val="0"/>
          <w:color w:val="auto"/>
          <w:highlight w:val="none"/>
        </w:rPr>
        <w:t>五部分 附表</w:t>
      </w:r>
      <w:bookmarkEnd w:id="79"/>
      <w:bookmarkEnd w:id="84"/>
      <w:bookmarkStart w:id="85" w:name="_Toc15396619"/>
    </w:p>
    <w:p w14:paraId="0D26C8B1">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14:paraId="4D30862F">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85"/>
    </w:p>
    <w:p w14:paraId="507925F8">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6" w:name="_Toc15396620"/>
      <w:r>
        <w:rPr>
          <w:rFonts w:hint="default" w:ascii="Times New Roman" w:hAnsi="Times New Roman" w:eastAsia="仿宋_GB2312" w:cs="Times New Roman"/>
          <w:color w:val="auto"/>
          <w:sz w:val="32"/>
          <w:szCs w:val="32"/>
          <w:highlight w:val="none"/>
        </w:rPr>
        <w:t>二、收入决算表</w:t>
      </w:r>
      <w:bookmarkEnd w:id="86"/>
    </w:p>
    <w:p w14:paraId="134B4B98">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7" w:name="_Toc15396621"/>
      <w:r>
        <w:rPr>
          <w:rFonts w:hint="default" w:ascii="Times New Roman" w:hAnsi="Times New Roman" w:eastAsia="仿宋_GB2312" w:cs="Times New Roman"/>
          <w:color w:val="auto"/>
          <w:sz w:val="32"/>
          <w:szCs w:val="32"/>
          <w:highlight w:val="none"/>
        </w:rPr>
        <w:t>三、支出决算表</w:t>
      </w:r>
      <w:bookmarkEnd w:id="87"/>
    </w:p>
    <w:p w14:paraId="72E2EFA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8" w:name="_Toc15396622"/>
      <w:r>
        <w:rPr>
          <w:rFonts w:hint="default" w:ascii="Times New Roman" w:hAnsi="Times New Roman" w:eastAsia="仿宋_GB2312" w:cs="Times New Roman"/>
          <w:color w:val="auto"/>
          <w:sz w:val="32"/>
          <w:szCs w:val="32"/>
          <w:highlight w:val="none"/>
        </w:rPr>
        <w:t>四、财政拨款收入支出决算总表</w:t>
      </w:r>
      <w:bookmarkEnd w:id="88"/>
    </w:p>
    <w:p w14:paraId="6887DDD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9" w:name="_Toc15396623"/>
      <w:r>
        <w:rPr>
          <w:rFonts w:hint="default" w:ascii="Times New Roman" w:hAnsi="Times New Roman" w:eastAsia="仿宋_GB2312" w:cs="Times New Roman"/>
          <w:color w:val="auto"/>
          <w:sz w:val="32"/>
          <w:szCs w:val="32"/>
          <w:highlight w:val="none"/>
        </w:rPr>
        <w:t>五、财政拨款支出决算明细表</w:t>
      </w:r>
      <w:bookmarkEnd w:id="89"/>
      <w:bookmarkStart w:id="90" w:name="_Toc15396624"/>
    </w:p>
    <w:p w14:paraId="261D050A">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bookmarkEnd w:id="90"/>
    </w:p>
    <w:p w14:paraId="5E8479A3">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1" w:name="_Toc15396625"/>
      <w:r>
        <w:rPr>
          <w:rFonts w:hint="default" w:ascii="Times New Roman" w:hAnsi="Times New Roman" w:eastAsia="仿宋_GB2312" w:cs="Times New Roman"/>
          <w:color w:val="auto"/>
          <w:sz w:val="32"/>
          <w:szCs w:val="32"/>
          <w:highlight w:val="none"/>
        </w:rPr>
        <w:t>七、一般公共预算财政拨款支出决算明细表</w:t>
      </w:r>
      <w:bookmarkEnd w:id="91"/>
    </w:p>
    <w:p w14:paraId="6FBD3748">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2" w:name="_Toc15396626"/>
      <w:r>
        <w:rPr>
          <w:rFonts w:hint="default" w:ascii="Times New Roman" w:hAnsi="Times New Roman" w:eastAsia="仿宋_GB2312" w:cs="Times New Roman"/>
          <w:color w:val="auto"/>
          <w:sz w:val="32"/>
          <w:szCs w:val="32"/>
          <w:highlight w:val="none"/>
        </w:rPr>
        <w:t>八、一般公共预算财政拨款基本支出决算表</w:t>
      </w:r>
      <w:bookmarkEnd w:id="92"/>
    </w:p>
    <w:p w14:paraId="2FFA57CE">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3" w:name="_Toc15396627"/>
      <w:r>
        <w:rPr>
          <w:rFonts w:hint="default" w:ascii="Times New Roman" w:hAnsi="Times New Roman" w:eastAsia="仿宋_GB2312" w:cs="Times New Roman"/>
          <w:color w:val="auto"/>
          <w:sz w:val="32"/>
          <w:szCs w:val="32"/>
          <w:highlight w:val="none"/>
        </w:rPr>
        <w:t>九、一般公共预算财政拨款项目支出决算表</w:t>
      </w:r>
      <w:bookmarkEnd w:id="93"/>
    </w:p>
    <w:p w14:paraId="038C20E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4" w:name="_Toc15396628"/>
      <w:r>
        <w:rPr>
          <w:rFonts w:hint="default" w:ascii="Times New Roman" w:hAnsi="Times New Roman" w:eastAsia="仿宋_GB2312" w:cs="Times New Roman"/>
          <w:color w:val="auto"/>
          <w:sz w:val="32"/>
          <w:szCs w:val="32"/>
          <w:highlight w:val="none"/>
        </w:rPr>
        <w:t>十、</w:t>
      </w:r>
      <w:bookmarkEnd w:id="94"/>
      <w:r>
        <w:rPr>
          <w:rFonts w:hint="default" w:ascii="Times New Roman" w:hAnsi="Times New Roman" w:eastAsia="仿宋_GB2312" w:cs="Times New Roman"/>
          <w:color w:val="auto"/>
          <w:sz w:val="32"/>
          <w:szCs w:val="32"/>
          <w:highlight w:val="none"/>
        </w:rPr>
        <w:t>政府性基金预算财政拨款收入支出决算表</w:t>
      </w:r>
    </w:p>
    <w:p w14:paraId="7F38330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5" w:name="_Toc15396629"/>
      <w:r>
        <w:rPr>
          <w:rFonts w:hint="default" w:ascii="Times New Roman" w:hAnsi="Times New Roman" w:eastAsia="仿宋_GB2312" w:cs="Times New Roman"/>
          <w:color w:val="auto"/>
          <w:sz w:val="32"/>
          <w:szCs w:val="32"/>
          <w:highlight w:val="none"/>
        </w:rPr>
        <w:t>十一、</w:t>
      </w:r>
      <w:bookmarkEnd w:id="95"/>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p>
    <w:p w14:paraId="26CA9211">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6" w:name="_Toc15396630"/>
      <w:r>
        <w:rPr>
          <w:rFonts w:hint="default" w:ascii="Times New Roman" w:hAnsi="Times New Roman" w:eastAsia="仿宋_GB2312" w:cs="Times New Roman"/>
          <w:color w:val="auto"/>
          <w:sz w:val="32"/>
          <w:szCs w:val="32"/>
          <w:highlight w:val="none"/>
        </w:rPr>
        <w:t>十二、</w:t>
      </w:r>
      <w:bookmarkEnd w:id="96"/>
      <w:r>
        <w:rPr>
          <w:rFonts w:hint="default" w:ascii="Times New Roman" w:hAnsi="Times New Roman" w:eastAsia="仿宋_GB2312" w:cs="Times New Roman"/>
          <w:color w:val="auto"/>
          <w:sz w:val="32"/>
          <w:szCs w:val="32"/>
          <w:highlight w:val="none"/>
          <w:lang w:eastAsia="zh-CN"/>
        </w:rPr>
        <w:t>国有资本经营预算财政拨款支出决算表</w:t>
      </w:r>
    </w:p>
    <w:p w14:paraId="13AC012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eastAsia="zh-CN"/>
        </w:rPr>
      </w:pPr>
      <w:bookmarkStart w:id="97" w:name="_Toc15396631"/>
      <w:r>
        <w:rPr>
          <w:rFonts w:hint="default" w:ascii="Times New Roman" w:hAnsi="Times New Roman" w:eastAsia="仿宋_GB2312" w:cs="Times New Roman"/>
          <w:color w:val="auto"/>
          <w:sz w:val="32"/>
          <w:szCs w:val="32"/>
          <w:highlight w:val="none"/>
        </w:rPr>
        <w:t>十三、</w:t>
      </w:r>
      <w:bookmarkEnd w:id="97"/>
      <w:r>
        <w:rPr>
          <w:rFonts w:hint="default" w:ascii="Times New Roman" w:hAnsi="Times New Roman" w:eastAsia="仿宋_GB2312" w:cs="Times New Roman"/>
          <w:color w:val="auto"/>
          <w:sz w:val="32"/>
          <w:szCs w:val="32"/>
          <w:highlight w:val="none"/>
          <w:lang w:eastAsia="zh-CN"/>
        </w:rPr>
        <w:t>财政拨款“三公”经费支出决算表</w:t>
      </w:r>
    </w:p>
    <w:p w14:paraId="1F341732">
      <w:pPr>
        <w:rPr>
          <w:rFonts w:hint="default" w:ascii="Times New Roman" w:hAnsi="Times New Roman" w:cs="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
    <w:altName w:val="FFont-Family"/>
    <w:panose1 w:val="00000000000000000000"/>
    <w:charset w:val="00"/>
    <w:family w:val="roman"/>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方正小标宋简体">
    <w:panose1 w:val="02010601030101010101"/>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33006">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07EEA7">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307EEA7">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14:paraId="1C2CBB30">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2CB9A">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05160B">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B05160B">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4B918">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859633">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4859633">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14:paraId="206AF155">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ED055">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65202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E65202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0A9CE">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574F9"/>
    <w:rsid w:val="015975B8"/>
    <w:rsid w:val="01DF3A84"/>
    <w:rsid w:val="02317B1B"/>
    <w:rsid w:val="02FEBE30"/>
    <w:rsid w:val="031C69F7"/>
    <w:rsid w:val="033A0B10"/>
    <w:rsid w:val="05727E41"/>
    <w:rsid w:val="061E35DE"/>
    <w:rsid w:val="066E0107"/>
    <w:rsid w:val="07996F6E"/>
    <w:rsid w:val="07A774C4"/>
    <w:rsid w:val="07DD49A7"/>
    <w:rsid w:val="07DFD8BA"/>
    <w:rsid w:val="08DB07E4"/>
    <w:rsid w:val="092D28E3"/>
    <w:rsid w:val="09867E8F"/>
    <w:rsid w:val="0A2032A3"/>
    <w:rsid w:val="0C6C4794"/>
    <w:rsid w:val="0CA8290A"/>
    <w:rsid w:val="0CCF6888"/>
    <w:rsid w:val="0D35B1ED"/>
    <w:rsid w:val="0DE07E2B"/>
    <w:rsid w:val="0E156E2F"/>
    <w:rsid w:val="0F721B32"/>
    <w:rsid w:val="0F98263C"/>
    <w:rsid w:val="101860EC"/>
    <w:rsid w:val="10C055FF"/>
    <w:rsid w:val="11772AA4"/>
    <w:rsid w:val="118107EC"/>
    <w:rsid w:val="12070D49"/>
    <w:rsid w:val="131F2CC7"/>
    <w:rsid w:val="13D50BC4"/>
    <w:rsid w:val="14022904"/>
    <w:rsid w:val="14B26A2D"/>
    <w:rsid w:val="14E40255"/>
    <w:rsid w:val="152F2A07"/>
    <w:rsid w:val="157B21D6"/>
    <w:rsid w:val="158C57B3"/>
    <w:rsid w:val="15CF1495"/>
    <w:rsid w:val="165E0673"/>
    <w:rsid w:val="16BB723D"/>
    <w:rsid w:val="186504BB"/>
    <w:rsid w:val="1938089F"/>
    <w:rsid w:val="19A445FC"/>
    <w:rsid w:val="1B5712D2"/>
    <w:rsid w:val="1B7D550C"/>
    <w:rsid w:val="1BDE692B"/>
    <w:rsid w:val="1BE8440E"/>
    <w:rsid w:val="1C2A0960"/>
    <w:rsid w:val="1CA4093D"/>
    <w:rsid w:val="1D155CEE"/>
    <w:rsid w:val="1E740ACF"/>
    <w:rsid w:val="1E9A670E"/>
    <w:rsid w:val="1EEE613B"/>
    <w:rsid w:val="1FF35744"/>
    <w:rsid w:val="1FF6BC77"/>
    <w:rsid w:val="203D4FFC"/>
    <w:rsid w:val="20760CFB"/>
    <w:rsid w:val="21325E2D"/>
    <w:rsid w:val="21962A9E"/>
    <w:rsid w:val="21AE7C77"/>
    <w:rsid w:val="21B87493"/>
    <w:rsid w:val="224B3E0C"/>
    <w:rsid w:val="22BC3C41"/>
    <w:rsid w:val="231921B3"/>
    <w:rsid w:val="237D5F65"/>
    <w:rsid w:val="2382266D"/>
    <w:rsid w:val="23860B96"/>
    <w:rsid w:val="240371BF"/>
    <w:rsid w:val="260F557C"/>
    <w:rsid w:val="26953254"/>
    <w:rsid w:val="277D5B8D"/>
    <w:rsid w:val="281408E2"/>
    <w:rsid w:val="28B5472C"/>
    <w:rsid w:val="29162655"/>
    <w:rsid w:val="29FD04D3"/>
    <w:rsid w:val="2A7D2253"/>
    <w:rsid w:val="2B3B53BD"/>
    <w:rsid w:val="2B4A5F02"/>
    <w:rsid w:val="2BBE0B64"/>
    <w:rsid w:val="2BFF7BC6"/>
    <w:rsid w:val="2C8A61B5"/>
    <w:rsid w:val="2CE41930"/>
    <w:rsid w:val="2D2E01CF"/>
    <w:rsid w:val="2DDD340F"/>
    <w:rsid w:val="2DF04E50"/>
    <w:rsid w:val="2E9545B0"/>
    <w:rsid w:val="2EF602A7"/>
    <w:rsid w:val="2F040D46"/>
    <w:rsid w:val="2F7F65FA"/>
    <w:rsid w:val="2F971030"/>
    <w:rsid w:val="2FAE5751"/>
    <w:rsid w:val="2FB1A395"/>
    <w:rsid w:val="2FC932A5"/>
    <w:rsid w:val="2FD9A7D8"/>
    <w:rsid w:val="31464603"/>
    <w:rsid w:val="31673BBE"/>
    <w:rsid w:val="319F7F4E"/>
    <w:rsid w:val="321B2544"/>
    <w:rsid w:val="3304709D"/>
    <w:rsid w:val="334D6832"/>
    <w:rsid w:val="335039CF"/>
    <w:rsid w:val="33580D48"/>
    <w:rsid w:val="34281836"/>
    <w:rsid w:val="342B6495"/>
    <w:rsid w:val="349D6851"/>
    <w:rsid w:val="34FF0C66"/>
    <w:rsid w:val="356E41FC"/>
    <w:rsid w:val="35974204"/>
    <w:rsid w:val="35BA6CAF"/>
    <w:rsid w:val="364D14C1"/>
    <w:rsid w:val="36AA5135"/>
    <w:rsid w:val="36B14785"/>
    <w:rsid w:val="36B204FD"/>
    <w:rsid w:val="36BE0DA7"/>
    <w:rsid w:val="376B6AA6"/>
    <w:rsid w:val="376D39B2"/>
    <w:rsid w:val="37E16F03"/>
    <w:rsid w:val="37F53A3B"/>
    <w:rsid w:val="38042FDA"/>
    <w:rsid w:val="389B6C89"/>
    <w:rsid w:val="38D469F0"/>
    <w:rsid w:val="39627CCD"/>
    <w:rsid w:val="397BAF1F"/>
    <w:rsid w:val="39E7006D"/>
    <w:rsid w:val="3A8C6839"/>
    <w:rsid w:val="3AA82304"/>
    <w:rsid w:val="3AB79AF3"/>
    <w:rsid w:val="3ABC2AE3"/>
    <w:rsid w:val="3B7EF35A"/>
    <w:rsid w:val="3B9FDB6C"/>
    <w:rsid w:val="3BF5BC2F"/>
    <w:rsid w:val="3CDB69FF"/>
    <w:rsid w:val="3CEBA265"/>
    <w:rsid w:val="3D481AC8"/>
    <w:rsid w:val="3D98207C"/>
    <w:rsid w:val="3D9B0D99"/>
    <w:rsid w:val="3DDB1F95"/>
    <w:rsid w:val="3DEE7CF3"/>
    <w:rsid w:val="3DF02244"/>
    <w:rsid w:val="3E78745D"/>
    <w:rsid w:val="3F086213"/>
    <w:rsid w:val="3F28353D"/>
    <w:rsid w:val="3FB21466"/>
    <w:rsid w:val="3FF4CAE0"/>
    <w:rsid w:val="3FF7B227"/>
    <w:rsid w:val="4049623E"/>
    <w:rsid w:val="40E54C45"/>
    <w:rsid w:val="414D4CD9"/>
    <w:rsid w:val="416354B0"/>
    <w:rsid w:val="42AA7BFE"/>
    <w:rsid w:val="42D526DF"/>
    <w:rsid w:val="42ED352D"/>
    <w:rsid w:val="431373B2"/>
    <w:rsid w:val="43A407DF"/>
    <w:rsid w:val="44191BBB"/>
    <w:rsid w:val="44515BEA"/>
    <w:rsid w:val="449D1DA2"/>
    <w:rsid w:val="44D31ED2"/>
    <w:rsid w:val="44E268DA"/>
    <w:rsid w:val="453F7E5B"/>
    <w:rsid w:val="45F60E56"/>
    <w:rsid w:val="47095F17"/>
    <w:rsid w:val="47665459"/>
    <w:rsid w:val="478A62C0"/>
    <w:rsid w:val="47C40CDC"/>
    <w:rsid w:val="47E47A80"/>
    <w:rsid w:val="486A6C7A"/>
    <w:rsid w:val="48CA562A"/>
    <w:rsid w:val="49176D9B"/>
    <w:rsid w:val="4957464A"/>
    <w:rsid w:val="49C9579F"/>
    <w:rsid w:val="4A627F82"/>
    <w:rsid w:val="4A8B141B"/>
    <w:rsid w:val="4B0E749A"/>
    <w:rsid w:val="4B4C2876"/>
    <w:rsid w:val="4B4F25DA"/>
    <w:rsid w:val="4BDA0CFB"/>
    <w:rsid w:val="4BE068DB"/>
    <w:rsid w:val="4D3C0CCC"/>
    <w:rsid w:val="4D577224"/>
    <w:rsid w:val="4DBF1CEB"/>
    <w:rsid w:val="4E027201"/>
    <w:rsid w:val="4E726A98"/>
    <w:rsid w:val="4EAB630A"/>
    <w:rsid w:val="4ECE2238"/>
    <w:rsid w:val="4EDB288F"/>
    <w:rsid w:val="4F833267"/>
    <w:rsid w:val="4FE9BD67"/>
    <w:rsid w:val="4FFB052F"/>
    <w:rsid w:val="53083A92"/>
    <w:rsid w:val="537E6D0A"/>
    <w:rsid w:val="53AF27A2"/>
    <w:rsid w:val="53F74C96"/>
    <w:rsid w:val="56E47B74"/>
    <w:rsid w:val="570E09BF"/>
    <w:rsid w:val="578B3A33"/>
    <w:rsid w:val="57BD3DD4"/>
    <w:rsid w:val="582A1515"/>
    <w:rsid w:val="58674548"/>
    <w:rsid w:val="5A643739"/>
    <w:rsid w:val="5AF92295"/>
    <w:rsid w:val="5BDD79E6"/>
    <w:rsid w:val="5BF561CA"/>
    <w:rsid w:val="5BFF5DFC"/>
    <w:rsid w:val="5CD71FC4"/>
    <w:rsid w:val="5D1F11B5"/>
    <w:rsid w:val="5DA10A9E"/>
    <w:rsid w:val="5DAE1B18"/>
    <w:rsid w:val="5DE7D9E5"/>
    <w:rsid w:val="5EC86A6C"/>
    <w:rsid w:val="5ECEC941"/>
    <w:rsid w:val="5F493CB7"/>
    <w:rsid w:val="5FBF9FF3"/>
    <w:rsid w:val="5FCD4E2C"/>
    <w:rsid w:val="5FD15F49"/>
    <w:rsid w:val="5FEF394A"/>
    <w:rsid w:val="5FF67715"/>
    <w:rsid w:val="615D4D8E"/>
    <w:rsid w:val="61816BE3"/>
    <w:rsid w:val="62740DE7"/>
    <w:rsid w:val="62BF3928"/>
    <w:rsid w:val="641C0F4A"/>
    <w:rsid w:val="647F5392"/>
    <w:rsid w:val="65F92A53"/>
    <w:rsid w:val="663A0C6A"/>
    <w:rsid w:val="664B1D71"/>
    <w:rsid w:val="671B748D"/>
    <w:rsid w:val="67AA3209"/>
    <w:rsid w:val="681C4F0D"/>
    <w:rsid w:val="69046D0F"/>
    <w:rsid w:val="698D0931"/>
    <w:rsid w:val="69DA6E31"/>
    <w:rsid w:val="6A890F32"/>
    <w:rsid w:val="6A993CED"/>
    <w:rsid w:val="6B053271"/>
    <w:rsid w:val="6BCE6674"/>
    <w:rsid w:val="6C116F4A"/>
    <w:rsid w:val="6C4A05C8"/>
    <w:rsid w:val="6C8742B8"/>
    <w:rsid w:val="6C8A170F"/>
    <w:rsid w:val="6CB54609"/>
    <w:rsid w:val="6CB67383"/>
    <w:rsid w:val="6DBF5E93"/>
    <w:rsid w:val="6DC521F2"/>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0636D"/>
    <w:rsid w:val="715C0E4B"/>
    <w:rsid w:val="72233669"/>
    <w:rsid w:val="72734D90"/>
    <w:rsid w:val="7332FE48"/>
    <w:rsid w:val="73AB61DA"/>
    <w:rsid w:val="73AD73D5"/>
    <w:rsid w:val="73B6EB34"/>
    <w:rsid w:val="73FA497D"/>
    <w:rsid w:val="742F4960"/>
    <w:rsid w:val="744731E5"/>
    <w:rsid w:val="74527205"/>
    <w:rsid w:val="74BBD01D"/>
    <w:rsid w:val="74ED5379"/>
    <w:rsid w:val="74F33BDF"/>
    <w:rsid w:val="74FC2395"/>
    <w:rsid w:val="75DEEEC2"/>
    <w:rsid w:val="76E3355F"/>
    <w:rsid w:val="76FF5125"/>
    <w:rsid w:val="776F6FFA"/>
    <w:rsid w:val="77716B02"/>
    <w:rsid w:val="778769C8"/>
    <w:rsid w:val="77DC22F5"/>
    <w:rsid w:val="7800408E"/>
    <w:rsid w:val="78CD148E"/>
    <w:rsid w:val="79086DAD"/>
    <w:rsid w:val="79974F09"/>
    <w:rsid w:val="79D7FD79"/>
    <w:rsid w:val="79EE5BA4"/>
    <w:rsid w:val="7A057756"/>
    <w:rsid w:val="7A894339"/>
    <w:rsid w:val="7AC902E8"/>
    <w:rsid w:val="7AFF7572"/>
    <w:rsid w:val="7B450F0D"/>
    <w:rsid w:val="7B6C7DFB"/>
    <w:rsid w:val="7BBFBED0"/>
    <w:rsid w:val="7BC3E394"/>
    <w:rsid w:val="7BD13E9F"/>
    <w:rsid w:val="7C1F3737"/>
    <w:rsid w:val="7C2451E4"/>
    <w:rsid w:val="7CBFC87B"/>
    <w:rsid w:val="7CFE0F48"/>
    <w:rsid w:val="7D061DF4"/>
    <w:rsid w:val="7D7EC23E"/>
    <w:rsid w:val="7D916348"/>
    <w:rsid w:val="7DAA5057"/>
    <w:rsid w:val="7DF60E8E"/>
    <w:rsid w:val="7E8ADEBF"/>
    <w:rsid w:val="7EEF11D3"/>
    <w:rsid w:val="7F0971A6"/>
    <w:rsid w:val="7F3F679B"/>
    <w:rsid w:val="7F4FC4EF"/>
    <w:rsid w:val="7F5E4D54"/>
    <w:rsid w:val="7F6E0135"/>
    <w:rsid w:val="7FA30C79"/>
    <w:rsid w:val="7FAF8ABF"/>
    <w:rsid w:val="7FB7269E"/>
    <w:rsid w:val="7FC96657"/>
    <w:rsid w:val="7FCA66C7"/>
    <w:rsid w:val="7FD43747"/>
    <w:rsid w:val="7FDA9588"/>
    <w:rsid w:val="7FDF220F"/>
    <w:rsid w:val="7FEDC5F7"/>
    <w:rsid w:val="7FEDD9DE"/>
    <w:rsid w:val="7FF5890D"/>
    <w:rsid w:val="7FF93490"/>
    <w:rsid w:val="7FFF7F49"/>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8"/>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仿宋" w:cs="Arial Unicode MS"/>
      <w:kern w:val="0"/>
      <w:sz w:val="32"/>
      <w:szCs w:val="32"/>
      <w:lang w:val="en-US" w:eastAsia="zh-CN" w:bidi="ar"/>
    </w:rPr>
  </w:style>
  <w:style w:type="paragraph" w:styleId="10">
    <w:name w:val="Balloon Text"/>
    <w:basedOn w:val="1"/>
    <w:link w:val="34"/>
    <w:semiHidden/>
    <w:unhideWhenUsed/>
    <w:qFormat/>
    <w:uiPriority w:val="99"/>
    <w:rPr>
      <w:sz w:val="18"/>
      <w:szCs w:val="18"/>
    </w:rPr>
  </w:style>
  <w:style w:type="paragraph" w:styleId="11">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7"/>
    <w:semiHidden/>
    <w:qFormat/>
    <w:uiPriority w:val="0"/>
    <w:pPr>
      <w:snapToGrid w:val="0"/>
      <w:jc w:val="left"/>
    </w:pPr>
    <w:rPr>
      <w:sz w:val="18"/>
      <w:szCs w:val="18"/>
    </w:rPr>
  </w:style>
  <w:style w:type="paragraph" w:styleId="15">
    <w:name w:val="table of figures"/>
    <w:basedOn w:val="1"/>
    <w:next w:val="1"/>
    <w:qFormat/>
    <w:uiPriority w:val="0"/>
    <w:pPr>
      <w:spacing w:before="100" w:beforeAutospacing="1" w:after="100" w:afterAutospacing="1"/>
      <w:ind w:left="400" w:leftChars="200" w:hanging="200" w:hangingChars="200"/>
    </w:pPr>
    <w:rPr>
      <w:kern w:val="0"/>
      <w:sz w:val="20"/>
      <w:szCs w:val="21"/>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page number"/>
    <w:basedOn w:val="18"/>
    <w:qFormat/>
    <w:uiPriority w:val="0"/>
  </w:style>
  <w:style w:type="character" w:styleId="21">
    <w:name w:val="Hyperlink"/>
    <w:basedOn w:val="18"/>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8"/>
    <w:semiHidden/>
    <w:qFormat/>
    <w:uiPriority w:val="99"/>
    <w:rPr>
      <w:rFonts w:ascii="Times New Roman" w:hAnsi="Times New Roman"/>
      <w:sz w:val="18"/>
      <w:szCs w:val="18"/>
    </w:rPr>
  </w:style>
  <w:style w:type="character" w:customStyle="1" w:styleId="24">
    <w:name w:val="页眉 Char"/>
    <w:link w:val="12"/>
    <w:semiHidden/>
    <w:qFormat/>
    <w:locked/>
    <w:uiPriority w:val="99"/>
    <w:rPr>
      <w:sz w:val="18"/>
    </w:rPr>
  </w:style>
  <w:style w:type="character" w:customStyle="1" w:styleId="25">
    <w:name w:val="Footer Char"/>
    <w:basedOn w:val="18"/>
    <w:semiHidden/>
    <w:qFormat/>
    <w:uiPriority w:val="99"/>
    <w:rPr>
      <w:rFonts w:ascii="Times New Roman" w:hAnsi="Times New Roman"/>
      <w:sz w:val="18"/>
      <w:szCs w:val="18"/>
    </w:rPr>
  </w:style>
  <w:style w:type="character" w:customStyle="1" w:styleId="26">
    <w:name w:val="页脚 Char"/>
    <w:link w:val="11"/>
    <w:qFormat/>
    <w:locked/>
    <w:uiPriority w:val="99"/>
    <w:rPr>
      <w:sz w:val="18"/>
    </w:rPr>
  </w:style>
  <w:style w:type="character" w:customStyle="1" w:styleId="27">
    <w:name w:val="Body Text Char"/>
    <w:basedOn w:val="18"/>
    <w:semiHidden/>
    <w:qFormat/>
    <w:uiPriority w:val="99"/>
    <w:rPr>
      <w:rFonts w:ascii="Times New Roman" w:hAnsi="Times New Roman"/>
      <w:szCs w:val="24"/>
    </w:rPr>
  </w:style>
  <w:style w:type="character" w:customStyle="1" w:styleId="28">
    <w:name w:val="正文文本 Char"/>
    <w:link w:val="5"/>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8"/>
    <w:link w:val="2"/>
    <w:qFormat/>
    <w:uiPriority w:val="9"/>
    <w:rPr>
      <w:rFonts w:ascii="Times New Roman" w:hAnsi="Times New Roman"/>
      <w:b/>
      <w:bCs/>
      <w:kern w:val="44"/>
      <w:sz w:val="44"/>
      <w:szCs w:val="44"/>
    </w:rPr>
  </w:style>
  <w:style w:type="character" w:customStyle="1" w:styleId="32">
    <w:name w:val="标题 2 Char"/>
    <w:basedOn w:val="18"/>
    <w:link w:val="3"/>
    <w:qFormat/>
    <w:uiPriority w:val="9"/>
    <w:rPr>
      <w:rFonts w:asciiTheme="majorHAnsi" w:hAnsiTheme="majorHAnsi" w:eastAsiaTheme="majorEastAsia" w:cstheme="majorBidi"/>
      <w:b/>
      <w:bCs/>
      <w:kern w:val="2"/>
      <w:sz w:val="32"/>
      <w:szCs w:val="32"/>
    </w:rPr>
  </w:style>
  <w:style w:type="paragraph" w:customStyle="1" w:styleId="3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8"/>
    <w:link w:val="10"/>
    <w:semiHidden/>
    <w:qFormat/>
    <w:uiPriority w:val="99"/>
    <w:rPr>
      <w:rFonts w:ascii="Times New Roman" w:hAnsi="Times New Roman"/>
      <w:kern w:val="2"/>
      <w:sz w:val="18"/>
      <w:szCs w:val="18"/>
    </w:rPr>
  </w:style>
  <w:style w:type="character" w:customStyle="1" w:styleId="35">
    <w:name w:val="标题 3 Char"/>
    <w:basedOn w:val="18"/>
    <w:link w:val="4"/>
    <w:qFormat/>
    <w:uiPriority w:val="9"/>
    <w:rPr>
      <w:rFonts w:ascii="Times New Roman" w:hAnsi="Times New Roman"/>
      <w:b/>
      <w:bCs/>
      <w:kern w:val="2"/>
      <w:sz w:val="32"/>
      <w:szCs w:val="32"/>
    </w:rPr>
  </w:style>
  <w:style w:type="paragraph" w:customStyle="1" w:styleId="36">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chart" Target="charts/chart3.xml"/><Relationship Id="rId16" Type="http://schemas.openxmlformats.org/officeDocument/2006/relationships/image" Target="media/image3.emf"/><Relationship Id="rId15" Type="http://schemas.openxmlformats.org/officeDocument/2006/relationships/oleObject" Target="embeddings/oleObject3.bin"/><Relationship Id="rId14" Type="http://schemas.openxmlformats.org/officeDocument/2006/relationships/image" Target="media/image2.emf"/><Relationship Id="rId13" Type="http://schemas.openxmlformats.org/officeDocument/2006/relationships/oleObject" Target="embeddings/oleObject2.bin"/><Relationship Id="rId12" Type="http://schemas.openxmlformats.org/officeDocument/2006/relationships/chart" Target="charts/chart2.xml"/><Relationship Id="rId11" Type="http://schemas.openxmlformats.org/officeDocument/2006/relationships/image" Target="media/image1.emf"/><Relationship Id="rId10" Type="http://schemas.openxmlformats.org/officeDocument/2006/relationships/oleObject" Target="embeddings/oleObject1.bin"/><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COLORE~1\AppData\Local\Temp\wps.DUp976\Chart2%20in%20Wp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t>收入、支出总计变动情况</a:t>
            </a:r>
          </a:p>
        </c:rich>
      </c:tx>
      <c:layout/>
      <c:overlay val="0"/>
      <c:spPr>
        <a:noFill/>
        <a:ln>
          <a:noFill/>
        </a:ln>
        <a:effectLst/>
      </c:spPr>
    </c:title>
    <c:autoTitleDeleted val="0"/>
    <c:plotArea>
      <c:layout>
        <c:manualLayout>
          <c:layoutTarget val="inner"/>
          <c:xMode val="edge"/>
          <c:yMode val="edge"/>
          <c:x val="0.0679116022099448"/>
          <c:y val="0.147208121827411"/>
          <c:w val="0.906121546961326"/>
          <c:h val="0.655106598984772"/>
        </c:manualLayout>
      </c:layout>
      <c:barChart>
        <c:barDir val="col"/>
        <c:grouping val="clustered"/>
        <c:varyColors val="0"/>
        <c:ser>
          <c:idx val="0"/>
          <c:order val="0"/>
          <c:tx>
            <c:strRef>
              <c:f>Sheet1!$B$1</c:f>
              <c:strCache>
                <c:ptCount val="1"/>
                <c:pt idx="0">
                  <c:v>2025</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1882.35</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540000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1852.35</c:v>
                </c:pt>
              </c:numCache>
            </c:numRef>
          </c:val>
        </c:ser>
        <c:ser>
          <c:idx val="1"/>
          <c:order val="1"/>
          <c:tx>
            <c:strRef>
              <c:f>Sheet1!$C$1</c:f>
              <c:strCache>
                <c:ptCount val="1"/>
                <c:pt idx="0">
                  <c:v>2024</c:v>
                </c:pt>
              </c:strCache>
            </c:strRef>
          </c:tx>
          <c:spPr>
            <a:solidFill>
              <a:schemeClr val="accent3"/>
            </a:solidFill>
            <a:ln>
              <a:noFill/>
            </a:ln>
            <a:effectLst/>
          </c:spPr>
          <c:invertIfNegative val="0"/>
          <c:dPt>
            <c:idx val="0"/>
            <c:invertIfNegative val="0"/>
            <c:bubble3D val="0"/>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2883.51</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540000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2883.51</c:v>
                </c:pt>
              </c:numCache>
            </c:numRef>
          </c:val>
        </c:ser>
        <c:dLbls>
          <c:showLegendKey val="0"/>
          <c:showVal val="0"/>
          <c:showCatName val="0"/>
          <c:showSerName val="0"/>
          <c:showPercent val="0"/>
          <c:showBubbleSize val="0"/>
        </c:dLbls>
        <c:gapWidth val="219"/>
        <c:overlap val="-27"/>
        <c:axId val="442160412"/>
        <c:axId val="60836761"/>
      </c:barChart>
      <c:catAx>
        <c:axId val="4421604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836761"/>
        <c:crosses val="autoZero"/>
        <c:auto val="1"/>
        <c:lblAlgn val="ctr"/>
        <c:lblOffset val="100"/>
        <c:noMultiLvlLbl val="0"/>
      </c:catAx>
      <c:valAx>
        <c:axId val="6083676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21604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824ec2-afc9-4e16-b6a9-709b8a0a9bcd}"/>
      </c:ext>
    </c:extLst>
  </c:chart>
  <c:spPr>
    <a:solidFill>
      <a:schemeClr val="bg1"/>
    </a:solidFill>
    <a:ln w="9525" cap="flat" cmpd="sng" algn="ctr">
      <a:solidFill>
        <a:schemeClr val="tx1">
          <a:lumMod val="15000"/>
          <a:lumOff val="85000"/>
        </a:schemeClr>
      </a:solidFill>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cap="none" spc="20" baseline="0">
                <a:solidFill>
                  <a:schemeClr val="tx1">
                    <a:lumMod val="50000"/>
                    <a:lumOff val="50000"/>
                  </a:schemeClr>
                </a:solidFill>
                <a:latin typeface="+mn-lt"/>
                <a:ea typeface="+mn-ea"/>
                <a:cs typeface="+mn-cs"/>
              </a:defRPr>
            </a:pPr>
            <a:r>
              <a:t>202</a:t>
            </a:r>
            <a:r>
              <a:rPr lang="en-US" altLang="zh-CN"/>
              <a:t>5</a:t>
            </a:r>
            <a:r>
              <a:t>年决算支出</a:t>
            </a:r>
          </a:p>
        </c:rich>
      </c:tx>
      <c:layout/>
      <c:overlay val="0"/>
      <c:spPr>
        <a:noFill/>
        <a:ln>
          <a:noFill/>
        </a:ln>
        <a:effectLst/>
      </c:spPr>
    </c:title>
    <c:autoTitleDeleted val="0"/>
    <c:plotArea>
      <c:layout/>
      <c:pieChart>
        <c:varyColors val="1"/>
        <c:ser>
          <c:idx val="0"/>
          <c:order val="0"/>
          <c:tx>
            <c:strRef>
              <c:f>Sheet1!$B$2</c:f>
              <c:strCache>
                <c:ptCount val="1"/>
                <c:pt idx="0">
                  <c:v>20.03</c:v>
                </c:pt>
              </c:strCache>
            </c:strRef>
          </c:tx>
          <c:spPr/>
          <c:explosion val="0"/>
          <c:dPt>
            <c:idx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dPt>
          <c:dPt>
            <c:idx val="1"/>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c:spPr>
          </c:dPt>
          <c:dPt>
            <c:idx val="2"/>
            <c:bubble3D val="0"/>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chemeClr>
                </a:solidFill>
                <a:round/>
              </a:ln>
              <a:effectLst>
                <a:outerShdw blurRad="40000" dist="20000" dir="5400000" rotWithShape="0">
                  <a:srgbClr val="000000">
                    <a:alpha val="38000"/>
                  </a:srgbClr>
                </a:outerShdw>
              </a:effectLst>
            </c:spPr>
          </c:dPt>
          <c:dPt>
            <c:idx val="3"/>
            <c:bubble3D val="0"/>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chemeClr>
                </a:solidFill>
                <a:round/>
              </a:ln>
              <a:effectLst>
                <a:outerShdw blurRad="40000" dist="20000" dir="5400000" rotWithShape="0">
                  <a:srgbClr val="000000">
                    <a:alpha val="38000"/>
                  </a:srgbClr>
                </a:outerShdw>
              </a:effectLst>
            </c:spPr>
          </c:dPt>
          <c:dPt>
            <c:idx val="4"/>
            <c:bubble3D val="0"/>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chemeClr>
                </a:solidFill>
                <a:round/>
              </a:ln>
              <a:effectLst>
                <a:outerShdw blurRad="40000" dist="20000" dir="5400000" rotWithShape="0">
                  <a:srgbClr val="000000">
                    <a:alpha val="38000"/>
                  </a:srgbClr>
                </a:outerShdw>
              </a:effectLst>
            </c:spPr>
          </c:dPt>
          <c:dPt>
            <c:idx val="5"/>
            <c:bubble3D val="0"/>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chemeClr>
                </a:solidFill>
                <a:round/>
              </a:ln>
              <a:effectLst>
                <a:outerShdw blurRad="40000" dist="20000" dir="5400000" rotWithShape="0">
                  <a:srgbClr val="000000">
                    <a:alpha val="38000"/>
                  </a:srgbClr>
                </a:outerShdw>
              </a:effectLst>
            </c:spPr>
          </c:dPt>
          <c:dPt>
            <c:idx val="6"/>
            <c:bubble3D val="0"/>
            <c:spPr>
              <a:gradFill rotWithShape="1">
                <a:gsLst>
                  <a:gs pos="0">
                    <a:schemeClr val="accent1">
                      <a:lumMod val="60000"/>
                      <a:tint val="50000"/>
                      <a:satMod val="300000"/>
                    </a:schemeClr>
                  </a:gs>
                  <a:gs pos="35000">
                    <a:schemeClr val="accent1">
                      <a:lumMod val="60000"/>
                      <a:tint val="37000"/>
                      <a:satMod val="300000"/>
                    </a:schemeClr>
                  </a:gs>
                  <a:gs pos="100000">
                    <a:schemeClr val="accent1">
                      <a:lumMod val="60000"/>
                      <a:tint val="15000"/>
                      <a:satMod val="350000"/>
                    </a:schemeClr>
                  </a:gs>
                </a:gsLst>
                <a:lin ang="16200000" scaled="1"/>
              </a:gradFill>
              <a:ln w="9525" cap="flat" cmpd="sng" algn="ctr">
                <a:solidFill>
                  <a:schemeClr val="accent1">
                    <a:lumMod val="60000"/>
                    <a:shade val="95000"/>
                  </a:schemeClr>
                </a:solidFill>
                <a:round/>
              </a:ln>
              <a:effectLst>
                <a:outerShdw blurRad="40000" dist="20000" dir="5400000" rotWithShape="0">
                  <a:srgbClr val="000000">
                    <a:alpha val="38000"/>
                  </a:srgbClr>
                </a:outerShdw>
              </a:effectLst>
            </c:spPr>
          </c:dPt>
          <c:dPt>
            <c:idx val="7"/>
            <c:bubble3D val="0"/>
            <c:spPr>
              <a:gradFill rotWithShape="1">
                <a:gsLst>
                  <a:gs pos="0">
                    <a:schemeClr val="accent2">
                      <a:lumMod val="60000"/>
                      <a:tint val="50000"/>
                      <a:satMod val="300000"/>
                    </a:schemeClr>
                  </a:gs>
                  <a:gs pos="35000">
                    <a:schemeClr val="accent2">
                      <a:lumMod val="60000"/>
                      <a:tint val="37000"/>
                      <a:satMod val="300000"/>
                    </a:schemeClr>
                  </a:gs>
                  <a:gs pos="100000">
                    <a:schemeClr val="accent2">
                      <a:lumMod val="60000"/>
                      <a:tint val="15000"/>
                      <a:satMod val="350000"/>
                    </a:schemeClr>
                  </a:gs>
                </a:gsLst>
                <a:lin ang="16200000" scaled="1"/>
              </a:gradFill>
              <a:ln w="9525" cap="flat" cmpd="sng" algn="ctr">
                <a:solidFill>
                  <a:schemeClr val="accent2">
                    <a:lumMod val="60000"/>
                    <a:shade val="95000"/>
                  </a:schemeClr>
                </a:solidFill>
                <a:round/>
              </a:ln>
              <a:effectLst>
                <a:outerShdw blurRad="40000" dist="20000" dir="5400000" rotWithShape="0">
                  <a:srgbClr val="000000">
                    <a:alpha val="38000"/>
                  </a:srgbClr>
                </a:outerShdw>
              </a:effectLst>
            </c:spPr>
          </c:dPt>
          <c:dLbls>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65000"/>
                            <a:lumOff val="35000"/>
                          </a:schemeClr>
                        </a:solidFill>
                        <a:latin typeface="+mn-lt"/>
                        <a:ea typeface="+mn-ea"/>
                        <a:cs typeface="+mn-cs"/>
                      </a:defRPr>
                    </a:pP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4"/>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65000"/>
                            <a:lumOff val="35000"/>
                          </a:schemeClr>
                        </a:solidFill>
                        <a:latin typeface="+mn-lt"/>
                        <a:ea typeface="+mn-ea"/>
                        <a:cs typeface="+mn-cs"/>
                      </a:defRPr>
                    </a:pPr>
                    <a:r>
                      <a:t>6</a:t>
                    </a:r>
                    <a:r>
                      <a:rPr lang="en-US" altLang="zh-CN"/>
                      <a:t>0.5</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5"/>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65000"/>
                            <a:lumOff val="35000"/>
                          </a:schemeClr>
                        </a:solidFill>
                        <a:latin typeface="+mn-lt"/>
                        <a:ea typeface="+mn-ea"/>
                        <a:cs typeface="+mn-cs"/>
                      </a:defRPr>
                    </a:pPr>
                    <a:r>
                      <a:rPr lang="en-US" altLang="zh-CN"/>
                      <a:t>3.6</a:t>
                    </a:r>
                    <a:r>
                      <a:t>%</a:t>
                    </a:r>
                  </a:p>
                </c:rich>
              </c:tx>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65000"/>
                        <a:lumOff val="3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Sheet1!$A$3:$A$10</c:f>
              <c:strCache>
                <c:ptCount val="8"/>
                <c:pt idx="0">
                  <c:v>国防</c:v>
                </c:pt>
                <c:pt idx="1">
                  <c:v>社会保障</c:v>
                </c:pt>
                <c:pt idx="2">
                  <c:v>交通</c:v>
                </c:pt>
                <c:pt idx="3">
                  <c:v>城乡社区</c:v>
                </c:pt>
                <c:pt idx="4">
                  <c:v>农林水</c:v>
                </c:pt>
                <c:pt idx="5">
                  <c:v>住房保障</c:v>
                </c:pt>
                <c:pt idx="6">
                  <c:v>自然灾害</c:v>
                </c:pt>
                <c:pt idx="7">
                  <c:v>卫生健康</c:v>
                </c:pt>
              </c:strCache>
            </c:strRef>
          </c:cat>
          <c:val>
            <c:numRef>
              <c:f>Sheet1!$B$3:$B$10</c:f>
              <c:numCache>
                <c:formatCode>General</c:formatCode>
                <c:ptCount val="8"/>
                <c:pt idx="0">
                  <c:v>0.2</c:v>
                </c:pt>
                <c:pt idx="1">
                  <c:v>3.2</c:v>
                </c:pt>
                <c:pt idx="2">
                  <c:v>0.04</c:v>
                </c:pt>
                <c:pt idx="3">
                  <c:v>1</c:v>
                </c:pt>
                <c:pt idx="4">
                  <c:v>69.6</c:v>
                </c:pt>
                <c:pt idx="5">
                  <c:v>4</c:v>
                </c:pt>
                <c:pt idx="6">
                  <c:v>0.4</c:v>
                </c:pt>
                <c:pt idx="7">
                  <c:v>1.18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extLst>
      <c:ext uri="{0b15fc19-7d7d-44ad-8c2d-2c3a37ce22c3}">
        <chartProps xmlns="https://web.wps.cn/et/2018/main" chartId="{448c5ae0-02a7-40ee-a80d-a24dd2f60d3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11795519859"/>
          <c:y val="0.0168924372151986"/>
          <c:w val="0.840465591178272"/>
          <c:h val="0.719646420002526"/>
        </c:manualLayout>
      </c:layout>
      <c:pie3DChart>
        <c:varyColors val="1"/>
        <c:ser>
          <c:idx val="0"/>
          <c:order val="0"/>
          <c:tx>
            <c:strRef>
              <c:f>Sheet1!$B$1</c:f>
              <c:strCache>
                <c:ptCount val="1"/>
                <c:pt idx="0">
                  <c:v>收入支出与预算</c:v>
                </c:pt>
              </c:strCache>
            </c:strRef>
          </c:tx>
          <c:spPr>
            <a:scene3d>
              <a:camera prst="orthographicFront"/>
              <a:lightRig rig="threePt" dir="t"/>
            </a:scene3d>
            <a:sp3d contourW="9525"/>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explosion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Pt>
            <c:idx val="6"/>
            <c:bubble3D val="0"/>
            <c:spPr>
              <a:solidFill>
                <a:schemeClr val="accent1">
                  <a:lumMod val="60000"/>
                </a:schemeClr>
              </a:solidFill>
              <a:ln>
                <a:noFill/>
              </a:ln>
              <a:effectLst>
                <a:outerShdw blurRad="254000" sx="102000" sy="102000" algn="ctr" rotWithShape="0">
                  <a:prstClr val="black">
                    <a:alpha val="20000"/>
                  </a:prstClr>
                </a:outerShdw>
              </a:effectLst>
            </c:spPr>
          </c:dPt>
          <c:dPt>
            <c:idx val="7"/>
            <c:bubble3D val="0"/>
            <c:explosion val="9"/>
            <c:spPr>
              <a:solidFill>
                <a:schemeClr val="accent2">
                  <a:lumMod val="60000"/>
                </a:schemeClr>
              </a:solidFill>
              <a:ln>
                <a:noFill/>
              </a:ln>
              <a:effectLst>
                <a:outerShdw blurRad="254000" sx="102000" sy="102000" algn="ctr" rotWithShape="0">
                  <a:prstClr val="black">
                    <a:alpha val="20000"/>
                  </a:prstClr>
                </a:outerShdw>
              </a:effectLst>
            </c:spPr>
          </c:dPt>
          <c:dPt>
            <c:idx val="8"/>
            <c:bubble3D val="0"/>
            <c:spPr>
              <a:solidFill>
                <a:schemeClr val="accent3">
                  <a:lumMod val="60000"/>
                </a:schemeClr>
              </a:solidFill>
              <a:ln>
                <a:noFill/>
              </a:ln>
              <a:effectLst>
                <a:outerShdw blurRad="254000" sx="102000" sy="102000" algn="ctr" rotWithShape="0">
                  <a:prstClr val="black">
                    <a:alpha val="20000"/>
                  </a:prstClr>
                </a:outerShdw>
              </a:effectLst>
            </c:spPr>
          </c:dPt>
          <c:dPt>
            <c:idx val="9"/>
            <c:bubble3D val="0"/>
            <c:spPr>
              <a:solidFill>
                <a:schemeClr val="accent4">
                  <a:lumMod val="60000"/>
                </a:schemeClr>
              </a:solidFill>
              <a:ln>
                <a:noFill/>
              </a:ln>
              <a:effectLst>
                <a:outerShdw blurRad="254000" sx="102000" sy="102000" algn="ctr" rotWithShape="0">
                  <a:prstClr val="black">
                    <a:alpha val="20000"/>
                  </a:prstClr>
                </a:outerShdw>
              </a:effectLst>
            </c:spPr>
          </c:dPt>
          <c:dPt>
            <c:idx val="10"/>
            <c:bubble3D val="0"/>
            <c:spPr>
              <a:solidFill>
                <a:schemeClr val="accent5">
                  <a:lumMod val="60000"/>
                </a:schemeClr>
              </a:solidFill>
              <a:ln>
                <a:noFill/>
              </a:ln>
              <a:effectLst>
                <a:outerShdw blurRad="254000" sx="102000" sy="102000" algn="ctr" rotWithShape="0">
                  <a:prstClr val="black">
                    <a:alpha val="20000"/>
                  </a:prstClr>
                </a:outerShdw>
              </a:effectLst>
            </c:spPr>
          </c:dPt>
          <c:dLbls>
            <c:delete val="1"/>
          </c:dLbls>
          <c:cat>
            <c:strRef>
              <c:f>Sheet1!$A$2:$A$12</c:f>
              <c:strCache>
                <c:ptCount val="11"/>
                <c:pt idx="0">
                  <c:v>一般公共服务支出</c:v>
                </c:pt>
                <c:pt idx="1">
                  <c:v>国防支出</c:v>
                </c:pt>
                <c:pt idx="2">
                  <c:v>公共安全支出</c:v>
                </c:pt>
                <c:pt idx="3">
                  <c:v>社会保障和就业支出</c:v>
                </c:pt>
                <c:pt idx="4">
                  <c:v>卫生健康支出</c:v>
                </c:pt>
                <c:pt idx="5">
                  <c:v>节能环保支出</c:v>
                </c:pt>
                <c:pt idx="6">
                  <c:v>城乡社区支出</c:v>
                </c:pt>
                <c:pt idx="7">
                  <c:v>农林水支出</c:v>
                </c:pt>
                <c:pt idx="8">
                  <c:v>交通运输支出</c:v>
                </c:pt>
                <c:pt idx="9">
                  <c:v>住房保障支出</c:v>
                </c:pt>
                <c:pt idx="10">
                  <c:v>灾害防治及应急管理支出</c:v>
                </c:pt>
              </c:strCache>
            </c:strRef>
          </c:cat>
          <c:val>
            <c:numRef>
              <c:f>Sheet1!$B$2:$B$12</c:f>
              <c:numCache>
                <c:formatCode>General</c:formatCode>
                <c:ptCount val="11"/>
                <c:pt idx="0">
                  <c:v>356.58</c:v>
                </c:pt>
                <c:pt idx="1">
                  <c:v>4.7</c:v>
                </c:pt>
                <c:pt idx="2">
                  <c:v>4</c:v>
                </c:pt>
                <c:pt idx="3">
                  <c:v>31.58</c:v>
                </c:pt>
                <c:pt idx="4">
                  <c:v>24.54</c:v>
                </c:pt>
                <c:pt idx="5">
                  <c:v>5</c:v>
                </c:pt>
                <c:pt idx="6">
                  <c:v>13</c:v>
                </c:pt>
                <c:pt idx="7">
                  <c:v>3101.16</c:v>
                </c:pt>
                <c:pt idx="8">
                  <c:v>1</c:v>
                </c:pt>
                <c:pt idx="9">
                  <c:v>20.03</c:v>
                </c:pt>
                <c:pt idx="10">
                  <c:v>1</c:v>
                </c:pt>
              </c:numCache>
            </c:numRef>
          </c:val>
        </c:ser>
        <c:dLbls>
          <c:showLegendKey val="0"/>
          <c:showVal val="1"/>
          <c:showCatName val="0"/>
          <c:showSerName val="0"/>
          <c:showPercent val="0"/>
          <c:showBubbleSize val="0"/>
        </c:dLbls>
      </c:pie3DChart>
      <c:spPr>
        <a:noFill/>
        <a:ln>
          <a:noFill/>
        </a:ln>
        <a:effectLst/>
      </c:spPr>
    </c:plotArea>
    <c:legend>
      <c:legendPos val="r"/>
      <c:legendEntry>
        <c:idx val="2"/>
        <c:delete val="1"/>
      </c:legendEntry>
      <c:legendEntry>
        <c:idx val="5"/>
        <c:delete val="1"/>
      </c:legendEntry>
      <c:legendEntry>
        <c:idx val="6"/>
        <c:delete val="1"/>
      </c:legendEntry>
      <c:legendEntry>
        <c:idx val="8"/>
        <c:delete val="1"/>
      </c:legendEntry>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f076391b-a62b-4613-b065-e368063f691d}"/>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4">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26</Pages>
  <Words>8113</Words>
  <Characters>9065</Characters>
  <Lines>61</Lines>
  <Paragraphs>17</Paragraphs>
  <TotalTime>27</TotalTime>
  <ScaleCrop>false</ScaleCrop>
  <LinksUpToDate>false</LinksUpToDate>
  <CharactersWithSpaces>9204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纸飞机</cp:lastModifiedBy>
  <cp:lastPrinted>2026-10-15T02:33:00Z</cp:lastPrinted>
  <dcterms:modified xsi:type="dcterms:W3CDTF">2026-10-15T07:45:45Z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2873440B20FA185C784ACF6A0876B4B2_43</vt:lpwstr>
  </property>
  <property fmtid="{D5CDD505-2E9C-101B-9397-08002B2CF9AE}" pid="4" name="KSOTemplateDocerSaveRecord">
    <vt:lpwstr>eyJoZGlkIjoiYzZhMjI2YTU1YzY4MGI1MDUyY2JjYjI0YThjOWNhMTQiLCJ1c2VySWQiOiI1MDI4MTQ1NjcifQ==</vt:lpwstr>
  </property>
</Properties>
</file>