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C6C6A">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0" w:name="_Toc15396597"/>
      <w:bookmarkStart w:id="1" w:name="_Toc15378441"/>
      <w:bookmarkStart w:id="2" w:name="_Toc15377425"/>
      <w:bookmarkStart w:id="3" w:name="_Toc15377193"/>
      <w:bookmarkStart w:id="4" w:name="_Toc15396475"/>
      <w:bookmarkStart w:id="5" w:name="_Toc15306267"/>
    </w:p>
    <w:p w14:paraId="7D73BD19">
      <w:pPr>
        <w:pStyle w:val="6"/>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14:paraId="402783EE">
      <w:pPr>
        <w:jc w:val="center"/>
        <w:rPr>
          <w:rFonts w:hint="eastAsia" w:ascii="微软雅黑" w:hAnsi="微软雅黑" w:eastAsia="微软雅黑" w:cs="微软雅黑"/>
          <w:b w:val="0"/>
          <w:bCs/>
          <w:color w:val="000000" w:themeColor="text1"/>
          <w:sz w:val="44"/>
          <w:szCs w:val="44"/>
          <w14:textFill>
            <w14:solidFill>
              <w14:schemeClr w14:val="tx1"/>
            </w14:solidFill>
          </w14:textFill>
        </w:rPr>
      </w:pPr>
    </w:p>
    <w:p w14:paraId="0164890B">
      <w:pPr>
        <w:jc w:val="center"/>
        <w:rPr>
          <w:rFonts w:hint="eastAsia" w:ascii="微软雅黑" w:hAnsi="微软雅黑" w:eastAsia="微软雅黑" w:cs="微软雅黑"/>
          <w:b w:val="0"/>
          <w:bCs/>
          <w:color w:val="000000" w:themeColor="text1"/>
          <w:sz w:val="44"/>
          <w:szCs w:val="44"/>
          <w14:textFill>
            <w14:solidFill>
              <w14:schemeClr w14:val="tx1"/>
            </w14:solidFill>
          </w14:textFill>
        </w:rPr>
      </w:pPr>
    </w:p>
    <w:p w14:paraId="5597C79E">
      <w:pPr>
        <w:jc w:val="both"/>
        <w:rPr>
          <w:rFonts w:hint="eastAsia" w:ascii="微软雅黑" w:hAnsi="微软雅黑" w:eastAsia="微软雅黑" w:cs="微软雅黑"/>
          <w:b w:val="0"/>
          <w:bCs/>
          <w:color w:val="000000" w:themeColor="text1"/>
          <w:sz w:val="44"/>
          <w:szCs w:val="44"/>
          <w14:textFill>
            <w14:solidFill>
              <w14:schemeClr w14:val="tx1"/>
            </w14:solidFill>
          </w14:textFill>
        </w:rPr>
      </w:pPr>
    </w:p>
    <w:p w14:paraId="609AE7C3">
      <w:pPr>
        <w:jc w:val="center"/>
        <w:rPr>
          <w:rFonts w:hint="eastAsia" w:ascii="微软雅黑" w:hAnsi="微软雅黑" w:eastAsia="微软雅黑" w:cs="微软雅黑"/>
          <w:b w:val="0"/>
          <w:bCs/>
          <w:color w:val="000000" w:themeColor="text1"/>
          <w:sz w:val="44"/>
          <w:szCs w:val="44"/>
          <w14:textFill>
            <w14:solidFill>
              <w14:schemeClr w14:val="tx1"/>
            </w14:solidFill>
          </w14:textFill>
        </w:rPr>
      </w:pPr>
      <w:r>
        <w:rPr>
          <w:rFonts w:hint="eastAsia" w:ascii="微软雅黑" w:hAnsi="微软雅黑" w:eastAsia="微软雅黑" w:cs="微软雅黑"/>
          <w:b w:val="0"/>
          <w:bCs/>
          <w:color w:val="000000" w:themeColor="text1"/>
          <w:sz w:val="44"/>
          <w:szCs w:val="44"/>
          <w14:textFill>
            <w14:solidFill>
              <w14:schemeClr w14:val="tx1"/>
            </w14:solidFill>
          </w14:textFill>
        </w:rPr>
        <w:t>2023</w:t>
      </w:r>
      <w:r>
        <w:rPr>
          <w:rFonts w:ascii="微软雅黑" w:hAnsi="微软雅黑" w:eastAsia="微软雅黑" w:cs="微软雅黑"/>
          <w:color w:val="000000"/>
          <w:sz w:val="44"/>
          <w:u w:color="auto"/>
        </w:rPr>
        <w:t>年度</w:t>
      </w:r>
      <w:bookmarkEnd w:id="0"/>
      <w:bookmarkEnd w:id="1"/>
      <w:bookmarkEnd w:id="2"/>
      <w:bookmarkEnd w:id="3"/>
      <w:bookmarkEnd w:id="4"/>
    </w:p>
    <w:bookmarkEnd w:id="5"/>
    <w:p w14:paraId="6DBC95DC">
      <w:pPr>
        <w:jc w:val="center"/>
        <w:rPr>
          <w:rFonts w:hint="eastAsia" w:ascii="思源黑体 CN Normal" w:hAnsi="思源黑体 CN Normal" w:eastAsia="思源黑体 CN Normal" w:cs="思源黑体 CN Normal"/>
          <w:b w:val="0"/>
          <w:bCs/>
          <w:color w:val="000000" w:themeColor="text1"/>
          <w:sz w:val="44"/>
          <w:szCs w:val="44"/>
          <w14:textFill>
            <w14:solidFill>
              <w14:schemeClr w14:val="tx1"/>
            </w14:solidFill>
          </w14:textFill>
        </w:rPr>
      </w:pPr>
      <w:bookmarkStart w:id="6" w:name="_Toc15378442"/>
      <w:bookmarkStart w:id="7" w:name="_Toc15396476"/>
      <w:bookmarkStart w:id="8" w:name="_Toc15306268"/>
      <w:bookmarkStart w:id="9" w:name="_Toc15377426"/>
      <w:bookmarkStart w:id="10" w:name="_Toc15396598"/>
      <w:bookmarkStart w:id="11" w:name="_Toc15377194"/>
      <w:r>
        <w:rPr>
          <w:rFonts w:hint="eastAsia" w:ascii="微软雅黑" w:hAnsi="微软雅黑" w:eastAsia="微软雅黑" w:cs="微软雅黑"/>
          <w:b w:val="0"/>
          <w:bCs/>
          <w:color w:val="000000" w:themeColor="text1"/>
          <w:sz w:val="44"/>
          <w:szCs w:val="44"/>
          <w14:textFill>
            <w14:solidFill>
              <w14:schemeClr w14:val="tx1"/>
            </w14:solidFill>
          </w14:textFill>
        </w:rPr>
        <w:t>阿坝州壤塘县岗木达镇人民政府</w:t>
      </w:r>
      <w:r>
        <w:rPr>
          <w:rFonts w:ascii="微软雅黑" w:hAnsi="微软雅黑" w:eastAsia="微软雅黑" w:cs="微软雅黑"/>
          <w:color w:val="000000"/>
          <w:sz w:val="44"/>
          <w:u w:color="auto"/>
        </w:rPr>
        <w:t>部门决算</w:t>
      </w:r>
      <w:bookmarkEnd w:id="6"/>
      <w:bookmarkEnd w:id="7"/>
      <w:bookmarkEnd w:id="8"/>
      <w:bookmarkEnd w:id="9"/>
      <w:bookmarkEnd w:id="10"/>
      <w:bookmarkEnd w:id="11"/>
    </w:p>
    <w:p w14:paraId="0E2C97A9">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3128AF52">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1EF872D2">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6BF74D53">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741A663E">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637D1FC6">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54DDB020">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450F9C78">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30002D04">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423E6F5F">
      <w:pPr>
        <w:pStyle w:val="6"/>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14:paraId="13FE0EC1">
      <w:pPr>
        <w:pStyle w:val="6"/>
        <w:rPr>
          <w:rFonts w:hint="eastAsia" w:ascii="思源黑体 CN Normal" w:hAnsi="思源黑体 CN Normal" w:eastAsia="思源黑体 CN Normal" w:cs="思源黑体 CN Normal"/>
          <w:color w:val="000000" w:themeColor="text1"/>
          <w14:textFill>
            <w14:solidFill>
              <w14:schemeClr w14:val="tx1"/>
            </w14:solidFill>
          </w14:textFill>
        </w:rPr>
      </w:pPr>
    </w:p>
    <w:p w14:paraId="743D9D22">
      <w:pPr>
        <w:pStyle w:val="16"/>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14:paraId="0992FC4D">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14:paraId="297F534D">
      <w:pPr>
        <w:pStyle w:val="1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日</w:t>
      </w:r>
    </w:p>
    <w:p w14:paraId="49203D4D">
      <w:pPr>
        <w:pStyle w:val="16"/>
        <w:tabs>
          <w:tab w:val="right" w:leader="dot" w:pos="8306"/>
          <w:tab w:val="clear" w:pos="8296"/>
        </w:tabs>
        <w:rPr>
          <w:rFonts w:hint="eastAsia" w:ascii="宋体" w:hAnsi="宋体" w:eastAsia="宋体" w:cs="宋体"/>
          <w:color w:val="000000" w:themeColor="text1"/>
          <w14:textFill>
            <w14:solidFill>
              <w14:schemeClr w14:val="tx1"/>
            </w14:solidFill>
          </w14:textFill>
        </w:rPr>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_Toc9016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 xml:space="preserve">第一部分 </w:t>
      </w:r>
      <w:r>
        <w:rPr>
          <w:rFonts w:hint="eastAsia" w:ascii="宋体" w:hAnsi="宋体" w:eastAsia="宋体" w:cs="宋体"/>
          <w:bCs w:val="0"/>
          <w:color w:val="000000" w:themeColor="text1"/>
          <w14:textFill>
            <w14:solidFill>
              <w14:schemeClr w14:val="tx1"/>
            </w14:solidFill>
          </w14:textFill>
        </w:rPr>
        <w:t>部门</w:t>
      </w:r>
      <w:r>
        <w:rPr>
          <w:rFonts w:ascii="宋体" w:hAnsi="宋体" w:eastAsia="宋体" w:cs="宋体"/>
          <w:color w:val="000000"/>
          <w:u w:color="auto"/>
        </w:rPr>
        <w:t>概况</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_Toc9016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68CC578D">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_Toc28564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w:t>
      </w:r>
      <w:r>
        <w:rPr>
          <w:rFonts w:hint="eastAsia" w:ascii="宋体" w:hAnsi="宋体" w:eastAsia="宋体" w:cs="宋体"/>
          <w:bCs w:val="0"/>
          <w:color w:val="000000" w:themeColor="text1"/>
          <w:sz w:val="24"/>
          <w:szCs w:val="24"/>
          <w:lang w:val="en-US" w:eastAsia="zh-CN"/>
          <w14:textFill>
            <w14:solidFill>
              <w14:schemeClr w14:val="tx1"/>
            </w14:solidFill>
          </w14:textFill>
        </w:rPr>
        <w:t>主要职责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_Toc28564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9D3FCBB">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_Toc22056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二、机构设置</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2AD3064">
      <w:pPr>
        <w:pStyle w:val="16"/>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_Toc9058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 xml:space="preserve">第二部分 </w:t>
      </w:r>
      <w:r>
        <w:rPr>
          <w:rFonts w:ascii="宋体" w:hAnsi="宋体" w:eastAsia="宋体" w:cs="宋体"/>
          <w:color w:val="000000"/>
          <w:u w:color="auto"/>
        </w:rPr>
        <w:t>2023年度</w:t>
      </w:r>
      <w:r>
        <w:rPr>
          <w:rFonts w:hint="eastAsia" w:ascii="宋体" w:hAnsi="宋体" w:eastAsia="宋体" w:cs="宋体"/>
          <w:color w:val="000000" w:themeColor="text1"/>
          <w:lang w:val="en-US" w:eastAsia="zh-CN"/>
          <w14:textFill>
            <w14:solidFill>
              <w14:schemeClr w14:val="tx1"/>
            </w14:solidFill>
          </w14:textFill>
        </w:rPr>
        <w:t>部门</w:t>
      </w:r>
      <w:r>
        <w:rPr>
          <w:rFonts w:hint="eastAsia" w:ascii="宋体" w:hAnsi="宋体" w:eastAsia="宋体" w:cs="宋体"/>
          <w:color w:val="000000" w:themeColor="text1"/>
          <w14:textFill>
            <w14:solidFill>
              <w14:schemeClr w14:val="tx1"/>
            </w14:solidFill>
          </w14:textFill>
        </w:rPr>
        <w:t>决算情况说明</w:t>
      </w:r>
      <w: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_Toc9058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775D898">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_Toc19710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_Toc19710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28B92BF">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_Toc8125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二、收入决算情况说明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_Toc8125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F99C6CD">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_Toc28283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三、支出决算情况说明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_Toc28283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05425E03">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_Toc19521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四、财政拨款收入支出决算总体情况说明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_Toc19521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6C145AC">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_Toc14368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五、一般公共预算财政拨款支出决算情况说明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_Toc14368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53451D8">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_Toc31578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六、一般公共预算财政拨款基本支出决算情况说明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_Toc31578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3372F60">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_Toc6614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七、“三公”经费财政拨款支出决算情况说明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_Toc6614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4567BA51">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_Toc20439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八、政府性基金预算支出决算情况说明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_Toc20439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1EF486F">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_Toc23467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九、国有资本经营预算支出决算情况说明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_Toc23467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10F5F4F">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_Toc18455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十、其他重要事项的情况说明</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_Toc18455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C39B0B7">
      <w:pPr>
        <w:pStyle w:val="16"/>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_Toc18122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第三部分 名词解释</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_Toc18122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13</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5185CA32">
      <w:pPr>
        <w:pStyle w:val="16"/>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_Toc25539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第四部分 附件</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_Toc25539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49EB3F66">
      <w:pPr>
        <w:pStyle w:val="16"/>
        <w:tabs>
          <w:tab w:val="right" w:leader="dot" w:pos="8306"/>
          <w:tab w:val="clear" w:pos="8296"/>
        </w:tabs>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color w:val="000000" w:themeColor="text1"/>
          <w:szCs w:val="20"/>
          <w14:textFill>
            <w14:solidFill>
              <w14:schemeClr w14:val="tx1"/>
            </w14:solidFill>
          </w14:textFill>
        </w:rPr>
        <w:instrText xml:space="preserve"> HYPERLINK \l _Toc21200 </w:instrText>
      </w:r>
      <w:r>
        <w:rPr>
          <w:rFonts w:hint="eastAsia" w:ascii="宋体" w:hAnsi="宋体" w:eastAsia="宋体" w:cs="宋体"/>
          <w:smallCaps/>
          <w:color w:val="000000" w:themeColor="text1"/>
          <w:szCs w:val="20"/>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第五部分 附表</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PAGEREF _Toc21200 \h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14:paraId="1D314EC7">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_Toc16431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一、收入支出决算总表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_Toc16431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7C5159B">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_Toc25389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二、收入决算表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_Toc25389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44CBCE1">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_Toc10450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三、支出决算表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_Toc10450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F1C1D86">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_Toc15415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四、财政拨款收入支出决算总表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_Toc15415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367FA2B">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_Toc17530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五、财政拨款支出决算明细表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_Toc17530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4E0B0EA8">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_Toc22032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六、一般公共预算财政拨款支出决算表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_Toc22032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4EF11141">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_Toc3364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七、一般公共预算财政拨款支出决算明细表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_Toc3364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81F5848">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_Toc9110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八、一般公共预算财政拨款基本支出决算表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_Toc9110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23984AF3">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_Toc28582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九、一般公共预算财政拨款项目支出决算表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_Toc28582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16DAFCA7">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_Toc22001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十、政府性基金预算财政拨款收入支出决算表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_Toc22001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7A4664BE">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_Toc6538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十一、国有资本经营预算财政拨款收入支出决算表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_Toc6538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E3B3EF3">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_Toc10625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十二、国有资本经营预算财政拨款支出决算表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_Toc10625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01685675">
      <w:pPr>
        <w:pStyle w:val="2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mallCaps/>
          <w:color w:val="000000" w:themeColor="text1"/>
          <w:sz w:val="24"/>
          <w:szCs w:val="24"/>
          <w14:textFill>
            <w14:solidFill>
              <w14:schemeClr w14:val="tx1"/>
            </w14:solidFill>
          </w14:textFill>
        </w:rPr>
        <w:fldChar w:fldCharType="begin"/>
      </w:r>
      <w:r>
        <w:rPr>
          <w:rFonts w:hint="eastAsia" w:ascii="宋体" w:hAnsi="宋体" w:eastAsia="宋体" w:cs="宋体"/>
          <w:smallCaps/>
          <w:color w:val="000000" w:themeColor="text1"/>
          <w:sz w:val="24"/>
          <w:szCs w:val="24"/>
          <w14:textFill>
            <w14:solidFill>
              <w14:schemeClr w14:val="tx1"/>
            </w14:solidFill>
          </w14:textFill>
        </w:rPr>
        <w:instrText xml:space="preserve"> HYPERLINK \l _Toc28356 </w:instrText>
      </w:r>
      <w:r>
        <w:rPr>
          <w:rFonts w:hint="eastAsia" w:ascii="宋体" w:hAnsi="宋体" w:eastAsia="宋体" w:cs="宋体"/>
          <w:smallCaps/>
          <w:color w:val="000000" w:themeColor="text1"/>
          <w:sz w:val="24"/>
          <w:szCs w:val="24"/>
          <w14:textFill>
            <w14:solidFill>
              <w14:schemeClr w14:val="tx1"/>
            </w14:solidFill>
          </w14:textFill>
        </w:rPr>
        <w:fldChar w:fldCharType="separate"/>
      </w:r>
      <w:r>
        <w:rPr>
          <w:rFonts w:hint="eastAsia" w:ascii="宋体" w:hAnsi="宋体" w:eastAsia="宋体" w:cs="宋体"/>
          <w:bCs w:val="0"/>
          <w:color w:val="000000" w:themeColor="text1"/>
          <w:sz w:val="24"/>
          <w:szCs w:val="24"/>
          <w14:textFill>
            <w14:solidFill>
              <w14:schemeClr w14:val="tx1"/>
            </w14:solidFill>
          </w14:textFill>
        </w:rPr>
        <w:t>十三、财政拨款“三公”经费支出决算表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_Toc28356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smallCaps/>
          <w:color w:val="000000" w:themeColor="text1"/>
          <w:sz w:val="24"/>
          <w:szCs w:val="24"/>
          <w14:textFill>
            <w14:solidFill>
              <w14:schemeClr w14:val="tx1"/>
            </w14:solidFill>
          </w14:textFill>
        </w:rPr>
        <w:fldChar w:fldCharType="end"/>
      </w:r>
    </w:p>
    <w:p w14:paraId="62FF81B7">
      <w:pPr>
        <w:pStyle w:val="6"/>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14:paraId="2EBB7D79">
      <w:pPr>
        <w:pStyle w:val="3"/>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9016"/>
      <w:bookmarkStart w:id="14" w:name="_Toc111208495"/>
    </w:p>
    <w:p w14:paraId="521E39E1">
      <w:pPr>
        <w:pStyle w:val="3"/>
        <w:jc w:val="center"/>
        <w:rPr>
          <w:rFonts w:hint="eastAsia" w:ascii="黑体" w:hAnsi="黑体" w:eastAsia="黑体" w:cs="黑体"/>
          <w:b w:val="0"/>
          <w:bCs w:val="0"/>
        </w:rPr>
      </w:pPr>
      <w:r>
        <w:rPr>
          <w:rFonts w:hint="eastAsia" w:ascii="黑体" w:hAnsi="黑体" w:eastAsia="黑体" w:cs="黑体"/>
          <w:b w:val="0"/>
          <w:bCs w:val="0"/>
        </w:rPr>
        <w:t xml:space="preserve">第一部分 </w:t>
      </w:r>
      <w:r>
        <w:rPr>
          <w:rStyle w:val="36"/>
          <w:rFonts w:hint="eastAsia" w:ascii="黑体" w:hAnsi="黑体" w:eastAsia="黑体" w:cs="黑体"/>
          <w:b w:val="0"/>
          <w:bCs w:val="0"/>
        </w:rPr>
        <w:t>部门</w:t>
      </w:r>
      <w:r>
        <w:rPr>
          <w:rStyle w:val="36"/>
          <w:rFonts w:ascii="黑体" w:hAnsi="黑体" w:eastAsia="黑体" w:cs="黑体"/>
          <w:b w:val="0"/>
          <w:bCs w:val="0"/>
          <w:u w:color="auto"/>
        </w:rPr>
        <w:t>概况</w:t>
      </w:r>
      <w:bookmarkEnd w:id="12"/>
      <w:bookmarkEnd w:id="13"/>
      <w:bookmarkEnd w:id="14"/>
    </w:p>
    <w:p w14:paraId="24C03C62">
      <w:pPr>
        <w:pStyle w:val="4"/>
        <w:ind w:firstLine="640" w:firstLineChars="200"/>
        <w:rPr>
          <w:rFonts w:hint="eastAsia" w:ascii="黑体" w:hAnsi="黑体" w:eastAsia="黑体" w:cs="黑体"/>
          <w:b w:val="0"/>
          <w:bCs/>
          <w:color w:val="000000"/>
          <w:lang w:val="en-US" w:eastAsia="zh-CN"/>
        </w:rPr>
      </w:pPr>
      <w:bookmarkStart w:id="15" w:name="_Toc111208496"/>
      <w:bookmarkStart w:id="16" w:name="_Toc28564"/>
      <w:bookmarkStart w:id="17" w:name="_Toc113981010"/>
      <w:bookmarkStart w:id="18" w:name="_Toc15377197"/>
      <w:bookmarkStart w:id="19" w:name="_Toc15377204"/>
      <w:r>
        <w:rPr>
          <w:rFonts w:hint="eastAsia" w:ascii="黑体" w:hAnsi="黑体" w:eastAsia="黑体" w:cs="黑体"/>
          <w:b w:val="0"/>
          <w:bCs/>
          <w:color w:val="000000"/>
        </w:rPr>
        <w:t>一、</w:t>
      </w:r>
      <w:bookmarkEnd w:id="15"/>
      <w:bookmarkEnd w:id="16"/>
      <w:bookmarkEnd w:id="17"/>
      <w:bookmarkEnd w:id="18"/>
      <w:bookmarkStart w:id="20" w:name="_Toc15377198"/>
      <w:bookmarkStart w:id="21" w:name="_Toc15378445"/>
      <w:r>
        <w:rPr>
          <w:rFonts w:hint="eastAsia" w:ascii="黑体" w:hAnsi="黑体" w:eastAsia="黑体" w:cs="黑体"/>
          <w:b w:val="0"/>
          <w:bCs/>
          <w:color w:val="000000"/>
          <w:lang w:val="en-US" w:eastAsia="zh-CN"/>
        </w:rPr>
        <w:t>部门职责</w:t>
      </w:r>
    </w:p>
    <w:bookmarkEnd w:id="20"/>
    <w:bookmarkEnd w:id="21"/>
    <w:p w14:paraId="2F4B16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color w:val="000000"/>
          <w:sz w:val="32"/>
          <w:szCs w:val="32"/>
        </w:rPr>
        <w:t>（一）镇党委主要职责</w:t>
      </w:r>
      <w:r>
        <w:rPr>
          <w:rFonts w:hint="eastAsia" w:ascii="仿宋" w:hAnsi="仿宋" w:eastAsia="仿宋" w:cs="仿宋"/>
          <w:color w:val="000000"/>
          <w:sz w:val="32"/>
          <w:szCs w:val="32"/>
        </w:rPr>
        <w:cr/>
      </w:r>
      <w:r>
        <w:rPr>
          <w:rFonts w:hint="eastAsia" w:ascii="仿宋" w:hAnsi="仿宋" w:eastAsia="仿宋" w:cs="仿宋"/>
          <w:color w:val="000000"/>
          <w:sz w:val="32"/>
          <w:szCs w:val="32"/>
        </w:rPr>
        <w:t>（1）认真贯彻执行党中央和上级组织的指示，积极宣传贯彻执行党的路线、方针、政策；</w:t>
      </w:r>
      <w:r>
        <w:rPr>
          <w:rFonts w:hint="eastAsia" w:ascii="仿宋" w:hAnsi="仿宋" w:eastAsia="仿宋" w:cs="仿宋"/>
          <w:color w:val="000000"/>
          <w:sz w:val="32"/>
          <w:szCs w:val="32"/>
        </w:rPr>
        <w:cr/>
      </w:r>
      <w:r>
        <w:rPr>
          <w:rFonts w:hint="eastAsia" w:ascii="仿宋" w:hAnsi="仿宋" w:eastAsia="仿宋" w:cs="仿宋"/>
          <w:color w:val="000000"/>
          <w:sz w:val="32"/>
          <w:szCs w:val="32"/>
        </w:rPr>
        <w:t>（2）建立必要的学习制度，抓好领导班子的学习，使党委领导成员深刻领会党的路线、方针、政策的精神实质；</w:t>
      </w:r>
      <w:r>
        <w:rPr>
          <w:rFonts w:hint="eastAsia" w:ascii="仿宋" w:hAnsi="仿宋" w:eastAsia="仿宋" w:cs="仿宋"/>
          <w:color w:val="000000"/>
          <w:sz w:val="32"/>
          <w:szCs w:val="32"/>
        </w:rPr>
        <w:cr/>
      </w:r>
      <w:r>
        <w:rPr>
          <w:rFonts w:hint="eastAsia" w:ascii="仿宋" w:hAnsi="仿宋" w:eastAsia="仿宋" w:cs="仿宋"/>
          <w:color w:val="000000"/>
          <w:sz w:val="32"/>
          <w:szCs w:val="32"/>
        </w:rPr>
        <w:t>（3）紧密联系本镇实际，认真倾听各方面的意见，周密地制定出贯彻执行党中央和上级党组织指示的实施方案和具体措施；</w:t>
      </w:r>
      <w:r>
        <w:rPr>
          <w:rFonts w:hint="eastAsia" w:ascii="仿宋" w:hAnsi="仿宋" w:eastAsia="仿宋" w:cs="仿宋"/>
          <w:color w:val="000000"/>
          <w:sz w:val="32"/>
          <w:szCs w:val="32"/>
        </w:rPr>
        <w:cr/>
      </w:r>
      <w:r>
        <w:rPr>
          <w:rFonts w:hint="eastAsia" w:ascii="仿宋" w:hAnsi="仿宋" w:eastAsia="仿宋" w:cs="仿宋"/>
          <w:color w:val="000000"/>
          <w:sz w:val="32"/>
          <w:szCs w:val="32"/>
        </w:rPr>
        <w:t>（4）做好督促、检查工作，使党的路线、方针、政策得到切实地贯彻执行；</w:t>
      </w:r>
      <w:r>
        <w:rPr>
          <w:rFonts w:hint="eastAsia" w:ascii="仿宋" w:hAnsi="仿宋" w:eastAsia="仿宋" w:cs="仿宋"/>
          <w:color w:val="000000"/>
          <w:sz w:val="32"/>
          <w:szCs w:val="32"/>
        </w:rPr>
        <w:cr/>
      </w:r>
      <w:r>
        <w:rPr>
          <w:rFonts w:hint="eastAsia" w:ascii="仿宋" w:hAnsi="仿宋" w:eastAsia="仿宋" w:cs="仿宋"/>
          <w:color w:val="000000"/>
          <w:sz w:val="32"/>
          <w:szCs w:val="32"/>
        </w:rPr>
        <w:t>（5）保证上级党委政府指示在本镇的实施，把握本镇经济发展和改革的全局；</w:t>
      </w:r>
      <w:r>
        <w:rPr>
          <w:rFonts w:hint="eastAsia" w:ascii="仿宋" w:hAnsi="仿宋" w:eastAsia="仿宋" w:cs="仿宋"/>
          <w:color w:val="000000"/>
          <w:sz w:val="32"/>
          <w:szCs w:val="32"/>
        </w:rPr>
        <w:cr/>
      </w:r>
      <w:r>
        <w:rPr>
          <w:rFonts w:hint="eastAsia" w:ascii="仿宋" w:hAnsi="仿宋" w:eastAsia="仿宋" w:cs="仿宋"/>
          <w:color w:val="000000"/>
          <w:sz w:val="32"/>
          <w:szCs w:val="32"/>
        </w:rPr>
        <w:t>（6）负责对本镇内的重大问题提出决策，保证各项社会发展和经济发展规划、措施符合党的路线、方针、政策及经济发展规律；</w:t>
      </w:r>
      <w:r>
        <w:rPr>
          <w:rFonts w:hint="eastAsia" w:ascii="仿宋" w:hAnsi="仿宋" w:eastAsia="仿宋" w:cs="仿宋"/>
          <w:color w:val="000000"/>
          <w:sz w:val="32"/>
          <w:szCs w:val="32"/>
        </w:rPr>
        <w:cr/>
      </w:r>
      <w:r>
        <w:rPr>
          <w:rFonts w:hint="eastAsia" w:ascii="仿宋" w:hAnsi="仿宋" w:eastAsia="仿宋" w:cs="仿宋"/>
          <w:color w:val="000000"/>
          <w:sz w:val="32"/>
          <w:szCs w:val="32"/>
        </w:rPr>
        <w:t>（7）按照干部“四化”方针，加强对干部的管理、教育、培养，向上级组织推荐德才兼备的优秀干部；</w:t>
      </w:r>
      <w:r>
        <w:rPr>
          <w:rFonts w:hint="eastAsia" w:ascii="仿宋" w:hAnsi="仿宋" w:eastAsia="仿宋" w:cs="仿宋"/>
          <w:color w:val="000000"/>
          <w:sz w:val="32"/>
          <w:szCs w:val="32"/>
        </w:rPr>
        <w:cr/>
      </w:r>
      <w:r>
        <w:rPr>
          <w:rFonts w:hint="eastAsia" w:ascii="仿宋" w:hAnsi="仿宋" w:eastAsia="仿宋" w:cs="仿宋"/>
          <w:color w:val="000000"/>
          <w:sz w:val="32"/>
          <w:szCs w:val="32"/>
        </w:rPr>
        <w:t>（8）充分发挥领导核心作用，积极主动地做好班子间的协调工作，使班子成员团结、协作、勤政为民；</w:t>
      </w:r>
      <w:r>
        <w:rPr>
          <w:rFonts w:hint="eastAsia" w:ascii="仿宋" w:hAnsi="仿宋" w:eastAsia="仿宋" w:cs="仿宋"/>
          <w:color w:val="000000"/>
          <w:sz w:val="32"/>
          <w:szCs w:val="32"/>
        </w:rPr>
        <w:cr/>
      </w:r>
      <w:r>
        <w:rPr>
          <w:rFonts w:hint="eastAsia" w:ascii="仿宋" w:hAnsi="仿宋" w:eastAsia="仿宋" w:cs="仿宋"/>
          <w:color w:val="000000"/>
          <w:sz w:val="32"/>
          <w:szCs w:val="32"/>
        </w:rPr>
        <w:t>（9）认真搞好发展党员、教育党员、管理党员的工作，切实加强居委会的领导、监督和检查工作，充分发挥其作用；</w:t>
      </w:r>
      <w:r>
        <w:rPr>
          <w:rFonts w:hint="eastAsia" w:ascii="仿宋" w:hAnsi="仿宋" w:eastAsia="仿宋" w:cs="仿宋"/>
          <w:color w:val="000000"/>
          <w:sz w:val="32"/>
          <w:szCs w:val="32"/>
        </w:rPr>
        <w:cr/>
      </w:r>
      <w:r>
        <w:rPr>
          <w:rFonts w:hint="eastAsia" w:ascii="仿宋" w:hAnsi="仿宋" w:eastAsia="仿宋" w:cs="仿宋"/>
          <w:color w:val="000000"/>
          <w:sz w:val="32"/>
          <w:szCs w:val="32"/>
        </w:rPr>
        <w:t>（10）加强镇党委领导班子建设，要重点抓好思想建设、组织建设、作风建设、制度建设和廉政建设；</w:t>
      </w:r>
      <w:r>
        <w:rPr>
          <w:rFonts w:hint="eastAsia" w:ascii="仿宋" w:hAnsi="仿宋" w:eastAsia="仿宋" w:cs="仿宋"/>
          <w:color w:val="000000"/>
          <w:sz w:val="32"/>
          <w:szCs w:val="32"/>
        </w:rPr>
        <w:cr/>
      </w:r>
      <w:r>
        <w:rPr>
          <w:rFonts w:hint="eastAsia" w:ascii="仿宋" w:hAnsi="仿宋" w:eastAsia="仿宋" w:cs="仿宋"/>
          <w:color w:val="000000"/>
          <w:sz w:val="32"/>
          <w:szCs w:val="32"/>
        </w:rPr>
        <w:t>（11）运用行政和法律手段，有效维护社会治安；</w:t>
      </w:r>
      <w:r>
        <w:rPr>
          <w:rFonts w:hint="eastAsia" w:ascii="仿宋" w:hAnsi="仿宋" w:eastAsia="仿宋" w:cs="仿宋"/>
          <w:color w:val="000000"/>
          <w:sz w:val="32"/>
          <w:szCs w:val="32"/>
        </w:rPr>
        <w:cr/>
      </w:r>
      <w:r>
        <w:rPr>
          <w:rFonts w:hint="eastAsia" w:ascii="仿宋" w:hAnsi="仿宋" w:eastAsia="仿宋" w:cs="仿宋"/>
          <w:color w:val="000000"/>
          <w:sz w:val="32"/>
          <w:szCs w:val="32"/>
        </w:rPr>
        <w:t>（12)领导镇人大、武装部、政法及群团组织工作。</w:t>
      </w:r>
      <w:r>
        <w:rPr>
          <w:rFonts w:hint="eastAsia" w:ascii="仿宋" w:hAnsi="仿宋" w:eastAsia="仿宋" w:cs="仿宋"/>
          <w:color w:val="000000"/>
          <w:sz w:val="32"/>
          <w:szCs w:val="32"/>
        </w:rPr>
        <w:cr/>
      </w:r>
      <w:r>
        <w:rPr>
          <w:rFonts w:hint="eastAsia" w:ascii="仿宋" w:hAnsi="仿宋" w:eastAsia="仿宋" w:cs="仿宋"/>
          <w:color w:val="000000"/>
          <w:sz w:val="32"/>
          <w:szCs w:val="32"/>
        </w:rPr>
        <w:t>（二）镇人大主席团主要职责</w:t>
      </w:r>
      <w:r>
        <w:rPr>
          <w:rFonts w:hint="eastAsia" w:ascii="仿宋" w:hAnsi="仿宋" w:eastAsia="仿宋" w:cs="仿宋"/>
          <w:color w:val="000000"/>
          <w:sz w:val="32"/>
          <w:szCs w:val="32"/>
        </w:rPr>
        <w:cr/>
      </w:r>
      <w:r>
        <w:rPr>
          <w:rFonts w:hint="eastAsia" w:ascii="仿宋" w:hAnsi="仿宋" w:eastAsia="仿宋" w:cs="仿宋"/>
          <w:color w:val="000000"/>
          <w:sz w:val="32"/>
          <w:szCs w:val="32"/>
        </w:rPr>
        <w:t>（1）检查宪法、法律、法规及本级人民代表大会和上级人民代表大会及常务委员会的决议、决定在本行政区域内的遵守和执行情况；</w:t>
      </w:r>
      <w:r>
        <w:rPr>
          <w:rFonts w:hint="eastAsia" w:ascii="仿宋" w:hAnsi="仿宋" w:eastAsia="仿宋" w:cs="仿宋"/>
          <w:color w:val="000000"/>
          <w:sz w:val="32"/>
          <w:szCs w:val="32"/>
        </w:rPr>
        <w:cr/>
      </w:r>
      <w:r>
        <w:rPr>
          <w:rFonts w:hint="eastAsia" w:ascii="仿宋" w:hAnsi="仿宋" w:eastAsia="仿宋" w:cs="仿宋"/>
          <w:color w:val="000000"/>
          <w:sz w:val="32"/>
          <w:szCs w:val="32"/>
        </w:rPr>
        <w:t>（2）听取本级人民政府的工作汇报，提出意见和建议，调查研究本行政区域内的重大问题；</w:t>
      </w:r>
      <w:r>
        <w:rPr>
          <w:rFonts w:hint="eastAsia" w:ascii="仿宋" w:hAnsi="仿宋" w:eastAsia="仿宋" w:cs="仿宋"/>
          <w:color w:val="000000"/>
          <w:sz w:val="32"/>
          <w:szCs w:val="32"/>
        </w:rPr>
        <w:cr/>
      </w:r>
      <w:r>
        <w:rPr>
          <w:rFonts w:hint="eastAsia" w:ascii="仿宋" w:hAnsi="仿宋" w:eastAsia="仿宋" w:cs="仿宋"/>
          <w:color w:val="000000"/>
          <w:sz w:val="32"/>
          <w:szCs w:val="32"/>
        </w:rPr>
        <w:t>（3）审查本级人民政府对本级人民代表大会通过的财政预算的部分变更，并向下次代表大会报告；</w:t>
      </w:r>
      <w:r>
        <w:rPr>
          <w:rFonts w:hint="eastAsia" w:ascii="仿宋" w:hAnsi="仿宋" w:eastAsia="仿宋" w:cs="仿宋"/>
          <w:color w:val="000000"/>
          <w:sz w:val="32"/>
          <w:szCs w:val="32"/>
        </w:rPr>
        <w:cr/>
      </w:r>
      <w:r>
        <w:rPr>
          <w:rFonts w:hint="eastAsia" w:ascii="仿宋" w:hAnsi="仿宋" w:eastAsia="仿宋" w:cs="仿宋"/>
          <w:color w:val="000000"/>
          <w:sz w:val="32"/>
          <w:szCs w:val="32"/>
        </w:rPr>
        <w:t>（4）将代表向人民代表大会提出的议案和对各方面工作的建议、意见和批评交有关机关或组织研究处理，督促有关机关或组织将办理情况答复代表；</w:t>
      </w:r>
      <w:r>
        <w:rPr>
          <w:rFonts w:hint="eastAsia" w:ascii="仿宋" w:hAnsi="仿宋" w:eastAsia="仿宋" w:cs="仿宋"/>
          <w:color w:val="000000"/>
          <w:sz w:val="32"/>
          <w:szCs w:val="32"/>
        </w:rPr>
        <w:cr/>
      </w:r>
      <w:r>
        <w:rPr>
          <w:rFonts w:hint="eastAsia" w:ascii="仿宋" w:hAnsi="仿宋" w:eastAsia="仿宋" w:cs="仿宋"/>
          <w:color w:val="000000"/>
          <w:sz w:val="32"/>
          <w:szCs w:val="32"/>
        </w:rPr>
        <w:t>（5）受理人民群众对本级人民政府和国家工作人员的申诉和意见；</w:t>
      </w:r>
      <w:r>
        <w:rPr>
          <w:rFonts w:hint="eastAsia" w:ascii="仿宋" w:hAnsi="仿宋" w:eastAsia="仿宋" w:cs="仿宋"/>
          <w:color w:val="000000"/>
          <w:sz w:val="32"/>
          <w:szCs w:val="32"/>
        </w:rPr>
        <w:cr/>
      </w:r>
      <w:r>
        <w:rPr>
          <w:rFonts w:hint="eastAsia" w:ascii="仿宋" w:hAnsi="仿宋" w:eastAsia="仿宋" w:cs="仿宋"/>
          <w:color w:val="000000"/>
          <w:sz w:val="32"/>
          <w:szCs w:val="32"/>
        </w:rPr>
        <w:t>（6）召集选民依法罢免、补选本级人民代表大会代表和本选区的县级人民代表大会代表；</w:t>
      </w:r>
      <w:r>
        <w:rPr>
          <w:rFonts w:hint="eastAsia" w:ascii="仿宋" w:hAnsi="仿宋" w:eastAsia="仿宋" w:cs="仿宋"/>
          <w:color w:val="000000"/>
          <w:sz w:val="32"/>
          <w:szCs w:val="32"/>
        </w:rPr>
        <w:cr/>
      </w:r>
      <w:r>
        <w:rPr>
          <w:rFonts w:hint="eastAsia" w:ascii="仿宋" w:hAnsi="仿宋" w:eastAsia="仿宋" w:cs="仿宋"/>
          <w:color w:val="000000"/>
          <w:sz w:val="32"/>
          <w:szCs w:val="32"/>
        </w:rPr>
        <w:t>（7）办理上级人民代表大会常务委员会交办的其他事项。</w:t>
      </w:r>
      <w:r>
        <w:rPr>
          <w:rFonts w:hint="eastAsia" w:ascii="仿宋" w:hAnsi="仿宋" w:eastAsia="仿宋" w:cs="仿宋"/>
          <w:color w:val="000000"/>
          <w:sz w:val="32"/>
          <w:szCs w:val="32"/>
        </w:rPr>
        <w:cr/>
      </w:r>
      <w:r>
        <w:rPr>
          <w:rFonts w:hint="eastAsia" w:ascii="仿宋" w:hAnsi="仿宋" w:eastAsia="仿宋" w:cs="仿宋"/>
          <w:color w:val="000000"/>
          <w:sz w:val="32"/>
          <w:szCs w:val="32"/>
        </w:rPr>
        <w:t>（三）镇人民政府主要职责</w:t>
      </w:r>
      <w:r>
        <w:rPr>
          <w:rFonts w:hint="eastAsia" w:ascii="仿宋" w:hAnsi="仿宋" w:eastAsia="仿宋" w:cs="仿宋"/>
          <w:color w:val="000000"/>
          <w:sz w:val="32"/>
          <w:szCs w:val="32"/>
        </w:rPr>
        <w:cr/>
      </w:r>
      <w:r>
        <w:rPr>
          <w:rFonts w:hint="eastAsia" w:ascii="仿宋" w:hAnsi="仿宋" w:eastAsia="仿宋" w:cs="仿宋"/>
          <w:color w:val="000000"/>
          <w:sz w:val="32"/>
          <w:szCs w:val="32"/>
        </w:rPr>
        <w:t>（1）执行本级人民代表大会的决议和上级国家行政机关的决定和命令，在辖区内发布决定和命令；</w:t>
      </w:r>
      <w:r>
        <w:rPr>
          <w:rFonts w:hint="eastAsia" w:ascii="仿宋" w:hAnsi="仿宋" w:eastAsia="仿宋" w:cs="仿宋"/>
          <w:color w:val="000000"/>
          <w:sz w:val="32"/>
          <w:szCs w:val="32"/>
        </w:rPr>
        <w:cr/>
      </w:r>
      <w:r>
        <w:rPr>
          <w:rFonts w:hint="eastAsia" w:ascii="仿宋" w:hAnsi="仿宋" w:eastAsia="仿宋" w:cs="仿宋"/>
          <w:color w:val="000000"/>
          <w:sz w:val="32"/>
          <w:szCs w:val="32"/>
        </w:rPr>
        <w:t>（2）按照国家宪法和法律，行使对本辖区内的行政及民政事务的管理，推进计划生育工作；</w:t>
      </w:r>
      <w:r>
        <w:rPr>
          <w:rFonts w:hint="eastAsia" w:ascii="仿宋" w:hAnsi="仿宋" w:eastAsia="仿宋" w:cs="仿宋"/>
          <w:color w:val="000000"/>
          <w:sz w:val="32"/>
          <w:szCs w:val="32"/>
        </w:rPr>
        <w:cr/>
      </w:r>
      <w:r>
        <w:rPr>
          <w:rFonts w:hint="eastAsia" w:ascii="仿宋" w:hAnsi="仿宋" w:eastAsia="仿宋" w:cs="仿宋"/>
          <w:color w:val="000000"/>
          <w:sz w:val="32"/>
          <w:szCs w:val="32"/>
        </w:rPr>
        <w:t>（3）制定本镇的经济和社会发展规划，并组织实施；组织和领导行政经济体制改革，协调本行政区域居民委员会与各经济组织之间的关系；</w:t>
      </w:r>
      <w:r>
        <w:rPr>
          <w:rFonts w:hint="eastAsia" w:ascii="仿宋" w:hAnsi="仿宋" w:eastAsia="仿宋" w:cs="仿宋"/>
          <w:color w:val="000000"/>
          <w:sz w:val="32"/>
          <w:szCs w:val="32"/>
        </w:rPr>
        <w:cr/>
      </w:r>
      <w:r>
        <w:rPr>
          <w:rFonts w:hint="eastAsia" w:ascii="仿宋" w:hAnsi="仿宋" w:eastAsia="仿宋" w:cs="仿宋"/>
          <w:color w:val="000000"/>
          <w:sz w:val="32"/>
          <w:szCs w:val="32"/>
        </w:rPr>
        <w:t>（4）组织规划镇财政管理的各项收入，管理镇范围内的各项财政支出和行政筹集、分配和使用的资金；</w:t>
      </w:r>
      <w:r>
        <w:rPr>
          <w:rFonts w:hint="eastAsia" w:ascii="仿宋" w:hAnsi="仿宋" w:eastAsia="仿宋" w:cs="仿宋"/>
          <w:color w:val="000000"/>
          <w:sz w:val="32"/>
          <w:szCs w:val="32"/>
        </w:rPr>
        <w:cr/>
      </w:r>
      <w:r>
        <w:rPr>
          <w:rFonts w:hint="eastAsia" w:ascii="仿宋" w:hAnsi="仿宋" w:eastAsia="仿宋" w:cs="仿宋"/>
          <w:color w:val="000000"/>
          <w:sz w:val="32"/>
          <w:szCs w:val="32"/>
        </w:rPr>
        <w:t>（5）负责管理对外经济技术交流与合作，开展经济信息预测工作，推广科学技术成果；</w:t>
      </w:r>
      <w:r>
        <w:rPr>
          <w:rFonts w:hint="eastAsia" w:ascii="仿宋" w:hAnsi="仿宋" w:eastAsia="仿宋" w:cs="仿宋"/>
          <w:color w:val="000000"/>
          <w:sz w:val="32"/>
          <w:szCs w:val="32"/>
        </w:rPr>
        <w:cr/>
      </w:r>
      <w:r>
        <w:rPr>
          <w:rFonts w:hint="eastAsia" w:ascii="仿宋" w:hAnsi="仿宋" w:eastAsia="仿宋" w:cs="仿宋"/>
          <w:color w:val="000000"/>
          <w:sz w:val="32"/>
          <w:szCs w:val="32"/>
        </w:rPr>
        <w:t>（6）协助县级有关部门，负责县城的卫生、治安、城镇撤迁、规划建设、环境保护工作；</w:t>
      </w:r>
      <w:r>
        <w:rPr>
          <w:rFonts w:hint="eastAsia" w:ascii="仿宋" w:hAnsi="仿宋" w:eastAsia="仿宋" w:cs="仿宋"/>
          <w:color w:val="000000"/>
          <w:sz w:val="32"/>
          <w:szCs w:val="32"/>
        </w:rPr>
        <w:cr/>
      </w:r>
      <w:r>
        <w:rPr>
          <w:rFonts w:hint="eastAsia" w:ascii="仿宋" w:hAnsi="仿宋" w:eastAsia="仿宋" w:cs="仿宋"/>
          <w:color w:val="000000"/>
          <w:sz w:val="32"/>
          <w:szCs w:val="32"/>
        </w:rPr>
        <w:t>（7）加强土地的统筹规划、统一管理，协助有关部门做好地质灾害的防治工作；</w:t>
      </w:r>
      <w:r>
        <w:rPr>
          <w:rFonts w:hint="eastAsia" w:ascii="仿宋" w:hAnsi="仿宋" w:eastAsia="仿宋" w:cs="仿宋"/>
          <w:color w:val="000000"/>
          <w:sz w:val="32"/>
          <w:szCs w:val="32"/>
        </w:rPr>
        <w:cr/>
      </w:r>
      <w:r>
        <w:rPr>
          <w:rFonts w:hint="eastAsia" w:ascii="仿宋" w:hAnsi="仿宋" w:eastAsia="仿宋" w:cs="仿宋"/>
          <w:color w:val="000000"/>
          <w:sz w:val="32"/>
          <w:szCs w:val="32"/>
        </w:rPr>
        <w:t>（8）组织和开展社会主义精神文明活动，正确调解和处理人民内部矛盾，认真调解民事纠纷；</w:t>
      </w:r>
      <w:r>
        <w:rPr>
          <w:rFonts w:hint="eastAsia" w:ascii="仿宋" w:hAnsi="仿宋" w:eastAsia="仿宋" w:cs="仿宋"/>
          <w:color w:val="000000"/>
          <w:sz w:val="32"/>
          <w:szCs w:val="32"/>
        </w:rPr>
        <w:cr/>
      </w:r>
      <w:r>
        <w:rPr>
          <w:rFonts w:hint="eastAsia" w:ascii="仿宋" w:hAnsi="仿宋" w:eastAsia="仿宋" w:cs="仿宋"/>
          <w:color w:val="000000"/>
          <w:sz w:val="32"/>
          <w:szCs w:val="32"/>
        </w:rPr>
        <w:t>（9）充分发挥行政职能，组织和开展本镇内的文化、教育、卫生、民政和科技等工作；</w:t>
      </w:r>
      <w:r>
        <w:rPr>
          <w:rFonts w:hint="eastAsia" w:ascii="仿宋" w:hAnsi="仿宋" w:eastAsia="仿宋" w:cs="仿宋"/>
          <w:color w:val="000000"/>
          <w:sz w:val="32"/>
          <w:szCs w:val="32"/>
        </w:rPr>
        <w:cr/>
      </w:r>
      <w:r>
        <w:rPr>
          <w:rFonts w:hint="eastAsia" w:ascii="仿宋" w:hAnsi="仿宋" w:eastAsia="仿宋" w:cs="仿宋"/>
          <w:color w:val="000000"/>
          <w:sz w:val="32"/>
          <w:szCs w:val="32"/>
        </w:rPr>
        <w:t>（10）根据经济发展需要，建立经济、技术咨询服务机构，向经济组织和本镇内居民提供全面服务。</w:t>
      </w:r>
      <w:r>
        <w:rPr>
          <w:rFonts w:hint="eastAsia" w:ascii="仿宋" w:hAnsi="仿宋" w:eastAsia="仿宋" w:cs="仿宋"/>
          <w:color w:val="000000"/>
          <w:sz w:val="32"/>
          <w:szCs w:val="32"/>
        </w:rPr>
        <w:cr/>
      </w:r>
      <w:r>
        <w:rPr>
          <w:rFonts w:hint="eastAsia" w:ascii="仿宋" w:hAnsi="仿宋" w:eastAsia="仿宋" w:cs="仿宋"/>
          <w:color w:val="000000"/>
          <w:sz w:val="32"/>
          <w:szCs w:val="32"/>
        </w:rPr>
        <w:t>（四）镇纪委主要职责</w:t>
      </w:r>
      <w:r>
        <w:rPr>
          <w:rFonts w:hint="eastAsia" w:ascii="仿宋" w:hAnsi="仿宋" w:eastAsia="仿宋" w:cs="仿宋"/>
          <w:color w:val="000000"/>
          <w:sz w:val="32"/>
          <w:szCs w:val="32"/>
        </w:rPr>
        <w:cr/>
      </w:r>
      <w:r>
        <w:rPr>
          <w:rFonts w:hint="eastAsia" w:ascii="仿宋" w:hAnsi="仿宋" w:eastAsia="仿宋" w:cs="仿宋"/>
          <w:color w:val="000000"/>
          <w:sz w:val="32"/>
          <w:szCs w:val="32"/>
        </w:rPr>
        <w:t>（1）负责全镇党的纪律检查工作。认真贯彻落实州、县纪委关于加强党风廉政建设的决定，维护党的章程和其他党内法规，检查党的路线、方针、政策和决议的执行情况；</w:t>
      </w:r>
      <w:r>
        <w:rPr>
          <w:rFonts w:hint="eastAsia" w:ascii="仿宋" w:hAnsi="仿宋" w:eastAsia="仿宋" w:cs="仿宋"/>
          <w:color w:val="000000"/>
          <w:sz w:val="32"/>
          <w:szCs w:val="32"/>
        </w:rPr>
        <w:cr/>
      </w:r>
      <w:r>
        <w:rPr>
          <w:rFonts w:hint="eastAsia" w:ascii="仿宋" w:hAnsi="仿宋" w:eastAsia="仿宋" w:cs="仿宋"/>
          <w:color w:val="000000"/>
          <w:sz w:val="32"/>
          <w:szCs w:val="32"/>
        </w:rPr>
        <w:t>（2）负责贯彻落实党中央、省、州和县委、县政府有关行政监察工作的决定，监督检查镇政府及其负责人执行国家政策和法律法规、国民经济和社会发展计划及县政府发布的决议和命令，保证政令畅通；</w:t>
      </w:r>
      <w:r>
        <w:rPr>
          <w:rFonts w:hint="eastAsia" w:ascii="仿宋" w:hAnsi="仿宋" w:eastAsia="仿宋" w:cs="仿宋"/>
          <w:color w:val="000000"/>
          <w:sz w:val="32"/>
          <w:szCs w:val="32"/>
        </w:rPr>
        <w:cr/>
      </w:r>
      <w:r>
        <w:rPr>
          <w:rFonts w:hint="eastAsia" w:ascii="仿宋" w:hAnsi="仿宋" w:eastAsia="仿宋" w:cs="仿宋"/>
          <w:color w:val="000000"/>
          <w:sz w:val="32"/>
          <w:szCs w:val="32"/>
        </w:rPr>
        <w:t>（3）负责调查处理镇内党的组织和党员领导干部违反党的章程及其他党内法规的案件，认真受理群众来信来访；</w:t>
      </w:r>
      <w:r>
        <w:rPr>
          <w:rFonts w:hint="eastAsia" w:ascii="仿宋" w:hAnsi="仿宋" w:eastAsia="仿宋" w:cs="仿宋"/>
          <w:color w:val="000000"/>
          <w:sz w:val="32"/>
          <w:szCs w:val="32"/>
        </w:rPr>
        <w:cr/>
      </w:r>
      <w:r>
        <w:rPr>
          <w:rFonts w:hint="eastAsia" w:ascii="仿宋" w:hAnsi="仿宋" w:eastAsia="仿宋" w:cs="仿宋"/>
          <w:color w:val="000000"/>
          <w:sz w:val="32"/>
          <w:szCs w:val="32"/>
        </w:rPr>
        <w:t>（4）负责配合有关部门调查处理镇政府及其主要负责人违反国家法律、法规、政策及政纪的行为；</w:t>
      </w:r>
      <w:r>
        <w:rPr>
          <w:rFonts w:hint="eastAsia" w:ascii="仿宋" w:hAnsi="仿宋" w:eastAsia="仿宋" w:cs="仿宋"/>
          <w:color w:val="000000"/>
          <w:sz w:val="32"/>
          <w:szCs w:val="32"/>
        </w:rPr>
        <w:cr/>
      </w:r>
      <w:r>
        <w:rPr>
          <w:rFonts w:hint="eastAsia" w:ascii="仿宋" w:hAnsi="仿宋" w:eastAsia="仿宋" w:cs="仿宋"/>
          <w:color w:val="000000"/>
          <w:sz w:val="32"/>
          <w:szCs w:val="32"/>
        </w:rPr>
        <w:t>（5）按照上级党委和县委的要求，组织制定全镇党风党纪教育规划，配合有关部门做好党的纪检工作方针、政策的宣传工作和对党员遵守纪律的教育工作；</w:t>
      </w:r>
      <w:r>
        <w:rPr>
          <w:rFonts w:hint="eastAsia" w:ascii="仿宋" w:hAnsi="仿宋" w:eastAsia="仿宋" w:cs="仿宋"/>
          <w:color w:val="000000"/>
          <w:sz w:val="32"/>
          <w:szCs w:val="32"/>
        </w:rPr>
        <w:cr/>
      </w:r>
      <w:r>
        <w:rPr>
          <w:rFonts w:hint="eastAsia" w:ascii="仿宋" w:hAnsi="仿宋" w:eastAsia="仿宋" w:cs="仿宋"/>
          <w:color w:val="000000"/>
          <w:sz w:val="32"/>
          <w:szCs w:val="32"/>
        </w:rPr>
        <w:t>（6）会同有关部门做好行政监察工作的方针、政策和法律、法规的宣传工作，教育机关工作人员和公务员遵纪守法，为政清廉；</w:t>
      </w:r>
      <w:r>
        <w:rPr>
          <w:rFonts w:hint="eastAsia" w:ascii="仿宋" w:hAnsi="仿宋" w:eastAsia="仿宋" w:cs="仿宋"/>
          <w:color w:val="000000"/>
          <w:sz w:val="32"/>
          <w:szCs w:val="32"/>
        </w:rPr>
        <w:cr/>
      </w:r>
      <w:r>
        <w:rPr>
          <w:rFonts w:hint="eastAsia" w:ascii="仿宋" w:hAnsi="仿宋" w:eastAsia="仿宋" w:cs="仿宋"/>
          <w:color w:val="000000"/>
          <w:sz w:val="32"/>
          <w:szCs w:val="32"/>
        </w:rPr>
        <w:t>（7）承办县委、县政府、县纪委、县监察局以及镇党委、政府交办的其他工作。</w:t>
      </w:r>
      <w:r>
        <w:rPr>
          <w:rFonts w:hint="eastAsia" w:ascii="仿宋" w:hAnsi="仿宋" w:eastAsia="仿宋" w:cs="仿宋"/>
          <w:color w:val="000000"/>
          <w:sz w:val="32"/>
          <w:szCs w:val="32"/>
        </w:rPr>
        <w:cr/>
      </w:r>
      <w:r>
        <w:rPr>
          <w:rFonts w:hint="eastAsia" w:ascii="仿宋" w:hAnsi="仿宋" w:eastAsia="仿宋" w:cs="仿宋"/>
          <w:color w:val="000000"/>
          <w:sz w:val="32"/>
          <w:szCs w:val="32"/>
        </w:rPr>
        <w:t>（五）镇武装部主要职责</w:t>
      </w:r>
      <w:r>
        <w:rPr>
          <w:rFonts w:hint="eastAsia" w:ascii="仿宋" w:hAnsi="仿宋" w:eastAsia="仿宋" w:cs="仿宋"/>
          <w:color w:val="000000"/>
          <w:sz w:val="32"/>
          <w:szCs w:val="32"/>
        </w:rPr>
        <w:cr/>
      </w:r>
      <w:r>
        <w:rPr>
          <w:rFonts w:hint="eastAsia" w:ascii="仿宋" w:hAnsi="仿宋" w:eastAsia="仿宋" w:cs="仿宋"/>
          <w:color w:val="000000"/>
          <w:sz w:val="32"/>
          <w:szCs w:val="32"/>
        </w:rPr>
        <w:t>（1）认真贯彻党管武装的原则，做好民兵的组织建设和思想建设，做好民兵训练和民兵整组工作；</w:t>
      </w:r>
      <w:r>
        <w:rPr>
          <w:rFonts w:hint="eastAsia" w:ascii="仿宋" w:hAnsi="仿宋" w:eastAsia="仿宋" w:cs="仿宋"/>
          <w:color w:val="000000"/>
          <w:sz w:val="32"/>
          <w:szCs w:val="32"/>
        </w:rPr>
        <w:cr/>
      </w:r>
      <w:r>
        <w:rPr>
          <w:rFonts w:hint="eastAsia" w:ascii="仿宋" w:hAnsi="仿宋" w:eastAsia="仿宋" w:cs="仿宋"/>
          <w:color w:val="000000"/>
          <w:sz w:val="32"/>
          <w:szCs w:val="32"/>
        </w:rPr>
        <w:t>（2）组织民兵积极参加社会主义两个文明建设，组织民兵维护社会治安，维护公共秩序和抢险救灾；</w:t>
      </w:r>
      <w:r>
        <w:rPr>
          <w:rFonts w:hint="eastAsia" w:ascii="仿宋" w:hAnsi="仿宋" w:eastAsia="仿宋" w:cs="仿宋"/>
          <w:color w:val="000000"/>
          <w:sz w:val="32"/>
          <w:szCs w:val="32"/>
        </w:rPr>
        <w:cr/>
      </w:r>
      <w:r>
        <w:rPr>
          <w:rFonts w:hint="eastAsia" w:ascii="仿宋" w:hAnsi="仿宋" w:eastAsia="仿宋" w:cs="仿宋"/>
          <w:color w:val="000000"/>
          <w:sz w:val="32"/>
          <w:szCs w:val="32"/>
        </w:rPr>
        <w:t>（3）协助有关部门做好征兵工作，复员、退伍军人的安置工作，搞好军烈属、复员退休军人的优抚工作；</w:t>
      </w:r>
      <w:r>
        <w:rPr>
          <w:rFonts w:hint="eastAsia" w:ascii="仿宋" w:hAnsi="仿宋" w:eastAsia="仿宋" w:cs="仿宋"/>
          <w:color w:val="000000"/>
          <w:sz w:val="32"/>
          <w:szCs w:val="32"/>
        </w:rPr>
        <w:cr/>
      </w:r>
      <w:r>
        <w:rPr>
          <w:rFonts w:hint="eastAsia" w:ascii="仿宋" w:hAnsi="仿宋" w:eastAsia="仿宋" w:cs="仿宋"/>
          <w:color w:val="000000"/>
          <w:sz w:val="32"/>
          <w:szCs w:val="32"/>
        </w:rPr>
        <w:t>（4）做好武装弹药的保管、使用和交换工作；</w:t>
      </w:r>
      <w:r>
        <w:rPr>
          <w:rFonts w:hint="eastAsia" w:ascii="仿宋" w:hAnsi="仿宋" w:eastAsia="仿宋" w:cs="仿宋"/>
          <w:color w:val="000000"/>
          <w:sz w:val="32"/>
          <w:szCs w:val="32"/>
        </w:rPr>
        <w:cr/>
      </w:r>
      <w:r>
        <w:rPr>
          <w:rFonts w:hint="eastAsia" w:ascii="仿宋" w:hAnsi="仿宋" w:eastAsia="仿宋" w:cs="仿宋"/>
          <w:color w:val="000000"/>
          <w:sz w:val="32"/>
          <w:szCs w:val="32"/>
        </w:rPr>
        <w:t>（5）深入实际，调查研究，及时解决基层民兵队伍中的新问题，加强对基层民兵组织的领导，研究和探索民兵建设中的新问题、新方法，抓好民兵的思想政治工作；</w:t>
      </w:r>
      <w:r>
        <w:rPr>
          <w:rFonts w:hint="eastAsia" w:ascii="仿宋" w:hAnsi="仿宋" w:eastAsia="仿宋" w:cs="仿宋"/>
          <w:color w:val="000000"/>
          <w:sz w:val="32"/>
          <w:szCs w:val="32"/>
        </w:rPr>
        <w:cr/>
      </w:r>
      <w:r>
        <w:rPr>
          <w:rFonts w:hint="eastAsia" w:ascii="仿宋" w:hAnsi="仿宋" w:eastAsia="仿宋" w:cs="仿宋"/>
          <w:color w:val="000000"/>
          <w:sz w:val="32"/>
          <w:szCs w:val="32"/>
        </w:rPr>
        <w:t>（6）承办领导临时交办的其他任务。</w:t>
      </w:r>
      <w:r>
        <w:rPr>
          <w:rFonts w:hint="eastAsia" w:ascii="仿宋" w:hAnsi="仿宋" w:eastAsia="仿宋" w:cs="仿宋"/>
          <w:color w:val="000000"/>
          <w:sz w:val="32"/>
          <w:szCs w:val="32"/>
        </w:rPr>
        <w:cr/>
      </w:r>
      <w:r>
        <w:rPr>
          <w:rFonts w:hint="eastAsia" w:ascii="仿宋" w:hAnsi="仿宋" w:eastAsia="仿宋" w:cs="仿宋"/>
          <w:color w:val="000000"/>
          <w:sz w:val="32"/>
          <w:szCs w:val="32"/>
        </w:rPr>
        <w:t>内设机构：</w:t>
      </w:r>
      <w:r>
        <w:rPr>
          <w:rFonts w:hint="eastAsia" w:ascii="仿宋" w:hAnsi="仿宋" w:eastAsia="仿宋" w:cs="仿宋"/>
          <w:color w:val="000000"/>
          <w:sz w:val="32"/>
          <w:szCs w:val="32"/>
        </w:rPr>
        <w:cr/>
      </w:r>
      <w:r>
        <w:rPr>
          <w:rFonts w:hint="eastAsia" w:ascii="仿宋" w:hAnsi="仿宋" w:eastAsia="仿宋" w:cs="仿宋"/>
          <w:color w:val="000000"/>
          <w:sz w:val="32"/>
          <w:szCs w:val="32"/>
        </w:rPr>
        <w:t>镇机关设党政办公室、综合发展办公室，综治维稳办公室（挂镇群众工作办公室的牌子）和城镇工作办公室；镇人大和工、青、妇等群团的日常工作由各综合办事机构或配备的专兼职人员承担；镇机关一律不设行政执法机构，使用政法专项编制的公安派出所、司法所按规定设置；保留财政所牌子。</w:t>
      </w:r>
      <w:r>
        <w:rPr>
          <w:rFonts w:hint="eastAsia" w:ascii="仿宋" w:hAnsi="仿宋" w:eastAsia="仿宋" w:cs="仿宋"/>
          <w:color w:val="000000"/>
          <w:sz w:val="32"/>
          <w:szCs w:val="32"/>
        </w:rPr>
        <w:cr/>
      </w:r>
      <w:r>
        <w:rPr>
          <w:rFonts w:hint="eastAsia" w:ascii="仿宋" w:hAnsi="仿宋" w:eastAsia="仿宋" w:cs="仿宋"/>
          <w:color w:val="000000"/>
          <w:sz w:val="32"/>
          <w:szCs w:val="32"/>
        </w:rPr>
        <w:t>（一）党政办公室主要职责</w:t>
      </w:r>
      <w:r>
        <w:rPr>
          <w:rFonts w:hint="eastAsia" w:ascii="仿宋" w:hAnsi="仿宋" w:eastAsia="仿宋" w:cs="仿宋"/>
          <w:color w:val="000000"/>
          <w:sz w:val="32"/>
          <w:szCs w:val="32"/>
        </w:rPr>
        <w:cr/>
      </w:r>
      <w:r>
        <w:rPr>
          <w:rFonts w:hint="eastAsia" w:ascii="仿宋" w:hAnsi="仿宋" w:eastAsia="仿宋" w:cs="仿宋"/>
          <w:color w:val="000000"/>
          <w:sz w:val="32"/>
          <w:szCs w:val="32"/>
        </w:rPr>
        <w:t>（1）负责镇党委、人大、政府的日常政事务，做好组织、人事（老干）、宣传、纪检监察、信访、武装、综治、文秘、工会、共青团、妇联、民政、计划、科协等工作；</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（2）承办上级部门文件的收发登记、拟办送阅督办工作和镇党委、人大、政府文件报告的起草、审核及上报、下发工作，组织草拟综合性报告、政策性文件； </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（3）负责镇党委、人大、政府各种会议的准备、记录工作，协助镇领导组织会议并对会议决定事项进行督促落实； </w:t>
      </w:r>
      <w:r>
        <w:rPr>
          <w:rFonts w:hint="eastAsia" w:ascii="仿宋" w:hAnsi="仿宋" w:eastAsia="仿宋" w:cs="仿宋"/>
          <w:color w:val="000000"/>
          <w:sz w:val="32"/>
          <w:szCs w:val="32"/>
        </w:rPr>
        <w:cr/>
      </w:r>
      <w:r>
        <w:rPr>
          <w:rFonts w:hint="eastAsia" w:ascii="仿宋" w:hAnsi="仿宋" w:eastAsia="仿宋" w:cs="仿宋"/>
          <w:color w:val="000000"/>
          <w:sz w:val="32"/>
          <w:szCs w:val="32"/>
        </w:rPr>
        <w:t>（4）负责党员的教育、管理、基层组织建设工作，承办党员年报、党费收缴及党报党刊的征订发行工作；做好对纪检案件的查办工作；</w:t>
      </w:r>
      <w:r>
        <w:rPr>
          <w:rFonts w:hint="eastAsia" w:ascii="仿宋" w:hAnsi="仿宋" w:eastAsia="仿宋" w:cs="仿宋"/>
          <w:color w:val="000000"/>
          <w:sz w:val="32"/>
          <w:szCs w:val="32"/>
        </w:rPr>
        <w:cr/>
      </w:r>
      <w:r>
        <w:rPr>
          <w:rFonts w:hint="eastAsia" w:ascii="仿宋" w:hAnsi="仿宋" w:eastAsia="仿宋" w:cs="仿宋"/>
          <w:color w:val="000000"/>
          <w:sz w:val="32"/>
          <w:szCs w:val="32"/>
        </w:rPr>
        <w:t>（5）承办机关干部的政治学习、机关考勤、公务员考核工作；</w:t>
      </w:r>
      <w:r>
        <w:rPr>
          <w:rFonts w:hint="eastAsia" w:ascii="仿宋" w:hAnsi="仿宋" w:eastAsia="仿宋" w:cs="仿宋"/>
          <w:color w:val="000000"/>
          <w:sz w:val="32"/>
          <w:szCs w:val="32"/>
        </w:rPr>
        <w:cr/>
      </w:r>
      <w:r>
        <w:rPr>
          <w:rFonts w:hint="eastAsia" w:ascii="仿宋" w:hAnsi="仿宋" w:eastAsia="仿宋" w:cs="仿宋"/>
          <w:color w:val="000000"/>
          <w:sz w:val="32"/>
          <w:szCs w:val="32"/>
        </w:rPr>
        <w:t>（6）负责镇人武部各项日常工作及正规化建设工作；</w:t>
      </w:r>
      <w:r>
        <w:rPr>
          <w:rFonts w:hint="eastAsia" w:ascii="仿宋" w:hAnsi="仿宋" w:eastAsia="仿宋" w:cs="仿宋"/>
          <w:color w:val="000000"/>
          <w:sz w:val="32"/>
          <w:szCs w:val="32"/>
        </w:rPr>
        <w:cr/>
      </w:r>
      <w:r>
        <w:rPr>
          <w:rFonts w:hint="eastAsia" w:ascii="仿宋" w:hAnsi="仿宋" w:eastAsia="仿宋" w:cs="仿宋"/>
          <w:color w:val="000000"/>
          <w:sz w:val="32"/>
          <w:szCs w:val="32"/>
        </w:rPr>
        <w:t>（7）负责人大主席团年度和阶段性工作安排及筹备组织人大有关会议事宜，搞好人大档案管理和代表联络工作；</w:t>
      </w:r>
      <w:r>
        <w:rPr>
          <w:rFonts w:hint="eastAsia" w:ascii="仿宋" w:hAnsi="仿宋" w:eastAsia="仿宋" w:cs="仿宋"/>
          <w:color w:val="000000"/>
          <w:sz w:val="32"/>
          <w:szCs w:val="32"/>
        </w:rPr>
        <w:cr/>
      </w:r>
      <w:r>
        <w:rPr>
          <w:rFonts w:hint="eastAsia" w:ascii="仿宋" w:hAnsi="仿宋" w:eastAsia="仿宋" w:cs="仿宋"/>
          <w:color w:val="000000"/>
          <w:sz w:val="32"/>
          <w:szCs w:val="32"/>
        </w:rPr>
        <w:t>（8）协助党委抓好纪检监察工作、工会、妇联、共青团等群团工作和统战、民族宗教、关心下一代等工作；</w:t>
      </w:r>
      <w:r>
        <w:rPr>
          <w:rFonts w:hint="eastAsia" w:ascii="仿宋" w:hAnsi="仿宋" w:eastAsia="仿宋" w:cs="仿宋"/>
          <w:color w:val="000000"/>
          <w:sz w:val="32"/>
          <w:szCs w:val="32"/>
        </w:rPr>
        <w:cr/>
      </w:r>
      <w:r>
        <w:rPr>
          <w:rFonts w:hint="eastAsia" w:ascii="仿宋" w:hAnsi="仿宋" w:eastAsia="仿宋" w:cs="仿宋"/>
          <w:color w:val="000000"/>
          <w:sz w:val="32"/>
          <w:szCs w:val="32"/>
        </w:rPr>
        <w:t>（9）负责建立健全镇机关各项规章制度和管理办法；</w:t>
      </w:r>
      <w:r>
        <w:rPr>
          <w:rFonts w:hint="eastAsia" w:ascii="仿宋" w:hAnsi="仿宋" w:eastAsia="仿宋" w:cs="仿宋"/>
          <w:color w:val="000000"/>
          <w:sz w:val="32"/>
          <w:szCs w:val="32"/>
        </w:rPr>
        <w:cr/>
      </w:r>
      <w:r>
        <w:rPr>
          <w:rFonts w:hint="eastAsia" w:ascii="仿宋" w:hAnsi="仿宋" w:eastAsia="仿宋" w:cs="仿宋"/>
          <w:color w:val="000000"/>
          <w:sz w:val="32"/>
          <w:szCs w:val="32"/>
        </w:rPr>
        <w:t>(10)做好文秘、政务信息、档案、保密、调研、督查、接待、会议安排、后勤等工作；</w:t>
      </w:r>
      <w:r>
        <w:rPr>
          <w:rFonts w:hint="eastAsia" w:ascii="仿宋" w:hAnsi="仿宋" w:eastAsia="仿宋" w:cs="仿宋"/>
          <w:color w:val="000000"/>
          <w:sz w:val="32"/>
          <w:szCs w:val="32"/>
        </w:rPr>
        <w:cr/>
      </w:r>
      <w:r>
        <w:rPr>
          <w:rFonts w:hint="eastAsia" w:ascii="仿宋" w:hAnsi="仿宋" w:eastAsia="仿宋" w:cs="仿宋"/>
          <w:color w:val="000000"/>
          <w:sz w:val="32"/>
          <w:szCs w:val="32"/>
        </w:rPr>
        <w:t>（11）负责重大活动的组织协调等工作；</w:t>
      </w:r>
      <w:r>
        <w:rPr>
          <w:rFonts w:hint="eastAsia" w:ascii="仿宋" w:hAnsi="仿宋" w:eastAsia="仿宋" w:cs="仿宋"/>
          <w:color w:val="000000"/>
          <w:sz w:val="32"/>
          <w:szCs w:val="32"/>
        </w:rPr>
        <w:cr/>
      </w:r>
      <w:r>
        <w:rPr>
          <w:rFonts w:hint="eastAsia" w:ascii="仿宋" w:hAnsi="仿宋" w:eastAsia="仿宋" w:cs="仿宋"/>
          <w:color w:val="000000"/>
          <w:sz w:val="32"/>
          <w:szCs w:val="32"/>
        </w:rPr>
        <w:t>（12）负责机关效能建设；负责文化、体育、广播电视和精神文明建设等工作，做好宣传工作；</w:t>
      </w:r>
      <w:r>
        <w:rPr>
          <w:rFonts w:hint="eastAsia" w:ascii="仿宋" w:hAnsi="仿宋" w:eastAsia="仿宋" w:cs="仿宋"/>
          <w:color w:val="000000"/>
          <w:sz w:val="32"/>
          <w:szCs w:val="32"/>
        </w:rPr>
        <w:cr/>
      </w:r>
      <w:r>
        <w:rPr>
          <w:rFonts w:hint="eastAsia" w:ascii="仿宋" w:hAnsi="仿宋" w:eastAsia="仿宋" w:cs="仿宋"/>
          <w:color w:val="000000"/>
          <w:sz w:val="32"/>
          <w:szCs w:val="32"/>
        </w:rPr>
        <w:t>（13）指导村委会开展工作；</w:t>
      </w:r>
      <w:r>
        <w:rPr>
          <w:rFonts w:hint="eastAsia" w:ascii="仿宋" w:hAnsi="仿宋" w:eastAsia="仿宋" w:cs="仿宋"/>
          <w:color w:val="000000"/>
          <w:sz w:val="32"/>
          <w:szCs w:val="32"/>
        </w:rPr>
        <w:cr/>
      </w:r>
      <w:r>
        <w:rPr>
          <w:rFonts w:hint="eastAsia" w:ascii="仿宋" w:hAnsi="仿宋" w:eastAsia="仿宋" w:cs="仿宋"/>
          <w:color w:val="000000"/>
          <w:sz w:val="32"/>
          <w:szCs w:val="32"/>
        </w:rPr>
        <w:t>（14）承办党委、人大、政府和上级部门交办的其他工作任务。</w:t>
      </w:r>
      <w:r>
        <w:rPr>
          <w:rFonts w:hint="eastAsia" w:ascii="仿宋" w:hAnsi="仿宋" w:eastAsia="仿宋" w:cs="仿宋"/>
          <w:color w:val="000000"/>
          <w:sz w:val="32"/>
          <w:szCs w:val="32"/>
        </w:rPr>
        <w:cr/>
      </w:r>
      <w:r>
        <w:rPr>
          <w:rFonts w:hint="eastAsia" w:ascii="仿宋" w:hAnsi="仿宋" w:eastAsia="仿宋" w:cs="仿宋"/>
          <w:color w:val="000000"/>
          <w:sz w:val="32"/>
          <w:szCs w:val="32"/>
        </w:rPr>
        <w:t>（二）综合发展办公室主要职责</w:t>
      </w:r>
      <w:r>
        <w:rPr>
          <w:rFonts w:hint="eastAsia" w:ascii="仿宋" w:hAnsi="仿宋" w:eastAsia="仿宋" w:cs="仿宋"/>
          <w:color w:val="000000"/>
          <w:sz w:val="32"/>
          <w:szCs w:val="32"/>
        </w:rPr>
        <w:cr/>
      </w:r>
      <w:r>
        <w:rPr>
          <w:rFonts w:hint="eastAsia" w:ascii="仿宋" w:hAnsi="仿宋" w:eastAsia="仿宋" w:cs="仿宋"/>
          <w:color w:val="000000"/>
          <w:sz w:val="32"/>
          <w:szCs w:val="32"/>
        </w:rPr>
        <w:t>（1）起草综合办公室职责范围内的各种专项制度；做好信息收集，起草工作计划、总结、情况汇报等；指导监督本镇企业贯彻执行国家有关法律、法规和政策</w:t>
      </w:r>
      <w:r>
        <w:rPr>
          <w:rFonts w:hint="eastAsia" w:ascii="仿宋" w:hAnsi="仿宋" w:eastAsia="仿宋" w:cs="仿宋"/>
          <w:color w:val="000000"/>
          <w:sz w:val="32"/>
          <w:szCs w:val="32"/>
        </w:rPr>
        <w:cr/>
      </w:r>
      <w:r>
        <w:rPr>
          <w:rFonts w:hint="eastAsia" w:ascii="仿宋" w:hAnsi="仿宋" w:eastAsia="仿宋" w:cs="仿宋"/>
          <w:color w:val="000000"/>
          <w:sz w:val="32"/>
          <w:szCs w:val="32"/>
        </w:rPr>
        <w:t>（2）组织编制本镇基本建设的规划和基本建设项目的申报、实施和验收；</w:t>
      </w:r>
      <w:r>
        <w:rPr>
          <w:rFonts w:hint="eastAsia" w:ascii="仿宋" w:hAnsi="仿宋" w:eastAsia="仿宋" w:cs="仿宋"/>
          <w:color w:val="000000"/>
          <w:sz w:val="32"/>
          <w:szCs w:val="32"/>
        </w:rPr>
        <w:cr/>
      </w:r>
      <w:r>
        <w:rPr>
          <w:rFonts w:hint="eastAsia" w:ascii="仿宋" w:hAnsi="仿宋" w:eastAsia="仿宋" w:cs="仿宋"/>
          <w:color w:val="000000"/>
          <w:sz w:val="32"/>
          <w:szCs w:val="32"/>
        </w:rPr>
        <w:t>（3）负责国有资产的管理与使用，确保国有资产不流失；</w:t>
      </w:r>
      <w:r>
        <w:rPr>
          <w:rFonts w:hint="eastAsia" w:ascii="仿宋" w:hAnsi="仿宋" w:eastAsia="仿宋" w:cs="仿宋"/>
          <w:color w:val="000000"/>
          <w:sz w:val="32"/>
          <w:szCs w:val="32"/>
        </w:rPr>
        <w:cr/>
      </w:r>
      <w:r>
        <w:rPr>
          <w:rFonts w:hint="eastAsia" w:ascii="仿宋" w:hAnsi="仿宋" w:eastAsia="仿宋" w:cs="仿宋"/>
          <w:color w:val="000000"/>
          <w:sz w:val="32"/>
          <w:szCs w:val="32"/>
        </w:rPr>
        <w:t>（5）协调解决经济发展中的突出问题；负责劳动和社会保障工作；做好劳动力资源登记管理、就业管理和职业技能培训等工作；协助做好劳动关系协调、劳动争议调解处理工作；</w:t>
      </w:r>
      <w:r>
        <w:rPr>
          <w:rFonts w:hint="eastAsia" w:ascii="仿宋" w:hAnsi="仿宋" w:eastAsia="仿宋" w:cs="仿宋"/>
          <w:color w:val="000000"/>
          <w:sz w:val="32"/>
          <w:szCs w:val="32"/>
        </w:rPr>
        <w:cr/>
      </w:r>
      <w:r>
        <w:rPr>
          <w:rFonts w:hint="eastAsia" w:ascii="仿宋" w:hAnsi="仿宋" w:eastAsia="仿宋" w:cs="仿宋"/>
          <w:color w:val="000000"/>
          <w:sz w:val="32"/>
          <w:szCs w:val="32"/>
        </w:rPr>
        <w:t>（6）负责民政优抚、社会救济、社区管理、残疾人保障工作；做好城镇最低生活保障、“五保”对象供养、敬老院管理、双拥与优抚安置工作及其他社会福利事业，做好基层政权建设和居委会民主管理、社区建设工作；</w:t>
      </w:r>
      <w:r>
        <w:rPr>
          <w:rFonts w:hint="eastAsia" w:ascii="仿宋" w:hAnsi="仿宋" w:eastAsia="仿宋" w:cs="仿宋"/>
          <w:color w:val="000000"/>
          <w:sz w:val="32"/>
          <w:szCs w:val="32"/>
        </w:rPr>
        <w:cr/>
      </w:r>
      <w:r>
        <w:rPr>
          <w:rFonts w:hint="eastAsia" w:ascii="仿宋" w:hAnsi="仿宋" w:eastAsia="仿宋" w:cs="仿宋"/>
          <w:color w:val="000000"/>
          <w:sz w:val="32"/>
          <w:szCs w:val="32"/>
        </w:rPr>
        <w:t>（7）负责人口和计划生育的政策法规宣传、规划统计、协会组织和查处违反计划生育法规案件工作等。</w:t>
      </w:r>
      <w:r>
        <w:rPr>
          <w:rFonts w:hint="eastAsia" w:ascii="仿宋" w:hAnsi="仿宋" w:eastAsia="仿宋" w:cs="仿宋"/>
          <w:color w:val="000000"/>
          <w:sz w:val="32"/>
          <w:szCs w:val="32"/>
        </w:rPr>
        <w:cr/>
      </w:r>
      <w:r>
        <w:rPr>
          <w:rFonts w:hint="eastAsia" w:ascii="仿宋" w:hAnsi="仿宋" w:eastAsia="仿宋" w:cs="仿宋"/>
          <w:color w:val="000000"/>
          <w:sz w:val="32"/>
          <w:szCs w:val="32"/>
        </w:rPr>
        <w:t>（8）做好流动人口管理服务、技术服务和计生指导服务工作等，贯彻执行有关法律、法规和方针、政策；</w:t>
      </w:r>
      <w:r>
        <w:rPr>
          <w:rFonts w:hint="eastAsia" w:ascii="仿宋" w:hAnsi="仿宋" w:eastAsia="仿宋" w:cs="仿宋"/>
          <w:color w:val="000000"/>
          <w:sz w:val="32"/>
          <w:szCs w:val="32"/>
        </w:rPr>
        <w:cr/>
      </w:r>
      <w:r>
        <w:rPr>
          <w:rFonts w:hint="eastAsia" w:ascii="仿宋" w:hAnsi="仿宋" w:eastAsia="仿宋" w:cs="仿宋"/>
          <w:color w:val="000000"/>
          <w:sz w:val="32"/>
          <w:szCs w:val="32"/>
        </w:rPr>
        <w:t>（9）做好水土保护与河道资源管理及防洪、防火、抗旱、防疫等工作；</w:t>
      </w:r>
      <w:r>
        <w:rPr>
          <w:rFonts w:hint="eastAsia" w:ascii="仿宋" w:hAnsi="仿宋" w:eastAsia="仿宋" w:cs="仿宋"/>
          <w:color w:val="000000"/>
          <w:sz w:val="32"/>
          <w:szCs w:val="32"/>
        </w:rPr>
        <w:cr/>
      </w:r>
      <w:r>
        <w:rPr>
          <w:rFonts w:hint="eastAsia" w:ascii="仿宋" w:hAnsi="仿宋" w:eastAsia="仿宋" w:cs="仿宋"/>
          <w:color w:val="000000"/>
          <w:sz w:val="32"/>
          <w:szCs w:val="32"/>
        </w:rPr>
        <w:t>（10）做好林业政策法规宣传、森林资源管理、绿化造林、生态公益林保护、森林防火、林业有害生物防治等工作，协助林业主管部门做好林业行政执法工作；</w:t>
      </w:r>
      <w:r>
        <w:rPr>
          <w:rFonts w:hint="eastAsia" w:ascii="仿宋" w:hAnsi="仿宋" w:eastAsia="仿宋" w:cs="仿宋"/>
          <w:color w:val="000000"/>
          <w:sz w:val="32"/>
          <w:szCs w:val="32"/>
        </w:rPr>
        <w:cr/>
      </w:r>
      <w:r>
        <w:rPr>
          <w:rFonts w:hint="eastAsia" w:ascii="仿宋" w:hAnsi="仿宋" w:eastAsia="仿宋" w:cs="仿宋"/>
          <w:color w:val="000000"/>
          <w:sz w:val="32"/>
          <w:szCs w:val="32"/>
        </w:rPr>
        <w:t>（11）做好旅游业、现代服务业等第三产业管理工作，提供市场信息，创造良好环境等；</w:t>
      </w:r>
      <w:r>
        <w:rPr>
          <w:rFonts w:hint="eastAsia" w:ascii="仿宋" w:hAnsi="仿宋" w:eastAsia="仿宋" w:cs="仿宋"/>
          <w:color w:val="000000"/>
          <w:sz w:val="32"/>
          <w:szCs w:val="32"/>
        </w:rPr>
        <w:cr/>
      </w:r>
      <w:r>
        <w:rPr>
          <w:rFonts w:hint="eastAsia" w:ascii="仿宋" w:hAnsi="仿宋" w:eastAsia="仿宋" w:cs="仿宋"/>
          <w:color w:val="000000"/>
          <w:sz w:val="32"/>
          <w:szCs w:val="32"/>
        </w:rPr>
        <w:t>（12）协助有关部门搞好城镇居民实用技术培训和各项技术推广项目；</w:t>
      </w:r>
      <w:r>
        <w:rPr>
          <w:rFonts w:hint="eastAsia" w:ascii="仿宋" w:hAnsi="仿宋" w:eastAsia="仿宋" w:cs="仿宋"/>
          <w:color w:val="000000"/>
          <w:sz w:val="32"/>
          <w:szCs w:val="32"/>
        </w:rPr>
        <w:cr/>
      </w:r>
      <w:r>
        <w:rPr>
          <w:rFonts w:hint="eastAsia" w:ascii="仿宋" w:hAnsi="仿宋" w:eastAsia="仿宋" w:cs="仿宋"/>
          <w:color w:val="000000"/>
          <w:sz w:val="32"/>
          <w:szCs w:val="32"/>
        </w:rPr>
        <w:t>（13）完成领导交办的其他工作。</w:t>
      </w:r>
      <w:r>
        <w:rPr>
          <w:rFonts w:hint="eastAsia" w:ascii="仿宋" w:hAnsi="仿宋" w:eastAsia="仿宋" w:cs="仿宋"/>
          <w:color w:val="000000"/>
          <w:sz w:val="32"/>
          <w:szCs w:val="32"/>
        </w:rPr>
        <w:cr/>
      </w:r>
      <w:r>
        <w:rPr>
          <w:rFonts w:hint="eastAsia" w:ascii="仿宋" w:hAnsi="仿宋" w:eastAsia="仿宋" w:cs="仿宋"/>
          <w:color w:val="000000"/>
          <w:sz w:val="32"/>
          <w:szCs w:val="32"/>
        </w:rPr>
        <w:t>（三）综治维稳办公室（挂镇群众工作办公室的牌子）主要职责。</w:t>
      </w:r>
      <w:r>
        <w:rPr>
          <w:rFonts w:hint="eastAsia" w:ascii="仿宋" w:hAnsi="仿宋" w:eastAsia="仿宋" w:cs="仿宋"/>
          <w:color w:val="000000"/>
          <w:sz w:val="32"/>
          <w:szCs w:val="32"/>
        </w:rPr>
        <w:cr/>
      </w:r>
      <w:r>
        <w:rPr>
          <w:rFonts w:hint="eastAsia" w:ascii="仿宋" w:hAnsi="仿宋" w:eastAsia="仿宋" w:cs="仿宋"/>
          <w:color w:val="000000"/>
          <w:sz w:val="32"/>
          <w:szCs w:val="32"/>
        </w:rPr>
        <w:t>（1)负责群众的来访接待，协助领导处理信访案件，抓好对外宣传、信息的收集、报送等工作；</w:t>
      </w:r>
      <w:r>
        <w:rPr>
          <w:rFonts w:hint="eastAsia" w:ascii="仿宋" w:hAnsi="仿宋" w:eastAsia="仿宋" w:cs="仿宋"/>
          <w:color w:val="000000"/>
          <w:sz w:val="32"/>
          <w:szCs w:val="32"/>
        </w:rPr>
        <w:cr/>
      </w:r>
      <w:r>
        <w:rPr>
          <w:rFonts w:hint="eastAsia" w:ascii="仿宋" w:hAnsi="仿宋" w:eastAsia="仿宋" w:cs="仿宋"/>
          <w:color w:val="000000"/>
          <w:sz w:val="32"/>
          <w:szCs w:val="32"/>
        </w:rPr>
        <w:t>（2）负责辖区内法制教育、矛盾纠纷调处、安置帮教、法律服务和治安保卫等工作；</w:t>
      </w:r>
      <w:r>
        <w:rPr>
          <w:rFonts w:hint="eastAsia" w:ascii="仿宋" w:hAnsi="仿宋" w:eastAsia="仿宋" w:cs="仿宋"/>
          <w:color w:val="000000"/>
          <w:sz w:val="32"/>
          <w:szCs w:val="32"/>
        </w:rPr>
        <w:cr/>
      </w:r>
      <w:r>
        <w:rPr>
          <w:rFonts w:hint="eastAsia" w:ascii="仿宋" w:hAnsi="仿宋" w:eastAsia="仿宋" w:cs="仿宋"/>
          <w:color w:val="000000"/>
          <w:sz w:val="32"/>
          <w:szCs w:val="32"/>
        </w:rPr>
        <w:t>（3）处理人民群众的来信来访，维护居民（村民）的合法权益；依照有关规定做好出租屋和外来暂住人员的管理工作；</w:t>
      </w:r>
      <w:r>
        <w:rPr>
          <w:rFonts w:hint="eastAsia" w:ascii="仿宋" w:hAnsi="仿宋" w:eastAsia="仿宋" w:cs="仿宋"/>
          <w:color w:val="000000"/>
          <w:sz w:val="32"/>
          <w:szCs w:val="32"/>
        </w:rPr>
        <w:cr/>
      </w:r>
      <w:r>
        <w:rPr>
          <w:rFonts w:hint="eastAsia" w:ascii="仿宋" w:hAnsi="仿宋" w:eastAsia="仿宋" w:cs="仿宋"/>
          <w:color w:val="000000"/>
          <w:sz w:val="32"/>
          <w:szCs w:val="32"/>
        </w:rPr>
        <w:t>（4）负责维护辖区内社会秩序，做好社会治安综合治理工作；制定辖区内社会治安综合治理工作规划，并组织实施，做到依法治理；</w:t>
      </w:r>
      <w:r>
        <w:rPr>
          <w:rFonts w:hint="eastAsia" w:ascii="仿宋" w:hAnsi="仿宋" w:eastAsia="仿宋" w:cs="仿宋"/>
          <w:color w:val="000000"/>
          <w:sz w:val="32"/>
          <w:szCs w:val="32"/>
        </w:rPr>
        <w:cr/>
      </w:r>
      <w:r>
        <w:rPr>
          <w:rFonts w:hint="eastAsia" w:ascii="仿宋" w:hAnsi="仿宋" w:eastAsia="仿宋" w:cs="仿宋"/>
          <w:color w:val="000000"/>
          <w:sz w:val="32"/>
          <w:szCs w:val="32"/>
        </w:rPr>
        <w:t>（5） 掌握分析辖区内的治安形势和工作动态，及时向上级反馈信息；组织、协调各有关部门共同解决辖区内突出的治安问题，指导、检查、督促基层党支部、居委会和辖区内的企事业单位开展社会治安综合治理工作，对存在问题的单位提出整改意见；协助有关部门，指导治保会、调解会和各种形式的群防群治队伍工作；</w:t>
      </w:r>
      <w:r>
        <w:rPr>
          <w:rFonts w:hint="eastAsia" w:ascii="仿宋" w:hAnsi="仿宋" w:eastAsia="仿宋" w:cs="仿宋"/>
          <w:color w:val="000000"/>
          <w:sz w:val="32"/>
          <w:szCs w:val="32"/>
        </w:rPr>
        <w:cr/>
      </w:r>
      <w:r>
        <w:rPr>
          <w:rFonts w:hint="eastAsia" w:ascii="仿宋" w:hAnsi="仿宋" w:eastAsia="仿宋" w:cs="仿宋"/>
          <w:color w:val="000000"/>
          <w:sz w:val="32"/>
          <w:szCs w:val="32"/>
        </w:rPr>
        <w:t>（6）组织落实辖区单位综合治理责任制和考核验收工作，贯彻执行有关社会治安综合治理工作的法律法规和方针政策；</w:t>
      </w:r>
      <w:r>
        <w:rPr>
          <w:rFonts w:hint="eastAsia" w:ascii="仿宋" w:hAnsi="仿宋" w:eastAsia="仿宋" w:cs="仿宋"/>
          <w:color w:val="000000"/>
          <w:sz w:val="32"/>
          <w:szCs w:val="32"/>
        </w:rPr>
        <w:cr/>
      </w:r>
      <w:r>
        <w:rPr>
          <w:rFonts w:hint="eastAsia" w:ascii="仿宋" w:hAnsi="仿宋" w:eastAsia="仿宋" w:cs="仿宋"/>
          <w:color w:val="000000"/>
          <w:sz w:val="32"/>
          <w:szCs w:val="32"/>
        </w:rPr>
        <w:t>（7）组织开展安全生产工作，加强宣传、排查隐患、落实整改。</w:t>
      </w:r>
      <w:r>
        <w:rPr>
          <w:rFonts w:hint="eastAsia" w:ascii="仿宋" w:hAnsi="仿宋" w:eastAsia="仿宋" w:cs="仿宋"/>
          <w:color w:val="000000"/>
          <w:sz w:val="32"/>
          <w:szCs w:val="32"/>
        </w:rPr>
        <w:cr/>
      </w:r>
      <w:r>
        <w:rPr>
          <w:rFonts w:hint="eastAsia" w:ascii="仿宋" w:hAnsi="仿宋" w:eastAsia="仿宋" w:cs="仿宋"/>
          <w:color w:val="000000"/>
          <w:sz w:val="32"/>
          <w:szCs w:val="32"/>
        </w:rPr>
        <w:t>（8）完成领导交办的其他工作。</w:t>
      </w:r>
      <w:r>
        <w:rPr>
          <w:rFonts w:hint="eastAsia" w:ascii="仿宋" w:hAnsi="仿宋" w:eastAsia="仿宋" w:cs="仿宋"/>
          <w:color w:val="000000"/>
          <w:sz w:val="32"/>
          <w:szCs w:val="32"/>
        </w:rPr>
        <w:cr/>
      </w:r>
      <w:r>
        <w:rPr>
          <w:rFonts w:hint="eastAsia" w:ascii="仿宋" w:hAnsi="仿宋" w:eastAsia="仿宋" w:cs="仿宋"/>
          <w:color w:val="000000"/>
          <w:sz w:val="32"/>
          <w:szCs w:val="32"/>
        </w:rPr>
        <w:t>（四）城镇工作办公室主要职责</w:t>
      </w:r>
      <w:r>
        <w:rPr>
          <w:rFonts w:hint="eastAsia" w:ascii="仿宋" w:hAnsi="仿宋" w:eastAsia="仿宋" w:cs="仿宋"/>
          <w:color w:val="000000"/>
          <w:sz w:val="32"/>
          <w:szCs w:val="32"/>
        </w:rPr>
        <w:cr/>
      </w:r>
      <w:r>
        <w:rPr>
          <w:rFonts w:hint="eastAsia" w:ascii="仿宋" w:hAnsi="仿宋" w:eastAsia="仿宋" w:cs="仿宋"/>
          <w:color w:val="000000"/>
          <w:sz w:val="32"/>
          <w:szCs w:val="32"/>
        </w:rPr>
        <w:t>（1）组织开展全民爱国卫生宣传教育活动，做好辖区内卫生保洁和除四害工作，抓好城乡环境卫生综合整治工作。</w:t>
      </w:r>
      <w:r>
        <w:rPr>
          <w:rFonts w:hint="eastAsia" w:ascii="仿宋" w:hAnsi="仿宋" w:eastAsia="仿宋" w:cs="仿宋"/>
          <w:color w:val="000000"/>
          <w:sz w:val="32"/>
          <w:szCs w:val="32"/>
        </w:rPr>
        <w:cr/>
      </w:r>
      <w:r>
        <w:rPr>
          <w:rFonts w:hint="eastAsia" w:ascii="仿宋" w:hAnsi="仿宋" w:eastAsia="仿宋" w:cs="仿宋"/>
          <w:color w:val="000000"/>
          <w:sz w:val="32"/>
          <w:szCs w:val="32"/>
        </w:rPr>
        <w:t>（2）负责土地综合规划和开发管理；协助有关部门做好地质灾害的防治工作；做好辖区内市容环卫、综合整治等管理工作；</w:t>
      </w:r>
      <w:r>
        <w:rPr>
          <w:rFonts w:hint="eastAsia" w:ascii="仿宋" w:hAnsi="仿宋" w:eastAsia="仿宋" w:cs="仿宋"/>
          <w:color w:val="000000"/>
          <w:sz w:val="32"/>
          <w:szCs w:val="32"/>
        </w:rPr>
        <w:cr/>
      </w:r>
      <w:r>
        <w:rPr>
          <w:rFonts w:hint="eastAsia" w:ascii="仿宋" w:hAnsi="仿宋" w:eastAsia="仿宋" w:cs="仿宋"/>
          <w:color w:val="000000"/>
          <w:sz w:val="32"/>
          <w:szCs w:val="32"/>
        </w:rPr>
        <w:t>（3）协助有关部门做好城区规划、建设、管理和土地管理工作；做好开发建设项目的征地拆迁和安置工作；</w:t>
      </w:r>
      <w:r>
        <w:rPr>
          <w:rFonts w:hint="eastAsia" w:ascii="仿宋" w:hAnsi="仿宋" w:eastAsia="仿宋" w:cs="仿宋"/>
          <w:color w:val="000000"/>
          <w:sz w:val="32"/>
          <w:szCs w:val="32"/>
        </w:rPr>
        <w:cr/>
      </w:r>
      <w:r>
        <w:rPr>
          <w:rFonts w:hint="eastAsia" w:ascii="仿宋" w:hAnsi="仿宋" w:eastAsia="仿宋" w:cs="仿宋"/>
          <w:color w:val="000000"/>
          <w:sz w:val="32"/>
          <w:szCs w:val="32"/>
        </w:rPr>
        <w:t>（4）负责生态环保目标任务的分解落实和管理、日常环境保护的监管、生态镇创建和有关信访投诉的处理，协助做好辖区内环境质量指标、污染事故处理等；</w:t>
      </w:r>
      <w:r>
        <w:rPr>
          <w:rFonts w:hint="eastAsia" w:ascii="仿宋" w:hAnsi="仿宋" w:eastAsia="仿宋" w:cs="仿宋"/>
          <w:color w:val="000000"/>
          <w:sz w:val="32"/>
          <w:szCs w:val="32"/>
        </w:rPr>
        <w:cr/>
      </w:r>
      <w:r>
        <w:rPr>
          <w:rFonts w:hint="eastAsia" w:ascii="仿宋" w:hAnsi="仿宋" w:eastAsia="仿宋" w:cs="仿宋"/>
          <w:color w:val="000000"/>
          <w:sz w:val="32"/>
          <w:szCs w:val="32"/>
        </w:rPr>
        <w:t>（5）负责镇容镇貌的监督检查，组织协调和综合管理工作，加强对辖区内公用设施、绿化树木的保护，实施绿化、美化、亮化工程。</w:t>
      </w:r>
      <w:r>
        <w:rPr>
          <w:rFonts w:hint="eastAsia" w:ascii="仿宋" w:hAnsi="仿宋" w:eastAsia="仿宋" w:cs="仿宋"/>
          <w:color w:val="000000"/>
          <w:sz w:val="32"/>
          <w:szCs w:val="32"/>
        </w:rPr>
        <w:cr/>
      </w:r>
      <w:r>
        <w:rPr>
          <w:rFonts w:hint="eastAsia" w:ascii="仿宋" w:hAnsi="仿宋" w:eastAsia="仿宋" w:cs="仿宋"/>
          <w:color w:val="000000"/>
          <w:sz w:val="32"/>
          <w:szCs w:val="32"/>
        </w:rPr>
        <w:t>（6）完成领导交办的其他工作。</w:t>
      </w:r>
      <w:r>
        <w:rPr>
          <w:rFonts w:hint="eastAsia" w:ascii="仿宋" w:hAnsi="仿宋" w:eastAsia="仿宋" w:cs="仿宋"/>
          <w:color w:val="000000"/>
          <w:sz w:val="32"/>
          <w:szCs w:val="32"/>
        </w:rPr>
        <w:cr/>
      </w:r>
      <w:r>
        <w:rPr>
          <w:rFonts w:hint="eastAsia" w:ascii="仿宋" w:hAnsi="仿宋" w:eastAsia="仿宋" w:cs="仿宋"/>
          <w:color w:val="000000"/>
          <w:sz w:val="32"/>
          <w:szCs w:val="32"/>
        </w:rPr>
        <w:t>群团组织：</w:t>
      </w:r>
      <w:r>
        <w:rPr>
          <w:rFonts w:hint="eastAsia" w:ascii="仿宋" w:hAnsi="仿宋" w:eastAsia="仿宋" w:cs="仿宋"/>
          <w:color w:val="000000"/>
          <w:sz w:val="32"/>
          <w:szCs w:val="32"/>
        </w:rPr>
        <w:cr/>
      </w:r>
      <w:r>
        <w:rPr>
          <w:rFonts w:hint="eastAsia" w:ascii="仿宋" w:hAnsi="仿宋" w:eastAsia="仿宋" w:cs="仿宋"/>
          <w:color w:val="000000"/>
          <w:sz w:val="32"/>
          <w:szCs w:val="32"/>
        </w:rPr>
        <w:t>（一）工会主要职责：</w:t>
      </w:r>
      <w:r>
        <w:rPr>
          <w:rFonts w:hint="eastAsia" w:ascii="仿宋" w:hAnsi="仿宋" w:eastAsia="仿宋" w:cs="仿宋"/>
          <w:color w:val="000000"/>
          <w:sz w:val="32"/>
          <w:szCs w:val="32"/>
        </w:rPr>
        <w:cr/>
      </w:r>
      <w:r>
        <w:rPr>
          <w:rFonts w:hint="eastAsia" w:ascii="仿宋" w:hAnsi="仿宋" w:eastAsia="仿宋" w:cs="仿宋"/>
          <w:color w:val="000000"/>
          <w:sz w:val="32"/>
          <w:szCs w:val="32"/>
        </w:rPr>
        <w:t>（1）建立健全各级工会组织，建立和发展工会积极分子队伍，做好新会员的接收、教育工作；</w:t>
      </w:r>
      <w:r>
        <w:rPr>
          <w:rFonts w:hint="eastAsia" w:ascii="仿宋" w:hAnsi="仿宋" w:eastAsia="仿宋" w:cs="仿宋"/>
          <w:color w:val="000000"/>
          <w:sz w:val="32"/>
          <w:szCs w:val="32"/>
        </w:rPr>
        <w:cr/>
      </w:r>
      <w:r>
        <w:rPr>
          <w:rFonts w:hint="eastAsia" w:ascii="仿宋" w:hAnsi="仿宋" w:eastAsia="仿宋" w:cs="仿宋"/>
          <w:color w:val="000000"/>
          <w:sz w:val="32"/>
          <w:szCs w:val="32"/>
        </w:rPr>
        <w:t>（2）对职工进行爱国主义、集体主义、社会主义、民主法制、科学、文化、技术教育，提高职工的思想、道德和科学、文化、技术、业务素质；</w:t>
      </w:r>
      <w:r>
        <w:rPr>
          <w:rFonts w:hint="eastAsia" w:ascii="仿宋" w:hAnsi="仿宋" w:eastAsia="仿宋" w:cs="仿宋"/>
          <w:color w:val="000000"/>
          <w:sz w:val="32"/>
          <w:szCs w:val="32"/>
        </w:rPr>
        <w:cr/>
      </w:r>
      <w:r>
        <w:rPr>
          <w:rFonts w:hint="eastAsia" w:ascii="仿宋" w:hAnsi="仿宋" w:eastAsia="仿宋" w:cs="仿宋"/>
          <w:color w:val="000000"/>
          <w:sz w:val="32"/>
          <w:szCs w:val="32"/>
        </w:rPr>
        <w:t>（3）组织和教育职工依法行使民主权利，参与企业管理。组织职工开展劳动竞赛，开展群众性的合理化建议，技术革新和技术协作活动；</w:t>
      </w:r>
      <w:r>
        <w:rPr>
          <w:rFonts w:hint="eastAsia" w:ascii="仿宋" w:hAnsi="仿宋" w:eastAsia="仿宋" w:cs="仿宋"/>
          <w:color w:val="000000"/>
          <w:sz w:val="32"/>
          <w:szCs w:val="32"/>
        </w:rPr>
        <w:cr/>
      </w:r>
      <w:r>
        <w:rPr>
          <w:rFonts w:hint="eastAsia" w:ascii="仿宋" w:hAnsi="仿宋" w:eastAsia="仿宋" w:cs="仿宋"/>
          <w:color w:val="000000"/>
          <w:sz w:val="32"/>
          <w:szCs w:val="32"/>
        </w:rPr>
        <w:t>（4）依法维护职工的合法权益。维护女职工的特殊权益，组织开展健康的文化体育活动；</w:t>
      </w:r>
      <w:r>
        <w:rPr>
          <w:rFonts w:hint="eastAsia" w:ascii="仿宋" w:hAnsi="仿宋" w:eastAsia="仿宋" w:cs="仿宋"/>
          <w:color w:val="000000"/>
          <w:sz w:val="32"/>
          <w:szCs w:val="32"/>
        </w:rPr>
        <w:cr/>
      </w:r>
      <w:r>
        <w:rPr>
          <w:rFonts w:hint="eastAsia" w:ascii="仿宋" w:hAnsi="仿宋" w:eastAsia="仿宋" w:cs="仿宋"/>
          <w:color w:val="000000"/>
          <w:sz w:val="32"/>
          <w:szCs w:val="32"/>
        </w:rPr>
        <w:t>（5）协助和督促行政部门做好劳动保护、劳动保险工作，办好职工集体福利事业，改善职工生活；</w:t>
      </w:r>
      <w:r>
        <w:rPr>
          <w:rFonts w:hint="eastAsia" w:ascii="仿宋" w:hAnsi="仿宋" w:eastAsia="仿宋" w:cs="仿宋"/>
          <w:color w:val="000000"/>
          <w:sz w:val="32"/>
          <w:szCs w:val="32"/>
        </w:rPr>
        <w:cr/>
      </w:r>
      <w:r>
        <w:rPr>
          <w:rFonts w:hint="eastAsia" w:ascii="仿宋" w:hAnsi="仿宋" w:eastAsia="仿宋" w:cs="仿宋"/>
          <w:color w:val="000000"/>
          <w:sz w:val="32"/>
          <w:szCs w:val="32"/>
        </w:rPr>
        <w:t>（6）用好工会经费，管好工会财产；</w:t>
      </w:r>
      <w:r>
        <w:rPr>
          <w:rFonts w:hint="eastAsia" w:ascii="仿宋" w:hAnsi="仿宋" w:eastAsia="仿宋" w:cs="仿宋"/>
          <w:color w:val="000000"/>
          <w:sz w:val="32"/>
          <w:szCs w:val="32"/>
        </w:rPr>
        <w:cr/>
      </w:r>
      <w:r>
        <w:rPr>
          <w:rFonts w:hint="eastAsia" w:ascii="仿宋" w:hAnsi="仿宋" w:eastAsia="仿宋" w:cs="仿宋"/>
          <w:color w:val="000000"/>
          <w:sz w:val="32"/>
          <w:szCs w:val="32"/>
        </w:rPr>
        <w:t>（7）承办上级主管部门领导交办的其他工作任务。</w:t>
      </w:r>
      <w:r>
        <w:rPr>
          <w:rFonts w:hint="eastAsia" w:ascii="仿宋" w:hAnsi="仿宋" w:eastAsia="仿宋" w:cs="仿宋"/>
          <w:color w:val="000000"/>
          <w:sz w:val="32"/>
          <w:szCs w:val="32"/>
        </w:rPr>
        <w:cr/>
      </w:r>
      <w:r>
        <w:rPr>
          <w:rFonts w:hint="eastAsia" w:ascii="仿宋" w:hAnsi="仿宋" w:eastAsia="仿宋" w:cs="仿宋"/>
          <w:color w:val="000000"/>
          <w:sz w:val="32"/>
          <w:szCs w:val="32"/>
        </w:rPr>
        <w:t>（二）团委主要职责：</w:t>
      </w:r>
      <w:r>
        <w:rPr>
          <w:rFonts w:hint="eastAsia" w:ascii="仿宋" w:hAnsi="仿宋" w:eastAsia="仿宋" w:cs="仿宋"/>
          <w:color w:val="000000"/>
          <w:sz w:val="32"/>
          <w:szCs w:val="32"/>
        </w:rPr>
        <w:cr/>
      </w:r>
      <w:r>
        <w:rPr>
          <w:rFonts w:hint="eastAsia" w:ascii="仿宋" w:hAnsi="仿宋" w:eastAsia="仿宋" w:cs="仿宋"/>
          <w:color w:val="000000"/>
          <w:sz w:val="32"/>
          <w:szCs w:val="32"/>
        </w:rPr>
        <w:t>（1）以共产主义精神教育青年，帮助青年用先进的思想武装自己，引导广大青年投身于社会主义建设；</w:t>
      </w:r>
      <w:r>
        <w:rPr>
          <w:rFonts w:hint="eastAsia" w:ascii="仿宋" w:hAnsi="仿宋" w:eastAsia="仿宋" w:cs="仿宋"/>
          <w:color w:val="000000"/>
          <w:sz w:val="32"/>
          <w:szCs w:val="32"/>
        </w:rPr>
        <w:cr/>
      </w:r>
      <w:r>
        <w:rPr>
          <w:rFonts w:hint="eastAsia" w:ascii="仿宋" w:hAnsi="仿宋" w:eastAsia="仿宋" w:cs="仿宋"/>
          <w:color w:val="000000"/>
          <w:sz w:val="32"/>
          <w:szCs w:val="32"/>
        </w:rPr>
        <w:t>（2）了解团员的思想、工作情况，并对其进行思想教育和纪律教育；</w:t>
      </w:r>
      <w:r>
        <w:rPr>
          <w:rFonts w:hint="eastAsia" w:ascii="仿宋" w:hAnsi="仿宋" w:eastAsia="仿宋" w:cs="仿宋"/>
          <w:color w:val="000000"/>
          <w:sz w:val="32"/>
          <w:szCs w:val="32"/>
        </w:rPr>
        <w:cr/>
      </w:r>
      <w:r>
        <w:rPr>
          <w:rFonts w:hint="eastAsia" w:ascii="仿宋" w:hAnsi="仿宋" w:eastAsia="仿宋" w:cs="仿宋"/>
          <w:color w:val="000000"/>
          <w:sz w:val="32"/>
          <w:szCs w:val="32"/>
        </w:rPr>
        <w:t>（3）了解掌握各团支部的组织状况，督促、报告、指导基层团支部开展各项工作；</w:t>
      </w:r>
      <w:r>
        <w:rPr>
          <w:rFonts w:hint="eastAsia" w:ascii="仿宋" w:hAnsi="仿宋" w:eastAsia="仿宋" w:cs="仿宋"/>
          <w:color w:val="000000"/>
          <w:sz w:val="32"/>
          <w:szCs w:val="32"/>
        </w:rPr>
        <w:cr/>
      </w:r>
      <w:r>
        <w:rPr>
          <w:rFonts w:hint="eastAsia" w:ascii="仿宋" w:hAnsi="仿宋" w:eastAsia="仿宋" w:cs="仿宋"/>
          <w:color w:val="000000"/>
          <w:sz w:val="32"/>
          <w:szCs w:val="32"/>
        </w:rPr>
        <w:t>（4）搞好团员的统计，转移组织关系，按照规定收缴团费，办理团员的超龄离团手续；</w:t>
      </w:r>
      <w:r>
        <w:rPr>
          <w:rFonts w:hint="eastAsia" w:ascii="仿宋" w:hAnsi="仿宋" w:eastAsia="仿宋" w:cs="仿宋"/>
          <w:color w:val="000000"/>
          <w:sz w:val="32"/>
          <w:szCs w:val="32"/>
        </w:rPr>
        <w:cr/>
      </w:r>
      <w:r>
        <w:rPr>
          <w:rFonts w:hint="eastAsia" w:ascii="仿宋" w:hAnsi="仿宋" w:eastAsia="仿宋" w:cs="仿宋"/>
          <w:color w:val="000000"/>
          <w:sz w:val="32"/>
          <w:szCs w:val="32"/>
        </w:rPr>
        <w:t>（5）组织召开团员代表大会，监督团员行使权利和履行义务；</w:t>
      </w:r>
      <w:r>
        <w:rPr>
          <w:rFonts w:hint="eastAsia" w:ascii="仿宋" w:hAnsi="仿宋" w:eastAsia="仿宋" w:cs="仿宋"/>
          <w:color w:val="000000"/>
          <w:sz w:val="32"/>
          <w:szCs w:val="32"/>
        </w:rPr>
        <w:cr/>
      </w:r>
      <w:r>
        <w:rPr>
          <w:rFonts w:hint="eastAsia" w:ascii="仿宋" w:hAnsi="仿宋" w:eastAsia="仿宋" w:cs="仿宋"/>
          <w:color w:val="000000"/>
          <w:sz w:val="32"/>
          <w:szCs w:val="32"/>
        </w:rPr>
        <w:t>（6）承办领导临时交办的其他工作。</w:t>
      </w:r>
      <w:r>
        <w:rPr>
          <w:rFonts w:hint="eastAsia" w:ascii="仿宋" w:hAnsi="仿宋" w:eastAsia="仿宋" w:cs="仿宋"/>
          <w:color w:val="000000"/>
          <w:sz w:val="32"/>
          <w:szCs w:val="32"/>
        </w:rPr>
        <w:cr/>
      </w:r>
      <w:r>
        <w:rPr>
          <w:rFonts w:hint="eastAsia" w:ascii="仿宋" w:hAnsi="仿宋" w:eastAsia="仿宋" w:cs="仿宋"/>
          <w:color w:val="000000"/>
          <w:sz w:val="32"/>
          <w:szCs w:val="32"/>
        </w:rPr>
        <w:t>（三）妇联主要职责：</w:t>
      </w:r>
      <w:r>
        <w:rPr>
          <w:rFonts w:hint="eastAsia" w:ascii="仿宋" w:hAnsi="仿宋" w:eastAsia="仿宋" w:cs="仿宋"/>
          <w:color w:val="000000"/>
          <w:sz w:val="32"/>
          <w:szCs w:val="32"/>
        </w:rPr>
        <w:cr/>
      </w:r>
      <w:r>
        <w:rPr>
          <w:rFonts w:hint="eastAsia" w:ascii="仿宋" w:hAnsi="仿宋" w:eastAsia="仿宋" w:cs="仿宋"/>
          <w:color w:val="000000"/>
          <w:sz w:val="32"/>
          <w:szCs w:val="32"/>
        </w:rPr>
        <w:t>（1）搞好本级妇联的日常工作；</w:t>
      </w:r>
      <w:r>
        <w:rPr>
          <w:rFonts w:hint="eastAsia" w:ascii="仿宋" w:hAnsi="仿宋" w:eastAsia="仿宋" w:cs="仿宋"/>
          <w:color w:val="000000"/>
          <w:sz w:val="32"/>
          <w:szCs w:val="32"/>
        </w:rPr>
        <w:cr/>
      </w:r>
      <w:r>
        <w:rPr>
          <w:rFonts w:hint="eastAsia" w:ascii="仿宋" w:hAnsi="仿宋" w:eastAsia="仿宋" w:cs="仿宋"/>
          <w:color w:val="000000"/>
          <w:sz w:val="32"/>
          <w:szCs w:val="32"/>
        </w:rPr>
        <w:t>（2）调查研究本级妇女、儿童的情况，发展问题，并及时向上级反映和提出建议；</w:t>
      </w:r>
      <w:r>
        <w:rPr>
          <w:rFonts w:hint="eastAsia" w:ascii="仿宋" w:hAnsi="仿宋" w:eastAsia="仿宋" w:cs="仿宋"/>
          <w:color w:val="000000"/>
          <w:sz w:val="32"/>
          <w:szCs w:val="32"/>
        </w:rPr>
        <w:cr/>
      </w:r>
      <w:r>
        <w:rPr>
          <w:rFonts w:hint="eastAsia" w:ascii="仿宋" w:hAnsi="仿宋" w:eastAsia="仿宋" w:cs="仿宋"/>
          <w:color w:val="000000"/>
          <w:sz w:val="32"/>
          <w:szCs w:val="32"/>
        </w:rPr>
        <w:t>（3）带领妇女积极开展“双学双赛”活动和 “巾帼建功”、“五好文明家庭”等活动，提高妇女思想道德素质、科技文化素质、民主法制素质，弘扬社会公德、职业道德和家庭美德；</w:t>
      </w:r>
      <w:r>
        <w:rPr>
          <w:rFonts w:hint="eastAsia" w:ascii="仿宋" w:hAnsi="仿宋" w:eastAsia="仿宋" w:cs="仿宋"/>
          <w:color w:val="000000"/>
          <w:sz w:val="32"/>
          <w:szCs w:val="32"/>
        </w:rPr>
        <w:cr/>
      </w:r>
      <w:r>
        <w:rPr>
          <w:rFonts w:hint="eastAsia" w:ascii="仿宋" w:hAnsi="仿宋" w:eastAsia="仿宋" w:cs="仿宋"/>
          <w:color w:val="000000"/>
          <w:sz w:val="32"/>
          <w:szCs w:val="32"/>
        </w:rPr>
        <w:t>（4）负责搞好本级妇联的宣传舆论工作。教育、引导广大妇女增强自尊、自强、自信、自立精神，表彰先进，开展职业技术培训和妇女干部的培训，全面提高素质，促进妇女人才的成长；</w:t>
      </w:r>
      <w:r>
        <w:rPr>
          <w:rFonts w:hint="eastAsia" w:ascii="仿宋" w:hAnsi="仿宋" w:eastAsia="仿宋" w:cs="仿宋"/>
          <w:color w:val="000000"/>
          <w:sz w:val="32"/>
          <w:szCs w:val="32"/>
        </w:rPr>
        <w:cr/>
      </w:r>
      <w:r>
        <w:rPr>
          <w:rFonts w:hint="eastAsia" w:ascii="仿宋" w:hAnsi="仿宋" w:eastAsia="仿宋" w:cs="仿宋"/>
          <w:color w:val="000000"/>
          <w:sz w:val="32"/>
          <w:szCs w:val="32"/>
        </w:rPr>
        <w:t>（5）促进妇女参政、议政，维护妇女儿童的合法权益；</w:t>
      </w:r>
      <w:r>
        <w:rPr>
          <w:rFonts w:hint="eastAsia" w:ascii="仿宋" w:hAnsi="仿宋" w:eastAsia="仿宋" w:cs="仿宋"/>
          <w:color w:val="000000"/>
          <w:sz w:val="32"/>
          <w:szCs w:val="32"/>
        </w:rPr>
        <w:cr/>
      </w:r>
      <w:r>
        <w:rPr>
          <w:rFonts w:hint="eastAsia" w:ascii="仿宋" w:hAnsi="仿宋" w:eastAsia="仿宋" w:cs="仿宋"/>
          <w:color w:val="000000"/>
          <w:sz w:val="32"/>
          <w:szCs w:val="32"/>
        </w:rPr>
        <w:t>（6）为妇女儿童服务。加强与社会各界的关系，巩固各族妇女大团结；</w:t>
      </w:r>
      <w:r>
        <w:rPr>
          <w:rFonts w:hint="eastAsia" w:ascii="仿宋" w:hAnsi="仿宋" w:eastAsia="仿宋" w:cs="仿宋"/>
          <w:color w:val="000000"/>
          <w:sz w:val="32"/>
          <w:szCs w:val="32"/>
        </w:rPr>
        <w:cr/>
      </w:r>
      <w:r>
        <w:rPr>
          <w:rFonts w:hint="eastAsia" w:ascii="仿宋" w:hAnsi="仿宋" w:eastAsia="仿宋" w:cs="仿宋"/>
          <w:color w:val="000000"/>
          <w:sz w:val="32"/>
          <w:szCs w:val="32"/>
        </w:rPr>
        <w:t>（7）承办领导临时交办的其他工作。</w:t>
      </w:r>
      <w:r>
        <w:rPr>
          <w:rFonts w:hint="eastAsia" w:ascii="仿宋" w:hAnsi="仿宋" w:eastAsia="仿宋" w:cs="仿宋"/>
          <w:color w:val="000000"/>
          <w:sz w:val="32"/>
          <w:szCs w:val="32"/>
        </w:rPr>
        <w:cr/>
      </w:r>
      <w:r>
        <w:rPr>
          <w:rFonts w:hint="eastAsia" w:ascii="仿宋" w:hAnsi="仿宋" w:eastAsia="仿宋" w:cs="仿宋"/>
          <w:color w:val="000000"/>
          <w:sz w:val="32"/>
          <w:szCs w:val="32"/>
        </w:rPr>
        <w:t>事业机构：</w:t>
      </w:r>
      <w:r>
        <w:rPr>
          <w:rFonts w:hint="eastAsia" w:ascii="仿宋" w:hAnsi="仿宋" w:eastAsia="仿宋" w:cs="仿宋"/>
          <w:color w:val="000000"/>
          <w:sz w:val="32"/>
          <w:szCs w:val="32"/>
        </w:rPr>
        <w:cr/>
      </w:r>
      <w:r>
        <w:rPr>
          <w:rFonts w:hint="eastAsia" w:ascii="仿宋" w:hAnsi="仿宋" w:eastAsia="仿宋" w:cs="仿宋"/>
          <w:color w:val="000000"/>
          <w:sz w:val="32"/>
          <w:szCs w:val="32"/>
        </w:rPr>
        <w:t>南木达镇事业机构设经济发展服务中心和、综合文化中心、就业和社会保障服务中心、社会事业服务中心，为公益性事业单位。</w:t>
      </w:r>
      <w:r>
        <w:rPr>
          <w:rFonts w:hint="eastAsia" w:ascii="仿宋" w:hAnsi="仿宋" w:eastAsia="仿宋" w:cs="仿宋"/>
          <w:color w:val="000000"/>
          <w:sz w:val="32"/>
          <w:szCs w:val="32"/>
        </w:rPr>
        <w:cr/>
      </w:r>
      <w:r>
        <w:rPr>
          <w:rFonts w:hint="eastAsia" w:ascii="仿宋" w:hAnsi="仿宋" w:eastAsia="仿宋" w:cs="仿宋"/>
          <w:color w:val="000000"/>
          <w:sz w:val="32"/>
          <w:szCs w:val="32"/>
        </w:rPr>
        <w:t>（一）经济发展服务中心主要职责</w:t>
      </w:r>
      <w:r>
        <w:rPr>
          <w:rFonts w:hint="eastAsia" w:ascii="仿宋" w:hAnsi="仿宋" w:eastAsia="仿宋" w:cs="仿宋"/>
          <w:color w:val="000000"/>
          <w:sz w:val="32"/>
          <w:szCs w:val="32"/>
        </w:rPr>
        <w:cr/>
      </w:r>
      <w:r>
        <w:rPr>
          <w:rFonts w:hint="eastAsia" w:ascii="仿宋" w:hAnsi="仿宋" w:eastAsia="仿宋" w:cs="仿宋"/>
          <w:color w:val="000000"/>
          <w:sz w:val="32"/>
          <w:szCs w:val="32"/>
        </w:rPr>
        <w:t>贯彻执行党和政府有关经济、财税、统计、经济建设等方面的方针政策和法律法规，并制定发展规划和各项改革措施，监督检查执行情况，并做好本镇经济的调查研究；拟定本镇经济发展规划及编制指导年度计划，检查督促计划任务的完成，并做好目标责任制考核及评比工作；协调各经济组织之间的关系，抓好城镇居民务工、创业、经商等工作，增加城镇居民收入；负责检查、指导、督促辖区内各项安全制度的执行，抓好安全生产监督管理；承担城镇居民的公共培训教育工作。承办镇党委、政府和上级业务部门交办的工作；承办领导临时交办的其他工作。</w:t>
      </w:r>
      <w:r>
        <w:rPr>
          <w:rFonts w:hint="eastAsia" w:ascii="仿宋" w:hAnsi="仿宋" w:eastAsia="仿宋" w:cs="仿宋"/>
          <w:color w:val="000000"/>
          <w:sz w:val="32"/>
          <w:szCs w:val="32"/>
        </w:rPr>
        <w:cr/>
      </w:r>
      <w:r>
        <w:rPr>
          <w:rFonts w:hint="eastAsia" w:ascii="仿宋" w:hAnsi="仿宋" w:eastAsia="仿宋" w:cs="仿宋"/>
          <w:color w:val="000000"/>
          <w:sz w:val="32"/>
          <w:szCs w:val="32"/>
        </w:rPr>
        <w:t>（二）社会事业服务中心主要职责</w:t>
      </w:r>
      <w:r>
        <w:rPr>
          <w:rFonts w:hint="eastAsia" w:ascii="仿宋" w:hAnsi="仿宋" w:eastAsia="仿宋" w:cs="仿宋"/>
          <w:color w:val="000000"/>
          <w:sz w:val="32"/>
          <w:szCs w:val="32"/>
        </w:rPr>
        <w:cr/>
      </w:r>
      <w:r>
        <w:rPr>
          <w:rFonts w:hint="eastAsia" w:ascii="仿宋" w:hAnsi="仿宋" w:eastAsia="仿宋" w:cs="仿宋"/>
          <w:color w:val="000000"/>
          <w:sz w:val="32"/>
          <w:szCs w:val="32"/>
        </w:rPr>
        <w:t>负责计划生育管理、计生协会工作和计划生育工作的技术咨询和指导服务；抓好学前教育、基础教育和成人教育，改善教育设施和办学条件；负责卫生、防疫和妇幼保健等工作；搞好全镇居民低保人员的管理服务、劳动保障和爱国卫生等工作。承担社会发展工作；承办领导临时交办的其他工作。</w:t>
      </w:r>
      <w:r>
        <w:rPr>
          <w:rFonts w:hint="eastAsia" w:ascii="仿宋" w:hAnsi="仿宋" w:eastAsia="仿宋" w:cs="仿宋"/>
          <w:color w:val="000000"/>
          <w:sz w:val="32"/>
          <w:szCs w:val="32"/>
        </w:rPr>
        <w:cr/>
      </w:r>
      <w:r>
        <w:rPr>
          <w:rFonts w:hint="eastAsia" w:ascii="仿宋" w:hAnsi="仿宋" w:eastAsia="仿宋" w:cs="仿宋"/>
          <w:color w:val="000000"/>
          <w:sz w:val="32"/>
          <w:szCs w:val="32"/>
        </w:rPr>
        <w:t>（三）综合文化中心</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负责管理文化体育事业；承担全镇文化建设的指导和服务；承担群众性文化活动和全民健身等体育活动；搜集和整理本辖区内民间文化艺术，培养和发展民间文化人才队伍，保护民族民间文化艺术；本辖区内文化体育场馆、设施的开放管理工作等。</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（四）就业和社会保障服务中心</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负责辖区社会救助、救济工作；做好残疾人管理服务，指挥服务城乡居民养老保险和城乡居民最低生活保障工作；指导服务大骨节病综合防治工作，承担扶贫开发和移民工作；负责农村新型合作医疗服务工作。承担城乡居民就业增收管理服务和培训服务工作承办领导临时接工作任务</w:t>
      </w:r>
    </w:p>
    <w:p w14:paraId="2CF1E803">
      <w:pPr>
        <w:pStyle w:val="4"/>
        <w:ind w:firstLine="640" w:firstLineChars="200"/>
        <w:rPr>
          <w:rFonts w:hint="eastAsia" w:ascii="黑体" w:hAnsi="黑体" w:eastAsia="黑体" w:cs="黑体"/>
          <w:b w:val="0"/>
          <w:bCs/>
          <w:color w:val="000000"/>
        </w:rPr>
      </w:pPr>
      <w:bookmarkStart w:id="22" w:name="_Toc113981011"/>
      <w:bookmarkStart w:id="23" w:name="_Toc111208497"/>
      <w:bookmarkStart w:id="24" w:name="_Toc22056"/>
      <w:bookmarkStart w:id="25" w:name="_Toc15377200"/>
      <w:r>
        <w:rPr>
          <w:rFonts w:hint="eastAsia" w:ascii="黑体" w:hAnsi="黑体" w:eastAsia="黑体" w:cs="黑体"/>
          <w:b w:val="0"/>
          <w:bCs/>
          <w:color w:val="000000"/>
        </w:rPr>
        <w:t>二、机构设置</w:t>
      </w:r>
      <w:bookmarkEnd w:id="22"/>
      <w:bookmarkEnd w:id="23"/>
      <w:bookmarkEnd w:id="24"/>
      <w:bookmarkEnd w:id="25"/>
    </w:p>
    <w:p w14:paraId="35A282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壤塘县岗木达镇人民政府属以及预算单位，无下属二级单位。编制总人数在职43人，其中行政编制22人，行政工勤编制4人，事业编制17人</w:t>
      </w:r>
    </w:p>
    <w:p w14:paraId="5A04B536">
      <w:pPr>
        <w:widowControl/>
        <w:jc w:val="left"/>
        <w:rPr>
          <w:rFonts w:hint="eastAsia" w:ascii="思源黑体 CN Normal" w:hAnsi="思源黑体 CN Normal" w:eastAsia="思源黑体 CN Normal" w:cs="思源黑体 CN Normal"/>
          <w:b/>
          <w:bCs/>
          <w:color w:val="000000"/>
          <w:kern w:val="44"/>
          <w:sz w:val="44"/>
          <w:szCs w:val="44"/>
        </w:rPr>
      </w:pPr>
      <w:r>
        <w:rPr>
          <w:rFonts w:hint="eastAsia" w:ascii="思源黑体 CN Normal" w:hAnsi="思源黑体 CN Normal" w:eastAsia="思源黑体 CN Normal" w:cs="思源黑体 CN Normal"/>
          <w:color w:val="000000"/>
        </w:rPr>
        <w:br w:type="page"/>
      </w:r>
    </w:p>
    <w:p w14:paraId="4DE8AC96">
      <w:pPr>
        <w:pStyle w:val="3"/>
        <w:jc w:val="center"/>
        <w:rPr>
          <w:rFonts w:hint="eastAsia" w:ascii="黑体" w:hAnsi="黑体" w:eastAsia="黑体" w:cs="黑体"/>
          <w:b w:val="0"/>
          <w:bCs w:val="0"/>
        </w:rPr>
      </w:pPr>
      <w:bookmarkStart w:id="26" w:name="_Toc9058"/>
      <w:bookmarkStart w:id="27" w:name="_Toc111208498"/>
      <w:r>
        <w:rPr>
          <w:rFonts w:hint="eastAsia" w:ascii="黑体" w:hAnsi="黑体" w:eastAsia="黑体" w:cs="黑体"/>
          <w:b w:val="0"/>
          <w:bCs w:val="0"/>
        </w:rPr>
        <w:t xml:space="preserve">第二部分 </w:t>
      </w:r>
      <w:r>
        <w:rPr>
          <w:rFonts w:ascii="黑体" w:hAnsi="黑体" w:eastAsia="黑体" w:cs="黑体"/>
          <w:u w:color="auto"/>
        </w:rPr>
        <w:t>2023年度</w:t>
      </w:r>
      <w:r>
        <w:rPr>
          <w:rFonts w:hint="eastAsia" w:ascii="黑体" w:hAnsi="黑体" w:eastAsia="黑体" w:cs="黑体"/>
          <w:b w:val="0"/>
          <w:bCs w:val="0"/>
          <w:lang w:val="en-US" w:eastAsia="zh-CN"/>
        </w:rPr>
        <w:t>部门</w:t>
      </w:r>
      <w:r>
        <w:rPr>
          <w:rFonts w:hint="eastAsia" w:ascii="黑体" w:hAnsi="黑体" w:eastAsia="黑体" w:cs="黑体"/>
          <w:b w:val="0"/>
          <w:bCs w:val="0"/>
        </w:rPr>
        <w:t>决算情况说明</w:t>
      </w:r>
      <w:bookmarkEnd w:id="19"/>
      <w:bookmarkEnd w:id="26"/>
      <w:bookmarkEnd w:id="27"/>
    </w:p>
    <w:p w14:paraId="778F85CC">
      <w:pPr>
        <w:pStyle w:val="4"/>
        <w:ind w:firstLine="640" w:firstLineChars="200"/>
        <w:rPr>
          <w:rFonts w:hint="eastAsia" w:ascii="黑体" w:hAnsi="黑体" w:eastAsia="黑体" w:cs="黑体"/>
          <w:b w:val="0"/>
          <w:bCs/>
          <w:color w:val="000000"/>
        </w:rPr>
      </w:pPr>
      <w:bookmarkStart w:id="28" w:name="_Toc15377205"/>
      <w:bookmarkStart w:id="29" w:name="_Toc19710"/>
      <w:bookmarkStart w:id="30" w:name="_Toc111208499"/>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14:paraId="1B462682">
      <w:pPr>
        <w:spacing w:line="600" w:lineRule="exact"/>
        <w:ind w:firstLine="640" w:firstLineChars="200"/>
        <w:rPr>
          <w:rFonts w:hint="eastAsia" w:ascii="仿宋" w:hAnsi="仿宋" w:eastAsia="仿宋" w:cs="仿宋"/>
          <w:color w:val="000000"/>
          <w:sz w:val="28"/>
          <w:szCs w:val="28"/>
        </w:rPr>
      </w:pPr>
      <w:r>
        <w:rPr>
          <w:rFonts w:hint="eastAsia" w:ascii="仿宋" w:hAnsi="仿宋" w:eastAsia="仿宋" w:cs="仿宋"/>
          <w:color w:val="000000"/>
          <w:sz w:val="32"/>
          <w:szCs w:val="32"/>
        </w:rPr>
        <w:t>2023</w:t>
      </w:r>
      <w:r>
        <w:rPr>
          <w:rFonts w:ascii="仿宋" w:hAnsi="仿宋" w:eastAsia="仿宋" w:cs="仿宋"/>
          <w:color w:val="000000"/>
          <w:sz w:val="32"/>
          <w:u w:color="auto"/>
        </w:rPr>
        <w:t>年度收、支总计均为3045.37</w:t>
      </w:r>
      <w:r>
        <w:rPr>
          <w:rFonts w:hint="eastAsia" w:ascii="仿宋" w:hAnsi="仿宋" w:eastAsia="仿宋" w:cs="仿宋"/>
          <w:color w:val="000000"/>
          <w:sz w:val="32"/>
          <w:szCs w:val="32"/>
        </w:rPr>
        <w:t>万元。与</w:t>
      </w:r>
      <w:r>
        <w:rPr>
          <w:rFonts w:ascii="仿宋" w:hAnsi="仿宋" w:eastAsia="仿宋" w:cs="仿宋"/>
          <w:color w:val="000000"/>
          <w:sz w:val="32"/>
          <w:u w:color="auto"/>
        </w:rPr>
        <w:t>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相比，收、支总计各</w:t>
      </w:r>
      <w:r>
        <w:rPr>
          <w:rFonts w:ascii="仿宋" w:hAnsi="仿宋" w:eastAsia="仿宋" w:cs="仿宋"/>
          <w:color w:val="000000"/>
          <w:sz w:val="32"/>
          <w:u w:color="auto"/>
        </w:rPr>
        <w:t xml:space="preserve">减少1171.04万元，减少27.77%。主要变动原因是人员经费增加、项目资金减少。 </w:t>
      </w:r>
    </w:p>
    <w:p w14:paraId="61134D0D">
      <w:pPr>
        <w:pStyle w:val="6"/>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114300" distR="114300">
            <wp:extent cx="4338955" cy="2423795"/>
            <wp:effectExtent l="5080" t="4445" r="18415" b="1016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590810">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（图1：收、支决算总计变动情况图）</w:t>
      </w:r>
    </w:p>
    <w:p w14:paraId="43B3D363">
      <w:pPr>
        <w:pStyle w:val="4"/>
        <w:ind w:firstLine="640" w:firstLineChars="200"/>
        <w:rPr>
          <w:rFonts w:hint="eastAsia" w:ascii="黑体" w:hAnsi="黑体" w:eastAsia="黑体" w:cs="黑体"/>
          <w:bCs w:val="0"/>
          <w:color w:val="000000"/>
        </w:rPr>
      </w:pPr>
      <w:bookmarkStart w:id="31" w:name="_Toc8125"/>
      <w:bookmarkStart w:id="32" w:name="_Toc15377206"/>
      <w:bookmarkStart w:id="33" w:name="_Toc111208500"/>
      <w:r>
        <w:rPr>
          <w:rFonts w:hint="eastAsia" w:ascii="黑体" w:hAnsi="黑体" w:eastAsia="黑体" w:cs="黑体"/>
          <w:b w:val="0"/>
          <w:bCs/>
          <w:color w:val="000000"/>
        </w:rPr>
        <w:t>二、收入决算情况说明</w:t>
      </w:r>
      <w:bookmarkEnd w:id="31"/>
      <w:bookmarkEnd w:id="32"/>
      <w:bookmarkEnd w:id="33"/>
    </w:p>
    <w:p w14:paraId="7DAB4092">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本年收入合计</w:t>
      </w:r>
      <w:r>
        <w:rPr>
          <w:rFonts w:ascii="仿宋" w:hAnsi="仿宋" w:eastAsia="仿宋" w:cs="仿宋"/>
          <w:color w:val="000000"/>
          <w:sz w:val="32"/>
          <w:u w:color="auto"/>
        </w:rPr>
        <w:t>3045.37万元</w:t>
      </w:r>
      <w:r>
        <w:rPr>
          <w:rFonts w:hint="eastAsia" w:ascii="仿宋" w:hAnsi="仿宋" w:eastAsia="仿宋" w:cs="仿宋"/>
          <w:color w:val="000000"/>
          <w:sz w:val="32"/>
          <w:szCs w:val="32"/>
          <w:lang w:val="en-US" w:eastAsia="zh-CN"/>
        </w:rPr>
        <w:t>，其中:一般公共预算财政拨款收入3045.37万元，占100.00%</w:t>
      </w:r>
      <w:r>
        <w:rPr>
          <w:rFonts w:hint="eastAsia" w:ascii="仿宋" w:hAnsi="仿宋" w:eastAsia="仿宋" w:cs="仿宋"/>
          <w:color w:val="000000"/>
          <w:sz w:val="32"/>
          <w:szCs w:val="32"/>
        </w:rPr>
        <w:t>。</w:t>
      </w:r>
    </w:p>
    <w:p w14:paraId="6E48941D">
      <w:pPr>
        <w:pStyle w:val="19"/>
        <w:ind w:left="1060" w:hanging="640"/>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D541CD">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（图2：收入决算结构图）</w:t>
      </w:r>
    </w:p>
    <w:p w14:paraId="7196F3EB">
      <w:pPr>
        <w:pStyle w:val="4"/>
        <w:ind w:firstLine="640" w:firstLineChars="200"/>
        <w:rPr>
          <w:rFonts w:hint="eastAsia" w:ascii="黑体" w:hAnsi="黑体" w:eastAsia="黑体" w:cs="黑体"/>
          <w:b w:val="0"/>
          <w:bCs/>
          <w:color w:val="000000"/>
        </w:rPr>
      </w:pPr>
      <w:bookmarkStart w:id="34" w:name="_Toc111208501"/>
      <w:bookmarkStart w:id="35" w:name="_Toc15377207"/>
      <w:bookmarkStart w:id="36" w:name="_Toc28283"/>
      <w:r>
        <w:rPr>
          <w:rFonts w:hint="eastAsia" w:ascii="黑体" w:hAnsi="黑体" w:eastAsia="黑体" w:cs="黑体"/>
          <w:b w:val="0"/>
          <w:bCs/>
          <w:color w:val="000000"/>
        </w:rPr>
        <w:t>三、支出决算情况说明</w:t>
      </w:r>
      <w:bookmarkEnd w:id="34"/>
      <w:bookmarkEnd w:id="35"/>
      <w:bookmarkEnd w:id="36"/>
    </w:p>
    <w:p w14:paraId="1753835D">
      <w:pPr>
        <w:pStyle w:val="6"/>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本年支出合计</w:t>
      </w:r>
      <w:r>
        <w:rPr>
          <w:rFonts w:ascii="仿宋" w:hAnsi="仿宋" w:eastAsia="仿宋" w:cs="仿宋"/>
          <w:color w:val="000000"/>
          <w:sz w:val="32"/>
          <w:u w:color="auto"/>
        </w:rPr>
        <w:t>3045.37万元</w:t>
      </w:r>
      <w:r>
        <w:rPr>
          <w:rFonts w:hint="eastAsia" w:ascii="仿宋" w:hAnsi="仿宋" w:eastAsia="仿宋" w:cs="仿宋"/>
          <w:color w:val="000000"/>
          <w:sz w:val="32"/>
          <w:szCs w:val="32"/>
          <w:lang w:val="en-US" w:eastAsia="zh-CN"/>
        </w:rPr>
        <w:t>，其中:基本支出821.08万元，占26.96%；项目支出2224.29万元，占73.04%</w:t>
      </w:r>
      <w:r>
        <w:rPr>
          <w:rFonts w:hint="eastAsia" w:ascii="仿宋" w:hAnsi="仿宋" w:eastAsia="仿宋" w:cs="仿宋"/>
          <w:color w:val="000000"/>
          <w:sz w:val="32"/>
          <w:szCs w:val="32"/>
        </w:rPr>
        <w:t>。</w:t>
      </w:r>
    </w:p>
    <w:p w14:paraId="25194A6F">
      <w:pPr>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7E40098">
      <w:pPr>
        <w:spacing w:line="6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（图3：支出决算结构图）</w:t>
      </w:r>
    </w:p>
    <w:p w14:paraId="0429694F">
      <w:pPr>
        <w:pStyle w:val="4"/>
        <w:ind w:firstLine="640" w:firstLineChars="200"/>
        <w:rPr>
          <w:rFonts w:hint="eastAsia" w:ascii="黑体" w:hAnsi="黑体" w:eastAsia="黑体" w:cs="黑体"/>
          <w:b w:val="0"/>
          <w:bCs/>
          <w:color w:val="000000"/>
        </w:rPr>
      </w:pPr>
      <w:bookmarkStart w:id="37" w:name="_Toc111208502"/>
      <w:bookmarkStart w:id="38" w:name="_Toc15377208"/>
      <w:bookmarkStart w:id="39" w:name="_Toc19521"/>
      <w:r>
        <w:rPr>
          <w:rFonts w:hint="eastAsia" w:ascii="黑体" w:hAnsi="黑体" w:eastAsia="黑体" w:cs="黑体"/>
          <w:b w:val="0"/>
          <w:bCs/>
          <w:color w:val="000000"/>
        </w:rPr>
        <w:t>四、财政拨款收入支出决算总体情况说明</w:t>
      </w:r>
      <w:bookmarkEnd w:id="37"/>
      <w:bookmarkEnd w:id="38"/>
      <w:bookmarkEnd w:id="39"/>
    </w:p>
    <w:p w14:paraId="66D81735">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财政拨款收、支总计均为</w:t>
      </w:r>
      <w:r>
        <w:rPr>
          <w:rFonts w:ascii="仿宋" w:hAnsi="仿宋" w:eastAsia="仿宋" w:cs="仿宋"/>
          <w:color w:val="000000"/>
          <w:sz w:val="32"/>
          <w:u w:color="auto"/>
        </w:rPr>
        <w:t>3045.37万元。与2022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相比，财政拨款收、支总计各</w:t>
      </w:r>
      <w:r>
        <w:rPr>
          <w:rFonts w:ascii="仿宋" w:hAnsi="仿宋" w:eastAsia="仿宋" w:cs="仿宋"/>
          <w:color w:val="000000"/>
          <w:sz w:val="32"/>
          <w:u w:color="auto"/>
        </w:rPr>
        <w:t xml:space="preserve">减少1171.04万元，减少27.77%。主要变动原因是人员经费、项目资金减少。 </w:t>
      </w:r>
    </w:p>
    <w:p w14:paraId="48830107">
      <w:pPr>
        <w:rPr>
          <w:rFonts w:hint="eastAsia" w:ascii="仿宋" w:hAnsi="仿宋" w:eastAsia="仿宋" w:cs="仿宋"/>
          <w:color w:val="000000"/>
          <w:sz w:val="32"/>
          <w:szCs w:val="32"/>
        </w:rPr>
      </w:pPr>
      <w:r>
        <w:rPr>
          <w:rFonts w:hint="eastAsia" w:ascii="仿宋" w:hAnsi="仿宋" w:eastAsia="仿宋" w:cs="仿宋"/>
          <w:color w:val="000000"/>
          <w:sz w:val="32"/>
          <w:szCs w:val="32"/>
        </w:rPr>
        <w:br w:type="page"/>
      </w:r>
    </w:p>
    <w:p w14:paraId="74768A39">
      <w:pPr>
        <w:pStyle w:val="6"/>
        <w:ind w:left="0" w:leftChars="0" w:firstLine="0" w:firstLineChars="0"/>
        <w:jc w:val="left"/>
        <w:rPr>
          <w:rFonts w:hint="eastAsia" w:ascii="思源黑体 CN Normal" w:hAnsi="思源黑体 CN Normal" w:eastAsia="思源黑体 CN Normal" w:cs="思源黑体 CN Normal"/>
          <w:color w:val="000000"/>
          <w:sz w:val="32"/>
          <w:szCs w:val="32"/>
        </w:rPr>
      </w:pPr>
      <w:r>
        <w:rPr>
          <w:rFonts w:hint="eastAsia" w:ascii="思源黑体 CN Normal" w:hAnsi="思源黑体 CN Normal" w:eastAsia="思源黑体 CN Normal" w:cs="思源黑体 CN Normal"/>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9EF256">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（图4：财政拨款收、支决算总计变动情况）</w:t>
      </w:r>
    </w:p>
    <w:p w14:paraId="094987CA">
      <w:pPr>
        <w:pStyle w:val="4"/>
        <w:ind w:firstLine="640" w:firstLineChars="200"/>
        <w:rPr>
          <w:rFonts w:hint="eastAsia" w:ascii="黑体" w:hAnsi="黑体" w:eastAsia="黑体" w:cs="黑体"/>
          <w:b w:val="0"/>
          <w:bCs/>
          <w:color w:val="000000"/>
        </w:rPr>
      </w:pPr>
      <w:bookmarkStart w:id="40" w:name="_Toc15377209"/>
      <w:bookmarkStart w:id="41" w:name="_Toc14368"/>
      <w:bookmarkStart w:id="42" w:name="_Toc111208503"/>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14:paraId="36EE17BD">
      <w:pPr>
        <w:spacing w:line="600" w:lineRule="exact"/>
        <w:ind w:firstLine="643" w:firstLineChars="200"/>
        <w:outlineLvl w:val="2"/>
        <w:rPr>
          <w:rFonts w:hint="eastAsia" w:ascii="仿宋" w:hAnsi="仿宋" w:eastAsia="仿宋" w:cs="仿宋"/>
          <w:b/>
          <w:color w:val="000000"/>
          <w:sz w:val="32"/>
          <w:szCs w:val="32"/>
        </w:rPr>
      </w:pPr>
      <w:bookmarkStart w:id="43" w:name="_Toc15377210"/>
      <w:r>
        <w:rPr>
          <w:rFonts w:hint="eastAsia" w:ascii="仿宋" w:hAnsi="仿宋" w:eastAsia="仿宋" w:cs="仿宋"/>
          <w:b/>
          <w:color w:val="000000"/>
          <w:sz w:val="32"/>
          <w:szCs w:val="32"/>
        </w:rPr>
        <w:t>（一）一般公共预算财政拨款支出决算总体情况</w:t>
      </w:r>
      <w:bookmarkEnd w:id="43"/>
    </w:p>
    <w:p w14:paraId="371C2FB4">
      <w:pPr>
        <w:spacing w:line="600" w:lineRule="exact"/>
        <w:ind w:firstLine="640" w:firstLineChars="200"/>
        <w:rPr>
          <w:rFonts w:hint="eastAsia" w:ascii="思源黑体 CN Normal" w:hAnsi="思源黑体 CN Normal" w:eastAsia="仿宋" w:cs="思源黑体 CN Normal"/>
          <w:b/>
          <w:color w:val="000000"/>
          <w:sz w:val="32"/>
          <w:szCs w:val="32"/>
          <w:lang w:val="en-US" w:eastAsia="zh-CN"/>
        </w:rPr>
      </w:pPr>
      <w:bookmarkStart w:id="44" w:name="_Toc15377211"/>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ascii="仿宋" w:hAnsi="仿宋" w:eastAsia="仿宋" w:cs="仿宋"/>
          <w:color w:val="000000"/>
          <w:sz w:val="32"/>
          <w:u w:color="auto"/>
        </w:rPr>
        <w:t>3045.37万元，占本年支出合计的100.00%。与2022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相比，一般公共预算财政拨款</w:t>
      </w:r>
      <w:r>
        <w:rPr>
          <w:rFonts w:ascii="仿宋" w:hAnsi="仿宋" w:eastAsia="仿宋" w:cs="仿宋"/>
          <w:color w:val="000000"/>
          <w:sz w:val="32"/>
          <w:u w:color="auto"/>
        </w:rPr>
        <w:t xml:space="preserve">减少1171.04万元，减少27.77 %。主要变动原因是人员经费、项目资金减少。 </w:t>
      </w:r>
    </w:p>
    <w:p w14:paraId="1392859B">
      <w:pPr>
        <w:pStyle w:val="6"/>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DE6975">
      <w:pPr>
        <w:spacing w:line="600" w:lineRule="exact"/>
        <w:ind w:firstLine="640" w:firstLineChars="200"/>
        <w:rPr>
          <w:rFonts w:hint="eastAsia" w:ascii="思源黑体 CN Normal" w:hAnsi="思源黑体 CN Normal" w:eastAsia="思源黑体 CN Normal" w:cs="思源黑体 CN Normal"/>
          <w:b/>
          <w:color w:val="000000"/>
          <w:sz w:val="32"/>
          <w:szCs w:val="32"/>
        </w:rPr>
      </w:pPr>
      <w:r>
        <w:rPr>
          <w:rFonts w:hint="eastAsia" w:ascii="仿宋" w:hAnsi="仿宋" w:eastAsia="仿宋" w:cs="仿宋"/>
          <w:color w:val="000000"/>
          <w:sz w:val="32"/>
          <w:szCs w:val="32"/>
        </w:rPr>
        <w:t>（图5：一般公共预算财政拨款支出决算变动情况）</w:t>
      </w:r>
    </w:p>
    <w:p w14:paraId="75A4B7C4">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（二）一般公共预算财政拨款支出决算结构情况</w:t>
      </w:r>
      <w:bookmarkEnd w:id="44"/>
    </w:p>
    <w:p w14:paraId="1E3404D8">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ascii="仿宋" w:hAnsi="仿宋" w:eastAsia="仿宋" w:cs="仿宋"/>
          <w:color w:val="000000"/>
          <w:sz w:val="32"/>
          <w:u w:color="auto"/>
        </w:rPr>
        <w:t>3045.37万元，主要用于以下方面: 一般公共服务支出876.60万元，占28.78%；社会保障和就业支出114.51万元，占3.76%；卫生健康支出38.40万元，占1.26%；农林水支出1540.81万元，占50.60%；交通运输支出0.50万元，占0.02%；商业服务业等支出24.14万元，占0.79%；住房保障支出55.33万元，占1.82%；灾害防治及应急管理支出191.08万元，占6.27%；其他支出204.00万元，占6.70%。</w:t>
      </w:r>
    </w:p>
    <w:p w14:paraId="68BC5887">
      <w:pPr>
        <w:pStyle w:val="6"/>
        <w:rPr>
          <w:rFonts w:hint="eastAsia" w:ascii="思源黑体 CN Normal" w:hAnsi="思源黑体 CN Normal" w:eastAsia="思源黑体 CN Normal" w:cs="思源黑体 CN Normal"/>
        </w:rPr>
      </w:pPr>
      <w:bookmarkStart w:id="45" w:name="_Toc15377212"/>
      <w:r>
        <w:rPr>
          <w:rFonts w:hint="eastAsia" w:ascii="思源黑体 CN Normal" w:hAnsi="思源黑体 CN Normal" w:eastAsia="思源黑体 CN Normal" w:cs="思源黑体 CN Normal"/>
        </w:rPr>
        <w:drawing>
          <wp:inline distT="0" distB="0" distL="0" distR="0">
            <wp:extent cx="4333240" cy="2886075"/>
            <wp:effectExtent l="4445" t="4445" r="5715"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D2F421">
      <w:pPr>
        <w:spacing w:line="600" w:lineRule="exact"/>
        <w:ind w:firstLine="640" w:firstLineChars="200"/>
        <w:jc w:val="center"/>
        <w:rPr>
          <w:rFonts w:hint="eastAsia" w:ascii="思源黑体 CN Normal" w:hAnsi="思源黑体 CN Normal" w:eastAsia="思源黑体 CN Normal" w:cs="思源黑体 CN Normal"/>
        </w:rPr>
      </w:pPr>
      <w:r>
        <w:rPr>
          <w:rFonts w:hint="eastAsia" w:ascii="仿宋" w:hAnsi="仿宋" w:eastAsia="仿宋" w:cs="仿宋"/>
          <w:color w:val="000000"/>
          <w:sz w:val="32"/>
          <w:szCs w:val="32"/>
        </w:rPr>
        <w:t>（图6：一般公共预算财政拨款支出决算结构）</w:t>
      </w:r>
    </w:p>
    <w:p w14:paraId="7B678BDA">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（三）一般公共预算财政拨款支出决算具体情况</w:t>
      </w:r>
      <w:bookmarkEnd w:id="45"/>
    </w:p>
    <w:p w14:paraId="13506E72">
      <w:pPr>
        <w:spacing w:line="600" w:lineRule="exact"/>
        <w:ind w:firstLine="640"/>
        <w:rPr>
          <w:rFonts w:hint="eastAsia" w:ascii="仿宋" w:hAnsi="仿宋" w:eastAsia="仿宋" w:cs="仿宋"/>
          <w:color w:val="000000"/>
          <w:sz w:val="32"/>
          <w:szCs w:val="32"/>
        </w:rPr>
      </w:pPr>
      <w:bookmarkStart w:id="46" w:name="_Toc15377213"/>
      <w:bookmarkStart w:id="47" w:name="_Toc15378460"/>
      <w:bookmarkStart w:id="48" w:name="_Toc15377444"/>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一般公共预算支出决算数为</w:t>
      </w:r>
      <w:r>
        <w:rPr>
          <w:rFonts w:ascii="仿宋" w:hAnsi="仿宋" w:eastAsia="仿宋" w:cs="仿宋"/>
          <w:color w:val="000000"/>
          <w:sz w:val="32"/>
          <w:u w:color="auto"/>
        </w:rPr>
        <w:t>3045.37万元，完成预算100%。其中：</w:t>
      </w:r>
      <w:bookmarkEnd w:id="46"/>
      <w:bookmarkEnd w:id="47"/>
      <w:bookmarkEnd w:id="48"/>
    </w:p>
    <w:p w14:paraId="7AED4EF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1.一般公共服务支出（类）人大事务（款）人大会议（项）:支出决算10.29万元，完成预算100%。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2.一般公共服务支出（类）政府办公厅（室）及相关机构事务（款）行政运行（项）:支出决算631.97万元，完成预算100%。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3.一般公共服务支出（类）政府办公厅（室）及相关机构事务（款）一般行政管理事务（项）:支出决算233.64万元，完成预算100%。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4.一般公共服务支出（类）财政事务（款）其他财政事务支出（项）:支出决算0.70万元，完成预算100%。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5.社会保障和就业支出（类）民政管理事务（款）基层政权建设和社区治理（项）:支出决算19.03万元，完成预算100%。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6.社会保障和就业支出（类）行政事业单位养老支出（款）机关事业单位基本养老保险缴费支出（项）:支出决算63.59万元，完成预算100%。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7.社会保障和就业支出（类）行政事业单位养老支出（款）机关事业单位职业年金缴费支出（项）:支出决算31.79万元，完成预算100%。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8.社会保障和就业支出（类）临时救助（款）临时救助支出（项）:支出决算0.10万元，完成预算100%。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9.卫生健康支出（类）行政事业单位医疗（款）行政单位医疗（项）:支出决算27.96万元，完成预算100%。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10.卫生健康支出（类）行政事业单位医疗（款）公务员医疗补助（项）:支出决算10.44万元，完成预算100%。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11.农林水支出（类）农业农村（款）病虫害控制（项）:支出决算1.15万元，完成预算100%。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12.农林水支出（类）农业农村（款）其他农业农村支出（项）:支出决算0.29万元，完成预算100%。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13.农林水支出（类）水利（款）防汛（项）:支出决算2.00万元，完成预算100%。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14.农林水支出（类）巩固脱贫攻坚成果衔接乡村振兴（款）农村基础设施建设（项）:支出决算876.31万元，完成预算100%。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15.农林水支出（类）巩固脱贫攻坚成果衔接乡村振兴（款）生产发展（项）:支出决算13.36万元，完成预算100%。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16.农林水支出（类）巩固脱贫攻坚成果衔接乡村振兴（款）其他巩固脱贫攻坚成果衔接乡村振兴支出（项）:支出决算380.36万元，完成预算100%。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17.农林水支出（类）农村综合改革（款）对村民委员会和村党支部的补助（项）:支出决算246.17万元，完成预算100%。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18.农林水支出（类）农村综合改革（款）农村综合改革示范试点补助（项）:支出决算21.16万元，完成预算100%。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19.交通运输支出（类）公路水路运输（款）公路和运输安全（项）:支出决算0.50万元，完成预算100%。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20.商业服务业等支出（类）商业流通事务（款）其他商业流通事务支出（项）:支出决算24.14万元，完成预算100%。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21.住房保障支出（类）住房改革支出（款）住房公积金（项）:支出决算52.44万元，完成预算100%。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22.住房保障支出（类）住房改革支出（款）购房补贴（项）:支出决算2.89万元，完成预算100%。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23.灾害防治及应急管理支出（类）自然灾害防治（款）地质灾害防治（项）:支出决算191.08万元，完成预算100%。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24.其他支出（类）其他支出（款）其他支出（项）:支出决算204.00万元，完成预算100%。</w:t>
      </w:r>
    </w:p>
    <w:p w14:paraId="5F1461C4">
      <w:pPr>
        <w:pStyle w:val="4"/>
        <w:ind w:firstLine="640" w:firstLineChars="200"/>
        <w:rPr>
          <w:rFonts w:hint="eastAsia" w:ascii="黑体" w:hAnsi="黑体" w:eastAsia="黑体" w:cs="黑体"/>
          <w:b w:val="0"/>
          <w:color w:val="000000"/>
        </w:rPr>
      </w:pPr>
      <w:bookmarkStart w:id="49" w:name="_Toc15377214"/>
      <w:bookmarkStart w:id="50" w:name="_Toc31578"/>
      <w:bookmarkStart w:id="51" w:name="_Toc111208504"/>
      <w:r>
        <w:rPr>
          <w:rFonts w:hint="eastAsia" w:ascii="黑体" w:hAnsi="黑体" w:eastAsia="黑体" w:cs="黑体"/>
          <w:b w:val="0"/>
          <w:bCs/>
          <w:color w:val="000000"/>
        </w:rPr>
        <w:t>六、一般公共预算财政拨款基本支出决算情况说</w:t>
      </w:r>
      <w:bookmarkEnd w:id="49"/>
      <w:r>
        <w:rPr>
          <w:rFonts w:hint="eastAsia" w:ascii="黑体" w:hAnsi="黑体" w:eastAsia="黑体" w:cs="黑体"/>
          <w:b w:val="0"/>
          <w:bCs/>
          <w:color w:val="000000"/>
        </w:rPr>
        <w:t>明</w:t>
      </w:r>
      <w:bookmarkEnd w:id="50"/>
      <w:bookmarkEnd w:id="51"/>
    </w:p>
    <w:p w14:paraId="5A9F5381">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一般公共预算财政拨款基本支出</w:t>
      </w:r>
      <w:r>
        <w:rPr>
          <w:rFonts w:ascii="仿宋" w:hAnsi="仿宋" w:eastAsia="仿宋" w:cs="仿宋"/>
          <w:color w:val="000000"/>
          <w:sz w:val="32"/>
          <w:u w:color="auto"/>
        </w:rPr>
        <w:t>821.08万元，其中：</w:t>
      </w:r>
    </w:p>
    <w:p w14:paraId="116EF1FA">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人员经费</w:t>
      </w:r>
      <w:r>
        <w:rPr>
          <w:rFonts w:ascii="仿宋" w:hAnsi="仿宋" w:eastAsia="仿宋" w:cs="仿宋"/>
          <w:color w:val="000000"/>
          <w:sz w:val="32"/>
          <w:u w:color="auto"/>
        </w:rPr>
        <w:t>777.42万元，主要包括：基本工资126.01万元、津贴补贴265.79万元、奖金143.86万元、机关事业单位基本养老保险缴费63.59万元、职业年金缴费31.79万元、职工基本医疗保险缴费27.96万元、公务员医疗补助缴费10.44万元、其他社会保障缴费3.62万元、住房公积金52.44万元、生活补助42.57万元、医疗费补助9.35万元。</w:t>
      </w:r>
    </w:p>
    <w:p w14:paraId="39B6CA0F">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公用经费</w:t>
      </w:r>
      <w:r>
        <w:rPr>
          <w:rFonts w:ascii="仿宋" w:hAnsi="仿宋" w:eastAsia="仿宋" w:cs="仿宋"/>
          <w:color w:val="000000"/>
          <w:sz w:val="32"/>
          <w:u w:color="auto"/>
        </w:rPr>
        <w:t>43.66万元，主要包括：办公费9.00万元、印刷费2.70万元、电费3.50万元、邮电费1.88万元、取暖费2.46万元、差旅费2.79万元、维修（护）费4.50万元、会议费0.90万元、培训费0.15万元、劳务费4.99万元、公务用车运行维护费10.80万元。</w:t>
      </w:r>
    </w:p>
    <w:p w14:paraId="151B178E">
      <w:pPr>
        <w:pStyle w:val="4"/>
        <w:ind w:firstLine="640" w:firstLineChars="200"/>
        <w:rPr>
          <w:rFonts w:hint="eastAsia" w:ascii="黑体" w:hAnsi="黑体" w:eastAsia="黑体" w:cs="黑体"/>
          <w:b w:val="0"/>
          <w:bCs/>
          <w:color w:val="000000"/>
        </w:rPr>
      </w:pPr>
      <w:bookmarkStart w:id="52" w:name="_Toc111208505"/>
      <w:bookmarkStart w:id="53" w:name="_Toc6614"/>
      <w:bookmarkStart w:id="54" w:name="_Toc15377215"/>
      <w:r>
        <w:rPr>
          <w:rFonts w:hint="eastAsia" w:ascii="黑体" w:hAnsi="黑体" w:eastAsia="黑体" w:cs="黑体"/>
          <w:b w:val="0"/>
          <w:bCs/>
          <w:color w:val="000000"/>
        </w:rPr>
        <w:t>七、“三公”经费财政拨款支出决算情况说明</w:t>
      </w:r>
      <w:bookmarkEnd w:id="52"/>
      <w:bookmarkEnd w:id="53"/>
      <w:bookmarkEnd w:id="54"/>
    </w:p>
    <w:p w14:paraId="613FE387">
      <w:pPr>
        <w:spacing w:line="600" w:lineRule="exact"/>
        <w:ind w:firstLine="643" w:firstLineChars="200"/>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14:paraId="0C6B4B9F">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“三公”经费财政拨款支出决算为</w:t>
      </w:r>
      <w:r>
        <w:rPr>
          <w:rFonts w:ascii="仿宋" w:hAnsi="仿宋" w:eastAsia="仿宋" w:cs="仿宋"/>
          <w:color w:val="000000"/>
          <w:sz w:val="32"/>
          <w:u w:color="auto"/>
        </w:rPr>
        <w:t>10.80万元，完成预算100.00%，较上年度增加1.10万元，增加11.32%。决算数小于预算数（或与预算数持平）的主要原因是……。</w:t>
      </w:r>
      <w:bookmarkStart w:id="56" w:name="_Toc15377217"/>
    </w:p>
    <w:p w14:paraId="1F750F0C">
      <w:pPr>
        <w:spacing w:line="600" w:lineRule="exact"/>
        <w:ind w:firstLine="640"/>
        <w:rPr>
          <w:rFonts w:hint="eastAsia"/>
        </w:rPr>
      </w:pPr>
      <w:r>
        <w:rPr>
          <w:rFonts w:hint="eastAsia" w:ascii="仿宋" w:hAnsi="仿宋" w:eastAsia="仿宋"/>
          <w:b/>
          <w:color w:val="auto"/>
          <w:sz w:val="32"/>
          <w:szCs w:val="32"/>
          <w:highlight w:val="none"/>
        </w:rPr>
        <w:t>（注：上述“预算”口径为</w:t>
      </w:r>
      <w:r>
        <w:rPr>
          <w:rFonts w:hint="eastAsia" w:ascii="仿宋" w:hAnsi="仿宋" w:eastAsia="仿宋"/>
          <w:b/>
          <w:color w:val="auto"/>
          <w:sz w:val="32"/>
          <w:szCs w:val="32"/>
          <w:highlight w:val="none"/>
          <w:lang w:eastAsia="zh-CN"/>
        </w:rPr>
        <w:t>全年预算</w:t>
      </w:r>
      <w:r>
        <w:rPr>
          <w:rFonts w:hint="eastAsia" w:ascii="仿宋" w:hAnsi="仿宋" w:eastAsia="仿宋"/>
          <w:b/>
          <w:color w:val="auto"/>
          <w:sz w:val="32"/>
          <w:szCs w:val="32"/>
          <w:highlight w:val="none"/>
        </w:rPr>
        <w:t>数，包括</w:t>
      </w:r>
      <w:r>
        <w:rPr>
          <w:rFonts w:hint="eastAsia" w:ascii="仿宋" w:hAnsi="仿宋" w:eastAsia="仿宋"/>
          <w:b/>
          <w:color w:val="auto"/>
          <w:sz w:val="32"/>
          <w:szCs w:val="32"/>
          <w:highlight w:val="none"/>
          <w:lang w:eastAsia="zh-CN"/>
        </w:rPr>
        <w:t>一般公共预算和</w:t>
      </w:r>
      <w:r>
        <w:rPr>
          <w:rFonts w:hint="eastAsia" w:ascii="仿宋" w:hAnsi="仿宋" w:eastAsia="仿宋"/>
          <w:b/>
          <w:color w:val="auto"/>
          <w:sz w:val="32"/>
          <w:szCs w:val="32"/>
          <w:highlight w:val="none"/>
        </w:rPr>
        <w:t>政府性基金</w:t>
      </w:r>
      <w:r>
        <w:rPr>
          <w:rFonts w:hint="eastAsia" w:ascii="仿宋" w:hAnsi="仿宋" w:eastAsia="仿宋"/>
          <w:b/>
          <w:color w:val="auto"/>
          <w:sz w:val="32"/>
          <w:szCs w:val="32"/>
          <w:highlight w:val="none"/>
          <w:lang w:eastAsia="zh-CN"/>
        </w:rPr>
        <w:t>预算财政拨款</w:t>
      </w:r>
      <w:r>
        <w:rPr>
          <w:rFonts w:hint="eastAsia" w:ascii="仿宋" w:hAnsi="仿宋" w:eastAsia="仿宋"/>
          <w:b/>
          <w:color w:val="auto"/>
          <w:sz w:val="32"/>
          <w:szCs w:val="32"/>
          <w:highlight w:val="none"/>
        </w:rPr>
        <w:t>支出决算情况。）</w:t>
      </w:r>
    </w:p>
    <w:p w14:paraId="5BC57BE3">
      <w:pPr>
        <w:spacing w:line="600" w:lineRule="exact"/>
        <w:ind w:firstLine="643"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14:paraId="3F323677">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w:t>
      </w:r>
      <w:r>
        <w:rPr>
          <w:rFonts w:ascii="仿宋" w:hAnsi="仿宋" w:eastAsia="仿宋" w:cs="仿宋"/>
          <w:color w:val="000000"/>
          <w:sz w:val="32"/>
          <w:u w:color="auto"/>
        </w:rPr>
        <w:t>10.80万元，因公出国（境）费支出决算0.00万元，占0.00%；公务用车购置及运行维护费支出决算10.80万元，占100.00%；公务接待费支出决算0.00万元，占0.00%。具体情况如下：</w:t>
      </w:r>
    </w:p>
    <w:p w14:paraId="35A33F8D">
      <w:pPr>
        <w:pStyle w:val="6"/>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793809">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（图7：“三公”经费财政拨款支出结构）</w:t>
      </w:r>
    </w:p>
    <w:p w14:paraId="1E9D76AF">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1.因公出国（境）经费支出</w:t>
      </w:r>
      <w:r>
        <w:rPr>
          <w:rFonts w:hint="eastAsia" w:ascii="仿宋" w:hAnsi="仿宋" w:eastAsia="仿宋" w:cs="仿宋"/>
          <w:color w:val="000000"/>
          <w:sz w:val="32"/>
          <w:szCs w:val="32"/>
        </w:rPr>
        <w:t>0.00</w:t>
      </w:r>
      <w:r>
        <w:rPr>
          <w:rFonts w:ascii="仿宋" w:hAnsi="仿宋" w:eastAsia="仿宋" w:cs="仿宋"/>
          <w:color w:val="000000"/>
          <w:sz w:val="32"/>
          <w:u w:color="auto"/>
        </w:rPr>
        <w:t xml:space="preserve">万元,完成预算100%。全年安排因公出国（境）团组0次，出国（境）0人。因公出国（境）支出决算比2022年增加0.00万元，增加0.00 %。 </w:t>
      </w:r>
    </w:p>
    <w:p w14:paraId="327BF985">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2.公务用车购置及运行维护费支出</w:t>
      </w:r>
      <w:r>
        <w:rPr>
          <w:rFonts w:hint="eastAsia" w:ascii="仿宋" w:hAnsi="仿宋" w:eastAsia="仿宋" w:cs="仿宋"/>
          <w:color w:val="000000"/>
          <w:sz w:val="32"/>
          <w:szCs w:val="32"/>
        </w:rPr>
        <w:t>10.80</w:t>
      </w:r>
      <w:r>
        <w:rPr>
          <w:rFonts w:ascii="仿宋" w:hAnsi="仿宋" w:eastAsia="仿宋" w:cs="仿宋"/>
          <w:color w:val="000000"/>
          <w:sz w:val="32"/>
          <w:u w:color="auto"/>
        </w:rPr>
        <w:t>万元,完成预算100.00%。公务用车购置及运行维护费支出决算比2022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增加1.10</w:t>
      </w:r>
      <w:r>
        <w:rPr>
          <w:rFonts w:ascii="仿宋" w:hAnsi="仿宋" w:eastAsia="仿宋" w:cs="仿宋"/>
          <w:color w:val="000000"/>
          <w:sz w:val="32"/>
          <w:u w:color="auto"/>
        </w:rPr>
        <w:t xml:space="preserve">万元，增加11.32%。主要原因是车辆老化，导致公务用车运行维护费增加。 </w:t>
      </w:r>
    </w:p>
    <w:p w14:paraId="7D2B639A">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其中：</w:t>
      </w:r>
      <w:r>
        <w:rPr>
          <w:rFonts w:hint="eastAsia" w:ascii="仿宋" w:hAnsi="仿宋" w:eastAsia="仿宋" w:cs="仿宋"/>
          <w:b/>
          <w:bCs/>
          <w:color w:val="000000"/>
          <w:sz w:val="32"/>
          <w:szCs w:val="32"/>
        </w:rPr>
        <w:t>公务用车购置支出</w:t>
      </w:r>
      <w:r>
        <w:rPr>
          <w:rFonts w:hint="eastAsia" w:ascii="仿宋" w:hAnsi="仿宋" w:eastAsia="仿宋" w:cs="仿宋"/>
          <w:color w:val="000000"/>
          <w:sz w:val="32"/>
          <w:szCs w:val="32"/>
        </w:rPr>
        <w:t>0.00</w:t>
      </w:r>
      <w:r>
        <w:rPr>
          <w:rFonts w:ascii="仿宋" w:hAnsi="仿宋" w:eastAsia="仿宋" w:cs="仿宋"/>
          <w:color w:val="000000"/>
          <w:sz w:val="32"/>
          <w:u w:color="auto"/>
        </w:rPr>
        <w:t>万元。全年按规定更新购置公务用车0辆，其中：轿车0辆、金额0.00万元，越野车0辆、金额0.00万元，载客汽车0辆、金额0.00万元。截至2023年12月</w:t>
      </w:r>
      <w:r>
        <w:rPr>
          <w:rFonts w:hint="eastAsia" w:ascii="仿宋" w:hAnsi="仿宋" w:eastAsia="仿宋" w:cs="仿宋"/>
          <w:color w:val="000000"/>
          <w:sz w:val="32"/>
          <w:szCs w:val="32"/>
          <w:lang w:val="en-US" w:eastAsia="zh-CN"/>
        </w:rPr>
        <w:t>31日</w:t>
      </w:r>
      <w:r>
        <w:rPr>
          <w:rFonts w:hint="eastAsia" w:ascii="仿宋" w:hAnsi="仿宋" w:eastAsia="仿宋" w:cs="仿宋"/>
          <w:color w:val="000000"/>
          <w:sz w:val="32"/>
          <w:szCs w:val="32"/>
        </w:rPr>
        <w:t>，单位共有公务用车</w:t>
      </w:r>
      <w:r>
        <w:rPr>
          <w:rFonts w:ascii="仿宋" w:hAnsi="仿宋" w:eastAsia="仿宋" w:cs="仿宋"/>
          <w:color w:val="000000"/>
          <w:sz w:val="32"/>
          <w:u w:color="auto"/>
        </w:rPr>
        <w:t>6辆，其中：轿车1辆、越野车4辆、载客汽车0辆</w:t>
      </w:r>
      <w:r>
        <w:rPr>
          <w:rFonts w:hint="eastAsia" w:ascii="仿宋" w:hAnsi="仿宋" w:eastAsia="仿宋" w:cs="仿宋"/>
          <w:color w:val="000000"/>
          <w:sz w:val="32"/>
          <w:szCs w:val="32"/>
          <w:lang w:val="en-US" w:eastAsia="zh-CN"/>
        </w:rPr>
        <w:t>。</w:t>
      </w:r>
    </w:p>
    <w:p w14:paraId="2ED6A1A6">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公务用车运行维护费支出</w:t>
      </w:r>
      <w:r>
        <w:rPr>
          <w:rFonts w:hint="eastAsia" w:ascii="仿宋" w:hAnsi="仿宋" w:eastAsia="仿宋" w:cs="仿宋"/>
          <w:color w:val="000000"/>
          <w:sz w:val="32"/>
          <w:szCs w:val="32"/>
        </w:rPr>
        <w:t>10.80</w:t>
      </w:r>
      <w:r>
        <w:rPr>
          <w:rFonts w:ascii="仿宋" w:hAnsi="仿宋" w:eastAsia="仿宋" w:cs="仿宋"/>
          <w:color w:val="000000"/>
          <w:sz w:val="32"/>
          <w:u w:color="auto"/>
        </w:rPr>
        <w:t xml:space="preserve">万元。主要用于车辆老化，导致公务用车运行维护费增加。 </w:t>
      </w:r>
    </w:p>
    <w:p w14:paraId="2C1431EB">
      <w:pPr>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rPr>
        <w:t>3.公务接待费支出</w:t>
      </w:r>
      <w:r>
        <w:rPr>
          <w:rFonts w:hint="eastAsia" w:ascii="仿宋" w:hAnsi="仿宋" w:eastAsia="仿宋" w:cs="仿宋"/>
          <w:color w:val="000000"/>
          <w:sz w:val="32"/>
          <w:szCs w:val="32"/>
        </w:rPr>
        <w:t>0.00</w:t>
      </w:r>
      <w:r>
        <w:rPr>
          <w:rFonts w:ascii="仿宋" w:hAnsi="仿宋" w:eastAsia="仿宋" w:cs="仿宋"/>
          <w:color w:val="000000"/>
          <w:sz w:val="32"/>
          <w:u w:color="auto"/>
        </w:rPr>
        <w:t>万元，完成预算0.00%。公务接待费支出决算比2022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增加0.00</w:t>
      </w:r>
      <w:r>
        <w:rPr>
          <w:rFonts w:ascii="仿宋" w:hAnsi="仿宋" w:eastAsia="仿宋" w:cs="仿宋"/>
          <w:color w:val="000000"/>
          <w:sz w:val="32"/>
          <w:u w:color="auto"/>
        </w:rPr>
        <w:t>万元，增加0.00%。</w:t>
      </w:r>
      <w:bookmarkStart w:id="57" w:name="_Toc15377218"/>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其中：</w:t>
      </w:r>
    </w:p>
    <w:p w14:paraId="7F3EE578">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国内公务接待支出</w:t>
      </w:r>
      <w:r>
        <w:rPr>
          <w:rFonts w:hint="eastAsia" w:ascii="仿宋" w:hAnsi="仿宋" w:eastAsia="仿宋" w:cs="仿宋"/>
          <w:color w:val="000000"/>
          <w:sz w:val="32"/>
          <w:szCs w:val="32"/>
        </w:rPr>
        <w:t>0.00</w:t>
      </w:r>
      <w:r>
        <w:rPr>
          <w:rFonts w:ascii="仿宋" w:hAnsi="仿宋" w:eastAsia="仿宋" w:cs="仿宋"/>
          <w:color w:val="000000"/>
          <w:sz w:val="32"/>
          <w:u w:color="auto"/>
        </w:rPr>
        <w:t>万元，主要用于……(执行公务、开展业务活动开支的交通费、住宿费、用餐费等)。国内公务接待0批次，0人次（不包括陪同人员），共计支出0.00万元，具体内容包括：…（接待具体项目、金额）。</w:t>
      </w:r>
    </w:p>
    <w:p w14:paraId="662C5F0F">
      <w:pPr>
        <w:pStyle w:val="6"/>
        <w:rPr>
          <w:rFonts w:hint="eastAsia" w:ascii="仿宋" w:hAnsi="仿宋" w:eastAsia="仿宋" w:cs="仿宋"/>
          <w:color w:val="000000"/>
          <w:sz w:val="32"/>
          <w:szCs w:val="32"/>
        </w:rPr>
      </w:pPr>
      <w:r>
        <w:rPr>
          <w:rFonts w:hint="eastAsia" w:ascii="仿宋" w:hAnsi="仿宋" w:eastAsia="仿宋" w:cs="仿宋"/>
          <w:b/>
          <w:bCs/>
          <w:color w:val="000000"/>
          <w:sz w:val="32"/>
          <w:szCs w:val="32"/>
        </w:rPr>
        <w:t>外事接待支出</w:t>
      </w:r>
      <w:r>
        <w:rPr>
          <w:rFonts w:hint="eastAsia" w:ascii="仿宋" w:hAnsi="仿宋" w:eastAsia="仿宋" w:cs="仿宋"/>
          <w:color w:val="000000"/>
          <w:sz w:val="32"/>
          <w:szCs w:val="32"/>
        </w:rPr>
        <w:t>0.00</w:t>
      </w:r>
      <w:r>
        <w:rPr>
          <w:rFonts w:ascii="仿宋" w:hAnsi="仿宋" w:eastAsia="仿宋" w:cs="仿宋"/>
          <w:color w:val="000000"/>
          <w:sz w:val="32"/>
          <w:u w:color="auto"/>
        </w:rPr>
        <w:t>万元，主要用于接待…（具体项目）。外事接待0批次，0人次（不包括陪同人员），共计支出0.00万元。</w:t>
      </w:r>
    </w:p>
    <w:p w14:paraId="5DA11626">
      <w:pPr>
        <w:pStyle w:val="4"/>
        <w:ind w:firstLine="640" w:firstLineChars="200"/>
        <w:rPr>
          <w:rFonts w:hint="eastAsia" w:ascii="黑体" w:hAnsi="黑体" w:eastAsia="黑体" w:cs="黑体"/>
          <w:b w:val="0"/>
          <w:bCs/>
          <w:color w:val="000000"/>
        </w:rPr>
      </w:pPr>
      <w:bookmarkStart w:id="58" w:name="_Toc111208506"/>
      <w:bookmarkStart w:id="59" w:name="_Toc20439"/>
      <w:r>
        <w:rPr>
          <w:rFonts w:hint="eastAsia" w:ascii="黑体" w:hAnsi="黑体" w:eastAsia="黑体" w:cs="黑体"/>
          <w:b w:val="0"/>
          <w:bCs/>
          <w:color w:val="000000"/>
        </w:rPr>
        <w:t>八、政府性基金预算支出决算情况说明</w:t>
      </w:r>
      <w:bookmarkEnd w:id="57"/>
      <w:bookmarkEnd w:id="58"/>
      <w:bookmarkEnd w:id="59"/>
    </w:p>
    <w:p w14:paraId="1C230691">
      <w:pPr>
        <w:spacing w:line="600" w:lineRule="exact"/>
        <w:ind w:firstLine="640"/>
        <w:rPr>
          <w:rFonts w:hint="eastAsia" w:ascii="仿宋" w:hAnsi="仿宋" w:eastAsia="仿宋" w:cs="仿宋"/>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年政府性基金预算拨款支出</w:t>
      </w:r>
      <w:r>
        <w:rPr>
          <w:rFonts w:ascii="仿宋" w:hAnsi="仿宋" w:eastAsia="仿宋" w:cs="仿宋"/>
          <w:color w:val="000000"/>
          <w:sz w:val="32"/>
          <w:u w:color="auto"/>
        </w:rPr>
        <w:t>0.00万元。</w:t>
      </w:r>
      <w:bookmarkStart w:id="60" w:name="_Toc15377219"/>
    </w:p>
    <w:p w14:paraId="79E1D034">
      <w:pPr>
        <w:pStyle w:val="4"/>
        <w:ind w:firstLine="640" w:firstLineChars="200"/>
        <w:rPr>
          <w:rFonts w:hint="eastAsia" w:ascii="黑体" w:hAnsi="黑体" w:eastAsia="黑体" w:cs="黑体"/>
          <w:b w:val="0"/>
          <w:bCs/>
          <w:color w:val="000000"/>
        </w:rPr>
      </w:pPr>
      <w:bookmarkStart w:id="61" w:name="_Toc111208507"/>
      <w:bookmarkStart w:id="62" w:name="_Toc23467"/>
      <w:r>
        <w:rPr>
          <w:rFonts w:hint="eastAsia" w:ascii="黑体" w:hAnsi="黑体" w:eastAsia="黑体" w:cs="黑体"/>
          <w:b w:val="0"/>
          <w:bCs/>
          <w:color w:val="000000"/>
        </w:rPr>
        <w:t>九、国有资本经营预算支出决算情况说明</w:t>
      </w:r>
      <w:bookmarkEnd w:id="60"/>
      <w:bookmarkEnd w:id="61"/>
      <w:bookmarkEnd w:id="62"/>
    </w:p>
    <w:p w14:paraId="04E25F7E">
      <w:pPr>
        <w:spacing w:line="600" w:lineRule="exact"/>
        <w:ind w:firstLine="640"/>
        <w:rPr>
          <w:rFonts w:hint="eastAsia"/>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国有资本经营预算拨款支出</w:t>
      </w:r>
      <w:r>
        <w:rPr>
          <w:rFonts w:ascii="仿宋" w:hAnsi="仿宋" w:eastAsia="仿宋" w:cs="仿宋"/>
          <w:color w:val="000000"/>
          <w:sz w:val="32"/>
          <w:u w:color="auto"/>
        </w:rPr>
        <w:t>0.00万元。</w:t>
      </w:r>
    </w:p>
    <w:p w14:paraId="76FD0E14">
      <w:pPr>
        <w:pStyle w:val="4"/>
        <w:ind w:firstLine="640" w:firstLineChars="200"/>
        <w:rPr>
          <w:rFonts w:hint="eastAsia" w:ascii="黑体" w:hAnsi="黑体" w:eastAsia="黑体" w:cs="黑体"/>
          <w:b w:val="0"/>
          <w:bCs/>
          <w:color w:val="000000"/>
        </w:rPr>
      </w:pPr>
      <w:bookmarkStart w:id="63" w:name="_Toc18455"/>
      <w:bookmarkStart w:id="64" w:name="_Toc111208508"/>
      <w:bookmarkStart w:id="65" w:name="_Toc15377221"/>
      <w:r>
        <w:rPr>
          <w:rFonts w:hint="eastAsia" w:ascii="黑体" w:hAnsi="黑体" w:eastAsia="黑体" w:cs="黑体"/>
          <w:b w:val="0"/>
          <w:bCs/>
          <w:color w:val="000000"/>
        </w:rPr>
        <w:t>十、其他重要事项的情况说明</w:t>
      </w:r>
      <w:bookmarkEnd w:id="63"/>
      <w:bookmarkEnd w:id="64"/>
      <w:bookmarkEnd w:id="65"/>
    </w:p>
    <w:p w14:paraId="019CBB22">
      <w:pPr>
        <w:spacing w:line="600" w:lineRule="exact"/>
        <w:ind w:firstLine="643" w:firstLineChars="200"/>
        <w:outlineLvl w:val="2"/>
        <w:rPr>
          <w:rFonts w:hint="eastAsia" w:ascii="仿宋" w:hAnsi="仿宋" w:eastAsia="仿宋" w:cs="仿宋"/>
          <w:b/>
          <w:color w:val="000000"/>
          <w:sz w:val="32"/>
          <w:szCs w:val="32"/>
        </w:rPr>
      </w:pPr>
      <w:bookmarkStart w:id="66" w:name="_Toc15377222"/>
      <w:r>
        <w:rPr>
          <w:rFonts w:hint="eastAsia" w:ascii="仿宋" w:hAnsi="仿宋" w:eastAsia="仿宋" w:cs="仿宋"/>
          <w:b/>
          <w:color w:val="000000"/>
          <w:sz w:val="32"/>
          <w:szCs w:val="32"/>
        </w:rPr>
        <w:t>（一）机关运行经费支出情况</w:t>
      </w:r>
      <w:bookmarkEnd w:id="66"/>
    </w:p>
    <w:p w14:paraId="527675A8">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，机关运行经费支出</w:t>
      </w:r>
      <w:r>
        <w:rPr>
          <w:rFonts w:ascii="仿宋" w:hAnsi="仿宋" w:eastAsia="仿宋" w:cs="仿宋"/>
          <w:color w:val="000000"/>
          <w:sz w:val="32"/>
          <w:u w:color="auto"/>
        </w:rPr>
        <w:t xml:space="preserve">43.66万元，比2022年增加10.44万元，增加23.92 %。主要原因是人员经费增加（出差、培训等报销费用增加）因此导致相关经费增加。 </w:t>
      </w:r>
    </w:p>
    <w:p w14:paraId="66094D57">
      <w:pPr>
        <w:spacing w:line="600" w:lineRule="exact"/>
        <w:ind w:firstLine="643" w:firstLineChars="200"/>
        <w:outlineLvl w:val="2"/>
        <w:rPr>
          <w:rFonts w:hint="eastAsia" w:ascii="仿宋" w:hAnsi="仿宋" w:eastAsia="仿宋" w:cs="仿宋"/>
          <w:b/>
          <w:color w:val="000000"/>
          <w:sz w:val="32"/>
          <w:szCs w:val="32"/>
        </w:rPr>
      </w:pPr>
      <w:bookmarkStart w:id="67" w:name="_Toc15377223"/>
      <w:r>
        <w:rPr>
          <w:rFonts w:hint="eastAsia" w:ascii="仿宋" w:hAnsi="仿宋" w:eastAsia="仿宋" w:cs="仿宋"/>
          <w:b/>
          <w:color w:val="000000"/>
          <w:sz w:val="32"/>
          <w:szCs w:val="32"/>
        </w:rPr>
        <w:t>（二）政府采购支出情况</w:t>
      </w:r>
      <w:bookmarkEnd w:id="67"/>
    </w:p>
    <w:p w14:paraId="2CEFD7A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，政府采购支出总额</w:t>
      </w:r>
      <w:r>
        <w:rPr>
          <w:rFonts w:ascii="仿宋" w:hAnsi="仿宋" w:eastAsia="仿宋" w:cs="仿宋"/>
          <w:color w:val="000000"/>
          <w:sz w:val="32"/>
          <w:u w:color="auto"/>
        </w:rPr>
        <w:t>0.00万元，其中：政府采购货物支出0.00万元、政府采购工程支出0.00万元、政府采购服务支出0.00万元。授予中小企业合同金额0.00万元，</w:t>
      </w:r>
      <w:r>
        <w:rPr>
          <w:rFonts w:hint="eastAsia" w:ascii="仿宋" w:hAnsi="仿宋" w:eastAsia="仿宋" w:cs="仿宋"/>
          <w:color w:val="000000"/>
          <w:sz w:val="32"/>
          <w:szCs w:val="32"/>
          <w:lang w:val="en-US" w:eastAsia="zh-CN"/>
        </w:rPr>
        <w:t>占政府采购支出总额的</w:t>
      </w:r>
      <w:r>
        <w:rPr>
          <w:rFonts w:ascii="仿宋" w:hAnsi="仿宋" w:eastAsia="仿宋" w:cs="仿宋"/>
          <w:color w:val="000000"/>
          <w:sz w:val="32"/>
          <w:u w:color="auto"/>
        </w:rPr>
        <w:t>0.00%,</w:t>
      </w:r>
      <w:r>
        <w:rPr>
          <w:rFonts w:hint="eastAsia" w:ascii="仿宋" w:hAnsi="仿宋" w:eastAsia="仿宋" w:cs="仿宋"/>
          <w:color w:val="000000"/>
          <w:sz w:val="32"/>
          <w:szCs w:val="32"/>
        </w:rPr>
        <w:t>其中：授予小微企业合同金额</w:t>
      </w:r>
      <w:r>
        <w:rPr>
          <w:rFonts w:ascii="仿宋" w:hAnsi="仿宋" w:eastAsia="仿宋" w:cs="仿宋"/>
          <w:color w:val="000000"/>
          <w:sz w:val="32"/>
          <w:u w:color="auto"/>
        </w:rPr>
        <w:t>0.00万元，占</w:t>
      </w:r>
      <w:r>
        <w:rPr>
          <w:rFonts w:hint="eastAsia" w:ascii="仿宋" w:hAnsi="仿宋" w:eastAsia="仿宋" w:cs="仿宋"/>
          <w:color w:val="000000"/>
          <w:sz w:val="32"/>
          <w:szCs w:val="32"/>
          <w:lang w:val="en-US" w:eastAsia="zh-CN"/>
        </w:rPr>
        <w:t>政府采购支出总额</w:t>
      </w:r>
      <w:r>
        <w:rPr>
          <w:rFonts w:hint="eastAsia" w:ascii="仿宋" w:hAnsi="仿宋" w:eastAsia="仿宋" w:cs="仿宋"/>
          <w:color w:val="000000"/>
          <w:sz w:val="32"/>
          <w:szCs w:val="32"/>
        </w:rPr>
        <w:t>的</w:t>
      </w:r>
      <w:r>
        <w:rPr>
          <w:rFonts w:ascii="仿宋" w:hAnsi="仿宋" w:eastAsia="仿宋" w:cs="仿宋"/>
          <w:color w:val="000000"/>
          <w:sz w:val="32"/>
          <w:u w:color="auto"/>
        </w:rPr>
        <w:t>0.00%。</w:t>
      </w:r>
    </w:p>
    <w:p w14:paraId="12B7C937">
      <w:pPr>
        <w:spacing w:line="600" w:lineRule="exact"/>
        <w:ind w:firstLine="643" w:firstLineChars="200"/>
        <w:outlineLvl w:val="2"/>
        <w:rPr>
          <w:rFonts w:hint="eastAsia" w:ascii="仿宋" w:hAnsi="仿宋" w:eastAsia="仿宋" w:cs="仿宋"/>
          <w:b/>
          <w:color w:val="000000"/>
          <w:sz w:val="32"/>
          <w:szCs w:val="32"/>
        </w:rPr>
      </w:pPr>
      <w:bookmarkStart w:id="68" w:name="_Toc15377224"/>
      <w:r>
        <w:rPr>
          <w:rFonts w:hint="eastAsia" w:ascii="仿宋" w:hAnsi="仿宋" w:eastAsia="仿宋" w:cs="仿宋"/>
          <w:b/>
          <w:color w:val="000000"/>
          <w:sz w:val="32"/>
          <w:szCs w:val="32"/>
        </w:rPr>
        <w:t>（三）国有资产占有使用情况</w:t>
      </w:r>
      <w:bookmarkEnd w:id="68"/>
    </w:p>
    <w:p w14:paraId="17A0ED7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截至</w:t>
      </w:r>
      <w:r>
        <w:rPr>
          <w:rFonts w:ascii="仿宋" w:hAnsi="仿宋" w:eastAsia="仿宋" w:cs="仿宋"/>
          <w:color w:val="000000"/>
          <w:sz w:val="32"/>
          <w:u w:color="auto"/>
        </w:rPr>
        <w:t>2023年12月31日，共有车辆6辆，其中：</w:t>
      </w:r>
      <w:r>
        <w:rPr>
          <w:rFonts w:hint="eastAsia" w:ascii="仿宋_GB2312" w:eastAsia="仿宋_GB2312"/>
          <w:color w:val="auto"/>
          <w:sz w:val="32"/>
          <w:szCs w:val="32"/>
          <w:highlight w:val="none"/>
        </w:rPr>
        <w:t>应急保障用车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lang w:eastAsia="zh-CN"/>
        </w:rPr>
        <w:t>下村、上县</w:t>
      </w:r>
      <w:r>
        <w:rPr>
          <w:rFonts w:hint="eastAsia" w:ascii="仿宋_GB2312" w:eastAsia="仿宋_GB2312"/>
          <w:color w:val="auto"/>
          <w:sz w:val="32"/>
          <w:szCs w:val="32"/>
        </w:rPr>
        <w:t>，开展</w:t>
      </w:r>
      <w:r>
        <w:rPr>
          <w:rFonts w:hint="eastAsia" w:ascii="仿宋_GB2312" w:eastAsia="仿宋_GB2312"/>
          <w:color w:val="auto"/>
          <w:sz w:val="32"/>
          <w:szCs w:val="32"/>
          <w:lang w:eastAsia="zh-CN"/>
        </w:rPr>
        <w:t>乡村振兴</w:t>
      </w:r>
      <w:r>
        <w:rPr>
          <w:rFonts w:hint="eastAsia" w:ascii="仿宋_GB2312" w:eastAsia="仿宋_GB2312"/>
          <w:color w:val="auto"/>
          <w:sz w:val="32"/>
          <w:szCs w:val="32"/>
        </w:rPr>
        <w:t>工作、保障民生等</w:t>
      </w:r>
      <w:r>
        <w:rPr>
          <w:rFonts w:ascii="仿宋" w:hAnsi="仿宋" w:eastAsia="仿宋" w:cs="仿宋"/>
          <w:color w:val="000000"/>
          <w:sz w:val="32"/>
          <w:u w:color="auto"/>
        </w:rPr>
        <w:t>。单价100万元以上专用设备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不含车辆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0</w:t>
      </w:r>
      <w:r>
        <w:rPr>
          <w:rFonts w:ascii="仿宋" w:hAnsi="仿宋" w:eastAsia="仿宋" w:cs="仿宋"/>
          <w:color w:val="000000"/>
          <w:sz w:val="32"/>
          <w:u w:color="auto"/>
        </w:rPr>
        <w:t>台（套）。</w:t>
      </w:r>
    </w:p>
    <w:p w14:paraId="61B1A50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14:paraId="32D83655">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highlight w:val="none"/>
        </w:rPr>
        <w:t>根据预算绩效管理要求，本</w:t>
      </w:r>
      <w:r>
        <w:rPr>
          <w:rFonts w:hint="eastAsia" w:ascii="仿宋_GB2312" w:hAnsi="仿宋_GB2312" w:eastAsia="仿宋_GB2312" w:cs="仿宋_GB2312"/>
          <w:color w:val="000000"/>
          <w:sz w:val="32"/>
          <w:szCs w:val="32"/>
          <w:highlight w:val="none"/>
          <w:lang w:val="en-US" w:eastAsia="zh-CN"/>
        </w:rPr>
        <w:t>单位</w:t>
      </w:r>
      <w:r>
        <w:rPr>
          <w:rFonts w:hint="eastAsia" w:ascii="仿宋_GB2312" w:hAnsi="仿宋_GB2312" w:eastAsia="仿宋_GB2312" w:cs="仿宋_GB2312"/>
          <w:color w:val="000000"/>
          <w:sz w:val="32"/>
          <w:szCs w:val="32"/>
          <w:highlight w:val="none"/>
        </w:rPr>
        <w:t>在202</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年度预算编制阶段，组织开展了预算事前绩效评估，编制了绩效目标</w:t>
      </w:r>
      <w:r>
        <w:rPr>
          <w:rFonts w:hint="eastAsia" w:ascii="仿宋_GB2312" w:hAnsi="仿宋_GB2312" w:eastAsia="仿宋_GB2312" w:cs="仿宋_GB2312"/>
          <w:b w:val="0"/>
          <w:bCs w:val="0"/>
          <w:color w:val="000000"/>
          <w:kern w:val="0"/>
          <w:sz w:val="32"/>
          <w:szCs w:val="32"/>
          <w:lang w:val="en-US" w:eastAsia="zh-CN" w:bidi="ar-SA"/>
        </w:rPr>
        <w:t>坚持把重点项目建设作为落实稳增长、促改革、调结构、惠民生的重要抓手。2023年实施</w:t>
      </w:r>
      <w:r>
        <w:rPr>
          <w:rFonts w:hint="eastAsia" w:ascii="仿宋_GB2312" w:hAnsi="仿宋_GB2312" w:cs="仿宋_GB2312"/>
          <w:b w:val="0"/>
          <w:bCs w:val="0"/>
          <w:color w:val="000000"/>
          <w:kern w:val="0"/>
          <w:sz w:val="32"/>
          <w:szCs w:val="32"/>
          <w:lang w:val="en-US" w:eastAsia="zh-CN" w:bidi="ar-SA"/>
        </w:rPr>
        <w:t>2</w:t>
      </w:r>
      <w:r>
        <w:rPr>
          <w:rFonts w:hint="eastAsia" w:ascii="仿宋_GB2312" w:hAnsi="仿宋_GB2312" w:eastAsia="仿宋_GB2312" w:cs="仿宋_GB2312"/>
          <w:b w:val="0"/>
          <w:bCs w:val="0"/>
          <w:color w:val="000000"/>
          <w:kern w:val="0"/>
          <w:sz w:val="32"/>
          <w:szCs w:val="32"/>
          <w:lang w:val="en-US" w:eastAsia="zh-CN" w:bidi="ar-SA"/>
        </w:rPr>
        <w:t>个项目，村庄基础设施补短项目（涉及阳培、章光、昂柯三个村）、岗木达镇明达村三家园项目皆已完工</w:t>
      </w:r>
      <w:r>
        <w:rPr>
          <w:rFonts w:hint="eastAsia" w:ascii="仿宋_GB2312" w:hAnsi="仿宋_GB2312" w:eastAsia="仿宋_GB2312" w:cs="仿宋_GB2312"/>
          <w:color w:val="000000"/>
          <w:sz w:val="32"/>
          <w:szCs w:val="32"/>
          <w:highlight w:val="none"/>
        </w:rPr>
        <w:t>，积极整合县域产业资源，完善产业基础设施，实现一产提质、二产增收、三产发展。绩效自评报告详见附件。</w:t>
      </w:r>
    </w:p>
    <w:p w14:paraId="40FFFD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SA"/>
        </w:rPr>
      </w:pPr>
    </w:p>
    <w:p w14:paraId="7A1AED01">
      <w:pPr>
        <w:pStyle w:val="3"/>
        <w:jc w:val="center"/>
        <w:rPr>
          <w:rFonts w:hint="eastAsia" w:ascii="黑体" w:hAnsi="黑体" w:eastAsia="黑体" w:cs="黑体"/>
          <w:b w:val="0"/>
          <w:bCs w:val="0"/>
        </w:rPr>
      </w:pPr>
      <w:bookmarkStart w:id="69" w:name="_Toc18122"/>
      <w:bookmarkStart w:id="70" w:name="_Toc15377225"/>
      <w:bookmarkStart w:id="71" w:name="_Toc111208509"/>
      <w:r>
        <w:rPr>
          <w:rFonts w:hint="eastAsia" w:ascii="黑体" w:hAnsi="黑体" w:eastAsia="黑体" w:cs="黑体"/>
          <w:b w:val="0"/>
          <w:bCs w:val="0"/>
        </w:rPr>
        <w:t>第三部分 名词解释</w:t>
      </w:r>
      <w:bookmarkEnd w:id="69"/>
      <w:bookmarkEnd w:id="70"/>
      <w:bookmarkEnd w:id="71"/>
    </w:p>
    <w:p w14:paraId="022F61EC">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1.财政拨款收入：指单位从同级财政部门取得的财政预算资金。</w:t>
      </w:r>
    </w:p>
    <w:p w14:paraId="0CFB853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2.事业收入：指事业单位开展专业业务活动及辅助活动取得的收入。</w:t>
      </w:r>
    </w:p>
    <w:p w14:paraId="616A190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3.经营收入：指事业单位在专业业务活动及其辅助活动之外开展非独立核算经营活动取得的收入</w:t>
      </w:r>
    </w:p>
    <w:p w14:paraId="3F55D9B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4.其他收入：指单位取得的除上述收入以外的各项收入。</w:t>
      </w:r>
    </w:p>
    <w:p w14:paraId="619A9CF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5.使用非财政拨款结余（含专用结余）：指事业单位使用以前年度积累的非财政拨款结余弥补当年收支差额的金额。 </w:t>
      </w:r>
    </w:p>
    <w:p w14:paraId="68EE8AD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6.年初结转和结余：指以前年度尚未完成、结转到本年按有关规定继续使用的资金。 </w:t>
      </w:r>
    </w:p>
    <w:p w14:paraId="0839DE2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7.结余分配：指事业单位按照会计制度规定缴纳的所得税、提取的专用结余以及转入非财政拨款结余的金额等。</w:t>
      </w:r>
    </w:p>
    <w:p w14:paraId="32ED236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8.年末结转和结余：指单位按有关规定结转到下年或以后年度继续使用的资金。</w:t>
      </w:r>
    </w:p>
    <w:p w14:paraId="15C4A990">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9.一般公共服务支出（类）人大事务（款）人大会议（项）:反映各级人大召开人民代表大会等专门会议的支出。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10.一般公共服务支出（类）政府办公厅（室）及相关机构事务（款）行政运行（项）:反映行政单位（包括实行公务员管理的事业单位）的基本支出。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11.一般公共服务支出（类）政府办公厅（室）及相关机构事务（款）一般行政管理事务（项）:反映行政单位（包括实行公务员管理的事业单位）未单独设置项级科目的其他项目支出。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12.一般公共服务支出（类）财政事务（款）其他财政事务支出（项）:反映除上述项目以外其他财政事务方面的支出。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13.社会保障和就业支出（类）民政管理事务（款）基层政权建设和社区治理（项）:反映开展城乡社区治理、城乡社区服务（乡村便民服务）、村（居）民自治、村（居）务公开、乡镇（街道）服务能力建设等基层政权建设和社区治理工作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14.社会保障和就业支出（类）行政事业单位养老支出（款）机关事业单位基本养老保险缴费支出（项）:反映机关事业单位实施养老保险制度由单位缴纳的基本养老保险费支出。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15.社会保障和就业支出（类）行政事业单位养老支出（款）机关事业单位职业年金缴费支出（项）:反映机关事业单位实施养老保险制度由单位实际缴纳的职业年金支出。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16.社会保障和就业支出（类）临时救助（款）临时救助支出（项）:反映用于城乡生活困难居民的临时救助支出。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17.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18.卫生健康支出（类）行政事业单位医疗（款）公务员医疗补助（项）:反映财政部门安排的公务员医疗补助经费。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19.农林水支出（类）农业农村（款）病虫害控制（项）:反映用于病虫鼠害及疫情监测、预报、预防、控制、检疫、防疫所需的仪器、设施、药物、疫苗、种苗，疫畜（禽、鱼、植物）防治、扑杀补偿及劳务补助、菌（毒）种保藏及动植物及其产品检疫、检测等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20.农林水支出（类）农业农村（款）其他农业农村支出（项）:反映除上述项以外其他用于农业农村方面的支出。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21.农林水支出（类）水利（款）防汛（项）:反映防汛业务支出。有关事项包括防汛物资购置管护，防汛通信设施设备、网络系统、车船设备运行维护，防汛值班、水情报汛、防汛指挥系统运行维护、水毁修复以及防汛组织（如防汛预案编制、检査、演习、宣传、会议等），汛期调用民工及劳动保护，水利设施灾后重建，退田还湖，蓄滞洪区补偿、水情、雨情、决策支持，防汛视频会商，应急度汛，山洪灾害防治等。</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22.农林水支出（类）巩固脱贫攻坚成果衔接乡村振兴（款）农村基础设施建设（项）:反映用于农村贫困地区乡村道路、住房、基本农田、水利设施、人畜饮水、生态环境保护等生产生活条件改善方面的支出。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23.农林水支出（类）巩固脱贫攻坚成果衔接乡村振兴（款）生产发展（项）:反映用于农村贫困地区发展种植业、养殖业、畜牧业、农副产品加工、林果地建设等生产发展项目以及相关技术推广等方面的项目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24.农林水支出（类）巩固脱贫攻坚成果衔接乡村振兴（款）其他巩固脱贫攻坚成果衔接乡村振兴支出（项）:反映除上述项目以外其他用于扶贫方面的支出。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25.农林水支出（类）农村综合改革（款）对村民委员会和村党支部的补助（项）:反映各级财政对村民委员会和村党支部的补助支出，以及支持建立县级基本财力保障机制安排的村级组织运转奖补资金。</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26.农林水支出（类）农村综合改革（款）农村综合改革示范试点补助（项）:反映各级财政对农村综合改革示范试点、新型农业社会化服务体系建设等补助支出。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27.交通运输支出（类）公路水路运输（款）公路和运输安全（项）:反映公路和运输安全支出。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28.商业服务业等支出（类）商业流通事务（款）其他商业流通事务支出（项）:反映除上述项目以外其他用于商业流通事务方面的支出。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29.住房保障支出（类）住房改革支出（款）住房公积金（项）:反映行政事业单位按人力资源和社会保障部、财政部规定的基本工资和津贴补贴以及规定比例为职工缴纳的住房公积金。</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30.住房保障支出（类）住房改革支出（款）购房补贴（项）:反映按房改政策规定，行政事业单位向符合条件职工（含离退休人员）、军队（含武警）向转役复员离退休人员发放的用于购买住房的补贴。</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31.灾害防治及应急管理支出（类）自然灾害防治（款）地质灾害防治（项）:反映防治地质灾害方面的支出。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32.其他支出（类）其他支出（款）其他支出（项）:无文字说明。</w:t>
      </w:r>
    </w:p>
    <w:p w14:paraId="773E015D">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33</w:t>
      </w:r>
      <w:r>
        <w:rPr>
          <w:rFonts w:ascii="仿宋" w:hAnsi="仿宋" w:eastAsia="仿宋" w:cs="仿宋"/>
          <w:color w:val="000000"/>
          <w:sz w:val="32"/>
          <w:u w:color="auto"/>
        </w:rPr>
        <w:t>.基本支出：指为保障机构正常运转、完成日常工作任务而发生的人员支出和公用支出。</w:t>
      </w:r>
    </w:p>
    <w:p w14:paraId="0010CAE3">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34</w:t>
      </w:r>
      <w:r>
        <w:rPr>
          <w:rFonts w:ascii="仿宋" w:hAnsi="仿宋" w:eastAsia="仿宋" w:cs="仿宋"/>
          <w:color w:val="000000"/>
          <w:sz w:val="32"/>
          <w:u w:color="auto"/>
        </w:rPr>
        <w:t xml:space="preserve">.项目支出：指在基本支出之外为完成特定行政任务和事业发展目标所发生的支出。 </w:t>
      </w:r>
    </w:p>
    <w:p w14:paraId="77C94036">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35</w:t>
      </w:r>
      <w:r>
        <w:rPr>
          <w:rFonts w:ascii="仿宋" w:hAnsi="仿宋" w:eastAsia="仿宋" w:cs="仿宋"/>
          <w:color w:val="000000"/>
          <w:sz w:val="32"/>
          <w:u w:color="auto"/>
        </w:rPr>
        <w:t>.经营支出：指事业单位在专业业务活动及其辅助活动之外开展非独立核算经营活动发生的支出。</w:t>
      </w:r>
    </w:p>
    <w:p w14:paraId="2180527E">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36</w:t>
      </w:r>
      <w:r>
        <w:rPr>
          <w:rFonts w:ascii="仿宋" w:hAnsi="仿宋" w:eastAsia="仿宋" w:cs="仿宋"/>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F45032">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37</w:t>
      </w:r>
      <w:r>
        <w:rPr>
          <w:rFonts w:ascii="仿宋" w:hAnsi="仿宋" w:eastAsia="仿宋" w:cs="仿宋"/>
          <w:color w:val="000000"/>
          <w:sz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E326A87">
      <w:pPr>
        <w:spacing w:line="600" w:lineRule="exact"/>
        <w:ind w:firstLine="640"/>
        <w:rPr>
          <w:rFonts w:hint="eastAsia" w:ascii="仿宋" w:hAnsi="仿宋" w:eastAsia="仿宋" w:cs="仿宋"/>
          <w:sz w:val="32"/>
          <w:szCs w:val="32"/>
        </w:rPr>
      </w:pPr>
      <w:r>
        <w:rPr>
          <w:rFonts w:hint="eastAsia" w:ascii="仿宋" w:hAnsi="仿宋" w:eastAsia="仿宋" w:cs="仿宋"/>
          <w:color w:val="000000"/>
          <w:sz w:val="32"/>
          <w:szCs w:val="32"/>
        </w:rPr>
        <w:t>38</w:t>
      </w:r>
      <w:r>
        <w:rPr>
          <w:rFonts w:ascii="仿宋" w:hAnsi="仿宋" w:eastAsia="仿宋" w:cs="仿宋"/>
          <w:color w:val="000000"/>
          <w:sz w:val="32"/>
          <w:u w:color="auto"/>
        </w:rPr>
        <w:t>.财政应返还额度：为行政事业单位会计核算科目，用于核算实行国库集中支付的行政事业单位应收财政返还的资金额度。</w:t>
      </w:r>
    </w:p>
    <w:p w14:paraId="2D3D8A8E">
      <w:pPr>
        <w:widowControl/>
        <w:jc w:val="left"/>
        <w:rPr>
          <w:rStyle w:val="36"/>
          <w:rFonts w:hint="eastAsia" w:ascii="思源黑体 CN Normal" w:hAnsi="思源黑体 CN Normal" w:eastAsia="思源黑体 CN Normal" w:cs="思源黑体 CN Normal"/>
        </w:rPr>
      </w:pPr>
      <w:r>
        <w:rPr>
          <w:rStyle w:val="36"/>
          <w:rFonts w:hint="eastAsia" w:ascii="思源黑体 CN Normal" w:hAnsi="思源黑体 CN Normal" w:eastAsia="思源黑体 CN Normal" w:cs="思源黑体 CN Normal"/>
        </w:rPr>
        <w:br w:type="page"/>
      </w:r>
    </w:p>
    <w:p w14:paraId="688B1ABB">
      <w:pPr>
        <w:pStyle w:val="44"/>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color w:val="auto"/>
          <w:kern w:val="2"/>
          <w:sz w:val="36"/>
          <w:szCs w:val="36"/>
        </w:rPr>
      </w:pPr>
      <w:r>
        <w:rPr>
          <w:rFonts w:hint="eastAsia" w:ascii="方正小标宋_GBK" w:hAnsi="方正小标宋_GBK" w:eastAsia="方正小标宋_GBK" w:cs="方正小标宋_GBK"/>
          <w:sz w:val="36"/>
          <w:szCs w:val="36"/>
          <w:lang w:val="en-US" w:eastAsia="zh-CN"/>
        </w:rPr>
        <w:t>岗木达镇村庄基础设施补短项目</w:t>
      </w:r>
      <w:r>
        <w:rPr>
          <w:rFonts w:hint="eastAsia" w:ascii="方正小标宋_GBK" w:hAnsi="方正小标宋_GBK" w:eastAsia="方正小标宋_GBK" w:cs="方正小标宋_GBK"/>
          <w:sz w:val="36"/>
          <w:szCs w:val="36"/>
          <w:lang w:eastAsia="zh-CN"/>
        </w:rPr>
        <w:t>支出</w:t>
      </w:r>
      <w:r>
        <w:rPr>
          <w:rFonts w:hint="eastAsia" w:ascii="方正小标宋_GBK" w:hAnsi="方正小标宋_GBK" w:eastAsia="方正小标宋_GBK" w:cs="方正小标宋_GBK"/>
          <w:sz w:val="36"/>
          <w:szCs w:val="36"/>
        </w:rPr>
        <w:t>绩效自评报告</w:t>
      </w:r>
    </w:p>
    <w:p w14:paraId="0EA7A32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2312" w:hAnsi="方正仿宋_GB2312" w:eastAsia="方正仿宋_GB2312" w:cs="方正仿宋_GB2312"/>
          <w:b/>
          <w:bCs/>
          <w:kern w:val="2"/>
          <w:sz w:val="32"/>
          <w:szCs w:val="32"/>
          <w:lang w:val="en-US" w:eastAsia="zh-CN" w:bidi="ar-SA"/>
        </w:rPr>
      </w:pPr>
    </w:p>
    <w:p w14:paraId="7A06C70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2312" w:hAnsi="方正仿宋_GB2312" w:eastAsia="方正仿宋_GB2312" w:cs="方正仿宋_GB2312"/>
          <w:b/>
          <w:bCs/>
          <w:kern w:val="2"/>
          <w:sz w:val="32"/>
          <w:szCs w:val="32"/>
          <w:lang w:val="zh-CN" w:eastAsia="zh-CN" w:bidi="ar-SA"/>
        </w:rPr>
      </w:pPr>
      <w:r>
        <w:rPr>
          <w:rFonts w:hint="eastAsia" w:ascii="方正仿宋_GB2312" w:hAnsi="方正仿宋_GB2312" w:eastAsia="方正仿宋_GB2312" w:cs="方正仿宋_GB2312"/>
          <w:b/>
          <w:bCs/>
          <w:kern w:val="2"/>
          <w:sz w:val="32"/>
          <w:szCs w:val="32"/>
          <w:lang w:val="en-US" w:eastAsia="zh-CN" w:bidi="ar-SA"/>
        </w:rPr>
        <w:t>一、</w:t>
      </w:r>
      <w:r>
        <w:rPr>
          <w:rFonts w:hint="eastAsia" w:ascii="方正仿宋_GB2312" w:hAnsi="方正仿宋_GB2312" w:eastAsia="方正仿宋_GB2312" w:cs="方正仿宋_GB2312"/>
          <w:b/>
          <w:bCs/>
          <w:kern w:val="2"/>
          <w:sz w:val="32"/>
          <w:szCs w:val="32"/>
          <w:lang w:val="zh-CN" w:eastAsia="zh-CN" w:bidi="ar-SA"/>
        </w:rPr>
        <w:t>项目概况</w:t>
      </w:r>
    </w:p>
    <w:p w14:paraId="08368748">
      <w:pPr>
        <w:pStyle w:val="9"/>
        <w:keepNext w:val="0"/>
        <w:keepLines w:val="0"/>
        <w:pageBreakBefore w:val="0"/>
        <w:widowControl w:val="0"/>
        <w:kinsoku/>
        <w:wordWrap/>
        <w:overflowPunct/>
        <w:topLinePunct w:val="0"/>
        <w:autoSpaceDE/>
        <w:autoSpaceDN/>
        <w:bidi w:val="0"/>
        <w:spacing w:line="560" w:lineRule="exact"/>
        <w:ind w:firstLine="321" w:firstLineChars="100"/>
        <w:textAlignment w:val="auto"/>
        <w:rPr>
          <w:rFonts w:hint="eastAsia" w:ascii="方正仿宋_GB2312" w:hAnsi="方正仿宋_GB2312" w:eastAsia="方正仿宋_GB2312" w:cs="方正仿宋_GB2312"/>
          <w:b/>
          <w:bCs/>
        </w:rPr>
      </w:pPr>
      <w:r>
        <w:rPr>
          <w:rFonts w:hint="eastAsia" w:ascii="方正仿宋_GB2312" w:hAnsi="方正仿宋_GB2312" w:eastAsia="方正仿宋_GB2312" w:cs="方正仿宋_GB2312"/>
          <w:b/>
          <w:bCs/>
        </w:rPr>
        <w:t>（</w:t>
      </w:r>
      <w:r>
        <w:rPr>
          <w:rFonts w:hint="eastAsia" w:ascii="方正仿宋_GB2312" w:hAnsi="方正仿宋_GB2312" w:eastAsia="方正仿宋_GB2312" w:cs="方正仿宋_GB2312"/>
          <w:b/>
          <w:bCs/>
          <w:lang w:val="en-US" w:eastAsia="zh-CN"/>
        </w:rPr>
        <w:t>一</w:t>
      </w:r>
      <w:r>
        <w:rPr>
          <w:rFonts w:hint="eastAsia" w:ascii="方正仿宋_GB2312" w:hAnsi="方正仿宋_GB2312" w:eastAsia="方正仿宋_GB2312" w:cs="方正仿宋_GB2312"/>
          <w:b/>
          <w:bCs/>
        </w:rPr>
        <w:t>）项目申报及批复情况。</w:t>
      </w:r>
    </w:p>
    <w:p w14:paraId="74E36A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Cs w:val="32"/>
          <w:lang w:eastAsia="zh-CN"/>
        </w:rPr>
      </w:pPr>
      <w:r>
        <w:rPr>
          <w:rFonts w:hint="eastAsia" w:ascii="方正仿宋_GB2312" w:hAnsi="方正仿宋_GB2312" w:eastAsia="方正仿宋_GB2312" w:cs="方正仿宋_GB2312"/>
          <w:szCs w:val="32"/>
        </w:rPr>
        <w:t>该项目根据</w:t>
      </w:r>
      <w:r>
        <w:rPr>
          <w:rFonts w:hint="eastAsia" w:ascii="方正仿宋_GB2312" w:hAnsi="方正仿宋_GB2312" w:eastAsia="方正仿宋_GB2312" w:cs="方正仿宋_GB2312"/>
          <w:szCs w:val="32"/>
          <w:lang w:eastAsia="zh-CN"/>
        </w:rPr>
        <w:t>《</w:t>
      </w:r>
      <w:r>
        <w:rPr>
          <w:rFonts w:hint="eastAsia" w:ascii="方正仿宋_GB2312" w:hAnsi="方正仿宋_GB2312" w:eastAsia="方正仿宋_GB2312" w:cs="方正仿宋_GB2312"/>
          <w:szCs w:val="32"/>
          <w:lang w:val="en-US" w:eastAsia="zh-CN"/>
        </w:rPr>
        <w:t>壤塘县发展和改革局关于审批岗木达镇村庄基础设施补短项目可行性研究报告的批复》壤发改行审[2023]65号</w:t>
      </w:r>
      <w:r>
        <w:rPr>
          <w:rFonts w:hint="eastAsia" w:ascii="方正仿宋_GB2312" w:hAnsi="方正仿宋_GB2312" w:eastAsia="方正仿宋_GB2312" w:cs="方正仿宋_GB2312"/>
          <w:szCs w:val="32"/>
        </w:rPr>
        <w:t>，</w:t>
      </w:r>
      <w:r>
        <w:rPr>
          <w:rFonts w:hint="eastAsia" w:ascii="方正仿宋_GB2312" w:hAnsi="方正仿宋_GB2312" w:eastAsia="方正仿宋_GB2312" w:cs="方正仿宋_GB2312"/>
          <w:szCs w:val="32"/>
          <w:lang w:val="en-US" w:eastAsia="zh-CN"/>
        </w:rPr>
        <w:t>安排资金590万元其中县级涉农整合资金590万元</w:t>
      </w:r>
      <w:r>
        <w:rPr>
          <w:rFonts w:hint="eastAsia" w:ascii="方正仿宋_GB2312" w:hAnsi="方正仿宋_GB2312" w:eastAsia="方正仿宋_GB2312" w:cs="方正仿宋_GB2312"/>
          <w:szCs w:val="32"/>
          <w:lang w:eastAsia="zh-CN"/>
        </w:rPr>
        <w:t>。</w:t>
      </w:r>
    </w:p>
    <w:p w14:paraId="1A0203F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仿宋_GB2312" w:hAnsi="方正仿宋_GB2312" w:eastAsia="方正仿宋_GB2312" w:cs="方正仿宋_GB2312"/>
          <w:b/>
          <w:bCs/>
          <w:szCs w:val="32"/>
        </w:rPr>
      </w:pPr>
      <w:r>
        <w:rPr>
          <w:rFonts w:hint="eastAsia" w:ascii="方正仿宋_GB2312" w:hAnsi="方正仿宋_GB2312" w:eastAsia="方正仿宋_GB2312" w:cs="方正仿宋_GB2312"/>
          <w:b/>
          <w:bCs/>
          <w:szCs w:val="32"/>
        </w:rPr>
        <w:t>（二）项目建设任务完成情况。</w:t>
      </w:r>
    </w:p>
    <w:p w14:paraId="4A4339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该项目建设主要内容包括：</w:t>
      </w:r>
      <w:r>
        <w:rPr>
          <w:rFonts w:hint="eastAsia" w:ascii="方正仿宋_GB2312" w:hAnsi="方正仿宋_GB2312" w:eastAsia="方正仿宋_GB2312" w:cs="方正仿宋_GB2312"/>
          <w:szCs w:val="32"/>
          <w:lang w:val="en-US" w:eastAsia="zh-CN"/>
        </w:rPr>
        <w:t>路面维修约5200平方米，排水沟1200米，防护工程6000立方米</w:t>
      </w:r>
      <w:r>
        <w:rPr>
          <w:rFonts w:hint="eastAsia" w:ascii="仿宋" w:hAnsi="仿宋" w:eastAsia="仿宋" w:cs="仿宋"/>
          <w:spacing w:val="5"/>
          <w:sz w:val="31"/>
          <w:szCs w:val="31"/>
          <w:lang w:val="en-US" w:eastAsia="zh-CN"/>
        </w:rPr>
        <w:t>。</w:t>
      </w:r>
    </w:p>
    <w:p w14:paraId="3455AE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项目于</w:t>
      </w:r>
      <w:r>
        <w:rPr>
          <w:rFonts w:hint="eastAsia" w:ascii="方正仿宋_GB2312" w:hAnsi="方正仿宋_GB2312" w:eastAsia="方正仿宋_GB2312" w:cs="方正仿宋_GB2312"/>
          <w:spacing w:val="-20"/>
          <w:szCs w:val="32"/>
          <w:lang w:val="en-US" w:eastAsia="zh-CN"/>
        </w:rPr>
        <w:t>2023年9月完成</w:t>
      </w:r>
      <w:r>
        <w:rPr>
          <w:rFonts w:hint="eastAsia" w:ascii="方正仿宋_GB2312" w:hAnsi="方正仿宋_GB2312" w:eastAsia="方正仿宋_GB2312" w:cs="方正仿宋_GB2312"/>
          <w:szCs w:val="32"/>
        </w:rPr>
        <w:t>验收合格。</w:t>
      </w:r>
    </w:p>
    <w:p w14:paraId="6919886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仿宋_GB2312" w:hAnsi="方正仿宋_GB2312" w:eastAsia="方正仿宋_GB2312" w:cs="方正仿宋_GB2312"/>
          <w:b/>
          <w:bCs/>
          <w:szCs w:val="32"/>
        </w:rPr>
      </w:pPr>
      <w:r>
        <w:rPr>
          <w:rFonts w:hint="eastAsia" w:ascii="方正仿宋_GB2312" w:hAnsi="方正仿宋_GB2312" w:eastAsia="方正仿宋_GB2312" w:cs="方正仿宋_GB2312"/>
          <w:b/>
          <w:bCs/>
          <w:szCs w:val="32"/>
        </w:rPr>
        <w:t>（三）项目资金申报相符性。</w:t>
      </w:r>
    </w:p>
    <w:p w14:paraId="5E21B3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项目申报内容与具体实施内容相符，申报目标合理可行。</w:t>
      </w:r>
    </w:p>
    <w:p w14:paraId="71930F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二、项目实施</w:t>
      </w:r>
    </w:p>
    <w:p w14:paraId="1F61BAC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仿宋_GB2312" w:hAnsi="方正仿宋_GB2312" w:eastAsia="方正仿宋_GB2312" w:cs="方正仿宋_GB2312"/>
          <w:b/>
          <w:bCs/>
          <w:szCs w:val="32"/>
        </w:rPr>
      </w:pPr>
      <w:r>
        <w:rPr>
          <w:rFonts w:hint="eastAsia" w:ascii="方正仿宋_GB2312" w:hAnsi="方正仿宋_GB2312" w:eastAsia="方正仿宋_GB2312" w:cs="方正仿宋_GB2312"/>
          <w:b/>
          <w:bCs/>
          <w:szCs w:val="32"/>
        </w:rPr>
        <w:t>（一）项目组织实施情况。</w:t>
      </w:r>
    </w:p>
    <w:p w14:paraId="6358D2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lang w:val="en-US" w:eastAsia="zh-CN"/>
        </w:rPr>
        <w:t>岗木达镇村庄基础设施补短项目</w:t>
      </w:r>
      <w:r>
        <w:rPr>
          <w:rFonts w:hint="eastAsia" w:ascii="方正仿宋_GB2312" w:hAnsi="方正仿宋_GB2312" w:eastAsia="方正仿宋_GB2312" w:cs="方正仿宋_GB2312"/>
          <w:szCs w:val="32"/>
        </w:rPr>
        <w:t>严格按照国家相关法律法规和招投标程序进行</w:t>
      </w:r>
      <w:r>
        <w:rPr>
          <w:rFonts w:hint="eastAsia" w:ascii="方正仿宋_GB2312" w:hAnsi="方正仿宋_GB2312" w:eastAsia="方正仿宋_GB2312" w:cs="方正仿宋_GB2312"/>
          <w:spacing w:val="-20"/>
          <w:szCs w:val="32"/>
          <w:lang w:val="en-US" w:eastAsia="zh-CN"/>
        </w:rPr>
        <w:t>公开招标</w:t>
      </w:r>
      <w:r>
        <w:rPr>
          <w:rFonts w:hint="eastAsia" w:ascii="方正仿宋_GB2312" w:hAnsi="方正仿宋_GB2312" w:eastAsia="方正仿宋_GB2312" w:cs="方正仿宋_GB2312"/>
          <w:szCs w:val="32"/>
        </w:rPr>
        <w:t>。</w:t>
      </w:r>
    </w:p>
    <w:p w14:paraId="5BD649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Cs w:val="32"/>
        </w:rPr>
      </w:pPr>
    </w:p>
    <w:p w14:paraId="71CECE5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仿宋_GB2312" w:hAnsi="方正仿宋_GB2312" w:eastAsia="方正仿宋_GB2312" w:cs="方正仿宋_GB2312"/>
          <w:b/>
          <w:bCs/>
          <w:szCs w:val="32"/>
        </w:rPr>
      </w:pPr>
      <w:r>
        <w:rPr>
          <w:rFonts w:hint="eastAsia" w:ascii="方正仿宋_GB2312" w:hAnsi="方正仿宋_GB2312" w:eastAsia="方正仿宋_GB2312" w:cs="方正仿宋_GB2312"/>
          <w:b/>
          <w:bCs/>
          <w:szCs w:val="32"/>
        </w:rPr>
        <w:t>（二）资金计划、到位及使用情况。</w:t>
      </w:r>
    </w:p>
    <w:p w14:paraId="6B02B9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1、资金计划及到位情况。该项目总投资</w:t>
      </w:r>
      <w:r>
        <w:rPr>
          <w:rFonts w:hint="eastAsia" w:ascii="方正仿宋_GB2312" w:hAnsi="方正仿宋_GB2312" w:eastAsia="方正仿宋_GB2312" w:cs="方正仿宋_GB2312"/>
          <w:spacing w:val="-20"/>
          <w:szCs w:val="32"/>
          <w:lang w:val="en-US" w:eastAsia="zh-CN"/>
        </w:rPr>
        <w:t>590万</w:t>
      </w:r>
      <w:r>
        <w:rPr>
          <w:rFonts w:hint="eastAsia" w:ascii="方正仿宋_GB2312" w:hAnsi="方正仿宋_GB2312" w:eastAsia="方正仿宋_GB2312" w:cs="方正仿宋_GB2312"/>
          <w:szCs w:val="32"/>
        </w:rPr>
        <w:t>元，资金来源为</w:t>
      </w:r>
      <w:r>
        <w:rPr>
          <w:rFonts w:hint="eastAsia" w:ascii="方正仿宋_GB2312" w:hAnsi="方正仿宋_GB2312" w:eastAsia="方正仿宋_GB2312" w:cs="方正仿宋_GB2312"/>
          <w:szCs w:val="32"/>
          <w:lang w:val="en-US" w:eastAsia="zh-CN"/>
        </w:rPr>
        <w:t>县级涉农整合资金</w:t>
      </w:r>
      <w:r>
        <w:rPr>
          <w:rFonts w:hint="eastAsia" w:ascii="方正仿宋_GB2312" w:hAnsi="方正仿宋_GB2312" w:eastAsia="方正仿宋_GB2312" w:cs="方正仿宋_GB2312"/>
          <w:szCs w:val="32"/>
        </w:rPr>
        <w:t>。</w:t>
      </w:r>
    </w:p>
    <w:p w14:paraId="2796AD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2312" w:hAnsi="方正仿宋_GB2312" w:eastAsia="方正仿宋_GB2312" w:cs="方正仿宋_GB2312"/>
          <w:szCs w:val="32"/>
        </w:rPr>
      </w:pPr>
      <w:r>
        <w:rPr>
          <w:rFonts w:hint="eastAsia" w:ascii="方正仿宋_GB2312" w:hAnsi="方正仿宋_GB2312" w:eastAsia="方正仿宋_GB2312" w:cs="方正仿宋_GB2312"/>
          <w:szCs w:val="32"/>
        </w:rPr>
        <w:t>2、资金使用情况。该项目实际支付</w:t>
      </w:r>
      <w:r>
        <w:rPr>
          <w:rFonts w:hint="eastAsia" w:ascii="方正仿宋_GB2312" w:hAnsi="方正仿宋_GB2312" w:eastAsia="方正仿宋_GB2312" w:cs="方正仿宋_GB2312"/>
          <w:szCs w:val="32"/>
          <w:lang w:val="en-US" w:eastAsia="zh-CN"/>
        </w:rPr>
        <w:t>486</w:t>
      </w:r>
      <w:r>
        <w:rPr>
          <w:rFonts w:hint="eastAsia" w:ascii="方正仿宋_GB2312" w:hAnsi="方正仿宋_GB2312" w:eastAsia="方正仿宋_GB2312" w:cs="方正仿宋_GB2312"/>
          <w:spacing w:val="-20"/>
          <w:szCs w:val="32"/>
          <w:lang w:val="en-US" w:eastAsia="zh-CN"/>
        </w:rPr>
        <w:t>万</w:t>
      </w:r>
      <w:r>
        <w:rPr>
          <w:rFonts w:hint="eastAsia" w:ascii="方正仿宋_GB2312" w:hAnsi="方正仿宋_GB2312" w:eastAsia="方正仿宋_GB2312" w:cs="方正仿宋_GB2312"/>
          <w:szCs w:val="32"/>
        </w:rPr>
        <w:t>元</w:t>
      </w:r>
      <w:r>
        <w:rPr>
          <w:rFonts w:hint="eastAsia" w:ascii="方正仿宋_GB2312" w:hAnsi="方正仿宋_GB2312" w:eastAsia="方正仿宋_GB2312" w:cs="方正仿宋_GB2312"/>
          <w:szCs w:val="32"/>
          <w:lang w:eastAsia="zh-CN"/>
        </w:rPr>
        <w:t>；</w:t>
      </w:r>
      <w:r>
        <w:rPr>
          <w:rFonts w:hint="eastAsia" w:ascii="方正仿宋_GB2312" w:hAnsi="方正仿宋_GB2312" w:eastAsia="方正仿宋_GB2312" w:cs="方正仿宋_GB2312"/>
          <w:szCs w:val="32"/>
        </w:rPr>
        <w:t>所有款项的支付合规合法，资金支付与预算相符。</w:t>
      </w:r>
    </w:p>
    <w:p w14:paraId="5FE0A94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2312" w:hAnsi="方正仿宋_GB2312" w:eastAsia="方正仿宋_GB2312" w:cs="方正仿宋_GB2312"/>
          <w:b/>
          <w:bCs/>
          <w:sz w:val="32"/>
          <w:szCs w:val="32"/>
          <w:lang w:val="zh-CN"/>
        </w:rPr>
      </w:pPr>
      <w:r>
        <w:rPr>
          <w:rFonts w:hint="eastAsia" w:ascii="方正仿宋_GB2312" w:hAnsi="方正仿宋_GB2312" w:eastAsia="方正仿宋_GB2312" w:cs="方正仿宋_GB2312"/>
          <w:b/>
          <w:bCs/>
          <w:sz w:val="32"/>
          <w:szCs w:val="32"/>
        </w:rPr>
        <w:t>三、项目绩效情况</w:t>
      </w:r>
      <w:r>
        <w:rPr>
          <w:rFonts w:hint="eastAsia" w:ascii="方正仿宋_GB2312" w:hAnsi="方正仿宋_GB2312" w:eastAsia="方正仿宋_GB2312" w:cs="方正仿宋_GB2312"/>
          <w:b/>
          <w:bCs/>
          <w:sz w:val="32"/>
          <w:szCs w:val="32"/>
          <w:lang w:val="zh-CN"/>
        </w:rPr>
        <w:tab/>
      </w:r>
    </w:p>
    <w:p w14:paraId="1C22DEDA">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方正仿宋_GB2312" w:hAnsi="方正仿宋_GB2312" w:eastAsia="方正仿宋_GB2312" w:cs="方正仿宋_GB2312"/>
          <w:b/>
          <w:bCs/>
          <w:sz w:val="32"/>
          <w:szCs w:val="32"/>
          <w:lang w:val="zh-CN"/>
        </w:rPr>
      </w:pPr>
      <w:r>
        <w:rPr>
          <w:rFonts w:hint="eastAsia" w:ascii="方正仿宋_GB2312" w:hAnsi="方正仿宋_GB2312" w:eastAsia="方正仿宋_GB2312" w:cs="方正仿宋_GB2312"/>
          <w:b/>
          <w:bCs/>
          <w:sz w:val="32"/>
          <w:szCs w:val="32"/>
          <w:lang w:val="zh-CN"/>
        </w:rPr>
        <w:t>（一）项目完成情况。</w:t>
      </w:r>
    </w:p>
    <w:p w14:paraId="49A015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该项目实施内容为</w:t>
      </w:r>
      <w:r>
        <w:rPr>
          <w:rFonts w:hint="eastAsia" w:ascii="方正仿宋_GB2312" w:hAnsi="方正仿宋_GB2312" w:eastAsia="方正仿宋_GB2312" w:cs="方正仿宋_GB2312"/>
          <w:szCs w:val="32"/>
        </w:rPr>
        <w:t>：</w:t>
      </w:r>
      <w:r>
        <w:rPr>
          <w:rFonts w:hint="eastAsia" w:ascii="方正仿宋_GB2312" w:hAnsi="方正仿宋_GB2312" w:eastAsia="方正仿宋_GB2312" w:cs="方正仿宋_GB2312"/>
          <w:szCs w:val="32"/>
          <w:lang w:val="en-US" w:eastAsia="zh-CN"/>
        </w:rPr>
        <w:t>路面维修约5200平方米，排水沟1200米，防护工程6000立方米</w:t>
      </w:r>
      <w:r>
        <w:rPr>
          <w:rFonts w:hint="eastAsia" w:ascii="方正仿宋_GB2312" w:hAnsi="方正仿宋_GB2312" w:eastAsia="方正仿宋_GB2312" w:cs="方正仿宋_GB2312"/>
          <w:spacing w:val="-20"/>
          <w:szCs w:val="32"/>
        </w:rPr>
        <w:t>。</w:t>
      </w:r>
      <w:r>
        <w:rPr>
          <w:rFonts w:hint="eastAsia" w:ascii="方正仿宋_GB2312" w:hAnsi="方正仿宋_GB2312" w:eastAsia="方正仿宋_GB2312" w:cs="方正仿宋_GB2312"/>
          <w:sz w:val="32"/>
          <w:szCs w:val="32"/>
        </w:rPr>
        <w:t>项目于</w:t>
      </w:r>
      <w:r>
        <w:rPr>
          <w:rFonts w:hint="eastAsia" w:ascii="方正仿宋_GB2312" w:hAnsi="方正仿宋_GB2312" w:eastAsia="方正仿宋_GB2312" w:cs="方正仿宋_GB2312"/>
          <w:spacing w:val="-20"/>
          <w:sz w:val="32"/>
          <w:szCs w:val="32"/>
          <w:lang w:val="en-US" w:eastAsia="zh-CN"/>
        </w:rPr>
        <w:t>2023年9月完成采购并</w:t>
      </w:r>
      <w:r>
        <w:rPr>
          <w:rFonts w:hint="eastAsia" w:ascii="方正仿宋_GB2312" w:hAnsi="方正仿宋_GB2312" w:eastAsia="方正仿宋_GB2312" w:cs="方正仿宋_GB2312"/>
          <w:sz w:val="32"/>
          <w:szCs w:val="32"/>
          <w:lang w:val="en-US" w:eastAsia="zh-CN"/>
        </w:rPr>
        <w:t>验收合格</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项目概算总投资590万</w:t>
      </w:r>
      <w:r>
        <w:rPr>
          <w:rFonts w:hint="eastAsia" w:ascii="方正仿宋_GB2312" w:hAnsi="方正仿宋_GB2312" w:eastAsia="方正仿宋_GB2312" w:cs="方正仿宋_GB2312"/>
          <w:szCs w:val="32"/>
        </w:rPr>
        <w:t>元</w:t>
      </w:r>
      <w:r>
        <w:rPr>
          <w:rFonts w:hint="eastAsia" w:ascii="方正仿宋_GB2312" w:hAnsi="方正仿宋_GB2312" w:eastAsia="方正仿宋_GB2312" w:cs="方正仿宋_GB2312"/>
          <w:sz w:val="32"/>
          <w:szCs w:val="32"/>
          <w:lang w:val="en-US" w:eastAsia="zh-CN"/>
        </w:rPr>
        <w:t>，实际投资486</w:t>
      </w:r>
      <w:r>
        <w:rPr>
          <w:rFonts w:hint="eastAsia" w:ascii="方正仿宋_GB2312" w:hAnsi="方正仿宋_GB2312" w:eastAsia="方正仿宋_GB2312" w:cs="方正仿宋_GB2312"/>
          <w:spacing w:val="-20"/>
          <w:szCs w:val="32"/>
          <w:lang w:val="en-US" w:eastAsia="zh-CN"/>
        </w:rPr>
        <w:t>万</w:t>
      </w:r>
      <w:r>
        <w:rPr>
          <w:rFonts w:hint="eastAsia" w:ascii="方正仿宋_GB2312" w:hAnsi="方正仿宋_GB2312" w:eastAsia="方正仿宋_GB2312" w:cs="方正仿宋_GB2312"/>
          <w:szCs w:val="32"/>
        </w:rPr>
        <w:t>元</w:t>
      </w:r>
      <w:r>
        <w:rPr>
          <w:rFonts w:hint="eastAsia" w:ascii="方正仿宋_GB2312" w:hAnsi="方正仿宋_GB2312" w:eastAsia="方正仿宋_GB2312" w:cs="方正仿宋_GB2312"/>
          <w:szCs w:val="32"/>
          <w:lang w:eastAsia="zh-CN"/>
        </w:rPr>
        <w:t>。</w:t>
      </w:r>
    </w:p>
    <w:p w14:paraId="40AABB75">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720"/>
        <w:textAlignment w:val="auto"/>
        <w:rPr>
          <w:rFonts w:hint="eastAsia" w:ascii="方正仿宋_GB2312" w:hAnsi="方正仿宋_GB2312" w:eastAsia="方正仿宋_GB2312" w:cs="方正仿宋_GB2312"/>
          <w:b/>
          <w:bCs/>
          <w:sz w:val="32"/>
          <w:szCs w:val="32"/>
          <w:lang w:val="zh-CN"/>
        </w:rPr>
      </w:pPr>
      <w:r>
        <w:rPr>
          <w:rFonts w:hint="eastAsia" w:ascii="方正仿宋_GB2312" w:hAnsi="方正仿宋_GB2312" w:eastAsia="方正仿宋_GB2312" w:cs="方正仿宋_GB2312"/>
          <w:b/>
          <w:bCs/>
          <w:sz w:val="32"/>
          <w:szCs w:val="32"/>
          <w:lang w:val="zh-CN"/>
        </w:rPr>
        <w:t>项目效益情况。</w:t>
      </w:r>
    </w:p>
    <w:p w14:paraId="3C3F47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方正仿宋_GB2312" w:hAnsi="方正仿宋_GB2312" w:eastAsia="方正仿宋_GB2312" w:cs="方正仿宋_GB2312"/>
          <w:b/>
          <w:sz w:val="32"/>
          <w:szCs w:val="32"/>
          <w:lang w:val="en-US"/>
        </w:rPr>
      </w:pPr>
      <w:r>
        <w:rPr>
          <w:rFonts w:hint="eastAsia" w:ascii="方正仿宋_GB2312" w:hAnsi="方正仿宋_GB2312" w:eastAsia="方正仿宋_GB2312" w:cs="方正仿宋_GB2312"/>
          <w:sz w:val="32"/>
          <w:szCs w:val="32"/>
          <w:lang w:val="en-US" w:eastAsia="zh-CN"/>
        </w:rPr>
        <w:t>该项目实施将增加阳培村、昂柯村、章光村整体经济收入来源，预计给当地农牧民增收集体经济收入30万元，同时能够解决18个务工岗位，带动当地群众增收。</w:t>
      </w:r>
    </w:p>
    <w:p w14:paraId="72BEB05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方正仿宋_GB2312" w:hAnsi="方正仿宋_GB2312" w:eastAsia="方正仿宋_GB2312" w:cs="方正仿宋_GB2312"/>
          <w:b/>
          <w:bCs/>
          <w:sz w:val="32"/>
          <w:szCs w:val="32"/>
          <w:lang w:val="zh-CN"/>
        </w:rPr>
      </w:pPr>
      <w:r>
        <w:rPr>
          <w:rFonts w:hint="eastAsia" w:ascii="方正仿宋_GB2312" w:hAnsi="方正仿宋_GB2312" w:eastAsia="方正仿宋_GB2312" w:cs="方正仿宋_GB2312"/>
          <w:b/>
          <w:bCs/>
          <w:sz w:val="32"/>
          <w:szCs w:val="32"/>
          <w:lang w:val="zh-CN"/>
        </w:rPr>
        <w:t>四、问题及建议</w:t>
      </w:r>
    </w:p>
    <w:p w14:paraId="4655EEB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方正仿宋_GB2312" w:hAnsi="方正仿宋_GB2312" w:eastAsia="方正仿宋_GB2312" w:cs="方正仿宋_GB2312"/>
          <w:b/>
          <w:bCs/>
          <w:sz w:val="32"/>
          <w:szCs w:val="32"/>
          <w:lang w:val="zh-CN"/>
        </w:rPr>
      </w:pPr>
      <w:r>
        <w:rPr>
          <w:rFonts w:hint="eastAsia" w:ascii="方正仿宋_GB2312" w:hAnsi="方正仿宋_GB2312" w:eastAsia="方正仿宋_GB2312" w:cs="方正仿宋_GB2312"/>
          <w:b/>
          <w:bCs/>
          <w:sz w:val="32"/>
          <w:szCs w:val="32"/>
          <w:lang w:val="zh-CN"/>
        </w:rPr>
        <w:t>（一）存在的问题。</w:t>
      </w:r>
    </w:p>
    <w:p w14:paraId="69AB1D5B">
      <w:pPr>
        <w:pStyle w:val="9"/>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无</w:t>
      </w:r>
    </w:p>
    <w:p w14:paraId="1B4DBD3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方正仿宋_GB2312" w:hAnsi="方正仿宋_GB2312" w:eastAsia="方正仿宋_GB2312" w:cs="方正仿宋_GB2312"/>
          <w:b/>
          <w:bCs/>
          <w:sz w:val="32"/>
          <w:szCs w:val="32"/>
          <w:lang w:val="zh-CN"/>
        </w:rPr>
      </w:pPr>
      <w:r>
        <w:rPr>
          <w:rFonts w:hint="eastAsia" w:ascii="方正仿宋_GB2312" w:hAnsi="方正仿宋_GB2312" w:eastAsia="方正仿宋_GB2312" w:cs="方正仿宋_GB2312"/>
          <w:b/>
          <w:bCs/>
          <w:sz w:val="32"/>
          <w:szCs w:val="32"/>
          <w:lang w:val="zh-CN"/>
        </w:rPr>
        <w:t>（二）相关建议。</w:t>
      </w:r>
    </w:p>
    <w:p w14:paraId="7B2FC96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方正仿宋_GB2312" w:hAnsi="方正仿宋_GB2312" w:eastAsia="方正仿宋_GB2312" w:cs="方正仿宋_GB2312"/>
          <w:sz w:val="32"/>
          <w:szCs w:val="32"/>
          <w:lang w:val="en-US" w:eastAsia="zh-CN"/>
        </w:rPr>
      </w:pPr>
      <w:bookmarkStart w:id="89" w:name="_GoBack"/>
      <w:bookmarkEnd w:id="89"/>
      <w:r>
        <w:rPr>
          <w:rFonts w:hint="eastAsia" w:ascii="方正仿宋_GB2312" w:hAnsi="方正仿宋_GB2312" w:eastAsia="方正仿宋_GB2312" w:cs="方正仿宋_GB2312"/>
          <w:b/>
          <w:bCs/>
          <w:sz w:val="32"/>
          <w:szCs w:val="32"/>
          <w:lang w:val="en-US" w:eastAsia="zh-CN"/>
        </w:rPr>
        <w:t>无</w:t>
      </w:r>
    </w:p>
    <w:p w14:paraId="211145E0">
      <w:pPr>
        <w:pStyle w:val="9"/>
        <w:ind w:firstLine="4160" w:firstLineChars="13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壤塘县岗木达镇人民政府</w:t>
      </w:r>
    </w:p>
    <w:p w14:paraId="3606B9FB">
      <w:pPr>
        <w:pStyle w:val="9"/>
        <w:ind w:firstLine="4800" w:firstLineChars="15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2024年5月7日</w:t>
      </w:r>
    </w:p>
    <w:p w14:paraId="60DA63A6">
      <w:pPr>
        <w:rPr>
          <w:rStyle w:val="41"/>
          <w:rFonts w:hint="eastAsia" w:ascii="黑体" w:hAnsi="黑体" w:eastAsia="黑体"/>
          <w:b w:val="0"/>
          <w:color w:val="auto"/>
          <w:highlight w:val="none"/>
        </w:rPr>
      </w:pPr>
      <w:bookmarkStart w:id="72" w:name="_Toc79163885"/>
      <w:bookmarkStart w:id="73" w:name="_Toc111208512"/>
      <w:bookmarkStart w:id="74" w:name="_Toc79163635"/>
      <w:bookmarkStart w:id="75" w:name="_Toc21200"/>
      <w:r>
        <w:rPr>
          <w:rStyle w:val="41"/>
          <w:rFonts w:hint="eastAsia" w:ascii="黑体" w:hAnsi="黑体" w:eastAsia="黑体"/>
          <w:b w:val="0"/>
          <w:color w:val="auto"/>
          <w:highlight w:val="none"/>
        </w:rPr>
        <w:br w:type="page"/>
      </w:r>
    </w:p>
    <w:p w14:paraId="1DD58993">
      <w:pPr>
        <w:suppressAutoHyphens/>
        <w:bidi w:val="0"/>
        <w:spacing w:line="600" w:lineRule="exact"/>
        <w:jc w:val="center"/>
        <w:outlineLvl w:val="0"/>
        <w:rPr>
          <w:rFonts w:hint="eastAsia" w:ascii="思源黑体 CN Normal" w:hAnsi="思源黑体 CN Normal" w:eastAsia="思源黑体 CN Normal" w:cs="思源黑体 CN Normal"/>
          <w:b w:val="0"/>
          <w:bCs w:val="0"/>
        </w:rPr>
      </w:pPr>
      <w:r>
        <w:rPr>
          <w:rStyle w:val="41"/>
          <w:rFonts w:hint="eastAsia" w:ascii="黑体" w:hAnsi="黑体" w:eastAsia="黑体"/>
          <w:b w:val="0"/>
          <w:color w:val="auto"/>
          <w:highlight w:val="none"/>
        </w:rPr>
        <w:t>第五部分 附表</w:t>
      </w:r>
      <w:bookmarkEnd w:id="72"/>
      <w:bookmarkEnd w:id="73"/>
      <w:bookmarkEnd w:id="74"/>
      <w:bookmarkEnd w:id="75"/>
    </w:p>
    <w:p w14:paraId="39407B2D">
      <w:pPr>
        <w:pStyle w:val="4"/>
        <w:ind w:firstLine="640" w:firstLineChars="200"/>
        <w:rPr>
          <w:rFonts w:hint="eastAsia" w:ascii="仿宋" w:hAnsi="仿宋" w:eastAsia="仿宋" w:cs="仿宋"/>
          <w:b w:val="0"/>
          <w:bCs/>
          <w:color w:val="000000"/>
        </w:rPr>
      </w:pPr>
      <w:bookmarkStart w:id="76" w:name="_Toc16431"/>
      <w:r>
        <w:rPr>
          <w:rFonts w:hint="eastAsia" w:ascii="仿宋" w:hAnsi="仿宋" w:eastAsia="仿宋" w:cs="仿宋"/>
          <w:b w:val="0"/>
          <w:bCs/>
          <w:color w:val="000000"/>
        </w:rPr>
        <w:t>一、收入支出决算总表</w:t>
      </w:r>
      <w:bookmarkEnd w:id="76"/>
    </w:p>
    <w:p w14:paraId="2B7DC4AC">
      <w:pPr>
        <w:pStyle w:val="4"/>
        <w:ind w:firstLine="640" w:firstLineChars="200"/>
        <w:rPr>
          <w:rFonts w:hint="eastAsia" w:ascii="仿宋" w:hAnsi="仿宋" w:eastAsia="仿宋" w:cs="仿宋"/>
          <w:b w:val="0"/>
          <w:bCs/>
          <w:color w:val="000000"/>
        </w:rPr>
      </w:pPr>
      <w:bookmarkStart w:id="77" w:name="_Toc25389"/>
      <w:r>
        <w:rPr>
          <w:rFonts w:hint="eastAsia" w:ascii="仿宋" w:hAnsi="仿宋" w:eastAsia="仿宋" w:cs="仿宋"/>
          <w:b w:val="0"/>
          <w:bCs/>
          <w:color w:val="000000"/>
        </w:rPr>
        <w:t>二、收入决算表</w:t>
      </w:r>
      <w:bookmarkEnd w:id="77"/>
    </w:p>
    <w:p w14:paraId="7858E927">
      <w:pPr>
        <w:pStyle w:val="4"/>
        <w:ind w:firstLine="640" w:firstLineChars="200"/>
        <w:rPr>
          <w:rFonts w:hint="eastAsia" w:ascii="仿宋" w:hAnsi="仿宋" w:eastAsia="仿宋" w:cs="仿宋"/>
          <w:b w:val="0"/>
          <w:bCs/>
          <w:color w:val="000000"/>
        </w:rPr>
      </w:pPr>
      <w:bookmarkStart w:id="78" w:name="_Toc10450"/>
      <w:r>
        <w:rPr>
          <w:rFonts w:hint="eastAsia" w:ascii="仿宋" w:hAnsi="仿宋" w:eastAsia="仿宋" w:cs="仿宋"/>
          <w:b w:val="0"/>
          <w:bCs/>
          <w:color w:val="000000"/>
        </w:rPr>
        <w:t>三、支出决算表</w:t>
      </w:r>
      <w:bookmarkEnd w:id="78"/>
    </w:p>
    <w:p w14:paraId="31EC7FA5">
      <w:pPr>
        <w:pStyle w:val="4"/>
        <w:ind w:firstLine="640" w:firstLineChars="200"/>
        <w:rPr>
          <w:rFonts w:hint="eastAsia" w:ascii="仿宋" w:hAnsi="仿宋" w:eastAsia="仿宋" w:cs="仿宋"/>
          <w:b w:val="0"/>
          <w:bCs/>
          <w:color w:val="000000"/>
        </w:rPr>
      </w:pPr>
      <w:bookmarkStart w:id="79" w:name="_Toc15415"/>
      <w:r>
        <w:rPr>
          <w:rFonts w:hint="eastAsia" w:ascii="仿宋" w:hAnsi="仿宋" w:eastAsia="仿宋" w:cs="仿宋"/>
          <w:b w:val="0"/>
          <w:bCs/>
          <w:color w:val="000000"/>
        </w:rPr>
        <w:t>四、财政拨款收入支出决算总表</w:t>
      </w:r>
      <w:bookmarkEnd w:id="79"/>
    </w:p>
    <w:p w14:paraId="4A2F30BB">
      <w:pPr>
        <w:pStyle w:val="4"/>
        <w:ind w:firstLine="640" w:firstLineChars="200"/>
        <w:rPr>
          <w:rFonts w:hint="eastAsia" w:ascii="仿宋" w:hAnsi="仿宋" w:eastAsia="仿宋" w:cs="仿宋"/>
          <w:b w:val="0"/>
          <w:bCs/>
          <w:color w:val="000000"/>
        </w:rPr>
      </w:pPr>
      <w:bookmarkStart w:id="80" w:name="_Toc17530"/>
      <w:r>
        <w:rPr>
          <w:rFonts w:hint="eastAsia" w:ascii="仿宋" w:hAnsi="仿宋" w:eastAsia="仿宋" w:cs="仿宋"/>
          <w:b w:val="0"/>
          <w:bCs/>
          <w:color w:val="000000"/>
        </w:rPr>
        <w:t>五、财政拨款支出决算明细表</w:t>
      </w:r>
      <w:bookmarkEnd w:id="80"/>
    </w:p>
    <w:p w14:paraId="712C880D">
      <w:pPr>
        <w:pStyle w:val="4"/>
        <w:ind w:firstLine="640" w:firstLineChars="200"/>
        <w:rPr>
          <w:rFonts w:hint="eastAsia" w:ascii="仿宋" w:hAnsi="仿宋" w:eastAsia="仿宋" w:cs="仿宋"/>
          <w:b w:val="0"/>
          <w:bCs/>
          <w:color w:val="000000"/>
        </w:rPr>
      </w:pPr>
      <w:bookmarkStart w:id="81" w:name="_Toc22032"/>
      <w:r>
        <w:rPr>
          <w:rFonts w:hint="eastAsia" w:ascii="仿宋" w:hAnsi="仿宋" w:eastAsia="仿宋" w:cs="仿宋"/>
          <w:b w:val="0"/>
          <w:bCs/>
          <w:color w:val="000000"/>
        </w:rPr>
        <w:t>六、一般公共预算财政拨款支出决算表</w:t>
      </w:r>
      <w:bookmarkEnd w:id="81"/>
    </w:p>
    <w:p w14:paraId="51429EF5">
      <w:pPr>
        <w:pStyle w:val="4"/>
        <w:ind w:firstLine="640" w:firstLineChars="200"/>
        <w:rPr>
          <w:rFonts w:hint="eastAsia" w:ascii="仿宋" w:hAnsi="仿宋" w:eastAsia="仿宋" w:cs="仿宋"/>
          <w:b w:val="0"/>
          <w:bCs/>
          <w:color w:val="000000"/>
        </w:rPr>
      </w:pPr>
      <w:bookmarkStart w:id="82" w:name="_Toc3364"/>
      <w:r>
        <w:rPr>
          <w:rFonts w:hint="eastAsia" w:ascii="仿宋" w:hAnsi="仿宋" w:eastAsia="仿宋" w:cs="仿宋"/>
          <w:b w:val="0"/>
          <w:bCs/>
          <w:color w:val="000000"/>
        </w:rPr>
        <w:t>七、一般公共预算财政拨款支出决算明细表</w:t>
      </w:r>
      <w:bookmarkEnd w:id="82"/>
    </w:p>
    <w:p w14:paraId="672B9B4D">
      <w:pPr>
        <w:pStyle w:val="4"/>
        <w:ind w:firstLine="640" w:firstLineChars="200"/>
        <w:rPr>
          <w:rFonts w:hint="eastAsia" w:ascii="仿宋" w:hAnsi="仿宋" w:eastAsia="仿宋" w:cs="仿宋"/>
          <w:b w:val="0"/>
          <w:bCs/>
          <w:color w:val="000000"/>
        </w:rPr>
      </w:pPr>
      <w:bookmarkStart w:id="83" w:name="_Toc9110"/>
      <w:r>
        <w:rPr>
          <w:rFonts w:hint="eastAsia" w:ascii="仿宋" w:hAnsi="仿宋" w:eastAsia="仿宋" w:cs="仿宋"/>
          <w:b w:val="0"/>
          <w:bCs/>
          <w:color w:val="000000"/>
        </w:rPr>
        <w:t>八、一般公共预算财政拨款基本支出决算表</w:t>
      </w:r>
      <w:bookmarkEnd w:id="83"/>
    </w:p>
    <w:p w14:paraId="2002A273">
      <w:pPr>
        <w:pStyle w:val="4"/>
        <w:ind w:firstLine="640" w:firstLineChars="200"/>
        <w:rPr>
          <w:rFonts w:hint="eastAsia" w:ascii="仿宋" w:hAnsi="仿宋" w:eastAsia="仿宋" w:cs="仿宋"/>
          <w:b w:val="0"/>
          <w:bCs/>
          <w:color w:val="000000"/>
        </w:rPr>
      </w:pPr>
      <w:bookmarkStart w:id="84" w:name="_Toc28582"/>
      <w:r>
        <w:rPr>
          <w:rFonts w:hint="eastAsia" w:ascii="仿宋" w:hAnsi="仿宋" w:eastAsia="仿宋" w:cs="仿宋"/>
          <w:b w:val="0"/>
          <w:bCs/>
          <w:color w:val="000000"/>
        </w:rPr>
        <w:t>九、一般公共预算财政拨款项目支出决算表</w:t>
      </w:r>
      <w:bookmarkEnd w:id="84"/>
    </w:p>
    <w:p w14:paraId="0A36D281">
      <w:pPr>
        <w:pStyle w:val="4"/>
        <w:ind w:firstLine="640" w:firstLineChars="200"/>
        <w:rPr>
          <w:rFonts w:hint="eastAsia" w:ascii="仿宋" w:hAnsi="仿宋" w:eastAsia="仿宋" w:cs="仿宋"/>
          <w:b w:val="0"/>
          <w:bCs/>
          <w:color w:val="000000"/>
        </w:rPr>
      </w:pPr>
      <w:bookmarkStart w:id="85" w:name="_Toc22001"/>
      <w:r>
        <w:rPr>
          <w:rFonts w:hint="eastAsia" w:ascii="仿宋" w:hAnsi="仿宋" w:eastAsia="仿宋" w:cs="仿宋"/>
          <w:b w:val="0"/>
          <w:bCs/>
          <w:color w:val="000000"/>
        </w:rPr>
        <w:t>十、政府性基金预算财政拨款收入支出决算表</w:t>
      </w:r>
      <w:bookmarkEnd w:id="85"/>
    </w:p>
    <w:p w14:paraId="0BD12BAB">
      <w:pPr>
        <w:pStyle w:val="4"/>
        <w:ind w:firstLine="640" w:firstLineChars="200"/>
        <w:rPr>
          <w:rFonts w:hint="eastAsia" w:ascii="仿宋" w:hAnsi="仿宋" w:eastAsia="仿宋" w:cs="仿宋"/>
          <w:b w:val="0"/>
          <w:bCs/>
          <w:color w:val="000000"/>
        </w:rPr>
      </w:pPr>
      <w:bookmarkStart w:id="86" w:name="_Toc6538"/>
      <w:r>
        <w:rPr>
          <w:rFonts w:hint="eastAsia" w:ascii="仿宋" w:hAnsi="仿宋" w:eastAsia="仿宋" w:cs="仿宋"/>
          <w:b w:val="0"/>
          <w:bCs/>
          <w:color w:val="000000"/>
        </w:rPr>
        <w:t>十一、国有资本经营预算财政拨款收入支出决算表</w:t>
      </w:r>
      <w:bookmarkEnd w:id="86"/>
    </w:p>
    <w:p w14:paraId="124CF2DF">
      <w:pPr>
        <w:pStyle w:val="4"/>
        <w:ind w:firstLine="640" w:firstLineChars="200"/>
        <w:rPr>
          <w:rFonts w:hint="eastAsia" w:ascii="仿宋" w:hAnsi="仿宋" w:eastAsia="仿宋" w:cs="仿宋"/>
          <w:b w:val="0"/>
          <w:bCs/>
          <w:color w:val="000000"/>
        </w:rPr>
      </w:pPr>
      <w:bookmarkStart w:id="87" w:name="_Toc10625"/>
      <w:r>
        <w:rPr>
          <w:rFonts w:hint="eastAsia" w:ascii="仿宋" w:hAnsi="仿宋" w:eastAsia="仿宋" w:cs="仿宋"/>
          <w:b w:val="0"/>
          <w:bCs/>
          <w:color w:val="000000"/>
        </w:rPr>
        <w:t>十二、国有资本经营预算财政拨款支出决算表</w:t>
      </w:r>
      <w:bookmarkEnd w:id="87"/>
    </w:p>
    <w:p w14:paraId="39A925A5">
      <w:pPr>
        <w:pStyle w:val="4"/>
        <w:ind w:firstLine="640" w:firstLineChars="200"/>
        <w:rPr>
          <w:rFonts w:hint="eastAsia" w:ascii="仿宋" w:hAnsi="仿宋" w:eastAsia="仿宋" w:cs="仿宋"/>
          <w:b w:val="0"/>
          <w:bCs/>
          <w:color w:val="000000"/>
        </w:rPr>
      </w:pPr>
      <w:bookmarkStart w:id="88" w:name="_Toc28356"/>
      <w:r>
        <w:rPr>
          <w:rFonts w:hint="eastAsia" w:ascii="仿宋" w:hAnsi="仿宋" w:eastAsia="仿宋" w:cs="仿宋"/>
          <w:b w:val="0"/>
          <w:bCs/>
          <w:color w:val="000000"/>
        </w:rPr>
        <w:t>十三、财政拨款“三公”经费支出决算表</w:t>
      </w:r>
      <w:bookmarkEnd w:id="88"/>
    </w:p>
    <w:p w14:paraId="4DCC9C0F">
      <w:pPr>
        <w:widowControl w:val="0"/>
        <w:numPr>
          <w:ilvl w:val="0"/>
          <w:numId w:val="0"/>
        </w:numPr>
        <w:kinsoku/>
        <w:autoSpaceDE/>
        <w:autoSpaceDN/>
        <w:adjustRightInd w:val="0"/>
        <w:snapToGrid w:val="0"/>
        <w:spacing w:line="520" w:lineRule="exact"/>
        <w:ind w:firstLine="2249" w:firstLineChars="700"/>
        <w:jc w:val="both"/>
        <w:textAlignment w:val="auto"/>
        <w:rPr>
          <w:rStyle w:val="42"/>
          <w:rFonts w:hint="default" w:ascii="仿宋_GB2312" w:hAnsi="Times New Roman" w:eastAsia="仿宋_GB2312" w:cs="Times New Roman"/>
          <w:b/>
          <w:bCs/>
          <w:kern w:val="2"/>
          <w:sz w:val="32"/>
          <w:szCs w:val="32"/>
          <w:lang w:val="en-US" w:eastAsia="zh-CN"/>
        </w:rPr>
      </w:pPr>
      <w:r>
        <w:rPr>
          <w:rStyle w:val="42"/>
          <w:rFonts w:hint="eastAsia" w:ascii="仿宋_GB2312" w:hAnsi="Times New Roman" w:eastAsia="仿宋_GB2312" w:cs="Times New Roman"/>
          <w:b/>
          <w:bCs/>
          <w:kern w:val="2"/>
          <w:sz w:val="32"/>
          <w:szCs w:val="32"/>
          <w:lang w:val="en-US" w:eastAsia="zh-CN"/>
        </w:rPr>
        <w:t>壤塘县岗木达镇人民政府关于</w:t>
      </w:r>
    </w:p>
    <w:p w14:paraId="02F17C23">
      <w:pPr>
        <w:widowControl w:val="0"/>
        <w:numPr>
          <w:ilvl w:val="0"/>
          <w:numId w:val="0"/>
        </w:numPr>
        <w:kinsoku/>
        <w:autoSpaceDE/>
        <w:autoSpaceDN/>
        <w:adjustRightInd w:val="0"/>
        <w:snapToGrid w:val="0"/>
        <w:spacing w:line="520" w:lineRule="exact"/>
        <w:ind w:firstLine="643" w:firstLineChars="200"/>
        <w:jc w:val="center"/>
        <w:textAlignment w:val="auto"/>
        <w:rPr>
          <w:rStyle w:val="42"/>
          <w:rFonts w:hint="eastAsia" w:ascii="仿宋_GB2312" w:hAnsi="Times New Roman" w:eastAsia="仿宋_GB2312" w:cs="Times New Roman"/>
          <w:kern w:val="2"/>
          <w:sz w:val="32"/>
          <w:szCs w:val="32"/>
          <w:lang w:val="en-US" w:eastAsia="zh-CN"/>
        </w:rPr>
      </w:pPr>
      <w:r>
        <w:rPr>
          <w:rStyle w:val="42"/>
          <w:rFonts w:hint="eastAsia" w:ascii="仿宋_GB2312" w:hAnsi="Times New Roman" w:eastAsia="仿宋_GB2312" w:cs="Times New Roman"/>
          <w:b/>
          <w:bCs/>
          <w:color w:val="000000"/>
          <w:kern w:val="2"/>
          <w:sz w:val="32"/>
          <w:szCs w:val="32"/>
          <w:lang w:val="en-US" w:eastAsia="zh-CN"/>
        </w:rPr>
        <w:t>岗木达镇明达村三家园基础设施提升项目</w:t>
      </w:r>
      <w:r>
        <w:rPr>
          <w:rStyle w:val="42"/>
          <w:rFonts w:hint="eastAsia" w:ascii="仿宋_GB2312" w:hAnsi="Times New Roman" w:eastAsia="仿宋_GB2312" w:cs="Times New Roman"/>
          <w:b/>
          <w:bCs/>
          <w:kern w:val="2"/>
          <w:sz w:val="32"/>
          <w:szCs w:val="32"/>
          <w:lang w:val="en-US" w:eastAsia="zh-CN"/>
        </w:rPr>
        <w:t>事前绩效评估报告</w:t>
      </w:r>
    </w:p>
    <w:p w14:paraId="53968851">
      <w:pPr>
        <w:spacing w:line="280" w:lineRule="auto"/>
        <w:rPr>
          <w:rFonts w:eastAsia="Times New Roman"/>
        </w:rPr>
      </w:pPr>
    </w:p>
    <w:p w14:paraId="701F1DBA">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b/>
          <w:bCs/>
          <w:kern w:val="2"/>
          <w:sz w:val="32"/>
          <w:szCs w:val="32"/>
          <w:lang w:val="en-US" w:eastAsia="zh-CN"/>
        </w:rPr>
        <w:t>一、项目基本情况</w:t>
      </w:r>
    </w:p>
    <w:p w14:paraId="5A278EFC">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cs="Times New Roman"/>
          <w:kern w:val="2"/>
          <w:sz w:val="32"/>
          <w:szCs w:val="32"/>
          <w:lang w:val="en-US" w:eastAsia="zh-CN"/>
        </w:rPr>
      </w:pPr>
      <w:r>
        <w:rPr>
          <w:rStyle w:val="42"/>
          <w:rFonts w:hint="eastAsia" w:ascii="仿宋_GB2312" w:hAnsi="Times New Roman" w:eastAsia="仿宋_GB2312"/>
          <w:b/>
          <w:bCs/>
          <w:kern w:val="2"/>
          <w:sz w:val="32"/>
          <w:szCs w:val="32"/>
          <w:lang w:val="en-US" w:eastAsia="zh-CN"/>
        </w:rPr>
        <w:t>(一)项目名称：</w:t>
      </w:r>
      <w:r>
        <w:rPr>
          <w:rStyle w:val="42"/>
          <w:rFonts w:hint="eastAsia" w:ascii="仿宋_GB2312" w:hAnsi="Times New Roman" w:eastAsia="仿宋_GB2312" w:cs="Times New Roman"/>
          <w:kern w:val="2"/>
          <w:sz w:val="32"/>
          <w:szCs w:val="32"/>
          <w:lang w:val="en-US" w:eastAsia="zh-CN"/>
        </w:rPr>
        <w:t>岗木达镇明达村三家园基础设施提升项目</w:t>
      </w:r>
    </w:p>
    <w:p w14:paraId="06401172">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b/>
          <w:bCs/>
          <w:kern w:val="2"/>
          <w:sz w:val="32"/>
          <w:szCs w:val="32"/>
          <w:lang w:val="en-US" w:eastAsia="zh-CN"/>
        </w:rPr>
        <w:t>(二)项目单位：</w:t>
      </w:r>
      <w:r>
        <w:rPr>
          <w:rStyle w:val="42"/>
          <w:rFonts w:hint="eastAsia" w:ascii="仿宋_GB2312" w:hAnsi="Times New Roman" w:eastAsia="仿宋_GB2312"/>
          <w:kern w:val="2"/>
          <w:sz w:val="32"/>
          <w:szCs w:val="32"/>
          <w:lang w:val="en-US" w:eastAsia="zh-CN"/>
        </w:rPr>
        <w:t>壤塘县岗木达镇人民政府</w:t>
      </w:r>
    </w:p>
    <w:p w14:paraId="6C739DD6">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b/>
          <w:bCs/>
          <w:kern w:val="2"/>
          <w:sz w:val="32"/>
          <w:szCs w:val="32"/>
          <w:lang w:val="en-US" w:eastAsia="zh-CN"/>
        </w:rPr>
        <w:t>(三)主管部门：</w:t>
      </w:r>
      <w:r>
        <w:rPr>
          <w:rStyle w:val="42"/>
          <w:rFonts w:hint="eastAsia" w:ascii="仿宋_GB2312" w:hAnsi="Times New Roman" w:eastAsia="仿宋_GB2312"/>
          <w:kern w:val="2"/>
          <w:sz w:val="32"/>
          <w:szCs w:val="32"/>
          <w:lang w:val="en-US" w:eastAsia="zh-CN"/>
        </w:rPr>
        <w:t>壤塘县发改局</w:t>
      </w:r>
    </w:p>
    <w:p w14:paraId="45A6A7C7">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b/>
          <w:bCs/>
          <w:kern w:val="2"/>
          <w:sz w:val="32"/>
          <w:szCs w:val="32"/>
          <w:lang w:val="en-US" w:eastAsia="zh-CN"/>
        </w:rPr>
        <w:t>(四)项目属性：</w:t>
      </w:r>
      <w:r>
        <w:rPr>
          <w:rStyle w:val="42"/>
          <w:rFonts w:hint="eastAsia" w:ascii="仿宋_GB2312" w:hAnsi="Times New Roman" w:eastAsia="仿宋_GB2312"/>
          <w:kern w:val="2"/>
          <w:sz w:val="32"/>
          <w:szCs w:val="32"/>
          <w:lang w:val="en-US" w:eastAsia="zh-CN"/>
        </w:rPr>
        <w:t>新增项目</w:t>
      </w:r>
    </w:p>
    <w:p w14:paraId="595FBDDC">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b/>
          <w:bCs/>
          <w:kern w:val="2"/>
          <w:sz w:val="32"/>
          <w:szCs w:val="32"/>
          <w:lang w:val="en-US" w:eastAsia="zh-CN"/>
        </w:rPr>
        <w:t>(五)项目起止年限：</w:t>
      </w:r>
      <w:r>
        <w:rPr>
          <w:rStyle w:val="42"/>
          <w:rFonts w:hint="eastAsia" w:ascii="仿宋_GB2312" w:hAnsi="Times New Roman" w:eastAsia="仿宋_GB2312"/>
          <w:kern w:val="2"/>
          <w:sz w:val="32"/>
          <w:szCs w:val="32"/>
          <w:lang w:val="en-US" w:eastAsia="zh-CN"/>
        </w:rPr>
        <w:t>2023年4月—2023年10月</w:t>
      </w:r>
    </w:p>
    <w:p w14:paraId="326981CF">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b/>
          <w:bCs/>
          <w:kern w:val="2"/>
          <w:sz w:val="32"/>
          <w:szCs w:val="32"/>
          <w:lang w:val="en-US" w:eastAsia="zh-CN"/>
        </w:rPr>
        <w:t>(六)资金申请情况：</w:t>
      </w:r>
      <w:r>
        <w:rPr>
          <w:rStyle w:val="42"/>
          <w:rFonts w:hint="eastAsia" w:ascii="仿宋_GB2312" w:hAnsi="Times New Roman" w:eastAsia="仿宋_GB2312"/>
          <w:kern w:val="2"/>
          <w:sz w:val="32"/>
          <w:szCs w:val="32"/>
          <w:lang w:val="en-US" w:eastAsia="zh-CN"/>
        </w:rPr>
        <w:t>申报项目预算金额为87.5万元(资金来源为县级整合资金87.5万元，其中财政资金87.5万元，自有资金0万元)。</w:t>
      </w:r>
    </w:p>
    <w:p w14:paraId="664FB0FC">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b/>
          <w:bCs/>
          <w:kern w:val="2"/>
          <w:sz w:val="32"/>
          <w:szCs w:val="32"/>
          <w:lang w:val="en-US" w:eastAsia="zh-CN"/>
        </w:rPr>
        <w:t>(七)项目概况：</w:t>
      </w:r>
      <w:r>
        <w:rPr>
          <w:rStyle w:val="42"/>
          <w:rFonts w:hint="eastAsia" w:ascii="仿宋_GB2312" w:hAnsi="Times New Roman" w:eastAsia="仿宋_GB2312" w:cs="Times New Roman"/>
          <w:color w:val="000000"/>
          <w:kern w:val="2"/>
          <w:sz w:val="32"/>
          <w:szCs w:val="32"/>
          <w:lang w:val="en-US" w:eastAsia="zh-CN"/>
        </w:rPr>
        <w:t>浆砌片石挡墙约500方、路面翻新硬化及地面硬化约1200平方米、室外台阶约40平方米、浆砌片石挡墙40米、石围栏250米，村内环境整治及其它零星工程</w:t>
      </w:r>
      <w:r>
        <w:rPr>
          <w:rStyle w:val="42"/>
          <w:rFonts w:hint="eastAsia" w:ascii="仿宋_GB2312" w:hAnsi="Times New Roman" w:eastAsia="仿宋_GB2312"/>
          <w:kern w:val="2"/>
          <w:sz w:val="32"/>
          <w:szCs w:val="32"/>
          <w:lang w:val="en-US" w:eastAsia="zh-CN"/>
        </w:rPr>
        <w:t>。2023年拟申请资金预算87.5万元。</w:t>
      </w:r>
    </w:p>
    <w:p w14:paraId="5540F314">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b/>
          <w:bCs/>
          <w:kern w:val="2"/>
          <w:sz w:val="32"/>
          <w:szCs w:val="32"/>
          <w:lang w:val="en-US" w:eastAsia="zh-CN"/>
        </w:rPr>
        <w:t>二、评估原则</w:t>
      </w:r>
    </w:p>
    <w:p w14:paraId="4F16CEF2">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根据年预算编制要求，绩效评估本着真正过紧日子的原则，厉行节约、节用为民，从严从紧控制项目申报和预算安排，非必要项目和工作内容可压尽压、应压尽压，做到客观、绩效、精准。</w:t>
      </w:r>
    </w:p>
    <w:p w14:paraId="7CC4403F">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b/>
          <w:bCs/>
          <w:kern w:val="2"/>
          <w:sz w:val="32"/>
          <w:szCs w:val="32"/>
          <w:lang w:val="en-US" w:eastAsia="zh-CN"/>
        </w:rPr>
        <w:t>三、评估目的</w:t>
      </w:r>
    </w:p>
    <w:p w14:paraId="10356EBB">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通过事前绩效评估将绩效管理关口前移，为项目设立和预算安排提供重要参考依据，提高预算编制科学性、合理性，优化财政支出结构，从源头上防控财政资源配置的低效无效，提高财政资源配置效率和财政资金使用效益。</w:t>
      </w:r>
    </w:p>
    <w:p w14:paraId="44E1514F">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b/>
          <w:bCs/>
          <w:kern w:val="2"/>
          <w:sz w:val="32"/>
          <w:szCs w:val="32"/>
          <w:lang w:val="en-US" w:eastAsia="zh-CN"/>
        </w:rPr>
        <w:t>四、评估程序和方法</w:t>
      </w:r>
    </w:p>
    <w:p w14:paraId="18606329">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b/>
          <w:bCs/>
          <w:kern w:val="2"/>
          <w:sz w:val="32"/>
          <w:szCs w:val="32"/>
          <w:lang w:val="en-US" w:eastAsia="zh-CN"/>
        </w:rPr>
        <w:t>(一)评估程序</w:t>
      </w:r>
    </w:p>
    <w:p w14:paraId="08D3B2E5">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2023年度预算项目绩效评估工作通过线上与线下相结合方式开展。按照有关规定和工作安排，我单位开展自行评估，通过自行成立组建评估组，通过收集被评估项目相关基础资料，并查阅资料、收集数据信息等，深入论证分析后，形成绩效评估报告。</w:t>
      </w:r>
    </w:p>
    <w:p w14:paraId="77F44458">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b/>
          <w:bCs/>
          <w:kern w:val="2"/>
          <w:sz w:val="32"/>
          <w:szCs w:val="32"/>
          <w:lang w:val="en-US" w:eastAsia="zh-CN"/>
        </w:rPr>
        <w:t>(二)评估方法</w:t>
      </w:r>
    </w:p>
    <w:p w14:paraId="131ED66C">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本项目通过现场踏勘、与项目相关人员座谈或讨论、聘请相关专业专家、市场调研等方法了解项目情况，收集相关资料，综合分析相关情况后，对项目的立项必要性、投入经济性、目标合理性、方案可行性以及筹资合规性实施评估。</w:t>
      </w:r>
    </w:p>
    <w:p w14:paraId="0A05FB46">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b/>
          <w:bCs/>
          <w:kern w:val="2"/>
          <w:sz w:val="32"/>
          <w:szCs w:val="32"/>
          <w:lang w:val="en-US" w:eastAsia="zh-CN"/>
        </w:rPr>
        <w:t>五、评估内容</w:t>
      </w:r>
    </w:p>
    <w:p w14:paraId="6197533A">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b/>
          <w:bCs/>
          <w:kern w:val="2"/>
          <w:sz w:val="32"/>
          <w:szCs w:val="32"/>
          <w:lang w:val="en-US" w:eastAsia="zh-CN"/>
        </w:rPr>
        <w:t>(一)立项必要性</w:t>
      </w:r>
    </w:p>
    <w:p w14:paraId="2FBF30D5">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本项目的建设是完善旅游基础设施，改善人居环境推动经济发展的需要，该村人居环境有待优化，对当地居民生活、生产带来不便，为进一步优化人居环境建设，保障居民基本生产资源，推动区域社会经济的发展，在补上“三农”领域基础设施短板、夯实农业生产能力建设、持续改善农村人居环境、推动休闲农业和乡村旅游配套设施提档升级，有助于改善壤塘县旅游形象，完善城市基础设施功能并推动经济发展的需要。</w:t>
      </w:r>
    </w:p>
    <w:p w14:paraId="7715DF60">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本项目的建设是巩固脱贫攻坚成果助力乡村振兴的需要，《壤塘县国民经济和社会发展第十四个五年规划和二零三五年远景目标纲要》明确表示将全面推动乡村生态振兴。立足国家重点生态功能区定位和川西北生态示范区建设，深入践行“绿水青山就是金山银山”理念，坚持生态“大保护”，不碰红线，不触底线，完善生态环保工作长效机制。立足壤塘县情，坚决落实生态发展与环境保护责任，大力实施各类环境保护工程，大号蓝天、碧水、净土“三大保卫战”，为建设川西北生态示范区贡献壤塘力量。积极推进农村生活设施配套完善，促进乡村风貌整体提升，分类有序推进全域乡村建设，因地制宜提高乡村居家环境，推动乡村功能品质升级，实现环境舒适、繁荣宜居的“幸福壤塘”、温馨壤塘新乡村。</w:t>
      </w:r>
    </w:p>
    <w:p w14:paraId="545F61E7">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b/>
          <w:bCs/>
          <w:kern w:val="2"/>
          <w:sz w:val="32"/>
          <w:szCs w:val="32"/>
          <w:lang w:val="en-US" w:eastAsia="zh-CN"/>
        </w:rPr>
        <w:t>(二)投入经济性</w:t>
      </w:r>
    </w:p>
    <w:p w14:paraId="1E926D0C">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该项目主要建设内容</w:t>
      </w:r>
      <w:r>
        <w:rPr>
          <w:rStyle w:val="42"/>
          <w:rFonts w:hint="eastAsia" w:ascii="仿宋_GB2312" w:hAnsi="Times New Roman" w:eastAsia="仿宋_GB2312"/>
          <w:kern w:val="2"/>
          <w:sz w:val="32"/>
          <w:szCs w:val="32"/>
          <w:u w:val="none"/>
          <w:lang w:val="en-US" w:eastAsia="zh-CN"/>
        </w:rPr>
        <w:t>为：</w:t>
      </w:r>
      <w:r>
        <w:rPr>
          <w:rStyle w:val="42"/>
          <w:rFonts w:hint="eastAsia" w:ascii="仿宋_GB2312" w:hAnsi="Times New Roman" w:eastAsia="仿宋_GB2312" w:cs="Times New Roman"/>
          <w:color w:val="000000"/>
          <w:kern w:val="2"/>
          <w:sz w:val="32"/>
          <w:szCs w:val="32"/>
          <w:lang w:val="en-US" w:eastAsia="zh-CN"/>
        </w:rPr>
        <w:t>浆砌片石挡墙约500方、路面翻新硬化及地面硬化约1200平方米、室外台阶约40平方米、浆砌片石挡墙40米、石围栏250米，村内环境整治及其它零星工程。</w:t>
      </w:r>
      <w:r>
        <w:rPr>
          <w:rStyle w:val="42"/>
          <w:rFonts w:hint="eastAsia" w:ascii="仿宋_GB2312" w:hAnsi="Times New Roman" w:eastAsia="仿宋_GB2312"/>
          <w:kern w:val="2"/>
          <w:sz w:val="32"/>
          <w:szCs w:val="32"/>
          <w:lang w:val="en-US" w:eastAsia="zh-CN"/>
        </w:rPr>
        <w:t>项目总投资87.5万元，其中项目建设费用75.8万元，二类费用8万元。资金来源于财政统筹整合资金；为节约资金我镇聘请第三方公司，结合现场实际和项目实施内容制作预算清单并委托财政部门对项目清单进行财政评审，项目施工送审金额为：75.8万元，为确保项目顺利实施，得到有效监管，编制</w:t>
      </w:r>
      <w:r>
        <w:rPr>
          <w:rStyle w:val="42"/>
          <w:rFonts w:hint="eastAsia" w:ascii="仿宋_GB2312" w:hAnsi="Times New Roman" w:eastAsia="仿宋_GB2312" w:cs="Times New Roman"/>
          <w:kern w:val="2"/>
          <w:sz w:val="32"/>
          <w:szCs w:val="32"/>
          <w:lang w:val="en-US" w:eastAsia="zh-CN"/>
        </w:rPr>
        <w:t>岗木达镇明达村三家园基础设施提升项目</w:t>
      </w:r>
      <w:r>
        <w:rPr>
          <w:rStyle w:val="42"/>
          <w:rFonts w:hint="eastAsia" w:ascii="仿宋_GB2312" w:hAnsi="Times New Roman" w:eastAsia="仿宋_GB2312"/>
          <w:kern w:val="2"/>
          <w:sz w:val="32"/>
          <w:szCs w:val="32"/>
          <w:lang w:val="en-US" w:eastAsia="zh-CN"/>
        </w:rPr>
        <w:t>；评估认为，该项目任务数量基本合理、预算测算过程较为详细、测算依据基本充分、有一定的经济性。建议预算控制在87.5万元以内，与申报数相比，评减0万元，评减率0%(详见下表)。</w:t>
      </w:r>
    </w:p>
    <w:p w14:paraId="6486A4FB">
      <w:pPr>
        <w:widowControl w:val="0"/>
        <w:numPr>
          <w:ilvl w:val="0"/>
          <w:numId w:val="0"/>
        </w:numPr>
        <w:kinsoku/>
        <w:autoSpaceDE/>
        <w:autoSpaceDN/>
        <w:adjustRightInd w:val="0"/>
        <w:snapToGrid w:val="0"/>
        <w:spacing w:line="520" w:lineRule="exact"/>
        <w:ind w:firstLine="643" w:firstLineChars="200"/>
        <w:jc w:val="center"/>
        <w:textAlignment w:val="auto"/>
        <w:rPr>
          <w:rStyle w:val="42"/>
          <w:rFonts w:hint="eastAsia" w:ascii="仿宋_GB2312" w:hAnsi="Times New Roman" w:eastAsia="仿宋_GB2312"/>
          <w:b/>
          <w:bCs/>
          <w:kern w:val="2"/>
          <w:sz w:val="32"/>
          <w:szCs w:val="32"/>
          <w:lang w:val="en-US" w:eastAsia="zh-CN"/>
        </w:rPr>
      </w:pPr>
    </w:p>
    <w:p w14:paraId="7713ECB6">
      <w:pPr>
        <w:widowControl w:val="0"/>
        <w:numPr>
          <w:ilvl w:val="0"/>
          <w:numId w:val="0"/>
        </w:numPr>
        <w:kinsoku/>
        <w:autoSpaceDE/>
        <w:autoSpaceDN/>
        <w:adjustRightInd w:val="0"/>
        <w:snapToGrid w:val="0"/>
        <w:spacing w:line="520" w:lineRule="exact"/>
        <w:ind w:firstLine="643" w:firstLineChars="200"/>
        <w:jc w:val="center"/>
        <w:textAlignment w:val="auto"/>
        <w:rPr>
          <w:rStyle w:val="42"/>
          <w:rFonts w:hint="eastAsia" w:ascii="仿宋_GB2312" w:hAnsi="Times New Roman" w:eastAsia="仿宋_GB2312"/>
          <w:b/>
          <w:bCs/>
          <w:kern w:val="2"/>
          <w:sz w:val="32"/>
          <w:szCs w:val="32"/>
          <w:lang w:val="en-US" w:eastAsia="zh-CN"/>
        </w:rPr>
      </w:pPr>
    </w:p>
    <w:p w14:paraId="053133A9">
      <w:pPr>
        <w:widowControl w:val="0"/>
        <w:numPr>
          <w:ilvl w:val="0"/>
          <w:numId w:val="0"/>
        </w:numPr>
        <w:kinsoku/>
        <w:autoSpaceDE/>
        <w:autoSpaceDN/>
        <w:adjustRightInd w:val="0"/>
        <w:snapToGrid w:val="0"/>
        <w:spacing w:line="520" w:lineRule="exact"/>
        <w:ind w:firstLine="643" w:firstLineChars="200"/>
        <w:jc w:val="center"/>
        <w:textAlignment w:val="auto"/>
        <w:rPr>
          <w:rStyle w:val="42"/>
          <w:rFonts w:hint="eastAsia" w:ascii="仿宋_GB2312" w:hAnsi="Times New Roman" w:eastAsia="仿宋_GB2312"/>
          <w:b/>
          <w:bCs/>
          <w:kern w:val="2"/>
          <w:sz w:val="32"/>
          <w:szCs w:val="32"/>
          <w:lang w:val="en-US" w:eastAsia="zh-CN"/>
        </w:rPr>
      </w:pPr>
    </w:p>
    <w:p w14:paraId="0A2A9EE5">
      <w:pPr>
        <w:widowControl w:val="0"/>
        <w:numPr>
          <w:ilvl w:val="0"/>
          <w:numId w:val="0"/>
        </w:numPr>
        <w:kinsoku/>
        <w:autoSpaceDE/>
        <w:autoSpaceDN/>
        <w:adjustRightInd w:val="0"/>
        <w:snapToGrid w:val="0"/>
        <w:spacing w:line="520" w:lineRule="exact"/>
        <w:ind w:firstLine="643" w:firstLineChars="200"/>
        <w:jc w:val="center"/>
        <w:textAlignment w:val="auto"/>
        <w:rPr>
          <w:rStyle w:val="42"/>
          <w:rFonts w:hint="eastAsia" w:ascii="仿宋_GB2312" w:hAnsi="Times New Roman" w:eastAsia="仿宋_GB2312"/>
          <w:b/>
          <w:bCs/>
          <w:kern w:val="2"/>
          <w:sz w:val="32"/>
          <w:szCs w:val="32"/>
          <w:lang w:val="en-US" w:eastAsia="zh-CN"/>
        </w:rPr>
      </w:pPr>
    </w:p>
    <w:p w14:paraId="167CF1DC">
      <w:pPr>
        <w:widowControl w:val="0"/>
        <w:numPr>
          <w:ilvl w:val="0"/>
          <w:numId w:val="0"/>
        </w:numPr>
        <w:kinsoku/>
        <w:autoSpaceDE/>
        <w:autoSpaceDN/>
        <w:adjustRightInd w:val="0"/>
        <w:snapToGrid w:val="0"/>
        <w:spacing w:line="520" w:lineRule="exact"/>
        <w:ind w:firstLine="643" w:firstLineChars="200"/>
        <w:jc w:val="center"/>
        <w:textAlignment w:val="auto"/>
        <w:rPr>
          <w:rStyle w:val="42"/>
          <w:rFonts w:hint="eastAsia" w:ascii="仿宋_GB2312" w:hAnsi="Times New Roman" w:eastAsia="仿宋_GB2312"/>
          <w:b/>
          <w:bCs/>
          <w:kern w:val="2"/>
          <w:sz w:val="32"/>
          <w:szCs w:val="32"/>
          <w:lang w:val="en-US" w:eastAsia="zh-CN"/>
        </w:rPr>
      </w:pPr>
    </w:p>
    <w:p w14:paraId="593FC29A">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cs="Times New Roman"/>
          <w:b/>
          <w:bCs/>
          <w:color w:val="000000"/>
          <w:kern w:val="2"/>
          <w:sz w:val="32"/>
          <w:szCs w:val="32"/>
          <w:lang w:val="en-US" w:eastAsia="zh-CN"/>
        </w:rPr>
        <w:t>岗木达镇明达村三家园基础设施提升项目</w:t>
      </w:r>
      <w:r>
        <w:rPr>
          <w:rStyle w:val="42"/>
          <w:rFonts w:hint="eastAsia" w:ascii="仿宋_GB2312" w:hAnsi="Times New Roman" w:eastAsia="仿宋_GB2312"/>
          <w:b/>
          <w:bCs/>
          <w:kern w:val="2"/>
          <w:sz w:val="32"/>
          <w:szCs w:val="32"/>
          <w:lang w:val="en-US" w:eastAsia="zh-CN"/>
        </w:rPr>
        <w:t>事前绩效评估汇总表</w:t>
      </w:r>
    </w:p>
    <w:p w14:paraId="166A6A8B">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p>
    <w:tbl>
      <w:tblPr>
        <w:tblStyle w:val="23"/>
        <w:tblW w:w="9069"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
        <w:gridCol w:w="2657"/>
        <w:gridCol w:w="949"/>
        <w:gridCol w:w="949"/>
        <w:gridCol w:w="999"/>
        <w:gridCol w:w="959"/>
        <w:gridCol w:w="2132"/>
      </w:tblGrid>
      <w:tr w14:paraId="7474B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424" w:type="dxa"/>
            <w:textDirection w:val="tbRlV"/>
          </w:tcPr>
          <w:p w14:paraId="0AA3CA1E">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序号</w:t>
            </w:r>
          </w:p>
        </w:tc>
        <w:tc>
          <w:tcPr>
            <w:tcW w:w="2657" w:type="dxa"/>
          </w:tcPr>
          <w:p w14:paraId="35E4DCC4">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项目内容</w:t>
            </w:r>
          </w:p>
        </w:tc>
        <w:tc>
          <w:tcPr>
            <w:tcW w:w="949" w:type="dxa"/>
          </w:tcPr>
          <w:p w14:paraId="47B30466">
            <w:pPr>
              <w:widowControl w:val="0"/>
              <w:numPr>
                <w:ilvl w:val="0"/>
                <w:numId w:val="0"/>
              </w:numPr>
              <w:kinsoku/>
              <w:autoSpaceDE/>
              <w:autoSpaceDN/>
              <w:adjustRightInd w:val="0"/>
              <w:snapToGrid w:val="0"/>
              <w:spacing w:line="520" w:lineRule="exact"/>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申报</w:t>
            </w:r>
          </w:p>
          <w:p w14:paraId="1B82FAFE">
            <w:pPr>
              <w:widowControl w:val="0"/>
              <w:numPr>
                <w:ilvl w:val="0"/>
                <w:numId w:val="0"/>
              </w:numPr>
              <w:kinsoku/>
              <w:autoSpaceDE/>
              <w:autoSpaceDN/>
              <w:adjustRightInd w:val="0"/>
              <w:snapToGrid w:val="0"/>
              <w:spacing w:line="520" w:lineRule="exact"/>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预算</w:t>
            </w:r>
          </w:p>
        </w:tc>
        <w:tc>
          <w:tcPr>
            <w:tcW w:w="949" w:type="dxa"/>
          </w:tcPr>
          <w:p w14:paraId="11067F80">
            <w:pPr>
              <w:widowControl w:val="0"/>
              <w:numPr>
                <w:ilvl w:val="0"/>
                <w:numId w:val="0"/>
              </w:numPr>
              <w:kinsoku/>
              <w:autoSpaceDE/>
              <w:autoSpaceDN/>
              <w:adjustRightInd w:val="0"/>
              <w:snapToGrid w:val="0"/>
              <w:spacing w:line="520" w:lineRule="exact"/>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送审</w:t>
            </w:r>
          </w:p>
          <w:p w14:paraId="434CEC92">
            <w:pPr>
              <w:widowControl w:val="0"/>
              <w:numPr>
                <w:ilvl w:val="0"/>
                <w:numId w:val="0"/>
              </w:numPr>
              <w:kinsoku/>
              <w:autoSpaceDE/>
              <w:autoSpaceDN/>
              <w:adjustRightInd w:val="0"/>
              <w:snapToGrid w:val="0"/>
              <w:spacing w:line="520" w:lineRule="exact"/>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金额</w:t>
            </w:r>
          </w:p>
        </w:tc>
        <w:tc>
          <w:tcPr>
            <w:tcW w:w="999" w:type="dxa"/>
          </w:tcPr>
          <w:p w14:paraId="3EFCAFF7">
            <w:pPr>
              <w:widowControl w:val="0"/>
              <w:numPr>
                <w:ilvl w:val="0"/>
                <w:numId w:val="0"/>
              </w:numPr>
              <w:kinsoku/>
              <w:autoSpaceDE/>
              <w:autoSpaceDN/>
              <w:adjustRightInd w:val="0"/>
              <w:snapToGrid w:val="0"/>
              <w:spacing w:line="520" w:lineRule="exact"/>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建议控制 额</w:t>
            </w:r>
          </w:p>
        </w:tc>
        <w:tc>
          <w:tcPr>
            <w:tcW w:w="959" w:type="dxa"/>
          </w:tcPr>
          <w:p w14:paraId="3BF3185B">
            <w:pPr>
              <w:widowControl w:val="0"/>
              <w:numPr>
                <w:ilvl w:val="0"/>
                <w:numId w:val="0"/>
              </w:numPr>
              <w:kinsoku/>
              <w:autoSpaceDE/>
              <w:autoSpaceDN/>
              <w:adjustRightInd w:val="0"/>
              <w:snapToGrid w:val="0"/>
              <w:spacing w:line="520" w:lineRule="exact"/>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核减</w:t>
            </w:r>
          </w:p>
        </w:tc>
        <w:tc>
          <w:tcPr>
            <w:tcW w:w="2132" w:type="dxa"/>
            <w:vMerge w:val="restart"/>
            <w:tcBorders>
              <w:bottom w:val="nil"/>
            </w:tcBorders>
          </w:tcPr>
          <w:p w14:paraId="2BE06495">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p>
          <w:p w14:paraId="44F3C3FE">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备注</w:t>
            </w:r>
          </w:p>
        </w:tc>
      </w:tr>
      <w:tr w14:paraId="2766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424" w:type="dxa"/>
          </w:tcPr>
          <w:p w14:paraId="364295FC">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p>
        </w:tc>
        <w:tc>
          <w:tcPr>
            <w:tcW w:w="2657" w:type="dxa"/>
          </w:tcPr>
          <w:p w14:paraId="70F2E5CD">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合计(万元)</w:t>
            </w:r>
          </w:p>
        </w:tc>
        <w:tc>
          <w:tcPr>
            <w:tcW w:w="949" w:type="dxa"/>
          </w:tcPr>
          <w:p w14:paraId="6B68C3DB">
            <w:pPr>
              <w:widowControl w:val="0"/>
              <w:numPr>
                <w:ilvl w:val="0"/>
                <w:numId w:val="0"/>
              </w:numPr>
              <w:kinsoku/>
              <w:autoSpaceDE/>
              <w:autoSpaceDN/>
              <w:adjustRightInd w:val="0"/>
              <w:snapToGrid w:val="0"/>
              <w:spacing w:line="520" w:lineRule="exact"/>
              <w:jc w:val="both"/>
              <w:textAlignment w:val="auto"/>
              <w:rPr>
                <w:rStyle w:val="42"/>
                <w:rFonts w:hint="default"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87.5</w:t>
            </w:r>
          </w:p>
        </w:tc>
        <w:tc>
          <w:tcPr>
            <w:tcW w:w="949" w:type="dxa"/>
          </w:tcPr>
          <w:p w14:paraId="51FBE476">
            <w:pPr>
              <w:widowControl w:val="0"/>
              <w:numPr>
                <w:ilvl w:val="0"/>
                <w:numId w:val="0"/>
              </w:numPr>
              <w:kinsoku/>
              <w:autoSpaceDE/>
              <w:autoSpaceDN/>
              <w:adjustRightInd w:val="0"/>
              <w:snapToGrid w:val="0"/>
              <w:spacing w:line="520" w:lineRule="exact"/>
              <w:jc w:val="both"/>
              <w:textAlignment w:val="auto"/>
              <w:rPr>
                <w:rStyle w:val="42"/>
                <w:rFonts w:hint="default"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75.8</w:t>
            </w:r>
          </w:p>
        </w:tc>
        <w:tc>
          <w:tcPr>
            <w:tcW w:w="999" w:type="dxa"/>
          </w:tcPr>
          <w:p w14:paraId="146AC041">
            <w:pPr>
              <w:widowControl w:val="0"/>
              <w:numPr>
                <w:ilvl w:val="0"/>
                <w:numId w:val="0"/>
              </w:numPr>
              <w:kinsoku/>
              <w:autoSpaceDE/>
              <w:autoSpaceDN/>
              <w:adjustRightInd w:val="0"/>
              <w:snapToGrid w:val="0"/>
              <w:spacing w:line="520" w:lineRule="exact"/>
              <w:jc w:val="both"/>
              <w:textAlignment w:val="auto"/>
              <w:rPr>
                <w:rStyle w:val="42"/>
                <w:rFonts w:hint="default"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87.5</w:t>
            </w:r>
          </w:p>
        </w:tc>
        <w:tc>
          <w:tcPr>
            <w:tcW w:w="959" w:type="dxa"/>
          </w:tcPr>
          <w:p w14:paraId="0A78FAC0">
            <w:pPr>
              <w:widowControl w:val="0"/>
              <w:numPr>
                <w:ilvl w:val="0"/>
                <w:numId w:val="0"/>
              </w:numPr>
              <w:kinsoku/>
              <w:autoSpaceDE/>
              <w:autoSpaceDN/>
              <w:adjustRightInd w:val="0"/>
              <w:snapToGrid w:val="0"/>
              <w:spacing w:line="520" w:lineRule="exact"/>
              <w:jc w:val="both"/>
              <w:textAlignment w:val="auto"/>
              <w:rPr>
                <w:rStyle w:val="42"/>
                <w:rFonts w:hint="default"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0</w:t>
            </w:r>
          </w:p>
        </w:tc>
        <w:tc>
          <w:tcPr>
            <w:tcW w:w="2132" w:type="dxa"/>
            <w:vMerge w:val="continue"/>
            <w:tcBorders>
              <w:top w:val="nil"/>
            </w:tcBorders>
          </w:tcPr>
          <w:p w14:paraId="30D1962D">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p>
        </w:tc>
      </w:tr>
      <w:tr w14:paraId="75421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424" w:type="dxa"/>
          </w:tcPr>
          <w:p w14:paraId="04E0785B">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p>
        </w:tc>
        <w:tc>
          <w:tcPr>
            <w:tcW w:w="2657" w:type="dxa"/>
          </w:tcPr>
          <w:p w14:paraId="013E670D">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p>
        </w:tc>
        <w:tc>
          <w:tcPr>
            <w:tcW w:w="949" w:type="dxa"/>
          </w:tcPr>
          <w:p w14:paraId="04104998">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p>
        </w:tc>
        <w:tc>
          <w:tcPr>
            <w:tcW w:w="949" w:type="dxa"/>
          </w:tcPr>
          <w:p w14:paraId="4B146581">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p>
        </w:tc>
        <w:tc>
          <w:tcPr>
            <w:tcW w:w="999" w:type="dxa"/>
          </w:tcPr>
          <w:p w14:paraId="02A70806">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p>
        </w:tc>
        <w:tc>
          <w:tcPr>
            <w:tcW w:w="959" w:type="dxa"/>
          </w:tcPr>
          <w:p w14:paraId="3D702952">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p>
        </w:tc>
        <w:tc>
          <w:tcPr>
            <w:tcW w:w="2132" w:type="dxa"/>
          </w:tcPr>
          <w:p w14:paraId="4E9A2FBE">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p>
        </w:tc>
      </w:tr>
    </w:tbl>
    <w:p w14:paraId="404ADEF0">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b/>
          <w:bCs/>
          <w:kern w:val="2"/>
          <w:sz w:val="32"/>
          <w:szCs w:val="32"/>
          <w:lang w:val="en-US" w:eastAsia="zh-CN"/>
        </w:rPr>
        <w:t>(三)目标合理性</w:t>
      </w:r>
    </w:p>
    <w:p w14:paraId="0B6CD8AF">
      <w:pPr>
        <w:numPr>
          <w:ilvl w:val="0"/>
          <w:numId w:val="0"/>
        </w:numPr>
        <w:adjustRightInd w:val="0"/>
        <w:snapToGrid w:val="0"/>
        <w:spacing w:line="520" w:lineRule="exact"/>
        <w:ind w:firstLine="640" w:firstLineChars="200"/>
        <w:rPr>
          <w:rStyle w:val="42"/>
          <w:rFonts w:hint="eastAsia" w:ascii="仿宋_GB2312" w:hAnsi="Times New Roman" w:eastAsia="仿宋_GB2312"/>
          <w:kern w:val="2"/>
          <w:sz w:val="32"/>
          <w:szCs w:val="32"/>
          <w:lang w:val="en-US" w:eastAsia="zh-CN"/>
        </w:rPr>
      </w:pPr>
      <w:r>
        <w:rPr>
          <w:rFonts w:hint="eastAsia" w:ascii="仿宋_GB2312" w:hAnsi="宋体" w:eastAsia="仿宋_GB2312"/>
          <w:sz w:val="32"/>
          <w:szCs w:val="32"/>
          <w:lang w:eastAsia="zh-CN"/>
        </w:rPr>
        <w:t>该项目绩效目标根据项目实施内容、实施时间、群众满意度、项目实际资金投入、持续性和项目验收进行设置，评估内容包括绩效目标和绩效指标量化可考核、相匹配、全面完整，契合政策和项目实质，与部门的长期规划目标、年度工作目标相一致，产出和效果相关联。</w:t>
      </w:r>
    </w:p>
    <w:p w14:paraId="27FBA3EC">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b/>
          <w:bCs/>
          <w:kern w:val="2"/>
          <w:sz w:val="32"/>
          <w:szCs w:val="32"/>
          <w:lang w:val="en-US" w:eastAsia="zh-CN"/>
        </w:rPr>
        <w:t>(四)实施可行性</w:t>
      </w:r>
    </w:p>
    <w:p w14:paraId="1B9B9DB6">
      <w:pPr>
        <w:widowControl w:val="0"/>
        <w:numPr>
          <w:ilvl w:val="0"/>
          <w:numId w:val="0"/>
        </w:numPr>
        <w:kinsoku/>
        <w:autoSpaceDE/>
        <w:autoSpaceDN/>
        <w:adjustRightInd w:val="0"/>
        <w:snapToGrid w:val="0"/>
        <w:spacing w:line="520" w:lineRule="exact"/>
        <w:ind w:firstLine="640" w:firstLineChars="200"/>
        <w:jc w:val="both"/>
        <w:textAlignment w:val="auto"/>
        <w:rPr>
          <w:rFonts w:hint="eastAsia" w:ascii="仿宋_GB2312" w:hAnsi="宋体" w:eastAsia="仿宋_GB2312"/>
          <w:color w:val="000000"/>
          <w:sz w:val="32"/>
          <w:szCs w:val="32"/>
          <w:lang w:val="en-US" w:eastAsia="zh-CN"/>
        </w:rPr>
      </w:pPr>
      <w:r>
        <w:rPr>
          <w:rStyle w:val="42"/>
          <w:rFonts w:hint="eastAsia" w:ascii="仿宋_GB2312" w:hAnsi="Times New Roman" w:eastAsia="仿宋_GB2312" w:cs="Times New Roman"/>
          <w:kern w:val="2"/>
          <w:sz w:val="32"/>
          <w:szCs w:val="32"/>
          <w:lang w:val="en-US" w:eastAsia="zh-CN"/>
        </w:rPr>
        <w:t>岗木达镇明达村三家园基础设施提升项目</w:t>
      </w:r>
      <w:r>
        <w:rPr>
          <w:rFonts w:hint="eastAsia" w:ascii="仿宋_GB2312" w:hAnsi="宋体" w:eastAsia="仿宋_GB2312"/>
          <w:sz w:val="32"/>
          <w:szCs w:val="32"/>
          <w:lang w:eastAsia="zh-CN"/>
        </w:rPr>
        <w:t>主要实施内容为：</w:t>
      </w:r>
      <w:r>
        <w:rPr>
          <w:rStyle w:val="42"/>
          <w:rFonts w:hint="eastAsia" w:ascii="仿宋_GB2312" w:hAnsi="Times New Roman" w:eastAsia="仿宋_GB2312" w:cs="Times New Roman"/>
          <w:color w:val="000000"/>
          <w:kern w:val="2"/>
          <w:sz w:val="32"/>
          <w:szCs w:val="32"/>
          <w:lang w:val="en-US" w:eastAsia="zh-CN"/>
        </w:rPr>
        <w:t>浆砌片石挡墙约500方、路面翻新硬化及地面硬化约1200平方米、室外台阶约40平方米、浆砌片石挡墙40米、石围栏250米，村内环境整治及其它零星工程。</w:t>
      </w:r>
      <w:r>
        <w:rPr>
          <w:rStyle w:val="42"/>
          <w:rFonts w:hint="eastAsia" w:ascii="仿宋_GB2312" w:hAnsi="Times New Roman" w:eastAsia="仿宋_GB2312"/>
          <w:sz w:val="32"/>
          <w:szCs w:val="32"/>
          <w:lang w:val="en-US" w:eastAsia="zh-CN"/>
        </w:rPr>
        <w:t>项目总投资87.5万元，</w:t>
      </w:r>
      <w:r>
        <w:rPr>
          <w:rStyle w:val="42"/>
          <w:rFonts w:hint="eastAsia" w:ascii="仿宋_GB2312" w:eastAsia="仿宋_GB2312"/>
          <w:color w:val="auto"/>
          <w:sz w:val="32"/>
          <w:szCs w:val="32"/>
          <w:lang w:val="en-US" w:eastAsia="zh-CN"/>
        </w:rPr>
        <w:t>资金来源于财政统筹整合资金，</w:t>
      </w:r>
      <w:r>
        <w:rPr>
          <w:rStyle w:val="42"/>
          <w:rFonts w:hint="eastAsia" w:ascii="仿宋_GB2312" w:hAnsi="Times New Roman" w:eastAsia="仿宋_GB2312"/>
          <w:sz w:val="32"/>
          <w:szCs w:val="32"/>
          <w:lang w:val="en-US" w:eastAsia="zh-CN"/>
        </w:rPr>
        <w:t>并编制项目建议书和项目可行性研究报告具有健全的</w:t>
      </w:r>
      <w:r>
        <w:rPr>
          <w:rFonts w:hint="eastAsia" w:ascii="仿宋_GB2312" w:hAnsi="宋体" w:eastAsia="仿宋_GB2312"/>
          <w:sz w:val="32"/>
          <w:szCs w:val="32"/>
          <w:lang w:eastAsia="zh-CN"/>
        </w:rPr>
        <w:t>组织机构，职责分工明确</w:t>
      </w:r>
      <w:r>
        <w:rPr>
          <w:rStyle w:val="42"/>
          <w:rFonts w:hint="eastAsia" w:ascii="仿宋_GB2312" w:hAnsi="Times New Roman" w:eastAsia="仿宋_GB2312"/>
          <w:sz w:val="32"/>
          <w:szCs w:val="32"/>
          <w:lang w:val="en-US" w:eastAsia="zh-CN"/>
        </w:rPr>
        <w:t>，</w:t>
      </w:r>
      <w:r>
        <w:rPr>
          <w:rFonts w:hint="eastAsia" w:ascii="仿宋_GB2312" w:hAnsi="宋体" w:eastAsia="仿宋_GB2312"/>
          <w:sz w:val="32"/>
          <w:szCs w:val="32"/>
          <w:lang w:eastAsia="zh-CN"/>
        </w:rPr>
        <w:t>具有相应的质量检查、验收等必要的控制措施或手段、针对突发事件或未知风险的应急措施</w:t>
      </w:r>
      <w:r>
        <w:rPr>
          <w:rFonts w:hint="eastAsia" w:ascii="仿宋_GB2312" w:hAnsi="宋体" w:eastAsia="仿宋_GB2312"/>
          <w:sz w:val="32"/>
          <w:szCs w:val="32"/>
        </w:rPr>
        <w:t>等</w:t>
      </w:r>
      <w:r>
        <w:rPr>
          <w:rFonts w:hint="eastAsia" w:ascii="仿宋_GB2312" w:hAnsi="宋体" w:eastAsia="仿宋_GB2312"/>
          <w:sz w:val="32"/>
          <w:szCs w:val="32"/>
          <w:lang w:eastAsia="zh-CN"/>
        </w:rPr>
        <w:t>，</w:t>
      </w:r>
      <w:r>
        <w:rPr>
          <w:rStyle w:val="42"/>
          <w:rFonts w:hint="eastAsia" w:ascii="仿宋_GB2312" w:hAnsi="Times New Roman" w:eastAsia="仿宋_GB2312"/>
          <w:sz w:val="32"/>
          <w:szCs w:val="32"/>
          <w:lang w:val="en-US" w:eastAsia="zh-CN"/>
        </w:rPr>
        <w:t>项目实施时间为</w:t>
      </w:r>
      <w:r>
        <w:rPr>
          <w:rStyle w:val="42"/>
          <w:rFonts w:ascii="仿宋_GB2312" w:eastAsia="仿宋_GB2312"/>
          <w:sz w:val="32"/>
          <w:szCs w:val="32"/>
        </w:rPr>
        <w:t>202</w:t>
      </w:r>
      <w:r>
        <w:rPr>
          <w:rStyle w:val="42"/>
          <w:rFonts w:hint="eastAsia" w:ascii="仿宋_GB2312" w:eastAsia="仿宋_GB2312"/>
          <w:sz w:val="32"/>
          <w:szCs w:val="32"/>
          <w:lang w:val="en-US" w:eastAsia="zh-CN"/>
        </w:rPr>
        <w:t>3</w:t>
      </w:r>
      <w:r>
        <w:rPr>
          <w:rStyle w:val="42"/>
          <w:rFonts w:ascii="仿宋_GB2312" w:eastAsia="仿宋_GB2312"/>
          <w:sz w:val="32"/>
          <w:szCs w:val="32"/>
        </w:rPr>
        <w:t>年</w:t>
      </w:r>
      <w:r>
        <w:rPr>
          <w:rStyle w:val="42"/>
          <w:rFonts w:hint="eastAsia" w:ascii="仿宋_GB2312" w:eastAsia="仿宋_GB2312"/>
          <w:sz w:val="32"/>
          <w:szCs w:val="32"/>
          <w:lang w:val="en-US" w:eastAsia="zh-CN"/>
        </w:rPr>
        <w:t>6</w:t>
      </w:r>
      <w:r>
        <w:rPr>
          <w:rStyle w:val="42"/>
          <w:rFonts w:ascii="仿宋_GB2312" w:eastAsia="仿宋_GB2312"/>
          <w:sz w:val="32"/>
          <w:szCs w:val="32"/>
        </w:rPr>
        <w:t>月---202</w:t>
      </w:r>
      <w:r>
        <w:rPr>
          <w:rStyle w:val="42"/>
          <w:rFonts w:hint="eastAsia" w:ascii="仿宋_GB2312" w:eastAsia="仿宋_GB2312"/>
          <w:sz w:val="32"/>
          <w:szCs w:val="32"/>
          <w:lang w:val="en-US" w:eastAsia="zh-CN"/>
        </w:rPr>
        <w:t>3</w:t>
      </w:r>
      <w:r>
        <w:rPr>
          <w:rStyle w:val="42"/>
          <w:rFonts w:ascii="仿宋_GB2312" w:eastAsia="仿宋_GB2312"/>
          <w:sz w:val="32"/>
          <w:szCs w:val="32"/>
        </w:rPr>
        <w:t>年</w:t>
      </w:r>
      <w:r>
        <w:rPr>
          <w:rStyle w:val="42"/>
          <w:rFonts w:hint="eastAsia" w:ascii="仿宋_GB2312" w:eastAsia="仿宋_GB2312"/>
          <w:sz w:val="32"/>
          <w:szCs w:val="32"/>
          <w:lang w:val="en-US" w:eastAsia="zh-CN"/>
        </w:rPr>
        <w:t>9</w:t>
      </w:r>
      <w:r>
        <w:rPr>
          <w:rStyle w:val="42"/>
          <w:rFonts w:ascii="仿宋_GB2312" w:eastAsia="仿宋_GB2312"/>
          <w:sz w:val="32"/>
          <w:szCs w:val="32"/>
        </w:rPr>
        <w:t>月</w:t>
      </w:r>
      <w:r>
        <w:rPr>
          <w:rStyle w:val="42"/>
          <w:rFonts w:hint="eastAsia" w:ascii="仿宋_GB2312" w:eastAsia="仿宋_GB2312"/>
          <w:sz w:val="32"/>
          <w:szCs w:val="32"/>
          <w:lang w:eastAsia="zh-CN"/>
        </w:rPr>
        <w:t>，</w:t>
      </w:r>
      <w:r>
        <w:rPr>
          <w:rStyle w:val="42"/>
          <w:rFonts w:hint="eastAsia" w:ascii="仿宋_GB2312" w:hAnsi="Times New Roman" w:eastAsia="仿宋_GB2312"/>
          <w:sz w:val="32"/>
          <w:szCs w:val="32"/>
          <w:lang w:val="en-US" w:eastAsia="zh-CN"/>
        </w:rPr>
        <w:t>经发改局审核通过，批复文号</w:t>
      </w:r>
      <w:r>
        <w:rPr>
          <w:rFonts w:hint="eastAsia" w:ascii="仿宋_GB2312" w:hAnsi="宋体" w:eastAsia="仿宋_GB2312"/>
          <w:color w:val="000000"/>
          <w:sz w:val="32"/>
          <w:szCs w:val="32"/>
          <w:lang w:eastAsia="zh-CN"/>
        </w:rPr>
        <w:t>壤发改行审【202</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lang w:val="en-US" w:eastAsia="zh-CN"/>
        </w:rPr>
        <w:t>144</w:t>
      </w:r>
      <w:r>
        <w:rPr>
          <w:rFonts w:hint="eastAsia" w:ascii="仿宋_GB2312" w:hAnsi="宋体" w:eastAsia="仿宋_GB2312"/>
          <w:color w:val="000000"/>
          <w:sz w:val="32"/>
          <w:szCs w:val="32"/>
          <w:lang w:eastAsia="zh-CN"/>
        </w:rPr>
        <w:t>号</w:t>
      </w:r>
      <w:r>
        <w:rPr>
          <w:rFonts w:hint="eastAsia" w:ascii="仿宋_GB2312" w:hAnsi="宋体" w:eastAsia="仿宋_GB2312"/>
          <w:color w:val="000000"/>
          <w:sz w:val="32"/>
          <w:szCs w:val="32"/>
          <w:lang w:val="en-US" w:eastAsia="zh-CN"/>
        </w:rPr>
        <w:t>。</w:t>
      </w:r>
    </w:p>
    <w:p w14:paraId="211FD751">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b/>
          <w:bCs/>
          <w:kern w:val="2"/>
          <w:sz w:val="32"/>
          <w:szCs w:val="32"/>
          <w:lang w:val="en-US" w:eastAsia="zh-CN"/>
        </w:rPr>
        <w:t>(五)筹资合规性</w:t>
      </w:r>
    </w:p>
    <w:p w14:paraId="146AAB9C">
      <w:pPr>
        <w:widowControl w:val="0"/>
        <w:numPr>
          <w:ilvl w:val="0"/>
          <w:numId w:val="0"/>
        </w:numPr>
        <w:kinsoku/>
        <w:autoSpaceDE/>
        <w:autoSpaceDN/>
        <w:adjustRightInd w:val="0"/>
        <w:snapToGrid w:val="0"/>
        <w:spacing w:line="520" w:lineRule="exact"/>
        <w:ind w:firstLine="640" w:firstLineChars="200"/>
        <w:jc w:val="both"/>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该项目于</w:t>
      </w:r>
      <w:r>
        <w:rPr>
          <w:rFonts w:hint="eastAsia" w:ascii="仿宋_GB2312" w:hAnsi="宋体" w:eastAsia="仿宋_GB2312"/>
          <w:sz w:val="32"/>
          <w:szCs w:val="32"/>
          <w:lang w:val="en-US" w:eastAsia="zh-CN"/>
        </w:rPr>
        <w:t>2023年2月1日</w:t>
      </w:r>
      <w:r>
        <w:rPr>
          <w:rFonts w:hint="eastAsia" w:ascii="仿宋_GB2312" w:hAnsi="宋体" w:eastAsia="仿宋_GB2312"/>
          <w:sz w:val="32"/>
          <w:szCs w:val="32"/>
          <w:lang w:eastAsia="zh-CN"/>
        </w:rPr>
        <w:t>根据壤乡振函</w:t>
      </w:r>
      <w:r>
        <w:rPr>
          <w:rFonts w:hint="eastAsia" w:ascii="仿宋_GB2312" w:hAnsi="宋体" w:eastAsia="仿宋_GB2312"/>
          <w:sz w:val="32"/>
          <w:szCs w:val="32"/>
          <w:lang w:val="en-US" w:eastAsia="zh-CN"/>
        </w:rPr>
        <w:t>[2023]24号文件下达</w:t>
      </w:r>
      <w:r>
        <w:rPr>
          <w:rStyle w:val="42"/>
          <w:rFonts w:hint="eastAsia" w:ascii="仿宋_GB2312" w:eastAsia="仿宋_GB2312"/>
          <w:color w:val="auto"/>
          <w:sz w:val="32"/>
          <w:szCs w:val="32"/>
          <w:lang w:val="en-US" w:eastAsia="zh-CN"/>
        </w:rPr>
        <w:t>财政统筹整合资金87.5万元，</w:t>
      </w:r>
      <w:r>
        <w:rPr>
          <w:rFonts w:hint="eastAsia" w:ascii="仿宋_GB2312" w:hAnsi="宋体" w:eastAsia="仿宋_GB2312"/>
          <w:sz w:val="32"/>
          <w:szCs w:val="32"/>
        </w:rPr>
        <w:t>政策</w:t>
      </w:r>
      <w:r>
        <w:rPr>
          <w:rFonts w:hint="eastAsia" w:ascii="仿宋_GB2312" w:hAnsi="宋体" w:eastAsia="仿宋_GB2312"/>
          <w:sz w:val="32"/>
          <w:szCs w:val="32"/>
          <w:lang w:eastAsia="zh-CN"/>
        </w:rPr>
        <w:t>或</w:t>
      </w:r>
      <w:r>
        <w:rPr>
          <w:rFonts w:hint="eastAsia" w:ascii="仿宋_GB2312" w:hAnsi="宋体" w:eastAsia="仿宋_GB2312"/>
          <w:sz w:val="32"/>
          <w:szCs w:val="32"/>
        </w:rPr>
        <w:t>项目</w:t>
      </w:r>
      <w:r>
        <w:rPr>
          <w:rFonts w:hint="eastAsia" w:ascii="仿宋_GB2312" w:hAnsi="宋体" w:eastAsia="仿宋_GB2312"/>
          <w:sz w:val="32"/>
          <w:szCs w:val="32"/>
          <w:lang w:eastAsia="zh-CN"/>
        </w:rPr>
        <w:t>具有公共性，属于公共财政支持范围，筹资渠道符合法律法规规定，筹资结构合理，资金来源渠道明确。</w:t>
      </w:r>
    </w:p>
    <w:p w14:paraId="67F42B73">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b/>
          <w:bCs/>
          <w:kern w:val="2"/>
          <w:sz w:val="32"/>
          <w:szCs w:val="32"/>
          <w:lang w:val="en-US" w:eastAsia="zh-CN"/>
        </w:rPr>
        <w:t>(六)以前年度绩效评价情况</w:t>
      </w:r>
    </w:p>
    <w:p w14:paraId="19D7D5D7">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无</w:t>
      </w:r>
    </w:p>
    <w:p w14:paraId="0EC12A0B">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b/>
          <w:bCs/>
          <w:kern w:val="2"/>
          <w:sz w:val="32"/>
          <w:szCs w:val="32"/>
          <w:lang w:val="en-US" w:eastAsia="zh-CN"/>
        </w:rPr>
        <w:t>六、评估结论</w:t>
      </w:r>
    </w:p>
    <w:p w14:paraId="0726C581">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综合前述评估内容来看，该项目立项必要性和依据充分，绩效目标明确，具备实施条件，具有公共性，符合财政资金支持方向等。建议予以支持，预算控制在87.5万元以内。该项目申请资金总预算87.5万元，经评审，建议预算申报数87.5万元,合计评减0万元，评减率0%。</w:t>
      </w:r>
    </w:p>
    <w:p w14:paraId="25490C84">
      <w:pPr>
        <w:widowControl w:val="0"/>
        <w:numPr>
          <w:ilvl w:val="0"/>
          <w:numId w:val="0"/>
        </w:numPr>
        <w:kinsoku/>
        <w:autoSpaceDE/>
        <w:autoSpaceDN/>
        <w:adjustRightInd w:val="0"/>
        <w:snapToGrid w:val="0"/>
        <w:spacing w:line="520" w:lineRule="exact"/>
        <w:ind w:firstLine="643" w:firstLineChars="200"/>
        <w:jc w:val="both"/>
        <w:textAlignment w:val="auto"/>
        <w:rPr>
          <w:rStyle w:val="42"/>
          <w:rFonts w:hint="eastAsia" w:ascii="仿宋_GB2312" w:hAnsi="Times New Roman" w:eastAsia="仿宋_GB2312"/>
          <w:b/>
          <w:bCs/>
          <w:kern w:val="2"/>
          <w:sz w:val="32"/>
          <w:szCs w:val="32"/>
          <w:lang w:val="en-US" w:eastAsia="zh-CN"/>
        </w:rPr>
      </w:pPr>
      <w:r>
        <w:rPr>
          <w:rStyle w:val="42"/>
          <w:rFonts w:hint="eastAsia" w:ascii="仿宋_GB2312" w:hAnsi="Times New Roman" w:eastAsia="仿宋_GB2312"/>
          <w:b/>
          <w:bCs/>
          <w:kern w:val="2"/>
          <w:sz w:val="32"/>
          <w:szCs w:val="32"/>
          <w:lang w:val="en-US" w:eastAsia="zh-CN"/>
        </w:rPr>
        <w:t>七、其它说明事项</w:t>
      </w:r>
    </w:p>
    <w:p w14:paraId="45EF26F0">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default"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无</w:t>
      </w:r>
    </w:p>
    <w:p w14:paraId="3EF9A7EA">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p>
    <w:p w14:paraId="6D22FF86">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p>
    <w:p w14:paraId="0526D2C1">
      <w:pPr>
        <w:pStyle w:val="2"/>
        <w:rPr>
          <w:rStyle w:val="42"/>
          <w:rFonts w:hint="eastAsia" w:ascii="仿宋_GB2312" w:hAnsi="Times New Roman" w:eastAsia="仿宋_GB2312"/>
          <w:kern w:val="2"/>
          <w:sz w:val="32"/>
          <w:szCs w:val="32"/>
          <w:lang w:val="en-US" w:eastAsia="zh-CN"/>
        </w:rPr>
      </w:pPr>
    </w:p>
    <w:p w14:paraId="58E02BD8">
      <w:pPr>
        <w:widowControl w:val="0"/>
        <w:numPr>
          <w:ilvl w:val="0"/>
          <w:numId w:val="0"/>
        </w:numPr>
        <w:kinsoku/>
        <w:autoSpaceDE/>
        <w:autoSpaceDN/>
        <w:adjustRightInd w:val="0"/>
        <w:snapToGrid w:val="0"/>
        <w:spacing w:line="520" w:lineRule="exact"/>
        <w:ind w:firstLine="4480" w:firstLineChars="1400"/>
        <w:jc w:val="both"/>
        <w:textAlignment w:val="auto"/>
        <w:rPr>
          <w:rStyle w:val="42"/>
          <w:rFonts w:hint="eastAsia"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壤塘县岗木达镇人民政府</w:t>
      </w:r>
    </w:p>
    <w:p w14:paraId="25350650">
      <w:pPr>
        <w:widowControl w:val="0"/>
        <w:numPr>
          <w:ilvl w:val="0"/>
          <w:numId w:val="0"/>
        </w:numPr>
        <w:kinsoku/>
        <w:autoSpaceDE/>
        <w:autoSpaceDN/>
        <w:adjustRightInd w:val="0"/>
        <w:snapToGrid w:val="0"/>
        <w:spacing w:line="520" w:lineRule="exact"/>
        <w:ind w:firstLine="4800" w:firstLineChars="1500"/>
        <w:jc w:val="both"/>
        <w:textAlignment w:val="auto"/>
        <w:rPr>
          <w:rStyle w:val="42"/>
          <w:rFonts w:hint="default" w:ascii="仿宋_GB2312" w:hAnsi="Times New Roman" w:eastAsia="仿宋_GB2312"/>
          <w:kern w:val="2"/>
          <w:sz w:val="32"/>
          <w:szCs w:val="32"/>
          <w:lang w:val="en-US" w:eastAsia="zh-CN"/>
        </w:rPr>
      </w:pPr>
      <w:r>
        <w:rPr>
          <w:rStyle w:val="42"/>
          <w:rFonts w:hint="eastAsia" w:ascii="仿宋_GB2312" w:hAnsi="Times New Roman" w:eastAsia="仿宋_GB2312"/>
          <w:kern w:val="2"/>
          <w:sz w:val="32"/>
          <w:szCs w:val="32"/>
          <w:lang w:val="en-US" w:eastAsia="zh-CN"/>
        </w:rPr>
        <w:t>2023年5月2日</w:t>
      </w:r>
    </w:p>
    <w:p w14:paraId="1E9C3E9B">
      <w:pPr>
        <w:widowControl w:val="0"/>
        <w:numPr>
          <w:ilvl w:val="0"/>
          <w:numId w:val="0"/>
        </w:numPr>
        <w:kinsoku/>
        <w:autoSpaceDE/>
        <w:autoSpaceDN/>
        <w:adjustRightInd w:val="0"/>
        <w:snapToGrid w:val="0"/>
        <w:spacing w:line="520" w:lineRule="exact"/>
        <w:ind w:firstLine="640" w:firstLineChars="200"/>
        <w:jc w:val="both"/>
        <w:textAlignment w:val="auto"/>
        <w:rPr>
          <w:rStyle w:val="42"/>
          <w:rFonts w:hint="eastAsia" w:ascii="仿宋_GB2312" w:hAnsi="Times New Roman" w:eastAsia="仿宋_GB2312"/>
          <w:kern w:val="2"/>
          <w:sz w:val="32"/>
          <w:szCs w:val="32"/>
          <w:lang w:val="en-US" w:eastAsia="zh-CN"/>
        </w:rPr>
      </w:pPr>
    </w:p>
    <w:p w14:paraId="6904DC6E">
      <w:pPr>
        <w:rPr>
          <w:rFonts w:hint="eastAsia"/>
        </w:rPr>
      </w:pPr>
    </w:p>
    <w:p w14:paraId="7594DEEE">
      <w:pPr>
        <w:pStyle w:val="17"/>
        <w:rPr>
          <w:rFonts w:hint="eastAsia"/>
        </w:rPr>
      </w:pPr>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F3B7A3-5904-4E30-BD59-7CC1823368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8601D16-47C8-443E-AEC3-5597BDFAA1E9}"/>
  </w:font>
  <w:font w:name="仿宋">
    <w:panose1 w:val="02010609060101010101"/>
    <w:charset w:val="86"/>
    <w:family w:val="modern"/>
    <w:pitch w:val="default"/>
    <w:sig w:usb0="800002BF" w:usb1="38CF7CFA" w:usb2="00000016" w:usb3="00000000" w:csb0="00040001" w:csb1="00000000"/>
    <w:embedRegular r:id="rId3" w:fontKey="{C0E3B7E9-EDC0-4A92-92AE-02C80DE92452}"/>
  </w:font>
  <w:font w:name="Arial Unicode MS">
    <w:altName w:val="Arial"/>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思源黑体 CN Normal">
    <w:altName w:val="黑体"/>
    <w:panose1 w:val="020B0400000000000000"/>
    <w:charset w:val="86"/>
    <w:family w:val="auto"/>
    <w:pitch w:val="default"/>
    <w:sig w:usb0="00000000" w:usb1="00000000" w:usb2="00000016" w:usb3="00000000" w:csb0="60060107" w:csb1="00000000"/>
    <w:embedRegular r:id="rId4" w:fontKey="{AA1FEFBB-F6BB-422D-A0B4-C0579B9C127E}"/>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embedRegular r:id="rId5" w:fontKey="{D9F42D66-C406-4B52-B944-6F946D048560}"/>
  </w:font>
  <w:font w:name="方正仿宋_GB2312">
    <w:panose1 w:val="02000000000000000000"/>
    <w:charset w:val="86"/>
    <w:family w:val="auto"/>
    <w:pitch w:val="default"/>
    <w:sig w:usb0="A00002BF" w:usb1="184F6CFA" w:usb2="00000012" w:usb3="00000000" w:csb0="00040001" w:csb1="00000000"/>
    <w:embedRegular r:id="rId6" w:fontKey="{4D601A58-0981-4977-93C2-871562288757}"/>
  </w:font>
  <w:font w:name="微软雅黑">
    <w:panose1 w:val="020B0503020204020204"/>
    <w:charset w:val="86"/>
    <w:family w:val="auto"/>
    <w:pitch w:val="default"/>
    <w:sig w:usb0="80000287" w:usb1="2ACF3C50" w:usb2="00000016" w:usb3="00000000" w:csb0="0004001F" w:csb1="00000000"/>
    <w:embedRegular r:id="rId7" w:fontKey="{9069ECB2-FE61-4FA6-B8E0-9EECF3EC262C}"/>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F7B9">
    <w:pPr>
      <w:pStyle w:val="14"/>
      <w:jc w:val="center"/>
    </w:pPr>
  </w:p>
  <w:p w14:paraId="4009213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F41CB">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14:paraId="18159799">
                              <w:pPr>
                                <w:pStyle w:val="14"/>
                                <w:jc w:val="center"/>
                              </w:pPr>
                              <w:r>
                                <w:fldChar w:fldCharType="begin"/>
                              </w:r>
                              <w:r>
                                <w:instrText xml:space="preserve">PAGE   \* MERGEFORMAT</w:instrText>
                              </w:r>
                              <w:r>
                                <w:fldChar w:fldCharType="separate"/>
                              </w:r>
                              <w:r>
                                <w:rPr>
                                  <w:lang w:val="zh-CN"/>
                                </w:rPr>
                                <w:t>4</w:t>
                              </w:r>
                              <w:r>
                                <w:fldChar w:fldCharType="end"/>
                              </w:r>
                            </w:p>
                          </w:sdtContent>
                        </w:sdt>
                        <w:p w14:paraId="0D4E28F1">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147464856"/>
                    </w:sdtPr>
                    <w:sdtContent>
                      <w:p w14:paraId="18159799">
                        <w:pPr>
                          <w:pStyle w:val="14"/>
                          <w:jc w:val="center"/>
                        </w:pPr>
                        <w:r>
                          <w:fldChar w:fldCharType="begin"/>
                        </w:r>
                        <w:r>
                          <w:instrText xml:space="preserve">PAGE   \* MERGEFORMAT</w:instrText>
                        </w:r>
                        <w:r>
                          <w:fldChar w:fldCharType="separate"/>
                        </w:r>
                        <w:r>
                          <w:rPr>
                            <w:lang w:val="zh-CN"/>
                          </w:rPr>
                          <w:t>4</w:t>
                        </w:r>
                        <w:r>
                          <w:fldChar w:fldCharType="end"/>
                        </w:r>
                      </w:p>
                    </w:sdtContent>
                  </w:sdt>
                  <w:p w14:paraId="0D4E28F1">
                    <w:pPr>
                      <w:pStyle w:val="17"/>
                    </w:pPr>
                  </w:p>
                </w:txbxContent>
              </v:textbox>
            </v:shape>
          </w:pict>
        </mc:Fallback>
      </mc:AlternateContent>
    </w:r>
  </w:p>
  <w:p w14:paraId="6AA3FF4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8348">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D0CC6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D0CC6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EE576">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B358C4"/>
    <w:multiLevelType w:val="singleLevel"/>
    <w:tmpl w:val="35B358C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1NTJmMDUxMmM4Mjg5NWFhOGUzMjA3NGY1MmU5N2Y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F359AA"/>
    <w:rsid w:val="045647CC"/>
    <w:rsid w:val="0463543B"/>
    <w:rsid w:val="048D6B52"/>
    <w:rsid w:val="04A56E6E"/>
    <w:rsid w:val="04D45254"/>
    <w:rsid w:val="04D550AF"/>
    <w:rsid w:val="051A6F96"/>
    <w:rsid w:val="05C25E8C"/>
    <w:rsid w:val="06951176"/>
    <w:rsid w:val="07001BE1"/>
    <w:rsid w:val="07267DE7"/>
    <w:rsid w:val="088F55D5"/>
    <w:rsid w:val="089C4B49"/>
    <w:rsid w:val="09081517"/>
    <w:rsid w:val="091B747D"/>
    <w:rsid w:val="092E626A"/>
    <w:rsid w:val="09A572B6"/>
    <w:rsid w:val="0A19737C"/>
    <w:rsid w:val="0B7218AA"/>
    <w:rsid w:val="0B99373B"/>
    <w:rsid w:val="0BA37CB5"/>
    <w:rsid w:val="0D0429D6"/>
    <w:rsid w:val="0D093B48"/>
    <w:rsid w:val="0D322E51"/>
    <w:rsid w:val="0D6C338E"/>
    <w:rsid w:val="0DB37F58"/>
    <w:rsid w:val="0E6D2010"/>
    <w:rsid w:val="0EC00B7E"/>
    <w:rsid w:val="0F5E6610"/>
    <w:rsid w:val="0FB52B86"/>
    <w:rsid w:val="0FDB629D"/>
    <w:rsid w:val="0FFD0B0D"/>
    <w:rsid w:val="103747CF"/>
    <w:rsid w:val="103F4D68"/>
    <w:rsid w:val="10C055FF"/>
    <w:rsid w:val="116A6D7C"/>
    <w:rsid w:val="11761AF6"/>
    <w:rsid w:val="11851C0B"/>
    <w:rsid w:val="11D56DF6"/>
    <w:rsid w:val="11ED6591"/>
    <w:rsid w:val="11F85D8C"/>
    <w:rsid w:val="13367661"/>
    <w:rsid w:val="136F089E"/>
    <w:rsid w:val="13D81ACD"/>
    <w:rsid w:val="14D728AA"/>
    <w:rsid w:val="15F1786F"/>
    <w:rsid w:val="1665477F"/>
    <w:rsid w:val="16BB723D"/>
    <w:rsid w:val="17283764"/>
    <w:rsid w:val="17BC7656"/>
    <w:rsid w:val="17EA348C"/>
    <w:rsid w:val="1840212F"/>
    <w:rsid w:val="184656CF"/>
    <w:rsid w:val="193C261A"/>
    <w:rsid w:val="19934117"/>
    <w:rsid w:val="19943114"/>
    <w:rsid w:val="19DE22C0"/>
    <w:rsid w:val="1AB026BC"/>
    <w:rsid w:val="1ABB32B6"/>
    <w:rsid w:val="1B787B60"/>
    <w:rsid w:val="1BF70747"/>
    <w:rsid w:val="1C06153F"/>
    <w:rsid w:val="1C986C96"/>
    <w:rsid w:val="1D7371C3"/>
    <w:rsid w:val="1DDC2BB3"/>
    <w:rsid w:val="1E34479D"/>
    <w:rsid w:val="1EF81F78"/>
    <w:rsid w:val="1F620905"/>
    <w:rsid w:val="1FD12B34"/>
    <w:rsid w:val="201A6AB0"/>
    <w:rsid w:val="203B66A0"/>
    <w:rsid w:val="206D278F"/>
    <w:rsid w:val="211A679A"/>
    <w:rsid w:val="21253DA0"/>
    <w:rsid w:val="22857975"/>
    <w:rsid w:val="23844B7E"/>
    <w:rsid w:val="23902475"/>
    <w:rsid w:val="23FA0B3C"/>
    <w:rsid w:val="240371BF"/>
    <w:rsid w:val="2435534E"/>
    <w:rsid w:val="244017F7"/>
    <w:rsid w:val="24534F10"/>
    <w:rsid w:val="24DF6C66"/>
    <w:rsid w:val="253D03DB"/>
    <w:rsid w:val="253F66D1"/>
    <w:rsid w:val="25A20B86"/>
    <w:rsid w:val="25B1070F"/>
    <w:rsid w:val="25DD571A"/>
    <w:rsid w:val="265C1D1F"/>
    <w:rsid w:val="26BB36DB"/>
    <w:rsid w:val="271C5A93"/>
    <w:rsid w:val="276F1834"/>
    <w:rsid w:val="27B459F9"/>
    <w:rsid w:val="27C51E91"/>
    <w:rsid w:val="280173B2"/>
    <w:rsid w:val="28513369"/>
    <w:rsid w:val="28BF6D42"/>
    <w:rsid w:val="28C822A0"/>
    <w:rsid w:val="292E058E"/>
    <w:rsid w:val="29FD04D3"/>
    <w:rsid w:val="2C1E1BB4"/>
    <w:rsid w:val="2CAE1BBE"/>
    <w:rsid w:val="2CCF04B2"/>
    <w:rsid w:val="2DF079DB"/>
    <w:rsid w:val="2E4C04E0"/>
    <w:rsid w:val="2E67588F"/>
    <w:rsid w:val="2F803D16"/>
    <w:rsid w:val="2FF22B1D"/>
    <w:rsid w:val="30CB71E3"/>
    <w:rsid w:val="30E36C85"/>
    <w:rsid w:val="31810DA9"/>
    <w:rsid w:val="31903F88"/>
    <w:rsid w:val="319F7F4E"/>
    <w:rsid w:val="31B72CAD"/>
    <w:rsid w:val="32004B5E"/>
    <w:rsid w:val="323A1C2F"/>
    <w:rsid w:val="329448A6"/>
    <w:rsid w:val="32F45598"/>
    <w:rsid w:val="33204932"/>
    <w:rsid w:val="33447C07"/>
    <w:rsid w:val="345D075E"/>
    <w:rsid w:val="35244754"/>
    <w:rsid w:val="361C390A"/>
    <w:rsid w:val="364D41F6"/>
    <w:rsid w:val="36FD0156"/>
    <w:rsid w:val="38207F4E"/>
    <w:rsid w:val="38F8371D"/>
    <w:rsid w:val="39226F5F"/>
    <w:rsid w:val="39902098"/>
    <w:rsid w:val="39FD5F33"/>
    <w:rsid w:val="3A3A0F35"/>
    <w:rsid w:val="3A4E1148"/>
    <w:rsid w:val="3AF15A98"/>
    <w:rsid w:val="3B8F67EE"/>
    <w:rsid w:val="3C8D2F9D"/>
    <w:rsid w:val="3CE0510E"/>
    <w:rsid w:val="3CFE26EE"/>
    <w:rsid w:val="3D0E3B71"/>
    <w:rsid w:val="3D1927CA"/>
    <w:rsid w:val="3D1E4B3E"/>
    <w:rsid w:val="3D6F2272"/>
    <w:rsid w:val="3D8344ED"/>
    <w:rsid w:val="3E03620E"/>
    <w:rsid w:val="3E343C22"/>
    <w:rsid w:val="3F512FA9"/>
    <w:rsid w:val="3F7C601F"/>
    <w:rsid w:val="3FAC4683"/>
    <w:rsid w:val="3FEA5DFB"/>
    <w:rsid w:val="40035B02"/>
    <w:rsid w:val="401C35B7"/>
    <w:rsid w:val="4119235A"/>
    <w:rsid w:val="41677310"/>
    <w:rsid w:val="422C2C46"/>
    <w:rsid w:val="4251506E"/>
    <w:rsid w:val="42B75819"/>
    <w:rsid w:val="43684120"/>
    <w:rsid w:val="444F07DA"/>
    <w:rsid w:val="44601E28"/>
    <w:rsid w:val="472E4611"/>
    <w:rsid w:val="475E72DC"/>
    <w:rsid w:val="47F514AF"/>
    <w:rsid w:val="4839282C"/>
    <w:rsid w:val="48FD75BD"/>
    <w:rsid w:val="49243056"/>
    <w:rsid w:val="494C4A06"/>
    <w:rsid w:val="4A113668"/>
    <w:rsid w:val="4A745623"/>
    <w:rsid w:val="4B187071"/>
    <w:rsid w:val="4B2B2DCB"/>
    <w:rsid w:val="4B6A5BC2"/>
    <w:rsid w:val="4B6D2BD3"/>
    <w:rsid w:val="4C7555EC"/>
    <w:rsid w:val="4D135D42"/>
    <w:rsid w:val="4D846266"/>
    <w:rsid w:val="4D8D78A2"/>
    <w:rsid w:val="4DF123A8"/>
    <w:rsid w:val="4E290981"/>
    <w:rsid w:val="4E832A53"/>
    <w:rsid w:val="4E9E44C2"/>
    <w:rsid w:val="4EBC1A30"/>
    <w:rsid w:val="4F395B30"/>
    <w:rsid w:val="4F3B530F"/>
    <w:rsid w:val="4F6F7A34"/>
    <w:rsid w:val="4FD74194"/>
    <w:rsid w:val="4FDA49F5"/>
    <w:rsid w:val="50AE413E"/>
    <w:rsid w:val="51E1640E"/>
    <w:rsid w:val="51EE42CA"/>
    <w:rsid w:val="52195E38"/>
    <w:rsid w:val="52302EF2"/>
    <w:rsid w:val="526E48F5"/>
    <w:rsid w:val="52ED6284"/>
    <w:rsid w:val="5322283B"/>
    <w:rsid w:val="532B0C13"/>
    <w:rsid w:val="533D4F08"/>
    <w:rsid w:val="53BA6F17"/>
    <w:rsid w:val="53BE2B80"/>
    <w:rsid w:val="54136CE6"/>
    <w:rsid w:val="541505F1"/>
    <w:rsid w:val="542D2749"/>
    <w:rsid w:val="54992FD0"/>
    <w:rsid w:val="55872E29"/>
    <w:rsid w:val="56D0674C"/>
    <w:rsid w:val="57D23F06"/>
    <w:rsid w:val="58BA52C3"/>
    <w:rsid w:val="58BC5D23"/>
    <w:rsid w:val="59177DCC"/>
    <w:rsid w:val="59E040FC"/>
    <w:rsid w:val="59E11CD3"/>
    <w:rsid w:val="5A857BDE"/>
    <w:rsid w:val="5B2A4567"/>
    <w:rsid w:val="5BE202EA"/>
    <w:rsid w:val="5C3D2C16"/>
    <w:rsid w:val="5CAD7C22"/>
    <w:rsid w:val="5CE95B0C"/>
    <w:rsid w:val="5CFA7F1D"/>
    <w:rsid w:val="5D577E65"/>
    <w:rsid w:val="5D6F6B2F"/>
    <w:rsid w:val="5E2506F8"/>
    <w:rsid w:val="5E5E7F75"/>
    <w:rsid w:val="5EA316D6"/>
    <w:rsid w:val="5ECE1AC8"/>
    <w:rsid w:val="5EF556B7"/>
    <w:rsid w:val="5F3A07D2"/>
    <w:rsid w:val="5F593A88"/>
    <w:rsid w:val="5FE356D0"/>
    <w:rsid w:val="5FF901AE"/>
    <w:rsid w:val="60651EAC"/>
    <w:rsid w:val="60BB3927"/>
    <w:rsid w:val="61EC25A5"/>
    <w:rsid w:val="6200749A"/>
    <w:rsid w:val="620F0B35"/>
    <w:rsid w:val="6240022D"/>
    <w:rsid w:val="62A42EE2"/>
    <w:rsid w:val="62F14F12"/>
    <w:rsid w:val="630D013F"/>
    <w:rsid w:val="63347FC4"/>
    <w:rsid w:val="63604CB9"/>
    <w:rsid w:val="64A36D0B"/>
    <w:rsid w:val="64C656C1"/>
    <w:rsid w:val="64F77166"/>
    <w:rsid w:val="65201386"/>
    <w:rsid w:val="657F4183"/>
    <w:rsid w:val="658466A7"/>
    <w:rsid w:val="6596487B"/>
    <w:rsid w:val="65DF63C9"/>
    <w:rsid w:val="662A7F2C"/>
    <w:rsid w:val="66627873"/>
    <w:rsid w:val="66D65FFA"/>
    <w:rsid w:val="67C24194"/>
    <w:rsid w:val="67EB36EB"/>
    <w:rsid w:val="68DA2DB6"/>
    <w:rsid w:val="69725134"/>
    <w:rsid w:val="6B4666B6"/>
    <w:rsid w:val="6BB306BC"/>
    <w:rsid w:val="6BD700F0"/>
    <w:rsid w:val="6CC85DA9"/>
    <w:rsid w:val="6D2A5F93"/>
    <w:rsid w:val="6D8F2D6B"/>
    <w:rsid w:val="6DB91990"/>
    <w:rsid w:val="6DC31436"/>
    <w:rsid w:val="6E6F4E2B"/>
    <w:rsid w:val="6ECB49CF"/>
    <w:rsid w:val="6ECB5A2B"/>
    <w:rsid w:val="6F806E0F"/>
    <w:rsid w:val="70202A42"/>
    <w:rsid w:val="70ED3F4C"/>
    <w:rsid w:val="72227D09"/>
    <w:rsid w:val="72E476B5"/>
    <w:rsid w:val="72F22338"/>
    <w:rsid w:val="73327580"/>
    <w:rsid w:val="733572FD"/>
    <w:rsid w:val="73BE3A62"/>
    <w:rsid w:val="746C7E4B"/>
    <w:rsid w:val="750E6C6B"/>
    <w:rsid w:val="755E374E"/>
    <w:rsid w:val="75884CEA"/>
    <w:rsid w:val="75B310E7"/>
    <w:rsid w:val="75B318F4"/>
    <w:rsid w:val="761A4623"/>
    <w:rsid w:val="76377F56"/>
    <w:rsid w:val="764B35A7"/>
    <w:rsid w:val="769E6A57"/>
    <w:rsid w:val="77B238DE"/>
    <w:rsid w:val="78A4106B"/>
    <w:rsid w:val="79975481"/>
    <w:rsid w:val="79B4511D"/>
    <w:rsid w:val="79F60BE5"/>
    <w:rsid w:val="7A1B4027"/>
    <w:rsid w:val="7A965738"/>
    <w:rsid w:val="7ABC1C9C"/>
    <w:rsid w:val="7B022DCE"/>
    <w:rsid w:val="7B272834"/>
    <w:rsid w:val="7B8F71DF"/>
    <w:rsid w:val="7C1568F9"/>
    <w:rsid w:val="7CB2612E"/>
    <w:rsid w:val="7CC25607"/>
    <w:rsid w:val="7DE859ED"/>
    <w:rsid w:val="7E4C610E"/>
    <w:rsid w:val="7EB16749"/>
    <w:rsid w:val="7ECA59B1"/>
    <w:rsid w:val="7F09108F"/>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link w:val="41"/>
    <w:qFormat/>
    <w:uiPriority w:val="0"/>
    <w:pPr>
      <w:keepNext/>
      <w:keepLines/>
      <w:spacing w:before="340" w:after="330" w:line="578" w:lineRule="auto"/>
      <w:outlineLvl w:val="0"/>
    </w:pPr>
    <w:rPr>
      <w:b/>
      <w:bCs/>
      <w:kern w:val="44"/>
      <w:sz w:val="44"/>
    </w:rPr>
  </w:style>
  <w:style w:type="paragraph" w:styleId="4">
    <w:name w:val="heading 2"/>
    <w:basedOn w:val="1"/>
    <w:next w:val="1"/>
    <w:link w:val="37"/>
    <w:autoRedefine/>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link w:val="40"/>
    <w:autoRedefine/>
    <w:qFormat/>
    <w:uiPriority w:val="0"/>
    <w:pPr>
      <w:keepNext/>
      <w:keepLines/>
      <w:spacing w:before="260" w:after="260" w:line="415" w:lineRule="auto"/>
      <w:outlineLvl w:val="2"/>
    </w:pPr>
    <w:rPr>
      <w:b/>
      <w:sz w:val="32"/>
    </w:rPr>
  </w:style>
  <w:style w:type="character" w:default="1" w:styleId="24">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spacing w:before="240" w:line="590" w:lineRule="exact"/>
      <w:ind w:firstLine="582"/>
    </w:pPr>
    <w:rPr>
      <w:color w:val="000000"/>
    </w:rPr>
  </w:style>
  <w:style w:type="paragraph" w:styleId="6">
    <w:name w:val="Normal Indent"/>
    <w:basedOn w:val="1"/>
    <w:autoRedefine/>
    <w:qFormat/>
    <w:uiPriority w:val="0"/>
    <w:pPr>
      <w:ind w:firstLine="420" w:firstLineChars="200"/>
    </w:pPr>
  </w:style>
  <w:style w:type="paragraph" w:styleId="7">
    <w:name w:val="index 5"/>
    <w:basedOn w:val="1"/>
    <w:next w:val="1"/>
    <w:autoRedefine/>
    <w:qFormat/>
    <w:uiPriority w:val="0"/>
    <w:pPr>
      <w:ind w:left="1680"/>
    </w:pPr>
  </w:style>
  <w:style w:type="paragraph" w:styleId="8">
    <w:name w:val="annotation text"/>
    <w:basedOn w:val="1"/>
    <w:semiHidden/>
    <w:unhideWhenUsed/>
    <w:qFormat/>
    <w:uiPriority w:val="99"/>
    <w:pPr>
      <w:jc w:val="left"/>
    </w:pPr>
  </w:style>
  <w:style w:type="paragraph" w:styleId="9">
    <w:name w:val="Body Text"/>
    <w:basedOn w:val="1"/>
    <w:link w:val="34"/>
    <w:qFormat/>
    <w:uiPriority w:val="0"/>
    <w:pPr>
      <w:widowControl w:val="0"/>
      <w:spacing w:after="120"/>
      <w:jc w:val="both"/>
    </w:pPr>
    <w:rPr>
      <w:rFonts w:ascii="Times New Roman" w:hAnsi="Times New Roman" w:eastAsia="仿宋_GB2312" w:cs="Times New Roman"/>
      <w:kern w:val="2"/>
      <w:sz w:val="32"/>
      <w:szCs w:val="24"/>
      <w:lang w:val="en-US" w:eastAsia="zh-CN" w:bidi="ar-SA"/>
    </w:rPr>
  </w:style>
  <w:style w:type="paragraph" w:styleId="10">
    <w:name w:val="Body Text Indent"/>
    <w:basedOn w:val="1"/>
    <w:next w:val="1"/>
    <w:qFormat/>
    <w:uiPriority w:val="0"/>
    <w:pPr>
      <w:spacing w:after="120"/>
      <w:ind w:leftChars="200"/>
    </w:pPr>
    <w:rPr>
      <w:rFonts w:ascii="仿宋_GB2312"/>
      <w:szCs w:val="32"/>
    </w:rPr>
  </w:style>
  <w:style w:type="paragraph" w:styleId="11">
    <w:name w:val="toc 3"/>
    <w:basedOn w:val="1"/>
    <w:next w:val="1"/>
    <w:unhideWhenUsed/>
    <w:qFormat/>
    <w:uiPriority w:val="39"/>
    <w:pPr>
      <w:tabs>
        <w:tab w:val="right" w:leader="dot" w:pos="8296"/>
      </w:tabs>
      <w:ind w:left="840" w:leftChars="400"/>
    </w:pPr>
  </w:style>
  <w:style w:type="paragraph" w:styleId="12">
    <w:name w:val="Plain Text"/>
    <w:basedOn w:val="1"/>
    <w:autoRedefine/>
    <w:qFormat/>
    <w:uiPriority w:val="0"/>
    <w:rPr>
      <w:rFonts w:ascii="宋体" w:hAnsi="Courier New" w:eastAsia="仿宋" w:cs="Arial Unicode MS"/>
      <w:kern w:val="0"/>
      <w:sz w:val="32"/>
      <w:szCs w:val="21"/>
      <w:lang w:bidi="bo-CN"/>
    </w:rPr>
  </w:style>
  <w:style w:type="paragraph" w:styleId="13">
    <w:name w:val="Balloon Text"/>
    <w:basedOn w:val="1"/>
    <w:link w:val="39"/>
    <w:semiHidden/>
    <w:unhideWhenUsed/>
    <w:qFormat/>
    <w:uiPriority w:val="99"/>
    <w:rPr>
      <w:sz w:val="18"/>
      <w:szCs w:val="18"/>
    </w:rPr>
  </w:style>
  <w:style w:type="paragraph" w:styleId="14">
    <w:name w:val="footer"/>
    <w:basedOn w:val="1"/>
    <w:link w:val="32"/>
    <w:autoRedefine/>
    <w:qFormat/>
    <w:uiPriority w:val="0"/>
    <w:pPr>
      <w:tabs>
        <w:tab w:val="center" w:pos="4153"/>
        <w:tab w:val="right" w:pos="8306"/>
      </w:tabs>
      <w:snapToGrid w:val="0"/>
      <w:jc w:val="left"/>
    </w:pPr>
    <w:rPr>
      <w:sz w:val="18"/>
    </w:rPr>
  </w:style>
  <w:style w:type="paragraph" w:styleId="15">
    <w:name w:val="header"/>
    <w:basedOn w:val="1"/>
    <w:link w:val="30"/>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footnote text"/>
    <w:basedOn w:val="1"/>
    <w:next w:val="18"/>
    <w:semiHidden/>
    <w:qFormat/>
    <w:uiPriority w:val="0"/>
    <w:pPr>
      <w:snapToGrid w:val="0"/>
      <w:jc w:val="left"/>
    </w:pPr>
    <w:rPr>
      <w:sz w:val="18"/>
      <w:szCs w:val="18"/>
    </w:rPr>
  </w:style>
  <w:style w:type="paragraph" w:styleId="18">
    <w:name w:val="Body Text First Indent 2"/>
    <w:basedOn w:val="10"/>
    <w:next w:val="1"/>
    <w:unhideWhenUsed/>
    <w:qFormat/>
    <w:uiPriority w:val="99"/>
    <w:pPr>
      <w:ind w:firstLine="420" w:firstLineChars="200"/>
    </w:pPr>
  </w:style>
  <w:style w:type="paragraph" w:styleId="19">
    <w:name w:val="table of figures"/>
    <w:basedOn w:val="1"/>
    <w:next w:val="1"/>
    <w:autoRedefine/>
    <w:qFormat/>
    <w:uiPriority w:val="0"/>
    <w:pPr>
      <w:ind w:left="200" w:leftChars="200" w:hanging="200" w:hangingChars="200"/>
    </w:pPr>
  </w:style>
  <w:style w:type="paragraph" w:styleId="20">
    <w:name w:val="toc 2"/>
    <w:basedOn w:val="1"/>
    <w:next w:val="1"/>
    <w:autoRedefine/>
    <w:unhideWhenUsed/>
    <w:qFormat/>
    <w:uiPriority w:val="39"/>
    <w:pPr>
      <w:tabs>
        <w:tab w:val="right" w:leader="dot" w:pos="8296"/>
      </w:tabs>
      <w:ind w:left="420" w:leftChars="200"/>
    </w:pPr>
  </w:style>
  <w:style w:type="paragraph" w:styleId="2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2">
    <w:name w:val="Normal (Web)"/>
    <w:basedOn w:val="1"/>
    <w:autoRedefine/>
    <w:qFormat/>
    <w:uiPriority w:val="0"/>
    <w:rPr>
      <w:sz w:val="24"/>
    </w:rPr>
  </w:style>
  <w:style w:type="character" w:styleId="25">
    <w:name w:val="Strong"/>
    <w:basedOn w:val="24"/>
    <w:qFormat/>
    <w:uiPriority w:val="99"/>
    <w:rPr>
      <w:b/>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styleId="27">
    <w:name w:val="annotation reference"/>
    <w:basedOn w:val="24"/>
    <w:semiHidden/>
    <w:unhideWhenUsed/>
    <w:qFormat/>
    <w:uiPriority w:val="99"/>
    <w:rPr>
      <w:sz w:val="21"/>
      <w:szCs w:val="21"/>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9">
    <w:name w:val="Header Char"/>
    <w:basedOn w:val="24"/>
    <w:semiHidden/>
    <w:qFormat/>
    <w:uiPriority w:val="99"/>
    <w:rPr>
      <w:rFonts w:ascii="Times New Roman" w:hAnsi="Times New Roman"/>
      <w:sz w:val="18"/>
      <w:szCs w:val="18"/>
    </w:rPr>
  </w:style>
  <w:style w:type="character" w:customStyle="1" w:styleId="30">
    <w:name w:val="页眉 字符"/>
    <w:link w:val="15"/>
    <w:semiHidden/>
    <w:qFormat/>
    <w:locked/>
    <w:uiPriority w:val="99"/>
    <w:rPr>
      <w:sz w:val="18"/>
    </w:rPr>
  </w:style>
  <w:style w:type="character" w:customStyle="1" w:styleId="31">
    <w:name w:val="Footer Char"/>
    <w:basedOn w:val="24"/>
    <w:autoRedefine/>
    <w:semiHidden/>
    <w:qFormat/>
    <w:uiPriority w:val="99"/>
    <w:rPr>
      <w:rFonts w:ascii="Times New Roman" w:hAnsi="Times New Roman"/>
      <w:sz w:val="18"/>
      <w:szCs w:val="18"/>
    </w:rPr>
  </w:style>
  <w:style w:type="character" w:customStyle="1" w:styleId="32">
    <w:name w:val="页脚 字符"/>
    <w:link w:val="14"/>
    <w:autoRedefine/>
    <w:qFormat/>
    <w:locked/>
    <w:uiPriority w:val="99"/>
    <w:rPr>
      <w:sz w:val="18"/>
    </w:rPr>
  </w:style>
  <w:style w:type="character" w:customStyle="1" w:styleId="33">
    <w:name w:val="Body Text Char"/>
    <w:basedOn w:val="24"/>
    <w:semiHidden/>
    <w:qFormat/>
    <w:uiPriority w:val="99"/>
    <w:rPr>
      <w:rFonts w:ascii="Times New Roman" w:hAnsi="Times New Roman"/>
      <w:szCs w:val="24"/>
    </w:rPr>
  </w:style>
  <w:style w:type="character" w:customStyle="1" w:styleId="34">
    <w:name w:val="正文文本 字符"/>
    <w:link w:val="9"/>
    <w:qFormat/>
    <w:locked/>
    <w:uiPriority w:val="99"/>
    <w:rPr>
      <w:rFonts w:ascii="仿宋_GB2312" w:hAnsi="Times New Roman" w:eastAsia="仿宋_GB2312"/>
      <w:sz w:val="24"/>
    </w:rPr>
  </w:style>
  <w:style w:type="paragraph" w:styleId="35">
    <w:name w:val="List Paragraph"/>
    <w:basedOn w:val="1"/>
    <w:autoRedefine/>
    <w:qFormat/>
    <w:uiPriority w:val="34"/>
    <w:pPr>
      <w:ind w:firstLine="420" w:firstLineChars="200"/>
    </w:pPr>
  </w:style>
  <w:style w:type="character" w:customStyle="1" w:styleId="36">
    <w:name w:val="标题 1 字符"/>
    <w:basedOn w:val="24"/>
    <w:link w:val="3"/>
    <w:qFormat/>
    <w:uiPriority w:val="9"/>
    <w:rPr>
      <w:rFonts w:ascii="Times New Roman" w:hAnsi="Times New Roman"/>
      <w:b/>
      <w:bCs/>
      <w:kern w:val="44"/>
      <w:sz w:val="44"/>
      <w:szCs w:val="44"/>
    </w:rPr>
  </w:style>
  <w:style w:type="character" w:customStyle="1" w:styleId="37">
    <w:name w:val="标题 2 字符"/>
    <w:basedOn w:val="24"/>
    <w:link w:val="4"/>
    <w:qFormat/>
    <w:uiPriority w:val="9"/>
    <w:rPr>
      <w:rFonts w:asciiTheme="majorHAnsi" w:hAnsiTheme="majorHAnsi" w:eastAsiaTheme="majorEastAsia" w:cstheme="majorBidi"/>
      <w:b/>
      <w:bCs/>
      <w:kern w:val="2"/>
      <w:sz w:val="32"/>
      <w:szCs w:val="32"/>
    </w:rPr>
  </w:style>
  <w:style w:type="paragraph" w:customStyle="1" w:styleId="38">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4"/>
    <w:link w:val="13"/>
    <w:autoRedefine/>
    <w:semiHidden/>
    <w:qFormat/>
    <w:uiPriority w:val="99"/>
    <w:rPr>
      <w:rFonts w:ascii="Times New Roman" w:hAnsi="Times New Roman"/>
      <w:kern w:val="2"/>
      <w:sz w:val="18"/>
      <w:szCs w:val="18"/>
    </w:rPr>
  </w:style>
  <w:style w:type="character" w:customStyle="1" w:styleId="40">
    <w:name w:val="标题 3 字符"/>
    <w:basedOn w:val="24"/>
    <w:link w:val="5"/>
    <w:autoRedefine/>
    <w:qFormat/>
    <w:uiPriority w:val="9"/>
    <w:rPr>
      <w:rFonts w:ascii="Times New Roman" w:hAnsi="Times New Roman"/>
      <w:b/>
      <w:bCs/>
      <w:kern w:val="2"/>
      <w:sz w:val="32"/>
      <w:szCs w:val="32"/>
    </w:rPr>
  </w:style>
  <w:style w:type="character" w:customStyle="1" w:styleId="41">
    <w:name w:val="标题 1 Char"/>
    <w:basedOn w:val="24"/>
    <w:link w:val="3"/>
    <w:qFormat/>
    <w:uiPriority w:val="9"/>
    <w:rPr>
      <w:b/>
      <w:bCs/>
      <w:kern w:val="44"/>
      <w:sz w:val="44"/>
      <w:szCs w:val="44"/>
    </w:rPr>
  </w:style>
  <w:style w:type="character" w:customStyle="1" w:styleId="42">
    <w:name w:val="NormalCharacter"/>
    <w:autoRedefine/>
    <w:semiHidden/>
    <w:qFormat/>
    <w:uiPriority w:val="0"/>
  </w:style>
  <w:style w:type="paragraph" w:customStyle="1" w:styleId="43">
    <w:name w:val="table of figures1"/>
    <w:basedOn w:val="1"/>
    <w:next w:val="1"/>
    <w:autoRedefine/>
    <w:qFormat/>
    <w:uiPriority w:val="99"/>
    <w:pPr>
      <w:ind w:left="400" w:leftChars="200" w:hanging="200" w:hangingChars="200"/>
    </w:pPr>
  </w:style>
  <w:style w:type="paragraph" w:customStyle="1" w:styleId="4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{"2022","2023"}</c:f>
              <c:strCache>
                <c:ptCount val="2"/>
                <c:pt idx="0">
                  <c:v>2022</c:v>
                </c:pt>
                <c:pt idx="1">
                  <c:v>2023</c:v>
                </c:pt>
              </c:strCache>
            </c:strRef>
          </c:cat>
          <c:val>
            <c:numRef>
              <c:f>{4216.41,3045.37}</c:f>
              <c:numCache>
                <c:formatCode>General</c:formatCode>
                <c:ptCount val="2"/>
                <c:pt idx="0">
                  <c:v>4216.41</c:v>
                </c:pt>
                <c:pt idx="1">
                  <c:v>3045.37</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{3045.37}</c:f>
              <c:numCache>
                <c:formatCode>General</c:formatCode>
                <c:ptCount val="1"/>
                <c:pt idx="0">
                  <c:v>3045.37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{821.08,2224.29}</c:f>
              <c:numCache>
                <c:formatCode>General</c:formatCode>
                <c:ptCount val="2"/>
                <c:pt idx="0">
                  <c:v>821.08</c:v>
                </c:pt>
                <c:pt idx="1">
                  <c:v>2224.29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{"2022","2023"}</c:f>
              <c:strCache>
                <c:ptCount val="2"/>
                <c:pt idx="0">
                  <c:v>2022</c:v>
                </c:pt>
                <c:pt idx="1">
                  <c:v>2023</c:v>
                </c:pt>
              </c:strCache>
            </c:strRef>
          </c:cat>
          <c:val>
            <c:numRef>
              <c:f>{4216.41,3045.37}</c:f>
              <c:numCache>
                <c:formatCode>General</c:formatCode>
                <c:ptCount val="2"/>
                <c:pt idx="0">
                  <c:v>4216.41</c:v>
                </c:pt>
                <c:pt idx="1">
                  <c:v>3045.37</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{4216.41}</c:f>
              <c:numCache>
                <c:formatCode>General</c:formatCode>
                <c:ptCount val="1"/>
                <c:pt idx="0">
                  <c:v>4216.41</c:v>
                </c:pt>
              </c:numCache>
            </c:numRef>
          </c:val>
        </c:ser>
        <c:ser>
          <c:idx val="2"/>
          <c:order val="1"/>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{3045.37}</c:f>
              <c:numCache>
                <c:formatCode>General</c:formatCode>
                <c:ptCount val="1"/>
                <c:pt idx="0">
                  <c:v>3045.37</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{"一般公共服务支出","社会保障和就业支出","卫生健康支出","农林水支出","交通运输支出","商业服务业等支出","住房保障支出","灾害防治及应急管理支出","其他支出"}</c:f>
              <c:strCache>
                <c:ptCount val="9"/>
                <c:pt idx="0">
                  <c:v>一般公共服务支出</c:v>
                </c:pt>
                <c:pt idx="1">
                  <c:v>社会保障和就业支出</c:v>
                </c:pt>
                <c:pt idx="2">
                  <c:v>卫生健康支出</c:v>
                </c:pt>
                <c:pt idx="3">
                  <c:v>农林水支出</c:v>
                </c:pt>
                <c:pt idx="4">
                  <c:v>交通运输支出</c:v>
                </c:pt>
                <c:pt idx="5">
                  <c:v>商业服务业等支出</c:v>
                </c:pt>
                <c:pt idx="6">
                  <c:v>住房保障支出</c:v>
                </c:pt>
                <c:pt idx="7">
                  <c:v>灾害防治及应急管理支出</c:v>
                </c:pt>
                <c:pt idx="8">
                  <c:v>其他支出</c:v>
                </c:pt>
              </c:strCache>
            </c:strRef>
          </c:cat>
          <c:val>
            <c:numRef>
              <c:f>{876.6,114.51,38.4,1540.81,0.5,24.14,55.33,191.08,204}</c:f>
              <c:numCache>
                <c:formatCode>General</c:formatCode>
                <c:ptCount val="9"/>
                <c:pt idx="0">
                  <c:v>876.6</c:v>
                </c:pt>
                <c:pt idx="1">
                  <c:v>114.51</c:v>
                </c:pt>
                <c:pt idx="2">
                  <c:v>38.4</c:v>
                </c:pt>
                <c:pt idx="3">
                  <c:v>1540.81</c:v>
                </c:pt>
                <c:pt idx="4">
                  <c:v>0.5</c:v>
                </c:pt>
                <c:pt idx="5">
                  <c:v>24.14</c:v>
                </c:pt>
                <c:pt idx="6">
                  <c:v>55.33</c:v>
                </c:pt>
                <c:pt idx="7">
                  <c:v>191.08</c:v>
                </c:pt>
                <c:pt idx="8">
                  <c:v>204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{0,10.8,0}</c:f>
              <c:numCache>
                <c:formatCode>General</c:formatCode>
                <c:ptCount val="3"/>
                <c:pt idx="0">
                  <c:v>0</c:v>
                </c:pt>
                <c:pt idx="1">
                  <c:v>10.8</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42</Pages>
  <Words>17070</Words>
  <Characters>18190</Characters>
  <Lines>48</Lines>
  <Paragraphs>13</Paragraphs>
  <TotalTime>0</TotalTime>
  <ScaleCrop>false</ScaleCrop>
  <LinksUpToDate>false</LinksUpToDate>
  <CharactersWithSpaces>18449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cp:lastModifiedBy>
  <cp:lastPrinted>2021-09-26T08:39:00Z</cp:lastPrinted>
  <dcterms:modified xsi:type="dcterms:W3CDTF">2024-10-24T02:30:49Z</dcterms:modified>
  <dc:title>四川省决算编制说明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4AB582DEC3154ED880F2F9318FC60C43_13</vt:lpwstr>
  </property>
</Properties>
</file>