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7425"/>
      <w:bookmarkStart w:id="1" w:name="_Toc15396475"/>
      <w:bookmarkStart w:id="2" w:name="_Toc15396597"/>
      <w:bookmarkStart w:id="3" w:name="_Toc15306267"/>
      <w:bookmarkStart w:id="4" w:name="_Toc15378441"/>
      <w:bookmarkStart w:id="5" w:name="_Toc15377193"/>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吾伊乡人民政府</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br w:type="page"/>
      </w:r>
      <w:bookmarkStart w:id="65" w:name="_GoBack"/>
      <w:bookmarkEnd w:id="65"/>
    </w:p>
    <w:p>
      <w:pPr>
        <w:pStyle w:val="14"/>
        <w:rPr>
          <w:rFonts w:hint="eastAsi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1、主要职能执行本级人民代表大会的决议和上级国家行政机关的决定和命令，在辖区内发布决定和命令；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2、按照国家宪法和法律，行使对本辖区内的行政及民政事务的管理</w:t>
      </w:r>
      <w:r>
        <w:rPr>
          <w:rFonts w:hint="eastAsia" w:ascii="仿宋_GB2312" w:eastAsia="仿宋_GB2312" w:cs="仿宋_GB2312"/>
          <w:color w:val="000000"/>
          <w:sz w:val="32"/>
          <w:szCs w:val="32"/>
          <w:lang w:val="en-US" w:eastAsia="zh-CN"/>
        </w:rPr>
        <w:t>权</w:t>
      </w:r>
      <w:r>
        <w:rPr>
          <w:rFonts w:hint="eastAsia" w:ascii="仿宋_GB2312" w:hAnsi="Times New Roman" w:eastAsia="仿宋_GB2312" w:cs="仿宋_GB2312"/>
          <w:color w:val="000000"/>
          <w:sz w:val="32"/>
          <w:szCs w:val="32"/>
          <w:lang w:val="en-US" w:eastAsia="zh-CN"/>
        </w:rPr>
        <w:t>,推进计划生育工作；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3、制定本乡的经济和社会发展规划，并组织实施；组织和领导行政经济体制改革，协调本行政区域村民委员会与各经济组织之间的关系；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4、组织规划乡财政管理的各项收入，管理乡范围内的各项财政支出和行政筹集、分配和使用的资金；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5、负责管理对外经济技术交流与合作，开展经济信息预测工作，推广科学技术成果；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6、对本乡各项社会建设进行宏观管理，抓好环境卫生整治工作；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7、加强基本农田水利建设和道路、桥梁等的建设，加强土地的统一管理、统筹规划，协助有关部门做好地质灾害的防治工作;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8、负责农村土地承包管理、农民负担监督管理、农村集体资产财务管理；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9、组织和开展社会主义精神文明活动，正确调解和处理人民内部矛盾，认真调解民事纠纷；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xml:space="preserve">　10、充分发挥行政职能，组织和开展本乡的文化、教育、卫生、民政和科技等工作；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11、根据经济发展需要，建立经济、技术咨询服务机构，向经济组织和农牧民提供全面服务。 </w:t>
      </w:r>
    </w:p>
    <w:p>
      <w:pPr>
        <w:numPr>
          <w:ilvl w:val="0"/>
          <w:numId w:val="0"/>
        </w:numPr>
        <w:rPr>
          <w:rFonts w:hint="eastAsia"/>
          <w:lang w:eastAsia="zh-CN"/>
        </w:rPr>
      </w:pPr>
    </w:p>
    <w:p>
      <w:pPr>
        <w:pStyle w:val="4"/>
        <w:rPr>
          <w:rStyle w:val="32"/>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pPr>
        <w:ind w:firstLine="800" w:firstLineChars="250"/>
        <w:rPr>
          <w:rFonts w:ascii="仿宋" w:hAnsi="仿宋" w:eastAsia="仿宋"/>
          <w:color w:val="auto"/>
          <w:sz w:val="32"/>
          <w:szCs w:val="32"/>
          <w:highlight w:val="none"/>
        </w:rPr>
      </w:pPr>
      <w:bookmarkStart w:id="10" w:name="_Toc15306275"/>
      <w:bookmarkStart w:id="11" w:name="_Toc15378448"/>
      <w:bookmarkStart w:id="12" w:name="_Toc15377201"/>
      <w:bookmarkStart w:id="13" w:name="_Toc15377432"/>
      <w:r>
        <w:rPr>
          <w:rFonts w:hint="eastAsia" w:ascii="仿宋" w:hAnsi="仿宋" w:eastAsia="仿宋"/>
          <w:color w:val="auto"/>
          <w:sz w:val="32"/>
          <w:szCs w:val="32"/>
          <w:highlight w:val="none"/>
          <w:lang w:val="en-US" w:eastAsia="zh-CN"/>
        </w:rPr>
        <w:t>壤塘县吾伊乡人民政府</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pPr>
        <w:pStyle w:val="6"/>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壤塘县吾伊乡人民政府</w:t>
      </w: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年度部门决算编制范围的二级预算单位包括：</w:t>
      </w:r>
    </w:p>
    <w:p>
      <w:pPr>
        <w:pStyle w:val="6"/>
        <w:numPr>
          <w:ilvl w:val="0"/>
          <w:numId w:val="2"/>
        </w:numPr>
        <w:adjustRightInd w:val="0"/>
        <w:snapToGrid w:val="0"/>
        <w:spacing w:before="93" w:line="600" w:lineRule="exact"/>
        <w:ind w:left="1110" w:leftChars="0" w:firstLineChars="0"/>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吾伊乡人民政府</w:t>
      </w:r>
    </w:p>
    <w:p>
      <w:pPr>
        <w:pStyle w:val="6"/>
        <w:numPr>
          <w:ilvl w:val="0"/>
          <w:numId w:val="2"/>
        </w:numPr>
        <w:adjustRightInd w:val="0"/>
        <w:snapToGrid w:val="0"/>
        <w:spacing w:before="93" w:line="600" w:lineRule="exact"/>
        <w:ind w:left="1110" w:leftChars="0" w:firstLineChars="0"/>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吾伊乡便民服务中心</w:t>
      </w:r>
    </w:p>
    <w:bookmarkEnd w:id="10"/>
    <w:bookmarkEnd w:id="11"/>
    <w:bookmarkEnd w:id="12"/>
    <w:bookmarkEnd w:id="13"/>
    <w:p>
      <w:pPr>
        <w:pStyle w:val="6"/>
        <w:numPr>
          <w:ilvl w:val="0"/>
          <w:numId w:val="0"/>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p>
    <w:p>
      <w:pPr>
        <w:pStyle w:val="6"/>
        <w:adjustRightInd w:val="0"/>
        <w:snapToGrid w:val="0"/>
        <w:spacing w:before="93" w:line="600" w:lineRule="exact"/>
        <w:rPr>
          <w:rFonts w:hint="eastAsia" w:ascii="Times New Roman" w:hAnsi="Times New Roman" w:eastAsia="仿宋_GB2312" w:cs="仿宋_GB2312"/>
          <w:color w:val="auto"/>
          <w:sz w:val="32"/>
          <w:szCs w:val="32"/>
          <w:highlight w:val="none"/>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6"/>
      <w:bookmarkEnd w:id="17"/>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3514.19万元。与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1638.41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90.08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项目支出减少。</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5256530" cy="2988310"/>
            <wp:effectExtent l="5080" t="4445" r="15240" b="17145"/>
            <wp:docPr id="102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Times New Roman" w:hAnsi="Times New Roman" w:eastAsia="仿宋_GB2312" w:cs="仿宋_GB2312"/>
          <w:color w:val="auto"/>
          <w:sz w:val="32"/>
          <w:szCs w:val="32"/>
          <w:highlight w:val="none"/>
        </w:rPr>
        <w:t>3514.19</w:t>
      </w:r>
      <w:r>
        <w:rPr>
          <w:rFonts w:hint="eastAsia" w:ascii="Times New Roman" w:hAnsi="Times New Roman" w:eastAsia="仿宋_GB2312" w:cs="仿宋_GB2312"/>
          <w:color w:val="auto"/>
          <w:sz w:val="32"/>
          <w:szCs w:val="32"/>
          <w:highlight w:val="none"/>
          <w:lang w:eastAsia="zh-CN"/>
        </w:rPr>
        <w:t>万元，其中：一般公共预算财政拨款收入3421.35万元，占</w:t>
      </w:r>
      <w:r>
        <w:rPr>
          <w:rFonts w:hint="eastAsia" w:eastAsia="仿宋_GB2312" w:cs="仿宋_GB2312"/>
          <w:color w:val="auto"/>
          <w:sz w:val="32"/>
          <w:szCs w:val="32"/>
          <w:highlight w:val="none"/>
          <w:lang w:val="en-US" w:eastAsia="zh-CN"/>
        </w:rPr>
        <w:t>97</w:t>
      </w:r>
      <w:r>
        <w:rPr>
          <w:rFonts w:hint="eastAsia" w:ascii="Times New Roman" w:hAnsi="Times New Roman" w:eastAsia="仿宋_GB2312" w:cs="仿宋_GB2312"/>
          <w:color w:val="auto"/>
          <w:sz w:val="32"/>
          <w:szCs w:val="32"/>
          <w:highlight w:val="none"/>
          <w:lang w:eastAsia="zh-CN"/>
        </w:rPr>
        <w:t>%；政府性基金预算财政拨款收入75.27万元，占</w:t>
      </w:r>
      <w:r>
        <w:rPr>
          <w:rFonts w:hint="eastAsia" w:eastAsia="仿宋_GB2312" w:cs="仿宋_GB2312"/>
          <w:color w:val="auto"/>
          <w:sz w:val="32"/>
          <w:szCs w:val="32"/>
          <w:highlight w:val="none"/>
          <w:lang w:val="en-US" w:eastAsia="zh-CN"/>
        </w:rPr>
        <w:t>2.1</w:t>
      </w:r>
      <w:r>
        <w:rPr>
          <w:rFonts w:hint="eastAsia" w:ascii="Times New Roman" w:hAnsi="Times New Roman" w:eastAsia="仿宋_GB2312" w:cs="仿宋_GB2312"/>
          <w:color w:val="auto"/>
          <w:sz w:val="32"/>
          <w:szCs w:val="32"/>
          <w:highlight w:val="none"/>
          <w:lang w:eastAsia="zh-CN"/>
        </w:rPr>
        <w:t>%；其他收入2.24万元，占</w:t>
      </w:r>
      <w:r>
        <w:rPr>
          <w:rFonts w:hint="eastAsia" w:eastAsia="仿宋_GB2312" w:cs="仿宋_GB2312"/>
          <w:color w:val="auto"/>
          <w:sz w:val="32"/>
          <w:szCs w:val="32"/>
          <w:highlight w:val="none"/>
          <w:lang w:val="en-US" w:eastAsia="zh-CN"/>
        </w:rPr>
        <w:t>0.06</w:t>
      </w:r>
      <w:r>
        <w:rPr>
          <w:rFonts w:hint="eastAsia" w:ascii="Times New Roman" w:hAnsi="Times New Roman" w:eastAsia="仿宋_GB2312" w:cs="仿宋_GB2312"/>
          <w:color w:val="auto"/>
          <w:sz w:val="32"/>
          <w:szCs w:val="32"/>
          <w:highlight w:val="none"/>
          <w:lang w:eastAsia="zh-CN"/>
        </w:rPr>
        <w:t>%。</w:t>
      </w:r>
    </w:p>
    <w:p>
      <w:pPr>
        <w:ind w:firstLine="803"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-184785</wp:posOffset>
            </wp:positionH>
            <wp:positionV relativeFrom="paragraph">
              <wp:posOffset>-8021320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0"/>
      <w:bookmarkEnd w:id="21"/>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3514.19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957.64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27.25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2556.55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72.75</w:t>
      </w:r>
      <w:r>
        <w:rPr>
          <w:rFonts w:hint="eastAsia" w:ascii="Times New Roman" w:hAnsi="Times New Roman"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-226060</wp:posOffset>
            </wp:positionH>
            <wp:positionV relativeFrom="paragraph">
              <wp:posOffset>34290</wp:posOffset>
            </wp:positionV>
            <wp:extent cx="5256530" cy="2988310"/>
            <wp:effectExtent l="5080" t="4445" r="15240" b="17145"/>
            <wp:wrapTight wrapText="bothSides">
              <wp:wrapPolygon>
                <wp:start x="-21" y="-32"/>
                <wp:lineTo x="-21" y="21449"/>
                <wp:lineTo x="21506" y="21449"/>
                <wp:lineTo x="21506" y="-32"/>
                <wp:lineTo x="-21" y="-32"/>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outlineLvl w:val="1"/>
        <w:rPr>
          <w:rStyle w:val="32"/>
          <w:rFonts w:ascii="Times New Roman" w:hAnsi="Times New Roman" w:eastAsia="黑体"/>
          <w:b w:val="0"/>
          <w:color w:val="auto"/>
          <w:highlight w:val="none"/>
        </w:rPr>
      </w:pPr>
      <w:bookmarkStart w:id="22" w:name="_Toc15396606"/>
      <w:bookmarkStart w:id="23"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2"/>
      <w:bookmarkEnd w:id="2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3496.62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1650.34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32.06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项目支出减少。</w:t>
      </w:r>
    </w:p>
    <w:p>
      <w:pPr>
        <w:spacing w:line="600" w:lineRule="exact"/>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r>
        <w:drawing>
          <wp:inline distT="0" distB="0" distL="114300" distR="114300">
            <wp:extent cx="5256530" cy="2988310"/>
            <wp:effectExtent l="5080" t="4445" r="15240" b="1714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lang w:val="en-US" w:eastAsia="zh-CN"/>
        </w:rPr>
      </w:pPr>
    </w:p>
    <w:p>
      <w:pPr>
        <w:spacing w:line="600" w:lineRule="exact"/>
        <w:rPr>
          <w:rStyle w:val="32"/>
          <w:rFonts w:ascii="Times New Roman" w:hAnsi="Times New Roman" w:eastAsia="黑体"/>
          <w:b w:val="0"/>
          <w:color w:val="auto"/>
          <w:highlight w:val="none"/>
        </w:rPr>
      </w:pPr>
      <w:bookmarkStart w:id="24" w:name="_Toc15396607"/>
      <w:bookmarkStart w:id="2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3421.35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97.36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1725.61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33.53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项目支出减少。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56530" cy="2988310"/>
            <wp:effectExtent l="5080" t="4445" r="15240" b="17145"/>
            <wp:docPr id="1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3421.35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一般公共服务支出537.44万元，占</w:t>
      </w:r>
      <w:r>
        <w:rPr>
          <w:rFonts w:hint="eastAsia" w:eastAsia="仿宋_GB2312" w:cs="仿宋_GB2312"/>
          <w:color w:val="auto"/>
          <w:kern w:val="2"/>
          <w:sz w:val="32"/>
          <w:szCs w:val="32"/>
          <w:highlight w:val="none"/>
          <w:lang w:val="en-US" w:eastAsia="zh-CN" w:bidi="ar-SA"/>
        </w:rPr>
        <w:t>15.7</w:t>
      </w:r>
      <w:r>
        <w:rPr>
          <w:rFonts w:hint="eastAsia" w:ascii="Times New Roman" w:hAnsi="Times New Roman" w:eastAsia="仿宋_GB2312" w:cs="仿宋_GB2312"/>
          <w:color w:val="auto"/>
          <w:kern w:val="2"/>
          <w:sz w:val="32"/>
          <w:szCs w:val="32"/>
          <w:highlight w:val="none"/>
          <w:lang w:val="en-US" w:eastAsia="zh-CN" w:bidi="ar-SA"/>
        </w:rPr>
        <w:t>%；教育支出1.94万元，占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%；国防支出4.9万元，占</w:t>
      </w:r>
      <w:r>
        <w:rPr>
          <w:rFonts w:hint="eastAsia" w:eastAsia="仿宋_GB2312" w:cs="仿宋_GB2312"/>
          <w:color w:val="auto"/>
          <w:kern w:val="2"/>
          <w:sz w:val="32"/>
          <w:szCs w:val="32"/>
          <w:highlight w:val="none"/>
          <w:lang w:val="en-US" w:eastAsia="zh-CN" w:bidi="ar-SA"/>
        </w:rPr>
        <w:t>0.14</w:t>
      </w:r>
      <w:r>
        <w:rPr>
          <w:rFonts w:hint="eastAsia" w:ascii="Times New Roman" w:hAnsi="Times New Roman" w:eastAsia="仿宋_GB2312" w:cs="仿宋_GB2312"/>
          <w:color w:val="auto"/>
          <w:kern w:val="2"/>
          <w:sz w:val="32"/>
          <w:szCs w:val="32"/>
          <w:highlight w:val="none"/>
          <w:lang w:val="en-US" w:eastAsia="zh-CN" w:bidi="ar-SA"/>
        </w:rPr>
        <w:t>%；文化旅游体育与传媒支出25.25万元，占</w:t>
      </w:r>
      <w:r>
        <w:rPr>
          <w:rFonts w:hint="eastAsia" w:eastAsia="仿宋_GB2312" w:cs="仿宋_GB2312"/>
          <w:color w:val="auto"/>
          <w:kern w:val="2"/>
          <w:sz w:val="32"/>
          <w:szCs w:val="32"/>
          <w:highlight w:val="none"/>
          <w:lang w:val="en-US" w:eastAsia="zh-CN" w:bidi="ar-SA"/>
        </w:rPr>
        <w:t>0.73</w:t>
      </w:r>
      <w:r>
        <w:rPr>
          <w:rFonts w:hint="eastAsia" w:ascii="Times New Roman" w:hAnsi="Times New Roman" w:eastAsia="仿宋_GB2312" w:cs="仿宋_GB2312"/>
          <w:color w:val="auto"/>
          <w:kern w:val="2"/>
          <w:sz w:val="32"/>
          <w:szCs w:val="32"/>
          <w:highlight w:val="none"/>
          <w:lang w:val="en-US" w:eastAsia="zh-CN" w:bidi="ar-SA"/>
        </w:rPr>
        <w:t>%；社会保障和就业支出127.02万元，占</w:t>
      </w:r>
      <w:r>
        <w:rPr>
          <w:rFonts w:hint="eastAsia" w:eastAsia="仿宋_GB2312" w:cs="仿宋_GB2312"/>
          <w:color w:val="auto"/>
          <w:kern w:val="2"/>
          <w:sz w:val="32"/>
          <w:szCs w:val="32"/>
          <w:highlight w:val="none"/>
          <w:lang w:val="en-US" w:eastAsia="zh-CN" w:bidi="ar-SA"/>
        </w:rPr>
        <w:t>3.71</w:t>
      </w:r>
      <w:r>
        <w:rPr>
          <w:rFonts w:hint="eastAsia" w:ascii="Times New Roman" w:hAnsi="Times New Roman" w:eastAsia="仿宋_GB2312" w:cs="仿宋_GB2312"/>
          <w:color w:val="auto"/>
          <w:kern w:val="2"/>
          <w:sz w:val="32"/>
          <w:szCs w:val="32"/>
          <w:highlight w:val="none"/>
          <w:lang w:val="en-US" w:eastAsia="zh-CN" w:bidi="ar-SA"/>
        </w:rPr>
        <w:t>%；卫生健康支出43.6</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1.27</w:t>
      </w:r>
      <w:r>
        <w:rPr>
          <w:rFonts w:hint="eastAsia" w:ascii="Times New Roman" w:hAnsi="Times New Roman" w:eastAsia="仿宋_GB2312" w:cs="仿宋_GB2312"/>
          <w:color w:val="auto"/>
          <w:kern w:val="2"/>
          <w:sz w:val="32"/>
          <w:szCs w:val="32"/>
          <w:highlight w:val="none"/>
          <w:lang w:val="en-US" w:eastAsia="zh-CN" w:bidi="ar-SA"/>
        </w:rPr>
        <w:t>%；住房保障支出70.39万元，占</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2606.41</w:t>
      </w:r>
      <w:r>
        <w:rPr>
          <w:rFonts w:hint="eastAsia" w:ascii="Times New Roman" w:hAnsi="Times New Roman" w:eastAsia="仿宋_GB2312" w:cs="仿宋_GB2312"/>
          <w:color w:val="auto"/>
          <w:kern w:val="2"/>
          <w:sz w:val="32"/>
          <w:szCs w:val="32"/>
          <w:highlight w:val="none"/>
          <w:lang w:val="en-US" w:eastAsia="zh-CN" w:bidi="ar-SA"/>
        </w:rPr>
        <w:t>万元，占76.18%；灾害防治及应急管理支出4.35万元，占0.17%。</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56530" cy="2988310"/>
            <wp:effectExtent l="5080" t="4445" r="15240" b="17145"/>
            <wp:docPr id="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444"/>
      <w:bookmarkStart w:id="31"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3421.35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支出决算为537.44万元，完成预算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 支出决算为1.94万元，完成预算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3.国防支出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支出决算为4.9万元，完成预算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支出决算为25.25万元，完成预算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支出决算为127.02万元，完成预算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6.卫生健康：支出决算为43.65万元，完成预算100%。</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7.农林水支出：2606.41万元，完成预算100%。</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8.灾害防治及应急管理支出：4.35万元，完成预算100%。</w:t>
      </w:r>
    </w:p>
    <w:p>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9.住房保障支出：70.39万元，完成预算100%。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2"/>
          <w:rFonts w:ascii="Times New Roman" w:hAnsi="Times New Roman"/>
          <w:color w:val="auto"/>
          <w:highlight w:val="none"/>
        </w:rPr>
      </w:pPr>
      <w:bookmarkStart w:id="32" w:name="_Toc15377214"/>
      <w:bookmarkStart w:id="3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2"/>
      <w:bookmarkEnd w:id="33"/>
      <w:r>
        <w:rPr>
          <w:rStyle w:val="32"/>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3514.19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957.64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2556.55</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2"/>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spacing w:line="48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22.03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43.52</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22.03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56530" cy="2988310"/>
            <wp:effectExtent l="5080" t="4445" r="15240" b="17145"/>
            <wp:docPr id="1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22.03</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43.52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本年度出行任务增多，下村上县频次加大，车辆使用年限增长，零部件老化，日常保养、维修频次提高，</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22.03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val="en-US" w:eastAsia="zh-CN"/>
        </w:rPr>
        <w:t>上县下村</w:t>
      </w:r>
      <w:r>
        <w:rPr>
          <w:rFonts w:hint="eastAsia" w:ascii="仿宋_GB2312" w:eastAsia="仿宋_GB2312"/>
          <w:color w:val="auto"/>
          <w:sz w:val="32"/>
          <w:szCs w:val="32"/>
          <w:highlight w:val="none"/>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8" w:name="_Toc15396610"/>
      <w:bookmarkStart w:id="39" w:name="_Toc15377218"/>
    </w:p>
    <w:p>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75.27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2.19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75.27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本年度实施</w:t>
      </w:r>
      <w:r>
        <w:rPr>
          <w:rFonts w:hint="eastAsia" w:ascii="Times New Roman" w:hAnsi="Times New Roman" w:eastAsia="仿宋_GB2312" w:cs="仿宋_GB2312"/>
          <w:color w:val="auto"/>
          <w:kern w:val="2"/>
          <w:sz w:val="32"/>
          <w:szCs w:val="32"/>
          <w:highlight w:val="none"/>
          <w:lang w:val="en-US" w:eastAsia="zh-CN" w:bidi="ar-SA"/>
        </w:rPr>
        <w:t>政府性基金</w:t>
      </w:r>
      <w:r>
        <w:rPr>
          <w:rFonts w:hint="eastAsia" w:eastAsia="仿宋_GB2312" w:cs="仿宋_GB2312"/>
          <w:color w:val="auto"/>
          <w:kern w:val="2"/>
          <w:sz w:val="32"/>
          <w:szCs w:val="32"/>
          <w:highlight w:val="none"/>
          <w:lang w:val="en-US" w:eastAsia="zh-CN" w:bidi="ar-SA"/>
        </w:rPr>
        <w:t>项目，按工程进度拨付资金，支出相应增加。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0" w:name="_Toc15396611"/>
      <w:bookmarkStart w:id="41"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2" w:name="_Toc15396612"/>
      <w:bookmarkStart w:id="43"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87.09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37.46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75.48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本年度单位日常履职工作量加大，办公耗材、公务差旅、设备运维、水电燃油等日常运行开支增加所致。</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万元，其中：政府采购货物支出0.75万元、授予中小企业合同金额</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吾伊乡人民</w:t>
      </w:r>
      <w:r>
        <w:rPr>
          <w:rFonts w:hint="eastAsia" w:ascii="仿宋_GB2312" w:eastAsia="仿宋_GB2312"/>
          <w:color w:val="auto"/>
          <w:sz w:val="32"/>
          <w:szCs w:val="32"/>
          <w:highlight w:val="none"/>
        </w:rPr>
        <w:t>政府共有车辆</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辆，其中：</w:t>
      </w:r>
      <w:r>
        <w:rPr>
          <w:rFonts w:hint="eastAsia" w:ascii="仿宋_GB2312" w:eastAsia="仿宋_GB2312"/>
          <w:color w:val="000000"/>
          <w:sz w:val="32"/>
          <w:szCs w:val="32"/>
        </w:rPr>
        <w:t>主要领导干部用车0辆、机要通信用车0辆、应急保障用车1辆、其他用车2辆</w:t>
      </w:r>
      <w:r>
        <w:rPr>
          <w:rFonts w:ascii="仿宋_GB2312" w:eastAsia="仿宋_GB2312"/>
          <w:color w:val="000000"/>
          <w:sz w:val="32"/>
          <w:szCs w:val="32"/>
        </w:rPr>
        <w:t>;</w:t>
      </w:r>
      <w:r>
        <w:rPr>
          <w:rFonts w:hint="eastAsia" w:ascii="仿宋_GB2312" w:eastAsia="仿宋_GB2312"/>
          <w:color w:val="000000"/>
          <w:sz w:val="32"/>
          <w:szCs w:val="32"/>
        </w:rPr>
        <w:t>其他用车主要是用于垃圾倾倒及保障日常下村上县的工作开展。单价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预算编制阶段，组织对壤塘县吾伊乡</w:t>
      </w:r>
      <w:r>
        <w:rPr>
          <w:rFonts w:hint="eastAsia" w:ascii="仿宋_GB2312" w:hAnsi="仿宋_GB2312" w:eastAsia="仿宋_GB2312" w:cs="仿宋_GB2312"/>
          <w:color w:val="auto"/>
          <w:sz w:val="32"/>
          <w:szCs w:val="32"/>
          <w:highlight w:val="none"/>
          <w:lang w:val="en-US" w:eastAsia="zh-CN"/>
        </w:rPr>
        <w:t>壤古村民族团结示范村和壤古村克久温泉产业提升建设</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壤塘县</w:t>
      </w:r>
      <w:r>
        <w:rPr>
          <w:rFonts w:hint="eastAsia" w:ascii="仿宋_GB2312" w:hAnsi="仿宋_GB2312" w:eastAsia="仿宋_GB2312" w:cs="仿宋_GB2312"/>
          <w:color w:val="auto"/>
          <w:sz w:val="32"/>
          <w:szCs w:val="32"/>
          <w:highlight w:val="none"/>
          <w:lang w:eastAsia="zh-CN"/>
        </w:rPr>
        <w:t>吾伊乡</w:t>
      </w:r>
      <w:r>
        <w:rPr>
          <w:rFonts w:hint="eastAsia" w:ascii="仿宋_GB2312" w:hAnsi="仿宋_GB2312" w:eastAsia="仿宋_GB2312" w:cs="仿宋_GB2312"/>
          <w:color w:val="auto"/>
          <w:sz w:val="32"/>
          <w:szCs w:val="32"/>
          <w:highlight w:val="none"/>
          <w:lang w:val="en-US" w:eastAsia="zh-CN"/>
        </w:rPr>
        <w:t>2025年基层办公条件查漏补缺</w:t>
      </w:r>
      <w:r>
        <w:rPr>
          <w:rFonts w:hint="eastAsia" w:ascii="仿宋_GB2312" w:hAnsi="仿宋_GB2312" w:eastAsia="仿宋_GB2312" w:cs="仿宋_GB2312"/>
          <w:color w:val="auto"/>
          <w:sz w:val="32"/>
          <w:szCs w:val="32"/>
          <w:highlight w:val="none"/>
          <w:lang w:eastAsia="zh-CN"/>
        </w:rPr>
        <w:t>项目、壤塘县吾伊乡</w:t>
      </w:r>
      <w:r>
        <w:rPr>
          <w:rFonts w:hint="eastAsia" w:ascii="仿宋_GB2312" w:hAnsi="仿宋_GB2312" w:eastAsia="仿宋_GB2312" w:cs="仿宋_GB2312"/>
          <w:color w:val="auto"/>
          <w:sz w:val="32"/>
          <w:szCs w:val="32"/>
          <w:highlight w:val="none"/>
          <w:lang w:val="en-US" w:eastAsia="zh-CN"/>
        </w:rPr>
        <w:t>标准化种植基地</w:t>
      </w:r>
      <w:r>
        <w:rPr>
          <w:rFonts w:hint="eastAsia" w:ascii="仿宋_GB2312" w:hAnsi="仿宋_GB2312" w:eastAsia="仿宋_GB2312" w:cs="仿宋_GB2312"/>
          <w:color w:val="auto"/>
          <w:sz w:val="32"/>
          <w:szCs w:val="32"/>
          <w:highlight w:val="none"/>
          <w:lang w:eastAsia="zh-CN"/>
        </w:rPr>
        <w:t>项目、壤塘县</w:t>
      </w:r>
      <w:r>
        <w:rPr>
          <w:rFonts w:hint="eastAsia" w:ascii="仿宋_GB2312" w:hAnsi="仿宋_GB2312" w:eastAsia="仿宋_GB2312" w:cs="仿宋_GB2312"/>
          <w:color w:val="auto"/>
          <w:sz w:val="32"/>
          <w:szCs w:val="32"/>
          <w:highlight w:val="none"/>
          <w:lang w:val="en-US" w:eastAsia="zh-CN"/>
        </w:rPr>
        <w:t>吾伊乡基础设施补短</w:t>
      </w:r>
      <w:r>
        <w:rPr>
          <w:rFonts w:hint="eastAsia" w:ascii="仿宋_GB2312" w:hAnsi="仿宋_GB2312" w:eastAsia="仿宋_GB2312" w:cs="仿宋_GB2312"/>
          <w:color w:val="auto"/>
          <w:sz w:val="32"/>
          <w:szCs w:val="32"/>
          <w:highlight w:val="none"/>
          <w:lang w:eastAsia="zh-CN"/>
        </w:rPr>
        <w:t>项目、壤塘县吾伊乡人工饲草基地建设项目、壤塘县吾伊乡</w:t>
      </w:r>
      <w:r>
        <w:rPr>
          <w:rFonts w:hint="eastAsia" w:ascii="仿宋_GB2312" w:hAnsi="仿宋_GB2312" w:eastAsia="仿宋_GB2312" w:cs="仿宋_GB2312"/>
          <w:color w:val="auto"/>
          <w:sz w:val="32"/>
          <w:szCs w:val="32"/>
          <w:highlight w:val="none"/>
          <w:lang w:val="en-US" w:eastAsia="zh-CN"/>
        </w:rPr>
        <w:t>牲畜暖棚</w:t>
      </w:r>
      <w:r>
        <w:rPr>
          <w:rFonts w:hint="eastAsia" w:ascii="仿宋_GB2312" w:hAnsi="仿宋_GB2312" w:eastAsia="仿宋_GB2312" w:cs="仿宋_GB2312"/>
          <w:color w:val="auto"/>
          <w:sz w:val="32"/>
          <w:szCs w:val="32"/>
          <w:highlight w:val="none"/>
          <w:lang w:eastAsia="zh-CN"/>
        </w:rPr>
        <w:t>建设项目、壤塘县吾伊乡实验示范基地提升改造项目、壤塘县吾伊乡西西村村民活动中心建设项目、壤塘县吾伊乡修卡村产业发展项目、壤塘县吾伊乡修卡村护岸工程项目、壤塘县吾伊乡过境路沿线网围栏建设项目</w:t>
      </w:r>
      <w:r>
        <w:rPr>
          <w:rFonts w:hint="eastAsia" w:ascii="仿宋_GB2312" w:hAnsi="仿宋_GB2312" w:eastAsia="仿宋_GB2312" w:cs="仿宋_GB2312"/>
          <w:color w:val="auto"/>
          <w:sz w:val="32"/>
          <w:szCs w:val="32"/>
          <w:highlight w:val="none"/>
          <w:lang w:val="en-US" w:eastAsia="zh-CN"/>
        </w:rPr>
        <w:t>等11个项目涉及金额4858万元，</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w:t>
      </w:r>
    </w:p>
    <w:p>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w:t>
      </w:r>
      <w:r>
        <w:rPr>
          <w:rFonts w:hint="eastAsia" w:ascii="仿宋_GB2312" w:hAnsi="仿宋_GB2312" w:eastAsia="仿宋_GB2312" w:cs="仿宋_GB2312"/>
          <w:color w:val="auto"/>
          <w:sz w:val="32"/>
          <w:szCs w:val="32"/>
          <w:highlight w:val="none"/>
          <w:lang w:eastAsia="zh-CN"/>
        </w:rPr>
        <w:t>政府性基金预算、国有资本经营预算、社会保险基金预算以及资本资产、债券资金等</w:t>
      </w:r>
      <w:r>
        <w:rPr>
          <w:rFonts w:hint="eastAsia" w:ascii="仿宋_GB2312" w:hAnsi="仿宋_GB2312" w:eastAsia="仿宋_GB2312" w:cs="仿宋_GB2312"/>
          <w:color w:val="auto"/>
          <w:sz w:val="32"/>
          <w:szCs w:val="32"/>
          <w:highlight w:val="none"/>
          <w:lang w:val="en-US" w:eastAsia="zh-CN"/>
        </w:rPr>
        <w:t>全面开展绩效自评，形成壤塘县</w:t>
      </w:r>
      <w:r>
        <w:rPr>
          <w:rFonts w:hint="eastAsia" w:ascii="仿宋_GB2312" w:hAnsi="仿宋_GB2312" w:eastAsia="仿宋_GB2312" w:cs="仿宋_GB2312"/>
          <w:color w:val="auto"/>
          <w:sz w:val="32"/>
          <w:szCs w:val="32"/>
          <w:highlight w:val="none"/>
          <w:lang w:eastAsia="zh-CN"/>
        </w:rPr>
        <w:t>吾伊乡</w:t>
      </w:r>
      <w:r>
        <w:rPr>
          <w:rFonts w:hint="eastAsia" w:ascii="仿宋_GB2312" w:hAnsi="仿宋_GB2312" w:eastAsia="仿宋_GB2312" w:cs="仿宋_GB2312"/>
          <w:color w:val="auto"/>
          <w:sz w:val="32"/>
          <w:szCs w:val="32"/>
          <w:highlight w:val="none"/>
          <w:lang w:val="en-US" w:eastAsia="zh-CN"/>
        </w:rPr>
        <w:t>2025年基层办公条件查漏补缺</w:t>
      </w:r>
      <w:r>
        <w:rPr>
          <w:rFonts w:hint="eastAsia" w:ascii="仿宋_GB2312" w:hAnsi="仿宋_GB2312" w:eastAsia="仿宋_GB2312" w:cs="仿宋_GB2312"/>
          <w:color w:val="auto"/>
          <w:sz w:val="32"/>
          <w:szCs w:val="32"/>
          <w:highlight w:val="none"/>
          <w:lang w:eastAsia="zh-CN"/>
        </w:rPr>
        <w:t>项目、壤塘县吾伊乡</w:t>
      </w:r>
      <w:r>
        <w:rPr>
          <w:rFonts w:hint="eastAsia" w:ascii="仿宋_GB2312" w:hAnsi="仿宋_GB2312" w:eastAsia="仿宋_GB2312" w:cs="仿宋_GB2312"/>
          <w:color w:val="auto"/>
          <w:sz w:val="32"/>
          <w:szCs w:val="32"/>
          <w:highlight w:val="none"/>
          <w:lang w:val="en-US" w:eastAsia="zh-CN"/>
        </w:rPr>
        <w:t>标准化种植基地</w:t>
      </w:r>
      <w:r>
        <w:rPr>
          <w:rFonts w:hint="eastAsia" w:ascii="仿宋_GB2312" w:hAnsi="仿宋_GB2312" w:eastAsia="仿宋_GB2312" w:cs="仿宋_GB2312"/>
          <w:color w:val="auto"/>
          <w:sz w:val="32"/>
          <w:szCs w:val="32"/>
          <w:highlight w:val="none"/>
          <w:lang w:eastAsia="zh-CN"/>
        </w:rPr>
        <w:t>项目、壤塘县</w:t>
      </w:r>
      <w:r>
        <w:rPr>
          <w:rFonts w:hint="eastAsia" w:ascii="仿宋_GB2312" w:hAnsi="仿宋_GB2312" w:eastAsia="仿宋_GB2312" w:cs="仿宋_GB2312"/>
          <w:color w:val="auto"/>
          <w:sz w:val="32"/>
          <w:szCs w:val="32"/>
          <w:highlight w:val="none"/>
          <w:lang w:val="en-US" w:eastAsia="zh-CN"/>
        </w:rPr>
        <w:t>吾伊乡基础设施补短</w:t>
      </w:r>
      <w:r>
        <w:rPr>
          <w:rFonts w:hint="eastAsia" w:ascii="仿宋_GB2312" w:hAnsi="仿宋_GB2312" w:eastAsia="仿宋_GB2312" w:cs="仿宋_GB2312"/>
          <w:color w:val="auto"/>
          <w:sz w:val="32"/>
          <w:szCs w:val="32"/>
          <w:highlight w:val="none"/>
          <w:lang w:eastAsia="zh-CN"/>
        </w:rPr>
        <w:t>项目、壤塘县吾伊乡人工饲草基地建设项目、壤塘县吾伊乡</w:t>
      </w:r>
      <w:r>
        <w:rPr>
          <w:rFonts w:hint="eastAsia" w:ascii="仿宋_GB2312" w:hAnsi="仿宋_GB2312" w:eastAsia="仿宋_GB2312" w:cs="仿宋_GB2312"/>
          <w:color w:val="auto"/>
          <w:sz w:val="32"/>
          <w:szCs w:val="32"/>
          <w:highlight w:val="none"/>
          <w:lang w:val="en-US" w:eastAsia="zh-CN"/>
        </w:rPr>
        <w:t>牲畜暖棚</w:t>
      </w:r>
      <w:r>
        <w:rPr>
          <w:rFonts w:hint="eastAsia" w:ascii="仿宋_GB2312" w:hAnsi="仿宋_GB2312" w:eastAsia="仿宋_GB2312" w:cs="仿宋_GB2312"/>
          <w:color w:val="auto"/>
          <w:sz w:val="32"/>
          <w:szCs w:val="32"/>
          <w:highlight w:val="none"/>
          <w:lang w:eastAsia="zh-CN"/>
        </w:rPr>
        <w:t>建设项目、壤塘县吾伊乡实验示范基地提升改造项目、壤塘县吾伊乡西西村村民活动中心建设项目、壤塘县吾伊乡修卡村产业发展项目、壤塘县吾伊乡修卡村护岸工程项目、壤塘县吾伊乡过境路沿线网围栏建设项目</w:t>
      </w:r>
      <w:r>
        <w:rPr>
          <w:rFonts w:hint="eastAsia" w:ascii="仿宋_GB2312" w:hAnsi="仿宋_GB2312" w:eastAsia="仿宋_GB2312" w:cs="仿宋_GB2312"/>
          <w:color w:val="auto"/>
          <w:sz w:val="32"/>
          <w:szCs w:val="32"/>
          <w:highlight w:val="none"/>
          <w:lang w:val="en-US" w:eastAsia="zh-CN"/>
        </w:rPr>
        <w:t>10个项目绩效自评报告，其中，1、壤塘县</w:t>
      </w:r>
      <w:r>
        <w:rPr>
          <w:rFonts w:hint="eastAsia" w:ascii="仿宋_GB2312" w:hAnsi="仿宋_GB2312" w:eastAsia="仿宋_GB2312" w:cs="仿宋_GB2312"/>
          <w:color w:val="auto"/>
          <w:sz w:val="32"/>
          <w:szCs w:val="32"/>
          <w:highlight w:val="none"/>
          <w:lang w:eastAsia="zh-CN"/>
        </w:rPr>
        <w:t>吾伊乡</w:t>
      </w:r>
      <w:r>
        <w:rPr>
          <w:rFonts w:hint="eastAsia" w:ascii="仿宋_GB2312" w:hAnsi="仿宋_GB2312" w:eastAsia="仿宋_GB2312" w:cs="仿宋_GB2312"/>
          <w:color w:val="auto"/>
          <w:sz w:val="32"/>
          <w:szCs w:val="32"/>
          <w:highlight w:val="none"/>
          <w:lang w:val="en-US" w:eastAsia="zh-CN"/>
        </w:rPr>
        <w:t>2025年基层办公条件查漏补缺</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绩效自评得分90分；2、</w:t>
      </w:r>
      <w:r>
        <w:rPr>
          <w:rFonts w:hint="eastAsia" w:ascii="仿宋_GB2312" w:hAnsi="仿宋_GB2312" w:eastAsia="仿宋_GB2312" w:cs="仿宋_GB2312"/>
          <w:color w:val="auto"/>
          <w:sz w:val="32"/>
          <w:szCs w:val="32"/>
          <w:highlight w:val="none"/>
          <w:lang w:eastAsia="zh-CN"/>
        </w:rPr>
        <w:t>壤塘县吾伊乡</w:t>
      </w:r>
      <w:r>
        <w:rPr>
          <w:rFonts w:hint="eastAsia" w:ascii="仿宋_GB2312" w:hAnsi="仿宋_GB2312" w:eastAsia="仿宋_GB2312" w:cs="仿宋_GB2312"/>
          <w:color w:val="auto"/>
          <w:sz w:val="32"/>
          <w:szCs w:val="32"/>
          <w:highlight w:val="none"/>
          <w:lang w:val="en-US" w:eastAsia="zh-CN"/>
        </w:rPr>
        <w:t>标准化种植基地</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绩效自评得分100分；3、</w:t>
      </w:r>
      <w:r>
        <w:rPr>
          <w:rFonts w:hint="eastAsia" w:ascii="仿宋_GB2312" w:hAnsi="仿宋_GB2312" w:eastAsia="仿宋_GB2312" w:cs="仿宋_GB2312"/>
          <w:color w:val="auto"/>
          <w:sz w:val="32"/>
          <w:szCs w:val="32"/>
          <w:highlight w:val="none"/>
          <w:lang w:eastAsia="zh-CN"/>
        </w:rPr>
        <w:t>壤塘县</w:t>
      </w:r>
      <w:r>
        <w:rPr>
          <w:rFonts w:hint="eastAsia" w:ascii="仿宋_GB2312" w:hAnsi="仿宋_GB2312" w:eastAsia="仿宋_GB2312" w:cs="仿宋_GB2312"/>
          <w:color w:val="auto"/>
          <w:sz w:val="32"/>
          <w:szCs w:val="32"/>
          <w:highlight w:val="none"/>
          <w:lang w:val="en-US" w:eastAsia="zh-CN"/>
        </w:rPr>
        <w:t>吾伊乡基础设施补短</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绩效自评得分100分；4、壤塘县吾伊乡人工饲草基地建设项目绩效自评得分90分；5、</w:t>
      </w:r>
      <w:r>
        <w:rPr>
          <w:rFonts w:hint="eastAsia" w:ascii="仿宋_GB2312" w:hAnsi="仿宋_GB2312" w:eastAsia="仿宋_GB2312" w:cs="仿宋_GB2312"/>
          <w:color w:val="auto"/>
          <w:sz w:val="32"/>
          <w:szCs w:val="32"/>
          <w:highlight w:val="none"/>
          <w:lang w:eastAsia="zh-CN"/>
        </w:rPr>
        <w:t>壤塘县吾伊乡</w:t>
      </w:r>
      <w:r>
        <w:rPr>
          <w:rFonts w:hint="eastAsia" w:ascii="仿宋_GB2312" w:hAnsi="仿宋_GB2312" w:eastAsia="仿宋_GB2312" w:cs="仿宋_GB2312"/>
          <w:color w:val="auto"/>
          <w:sz w:val="32"/>
          <w:szCs w:val="32"/>
          <w:highlight w:val="none"/>
          <w:lang w:val="en-US" w:eastAsia="zh-CN"/>
        </w:rPr>
        <w:t>牲畜暖棚</w:t>
      </w:r>
      <w:r>
        <w:rPr>
          <w:rFonts w:hint="eastAsia" w:ascii="仿宋_GB2312" w:hAnsi="仿宋_GB2312" w:eastAsia="仿宋_GB2312" w:cs="仿宋_GB2312"/>
          <w:color w:val="auto"/>
          <w:sz w:val="32"/>
          <w:szCs w:val="32"/>
          <w:highlight w:val="none"/>
          <w:lang w:eastAsia="zh-CN"/>
        </w:rPr>
        <w:t>建设项目</w:t>
      </w:r>
      <w:r>
        <w:rPr>
          <w:rFonts w:hint="eastAsia" w:ascii="仿宋_GB2312" w:hAnsi="仿宋_GB2312" w:eastAsia="仿宋_GB2312" w:cs="仿宋_GB2312"/>
          <w:color w:val="auto"/>
          <w:sz w:val="32"/>
          <w:szCs w:val="32"/>
          <w:highlight w:val="none"/>
          <w:lang w:val="en-US" w:eastAsia="zh-CN"/>
        </w:rPr>
        <w:t>绩效自评得分为100分；6、</w:t>
      </w:r>
      <w:r>
        <w:rPr>
          <w:rFonts w:hint="eastAsia" w:ascii="仿宋_GB2312" w:hAnsi="仿宋_GB2312" w:eastAsia="仿宋_GB2312" w:cs="仿宋_GB2312"/>
          <w:color w:val="auto"/>
          <w:sz w:val="32"/>
          <w:szCs w:val="32"/>
          <w:highlight w:val="none"/>
          <w:lang w:eastAsia="zh-CN"/>
        </w:rPr>
        <w:t>壤塘县吾伊乡实验示范基地提升改造项目</w:t>
      </w:r>
      <w:r>
        <w:rPr>
          <w:rFonts w:hint="eastAsia" w:ascii="仿宋_GB2312" w:hAnsi="仿宋_GB2312" w:eastAsia="仿宋_GB2312" w:cs="仿宋_GB2312"/>
          <w:color w:val="auto"/>
          <w:sz w:val="32"/>
          <w:szCs w:val="32"/>
          <w:highlight w:val="none"/>
          <w:lang w:val="en-US" w:eastAsia="zh-CN"/>
        </w:rPr>
        <w:t>绩效自评得分100分；7、</w:t>
      </w:r>
      <w:r>
        <w:rPr>
          <w:rFonts w:hint="eastAsia" w:ascii="仿宋_GB2312" w:hAnsi="仿宋_GB2312" w:eastAsia="仿宋_GB2312" w:cs="仿宋_GB2312"/>
          <w:color w:val="auto"/>
          <w:sz w:val="32"/>
          <w:szCs w:val="32"/>
          <w:highlight w:val="none"/>
          <w:lang w:eastAsia="zh-CN"/>
        </w:rPr>
        <w:t>壤塘县吾伊乡西西村村民活动中心建设项目</w:t>
      </w:r>
      <w:r>
        <w:rPr>
          <w:rFonts w:hint="eastAsia" w:ascii="仿宋_GB2312" w:hAnsi="仿宋_GB2312" w:eastAsia="仿宋_GB2312" w:cs="仿宋_GB2312"/>
          <w:color w:val="auto"/>
          <w:sz w:val="32"/>
          <w:szCs w:val="32"/>
          <w:highlight w:val="none"/>
          <w:lang w:val="en-US" w:eastAsia="zh-CN"/>
        </w:rPr>
        <w:t>绩效自评得分100分；8、</w:t>
      </w:r>
      <w:r>
        <w:rPr>
          <w:rFonts w:hint="eastAsia" w:ascii="仿宋_GB2312" w:hAnsi="仿宋_GB2312" w:eastAsia="仿宋_GB2312" w:cs="仿宋_GB2312"/>
          <w:color w:val="auto"/>
          <w:sz w:val="32"/>
          <w:szCs w:val="32"/>
          <w:highlight w:val="none"/>
          <w:lang w:eastAsia="zh-CN"/>
        </w:rPr>
        <w:t>壤塘县吾伊乡修卡村护岸工程项目</w:t>
      </w:r>
      <w:r>
        <w:rPr>
          <w:rFonts w:hint="eastAsia" w:ascii="仿宋_GB2312" w:hAnsi="仿宋_GB2312" w:eastAsia="仿宋_GB2312" w:cs="仿宋_GB2312"/>
          <w:color w:val="auto"/>
          <w:sz w:val="32"/>
          <w:szCs w:val="32"/>
          <w:highlight w:val="none"/>
          <w:lang w:val="en-US" w:eastAsia="zh-CN"/>
        </w:rPr>
        <w:t>绩效自评得分100分；9、</w:t>
      </w:r>
      <w:r>
        <w:rPr>
          <w:rFonts w:hint="eastAsia" w:ascii="仿宋_GB2312" w:hAnsi="仿宋_GB2312" w:eastAsia="仿宋_GB2312" w:cs="仿宋_GB2312"/>
          <w:color w:val="auto"/>
          <w:sz w:val="32"/>
          <w:szCs w:val="32"/>
          <w:highlight w:val="none"/>
          <w:lang w:eastAsia="zh-CN"/>
        </w:rPr>
        <w:t>壤塘县吾伊乡修卡村产业发展项目</w:t>
      </w:r>
      <w:r>
        <w:rPr>
          <w:rFonts w:hint="eastAsia" w:ascii="仿宋_GB2312" w:hAnsi="仿宋_GB2312" w:eastAsia="仿宋_GB2312" w:cs="仿宋_GB2312"/>
          <w:color w:val="auto"/>
          <w:sz w:val="32"/>
          <w:szCs w:val="32"/>
          <w:highlight w:val="none"/>
          <w:lang w:val="en-US" w:eastAsia="zh-CN"/>
        </w:rPr>
        <w:t>绩效自评得分100分；10、</w:t>
      </w:r>
      <w:r>
        <w:rPr>
          <w:rFonts w:hint="eastAsia" w:ascii="仿宋_GB2312" w:hAnsi="仿宋_GB2312" w:eastAsia="仿宋_GB2312" w:cs="仿宋_GB2312"/>
          <w:color w:val="auto"/>
          <w:sz w:val="32"/>
          <w:szCs w:val="32"/>
          <w:highlight w:val="none"/>
          <w:lang w:eastAsia="zh-CN"/>
        </w:rPr>
        <w:t>壤塘县吾伊乡过境路沿线网围栏建设项目</w:t>
      </w:r>
      <w:r>
        <w:rPr>
          <w:rFonts w:hint="eastAsia" w:ascii="仿宋_GB2312" w:hAnsi="仿宋_GB2312" w:eastAsia="仿宋_GB2312" w:cs="仿宋_GB2312"/>
          <w:color w:val="auto"/>
          <w:sz w:val="32"/>
          <w:szCs w:val="32"/>
          <w:highlight w:val="none"/>
          <w:lang w:val="en-US" w:eastAsia="zh-CN"/>
        </w:rPr>
        <w:t>绩效自评得分为80分绩效自评综述：1、壤塘县</w:t>
      </w:r>
      <w:r>
        <w:rPr>
          <w:rFonts w:hint="eastAsia" w:ascii="仿宋_GB2312" w:hAnsi="仿宋_GB2312" w:eastAsia="仿宋_GB2312" w:cs="仿宋_GB2312"/>
          <w:color w:val="auto"/>
          <w:sz w:val="32"/>
          <w:szCs w:val="32"/>
          <w:highlight w:val="none"/>
          <w:lang w:eastAsia="zh-CN"/>
        </w:rPr>
        <w:t>吾伊乡</w:t>
      </w:r>
      <w:r>
        <w:rPr>
          <w:rFonts w:hint="eastAsia" w:ascii="仿宋_GB2312" w:hAnsi="仿宋_GB2312" w:eastAsia="仿宋_GB2312" w:cs="仿宋_GB2312"/>
          <w:color w:val="auto"/>
          <w:sz w:val="32"/>
          <w:szCs w:val="32"/>
          <w:highlight w:val="none"/>
          <w:lang w:val="en-US" w:eastAsia="zh-CN"/>
        </w:rPr>
        <w:t>2025年基层办公条件查漏补缺</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改造提升基层办公条件，为干部职工提供便利的公共服务和完善基层的基础配套建设，按照项目施工合同的约定，该项目已按照施工合同的质量要求完成了项目的建设；2、</w:t>
      </w:r>
      <w:r>
        <w:rPr>
          <w:rFonts w:hint="eastAsia" w:ascii="仿宋_GB2312" w:hAnsi="仿宋_GB2312" w:eastAsia="仿宋_GB2312" w:cs="仿宋_GB2312"/>
          <w:color w:val="auto"/>
          <w:sz w:val="32"/>
          <w:szCs w:val="32"/>
          <w:highlight w:val="none"/>
          <w:lang w:eastAsia="zh-CN"/>
        </w:rPr>
        <w:t>壤塘县吾伊乡</w:t>
      </w:r>
      <w:r>
        <w:rPr>
          <w:rFonts w:hint="eastAsia" w:ascii="仿宋_GB2312" w:hAnsi="仿宋_GB2312" w:eastAsia="仿宋_GB2312" w:cs="仿宋_GB2312"/>
          <w:color w:val="auto"/>
          <w:sz w:val="32"/>
          <w:szCs w:val="32"/>
          <w:highlight w:val="none"/>
          <w:lang w:val="en-US" w:eastAsia="zh-CN"/>
        </w:rPr>
        <w:t>标准化种植基地</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申报内容与具体实施内容相符、申报目标合理。通过实施该项目，将进一步提升壤古村的产业规模，为全县香菇种植的产业发展提供示范建设，并且拓宽了壤古村 村民的增收途径，促进乡村全面振兴。项目建设其经济效益和 社会效益都将十分显著，是一项利村、利民、利社会的系统工程、民心工程、德政工程。3、</w:t>
      </w:r>
      <w:r>
        <w:rPr>
          <w:rFonts w:hint="eastAsia" w:ascii="仿宋_GB2312" w:hAnsi="仿宋_GB2312" w:eastAsia="仿宋_GB2312" w:cs="仿宋_GB2312"/>
          <w:color w:val="auto"/>
          <w:sz w:val="32"/>
          <w:szCs w:val="32"/>
          <w:highlight w:val="none"/>
          <w:lang w:eastAsia="zh-CN"/>
        </w:rPr>
        <w:t>壤塘县</w:t>
      </w:r>
      <w:r>
        <w:rPr>
          <w:rFonts w:hint="eastAsia" w:ascii="仿宋_GB2312" w:hAnsi="仿宋_GB2312" w:eastAsia="仿宋_GB2312" w:cs="仿宋_GB2312"/>
          <w:color w:val="auto"/>
          <w:sz w:val="32"/>
          <w:szCs w:val="32"/>
          <w:highlight w:val="none"/>
          <w:lang w:val="en-US" w:eastAsia="zh-CN"/>
        </w:rPr>
        <w:t>吾伊乡基础设施补短</w:t>
      </w:r>
      <w:r>
        <w:rPr>
          <w:rFonts w:hint="eastAsia" w:ascii="仿宋_GB2312" w:hAnsi="仿宋_GB2312" w:eastAsia="仿宋_GB2312" w:cs="仿宋_GB2312"/>
          <w:color w:val="auto"/>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进一步改善修卡村的基础设施，全面保障村民出行安全，促进乡村全面振兴。项目建设其经济效益和社会效益都将十分显著，是一项利村、利民、利社会的系统工程、民心工程、德政工程。4、壤塘县吾伊乡人工饲草基地建设项目申报内容与具体实施内容相符、申报目标合理。通过实施该项目，将提升西西村集体经济，为村民提供冬季畜牧用草困难的实际问题。其经济效益和社会效益都将十分显著，是一项利村、利民、利社会的系统工程、民心工程、德政工程，按照项目施工合同的约定，该项目已按照施工合同的质量要求完成了项目的建设；5、</w:t>
      </w:r>
      <w:r>
        <w:rPr>
          <w:rFonts w:hint="eastAsia" w:ascii="仿宋_GB2312" w:hAnsi="仿宋_GB2312" w:eastAsia="仿宋_GB2312" w:cs="仿宋_GB2312"/>
          <w:color w:val="auto"/>
          <w:sz w:val="32"/>
          <w:szCs w:val="32"/>
          <w:highlight w:val="none"/>
          <w:lang w:eastAsia="zh-CN"/>
        </w:rPr>
        <w:t>壤塘县吾伊乡</w:t>
      </w:r>
      <w:r>
        <w:rPr>
          <w:rFonts w:hint="eastAsia" w:ascii="仿宋_GB2312" w:hAnsi="仿宋_GB2312" w:eastAsia="仿宋_GB2312" w:cs="仿宋_GB2312"/>
          <w:color w:val="auto"/>
          <w:sz w:val="32"/>
          <w:szCs w:val="32"/>
          <w:highlight w:val="none"/>
          <w:lang w:val="en-US" w:eastAsia="zh-CN"/>
        </w:rPr>
        <w:t>牲畜暖棚</w:t>
      </w:r>
      <w:r>
        <w:rPr>
          <w:rFonts w:hint="eastAsia" w:ascii="仿宋_GB2312" w:hAnsi="仿宋_GB2312" w:eastAsia="仿宋_GB2312" w:cs="仿宋_GB2312"/>
          <w:color w:val="auto"/>
          <w:sz w:val="32"/>
          <w:szCs w:val="32"/>
          <w:highlight w:val="none"/>
          <w:lang w:eastAsia="zh-CN"/>
        </w:rPr>
        <w:t>建设项目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进一步提升西西村的规范化养殖能力，全力保障村民增收能力，促进乡村全面振兴。项目建设其经济效益和社会效益都将十分显著，是一项利村、利民、利社会的系统工程、民心工程、德政工程。6、</w:t>
      </w:r>
      <w:r>
        <w:rPr>
          <w:rFonts w:hint="eastAsia" w:ascii="仿宋_GB2312" w:hAnsi="仿宋_GB2312" w:eastAsia="仿宋_GB2312" w:cs="仿宋_GB2312"/>
          <w:color w:val="auto"/>
          <w:sz w:val="32"/>
          <w:szCs w:val="32"/>
          <w:highlight w:val="none"/>
          <w:lang w:eastAsia="zh-CN"/>
        </w:rPr>
        <w:t>壤塘县吾伊乡实验示范基地提升改造项目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改造提升吾伊村实验示范基地管理能力，为村民扩展增收推进，促进乡村全面振兴。项目建设其经济效益和社会效益都将十分显著，是一项利村、利民、利社会的系统工程、民心工程、德政工程。7、</w:t>
      </w:r>
      <w:r>
        <w:rPr>
          <w:rFonts w:hint="eastAsia" w:ascii="仿宋_GB2312" w:hAnsi="仿宋_GB2312" w:eastAsia="仿宋_GB2312" w:cs="仿宋_GB2312"/>
          <w:color w:val="auto"/>
          <w:sz w:val="32"/>
          <w:szCs w:val="32"/>
          <w:highlight w:val="none"/>
          <w:lang w:eastAsia="zh-CN"/>
        </w:rPr>
        <w:t>壤塘县吾伊乡西西村村民活动中心建设项目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吸纳农村劳动力稳定就业，积极推动经营主体通过吸纳就业等方式，建立与农村劳动力的利益联结。支持经营主体拓宽用工渠道，扩大用工数量，规范用工方式，积极吸纳农村劳动力就业，稳定增加农村劳动力工资性收入。该项目已按照施工合同的质量要求完成了项目的建设；8、</w:t>
      </w:r>
      <w:r>
        <w:rPr>
          <w:rFonts w:hint="eastAsia" w:ascii="仿宋_GB2312" w:hAnsi="仿宋_GB2312" w:eastAsia="仿宋_GB2312" w:cs="仿宋_GB2312"/>
          <w:color w:val="auto"/>
          <w:sz w:val="32"/>
          <w:szCs w:val="32"/>
          <w:highlight w:val="none"/>
          <w:lang w:eastAsia="zh-CN"/>
        </w:rPr>
        <w:t>壤塘县吾伊乡修卡村护岸工程</w:t>
      </w:r>
      <w:r>
        <w:rPr>
          <w:rFonts w:hint="eastAsia" w:ascii="仿宋_GB2312" w:hAnsi="仿宋_GB2312" w:eastAsia="仿宋_GB2312" w:cs="仿宋_GB2312"/>
          <w:color w:val="auto"/>
          <w:sz w:val="32"/>
          <w:szCs w:val="32"/>
          <w:highlight w:val="none"/>
          <w:lang w:val="en-US" w:eastAsia="zh-CN"/>
        </w:rPr>
        <w:t>项目申报内容与具体实施内容相符、申报目标合理。通过实施该项目，将进一步提升修卡村的基础设施，更大程度上防范自然灾害发生引起的群众生命财产安全受到损害的隐患。项目建设其经济效益和社会效益都将十分显著，是一项利村、利民、利社会的系统工程、民心工程、德政工程；9、</w:t>
      </w:r>
      <w:r>
        <w:rPr>
          <w:rFonts w:hint="eastAsia" w:ascii="仿宋_GB2312" w:hAnsi="仿宋_GB2312" w:eastAsia="仿宋_GB2312" w:cs="仿宋_GB2312"/>
          <w:color w:val="auto"/>
          <w:sz w:val="32"/>
          <w:szCs w:val="32"/>
          <w:highlight w:val="none"/>
          <w:lang w:eastAsia="zh-CN"/>
        </w:rPr>
        <w:t>壤塘县吾伊乡修卡村产业发展</w:t>
      </w:r>
      <w:r>
        <w:rPr>
          <w:rFonts w:hint="eastAsia" w:ascii="仿宋_GB2312" w:hAnsi="仿宋_GB2312" w:eastAsia="仿宋_GB2312" w:cs="仿宋_GB2312"/>
          <w:color w:val="auto"/>
          <w:sz w:val="32"/>
          <w:szCs w:val="32"/>
          <w:highlight w:val="none"/>
          <w:lang w:val="en-US" w:eastAsia="zh-CN"/>
        </w:rPr>
        <w:t>项目申报内容与具体实施内容相符、申报目标合理。通过实施该项目，将改造提升修卡村产业发展能力，为村民扩展增收推进，促进乡村全面振兴。项目建设其经济效益和社会效益都将十分显著，是一项利村、利民、利社会的系统工程、民心工程、德政工程；10、</w:t>
      </w:r>
      <w:r>
        <w:rPr>
          <w:rFonts w:hint="eastAsia" w:ascii="仿宋_GB2312" w:hAnsi="仿宋_GB2312" w:eastAsia="仿宋_GB2312" w:cs="仿宋_GB2312"/>
          <w:color w:val="auto"/>
          <w:sz w:val="32"/>
          <w:szCs w:val="32"/>
          <w:highlight w:val="none"/>
          <w:lang w:eastAsia="zh-CN"/>
        </w:rPr>
        <w:t>壤塘县吾伊乡过境路沿线网围栏建设项目</w:t>
      </w:r>
      <w:r>
        <w:rPr>
          <w:rFonts w:hint="eastAsia" w:ascii="仿宋_GB2312" w:hAnsi="仿宋_GB2312" w:eastAsia="仿宋_GB2312" w:cs="仿宋_GB2312"/>
          <w:color w:val="auto"/>
          <w:sz w:val="32"/>
          <w:szCs w:val="32"/>
          <w:highlight w:val="none"/>
          <w:lang w:val="en-US" w:eastAsia="zh-CN"/>
        </w:rPr>
        <w:t>申报内容与具体实施内容相符、申报目标合理。通过实施该项目，将进一步提升修卡村的基础设施，更大程度上防范自然灾害发生引起的群众生命财产安全受到损害的隐患。项目建设其经济效益和社会效益都将十分显著，是一项利村、利民、利社会的系统工程、民心工程、德政工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77225"/>
      <w:bookmarkStart w:id="4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bookmarkStart w:id="49" w:name="_Toc15396614"/>
      <w:bookmarkStart w:id="50"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31"/>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ind w:firstLine="803" w:firstLineChars="250"/>
        <w:rPr>
          <w:rFonts w:ascii="仿宋" w:hAnsi="仿宋" w:eastAsia="仿宋"/>
          <w:color w:val="auto"/>
          <w:sz w:val="32"/>
          <w:szCs w:val="32"/>
          <w:highlight w:val="none"/>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 w:hAnsi="仿宋" w:eastAsia="仿宋"/>
          <w:color w:val="auto"/>
          <w:sz w:val="32"/>
          <w:szCs w:val="32"/>
          <w:highlight w:val="none"/>
          <w:lang w:val="en-US" w:eastAsia="zh-CN"/>
        </w:rPr>
        <w:t>壤塘县吾伊乡人民政府</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pPr>
        <w:pStyle w:val="6"/>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壤塘县吾伊乡人民政府</w:t>
      </w: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年度部门决算编制范围的二级预算单位包括：</w:t>
      </w:r>
    </w:p>
    <w:p>
      <w:pPr>
        <w:pStyle w:val="6"/>
        <w:numPr>
          <w:ilvl w:val="0"/>
          <w:numId w:val="0"/>
        </w:numPr>
        <w:adjustRightInd w:val="0"/>
        <w:snapToGrid w:val="0"/>
        <w:spacing w:before="93" w:line="600" w:lineRule="exact"/>
        <w:ind w:left="630" w:leftChars="0"/>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1.吾伊乡人民政府</w:t>
      </w:r>
    </w:p>
    <w:p>
      <w:pPr>
        <w:pStyle w:val="6"/>
        <w:numPr>
          <w:ilvl w:val="0"/>
          <w:numId w:val="0"/>
        </w:numPr>
        <w:adjustRightInd w:val="0"/>
        <w:snapToGrid w:val="0"/>
        <w:spacing w:before="93" w:line="600" w:lineRule="exact"/>
        <w:ind w:left="630" w:leftChars="0"/>
        <w:outlineLvl w:val="2"/>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2.吾伊乡便民服务中心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420" w:firstLineChars="200"/>
        <w:contextualSpacing/>
        <w:jc w:val="left"/>
        <w:textAlignment w:val="auto"/>
        <w:outlineLvl w:val="9"/>
        <w:rPr>
          <w:rFonts w:hint="default" w:ascii="Times New Roman" w:hAnsi="Times New Roman" w:cs="Times New Roman"/>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963" w:firstLineChars="300"/>
        <w:textAlignment w:val="auto"/>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1、主要职能执行本级人民代表大会的决议和上级国家行政机关的决定和命令，在辖区内发布决定和命令；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2、按照国家宪法和法律，行使对本辖区内的行政及民政事务的管理</w:t>
      </w:r>
      <w:r>
        <w:rPr>
          <w:rFonts w:hint="eastAsia" w:ascii="仿宋_GB2312" w:eastAsia="仿宋_GB2312" w:cs="仿宋_GB2312"/>
          <w:color w:val="000000"/>
          <w:sz w:val="32"/>
          <w:szCs w:val="32"/>
          <w:lang w:val="en-US" w:eastAsia="zh-CN"/>
        </w:rPr>
        <w:t>权</w:t>
      </w:r>
      <w:r>
        <w:rPr>
          <w:rFonts w:hint="eastAsia" w:ascii="仿宋_GB2312" w:hAnsi="Times New Roman" w:eastAsia="仿宋_GB2312" w:cs="仿宋_GB2312"/>
          <w:color w:val="000000"/>
          <w:sz w:val="32"/>
          <w:szCs w:val="32"/>
          <w:lang w:val="en-US" w:eastAsia="zh-CN"/>
        </w:rPr>
        <w:t>,推进计划生育工作；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3、制定本乡的经济和社会发展规划，并组织实施；组织和领导行政经济体制改革，协调本行政区域村民委员会与各经济组织之间的关系；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4、组织规划乡财政管理的各项收入，管理乡范围内的各项财政支出和行政筹集、分配和使用的资金；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5、负责管理对外经济技术交流与合作，开展经济信息预测工作，推广科学技术成果；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6、对本乡各项社会建设进行宏观管理，抓好环境卫生整治工作；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7、加强基本农田水利建设和道路、桥梁等的建设，加强土地的统一管理、统筹规划，协助有关部门做好地质灾害的防治工作;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8、负责农村土地承包管理、农民负担监督管理、农村集体资产财务管理；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9、组织和开展社会主义精神文明活动，正确调解和处理人民内部矛盾，认真调解民事纠纷； </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 xml:space="preserve">　10、充分发挥行政职能，组织和开展本乡的文化、教育、卫生、民政和科技等工作；  </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Times New Roman" w:eastAsia="仿宋_GB2312" w:cs="仿宋_GB2312"/>
          <w:color w:val="000000"/>
          <w:sz w:val="32"/>
          <w:szCs w:val="32"/>
          <w:lang w:val="en-US" w:eastAsia="zh-CN"/>
        </w:rPr>
        <w:t>11、根据经济发展需要，建立经济、技术咨询服务机构，向经济组织和农牧民提供全面服务。</w:t>
      </w:r>
    </w:p>
    <w:p>
      <w:pPr>
        <w:keepNext w:val="0"/>
        <w:keepLines w:val="0"/>
        <w:pageBreakBefore w:val="0"/>
        <w:widowControl/>
        <w:kinsoku/>
        <w:wordWrap/>
        <w:overflowPunct/>
        <w:topLinePunct w:val="0"/>
        <w:autoSpaceDE/>
        <w:autoSpaceDN/>
        <w:bidi w:val="0"/>
        <w:adjustRightInd w:val="0"/>
        <w:snapToGrid w:val="0"/>
        <w:spacing w:line="578" w:lineRule="exact"/>
        <w:ind w:firstLine="421"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hAnsi="Times New Roman" w:eastAsia="仿宋_GB2312" w:cs="仿宋_GB2312"/>
          <w:color w:val="000000"/>
          <w:sz w:val="32"/>
          <w:szCs w:val="32"/>
          <w:lang w:val="en-US" w:eastAsia="zh-CN"/>
        </w:rPr>
        <w:t>总编制3</w:t>
      </w:r>
      <w:r>
        <w:rPr>
          <w:rFonts w:hint="eastAsia" w:ascii="仿宋_GB2312" w:eastAsia="仿宋_GB2312" w:cs="仿宋_GB2312"/>
          <w:color w:val="000000"/>
          <w:sz w:val="32"/>
          <w:szCs w:val="32"/>
          <w:lang w:val="en-US" w:eastAsia="zh-CN"/>
        </w:rPr>
        <w:t>5</w:t>
      </w:r>
      <w:r>
        <w:rPr>
          <w:rFonts w:hint="eastAsia" w:ascii="仿宋_GB2312" w:hAnsi="Times New Roman" w:eastAsia="仿宋_GB2312" w:cs="仿宋_GB2312"/>
          <w:color w:val="000000"/>
          <w:sz w:val="32"/>
          <w:szCs w:val="32"/>
          <w:lang w:val="en-US" w:eastAsia="zh-CN"/>
        </w:rPr>
        <w:t>名,其中:行政编制</w:t>
      </w:r>
      <w:r>
        <w:rPr>
          <w:rFonts w:hint="eastAsia" w:ascii="仿宋_GB2312" w:eastAsia="仿宋_GB2312" w:cs="仿宋_GB2312"/>
          <w:color w:val="000000"/>
          <w:sz w:val="32"/>
          <w:szCs w:val="32"/>
          <w:lang w:val="en-US" w:eastAsia="zh-CN"/>
        </w:rPr>
        <w:t>17</w:t>
      </w:r>
      <w:r>
        <w:rPr>
          <w:rFonts w:hint="eastAsia" w:ascii="仿宋_GB2312" w:hAnsi="Times New Roman" w:eastAsia="仿宋_GB2312" w:cs="仿宋_GB2312"/>
          <w:color w:val="000000"/>
          <w:sz w:val="32"/>
          <w:szCs w:val="32"/>
          <w:lang w:val="en-US" w:eastAsia="zh-CN"/>
        </w:rPr>
        <w:t>人、事业编制</w:t>
      </w:r>
      <w:r>
        <w:rPr>
          <w:rFonts w:hint="eastAsia" w:ascii="仿宋_GB2312" w:eastAsia="仿宋_GB2312" w:cs="仿宋_GB2312"/>
          <w:color w:val="000000"/>
          <w:sz w:val="32"/>
          <w:szCs w:val="32"/>
          <w:lang w:val="en-US" w:eastAsia="zh-CN"/>
        </w:rPr>
        <w:t>14</w:t>
      </w:r>
      <w:r>
        <w:rPr>
          <w:rFonts w:hint="eastAsia" w:ascii="仿宋_GB2312" w:hAnsi="Times New Roman" w:eastAsia="仿宋_GB2312" w:cs="仿宋_GB2312"/>
          <w:color w:val="000000"/>
          <w:sz w:val="32"/>
          <w:szCs w:val="32"/>
          <w:lang w:val="en-US" w:eastAsia="zh-CN"/>
        </w:rPr>
        <w:t>人、工勤</w:t>
      </w:r>
      <w:r>
        <w:rPr>
          <w:rFonts w:hint="eastAsia" w:ascii="仿宋_GB2312" w:eastAsia="仿宋_GB2312" w:cs="仿宋_GB2312"/>
          <w:color w:val="000000"/>
          <w:sz w:val="32"/>
          <w:szCs w:val="32"/>
          <w:lang w:val="en-US" w:eastAsia="zh-CN"/>
        </w:rPr>
        <w:t>4</w:t>
      </w:r>
      <w:r>
        <w:rPr>
          <w:rFonts w:hint="eastAsia" w:ascii="仿宋_GB2312" w:hAnsi="Times New Roman" w:eastAsia="仿宋_GB2312" w:cs="仿宋_GB2312"/>
          <w:color w:val="000000"/>
          <w:sz w:val="32"/>
          <w:szCs w:val="32"/>
          <w:lang w:val="en-US" w:eastAsia="zh-CN"/>
        </w:rPr>
        <w:t>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default" w:ascii="Times New Roman" w:hAnsi="Times New Roman" w:cs="Times New Roman"/>
          <w:szCs w:val="32"/>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ascii="Times New Roman" w:hAnsi="Times New Roman" w:eastAsia="仿宋_GB2312" w:cs="仿宋_GB2312"/>
          <w:color w:val="auto"/>
          <w:sz w:val="32"/>
          <w:szCs w:val="32"/>
          <w:highlight w:val="none"/>
        </w:rPr>
        <w:t>3514.19</w:t>
      </w:r>
      <w:r>
        <w:rPr>
          <w:rFonts w:hint="eastAsia" w:eastAsia="仿宋_GB2312" w:cs="仿宋_GB2312"/>
          <w:color w:val="auto"/>
          <w:sz w:val="32"/>
          <w:szCs w:val="32"/>
          <w:highlight w:val="none"/>
          <w:lang w:val="en-US" w:eastAsia="zh-CN"/>
        </w:rPr>
        <w:t>万元</w:t>
      </w:r>
      <w:r>
        <w:rPr>
          <w:rFonts w:hint="eastAsia" w:ascii="Times New Roman" w:hAnsi="Times New Roman" w:eastAsia="仿宋_GB2312" w:cs="Times New Roman"/>
          <w:sz w:val="32"/>
          <w:szCs w:val="32"/>
          <w:lang w:val="en-US" w:eastAsia="zh-CN"/>
        </w:rPr>
        <w:t>、决算报表</w:t>
      </w:r>
      <w:r>
        <w:rPr>
          <w:rFonts w:hint="eastAsia" w:ascii="Times New Roman" w:hAnsi="Times New Roman" w:eastAsia="仿宋_GB2312" w:cs="仿宋_GB2312"/>
          <w:color w:val="auto"/>
          <w:sz w:val="32"/>
          <w:szCs w:val="32"/>
          <w:highlight w:val="none"/>
        </w:rPr>
        <w:t>3514.19</w:t>
      </w:r>
      <w:r>
        <w:rPr>
          <w:rFonts w:hint="eastAsia" w:eastAsia="仿宋_GB2312" w:cs="仿宋_GB2312"/>
          <w:color w:val="auto"/>
          <w:sz w:val="32"/>
          <w:szCs w:val="32"/>
          <w:highlight w:val="none"/>
          <w:lang w:val="en-US" w:eastAsia="zh-CN"/>
        </w:rPr>
        <w:t>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ascii="Times New Roman" w:hAnsi="Times New Roman" w:eastAsia="仿宋_GB2312" w:cs="仿宋_GB2312"/>
          <w:color w:val="auto"/>
          <w:sz w:val="32"/>
          <w:szCs w:val="32"/>
          <w:highlight w:val="none"/>
        </w:rPr>
        <w:t>3514.19</w:t>
      </w:r>
      <w:r>
        <w:rPr>
          <w:rFonts w:hint="eastAsia" w:eastAsia="仿宋_GB2312" w:cs="仿宋_GB2312"/>
          <w:color w:val="auto"/>
          <w:sz w:val="32"/>
          <w:szCs w:val="32"/>
          <w:highlight w:val="none"/>
          <w:lang w:val="en-US" w:eastAsia="zh-CN"/>
        </w:rPr>
        <w:t>万元</w:t>
      </w:r>
      <w:r>
        <w:rPr>
          <w:rFonts w:hint="eastAsia" w:ascii="Times New Roman" w:hAnsi="Times New Roman" w:eastAsia="仿宋_GB2312" w:cs="Times New Roman"/>
          <w:sz w:val="32"/>
          <w:szCs w:val="32"/>
          <w:lang w:val="en-US" w:eastAsia="zh-CN"/>
        </w:rPr>
        <w:t>、决算报表支出</w:t>
      </w:r>
      <w:r>
        <w:rPr>
          <w:rFonts w:hint="eastAsia" w:ascii="Times New Roman" w:hAnsi="Times New Roman" w:eastAsia="仿宋_GB2312" w:cs="仿宋_GB2312"/>
          <w:color w:val="auto"/>
          <w:sz w:val="32"/>
          <w:szCs w:val="32"/>
          <w:highlight w:val="none"/>
        </w:rPr>
        <w:t>3514.19</w:t>
      </w:r>
      <w:r>
        <w:rPr>
          <w:rFonts w:hint="eastAsia" w:eastAsia="仿宋_GB2312" w:cs="仿宋_GB2312"/>
          <w:color w:val="auto"/>
          <w:sz w:val="32"/>
          <w:szCs w:val="32"/>
          <w:highlight w:val="none"/>
          <w:lang w:val="en-US" w:eastAsia="zh-CN"/>
        </w:rPr>
        <w:t>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0元</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我乡项目资金严格按照项目资金管理办法进行管理，按施工进度拨付资金，专款专用、专账管理，项目实施完成后取得了一定的经济、社会效益，绩效目标实现情况良好，服务对象满意度较高，促进了社会经济稳步发展，有利于创建文明、和谐的社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楷体_GB2312" w:hAnsi="楷体_GB2312" w:eastAsia="楷体_GB2312" w:cs="楷体_GB2312"/>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（二）部门预算项目绩效分析。</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我乡项目资金严格按照项目资金管理办法进行管理，按施工进度拨付资金，专款专用、专账管理，项目实施完成后取得了一定的经济、社会效益，绩效目标实现情况良好，服务对象满意度较高，促进了社会经济稳步发展，有利于创建文明、和谐的社会。</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color w:val="auto"/>
          <w:highlight w:val="none"/>
          <w:lang w:val="en-US" w:eastAsia="zh-CN"/>
        </w:rPr>
      </w:pPr>
      <w:r>
        <w:rPr>
          <w:rFonts w:hint="eastAsia" w:ascii="Times New Roman" w:hAnsi="Times New Roman" w:eastAsia="楷体_GB2312" w:cs="Times New Roman"/>
          <w:b/>
          <w:bCs/>
          <w:color w:val="auto"/>
          <w:kern w:val="0"/>
          <w:sz w:val="32"/>
          <w:szCs w:val="32"/>
          <w:highlight w:val="none"/>
          <w:shd w:val="clear" w:color="auto" w:fill="FFFFFF"/>
          <w:lang w:val="zh-CN" w:eastAsia="zh-CN"/>
        </w:rPr>
        <w:t>（三）</w:t>
      </w:r>
      <w:r>
        <w:rPr>
          <w:rFonts w:hint="default" w:ascii="Times New Roman" w:hAnsi="Times New Roman" w:eastAsia="楷体_GB2312" w:cs="Times New Roman"/>
          <w:b/>
          <w:bCs/>
          <w:color w:val="auto"/>
          <w:kern w:val="0"/>
          <w:sz w:val="32"/>
          <w:szCs w:val="32"/>
          <w:highlight w:val="none"/>
          <w:shd w:val="clear" w:color="auto" w:fill="FFFFFF"/>
          <w:lang w:val="zh-CN"/>
        </w:rPr>
        <w:t>部门预算项目绩效分析。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楷体_GB2312" w:hAnsi="楷体_GB2312" w:eastAsia="楷体_GB2312" w:cs="楷体_GB2312"/>
          <w:color w:val="auto"/>
          <w:kern w:val="0"/>
          <w:sz w:val="32"/>
          <w:szCs w:val="32"/>
          <w:highlight w:val="none"/>
          <w:shd w:val="clear" w:color="auto" w:fill="FFFFFF"/>
          <w:lang w:val="zh-CN"/>
        </w:rPr>
      </w:pPr>
      <w:r>
        <w:rPr>
          <w:rFonts w:hint="eastAsia" w:ascii="楷体_GB2312" w:hAnsi="楷体_GB2312" w:eastAsia="楷体_GB2312" w:cs="楷体_GB2312"/>
          <w:color w:val="auto"/>
          <w:kern w:val="0"/>
          <w:sz w:val="32"/>
          <w:szCs w:val="32"/>
          <w:highlight w:val="none"/>
          <w:shd w:val="clear" w:color="auto" w:fill="FFFFFF"/>
          <w:lang w:val="en-US" w:eastAsia="zh-CN"/>
        </w:rPr>
        <w:t>1.</w:t>
      </w:r>
      <w:r>
        <w:rPr>
          <w:rFonts w:hint="eastAsia" w:ascii="楷体_GB2312" w:hAnsi="楷体_GB2312" w:eastAsia="楷体_GB2312" w:cs="楷体_GB2312"/>
          <w:color w:val="auto"/>
          <w:kern w:val="0"/>
          <w:sz w:val="32"/>
          <w:szCs w:val="32"/>
          <w:highlight w:val="none"/>
          <w:shd w:val="clear" w:color="auto" w:fill="FFFFFF"/>
          <w:lang w:val="zh-CN"/>
        </w:rPr>
        <w:t>项目决策。</w:t>
      </w:r>
      <w:r>
        <w:rPr>
          <w:rFonts w:hint="eastAsia" w:ascii="楷体_GB2312" w:hAnsi="楷体_GB2312" w:eastAsia="楷体_GB2312" w:cs="楷体_GB2312"/>
          <w:color w:val="auto"/>
          <w:kern w:val="0"/>
          <w:sz w:val="32"/>
          <w:szCs w:val="32"/>
          <w:highlight w:val="none"/>
          <w:shd w:val="clear" w:color="auto" w:fill="FFFFFF"/>
          <w:lang w:val="en-US" w:eastAsia="zh-CN"/>
        </w:rPr>
        <w:t>乡当年实施建设的项目申报内容均与具体实施内容相符、申报目标合理。</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楷体_GB2312" w:hAnsi="楷体_GB2312" w:eastAsia="楷体_GB2312" w:cs="楷体_GB2312"/>
          <w:color w:val="auto"/>
          <w:kern w:val="0"/>
          <w:sz w:val="32"/>
          <w:szCs w:val="32"/>
          <w:highlight w:val="none"/>
          <w:shd w:val="clear" w:color="auto" w:fill="FFFFFF"/>
          <w:lang w:val="en-US"/>
        </w:rPr>
      </w:pPr>
      <w:r>
        <w:rPr>
          <w:rFonts w:hint="eastAsia" w:ascii="楷体_GB2312" w:hAnsi="楷体_GB2312" w:eastAsia="楷体_GB2312" w:cs="楷体_GB2312"/>
          <w:color w:val="auto"/>
          <w:kern w:val="0"/>
          <w:sz w:val="32"/>
          <w:szCs w:val="32"/>
          <w:highlight w:val="none"/>
          <w:shd w:val="clear" w:color="auto" w:fill="FFFFFF"/>
          <w:lang w:val="en-US" w:eastAsia="zh-CN"/>
        </w:rPr>
        <w:t>2.项目执行</w:t>
      </w:r>
      <w:r>
        <w:rPr>
          <w:rFonts w:hint="eastAsia" w:ascii="楷体_GB2312" w:hAnsi="楷体_GB2312" w:eastAsia="楷体_GB2312" w:cs="楷体_GB2312"/>
          <w:color w:val="auto"/>
          <w:kern w:val="0"/>
          <w:sz w:val="32"/>
          <w:szCs w:val="32"/>
          <w:highlight w:val="none"/>
          <w:shd w:val="clear" w:color="auto" w:fill="FFFFFF"/>
          <w:lang w:val="zh-CN"/>
        </w:rPr>
        <w:t>。</w:t>
      </w:r>
      <w:r>
        <w:rPr>
          <w:rFonts w:hint="eastAsia" w:ascii="楷体_GB2312" w:hAnsi="楷体_GB2312" w:eastAsia="楷体_GB2312" w:cs="楷体_GB2312"/>
          <w:color w:val="auto"/>
          <w:kern w:val="0"/>
          <w:sz w:val="32"/>
          <w:szCs w:val="32"/>
          <w:highlight w:val="none"/>
          <w:shd w:val="clear" w:color="auto" w:fill="FFFFFF"/>
          <w:lang w:val="en-US" w:eastAsia="zh-CN"/>
        </w:rPr>
        <w:t>除壤塘县吾伊乡壤古村民族团结示范村和壤古村克久温泉产业提升建设项目未在当年完成建设以外，其余10个项目均对照原定合同均已支付至合同价的79%，剩余审计结算尾款待2026年出具审计结算报告后支付至审计结算价的97&amp;。</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楷体_GB2312" w:hAnsi="楷体_GB2312" w:eastAsia="楷体_GB2312" w:cs="楷体_GB2312"/>
          <w:color w:val="auto"/>
          <w:kern w:val="0"/>
          <w:sz w:val="32"/>
          <w:szCs w:val="32"/>
          <w:highlight w:val="none"/>
          <w:shd w:val="clear" w:color="auto" w:fill="FFFFFF"/>
          <w:lang w:val="en-US"/>
        </w:rPr>
      </w:pPr>
      <w:r>
        <w:rPr>
          <w:rFonts w:hint="eastAsia" w:ascii="楷体_GB2312" w:hAnsi="楷体_GB2312" w:eastAsia="楷体_GB2312" w:cs="楷体_GB2312"/>
          <w:color w:val="auto"/>
          <w:kern w:val="0"/>
          <w:sz w:val="32"/>
          <w:szCs w:val="32"/>
          <w:highlight w:val="none"/>
          <w:shd w:val="clear" w:color="auto" w:fill="FFFFFF"/>
          <w:lang w:val="en-US" w:eastAsia="zh-CN"/>
        </w:rPr>
        <w:t>3.</w:t>
      </w:r>
      <w:r>
        <w:rPr>
          <w:rFonts w:hint="eastAsia" w:ascii="楷体_GB2312" w:hAnsi="楷体_GB2312" w:eastAsia="楷体_GB2312" w:cs="楷体_GB2312"/>
          <w:color w:val="auto"/>
          <w:kern w:val="0"/>
          <w:sz w:val="32"/>
          <w:szCs w:val="32"/>
          <w:highlight w:val="none"/>
          <w:shd w:val="clear" w:color="auto" w:fill="FFFFFF"/>
          <w:lang w:val="zh-CN"/>
        </w:rPr>
        <w:t>目标实现。</w:t>
      </w:r>
      <w:r>
        <w:rPr>
          <w:rFonts w:hint="eastAsia" w:ascii="楷体_GB2312" w:hAnsi="楷体_GB2312" w:eastAsia="楷体_GB2312" w:cs="楷体_GB2312"/>
          <w:color w:val="auto"/>
          <w:kern w:val="0"/>
          <w:sz w:val="32"/>
          <w:szCs w:val="32"/>
          <w:highlight w:val="none"/>
          <w:shd w:val="clear" w:color="auto" w:fill="FFFFFF"/>
          <w:lang w:val="en-US" w:eastAsia="zh-CN"/>
        </w:rPr>
        <w:t>除壤塘县吾伊乡壤古村民族团结示范村和壤古村克久温泉产业提升建设项目未在当年完成建设以外，其余10个项目均完成原定建设目标任务的100%。</w:t>
      </w:r>
    </w:p>
    <w:p>
      <w:pPr>
        <w:pStyle w:val="9"/>
        <w:numPr>
          <w:ilvl w:val="0"/>
          <w:numId w:val="0"/>
        </w:numPr>
        <w:ind w:leftChars="300" w:firstLine="642"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三</w:t>
      </w:r>
      <w:r>
        <w:rPr>
          <w:rFonts w:hint="default" w:ascii="Times New Roman" w:hAnsi="Times New Roman" w:eastAsia="楷体_GB2312" w:cs="Times New Roman"/>
          <w:b/>
          <w:bCs/>
          <w:color w:val="auto"/>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按照财务岗位职责，严格执行财务管理制度，及时进行会计核算，对项目资金实行专款专用、专账管理。对固定资产实行统一采购，按照县政府采购程序和内控制度的规定加强采购手续，对取得的固定资产及时进行清查、盘点、核对和会计核算。</w:t>
      </w:r>
    </w:p>
    <w:p>
      <w:pPr>
        <w:pStyle w:val="9"/>
        <w:numPr>
          <w:ilvl w:val="0"/>
          <w:numId w:val="0"/>
        </w:numPr>
        <w:ind w:firstLine="640" w:firstLineChars="200"/>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（2）重视内控制度的建设、管理及监督，加强内控管理，强化财务监督，增强法治观念，遵守规章制度。</w:t>
      </w:r>
    </w:p>
    <w:p>
      <w:pPr>
        <w:pStyle w:val="9"/>
        <w:numPr>
          <w:ilvl w:val="0"/>
          <w:numId w:val="0"/>
        </w:numPr>
        <w:ind w:firstLine="640" w:firstLineChars="200"/>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（3）在政府网站及时公开每年度的决算。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FF0000"/>
          <w:kern w:val="2"/>
          <w:sz w:val="32"/>
          <w:szCs w:val="32"/>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（一）评价结论。</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lang w:val="zh-CN"/>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按照相关的工作任务和要求，结合202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年度工作开展实际，根据年初工作计划有序开展各项工作，进一步细化工作任务，按照工作计划和要求细致分工，使财政收支预算执行得到了良好的制度保障和实施效果。</w:t>
      </w:r>
    </w:p>
    <w:p>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存在问题。</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针对这次绩效评价不存在其他问题</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（三）改进建议。</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１、进一步细化预算编制工作，认真做好预算编制工作。</w:t>
      </w:r>
    </w:p>
    <w:p>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 加强财务管理，严格财务审核。在费用报账支付时，按照预算规定的费用项目和用途进行资金使用审核、列报支付、财务核算，杜绝超支现象的发生</w:t>
      </w:r>
      <w:r>
        <w:rPr>
          <w:rFonts w:hint="eastAsia" w:hAnsi="仿宋_GB2312" w:eastAsia="仿宋_GB2312" w:cs="仿宋_GB2312"/>
          <w:b w:val="0"/>
          <w:bCs w:val="0"/>
          <w:color w:val="auto"/>
          <w:kern w:val="0"/>
          <w:sz w:val="32"/>
          <w:szCs w:val="32"/>
          <w:highlight w:val="none"/>
          <w:shd w:val="clear" w:color="auto" w:fill="FFFFFF"/>
          <w:lang w:val="en-US" w:eastAsia="zh-CN" w:bidi="ar-SA"/>
        </w:rPr>
        <w:t>。</w:t>
      </w:r>
    </w:p>
    <w:p>
      <w:pPr>
        <w:pStyle w:val="15"/>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15"/>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方正小标宋_GBK" w:hAnsi="方正小标宋_GBK" w:eastAsia="方正小标宋_GBK" w:cs="方正小标宋_GBK"/>
          <w:color w:val="auto"/>
          <w:sz w:val="44"/>
          <w:szCs w:val="44"/>
          <w:lang w:eastAsia="zh-CN"/>
        </w:rPr>
      </w:pPr>
      <w:bookmarkStart w:id="51" w:name="_Toc15396618"/>
      <w:r>
        <w:rPr>
          <w:rFonts w:hint="eastAsia" w:ascii="方正小标宋_GBK" w:hAnsi="方正小标宋_GBK" w:eastAsia="方正小标宋_GBK" w:cs="方正小标宋_GBK"/>
          <w:color w:val="auto"/>
          <w:sz w:val="44"/>
          <w:szCs w:val="44"/>
          <w:lang w:eastAsia="zh-CN"/>
        </w:rPr>
        <w:t>关于壤塘县吾伊乡实验示范基地提升改造项目的绩效自评报告</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eastAsia" w:ascii="方正仿宋_GBK" w:hAnsi="方正仿宋_GBK" w:eastAsia="方正仿宋_GBK" w:cs="方正仿宋_GBK"/>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根据壤塘县财政局关于开展财政政策、项目支出、政府采购项目绩效评价自评工作相关工作要求，我乡认真开展了壤塘县吾伊乡实验示范基地提升改造项目绩效评价自查自评工作，现将自评情况报告如下：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一、绩效目标分解下达情况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（一）上级下达项目资金及本级财政预算情况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壤塘县吾伊乡实验示范基地提升改造项目</w:t>
      </w:r>
      <w:r>
        <w:rPr>
          <w:rFonts w:hint="eastAsia" w:ascii="方正仿宋_GBK" w:hAnsi="方正仿宋_GBK" w:eastAsia="方正仿宋_GBK" w:cs="方正仿宋_GBK"/>
          <w:color w:val="auto"/>
          <w:sz w:val="32"/>
          <w:szCs w:val="32"/>
          <w:lang w:val="en-US" w:eastAsia="zh-CN"/>
        </w:rPr>
        <w:t>总投资40万元，</w:t>
      </w:r>
      <w:r>
        <w:rPr>
          <w:rFonts w:hint="eastAsia" w:ascii="方正仿宋_GBK" w:hAnsi="方正仿宋_GBK" w:eastAsia="方正仿宋_GBK" w:cs="方正仿宋_GBK"/>
          <w:color w:val="auto"/>
          <w:sz w:val="32"/>
          <w:szCs w:val="32"/>
          <w:lang w:eastAsia="zh-CN"/>
        </w:rPr>
        <w:t>资金来源</w:t>
      </w:r>
      <w:r>
        <w:rPr>
          <w:rFonts w:hint="eastAsia" w:ascii="方正仿宋_GBK" w:hAnsi="方正仿宋_GBK" w:eastAsia="方正仿宋_GBK" w:cs="方正仿宋_GBK"/>
          <w:color w:val="auto"/>
          <w:sz w:val="32"/>
          <w:szCs w:val="32"/>
          <w:lang w:val="en-US" w:eastAsia="zh-CN"/>
        </w:rPr>
        <w:t>为乡村振兴衔接资金，各部门批复及资金管理办法等均符合相关规定。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（二）项目绩效目标</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此项目共设置一级指标3个，二级指标6个，三级指标7个。此项目建设规模为新增灌溉系统1套，建设示范基地网围栏3000米，实施规范化田间管理。</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壤塘县吾伊乡实验示范基地提升改造项目申报内容与具体实施内容相符、申报目标合理。</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default" w:ascii="楷体" w:hAnsi="楷体" w:eastAsia="楷体" w:cs="楷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二、项目实施及管理情况</w:t>
      </w:r>
    </w:p>
    <w:p>
      <w:pPr>
        <w:pStyle w:val="6"/>
        <w:keepNext w:val="0"/>
        <w:keepLines w:val="0"/>
        <w:pageBreakBefore w:val="0"/>
        <w:widowControl w:val="0"/>
        <w:numPr>
          <w:ilvl w:val="0"/>
          <w:numId w:val="6"/>
        </w:numPr>
        <w:kinsoku/>
        <w:wordWrap/>
        <w:overflowPunct/>
        <w:topLinePunct w:val="0"/>
        <w:autoSpaceDE/>
        <w:autoSpaceDN/>
        <w:bidi w:val="0"/>
        <w:adjustRightInd/>
        <w:snapToGrid/>
        <w:spacing w:line="576" w:lineRule="exact"/>
        <w:ind w:left="420" w:leftChars="200" w:firstLine="0" w:firstLineChars="0"/>
        <w:jc w:val="both"/>
        <w:textAlignment w:val="auto"/>
        <w:rPr>
          <w:rFonts w:hint="eastAsia" w:ascii="方正仿宋_GBK" w:hAnsi="方正仿宋_GBK" w:eastAsia="方正仿宋_GBK" w:cs="方正仿宋_GBK"/>
          <w:b/>
          <w:bCs/>
          <w:color w:val="auto"/>
          <w:sz w:val="32"/>
          <w:szCs w:val="32"/>
          <w:lang w:val="en-US" w:eastAsia="zh-CN"/>
        </w:rPr>
      </w:pPr>
      <w:r>
        <w:rPr>
          <w:rFonts w:hint="eastAsia" w:ascii="楷体" w:hAnsi="楷体" w:eastAsia="楷体" w:cs="楷体"/>
          <w:b/>
          <w:bCs/>
          <w:color w:val="auto"/>
          <w:kern w:val="2"/>
          <w:sz w:val="32"/>
          <w:szCs w:val="32"/>
          <w:lang w:val="en-US" w:eastAsia="zh-CN" w:bidi="ar-SA"/>
        </w:rPr>
        <w:t>资金计划、到位及使用情况。</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1、资金计划及到位情况。</w:t>
      </w:r>
      <w:r>
        <w:rPr>
          <w:rFonts w:hint="eastAsia" w:ascii="方正仿宋_GBK" w:hAnsi="方正仿宋_GBK" w:eastAsia="方正仿宋_GBK" w:cs="方正仿宋_GBK"/>
          <w:color w:val="auto"/>
          <w:sz w:val="32"/>
          <w:szCs w:val="32"/>
          <w:lang w:eastAsia="zh-CN"/>
        </w:rPr>
        <w:t>壤塘县吾伊乡实验示范基地提升改造项目</w:t>
      </w:r>
      <w:r>
        <w:rPr>
          <w:rFonts w:hint="eastAsia" w:ascii="方正仿宋_GBK" w:hAnsi="方正仿宋_GBK" w:eastAsia="方正仿宋_GBK" w:cs="方正仿宋_GBK"/>
          <w:color w:val="auto"/>
          <w:sz w:val="32"/>
          <w:szCs w:val="32"/>
          <w:lang w:val="en-US" w:eastAsia="zh-CN"/>
        </w:rPr>
        <w:t>计划投资40万元，实际到位资金40万元。</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default"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2、资金使用情况。</w:t>
      </w:r>
      <w:r>
        <w:rPr>
          <w:rFonts w:hint="eastAsia" w:ascii="方正仿宋_GBK" w:hAnsi="方正仿宋_GBK" w:eastAsia="方正仿宋_GBK" w:cs="方正仿宋_GBK"/>
          <w:color w:val="auto"/>
          <w:sz w:val="32"/>
          <w:szCs w:val="32"/>
          <w:lang w:val="en-US" w:eastAsia="zh-CN"/>
        </w:rPr>
        <w:t>资金开支范围主要为项目采购费用支出。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（二）项目财务管理情况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一是严格资金分配。</w:t>
      </w:r>
      <w:r>
        <w:rPr>
          <w:rFonts w:hint="eastAsia" w:ascii="方正仿宋_GBK" w:hAnsi="方正仿宋_GBK" w:eastAsia="方正仿宋_GBK" w:cs="方正仿宋_GBK"/>
          <w:color w:val="auto"/>
          <w:sz w:val="32"/>
          <w:szCs w:val="32"/>
          <w:lang w:val="en-US" w:eastAsia="zh-CN"/>
        </w:rPr>
        <w:t>资金到位后，我乡将一如既往加强对项目资金使用情况的监督管理，做到专款专用，确保不挪用转借和挤占项目工程款；乡政府将按县发改局、财政局和县科农局的督导要求积极配合。</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二是实行规范化发放。</w:t>
      </w:r>
      <w:r>
        <w:rPr>
          <w:rFonts w:hint="eastAsia" w:ascii="方正仿宋_GBK" w:hAnsi="方正仿宋_GBK" w:eastAsia="方正仿宋_GBK" w:cs="方正仿宋_GBK"/>
          <w:color w:val="auto"/>
          <w:sz w:val="32"/>
          <w:szCs w:val="32"/>
          <w:lang w:val="en-US" w:eastAsia="zh-CN"/>
        </w:rPr>
        <w:t>我乡严格按照合同约定以及项目进度进行资金拨付，保证了发放时效和资金安全，确保资金支付合规合法。</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三是强化资金监管。</w:t>
      </w:r>
      <w:r>
        <w:rPr>
          <w:rFonts w:hint="eastAsia" w:ascii="方正仿宋_GBK" w:hAnsi="方正仿宋_GBK" w:eastAsia="方正仿宋_GBK" w:cs="方正仿宋_GBK"/>
          <w:color w:val="auto"/>
          <w:sz w:val="32"/>
          <w:szCs w:val="32"/>
          <w:lang w:val="en-US" w:eastAsia="zh-CN"/>
        </w:rPr>
        <w:t>主动接受群众监督，项目实施前中后以及资金到位、资金支付情况均通过村务公示栏长期公示。同时积极接受和配合审计、纪检监察、财政部门的监督检查。</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（三）项目组织实施情况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项目严格按照</w:t>
      </w:r>
      <w:r>
        <w:rPr>
          <w:rFonts w:hint="eastAsia" w:ascii="方正仿宋_GBK" w:hAnsi="方正仿宋_GBK" w:eastAsia="方正仿宋_GBK" w:cs="方正仿宋_GBK"/>
          <w:color w:val="auto"/>
          <w:sz w:val="32"/>
          <w:szCs w:val="32"/>
          <w:lang w:eastAsia="zh-CN"/>
        </w:rPr>
        <w:t>壤塘县吾伊乡实验示范基地提升改造项目</w:t>
      </w:r>
      <w:r>
        <w:rPr>
          <w:rFonts w:hint="eastAsia" w:ascii="方正仿宋_GBK" w:hAnsi="方正仿宋_GBK" w:eastAsia="方正仿宋_GBK" w:cs="方正仿宋_GBK"/>
          <w:color w:val="auto"/>
          <w:sz w:val="32"/>
          <w:szCs w:val="32"/>
          <w:lang w:val="en-US" w:eastAsia="zh-CN"/>
        </w:rPr>
        <w:t>实施方案执行。</w:t>
      </w:r>
    </w:p>
    <w:p>
      <w:pPr>
        <w:pStyle w:val="6"/>
        <w:ind w:firstLine="640" w:firstLineChars="200"/>
        <w:rPr>
          <w:rFonts w:hint="eastAsia" w:ascii="黑体" w:hAnsi="黑体" w:eastAsia="黑体" w:cs="黑体"/>
          <w:color w:val="auto"/>
          <w:lang w:val="en-US" w:eastAsia="zh-CN"/>
        </w:rPr>
      </w:pPr>
      <w:r>
        <w:rPr>
          <w:rFonts w:hint="eastAsia" w:ascii="黑体" w:hAnsi="黑体" w:eastAsia="黑体" w:cs="黑体"/>
          <w:color w:val="auto"/>
          <w:sz w:val="32"/>
          <w:szCs w:val="32"/>
          <w:lang w:val="en-US" w:eastAsia="zh-CN"/>
        </w:rPr>
        <w:t>三、目标完成情况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（一）目标任务量完成情况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项目实际投资39.92万元，项目建设规模为新增灌溉系统1套，建设示范基地网围栏3000米，实施规范化田间管理，目标任务已全部完成。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（二）目标质量完成情况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ascii="方正仿宋_GBK" w:hAnsi="方正仿宋_GBK" w:eastAsia="方正仿宋_GBK" w:cs="方正仿宋_GBK"/>
          <w:color w:val="auto"/>
          <w:sz w:val="32"/>
          <w:szCs w:val="32"/>
          <w:lang w:val="en-US" w:eastAsia="zh-CN"/>
        </w:rPr>
        <w:t>按照项目采购合同的约</w:t>
      </w:r>
      <w:r>
        <w:rPr>
          <w:rFonts w:hint="eastAsia" w:eastAsia="仿宋_GB2312"/>
          <w:color w:val="auto"/>
          <w:sz w:val="32"/>
          <w:szCs w:val="32"/>
          <w:lang w:val="en-US" w:eastAsia="zh-CN"/>
        </w:rPr>
        <w:t>定，该项目已按照采购合同的质量要求完成了项目的建设。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（三）目标进度完成情况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对照原定计</w:t>
      </w:r>
      <w:r>
        <w:rPr>
          <w:rFonts w:hint="eastAsia" w:eastAsia="仿宋_GB2312"/>
          <w:color w:val="auto"/>
          <w:sz w:val="32"/>
          <w:szCs w:val="32"/>
          <w:lang w:val="en-US" w:eastAsia="zh-CN"/>
        </w:rPr>
        <w:t>划</w:t>
      </w:r>
      <w:r>
        <w:rPr>
          <w:rFonts w:hint="eastAsia" w:ascii="方正仿宋_GBK" w:hAnsi="方正仿宋_GBK" w:eastAsia="方正仿宋_GBK" w:cs="方正仿宋_GBK"/>
          <w:color w:val="auto"/>
          <w:sz w:val="32"/>
          <w:szCs w:val="32"/>
          <w:lang w:eastAsia="zh-CN"/>
        </w:rPr>
        <w:t>壤塘县吾伊乡实验示范基地提升改造项目</w:t>
      </w:r>
      <w:r>
        <w:rPr>
          <w:rFonts w:hint="eastAsia" w:ascii="方正仿宋_GBK" w:hAnsi="方正仿宋_GBK" w:eastAsia="方正仿宋_GBK" w:cs="方正仿宋_GBK"/>
          <w:color w:val="auto"/>
          <w:sz w:val="32"/>
          <w:szCs w:val="32"/>
          <w:lang w:val="en-US" w:eastAsia="zh-CN"/>
        </w:rPr>
        <w:t>实际进度已达100%。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四、项目效益情况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通过实施该项目，</w:t>
      </w:r>
      <w:r>
        <w:rPr>
          <w:rFonts w:hint="eastAsia" w:ascii="方正仿宋_GBK" w:hAnsi="方正仿宋_GBK" w:eastAsia="方正仿宋_GBK" w:cs="方正仿宋_GBK"/>
          <w:color w:val="auto"/>
          <w:sz w:val="32"/>
          <w:szCs w:val="32"/>
          <w:lang w:val="en-US" w:eastAsia="zh-CN"/>
        </w:rPr>
        <w:t>将改造提升吾伊村实验示范基地管理能力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为</w:t>
      </w:r>
      <w:r>
        <w:rPr>
          <w:rFonts w:hint="eastAsia" w:ascii="方正仿宋_GBK" w:hAnsi="方正仿宋_GBK" w:eastAsia="方正仿宋_GBK" w:cs="方正仿宋_GBK"/>
          <w:color w:val="auto"/>
          <w:sz w:val="32"/>
          <w:szCs w:val="32"/>
          <w:lang w:eastAsia="zh-CN"/>
        </w:rPr>
        <w:t>村民扩展增收推进，促进乡村全面振兴。项目建设其经济效益和社会效益都将十分显著，是一项利村、利民、利社会</w:t>
      </w:r>
      <w:r>
        <w:rPr>
          <w:rFonts w:hint="eastAsia" w:ascii="方正仿宋_GBK" w:hAnsi="方正仿宋_GBK" w:eastAsia="方正仿宋_GBK" w:cs="方正仿宋_GBK"/>
          <w:color w:val="auto"/>
          <w:sz w:val="32"/>
          <w:szCs w:val="32"/>
          <w:lang w:val="en-US" w:eastAsia="zh-CN"/>
        </w:rPr>
        <w:t>的系统工程、民心工程、德政工程。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五、问题及建议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六、绩效自评结果拟应用和公开情况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我乡充分运用本次绩效自评结果，对在绩效自评中发现的问题予以及时整改，我乡将加大各项政策的宣传力度，将符合项目申报条件且群众急需的项目进行包装谋划及时对接相关部门，确保项目落实落地见效。</w:t>
      </w: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吾伊乡人民政府</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关于壤塘县吾伊乡修卡村产业发展项目的绩效自评报告</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eastAsia" w:ascii="方正仿宋_GBK" w:hAnsi="方正仿宋_GBK" w:eastAsia="方正仿宋_GBK" w:cs="方正仿宋_GBK"/>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根据壤塘县财政局关于开展财政政策、项目支出、政府采购项目绩效评价自评工作相关工作要求，我乡认真开展了壤塘县吾伊乡修卡村产业发展项目绩效评价自查自评工作，现将自评情况报告如下：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一、绩效目标分解下达情况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（一）上级下达项目资金及本级财政预算情况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ascii="方正仿宋_GBK" w:hAnsi="方正仿宋_GBK" w:eastAsia="方正仿宋_GBK" w:cs="方正仿宋_GBK"/>
          <w:color w:val="auto"/>
          <w:sz w:val="32"/>
          <w:szCs w:val="32"/>
          <w:lang w:eastAsia="zh-CN"/>
        </w:rPr>
        <w:t>壤塘县吾伊乡修卡村产业发展项目</w:t>
      </w:r>
      <w:r>
        <w:rPr>
          <w:rFonts w:hint="eastAsia" w:ascii="方正仿宋_GBK" w:hAnsi="方正仿宋_GBK" w:eastAsia="方正仿宋_GBK" w:cs="方正仿宋_GBK"/>
          <w:color w:val="auto"/>
          <w:sz w:val="32"/>
          <w:szCs w:val="32"/>
          <w:lang w:val="en-US" w:eastAsia="zh-CN"/>
        </w:rPr>
        <w:t>总投资30万元，</w:t>
      </w:r>
      <w:r>
        <w:rPr>
          <w:rFonts w:hint="eastAsia" w:eastAsia="仿宋_GB2312"/>
          <w:color w:val="auto"/>
          <w:sz w:val="32"/>
          <w:szCs w:val="32"/>
        </w:rPr>
        <w:t>资金</w:t>
      </w:r>
      <w:r>
        <w:rPr>
          <w:rFonts w:hint="eastAsia" w:eastAsia="仿宋_GB2312"/>
          <w:color w:val="auto"/>
          <w:sz w:val="32"/>
          <w:szCs w:val="32"/>
          <w:lang w:eastAsia="zh-CN"/>
        </w:rPr>
        <w:t>来源</w:t>
      </w:r>
      <w:r>
        <w:rPr>
          <w:rFonts w:hint="eastAsia" w:eastAsia="仿宋_GB2312"/>
          <w:color w:val="auto"/>
          <w:sz w:val="32"/>
          <w:szCs w:val="32"/>
          <w:lang w:val="en-US" w:eastAsia="zh-CN"/>
        </w:rPr>
        <w:t>为乡村振兴衔接资金，各部门批复及资金管理办法等均符合相关规定。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（二）项目绩效目标</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此项目共设置一级指标3个，二级指标7个，三级指标7个。此项目建设规模为修卡村黑桥驿站一层室内改造约300平方米，及相应的水电改造、厨房餐厅设备采购等。</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壤塘县吾伊乡修卡村产业发展项目申报内容与具体实施内容相符、申报目标合理。</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default" w:ascii="楷体" w:hAnsi="楷体" w:eastAsia="楷体" w:cs="楷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二、项目实施及管理情况</w:t>
      </w:r>
    </w:p>
    <w:p>
      <w:pPr>
        <w:pStyle w:val="6"/>
        <w:keepNext w:val="0"/>
        <w:keepLines w:val="0"/>
        <w:pageBreakBefore w:val="0"/>
        <w:widowControl w:val="0"/>
        <w:numPr>
          <w:ilvl w:val="0"/>
          <w:numId w:val="6"/>
        </w:numPr>
        <w:kinsoku/>
        <w:wordWrap/>
        <w:overflowPunct/>
        <w:topLinePunct w:val="0"/>
        <w:autoSpaceDE/>
        <w:autoSpaceDN/>
        <w:bidi w:val="0"/>
        <w:adjustRightInd/>
        <w:snapToGrid/>
        <w:spacing w:line="576" w:lineRule="exact"/>
        <w:ind w:left="420" w:leftChars="200" w:firstLine="0" w:firstLineChars="0"/>
        <w:jc w:val="both"/>
        <w:textAlignment w:val="auto"/>
        <w:rPr>
          <w:rFonts w:hint="eastAsia" w:ascii="方正仿宋_GBK" w:hAnsi="方正仿宋_GBK" w:eastAsia="方正仿宋_GBK" w:cs="方正仿宋_GBK"/>
          <w:b/>
          <w:bCs/>
          <w:color w:val="auto"/>
          <w:sz w:val="32"/>
          <w:szCs w:val="32"/>
          <w:lang w:val="en-US" w:eastAsia="zh-CN"/>
        </w:rPr>
      </w:pPr>
      <w:r>
        <w:rPr>
          <w:rFonts w:hint="eastAsia" w:ascii="楷体" w:hAnsi="楷体" w:eastAsia="楷体" w:cs="楷体"/>
          <w:b/>
          <w:bCs/>
          <w:color w:val="auto"/>
          <w:kern w:val="2"/>
          <w:sz w:val="32"/>
          <w:szCs w:val="32"/>
          <w:lang w:val="en-US" w:eastAsia="zh-CN" w:bidi="ar-SA"/>
        </w:rPr>
        <w:t>资金计划、到位及使用情况。</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1、资金计划及到位情况。</w:t>
      </w:r>
      <w:r>
        <w:rPr>
          <w:rFonts w:hint="eastAsia" w:ascii="方正仿宋_GBK" w:hAnsi="方正仿宋_GBK" w:eastAsia="方正仿宋_GBK" w:cs="方正仿宋_GBK"/>
          <w:color w:val="auto"/>
          <w:sz w:val="32"/>
          <w:szCs w:val="32"/>
          <w:lang w:eastAsia="zh-CN"/>
        </w:rPr>
        <w:t>壤塘县吾伊乡修卡村产业发展项目</w:t>
      </w:r>
      <w:r>
        <w:rPr>
          <w:rFonts w:hint="eastAsia" w:ascii="方正仿宋_GBK" w:hAnsi="方正仿宋_GBK" w:eastAsia="方正仿宋_GBK" w:cs="方正仿宋_GBK"/>
          <w:color w:val="auto"/>
          <w:sz w:val="32"/>
          <w:szCs w:val="32"/>
          <w:lang w:val="en-US" w:eastAsia="zh-CN"/>
        </w:rPr>
        <w:t>计划投资30万元，实际到位资金30万元。</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default"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2、资金使用情况。</w:t>
      </w:r>
      <w:r>
        <w:rPr>
          <w:rFonts w:hint="eastAsia" w:ascii="方正仿宋_GBK" w:hAnsi="方正仿宋_GBK" w:eastAsia="方正仿宋_GBK" w:cs="方正仿宋_GBK"/>
          <w:color w:val="auto"/>
          <w:sz w:val="32"/>
          <w:szCs w:val="32"/>
          <w:lang w:val="en-US" w:eastAsia="zh-CN"/>
        </w:rPr>
        <w:t>资金开支范围主要为项目采购费用支出。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（二）项目财务管理情况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一是严格资金分配。</w:t>
      </w:r>
      <w:r>
        <w:rPr>
          <w:rFonts w:hint="eastAsia" w:ascii="方正仿宋_GBK" w:hAnsi="方正仿宋_GBK" w:eastAsia="方正仿宋_GBK" w:cs="方正仿宋_GBK"/>
          <w:color w:val="auto"/>
          <w:sz w:val="32"/>
          <w:szCs w:val="32"/>
          <w:lang w:val="en-US" w:eastAsia="zh-CN"/>
        </w:rPr>
        <w:t>资金到位后，我乡将一如既往加强对项目资金使用情况的监督管理，做到专款专用，确保不挪用转借和挤占项目工程款；乡政府将按县发改局、财政局和县科农局的督导要求积极配合。</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二是实行规范化发放。</w:t>
      </w:r>
      <w:r>
        <w:rPr>
          <w:rFonts w:hint="eastAsia" w:ascii="方正仿宋_GBK" w:hAnsi="方正仿宋_GBK" w:eastAsia="方正仿宋_GBK" w:cs="方正仿宋_GBK"/>
          <w:color w:val="auto"/>
          <w:sz w:val="32"/>
          <w:szCs w:val="32"/>
          <w:lang w:val="en-US" w:eastAsia="zh-CN"/>
        </w:rPr>
        <w:t>我乡严格按照合同约定以及项目进度进行资金拨付，保证了发放时效和资金安全，确保资金支付合规合法。</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三是强化资金监管。</w:t>
      </w:r>
      <w:r>
        <w:rPr>
          <w:rFonts w:hint="eastAsia" w:ascii="方正仿宋_GBK" w:hAnsi="方正仿宋_GBK" w:eastAsia="方正仿宋_GBK" w:cs="方正仿宋_GBK"/>
          <w:color w:val="auto"/>
          <w:sz w:val="32"/>
          <w:szCs w:val="32"/>
          <w:lang w:val="en-US" w:eastAsia="zh-CN"/>
        </w:rPr>
        <w:t>主动接受群众监督，项目实施前中后以及资金到位、资金支付情况均通过村务公示栏长期公示。同时积极接受和配合审计、纪检监察、财政部门的监督检查。</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（三）项目组织实施情况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项目严格按照</w:t>
      </w:r>
      <w:r>
        <w:rPr>
          <w:rFonts w:hint="eastAsia" w:ascii="方正仿宋_GBK" w:hAnsi="方正仿宋_GBK" w:eastAsia="方正仿宋_GBK" w:cs="方正仿宋_GBK"/>
          <w:color w:val="auto"/>
          <w:sz w:val="32"/>
          <w:szCs w:val="32"/>
          <w:lang w:eastAsia="zh-CN"/>
        </w:rPr>
        <w:t>壤塘县吾伊乡修卡村产业发展项目</w:t>
      </w:r>
      <w:r>
        <w:rPr>
          <w:rFonts w:hint="eastAsia" w:ascii="方正仿宋_GBK" w:hAnsi="方正仿宋_GBK" w:eastAsia="方正仿宋_GBK" w:cs="方正仿宋_GBK"/>
          <w:color w:val="auto"/>
          <w:sz w:val="32"/>
          <w:szCs w:val="32"/>
          <w:lang w:val="en-US" w:eastAsia="zh-CN"/>
        </w:rPr>
        <w:t>实施方案执行。</w:t>
      </w:r>
    </w:p>
    <w:p>
      <w:pPr>
        <w:pStyle w:val="6"/>
        <w:ind w:firstLine="640" w:firstLineChars="200"/>
        <w:rPr>
          <w:rFonts w:hint="eastAsia" w:ascii="黑体" w:hAnsi="黑体" w:eastAsia="黑体" w:cs="黑体"/>
          <w:color w:val="auto"/>
          <w:lang w:val="en-US" w:eastAsia="zh-CN"/>
        </w:rPr>
      </w:pPr>
      <w:r>
        <w:rPr>
          <w:rFonts w:hint="eastAsia" w:ascii="黑体" w:hAnsi="黑体" w:eastAsia="黑体" w:cs="黑体"/>
          <w:color w:val="auto"/>
          <w:sz w:val="32"/>
          <w:szCs w:val="32"/>
          <w:lang w:val="en-US" w:eastAsia="zh-CN"/>
        </w:rPr>
        <w:t>三、目标完成情况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（一）目标任务量完成情况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项目实际投资28.88万元，项目建设规模为修卡村黑桥驿站一层室内改造约300平方米，及相应的水电改造、厨房餐厅设备采购等，目标任务已全部完成。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（二）目标质量完成情况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ascii="方正仿宋_GBK" w:hAnsi="方正仿宋_GBK" w:eastAsia="方正仿宋_GBK" w:cs="方正仿宋_GBK"/>
          <w:color w:val="auto"/>
          <w:sz w:val="32"/>
          <w:szCs w:val="32"/>
          <w:lang w:val="en-US" w:eastAsia="zh-CN"/>
        </w:rPr>
        <w:t>按照项目采购合同的约</w:t>
      </w:r>
      <w:r>
        <w:rPr>
          <w:rFonts w:hint="eastAsia" w:eastAsia="仿宋_GB2312"/>
          <w:color w:val="auto"/>
          <w:sz w:val="32"/>
          <w:szCs w:val="32"/>
          <w:lang w:val="en-US" w:eastAsia="zh-CN"/>
        </w:rPr>
        <w:t>定，该项目已按照采购合同的质量要求完成了项目的建设。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（三）目标进度完成情况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对照原定计</w:t>
      </w:r>
      <w:r>
        <w:rPr>
          <w:rFonts w:hint="eastAsia" w:eastAsia="仿宋_GB2312"/>
          <w:color w:val="auto"/>
          <w:sz w:val="32"/>
          <w:szCs w:val="32"/>
          <w:lang w:val="en-US" w:eastAsia="zh-CN"/>
        </w:rPr>
        <w:t>划</w:t>
      </w:r>
      <w:r>
        <w:rPr>
          <w:rFonts w:hint="eastAsia" w:ascii="方正仿宋_GBK" w:hAnsi="方正仿宋_GBK" w:eastAsia="方正仿宋_GBK" w:cs="方正仿宋_GBK"/>
          <w:color w:val="auto"/>
          <w:sz w:val="32"/>
          <w:szCs w:val="32"/>
          <w:lang w:eastAsia="zh-CN"/>
        </w:rPr>
        <w:t>壤塘县吾伊乡修卡村产业发展项目</w:t>
      </w:r>
      <w:r>
        <w:rPr>
          <w:rFonts w:hint="eastAsia" w:ascii="方正仿宋_GBK" w:hAnsi="方正仿宋_GBK" w:eastAsia="方正仿宋_GBK" w:cs="方正仿宋_GBK"/>
          <w:color w:val="auto"/>
          <w:sz w:val="32"/>
          <w:szCs w:val="32"/>
          <w:lang w:val="en-US" w:eastAsia="zh-CN"/>
        </w:rPr>
        <w:t>实际进度已达100%。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四、项目效益情况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rPr>
        <w:t>通过实施该项目，</w:t>
      </w:r>
      <w:r>
        <w:rPr>
          <w:rFonts w:hint="eastAsia" w:ascii="仿宋_GB2312" w:hAnsi="仿宋_GB2312" w:eastAsia="仿宋_GB2312" w:cs="仿宋_GB2312"/>
          <w:color w:val="auto"/>
          <w:sz w:val="32"/>
          <w:szCs w:val="32"/>
          <w:lang w:val="en-US" w:eastAsia="zh-CN"/>
        </w:rPr>
        <w:t>将改造提升修卡村产业发展能力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为</w:t>
      </w:r>
      <w:r>
        <w:rPr>
          <w:rFonts w:hint="eastAsia" w:ascii="仿宋_GB2312" w:hAnsi="仿宋_GB2312" w:eastAsia="仿宋_GB2312" w:cs="仿宋_GB2312"/>
          <w:color w:val="auto"/>
          <w:sz w:val="32"/>
          <w:szCs w:val="32"/>
        </w:rPr>
        <w:t>村民</w:t>
      </w:r>
      <w:r>
        <w:rPr>
          <w:rFonts w:hint="eastAsia" w:ascii="仿宋_GB2312" w:hAnsi="仿宋_GB2312" w:eastAsia="仿宋_GB2312" w:cs="仿宋_GB2312"/>
          <w:color w:val="auto"/>
          <w:sz w:val="32"/>
          <w:szCs w:val="32"/>
          <w:lang w:eastAsia="zh-CN"/>
        </w:rPr>
        <w:t>扩展增收推进，促进乡村全面振兴</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项目建设其经济效益</w:t>
      </w:r>
      <w:r>
        <w:rPr>
          <w:rFonts w:hint="eastAsia" w:ascii="仿宋_GB2312" w:hAnsi="仿宋_GB2312" w:eastAsia="仿宋_GB2312" w:cs="仿宋_GB2312"/>
          <w:color w:val="auto"/>
          <w:sz w:val="32"/>
          <w:szCs w:val="32"/>
        </w:rPr>
        <w:t>和社会效益都将十分显著，是一项利村、利民、利社会</w:t>
      </w:r>
      <w:r>
        <w:rPr>
          <w:rFonts w:hint="eastAsia" w:ascii="仿宋_GB2312" w:hAnsi="仿宋_GB2312" w:eastAsia="仿宋_GB2312" w:cs="仿宋_GB2312"/>
          <w:color w:val="auto"/>
          <w:sz w:val="32"/>
          <w:szCs w:val="32"/>
          <w:lang w:val="en-US" w:eastAsia="zh-CN"/>
        </w:rPr>
        <w:t>的系统工程、民心工程、德政工程。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五、问题及建议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六、绩效自评结果拟应用和公开情况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我乡充分运用本次绩效自评结果，对在绩效自评中发现的问题予以及时整改，我乡将加大各项政策的宣传力度，将符合项目申报条件且群众急需的项目进行包装谋划及时对接相关部门，确保项目落实落地见效。</w:t>
      </w: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pStyle w:val="6"/>
        <w:rPr>
          <w:rFonts w:hint="default" w:ascii="方正仿宋_GBK" w:hAnsi="方正仿宋_GBK" w:eastAsia="方正仿宋_GBK" w:cs="方正仿宋_GBK"/>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吾伊乡人民政府</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关于壤塘县吾伊乡修卡村护岸工程的绩效自评报告</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eastAsia" w:ascii="方正仿宋_GBK" w:hAnsi="方正仿宋_GBK" w:eastAsia="方正仿宋_GBK" w:cs="方正仿宋_GBK"/>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根据壤塘县财政局关于开展财政政策、项目支出、政府采购项目绩效评价自评工作相关工作要求，我乡认真开展了壤塘县吾伊乡修卡村护岸工程绩效评价自查自评工作，现将自评情况报告如下：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一、绩效目标分解下达情况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（一）上级下达项目资金及本级财政预算情况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壤塘县吾伊乡修卡村护岸工程</w:t>
      </w:r>
      <w:r>
        <w:rPr>
          <w:rFonts w:hint="eastAsia" w:ascii="方正仿宋_GBK" w:hAnsi="方正仿宋_GBK" w:eastAsia="方正仿宋_GBK" w:cs="方正仿宋_GBK"/>
          <w:color w:val="auto"/>
          <w:sz w:val="32"/>
          <w:szCs w:val="32"/>
          <w:lang w:val="en-US" w:eastAsia="zh-CN"/>
        </w:rPr>
        <w:t>总投资400万元，</w:t>
      </w:r>
      <w:r>
        <w:rPr>
          <w:rFonts w:hint="eastAsia" w:ascii="方正仿宋_GBK" w:hAnsi="方正仿宋_GBK" w:eastAsia="方正仿宋_GBK" w:cs="方正仿宋_GBK"/>
          <w:color w:val="auto"/>
          <w:sz w:val="32"/>
          <w:szCs w:val="32"/>
          <w:lang w:eastAsia="zh-CN"/>
        </w:rPr>
        <w:t>资金来源</w:t>
      </w:r>
      <w:r>
        <w:rPr>
          <w:rFonts w:hint="eastAsia" w:ascii="方正仿宋_GBK" w:hAnsi="方正仿宋_GBK" w:eastAsia="方正仿宋_GBK" w:cs="方正仿宋_GBK"/>
          <w:color w:val="auto"/>
          <w:sz w:val="32"/>
          <w:szCs w:val="32"/>
          <w:lang w:val="en-US" w:eastAsia="zh-CN"/>
        </w:rPr>
        <w:t>为县级整合资金，各部门批复及资金管理办法等均符合相关规定。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（二）项目绩效目标</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此项目共设置一级指标3个，二级指标6个，三级指标7个。此项目建设规模为新建护岸385米，DN500排涝涵管1处。</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壤塘县吾伊乡修卡村护岸工程申报内容与具体实施内容相符、申报目标合理。</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0" w:leftChars="0" w:firstLine="640" w:firstLineChars="200"/>
        <w:jc w:val="both"/>
        <w:textAlignment w:val="auto"/>
        <w:rPr>
          <w:rFonts w:hint="default" w:ascii="楷体" w:hAnsi="楷体" w:eastAsia="楷体" w:cs="楷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二、项目实施及管理情况</w:t>
      </w:r>
    </w:p>
    <w:p>
      <w:pPr>
        <w:pStyle w:val="6"/>
        <w:keepNext w:val="0"/>
        <w:keepLines w:val="0"/>
        <w:pageBreakBefore w:val="0"/>
        <w:widowControl w:val="0"/>
        <w:numPr>
          <w:ilvl w:val="0"/>
          <w:numId w:val="6"/>
        </w:numPr>
        <w:kinsoku/>
        <w:wordWrap/>
        <w:overflowPunct/>
        <w:topLinePunct w:val="0"/>
        <w:autoSpaceDE/>
        <w:autoSpaceDN/>
        <w:bidi w:val="0"/>
        <w:adjustRightInd/>
        <w:snapToGrid/>
        <w:spacing w:line="576" w:lineRule="exact"/>
        <w:ind w:left="420" w:leftChars="200" w:firstLine="0" w:firstLineChars="0"/>
        <w:jc w:val="both"/>
        <w:textAlignment w:val="auto"/>
        <w:rPr>
          <w:rFonts w:hint="eastAsia" w:ascii="方正仿宋_GBK" w:hAnsi="方正仿宋_GBK" w:eastAsia="方正仿宋_GBK" w:cs="方正仿宋_GBK"/>
          <w:b/>
          <w:bCs/>
          <w:color w:val="auto"/>
          <w:sz w:val="32"/>
          <w:szCs w:val="32"/>
          <w:lang w:val="en-US" w:eastAsia="zh-CN"/>
        </w:rPr>
      </w:pPr>
      <w:r>
        <w:rPr>
          <w:rFonts w:hint="eastAsia" w:ascii="楷体" w:hAnsi="楷体" w:eastAsia="楷体" w:cs="楷体"/>
          <w:b/>
          <w:bCs/>
          <w:color w:val="auto"/>
          <w:kern w:val="2"/>
          <w:sz w:val="32"/>
          <w:szCs w:val="32"/>
          <w:lang w:val="en-US" w:eastAsia="zh-CN" w:bidi="ar-SA"/>
        </w:rPr>
        <w:t>资金计划、到位及使用情况。</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1、资金计划及到位情况。</w:t>
      </w:r>
      <w:r>
        <w:rPr>
          <w:rFonts w:hint="eastAsia" w:ascii="方正仿宋_GBK" w:hAnsi="方正仿宋_GBK" w:eastAsia="方正仿宋_GBK" w:cs="方正仿宋_GBK"/>
          <w:color w:val="auto"/>
          <w:sz w:val="32"/>
          <w:szCs w:val="32"/>
          <w:lang w:eastAsia="zh-CN"/>
        </w:rPr>
        <w:t>壤塘县吾伊乡修卡村护岸工程</w:t>
      </w:r>
      <w:r>
        <w:rPr>
          <w:rFonts w:hint="eastAsia" w:ascii="方正仿宋_GBK" w:hAnsi="方正仿宋_GBK" w:eastAsia="方正仿宋_GBK" w:cs="方正仿宋_GBK"/>
          <w:color w:val="auto"/>
          <w:sz w:val="32"/>
          <w:szCs w:val="32"/>
          <w:lang w:val="en-US" w:eastAsia="zh-CN"/>
        </w:rPr>
        <w:t>计划投资400万元，实际到位资金332.83万元。</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default" w:ascii="方正仿宋_GBK" w:hAnsi="方正仿宋_GBK" w:eastAsia="方正仿宋_GBK" w:cs="方正仿宋_GBK"/>
          <w:color w:val="auto"/>
          <w:sz w:val="32"/>
          <w:szCs w:val="32"/>
          <w:lang w:val="en-US" w:eastAsia="zh-CN"/>
        </w:rPr>
      </w:pPr>
      <w:r>
        <w:rPr>
          <w:rFonts w:hint="eastAsia" w:ascii="楷体" w:hAnsi="楷体" w:eastAsia="楷体" w:cs="楷体"/>
          <w:b/>
          <w:bCs/>
          <w:color w:val="auto"/>
          <w:kern w:val="2"/>
          <w:sz w:val="32"/>
          <w:szCs w:val="32"/>
          <w:lang w:val="en-US" w:eastAsia="zh-CN" w:bidi="ar-SA"/>
        </w:rPr>
        <w:t>2、资金使用情况。</w:t>
      </w:r>
      <w:r>
        <w:rPr>
          <w:rFonts w:hint="eastAsia" w:ascii="方正仿宋_GBK" w:hAnsi="方正仿宋_GBK" w:eastAsia="方正仿宋_GBK" w:cs="方正仿宋_GBK"/>
          <w:color w:val="auto"/>
          <w:sz w:val="32"/>
          <w:szCs w:val="32"/>
          <w:lang w:val="en-US" w:eastAsia="zh-CN"/>
        </w:rPr>
        <w:t>资金开支范围主要为项目工程款支出。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（二）项目财务管理情况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一是严格资金分配。</w:t>
      </w:r>
      <w:r>
        <w:rPr>
          <w:rFonts w:hint="eastAsia" w:ascii="方正仿宋_GBK" w:hAnsi="方正仿宋_GBK" w:eastAsia="方正仿宋_GBK" w:cs="方正仿宋_GBK"/>
          <w:color w:val="auto"/>
          <w:sz w:val="32"/>
          <w:szCs w:val="32"/>
          <w:lang w:val="en-US" w:eastAsia="zh-CN"/>
        </w:rPr>
        <w:t>资金到位后，我乡将一如既往加强对项目资金使用情况的监督管理，做到专款专用，确保不挪用转借和挤占项目工程款；乡政府将按县发改局、财政局和县科农局的督导要求积极配合。</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二是实行规范化发放。</w:t>
      </w:r>
      <w:r>
        <w:rPr>
          <w:rFonts w:hint="eastAsia" w:ascii="方正仿宋_GBK" w:hAnsi="方正仿宋_GBK" w:eastAsia="方正仿宋_GBK" w:cs="方正仿宋_GBK"/>
          <w:color w:val="auto"/>
          <w:sz w:val="32"/>
          <w:szCs w:val="32"/>
          <w:lang w:val="en-US" w:eastAsia="zh-CN"/>
        </w:rPr>
        <w:t>我乡严格按照合同约定以及项目进度进行资金拨付，保证了发放时效和资金安全，确保资金支付合规合法。</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三是强化资金监管。</w:t>
      </w:r>
      <w:r>
        <w:rPr>
          <w:rFonts w:hint="eastAsia" w:ascii="方正仿宋_GBK" w:hAnsi="方正仿宋_GBK" w:eastAsia="方正仿宋_GBK" w:cs="方正仿宋_GBK"/>
          <w:color w:val="auto"/>
          <w:sz w:val="32"/>
          <w:szCs w:val="32"/>
          <w:lang w:val="en-US" w:eastAsia="zh-CN"/>
        </w:rPr>
        <w:t>主动接受群众监督，项目实施前中后以及资金到位、资金支付情况均通过村务公示栏长期公示。同时积极接受和配合审计、纪检监察、财政部门的监督检查。</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（三）项目组织实施情况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项目严格按照</w:t>
      </w:r>
      <w:r>
        <w:rPr>
          <w:rFonts w:hint="eastAsia" w:ascii="方正仿宋_GBK" w:hAnsi="方正仿宋_GBK" w:eastAsia="方正仿宋_GBK" w:cs="方正仿宋_GBK"/>
          <w:color w:val="auto"/>
          <w:sz w:val="32"/>
          <w:szCs w:val="32"/>
          <w:lang w:eastAsia="zh-CN"/>
        </w:rPr>
        <w:t>壤塘县吾伊乡修卡村护岸工程</w:t>
      </w:r>
      <w:r>
        <w:rPr>
          <w:rFonts w:hint="eastAsia" w:ascii="方正仿宋_GBK" w:hAnsi="方正仿宋_GBK" w:eastAsia="方正仿宋_GBK" w:cs="方正仿宋_GBK"/>
          <w:color w:val="auto"/>
          <w:sz w:val="32"/>
          <w:szCs w:val="32"/>
          <w:lang w:val="en-US" w:eastAsia="zh-CN"/>
        </w:rPr>
        <w:t>实施方案执行。</w:t>
      </w:r>
    </w:p>
    <w:p>
      <w:pPr>
        <w:pStyle w:val="6"/>
        <w:ind w:firstLine="640" w:firstLineChars="200"/>
        <w:rPr>
          <w:rFonts w:hint="eastAsia" w:ascii="黑体" w:hAnsi="黑体" w:eastAsia="黑体" w:cs="黑体"/>
          <w:color w:val="auto"/>
          <w:lang w:val="en-US" w:eastAsia="zh-CN"/>
        </w:rPr>
      </w:pPr>
      <w:r>
        <w:rPr>
          <w:rFonts w:hint="eastAsia" w:ascii="黑体" w:hAnsi="黑体" w:eastAsia="黑体" w:cs="黑体"/>
          <w:color w:val="auto"/>
          <w:sz w:val="32"/>
          <w:szCs w:val="32"/>
          <w:lang w:val="en-US" w:eastAsia="zh-CN"/>
        </w:rPr>
        <w:t>三、目标完成情况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（一）目标任务量完成情况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该项目目前已完成建设，目前正在整理资料，未进行资金拨付，项目建设规模为新建护岸385米，DN500排涝涵管1处，目标任务已全部完成。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（二）目标质量完成情况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olor w:val="auto"/>
          <w:sz w:val="32"/>
          <w:szCs w:val="32"/>
          <w:lang w:val="en-US" w:eastAsia="zh-CN"/>
        </w:rPr>
      </w:pPr>
      <w:r>
        <w:rPr>
          <w:rFonts w:hint="eastAsia" w:ascii="方正仿宋_GBK" w:hAnsi="方正仿宋_GBK" w:eastAsia="方正仿宋_GBK" w:cs="方正仿宋_GBK"/>
          <w:color w:val="auto"/>
          <w:sz w:val="32"/>
          <w:szCs w:val="32"/>
          <w:lang w:val="en-US" w:eastAsia="zh-CN"/>
        </w:rPr>
        <w:t>按照项目建设的相关规定及要求</w:t>
      </w:r>
      <w:r>
        <w:rPr>
          <w:rFonts w:hint="eastAsia" w:eastAsia="仿宋_GB2312"/>
          <w:color w:val="auto"/>
          <w:sz w:val="32"/>
          <w:szCs w:val="32"/>
          <w:lang w:val="en-US" w:eastAsia="zh-CN"/>
        </w:rPr>
        <w:t>，该</w:t>
      </w:r>
      <w:r>
        <w:rPr>
          <w:rFonts w:hint="eastAsia" w:ascii="方正仿宋_GBK" w:hAnsi="方正仿宋_GBK" w:eastAsia="方正仿宋_GBK" w:cs="方正仿宋_GBK"/>
          <w:color w:val="auto"/>
          <w:sz w:val="32"/>
          <w:szCs w:val="32"/>
          <w:lang w:val="en-US" w:eastAsia="zh-CN"/>
        </w:rPr>
        <w:t>项目已按照实施方案的质量要求完成了项目的建设。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jc w:val="both"/>
        <w:textAlignment w:val="auto"/>
        <w:rPr>
          <w:rFonts w:hint="eastAsia" w:ascii="楷体" w:hAnsi="楷体" w:eastAsia="楷体" w:cs="楷体"/>
          <w:b/>
          <w:bCs/>
          <w:color w:val="auto"/>
          <w:kern w:val="2"/>
          <w:sz w:val="32"/>
          <w:szCs w:val="32"/>
          <w:lang w:val="en-US" w:eastAsia="zh-CN" w:bidi="ar-SA"/>
        </w:rPr>
      </w:pPr>
      <w:r>
        <w:rPr>
          <w:rFonts w:hint="eastAsia" w:ascii="楷体" w:hAnsi="楷体" w:eastAsia="楷体" w:cs="楷体"/>
          <w:b/>
          <w:bCs/>
          <w:color w:val="auto"/>
          <w:kern w:val="2"/>
          <w:sz w:val="32"/>
          <w:szCs w:val="32"/>
          <w:lang w:val="en-US" w:eastAsia="zh-CN" w:bidi="ar-SA"/>
        </w:rPr>
        <w:t>（三）目标进度完成情况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对照原定计</w:t>
      </w:r>
      <w:r>
        <w:rPr>
          <w:rFonts w:hint="eastAsia" w:eastAsia="仿宋_GB2312"/>
          <w:color w:val="auto"/>
          <w:sz w:val="32"/>
          <w:szCs w:val="32"/>
          <w:lang w:val="en-US" w:eastAsia="zh-CN"/>
        </w:rPr>
        <w:t>划</w:t>
      </w:r>
      <w:r>
        <w:rPr>
          <w:rFonts w:hint="eastAsia" w:ascii="方正仿宋_GBK" w:hAnsi="方正仿宋_GBK" w:eastAsia="方正仿宋_GBK" w:cs="方正仿宋_GBK"/>
          <w:color w:val="auto"/>
          <w:sz w:val="32"/>
          <w:szCs w:val="32"/>
          <w:lang w:eastAsia="zh-CN"/>
        </w:rPr>
        <w:t>壤塘县吾伊乡修卡村护岸工程</w:t>
      </w:r>
      <w:r>
        <w:rPr>
          <w:rFonts w:hint="eastAsia" w:ascii="方正仿宋_GBK" w:hAnsi="方正仿宋_GBK" w:eastAsia="方正仿宋_GBK" w:cs="方正仿宋_GBK"/>
          <w:color w:val="auto"/>
          <w:sz w:val="32"/>
          <w:szCs w:val="32"/>
          <w:lang w:val="en-US" w:eastAsia="zh-CN"/>
        </w:rPr>
        <w:t>实际进度已达100%。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四、项目效益情况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通过实施该项目，</w:t>
      </w:r>
      <w:r>
        <w:rPr>
          <w:rFonts w:hint="eastAsia" w:ascii="方正仿宋_GBK" w:hAnsi="方正仿宋_GBK" w:eastAsia="方正仿宋_GBK" w:cs="方正仿宋_GBK"/>
          <w:color w:val="auto"/>
          <w:sz w:val="32"/>
          <w:szCs w:val="32"/>
          <w:lang w:val="en-US" w:eastAsia="zh-CN"/>
        </w:rPr>
        <w:t>将进一步提升修卡村的基础设施</w:t>
      </w:r>
      <w:r>
        <w:rPr>
          <w:rFonts w:hint="eastAsia" w:ascii="方正仿宋_GBK" w:hAnsi="方正仿宋_GBK" w:eastAsia="方正仿宋_GBK" w:cs="方正仿宋_GBK"/>
          <w:color w:val="auto"/>
          <w:sz w:val="32"/>
          <w:szCs w:val="32"/>
          <w:lang w:eastAsia="zh-CN"/>
        </w:rPr>
        <w:t>，更大程度上防范自然灾害发生引起的群众生命财产安全受到损害的隐患。项目建设其经济效益和社会效益都将十分显著，是一项利村、利民、利社会</w:t>
      </w:r>
      <w:r>
        <w:rPr>
          <w:rFonts w:hint="eastAsia" w:ascii="方正仿宋_GBK" w:hAnsi="方正仿宋_GBK" w:eastAsia="方正仿宋_GBK" w:cs="方正仿宋_GBK"/>
          <w:color w:val="auto"/>
          <w:sz w:val="32"/>
          <w:szCs w:val="32"/>
          <w:lang w:val="en-US" w:eastAsia="zh-CN"/>
        </w:rPr>
        <w:t>的系统工程、民心工程、德政工程。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五、问题及建议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六、绩效自评结果拟应用和公开情况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我乡充分运用本次绩效自评结果，对在绩效自评中发现的问题予以及时整改，我乡将加大各项政策的宣传力度，将符合项目申报条件且群众急需的项目进行包装谋划及时对接相关部门，确保项目落实落地见效。</w:t>
      </w:r>
    </w:p>
    <w:p>
      <w:pPr>
        <w:pStyle w:val="6"/>
        <w:rPr>
          <w:rFonts w:hint="default" w:ascii="方正仿宋_GBK" w:hAnsi="方正仿宋_GBK" w:eastAsia="方正仿宋_GBK" w:cs="方正仿宋_GBK"/>
          <w:color w:val="auto"/>
          <w:sz w:val="32"/>
          <w:szCs w:val="32"/>
          <w:lang w:val="en-US" w:eastAsia="zh-CN"/>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color w:val="FF0000"/>
          <w:kern w:val="0"/>
          <w:position w:val="0"/>
          <w:sz w:val="32"/>
          <w:szCs w:val="32"/>
          <w:highlight w:val="none"/>
          <w:lang w:val="en-US" w:eastAsia="zh-CN" w:bidi="ar-SA"/>
        </w:rPr>
      </w:pPr>
      <w:r>
        <w:rPr>
          <w:rFonts w:hint="eastAsia" w:ascii="Times New Roman" w:hAnsi="Times New Roman" w:eastAsia="仿宋_GB2312" w:cs="仿宋_GB2312"/>
          <w:b w:val="0"/>
          <w:bCs w:val="0"/>
          <w:color w:val="FF000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0"/>
      <w:bookmarkEnd w:id="51"/>
      <w:bookmarkStart w:id="52"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83AB2E"/>
    <w:multiLevelType w:val="singleLevel"/>
    <w:tmpl w:val="A783AB2E"/>
    <w:lvl w:ilvl="0" w:tentative="0">
      <w:start w:val="2"/>
      <w:numFmt w:val="chineseCounting"/>
      <w:suff w:val="nothing"/>
      <w:lvlText w:val="（%1）"/>
      <w:lvlJc w:val="left"/>
      <w:rPr>
        <w:rFonts w:hint="eastAsia"/>
      </w:rPr>
    </w:lvl>
  </w:abstractNum>
  <w:abstractNum w:abstractNumId="1">
    <w:nsid w:val="BFBAA30B"/>
    <w:multiLevelType w:val="singleLevel"/>
    <w:tmpl w:val="BFBAA30B"/>
    <w:lvl w:ilvl="0" w:tentative="0">
      <w:start w:val="1"/>
      <w:numFmt w:val="chineseCounting"/>
      <w:suff w:val="nothing"/>
      <w:lvlText w:val="（%1）"/>
      <w:lvlJc w:val="left"/>
      <w:rPr>
        <w:rFonts w:hint="eastAsia"/>
      </w:rPr>
    </w:lvl>
  </w:abstractNum>
  <w:abstractNum w:abstractNumId="2">
    <w:nsid w:val="20DCF503"/>
    <w:multiLevelType w:val="singleLevel"/>
    <w:tmpl w:val="20DCF503"/>
    <w:lvl w:ilvl="0" w:tentative="0">
      <w:start w:val="1"/>
      <w:numFmt w:val="decimal"/>
      <w:lvlText w:val="%1."/>
      <w:lvlJc w:val="left"/>
      <w:pPr>
        <w:tabs>
          <w:tab w:val="left" w:pos="312"/>
        </w:tabs>
      </w:pPr>
    </w:lvl>
  </w:abstractNum>
  <w:abstractNum w:abstractNumId="3">
    <w:nsid w:val="5E54E9F7"/>
    <w:multiLevelType w:val="singleLevel"/>
    <w:tmpl w:val="5E54E9F7"/>
    <w:lvl w:ilvl="0" w:tentative="0">
      <w:start w:val="1"/>
      <w:numFmt w:val="chineseCounting"/>
      <w:suff w:val="nothing"/>
      <w:lvlText w:val="%1、"/>
      <w:lvlJc w:val="left"/>
      <w:rPr>
        <w:rFonts w:hint="eastAsia"/>
      </w:rPr>
    </w:lvl>
  </w:abstractNum>
  <w:abstractNum w:abstractNumId="4">
    <w:nsid w:val="62621CDC"/>
    <w:multiLevelType w:val="multilevel"/>
    <w:tmpl w:val="62621CDC"/>
    <w:lvl w:ilvl="0" w:tentative="0">
      <w:start w:val="1"/>
      <w:numFmt w:val="decimal"/>
      <w:lvlText w:val="%1."/>
      <w:lvlJc w:val="left"/>
      <w:pPr>
        <w:ind w:left="1110"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5">
    <w:nsid w:val="67D9B5C1"/>
    <w:multiLevelType w:val="singleLevel"/>
    <w:tmpl w:val="67D9B5C1"/>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9A5F72"/>
    <w:rsid w:val="02060739"/>
    <w:rsid w:val="02317B1B"/>
    <w:rsid w:val="02323E22"/>
    <w:rsid w:val="02F922EE"/>
    <w:rsid w:val="02FEBE30"/>
    <w:rsid w:val="054934A8"/>
    <w:rsid w:val="061E35DE"/>
    <w:rsid w:val="066E0107"/>
    <w:rsid w:val="07996F6E"/>
    <w:rsid w:val="07DFD8BA"/>
    <w:rsid w:val="08793F74"/>
    <w:rsid w:val="08DB07E4"/>
    <w:rsid w:val="09867E8F"/>
    <w:rsid w:val="0A2032A3"/>
    <w:rsid w:val="0A305844"/>
    <w:rsid w:val="0BC86ECA"/>
    <w:rsid w:val="0C6C4794"/>
    <w:rsid w:val="0CA8290A"/>
    <w:rsid w:val="0D35B1ED"/>
    <w:rsid w:val="0DE07E2B"/>
    <w:rsid w:val="0EC87ED0"/>
    <w:rsid w:val="0F98263C"/>
    <w:rsid w:val="101860EC"/>
    <w:rsid w:val="10C055FF"/>
    <w:rsid w:val="11545FF9"/>
    <w:rsid w:val="11772AA4"/>
    <w:rsid w:val="118107EC"/>
    <w:rsid w:val="12070D49"/>
    <w:rsid w:val="123E6EC7"/>
    <w:rsid w:val="12427E0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28725F"/>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6FE4C94"/>
    <w:rsid w:val="376B6AA6"/>
    <w:rsid w:val="376D39B2"/>
    <w:rsid w:val="37B4116F"/>
    <w:rsid w:val="37E16F03"/>
    <w:rsid w:val="37F53A3B"/>
    <w:rsid w:val="387A0F38"/>
    <w:rsid w:val="389B6C89"/>
    <w:rsid w:val="38D469F0"/>
    <w:rsid w:val="39627CCD"/>
    <w:rsid w:val="397BAF1F"/>
    <w:rsid w:val="3AB79AF3"/>
    <w:rsid w:val="3B7EF35A"/>
    <w:rsid w:val="3B9FDB6C"/>
    <w:rsid w:val="3BF5BC2F"/>
    <w:rsid w:val="3CEBA265"/>
    <w:rsid w:val="3D98207C"/>
    <w:rsid w:val="3D9B0D99"/>
    <w:rsid w:val="3DEE7CF3"/>
    <w:rsid w:val="3DF02244"/>
    <w:rsid w:val="3E78745D"/>
    <w:rsid w:val="3FB41B8F"/>
    <w:rsid w:val="3FF4CAE0"/>
    <w:rsid w:val="3FF7B227"/>
    <w:rsid w:val="40E54C45"/>
    <w:rsid w:val="43A407DF"/>
    <w:rsid w:val="44515BEA"/>
    <w:rsid w:val="44E268DA"/>
    <w:rsid w:val="453F7E5B"/>
    <w:rsid w:val="486A6C7A"/>
    <w:rsid w:val="49176D9B"/>
    <w:rsid w:val="4A627F82"/>
    <w:rsid w:val="4B0E749A"/>
    <w:rsid w:val="4B1906C2"/>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8CF5440"/>
    <w:rsid w:val="5AF92295"/>
    <w:rsid w:val="5BDD79E6"/>
    <w:rsid w:val="5BF561CA"/>
    <w:rsid w:val="5BFF5DFC"/>
    <w:rsid w:val="5CD71FC4"/>
    <w:rsid w:val="5D1F11B5"/>
    <w:rsid w:val="5DAE1B18"/>
    <w:rsid w:val="5DE7D9E5"/>
    <w:rsid w:val="5E0C24E0"/>
    <w:rsid w:val="5ECEC941"/>
    <w:rsid w:val="5F493CB7"/>
    <w:rsid w:val="5FBF9FF3"/>
    <w:rsid w:val="5FCD4E2C"/>
    <w:rsid w:val="5FD15F49"/>
    <w:rsid w:val="5FEF394A"/>
    <w:rsid w:val="5FF67715"/>
    <w:rsid w:val="62486366"/>
    <w:rsid w:val="62BF3928"/>
    <w:rsid w:val="64481FE3"/>
    <w:rsid w:val="647F5392"/>
    <w:rsid w:val="664B1D71"/>
    <w:rsid w:val="67AA3209"/>
    <w:rsid w:val="681C4F0D"/>
    <w:rsid w:val="69046D0F"/>
    <w:rsid w:val="693A3745"/>
    <w:rsid w:val="698D0931"/>
    <w:rsid w:val="6A993CED"/>
    <w:rsid w:val="6B053271"/>
    <w:rsid w:val="6BCE6674"/>
    <w:rsid w:val="6C2801D8"/>
    <w:rsid w:val="6C4A05C8"/>
    <w:rsid w:val="6C8742B8"/>
    <w:rsid w:val="6C8A170F"/>
    <w:rsid w:val="6C966FB6"/>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BD74EB"/>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0DD7"/>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9FF4682"/>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rPr>
      <w:rFonts w:cs="Times New Roman"/>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eastAsia="宋体" w:cs="Courier New"/>
    </w:r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rPr>
      <w:rFonts w:ascii="Times New Roman" w:hAnsi="Times New Roman" w:cs="Times New Roman"/>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4920;%20&#22312;%205a50581e4f814482a6e7d0a5d310ce75.doc"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oleObject" Target="&#24037;&#20316;&#34920;%20&#22312;%205a50581e4f814482a6e7d0a5d310ce75.doc"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4037;&#20316;&#34920;%20&#22312;%205a50581e4f814482a6e7d0a5d310ce75.doc"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4037;&#20316;&#34920;%20&#22312;%205a50581e4f814482a6e7d0a5d310ce75.doc"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4037;&#20316;&#34920;%20&#22312;%205a50581e4f814482a6e7d0a5d310ce75.doc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'[工作表 在 5a50581e4f814482a6e7d0a5d310ce75.doc]Sheet1'!$B$1</c:f>
              <c:strCache>
                <c:ptCount val="1"/>
                <c:pt idx="0">
                  <c:v>2024收支</c:v>
                </c:pt>
              </c:strCache>
            </c:strRef>
          </c:tx>
          <c:spPr>
            <a:solidFill>
              <a:schemeClr val="accent1"/>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5a50581e4f814482a6e7d0a5d310ce75.doc]Sheet1'!$B$2:$B$3</c:f>
              <c:numCache>
                <c:formatCode>General</c:formatCode>
                <c:ptCount val="2"/>
                <c:pt idx="0">
                  <c:v>5152.6</c:v>
                </c:pt>
                <c:pt idx="1">
                  <c:v>0</c:v>
                </c:pt>
              </c:numCache>
            </c:numRef>
          </c:val>
        </c:ser>
        <c:ser>
          <c:idx val="1"/>
          <c:order val="1"/>
          <c:tx>
            <c:strRef>
              <c:f>'[工作表 在 5a50581e4f814482a6e7d0a5d310ce75.doc]Sheet1'!$C$1</c:f>
              <c:strCache>
                <c:ptCount val="1"/>
                <c:pt idx="0">
                  <c:v>2025收支</c:v>
                </c:pt>
              </c:strCache>
            </c:strRef>
          </c:tx>
          <c:spPr>
            <a:solidFill>
              <a:schemeClr val="accent2"/>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5a50581e4f814482a6e7d0a5d310ce75.doc]Sheet1'!$C$2:$C$3</c:f>
              <c:numCache>
                <c:formatCode>General</c:formatCode>
                <c:ptCount val="2"/>
                <c:pt idx="0">
                  <c:v>3514.19</c:v>
                </c:pt>
                <c:pt idx="1">
                  <c:v>0</c:v>
                </c:pt>
              </c:numCache>
            </c:numRef>
          </c:val>
        </c:ser>
        <c:dLbls>
          <c:showLegendKey val="0"/>
          <c:showVal val="0"/>
          <c:showCatName val="0"/>
          <c:showSerName val="0"/>
          <c:showPercent val="0"/>
          <c:showBubbleSize val="0"/>
        </c:dLbls>
        <c:gapWidth val="246"/>
        <c:overlap val="-28"/>
        <c:axId val="216704445"/>
        <c:axId val="423248546"/>
      </c:barChart>
      <c:catAx>
        <c:axId val="216704445"/>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595959">
                    <a:alpha val="100000"/>
                  </a:srgbClr>
                </a:solidFill>
                <a:latin typeface="+mn-lt"/>
                <a:ea typeface="+mn-ea"/>
                <a:cs typeface="+mn-cs"/>
              </a:defRPr>
            </a:pPr>
          </a:p>
        </c:txPr>
        <c:crossAx val="423248546"/>
        <c:crosses val="autoZero"/>
        <c:auto val="1"/>
        <c:lblAlgn val="ctr"/>
        <c:lblOffset val="100"/>
        <c:noMultiLvlLbl val="0"/>
      </c:catAx>
      <c:valAx>
        <c:axId val="42324854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704445"/>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其他收入</c:v>
                </c:pt>
                <c:pt idx="2">
                  <c:v>政府性基金预算财政拨款收入</c:v>
                </c:pt>
              </c:strCache>
            </c:strRef>
          </c:cat>
          <c:val>
            <c:numRef>
              <c:f>Sheet1!$B$2:$B$5</c:f>
              <c:numCache>
                <c:formatCode>General</c:formatCode>
                <c:ptCount val="4"/>
                <c:pt idx="0">
                  <c:v>3421.35</c:v>
                </c:pt>
                <c:pt idx="1">
                  <c:v>2.24</c:v>
                </c:pt>
                <c:pt idx="2">
                  <c:v>75.27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957.64</c:v>
                </c:pt>
                <c:pt idx="1">
                  <c:v>2556.55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54771683981638"/>
          <c:y val="0.0208244793880153"/>
        </c:manualLayout>
      </c:layout>
      <c:overlay val="0"/>
      <c:spPr>
        <a:noFill/>
        <a:ln>
          <a:noFill/>
        </a:ln>
        <a:effectLst/>
      </c:spPr>
    </c:title>
    <c:autoTitleDeleted val="0"/>
    <c:plotArea>
      <c:layout/>
      <c:barChart>
        <c:barDir val="col"/>
        <c:grouping val="clustered"/>
        <c:varyColors val="0"/>
        <c:ser>
          <c:idx val="0"/>
          <c:order val="0"/>
          <c:tx>
            <c:strRef>
              <c:f>'[工作表 在 5a50581e4f814482a6e7d0a5d310ce75.doc]Sheet1'!$B$1</c:f>
              <c:strCache>
                <c:ptCount val="1"/>
                <c:pt idx="0">
                  <c:v>2024年财政拨款收入、支出总计</c:v>
                </c:pt>
              </c:strCache>
            </c:strRef>
          </c:tx>
          <c:spPr>
            <a:solidFill>
              <a:schemeClr val="accent1"/>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5a50581e4f814482a6e7d0a5d310ce75.doc]Sheet1'!$B$2:$B$3</c:f>
              <c:numCache>
                <c:formatCode>General</c:formatCode>
                <c:ptCount val="2"/>
                <c:pt idx="0">
                  <c:v>5152.6</c:v>
                </c:pt>
                <c:pt idx="1">
                  <c:v>0</c:v>
                </c:pt>
              </c:numCache>
            </c:numRef>
          </c:val>
        </c:ser>
        <c:ser>
          <c:idx val="1"/>
          <c:order val="1"/>
          <c:tx>
            <c:strRef>
              <c:f>'[工作表 在 5a50581e4f814482a6e7d0a5d310ce75.doc]Sheet1'!$C$1</c:f>
              <c:strCache>
                <c:ptCount val="1"/>
                <c:pt idx="0">
                  <c:v>2025年收支财政拨款收入、支出总计</c:v>
                </c:pt>
              </c:strCache>
            </c:strRef>
          </c:tx>
          <c:spPr>
            <a:solidFill>
              <a:schemeClr val="accent2"/>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5a50581e4f814482a6e7d0a5d310ce75.doc]Sheet1'!$C$2:$C$3</c:f>
              <c:numCache>
                <c:formatCode>General</c:formatCode>
                <c:ptCount val="2"/>
                <c:pt idx="0">
                  <c:v>3496.62</c:v>
                </c:pt>
                <c:pt idx="1">
                  <c:v>0</c:v>
                </c:pt>
              </c:numCache>
            </c:numRef>
          </c:val>
        </c:ser>
        <c:dLbls>
          <c:showLegendKey val="0"/>
          <c:showVal val="0"/>
          <c:showCatName val="0"/>
          <c:showSerName val="0"/>
          <c:showPercent val="0"/>
          <c:showBubbleSize val="0"/>
        </c:dLbls>
        <c:gapWidth val="246"/>
        <c:overlap val="-28"/>
        <c:axId val="574820288"/>
        <c:axId val="542181698"/>
      </c:barChart>
      <c:catAx>
        <c:axId val="574820288"/>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595959">
                    <a:alpha val="100000"/>
                  </a:srgbClr>
                </a:solidFill>
                <a:latin typeface="+mn-lt"/>
                <a:ea typeface="+mn-ea"/>
                <a:cs typeface="+mn-cs"/>
              </a:defRPr>
            </a:pPr>
          </a:p>
        </c:txPr>
        <c:crossAx val="542181698"/>
        <c:crosses val="autoZero"/>
        <c:auto val="1"/>
        <c:lblAlgn val="ctr"/>
        <c:lblOffset val="100"/>
        <c:noMultiLvlLbl val="0"/>
      </c:catAx>
      <c:valAx>
        <c:axId val="54218169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820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'[工作表 在 5a50581e4f814482a6e7d0a5d310ce75.doc]Sheet1'!$B$1</c:f>
              <c:strCache>
                <c:ptCount val="1"/>
                <c:pt idx="0">
                  <c:v>2024年度一般公共预算财政拨款支出</c:v>
                </c:pt>
              </c:strCache>
            </c:strRef>
          </c:tx>
          <c:spPr>
            <a:solidFill>
              <a:schemeClr val="accent1"/>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5a50581e4f814482a6e7d0a5d310ce75.doc]Sheet1'!$B$2:$B$3</c:f>
              <c:numCache>
                <c:formatCode>General</c:formatCode>
                <c:ptCount val="2"/>
                <c:pt idx="0">
                  <c:v>5152.6</c:v>
                </c:pt>
                <c:pt idx="1">
                  <c:v>0</c:v>
                </c:pt>
              </c:numCache>
            </c:numRef>
          </c:val>
        </c:ser>
        <c:ser>
          <c:idx val="1"/>
          <c:order val="1"/>
          <c:tx>
            <c:strRef>
              <c:f>'[工作表 在 5a50581e4f814482a6e7d0a5d310ce75.doc]Sheet1'!$C$1</c:f>
              <c:strCache>
                <c:ptCount val="1"/>
                <c:pt idx="0">
                  <c:v>2025年度一般公共预算财政拨款支出</c:v>
                </c:pt>
              </c:strCache>
            </c:strRef>
          </c:tx>
          <c:spPr>
            <a:solidFill>
              <a:schemeClr val="accent2"/>
            </a:solidFill>
            <a:ln>
              <a:noFill/>
            </a:ln>
            <a:effectLst/>
          </c:spPr>
          <c:invertIfNegative val="0"/>
          <c:dLbls>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'[工作表 在 5a50581e4f814482a6e7d0a5d310ce75.doc]Sheet1'!$A$2:$A$3</c:f>
              <c:numCache>
                <c:formatCode>General</c:formatCode>
                <c:ptCount val="2"/>
                <c:pt idx="0">
                  <c:v>2024</c:v>
                </c:pt>
                <c:pt idx="1">
                  <c:v>2025</c:v>
                </c:pt>
              </c:numCache>
            </c:numRef>
          </c:cat>
          <c:val>
            <c:numRef>
              <c:f>'[工作表 在 5a50581e4f814482a6e7d0a5d310ce75.doc]Sheet1'!$C$2:$C$3</c:f>
              <c:numCache>
                <c:formatCode>General</c:formatCode>
                <c:ptCount val="2"/>
                <c:pt idx="0">
                  <c:v>3421.35</c:v>
                </c:pt>
                <c:pt idx="1">
                  <c:v>0</c:v>
                </c:pt>
              </c:numCache>
            </c:numRef>
          </c:val>
        </c:ser>
        <c:dLbls>
          <c:showLegendKey val="0"/>
          <c:showVal val="0"/>
          <c:showCatName val="0"/>
          <c:showSerName val="0"/>
          <c:showPercent val="0"/>
          <c:showBubbleSize val="0"/>
        </c:dLbls>
        <c:gapWidth val="246"/>
        <c:overlap val="-28"/>
        <c:axId val="574820288"/>
        <c:axId val="542181698"/>
      </c:barChart>
      <c:catAx>
        <c:axId val="574820288"/>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595959">
                    <a:alpha val="100000"/>
                  </a:srgbClr>
                </a:solidFill>
                <a:latin typeface="+mn-lt"/>
                <a:ea typeface="+mn-ea"/>
                <a:cs typeface="+mn-cs"/>
              </a:defRPr>
            </a:pPr>
          </a:p>
        </c:txPr>
        <c:crossAx val="542181698"/>
        <c:crosses val="autoZero"/>
        <c:auto val="1"/>
        <c:lblAlgn val="ctr"/>
        <c:lblOffset val="100"/>
        <c:noMultiLvlLbl val="0"/>
      </c:catAx>
      <c:valAx>
        <c:axId val="54218169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820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'[工作表 在 5a50581e4f814482a6e7d0a5d310ce75.doc]Sheet1'!$B$1</c:f>
              <c:strCache>
                <c:ptCount val="1"/>
                <c:pt idx="0">
                  <c:v>一般公共预算财政拨款支出决算结构</c:v>
                </c:pt>
              </c:strCache>
            </c:strRef>
          </c:tx>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Pt>
            <c:idx val="3"/>
            <c:bubble3D val="0"/>
            <c:explosion val="0"/>
            <c:spPr>
              <a:solidFill>
                <a:schemeClr val="accent4"/>
              </a:solidFill>
              <a:ln>
                <a:solidFill>
                  <a:schemeClr val="bg1"/>
                </a:solidFill>
              </a:ln>
              <a:effectLst/>
            </c:spPr>
          </c:dPt>
          <c:dPt>
            <c:idx val="4"/>
            <c:bubble3D val="0"/>
            <c:explosion val="0"/>
            <c:spPr>
              <a:solidFill>
                <a:schemeClr val="accent5"/>
              </a:solidFill>
              <a:ln>
                <a:solidFill>
                  <a:schemeClr val="bg1"/>
                </a:solidFill>
              </a:ln>
              <a:effectLst/>
            </c:spPr>
          </c:dPt>
          <c:dPt>
            <c:idx val="5"/>
            <c:bubble3D val="0"/>
            <c:explosion val="0"/>
            <c:spPr>
              <a:solidFill>
                <a:schemeClr val="accent6"/>
              </a:solidFill>
              <a:ln>
                <a:solidFill>
                  <a:schemeClr val="bg1"/>
                </a:solidFill>
              </a:ln>
              <a:effectLst/>
            </c:spPr>
          </c:dPt>
          <c:dPt>
            <c:idx val="6"/>
            <c:bubble3D val="0"/>
            <c:explosion val="0"/>
            <c:spPr>
              <a:solidFill>
                <a:schemeClr val="accent1">
                  <a:lumMod val="60000"/>
                </a:schemeClr>
              </a:solidFill>
              <a:ln>
                <a:solidFill>
                  <a:schemeClr val="bg1"/>
                </a:solidFill>
              </a:ln>
              <a:effectLst/>
            </c:spPr>
          </c:dPt>
          <c:dPt>
            <c:idx val="7"/>
            <c:bubble3D val="0"/>
            <c:explosion val="0"/>
            <c:spPr>
              <a:solidFill>
                <a:schemeClr val="accent2">
                  <a:lumMod val="60000"/>
                </a:schemeClr>
              </a:solidFill>
              <a:ln>
                <a:solidFill>
                  <a:schemeClr val="bg1"/>
                </a:solidFill>
              </a:ln>
              <a:effectLst/>
            </c:spPr>
          </c:dPt>
          <c:dPt>
            <c:idx val="8"/>
            <c:bubble3D val="0"/>
            <c:explosion val="0"/>
            <c:spPr>
              <a:solidFill>
                <a:schemeClr val="accent3">
                  <a:lumMod val="6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'[工作表 在 5a50581e4f814482a6e7d0a5d310ce75.doc]Sheet1'!$A$2:$A$10</c:f>
              <c:strCache>
                <c:ptCount val="9"/>
                <c:pt idx="0">
                  <c:v>一般公共服务支出</c:v>
                </c:pt>
                <c:pt idx="1">
                  <c:v>农林水支出</c:v>
                </c:pt>
                <c:pt idx="2">
                  <c:v>国防支出</c:v>
                </c:pt>
                <c:pt idx="3">
                  <c:v>文化旅游体育与传媒支出</c:v>
                </c:pt>
                <c:pt idx="4">
                  <c:v>社会保障和就业支出</c:v>
                </c:pt>
                <c:pt idx="5">
                  <c:v>卫生健康支出</c:v>
                </c:pt>
                <c:pt idx="6">
                  <c:v>住房保障支出</c:v>
                </c:pt>
                <c:pt idx="7">
                  <c:v>灾害防治及应急管理支出</c:v>
                </c:pt>
              </c:strCache>
            </c:strRef>
          </c:cat>
          <c:val>
            <c:numRef>
              <c:f>'[工作表 在 5a50581e4f814482a6e7d0a5d310ce75.doc]Sheet1'!$B$2:$B$10</c:f>
              <c:numCache>
                <c:formatCode>General</c:formatCode>
                <c:ptCount val="9"/>
                <c:pt idx="0">
                  <c:v>537.44</c:v>
                </c:pt>
                <c:pt idx="1">
                  <c:v>2606.41</c:v>
                </c:pt>
                <c:pt idx="2">
                  <c:v>4.9</c:v>
                </c:pt>
                <c:pt idx="3">
                  <c:v>25.25</c:v>
                </c:pt>
                <c:pt idx="4">
                  <c:v>127.02</c:v>
                </c:pt>
                <c:pt idx="5">
                  <c:v>43.65</c:v>
                </c:pt>
                <c:pt idx="6">
                  <c:v>70.39</c:v>
                </c:pt>
                <c:pt idx="7">
                  <c:v>4.35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8"/>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'[工作表 在 5a50581e4f814482a6e7d0a5d310ce75.doc1]Sheet1'!$B$1</c:f>
              <c:strCache>
                <c:ptCount val="1"/>
                <c:pt idx="0">
                  <c:v>“三公”经费财政拨款支出结构</c:v>
                </c:pt>
              </c:strCache>
            </c:strRef>
          </c:tx>
          <c:explosion val="0"/>
          <c:dPt>
            <c:idx val="0"/>
            <c:bubble3D val="0"/>
            <c:explosion val="0"/>
            <c:spPr>
              <a:solidFill>
                <a:schemeClr val="accent1"/>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[008cd8b31]Sheet1!$A$2</c:f>
              <c:strCache>
                <c:ptCount val="1"/>
                <c:pt idx="0">
                  <c:v>公务用车购置及运行维护费支出</c:v>
                </c:pt>
              </c:strCache>
            </c:strRef>
          </c:cat>
          <c:val>
            <c:numRef>
              <c:f>'[工作表 在 5a50581e4f814482a6e7d0a5d310ce75.doc1]Sheet1'!$B$2</c:f>
              <c:numCache>
                <c:formatCode>General</c:formatCode>
                <c:ptCount val="1"/>
                <c:pt idx="0">
                  <c:v>22.03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23</Words>
  <Characters>26</Characters>
  <Lines>61</Lines>
  <Paragraphs>17</Paragraphs>
  <TotalTime>9</TotalTime>
  <ScaleCrop>false</ScaleCrop>
  <LinksUpToDate>false</LinksUpToDate>
  <CharactersWithSpaces>26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2026-10-28T18:53:19Z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2D84AB3AF384464499F09DA205C629DA_13</vt:lpwstr>
  </property>
  <property fmtid="{D5CDD505-2E9C-101B-9397-08002B2CF9AE}" pid="4" name="KSOTemplateDocerSaveRecord">
    <vt:lpwstr>eyJoZGlkIjoiMjA1Yzk3Yjg4YjU1YjdiN2M0OGViNWM5MzdlZTJhOGMiLCJ1c2VySWQiOiIzMjk2ODY2NjcifQ==</vt:lpwstr>
  </property>
</Properties>
</file>