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61D6">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1D3E248B"/>
    <w:p w14:paraId="5A9F0C4F"/>
    <w:p w14:paraId="3930CF93"/>
    <w:p w14:paraId="42C86A64">
      <w:pPr>
        <w:ind w:firstLine="1050" w:firstLineChars="500"/>
      </w:pPr>
    </w:p>
    <w:p w14:paraId="7BEB268C">
      <w:pPr>
        <w:ind w:firstLine="1050" w:firstLineChars="500"/>
      </w:pPr>
    </w:p>
    <w:p w14:paraId="6EF28813">
      <w:pPr>
        <w:ind w:firstLine="1760" w:firstLineChars="400"/>
        <w:rPr>
          <w:rFonts w:ascii="黑体" w:eastAsia="黑体"/>
          <w:sz w:val="44"/>
          <w:szCs w:val="44"/>
        </w:rPr>
      </w:pPr>
    </w:p>
    <w:p w14:paraId="39A3F757">
      <w:pPr>
        <w:ind w:firstLine="1760" w:firstLineChars="400"/>
        <w:rPr>
          <w:rFonts w:ascii="黑体" w:eastAsia="黑体"/>
          <w:sz w:val="44"/>
          <w:szCs w:val="44"/>
        </w:rPr>
      </w:pPr>
    </w:p>
    <w:p w14:paraId="6967F4DC">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壤塘县宗科乡人民政府</w:t>
      </w:r>
    </w:p>
    <w:p w14:paraId="5455523E">
      <w:pPr>
        <w:jc w:val="center"/>
        <w:rPr>
          <w:rFonts w:ascii="黑体" w:eastAsia="黑体"/>
          <w:sz w:val="44"/>
          <w:szCs w:val="44"/>
        </w:rPr>
      </w:pPr>
    </w:p>
    <w:p w14:paraId="3EAD0A2E">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2025年部门预算</w:t>
      </w:r>
    </w:p>
    <w:p w14:paraId="05AFDF49">
      <w:pPr>
        <w:ind w:firstLine="1760" w:firstLineChars="400"/>
        <w:rPr>
          <w:rFonts w:ascii="黑体" w:eastAsia="黑体"/>
          <w:sz w:val="44"/>
          <w:szCs w:val="44"/>
        </w:rPr>
      </w:pPr>
    </w:p>
    <w:p w14:paraId="39886D48">
      <w:pPr>
        <w:ind w:firstLine="1760" w:firstLineChars="400"/>
        <w:rPr>
          <w:rFonts w:ascii="黑体" w:eastAsia="黑体"/>
          <w:sz w:val="44"/>
          <w:szCs w:val="44"/>
        </w:rPr>
      </w:pPr>
    </w:p>
    <w:p w14:paraId="481DC6CF">
      <w:pPr>
        <w:ind w:firstLine="1760" w:firstLineChars="400"/>
        <w:rPr>
          <w:rFonts w:ascii="黑体" w:eastAsia="黑体"/>
          <w:sz w:val="44"/>
          <w:szCs w:val="44"/>
        </w:rPr>
      </w:pPr>
    </w:p>
    <w:p w14:paraId="648F618C">
      <w:pPr>
        <w:ind w:firstLine="1760" w:firstLineChars="400"/>
        <w:rPr>
          <w:rFonts w:ascii="黑体" w:eastAsia="黑体"/>
          <w:sz w:val="44"/>
          <w:szCs w:val="44"/>
        </w:rPr>
      </w:pPr>
    </w:p>
    <w:p w14:paraId="34A081FE">
      <w:pPr>
        <w:ind w:firstLine="1760" w:firstLineChars="400"/>
        <w:rPr>
          <w:rFonts w:ascii="黑体" w:eastAsia="黑体"/>
          <w:sz w:val="44"/>
          <w:szCs w:val="44"/>
        </w:rPr>
      </w:pPr>
    </w:p>
    <w:p w14:paraId="03181B67">
      <w:pPr>
        <w:ind w:firstLine="1760" w:firstLineChars="400"/>
        <w:rPr>
          <w:rFonts w:ascii="黑体" w:eastAsia="黑体"/>
          <w:sz w:val="44"/>
          <w:szCs w:val="44"/>
        </w:rPr>
      </w:pPr>
    </w:p>
    <w:p w14:paraId="58445AB7">
      <w:pPr>
        <w:ind w:firstLine="1760" w:firstLineChars="400"/>
        <w:rPr>
          <w:rFonts w:ascii="黑体" w:eastAsia="黑体"/>
          <w:sz w:val="44"/>
          <w:szCs w:val="44"/>
        </w:rPr>
      </w:pPr>
    </w:p>
    <w:p w14:paraId="446425F0">
      <w:pPr>
        <w:ind w:firstLine="1760" w:firstLineChars="400"/>
        <w:rPr>
          <w:rFonts w:ascii="黑体" w:eastAsia="黑体"/>
          <w:sz w:val="44"/>
          <w:szCs w:val="44"/>
        </w:rPr>
      </w:pPr>
    </w:p>
    <w:p w14:paraId="08689BF7">
      <w:pPr>
        <w:ind w:firstLine="1760" w:firstLineChars="400"/>
        <w:rPr>
          <w:rFonts w:ascii="黑体" w:eastAsia="黑体"/>
          <w:sz w:val="44"/>
          <w:szCs w:val="44"/>
        </w:rPr>
      </w:pPr>
    </w:p>
    <w:p w14:paraId="53758A8C">
      <w:pPr>
        <w:ind w:firstLine="1760" w:firstLineChars="400"/>
        <w:rPr>
          <w:rFonts w:ascii="黑体" w:eastAsia="黑体"/>
          <w:sz w:val="44"/>
          <w:szCs w:val="44"/>
        </w:rPr>
      </w:pPr>
    </w:p>
    <w:p w14:paraId="46ED338A">
      <w:pPr>
        <w:ind w:firstLine="1760" w:firstLineChars="400"/>
        <w:rPr>
          <w:rFonts w:ascii="黑体" w:eastAsia="黑体"/>
          <w:sz w:val="44"/>
          <w:szCs w:val="44"/>
        </w:rPr>
      </w:pPr>
    </w:p>
    <w:p w14:paraId="3E619647">
      <w:pPr>
        <w:ind w:firstLine="1760" w:firstLineChars="400"/>
        <w:rPr>
          <w:rFonts w:ascii="黑体" w:eastAsia="黑体"/>
          <w:sz w:val="44"/>
          <w:szCs w:val="44"/>
        </w:rPr>
      </w:pPr>
    </w:p>
    <w:p w14:paraId="281615FB">
      <w:pPr>
        <w:ind w:firstLine="1760" w:firstLineChars="400"/>
        <w:rPr>
          <w:rFonts w:ascii="黑体" w:eastAsia="黑体"/>
          <w:sz w:val="44"/>
          <w:szCs w:val="44"/>
        </w:rPr>
      </w:pPr>
    </w:p>
    <w:p w14:paraId="38DAF12D">
      <w:pPr>
        <w:ind w:firstLine="1760" w:firstLineChars="400"/>
        <w:rPr>
          <w:rFonts w:ascii="黑体" w:eastAsia="黑体"/>
          <w:sz w:val="44"/>
          <w:szCs w:val="44"/>
        </w:rPr>
      </w:pPr>
    </w:p>
    <w:p w14:paraId="0DEA72B9">
      <w:pPr>
        <w:rPr>
          <w:rFonts w:ascii="黑体" w:eastAsia="黑体"/>
          <w:sz w:val="44"/>
          <w:szCs w:val="44"/>
        </w:rPr>
      </w:pPr>
    </w:p>
    <w:p w14:paraId="53E74B53">
      <w:pPr>
        <w:ind w:firstLine="3120" w:firstLineChars="600"/>
        <w:rPr>
          <w:rFonts w:ascii="黑体" w:eastAsia="黑体"/>
          <w:sz w:val="52"/>
          <w:szCs w:val="52"/>
        </w:rPr>
      </w:pPr>
      <w:r>
        <w:rPr>
          <w:rFonts w:hint="eastAsia" w:ascii="黑体" w:eastAsia="黑体"/>
          <w:sz w:val="52"/>
          <w:szCs w:val="52"/>
        </w:rPr>
        <w:t>目录</w:t>
      </w:r>
    </w:p>
    <w:p w14:paraId="436F95EC">
      <w:pPr>
        <w:ind w:firstLine="3080" w:firstLineChars="700"/>
        <w:rPr>
          <w:rFonts w:ascii="黑体" w:eastAsia="黑体"/>
          <w:sz w:val="44"/>
          <w:szCs w:val="44"/>
        </w:rPr>
      </w:pPr>
    </w:p>
    <w:p w14:paraId="6DA113B2">
      <w:pPr>
        <w:pStyle w:val="10"/>
        <w:ind w:firstLine="0" w:firstLineChars="0"/>
        <w:rPr>
          <w:rFonts w:ascii="黑体" w:eastAsia="黑体"/>
          <w:sz w:val="32"/>
          <w:szCs w:val="32"/>
        </w:rPr>
      </w:pPr>
      <w:r>
        <w:rPr>
          <w:rFonts w:hint="eastAsia" w:ascii="黑体" w:eastAsia="黑体"/>
          <w:sz w:val="32"/>
          <w:szCs w:val="32"/>
        </w:rPr>
        <w:t>一、基本职能及主要工作</w:t>
      </w:r>
    </w:p>
    <w:p w14:paraId="13DBE9F6">
      <w:pPr>
        <w:rPr>
          <w:rFonts w:ascii="楷体" w:eastAsia="楷体"/>
          <w:sz w:val="32"/>
          <w:szCs w:val="32"/>
        </w:rPr>
      </w:pPr>
      <w:r>
        <w:rPr>
          <w:rFonts w:hint="eastAsia" w:ascii="楷体" w:eastAsia="楷体"/>
          <w:sz w:val="32"/>
          <w:szCs w:val="32"/>
        </w:rPr>
        <w:t>（一）部门职能简介</w:t>
      </w:r>
    </w:p>
    <w:p w14:paraId="345676EA">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37A2019C">
      <w:pPr>
        <w:rPr>
          <w:rFonts w:ascii="黑体" w:eastAsia="黑体"/>
          <w:sz w:val="32"/>
          <w:szCs w:val="32"/>
        </w:rPr>
      </w:pPr>
      <w:r>
        <w:rPr>
          <w:rFonts w:hint="eastAsia" w:ascii="黑体" w:eastAsia="黑体"/>
          <w:sz w:val="32"/>
          <w:szCs w:val="32"/>
        </w:rPr>
        <w:t>二、部门预算单位构成</w:t>
      </w:r>
    </w:p>
    <w:p w14:paraId="009A804D">
      <w:pPr>
        <w:rPr>
          <w:rFonts w:ascii="黑体" w:eastAsia="黑体"/>
          <w:sz w:val="32"/>
          <w:szCs w:val="32"/>
        </w:rPr>
      </w:pPr>
      <w:r>
        <w:rPr>
          <w:rFonts w:hint="eastAsia" w:ascii="黑体" w:eastAsia="黑体"/>
          <w:sz w:val="32"/>
          <w:szCs w:val="32"/>
        </w:rPr>
        <w:t>三、收支预算情况说明</w:t>
      </w:r>
    </w:p>
    <w:p w14:paraId="03E16087">
      <w:pPr>
        <w:rPr>
          <w:rFonts w:ascii="楷体" w:eastAsia="楷体"/>
          <w:sz w:val="32"/>
          <w:szCs w:val="32"/>
        </w:rPr>
      </w:pPr>
      <w:r>
        <w:rPr>
          <w:rFonts w:hint="eastAsia" w:ascii="楷体" w:eastAsia="楷体"/>
          <w:sz w:val="32"/>
          <w:szCs w:val="32"/>
        </w:rPr>
        <w:t>（一）收入预算情况</w:t>
      </w:r>
    </w:p>
    <w:p w14:paraId="3CEC7714">
      <w:pPr>
        <w:rPr>
          <w:rFonts w:ascii="楷体" w:eastAsia="楷体"/>
          <w:sz w:val="32"/>
          <w:szCs w:val="32"/>
        </w:rPr>
      </w:pPr>
      <w:r>
        <w:rPr>
          <w:rFonts w:hint="eastAsia" w:ascii="楷体" w:eastAsia="楷体"/>
          <w:sz w:val="32"/>
          <w:szCs w:val="32"/>
        </w:rPr>
        <w:t>（二）支出预算情况</w:t>
      </w:r>
    </w:p>
    <w:p w14:paraId="51F574B9">
      <w:pPr>
        <w:rPr>
          <w:rFonts w:ascii="黑体" w:eastAsia="黑体"/>
          <w:sz w:val="32"/>
          <w:szCs w:val="32"/>
        </w:rPr>
      </w:pPr>
      <w:r>
        <w:rPr>
          <w:rFonts w:hint="eastAsia" w:ascii="黑体" w:eastAsia="黑体"/>
          <w:sz w:val="32"/>
          <w:szCs w:val="32"/>
        </w:rPr>
        <w:t>四、财政拨款收支预算情况说明</w:t>
      </w:r>
    </w:p>
    <w:p w14:paraId="3C45856E">
      <w:pPr>
        <w:rPr>
          <w:rFonts w:ascii="黑体" w:eastAsia="黑体"/>
          <w:sz w:val="32"/>
          <w:szCs w:val="32"/>
        </w:rPr>
      </w:pPr>
      <w:r>
        <w:rPr>
          <w:rFonts w:hint="eastAsia" w:ascii="黑体" w:eastAsia="黑体"/>
          <w:sz w:val="32"/>
          <w:szCs w:val="32"/>
        </w:rPr>
        <w:t>五、一般公共预算当年拨款情况说明</w:t>
      </w:r>
    </w:p>
    <w:p w14:paraId="1EDBA715">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6BA8E5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DED0B36">
      <w:pPr>
        <w:pStyle w:val="10"/>
        <w:rPr>
          <w:rFonts w:ascii="黑体" w:eastAsia="黑体"/>
          <w:sz w:val="32"/>
          <w:szCs w:val="32"/>
        </w:rPr>
      </w:pPr>
      <w:r>
        <w:rPr>
          <w:rFonts w:hint="eastAsia" w:ascii="黑体" w:eastAsia="黑体"/>
          <w:sz w:val="32"/>
          <w:szCs w:val="32"/>
        </w:rPr>
        <w:t>一、基本职能及主要工作</w:t>
      </w:r>
    </w:p>
    <w:p w14:paraId="225B5F3B">
      <w:pPr>
        <w:pStyle w:val="11"/>
        <w:numPr>
          <w:ilvl w:val="0"/>
          <w:numId w:val="0"/>
        </w:numPr>
        <w:spacing w:before="0" w:line="360" w:lineRule="auto"/>
        <w:ind w:firstLine="643" w:firstLineChars="2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（一）宗科乡人民政府职能简介</w:t>
      </w:r>
    </w:p>
    <w:p w14:paraId="524F00D1">
      <w:pPr>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认真贯彻党中央和上级部门的指标，积极宣传贯彻执行党的路线、方针、政策；保证上级党委、政府指标在本乡的实施，把握本乡经济发展和改革的全局。充分发挥行政职能组织和开展本乡的文化、教育、卫生、民政和科技等工作。</w:t>
      </w:r>
      <w:r>
        <w:rPr>
          <w:rFonts w:hint="eastAsia" w:ascii="仿宋" w:hAnsi="仿宋" w:eastAsia="仿宋" w:cs="宋体"/>
          <w:sz w:val="32"/>
          <w:szCs w:val="32"/>
          <w:lang w:val="en-US" w:eastAsia="zh-CN"/>
        </w:rPr>
        <w:t xml:space="preserve">     </w:t>
      </w:r>
      <w:bookmarkStart w:id="0" w:name="_GoBack"/>
      <w:bookmarkEnd w:id="0"/>
      <w:r>
        <w:rPr>
          <w:rFonts w:hint="eastAsia" w:ascii="楷体_GB2312" w:hAnsi="黑体" w:eastAsia="楷体_GB2312" w:cs="楷体_GB2312"/>
          <w:b/>
          <w:bCs/>
          <w:kern w:val="2"/>
          <w:sz w:val="32"/>
          <w:szCs w:val="32"/>
          <w:lang w:val="en-US" w:eastAsia="zh-CN" w:bidi="ar-SA"/>
        </w:rPr>
        <w:t>（二）2025年重点工作</w:t>
      </w:r>
    </w:p>
    <w:p w14:paraId="289A3D80">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1.</w:t>
      </w:r>
      <w:r>
        <w:rPr>
          <w:rFonts w:hint="default" w:ascii="方正楷体_GB2312" w:hAnsi="方正楷体_GB2312" w:eastAsia="方正楷体_GB2312" w:cs="方正楷体_GB2312"/>
          <w:kern w:val="0"/>
          <w:sz w:val="32"/>
          <w:szCs w:val="32"/>
          <w:lang w:val="en-US" w:eastAsia="zh-CN" w:bidi="ar-SA"/>
        </w:rPr>
        <w:t>聚焦基层治理，夯实民生基石。</w:t>
      </w:r>
      <w:r>
        <w:rPr>
          <w:rFonts w:hint="default" w:ascii="仿宋_GB2312" w:hAnsi="Calibri" w:eastAsia="仿宋_GB2312" w:cs="仿宋_GB2312"/>
          <w:kern w:val="2"/>
          <w:sz w:val="32"/>
          <w:szCs w:val="32"/>
          <w:lang w:val="en-US" w:eastAsia="zh-CN" w:bidi="ar-SA"/>
        </w:rPr>
        <w:t>进一步增强斗争精神和斗争本领，加强基层社会治理，守牢安全屏障，维护和谐稳定，推动宗科乡农牧民群众自觉融入现代文明生活，以发展保障民生，以民生策应稳定，以稳定护航发展，为我县建设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社会主义现代化新壤塘</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贡献宗科力量。</w:t>
      </w:r>
    </w:p>
    <w:p w14:paraId="4B8322EA">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2.</w:t>
      </w:r>
      <w:r>
        <w:rPr>
          <w:rFonts w:hint="default" w:ascii="方正楷体_GB2312" w:hAnsi="方正楷体_GB2312" w:eastAsia="方正楷体_GB2312" w:cs="方正楷体_GB2312"/>
          <w:kern w:val="0"/>
          <w:sz w:val="32"/>
          <w:szCs w:val="32"/>
          <w:lang w:val="en-US" w:eastAsia="zh-CN" w:bidi="ar-SA"/>
        </w:rPr>
        <w:t>突出党建领航，强化组织力量。</w:t>
      </w:r>
      <w:r>
        <w:rPr>
          <w:rFonts w:hint="default" w:ascii="仿宋_GB2312" w:hAnsi="Calibri" w:eastAsia="仿宋_GB2312" w:cs="仿宋_GB2312"/>
          <w:kern w:val="2"/>
          <w:sz w:val="32"/>
          <w:szCs w:val="32"/>
          <w:lang w:val="en-US" w:eastAsia="zh-CN" w:bidi="ar-SA"/>
        </w:rPr>
        <w:t>加强制度建设，完善党员教育管理和</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三会一课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；强化教育管理，开展条例教育；搞好阵地建设，利用文化阵地并管好流动党员；强化机关作风，落实岗位职责、严肃纪律、落实福利，提升工作积极性。</w:t>
      </w:r>
    </w:p>
    <w:p w14:paraId="38A98191">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p>
    <w:p w14:paraId="14BD40D8">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3.</w:t>
      </w:r>
      <w:r>
        <w:rPr>
          <w:rFonts w:hint="default" w:ascii="方正楷体_GB2312" w:hAnsi="方正楷体_GB2312" w:eastAsia="方正楷体_GB2312" w:cs="方正楷体_GB2312"/>
          <w:kern w:val="0"/>
          <w:sz w:val="32"/>
          <w:szCs w:val="32"/>
          <w:lang w:val="en-US" w:eastAsia="zh-CN" w:bidi="ar-SA"/>
        </w:rPr>
        <w:t>提升城乡环境，塑造美丽风貌。</w:t>
      </w:r>
      <w:r>
        <w:rPr>
          <w:rFonts w:hint="default" w:ascii="仿宋_GB2312" w:hAnsi="Calibri" w:eastAsia="仿宋_GB2312" w:cs="仿宋_GB2312"/>
          <w:kern w:val="2"/>
          <w:sz w:val="32"/>
          <w:szCs w:val="32"/>
          <w:lang w:val="en-US" w:eastAsia="zh-CN" w:bidi="ar-SA"/>
        </w:rPr>
        <w:t>持续坚持生态优先、绿色发展理念，着力推进宜居宜业和美乡村建设。积极构建绿色生态体系，持续巩固拓展城乡环境整治攻坚成果，深入开展人居环境整治提升行动，打造生态宜居乡村。持续深化</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河长制</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林长制</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环境监督长</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工作，推动乡村空间、田园空间、山水空间立体化发展。</w:t>
      </w:r>
    </w:p>
    <w:p w14:paraId="2B5210D2">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4.</w:t>
      </w:r>
      <w:r>
        <w:rPr>
          <w:rFonts w:hint="default" w:ascii="方正楷体_GB2312" w:hAnsi="方正楷体_GB2312" w:eastAsia="方正楷体_GB2312" w:cs="方正楷体_GB2312"/>
          <w:kern w:val="0"/>
          <w:sz w:val="32"/>
          <w:szCs w:val="32"/>
          <w:lang w:val="en-US" w:eastAsia="zh-CN" w:bidi="ar-SA"/>
        </w:rPr>
        <w:t>致力和谐构建，营造平安宗科。</w:t>
      </w:r>
      <w:r>
        <w:rPr>
          <w:rFonts w:hint="default" w:ascii="仿宋_GB2312" w:hAnsi="Calibri" w:eastAsia="仿宋_GB2312" w:cs="仿宋_GB2312"/>
          <w:kern w:val="2"/>
          <w:sz w:val="32"/>
          <w:szCs w:val="32"/>
          <w:lang w:val="en-US" w:eastAsia="zh-CN" w:bidi="ar-SA"/>
        </w:rPr>
        <w:t>持续深化乡村治理网格化管理，巩固</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三联三互</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工作机制，加大矛盾纠纷隐患排查化解力度。建立健全自治、法治、德治相结合的乡村治理体系，积极开展</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八五</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普法，全面推进依法治县工作。</w:t>
      </w:r>
    </w:p>
    <w:p w14:paraId="5D730413">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5.</w:t>
      </w:r>
      <w:r>
        <w:rPr>
          <w:rFonts w:hint="default" w:ascii="方正楷体_GB2312" w:hAnsi="方正楷体_GB2312" w:eastAsia="方正楷体_GB2312" w:cs="方正楷体_GB2312"/>
          <w:kern w:val="0"/>
          <w:sz w:val="32"/>
          <w:szCs w:val="32"/>
          <w:lang w:val="en-US" w:eastAsia="zh-CN" w:bidi="ar-SA"/>
        </w:rPr>
        <w:t>细化安全监管，保障生命财产。</w:t>
      </w:r>
      <w:r>
        <w:rPr>
          <w:rFonts w:hint="default" w:ascii="仿宋_GB2312" w:hAnsi="Calibri" w:eastAsia="仿宋_GB2312" w:cs="仿宋_GB2312"/>
          <w:kern w:val="2"/>
          <w:sz w:val="32"/>
          <w:szCs w:val="32"/>
          <w:lang w:val="en-US" w:eastAsia="zh-CN" w:bidi="ar-SA"/>
        </w:rPr>
        <w:t>完善安全生产责任制，建立健全安全生产责任体系，明确各方职责。加强宣传教育，让安全生产理念深入人心。开展安全生产检查与排查，抓好常态化大检查，对辖区隐患全面排查，消除隐患于萌芽。加强重点部位、时段检查， 做好汛期防汛减灾、强化落实森林草原防灭火、推进避险搬迁工程等工作，保障群众生命财产安全。</w:t>
      </w:r>
    </w:p>
    <w:p w14:paraId="67B6777A">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6.</w:t>
      </w:r>
      <w:r>
        <w:rPr>
          <w:rFonts w:hint="default" w:ascii="方正楷体_GB2312" w:hAnsi="方正楷体_GB2312" w:eastAsia="方正楷体_GB2312" w:cs="方正楷体_GB2312"/>
          <w:kern w:val="0"/>
          <w:sz w:val="32"/>
          <w:szCs w:val="32"/>
          <w:lang w:val="en-US" w:eastAsia="zh-CN" w:bidi="ar-SA"/>
        </w:rPr>
        <w:t>深化文旅融合，盘活红色资源。</w:t>
      </w:r>
      <w:r>
        <w:rPr>
          <w:rFonts w:hint="default" w:ascii="仿宋_GB2312" w:hAnsi="Calibri" w:eastAsia="仿宋_GB2312" w:cs="仿宋_GB2312"/>
          <w:kern w:val="2"/>
          <w:sz w:val="32"/>
          <w:szCs w:val="32"/>
          <w:lang w:val="en-US" w:eastAsia="zh-CN" w:bidi="ar-SA"/>
        </w:rPr>
        <w:t>借助长征国家文化公园（壤塘段）建设，创新人才培养。培养红色故事讲解员，组建志愿者队伍，让红色文化</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立起来</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。同时文旅结合发展民宿，让游客在感受红色文化之余，有舒适的住宿体验，打造特色红色旅游品牌。</w:t>
      </w:r>
    </w:p>
    <w:p w14:paraId="001C0815">
      <w:pPr>
        <w:keepNext w:val="0"/>
        <w:keepLines w:val="0"/>
        <w:pageBreakBefore w:val="0"/>
        <w:widowControl w:val="0"/>
        <w:numPr>
          <w:ilvl w:val="0"/>
          <w:numId w:val="0"/>
        </w:numPr>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7.</w:t>
      </w:r>
      <w:r>
        <w:rPr>
          <w:rFonts w:hint="default" w:ascii="方正楷体_GB2312" w:hAnsi="方正楷体_GB2312" w:eastAsia="方正楷体_GB2312" w:cs="方正楷体_GB2312"/>
          <w:kern w:val="0"/>
          <w:sz w:val="32"/>
          <w:szCs w:val="32"/>
          <w:lang w:val="en-US" w:eastAsia="zh-CN" w:bidi="ar-SA"/>
        </w:rPr>
        <w:t>落实</w:t>
      </w:r>
      <w:r>
        <w:rPr>
          <w:rFonts w:hint="eastAsia" w:ascii="方正楷体_GB2312" w:hAnsi="方正楷体_GB2312" w:eastAsia="方正楷体_GB2312" w:cs="方正楷体_GB2312"/>
          <w:kern w:val="0"/>
          <w:sz w:val="32"/>
          <w:szCs w:val="32"/>
          <w:lang w:val="en-US" w:eastAsia="zh-CN" w:bidi="ar-SA"/>
        </w:rPr>
        <w:t>“</w:t>
      </w:r>
      <w:r>
        <w:rPr>
          <w:rFonts w:hint="default" w:ascii="方正楷体_GB2312" w:hAnsi="方正楷体_GB2312" w:eastAsia="方正楷体_GB2312" w:cs="方正楷体_GB2312"/>
          <w:kern w:val="0"/>
          <w:sz w:val="32"/>
          <w:szCs w:val="32"/>
          <w:lang w:val="en-US" w:eastAsia="zh-CN" w:bidi="ar-SA"/>
        </w:rPr>
        <w:t>控辍保学</w:t>
      </w:r>
      <w:r>
        <w:rPr>
          <w:rFonts w:hint="eastAsia" w:ascii="方正楷体_GB2312" w:hAnsi="方正楷体_GB2312" w:eastAsia="方正楷体_GB2312" w:cs="方正楷体_GB2312"/>
          <w:kern w:val="0"/>
          <w:sz w:val="32"/>
          <w:szCs w:val="32"/>
          <w:lang w:val="en-US" w:eastAsia="zh-CN" w:bidi="ar-SA"/>
        </w:rPr>
        <w:t>”</w:t>
      </w:r>
      <w:r>
        <w:rPr>
          <w:rFonts w:hint="default" w:ascii="方正楷体_GB2312" w:hAnsi="方正楷体_GB2312" w:eastAsia="方正楷体_GB2312" w:cs="方正楷体_GB2312"/>
          <w:kern w:val="0"/>
          <w:sz w:val="32"/>
          <w:szCs w:val="32"/>
          <w:lang w:val="en-US" w:eastAsia="zh-CN" w:bidi="ar-SA"/>
        </w:rPr>
        <w:t>，保障教育权益。</w:t>
      </w:r>
      <w:r>
        <w:rPr>
          <w:rFonts w:hint="default" w:ascii="仿宋_GB2312" w:hAnsi="Calibri" w:eastAsia="仿宋_GB2312" w:cs="仿宋_GB2312"/>
          <w:kern w:val="2"/>
          <w:sz w:val="32"/>
          <w:szCs w:val="32"/>
          <w:lang w:val="en-US" w:eastAsia="zh-CN" w:bidi="ar-SA"/>
        </w:rPr>
        <w:t>进一步巩固</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控辍保学</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工作成果，防止义务教育学生失学、辍学，特别要求学校及各村扎实做好防止反复辍学工作。加强与学校、寺庙、家庭联动，定期、不定期进行全面摸底排查，准确掌握每个学生的家庭情况、学习状况和心理状态，做到应读尽读，应读必读。</w:t>
      </w:r>
    </w:p>
    <w:p w14:paraId="58361CF4">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8.</w:t>
      </w:r>
      <w:r>
        <w:rPr>
          <w:rFonts w:hint="default" w:ascii="方正楷体_GB2312" w:hAnsi="方正楷体_GB2312" w:eastAsia="方正楷体_GB2312" w:cs="方正楷体_GB2312"/>
          <w:kern w:val="0"/>
          <w:sz w:val="32"/>
          <w:szCs w:val="32"/>
          <w:lang w:val="en-US" w:eastAsia="zh-CN" w:bidi="ar-SA"/>
        </w:rPr>
        <w:t>狠抓纪律建设，锤炼过硬作风。</w:t>
      </w:r>
      <w:r>
        <w:rPr>
          <w:rFonts w:hint="default" w:ascii="仿宋_GB2312" w:hAnsi="Calibri" w:eastAsia="仿宋_GB2312" w:cs="仿宋_GB2312"/>
          <w:kern w:val="2"/>
          <w:sz w:val="32"/>
          <w:szCs w:val="32"/>
          <w:lang w:val="en-US" w:eastAsia="zh-CN" w:bidi="ar-SA"/>
        </w:rPr>
        <w:t>定期组织全乡工作人员学习工作纪律相关文件，通过案例分析，增强纪律观念。优化纪律制度，结合实际工作需求，细化操作流程，填补制度漏洞。加强监督检查，严格落实奖惩机制，确保我乡镇工作纪律的严肃，各项工作能有序正常开展。</w:t>
      </w:r>
    </w:p>
    <w:p w14:paraId="0D14A600">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9.</w:t>
      </w:r>
      <w:r>
        <w:rPr>
          <w:rFonts w:hint="default" w:ascii="方正楷体_GB2312" w:hAnsi="方正楷体_GB2312" w:eastAsia="方正楷体_GB2312" w:cs="方正楷体_GB2312"/>
          <w:kern w:val="0"/>
          <w:sz w:val="32"/>
          <w:szCs w:val="32"/>
          <w:lang w:val="en-US" w:eastAsia="zh-CN" w:bidi="ar-SA"/>
        </w:rPr>
        <w:t>谋划产业发展，推进乡村振兴。</w:t>
      </w:r>
      <w:r>
        <w:rPr>
          <w:rFonts w:hint="default" w:ascii="仿宋_GB2312" w:hAnsi="Calibri" w:eastAsia="仿宋_GB2312" w:cs="仿宋_GB2312"/>
          <w:kern w:val="2"/>
          <w:sz w:val="32"/>
          <w:szCs w:val="32"/>
          <w:lang w:val="en-US" w:eastAsia="zh-CN" w:bidi="ar-SA"/>
        </w:rPr>
        <w:t>大力推进项目建设和基础设施建设，提升产业化水平，发挥自然资源优势禀赋，发展壮大村级集体经济，以习近平新时代中国特色社会主义思想为指引，不断提升村级阵地建设，充分发挥包村工作组和村支部书记作用，助力乡村产业蓬勃发展。</w:t>
      </w:r>
    </w:p>
    <w:p w14:paraId="37C5E943">
      <w:pPr>
        <w:keepNext w:val="0"/>
        <w:keepLines w:val="0"/>
        <w:pageBreakBefore w:val="0"/>
        <w:widowControl w:val="0"/>
        <w:kinsoku/>
        <w:wordWrap/>
        <w:overflowPunct w:val="0"/>
        <w:topLinePunct w:val="0"/>
        <w:autoSpaceDE/>
        <w:autoSpaceDN/>
        <w:bidi w:val="0"/>
        <w:snapToGrid/>
        <w:spacing w:line="580" w:lineRule="exact"/>
        <w:ind w:firstLine="640" w:firstLineChars="200"/>
        <w:rPr>
          <w:rFonts w:hint="default" w:ascii="仿宋_GB2312" w:hAnsi="Calibri" w:eastAsia="仿宋_GB2312" w:cs="仿宋_GB2312"/>
          <w:kern w:val="2"/>
          <w:sz w:val="32"/>
          <w:szCs w:val="32"/>
          <w:lang w:val="en-US" w:eastAsia="zh-CN" w:bidi="ar-SA"/>
        </w:rPr>
      </w:pPr>
      <w:r>
        <w:rPr>
          <w:rFonts w:hint="eastAsia" w:ascii="方正楷体_GB2312" w:hAnsi="方正楷体_GB2312" w:eastAsia="方正楷体_GB2312" w:cs="方正楷体_GB2312"/>
          <w:kern w:val="0"/>
          <w:sz w:val="32"/>
          <w:szCs w:val="32"/>
          <w:lang w:val="en-US" w:eastAsia="zh-CN" w:bidi="ar-SA"/>
        </w:rPr>
        <w:t>10.推进“双联双进”，密切党群关系。</w:t>
      </w:r>
      <w:r>
        <w:rPr>
          <w:rFonts w:hint="default" w:ascii="仿宋_GB2312" w:hAnsi="Calibri" w:eastAsia="仿宋_GB2312" w:cs="仿宋_GB2312"/>
          <w:kern w:val="2"/>
          <w:sz w:val="32"/>
          <w:szCs w:val="32"/>
          <w:lang w:val="en-US" w:eastAsia="zh-CN" w:bidi="ar-SA"/>
        </w:rPr>
        <w:t>严格按照</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双联双进</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群众工作要求，采取上门走访、座谈交流、电话联系、支部共建等多种形式，开展乡村振兴、法律法规、安全生产、党纪学习、</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微网实格</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有事找纪检</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等宣传活动，让群众真切感受到党和国家的关怀和温暖。</w:t>
      </w:r>
    </w:p>
    <w:p w14:paraId="523C3C93">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09D91B75">
      <w:pPr>
        <w:pStyle w:val="10"/>
        <w:ind w:left="720" w:firstLine="0" w:firstLineChars="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 xml:space="preserve"> 壤塘县宗科乡人民政府属一级预算单位。</w:t>
      </w:r>
    </w:p>
    <w:p w14:paraId="519216B3">
      <w:pPr>
        <w:pStyle w:val="10"/>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056B6F4C">
      <w:pPr>
        <w:pStyle w:val="11"/>
        <w:spacing w:before="0" w:line="360" w:lineRule="auto"/>
        <w:ind w:firstLine="627" w:firstLineChars="196"/>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按照综合预算的原则，壤塘县宗科乡人民政府所有收入和支出均纳入部门预算管理。收入包括：一般公共预算拨款收入996.68万元，事业收入0万元，其他收入0万元，上年结转0万元；支出包括：一般公共服务支出542.15万元，社会保障和就业支出122.13万元，卫生健康支出43.84万元，农林水支出221.93万元，住房保障支出66.63万元。壤塘县宗科乡人民政府2025年收支总预算996.68万元，相比2024年收支预算总数增加207.31万元，主要原因：一般公共服务支出；社会保障和就业支出；卫生健康支出；农林水支出；住房保障支出增加。</w:t>
      </w:r>
    </w:p>
    <w:p w14:paraId="568A159C">
      <w:pPr>
        <w:numPr>
          <w:ilvl w:val="0"/>
          <w:numId w:val="2"/>
        </w:numPr>
        <w:ind w:firstLine="640" w:firstLineChars="200"/>
        <w:rPr>
          <w:rFonts w:hint="eastAsia" w:ascii="楷体" w:eastAsia="楷体"/>
          <w:sz w:val="32"/>
          <w:szCs w:val="32"/>
          <w:highlight w:val="none"/>
        </w:rPr>
      </w:pPr>
      <w:r>
        <w:rPr>
          <w:rFonts w:hint="eastAsia" w:ascii="楷体" w:eastAsia="楷体"/>
          <w:sz w:val="32"/>
          <w:szCs w:val="32"/>
          <w:highlight w:val="none"/>
        </w:rPr>
        <w:t>收入预算情况</w:t>
      </w:r>
    </w:p>
    <w:p w14:paraId="48733701">
      <w:pPr>
        <w:pStyle w:val="11"/>
        <w:spacing w:before="0" w:line="360" w:lineRule="auto"/>
        <w:ind w:firstLine="627" w:firstLineChars="196"/>
        <w:rPr>
          <w:highlight w:val="darkYellow"/>
        </w:rPr>
      </w:pPr>
      <w:r>
        <w:rPr>
          <w:rFonts w:hint="eastAsia" w:ascii="仿宋_GB2312" w:hAnsi="Calibri" w:eastAsia="仿宋_GB2312" w:cs="仿宋_GB2312"/>
          <w:kern w:val="2"/>
          <w:sz w:val="32"/>
          <w:szCs w:val="32"/>
          <w:lang w:val="en-US" w:eastAsia="zh-CN" w:bidi="ar-SA"/>
        </w:rPr>
        <w:t>壤塘县宗科乡人民政府2025年收入预算996.68万元，其中：上年结转0万元，占0%；一般公共预算拨款收入996.68万元，占100%；事业收入0万元，占0%；其他收入0万元，占0%。</w:t>
      </w:r>
    </w:p>
    <w:p w14:paraId="4862140E">
      <w:pPr>
        <w:pStyle w:val="11"/>
        <w:numPr>
          <w:ilvl w:val="0"/>
          <w:numId w:val="2"/>
        </w:numPr>
        <w:spacing w:before="0" w:line="360" w:lineRule="auto"/>
        <w:ind w:left="0" w:leftChars="0" w:firstLine="640" w:firstLineChars="200"/>
        <w:rPr>
          <w:rFonts w:hint="eastAsia" w:ascii="楷体" w:eastAsia="楷体" w:cs="仿宋_GB2312"/>
          <w:sz w:val="32"/>
          <w:szCs w:val="32"/>
          <w:highlight w:val="none"/>
        </w:rPr>
      </w:pPr>
      <w:r>
        <w:rPr>
          <w:rFonts w:hint="eastAsia" w:ascii="楷体" w:eastAsia="楷体" w:cs="仿宋_GB2312"/>
          <w:sz w:val="32"/>
          <w:szCs w:val="32"/>
          <w:highlight w:val="none"/>
        </w:rPr>
        <w:t>支出预算情况</w:t>
      </w:r>
    </w:p>
    <w:p w14:paraId="54380421">
      <w:pPr>
        <w:pStyle w:val="11"/>
        <w:spacing w:before="0" w:line="360" w:lineRule="auto"/>
        <w:ind w:firstLine="627" w:firstLineChars="196"/>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壤塘县宗科乡人民政府2025年支出预算996.68万元，其中：基本支出987.81万元，占99.11%；项目支出8.87万元，占0.89%。</w:t>
      </w:r>
    </w:p>
    <w:p w14:paraId="1A65C03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hAnsi="Calibri" w:eastAsia="仿宋_GB2312" w:cs="仿宋_GB2312"/>
          <w:kern w:val="2"/>
          <w:sz w:val="32"/>
          <w:szCs w:val="32"/>
          <w:lang w:val="en-US" w:eastAsia="zh-CN" w:bidi="ar-SA"/>
        </w:rPr>
        <w:t>壤塘县宗科乡人民政府2025年财政拨款收支总预算996.68万元,比2024年财政拨款收支总预算增加207.31万元，主要原因:一般公共服务支出；社会保障和就业支出；卫生健康支出；农林水支出；住房保障支出增加。</w:t>
      </w:r>
    </w:p>
    <w:p w14:paraId="218ADCEB">
      <w:pPr>
        <w:pStyle w:val="11"/>
        <w:spacing w:before="0" w:line="360" w:lineRule="auto"/>
        <w:ind w:firstLine="640" w:firstLineChars="200"/>
        <w:rPr>
          <w:rFonts w:hint="eastAsia" w:hAnsi="黑体" w:eastAsia="仿宋_GB2312"/>
          <w:kern w:val="2"/>
          <w:sz w:val="32"/>
          <w:szCs w:val="32"/>
          <w:lang w:eastAsia="zh-CN"/>
        </w:rPr>
      </w:pPr>
      <w:r>
        <w:rPr>
          <w:rFonts w:hint="eastAsia" w:ascii="仿宋_GB2312" w:eastAsia="仿宋_GB2312" w:cs="仿宋_GB2312"/>
          <w:sz w:val="32"/>
          <w:szCs w:val="32"/>
        </w:rPr>
        <w:t>收入包括：</w:t>
      </w:r>
      <w:r>
        <w:rPr>
          <w:rFonts w:hint="eastAsia" w:hAnsi="黑体"/>
          <w:kern w:val="2"/>
          <w:sz w:val="32"/>
          <w:szCs w:val="32"/>
        </w:rPr>
        <w:t>本年一般公共预算拨款收入</w:t>
      </w:r>
      <w:r>
        <w:rPr>
          <w:rFonts w:hint="eastAsia" w:hAnsi="黑体" w:cs="Times New Roman"/>
          <w:kern w:val="2"/>
          <w:sz w:val="32"/>
          <w:szCs w:val="32"/>
          <w:lang w:val="en-US" w:eastAsia="zh-CN"/>
        </w:rPr>
        <w:t>996.68</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38FDC5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kern w:val="2"/>
          <w:sz w:val="32"/>
          <w:szCs w:val="32"/>
          <w:lang w:val="en-US" w:eastAsia="zh-CN" w:bidi="ar-SA"/>
        </w:rPr>
      </w:pPr>
      <w:r>
        <w:rPr>
          <w:rFonts w:hint="eastAsia" w:ascii="仿宋_GB2312" w:eastAsia="仿宋_GB2312" w:cs="仿宋_GB2312"/>
          <w:sz w:val="32"/>
          <w:szCs w:val="32"/>
        </w:rPr>
        <w:t>支出包括：</w:t>
      </w:r>
      <w:r>
        <w:rPr>
          <w:rFonts w:hint="eastAsia" w:ascii="仿宋_GB2312" w:hAnsi="黑体" w:eastAsia="仿宋_GB2312" w:cs="Times New Roman"/>
          <w:kern w:val="2"/>
          <w:sz w:val="32"/>
          <w:szCs w:val="32"/>
          <w:lang w:val="en-US" w:eastAsia="zh-CN" w:bidi="ar-SA"/>
        </w:rPr>
        <w:t>一般公共服务支出542.15万元，社会保障和就业支出122.13万元，卫生健康支出43.84万元，农林水支出221.93万元，住房保障支出66.63万元。</w:t>
      </w:r>
    </w:p>
    <w:p w14:paraId="72FDDA0E">
      <w:pPr>
        <w:ind w:firstLine="640" w:firstLineChars="200"/>
        <w:rPr>
          <w:rFonts w:ascii="黑体" w:eastAsia="黑体"/>
          <w:sz w:val="32"/>
          <w:szCs w:val="32"/>
        </w:rPr>
      </w:pPr>
      <w:r>
        <w:rPr>
          <w:rFonts w:hint="eastAsia" w:ascii="黑体" w:eastAsia="黑体"/>
          <w:sz w:val="32"/>
          <w:szCs w:val="32"/>
        </w:rPr>
        <w:t>五、一般公共预算当年拨款情况说明</w:t>
      </w:r>
    </w:p>
    <w:p w14:paraId="2575B8D2">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C2F4A66">
      <w:pPr>
        <w:ind w:firstLine="640" w:firstLineChars="200"/>
        <w:rPr>
          <w:rFonts w:cs="仿宋_GB2312"/>
          <w:kern w:val="2"/>
          <w:sz w:val="32"/>
          <w:szCs w:val="32"/>
        </w:rPr>
      </w:pPr>
      <w:r>
        <w:rPr>
          <w:rFonts w:hint="eastAsia" w:ascii="仿宋_GB2312" w:hAnsi="黑体" w:eastAsia="仿宋_GB2312" w:cs="仿宋_GB2312"/>
          <w:kern w:val="2"/>
          <w:sz w:val="32"/>
          <w:szCs w:val="32"/>
          <w:lang w:val="en-US" w:eastAsia="zh-CN" w:bidi="ar-SA"/>
        </w:rPr>
        <w:t>壤塘县宗科乡人民政府2025年一般公共预算当年拨款996.68万元，比2024年预算数增加207.31万元，主要是基本支出增加207.31万元，主要原因：人员增加。</w:t>
      </w:r>
    </w:p>
    <w:p w14:paraId="7E456F17">
      <w:pPr>
        <w:ind w:firstLine="800" w:firstLineChars="250"/>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_GB2312" w:hAnsi="黑体" w:eastAsia="仿宋_GB2312" w:cs="仿宋_GB2312"/>
          <w:kern w:val="2"/>
          <w:sz w:val="32"/>
          <w:szCs w:val="32"/>
          <w:lang w:val="en-US" w:eastAsia="zh-CN" w:bidi="ar-SA"/>
        </w:rPr>
        <w:t>一般公共服务支出542.15万元，占54.4%；社会保障和就业支出122.13万元，占12.25%；卫生健康支出43.84万元，占4.4%；农林水支出221.93万元，占22.27%；住房保障支出66.63万元，占6.68%。</w:t>
      </w:r>
    </w:p>
    <w:p w14:paraId="53F469B8">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33244753">
      <w:pPr>
        <w:ind w:firstLine="640" w:firstLineChars="200"/>
        <w:rPr>
          <w:rFonts w:hint="eastAsia" w:ascii="仿宋_GB2312" w:hAnsi="黑体" w:eastAsia="仿宋_GB2312" w:cs="仿宋_GB2312"/>
          <w:kern w:val="2"/>
          <w:sz w:val="32"/>
          <w:szCs w:val="32"/>
          <w:lang w:val="en-US" w:eastAsia="zh-CN" w:bidi="ar-SA"/>
        </w:rPr>
      </w:pPr>
      <w:r>
        <w:rPr>
          <w:rFonts w:hAnsi="黑体"/>
          <w:kern w:val="2"/>
          <w:sz w:val="32"/>
          <w:szCs w:val="32"/>
        </w:rPr>
        <w:t>1</w:t>
      </w:r>
      <w:r>
        <w:rPr>
          <w:rFonts w:hint="eastAsia" w:hAnsi="黑体"/>
          <w:kern w:val="2"/>
          <w:sz w:val="32"/>
          <w:szCs w:val="32"/>
        </w:rPr>
        <w:t>．</w:t>
      </w:r>
      <w:r>
        <w:rPr>
          <w:rFonts w:hint="eastAsia" w:ascii="仿宋_GB2312" w:hAnsi="黑体" w:eastAsia="仿宋_GB2312" w:cs="仿宋_GB2312"/>
          <w:kern w:val="2"/>
          <w:sz w:val="32"/>
          <w:szCs w:val="32"/>
          <w:lang w:val="en-US" w:eastAsia="zh-CN" w:bidi="ar-SA"/>
        </w:rPr>
        <w:t>一般公共服务（类）宣传事务（款）行政运行（项目）2025年预算数为542.15万元，主要用于 ：人大、党委、政府的基本工资及日常公用经费。</w:t>
      </w:r>
    </w:p>
    <w:p w14:paraId="4F20FE30">
      <w:p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2．社会保障和就业支出（类）2025年预算数为122.13万元，主要用于职业年金和养老保险的缴纳。</w:t>
      </w:r>
    </w:p>
    <w:p w14:paraId="73E2ADE6">
      <w:p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3．卫生健康支出2025年预算数为43.84万元，主要用于职工医疗保险的缴纳。</w:t>
      </w:r>
    </w:p>
    <w:p w14:paraId="2440C9B8">
      <w:pPr>
        <w:ind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4．农林水支出2025年预算数为221.93万元，主要用于事业人员工资及村干部工资，村级公务费及村级维护费的使用。</w:t>
      </w:r>
    </w:p>
    <w:p w14:paraId="48EDDF89">
      <w:pPr>
        <w:ind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5．住房保障支出2025年预算数为66.63万元，主要用于职工住房公积金的缴纳。</w:t>
      </w:r>
    </w:p>
    <w:p w14:paraId="6048F2CC">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6C711B3">
      <w:pPr>
        <w:pStyle w:val="11"/>
        <w:spacing w:before="0" w:line="360" w:lineRule="auto"/>
        <w:ind w:firstLine="640" w:firstLineChars="200"/>
        <w:rPr>
          <w:rFonts w:hint="eastAsia" w:ascii="黑体" w:eastAsia="黑体"/>
          <w:sz w:val="32"/>
          <w:szCs w:val="32"/>
        </w:rPr>
      </w:pPr>
      <w:r>
        <w:rPr>
          <w:rFonts w:hint="eastAsia" w:hAnsi="黑体"/>
          <w:kern w:val="2"/>
          <w:sz w:val="32"/>
          <w:szCs w:val="32"/>
        </w:rPr>
        <w:t>壤塘县宗科乡人民政府</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987.81</w:t>
      </w:r>
      <w:r>
        <w:rPr>
          <w:rFonts w:hint="eastAsia" w:hAnsi="黑体"/>
          <w:kern w:val="2"/>
          <w:sz w:val="32"/>
          <w:szCs w:val="32"/>
        </w:rPr>
        <w:t>万元，其中：人员经费</w:t>
      </w:r>
      <w:r>
        <w:rPr>
          <w:rFonts w:hint="eastAsia" w:hAnsi="黑体"/>
          <w:kern w:val="2"/>
          <w:sz w:val="32"/>
          <w:szCs w:val="32"/>
          <w:lang w:val="en-US" w:eastAsia="zh-CN"/>
        </w:rPr>
        <w:t>864.06</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123.75</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ascii="黑体" w:eastAsia="黑体"/>
          <w:sz w:val="32"/>
          <w:szCs w:val="32"/>
        </w:rPr>
        <w:t xml:space="preserve">  </w:t>
      </w:r>
    </w:p>
    <w:p w14:paraId="108EE383">
      <w:pPr>
        <w:pStyle w:val="11"/>
        <w:spacing w:before="0" w:line="360" w:lineRule="auto"/>
        <w:rPr>
          <w:rFonts w:ascii="黑体" w:eastAsia="黑体"/>
          <w:sz w:val="32"/>
          <w:szCs w:val="32"/>
        </w:rPr>
      </w:pPr>
      <w:r>
        <w:rPr>
          <w:rFonts w:hint="eastAsia" w:ascii="黑体" w:eastAsia="黑体"/>
          <w:sz w:val="32"/>
          <w:szCs w:val="32"/>
        </w:rPr>
        <w:t xml:space="preserve">  七、“三公”经费财政拨款预算安排情况说明</w:t>
      </w:r>
    </w:p>
    <w:p w14:paraId="0C3B2BD8">
      <w:pPr>
        <w:pStyle w:val="11"/>
        <w:spacing w:before="0" w:line="360" w:lineRule="auto"/>
        <w:ind w:firstLine="640" w:firstLineChars="200"/>
        <w:rPr>
          <w:rFonts w:cs="仿宋_GB2312"/>
          <w:kern w:val="2"/>
          <w:sz w:val="32"/>
          <w:szCs w:val="32"/>
        </w:rPr>
      </w:pPr>
      <w:r>
        <w:rPr>
          <w:rFonts w:hint="eastAsia" w:hAnsi="黑体"/>
          <w:kern w:val="2"/>
          <w:sz w:val="32"/>
          <w:szCs w:val="32"/>
        </w:rPr>
        <w:t>壤塘县宗科乡人民政府</w:t>
      </w:r>
      <w:r>
        <w:rPr>
          <w:rFonts w:hint="eastAsia" w:cs="仿宋_GB2312"/>
          <w:kern w:val="2"/>
          <w:sz w:val="32"/>
          <w:szCs w:val="32"/>
        </w:rPr>
        <w:t>2025年“三公”经费财政拨款预算数</w:t>
      </w:r>
      <w:r>
        <w:rPr>
          <w:rFonts w:hint="eastAsia" w:cs="仿宋_GB2312"/>
          <w:kern w:val="2"/>
          <w:sz w:val="32"/>
          <w:szCs w:val="32"/>
          <w:lang w:val="en-US" w:eastAsia="zh-CN"/>
        </w:rPr>
        <w:t>14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14</w:t>
      </w:r>
      <w:r>
        <w:rPr>
          <w:rFonts w:hint="eastAsia" w:cs="仿宋_GB2312"/>
          <w:kern w:val="2"/>
          <w:sz w:val="32"/>
          <w:szCs w:val="32"/>
        </w:rPr>
        <w:t>万元。</w:t>
      </w:r>
    </w:p>
    <w:p w14:paraId="7D2573B1">
      <w:pPr>
        <w:pStyle w:val="11"/>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r>
        <w:rPr>
          <w:rFonts w:hint="eastAsia" w:hAnsi="黑体"/>
          <w:kern w:val="2"/>
          <w:sz w:val="32"/>
          <w:szCs w:val="32"/>
        </w:rPr>
        <w:t>较</w:t>
      </w:r>
      <w:r>
        <w:rPr>
          <w:rFonts w:hint="eastAsia" w:hAnsi="黑体"/>
          <w:kern w:val="2"/>
          <w:sz w:val="32"/>
          <w:szCs w:val="32"/>
          <w:lang w:val="en-US" w:eastAsia="zh-CN"/>
        </w:rPr>
        <w:t>2024</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，主要原因是：</w:t>
      </w:r>
      <w:r>
        <w:rPr>
          <w:rFonts w:hint="eastAsia" w:hAnsi="黑体"/>
          <w:kern w:val="2"/>
          <w:sz w:val="32"/>
          <w:szCs w:val="32"/>
          <w:lang w:eastAsia="zh-CN"/>
        </w:rPr>
        <w:t>无因公出</w:t>
      </w:r>
      <w:r>
        <w:rPr>
          <w:rFonts w:hint="eastAsia" w:hAnsi="黑体"/>
          <w:kern w:val="2"/>
          <w:sz w:val="32"/>
          <w:szCs w:val="32"/>
        </w:rPr>
        <w:t>国（境）</w:t>
      </w:r>
      <w:r>
        <w:rPr>
          <w:rFonts w:hint="eastAsia" w:hAnsi="黑体"/>
          <w:kern w:val="2"/>
          <w:sz w:val="32"/>
          <w:szCs w:val="32"/>
          <w:lang w:eastAsia="zh-CN"/>
        </w:rPr>
        <w:t>经费。</w:t>
      </w:r>
    </w:p>
    <w:p w14:paraId="119F5318">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万元。较2024年预算经费</w:t>
      </w:r>
      <w:r>
        <w:rPr>
          <w:rFonts w:hint="eastAsia" w:cs="宋体"/>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%，主要原因</w:t>
      </w:r>
      <w:r>
        <w:rPr>
          <w:rFonts w:hint="eastAsia" w:hAnsi="黑体"/>
          <w:kern w:val="2"/>
          <w:sz w:val="32"/>
          <w:szCs w:val="32"/>
          <w:lang w:eastAsia="zh-CN"/>
        </w:rPr>
        <w:t>本年度无</w:t>
      </w:r>
      <w:r>
        <w:rPr>
          <w:rFonts w:hint="eastAsia" w:hAnsi="黑体"/>
          <w:kern w:val="2"/>
          <w:sz w:val="32"/>
          <w:szCs w:val="32"/>
        </w:rPr>
        <w:t>公务接待费经费</w:t>
      </w:r>
      <w:r>
        <w:rPr>
          <w:rFonts w:hint="eastAsia" w:hAnsi="黑体"/>
          <w:kern w:val="2"/>
          <w:sz w:val="32"/>
          <w:szCs w:val="32"/>
          <w:lang w:eastAsia="zh-CN"/>
        </w:rPr>
        <w:t>。</w:t>
      </w:r>
    </w:p>
    <w:p w14:paraId="3DDC5E9A">
      <w:pPr>
        <w:pStyle w:val="11"/>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14</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3.5</w:t>
      </w:r>
      <w:r>
        <w:rPr>
          <w:rFonts w:hint="eastAsia" w:cs="仿宋_GB2312"/>
          <w:color w:val="000000"/>
          <w:kern w:val="2"/>
          <w:sz w:val="32"/>
          <w:szCs w:val="32"/>
        </w:rPr>
        <w:t>万元，增长</w:t>
      </w:r>
      <w:r>
        <w:rPr>
          <w:rFonts w:hint="eastAsia" w:cs="仿宋_GB2312"/>
          <w:color w:val="000000"/>
          <w:kern w:val="2"/>
          <w:sz w:val="32"/>
          <w:szCs w:val="32"/>
          <w:lang w:val="en-US" w:eastAsia="zh-CN"/>
        </w:rPr>
        <w:t>33.33</w:t>
      </w:r>
      <w:r>
        <w:rPr>
          <w:rFonts w:hint="eastAsia" w:cs="仿宋_GB2312"/>
          <w:color w:val="000000"/>
          <w:kern w:val="2"/>
          <w:sz w:val="32"/>
          <w:szCs w:val="32"/>
        </w:rPr>
        <w:t>%，主要原因</w:t>
      </w:r>
      <w:r>
        <w:rPr>
          <w:rFonts w:hint="eastAsia" w:cs="仿宋_GB2312"/>
          <w:color w:val="000000"/>
          <w:kern w:val="2"/>
          <w:sz w:val="32"/>
          <w:szCs w:val="32"/>
          <w:lang w:val="en-US" w:eastAsia="zh-CN"/>
        </w:rPr>
        <w:t>单位会议下村等事情居多经费增加。</w:t>
      </w:r>
    </w:p>
    <w:p w14:paraId="15D72D82">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44E7217">
      <w:pPr>
        <w:pStyle w:val="11"/>
        <w:spacing w:before="0" w:line="360" w:lineRule="auto"/>
        <w:ind w:firstLine="640" w:firstLineChars="200"/>
        <w:rPr>
          <w:rFonts w:cs="仿宋_GB2312"/>
          <w:kern w:val="2"/>
          <w:sz w:val="32"/>
          <w:szCs w:val="32"/>
        </w:rPr>
      </w:pPr>
      <w:r>
        <w:rPr>
          <w:rFonts w:hint="eastAsia" w:hAnsi="黑体"/>
          <w:kern w:val="2"/>
          <w:sz w:val="32"/>
          <w:szCs w:val="32"/>
          <w:lang w:eastAsia="zh-CN"/>
        </w:rPr>
        <w:t>壤塘县宗科乡人民政府</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万元。较2024年预算经费</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1A6E8302">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7152F3E5">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黑体"/>
          <w:kern w:val="2"/>
          <w:sz w:val="32"/>
          <w:szCs w:val="32"/>
          <w:lang w:eastAsia="zh-CN"/>
        </w:rPr>
        <w:t>壤塘县宗科乡人民政府</w:t>
      </w:r>
      <w:r>
        <w:rPr>
          <w:rFonts w:hint="eastAsia" w:cs="仿宋_GB2312"/>
          <w:kern w:val="2"/>
          <w:sz w:val="32"/>
          <w:szCs w:val="32"/>
        </w:rPr>
        <w:t>2025年机关运行经费财政拨款预算为</w:t>
      </w:r>
      <w:r>
        <w:rPr>
          <w:rFonts w:hint="eastAsia" w:cs="仿宋_GB2312"/>
          <w:kern w:val="2"/>
          <w:sz w:val="32"/>
          <w:szCs w:val="32"/>
          <w:lang w:val="en-US" w:eastAsia="zh-CN"/>
        </w:rPr>
        <w:t>123.75</w:t>
      </w:r>
      <w:r>
        <w:rPr>
          <w:rFonts w:hint="eastAsia" w:cs="仿宋_GB2312"/>
          <w:kern w:val="2"/>
          <w:sz w:val="32"/>
          <w:szCs w:val="32"/>
        </w:rPr>
        <w:t>万元，比2024年预算</w:t>
      </w:r>
      <w:r>
        <w:rPr>
          <w:rFonts w:hint="eastAsia" w:cs="宋体"/>
          <w:sz w:val="32"/>
          <w:szCs w:val="32"/>
        </w:rPr>
        <w:t>增加</w:t>
      </w:r>
      <w:r>
        <w:rPr>
          <w:rFonts w:hint="eastAsia" w:cs="宋体"/>
          <w:sz w:val="32"/>
          <w:szCs w:val="32"/>
          <w:lang w:val="en-US" w:eastAsia="zh-CN"/>
        </w:rPr>
        <w:t>58.75</w:t>
      </w:r>
      <w:r>
        <w:rPr>
          <w:rFonts w:hint="eastAsia" w:cs="仿宋_GB2312"/>
          <w:color w:val="000000"/>
          <w:kern w:val="2"/>
          <w:sz w:val="32"/>
          <w:szCs w:val="32"/>
        </w:rPr>
        <w:t>万元，</w:t>
      </w:r>
      <w:r>
        <w:rPr>
          <w:rFonts w:hint="eastAsia" w:cs="仿宋_GB2312"/>
          <w:color w:val="000000"/>
          <w:kern w:val="2"/>
          <w:sz w:val="32"/>
          <w:szCs w:val="32"/>
          <w:lang w:val="en-US" w:eastAsia="zh-CN"/>
        </w:rPr>
        <w:t>增加90</w:t>
      </w:r>
      <w:r>
        <w:rPr>
          <w:rFonts w:hint="eastAsia" w:cs="仿宋_GB2312"/>
          <w:color w:val="000000"/>
          <w:kern w:val="2"/>
          <w:sz w:val="32"/>
          <w:szCs w:val="32"/>
        </w:rPr>
        <w:t xml:space="preserve">%。 </w:t>
      </w:r>
    </w:p>
    <w:p w14:paraId="3BF3FE86">
      <w:pPr>
        <w:pStyle w:val="11"/>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hAnsi="黑体"/>
          <w:kern w:val="2"/>
          <w:sz w:val="32"/>
          <w:szCs w:val="32"/>
        </w:rPr>
        <w:t>壤塘县宗科乡人民政府</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4D9D5AED">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0366DC7C">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截至2024年12月31日，我单位固定资产</w:t>
      </w:r>
      <w:r>
        <w:rPr>
          <w:rFonts w:hint="eastAsia" w:cs="仿宋_GB2312"/>
          <w:kern w:val="2"/>
          <w:sz w:val="32"/>
          <w:szCs w:val="32"/>
          <w:lang w:val="en-US" w:eastAsia="zh-CN"/>
        </w:rPr>
        <w:t>590.8</w:t>
      </w:r>
      <w:r>
        <w:rPr>
          <w:rFonts w:hint="eastAsia" w:cs="仿宋_GB2312"/>
          <w:kern w:val="2"/>
          <w:sz w:val="32"/>
          <w:szCs w:val="32"/>
        </w:rPr>
        <w:t>万元。</w:t>
      </w:r>
    </w:p>
    <w:p w14:paraId="56221085">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hAnsi="黑体"/>
          <w:kern w:val="2"/>
          <w:sz w:val="32"/>
          <w:szCs w:val="32"/>
        </w:rPr>
        <w:t>壤塘县宗科乡人民政府</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8.87</w:t>
      </w:r>
      <w:r>
        <w:rPr>
          <w:rFonts w:hint="eastAsia" w:cs="仿宋_GB2312"/>
          <w:kern w:val="2"/>
          <w:sz w:val="32"/>
          <w:szCs w:val="32"/>
        </w:rPr>
        <w:t>万元。</w:t>
      </w:r>
    </w:p>
    <w:p w14:paraId="1BFAC1FF">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74C67C0">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571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65E23"/>
    <w:multiLevelType w:val="singleLevel"/>
    <w:tmpl w:val="D9F65E23"/>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EB45BC"/>
    <w:rsid w:val="0388408C"/>
    <w:rsid w:val="080812F8"/>
    <w:rsid w:val="0A465F68"/>
    <w:rsid w:val="0E586071"/>
    <w:rsid w:val="15EB3A81"/>
    <w:rsid w:val="1D970CFC"/>
    <w:rsid w:val="239B0E1A"/>
    <w:rsid w:val="2B785EF9"/>
    <w:rsid w:val="2D8917D9"/>
    <w:rsid w:val="2DEB7029"/>
    <w:rsid w:val="2EF37D5C"/>
    <w:rsid w:val="325D17F0"/>
    <w:rsid w:val="361A2073"/>
    <w:rsid w:val="39852273"/>
    <w:rsid w:val="4B257098"/>
    <w:rsid w:val="52B96945"/>
    <w:rsid w:val="54B716A8"/>
    <w:rsid w:val="5B7E6A7C"/>
    <w:rsid w:val="5E8F0FA0"/>
    <w:rsid w:val="606E3563"/>
    <w:rsid w:val="638653E4"/>
    <w:rsid w:val="652C12F7"/>
    <w:rsid w:val="710E21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0">
    <w:name w:val="List Paragraph"/>
    <w:basedOn w:val="1"/>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3780</Words>
  <Characters>4128</Characters>
  <Lines>124</Lines>
  <Paragraphs>51</Paragraphs>
  <TotalTime>11</TotalTime>
  <ScaleCrop>false</ScaleCrop>
  <LinksUpToDate>false</LinksUpToDate>
  <CharactersWithSpaces>4167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2025-04-11T08:21:08Z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eyJoZGlkIjoiNTdhMzQ2NmI5ZjEwMjBlMmM4YTI0ZjJhMTlmYjhjZDIifQ==</vt:lpwstr>
  </property>
  <property fmtid="{D5CDD505-2E9C-101B-9397-08002B2CF9AE}" pid="4" name="ICV">
    <vt:lpwstr>D7CB715E61EF429FBE35BBB5BAAAA469_13</vt:lpwstr>
  </property>
</Properties>
</file>