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colors8.xml" ContentType="application/vnd.ms-office.chartcolorstyle+xml"/>
  <Override PartName="/word/charts/colors9.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charts/style8.xml" ContentType="application/vnd.ms-office.chartstyle+xml"/>
  <Override PartName="/word/charts/style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rPr>
      </w:pPr>
      <w:bookmarkStart w:id="64" w:name="_GoBack"/>
      <w:bookmarkEnd w:id="64"/>
      <w:bookmarkStart w:id="0" w:name="_Toc15377193"/>
      <w:bookmarkStart w:id="1" w:name="_Toc15306267"/>
      <w:bookmarkStart w:id="2" w:name="_Toc15377425"/>
      <w:bookmarkStart w:id="3" w:name="_Toc15396475"/>
      <w:bookmarkStart w:id="4" w:name="_Toc15396597"/>
      <w:bookmarkStart w:id="5" w:name="_Toc15378441"/>
    </w:p>
    <w:bookmarkEnd w:id="0"/>
    <w:bookmarkEnd w:id="1"/>
    <w:bookmarkEnd w:id="2"/>
    <w:bookmarkEnd w:id="3"/>
    <w:bookmarkEnd w:id="4"/>
    <w:bookmarkEnd w:id="5"/>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壤塘县文化旅游景区发展中心</w:t>
      </w:r>
      <w:r>
        <w:rPr>
          <w:rFonts w:hint="eastAsia" w:ascii="Times New Roman" w:hAnsi="Times New Roman" w:eastAsia="方正小标宋简体" w:cs="Times New Roman"/>
          <w:color w:val="auto"/>
          <w:kern w:val="2"/>
          <w:sz w:val="44"/>
          <w:szCs w:val="44"/>
          <w:highlight w:val="none"/>
          <w:lang w:val="en-US" w:eastAsia="zh-CN" w:bidi="ar-SA"/>
        </w:rPr>
        <w:t>单位</w:t>
      </w: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部门决算公开</w:t>
      </w:r>
    </w:p>
    <w:p>
      <w:pPr>
        <w:widowControl/>
        <w:jc w:val="center"/>
        <w:rPr>
          <w:rFonts w:hint="eastAsia" w:ascii="Times New Roman" w:hAnsi="Times New Roman" w:eastAsia="黑体"/>
          <w:color w:val="auto"/>
          <w:sz w:val="48"/>
          <w:szCs w:val="48"/>
          <w:highlight w:val="none"/>
        </w:rPr>
      </w:pPr>
    </w:p>
    <w:p>
      <w:pPr>
        <w:pStyle w:val="2"/>
        <w:rPr>
          <w:rFonts w:hint="eastAsia" w:ascii="Times New Roman" w:hAnsi="Times New Roman" w:eastAsia="黑体"/>
          <w:color w:val="auto"/>
          <w:sz w:val="48"/>
          <w:szCs w:val="48"/>
          <w:highlight w:val="none"/>
        </w:rPr>
      </w:pPr>
    </w:p>
    <w:p>
      <w:pPr>
        <w:pStyle w:val="3"/>
        <w:rPr>
          <w:rFonts w:hint="eastAsia" w:ascii="Times New Roman" w:hAnsi="Times New Roman" w:eastAsia="黑体"/>
          <w:color w:val="auto"/>
          <w:sz w:val="48"/>
          <w:szCs w:val="48"/>
          <w:highlight w:val="none"/>
        </w:rPr>
      </w:pPr>
    </w:p>
    <w:p>
      <w:pPr>
        <w:rPr>
          <w:rFonts w:hint="eastAsia" w:ascii="Times New Roman" w:hAnsi="Times New Roman" w:eastAsia="黑体"/>
          <w:color w:val="auto"/>
          <w:sz w:val="48"/>
          <w:szCs w:val="48"/>
          <w:highlight w:val="none"/>
        </w:rPr>
      </w:pPr>
    </w:p>
    <w:p>
      <w:pPr>
        <w:pStyle w:val="2"/>
        <w:rPr>
          <w:rFonts w:hint="eastAsia" w:ascii="Times New Roman" w:hAnsi="Times New Roman" w:eastAsia="黑体"/>
          <w:color w:val="auto"/>
          <w:sz w:val="48"/>
          <w:szCs w:val="48"/>
          <w:highlight w:val="none"/>
        </w:rPr>
      </w:pPr>
    </w:p>
    <w:p>
      <w:pPr>
        <w:pStyle w:val="3"/>
        <w:rPr>
          <w:rFonts w:hint="eastAsia" w:ascii="Times New Roman" w:hAnsi="Times New Roman" w:eastAsia="黑体"/>
          <w:color w:val="auto"/>
          <w:sz w:val="48"/>
          <w:szCs w:val="48"/>
          <w:highlight w:val="none"/>
        </w:rPr>
      </w:pPr>
    </w:p>
    <w:p>
      <w:pPr>
        <w:rPr>
          <w:rFonts w:hint="eastAsia" w:ascii="Times New Roman" w:hAnsi="Times New Roman" w:eastAsia="黑体"/>
          <w:color w:val="auto"/>
          <w:sz w:val="48"/>
          <w:szCs w:val="48"/>
          <w:highlight w:val="none"/>
        </w:rPr>
      </w:pPr>
    </w:p>
    <w:p>
      <w:pPr>
        <w:pStyle w:val="2"/>
        <w:rPr>
          <w:rFonts w:hint="eastAsia" w:ascii="Times New Roman" w:hAnsi="Times New Roman" w:eastAsia="黑体"/>
          <w:color w:val="auto"/>
          <w:sz w:val="48"/>
          <w:szCs w:val="48"/>
          <w:highlight w:val="none"/>
        </w:rPr>
      </w:pPr>
    </w:p>
    <w:p>
      <w:pPr>
        <w:pStyle w:val="3"/>
        <w:rPr>
          <w:rFonts w:hint="eastAsia" w:ascii="Times New Roman" w:hAnsi="Times New Roman" w:eastAsia="黑体"/>
          <w:color w:val="auto"/>
          <w:sz w:val="48"/>
          <w:szCs w:val="48"/>
          <w:highlight w:val="none"/>
        </w:rPr>
      </w:pPr>
    </w:p>
    <w:p>
      <w:pPr>
        <w:rPr>
          <w:rFonts w:hint="eastAsia" w:ascii="Times New Roman" w:hAnsi="Times New Roman" w:eastAsia="黑体"/>
          <w:color w:val="auto"/>
          <w:sz w:val="48"/>
          <w:szCs w:val="48"/>
          <w:highlight w:val="none"/>
        </w:rPr>
      </w:pPr>
    </w:p>
    <w:p>
      <w:pPr>
        <w:pStyle w:val="2"/>
        <w:rPr>
          <w:rFonts w:hint="eastAsia" w:ascii="Times New Roman" w:hAnsi="Times New Roman" w:eastAsia="黑体"/>
          <w:color w:val="auto"/>
          <w:sz w:val="48"/>
          <w:szCs w:val="48"/>
          <w:highlight w:val="none"/>
        </w:rPr>
      </w:pPr>
    </w:p>
    <w:p>
      <w:pPr>
        <w:pStyle w:val="3"/>
        <w:rPr>
          <w:rFonts w:hint="eastAsia" w:ascii="Times New Roman" w:hAnsi="Times New Roman" w:eastAsia="黑体"/>
          <w:color w:val="auto"/>
          <w:sz w:val="48"/>
          <w:szCs w:val="48"/>
          <w:highlight w:val="none"/>
        </w:rPr>
      </w:pPr>
    </w:p>
    <w:p>
      <w:pPr>
        <w:rPr>
          <w:rFonts w:hint="eastAsia"/>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pStyle w:val="13"/>
        <w:jc w:val="center"/>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27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pStyle w:val="5"/>
        <w:pageBreakBefore w:val="0"/>
        <w:kinsoku/>
        <w:wordWrap/>
        <w:overflowPunct/>
        <w:topLinePunct w:val="0"/>
        <w:bidi w:val="0"/>
        <w:spacing w:line="576" w:lineRule="exact"/>
        <w:ind w:firstLine="880" w:firstLineChars="200"/>
        <w:jc w:val="center"/>
        <w:textAlignment w:val="auto"/>
        <w:rPr>
          <w:rFonts w:hint="eastAsia" w:ascii="Times New Roman" w:hAnsi="Times New Roman" w:eastAsia="方正小标宋简体" w:cs="方正小标宋简体"/>
          <w:b w:val="0"/>
          <w:color w:val="auto"/>
          <w:highlight w:val="none"/>
        </w:rPr>
        <w:sectPr>
          <w:footerReference r:id="rId8" w:type="first"/>
          <w:headerReference r:id="rId6" w:type="default"/>
          <w:footerReference r:id="rId7" w:type="default"/>
          <w:pgSz w:w="11906" w:h="16838"/>
          <w:pgMar w:top="1440" w:right="1800" w:bottom="1440" w:left="1800" w:header="851" w:footer="992" w:gutter="0"/>
          <w:pgNumType w:fmt="decimal" w:start="1"/>
          <w:cols w:space="425" w:num="1"/>
          <w:docGrid w:type="lines" w:linePitch="312" w:charSpace="0"/>
        </w:sectPr>
      </w:pPr>
      <w:bookmarkStart w:id="6" w:name="_Toc15377196"/>
      <w:bookmarkStart w:id="7" w:name="_Toc15396599"/>
    </w:p>
    <w:p>
      <w:pPr>
        <w:pStyle w:val="5"/>
        <w:pageBreakBefore w:val="0"/>
        <w:kinsoku/>
        <w:wordWrap/>
        <w:overflowPunct/>
        <w:topLinePunct w:val="0"/>
        <w:bidi w:val="0"/>
        <w:spacing w:line="576" w:lineRule="exact"/>
        <w:ind w:firstLine="880" w:firstLineChars="200"/>
        <w:jc w:val="center"/>
        <w:textAlignment w:val="auto"/>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p>
    <w:p>
      <w:pPr>
        <w:pStyle w:val="6"/>
        <w:pageBreakBefore w:val="0"/>
        <w:numPr>
          <w:ilvl w:val="0"/>
          <w:numId w:val="0"/>
        </w:numPr>
        <w:kinsoku/>
        <w:wordWrap/>
        <w:overflowPunct/>
        <w:topLinePunct w:val="0"/>
        <w:bidi w:val="0"/>
        <w:spacing w:before="0" w:after="0" w:line="576" w:lineRule="exact"/>
        <w:ind w:firstLine="640" w:firstLineChars="200"/>
        <w:textAlignment w:val="auto"/>
        <w:rPr>
          <w:rFonts w:hint="eastAsia"/>
          <w:sz w:val="32"/>
          <w:szCs w:val="32"/>
          <w:lang w:val="en-US" w:eastAsia="zh-CN"/>
        </w:rPr>
      </w:pPr>
      <w:r>
        <w:rPr>
          <w:rFonts w:hint="eastAsia" w:ascii="Times New Roman" w:hAnsi="Times New Roman" w:eastAsia="黑体"/>
          <w:b w:val="0"/>
          <w:color w:val="auto"/>
          <w:highlight w:val="none"/>
          <w:lang w:val="en-US" w:eastAsia="zh-CN"/>
        </w:rPr>
        <w:t>一、</w:t>
      </w:r>
      <w:r>
        <w:rPr>
          <w:rFonts w:hint="eastAsia" w:ascii="Times New Roman" w:hAnsi="Times New Roman" w:eastAsia="黑体"/>
          <w:b w:val="0"/>
          <w:color w:val="auto"/>
          <w:highlight w:val="none"/>
          <w:lang w:eastAsia="zh-CN"/>
        </w:rPr>
        <w:t>部门职责</w:t>
      </w:r>
    </w:p>
    <w:p>
      <w:pPr>
        <w:pStyle w:val="8"/>
        <w:keepNext w:val="0"/>
        <w:keepLines w:val="0"/>
        <w:pageBreakBefore w:val="0"/>
        <w:widowControl w:val="0"/>
        <w:kinsoku/>
        <w:wordWrap/>
        <w:overflowPunct/>
        <w:topLinePunct w:val="0"/>
        <w:autoSpaceDE/>
        <w:autoSpaceDN/>
        <w:bidi w:val="0"/>
        <w:adjustRightInd/>
        <w:snapToGrid/>
        <w:spacing w:before="30" w:beforeLines="0" w:line="576" w:lineRule="exact"/>
        <w:ind w:firstLine="640" w:firstLineChars="200"/>
        <w:textAlignment w:val="auto"/>
        <w:rPr>
          <w:rFonts w:hint="eastAsia" w:cs="Times New Roman"/>
          <w:sz w:val="32"/>
          <w:szCs w:val="32"/>
          <w:lang w:val="en-US" w:eastAsia="zh-CN"/>
        </w:rPr>
      </w:pPr>
      <w:r>
        <w:rPr>
          <w:rFonts w:hint="eastAsia" w:cs="Times New Roman"/>
          <w:sz w:val="32"/>
          <w:szCs w:val="32"/>
          <w:lang w:val="en-US" w:eastAsia="zh-CN"/>
        </w:rPr>
        <w:t>1.依照相关法律和行政法规,对区域内(上壤塘海子山中壤塘三座寺庙及茸木达棒托寺石刻大藏经等)所辖景区资源实行统一管理、统一规划、统一开发和统一保护。</w:t>
      </w:r>
    </w:p>
    <w:p>
      <w:pPr>
        <w:pStyle w:val="8"/>
        <w:keepNext w:val="0"/>
        <w:keepLines w:val="0"/>
        <w:pageBreakBefore w:val="0"/>
        <w:widowControl w:val="0"/>
        <w:kinsoku/>
        <w:wordWrap/>
        <w:overflowPunct/>
        <w:topLinePunct w:val="0"/>
        <w:autoSpaceDE/>
        <w:autoSpaceDN/>
        <w:bidi w:val="0"/>
        <w:adjustRightInd/>
        <w:snapToGrid/>
        <w:spacing w:before="30" w:beforeLines="0" w:line="576" w:lineRule="exact"/>
        <w:ind w:firstLine="640" w:firstLineChars="200"/>
        <w:textAlignment w:val="auto"/>
        <w:rPr>
          <w:rFonts w:hint="eastAsia" w:cs="Times New Roman"/>
          <w:sz w:val="32"/>
          <w:szCs w:val="32"/>
        </w:rPr>
      </w:pPr>
      <w:r>
        <w:rPr>
          <w:rFonts w:hint="eastAsia"/>
          <w:sz w:val="32"/>
          <w:szCs w:val="32"/>
          <w:lang w:val="en-US" w:eastAsia="zh-CN"/>
        </w:rPr>
        <w:t>2.</w:t>
      </w:r>
      <w:r>
        <w:rPr>
          <w:rFonts w:hint="eastAsia"/>
          <w:sz w:val="32"/>
          <w:szCs w:val="32"/>
        </w:rPr>
        <w:t>宣传</w:t>
      </w:r>
      <w:r>
        <w:rPr>
          <w:rFonts w:hint="eastAsia" w:cs="Times New Roman"/>
          <w:sz w:val="32"/>
          <w:szCs w:val="32"/>
        </w:rPr>
        <w:t>贯彻国家风景名胜、民族宗教、文物、林业、国土、环境保护等有关法律、法规和方针政策。</w:t>
      </w:r>
    </w:p>
    <w:p>
      <w:pPr>
        <w:pStyle w:val="8"/>
        <w:keepNext w:val="0"/>
        <w:keepLines w:val="0"/>
        <w:pageBreakBefore w:val="0"/>
        <w:widowControl w:val="0"/>
        <w:kinsoku/>
        <w:wordWrap/>
        <w:overflowPunct/>
        <w:topLinePunct w:val="0"/>
        <w:autoSpaceDE/>
        <w:autoSpaceDN/>
        <w:bidi w:val="0"/>
        <w:adjustRightInd/>
        <w:snapToGrid/>
        <w:spacing w:before="30" w:beforeLines="0" w:line="576" w:lineRule="exact"/>
        <w:ind w:firstLine="640" w:firstLineChars="200"/>
        <w:textAlignment w:val="auto"/>
        <w:rPr>
          <w:rFonts w:hint="eastAsia" w:cs="Times New Roman"/>
          <w:sz w:val="32"/>
          <w:szCs w:val="32"/>
        </w:rPr>
      </w:pPr>
      <w:r>
        <w:rPr>
          <w:rFonts w:hint="eastAsia" w:cs="Times New Roman"/>
          <w:sz w:val="32"/>
          <w:szCs w:val="32"/>
          <w:lang w:val="en-US" w:eastAsia="zh-CN"/>
        </w:rPr>
        <w:t>3.</w:t>
      </w:r>
      <w:r>
        <w:rPr>
          <w:rFonts w:hint="eastAsia" w:cs="Times New Roman"/>
          <w:sz w:val="32"/>
          <w:szCs w:val="32"/>
        </w:rPr>
        <w:t>依法保护景区资源和生态环境,维护景区的自然风貌和人文景观,有效开发和合理利用景区资源。</w:t>
      </w:r>
    </w:p>
    <w:p>
      <w:pPr>
        <w:pStyle w:val="8"/>
        <w:keepNext w:val="0"/>
        <w:keepLines w:val="0"/>
        <w:pageBreakBefore w:val="0"/>
        <w:widowControl w:val="0"/>
        <w:kinsoku/>
        <w:wordWrap/>
        <w:overflowPunct/>
        <w:topLinePunct w:val="0"/>
        <w:autoSpaceDE/>
        <w:autoSpaceDN/>
        <w:bidi w:val="0"/>
        <w:adjustRightInd/>
        <w:snapToGrid/>
        <w:spacing w:before="30" w:beforeLines="0" w:line="576" w:lineRule="exact"/>
        <w:ind w:firstLine="640" w:firstLineChars="200"/>
        <w:textAlignment w:val="auto"/>
        <w:rPr>
          <w:rFonts w:hint="eastAsia" w:cs="Times New Roman"/>
          <w:sz w:val="32"/>
          <w:szCs w:val="32"/>
        </w:rPr>
      </w:pPr>
      <w:r>
        <w:rPr>
          <w:rFonts w:hint="eastAsia" w:cs="Times New Roman"/>
          <w:sz w:val="32"/>
          <w:szCs w:val="32"/>
          <w:lang w:val="en-US" w:eastAsia="zh-CN"/>
        </w:rPr>
        <w:t>4.</w:t>
      </w:r>
      <w:r>
        <w:rPr>
          <w:rFonts w:hint="eastAsia" w:cs="Times New Roman"/>
          <w:sz w:val="32"/>
          <w:szCs w:val="32"/>
        </w:rPr>
        <w:t>编制景区总体规划和详细规划并组织实施,按照总体</w:t>
      </w:r>
      <w:r>
        <w:rPr>
          <w:rFonts w:hint="eastAsia" w:cs="Times New Roman"/>
          <w:sz w:val="32"/>
          <w:szCs w:val="32"/>
          <w:lang w:eastAsia="zh-CN"/>
        </w:rPr>
        <w:t>规</w:t>
      </w:r>
      <w:r>
        <w:rPr>
          <w:rFonts w:hint="eastAsia" w:cs="Times New Roman"/>
          <w:sz w:val="32"/>
          <w:szCs w:val="32"/>
        </w:rPr>
        <w:t>划对景区新建、扩建和改建项目进行审核,对建设活动进行监督、检查。</w:t>
      </w:r>
    </w:p>
    <w:p>
      <w:pPr>
        <w:pStyle w:val="8"/>
        <w:keepNext w:val="0"/>
        <w:keepLines w:val="0"/>
        <w:pageBreakBefore w:val="0"/>
        <w:widowControl w:val="0"/>
        <w:kinsoku/>
        <w:wordWrap/>
        <w:overflowPunct/>
        <w:topLinePunct w:val="0"/>
        <w:autoSpaceDE/>
        <w:autoSpaceDN/>
        <w:bidi w:val="0"/>
        <w:adjustRightInd/>
        <w:snapToGrid/>
        <w:spacing w:before="30" w:beforeLines="0" w:line="576" w:lineRule="exact"/>
        <w:ind w:firstLine="640" w:firstLineChars="200"/>
        <w:textAlignment w:val="auto"/>
        <w:rPr>
          <w:rFonts w:hint="eastAsia" w:cs="Times New Roman"/>
          <w:sz w:val="32"/>
          <w:szCs w:val="32"/>
        </w:rPr>
      </w:pPr>
      <w:r>
        <w:rPr>
          <w:rFonts w:hint="eastAsia" w:cs="Times New Roman"/>
          <w:sz w:val="32"/>
          <w:szCs w:val="32"/>
          <w:lang w:val="en-US" w:eastAsia="zh-CN"/>
        </w:rPr>
        <w:t>5.</w:t>
      </w:r>
      <w:r>
        <w:rPr>
          <w:rFonts w:hint="eastAsia" w:cs="Times New Roman"/>
          <w:sz w:val="32"/>
          <w:szCs w:val="32"/>
        </w:rPr>
        <w:t>负责建设、维护、管理景区基础设施和公共设施,管理景区旅游经营活动,增强景区自我发展能力。</w:t>
      </w:r>
    </w:p>
    <w:p>
      <w:pPr>
        <w:pStyle w:val="8"/>
        <w:keepNext w:val="0"/>
        <w:keepLines w:val="0"/>
        <w:pageBreakBefore w:val="0"/>
        <w:widowControl w:val="0"/>
        <w:kinsoku/>
        <w:wordWrap/>
        <w:overflowPunct/>
        <w:topLinePunct w:val="0"/>
        <w:autoSpaceDE/>
        <w:autoSpaceDN/>
        <w:bidi w:val="0"/>
        <w:adjustRightInd/>
        <w:snapToGrid/>
        <w:spacing w:before="30" w:beforeLines="0" w:line="576" w:lineRule="exact"/>
        <w:ind w:firstLine="640" w:firstLineChars="200"/>
        <w:textAlignment w:val="auto"/>
        <w:rPr>
          <w:rFonts w:hint="eastAsia" w:cs="Times New Roman"/>
          <w:sz w:val="32"/>
          <w:szCs w:val="32"/>
        </w:rPr>
      </w:pPr>
      <w:r>
        <w:rPr>
          <w:rFonts w:hint="eastAsia" w:cs="Times New Roman"/>
          <w:sz w:val="32"/>
          <w:szCs w:val="32"/>
          <w:lang w:val="en-US" w:eastAsia="zh-CN"/>
        </w:rPr>
        <w:t>6.</w:t>
      </w:r>
      <w:r>
        <w:rPr>
          <w:rFonts w:hint="eastAsia" w:cs="Times New Roman"/>
          <w:sz w:val="32"/>
          <w:szCs w:val="32"/>
        </w:rPr>
        <w:t>制定景区各项管理制度,负责景区</w:t>
      </w:r>
      <w:r>
        <w:rPr>
          <w:rFonts w:hint="eastAsia" w:cs="Times New Roman"/>
          <w:sz w:val="32"/>
          <w:szCs w:val="32"/>
          <w:lang w:eastAsia="zh-CN"/>
        </w:rPr>
        <w:t>的游览安全</w:t>
      </w:r>
      <w:r>
        <w:rPr>
          <w:rFonts w:hint="eastAsia" w:cs="Times New Roman"/>
          <w:sz w:val="32"/>
          <w:szCs w:val="32"/>
        </w:rPr>
        <w:t>、环境卫生、社会治安、安全生产和</w:t>
      </w:r>
      <w:r>
        <w:rPr>
          <w:rFonts w:hint="eastAsia" w:cs="Times New Roman"/>
          <w:sz w:val="32"/>
          <w:szCs w:val="32"/>
          <w:lang w:eastAsia="zh-CN"/>
        </w:rPr>
        <w:t>护</w:t>
      </w:r>
      <w:r>
        <w:rPr>
          <w:rFonts w:hint="eastAsia" w:cs="Times New Roman"/>
          <w:sz w:val="32"/>
          <w:szCs w:val="32"/>
        </w:rPr>
        <w:t>林防火等管理工作。</w:t>
      </w:r>
    </w:p>
    <w:p>
      <w:pPr>
        <w:pStyle w:val="8"/>
        <w:keepNext w:val="0"/>
        <w:keepLines w:val="0"/>
        <w:pageBreakBefore w:val="0"/>
        <w:widowControl w:val="0"/>
        <w:kinsoku/>
        <w:wordWrap/>
        <w:overflowPunct/>
        <w:topLinePunct w:val="0"/>
        <w:autoSpaceDE/>
        <w:autoSpaceDN/>
        <w:bidi w:val="0"/>
        <w:adjustRightInd/>
        <w:snapToGrid/>
        <w:spacing w:before="30" w:beforeLines="0" w:line="576" w:lineRule="exact"/>
        <w:ind w:firstLine="640" w:firstLineChars="200"/>
        <w:textAlignment w:val="auto"/>
        <w:rPr>
          <w:rFonts w:hint="eastAsia" w:cs="Times New Roman"/>
          <w:sz w:val="32"/>
          <w:szCs w:val="32"/>
        </w:rPr>
      </w:pPr>
      <w:r>
        <w:rPr>
          <w:rFonts w:hint="eastAsia" w:cs="Times New Roman"/>
          <w:sz w:val="32"/>
          <w:szCs w:val="32"/>
          <w:lang w:val="en-US" w:eastAsia="zh-CN"/>
        </w:rPr>
        <w:t>7.</w:t>
      </w:r>
      <w:r>
        <w:rPr>
          <w:rFonts w:hint="eastAsia" w:cs="Times New Roman"/>
          <w:sz w:val="32"/>
          <w:szCs w:val="32"/>
        </w:rPr>
        <w:t>负责招商引资,统一对外宣传,扩大景区知名度。</w:t>
      </w:r>
    </w:p>
    <w:p>
      <w:pPr>
        <w:pStyle w:val="8"/>
        <w:keepNext w:val="0"/>
        <w:keepLines w:val="0"/>
        <w:pageBreakBefore w:val="0"/>
        <w:widowControl w:val="0"/>
        <w:kinsoku/>
        <w:wordWrap/>
        <w:overflowPunct/>
        <w:topLinePunct w:val="0"/>
        <w:autoSpaceDE/>
        <w:autoSpaceDN/>
        <w:bidi w:val="0"/>
        <w:adjustRightInd/>
        <w:snapToGrid/>
        <w:spacing w:before="30" w:beforeLines="0" w:line="576" w:lineRule="exact"/>
        <w:ind w:firstLine="640" w:firstLineChars="200"/>
        <w:textAlignment w:val="auto"/>
        <w:rPr>
          <w:rFonts w:hint="eastAsia" w:cs="Times New Roman"/>
          <w:sz w:val="32"/>
          <w:szCs w:val="32"/>
        </w:rPr>
      </w:pPr>
      <w:r>
        <w:rPr>
          <w:rFonts w:hint="eastAsia" w:cs="Times New Roman"/>
          <w:sz w:val="32"/>
          <w:szCs w:val="32"/>
          <w:lang w:val="en-US" w:eastAsia="zh-CN"/>
        </w:rPr>
        <w:t>8.</w:t>
      </w:r>
      <w:r>
        <w:rPr>
          <w:rFonts w:hint="eastAsia" w:cs="Times New Roman"/>
          <w:sz w:val="32"/>
          <w:szCs w:val="32"/>
        </w:rPr>
        <w:t>负责景区内经营性项目的审批和管理,根据景区规划和需要,对景区的村寨实施托管,统筹协调并处理辖区内村寨利益。</w:t>
      </w:r>
    </w:p>
    <w:p>
      <w:pPr>
        <w:pageBreakBefore w:val="0"/>
        <w:kinsoku/>
        <w:wordWrap/>
        <w:overflowPunct/>
        <w:topLinePunct w:val="0"/>
        <w:bidi w:val="0"/>
        <w:spacing w:line="576" w:lineRule="exact"/>
        <w:ind w:firstLine="420" w:firstLineChars="200"/>
        <w:textAlignment w:val="auto"/>
        <w:rPr>
          <w:rFonts w:hint="eastAsia"/>
          <w:lang w:eastAsia="zh-CN"/>
        </w:rPr>
      </w:pPr>
    </w:p>
    <w:p>
      <w:pPr>
        <w:pStyle w:val="6"/>
        <w:pageBreakBefore w:val="0"/>
        <w:kinsoku/>
        <w:wordWrap/>
        <w:overflowPunct/>
        <w:topLinePunct w:val="0"/>
        <w:autoSpaceDE/>
        <w:autoSpaceDN/>
        <w:bidi w:val="0"/>
        <w:adjustRightInd/>
        <w:snapToGrid/>
        <w:spacing w:before="0" w:after="0" w:line="576" w:lineRule="exact"/>
        <w:ind w:firstLine="640" w:firstLineChars="200"/>
        <w:textAlignment w:val="auto"/>
        <w:rPr>
          <w:rStyle w:val="29"/>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8"/>
      <w:bookmarkEnd w:id="9"/>
    </w:p>
    <w:p>
      <w:pPr>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ascii="Times New Roman" w:hAnsi="Times New Roman" w:eastAsia="仿宋"/>
          <w:color w:val="auto"/>
          <w:sz w:val="32"/>
          <w:szCs w:val="32"/>
          <w:highlight w:val="none"/>
        </w:rPr>
      </w:pPr>
      <w:bookmarkStart w:id="10" w:name="_Toc30939"/>
      <w:bookmarkStart w:id="11" w:name="_Toc12356"/>
      <w:bookmarkStart w:id="12" w:name="_Toc10699"/>
      <w:r>
        <w:rPr>
          <w:rFonts w:hint="eastAsia" w:ascii="仿宋_GB2312" w:eastAsia="仿宋_GB2312" w:cs="Times New Roman"/>
          <w:b w:val="0"/>
          <w:bCs w:val="0"/>
          <w:kern w:val="2"/>
          <w:sz w:val="32"/>
          <w:szCs w:val="32"/>
          <w:highlight w:val="none"/>
          <w:lang w:val="en-US" w:eastAsia="zh-CN" w:bidi="ar-SA"/>
        </w:rPr>
        <w:t>壤塘县文化旅游景区发展中心无下属二级单位，本单位属事业单位。</w:t>
      </w:r>
      <w:bookmarkEnd w:id="10"/>
      <w:bookmarkEnd w:id="11"/>
      <w:bookmarkEnd w:id="12"/>
    </w:p>
    <w:p>
      <w:pPr>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ascii="Times New Roman" w:hAnsi="Times New Roman" w:eastAsia="仿宋"/>
          <w:color w:val="auto"/>
          <w:sz w:val="32"/>
          <w:szCs w:val="32"/>
          <w:highlight w:val="none"/>
        </w:rPr>
      </w:pPr>
    </w:p>
    <w:p>
      <w:pPr>
        <w:pageBreakBefore w:val="0"/>
        <w:widowControl/>
        <w:kinsoku/>
        <w:wordWrap/>
        <w:overflowPunct/>
        <w:topLinePunct w:val="0"/>
        <w:bidi w:val="0"/>
        <w:spacing w:line="576" w:lineRule="exact"/>
        <w:ind w:firstLine="640" w:firstLineChars="200"/>
        <w:jc w:val="left"/>
        <w:textAlignment w:val="auto"/>
        <w:rPr>
          <w:rFonts w:ascii="Times New Roman" w:hAnsi="Times New Roman" w:eastAsia="仿宋"/>
          <w:color w:val="auto"/>
          <w:sz w:val="32"/>
          <w:szCs w:val="32"/>
          <w:highlight w:val="none"/>
        </w:rPr>
      </w:pPr>
    </w:p>
    <w:p>
      <w:pPr>
        <w:pageBreakBefore w:val="0"/>
        <w:widowControl/>
        <w:kinsoku/>
        <w:wordWrap/>
        <w:overflowPunct/>
        <w:topLinePunct w:val="0"/>
        <w:bidi w:val="0"/>
        <w:spacing w:line="576" w:lineRule="exact"/>
        <w:ind w:firstLine="640" w:firstLineChars="200"/>
        <w:jc w:val="left"/>
        <w:textAlignment w:val="auto"/>
        <w:rPr>
          <w:rFonts w:ascii="Times New Roman" w:hAnsi="Times New Roman" w:eastAsia="仿宋"/>
          <w:color w:val="auto"/>
          <w:sz w:val="32"/>
          <w:szCs w:val="32"/>
          <w:highlight w:val="none"/>
        </w:rPr>
      </w:pPr>
    </w:p>
    <w:p>
      <w:pPr>
        <w:pageBreakBefore w:val="0"/>
        <w:widowControl/>
        <w:kinsoku/>
        <w:wordWrap/>
        <w:overflowPunct/>
        <w:topLinePunct w:val="0"/>
        <w:bidi w:val="0"/>
        <w:spacing w:line="576" w:lineRule="exact"/>
        <w:ind w:firstLine="640" w:firstLineChars="200"/>
        <w:jc w:val="left"/>
        <w:textAlignment w:val="auto"/>
        <w:rPr>
          <w:rFonts w:ascii="Times New Roman" w:hAnsi="Times New Roman" w:eastAsia="仿宋"/>
          <w:color w:val="auto"/>
          <w:sz w:val="32"/>
          <w:szCs w:val="32"/>
          <w:highlight w:val="none"/>
        </w:rPr>
      </w:pPr>
    </w:p>
    <w:p>
      <w:pPr>
        <w:pageBreakBefore w:val="0"/>
        <w:widowControl/>
        <w:kinsoku/>
        <w:wordWrap/>
        <w:overflowPunct/>
        <w:topLinePunct w:val="0"/>
        <w:bidi w:val="0"/>
        <w:spacing w:line="576" w:lineRule="exact"/>
        <w:ind w:firstLine="640" w:firstLineChars="200"/>
        <w:jc w:val="left"/>
        <w:textAlignment w:val="auto"/>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5"/>
        <w:pageBreakBefore w:val="0"/>
        <w:kinsoku/>
        <w:wordWrap/>
        <w:overflowPunct/>
        <w:topLinePunct w:val="0"/>
        <w:bidi w:val="0"/>
        <w:spacing w:line="576" w:lineRule="exact"/>
        <w:jc w:val="center"/>
        <w:textAlignment w:val="auto"/>
        <w:rPr>
          <w:rFonts w:ascii="Times New Roman" w:hAnsi="Times New Roman"/>
          <w:color w:val="auto"/>
          <w:highlight w:val="none"/>
        </w:rPr>
      </w:pPr>
      <w:bookmarkStart w:id="13" w:name="_Toc15377204"/>
      <w:bookmarkStart w:id="14"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3"/>
      <w:bookmarkEnd w:id="14"/>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Style w:val="29"/>
          <w:rFonts w:hint="eastAsia" w:ascii="Times New Roman" w:hAnsi="Times New Roman" w:eastAsia="黑体"/>
          <w:b w:val="0"/>
          <w:color w:val="auto"/>
          <w:highlight w:val="none"/>
        </w:rPr>
      </w:pPr>
      <w:bookmarkStart w:id="15" w:name="_Toc15377205"/>
      <w:bookmarkStart w:id="16"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5"/>
      <w:bookmarkEnd w:id="16"/>
    </w:p>
    <w:p>
      <w:pPr>
        <w:keepNext w:val="0"/>
        <w:keepLines w:val="0"/>
        <w:pageBreakBefore w:val="0"/>
        <w:widowControl w:val="0"/>
        <w:suppressLineNumbers w:val="0"/>
        <w:kinsoku/>
        <w:wordWrap/>
        <w:overflowPunct/>
        <w:topLinePunct w:val="0"/>
        <w:bidi w:val="0"/>
        <w:spacing w:before="0" w:beforeAutospacing="0" w:after="0" w:afterAutospacing="0" w:line="576" w:lineRule="exact"/>
        <w:ind w:left="0" w:right="0" w:firstLine="420" w:firstLineChars="200"/>
        <w:jc w:val="both"/>
        <w:textAlignment w:val="auto"/>
        <w:rPr>
          <w:rFonts w:hint="eastAsia" w:eastAsia="宋体"/>
          <w:lang w:eastAsia="zh-CN"/>
        </w:rPr>
      </w:pPr>
      <w:r>
        <w:rPr>
          <w:rFonts w:hint="eastAsia"/>
        </w:rPr>
        <w:drawing>
          <wp:anchor distT="0" distB="0" distL="114300" distR="114300" simplePos="0" relativeHeight="251660288" behindDoc="0" locked="0" layoutInCell="1" allowOverlap="1">
            <wp:simplePos x="0" y="0"/>
            <wp:positionH relativeFrom="column">
              <wp:posOffset>205740</wp:posOffset>
            </wp:positionH>
            <wp:positionV relativeFrom="paragraph">
              <wp:posOffset>1507490</wp:posOffset>
            </wp:positionV>
            <wp:extent cx="4314825" cy="2543810"/>
            <wp:effectExtent l="4445" t="4445" r="5080" b="23495"/>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eastAsia="仿宋_GB2312" w:cs="仿宋_GB2312"/>
          <w:color w:val="auto"/>
          <w:sz w:val="32"/>
          <w:szCs w:val="32"/>
          <w:highlight w:val="none"/>
          <w:lang w:eastAsia="zh-CN"/>
        </w:rPr>
        <w:t>总计</w:t>
      </w:r>
      <w:r>
        <w:rPr>
          <w:rFonts w:hint="eastAsia" w:eastAsia="仿宋_GB2312" w:cs="仿宋_GB2312"/>
          <w:color w:val="auto"/>
          <w:sz w:val="32"/>
          <w:szCs w:val="32"/>
          <w:highlight w:val="none"/>
          <w:lang w:val="en-US" w:eastAsia="zh-CN"/>
        </w:rPr>
        <w:t>973.36万元，与2024年相比，减少421.5万元，</w:t>
      </w:r>
      <w:r>
        <w:rPr>
          <w:rFonts w:hint="eastAsia" w:ascii="仿宋" w:eastAsia="仿宋" w:cs="仿宋"/>
          <w:color w:val="000000"/>
          <w:kern w:val="2"/>
          <w:sz w:val="32"/>
          <w:szCs w:val="32"/>
          <w:lang w:val="en-US" w:eastAsia="zh-CN"/>
        </w:rPr>
        <w:t>降低30.22%。支出总计956.17万元，</w:t>
      </w:r>
      <w:r>
        <w:rPr>
          <w:rFonts w:hint="eastAsia" w:eastAsia="仿宋_GB2312" w:cs="仿宋_GB2312"/>
          <w:color w:val="auto"/>
          <w:sz w:val="32"/>
          <w:szCs w:val="32"/>
          <w:highlight w:val="none"/>
          <w:lang w:val="en-US" w:eastAsia="zh-CN"/>
        </w:rPr>
        <w:t>与2024年相比，减少438.69万元，</w:t>
      </w:r>
      <w:r>
        <w:rPr>
          <w:rFonts w:hint="eastAsia" w:ascii="仿宋" w:eastAsia="仿宋" w:cs="仿宋"/>
          <w:color w:val="000000"/>
          <w:kern w:val="2"/>
          <w:sz w:val="32"/>
          <w:szCs w:val="32"/>
          <w:lang w:val="en-US" w:eastAsia="zh-CN"/>
        </w:rPr>
        <w:t>降低31.45%。主要变动原因是本年度项目减少，项目收入减少，故本年收入减少。</w:t>
      </w:r>
    </w:p>
    <w:p>
      <w:pPr>
        <w:keepNext w:val="0"/>
        <w:keepLines w:val="0"/>
        <w:pageBreakBefore w:val="0"/>
        <w:widowControl w:val="0"/>
        <w:suppressLineNumbers w:val="0"/>
        <w:kinsoku/>
        <w:wordWrap/>
        <w:overflowPunct/>
        <w:topLinePunct w:val="0"/>
        <w:bidi w:val="0"/>
        <w:spacing w:before="0" w:beforeAutospacing="0" w:after="0" w:afterAutospacing="0" w:line="576" w:lineRule="exact"/>
        <w:ind w:left="0" w:right="0" w:firstLine="420" w:firstLineChars="200"/>
        <w:jc w:val="both"/>
        <w:textAlignment w:val="auto"/>
        <w:rPr>
          <w:rFonts w:hint="eastAsia" w:ascii="Times New Roman" w:hAnsi="Times New Roman" w:eastAsia="仿宋_GB2312" w:cs="仿宋_GB2312"/>
          <w:color w:val="auto"/>
          <w:sz w:val="32"/>
          <w:szCs w:val="32"/>
          <w:highlight w:val="none"/>
        </w:rPr>
      </w:pPr>
      <w:r>
        <w:rPr>
          <w:rFonts w:hint="eastAsia" w:eastAsia="宋体"/>
          <w:lang w:eastAsia="zh-CN"/>
        </w:rPr>
        <w:drawing>
          <wp:anchor distT="0" distB="0" distL="114300" distR="114300" simplePos="0" relativeHeight="251661312" behindDoc="0" locked="0" layoutInCell="1" allowOverlap="1">
            <wp:simplePos x="0" y="0"/>
            <wp:positionH relativeFrom="column">
              <wp:posOffset>194945</wp:posOffset>
            </wp:positionH>
            <wp:positionV relativeFrom="paragraph">
              <wp:posOffset>2806065</wp:posOffset>
            </wp:positionV>
            <wp:extent cx="4367530" cy="2576195"/>
            <wp:effectExtent l="4445" t="4445" r="9525" b="10160"/>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仿宋" w:eastAsia="仿宋" w:cs="仿宋"/>
          <w:color w:val="000000"/>
          <w:kern w:val="2"/>
          <w:sz w:val="32"/>
          <w:szCs w:val="32"/>
          <w:lang w:val="en-US" w:eastAsia="zh-CN"/>
        </w:rPr>
        <w:t>（图</w:t>
      </w:r>
      <w:r>
        <w:rPr>
          <w:rFonts w:hint="eastAsia" w:ascii="仿宋" w:eastAsia="仿宋" w:cs="Times New Roman"/>
          <w:color w:val="000000"/>
          <w:kern w:val="2"/>
          <w:sz w:val="32"/>
          <w:szCs w:val="32"/>
          <w:lang w:val="en-US" w:eastAsia="zh-CN"/>
        </w:rPr>
        <w:t>1</w:t>
      </w:r>
      <w:r>
        <w:rPr>
          <w:rFonts w:hint="eastAsia" w:ascii="仿宋" w:eastAsia="仿宋" w:cs="仿宋"/>
          <w:color w:val="000000"/>
          <w:kern w:val="2"/>
          <w:sz w:val="32"/>
          <w:szCs w:val="32"/>
          <w:lang w:val="en-US" w:eastAsia="zh-CN"/>
        </w:rPr>
        <w:t>：收入、支出决算总计变动情况图）（柱状图）</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7" w:name="_Toc15396604"/>
      <w:bookmarkStart w:id="18" w:name="_Toc15377206"/>
      <w:r>
        <w:rPr>
          <w:rFonts w:hint="eastAsia" w:ascii="Times New Roman" w:hAnsi="Times New Roman" w:eastAsia="黑体"/>
          <w:color w:val="auto"/>
          <w:sz w:val="32"/>
          <w:szCs w:val="32"/>
          <w:highlight w:val="none"/>
          <w:lang w:eastAsia="zh-CN"/>
        </w:rPr>
        <w:t>二、收入决算情况说明</w:t>
      </w:r>
      <w:bookmarkEnd w:id="17"/>
      <w:bookmarkEnd w:id="18"/>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973.36</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768.72</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78.98</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204.64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21.02</w:t>
      </w:r>
      <w:r>
        <w:rPr>
          <w:rFonts w:hint="eastAsia" w:ascii="Times New Roman" w:hAnsi="Times New Roman" w:eastAsia="仿宋_GB2312" w:cs="仿宋_GB2312"/>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2336" behindDoc="0" locked="0" layoutInCell="1" allowOverlap="1">
            <wp:simplePos x="0" y="0"/>
            <wp:positionH relativeFrom="column">
              <wp:posOffset>263525</wp:posOffset>
            </wp:positionH>
            <wp:positionV relativeFrom="paragraph">
              <wp:posOffset>109220</wp:posOffset>
            </wp:positionV>
            <wp:extent cx="3385185" cy="2501900"/>
            <wp:effectExtent l="4445" t="4445" r="20320" b="825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sz w:val="32"/>
          <w:szCs w:val="32"/>
          <w:highlight w:val="none"/>
          <w:lang w:eastAsia="zh-CN"/>
        </w:rPr>
        <w:t>（图2：收入决算结构图）（饼状图）</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Style w:val="29"/>
          <w:rFonts w:hint="eastAsia" w:ascii="Times New Roman" w:hAnsi="Times New Roman" w:eastAsia="黑体"/>
          <w:b w:val="0"/>
          <w:color w:val="auto"/>
          <w:highlight w:val="none"/>
        </w:rPr>
      </w:pPr>
      <w:bookmarkStart w:id="19" w:name="_Toc15396605"/>
      <w:bookmarkStart w:id="20"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19"/>
      <w:bookmarkEnd w:id="20"/>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956.17</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328.37</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34.34</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627.8</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65.66</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3360" behindDoc="0" locked="0" layoutInCell="1" allowOverlap="1">
            <wp:simplePos x="0" y="0"/>
            <wp:positionH relativeFrom="column">
              <wp:posOffset>252095</wp:posOffset>
            </wp:positionH>
            <wp:positionV relativeFrom="paragraph">
              <wp:posOffset>214630</wp:posOffset>
            </wp:positionV>
            <wp:extent cx="3216275" cy="2566035"/>
            <wp:effectExtent l="4445" t="4445" r="17780" b="20320"/>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pageBreakBefore w:val="0"/>
        <w:widowControl w:val="0"/>
        <w:kinsoku/>
        <w:wordWrap/>
        <w:overflowPunct/>
        <w:topLinePunct w:val="0"/>
        <w:bidi w:val="0"/>
        <w:spacing w:line="576" w:lineRule="exact"/>
        <w:ind w:firstLine="640" w:firstLineChars="200"/>
        <w:textAlignment w:val="auto"/>
        <w:rPr>
          <w:rFonts w:hint="eastAsia"/>
          <w:lang w:eastAsia="zh-CN"/>
        </w:rPr>
      </w:pPr>
      <w:r>
        <w:rPr>
          <w:rFonts w:hint="eastAsia" w:ascii="仿宋" w:eastAsia="仿宋"/>
          <w:color w:val="000000"/>
          <w:sz w:val="32"/>
          <w:szCs w:val="32"/>
        </w:rPr>
        <w:t>（图</w:t>
      </w:r>
      <w:r>
        <w:rPr>
          <w:rFonts w:ascii="仿宋" w:eastAsia="仿宋"/>
          <w:color w:val="000000"/>
          <w:sz w:val="32"/>
          <w:szCs w:val="32"/>
        </w:rPr>
        <w:t>3</w:t>
      </w:r>
      <w:r>
        <w:rPr>
          <w:rFonts w:hint="eastAsia" w:ascii="仿宋" w:eastAsia="仿宋"/>
          <w:color w:val="000000"/>
          <w:sz w:val="32"/>
          <w:szCs w:val="32"/>
        </w:rPr>
        <w:t>：支出决算结构图）（饼状图）</w:t>
      </w:r>
    </w:p>
    <w:p>
      <w:pPr>
        <w:pageBreakBefore w:val="0"/>
        <w:kinsoku/>
        <w:wordWrap/>
        <w:overflowPunct/>
        <w:topLinePunct w:val="0"/>
        <w:bidi w:val="0"/>
        <w:spacing w:line="576" w:lineRule="exact"/>
        <w:ind w:firstLine="640" w:firstLineChars="200"/>
        <w:textAlignment w:val="auto"/>
        <w:outlineLvl w:val="1"/>
        <w:rPr>
          <w:rStyle w:val="29"/>
          <w:rFonts w:ascii="Times New Roman" w:hAnsi="Times New Roman" w:eastAsia="黑体"/>
          <w:b w:val="0"/>
          <w:color w:val="auto"/>
          <w:highlight w:val="none"/>
        </w:rPr>
      </w:pPr>
      <w:bookmarkStart w:id="21" w:name="_Toc15396606"/>
      <w:bookmarkStart w:id="22"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1"/>
      <w:bookmarkEnd w:id="22"/>
    </w:p>
    <w:p>
      <w:pPr>
        <w:pageBreakBefore w:val="0"/>
        <w:widowControl w:val="0"/>
        <w:kinsoku/>
        <w:wordWrap/>
        <w:overflowPunct/>
        <w:topLinePunct w:val="0"/>
        <w:bidi w:val="0"/>
        <w:spacing w:line="576" w:lineRule="exact"/>
        <w:ind w:firstLine="640" w:firstLineChars="200"/>
        <w:textAlignment w:val="auto"/>
        <w:rPr>
          <w:rFonts w:hint="eastAsia" w:ascii="仿宋" w:eastAsia="仿宋"/>
          <w:color w:val="000000"/>
          <w:sz w:val="32"/>
          <w:szCs w:val="32"/>
          <w:lang w:val="en-US" w:eastAsia="zh-CN"/>
        </w:rPr>
      </w:pPr>
      <w:r>
        <w:rPr>
          <w:rFonts w:hint="eastAsia" w:ascii="仿宋" w:eastAsia="仿宋"/>
          <w:color w:val="000000"/>
          <w:sz w:val="32"/>
          <w:szCs w:val="32"/>
          <w:lang w:eastAsia="zh-CN"/>
        </w:rPr>
        <w:t>202</w:t>
      </w:r>
      <w:r>
        <w:rPr>
          <w:rFonts w:hint="eastAsia" w:ascii="仿宋" w:eastAsia="仿宋"/>
          <w:color w:val="000000"/>
          <w:sz w:val="32"/>
          <w:szCs w:val="32"/>
          <w:lang w:val="en-US" w:eastAsia="zh-CN"/>
        </w:rPr>
        <w:t>5</w:t>
      </w:r>
      <w:r>
        <w:rPr>
          <w:rFonts w:hint="eastAsia" w:ascii="仿宋" w:eastAsia="仿宋"/>
          <w:color w:val="000000"/>
          <w:sz w:val="32"/>
          <w:szCs w:val="32"/>
          <w:lang w:eastAsia="zh-CN"/>
        </w:rPr>
        <w:t>年</w:t>
      </w:r>
      <w:r>
        <w:rPr>
          <w:rFonts w:hint="eastAsia" w:ascii="仿宋" w:eastAsia="仿宋"/>
          <w:color w:val="000000"/>
          <w:sz w:val="32"/>
          <w:szCs w:val="32"/>
        </w:rPr>
        <w:t>财政拨款</w:t>
      </w:r>
      <w:r>
        <w:rPr>
          <w:rFonts w:hint="eastAsia" w:ascii="仿宋" w:eastAsia="仿宋"/>
          <w:color w:val="000000"/>
          <w:sz w:val="32"/>
          <w:szCs w:val="32"/>
          <w:lang w:eastAsia="zh-CN"/>
        </w:rPr>
        <w:t>收入</w:t>
      </w:r>
      <w:r>
        <w:rPr>
          <w:rFonts w:hint="eastAsia" w:ascii="仿宋" w:eastAsia="仿宋"/>
          <w:color w:val="000000"/>
          <w:sz w:val="32"/>
          <w:szCs w:val="32"/>
        </w:rPr>
        <w:t>总计</w:t>
      </w:r>
      <w:r>
        <w:rPr>
          <w:rFonts w:hint="eastAsia" w:ascii="仿宋" w:eastAsia="仿宋"/>
          <w:color w:val="000000"/>
          <w:sz w:val="32"/>
          <w:szCs w:val="32"/>
          <w:lang w:val="en-US" w:eastAsia="zh-CN"/>
        </w:rPr>
        <w:t>768.72万元，与2024年相比，减少606.14万元，</w:t>
      </w:r>
      <w:r>
        <w:rPr>
          <w:rFonts w:hint="eastAsia" w:ascii="仿宋" w:eastAsia="仿宋" w:cs="仿宋"/>
          <w:color w:val="000000"/>
          <w:kern w:val="2"/>
          <w:sz w:val="32"/>
          <w:szCs w:val="32"/>
          <w:lang w:val="en-US" w:eastAsia="zh-CN"/>
        </w:rPr>
        <w:t>下降</w:t>
      </w:r>
      <w:r>
        <w:rPr>
          <w:rFonts w:hint="eastAsia" w:ascii="仿宋" w:eastAsia="仿宋"/>
          <w:color w:val="000000"/>
          <w:sz w:val="32"/>
          <w:szCs w:val="32"/>
          <w:lang w:val="en-US" w:eastAsia="zh-CN"/>
        </w:rPr>
        <w:t>44.09%。</w:t>
      </w:r>
      <w:r>
        <w:rPr>
          <w:rFonts w:hint="eastAsia" w:ascii="仿宋" w:eastAsia="仿宋"/>
          <w:color w:val="000000"/>
          <w:sz w:val="32"/>
          <w:szCs w:val="32"/>
          <w:lang w:eastAsia="zh-CN"/>
        </w:rPr>
        <w:t>202</w:t>
      </w:r>
      <w:r>
        <w:rPr>
          <w:rFonts w:hint="eastAsia" w:ascii="仿宋" w:eastAsia="仿宋"/>
          <w:color w:val="000000"/>
          <w:sz w:val="32"/>
          <w:szCs w:val="32"/>
          <w:lang w:val="en-US" w:eastAsia="zh-CN"/>
        </w:rPr>
        <w:t>5</w:t>
      </w:r>
      <w:r>
        <w:rPr>
          <w:rFonts w:hint="eastAsia" w:ascii="仿宋" w:eastAsia="仿宋"/>
          <w:color w:val="000000"/>
          <w:sz w:val="32"/>
          <w:szCs w:val="32"/>
          <w:lang w:eastAsia="zh-CN"/>
        </w:rPr>
        <w:t>年</w:t>
      </w:r>
      <w:r>
        <w:rPr>
          <w:rFonts w:hint="eastAsia" w:ascii="仿宋" w:eastAsia="仿宋"/>
          <w:color w:val="000000"/>
          <w:sz w:val="32"/>
          <w:szCs w:val="32"/>
        </w:rPr>
        <w:t>财政拨款支出总计</w:t>
      </w:r>
      <w:r>
        <w:rPr>
          <w:rFonts w:hint="eastAsia" w:ascii="仿宋" w:eastAsia="仿宋"/>
          <w:color w:val="000000"/>
          <w:sz w:val="32"/>
          <w:szCs w:val="32"/>
          <w:lang w:val="en-US" w:eastAsia="zh-CN"/>
        </w:rPr>
        <w:t>768.72万元，与2024年相比，减少606.14万元，</w:t>
      </w:r>
      <w:r>
        <w:rPr>
          <w:rFonts w:hint="eastAsia" w:ascii="仿宋" w:eastAsia="仿宋" w:cs="仿宋"/>
          <w:color w:val="000000"/>
          <w:kern w:val="2"/>
          <w:sz w:val="32"/>
          <w:szCs w:val="32"/>
          <w:lang w:val="en-US" w:eastAsia="zh-CN"/>
        </w:rPr>
        <w:t>下降</w:t>
      </w:r>
      <w:r>
        <w:rPr>
          <w:rFonts w:hint="eastAsia" w:ascii="仿宋" w:eastAsia="仿宋"/>
          <w:color w:val="000000"/>
          <w:sz w:val="32"/>
          <w:szCs w:val="32"/>
          <w:lang w:val="en-US" w:eastAsia="zh-CN"/>
        </w:rPr>
        <w:t>44.09%。主要变动原因是本年度项目减少，项目收入减少，故本年收入减少。</w:t>
      </w:r>
    </w:p>
    <w:p>
      <w:pPr>
        <w:pageBreakBefore w:val="0"/>
        <w:widowControl w:val="0"/>
        <w:kinsoku/>
        <w:wordWrap/>
        <w:overflowPunct/>
        <w:topLinePunct w:val="0"/>
        <w:bidi w:val="0"/>
        <w:spacing w:line="576" w:lineRule="exac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lang w:val="en-US" w:eastAsia="zh-CN"/>
        </w:rPr>
        <w:drawing>
          <wp:anchor distT="0" distB="0" distL="114300" distR="114300" simplePos="0" relativeHeight="251665408" behindDoc="0" locked="0" layoutInCell="1" allowOverlap="1">
            <wp:simplePos x="0" y="0"/>
            <wp:positionH relativeFrom="column">
              <wp:posOffset>169545</wp:posOffset>
            </wp:positionH>
            <wp:positionV relativeFrom="paragraph">
              <wp:posOffset>3013710</wp:posOffset>
            </wp:positionV>
            <wp:extent cx="4801235" cy="2596515"/>
            <wp:effectExtent l="4445" t="4445" r="13970" b="8890"/>
            <wp:wrapTopAndBottom/>
            <wp:docPr id="1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lang w:val="en-US" w:eastAsia="zh-CN"/>
        </w:rPr>
        <w:drawing>
          <wp:anchor distT="0" distB="0" distL="114300" distR="114300" simplePos="0" relativeHeight="251664384" behindDoc="0" locked="0" layoutInCell="1" allowOverlap="1">
            <wp:simplePos x="0" y="0"/>
            <wp:positionH relativeFrom="column">
              <wp:posOffset>159385</wp:posOffset>
            </wp:positionH>
            <wp:positionV relativeFrom="paragraph">
              <wp:posOffset>238760</wp:posOffset>
            </wp:positionV>
            <wp:extent cx="4791710" cy="2618740"/>
            <wp:effectExtent l="4445" t="4445" r="23495" b="5715"/>
            <wp:wrapTopAndBottom/>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pPr>
        <w:pStyle w:val="2"/>
        <w:pageBreakBefore w:val="0"/>
        <w:kinsoku/>
        <w:wordWrap/>
        <w:overflowPunct/>
        <w:topLinePunct w:val="0"/>
        <w:bidi w:val="0"/>
        <w:spacing w:line="576" w:lineRule="exact"/>
        <w:ind w:firstLine="640" w:firstLineChars="200"/>
        <w:textAlignment w:val="auto"/>
        <w:rPr>
          <w:rFonts w:hint="eastAsia" w:ascii="Times New Roman" w:hAnsi="Times New Roman" w:eastAsia="黑体"/>
          <w:color w:val="auto"/>
          <w:sz w:val="32"/>
          <w:szCs w:val="32"/>
          <w:highlight w:val="none"/>
        </w:rPr>
      </w:pPr>
      <w:bookmarkStart w:id="23" w:name="_Toc15396607"/>
      <w:bookmarkStart w:id="24" w:name="_Toc15377209"/>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pageBreakBefore w:val="0"/>
        <w:kinsoku/>
        <w:wordWrap/>
        <w:overflowPunct/>
        <w:topLinePunct w:val="0"/>
        <w:bidi w:val="0"/>
        <w:spacing w:line="576" w:lineRule="exact"/>
        <w:ind w:firstLine="640" w:firstLineChars="200"/>
        <w:textAlignment w:val="auto"/>
        <w:outlineLvl w:val="1"/>
        <w:rPr>
          <w:rFonts w:hint="eastAsia" w:ascii="Times New Roman" w:hAnsi="Times New Roman" w:eastAsia="黑体"/>
          <w:color w:val="auto"/>
          <w:sz w:val="32"/>
          <w:szCs w:val="32"/>
          <w:highlight w:val="none"/>
        </w:rPr>
      </w:pPr>
    </w:p>
    <w:p>
      <w:pPr>
        <w:pageBreakBefore w:val="0"/>
        <w:kinsoku/>
        <w:wordWrap/>
        <w:overflowPunct/>
        <w:topLinePunct w:val="0"/>
        <w:bidi w:val="0"/>
        <w:spacing w:line="576" w:lineRule="exact"/>
        <w:ind w:firstLine="640" w:firstLineChars="200"/>
        <w:textAlignment w:val="auto"/>
        <w:outlineLvl w:val="1"/>
        <w:rPr>
          <w:rStyle w:val="29"/>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3"/>
      <w:bookmarkEnd w:id="24"/>
    </w:p>
    <w:p>
      <w:pPr>
        <w:pageBreakBefore w:val="0"/>
        <w:kinsoku/>
        <w:wordWrap/>
        <w:overflowPunct/>
        <w:topLinePunct w:val="0"/>
        <w:bidi w:val="0"/>
        <w:spacing w:line="576" w:lineRule="exact"/>
        <w:ind w:firstLine="642" w:firstLineChars="200"/>
        <w:textAlignment w:val="auto"/>
        <w:outlineLvl w:val="2"/>
        <w:rPr>
          <w:rFonts w:hint="eastAsia" w:ascii="Times New Roman" w:hAnsi="Times New Roman" w:eastAsia="楷体_GB2312" w:cs="楷体_GB2312"/>
          <w:b/>
          <w:color w:val="auto"/>
          <w:sz w:val="32"/>
          <w:szCs w:val="32"/>
          <w:highlight w:val="none"/>
        </w:rPr>
      </w:pPr>
      <w:bookmarkStart w:id="25"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5"/>
    </w:p>
    <w:p>
      <w:pPr>
        <w:pageBreakBefore w:val="0"/>
        <w:widowControl w:val="0"/>
        <w:kinsoku/>
        <w:wordWrap/>
        <w:overflowPunct/>
        <w:topLinePunct w:val="0"/>
        <w:bidi w:val="0"/>
        <w:spacing w:line="576" w:lineRule="exact"/>
        <w:ind w:firstLine="640" w:firstLineChars="200"/>
        <w:textAlignment w:val="auto"/>
        <w:rPr>
          <w:rFonts w:hint="eastAsia" w:ascii="仿宋" w:eastAsia="仿宋"/>
          <w:color w:val="000000"/>
          <w:sz w:val="32"/>
          <w:szCs w:val="32"/>
          <w:lang w:val="en-US" w:eastAsia="zh-CN"/>
        </w:rPr>
      </w:pPr>
      <w:r>
        <w:rPr>
          <w:rFonts w:hint="eastAsia" w:ascii="仿宋" w:eastAsia="仿宋"/>
          <w:color w:val="000000"/>
          <w:sz w:val="32"/>
          <w:szCs w:val="32"/>
          <w:lang w:eastAsia="zh-CN"/>
        </w:rPr>
        <w:t>202</w:t>
      </w:r>
      <w:r>
        <w:rPr>
          <w:rFonts w:hint="eastAsia" w:ascii="仿宋" w:eastAsia="仿宋"/>
          <w:color w:val="000000"/>
          <w:sz w:val="32"/>
          <w:szCs w:val="32"/>
          <w:lang w:val="en-US" w:eastAsia="zh-CN"/>
        </w:rPr>
        <w:t>5</w:t>
      </w:r>
      <w:r>
        <w:rPr>
          <w:rFonts w:hint="eastAsia" w:ascii="仿宋" w:eastAsia="仿宋"/>
          <w:color w:val="000000"/>
          <w:sz w:val="32"/>
          <w:szCs w:val="32"/>
          <w:lang w:eastAsia="zh-CN"/>
        </w:rPr>
        <w:t>年</w:t>
      </w:r>
      <w:r>
        <w:rPr>
          <w:rFonts w:hint="eastAsia" w:ascii="仿宋" w:eastAsia="仿宋"/>
          <w:color w:val="000000"/>
          <w:sz w:val="32"/>
          <w:szCs w:val="32"/>
        </w:rPr>
        <w:t>一般公共预算财政拨款支出</w:t>
      </w:r>
      <w:r>
        <w:rPr>
          <w:rFonts w:hint="eastAsia" w:ascii="仿宋" w:eastAsia="仿宋"/>
          <w:color w:val="000000"/>
          <w:sz w:val="32"/>
          <w:szCs w:val="32"/>
          <w:lang w:val="en-US" w:eastAsia="zh-CN"/>
        </w:rPr>
        <w:t>768.72</w:t>
      </w:r>
      <w:r>
        <w:rPr>
          <w:rFonts w:hint="eastAsia" w:ascii="仿宋" w:eastAsia="仿宋"/>
          <w:color w:val="000000"/>
          <w:sz w:val="32"/>
          <w:szCs w:val="32"/>
        </w:rPr>
        <w:t>万元，占本年支出合计的</w:t>
      </w:r>
      <w:r>
        <w:rPr>
          <w:rFonts w:hint="eastAsia" w:ascii="仿宋" w:eastAsia="仿宋"/>
          <w:color w:val="000000"/>
          <w:sz w:val="32"/>
          <w:szCs w:val="32"/>
          <w:lang w:val="en-US" w:eastAsia="zh-CN"/>
        </w:rPr>
        <w:t>80.40</w:t>
      </w:r>
      <w:r>
        <w:rPr>
          <w:rFonts w:ascii="仿宋" w:eastAsia="仿宋"/>
          <w:color w:val="000000"/>
          <w:sz w:val="32"/>
          <w:szCs w:val="32"/>
        </w:rPr>
        <w:t>%</w:t>
      </w:r>
      <w:r>
        <w:rPr>
          <w:rFonts w:hint="eastAsia" w:ascii="仿宋" w:eastAsia="仿宋"/>
          <w:color w:val="000000"/>
          <w:sz w:val="32"/>
          <w:szCs w:val="32"/>
        </w:rPr>
        <w:t>。与</w:t>
      </w:r>
      <w:r>
        <w:rPr>
          <w:rFonts w:hint="eastAsia" w:ascii="仿宋" w:eastAsia="仿宋"/>
          <w:color w:val="000000"/>
          <w:sz w:val="32"/>
          <w:szCs w:val="32"/>
          <w:lang w:eastAsia="zh-CN"/>
        </w:rPr>
        <w:t>上年度</w:t>
      </w:r>
      <w:r>
        <w:rPr>
          <w:rFonts w:hint="eastAsia" w:ascii="仿宋" w:eastAsia="仿宋"/>
          <w:color w:val="000000"/>
          <w:sz w:val="32"/>
          <w:szCs w:val="32"/>
        </w:rPr>
        <w:t>相比，一般公共预算财政拨款</w:t>
      </w:r>
      <w:r>
        <w:rPr>
          <w:rFonts w:hint="eastAsia" w:ascii="仿宋" w:eastAsia="仿宋"/>
          <w:color w:val="000000"/>
          <w:sz w:val="32"/>
          <w:szCs w:val="32"/>
          <w:lang w:eastAsia="zh-CN"/>
        </w:rPr>
        <w:t>支出</w:t>
      </w:r>
      <w:r>
        <w:rPr>
          <w:rFonts w:hint="eastAsia" w:ascii="仿宋" w:eastAsia="仿宋"/>
          <w:color w:val="000000"/>
          <w:sz w:val="32"/>
          <w:szCs w:val="32"/>
          <w:lang w:val="en-US" w:eastAsia="zh-CN"/>
        </w:rPr>
        <w:t>减少606.14万元，</w:t>
      </w:r>
      <w:r>
        <w:rPr>
          <w:rFonts w:hint="eastAsia" w:ascii="仿宋" w:eastAsia="仿宋" w:cs="仿宋"/>
          <w:color w:val="000000"/>
          <w:kern w:val="2"/>
          <w:sz w:val="32"/>
          <w:szCs w:val="32"/>
          <w:lang w:val="en-US" w:eastAsia="zh-CN"/>
        </w:rPr>
        <w:t>下降</w:t>
      </w:r>
      <w:r>
        <w:rPr>
          <w:rFonts w:hint="eastAsia" w:ascii="仿宋" w:eastAsia="仿宋"/>
          <w:color w:val="000000"/>
          <w:sz w:val="32"/>
          <w:szCs w:val="32"/>
          <w:lang w:val="en-US" w:eastAsia="zh-CN"/>
        </w:rPr>
        <w:t>44.09%。主要变动原因是本年度项目减少，项目收入减少，故本年收入减少。</w:t>
      </w:r>
    </w:p>
    <w:p>
      <w:pPr>
        <w:pStyle w:val="2"/>
        <w:pageBreakBefore w:val="0"/>
        <w:kinsoku/>
        <w:wordWrap/>
        <w:overflowPunct/>
        <w:topLinePunct w:val="0"/>
        <w:bidi w:val="0"/>
        <w:spacing w:line="576" w:lineRule="exact"/>
        <w:ind w:firstLine="360" w:firstLineChars="200"/>
        <w:textAlignment w:val="auto"/>
        <w:rPr>
          <w:rFonts w:hint="default"/>
          <w:lang w:val="en-US" w:eastAsia="zh-CN"/>
        </w:rPr>
      </w:pPr>
    </w:p>
    <w:p>
      <w:pPr>
        <w:pStyle w:val="2"/>
        <w:pageBreakBefore w:val="0"/>
        <w:kinsoku/>
        <w:wordWrap/>
        <w:overflowPunct/>
        <w:topLinePunct w:val="0"/>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6432" behindDoc="0" locked="0" layoutInCell="1" allowOverlap="1">
            <wp:simplePos x="0" y="0"/>
            <wp:positionH relativeFrom="column">
              <wp:posOffset>305435</wp:posOffset>
            </wp:positionH>
            <wp:positionV relativeFrom="paragraph">
              <wp:posOffset>3175</wp:posOffset>
            </wp:positionV>
            <wp:extent cx="4516755" cy="3147060"/>
            <wp:effectExtent l="4445" t="4445" r="12700" b="10795"/>
            <wp:wrapTopAndBottom/>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pPr>
        <w:pageBreakBefore w:val="0"/>
        <w:kinsoku/>
        <w:wordWrap/>
        <w:overflowPunct/>
        <w:topLinePunct w:val="0"/>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pageBreakBefore w:val="0"/>
        <w:kinsoku/>
        <w:wordWrap/>
        <w:overflowPunct/>
        <w:topLinePunct w:val="0"/>
        <w:bidi w:val="0"/>
        <w:spacing w:line="576" w:lineRule="exact"/>
        <w:ind w:firstLine="642" w:firstLineChars="200"/>
        <w:textAlignment w:val="auto"/>
        <w:outlineLvl w:val="2"/>
        <w:rPr>
          <w:rFonts w:hint="eastAsia" w:ascii="Times New Roman" w:hAnsi="Times New Roman" w:eastAsia="楷体_GB2312" w:cs="楷体_GB2312"/>
          <w:b/>
          <w:color w:val="auto"/>
          <w:sz w:val="32"/>
          <w:szCs w:val="32"/>
          <w:highlight w:val="none"/>
        </w:rPr>
      </w:pPr>
      <w:bookmarkStart w:id="26"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6"/>
    </w:p>
    <w:p>
      <w:pPr>
        <w:pageBreakBefore w:val="0"/>
        <w:kinsoku/>
        <w:wordWrap/>
        <w:overflowPunct/>
        <w:topLinePunct w:val="0"/>
        <w:bidi w:val="0"/>
        <w:spacing w:line="576" w:lineRule="exact"/>
        <w:ind w:firstLine="640" w:firstLineChars="200"/>
        <w:textAlignment w:val="auto"/>
        <w:rPr>
          <w:rFonts w:hint="eastAsia"/>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768.72</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661.71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7456" behindDoc="0" locked="0" layoutInCell="1" allowOverlap="1">
            <wp:simplePos x="0" y="0"/>
            <wp:positionH relativeFrom="column">
              <wp:posOffset>-128270</wp:posOffset>
            </wp:positionH>
            <wp:positionV relativeFrom="paragraph">
              <wp:posOffset>1111250</wp:posOffset>
            </wp:positionV>
            <wp:extent cx="5256530" cy="2988310"/>
            <wp:effectExtent l="5080" t="4445" r="15240" b="17145"/>
            <wp:wrapTopAndBottom/>
            <wp:docPr id="24"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Pr>
          <w:rFonts w:hint="eastAsia" w:eastAsia="仿宋_GB2312" w:cs="仿宋_GB2312"/>
          <w:color w:val="auto"/>
          <w:kern w:val="2"/>
          <w:sz w:val="32"/>
          <w:szCs w:val="32"/>
          <w:highlight w:val="none"/>
          <w:lang w:val="en-US" w:eastAsia="zh-CN" w:bidi="ar-SA"/>
        </w:rPr>
        <w:t>86.08</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43.27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5.63</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15.93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2.07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农林水</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24.73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3.22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住房保障支出23.08万元，占3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pageBreakBefore w:val="0"/>
        <w:kinsoku/>
        <w:wordWrap/>
        <w:overflowPunct/>
        <w:topLinePunct w:val="0"/>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pPr>
        <w:pageBreakBefore w:val="0"/>
        <w:kinsoku/>
        <w:wordWrap/>
        <w:overflowPunct/>
        <w:topLinePunct w:val="0"/>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pageBreakBefore w:val="0"/>
        <w:kinsoku/>
        <w:wordWrap/>
        <w:overflowPunct/>
        <w:topLinePunct w:val="0"/>
        <w:bidi w:val="0"/>
        <w:spacing w:line="576" w:lineRule="exact"/>
        <w:ind w:firstLine="642" w:firstLineChars="200"/>
        <w:textAlignment w:val="auto"/>
        <w:outlineLvl w:val="2"/>
        <w:rPr>
          <w:rFonts w:hint="eastAsia" w:ascii="Times New Roman" w:hAnsi="Times New Roman" w:eastAsia="楷体_GB2312" w:cs="楷体_GB2312"/>
          <w:b/>
          <w:color w:val="auto"/>
          <w:sz w:val="32"/>
          <w:szCs w:val="32"/>
          <w:highlight w:val="none"/>
        </w:rPr>
      </w:pPr>
      <w:bookmarkStart w:id="27"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7"/>
    </w:p>
    <w:p>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bookmarkStart w:id="28" w:name="_Toc15377444"/>
      <w:bookmarkStart w:id="29" w:name="_Toc15378460"/>
      <w:bookmarkStart w:id="30"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768.72万元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8"/>
      <w:bookmarkEnd w:id="29"/>
      <w:bookmarkEnd w:id="30"/>
    </w:p>
    <w:p>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方正仿宋_GB2312" w:hAnsi="方正仿宋_GB2312" w:eastAsia="方正仿宋_GB2312" w:cs="方正仿宋_GB2312"/>
          <w:b w:val="0"/>
          <w:bCs w:val="0"/>
          <w:color w:val="auto"/>
          <w:kern w:val="2"/>
          <w:sz w:val="32"/>
          <w:szCs w:val="32"/>
          <w:highlight w:val="none"/>
          <w:lang w:val="en-US" w:eastAsia="zh-CN" w:bidi="ar-SA"/>
        </w:rPr>
      </w:pPr>
      <w:r>
        <w:rPr>
          <w:rFonts w:hint="eastAsia" w:ascii="方正仿宋_GB2312" w:hAnsi="方正仿宋_GB2312" w:eastAsia="方正仿宋_GB2312" w:cs="方正仿宋_GB2312"/>
          <w:b w:val="0"/>
          <w:bCs w:val="0"/>
          <w:color w:val="auto"/>
          <w:kern w:val="2"/>
          <w:sz w:val="32"/>
          <w:szCs w:val="32"/>
          <w:highlight w:val="none"/>
          <w:lang w:val="en-US" w:eastAsia="zh-CN" w:bidi="ar-SA"/>
        </w:rPr>
        <w:t>1.文化旅游体育与传媒（类）文化和旅游（款）机关服务（项）：支出决算为246.09万元，完成预算100%。</w:t>
      </w:r>
    </w:p>
    <w:p>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方正仿宋_GB2312" w:hAnsi="方正仿宋_GB2312" w:eastAsia="方正仿宋_GB2312" w:cs="方正仿宋_GB2312"/>
          <w:b w:val="0"/>
          <w:bCs w:val="0"/>
          <w:color w:val="auto"/>
          <w:kern w:val="2"/>
          <w:sz w:val="32"/>
          <w:szCs w:val="32"/>
          <w:highlight w:val="none"/>
          <w:lang w:val="en-US" w:eastAsia="zh-CN" w:bidi="ar-SA"/>
        </w:rPr>
      </w:pPr>
      <w:r>
        <w:rPr>
          <w:rFonts w:hint="eastAsia" w:ascii="方正仿宋_GB2312" w:hAnsi="方正仿宋_GB2312" w:eastAsia="方正仿宋_GB2312" w:cs="方正仿宋_GB2312"/>
          <w:b w:val="0"/>
          <w:bCs w:val="0"/>
          <w:color w:val="auto"/>
          <w:kern w:val="2"/>
          <w:sz w:val="32"/>
          <w:szCs w:val="32"/>
          <w:highlight w:val="none"/>
          <w:lang w:val="en-US" w:eastAsia="zh-CN" w:bidi="ar-SA"/>
        </w:rPr>
        <w:t>2.文化旅游体育与传媒（类）文化和旅游（款）文化展示及纪念机构（项）：支出决算为292.09万元，完成预算100%。</w:t>
      </w:r>
    </w:p>
    <w:p>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方正仿宋_GB2312" w:hAnsi="方正仿宋_GB2312" w:eastAsia="方正仿宋_GB2312" w:cs="方正仿宋_GB2312"/>
          <w:b w:val="0"/>
          <w:bCs w:val="0"/>
          <w:color w:val="auto"/>
          <w:kern w:val="2"/>
          <w:sz w:val="32"/>
          <w:szCs w:val="32"/>
          <w:highlight w:val="none"/>
          <w:lang w:val="en-US" w:eastAsia="zh-CN" w:bidi="ar-SA"/>
        </w:rPr>
      </w:pPr>
      <w:r>
        <w:rPr>
          <w:rFonts w:hint="eastAsia" w:ascii="方正仿宋_GB2312" w:hAnsi="方正仿宋_GB2312" w:eastAsia="方正仿宋_GB2312" w:cs="方正仿宋_GB2312"/>
          <w:b w:val="0"/>
          <w:bCs w:val="0"/>
          <w:sz w:val="32"/>
          <w:szCs w:val="32"/>
          <w:lang w:val="en-US" w:eastAsia="zh-CN"/>
        </w:rPr>
        <w:t>3.</w:t>
      </w:r>
      <w:r>
        <w:rPr>
          <w:rFonts w:hint="eastAsia" w:ascii="方正仿宋_GB2312" w:hAnsi="方正仿宋_GB2312" w:eastAsia="方正仿宋_GB2312" w:cs="方正仿宋_GB2312"/>
          <w:b w:val="0"/>
          <w:bCs w:val="0"/>
          <w:color w:val="auto"/>
          <w:kern w:val="2"/>
          <w:sz w:val="32"/>
          <w:szCs w:val="32"/>
          <w:highlight w:val="none"/>
          <w:lang w:val="en-US" w:eastAsia="zh-CN" w:bidi="ar-SA"/>
        </w:rPr>
        <w:t>文化旅游体育与传媒（类）文化和旅游（款）文化创作与保护（项）：支出决算为68.17万元，完成预算100%。</w:t>
      </w:r>
    </w:p>
    <w:p>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方正仿宋_GB2312" w:hAnsi="方正仿宋_GB2312" w:eastAsia="方正仿宋_GB2312" w:cs="方正仿宋_GB2312"/>
          <w:b w:val="0"/>
          <w:bCs w:val="0"/>
          <w:color w:val="auto"/>
          <w:kern w:val="2"/>
          <w:sz w:val="32"/>
          <w:szCs w:val="32"/>
          <w:highlight w:val="none"/>
          <w:lang w:val="en-US" w:eastAsia="zh-CN" w:bidi="ar-SA"/>
        </w:rPr>
      </w:pPr>
      <w:r>
        <w:rPr>
          <w:rFonts w:hint="eastAsia" w:ascii="方正仿宋_GB2312" w:hAnsi="方正仿宋_GB2312" w:eastAsia="方正仿宋_GB2312" w:cs="方正仿宋_GB2312"/>
          <w:b w:val="0"/>
          <w:bCs w:val="0"/>
          <w:sz w:val="32"/>
          <w:szCs w:val="32"/>
          <w:lang w:val="en-US" w:eastAsia="zh-CN"/>
        </w:rPr>
        <w:t>4.</w:t>
      </w:r>
      <w:r>
        <w:rPr>
          <w:rFonts w:hint="eastAsia" w:ascii="方正仿宋_GB2312" w:hAnsi="方正仿宋_GB2312" w:eastAsia="方正仿宋_GB2312" w:cs="方正仿宋_GB2312"/>
          <w:b w:val="0"/>
          <w:bCs w:val="0"/>
          <w:color w:val="auto"/>
          <w:kern w:val="2"/>
          <w:sz w:val="32"/>
          <w:szCs w:val="32"/>
          <w:highlight w:val="none"/>
          <w:lang w:val="en-US" w:eastAsia="zh-CN" w:bidi="ar-SA"/>
        </w:rPr>
        <w:t>文化旅游体育与传媒（类）文化和旅游（款）其他文化和旅游支出（项）：支出决算为55.37万元，完成预算100%。</w:t>
      </w:r>
    </w:p>
    <w:p>
      <w:pPr>
        <w:keepNext w:val="0"/>
        <w:keepLines w:val="0"/>
        <w:pageBreakBefore w:val="0"/>
        <w:widowControl w:val="0"/>
        <w:numPr>
          <w:ilvl w:val="0"/>
          <w:numId w:val="0"/>
        </w:numPr>
        <w:kinsoku/>
        <w:wordWrap/>
        <w:overflowPunct/>
        <w:topLinePunct w:val="0"/>
        <w:autoSpaceDE/>
        <w:autoSpaceDN/>
        <w:bidi w:val="0"/>
        <w:adjustRightInd/>
        <w:spacing w:line="576" w:lineRule="exact"/>
        <w:ind w:firstLine="640" w:firstLineChars="200"/>
        <w:textAlignment w:val="auto"/>
        <w:rPr>
          <w:rFonts w:hint="eastAsia" w:ascii="方正仿宋_GB2312" w:hAnsi="方正仿宋_GB2312" w:eastAsia="方正仿宋_GB2312" w:cs="方正仿宋_GB2312"/>
          <w:b w:val="0"/>
          <w:bCs w:val="0"/>
          <w:color w:val="auto"/>
          <w:kern w:val="2"/>
          <w:sz w:val="32"/>
          <w:szCs w:val="32"/>
          <w:highlight w:val="none"/>
          <w:lang w:val="en-US" w:eastAsia="zh-CN" w:bidi="ar-SA"/>
        </w:rPr>
      </w:pPr>
      <w:r>
        <w:rPr>
          <w:rFonts w:hint="eastAsia" w:ascii="方正仿宋_GB2312" w:hAnsi="方正仿宋_GB2312" w:eastAsia="方正仿宋_GB2312" w:cs="方正仿宋_GB2312"/>
          <w:b w:val="0"/>
          <w:bCs w:val="0"/>
          <w:color w:val="auto"/>
          <w:kern w:val="2"/>
          <w:sz w:val="32"/>
          <w:szCs w:val="32"/>
          <w:highlight w:val="none"/>
          <w:lang w:val="en-US" w:eastAsia="zh-CN" w:bidi="ar-SA"/>
        </w:rPr>
        <w:t>5.社会保障和就业（类）行政事业单位养老支出（款）机关事业单位基本养老保险缴费支出（项）：支出决算为28.84万元，完成预算100%。</w:t>
      </w:r>
    </w:p>
    <w:p>
      <w:pPr>
        <w:keepNext w:val="0"/>
        <w:keepLines w:val="0"/>
        <w:pageBreakBefore w:val="0"/>
        <w:widowControl w:val="0"/>
        <w:numPr>
          <w:ilvl w:val="0"/>
          <w:numId w:val="0"/>
        </w:numPr>
        <w:kinsoku/>
        <w:wordWrap/>
        <w:overflowPunct/>
        <w:topLinePunct w:val="0"/>
        <w:autoSpaceDE/>
        <w:autoSpaceDN/>
        <w:bidi w:val="0"/>
        <w:adjustRightInd/>
        <w:spacing w:line="576" w:lineRule="exact"/>
        <w:ind w:firstLine="640" w:firstLineChars="200"/>
        <w:textAlignment w:val="auto"/>
        <w:rPr>
          <w:rFonts w:hint="eastAsia" w:ascii="方正仿宋_GB2312" w:hAnsi="方正仿宋_GB2312" w:eastAsia="方正仿宋_GB2312" w:cs="方正仿宋_GB2312"/>
          <w:b w:val="0"/>
          <w:bCs w:val="0"/>
          <w:color w:val="auto"/>
          <w:kern w:val="2"/>
          <w:sz w:val="32"/>
          <w:szCs w:val="32"/>
          <w:highlight w:val="none"/>
          <w:lang w:val="en-US" w:eastAsia="zh-CN" w:bidi="ar-SA"/>
        </w:rPr>
      </w:pPr>
      <w:r>
        <w:rPr>
          <w:rFonts w:hint="eastAsia" w:ascii="方正仿宋_GB2312" w:hAnsi="方正仿宋_GB2312" w:eastAsia="方正仿宋_GB2312" w:cs="方正仿宋_GB2312"/>
          <w:b w:val="0"/>
          <w:bCs w:val="0"/>
          <w:color w:val="auto"/>
          <w:kern w:val="2"/>
          <w:sz w:val="32"/>
          <w:szCs w:val="32"/>
          <w:highlight w:val="none"/>
          <w:lang w:val="en-US" w:eastAsia="zh-CN" w:bidi="ar-SA"/>
        </w:rPr>
        <w:t>6.社会保障和就业（类）行政事业单位养老支出（款）机关事业单位职业年金缴费支出（项）：支出决算为14.42万元，完成预算100%。</w:t>
      </w:r>
    </w:p>
    <w:p>
      <w:pPr>
        <w:keepNext w:val="0"/>
        <w:keepLines w:val="0"/>
        <w:pageBreakBefore w:val="0"/>
        <w:widowControl w:val="0"/>
        <w:numPr>
          <w:ilvl w:val="0"/>
          <w:numId w:val="0"/>
        </w:numPr>
        <w:kinsoku/>
        <w:wordWrap/>
        <w:overflowPunct/>
        <w:topLinePunct w:val="0"/>
        <w:autoSpaceDE/>
        <w:autoSpaceDN/>
        <w:bidi w:val="0"/>
        <w:adjustRightInd/>
        <w:spacing w:line="576" w:lineRule="exact"/>
        <w:ind w:firstLine="640" w:firstLineChars="200"/>
        <w:textAlignment w:val="auto"/>
        <w:rPr>
          <w:rFonts w:hint="eastAsia" w:ascii="方正仿宋_GB2312" w:hAnsi="方正仿宋_GB2312" w:eastAsia="方正仿宋_GB2312" w:cs="方正仿宋_GB2312"/>
          <w:b w:val="0"/>
          <w:bCs w:val="0"/>
          <w:color w:val="auto"/>
          <w:kern w:val="2"/>
          <w:sz w:val="32"/>
          <w:szCs w:val="32"/>
          <w:highlight w:val="none"/>
          <w:lang w:val="en-US" w:eastAsia="zh-CN" w:bidi="ar-SA"/>
        </w:rPr>
      </w:pPr>
      <w:r>
        <w:rPr>
          <w:rFonts w:hint="eastAsia" w:ascii="方正仿宋_GB2312" w:hAnsi="方正仿宋_GB2312" w:eastAsia="方正仿宋_GB2312" w:cs="方正仿宋_GB2312"/>
          <w:b w:val="0"/>
          <w:bCs w:val="0"/>
          <w:color w:val="auto"/>
          <w:kern w:val="2"/>
          <w:sz w:val="32"/>
          <w:szCs w:val="32"/>
          <w:highlight w:val="none"/>
          <w:lang w:val="en-US" w:eastAsia="zh-CN" w:bidi="ar-SA"/>
        </w:rPr>
        <w:t>7.卫生健康（类）行政事业单位医疗（款）事业单位医疗（项）：支出决算为13.68万元，完成预算100%，</w:t>
      </w:r>
    </w:p>
    <w:p>
      <w:pPr>
        <w:keepNext w:val="0"/>
        <w:keepLines w:val="0"/>
        <w:pageBreakBefore w:val="0"/>
        <w:widowControl w:val="0"/>
        <w:numPr>
          <w:ilvl w:val="0"/>
          <w:numId w:val="0"/>
        </w:numPr>
        <w:kinsoku/>
        <w:wordWrap/>
        <w:overflowPunct/>
        <w:topLinePunct w:val="0"/>
        <w:autoSpaceDE/>
        <w:autoSpaceDN/>
        <w:bidi w:val="0"/>
        <w:adjustRightInd/>
        <w:spacing w:line="576" w:lineRule="exact"/>
        <w:ind w:firstLine="640" w:firstLineChars="200"/>
        <w:textAlignment w:val="auto"/>
        <w:rPr>
          <w:rFonts w:hint="eastAsia" w:ascii="方正仿宋_GB2312" w:hAnsi="方正仿宋_GB2312" w:eastAsia="方正仿宋_GB2312" w:cs="方正仿宋_GB2312"/>
          <w:b w:val="0"/>
          <w:bCs w:val="0"/>
          <w:color w:val="auto"/>
          <w:kern w:val="2"/>
          <w:sz w:val="32"/>
          <w:szCs w:val="32"/>
          <w:highlight w:val="none"/>
          <w:lang w:val="en-US" w:eastAsia="zh-CN" w:bidi="ar-SA"/>
        </w:rPr>
      </w:pPr>
      <w:r>
        <w:rPr>
          <w:rFonts w:hint="eastAsia" w:ascii="方正仿宋_GB2312" w:hAnsi="方正仿宋_GB2312" w:eastAsia="方正仿宋_GB2312" w:cs="方正仿宋_GB2312"/>
          <w:b w:val="0"/>
          <w:bCs w:val="0"/>
          <w:color w:val="auto"/>
          <w:kern w:val="2"/>
          <w:sz w:val="32"/>
          <w:szCs w:val="32"/>
          <w:highlight w:val="none"/>
          <w:lang w:val="en-US" w:eastAsia="zh-CN" w:bidi="ar-SA"/>
        </w:rPr>
        <w:t>8.卫生健康（类）行政事业单位医疗（款）其他行政事业单位医疗支出（项）：支出决算为2.24万元，完成预算100%，</w:t>
      </w:r>
    </w:p>
    <w:p>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方正仿宋_GB2312" w:hAnsi="方正仿宋_GB2312" w:eastAsia="方正仿宋_GB2312" w:cs="方正仿宋_GB2312"/>
          <w:b w:val="0"/>
          <w:bCs w:val="0"/>
          <w:color w:val="000000"/>
          <w:sz w:val="32"/>
          <w:szCs w:val="32"/>
        </w:rPr>
      </w:pPr>
      <w:r>
        <w:rPr>
          <w:rStyle w:val="17"/>
          <w:rFonts w:hint="eastAsia" w:ascii="方正仿宋_GB2312" w:hAnsi="方正仿宋_GB2312" w:eastAsia="方正仿宋_GB2312" w:cs="方正仿宋_GB2312"/>
          <w:b w:val="0"/>
          <w:bCs w:val="0"/>
          <w:color w:val="000000"/>
          <w:sz w:val="32"/>
          <w:szCs w:val="32"/>
          <w:lang w:val="en-US" w:eastAsia="zh-CN"/>
        </w:rPr>
        <w:t>9.</w:t>
      </w:r>
      <w:r>
        <w:rPr>
          <w:rStyle w:val="17"/>
          <w:rFonts w:hint="eastAsia" w:ascii="方正仿宋_GB2312" w:hAnsi="方正仿宋_GB2312" w:eastAsia="方正仿宋_GB2312" w:cs="方正仿宋_GB2312"/>
          <w:b w:val="0"/>
          <w:bCs w:val="0"/>
          <w:color w:val="000000"/>
          <w:sz w:val="32"/>
          <w:szCs w:val="32"/>
        </w:rPr>
        <w:t>农林水支出（类）巩固脱贫衔接乡村振兴（款）农村基础设施建设（项）: 支出决算为</w:t>
      </w:r>
      <w:r>
        <w:rPr>
          <w:rStyle w:val="17"/>
          <w:rFonts w:hint="eastAsia" w:ascii="方正仿宋_GB2312" w:hAnsi="方正仿宋_GB2312" w:eastAsia="方正仿宋_GB2312" w:cs="方正仿宋_GB2312"/>
          <w:b w:val="0"/>
          <w:bCs w:val="0"/>
          <w:color w:val="000000"/>
          <w:sz w:val="32"/>
          <w:szCs w:val="32"/>
          <w:lang w:val="en-US" w:eastAsia="zh-CN"/>
        </w:rPr>
        <w:t>24.73</w:t>
      </w:r>
      <w:r>
        <w:rPr>
          <w:rStyle w:val="17"/>
          <w:rFonts w:hint="eastAsia" w:ascii="方正仿宋_GB2312" w:hAnsi="方正仿宋_GB2312" w:eastAsia="方正仿宋_GB2312" w:cs="方正仿宋_GB2312"/>
          <w:b w:val="0"/>
          <w:bCs w:val="0"/>
          <w:color w:val="000000"/>
          <w:sz w:val="32"/>
          <w:szCs w:val="32"/>
        </w:rPr>
        <w:t>万元，完成预算100%。</w:t>
      </w:r>
    </w:p>
    <w:p>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方正仿宋_GB2312" w:hAnsi="方正仿宋_GB2312" w:eastAsia="方正仿宋_GB2312" w:cs="方正仿宋_GB2312"/>
          <w:b w:val="0"/>
          <w:bCs w:val="0"/>
          <w:color w:val="FF0000"/>
          <w:sz w:val="32"/>
          <w:szCs w:val="32"/>
        </w:rPr>
      </w:pPr>
      <w:r>
        <w:rPr>
          <w:rFonts w:hint="eastAsia" w:ascii="方正仿宋_GB2312" w:hAnsi="方正仿宋_GB2312" w:eastAsia="方正仿宋_GB2312" w:cs="方正仿宋_GB2312"/>
          <w:b w:val="0"/>
          <w:bCs w:val="0"/>
          <w:color w:val="000000"/>
          <w:kern w:val="2"/>
          <w:sz w:val="32"/>
          <w:szCs w:val="32"/>
          <w:lang w:val="en-US" w:eastAsia="zh-CN"/>
        </w:rPr>
        <w:t>10住房保障支出（类）住房改革支出（款）住房公积金（项）:支出决算为23.08万元，完成预算100%。</w:t>
      </w:r>
    </w:p>
    <w:p>
      <w:pPr>
        <w:pageBreakBefore w:val="0"/>
        <w:kinsoku/>
        <w:wordWrap/>
        <w:overflowPunct/>
        <w:topLinePunct w:val="0"/>
        <w:bidi w:val="0"/>
        <w:spacing w:line="576" w:lineRule="exact"/>
        <w:ind w:firstLine="640" w:firstLineChars="200"/>
        <w:textAlignment w:val="auto"/>
        <w:rPr>
          <w:rStyle w:val="29"/>
          <w:rFonts w:ascii="Times New Roman" w:hAnsi="Times New Roman"/>
          <w:color w:val="auto"/>
          <w:highlight w:val="none"/>
        </w:rPr>
      </w:pPr>
      <w:bookmarkStart w:id="31" w:name="_Toc15396608"/>
      <w:bookmarkStart w:id="32"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1"/>
      <w:bookmarkEnd w:id="32"/>
      <w:r>
        <w:rPr>
          <w:rStyle w:val="29"/>
          <w:rFonts w:ascii="Times New Roman" w:hAnsi="Times New Roman" w:eastAsia="黑体"/>
          <w:b w:val="0"/>
          <w:color w:val="auto"/>
          <w:highlight w:val="none"/>
        </w:rPr>
        <w:tab/>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方正仿宋_GB2312" w:hAnsi="方正仿宋_GB2312" w:eastAsia="方正仿宋_GB2312" w:cs="方正仿宋_GB2312"/>
          <w:color w:val="auto"/>
          <w:kern w:val="2"/>
          <w:sz w:val="32"/>
          <w:szCs w:val="32"/>
          <w:highlight w:val="none"/>
          <w:lang w:val="en-US" w:eastAsia="zh-CN" w:bidi="ar-SA"/>
        </w:rPr>
      </w:pPr>
      <w:r>
        <w:rPr>
          <w:rFonts w:hint="eastAsia" w:ascii="方正仿宋_GB2312" w:hAnsi="方正仿宋_GB2312" w:eastAsia="方正仿宋_GB2312" w:cs="方正仿宋_GB2312"/>
          <w:color w:val="auto"/>
          <w:kern w:val="2"/>
          <w:sz w:val="32"/>
          <w:szCs w:val="32"/>
          <w:highlight w:val="none"/>
          <w:lang w:val="en-US" w:eastAsia="zh-CN" w:bidi="ar-SA"/>
        </w:rPr>
        <w:t>2025年度一般公共预算财政拨款基本支出328.37万元，其中：</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方正仿宋_GB2312" w:hAnsi="方正仿宋_GB2312" w:eastAsia="方正仿宋_GB2312" w:cs="方正仿宋_GB2312"/>
          <w:color w:val="auto"/>
          <w:kern w:val="2"/>
          <w:sz w:val="32"/>
          <w:szCs w:val="32"/>
          <w:highlight w:val="none"/>
          <w:lang w:val="en-US" w:eastAsia="zh-CN" w:bidi="ar-SA"/>
        </w:rPr>
      </w:pPr>
      <w:r>
        <w:rPr>
          <w:rFonts w:hint="eastAsia" w:ascii="方正仿宋_GB2312" w:hAnsi="方正仿宋_GB2312" w:eastAsia="方正仿宋_GB2312" w:cs="方正仿宋_GB2312"/>
          <w:color w:val="auto"/>
          <w:kern w:val="2"/>
          <w:sz w:val="32"/>
          <w:szCs w:val="32"/>
          <w:highlight w:val="none"/>
          <w:lang w:val="en-US" w:eastAsia="zh-CN" w:bidi="ar-SA"/>
        </w:rPr>
        <w:t>人员经费294.76（四舍五入）万元、奖金66.41万元、绩效工资36.63万元、机关事业单位基本养老保险缴费28.84万元、职业年金缴费14.42万元、其他社会保障缴费3.68万元、医疗费补助1.58万元、住房公积金23.08万元、职工基本医疗保险缴费13.68万元。</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方正仿宋_GB2312" w:hAnsi="方正仿宋_GB2312" w:eastAsia="方正仿宋_GB2312" w:cs="方正仿宋_GB2312"/>
          <w:color w:val="auto"/>
          <w:kern w:val="2"/>
          <w:sz w:val="32"/>
          <w:szCs w:val="32"/>
          <w:highlight w:val="none"/>
          <w:lang w:val="en-US" w:eastAsia="zh-CN" w:bidi="ar-SA"/>
        </w:rPr>
      </w:pPr>
      <w:r>
        <w:rPr>
          <w:rFonts w:hint="eastAsia" w:ascii="方正仿宋_GB2312" w:hAnsi="方正仿宋_GB2312" w:eastAsia="方正仿宋_GB2312" w:cs="方正仿宋_GB2312"/>
          <w:color w:val="auto"/>
          <w:kern w:val="2"/>
          <w:sz w:val="32"/>
          <w:szCs w:val="32"/>
          <w:highlight w:val="none"/>
          <w:lang w:val="en-US" w:eastAsia="zh-CN" w:bidi="ar-SA"/>
        </w:rPr>
        <w:t>公用经费33.61（四舍五入）万元，主要包括：办公费6.18万元、印刷费3.84万元、电费1.78万元、邮电费0.63万元、差旅费4.16万元、维修（护）费3.13万元、租赁费1.31万元、劳务费4.32万元、公务用车运行维护费4.72万元、其他商品和服务支出3.55万元。</w:t>
      </w:r>
    </w:p>
    <w:p>
      <w:pPr>
        <w:pageBreakBefore w:val="0"/>
        <w:kinsoku/>
        <w:wordWrap/>
        <w:overflowPunct/>
        <w:topLinePunct w:val="0"/>
        <w:bidi w:val="0"/>
        <w:spacing w:line="576" w:lineRule="exact"/>
        <w:ind w:firstLine="640" w:firstLineChars="200"/>
        <w:textAlignment w:val="auto"/>
        <w:outlineLvl w:val="1"/>
        <w:rPr>
          <w:rStyle w:val="29"/>
          <w:rFonts w:ascii="Times New Roman" w:hAnsi="Times New Roman" w:eastAsia="黑体"/>
          <w:b w:val="0"/>
          <w:color w:val="auto"/>
          <w:highlight w:val="none"/>
        </w:rPr>
      </w:pPr>
      <w:bookmarkStart w:id="33" w:name="_Toc15396609"/>
      <w:bookmarkStart w:id="34"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3"/>
      <w:bookmarkEnd w:id="34"/>
    </w:p>
    <w:p>
      <w:pPr>
        <w:pageBreakBefore w:val="0"/>
        <w:kinsoku/>
        <w:wordWrap/>
        <w:overflowPunct/>
        <w:topLinePunct w:val="0"/>
        <w:bidi w:val="0"/>
        <w:spacing w:line="576" w:lineRule="exact"/>
        <w:ind w:firstLine="642" w:firstLineChars="200"/>
        <w:textAlignment w:val="auto"/>
        <w:outlineLvl w:val="2"/>
        <w:rPr>
          <w:rFonts w:hint="eastAsia" w:ascii="Times New Roman" w:hAnsi="Times New Roman" w:eastAsia="楷体_GB2312" w:cs="楷体_GB2312"/>
          <w:b/>
          <w:color w:val="auto"/>
          <w:sz w:val="32"/>
          <w:szCs w:val="32"/>
          <w:highlight w:val="none"/>
        </w:rPr>
      </w:pPr>
      <w:bookmarkStart w:id="35"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5"/>
    </w:p>
    <w:p>
      <w:pPr>
        <w:pageBreakBefore w:val="0"/>
        <w:kinsoku/>
        <w:wordWrap/>
        <w:overflowPunct/>
        <w:topLinePunct w:val="0"/>
        <w:bidi w:val="0"/>
        <w:spacing w:line="576" w:lineRule="exact"/>
        <w:ind w:firstLine="640"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4.72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94.4</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0.79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%。决算数小于预算数的主要原因是</w:t>
      </w:r>
      <w:r>
        <w:rPr>
          <w:rFonts w:hint="eastAsia" w:eastAsia="仿宋_GB2312" w:cs="仿宋_GB2312"/>
          <w:color w:val="auto"/>
          <w:kern w:val="2"/>
          <w:sz w:val="32"/>
          <w:szCs w:val="32"/>
          <w:highlight w:val="none"/>
          <w:lang w:val="en-US" w:eastAsia="zh-CN" w:bidi="ar-SA"/>
        </w:rPr>
        <w:t>经费主要用于公车运行维护，按实际发生结算，只剩余少量预算额度未支出。</w:t>
      </w:r>
    </w:p>
    <w:p>
      <w:pPr>
        <w:pageBreakBefore w:val="0"/>
        <w:kinsoku/>
        <w:wordWrap/>
        <w:overflowPunct/>
        <w:topLinePunct w:val="0"/>
        <w:bidi w:val="0"/>
        <w:spacing w:line="576" w:lineRule="exact"/>
        <w:ind w:firstLine="642" w:firstLineChars="200"/>
        <w:textAlignment w:val="auto"/>
        <w:outlineLvl w:val="2"/>
        <w:rPr>
          <w:rFonts w:hint="eastAsia" w:ascii="Times New Roman" w:hAnsi="Times New Roman" w:eastAsia="楷体_GB2312" w:cs="楷体_GB2312"/>
          <w:b/>
          <w:color w:val="auto"/>
          <w:sz w:val="32"/>
          <w:szCs w:val="32"/>
          <w:highlight w:val="none"/>
        </w:rPr>
      </w:pPr>
      <w:bookmarkStart w:id="36"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6"/>
    </w:p>
    <w:p>
      <w:pPr>
        <w:pageBreakBefore w:val="0"/>
        <w:kinsoku/>
        <w:wordWrap/>
        <w:overflowPunct/>
        <w:topLinePunct w:val="0"/>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4.72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94.4</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pPr>
        <w:pStyle w:val="3"/>
        <w:pageBreakBefore w:val="0"/>
        <w:kinsoku/>
        <w:wordWrap/>
        <w:overflowPunct/>
        <w:topLinePunct w:val="0"/>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lang w:val="en-US" w:eastAsia="zh-CN" w:bidi="ar-SA"/>
        </w:rPr>
        <w:drawing>
          <wp:anchor distT="0" distB="0" distL="114300" distR="114300" simplePos="0" relativeHeight="251659264" behindDoc="0" locked="0" layoutInCell="1" allowOverlap="1">
            <wp:simplePos x="0" y="0"/>
            <wp:positionH relativeFrom="column">
              <wp:posOffset>695325</wp:posOffset>
            </wp:positionH>
            <wp:positionV relativeFrom="paragraph">
              <wp:posOffset>194310</wp:posOffset>
            </wp:positionV>
            <wp:extent cx="3606165" cy="2117725"/>
            <wp:effectExtent l="4445" t="4445" r="8890" b="11430"/>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pPr>
        <w:pageBreakBefore w:val="0"/>
        <w:kinsoku/>
        <w:wordWrap/>
        <w:overflowPunct/>
        <w:topLinePunct w:val="0"/>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pPr>
        <w:pStyle w:val="2"/>
        <w:pageBreakBefore w:val="0"/>
        <w:kinsoku/>
        <w:wordWrap/>
        <w:overflowPunct/>
        <w:topLinePunct w:val="0"/>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pPr>
        <w:pStyle w:val="3"/>
        <w:pageBreakBefore w:val="0"/>
        <w:kinsoku/>
        <w:wordWrap/>
        <w:overflowPunct/>
        <w:topLinePunct w:val="0"/>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pPr>
        <w:pageBreakBefore w:val="0"/>
        <w:kinsoku/>
        <w:wordWrap/>
        <w:overflowPunct/>
        <w:topLinePunct w:val="0"/>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pPr>
        <w:pStyle w:val="2"/>
        <w:pageBreakBefore w:val="0"/>
        <w:kinsoku/>
        <w:wordWrap/>
        <w:overflowPunct/>
        <w:topLinePunct w:val="0"/>
        <w:bidi w:val="0"/>
        <w:spacing w:line="576" w:lineRule="exact"/>
        <w:ind w:firstLine="360" w:firstLineChars="200"/>
        <w:textAlignment w:val="auto"/>
        <w:rPr>
          <w:rFonts w:hint="eastAsia"/>
          <w:lang w:val="en-US" w:eastAsia="zh-CN"/>
        </w:rPr>
      </w:pPr>
    </w:p>
    <w:p>
      <w:pPr>
        <w:pageBreakBefore w:val="0"/>
        <w:kinsoku/>
        <w:wordWrap/>
        <w:overflowPunct/>
        <w:topLinePunct w:val="0"/>
        <w:bidi w:val="0"/>
        <w:spacing w:line="576" w:lineRule="exact"/>
        <w:ind w:firstLine="420" w:firstLineChars="200"/>
        <w:textAlignment w:val="auto"/>
        <w:rPr>
          <w:rFonts w:hint="eastAsia"/>
          <w:lang w:val="en-US" w:eastAsia="zh-CN"/>
        </w:rPr>
      </w:pPr>
    </w:p>
    <w:p>
      <w:pPr>
        <w:pageBreakBefore w:val="0"/>
        <w:kinsoku/>
        <w:wordWrap/>
        <w:overflowPunct/>
        <w:topLinePunct w:val="0"/>
        <w:bidi w:val="0"/>
        <w:spacing w:line="576" w:lineRule="exact"/>
        <w:ind w:firstLine="640" w:firstLineChars="200"/>
        <w:textAlignment w:val="auto"/>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pageBreakBefore w:val="0"/>
        <w:kinsoku/>
        <w:wordWrap/>
        <w:overflowPunct/>
        <w:topLinePunct w:val="0"/>
        <w:bidi w:val="0"/>
        <w:spacing w:line="576" w:lineRule="exact"/>
        <w:ind w:firstLine="640" w:firstLineChars="200"/>
        <w:textAlignment w:val="auto"/>
        <w:rPr>
          <w:rFonts w:hint="eastAsia" w:ascii="方正仿宋_GB2312" w:hAnsi="方正仿宋_GB2312" w:eastAsia="方正仿宋_GB2312" w:cs="方正仿宋_GB2312"/>
          <w:b w:val="0"/>
          <w:bCs w:val="0"/>
          <w:color w:val="auto"/>
          <w:kern w:val="2"/>
          <w:sz w:val="32"/>
          <w:szCs w:val="32"/>
          <w:highlight w:val="none"/>
          <w:lang w:val="en-US" w:eastAsia="zh-CN" w:bidi="ar-SA"/>
        </w:rPr>
      </w:pPr>
      <w:r>
        <w:rPr>
          <w:rFonts w:hint="eastAsia" w:ascii="方正仿宋_GB2312" w:hAnsi="方正仿宋_GB2312" w:eastAsia="方正仿宋_GB2312" w:cs="方正仿宋_GB2312"/>
          <w:b w:val="0"/>
          <w:bCs w:val="0"/>
          <w:color w:val="auto"/>
          <w:kern w:val="2"/>
          <w:sz w:val="32"/>
          <w:szCs w:val="32"/>
          <w:highlight w:val="none"/>
          <w:lang w:val="en-US" w:eastAsia="zh-CN" w:bidi="ar-SA"/>
        </w:rPr>
        <w:t>1.因公出国（境）经费支出0万元。</w:t>
      </w:r>
    </w:p>
    <w:p>
      <w:pPr>
        <w:pageBreakBefore w:val="0"/>
        <w:widowControl w:val="0"/>
        <w:kinsoku/>
        <w:wordWrap/>
        <w:overflowPunct/>
        <w:topLinePunct w:val="0"/>
        <w:bidi w:val="0"/>
        <w:spacing w:line="576" w:lineRule="exact"/>
        <w:ind w:firstLine="640" w:firstLineChars="200"/>
        <w:textAlignment w:val="auto"/>
        <w:rPr>
          <w:rFonts w:hint="eastAsia" w:ascii="方正仿宋_GB2312" w:hAnsi="方正仿宋_GB2312" w:eastAsia="方正仿宋_GB2312" w:cs="方正仿宋_GB2312"/>
          <w:b w:val="0"/>
          <w:bCs w:val="0"/>
          <w:color w:val="000000"/>
          <w:sz w:val="32"/>
          <w:szCs w:val="32"/>
        </w:rPr>
      </w:pPr>
      <w:r>
        <w:rPr>
          <w:rFonts w:hint="eastAsia" w:ascii="方正仿宋_GB2312" w:hAnsi="方正仿宋_GB2312" w:eastAsia="方正仿宋_GB2312" w:cs="方正仿宋_GB2312"/>
          <w:b w:val="0"/>
          <w:bCs w:val="0"/>
          <w:color w:val="auto"/>
          <w:kern w:val="2"/>
          <w:sz w:val="32"/>
          <w:szCs w:val="32"/>
          <w:highlight w:val="none"/>
          <w:lang w:val="en-US" w:eastAsia="zh-CN" w:bidi="ar-SA"/>
        </w:rPr>
        <w:t>2.公务用车购置及运行维护费支出4.72万元，完成预算94.4%。公务用车购置及运行维护费支出决算比上年度增加0.79万元，增长20.1%。主要原因是</w:t>
      </w:r>
      <w:r>
        <w:rPr>
          <w:rFonts w:hint="eastAsia" w:ascii="方正仿宋_GB2312" w:hAnsi="方正仿宋_GB2312" w:eastAsia="方正仿宋_GB2312" w:cs="方正仿宋_GB2312"/>
          <w:b w:val="0"/>
          <w:bCs w:val="0"/>
          <w:color w:val="000000"/>
          <w:sz w:val="32"/>
          <w:szCs w:val="32"/>
          <w:lang w:val="en-US" w:eastAsia="zh-CN"/>
        </w:rPr>
        <w:t>本年度业务活动增加，相应费用增加。</w:t>
      </w:r>
    </w:p>
    <w:p>
      <w:pPr>
        <w:pageBreakBefore w:val="0"/>
        <w:kinsoku/>
        <w:wordWrap/>
        <w:overflowPunct/>
        <w:topLinePunct w:val="0"/>
        <w:bidi w:val="0"/>
        <w:spacing w:line="576" w:lineRule="exact"/>
        <w:ind w:firstLine="640" w:firstLineChars="200"/>
        <w:textAlignment w:val="auto"/>
        <w:rPr>
          <w:rFonts w:hint="eastAsia" w:ascii="方正仿宋_GB2312" w:hAnsi="方正仿宋_GB2312" w:eastAsia="方正仿宋_GB2312" w:cs="方正仿宋_GB2312"/>
          <w:b w:val="0"/>
          <w:bCs w:val="0"/>
          <w:color w:val="auto"/>
          <w:kern w:val="2"/>
          <w:sz w:val="32"/>
          <w:szCs w:val="32"/>
          <w:highlight w:val="none"/>
          <w:lang w:val="en-US" w:eastAsia="zh-CN" w:bidi="ar-SA"/>
        </w:rPr>
      </w:pPr>
      <w:r>
        <w:rPr>
          <w:rFonts w:hint="eastAsia" w:ascii="方正仿宋_GB2312" w:hAnsi="方正仿宋_GB2312" w:eastAsia="方正仿宋_GB2312" w:cs="方正仿宋_GB2312"/>
          <w:b w:val="0"/>
          <w:bCs w:val="0"/>
          <w:color w:val="auto"/>
          <w:kern w:val="2"/>
          <w:sz w:val="32"/>
          <w:szCs w:val="32"/>
          <w:highlight w:val="none"/>
          <w:lang w:val="en-US" w:eastAsia="zh-CN" w:bidi="ar-SA"/>
        </w:rPr>
        <w:t>其中：公务用车购置支出0万元。全年按规定更新购置公务用车0辆，其中：轿车0辆、金额0万元，越野车0辆、金额0万元，载客汽车0辆、金额0万元。截至2025年12月31日，单位共有公务用车2辆，其中：轿车1辆、越野车1辆、载客汽车0辆。</w:t>
      </w:r>
    </w:p>
    <w:p>
      <w:pPr>
        <w:pageBreakBefore w:val="0"/>
        <w:kinsoku/>
        <w:wordWrap/>
        <w:overflowPunct/>
        <w:topLinePunct w:val="0"/>
        <w:bidi w:val="0"/>
        <w:spacing w:line="576" w:lineRule="exact"/>
        <w:ind w:firstLine="640" w:firstLineChars="200"/>
        <w:textAlignment w:val="auto"/>
        <w:rPr>
          <w:rFonts w:hint="eastAsia" w:ascii="方正仿宋_GB2312" w:hAnsi="方正仿宋_GB2312" w:eastAsia="方正仿宋_GB2312" w:cs="方正仿宋_GB2312"/>
          <w:b w:val="0"/>
          <w:bCs w:val="0"/>
          <w:color w:val="auto"/>
          <w:kern w:val="2"/>
          <w:sz w:val="32"/>
          <w:szCs w:val="32"/>
          <w:highlight w:val="none"/>
          <w:lang w:val="en-US" w:eastAsia="zh-CN" w:bidi="ar-SA"/>
        </w:rPr>
      </w:pPr>
      <w:r>
        <w:rPr>
          <w:rFonts w:hint="eastAsia" w:ascii="方正仿宋_GB2312" w:hAnsi="方正仿宋_GB2312" w:eastAsia="方正仿宋_GB2312" w:cs="方正仿宋_GB2312"/>
          <w:b w:val="0"/>
          <w:bCs w:val="0"/>
          <w:color w:val="auto"/>
          <w:kern w:val="2"/>
          <w:sz w:val="32"/>
          <w:szCs w:val="32"/>
          <w:highlight w:val="none"/>
          <w:lang w:val="en-US" w:eastAsia="zh-CN" w:bidi="ar-SA"/>
        </w:rPr>
        <w:t>公务用车运行维护费支出4.72万元。主要用于日常公务出行所需的公务用车燃料费、维修费、过路过桥费、保险费等支出。</w:t>
      </w:r>
    </w:p>
    <w:p>
      <w:pPr>
        <w:pageBreakBefore w:val="0"/>
        <w:kinsoku/>
        <w:wordWrap/>
        <w:overflowPunct/>
        <w:topLinePunct w:val="0"/>
        <w:bidi w:val="0"/>
        <w:spacing w:line="576" w:lineRule="exact"/>
        <w:ind w:firstLine="640"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ascii="方正仿宋_GB2312" w:hAnsi="方正仿宋_GB2312" w:eastAsia="方正仿宋_GB2312" w:cs="方正仿宋_GB2312"/>
          <w:b w:val="0"/>
          <w:bCs w:val="0"/>
          <w:color w:val="auto"/>
          <w:kern w:val="2"/>
          <w:sz w:val="32"/>
          <w:szCs w:val="32"/>
          <w:highlight w:val="none"/>
          <w:lang w:val="en-US" w:eastAsia="zh-CN" w:bidi="ar-SA"/>
        </w:rPr>
        <w:t>3.公务接待费支出0万元。</w:t>
      </w:r>
    </w:p>
    <w:p>
      <w:pPr>
        <w:pageBreakBefore w:val="0"/>
        <w:widowControl w:val="0"/>
        <w:kinsoku/>
        <w:wordWrap/>
        <w:overflowPunct/>
        <w:topLinePunct w:val="0"/>
        <w:bidi w:val="0"/>
        <w:spacing w:line="576" w:lineRule="exact"/>
        <w:ind w:firstLine="640" w:firstLineChars="200"/>
        <w:textAlignment w:val="auto"/>
        <w:outlineLvl w:val="1"/>
        <w:rPr>
          <w:rStyle w:val="35"/>
          <w:rFonts w:ascii="黑体" w:eastAsia="黑体"/>
        </w:rPr>
      </w:pPr>
      <w:bookmarkStart w:id="37" w:name="_Toc9956"/>
      <w:r>
        <w:rPr>
          <w:rFonts w:hint="eastAsia" w:ascii="黑体" w:eastAsia="黑体"/>
          <w:color w:val="000000"/>
          <w:sz w:val="32"/>
          <w:szCs w:val="32"/>
        </w:rPr>
        <w:t>八、</w:t>
      </w:r>
      <w:r>
        <w:rPr>
          <w:rStyle w:val="35"/>
          <w:rFonts w:hint="eastAsia" w:ascii="黑体" w:eastAsia="黑体"/>
          <w:b w:val="0"/>
        </w:rPr>
        <w:t>政府性基金预算支出决算情况说明</w:t>
      </w:r>
      <w:bookmarkEnd w:id="37"/>
    </w:p>
    <w:p>
      <w:pPr>
        <w:pageBreakBefore w:val="0"/>
        <w:kinsoku/>
        <w:wordWrap/>
        <w:overflowPunct/>
        <w:topLinePunct w:val="0"/>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olor w:val="000000"/>
          <w:sz w:val="32"/>
          <w:szCs w:val="32"/>
          <w:lang w:eastAsia="zh-CN"/>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lang w:eastAsia="zh-CN"/>
        </w:rPr>
        <w:t>年</w:t>
      </w:r>
      <w:r>
        <w:rPr>
          <w:rFonts w:hint="eastAsia" w:ascii="仿宋_GB2312" w:eastAsia="仿宋_GB2312"/>
          <w:color w:val="000000"/>
          <w:sz w:val="32"/>
          <w:szCs w:val="32"/>
        </w:rPr>
        <w:t>政府性基金预算拨款支出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pageBreakBefore w:val="0"/>
        <w:numPr>
          <w:ilvl w:val="0"/>
          <w:numId w:val="0"/>
        </w:numPr>
        <w:kinsoku/>
        <w:wordWrap/>
        <w:overflowPunct/>
        <w:topLinePunct w:val="0"/>
        <w:bidi w:val="0"/>
        <w:spacing w:line="240" w:lineRule="auto"/>
        <w:ind w:left="0" w:leftChars="0" w:firstLine="640" w:firstLineChars="200"/>
        <w:textAlignment w:val="auto"/>
        <w:outlineLvl w:val="1"/>
        <w:rPr>
          <w:rStyle w:val="29"/>
          <w:rFonts w:ascii="Times New Roman" w:hAnsi="Times New Roman" w:eastAsia="黑体"/>
          <w:b w:val="0"/>
          <w:color w:val="auto"/>
          <w:highlight w:val="none"/>
        </w:rPr>
      </w:pPr>
      <w:bookmarkStart w:id="38" w:name="_Toc15396611"/>
      <w:bookmarkStart w:id="39"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38"/>
      <w:bookmarkEnd w:id="39"/>
    </w:p>
    <w:p>
      <w:pPr>
        <w:pageBreakBefore w:val="0"/>
        <w:numPr>
          <w:ilvl w:val="0"/>
          <w:numId w:val="0"/>
        </w:numPr>
        <w:kinsoku/>
        <w:wordWrap/>
        <w:overflowPunct/>
        <w:topLinePunct w:val="0"/>
        <w:bidi w:val="0"/>
        <w:spacing w:line="240" w:lineRule="auto"/>
        <w:ind w:left="0" w:leftChars="0"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40" w:name="_Toc15396612"/>
      <w:bookmarkStart w:id="41" w:name="_Toc15377221"/>
    </w:p>
    <w:p>
      <w:pPr>
        <w:pageBreakBefore w:val="0"/>
        <w:numPr>
          <w:ilvl w:val="0"/>
          <w:numId w:val="0"/>
        </w:numPr>
        <w:kinsoku/>
        <w:wordWrap/>
        <w:overflowPunct/>
        <w:topLinePunct w:val="0"/>
        <w:bidi w:val="0"/>
        <w:spacing w:line="240" w:lineRule="auto"/>
        <w:ind w:left="0" w:leftChars="0" w:firstLine="640" w:firstLineChars="200"/>
        <w:textAlignment w:val="auto"/>
        <w:outlineLvl w:val="1"/>
        <w:rPr>
          <w:rStyle w:val="29"/>
          <w:rFonts w:hint="eastAsia" w:ascii="Times New Roman" w:hAnsi="Times New Roman" w:eastAsia="黑体"/>
          <w:b w:val="0"/>
          <w:color w:val="auto"/>
          <w:highlight w:val="none"/>
        </w:rPr>
      </w:pPr>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0"/>
      <w:bookmarkEnd w:id="41"/>
    </w:p>
    <w:p>
      <w:pPr>
        <w:pageBreakBefore w:val="0"/>
        <w:kinsoku/>
        <w:wordWrap/>
        <w:overflowPunct/>
        <w:topLinePunct w:val="0"/>
        <w:bidi w:val="0"/>
        <w:spacing w:line="240" w:lineRule="auto"/>
        <w:ind w:firstLine="642" w:firstLineChars="200"/>
        <w:textAlignment w:val="auto"/>
        <w:outlineLvl w:val="2"/>
        <w:rPr>
          <w:rFonts w:hint="eastAsia" w:ascii="Times New Roman" w:hAnsi="Times New Roman" w:eastAsia="楷体_GB2312" w:cs="楷体_GB2312"/>
          <w:b/>
          <w:color w:val="auto"/>
          <w:sz w:val="32"/>
          <w:szCs w:val="32"/>
          <w:highlight w:val="none"/>
        </w:rPr>
      </w:pPr>
      <w:bookmarkStart w:id="42" w:name="_Toc15377222"/>
      <w:r>
        <w:rPr>
          <w:rFonts w:hint="eastAsia" w:ascii="Times New Roman" w:hAnsi="Times New Roman" w:eastAsia="楷体_GB2312" w:cs="楷体_GB2312"/>
          <w:b/>
          <w:color w:val="auto"/>
          <w:sz w:val="32"/>
          <w:szCs w:val="32"/>
          <w:highlight w:val="none"/>
        </w:rPr>
        <w:t>（一）机关运行经费支出情况</w:t>
      </w:r>
      <w:bookmarkEnd w:id="42"/>
    </w:p>
    <w:p>
      <w:pPr>
        <w:pageBreakBefore w:val="0"/>
        <w:widowControl w:val="0"/>
        <w:kinsoku/>
        <w:wordWrap/>
        <w:overflowPunct/>
        <w:topLinePunct w:val="0"/>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olor w:val="000000"/>
          <w:sz w:val="32"/>
          <w:szCs w:val="32"/>
          <w:lang w:eastAsia="zh-CN"/>
        </w:rPr>
        <w:t>壤塘</w:t>
      </w:r>
      <w:r>
        <w:rPr>
          <w:rFonts w:hint="eastAsia" w:ascii="仿宋_GB2312" w:eastAsia="仿宋_GB2312"/>
          <w:color w:val="000000"/>
          <w:sz w:val="32"/>
          <w:szCs w:val="32"/>
          <w:lang w:val="en-US" w:eastAsia="zh-CN"/>
        </w:rPr>
        <w:t>县文化旅游景区发展中心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仿宋_GB2312" w:eastAsia="仿宋_GB2312"/>
          <w:color w:val="000000"/>
          <w:sz w:val="32"/>
          <w:szCs w:val="32"/>
        </w:rPr>
        <w:t>主要原因是本年</w:t>
      </w:r>
      <w:r>
        <w:rPr>
          <w:rFonts w:hint="eastAsia" w:ascii="仿宋_GB2312" w:eastAsia="仿宋_GB2312"/>
          <w:color w:val="000000"/>
          <w:sz w:val="32"/>
          <w:szCs w:val="32"/>
          <w:lang w:val="en-US" w:eastAsia="zh-CN"/>
        </w:rPr>
        <w:t>与上年均无机关运行经费</w:t>
      </w:r>
      <w:r>
        <w:rPr>
          <w:rFonts w:hint="eastAsia" w:ascii="仿宋_GB2312" w:eastAsia="仿宋_GB2312"/>
          <w:color w:val="000000"/>
          <w:sz w:val="32"/>
          <w:szCs w:val="32"/>
          <w:lang w:eastAsia="zh-CN"/>
        </w:rPr>
        <w:t>。</w:t>
      </w:r>
    </w:p>
    <w:p>
      <w:pPr>
        <w:pageBreakBefore w:val="0"/>
        <w:kinsoku/>
        <w:wordWrap/>
        <w:overflowPunct/>
        <w:topLinePunct w:val="0"/>
        <w:bidi w:val="0"/>
        <w:spacing w:line="576" w:lineRule="exact"/>
        <w:ind w:firstLine="642" w:firstLineChars="200"/>
        <w:textAlignment w:val="auto"/>
        <w:outlineLvl w:val="2"/>
        <w:rPr>
          <w:rFonts w:hint="eastAsia" w:ascii="Times New Roman" w:hAnsi="Times New Roman" w:eastAsia="楷体_GB2312" w:cs="楷体_GB2312"/>
          <w:b/>
          <w:color w:val="auto"/>
          <w:sz w:val="32"/>
          <w:szCs w:val="32"/>
          <w:highlight w:val="none"/>
        </w:rPr>
      </w:pPr>
      <w:bookmarkStart w:id="43" w:name="_Toc15377223"/>
      <w:r>
        <w:rPr>
          <w:rFonts w:hint="eastAsia" w:ascii="Times New Roman" w:hAnsi="Times New Roman" w:eastAsia="楷体_GB2312" w:cs="楷体_GB2312"/>
          <w:b/>
          <w:color w:val="auto"/>
          <w:sz w:val="32"/>
          <w:szCs w:val="32"/>
          <w:highlight w:val="none"/>
        </w:rPr>
        <w:t>（二）政府采购支出情况</w:t>
      </w:r>
      <w:bookmarkEnd w:id="43"/>
    </w:p>
    <w:p>
      <w:pPr>
        <w:pageBreakBefore w:val="0"/>
        <w:kinsoku/>
        <w:wordWrap/>
        <w:overflowPunct/>
        <w:topLinePunct w:val="0"/>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olor w:val="000000"/>
          <w:sz w:val="32"/>
          <w:szCs w:val="32"/>
          <w:lang w:eastAsia="zh-CN"/>
        </w:rPr>
        <w:t>壤塘</w:t>
      </w:r>
      <w:r>
        <w:rPr>
          <w:rFonts w:hint="eastAsia" w:ascii="仿宋_GB2312" w:eastAsia="仿宋_GB2312"/>
          <w:color w:val="000000"/>
          <w:sz w:val="32"/>
          <w:szCs w:val="32"/>
          <w:lang w:val="en-US" w:eastAsia="zh-CN"/>
        </w:rPr>
        <w:t>县文化旅游景区发展中心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bookmarkStart w:id="44" w:name="_Toc15377224"/>
    </w:p>
    <w:p>
      <w:pPr>
        <w:pageBreakBefore w:val="0"/>
        <w:kinsoku/>
        <w:wordWrap/>
        <w:overflowPunct/>
        <w:topLinePunct w:val="0"/>
        <w:bidi w:val="0"/>
        <w:spacing w:line="576" w:lineRule="exact"/>
        <w:ind w:firstLine="642" w:firstLineChars="200"/>
        <w:textAlignment w:val="auto"/>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（三）国有资产占有使用情况</w:t>
      </w:r>
      <w:bookmarkEnd w:id="44"/>
    </w:p>
    <w:p>
      <w:pPr>
        <w:pageBreakBefore w:val="0"/>
        <w:kinsoku/>
        <w:wordWrap/>
        <w:overflowPunct/>
        <w:topLinePunct w:val="0"/>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截至</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eastAsia="仿宋_GB2312"/>
          <w:color w:val="000000"/>
          <w:sz w:val="32"/>
          <w:szCs w:val="32"/>
          <w:lang w:eastAsia="zh-CN"/>
        </w:rPr>
        <w:t>壤塘</w:t>
      </w:r>
      <w:r>
        <w:rPr>
          <w:rFonts w:hint="eastAsia" w:ascii="仿宋_GB2312" w:eastAsia="仿宋_GB2312"/>
          <w:color w:val="000000"/>
          <w:sz w:val="32"/>
          <w:szCs w:val="32"/>
          <w:lang w:val="en-US" w:eastAsia="zh-CN"/>
        </w:rPr>
        <w:t>县文化旅游景区发展中心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单位日常公务出行。</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pPr>
        <w:pageBreakBefore w:val="0"/>
        <w:kinsoku/>
        <w:wordWrap/>
        <w:overflowPunct/>
        <w:topLinePunct w:val="0"/>
        <w:bidi w:val="0"/>
        <w:spacing w:line="576" w:lineRule="exact"/>
        <w:ind w:firstLine="642"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pageBreakBefore w:val="0"/>
        <w:widowControl w:val="0"/>
        <w:kinsoku/>
        <w:wordWrap/>
        <w:overflowPunct/>
        <w:topLinePunct w:val="0"/>
        <w:bidi w:val="0"/>
        <w:spacing w:line="576" w:lineRule="exact"/>
        <w:ind w:firstLine="640" w:firstLineChars="200"/>
        <w:textAlignment w:val="auto"/>
        <w:rPr>
          <w:rFonts w:ascii="仿宋_GB2312" w:eastAsia="仿宋_GB2312" w:cs="仿宋_GB2312"/>
          <w:sz w:val="32"/>
          <w:szCs w:val="32"/>
        </w:rPr>
      </w:pPr>
      <w:r>
        <w:rPr>
          <w:rFonts w:hint="eastAsia" w:ascii="仿宋_GB2312" w:eastAsia="仿宋_GB2312" w:cs="仿宋_GB2312"/>
          <w:sz w:val="32"/>
          <w:szCs w:val="32"/>
        </w:rPr>
        <w:t>根据预算绩效管理要求，本单位在年初预算编制阶段，组织对</w:t>
      </w:r>
      <w:r>
        <w:rPr>
          <w:rFonts w:hint="eastAsia" w:ascii="仿宋_GB2312" w:eastAsia="仿宋_GB2312" w:cs="仿宋_GB2312"/>
          <w:sz w:val="32"/>
          <w:szCs w:val="32"/>
          <w:lang w:val="en-US" w:eastAsia="zh-CN"/>
        </w:rPr>
        <w:t>伙食团经费等11个</w:t>
      </w:r>
      <w:r>
        <w:rPr>
          <w:rFonts w:hint="eastAsia" w:ascii="仿宋_GB2312" w:eastAsia="仿宋_GB2312" w:cs="仿宋_GB2312"/>
          <w:sz w:val="32"/>
          <w:szCs w:val="32"/>
          <w:lang w:eastAsia="zh-CN"/>
        </w:rPr>
        <w:t>项目</w:t>
      </w:r>
      <w:r>
        <w:rPr>
          <w:rFonts w:hint="eastAsia" w:ascii="仿宋_GB2312" w:eastAsia="仿宋_GB2312" w:cs="仿宋_GB2312"/>
          <w:sz w:val="32"/>
          <w:szCs w:val="32"/>
        </w:rPr>
        <w:t>开展了预算事前绩效评估，对</w:t>
      </w:r>
      <w:r>
        <w:rPr>
          <w:rFonts w:hint="eastAsia" w:ascii="仿宋_GB2312" w:eastAsia="仿宋_GB2312" w:cs="仿宋_GB2312"/>
          <w:sz w:val="32"/>
          <w:szCs w:val="32"/>
          <w:lang w:val="en-US" w:eastAsia="zh-CN"/>
        </w:rPr>
        <w:t>11</w:t>
      </w:r>
      <w:r>
        <w:rPr>
          <w:rFonts w:hint="eastAsia" w:ascii="仿宋_GB2312" w:eastAsia="仿宋_GB2312" w:cs="仿宋_GB2312"/>
          <w:sz w:val="32"/>
          <w:szCs w:val="32"/>
        </w:rPr>
        <w:t>个项目编制了绩效目标</w:t>
      </w:r>
      <w:r>
        <w:rPr>
          <w:rFonts w:hint="eastAsia" w:ascii="仿宋_GB2312" w:eastAsia="仿宋_GB2312" w:cs="仿宋_GB2312"/>
          <w:sz w:val="32"/>
          <w:szCs w:val="32"/>
          <w:lang w:eastAsia="zh-CN"/>
        </w:rPr>
        <w:t>，在</w:t>
      </w:r>
      <w:r>
        <w:rPr>
          <w:rFonts w:hint="eastAsia" w:ascii="仿宋_GB2312" w:eastAsia="仿宋_GB2312" w:cs="仿宋_GB2312"/>
          <w:sz w:val="32"/>
          <w:szCs w:val="32"/>
        </w:rPr>
        <w:t>预算执行过程中，选取</w:t>
      </w:r>
      <w:r>
        <w:rPr>
          <w:rFonts w:hint="eastAsia" w:ascii="仿宋_GB2312" w:eastAsia="仿宋_GB2312" w:cs="仿宋_GB2312"/>
          <w:sz w:val="32"/>
          <w:szCs w:val="32"/>
          <w:lang w:val="en-US" w:eastAsia="zh-CN"/>
        </w:rPr>
        <w:t>11</w:t>
      </w:r>
      <w:r>
        <w:rPr>
          <w:rFonts w:hint="eastAsia" w:ascii="仿宋_GB2312" w:eastAsia="仿宋_GB2312" w:cs="仿宋_GB2312"/>
          <w:sz w:val="32"/>
          <w:szCs w:val="32"/>
        </w:rPr>
        <w:t>个项目开展绩效监控，年终执行完毕后，对</w:t>
      </w:r>
      <w:r>
        <w:rPr>
          <w:rFonts w:hint="eastAsia" w:ascii="仿宋_GB2312" w:eastAsia="仿宋_GB2312" w:cs="仿宋_GB2312"/>
          <w:sz w:val="32"/>
          <w:szCs w:val="32"/>
          <w:lang w:val="en-US" w:eastAsia="zh-CN"/>
        </w:rPr>
        <w:t>11个项目</w:t>
      </w:r>
      <w:r>
        <w:rPr>
          <w:rFonts w:hint="eastAsia" w:ascii="仿宋_GB2312" w:eastAsia="仿宋_GB2312" w:cs="仿宋_GB2312"/>
          <w:sz w:val="32"/>
          <w:szCs w:val="32"/>
        </w:rPr>
        <w:t>开展了绩效目标完成情况自评。</w:t>
      </w:r>
    </w:p>
    <w:p>
      <w:pPr>
        <w:pageBreakBefore w:val="0"/>
        <w:widowControl/>
        <w:kinsoku/>
        <w:wordWrap/>
        <w:overflowPunct/>
        <w:topLinePunct w:val="0"/>
        <w:bidi w:val="0"/>
        <w:spacing w:line="576" w:lineRule="exact"/>
        <w:ind w:firstLine="640" w:firstLineChars="200"/>
        <w:jc w:val="left"/>
        <w:textAlignment w:val="auto"/>
        <w:rPr>
          <w:rFonts w:hint="eastAsia" w:ascii="Times New Roman" w:hAnsi="Times New Roman" w:eastAsia="黑体"/>
          <w:color w:val="auto"/>
          <w:sz w:val="44"/>
          <w:szCs w:val="44"/>
          <w:highlight w:val="none"/>
        </w:rPr>
      </w:pPr>
      <w:r>
        <w:rPr>
          <w:rFonts w:hint="eastAsia" w:ascii="仿宋_GB2312" w:hAnsi="仿宋_GB2312" w:eastAsia="仿宋_GB2312" w:cs="仿宋_GB2312"/>
          <w:sz w:val="32"/>
          <w:szCs w:val="32"/>
        </w:rPr>
        <w:t>组织对</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度一般公共预算以及资本资产、债券资金等全面开展绩效自评，形成</w:t>
      </w:r>
      <w:r>
        <w:rPr>
          <w:rFonts w:hint="eastAsia" w:ascii="仿宋_GB2312" w:hAnsi="仿宋_GB2312" w:eastAsia="仿宋_GB2312" w:cs="仿宋_GB2312"/>
          <w:sz w:val="32"/>
          <w:szCs w:val="32"/>
          <w:lang w:val="en-US" w:eastAsia="zh-CN"/>
        </w:rPr>
        <w:t>壤塘县文化旅游景区发展中心</w:t>
      </w:r>
      <w:r>
        <w:rPr>
          <w:rFonts w:hint="eastAsia" w:ascii="仿宋_GB2312" w:hAnsi="仿宋_GB2312" w:eastAsia="仿宋_GB2312" w:cs="仿宋_GB2312"/>
          <w:sz w:val="32"/>
          <w:szCs w:val="32"/>
        </w:rPr>
        <w:t>（含部门预算项目）绩效自评报告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lang w:val="en-US" w:eastAsia="zh-CN"/>
        </w:rPr>
        <w:t>壤塘县中壤塘文化旅游景区管理处</w:t>
      </w:r>
      <w:r>
        <w:rPr>
          <w:rFonts w:hint="eastAsia" w:ascii="仿宋_GB2312" w:hAnsi="仿宋_GB2312" w:eastAsia="仿宋_GB2312" w:cs="仿宋_GB2312"/>
          <w:sz w:val="32"/>
          <w:szCs w:val="32"/>
        </w:rPr>
        <w:t>（含部门预算项目）绩效自评得分为</w:t>
      </w:r>
      <w:r>
        <w:rPr>
          <w:rFonts w:hint="eastAsia" w:ascii="仿宋_GB2312" w:hAnsi="仿宋_GB2312" w:eastAsia="仿宋_GB2312" w:cs="仿宋_GB2312"/>
          <w:sz w:val="32"/>
          <w:szCs w:val="32"/>
          <w:lang w:val="en-US" w:eastAsia="zh-CN"/>
        </w:rPr>
        <w:t>88.22</w:t>
      </w:r>
      <w:r>
        <w:rPr>
          <w:rFonts w:hint="eastAsia" w:ascii="仿宋_GB2312" w:hAnsi="仿宋_GB2312" w:eastAsia="仿宋_GB2312" w:cs="仿宋_GB2312"/>
          <w:sz w:val="32"/>
          <w:szCs w:val="32"/>
        </w:rPr>
        <w:t>分，绩效自评综述：</w:t>
      </w:r>
      <w:r>
        <w:rPr>
          <w:rFonts w:hint="eastAsia" w:ascii="仿宋_GB2312" w:hAnsi="仿宋_GB2312" w:eastAsia="仿宋_GB2312" w:cs="仿宋_GB2312"/>
          <w:sz w:val="32"/>
          <w:szCs w:val="32"/>
          <w:lang w:val="en-US" w:eastAsia="zh-CN"/>
        </w:rPr>
        <w:t>本次部门整体支出绩效自评得分为88.22分，总体表现良好。绩效自评报告详见附件。</w:t>
      </w:r>
      <w:bookmarkStart w:id="45" w:name="_Toc15396613"/>
      <w:bookmarkStart w:id="46" w:name="_Toc15377225"/>
    </w:p>
    <w:p>
      <w:pPr>
        <w:pageBreakBefore w:val="0"/>
        <w:numPr>
          <w:ilvl w:val="0"/>
          <w:numId w:val="0"/>
        </w:numPr>
        <w:kinsoku/>
        <w:wordWrap/>
        <w:overflowPunct/>
        <w:topLinePunct w:val="0"/>
        <w:bidi w:val="0"/>
        <w:spacing w:line="576" w:lineRule="exact"/>
        <w:ind w:firstLine="880" w:firstLineChars="200"/>
        <w:jc w:val="center"/>
        <w:textAlignment w:val="auto"/>
        <w:outlineLvl w:val="0"/>
        <w:rPr>
          <w:rFonts w:hint="eastAsia" w:ascii="Times New Roman" w:hAnsi="Times New Roman" w:eastAsia="黑体"/>
          <w:color w:val="auto"/>
          <w:sz w:val="44"/>
          <w:szCs w:val="44"/>
          <w:highlight w:val="none"/>
        </w:rPr>
      </w:pPr>
    </w:p>
    <w:p>
      <w:pPr>
        <w:pageBreakBefore w:val="0"/>
        <w:numPr>
          <w:ilvl w:val="0"/>
          <w:numId w:val="0"/>
        </w:numPr>
        <w:kinsoku/>
        <w:wordWrap/>
        <w:overflowPunct/>
        <w:topLinePunct w:val="0"/>
        <w:bidi w:val="0"/>
        <w:spacing w:line="576" w:lineRule="exact"/>
        <w:ind w:firstLine="880" w:firstLineChars="200"/>
        <w:jc w:val="center"/>
        <w:textAlignment w:val="auto"/>
        <w:outlineLvl w:val="0"/>
        <w:rPr>
          <w:rFonts w:hint="eastAsia" w:ascii="Times New Roman" w:hAnsi="Times New Roman" w:eastAsia="黑体"/>
          <w:color w:val="auto"/>
          <w:sz w:val="44"/>
          <w:szCs w:val="44"/>
          <w:highlight w:val="none"/>
        </w:rPr>
      </w:pPr>
    </w:p>
    <w:p>
      <w:pPr>
        <w:pageBreakBefore w:val="0"/>
        <w:numPr>
          <w:ilvl w:val="0"/>
          <w:numId w:val="0"/>
        </w:numPr>
        <w:kinsoku/>
        <w:wordWrap/>
        <w:overflowPunct/>
        <w:topLinePunct w:val="0"/>
        <w:bidi w:val="0"/>
        <w:spacing w:line="576" w:lineRule="exact"/>
        <w:ind w:firstLine="880" w:firstLineChars="200"/>
        <w:jc w:val="center"/>
        <w:textAlignment w:val="auto"/>
        <w:outlineLvl w:val="0"/>
        <w:rPr>
          <w:rFonts w:hint="eastAsia" w:ascii="Times New Roman" w:hAnsi="Times New Roman" w:eastAsia="黑体"/>
          <w:color w:val="auto"/>
          <w:sz w:val="44"/>
          <w:szCs w:val="44"/>
          <w:highlight w:val="none"/>
        </w:rPr>
      </w:pPr>
    </w:p>
    <w:p>
      <w:pPr>
        <w:pageBreakBefore w:val="0"/>
        <w:numPr>
          <w:ilvl w:val="0"/>
          <w:numId w:val="0"/>
        </w:numPr>
        <w:kinsoku/>
        <w:wordWrap/>
        <w:overflowPunct/>
        <w:topLinePunct w:val="0"/>
        <w:bidi w:val="0"/>
        <w:spacing w:line="576" w:lineRule="exact"/>
        <w:ind w:firstLine="880" w:firstLineChars="200"/>
        <w:jc w:val="center"/>
        <w:textAlignment w:val="auto"/>
        <w:outlineLvl w:val="0"/>
        <w:rPr>
          <w:rFonts w:hint="eastAsia" w:ascii="Times New Roman" w:hAnsi="Times New Roman" w:eastAsia="黑体"/>
          <w:color w:val="auto"/>
          <w:sz w:val="44"/>
          <w:szCs w:val="44"/>
          <w:highlight w:val="none"/>
        </w:rPr>
      </w:pPr>
    </w:p>
    <w:p>
      <w:pPr>
        <w:pageBreakBefore w:val="0"/>
        <w:numPr>
          <w:ilvl w:val="0"/>
          <w:numId w:val="0"/>
        </w:numPr>
        <w:kinsoku/>
        <w:wordWrap/>
        <w:overflowPunct/>
        <w:topLinePunct w:val="0"/>
        <w:bidi w:val="0"/>
        <w:spacing w:line="576" w:lineRule="exact"/>
        <w:ind w:firstLine="880" w:firstLineChars="200"/>
        <w:jc w:val="center"/>
        <w:textAlignment w:val="auto"/>
        <w:outlineLvl w:val="0"/>
        <w:rPr>
          <w:rFonts w:hint="eastAsia" w:ascii="Times New Roman" w:hAnsi="Times New Roman" w:eastAsia="黑体"/>
          <w:color w:val="auto"/>
          <w:sz w:val="44"/>
          <w:szCs w:val="44"/>
          <w:highlight w:val="none"/>
        </w:rPr>
      </w:pPr>
    </w:p>
    <w:p>
      <w:pPr>
        <w:pageBreakBefore w:val="0"/>
        <w:numPr>
          <w:ilvl w:val="0"/>
          <w:numId w:val="0"/>
        </w:numPr>
        <w:kinsoku/>
        <w:wordWrap/>
        <w:overflowPunct/>
        <w:topLinePunct w:val="0"/>
        <w:bidi w:val="0"/>
        <w:spacing w:line="576" w:lineRule="exact"/>
        <w:ind w:firstLine="880" w:firstLineChars="200"/>
        <w:jc w:val="center"/>
        <w:textAlignment w:val="auto"/>
        <w:outlineLvl w:val="0"/>
        <w:rPr>
          <w:rFonts w:hint="eastAsia" w:ascii="Times New Roman" w:hAnsi="Times New Roman" w:eastAsia="黑体"/>
          <w:color w:val="auto"/>
          <w:sz w:val="44"/>
          <w:szCs w:val="44"/>
          <w:highlight w:val="none"/>
        </w:rPr>
      </w:pPr>
    </w:p>
    <w:p>
      <w:pPr>
        <w:pageBreakBefore w:val="0"/>
        <w:numPr>
          <w:ilvl w:val="0"/>
          <w:numId w:val="0"/>
        </w:numPr>
        <w:kinsoku/>
        <w:wordWrap/>
        <w:overflowPunct/>
        <w:topLinePunct w:val="0"/>
        <w:bidi w:val="0"/>
        <w:spacing w:line="576" w:lineRule="exact"/>
        <w:ind w:firstLine="880" w:firstLineChars="200"/>
        <w:jc w:val="center"/>
        <w:textAlignment w:val="auto"/>
        <w:outlineLvl w:val="0"/>
        <w:rPr>
          <w:rFonts w:hint="eastAsia" w:ascii="Times New Roman" w:hAnsi="Times New Roman" w:eastAsia="黑体"/>
          <w:color w:val="auto"/>
          <w:sz w:val="44"/>
          <w:szCs w:val="44"/>
          <w:highlight w:val="none"/>
        </w:rPr>
      </w:pPr>
    </w:p>
    <w:p>
      <w:pPr>
        <w:pageBreakBefore w:val="0"/>
        <w:numPr>
          <w:ilvl w:val="0"/>
          <w:numId w:val="0"/>
        </w:numPr>
        <w:kinsoku/>
        <w:wordWrap/>
        <w:overflowPunct/>
        <w:topLinePunct w:val="0"/>
        <w:bidi w:val="0"/>
        <w:spacing w:line="576" w:lineRule="exact"/>
        <w:ind w:firstLine="880" w:firstLineChars="200"/>
        <w:jc w:val="center"/>
        <w:textAlignment w:val="auto"/>
        <w:outlineLvl w:val="0"/>
        <w:rPr>
          <w:rFonts w:hint="eastAsia" w:ascii="Times New Roman" w:hAnsi="Times New Roman" w:eastAsia="黑体"/>
          <w:color w:val="auto"/>
          <w:sz w:val="44"/>
          <w:szCs w:val="44"/>
          <w:highlight w:val="none"/>
        </w:rPr>
      </w:pPr>
    </w:p>
    <w:p>
      <w:pPr>
        <w:pageBreakBefore w:val="0"/>
        <w:numPr>
          <w:ilvl w:val="0"/>
          <w:numId w:val="0"/>
        </w:numPr>
        <w:kinsoku/>
        <w:wordWrap/>
        <w:overflowPunct/>
        <w:topLinePunct w:val="0"/>
        <w:bidi w:val="0"/>
        <w:spacing w:line="576" w:lineRule="exact"/>
        <w:ind w:firstLine="880" w:firstLineChars="200"/>
        <w:jc w:val="center"/>
        <w:textAlignment w:val="auto"/>
        <w:outlineLvl w:val="0"/>
        <w:rPr>
          <w:rFonts w:hint="eastAsia" w:ascii="Times New Roman" w:hAnsi="Times New Roman" w:eastAsia="黑体"/>
          <w:color w:val="auto"/>
          <w:sz w:val="44"/>
          <w:szCs w:val="44"/>
          <w:highlight w:val="none"/>
        </w:rPr>
      </w:pPr>
    </w:p>
    <w:p>
      <w:pPr>
        <w:pageBreakBefore w:val="0"/>
        <w:numPr>
          <w:ilvl w:val="0"/>
          <w:numId w:val="0"/>
        </w:numPr>
        <w:kinsoku/>
        <w:wordWrap/>
        <w:overflowPunct/>
        <w:topLinePunct w:val="0"/>
        <w:bidi w:val="0"/>
        <w:spacing w:line="576" w:lineRule="exact"/>
        <w:ind w:firstLine="880" w:firstLineChars="200"/>
        <w:jc w:val="center"/>
        <w:textAlignment w:val="auto"/>
        <w:outlineLvl w:val="0"/>
        <w:rPr>
          <w:rFonts w:hint="eastAsia" w:ascii="Times New Roman" w:hAnsi="Times New Roman" w:eastAsia="黑体"/>
          <w:color w:val="auto"/>
          <w:sz w:val="44"/>
          <w:szCs w:val="44"/>
          <w:highlight w:val="none"/>
        </w:rPr>
      </w:pPr>
    </w:p>
    <w:p>
      <w:pPr>
        <w:pageBreakBefore w:val="0"/>
        <w:numPr>
          <w:ilvl w:val="0"/>
          <w:numId w:val="0"/>
        </w:numPr>
        <w:kinsoku/>
        <w:wordWrap/>
        <w:overflowPunct/>
        <w:topLinePunct w:val="0"/>
        <w:bidi w:val="0"/>
        <w:spacing w:line="576" w:lineRule="exact"/>
        <w:ind w:firstLine="880" w:firstLineChars="200"/>
        <w:jc w:val="center"/>
        <w:textAlignment w:val="auto"/>
        <w:outlineLvl w:val="0"/>
        <w:rPr>
          <w:rFonts w:hint="eastAsia" w:ascii="Times New Roman" w:hAnsi="Times New Roman" w:eastAsia="黑体"/>
          <w:color w:val="auto"/>
          <w:sz w:val="44"/>
          <w:szCs w:val="44"/>
          <w:highlight w:val="none"/>
        </w:rPr>
      </w:pPr>
    </w:p>
    <w:p>
      <w:pPr>
        <w:pageBreakBefore w:val="0"/>
        <w:numPr>
          <w:ilvl w:val="0"/>
          <w:numId w:val="0"/>
        </w:numPr>
        <w:kinsoku/>
        <w:wordWrap/>
        <w:overflowPunct/>
        <w:topLinePunct w:val="0"/>
        <w:bidi w:val="0"/>
        <w:spacing w:line="576" w:lineRule="exact"/>
        <w:ind w:firstLine="880" w:firstLineChars="200"/>
        <w:jc w:val="center"/>
        <w:textAlignment w:val="auto"/>
        <w:outlineLvl w:val="0"/>
        <w:rPr>
          <w:rFonts w:hint="eastAsia" w:ascii="Times New Roman" w:hAnsi="Times New Roman" w:eastAsia="黑体"/>
          <w:color w:val="auto"/>
          <w:sz w:val="44"/>
          <w:szCs w:val="44"/>
          <w:highlight w:val="none"/>
        </w:rPr>
      </w:pPr>
    </w:p>
    <w:p>
      <w:pPr>
        <w:pageBreakBefore w:val="0"/>
        <w:numPr>
          <w:ilvl w:val="0"/>
          <w:numId w:val="0"/>
        </w:numPr>
        <w:kinsoku/>
        <w:wordWrap/>
        <w:overflowPunct/>
        <w:topLinePunct w:val="0"/>
        <w:bidi w:val="0"/>
        <w:spacing w:line="576" w:lineRule="exact"/>
        <w:ind w:firstLine="880" w:firstLineChars="200"/>
        <w:jc w:val="center"/>
        <w:textAlignment w:val="auto"/>
        <w:outlineLvl w:val="0"/>
        <w:rPr>
          <w:rFonts w:hint="eastAsia" w:ascii="Times New Roman" w:hAnsi="Times New Roman" w:eastAsia="黑体"/>
          <w:color w:val="auto"/>
          <w:sz w:val="44"/>
          <w:szCs w:val="44"/>
          <w:highlight w:val="none"/>
        </w:rPr>
      </w:pPr>
    </w:p>
    <w:p>
      <w:pPr>
        <w:pageBreakBefore w:val="0"/>
        <w:numPr>
          <w:ilvl w:val="0"/>
          <w:numId w:val="0"/>
        </w:numPr>
        <w:kinsoku/>
        <w:wordWrap/>
        <w:overflowPunct/>
        <w:topLinePunct w:val="0"/>
        <w:bidi w:val="0"/>
        <w:spacing w:line="576" w:lineRule="exact"/>
        <w:ind w:firstLine="880" w:firstLineChars="200"/>
        <w:jc w:val="center"/>
        <w:textAlignment w:val="auto"/>
        <w:outlineLvl w:val="0"/>
        <w:rPr>
          <w:rFonts w:hint="eastAsia" w:ascii="Times New Roman" w:hAnsi="Times New Roman" w:eastAsia="黑体"/>
          <w:color w:val="auto"/>
          <w:sz w:val="44"/>
          <w:szCs w:val="44"/>
          <w:highlight w:val="none"/>
        </w:rPr>
      </w:pPr>
    </w:p>
    <w:p>
      <w:pPr>
        <w:pageBreakBefore w:val="0"/>
        <w:numPr>
          <w:ilvl w:val="0"/>
          <w:numId w:val="0"/>
        </w:numPr>
        <w:kinsoku/>
        <w:wordWrap/>
        <w:overflowPunct/>
        <w:topLinePunct w:val="0"/>
        <w:bidi w:val="0"/>
        <w:spacing w:line="576" w:lineRule="exact"/>
        <w:ind w:firstLine="880" w:firstLineChars="200"/>
        <w:jc w:val="center"/>
        <w:textAlignment w:val="auto"/>
        <w:outlineLvl w:val="0"/>
        <w:rPr>
          <w:rFonts w:hint="eastAsia" w:ascii="Times New Roman" w:hAnsi="Times New Roman" w:eastAsia="黑体"/>
          <w:color w:val="auto"/>
          <w:sz w:val="44"/>
          <w:szCs w:val="44"/>
          <w:highlight w:val="none"/>
        </w:rPr>
      </w:pPr>
    </w:p>
    <w:p>
      <w:pPr>
        <w:pageBreakBefore w:val="0"/>
        <w:numPr>
          <w:ilvl w:val="0"/>
          <w:numId w:val="0"/>
        </w:numPr>
        <w:kinsoku/>
        <w:wordWrap/>
        <w:overflowPunct/>
        <w:topLinePunct w:val="0"/>
        <w:bidi w:val="0"/>
        <w:spacing w:line="576" w:lineRule="exact"/>
        <w:ind w:firstLine="880" w:firstLineChars="200"/>
        <w:jc w:val="center"/>
        <w:textAlignment w:val="auto"/>
        <w:outlineLvl w:val="0"/>
        <w:rPr>
          <w:rFonts w:hint="eastAsia" w:ascii="Times New Roman" w:hAnsi="Times New Roman" w:eastAsia="黑体"/>
          <w:color w:val="auto"/>
          <w:sz w:val="44"/>
          <w:szCs w:val="44"/>
          <w:highlight w:val="none"/>
        </w:rPr>
      </w:pPr>
    </w:p>
    <w:p>
      <w:pPr>
        <w:pageBreakBefore w:val="0"/>
        <w:numPr>
          <w:ilvl w:val="0"/>
          <w:numId w:val="0"/>
        </w:numPr>
        <w:kinsoku/>
        <w:wordWrap/>
        <w:overflowPunct/>
        <w:topLinePunct w:val="0"/>
        <w:bidi w:val="0"/>
        <w:spacing w:line="576" w:lineRule="exact"/>
        <w:ind w:firstLine="880" w:firstLineChars="200"/>
        <w:jc w:val="center"/>
        <w:textAlignment w:val="auto"/>
        <w:outlineLvl w:val="0"/>
        <w:rPr>
          <w:rFonts w:hint="eastAsia" w:ascii="Times New Roman" w:hAnsi="Times New Roman" w:eastAsia="黑体"/>
          <w:color w:val="auto"/>
          <w:sz w:val="44"/>
          <w:szCs w:val="44"/>
          <w:highlight w:val="none"/>
        </w:rPr>
      </w:pPr>
    </w:p>
    <w:p>
      <w:pPr>
        <w:pageBreakBefore w:val="0"/>
        <w:numPr>
          <w:ilvl w:val="0"/>
          <w:numId w:val="0"/>
        </w:numPr>
        <w:kinsoku/>
        <w:wordWrap/>
        <w:overflowPunct/>
        <w:topLinePunct w:val="0"/>
        <w:bidi w:val="0"/>
        <w:spacing w:line="576" w:lineRule="exact"/>
        <w:ind w:firstLine="880" w:firstLineChars="200"/>
        <w:jc w:val="center"/>
        <w:textAlignment w:val="auto"/>
        <w:outlineLvl w:val="0"/>
        <w:rPr>
          <w:rFonts w:hint="eastAsia" w:ascii="Times New Roman" w:hAnsi="Times New Roman" w:eastAsia="黑体"/>
          <w:color w:val="auto"/>
          <w:sz w:val="44"/>
          <w:szCs w:val="44"/>
          <w:highlight w:val="none"/>
        </w:rPr>
      </w:pPr>
    </w:p>
    <w:p>
      <w:pPr>
        <w:pageBreakBefore w:val="0"/>
        <w:numPr>
          <w:ilvl w:val="0"/>
          <w:numId w:val="0"/>
        </w:numPr>
        <w:kinsoku/>
        <w:wordWrap/>
        <w:overflowPunct/>
        <w:topLinePunct w:val="0"/>
        <w:bidi w:val="0"/>
        <w:spacing w:line="576" w:lineRule="exact"/>
        <w:ind w:firstLine="880" w:firstLineChars="200"/>
        <w:jc w:val="center"/>
        <w:textAlignment w:val="auto"/>
        <w:outlineLvl w:val="0"/>
        <w:rPr>
          <w:rFonts w:hint="eastAsia" w:ascii="Times New Roman" w:hAnsi="Times New Roman" w:eastAsia="黑体"/>
          <w:color w:val="auto"/>
          <w:sz w:val="44"/>
          <w:szCs w:val="44"/>
          <w:highlight w:val="none"/>
        </w:rPr>
      </w:pPr>
    </w:p>
    <w:p>
      <w:pPr>
        <w:pageBreakBefore w:val="0"/>
        <w:numPr>
          <w:ilvl w:val="0"/>
          <w:numId w:val="0"/>
        </w:numPr>
        <w:kinsoku/>
        <w:wordWrap/>
        <w:overflowPunct/>
        <w:topLinePunct w:val="0"/>
        <w:bidi w:val="0"/>
        <w:spacing w:line="576" w:lineRule="exact"/>
        <w:ind w:firstLine="880" w:firstLineChars="200"/>
        <w:jc w:val="center"/>
        <w:textAlignment w:val="auto"/>
        <w:outlineLvl w:val="0"/>
        <w:rPr>
          <w:rFonts w:hint="eastAsia" w:ascii="Times New Roman" w:hAnsi="Times New Roman" w:eastAsia="黑体"/>
          <w:color w:val="auto"/>
          <w:sz w:val="44"/>
          <w:szCs w:val="44"/>
          <w:highlight w:val="none"/>
        </w:rPr>
      </w:pPr>
    </w:p>
    <w:p>
      <w:pPr>
        <w:pageBreakBefore w:val="0"/>
        <w:numPr>
          <w:ilvl w:val="0"/>
          <w:numId w:val="0"/>
        </w:numPr>
        <w:kinsoku/>
        <w:wordWrap/>
        <w:overflowPunct/>
        <w:topLinePunct w:val="0"/>
        <w:bidi w:val="0"/>
        <w:spacing w:line="576" w:lineRule="exact"/>
        <w:ind w:firstLine="880" w:firstLineChars="200"/>
        <w:jc w:val="center"/>
        <w:textAlignment w:val="auto"/>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5"/>
      <w:bookmarkEnd w:id="46"/>
    </w:p>
    <w:p>
      <w:pPr>
        <w:pageBreakBefore w:val="0"/>
        <w:kinsoku/>
        <w:wordWrap/>
        <w:overflowPunct/>
        <w:topLinePunct w:val="0"/>
        <w:bidi w:val="0"/>
        <w:spacing w:line="576" w:lineRule="exact"/>
        <w:ind w:firstLine="883" w:firstLineChars="200"/>
        <w:jc w:val="left"/>
        <w:textAlignment w:val="auto"/>
        <w:rPr>
          <w:rFonts w:ascii="Times New Roman" w:hAnsi="Times New Roman"/>
          <w:b/>
          <w:color w:val="auto"/>
          <w:sz w:val="44"/>
          <w:szCs w:val="44"/>
          <w:highlight w:val="none"/>
        </w:rPr>
      </w:pPr>
    </w:p>
    <w:p>
      <w:pPr>
        <w:pStyle w:val="26"/>
        <w:pageBreakBefore w:val="0"/>
        <w:kinsoku/>
        <w:wordWrap/>
        <w:overflowPunct/>
        <w:topLinePunct w:val="0"/>
        <w:bidi w:val="0"/>
        <w:spacing w:line="576" w:lineRule="exact"/>
        <w:ind w:firstLine="640" w:firstLineChars="200"/>
        <w:textAlignment w:val="auto"/>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pPr>
        <w:pStyle w:val="26"/>
        <w:pageBreakBefore w:val="0"/>
        <w:kinsoku/>
        <w:wordWrap/>
        <w:overflowPunct/>
        <w:topLinePunct w:val="0"/>
        <w:bidi w:val="0"/>
        <w:spacing w:line="576" w:lineRule="exact"/>
        <w:ind w:firstLine="640" w:firstLineChars="200"/>
        <w:textAlignment w:val="auto"/>
        <w:rPr>
          <w:rFonts w:hint="eastAsia"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w:t>
      </w:r>
    </w:p>
    <w:p>
      <w:pPr>
        <w:pStyle w:val="26"/>
        <w:pageBreakBefore w:val="0"/>
        <w:kinsoku/>
        <w:wordWrap/>
        <w:overflowPunct/>
        <w:topLinePunct w:val="0"/>
        <w:bidi w:val="0"/>
        <w:spacing w:line="576" w:lineRule="exact"/>
        <w:ind w:firstLine="640" w:firstLineChars="200"/>
        <w:textAlignment w:val="auto"/>
        <w:rPr>
          <w:rFonts w:hint="eastAsia"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w:t>
      </w:r>
    </w:p>
    <w:p>
      <w:pPr>
        <w:pStyle w:val="26"/>
        <w:pageBreakBefore w:val="0"/>
        <w:kinsoku/>
        <w:wordWrap/>
        <w:overflowPunct/>
        <w:topLinePunct w:val="0"/>
        <w:bidi w:val="0"/>
        <w:spacing w:line="240" w:lineRule="auto"/>
        <w:ind w:left="0" w:leftChars="0" w:firstLine="640" w:firstLineChars="200"/>
        <w:textAlignment w:val="auto"/>
        <w:rPr>
          <w:rFonts w:hint="eastAsia"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w:t>
      </w:r>
    </w:p>
    <w:p>
      <w:pPr>
        <w:pStyle w:val="26"/>
        <w:pageBreakBefore w:val="0"/>
        <w:kinsoku/>
        <w:wordWrap/>
        <w:overflowPunct/>
        <w:topLinePunct w:val="0"/>
        <w:bidi w:val="0"/>
        <w:spacing w:line="240" w:lineRule="auto"/>
        <w:ind w:left="0" w:leftChars="0" w:firstLine="640" w:firstLineChars="200"/>
        <w:textAlignment w:val="auto"/>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使用非财政拨款结余：指事业单位使用以前年度积累的非财政拨款结余弥补当年收支差额的金额。</w:t>
      </w:r>
      <w:r>
        <w:rPr>
          <w:rFonts w:ascii="仿宋_GB2312" w:eastAsia="仿宋_GB2312"/>
          <w:sz w:val="32"/>
          <w:szCs w:val="32"/>
        </w:rPr>
        <w:t xml:space="preserve"> </w:t>
      </w:r>
    </w:p>
    <w:p>
      <w:pPr>
        <w:pStyle w:val="26"/>
        <w:pageBreakBefore w:val="0"/>
        <w:kinsoku/>
        <w:wordWrap/>
        <w:overflowPunct/>
        <w:topLinePunct w:val="0"/>
        <w:bidi w:val="0"/>
        <w:spacing w:line="576" w:lineRule="exact"/>
        <w:ind w:firstLine="640" w:firstLineChars="200"/>
        <w:textAlignment w:val="auto"/>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pPr>
        <w:pStyle w:val="26"/>
        <w:pageBreakBefore w:val="0"/>
        <w:kinsoku/>
        <w:wordWrap/>
        <w:overflowPunct/>
        <w:topLinePunct w:val="0"/>
        <w:bidi w:val="0"/>
        <w:spacing w:line="576" w:lineRule="exact"/>
        <w:ind w:firstLine="640" w:firstLineChars="200"/>
        <w:textAlignment w:val="auto"/>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结余分配：指事业单位按照会计制度规定缴纳的所得税、提取的专用结余以及转入非财政拨款结余的金额等。</w:t>
      </w:r>
    </w:p>
    <w:p>
      <w:pPr>
        <w:pStyle w:val="26"/>
        <w:pageBreakBefore w:val="0"/>
        <w:kinsoku/>
        <w:wordWrap/>
        <w:overflowPunct/>
        <w:topLinePunct w:val="0"/>
        <w:bidi w:val="0"/>
        <w:spacing w:line="576" w:lineRule="exact"/>
        <w:ind w:firstLine="640" w:firstLineChars="200"/>
        <w:textAlignment w:val="auto"/>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pPr>
        <w:pageBreakBefore w:val="0"/>
        <w:kinsoku/>
        <w:wordWrap/>
        <w:overflowPunct/>
        <w:topLinePunct w:val="0"/>
        <w:bidi w:val="0"/>
        <w:spacing w:line="576" w:lineRule="exact"/>
        <w:ind w:firstLine="640" w:firstLineChars="200"/>
        <w:textAlignment w:val="auto"/>
        <w:rPr>
          <w:rFonts w:hint="eastAsia" w:ascii="仿宋_GB2312" w:eastAsia="仿宋_GB2312"/>
          <w:color w:val="000000"/>
          <w:sz w:val="32"/>
          <w:szCs w:val="32"/>
          <w:lang w:eastAsia="zh-CN"/>
        </w:rPr>
      </w:pPr>
      <w:r>
        <w:rPr>
          <w:rFonts w:hint="eastAsia" w:ascii="仿宋_GB2312" w:eastAsia="仿宋_GB2312"/>
          <w:color w:val="000000"/>
          <w:sz w:val="32"/>
          <w:szCs w:val="32"/>
        </w:rPr>
        <w:t>9. 社会保障和就业（类）人力资源和社会保障管理事务（款）社会保险经办机构（项）：指社会保险经办机构开展业务工作的支出</w:t>
      </w:r>
      <w:r>
        <w:rPr>
          <w:rFonts w:hint="eastAsia" w:ascii="仿宋_GB2312" w:eastAsia="仿宋_GB2312"/>
          <w:color w:val="000000"/>
          <w:sz w:val="32"/>
          <w:szCs w:val="32"/>
          <w:lang w:eastAsia="zh-CN"/>
        </w:rPr>
        <w:t>。</w:t>
      </w:r>
    </w:p>
    <w:p>
      <w:pPr>
        <w:pageBreakBefore w:val="0"/>
        <w:kinsoku/>
        <w:wordWrap/>
        <w:overflowPunct/>
        <w:topLinePunct w:val="0"/>
        <w:bidi w:val="0"/>
        <w:spacing w:line="576"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10.社会保障和就业（类）行政事业单位离退休（款）机关事业单位基本养老保险缴费支出（项）：指机关事业单位实施养老保险制度由单位缴纳的基本养老保险费支出。</w:t>
      </w:r>
    </w:p>
    <w:p>
      <w:pPr>
        <w:pageBreakBefore w:val="0"/>
        <w:kinsoku/>
        <w:wordWrap/>
        <w:overflowPunct/>
        <w:topLinePunct w:val="0"/>
        <w:bidi w:val="0"/>
        <w:spacing w:line="576"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11. 社会保障和就业（类）行政事业单位离退休（款）机关事业单位职业年金缴费支出（项）：指机关事业单位养老保险制度由单位缴纳的职业年金支出。</w:t>
      </w:r>
    </w:p>
    <w:p>
      <w:pPr>
        <w:pageBreakBefore w:val="0"/>
        <w:kinsoku/>
        <w:wordWrap/>
        <w:overflowPunct/>
        <w:topLinePunct w:val="0"/>
        <w:bidi w:val="0"/>
        <w:spacing w:line="576"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12.医疗卫生与计划生育（类）行政事业单位医疗（款）事业单位医疗（项）：指财政部门集中安排的事业单位基本医疗保险缴费。</w:t>
      </w:r>
    </w:p>
    <w:p>
      <w:pPr>
        <w:pageBreakBefore w:val="0"/>
        <w:kinsoku/>
        <w:wordWrap/>
        <w:overflowPunct/>
        <w:topLinePunct w:val="0"/>
        <w:bidi w:val="0"/>
        <w:spacing w:line="576" w:lineRule="exact"/>
        <w:ind w:firstLine="640" w:firstLineChars="200"/>
        <w:textAlignment w:val="auto"/>
        <w:rPr>
          <w:rFonts w:ascii="仿宋_GB2312" w:eastAsia="仿宋_GB2312"/>
          <w:color w:val="000000"/>
          <w:sz w:val="32"/>
          <w:szCs w:val="32"/>
        </w:rPr>
      </w:pPr>
      <w:r>
        <w:rPr>
          <w:rFonts w:hint="eastAsia" w:ascii="仿宋_GB2312" w:eastAsia="仿宋_GB2312"/>
          <w:color w:val="000000"/>
          <w:sz w:val="32"/>
          <w:szCs w:val="32"/>
        </w:rPr>
        <w:t>13.住房保障（类）住房改革（款）住房公积金（项）：指行政事业单位按规定的标准和比例为职工缴纳的住房公积金。</w:t>
      </w:r>
    </w:p>
    <w:p>
      <w:pPr>
        <w:pStyle w:val="26"/>
        <w:pageBreakBefore w:val="0"/>
        <w:kinsoku/>
        <w:wordWrap/>
        <w:overflowPunct/>
        <w:topLinePunct w:val="0"/>
        <w:bidi w:val="0"/>
        <w:spacing w:line="576"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14.基本支出：指为保障机构正常运转、完成日常工作任务而发生的人员支出和公用支出。</w:t>
      </w:r>
    </w:p>
    <w:p>
      <w:pPr>
        <w:pStyle w:val="26"/>
        <w:pageBreakBefore w:val="0"/>
        <w:kinsoku/>
        <w:wordWrap/>
        <w:overflowPunct/>
        <w:topLinePunct w:val="0"/>
        <w:bidi w:val="0"/>
        <w:spacing w:line="576"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15.项目支出：指在基本支出之外为完成特定行政任务和事业发展目标所发生的支出。</w:t>
      </w:r>
    </w:p>
    <w:p>
      <w:pPr>
        <w:pStyle w:val="26"/>
        <w:pageBreakBefore w:val="0"/>
        <w:kinsoku/>
        <w:wordWrap/>
        <w:overflowPunct/>
        <w:topLinePunct w:val="0"/>
        <w:bidi w:val="0"/>
        <w:spacing w:line="576"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16.经营支出：指事业单位在专业业务活动及其辅助活动之外开展非独立核算经营活动发生的支出。</w:t>
      </w:r>
    </w:p>
    <w:p>
      <w:pPr>
        <w:pStyle w:val="26"/>
        <w:pageBreakBefore w:val="0"/>
        <w:kinsoku/>
        <w:wordWrap/>
        <w:overflowPunct/>
        <w:topLinePunct w:val="0"/>
        <w:bidi w:val="0"/>
        <w:spacing w:line="576"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17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6"/>
        <w:pageBreakBefore w:val="0"/>
        <w:kinsoku/>
        <w:wordWrap/>
        <w:overflowPunct/>
        <w:topLinePunct w:val="0"/>
        <w:bidi w:val="0"/>
        <w:spacing w:line="576" w:lineRule="exact"/>
        <w:ind w:firstLine="640" w:firstLineChars="200"/>
        <w:textAlignment w:val="auto"/>
        <w:rPr>
          <w:rFonts w:ascii="仿宋_GB2312" w:eastAsia="仿宋_GB2312"/>
          <w:sz w:val="32"/>
          <w:szCs w:val="32"/>
        </w:rPr>
      </w:pPr>
      <w:r>
        <w:rPr>
          <w:rFonts w:hint="eastAsia" w:ascii="仿宋_GB2312" w:eastAsia="仿宋_GB2312"/>
          <w:color w:val="000000"/>
          <w:sz w:val="32"/>
          <w:szCs w:val="32"/>
        </w:rPr>
        <w:t>18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pPr>
        <w:pageBreakBefore w:val="0"/>
        <w:kinsoku/>
        <w:wordWrap/>
        <w:overflowPunct/>
        <w:topLinePunct w:val="0"/>
        <w:bidi w:val="0"/>
        <w:spacing w:line="576" w:lineRule="exact"/>
        <w:ind w:firstLine="640" w:firstLineChars="200"/>
        <w:jc w:val="center"/>
        <w:textAlignment w:val="auto"/>
        <w:rPr>
          <w:rStyle w:val="28"/>
          <w:rFonts w:hint="eastAsia" w:ascii="Times New Roman" w:hAnsi="Times New Roman" w:eastAsia="黑体"/>
          <w:b w:val="0"/>
          <w:color w:val="auto"/>
          <w:highlight w:val="none"/>
          <w:lang w:eastAsia="zh-CN"/>
        </w:rPr>
      </w:pPr>
      <w:bookmarkStart w:id="47"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8"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8"/>
    </w:p>
    <w:p>
      <w:pPr>
        <w:keepNext w:val="0"/>
        <w:keepLines w:val="0"/>
        <w:pageBreakBefore w:val="0"/>
        <w:kinsoku/>
        <w:wordWrap/>
        <w:overflowPunct/>
        <w:topLinePunct w:val="0"/>
        <w:autoSpaceDE/>
        <w:autoSpaceDN/>
        <w:bidi w:val="0"/>
        <w:spacing w:line="576" w:lineRule="exact"/>
        <w:ind w:firstLine="640" w:firstLineChars="200"/>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6" w:lineRule="exact"/>
        <w:ind w:firstLine="640" w:firstLineChars="200"/>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6" w:lineRule="exact"/>
        <w:ind w:firstLine="880" w:firstLineChars="200"/>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spacing w:line="360" w:lineRule="auto"/>
        <w:jc w:val="center"/>
        <w:rPr>
          <w:rFonts w:hint="eastAsia" w:ascii="宋体" w:hAnsi="宋体" w:cs="宋体"/>
          <w:b/>
          <w:bCs/>
          <w:kern w:val="0"/>
          <w:sz w:val="44"/>
          <w:szCs w:val="44"/>
          <w:lang w:eastAsia="zh-CN"/>
        </w:rPr>
      </w:pPr>
      <w:r>
        <w:rPr>
          <w:rFonts w:hint="eastAsia" w:ascii="宋体" w:hAnsi="宋体" w:cs="宋体"/>
          <w:b/>
          <w:bCs/>
          <w:kern w:val="0"/>
          <w:sz w:val="44"/>
          <w:szCs w:val="44"/>
        </w:rPr>
        <w:t>壤塘县文化旅游景区</w:t>
      </w:r>
      <w:r>
        <w:rPr>
          <w:rFonts w:hint="eastAsia" w:ascii="宋体" w:hAnsi="宋体" w:cs="宋体"/>
          <w:b/>
          <w:bCs/>
          <w:kern w:val="0"/>
          <w:sz w:val="44"/>
          <w:szCs w:val="44"/>
          <w:lang w:eastAsia="zh-CN"/>
        </w:rPr>
        <w:t>发展中心</w:t>
      </w:r>
    </w:p>
    <w:p>
      <w:pPr>
        <w:spacing w:line="360" w:lineRule="auto"/>
        <w:jc w:val="center"/>
        <w:rPr>
          <w:rFonts w:ascii="宋体" w:hAnsi="宋体" w:cs="宋体"/>
          <w:b/>
          <w:bCs/>
          <w:kern w:val="0"/>
          <w:sz w:val="44"/>
          <w:szCs w:val="44"/>
        </w:rPr>
      </w:pPr>
      <w:r>
        <w:rPr>
          <w:rFonts w:hint="eastAsia" w:ascii="宋体" w:hAnsi="宋体" w:cs="宋体"/>
          <w:b/>
          <w:bCs/>
          <w:kern w:val="0"/>
          <w:sz w:val="44"/>
          <w:szCs w:val="44"/>
          <w:lang w:eastAsia="zh-CN"/>
        </w:rPr>
        <w:t>202</w:t>
      </w:r>
      <w:r>
        <w:rPr>
          <w:rFonts w:hint="eastAsia" w:ascii="宋体" w:hAnsi="宋体" w:cs="宋体"/>
          <w:b/>
          <w:bCs/>
          <w:kern w:val="0"/>
          <w:sz w:val="44"/>
          <w:szCs w:val="44"/>
          <w:lang w:val="en-US" w:eastAsia="zh-CN"/>
        </w:rPr>
        <w:t>5</w:t>
      </w:r>
      <w:r>
        <w:rPr>
          <w:rFonts w:hint="eastAsia" w:ascii="宋体" w:hAnsi="宋体" w:cs="宋体"/>
          <w:b/>
          <w:bCs/>
          <w:kern w:val="0"/>
          <w:sz w:val="44"/>
          <w:szCs w:val="44"/>
          <w:lang w:eastAsia="zh-CN"/>
        </w:rPr>
        <w:t>年</w:t>
      </w:r>
      <w:r>
        <w:rPr>
          <w:rFonts w:hint="eastAsia" w:ascii="宋体" w:hAnsi="宋体" w:cs="宋体"/>
          <w:b/>
          <w:bCs/>
          <w:kern w:val="0"/>
          <w:sz w:val="44"/>
          <w:szCs w:val="44"/>
        </w:rPr>
        <w:t>度部门整体支出绩效评价自评报告</w:t>
      </w:r>
    </w:p>
    <w:p>
      <w:pPr>
        <w:keepNext w:val="0"/>
        <w:keepLines w:val="0"/>
        <w:pageBreakBefore w:val="0"/>
        <w:widowControl/>
        <w:kinsoku/>
        <w:wordWrap/>
        <w:overflowPunct/>
        <w:topLinePunct w:val="0"/>
        <w:autoSpaceDE/>
        <w:autoSpaceDN/>
        <w:bidi w:val="0"/>
        <w:adjustRightInd w:val="0"/>
        <w:snapToGrid w:val="0"/>
        <w:spacing w:line="576"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pageBreakBefore w:val="0"/>
        <w:kinsoku/>
        <w:wordWrap/>
        <w:overflowPunct/>
        <w:topLinePunct w:val="0"/>
        <w:bidi w:val="0"/>
        <w:spacing w:line="576" w:lineRule="exact"/>
        <w:ind w:firstLine="642" w:firstLineChars="200"/>
        <w:textAlignment w:val="auto"/>
        <w:rPr>
          <w:rFonts w:hint="eastAsia" w:ascii="仿宋_GB2312" w:hAnsi="仿宋_GB2312" w:eastAsia="仿宋_GB2312" w:cs="仿宋_GB2312"/>
          <w:sz w:val="32"/>
          <w:szCs w:val="32"/>
          <w:lang w:eastAsia="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仿宋_GB2312" w:hAnsi="仿宋_GB2312" w:eastAsia="仿宋_GB2312" w:cs="仿宋_GB2312"/>
          <w:sz w:val="32"/>
          <w:szCs w:val="32"/>
        </w:rPr>
        <w:t>壤塘文化旅游景区</w:t>
      </w:r>
      <w:r>
        <w:rPr>
          <w:rFonts w:hint="eastAsia" w:ascii="仿宋_GB2312" w:hAnsi="仿宋_GB2312" w:eastAsia="仿宋_GB2312" w:cs="仿宋_GB2312"/>
          <w:sz w:val="32"/>
          <w:szCs w:val="32"/>
          <w:lang w:eastAsia="zh-CN"/>
        </w:rPr>
        <w:t>发展中心</w:t>
      </w:r>
      <w:r>
        <w:rPr>
          <w:rFonts w:hint="eastAsia" w:ascii="仿宋_GB2312" w:hAnsi="仿宋_GB2312" w:eastAsia="仿宋_GB2312" w:cs="仿宋_GB2312"/>
          <w:sz w:val="32"/>
          <w:szCs w:val="32"/>
        </w:rPr>
        <w:t>共有</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个股室，办公室、规划建设股、管理运营股</w:t>
      </w:r>
      <w:r>
        <w:rPr>
          <w:rFonts w:hint="eastAsia" w:ascii="仿宋_GB2312" w:hAnsi="仿宋_GB2312" w:eastAsia="仿宋_GB2312" w:cs="仿宋_GB2312"/>
          <w:sz w:val="32"/>
          <w:szCs w:val="32"/>
          <w:lang w:eastAsia="zh-CN"/>
        </w:rPr>
        <w:t>、壤巴拉非遗传习创业园管理运营股。</w:t>
      </w:r>
    </w:p>
    <w:p>
      <w:pPr>
        <w:keepNext w:val="0"/>
        <w:keepLines w:val="0"/>
        <w:pageBreakBefore w:val="0"/>
        <w:kinsoku/>
        <w:wordWrap/>
        <w:overflowPunct/>
        <w:topLinePunct w:val="0"/>
        <w:autoSpaceDE/>
        <w:autoSpaceDN/>
        <w:bidi w:val="0"/>
        <w:spacing w:line="576" w:lineRule="exact"/>
        <w:ind w:firstLine="642" w:firstLineChars="200"/>
        <w:textAlignment w:val="auto"/>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仿宋_GB2312" w:hAnsi="仿宋_GB2312" w:eastAsia="仿宋_GB2312" w:cs="仿宋_GB2312"/>
          <w:sz w:val="32"/>
          <w:szCs w:val="32"/>
        </w:rPr>
        <w:t>依照相关法律和行政法规，对区域内(上壤塘海子山、中壤塘三座寺庙及茸木达棒托寺石刻大藏经等)所辖景区资源实行统一管理、统一规划、统一开发和统一保护</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宣传贯彻国家风景名胜、民族宗教、文物、林业、国土、环境保护等有关法律、法规和方针政策</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依法保护景区资源和生态环境，维护景区的自然风貌和人文景观，有效开发和合理利用景区资源</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编制景区总体规划和详细规划并组织实施，按照总体规划对景区新建、扩建和改建项目进行审核，对建设活动进行监督、检查</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负责建设、维护、管理景区基础设施和公共设施，管理景区旅游经营活动，增强景区自我发展能力</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制定景区各项管理制度，负责景区</w:t>
      </w:r>
      <w:r>
        <w:rPr>
          <w:rFonts w:hint="eastAsia" w:ascii="仿宋_GB2312" w:hAnsi="仿宋_GB2312" w:eastAsia="仿宋_GB2312" w:cs="仿宋_GB2312"/>
          <w:sz w:val="32"/>
          <w:szCs w:val="32"/>
          <w:lang w:eastAsia="zh-CN"/>
        </w:rPr>
        <w:t>的游览安全</w:t>
      </w:r>
      <w:r>
        <w:rPr>
          <w:rFonts w:hint="eastAsia" w:ascii="仿宋_GB2312" w:hAnsi="仿宋_GB2312" w:eastAsia="仿宋_GB2312" w:cs="仿宋_GB2312"/>
          <w:sz w:val="32"/>
          <w:szCs w:val="32"/>
        </w:rPr>
        <w:t>、环境卫生、社会治安、安全生产和</w:t>
      </w:r>
      <w:r>
        <w:rPr>
          <w:rFonts w:hint="eastAsia" w:ascii="仿宋_GB2312" w:hAnsi="仿宋_GB2312" w:eastAsia="仿宋_GB2312" w:cs="仿宋_GB2312"/>
          <w:sz w:val="32"/>
          <w:szCs w:val="32"/>
          <w:lang w:eastAsia="zh-CN"/>
        </w:rPr>
        <w:t>森</w:t>
      </w:r>
      <w:r>
        <w:rPr>
          <w:rFonts w:hint="eastAsia" w:ascii="仿宋_GB2312" w:hAnsi="仿宋_GB2312" w:eastAsia="仿宋_GB2312" w:cs="仿宋_GB2312"/>
          <w:sz w:val="32"/>
          <w:szCs w:val="32"/>
        </w:rPr>
        <w:t>林防火等管理工作</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负责招商引资，统一对外宣传，扩大景区知名度</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负责景区内经营性项目的审批和管理，根据景区规划和需要，对景区的村寨实施托管，统筹协调并处理辖区内村寨利益。</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default" w:ascii="Times New Roman" w:hAnsi="Times New Roman" w:cs="Times New Roman"/>
          <w:szCs w:val="32"/>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w:t>
      </w:r>
      <w:r>
        <w:rPr>
          <w:rFonts w:hint="eastAsia" w:ascii="仿宋_GB2312" w:hAnsi="仿宋_GB2312" w:eastAsia="仿宋_GB2312" w:cs="仿宋_GB2312"/>
          <w:sz w:val="32"/>
          <w:szCs w:val="32"/>
        </w:rPr>
        <w:t>壤塘文化旅游景区</w:t>
      </w:r>
      <w:r>
        <w:rPr>
          <w:rFonts w:hint="eastAsia" w:ascii="仿宋_GB2312" w:hAnsi="仿宋_GB2312" w:eastAsia="仿宋_GB2312" w:cs="仿宋_GB2312"/>
          <w:sz w:val="32"/>
          <w:szCs w:val="32"/>
          <w:lang w:eastAsia="zh-CN"/>
        </w:rPr>
        <w:t>发展中心</w:t>
      </w:r>
      <w:r>
        <w:rPr>
          <w:rFonts w:hint="default" w:ascii="Times New Roman" w:hAnsi="Times New Roman" w:eastAsia="仿宋_GB2312" w:cs="Times New Roman"/>
          <w:sz w:val="32"/>
          <w:szCs w:val="32"/>
          <w:lang w:val="en-US" w:eastAsia="zh-CN"/>
        </w:rPr>
        <w:t>单位编制</w:t>
      </w:r>
      <w:r>
        <w:rPr>
          <w:rFonts w:hint="eastAsia" w:ascii="Times New Roman" w:hAnsi="Times New Roman" w:eastAsia="仿宋_GB2312" w:cs="Times New Roman"/>
          <w:sz w:val="32"/>
          <w:szCs w:val="32"/>
          <w:lang w:val="en-US" w:eastAsia="zh-CN"/>
        </w:rPr>
        <w:t>情况</w:t>
      </w:r>
      <w:r>
        <w:rPr>
          <w:rFonts w:hint="eastAsia" w:eastAsia="仿宋_GB2312" w:cs="Times New Roman"/>
          <w:sz w:val="32"/>
          <w:szCs w:val="32"/>
          <w:lang w:val="en-US" w:eastAsia="zh-CN"/>
        </w:rPr>
        <w:t>：事业编制16名</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年末实有人数</w:t>
      </w:r>
      <w:r>
        <w:rPr>
          <w:rFonts w:hint="eastAsia" w:eastAsia="仿宋_GB2312" w:cs="Times New Roman"/>
          <w:sz w:val="32"/>
          <w:szCs w:val="32"/>
          <w:lang w:val="en-US" w:eastAsia="zh-CN"/>
        </w:rPr>
        <w:t>14名。</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pStyle w:val="36"/>
        <w:keepNext w:val="0"/>
        <w:keepLines w:val="0"/>
        <w:pageBreakBefore w:val="0"/>
        <w:kinsoku/>
        <w:wordWrap/>
        <w:overflowPunct/>
        <w:topLinePunct w:val="0"/>
        <w:autoSpaceDE/>
        <w:autoSpaceDN/>
        <w:bidi w:val="0"/>
        <w:spacing w:line="576" w:lineRule="exact"/>
        <w:ind w:firstLine="642" w:firstLineChars="200"/>
        <w:textAlignment w:val="auto"/>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仿宋_GB2312" w:hAnsi="仿宋_GB2312" w:eastAsia="仿宋_GB2312" w:cs="仿宋_GB2312"/>
          <w:sz w:val="32"/>
          <w:szCs w:val="32"/>
        </w:rPr>
        <w:t>壤塘文化旅游景区</w:t>
      </w:r>
      <w:r>
        <w:rPr>
          <w:rFonts w:hint="eastAsia" w:ascii="仿宋_GB2312" w:hAnsi="仿宋_GB2312" w:eastAsia="仿宋_GB2312" w:cs="仿宋_GB2312"/>
          <w:sz w:val="32"/>
          <w:szCs w:val="32"/>
          <w:lang w:eastAsia="zh-CN"/>
        </w:rPr>
        <w:t>发展中心</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年年初预算收入</w:t>
      </w:r>
      <w:r>
        <w:rPr>
          <w:rFonts w:hint="eastAsia" w:eastAsia="仿宋_GB2312" w:cs="Times New Roman"/>
          <w:sz w:val="32"/>
          <w:szCs w:val="32"/>
          <w:lang w:val="en-US" w:eastAsia="zh-CN"/>
        </w:rPr>
        <w:t>363.15万元</w:t>
      </w:r>
      <w:r>
        <w:rPr>
          <w:rFonts w:hint="eastAsia" w:ascii="Times New Roman" w:hAnsi="Times New Roman" w:eastAsia="仿宋_GB2312" w:cs="Times New Roman"/>
          <w:sz w:val="32"/>
          <w:szCs w:val="32"/>
          <w:lang w:val="en-US" w:eastAsia="zh-CN"/>
        </w:rPr>
        <w:t>、</w:t>
      </w:r>
      <w:r>
        <w:rPr>
          <w:rFonts w:hint="eastAsia" w:ascii="仿宋_GB2312" w:hAnsi="仿宋_GB2312" w:eastAsia="仿宋_GB2312" w:cs="仿宋_GB2312"/>
          <w:sz w:val="32"/>
          <w:szCs w:val="32"/>
        </w:rPr>
        <w:t>执行期中追加收入</w:t>
      </w:r>
      <w:r>
        <w:rPr>
          <w:rFonts w:hint="eastAsia" w:ascii="仿宋_GB2312" w:hAnsi="仿宋_GB2312" w:eastAsia="仿宋_GB2312" w:cs="仿宋_GB2312"/>
          <w:sz w:val="32"/>
          <w:szCs w:val="32"/>
          <w:lang w:val="en-US" w:eastAsia="zh-CN"/>
        </w:rPr>
        <w:t>403.57</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，其他收入</w:t>
      </w:r>
      <w:r>
        <w:rPr>
          <w:rFonts w:hint="eastAsia" w:ascii="仿宋_GB2312" w:hAnsi="仿宋_GB2312" w:eastAsia="仿宋_GB2312" w:cs="仿宋_GB2312"/>
          <w:sz w:val="32"/>
          <w:szCs w:val="32"/>
          <w:lang w:val="en-US" w:eastAsia="zh-CN"/>
        </w:rPr>
        <w:t>204.64万元，全年实际收入合计为973.36万元。</w:t>
      </w:r>
      <w:r>
        <w:rPr>
          <w:rFonts w:hint="eastAsia" w:ascii="Times New Roman" w:hAnsi="Times New Roman" w:eastAsia="仿宋_GB2312" w:cs="Times New Roman"/>
          <w:sz w:val="32"/>
          <w:szCs w:val="32"/>
          <w:lang w:val="en-US" w:eastAsia="zh-CN"/>
        </w:rPr>
        <w:t>决算报表收入973.36万元，其中一般公共预算财政拨款收入768.72万元，其他收入204.64万元。</w:t>
      </w:r>
    </w:p>
    <w:p>
      <w:pPr>
        <w:keepNext w:val="0"/>
        <w:keepLines w:val="0"/>
        <w:pageBreakBefore w:val="0"/>
        <w:widowControl/>
        <w:kinsoku/>
        <w:wordWrap/>
        <w:overflowPunct/>
        <w:topLinePunct w:val="0"/>
        <w:autoSpaceDE/>
        <w:autoSpaceDN/>
        <w:bidi w:val="0"/>
        <w:adjustRightInd w:val="0"/>
        <w:snapToGrid w:val="0"/>
        <w:spacing w:line="576" w:lineRule="exact"/>
        <w:ind w:firstLine="642" w:firstLineChars="200"/>
        <w:contextualSpacing/>
        <w:jc w:val="left"/>
        <w:textAlignment w:val="auto"/>
        <w:outlineLvl w:val="9"/>
        <w:rPr>
          <w:rFonts w:hint="default" w:ascii="Times New Roman" w:hAnsi="Times New Roman" w:cs="Times New Roman"/>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仿宋_GB2312" w:hAnsi="仿宋_GB2312" w:eastAsia="仿宋_GB2312" w:cs="仿宋_GB2312"/>
          <w:sz w:val="32"/>
          <w:szCs w:val="32"/>
        </w:rPr>
        <w:t>壤塘文化旅游景区</w:t>
      </w:r>
      <w:r>
        <w:rPr>
          <w:rFonts w:hint="eastAsia" w:ascii="仿宋_GB2312" w:hAnsi="仿宋_GB2312" w:eastAsia="仿宋_GB2312" w:cs="仿宋_GB2312"/>
          <w:sz w:val="32"/>
          <w:szCs w:val="32"/>
          <w:lang w:eastAsia="zh-CN"/>
        </w:rPr>
        <w:t>发展中心</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年年初预算支出</w:t>
      </w:r>
      <w:r>
        <w:rPr>
          <w:rFonts w:hint="eastAsia" w:eastAsia="仿宋_GB2312" w:cs="Times New Roman"/>
          <w:sz w:val="32"/>
          <w:szCs w:val="32"/>
          <w:lang w:val="en-US" w:eastAsia="zh-CN"/>
        </w:rPr>
        <w:t>3</w:t>
      </w:r>
      <w:r>
        <w:rPr>
          <w:rFonts w:hint="eastAsia" w:ascii="Times New Roman" w:hAnsi="Times New Roman" w:eastAsia="仿宋_GB2312" w:cs="Times New Roman"/>
          <w:sz w:val="32"/>
          <w:szCs w:val="32"/>
          <w:lang w:val="en-US" w:eastAsia="zh-CN"/>
        </w:rPr>
        <w:t>65.15万元，决算报表支出全年支出为768.72万元，其中基本支出328.37万元，项目支出440.35万元。决算报表支出</w:t>
      </w:r>
    </w:p>
    <w:p>
      <w:pPr>
        <w:keepNext w:val="0"/>
        <w:keepLines w:val="0"/>
        <w:pageBreakBefore w:val="0"/>
        <w:widowControl/>
        <w:kinsoku/>
        <w:wordWrap/>
        <w:overflowPunct/>
        <w:topLinePunct w:val="0"/>
        <w:autoSpaceDE/>
        <w:autoSpaceDN/>
        <w:bidi w:val="0"/>
        <w:adjustRightInd w:val="0"/>
        <w:snapToGrid w:val="0"/>
        <w:spacing w:line="576" w:lineRule="exact"/>
        <w:ind w:firstLine="642" w:firstLineChars="200"/>
        <w:contextualSpacing/>
        <w:jc w:val="left"/>
        <w:textAlignment w:val="auto"/>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Times New Roman"/>
          <w:sz w:val="32"/>
          <w:szCs w:val="32"/>
          <w:lang w:val="en-US" w:eastAsia="zh-CN"/>
        </w:rPr>
        <w:t>壤塘县文化旅游景区发展中心2025年决算报表结转结余17.19万元。</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2"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zh-CN" w:eastAsia="zh-CN"/>
        </w:rPr>
        <w:t>履职效能。2025年度，紧扣景区管理核心职能，聚焦安全生产、文旅服务、非遗推广三大关键领域履职尽责，成效显著。安全生产方面，严格落实主体责任，常态化开展隐患排查整治与应急演练，全年未发生安全责任事故，筑牢了景区运营安全底线。文旅服务方面，持续优化游客服务流程，完善设施维护与环境整治机制，游客满意度稳步提升，有效保障了景区服务品质。非遗推广方面，依托景区平台，积极开展非遗文化展示、体验活动，推动文旅深度融合，助力非遗文化传承与产业培育，充分发挥了景区在文化传播中的载体作用。</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zh-CN" w:eastAsia="zh-CN"/>
        </w:rPr>
        <w:t>预算管理。本年度，严格执行预算管理相关规定，预算编制整体规范，收入统筹、支出执行等工作有序推进。但同时也存在部分短板：一是预算编制的科学性与精准性有待提升，部分项目预算与实际执行存在偏差；二是预算执行进度不均衡，个别项目因客观因素影响，资金拨付与使用节奏未达预期，导致预算执行率存在差异；三是一般性支出管控仍有优化空间，需进一步细化支出管理，提升资金使用效益。后续将强化预算编制的前瞻性与精细化管理，加强执行过程动态监控，及时纠偏调整，提高预算管理整体水平。</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val="zh-CN" w:eastAsia="zh-CN"/>
        </w:rPr>
        <w:t>财务管理。财务管理工作严格遵循财经法规与单位财务管理制度，制度体系健全完善，岗位设置权责清晰、分工明确，有效落实了内控管理要求。资金使用严格执行审批流程，所有支出均合规合法，未出现违规使用、挤占挪用等问题，财务核算规范有序，保障了单位资金安全高效运行。</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zh-CN" w:eastAsia="zh-CN"/>
        </w:rPr>
        <w:t xml:space="preserve"> </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lang w:val="zh-CN" w:eastAsia="zh-CN"/>
        </w:rPr>
        <w:t>资产管理。资产管理工作规范有序，建立了常态化资产盘点与动态管理机制，资产使用效率较高，人均资产变化符合单位发展实际，未出现资产闲置、流失等情况。通过定期开展资产盘活利用工作，存量资产得到充分合理配置，有效支撑了景区运营与业务开展，资产管理整体水平良好。</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val="zh-CN" w:eastAsia="zh-CN"/>
        </w:rPr>
        <w:t>采购管理。在</w:t>
      </w:r>
      <w:r>
        <w:rPr>
          <w:rFonts w:hint="eastAsia" w:ascii="Times New Roman" w:hAnsi="Times New Roman" w:eastAsia="仿宋_GB2312" w:cs="Times New Roman"/>
          <w:sz w:val="32"/>
          <w:szCs w:val="32"/>
          <w:lang w:val="en-US" w:eastAsia="zh-CN"/>
        </w:rPr>
        <w:t>2025年度无政府采购。</w:t>
      </w:r>
      <w:r>
        <w:rPr>
          <w:rFonts w:hint="eastAsia" w:ascii="Times New Roman" w:hAnsi="Times New Roman" w:eastAsia="仿宋_GB2312" w:cs="Times New Roman"/>
          <w:sz w:val="32"/>
          <w:szCs w:val="32"/>
          <w:lang w:val="zh-CN" w:eastAsia="zh-CN"/>
        </w:rPr>
        <w:t xml:space="preserve"> </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zh-CN" w:eastAsia="zh-CN"/>
        </w:rPr>
        <w:t>（二）部门预算项目绩效分析。</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en-US" w:eastAsia="zh-CN"/>
        </w:rPr>
        <w:t>常年项目绩效分析。</w:t>
      </w:r>
      <w:r>
        <w:rPr>
          <w:rFonts w:hint="eastAsia" w:ascii="Times New Roman" w:hAnsi="Times New Roman" w:eastAsia="仿宋_GB2312" w:cs="Times New Roman"/>
          <w:sz w:val="32"/>
          <w:szCs w:val="32"/>
          <w:lang w:val="zh-CN" w:eastAsia="zh-CN"/>
        </w:rPr>
        <w:t>该类项目总数</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val="zh-CN" w:eastAsia="zh-CN"/>
        </w:rPr>
        <w:t>个。</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en-US" w:eastAsia="zh-CN"/>
        </w:rPr>
        <w:t>阶段（含一次性）项目绩效分析。</w:t>
      </w:r>
      <w:r>
        <w:rPr>
          <w:rFonts w:hint="eastAsia" w:ascii="Times New Roman" w:hAnsi="Times New Roman" w:eastAsia="仿宋_GB2312" w:cs="Times New Roman"/>
          <w:sz w:val="32"/>
          <w:szCs w:val="32"/>
          <w:lang w:val="zh-CN" w:eastAsia="zh-CN"/>
        </w:rPr>
        <w:t>该类项目总数</w:t>
      </w:r>
      <w:r>
        <w:rPr>
          <w:rFonts w:hint="eastAsia" w:ascii="Times New Roman" w:hAnsi="Times New Roman" w:eastAsia="仿宋_GB2312" w:cs="Times New Roman"/>
          <w:sz w:val="32"/>
          <w:szCs w:val="32"/>
          <w:lang w:val="en-US" w:eastAsia="zh-CN"/>
        </w:rPr>
        <w:t>11</w:t>
      </w:r>
      <w:r>
        <w:rPr>
          <w:rFonts w:hint="eastAsia" w:ascii="Times New Roman" w:hAnsi="Times New Roman" w:eastAsia="仿宋_GB2312" w:cs="Times New Roman"/>
          <w:sz w:val="32"/>
          <w:szCs w:val="32"/>
          <w:lang w:val="zh-CN" w:eastAsia="zh-CN"/>
        </w:rPr>
        <w:t>个，涉及预算总金额</w:t>
      </w:r>
      <w:r>
        <w:rPr>
          <w:rFonts w:hint="eastAsia" w:ascii="Times New Roman" w:hAnsi="Times New Roman" w:eastAsia="仿宋_GB2312" w:cs="Times New Roman"/>
          <w:sz w:val="32"/>
          <w:szCs w:val="32"/>
          <w:lang w:val="en-US" w:eastAsia="zh-CN"/>
        </w:rPr>
        <w:t>685.72</w:t>
      </w:r>
      <w:r>
        <w:rPr>
          <w:rFonts w:hint="eastAsia" w:ascii="Times New Roman" w:hAnsi="Times New Roman" w:eastAsia="仿宋_GB2312" w:cs="Times New Roman"/>
          <w:sz w:val="32"/>
          <w:szCs w:val="32"/>
          <w:lang w:val="zh-CN" w:eastAsia="zh-CN"/>
        </w:rPr>
        <w:t>万元，1—1</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zh-CN" w:eastAsia="zh-CN"/>
        </w:rPr>
        <w:t>月预算执行总体进度为</w:t>
      </w:r>
      <w:r>
        <w:rPr>
          <w:rFonts w:hint="eastAsia" w:ascii="Times New Roman" w:hAnsi="Times New Roman" w:eastAsia="仿宋_GB2312" w:cs="Times New Roman"/>
          <w:sz w:val="32"/>
          <w:szCs w:val="32"/>
          <w:lang w:val="en-US" w:eastAsia="zh-CN"/>
        </w:rPr>
        <w:t>87.82</w:t>
      </w:r>
      <w:r>
        <w:rPr>
          <w:rFonts w:hint="eastAsia" w:ascii="Times New Roman" w:hAnsi="Times New Roman" w:eastAsia="仿宋_GB2312" w:cs="Times New Roman"/>
          <w:sz w:val="32"/>
          <w:szCs w:val="32"/>
          <w:lang w:val="zh-CN" w:eastAsia="zh-CN"/>
        </w:rPr>
        <w:t>%，其中：预算结余率大于</w:t>
      </w:r>
      <w:r>
        <w:rPr>
          <w:rFonts w:hint="eastAsia" w:ascii="Times New Roman" w:hAnsi="Times New Roman" w:eastAsia="仿宋_GB2312" w:cs="Times New Roman"/>
          <w:sz w:val="32"/>
          <w:szCs w:val="32"/>
          <w:lang w:val="en-US" w:eastAsia="zh-CN"/>
        </w:rPr>
        <w:t>10%</w:t>
      </w:r>
      <w:r>
        <w:rPr>
          <w:rFonts w:hint="eastAsia" w:ascii="Times New Roman" w:hAnsi="Times New Roman" w:eastAsia="仿宋_GB2312" w:cs="Times New Roman"/>
          <w:sz w:val="32"/>
          <w:szCs w:val="32"/>
          <w:lang w:val="zh-CN" w:eastAsia="zh-CN"/>
        </w:rPr>
        <w:t>的项目共计</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zh-CN" w:eastAsia="zh-CN"/>
        </w:rPr>
        <w:t>个。</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zh-CN" w:eastAsia="zh-CN"/>
        </w:rPr>
        <w:t>项目决策。项目决策环节整体表现良好，各项指标均获满分。决策程序方面，项目设立按规定履行了评估论证及申报程序；目标设置方面，绩效目标与计划期内任务量、预算安排资金量匹配，设置科学合理、规范完整、量化细化；项目入库方面，项目在规定时间内完成入库工作。</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zh-CN" w:eastAsia="zh-CN"/>
        </w:rPr>
        <w:t>2. 项目执行。项目执行环节整体规范。执行合同方面，项目实际列支内容与绩效目标设定方向相符，资金执行同向；项目调整方面，项目执行过程中根据实际情况采取了对应调整措施；执行结果方面，项目执行情况良好，得分为3分（满分4分），整体进度符合预期。</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zh-CN" w:eastAsia="zh-CN"/>
        </w:rPr>
        <w:t>3. 目标实现。目标实现环节表现良好。目标完成方面，绩效目标数量指标完成情况良好，</w:t>
      </w:r>
      <w:r>
        <w:rPr>
          <w:rFonts w:hint="eastAsia" w:eastAsia="仿宋_GB2312" w:cs="Times New Roman"/>
          <w:sz w:val="32"/>
          <w:szCs w:val="32"/>
          <w:lang w:val="zh-CN" w:eastAsia="zh-CN"/>
        </w:rPr>
        <w:t>获得</w:t>
      </w:r>
      <w:r>
        <w:rPr>
          <w:rFonts w:hint="eastAsia" w:ascii="Times New Roman" w:hAnsi="Times New Roman" w:eastAsia="仿宋_GB2312" w:cs="Times New Roman"/>
          <w:sz w:val="32"/>
          <w:szCs w:val="32"/>
          <w:lang w:val="zh-CN" w:eastAsia="zh-CN"/>
        </w:rPr>
        <w:t>满分；目标偏离方面，数量指标实现程度与预期目标偏离较小，</w:t>
      </w:r>
      <w:r>
        <w:rPr>
          <w:rFonts w:hint="eastAsia" w:eastAsia="仿宋_GB2312" w:cs="Times New Roman"/>
          <w:sz w:val="32"/>
          <w:szCs w:val="32"/>
          <w:lang w:val="zh-CN" w:eastAsia="zh-CN"/>
        </w:rPr>
        <w:t>获得</w:t>
      </w:r>
      <w:r>
        <w:rPr>
          <w:rFonts w:hint="eastAsia" w:ascii="Times New Roman" w:hAnsi="Times New Roman" w:eastAsia="仿宋_GB2312" w:cs="Times New Roman"/>
          <w:sz w:val="32"/>
          <w:szCs w:val="32"/>
          <w:lang w:val="zh-CN" w:eastAsia="zh-CN"/>
        </w:rPr>
        <w:t>满分；实现效果方面，效益指标实施效果达到预期要求，</w:t>
      </w:r>
      <w:r>
        <w:rPr>
          <w:rFonts w:hint="eastAsia" w:eastAsia="仿宋_GB2312" w:cs="Times New Roman"/>
          <w:sz w:val="32"/>
          <w:szCs w:val="32"/>
          <w:lang w:val="zh-CN" w:eastAsia="zh-CN"/>
        </w:rPr>
        <w:t>获得</w:t>
      </w:r>
      <w:r>
        <w:rPr>
          <w:rFonts w:hint="eastAsia" w:ascii="Times New Roman" w:hAnsi="Times New Roman" w:eastAsia="仿宋_GB2312" w:cs="Times New Roman"/>
          <w:sz w:val="32"/>
          <w:szCs w:val="32"/>
          <w:lang w:val="zh-CN" w:eastAsia="zh-CN"/>
        </w:rPr>
        <w:t>满分。</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zh-CN" w:eastAsia="zh-CN"/>
        </w:rPr>
        <w:t>（三）绩效结果应用情况。</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zh-CN" w:eastAsia="zh-CN"/>
        </w:rPr>
        <w:t>1. 内部应用：绩效结果已用于优化下年度预算编制与项目安排，强化资源配置导向。</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zh-CN" w:eastAsia="zh-CN"/>
        </w:rPr>
        <w:t>2. 信息公开：按规定公开绩效自评信息，主动接受社会监督。</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zh-CN" w:eastAsia="zh-CN"/>
        </w:rPr>
        <w:t>3. 整改反馈：针对发现问题建立清单，落实整改措施，形成闭环管理。</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四、评价结论及建议</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zh-CN" w:eastAsia="zh-CN"/>
        </w:rPr>
        <w:t>（一）评价结论。</w:t>
      </w:r>
      <w:r>
        <w:rPr>
          <w:rFonts w:hint="eastAsia" w:ascii="Times New Roman" w:hAnsi="Times New Roman" w:eastAsia="仿宋_GB2312" w:cs="Times New Roman"/>
          <w:sz w:val="32"/>
          <w:szCs w:val="32"/>
          <w:lang w:val="en-US" w:eastAsia="zh-CN"/>
        </w:rPr>
        <w:t>经综合评价，2025年度部门预算绩效自评总得分为 88.22分（满分100分）总体来看，部门在履职效能、项目决策、资金使用规范等方面表现良好，但在预算编制精准度、预算执行进度、政府采购支持中小企业政策落实等方面仍存在提升空间。</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zh-CN" w:eastAsia="zh-CN"/>
        </w:rPr>
        <w:t>（二）存在问题。</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 预算编制质量有待提高。预算编制科学性和准确性指标得分3.56分（满分8分），扣分较多，反映年初预算测算不够精准。</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 预算执行进度不均衡。支出执行管理得分4.78分（满分6分），且项目绩效中执行结果扣1分，说明1—6月、1—10月预算执行进度存在滞后。</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 预算年终结余偏高。预算年终结余指标得分1.88分（满分2分），年末结余资金较多，影响资金使用效益。</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 2025年度，部门实际发生政府采购项目1个，但由于以往年度无政府采购业务，年初未编制政府采购预算。该采购项目虽已实施，但年底尚未完成资金拨付，导致“采购执行率”指标得分偏低，同时“支持中小企业发展”指标因无预算安排而无法体现政策执行情况。</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zh-CN" w:eastAsia="zh-CN"/>
        </w:rPr>
        <w:t>（三）改进建议。</w:t>
      </w:r>
      <w:bookmarkStart w:id="49" w:name="_Hlk110546638"/>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 针对预算编制质量问题：建议加强年初预算测算工作，充分参考往年执行情况和年度任务需求，提高预算编制的科学性和准确性，减少预算调整幅度。</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 针对预算执行进度不均衡问题：建议加快上半年及前三季度的资金支付节奏，建立预算执行月度通报机制，确保各时段执行进度与序时进度相匹配。</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 针对预算年终结余偏高问题：建议在预算编制时更加精准预估全年资金需求，对预计无法支出的资金及时调整，避免年末大量资金结余。</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 加快采购项目资金支付进度。对于已实施的政府采购项目，应抓紧完成验收、结算及支付流程，确保资金及时拨付，提高采购执行</w:t>
      </w:r>
      <w:r>
        <w:rPr>
          <w:rFonts w:hint="eastAsia" w:eastAsia="仿宋_GB2312" w:cs="Times New Roman"/>
          <w:sz w:val="32"/>
          <w:szCs w:val="32"/>
          <w:lang w:val="en-US" w:eastAsia="zh-CN"/>
        </w:rPr>
        <w:t>效</w:t>
      </w:r>
      <w:r>
        <w:rPr>
          <w:rFonts w:hint="eastAsia" w:ascii="Times New Roman" w:hAnsi="Times New Roman" w:eastAsia="仿宋_GB2312" w:cs="Times New Roman"/>
          <w:sz w:val="32"/>
          <w:szCs w:val="32"/>
          <w:lang w:val="en-US" w:eastAsia="zh-CN"/>
        </w:rPr>
        <w:t>率。</w:t>
      </w:r>
    </w:p>
    <w:bookmarkEnd w:id="49"/>
    <w:p>
      <w:pPr>
        <w:pStyle w:val="3"/>
        <w:keepNext w:val="0"/>
        <w:keepLines w:val="0"/>
        <w:pageBreakBefore w:val="0"/>
        <w:numPr>
          <w:ilvl w:val="0"/>
          <w:numId w:val="0"/>
        </w:numPr>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3"/>
        <w:keepNext w:val="0"/>
        <w:keepLines w:val="0"/>
        <w:pageBreakBefore w:val="0"/>
        <w:numPr>
          <w:ilvl w:val="0"/>
          <w:numId w:val="0"/>
        </w:numPr>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pPr>
        <w:spacing w:line="578" w:lineRule="exact"/>
        <w:jc w:val="left"/>
        <w:rPr>
          <w:rFonts w:eastAsia="黑体"/>
        </w:rPr>
      </w:pPr>
    </w:p>
    <w:p>
      <w:pPr>
        <w:spacing w:line="578" w:lineRule="exact"/>
        <w:jc w:val="left"/>
        <w:rPr>
          <w:rFonts w:eastAsia="黑体"/>
        </w:rPr>
      </w:pPr>
    </w:p>
    <w:p>
      <w:pPr>
        <w:spacing w:line="578" w:lineRule="exact"/>
        <w:jc w:val="left"/>
        <w:rPr>
          <w:rFonts w:eastAsia="黑体"/>
        </w:rPr>
      </w:pPr>
    </w:p>
    <w:p>
      <w:pPr>
        <w:spacing w:line="578" w:lineRule="exact"/>
        <w:jc w:val="left"/>
        <w:rPr>
          <w:rFonts w:eastAsia="黑体"/>
        </w:rPr>
      </w:pPr>
    </w:p>
    <w:p>
      <w:pPr>
        <w:pStyle w:val="2"/>
        <w:rPr>
          <w:rFonts w:eastAsia="黑体"/>
        </w:rPr>
      </w:pPr>
    </w:p>
    <w:p>
      <w:pPr>
        <w:pStyle w:val="3"/>
        <w:rPr>
          <w:rFonts w:eastAsia="黑体"/>
        </w:rPr>
      </w:pPr>
    </w:p>
    <w:p/>
    <w:p>
      <w:pPr>
        <w:spacing w:line="578" w:lineRule="exact"/>
        <w:jc w:val="left"/>
        <w:rPr>
          <w:rFonts w:eastAsia="黑体"/>
        </w:rPr>
      </w:pPr>
    </w:p>
    <w:p>
      <w:pPr>
        <w:spacing w:line="578" w:lineRule="exact"/>
        <w:jc w:val="left"/>
        <w:rPr>
          <w:rFonts w:eastAsia="黑体"/>
        </w:rPr>
      </w:pPr>
    </w:p>
    <w:tbl>
      <w:tblPr>
        <w:tblStyle w:val="15"/>
        <w:tblW w:w="104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457"/>
        <w:gridCol w:w="1264"/>
        <w:gridCol w:w="1582"/>
        <w:gridCol w:w="396"/>
        <w:gridCol w:w="1203"/>
        <w:gridCol w:w="396"/>
        <w:gridCol w:w="846"/>
        <w:gridCol w:w="486"/>
        <w:gridCol w:w="396"/>
        <w:gridCol w:w="17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104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51323021T000000135858-伙食团经费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jc w:val="center"/>
        </w:trPr>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9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壤塘县中壤塘文化旅游景区管理处</w:t>
            </w:r>
          </w:p>
        </w:tc>
        <w:tc>
          <w:tcPr>
            <w:tcW w:w="80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6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壤塘县中壤塘文化旅游景区管理处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5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5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9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40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7" w:hRule="atLeast"/>
          <w:jc w:val="center"/>
        </w:trPr>
        <w:tc>
          <w:tcPr>
            <w:tcW w:w="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9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after="180" w:afterAutospacing="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单位伙食团经费，为了提高伙食团运转</w:t>
            </w:r>
            <w:r>
              <w:rPr>
                <w:rFonts w:hint="eastAsia" w:ascii="宋体" w:hAnsi="宋体" w:cs="宋体"/>
                <w:i w:val="0"/>
                <w:iCs w:val="0"/>
                <w:color w:val="000000"/>
                <w:kern w:val="0"/>
                <w:sz w:val="18"/>
                <w:szCs w:val="18"/>
                <w:u w:val="none"/>
                <w:lang w:val="en-US" w:eastAsia="zh-CN" w:bidi="ar"/>
              </w:rPr>
              <w:t>效</w:t>
            </w:r>
            <w:r>
              <w:rPr>
                <w:rFonts w:ascii="宋体" w:hAnsi="宋体" w:eastAsia="宋体" w:cs="宋体"/>
                <w:i w:val="0"/>
                <w:iCs w:val="0"/>
                <w:color w:val="000000"/>
                <w:kern w:val="0"/>
                <w:sz w:val="18"/>
                <w:szCs w:val="18"/>
                <w:u w:val="none"/>
                <w:lang w:val="en-US" w:eastAsia="zh-CN" w:bidi="ar"/>
              </w:rPr>
              <w:t>率，保障单位职工生活质量。</w:t>
            </w:r>
            <w:r>
              <w:rPr>
                <w:rFonts w:ascii="宋体" w:hAnsi="宋体" w:eastAsia="宋体" w:cs="宋体"/>
                <w:i w:val="0"/>
                <w:iCs w:val="0"/>
                <w:color w:val="000000"/>
                <w:kern w:val="0"/>
                <w:sz w:val="18"/>
                <w:szCs w:val="18"/>
                <w:u w:val="none"/>
                <w:lang w:val="en-US" w:eastAsia="zh-CN" w:bidi="ar"/>
              </w:rPr>
              <w:br w:type="textWrapping"/>
            </w:r>
          </w:p>
        </w:tc>
        <w:tc>
          <w:tcPr>
            <w:tcW w:w="340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伙食团运转流畅，经费保障到位，职工就餐需求得到有效满足，较好实现了保障职工生活质量的目标。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4" w:hRule="atLeast"/>
          <w:jc w:val="center"/>
        </w:trPr>
        <w:tc>
          <w:tcPr>
            <w:tcW w:w="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伙食团日常运营保障，含食材采购、耗材购置、厨师工资及运维开支。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jc w:val="center"/>
        </w:trPr>
        <w:tc>
          <w:tcPr>
            <w:tcW w:w="5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0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jc w:val="center"/>
        </w:trPr>
        <w:tc>
          <w:tcPr>
            <w:tcW w:w="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20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8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20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8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jc w:val="center"/>
        </w:trPr>
        <w:tc>
          <w:tcPr>
            <w:tcW w:w="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8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8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0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8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4" w:hRule="atLeast"/>
          <w:jc w:val="center"/>
        </w:trPr>
        <w:tc>
          <w:tcPr>
            <w:tcW w:w="5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5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单位就餐服务人数</w:t>
            </w: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12人</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w:t>
            </w: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单位人员流动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就餐安全率</w:t>
            </w: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服务时长</w:t>
            </w: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12月</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5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保障单位职工生活质量</w:t>
            </w: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85%</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单位员工幸福指数</w:t>
            </w: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80%</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职工对菜品的不同要求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jc w:val="center"/>
        </w:trPr>
        <w:tc>
          <w:tcPr>
            <w:tcW w:w="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就餐人员对伙食的满意度</w:t>
            </w: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75%</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职工对菜品的不同要求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伙食团补助费用</w:t>
            </w: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50000</w:t>
            </w:r>
          </w:p>
        </w:tc>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50000元</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779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w:t>
            </w: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jc w:val="center"/>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89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项目自评得分89分，总体执行情况良好，项目经费严格按预算执行，执行率100%。有效保障了伙食团全年稳定运营，达到项目预期目标。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jc w:val="center"/>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89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菜品方面问题，菜品多样性与口味优化不足，部分职工对餐食品种、营养搭配的个性化需求未得到充分满足，影响就餐体验。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jc w:val="center"/>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89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收集职工意见，调整菜单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53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项目负责人：邓巴如扎</w:t>
            </w:r>
          </w:p>
        </w:tc>
        <w:tc>
          <w:tcPr>
            <w:tcW w:w="503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财务负责人：让真泽让</w:t>
            </w:r>
          </w:p>
        </w:tc>
      </w:tr>
    </w:tbl>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pStyle w:val="8"/>
        <w:keepNext w:val="0"/>
        <w:keepLines w:val="0"/>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4"/>
        <w:keepNext w:val="0"/>
        <w:keepLines w:val="0"/>
        <w:pageBreakBefore w:val="0"/>
        <w:widowControl w:val="0"/>
        <w:kinsoku/>
        <w:wordWrap/>
        <w:overflowPunct/>
        <w:topLinePunct w:val="0"/>
        <w:autoSpaceDE/>
        <w:autoSpaceDN/>
        <w:bidi w:val="0"/>
        <w:spacing w:line="576" w:lineRule="exact"/>
        <w:ind w:firstLine="640" w:firstLineChars="200"/>
        <w:jc w:val="both"/>
        <w:textAlignment w:val="auto"/>
        <w:rPr>
          <w:rFonts w:ascii="Times New Roman" w:hAnsi="Times New Roman"/>
          <w:color w:val="auto"/>
          <w:kern w:val="2"/>
          <w:sz w:val="32"/>
          <w:szCs w:val="32"/>
          <w:highlight w:val="none"/>
        </w:rPr>
      </w:pPr>
    </w:p>
    <w:p>
      <w:pPr>
        <w:pStyle w:val="34"/>
        <w:keepNext w:val="0"/>
        <w:keepLines w:val="0"/>
        <w:pageBreakBefore w:val="0"/>
        <w:widowControl w:val="0"/>
        <w:kinsoku/>
        <w:wordWrap/>
        <w:overflowPunct/>
        <w:topLinePunct w:val="0"/>
        <w:autoSpaceDE/>
        <w:autoSpaceDN/>
        <w:bidi w:val="0"/>
        <w:spacing w:line="576" w:lineRule="exact"/>
        <w:ind w:left="0" w:leftChars="0" w:firstLine="880" w:firstLineChars="20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eastAsia" w:ascii="Times New Roman" w:hAnsi="Times New Roman" w:eastAsia="方正小标宋简体" w:cs="Times New Roman"/>
          <w:color w:val="auto"/>
          <w:kern w:val="2"/>
          <w:sz w:val="44"/>
          <w:szCs w:val="44"/>
          <w:highlight w:val="none"/>
          <w:lang w:val="en-US" w:eastAsia="zh-CN"/>
        </w:rPr>
        <w:t>伙食团经费</w:t>
      </w:r>
      <w:r>
        <w:rPr>
          <w:rFonts w:hint="default" w:ascii="Times New Roman" w:hAnsi="Times New Roman" w:eastAsia="方正小标宋简体" w:cs="Times New Roman"/>
          <w:color w:val="auto"/>
          <w:kern w:val="2"/>
          <w:sz w:val="44"/>
          <w:szCs w:val="44"/>
          <w:highlight w:val="none"/>
          <w:lang w:val="en-US" w:eastAsia="zh-CN"/>
        </w:rPr>
        <w:t>专项预算绩效自评报告</w:t>
      </w:r>
    </w:p>
    <w:p>
      <w:pPr>
        <w:pStyle w:val="34"/>
        <w:keepNext w:val="0"/>
        <w:keepLines w:val="0"/>
        <w:pageBreakBefore w:val="0"/>
        <w:widowControl w:val="0"/>
        <w:kinsoku/>
        <w:wordWrap/>
        <w:overflowPunct/>
        <w:topLinePunct w:val="0"/>
        <w:autoSpaceDE/>
        <w:autoSpaceDN/>
        <w:bidi w:val="0"/>
        <w:spacing w:line="576" w:lineRule="exact"/>
        <w:ind w:left="0" w:leftChars="0" w:firstLine="640" w:firstLineChars="200"/>
        <w:jc w:val="center"/>
        <w:textAlignment w:val="auto"/>
        <w:rPr>
          <w:rFonts w:hint="default" w:ascii="Times New Roman" w:hAnsi="Times New Roman" w:cs="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黑体" w:hAnsi="黑体" w:eastAsia="黑体" w:cs="黑体"/>
          <w:sz w:val="32"/>
          <w:szCs w:val="32"/>
          <w:highlight w:val="none"/>
          <w:lang w:val="zh-CN"/>
        </w:rPr>
      </w:pPr>
      <w:r>
        <w:rPr>
          <w:rFonts w:hint="eastAsia" w:ascii="黑体" w:hAnsi="黑体" w:eastAsia="黑体" w:cs="黑体"/>
          <w:sz w:val="32"/>
          <w:szCs w:val="32"/>
          <w:highlight w:val="none"/>
        </w:rPr>
        <w:t>一、</w:t>
      </w:r>
      <w:r>
        <w:rPr>
          <w:rFonts w:hint="eastAsia" w:ascii="黑体" w:hAnsi="黑体" w:eastAsia="黑体" w:cs="黑体"/>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42" w:firstLineChars="200"/>
        <w:contextualSpacing/>
        <w:jc w:val="left"/>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为保障单位干部职工日常就餐需求，稳定职工队伍、改善工作生活条件，设立伙食团经费项目。项目立项依据为中共壤塘县委办公室 壤塘县人民政府办公室印发《关于加强干部关心关爱激发干事创业活力的实施细则》，资金申报严格按照财政预算编制流程执行。项目主要内容为伙食团日常运营保障支出，由办公室具体负责项目实施与日常管理。</w:t>
      </w:r>
    </w:p>
    <w:p>
      <w:pPr>
        <w:keepNext w:val="0"/>
        <w:keepLines w:val="0"/>
        <w:pageBreakBefore w:val="0"/>
        <w:numPr>
          <w:ilvl w:val="0"/>
          <w:numId w:val="1"/>
        </w:numPr>
        <w:kinsoku/>
        <w:wordWrap/>
        <w:overflowPunct/>
        <w:topLinePunct w:val="0"/>
        <w:autoSpaceDE/>
        <w:autoSpaceDN/>
        <w:bidi w:val="0"/>
        <w:adjustRightInd w:val="0"/>
        <w:snapToGrid w:val="0"/>
        <w:spacing w:line="576"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实施目的及支持方向。</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项目实施目的为保障干部职工日常就餐供应，提升后勤服务保障水平，营造良好工作生活环境，助力单位各项工作有序开展。主要用于食堂食材采购、水电燃气、厨具维修、保洁耗材及食堂日常运维等开支。</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textAlignment w:val="auto"/>
        <w:rPr>
          <w:rFonts w:hint="default" w:ascii="Times New Roman" w:hAnsi="Times New Roman" w:cs="Times New Roman"/>
          <w:color w:val="auto"/>
          <w:kern w:val="0"/>
          <w:sz w:val="32"/>
          <w:szCs w:val="32"/>
          <w:highlight w:val="none"/>
          <w:u w:val="none"/>
          <w:shd w:val="clear" w:color="auto" w:fill="FFFFFF"/>
          <w:lang w:val="zh-CN" w:eastAsia="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color w:val="auto"/>
          <w:kern w:val="0"/>
          <w:sz w:val="32"/>
          <w:szCs w:val="32"/>
          <w:highlight w:val="none"/>
          <w:u w:val="none"/>
          <w:shd w:val="clear" w:color="auto" w:fill="FFFFFF"/>
          <w:lang w:val="zh-CN" w:eastAsia="zh-CN"/>
        </w:rPr>
        <w:t>本项目年度预算安排 5万元，全部为财政拨款资金，预算编制依据为上年度伙食团实际支出水平、本年度就餐人数及物价变动情况测算确定。项目分配坚持“保障必需、厉行节约、专款专用”的原则，优先保障职工基本就餐需求，合理控制成本，杜绝浪费。主要考虑年度就餐职工人数、食材市场价格、伙食团运营成本（水电、耗材等）、季节供应波动等因素，确保预算安排科学合理。项目资金全部用于伙食团日常运营保障支出，无其他分配用途。</w:t>
      </w:r>
    </w:p>
    <w:p>
      <w:pPr>
        <w:keepNext w:val="0"/>
        <w:keepLines w:val="0"/>
        <w:pageBreakBefore w:val="0"/>
        <w:numPr>
          <w:ilvl w:val="0"/>
          <w:numId w:val="1"/>
        </w:numPr>
        <w:kinsoku/>
        <w:wordWrap/>
        <w:overflowPunct/>
        <w:topLinePunct w:val="0"/>
        <w:autoSpaceDE/>
        <w:autoSpaceDN/>
        <w:bidi w:val="0"/>
        <w:adjustRightInd w:val="0"/>
        <w:snapToGrid w:val="0"/>
        <w:spacing w:line="576"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项目绩效目标设置。</w:t>
      </w:r>
    </w:p>
    <w:p>
      <w:pPr>
        <w:keepNext w:val="0"/>
        <w:keepLines w:val="0"/>
        <w:pageBreakBefore w:val="0"/>
        <w:numPr>
          <w:ilvl w:val="0"/>
          <w:numId w:val="0"/>
        </w:numPr>
        <w:kinsoku/>
        <w:wordWrap/>
        <w:overflowPunct/>
        <w:topLinePunct w:val="0"/>
        <w:autoSpaceDE/>
        <w:autoSpaceDN/>
        <w:bidi w:val="0"/>
        <w:adjustRightInd w:val="0"/>
        <w:snapToGrid w:val="0"/>
        <w:spacing w:line="576"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color w:val="auto"/>
          <w:kern w:val="0"/>
          <w:sz w:val="32"/>
          <w:szCs w:val="32"/>
          <w:highlight w:val="none"/>
          <w:u w:val="none"/>
          <w:shd w:val="clear" w:color="auto" w:fill="FFFFFF"/>
          <w:lang w:val="zh-CN" w:eastAsia="zh-CN"/>
        </w:rPr>
        <w:t>1. 项目整体和具体绩效目标设置情况</w:t>
      </w:r>
    </w:p>
    <w:p>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color w:val="auto"/>
          <w:kern w:val="0"/>
          <w:sz w:val="32"/>
          <w:szCs w:val="32"/>
          <w:highlight w:val="none"/>
          <w:u w:val="none"/>
          <w:shd w:val="clear" w:color="auto" w:fill="FFFFFF"/>
          <w:lang w:val="zh-CN" w:eastAsia="zh-CN"/>
        </w:rPr>
        <w:t>整体目标：单位伙食团经费，为了提高伙食团运转效率，保障单位职工生活质量。</w:t>
      </w:r>
    </w:p>
    <w:p>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color w:val="auto"/>
          <w:kern w:val="0"/>
          <w:sz w:val="32"/>
          <w:szCs w:val="32"/>
          <w:highlight w:val="none"/>
          <w:u w:val="none"/>
          <w:shd w:val="clear" w:color="auto" w:fill="FFFFFF"/>
          <w:lang w:val="zh-CN" w:eastAsia="zh-CN"/>
        </w:rPr>
        <w:t>具体绩效目标：</w:t>
      </w:r>
    </w:p>
    <w:p>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color w:val="auto"/>
          <w:kern w:val="0"/>
          <w:sz w:val="32"/>
          <w:szCs w:val="32"/>
          <w:highlight w:val="none"/>
          <w:u w:val="none"/>
          <w:shd w:val="clear" w:color="auto" w:fill="FFFFFF"/>
          <w:lang w:val="zh-CN" w:eastAsia="zh-CN"/>
        </w:rPr>
        <w:t>单位就餐服务人数</w:t>
      </w:r>
      <w:r>
        <w:rPr>
          <w:rFonts w:hint="eastAsia" w:ascii="仿宋_GB2312" w:hAnsi="仿宋_GB2312" w:eastAsia="仿宋_GB2312" w:cs="仿宋_GB2312"/>
          <w:color w:val="auto"/>
          <w:kern w:val="0"/>
          <w:sz w:val="32"/>
          <w:szCs w:val="32"/>
          <w:highlight w:val="none"/>
          <w:u w:val="none"/>
          <w:shd w:val="clear" w:color="auto" w:fill="FFFFFF"/>
          <w:lang w:val="zh-CN" w:eastAsia="zh-CN"/>
        </w:rPr>
        <w:tab/>
      </w:r>
      <w:r>
        <w:rPr>
          <w:rFonts w:hint="eastAsia" w:ascii="仿宋_GB2312" w:hAnsi="仿宋_GB2312" w:eastAsia="仿宋_GB2312" w:cs="仿宋_GB2312"/>
          <w:color w:val="auto"/>
          <w:kern w:val="0"/>
          <w:sz w:val="32"/>
          <w:szCs w:val="32"/>
          <w:highlight w:val="none"/>
          <w:u w:val="none"/>
          <w:shd w:val="clear" w:color="auto" w:fill="FFFFFF"/>
          <w:lang w:val="zh-CN" w:eastAsia="zh-CN"/>
        </w:rPr>
        <w:t>≥</w:t>
      </w:r>
      <w:r>
        <w:rPr>
          <w:rFonts w:hint="eastAsia" w:ascii="仿宋_GB2312" w:hAnsi="仿宋_GB2312" w:eastAsia="仿宋_GB2312" w:cs="仿宋_GB2312"/>
          <w:color w:val="auto"/>
          <w:kern w:val="0"/>
          <w:sz w:val="32"/>
          <w:szCs w:val="32"/>
          <w:highlight w:val="none"/>
          <w:u w:val="none"/>
          <w:shd w:val="clear" w:color="auto" w:fill="FFFFFF"/>
          <w:lang w:val="zh-CN" w:eastAsia="zh-CN"/>
        </w:rPr>
        <w:tab/>
      </w:r>
      <w:r>
        <w:rPr>
          <w:rFonts w:hint="eastAsia" w:ascii="仿宋_GB2312" w:hAnsi="仿宋_GB2312" w:eastAsia="仿宋_GB2312" w:cs="仿宋_GB2312"/>
          <w:color w:val="auto"/>
          <w:kern w:val="0"/>
          <w:sz w:val="32"/>
          <w:szCs w:val="32"/>
          <w:highlight w:val="none"/>
          <w:u w:val="none"/>
          <w:shd w:val="clear" w:color="auto" w:fill="FFFFFF"/>
          <w:lang w:val="zh-CN" w:eastAsia="zh-CN"/>
        </w:rPr>
        <w:t>15</w:t>
      </w:r>
      <w:r>
        <w:rPr>
          <w:rFonts w:hint="eastAsia" w:ascii="仿宋_GB2312" w:hAnsi="仿宋_GB2312" w:eastAsia="仿宋_GB2312" w:cs="仿宋_GB2312"/>
          <w:color w:val="auto"/>
          <w:kern w:val="0"/>
          <w:sz w:val="32"/>
          <w:szCs w:val="32"/>
          <w:highlight w:val="none"/>
          <w:u w:val="none"/>
          <w:shd w:val="clear" w:color="auto" w:fill="FFFFFF"/>
          <w:lang w:val="zh-CN" w:eastAsia="zh-CN"/>
        </w:rPr>
        <w:tab/>
      </w:r>
      <w:r>
        <w:rPr>
          <w:rFonts w:hint="eastAsia" w:ascii="仿宋_GB2312" w:hAnsi="仿宋_GB2312" w:eastAsia="仿宋_GB2312" w:cs="仿宋_GB2312"/>
          <w:color w:val="auto"/>
          <w:kern w:val="0"/>
          <w:sz w:val="32"/>
          <w:szCs w:val="32"/>
          <w:highlight w:val="none"/>
          <w:u w:val="none"/>
          <w:shd w:val="clear" w:color="auto" w:fill="FFFFFF"/>
          <w:lang w:val="zh-CN" w:eastAsia="zh-CN"/>
        </w:rPr>
        <w:t>人</w:t>
      </w:r>
    </w:p>
    <w:p>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color w:val="auto"/>
          <w:kern w:val="0"/>
          <w:sz w:val="32"/>
          <w:szCs w:val="32"/>
          <w:highlight w:val="none"/>
          <w:u w:val="none"/>
          <w:shd w:val="clear" w:color="auto" w:fill="FFFFFF"/>
          <w:lang w:val="zh-CN" w:eastAsia="zh-CN"/>
        </w:rPr>
        <w:t>就餐安全率</w:t>
      </w:r>
      <w:r>
        <w:rPr>
          <w:rFonts w:hint="eastAsia" w:ascii="仿宋_GB2312" w:hAnsi="仿宋_GB2312" w:eastAsia="仿宋_GB2312" w:cs="仿宋_GB2312"/>
          <w:color w:val="auto"/>
          <w:kern w:val="0"/>
          <w:sz w:val="32"/>
          <w:szCs w:val="32"/>
          <w:highlight w:val="none"/>
          <w:u w:val="none"/>
          <w:shd w:val="clear" w:color="auto" w:fill="FFFFFF"/>
          <w:lang w:val="zh-CN" w:eastAsia="zh-CN"/>
        </w:rPr>
        <w:tab/>
      </w:r>
      <w:r>
        <w:rPr>
          <w:rFonts w:hint="eastAsia" w:ascii="仿宋_GB2312" w:hAnsi="仿宋_GB2312" w:eastAsia="仿宋_GB2312" w:cs="仿宋_GB2312"/>
          <w:color w:val="auto"/>
          <w:kern w:val="0"/>
          <w:sz w:val="32"/>
          <w:szCs w:val="32"/>
          <w:highlight w:val="none"/>
          <w:u w:val="none"/>
          <w:shd w:val="clear" w:color="auto" w:fill="FFFFFF"/>
          <w:lang w:val="zh-CN" w:eastAsia="zh-CN"/>
        </w:rPr>
        <w:t>＝</w:t>
      </w:r>
      <w:r>
        <w:rPr>
          <w:rFonts w:hint="eastAsia" w:ascii="仿宋_GB2312" w:hAnsi="仿宋_GB2312" w:eastAsia="仿宋_GB2312" w:cs="仿宋_GB2312"/>
          <w:color w:val="auto"/>
          <w:kern w:val="0"/>
          <w:sz w:val="32"/>
          <w:szCs w:val="32"/>
          <w:highlight w:val="none"/>
          <w:u w:val="none"/>
          <w:shd w:val="clear" w:color="auto" w:fill="FFFFFF"/>
          <w:lang w:val="zh-CN" w:eastAsia="zh-CN"/>
        </w:rPr>
        <w:tab/>
      </w:r>
      <w:r>
        <w:rPr>
          <w:rFonts w:hint="eastAsia" w:ascii="仿宋_GB2312" w:hAnsi="仿宋_GB2312" w:eastAsia="仿宋_GB2312" w:cs="仿宋_GB2312"/>
          <w:color w:val="auto"/>
          <w:kern w:val="0"/>
          <w:sz w:val="32"/>
          <w:szCs w:val="32"/>
          <w:highlight w:val="none"/>
          <w:u w:val="none"/>
          <w:shd w:val="clear" w:color="auto" w:fill="FFFFFF"/>
          <w:lang w:val="zh-CN" w:eastAsia="zh-CN"/>
        </w:rPr>
        <w:t>100</w:t>
      </w:r>
      <w:r>
        <w:rPr>
          <w:rFonts w:hint="eastAsia" w:ascii="仿宋_GB2312" w:hAnsi="仿宋_GB2312" w:eastAsia="仿宋_GB2312" w:cs="仿宋_GB2312"/>
          <w:color w:val="auto"/>
          <w:kern w:val="0"/>
          <w:sz w:val="32"/>
          <w:szCs w:val="32"/>
          <w:highlight w:val="none"/>
          <w:u w:val="none"/>
          <w:shd w:val="clear" w:color="auto" w:fill="FFFFFF"/>
          <w:lang w:val="zh-CN" w:eastAsia="zh-CN"/>
        </w:rPr>
        <w:tab/>
      </w:r>
      <w:r>
        <w:rPr>
          <w:rFonts w:hint="eastAsia" w:ascii="仿宋_GB2312" w:hAnsi="仿宋_GB2312" w:eastAsia="仿宋_GB2312" w:cs="仿宋_GB2312"/>
          <w:color w:val="auto"/>
          <w:kern w:val="0"/>
          <w:sz w:val="32"/>
          <w:szCs w:val="32"/>
          <w:highlight w:val="none"/>
          <w:u w:val="none"/>
          <w:shd w:val="clear" w:color="auto" w:fill="FFFFFF"/>
          <w:lang w:val="zh-CN" w:eastAsia="zh-CN"/>
        </w:rPr>
        <w:t>%</w:t>
      </w:r>
    </w:p>
    <w:p>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color w:val="auto"/>
          <w:kern w:val="0"/>
          <w:sz w:val="32"/>
          <w:szCs w:val="32"/>
          <w:highlight w:val="none"/>
          <w:u w:val="none"/>
          <w:shd w:val="clear" w:color="auto" w:fill="FFFFFF"/>
          <w:lang w:val="zh-CN" w:eastAsia="zh-CN"/>
        </w:rPr>
        <w:t>服务时长</w:t>
      </w:r>
      <w:r>
        <w:rPr>
          <w:rFonts w:hint="eastAsia" w:ascii="仿宋_GB2312" w:hAnsi="仿宋_GB2312" w:eastAsia="仿宋_GB2312" w:cs="仿宋_GB2312"/>
          <w:color w:val="auto"/>
          <w:kern w:val="0"/>
          <w:sz w:val="32"/>
          <w:szCs w:val="32"/>
          <w:highlight w:val="none"/>
          <w:u w:val="none"/>
          <w:shd w:val="clear" w:color="auto" w:fill="FFFFFF"/>
          <w:lang w:val="zh-CN" w:eastAsia="zh-CN"/>
        </w:rPr>
        <w:tab/>
      </w:r>
      <w:r>
        <w:rPr>
          <w:rFonts w:hint="eastAsia" w:ascii="仿宋_GB2312" w:hAnsi="仿宋_GB2312" w:eastAsia="仿宋_GB2312" w:cs="仿宋_GB2312"/>
          <w:color w:val="auto"/>
          <w:kern w:val="0"/>
          <w:sz w:val="32"/>
          <w:szCs w:val="32"/>
          <w:highlight w:val="none"/>
          <w:u w:val="none"/>
          <w:shd w:val="clear" w:color="auto" w:fill="FFFFFF"/>
          <w:lang w:val="zh-CN" w:eastAsia="zh-CN"/>
        </w:rPr>
        <w:t>＝</w:t>
      </w:r>
      <w:r>
        <w:rPr>
          <w:rFonts w:hint="eastAsia" w:ascii="仿宋_GB2312" w:hAnsi="仿宋_GB2312" w:eastAsia="仿宋_GB2312" w:cs="仿宋_GB2312"/>
          <w:color w:val="auto"/>
          <w:kern w:val="0"/>
          <w:sz w:val="32"/>
          <w:szCs w:val="32"/>
          <w:highlight w:val="none"/>
          <w:u w:val="none"/>
          <w:shd w:val="clear" w:color="auto" w:fill="FFFFFF"/>
          <w:lang w:val="zh-CN" w:eastAsia="zh-CN"/>
        </w:rPr>
        <w:tab/>
      </w:r>
      <w:r>
        <w:rPr>
          <w:rFonts w:hint="eastAsia" w:ascii="仿宋_GB2312" w:hAnsi="仿宋_GB2312" w:eastAsia="仿宋_GB2312" w:cs="仿宋_GB2312"/>
          <w:color w:val="auto"/>
          <w:kern w:val="0"/>
          <w:sz w:val="32"/>
          <w:szCs w:val="32"/>
          <w:highlight w:val="none"/>
          <w:u w:val="none"/>
          <w:shd w:val="clear" w:color="auto" w:fill="FFFFFF"/>
          <w:lang w:val="zh-CN" w:eastAsia="zh-CN"/>
        </w:rPr>
        <w:t>12</w:t>
      </w:r>
      <w:r>
        <w:rPr>
          <w:rFonts w:hint="eastAsia" w:ascii="仿宋_GB2312" w:hAnsi="仿宋_GB2312" w:eastAsia="仿宋_GB2312" w:cs="仿宋_GB2312"/>
          <w:color w:val="auto"/>
          <w:kern w:val="0"/>
          <w:sz w:val="32"/>
          <w:szCs w:val="32"/>
          <w:highlight w:val="none"/>
          <w:u w:val="none"/>
          <w:shd w:val="clear" w:color="auto" w:fill="FFFFFF"/>
          <w:lang w:val="zh-CN" w:eastAsia="zh-CN"/>
        </w:rPr>
        <w:tab/>
      </w:r>
      <w:r>
        <w:rPr>
          <w:rFonts w:hint="eastAsia" w:ascii="仿宋_GB2312" w:hAnsi="仿宋_GB2312" w:eastAsia="仿宋_GB2312" w:cs="仿宋_GB2312"/>
          <w:color w:val="auto"/>
          <w:kern w:val="0"/>
          <w:sz w:val="32"/>
          <w:szCs w:val="32"/>
          <w:highlight w:val="none"/>
          <w:u w:val="none"/>
          <w:shd w:val="clear" w:color="auto" w:fill="FFFFFF"/>
          <w:lang w:val="zh-CN" w:eastAsia="zh-CN"/>
        </w:rPr>
        <w:t>月</w:t>
      </w:r>
    </w:p>
    <w:p>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color w:val="auto"/>
          <w:kern w:val="0"/>
          <w:sz w:val="32"/>
          <w:szCs w:val="32"/>
          <w:highlight w:val="none"/>
          <w:u w:val="none"/>
          <w:shd w:val="clear" w:color="auto" w:fill="FFFFFF"/>
          <w:lang w:val="zh-CN" w:eastAsia="zh-CN"/>
        </w:rPr>
        <w:t>保障单位职工生活质量</w:t>
      </w:r>
      <w:r>
        <w:rPr>
          <w:rFonts w:hint="eastAsia" w:ascii="仿宋_GB2312" w:hAnsi="仿宋_GB2312" w:eastAsia="仿宋_GB2312" w:cs="仿宋_GB2312"/>
          <w:color w:val="auto"/>
          <w:kern w:val="0"/>
          <w:sz w:val="32"/>
          <w:szCs w:val="32"/>
          <w:highlight w:val="none"/>
          <w:u w:val="none"/>
          <w:shd w:val="clear" w:color="auto" w:fill="FFFFFF"/>
          <w:lang w:val="zh-CN" w:eastAsia="zh-CN"/>
        </w:rPr>
        <w:tab/>
      </w:r>
      <w:r>
        <w:rPr>
          <w:rFonts w:hint="eastAsia" w:ascii="仿宋_GB2312" w:hAnsi="仿宋_GB2312" w:eastAsia="仿宋_GB2312" w:cs="仿宋_GB2312"/>
          <w:color w:val="auto"/>
          <w:kern w:val="0"/>
          <w:sz w:val="32"/>
          <w:szCs w:val="32"/>
          <w:highlight w:val="none"/>
          <w:u w:val="none"/>
          <w:shd w:val="clear" w:color="auto" w:fill="FFFFFF"/>
          <w:lang w:val="zh-CN" w:eastAsia="zh-CN"/>
        </w:rPr>
        <w:t>≥</w:t>
      </w:r>
      <w:r>
        <w:rPr>
          <w:rFonts w:hint="eastAsia" w:ascii="仿宋_GB2312" w:hAnsi="仿宋_GB2312" w:eastAsia="仿宋_GB2312" w:cs="仿宋_GB2312"/>
          <w:color w:val="auto"/>
          <w:kern w:val="0"/>
          <w:sz w:val="32"/>
          <w:szCs w:val="32"/>
          <w:highlight w:val="none"/>
          <w:u w:val="none"/>
          <w:shd w:val="clear" w:color="auto" w:fill="FFFFFF"/>
          <w:lang w:val="zh-CN" w:eastAsia="zh-CN"/>
        </w:rPr>
        <w:tab/>
      </w:r>
      <w:r>
        <w:rPr>
          <w:rFonts w:hint="eastAsia" w:ascii="仿宋_GB2312" w:hAnsi="仿宋_GB2312" w:eastAsia="仿宋_GB2312" w:cs="仿宋_GB2312"/>
          <w:color w:val="auto"/>
          <w:kern w:val="0"/>
          <w:sz w:val="32"/>
          <w:szCs w:val="32"/>
          <w:highlight w:val="none"/>
          <w:u w:val="none"/>
          <w:shd w:val="clear" w:color="auto" w:fill="FFFFFF"/>
          <w:lang w:val="zh-CN" w:eastAsia="zh-CN"/>
        </w:rPr>
        <w:t>96</w:t>
      </w:r>
      <w:r>
        <w:rPr>
          <w:rFonts w:hint="eastAsia" w:ascii="仿宋_GB2312" w:hAnsi="仿宋_GB2312" w:eastAsia="仿宋_GB2312" w:cs="仿宋_GB2312"/>
          <w:color w:val="auto"/>
          <w:kern w:val="0"/>
          <w:sz w:val="32"/>
          <w:szCs w:val="32"/>
          <w:highlight w:val="none"/>
          <w:u w:val="none"/>
          <w:shd w:val="clear" w:color="auto" w:fill="FFFFFF"/>
          <w:lang w:val="zh-CN" w:eastAsia="zh-CN"/>
        </w:rPr>
        <w:tab/>
      </w:r>
      <w:r>
        <w:rPr>
          <w:rFonts w:hint="eastAsia" w:ascii="仿宋_GB2312" w:hAnsi="仿宋_GB2312" w:eastAsia="仿宋_GB2312" w:cs="仿宋_GB2312"/>
          <w:color w:val="auto"/>
          <w:kern w:val="0"/>
          <w:sz w:val="32"/>
          <w:szCs w:val="32"/>
          <w:highlight w:val="none"/>
          <w:u w:val="none"/>
          <w:shd w:val="clear" w:color="auto" w:fill="FFFFFF"/>
          <w:lang w:val="zh-CN" w:eastAsia="zh-CN"/>
        </w:rPr>
        <w:t>%</w:t>
      </w:r>
    </w:p>
    <w:p>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color w:val="auto"/>
          <w:kern w:val="0"/>
          <w:sz w:val="32"/>
          <w:szCs w:val="32"/>
          <w:highlight w:val="none"/>
          <w:u w:val="none"/>
          <w:shd w:val="clear" w:color="auto" w:fill="FFFFFF"/>
          <w:lang w:val="zh-CN" w:eastAsia="zh-CN"/>
        </w:rPr>
        <w:t>单位员工幸福指数</w:t>
      </w:r>
      <w:r>
        <w:rPr>
          <w:rFonts w:hint="eastAsia" w:ascii="仿宋_GB2312" w:hAnsi="仿宋_GB2312" w:eastAsia="仿宋_GB2312" w:cs="仿宋_GB2312"/>
          <w:color w:val="auto"/>
          <w:kern w:val="0"/>
          <w:sz w:val="32"/>
          <w:szCs w:val="32"/>
          <w:highlight w:val="none"/>
          <w:u w:val="none"/>
          <w:shd w:val="clear" w:color="auto" w:fill="FFFFFF"/>
          <w:lang w:val="zh-CN" w:eastAsia="zh-CN"/>
        </w:rPr>
        <w:tab/>
      </w:r>
      <w:r>
        <w:rPr>
          <w:rFonts w:hint="eastAsia" w:ascii="仿宋_GB2312" w:hAnsi="仿宋_GB2312" w:eastAsia="仿宋_GB2312" w:cs="仿宋_GB2312"/>
          <w:color w:val="auto"/>
          <w:kern w:val="0"/>
          <w:sz w:val="32"/>
          <w:szCs w:val="32"/>
          <w:highlight w:val="none"/>
          <w:u w:val="none"/>
          <w:shd w:val="clear" w:color="auto" w:fill="FFFFFF"/>
          <w:lang w:val="zh-CN" w:eastAsia="zh-CN"/>
        </w:rPr>
        <w:t>≥</w:t>
      </w:r>
      <w:r>
        <w:rPr>
          <w:rFonts w:hint="eastAsia" w:ascii="仿宋_GB2312" w:hAnsi="仿宋_GB2312" w:eastAsia="仿宋_GB2312" w:cs="仿宋_GB2312"/>
          <w:color w:val="auto"/>
          <w:kern w:val="0"/>
          <w:sz w:val="32"/>
          <w:szCs w:val="32"/>
          <w:highlight w:val="none"/>
          <w:u w:val="none"/>
          <w:shd w:val="clear" w:color="auto" w:fill="FFFFFF"/>
          <w:lang w:val="zh-CN" w:eastAsia="zh-CN"/>
        </w:rPr>
        <w:tab/>
      </w:r>
      <w:r>
        <w:rPr>
          <w:rFonts w:hint="eastAsia" w:ascii="仿宋_GB2312" w:hAnsi="仿宋_GB2312" w:eastAsia="仿宋_GB2312" w:cs="仿宋_GB2312"/>
          <w:color w:val="auto"/>
          <w:kern w:val="0"/>
          <w:sz w:val="32"/>
          <w:szCs w:val="32"/>
          <w:highlight w:val="none"/>
          <w:u w:val="none"/>
          <w:shd w:val="clear" w:color="auto" w:fill="FFFFFF"/>
          <w:lang w:val="zh-CN" w:eastAsia="zh-CN"/>
        </w:rPr>
        <w:t>90</w:t>
      </w:r>
      <w:r>
        <w:rPr>
          <w:rFonts w:hint="eastAsia" w:ascii="仿宋_GB2312" w:hAnsi="仿宋_GB2312" w:eastAsia="仿宋_GB2312" w:cs="仿宋_GB2312"/>
          <w:color w:val="auto"/>
          <w:kern w:val="0"/>
          <w:sz w:val="32"/>
          <w:szCs w:val="32"/>
          <w:highlight w:val="none"/>
          <w:u w:val="none"/>
          <w:shd w:val="clear" w:color="auto" w:fill="FFFFFF"/>
          <w:lang w:val="zh-CN" w:eastAsia="zh-CN"/>
        </w:rPr>
        <w:tab/>
      </w:r>
      <w:r>
        <w:rPr>
          <w:rFonts w:hint="eastAsia" w:ascii="仿宋_GB2312" w:hAnsi="仿宋_GB2312" w:eastAsia="仿宋_GB2312" w:cs="仿宋_GB2312"/>
          <w:color w:val="auto"/>
          <w:kern w:val="0"/>
          <w:sz w:val="32"/>
          <w:szCs w:val="32"/>
          <w:highlight w:val="none"/>
          <w:u w:val="none"/>
          <w:shd w:val="clear" w:color="auto" w:fill="FFFFFF"/>
          <w:lang w:val="zh-CN" w:eastAsia="zh-CN"/>
        </w:rPr>
        <w:t>%</w:t>
      </w:r>
    </w:p>
    <w:p>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color w:val="auto"/>
          <w:kern w:val="0"/>
          <w:sz w:val="32"/>
          <w:szCs w:val="32"/>
          <w:highlight w:val="none"/>
          <w:u w:val="none"/>
          <w:shd w:val="clear" w:color="auto" w:fill="FFFFFF"/>
          <w:lang w:val="zh-CN" w:eastAsia="zh-CN"/>
        </w:rPr>
        <w:t>就餐人员对伙食的满意度</w:t>
      </w:r>
      <w:r>
        <w:rPr>
          <w:rFonts w:hint="eastAsia" w:ascii="仿宋_GB2312" w:hAnsi="仿宋_GB2312" w:eastAsia="仿宋_GB2312" w:cs="仿宋_GB2312"/>
          <w:color w:val="auto"/>
          <w:kern w:val="0"/>
          <w:sz w:val="32"/>
          <w:szCs w:val="32"/>
          <w:highlight w:val="none"/>
          <w:u w:val="none"/>
          <w:shd w:val="clear" w:color="auto" w:fill="FFFFFF"/>
          <w:lang w:val="zh-CN" w:eastAsia="zh-CN"/>
        </w:rPr>
        <w:tab/>
      </w:r>
      <w:r>
        <w:rPr>
          <w:rFonts w:hint="eastAsia" w:ascii="仿宋_GB2312" w:hAnsi="仿宋_GB2312" w:eastAsia="仿宋_GB2312" w:cs="仿宋_GB2312"/>
          <w:color w:val="auto"/>
          <w:kern w:val="0"/>
          <w:sz w:val="32"/>
          <w:szCs w:val="32"/>
          <w:highlight w:val="none"/>
          <w:u w:val="none"/>
          <w:shd w:val="clear" w:color="auto" w:fill="FFFFFF"/>
          <w:lang w:val="zh-CN" w:eastAsia="zh-CN"/>
        </w:rPr>
        <w:t>≥</w:t>
      </w:r>
      <w:r>
        <w:rPr>
          <w:rFonts w:hint="eastAsia" w:ascii="仿宋_GB2312" w:hAnsi="仿宋_GB2312" w:eastAsia="仿宋_GB2312" w:cs="仿宋_GB2312"/>
          <w:color w:val="auto"/>
          <w:kern w:val="0"/>
          <w:sz w:val="32"/>
          <w:szCs w:val="32"/>
          <w:highlight w:val="none"/>
          <w:u w:val="none"/>
          <w:shd w:val="clear" w:color="auto" w:fill="FFFFFF"/>
          <w:lang w:val="zh-CN" w:eastAsia="zh-CN"/>
        </w:rPr>
        <w:tab/>
      </w:r>
      <w:r>
        <w:rPr>
          <w:rFonts w:hint="eastAsia" w:ascii="仿宋_GB2312" w:hAnsi="仿宋_GB2312" w:eastAsia="仿宋_GB2312" w:cs="仿宋_GB2312"/>
          <w:color w:val="auto"/>
          <w:kern w:val="0"/>
          <w:sz w:val="32"/>
          <w:szCs w:val="32"/>
          <w:highlight w:val="none"/>
          <w:u w:val="none"/>
          <w:shd w:val="clear" w:color="auto" w:fill="FFFFFF"/>
          <w:lang w:val="zh-CN" w:eastAsia="zh-CN"/>
        </w:rPr>
        <w:t>95</w:t>
      </w:r>
      <w:r>
        <w:rPr>
          <w:rFonts w:hint="eastAsia" w:ascii="仿宋_GB2312" w:hAnsi="仿宋_GB2312" w:eastAsia="仿宋_GB2312" w:cs="仿宋_GB2312"/>
          <w:color w:val="auto"/>
          <w:kern w:val="0"/>
          <w:sz w:val="32"/>
          <w:szCs w:val="32"/>
          <w:highlight w:val="none"/>
          <w:u w:val="none"/>
          <w:shd w:val="clear" w:color="auto" w:fill="FFFFFF"/>
          <w:lang w:val="zh-CN" w:eastAsia="zh-CN"/>
        </w:rPr>
        <w:tab/>
      </w:r>
      <w:r>
        <w:rPr>
          <w:rFonts w:hint="eastAsia" w:ascii="仿宋_GB2312" w:hAnsi="仿宋_GB2312" w:eastAsia="仿宋_GB2312" w:cs="仿宋_GB2312"/>
          <w:color w:val="auto"/>
          <w:kern w:val="0"/>
          <w:sz w:val="32"/>
          <w:szCs w:val="32"/>
          <w:highlight w:val="none"/>
          <w:u w:val="none"/>
          <w:shd w:val="clear" w:color="auto" w:fill="FFFFFF"/>
          <w:lang w:val="zh-CN" w:eastAsia="zh-CN"/>
        </w:rPr>
        <w:t>%</w:t>
      </w:r>
    </w:p>
    <w:p>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color w:val="auto"/>
          <w:kern w:val="0"/>
          <w:sz w:val="32"/>
          <w:szCs w:val="32"/>
          <w:highlight w:val="none"/>
          <w:u w:val="none"/>
          <w:shd w:val="clear" w:color="auto" w:fill="FFFFFF"/>
          <w:lang w:val="zh-CN" w:eastAsia="zh-CN"/>
        </w:rPr>
        <w:t>伙食团补助费用</w:t>
      </w:r>
      <w:r>
        <w:rPr>
          <w:rFonts w:hint="eastAsia" w:ascii="仿宋_GB2312" w:hAnsi="仿宋_GB2312" w:eastAsia="仿宋_GB2312" w:cs="仿宋_GB2312"/>
          <w:color w:val="auto"/>
          <w:kern w:val="0"/>
          <w:sz w:val="32"/>
          <w:szCs w:val="32"/>
          <w:highlight w:val="none"/>
          <w:u w:val="none"/>
          <w:shd w:val="clear" w:color="auto" w:fill="FFFFFF"/>
          <w:lang w:val="zh-CN" w:eastAsia="zh-CN"/>
        </w:rPr>
        <w:tab/>
      </w:r>
      <w:r>
        <w:rPr>
          <w:rFonts w:hint="eastAsia" w:ascii="仿宋_GB2312" w:hAnsi="仿宋_GB2312" w:eastAsia="仿宋_GB2312" w:cs="仿宋_GB2312"/>
          <w:color w:val="auto"/>
          <w:kern w:val="0"/>
          <w:sz w:val="32"/>
          <w:szCs w:val="32"/>
          <w:highlight w:val="none"/>
          <w:u w:val="none"/>
          <w:shd w:val="clear" w:color="auto" w:fill="FFFFFF"/>
          <w:lang w:val="zh-CN" w:eastAsia="zh-CN"/>
        </w:rPr>
        <w:t>＝</w:t>
      </w:r>
      <w:r>
        <w:rPr>
          <w:rFonts w:hint="eastAsia" w:ascii="仿宋_GB2312" w:hAnsi="仿宋_GB2312" w:eastAsia="仿宋_GB2312" w:cs="仿宋_GB2312"/>
          <w:color w:val="auto"/>
          <w:kern w:val="0"/>
          <w:sz w:val="32"/>
          <w:szCs w:val="32"/>
          <w:highlight w:val="none"/>
          <w:u w:val="none"/>
          <w:shd w:val="clear" w:color="auto" w:fill="FFFFFF"/>
          <w:lang w:val="zh-CN" w:eastAsia="zh-CN"/>
        </w:rPr>
        <w:tab/>
      </w:r>
      <w:r>
        <w:rPr>
          <w:rFonts w:hint="eastAsia" w:ascii="仿宋_GB2312" w:hAnsi="仿宋_GB2312" w:eastAsia="仿宋_GB2312" w:cs="仿宋_GB2312"/>
          <w:color w:val="auto"/>
          <w:kern w:val="0"/>
          <w:sz w:val="32"/>
          <w:szCs w:val="32"/>
          <w:highlight w:val="none"/>
          <w:u w:val="none"/>
          <w:shd w:val="clear" w:color="auto" w:fill="FFFFFF"/>
          <w:lang w:val="zh-CN" w:eastAsia="zh-CN"/>
        </w:rPr>
        <w:t>50000</w:t>
      </w:r>
      <w:r>
        <w:rPr>
          <w:rFonts w:hint="eastAsia" w:ascii="仿宋_GB2312" w:hAnsi="仿宋_GB2312" w:eastAsia="仿宋_GB2312" w:cs="仿宋_GB2312"/>
          <w:color w:val="auto"/>
          <w:kern w:val="0"/>
          <w:sz w:val="32"/>
          <w:szCs w:val="32"/>
          <w:highlight w:val="none"/>
          <w:u w:val="none"/>
          <w:shd w:val="clear" w:color="auto" w:fill="FFFFFF"/>
          <w:lang w:val="zh-CN" w:eastAsia="zh-CN"/>
        </w:rPr>
        <w:tab/>
      </w:r>
      <w:r>
        <w:rPr>
          <w:rFonts w:hint="eastAsia" w:ascii="仿宋_GB2312" w:hAnsi="仿宋_GB2312" w:eastAsia="仿宋_GB2312" w:cs="仿宋_GB2312"/>
          <w:color w:val="auto"/>
          <w:kern w:val="0"/>
          <w:sz w:val="32"/>
          <w:szCs w:val="32"/>
          <w:highlight w:val="none"/>
          <w:u w:val="none"/>
          <w:shd w:val="clear" w:color="auto" w:fill="FFFFFF"/>
          <w:lang w:val="zh-CN" w:eastAsia="zh-CN"/>
        </w:rPr>
        <w:t>元</w:t>
      </w:r>
    </w:p>
    <w:p>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color w:val="auto"/>
          <w:kern w:val="0"/>
          <w:sz w:val="32"/>
          <w:szCs w:val="32"/>
          <w:highlight w:val="none"/>
          <w:u w:val="none"/>
          <w:shd w:val="clear" w:color="auto" w:fill="FFFFFF"/>
          <w:lang w:val="zh-CN" w:eastAsia="zh-CN"/>
        </w:rPr>
        <w:t>2. 项目自评工作开展情况</w:t>
      </w:r>
    </w:p>
    <w:p>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color w:val="auto"/>
          <w:kern w:val="0"/>
          <w:sz w:val="32"/>
          <w:szCs w:val="32"/>
          <w:highlight w:val="none"/>
          <w:u w:val="none"/>
          <w:shd w:val="clear" w:color="auto" w:fill="FFFFFF"/>
          <w:lang w:val="zh-CN" w:eastAsia="zh-CN"/>
        </w:rPr>
        <w:t>已按照财政部门及单位绩效自评要求，对照年度绩效目标，开展项目绩效自评工作，对项目实施效果进行全面评价，自评工作已按要求完成。</w:t>
      </w:r>
    </w:p>
    <w:p>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rPr>
        <w:t>二、</w:t>
      </w:r>
      <w:r>
        <w:rPr>
          <w:rFonts w:hint="default" w:ascii="Times New Roman" w:hAnsi="Times New Roman" w:eastAsia="黑体" w:cs="Times New Roman"/>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76" w:lineRule="exact"/>
        <w:ind w:firstLine="642"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楷体_GB2312" w:cs="Times New Roman"/>
          <w:b/>
          <w:color w:val="auto"/>
          <w:sz w:val="32"/>
          <w:szCs w:val="32"/>
          <w:highlight w:val="none"/>
          <w:u w:val="none"/>
          <w:lang w:val="zh-CN"/>
        </w:rPr>
        <w:t>（一）评价目的。</w:t>
      </w:r>
      <w:r>
        <w:rPr>
          <w:rFonts w:hint="default" w:ascii="Times New Roman" w:hAnsi="Times New Roman" w:eastAsia="仿宋_GB2312" w:cs="Times New Roman"/>
          <w:sz w:val="32"/>
          <w:szCs w:val="32"/>
        </w:rPr>
        <w:t>本次伙食团经费项目绩效自评，旨在全面梳理项目资金使用情况、实施成效及管理短板，客观评价项目年度目标完成情况，进一步规范伙食团经费管理、提升资金使用效益，为后续年度预算安排、优化后勤保障服务提供决策依据。</w:t>
      </w:r>
    </w:p>
    <w:p>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2" w:firstLineChars="200"/>
        <w:textAlignment w:val="auto"/>
        <w:outlineLvl w:val="9"/>
        <w:rPr>
          <w:rFonts w:hint="eastAsia" w:ascii="仿宋_GB2312" w:hAnsi="仿宋_GB2312" w:eastAsia="仿宋_GB2312" w:cs="仿宋_GB2312"/>
          <w:sz w:val="32"/>
          <w:szCs w:val="32"/>
          <w:lang w:val="zh-CN" w:eastAsia="zh-CN"/>
        </w:rPr>
      </w:pPr>
      <w:r>
        <w:rPr>
          <w:rFonts w:hint="default" w:ascii="Times New Roman" w:hAnsi="Times New Roman" w:eastAsia="楷体_GB2312" w:cs="Times New Roman"/>
          <w:b/>
          <w:color w:val="auto"/>
          <w:sz w:val="32"/>
          <w:szCs w:val="32"/>
          <w:highlight w:val="none"/>
          <w:u w:val="none"/>
          <w:lang w:val="zh-CN"/>
        </w:rPr>
        <w:t>（二）预设问题及评价重点。</w:t>
      </w:r>
      <w:r>
        <w:rPr>
          <w:rFonts w:hint="eastAsia" w:ascii="仿宋_GB2312" w:hAnsi="仿宋_GB2312" w:eastAsia="仿宋_GB2312" w:cs="仿宋_GB2312"/>
          <w:sz w:val="32"/>
          <w:szCs w:val="32"/>
        </w:rPr>
        <w:t>产出指标方面，全年服务时长达标，就餐安全率100%，按标准完成职工就餐服务保障。效益与满意度方面，职工幸福指数、生活质量保障及就餐满意度均达到预期目标。成本指标方面，5万元经费全部合规用于伙食团运营支出，无违规使用情况，资金使用高效。</w:t>
      </w:r>
      <w:r>
        <w:rPr>
          <w:rFonts w:hint="eastAsia" w:cs="Times New Roman"/>
          <w:szCs w:val="32"/>
          <w:lang w:val="en-US" w:eastAsia="zh-CN"/>
        </w:rPr>
        <w:t xml:space="preserve">                                      </w:t>
      </w:r>
      <w:r>
        <w:rPr>
          <w:rFonts w:hint="default" w:ascii="Times New Roman" w:hAnsi="Times New Roman" w:eastAsia="楷体_GB2312" w:cs="Times New Roman"/>
          <w:b/>
          <w:color w:val="auto"/>
          <w:sz w:val="32"/>
          <w:szCs w:val="32"/>
          <w:highlight w:val="none"/>
          <w:u w:val="none"/>
          <w:lang w:val="zh-CN"/>
        </w:rPr>
        <w:t>（三）评价选点。</w:t>
      </w:r>
      <w:r>
        <w:rPr>
          <w:rFonts w:hint="eastAsia" w:ascii="仿宋_GB2312" w:hAnsi="仿宋_GB2312" w:eastAsia="仿宋_GB2312" w:cs="仿宋_GB2312"/>
          <w:sz w:val="32"/>
          <w:szCs w:val="32"/>
          <w:lang w:val="zh-CN" w:eastAsia="zh-CN"/>
        </w:rPr>
        <w:t>本项目为单位内部伙食团专项经费，资金未跨市县分配，不涉及市县点位选取，本次自评以本单位伙食团为唯一评价点位，通过现场核查等方式开展全面评价，无额外抽样点位。</w:t>
      </w:r>
    </w:p>
    <w:p>
      <w:pPr>
        <w:keepNext w:val="0"/>
        <w:keepLines w:val="0"/>
        <w:pageBreakBefore w:val="0"/>
        <w:widowControl w:val="0"/>
        <w:kinsoku/>
        <w:wordWrap/>
        <w:overflowPunct/>
        <w:topLinePunct w:val="0"/>
        <w:autoSpaceDE/>
        <w:autoSpaceDN/>
        <w:bidi w:val="0"/>
        <w:spacing w:line="576" w:lineRule="exact"/>
        <w:ind w:firstLine="642" w:firstLineChars="200"/>
        <w:textAlignment w:val="auto"/>
        <w:outlineLvl w:val="9"/>
        <w:rPr>
          <w:rFonts w:hint="eastAsia" w:ascii="仿宋_GB2312" w:hAnsi="仿宋_GB2312" w:eastAsia="仿宋_GB2312" w:cs="仿宋_GB2312"/>
          <w:sz w:val="32"/>
          <w:szCs w:val="32"/>
        </w:rPr>
      </w:pPr>
      <w:r>
        <w:rPr>
          <w:rFonts w:hint="default" w:ascii="Times New Roman" w:hAnsi="Times New Roman" w:eastAsia="楷体_GB2312" w:cs="Times New Roman"/>
          <w:b/>
          <w:color w:val="auto"/>
          <w:sz w:val="32"/>
          <w:szCs w:val="32"/>
          <w:highlight w:val="none"/>
          <w:u w:val="none"/>
          <w:lang w:val="zh-CN"/>
        </w:rPr>
        <w:t>（四）评价方法。</w:t>
      </w:r>
      <w:r>
        <w:rPr>
          <w:rFonts w:hint="eastAsia" w:ascii="仿宋_GB2312" w:hAnsi="仿宋_GB2312" w:eastAsia="仿宋_GB2312" w:cs="仿宋_GB2312"/>
          <w:sz w:val="32"/>
          <w:szCs w:val="32"/>
        </w:rPr>
        <w:t>结合项目特点，本次自评采用以下方法开展评价：</w:t>
      </w:r>
    </w:p>
    <w:p>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案卷研究法：查阅伙食团经费预算、支出凭证、采购台账等资料，核实资金使用合规性；</w:t>
      </w:r>
    </w:p>
    <w:p>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问卷调查法：面向就餐职工开展满意度调查，收集对伙食质量、服务水平的反馈意见；</w:t>
      </w:r>
    </w:p>
    <w:p>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单位自评法：对照绩效目标及评价指标体系，逐项开展自评打分，梳理问题并分析原因。</w:t>
      </w:r>
    </w:p>
    <w:p>
      <w:pPr>
        <w:keepNext w:val="0"/>
        <w:keepLines w:val="0"/>
        <w:pageBreakBefore w:val="0"/>
        <w:widowControl w:val="0"/>
        <w:kinsoku/>
        <w:wordWrap/>
        <w:overflowPunct/>
        <w:topLinePunct w:val="0"/>
        <w:autoSpaceDE/>
        <w:autoSpaceDN/>
        <w:bidi w:val="0"/>
        <w:spacing w:line="576" w:lineRule="exact"/>
        <w:ind w:firstLine="642" w:firstLineChars="200"/>
        <w:textAlignment w:val="auto"/>
        <w:outlineLvl w:val="9"/>
        <w:rPr>
          <w:rFonts w:hint="eastAsia" w:ascii="仿宋_GB2312" w:hAnsi="仿宋_GB2312" w:eastAsia="仿宋_GB2312" w:cs="仿宋_GB2312"/>
          <w:sz w:val="32"/>
          <w:szCs w:val="32"/>
        </w:rPr>
      </w:pPr>
      <w:r>
        <w:rPr>
          <w:rFonts w:hint="default" w:ascii="Times New Roman" w:hAnsi="Times New Roman" w:eastAsia="楷体_GB2312" w:cs="Times New Roman"/>
          <w:b/>
          <w:color w:val="auto"/>
          <w:sz w:val="32"/>
          <w:szCs w:val="32"/>
          <w:highlight w:val="none"/>
          <w:u w:val="none"/>
          <w:lang w:val="zh-CN"/>
        </w:rPr>
        <w:t>（五）评价组织。</w:t>
      </w:r>
      <w:r>
        <w:rPr>
          <w:rFonts w:hint="eastAsia" w:ascii="仿宋_GB2312" w:hAnsi="仿宋_GB2312" w:eastAsia="仿宋_GB2312" w:cs="仿宋_GB2312"/>
          <w:sz w:val="32"/>
          <w:szCs w:val="32"/>
        </w:rPr>
        <w:t>本次绩效自评由壤塘县文化旅游景区</w:t>
      </w:r>
      <w:r>
        <w:rPr>
          <w:rFonts w:hint="eastAsia" w:ascii="仿宋_GB2312" w:hAnsi="仿宋_GB2312" w:eastAsia="仿宋_GB2312" w:cs="仿宋_GB2312"/>
          <w:sz w:val="32"/>
          <w:szCs w:val="32"/>
          <w:lang w:eastAsia="zh-CN"/>
        </w:rPr>
        <w:t>发展中心</w:t>
      </w:r>
      <w:r>
        <w:rPr>
          <w:rFonts w:hint="eastAsia" w:ascii="仿宋_GB2312" w:hAnsi="仿宋_GB2312" w:eastAsia="仿宋_GB2312" w:cs="仿宋_GB2312"/>
          <w:sz w:val="32"/>
          <w:szCs w:val="32"/>
        </w:rPr>
        <w:t>组织实施，成立自评工作组，人员构成及职责分工如下：</w:t>
      </w:r>
    </w:p>
    <w:p>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组长：</w:t>
      </w:r>
      <w:r>
        <w:rPr>
          <w:rFonts w:hint="eastAsia" w:ascii="仿宋_GB2312" w:hAnsi="仿宋_GB2312" w:eastAsia="仿宋_GB2312" w:cs="仿宋_GB2312"/>
          <w:sz w:val="32"/>
          <w:szCs w:val="32"/>
          <w:lang w:eastAsia="zh-CN"/>
        </w:rPr>
        <w:t>达娃磋</w:t>
      </w:r>
      <w:r>
        <w:rPr>
          <w:rFonts w:hint="eastAsia" w:ascii="仿宋_GB2312" w:hAnsi="仿宋_GB2312" w:eastAsia="仿宋_GB2312" w:cs="仿宋_GB2312"/>
          <w:sz w:val="32"/>
          <w:szCs w:val="32"/>
        </w:rPr>
        <w:t>，负责统筹协调自评工作，审定自评报告；</w:t>
      </w:r>
    </w:p>
    <w:p>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eastAsia" w:ascii="仿宋_GB2312" w:hAnsi="仿宋_GB2312" w:eastAsia="仿宋_GB2312" w:cs="仿宋_GB2312"/>
          <w:bCs/>
          <w:sz w:val="32"/>
          <w:szCs w:val="32"/>
          <w:lang w:eastAsia="zh-CN"/>
        </w:rPr>
      </w:pPr>
      <w:r>
        <w:rPr>
          <w:rFonts w:hint="eastAsia" w:ascii="仿宋_GB2312" w:hAnsi="仿宋_GB2312" w:eastAsia="仿宋_GB2312" w:cs="仿宋_GB2312"/>
          <w:sz w:val="32"/>
          <w:szCs w:val="32"/>
        </w:rPr>
        <w:t>成员：</w:t>
      </w:r>
      <w:r>
        <w:rPr>
          <w:rFonts w:hint="eastAsia" w:ascii="仿宋_GB2312" w:hAnsi="仿宋_GB2312" w:eastAsia="仿宋_GB2312" w:cs="仿宋_GB2312"/>
          <w:sz w:val="32"/>
          <w:szCs w:val="32"/>
          <w:lang w:eastAsia="zh-CN"/>
        </w:rPr>
        <w:t>周钰清</w:t>
      </w:r>
      <w:r>
        <w:rPr>
          <w:rFonts w:hint="eastAsia" w:ascii="仿宋_GB2312" w:hAnsi="仿宋_GB2312" w:eastAsia="仿宋_GB2312" w:cs="仿宋_GB2312"/>
          <w:sz w:val="32"/>
          <w:szCs w:val="32"/>
        </w:rPr>
        <w:t>（财务岗），负责核实经费支出数据、核对预算执行情况</w:t>
      </w:r>
      <w:r>
        <w:rPr>
          <w:rFonts w:hint="eastAsia" w:ascii="仿宋_GB2312" w:hAnsi="仿宋_GB2312" w:eastAsia="仿宋_GB2312" w:cs="仿宋_GB2312"/>
          <w:sz w:val="32"/>
          <w:szCs w:val="32"/>
          <w:lang w:eastAsia="zh-CN"/>
        </w:rPr>
        <w:t>；桑拉</w:t>
      </w:r>
      <w:r>
        <w:rPr>
          <w:rFonts w:hint="eastAsia" w:ascii="仿宋_GB2312" w:hAnsi="仿宋_GB2312" w:eastAsia="仿宋_GB2312" w:cs="仿宋_GB2312"/>
          <w:sz w:val="32"/>
          <w:szCs w:val="32"/>
        </w:rPr>
        <w:t>（办公室岗），负责提供伙食团运营资料、收集职工反馈；负责整理自评资料、撰写自评报告。</w:t>
      </w:r>
    </w:p>
    <w:p>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outlineLvl w:val="9"/>
        <w:rPr>
          <w:rFonts w:hint="eastAsia" w:ascii="楷体" w:hAnsi="楷体" w:eastAsia="楷体" w:cs="楷体"/>
          <w:sz w:val="32"/>
          <w:szCs w:val="32"/>
          <w:lang w:val="zh-CN" w:eastAsia="zh-CN"/>
        </w:rPr>
      </w:pPr>
      <w:r>
        <w:rPr>
          <w:rFonts w:hint="eastAsia" w:ascii="楷体" w:hAnsi="楷体" w:eastAsia="楷体" w:cs="楷体"/>
          <w:sz w:val="32"/>
          <w:szCs w:val="32"/>
          <w:lang w:val="zh-CN" w:eastAsia="zh-CN"/>
        </w:rPr>
        <w:t>（一）通用指标绩效分析</w:t>
      </w:r>
    </w:p>
    <w:p>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 xml:space="preserve"> 1. 项目决策</w:t>
      </w:r>
    </w:p>
    <w:p>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项目决策程序规范，规划论证充分，资金投向精准。经费依据单位年度预算安排，严格按规定程序申报审批，投向职工就餐保障核心需求，决策科学合规。</w:t>
      </w:r>
    </w:p>
    <w:p>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2. 项目管理</w:t>
      </w:r>
    </w:p>
    <w:p>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明确支出范围与审批流程；资金分配按就餐人数、运营成本合理测算；日常开展经费使用与服务质量监督，管理规范有序。</w:t>
      </w:r>
    </w:p>
    <w:p>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3. 项目实施</w:t>
      </w:r>
    </w:p>
    <w:p>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预算执行整体平稳，资金全部用于伙食团食材采购、耗材购置等运营支出，使用合规，无超范围、超标准支出，保障了项目正常实施。</w:t>
      </w:r>
    </w:p>
    <w:p>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4. 项目结果</w:t>
      </w:r>
    </w:p>
    <w:p>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年度目标全面完成，服务时长、就餐安全率、职工满意度等指标均达到预期，项目实施及时，有效保障了职工就餐需求。</w:t>
      </w:r>
    </w:p>
    <w:p>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outlineLvl w:val="9"/>
        <w:rPr>
          <w:rFonts w:hint="eastAsia" w:ascii="楷体" w:hAnsi="楷体" w:eastAsia="楷体" w:cs="楷体"/>
          <w:sz w:val="32"/>
          <w:szCs w:val="32"/>
          <w:lang w:val="zh-CN" w:eastAsia="zh-CN"/>
        </w:rPr>
      </w:pPr>
      <w:r>
        <w:rPr>
          <w:rFonts w:hint="eastAsia" w:ascii="楷体" w:hAnsi="楷体" w:eastAsia="楷体" w:cs="楷体"/>
          <w:sz w:val="32"/>
          <w:szCs w:val="32"/>
          <w:lang w:val="zh-CN" w:eastAsia="zh-CN"/>
        </w:rPr>
        <w:t xml:space="preserve">（二）专用指标绩效分析 </w:t>
      </w:r>
    </w:p>
    <w:p>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本项目属于行政运转类保障资金，围绕以下维度开展分析：</w:t>
      </w:r>
    </w:p>
    <w:p>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用途合规性：资金全部用于伙食团日常运营保障，未挪作他用，用途合规。</w:t>
      </w:r>
    </w:p>
    <w:p>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程序合规性：经费支出严格执行单位财务管理制度，采购、报销、审批流程规范，程序合规。</w:t>
      </w:r>
    </w:p>
    <w:p>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标准合规性：支出标准符合单位内部规定及厉行节约要求，未发生违规开支，标准执行到位。</w:t>
      </w:r>
    </w:p>
    <w:p>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整体来看，伙食团经费项目决策科学、管理规范、实施有序，有效发挥了后勤保障作用，实现了预期绩效目标。</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outlineLvl w:val="9"/>
        <w:rPr>
          <w:rFonts w:hint="default" w:ascii="Times New Roman" w:hAnsi="Times New Roman" w:cs="Times New Roman"/>
          <w:color w:val="auto"/>
          <w:szCs w:val="32"/>
          <w:lang w:val="zh-CN" w:eastAsia="zh-CN"/>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仿宋_GB2312" w:hAnsi="仿宋_GB2312" w:eastAsia="仿宋_GB2312" w:cs="仿宋_GB2312"/>
          <w:color w:val="auto"/>
          <w:sz w:val="32"/>
          <w:szCs w:val="32"/>
          <w:lang w:val="zh-CN" w:eastAsia="zh-CN"/>
        </w:rPr>
        <w:t>结合伙食团经费项目特点，重点围绕员工对菜品的喜好度开展个性指标绩效分析：通过日常反馈及问卷调查，员工对菜品口味、营养搭配及新鲜度的整体认可度较高，菜品喜好度稳定在预期水平，有效保障了职工就餐体验。</w:t>
      </w:r>
    </w:p>
    <w:p>
      <w:pPr>
        <w:pStyle w:val="8"/>
        <w:keepNext w:val="0"/>
        <w:keepLines w:val="0"/>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pPr>
        <w:pStyle w:val="8"/>
        <w:keepNext w:val="0"/>
        <w:keepLines w:val="0"/>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本项目自评得分89分，总体执行情况良好。项目决策科学、管理规范，资金全部合规用于伙食团运营保障，有效保障了职工就餐需求，服务时长、就餐安全率、达到预期目标，实现了项目绩效目标。</w:t>
      </w:r>
    </w:p>
    <w:p>
      <w:pPr>
        <w:pStyle w:val="8"/>
        <w:keepNext w:val="0"/>
        <w:keepLines w:val="0"/>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cs="Times New Roman"/>
          <w:color w:val="auto"/>
          <w:sz w:val="32"/>
          <w:szCs w:val="32"/>
          <w:highlight w:val="none"/>
          <w:u w:val="none"/>
          <w:lang w:eastAsia="zh-CN"/>
        </w:rPr>
        <w:t>五、</w:t>
      </w:r>
      <w:r>
        <w:rPr>
          <w:rFonts w:hint="default" w:ascii="Times New Roman" w:hAnsi="Times New Roman" w:eastAsia="黑体" w:cs="Times New Roman"/>
          <w:color w:val="auto"/>
          <w:sz w:val="32"/>
          <w:szCs w:val="32"/>
          <w:highlight w:val="none"/>
          <w:u w:val="none"/>
          <w:lang w:eastAsia="zh-CN"/>
        </w:rPr>
        <w:t>存在主要问题</w:t>
      </w:r>
    </w:p>
    <w:p>
      <w:pPr>
        <w:pStyle w:val="8"/>
        <w:keepNext w:val="0"/>
        <w:keepLines w:val="0"/>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rPr>
          <w:rFonts w:hint="default" w:ascii="Times New Roman" w:hAnsi="Times New Roman" w:cs="Times New Roman"/>
          <w:b w:val="0"/>
          <w:bCs w:val="0"/>
          <w:kern w:val="2"/>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主要为</w:t>
      </w:r>
      <w:r>
        <w:rPr>
          <w:rFonts w:hint="default" w:ascii="Times New Roman" w:hAnsi="Times New Roman" w:eastAsia="仿宋_GB2312" w:cs="Times New Roman"/>
          <w:b w:val="0"/>
          <w:bCs w:val="0"/>
          <w:kern w:val="0"/>
          <w:position w:val="0"/>
          <w:sz w:val="32"/>
          <w:szCs w:val="32"/>
          <w:highlight w:val="none"/>
          <w:lang w:val="en-US" w:eastAsia="zh-CN" w:bidi="ar-SA"/>
        </w:rPr>
        <w:t>菜品方面</w:t>
      </w:r>
      <w:r>
        <w:rPr>
          <w:rFonts w:hint="eastAsia" w:ascii="Times New Roman" w:eastAsia="仿宋_GB2312" w:cs="Times New Roman"/>
          <w:b w:val="0"/>
          <w:bCs w:val="0"/>
          <w:kern w:val="0"/>
          <w:position w:val="0"/>
          <w:sz w:val="32"/>
          <w:szCs w:val="32"/>
          <w:highlight w:val="none"/>
          <w:lang w:val="en-US" w:eastAsia="zh-CN" w:bidi="ar-SA"/>
        </w:rPr>
        <w:t>问题，</w:t>
      </w:r>
      <w:r>
        <w:rPr>
          <w:rFonts w:hint="default" w:ascii="Times New Roman" w:hAnsi="Times New Roman" w:eastAsia="仿宋_GB2312" w:cs="Times New Roman"/>
          <w:b w:val="0"/>
          <w:bCs w:val="0"/>
          <w:kern w:val="0"/>
          <w:position w:val="0"/>
          <w:sz w:val="32"/>
          <w:szCs w:val="32"/>
          <w:highlight w:val="none"/>
          <w:lang w:val="en-US" w:eastAsia="zh-CN" w:bidi="ar-SA"/>
        </w:rPr>
        <w:t>菜品多样性与口味优化不足，部分职工对餐食品种、营养搭配的个性化需求未得到充分满足，影响就餐体验。</w:t>
      </w:r>
    </w:p>
    <w:p>
      <w:pPr>
        <w:pStyle w:val="8"/>
        <w:keepNext w:val="0"/>
        <w:keepLines w:val="0"/>
        <w:pageBreakBefore w:val="0"/>
        <w:numPr>
          <w:ilvl w:val="0"/>
          <w:numId w:val="2"/>
        </w:numPr>
        <w:tabs>
          <w:tab w:val="left" w:pos="2160"/>
        </w:tabs>
        <w:kinsoku/>
        <w:wordWrap/>
        <w:overflowPunct/>
        <w:topLinePunct w:val="0"/>
        <w:autoSpaceDE/>
        <w:autoSpaceDN/>
        <w:bidi w:val="0"/>
        <w:adjustRightInd/>
        <w:spacing w:line="576"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改进建议</w:t>
      </w:r>
    </w:p>
    <w:p>
      <w:pPr>
        <w:pStyle w:val="8"/>
        <w:keepNext w:val="0"/>
        <w:keepLines w:val="0"/>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定期开展职工菜品喜好度调研，丰富餐食品种、优化口味与营养搭配，推出季节性菜品，提升就餐满意度。</w:t>
      </w:r>
    </w:p>
    <w:p>
      <w:pPr>
        <w:keepNext w:val="0"/>
        <w:keepLines w:val="0"/>
        <w:pageBreakBefore w:val="0"/>
        <w:widowControl/>
        <w:kinsoku/>
        <w:wordWrap/>
        <w:overflowPunct/>
        <w:topLinePunct w:val="0"/>
        <w:autoSpaceDE/>
        <w:autoSpaceDN/>
        <w:bidi w:val="0"/>
        <w:spacing w:line="576" w:lineRule="exact"/>
        <w:ind w:firstLine="880" w:firstLineChars="200"/>
        <w:jc w:val="center"/>
        <w:textAlignment w:val="auto"/>
        <w:rPr>
          <w:rFonts w:hint="eastAsia" w:ascii="Times New Roman" w:hAnsi="Times New Roman" w:eastAsia="黑体"/>
          <w:color w:val="auto"/>
          <w:sz w:val="44"/>
          <w:szCs w:val="44"/>
          <w:highlight w:val="none"/>
        </w:rPr>
      </w:pPr>
      <w:bookmarkStart w:id="50" w:name="_Toc15396618"/>
    </w:p>
    <w:p>
      <w:pPr>
        <w:keepNext w:val="0"/>
        <w:keepLines w:val="0"/>
        <w:pageBreakBefore w:val="0"/>
        <w:widowControl/>
        <w:kinsoku/>
        <w:wordWrap/>
        <w:overflowPunct/>
        <w:topLinePunct w:val="0"/>
        <w:autoSpaceDE/>
        <w:autoSpaceDN/>
        <w:bidi w:val="0"/>
        <w:spacing w:line="576" w:lineRule="exact"/>
        <w:ind w:firstLine="880" w:firstLineChars="200"/>
        <w:jc w:val="center"/>
        <w:textAlignment w:val="auto"/>
        <w:rPr>
          <w:rFonts w:hint="eastAsia" w:ascii="Times New Roman" w:hAnsi="Times New Roman" w:eastAsia="黑体"/>
          <w:color w:val="auto"/>
          <w:sz w:val="44"/>
          <w:szCs w:val="44"/>
          <w:highlight w:val="none"/>
        </w:rPr>
      </w:pPr>
    </w:p>
    <w:p>
      <w:pPr>
        <w:keepNext w:val="0"/>
        <w:keepLines w:val="0"/>
        <w:pageBreakBefore w:val="0"/>
        <w:widowControl/>
        <w:kinsoku/>
        <w:wordWrap/>
        <w:overflowPunct/>
        <w:topLinePunct w:val="0"/>
        <w:autoSpaceDE/>
        <w:autoSpaceDN/>
        <w:bidi w:val="0"/>
        <w:spacing w:line="576" w:lineRule="exact"/>
        <w:ind w:firstLine="880" w:firstLineChars="200"/>
        <w:jc w:val="center"/>
        <w:textAlignment w:val="auto"/>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7"/>
      <w:bookmarkEnd w:id="50"/>
      <w:bookmarkStart w:id="51" w:name="_Toc15396619"/>
    </w:p>
    <w:p>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1"/>
    </w:p>
    <w:p>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52" w:name="_Toc15396620"/>
      <w:r>
        <w:rPr>
          <w:rFonts w:hint="eastAsia" w:ascii="Times New Roman" w:hAnsi="Times New Roman" w:eastAsia="仿宋_GB2312" w:cs="仿宋_GB2312"/>
          <w:color w:val="auto"/>
          <w:sz w:val="32"/>
          <w:szCs w:val="32"/>
          <w:highlight w:val="none"/>
        </w:rPr>
        <w:t>二、收入决算表</w:t>
      </w:r>
      <w:bookmarkEnd w:id="52"/>
    </w:p>
    <w:p>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53" w:name="_Toc15396621"/>
      <w:r>
        <w:rPr>
          <w:rFonts w:hint="eastAsia" w:ascii="Times New Roman" w:hAnsi="Times New Roman" w:eastAsia="仿宋_GB2312" w:cs="仿宋_GB2312"/>
          <w:color w:val="auto"/>
          <w:sz w:val="32"/>
          <w:szCs w:val="32"/>
          <w:highlight w:val="none"/>
        </w:rPr>
        <w:t>三、支出决算表</w:t>
      </w:r>
      <w:bookmarkEnd w:id="53"/>
    </w:p>
    <w:p>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54" w:name="_Toc15396622"/>
      <w:r>
        <w:rPr>
          <w:rFonts w:hint="eastAsia" w:ascii="Times New Roman" w:hAnsi="Times New Roman" w:eastAsia="仿宋_GB2312" w:cs="仿宋_GB2312"/>
          <w:color w:val="auto"/>
          <w:sz w:val="32"/>
          <w:szCs w:val="32"/>
          <w:highlight w:val="none"/>
        </w:rPr>
        <w:t>四、财政拨款收入支出决算总表</w:t>
      </w:r>
      <w:bookmarkEnd w:id="54"/>
    </w:p>
    <w:p>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55" w:name="_Toc15396623"/>
      <w:r>
        <w:rPr>
          <w:rFonts w:hint="eastAsia" w:ascii="Times New Roman" w:hAnsi="Times New Roman" w:eastAsia="仿宋_GB2312" w:cs="仿宋_GB2312"/>
          <w:color w:val="auto"/>
          <w:sz w:val="32"/>
          <w:szCs w:val="32"/>
          <w:highlight w:val="none"/>
        </w:rPr>
        <w:t>五、财政拨款支出决算明细表</w:t>
      </w:r>
      <w:bookmarkEnd w:id="55"/>
      <w:bookmarkStart w:id="56" w:name="_Toc15396624"/>
    </w:p>
    <w:p>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6"/>
    </w:p>
    <w:p>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57" w:name="_Toc15396625"/>
      <w:r>
        <w:rPr>
          <w:rFonts w:hint="eastAsia" w:ascii="Times New Roman" w:hAnsi="Times New Roman" w:eastAsia="仿宋_GB2312" w:cs="仿宋_GB2312"/>
          <w:color w:val="auto"/>
          <w:sz w:val="32"/>
          <w:szCs w:val="32"/>
          <w:highlight w:val="none"/>
        </w:rPr>
        <w:t>七、一般公共预算财政拨款支出决算明细表</w:t>
      </w:r>
      <w:bookmarkEnd w:id="57"/>
    </w:p>
    <w:p>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58" w:name="_Toc15396626"/>
      <w:r>
        <w:rPr>
          <w:rFonts w:hint="eastAsia" w:ascii="Times New Roman" w:hAnsi="Times New Roman" w:eastAsia="仿宋_GB2312" w:cs="仿宋_GB2312"/>
          <w:color w:val="auto"/>
          <w:sz w:val="32"/>
          <w:szCs w:val="32"/>
          <w:highlight w:val="none"/>
        </w:rPr>
        <w:t>八、一般公共预算财政拨款基本支出决算</w:t>
      </w:r>
      <w:r>
        <w:rPr>
          <w:rFonts w:hint="eastAsia"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bookmarkEnd w:id="58"/>
    </w:p>
    <w:p>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59" w:name="_Toc15396627"/>
      <w:r>
        <w:rPr>
          <w:rFonts w:hint="eastAsia" w:ascii="Times New Roman" w:hAnsi="Times New Roman" w:eastAsia="仿宋_GB2312" w:cs="仿宋_GB2312"/>
          <w:color w:val="auto"/>
          <w:sz w:val="32"/>
          <w:szCs w:val="32"/>
          <w:highlight w:val="none"/>
        </w:rPr>
        <w:t>九、一般公共预算财政拨款项目支出决算表</w:t>
      </w:r>
      <w:bookmarkEnd w:id="59"/>
    </w:p>
    <w:p>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60" w:name="_Toc15396628"/>
      <w:r>
        <w:rPr>
          <w:rFonts w:hint="eastAsia" w:ascii="Times New Roman" w:hAnsi="Times New Roman" w:eastAsia="仿宋_GB2312" w:cs="仿宋_GB2312"/>
          <w:color w:val="auto"/>
          <w:sz w:val="32"/>
          <w:szCs w:val="32"/>
          <w:highlight w:val="none"/>
        </w:rPr>
        <w:t>十、</w:t>
      </w:r>
      <w:bookmarkEnd w:id="60"/>
      <w:r>
        <w:rPr>
          <w:rFonts w:hint="eastAsia" w:ascii="Times New Roman" w:hAnsi="Times New Roman" w:eastAsia="仿宋_GB2312" w:cs="仿宋_GB2312"/>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61" w:name="_Toc15396629"/>
      <w:r>
        <w:rPr>
          <w:rFonts w:hint="eastAsia" w:ascii="Times New Roman" w:hAnsi="Times New Roman" w:eastAsia="仿宋_GB2312" w:cs="仿宋_GB2312"/>
          <w:color w:val="auto"/>
          <w:sz w:val="32"/>
          <w:szCs w:val="32"/>
          <w:highlight w:val="none"/>
        </w:rPr>
        <w:t>十一、</w:t>
      </w:r>
      <w:bookmarkEnd w:id="61"/>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62" w:name="_Toc15396630"/>
      <w:r>
        <w:rPr>
          <w:rFonts w:hint="eastAsia" w:ascii="Times New Roman" w:hAnsi="Times New Roman" w:eastAsia="仿宋_GB2312" w:cs="仿宋_GB2312"/>
          <w:color w:val="auto"/>
          <w:sz w:val="32"/>
          <w:szCs w:val="32"/>
          <w:highlight w:val="none"/>
        </w:rPr>
        <w:t>十二、</w:t>
      </w:r>
      <w:bookmarkEnd w:id="62"/>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lang w:eastAsia="zh-CN"/>
        </w:rPr>
      </w:pPr>
      <w:bookmarkStart w:id="63" w:name="_Toc15396631"/>
      <w:r>
        <w:rPr>
          <w:rFonts w:hint="eastAsia" w:ascii="Times New Roman" w:hAnsi="Times New Roman" w:eastAsia="仿宋_GB2312" w:cs="仿宋_GB2312"/>
          <w:color w:val="auto"/>
          <w:sz w:val="32"/>
          <w:szCs w:val="32"/>
          <w:highlight w:val="none"/>
        </w:rPr>
        <w:t>十三、</w:t>
      </w:r>
      <w:bookmarkEnd w:id="63"/>
      <w:r>
        <w:rPr>
          <w:rFonts w:hint="eastAsia" w:ascii="Times New Roman" w:hAnsi="Times New Roman" w:eastAsia="仿宋_GB2312" w:cs="仿宋_GB2312"/>
          <w:color w:val="auto"/>
          <w:sz w:val="32"/>
          <w:szCs w:val="32"/>
          <w:highlight w:val="none"/>
          <w:lang w:eastAsia="zh-CN"/>
        </w:rPr>
        <w:t>财政拨款“三公”经费支出决算表</w:t>
      </w:r>
    </w:p>
    <w:p>
      <w:pPr>
        <w:keepNext w:val="0"/>
        <w:keepLines w:val="0"/>
        <w:pageBreakBefore w:val="0"/>
        <w:kinsoku/>
        <w:wordWrap/>
        <w:overflowPunct/>
        <w:topLinePunct w:val="0"/>
        <w:autoSpaceDE/>
        <w:autoSpaceDN/>
        <w:bidi w:val="0"/>
        <w:spacing w:line="576" w:lineRule="exact"/>
        <w:ind w:firstLine="420" w:firstLineChars="200"/>
        <w:textAlignment w:val="auto"/>
        <w:rPr>
          <w:rFonts w:hint="eastAsia" w:ascii="Times New Roman" w:hAnsi="Times New Roman"/>
          <w:lang w:eastAsia="zh-CN"/>
        </w:rPr>
      </w:pPr>
    </w:p>
    <w:sectPr>
      <w:footerReference r:id="rId9"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q0RMgIAAGE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H+OrREyAgAAYQQAAA4AAAAAAAAAAQAgAAAA&#10;NQEAAGRycy9lMm9Eb2MueG1sUEsFBgAAAAAGAAYAWQEAANk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l7XO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x5e1zjECAABhBAAADgAAAAAAAAABACAAAAA1&#10;AQAAZHJzL2Uyb0RvYy54bWxQSwUGAAAAAAYABgBZAQAA2A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ClSD0MgIAAGEEAAAOAAAAZHJz&#10;L2Uyb0RvYy54bWytVM2O0zAQviPxDpbvNGkRq27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AKVIPQyAgAAYQQAAA4AAAAAAAAAAQAgAAAA&#10;NQEAAGRycy9lMm9Eb2MueG1sUEsFBgAAAAAGAAYAWQEAANk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p>
    <w:pPr>
      <w:pStyle w:val="11"/>
      <w:rPr>
        <w:rFonts w:hint="eastAsia" w:eastAsia="宋体"/>
        <w:lang w:val="en-US" w:eastAsia="zh-C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pqK+VMQIAAGM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&#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qaivlTECAABjBAAADgAAAAAAAAABACAAAAA1&#10;AQAAZHJzL2Uyb0RvYy54bWxQSwUGAAAAAAYABgBZAQAA2A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p>
    <w:pPr>
      <w:pStyle w:val="11"/>
      <w:rPr>
        <w:rFonts w:hint="eastAsia" w:eastAsia="宋体"/>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DB6606"/>
    <w:multiLevelType w:val="singleLevel"/>
    <w:tmpl w:val="C0DB6606"/>
    <w:lvl w:ilvl="0" w:tentative="0">
      <w:start w:val="2"/>
      <w:numFmt w:val="chineseCounting"/>
      <w:suff w:val="nothing"/>
      <w:lvlText w:val="（%1）"/>
      <w:lvlJc w:val="left"/>
      <w:rPr>
        <w:rFonts w:hint="eastAsia"/>
      </w:rPr>
    </w:lvl>
  </w:abstractNum>
  <w:abstractNum w:abstractNumId="1">
    <w:nsid w:val="DBBBAF33"/>
    <w:multiLevelType w:val="singleLevel"/>
    <w:tmpl w:val="DBBBAF33"/>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52079A"/>
    <w:rsid w:val="09867E8F"/>
    <w:rsid w:val="0A2032A3"/>
    <w:rsid w:val="0C6C4794"/>
    <w:rsid w:val="0CA8290A"/>
    <w:rsid w:val="0D35B1ED"/>
    <w:rsid w:val="0DE07E2B"/>
    <w:rsid w:val="0F98263C"/>
    <w:rsid w:val="101860EC"/>
    <w:rsid w:val="10C055FF"/>
    <w:rsid w:val="11772AA4"/>
    <w:rsid w:val="118107EC"/>
    <w:rsid w:val="12070D49"/>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ECB2399"/>
    <w:rsid w:val="2F040D46"/>
    <w:rsid w:val="2FAE5751"/>
    <w:rsid w:val="2FB1A395"/>
    <w:rsid w:val="2FD9A7D8"/>
    <w:rsid w:val="319F7F4E"/>
    <w:rsid w:val="321B2544"/>
    <w:rsid w:val="3304709D"/>
    <w:rsid w:val="34281836"/>
    <w:rsid w:val="349D6851"/>
    <w:rsid w:val="35BA6CAF"/>
    <w:rsid w:val="363B2511"/>
    <w:rsid w:val="364D14C1"/>
    <w:rsid w:val="36AA5135"/>
    <w:rsid w:val="36BE0DA7"/>
    <w:rsid w:val="376B6AA6"/>
    <w:rsid w:val="376D39B2"/>
    <w:rsid w:val="37E16F03"/>
    <w:rsid w:val="37F53A3B"/>
    <w:rsid w:val="389B6C89"/>
    <w:rsid w:val="38D469F0"/>
    <w:rsid w:val="393F7E9B"/>
    <w:rsid w:val="39627CCD"/>
    <w:rsid w:val="397BAF1F"/>
    <w:rsid w:val="3AB79AF3"/>
    <w:rsid w:val="3AE73C83"/>
    <w:rsid w:val="3B7EF35A"/>
    <w:rsid w:val="3B9FDB6C"/>
    <w:rsid w:val="3BF5BC2F"/>
    <w:rsid w:val="3CEBA265"/>
    <w:rsid w:val="3D5720B3"/>
    <w:rsid w:val="3D98207C"/>
    <w:rsid w:val="3D9B0D99"/>
    <w:rsid w:val="3DEE7CF3"/>
    <w:rsid w:val="3DF02244"/>
    <w:rsid w:val="3DF97B88"/>
    <w:rsid w:val="3E78745D"/>
    <w:rsid w:val="3FF4CAE0"/>
    <w:rsid w:val="3FF7B227"/>
    <w:rsid w:val="40E54C45"/>
    <w:rsid w:val="43A407DF"/>
    <w:rsid w:val="44515BEA"/>
    <w:rsid w:val="44E268DA"/>
    <w:rsid w:val="453F7E5B"/>
    <w:rsid w:val="481A57D7"/>
    <w:rsid w:val="486A6C7A"/>
    <w:rsid w:val="49176D9B"/>
    <w:rsid w:val="4A627F82"/>
    <w:rsid w:val="4B0E749A"/>
    <w:rsid w:val="4B4F25DA"/>
    <w:rsid w:val="4BDA0CFB"/>
    <w:rsid w:val="4BE068DB"/>
    <w:rsid w:val="4D3C0CCC"/>
    <w:rsid w:val="4D577224"/>
    <w:rsid w:val="4DBF1CEB"/>
    <w:rsid w:val="4E027201"/>
    <w:rsid w:val="4EAB630A"/>
    <w:rsid w:val="4ECE2238"/>
    <w:rsid w:val="4F833267"/>
    <w:rsid w:val="4FE9BD67"/>
    <w:rsid w:val="4FFB052F"/>
    <w:rsid w:val="50773BCA"/>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5">
    <w:name w:val="heading 2 Char"/>
    <w:basedOn w:val="16"/>
    <w:link w:val="6"/>
    <w:qFormat/>
    <w:uiPriority w:val="0"/>
    <w:rPr>
      <w:rFonts w:ascii="Cambria" w:hAnsi="Cambria" w:eastAsia="宋体" w:cs="Times New Roman"/>
      <w:b/>
      <w:bCs/>
      <w:kern w:val="2"/>
      <w:sz w:val="32"/>
      <w:szCs w:val="32"/>
      <w:lang w:val="en-US" w:eastAsia="zh-CN" w:bidi="ar-SA"/>
    </w:rPr>
  </w:style>
  <w:style w:type="paragraph" w:customStyle="1" w:styleId="36">
    <w:name w:val="列出段落1"/>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chart" Target="charts/chart9.xml"/><Relationship Id="rId18" Type="http://schemas.openxmlformats.org/officeDocument/2006/relationships/chart" Target="charts/chart8.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package" Target="../embeddings/Workbook9.xlsx"/></Relationships>
</file>

<file path=word/charts/_rels/chart2.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package" Target="../embeddings/Workbook8.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8.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9.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收入决算总计变动情况图
</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1394.86</c:v>
                </c:pt>
                <c:pt idx="1">
                  <c:v>973.36</c:v>
                </c:pt>
              </c:numCache>
            </c:numRef>
          </c:val>
        </c:ser>
        <c:dLbls>
          <c:showLegendKey val="0"/>
          <c:showVal val="0"/>
          <c:showCatName val="0"/>
          <c:showSerName val="0"/>
          <c:showPercent val="0"/>
          <c:showBubbleSize val="0"/>
        </c:dLbls>
        <c:gapWidth val="246"/>
        <c:overlap val="-28"/>
        <c:axId val="199683111"/>
        <c:axId val="885200750"/>
      </c:barChart>
      <c:catAx>
        <c:axId val="19968311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5200750"/>
        <c:crosses val="autoZero"/>
        <c:auto val="1"/>
        <c:lblAlgn val="ctr"/>
        <c:lblOffset val="100"/>
        <c:noMultiLvlLbl val="0"/>
      </c:catAx>
      <c:valAx>
        <c:axId val="88520075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968311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支出决算总计变动情况图</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1394.86</c:v>
                </c:pt>
                <c:pt idx="1">
                  <c:v>956.17</c:v>
                </c:pt>
              </c:numCache>
            </c:numRef>
          </c:val>
        </c:ser>
        <c:dLbls>
          <c:showLegendKey val="0"/>
          <c:showVal val="0"/>
          <c:showCatName val="0"/>
          <c:showSerName val="0"/>
          <c:showPercent val="0"/>
          <c:showBubbleSize val="0"/>
        </c:dLbls>
        <c:gapWidth val="246"/>
        <c:overlap val="-28"/>
        <c:axId val="96507925"/>
        <c:axId val="479501478"/>
      </c:barChart>
      <c:catAx>
        <c:axId val="965079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9501478"/>
        <c:crosses val="autoZero"/>
        <c:auto val="1"/>
        <c:lblAlgn val="ctr"/>
        <c:lblOffset val="100"/>
        <c:noMultiLvlLbl val="0"/>
      </c:catAx>
      <c:valAx>
        <c:axId val="47950147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50792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Sheet1!$A$2:$A$3</c:f>
              <c:strCache>
                <c:ptCount val="2"/>
                <c:pt idx="0">
                  <c:v>一般公共预算财政拨款收入</c:v>
                </c:pt>
                <c:pt idx="1">
                  <c:v>其他收入</c:v>
                </c:pt>
              </c:strCache>
            </c:strRef>
          </c:cat>
          <c:val>
            <c:numRef>
              <c:f>Sheet1!$B$2:$B$3</c:f>
              <c:numCache>
                <c:formatCode>General</c:formatCode>
                <c:ptCount val="2"/>
                <c:pt idx="0">
                  <c:v>973.36</c:v>
                </c:pt>
                <c:pt idx="1">
                  <c:v>204.64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Sheet1!$A$2:$A$3</c:f>
              <c:strCache>
                <c:ptCount val="2"/>
                <c:pt idx="0">
                  <c:v>基本支出</c:v>
                </c:pt>
                <c:pt idx="1">
                  <c:v>项目支出</c:v>
                </c:pt>
              </c:strCache>
            </c:strRef>
          </c:cat>
          <c:val>
            <c:numRef>
              <c:f>Sheet1!$B$2:$B$3</c:f>
              <c:numCache>
                <c:formatCode>General</c:formatCode>
                <c:ptCount val="2"/>
                <c:pt idx="0">
                  <c:v>328.37</c:v>
                </c:pt>
                <c:pt idx="1">
                  <c:v>627.8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财政拨款支出决算总计变动情况表</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1374.86</c:v>
                </c:pt>
                <c:pt idx="1">
                  <c:v>768.72</c:v>
                </c:pt>
              </c:numCache>
            </c:numRef>
          </c:val>
        </c:ser>
        <c:dLbls>
          <c:showLegendKey val="0"/>
          <c:showVal val="0"/>
          <c:showCatName val="0"/>
          <c:showSerName val="0"/>
          <c:showPercent val="0"/>
          <c:showBubbleSize val="0"/>
        </c:dLbls>
        <c:gapWidth val="246"/>
        <c:overlap val="-28"/>
        <c:axId val="471612580"/>
        <c:axId val="733449492"/>
      </c:barChart>
      <c:catAx>
        <c:axId val="47161258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3449492"/>
        <c:crosses val="autoZero"/>
        <c:auto val="1"/>
        <c:lblAlgn val="ctr"/>
        <c:lblOffset val="100"/>
        <c:noMultiLvlLbl val="0"/>
      </c:catAx>
      <c:valAx>
        <c:axId val="73344949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161258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财政拨款收入决算总计变动情况表</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1374.86</c:v>
                </c:pt>
                <c:pt idx="1">
                  <c:v>768.72</c:v>
                </c:pt>
              </c:numCache>
            </c:numRef>
          </c:val>
        </c:ser>
        <c:dLbls>
          <c:showLegendKey val="0"/>
          <c:showVal val="0"/>
          <c:showCatName val="0"/>
          <c:showSerName val="0"/>
          <c:showPercent val="0"/>
          <c:showBubbleSize val="0"/>
        </c:dLbls>
        <c:gapWidth val="246"/>
        <c:overlap val="-28"/>
        <c:axId val="917880439"/>
        <c:axId val="551554984"/>
      </c:barChart>
      <c:catAx>
        <c:axId val="91788043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1554984"/>
        <c:crosses val="autoZero"/>
        <c:auto val="1"/>
        <c:lblAlgn val="ctr"/>
        <c:lblOffset val="100"/>
        <c:noMultiLvlLbl val="0"/>
      </c:catAx>
      <c:valAx>
        <c:axId val="55155498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788043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一般公共预算财政拨款支出决算变动情况</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1374.86</c:v>
                </c:pt>
                <c:pt idx="1">
                  <c:v>768.72</c:v>
                </c:pt>
              </c:numCache>
            </c:numRef>
          </c:val>
        </c:ser>
        <c:dLbls>
          <c:showLegendKey val="0"/>
          <c:showVal val="0"/>
          <c:showCatName val="0"/>
          <c:showSerName val="0"/>
          <c:showPercent val="0"/>
          <c:showBubbleSize val="0"/>
        </c:dLbls>
        <c:gapWidth val="246"/>
        <c:overlap val="-28"/>
        <c:axId val="997051424"/>
        <c:axId val="787887572"/>
      </c:barChart>
      <c:catAx>
        <c:axId val="99705142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7887572"/>
        <c:crosses val="autoZero"/>
        <c:auto val="1"/>
        <c:lblAlgn val="ctr"/>
        <c:lblOffset val="100"/>
        <c:noMultiLvlLbl val="0"/>
      </c:catAx>
      <c:valAx>
        <c:axId val="7878875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705142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elete val="1"/>
          </c:dLbls>
          <c:cat>
            <c:strRef>
              <c:f>Sheet1!$A$2:$A$6</c:f>
              <c:strCache>
                <c:ptCount val="5"/>
                <c:pt idx="0">
                  <c:v>文化旅游体育与传媒支出</c:v>
                </c:pt>
                <c:pt idx="1">
                  <c:v>社会保障和就业支出</c:v>
                </c:pt>
                <c:pt idx="2">
                  <c:v>卫生健康支出</c:v>
                </c:pt>
                <c:pt idx="3">
                  <c:v>农林水支出</c:v>
                </c:pt>
                <c:pt idx="4">
                  <c:v>住房保障支出</c:v>
                </c:pt>
              </c:strCache>
            </c:strRef>
          </c:cat>
          <c:val>
            <c:numRef>
              <c:f>Sheet1!$B$2:$B$6</c:f>
              <c:numCache>
                <c:formatCode>General</c:formatCode>
                <c:ptCount val="5"/>
                <c:pt idx="0">
                  <c:v>661.71</c:v>
                </c:pt>
                <c:pt idx="1">
                  <c:v>43.27</c:v>
                </c:pt>
                <c:pt idx="2">
                  <c:v>15.93</c:v>
                </c:pt>
                <c:pt idx="3">
                  <c:v>24.73</c:v>
                </c:pt>
                <c:pt idx="4">
                  <c:v>23.08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财政拨款“三公”经费支出结构图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elete val="1"/>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4.72</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0706110230674414"/>
          <c:y val="0.18080959520239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32</Pages>
  <Words>10553</Words>
  <Characters>11360</Characters>
  <Lines>61</Lines>
  <Paragraphs>17</Paragraphs>
  <TotalTime>5</TotalTime>
  <ScaleCrop>false</ScaleCrop>
  <LinksUpToDate>false</LinksUpToDate>
  <CharactersWithSpaces>11475</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2026-10-17T16:45:00Z</cp:lastPrinted>
  <dcterms:modified xsi:type="dcterms:W3CDTF">2026-10-27T12:02:44Z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18339643E0DC488FA9A1121ACE7BBC45_13</vt:lpwstr>
  </property>
  <property fmtid="{D5CDD505-2E9C-101B-9397-08002B2CF9AE}" pid="4" name="KSOTemplateDocerSaveRecord">
    <vt:lpwstr>eyJoZGlkIjoiMWQ0M2IwMDMxMWJlNzQxNThhNGZkMzJlMWRjNGJmZTgiLCJ1c2VySWQiOiIxNzUwNjEyNjcyIn0=</vt:lpwstr>
  </property>
</Properties>
</file>