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bookmarkEnd w:id="0"/>
    <w:p>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阿坝州壤塘县</w:t>
      </w:r>
    </w:p>
    <w:p>
      <w:pPr>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2024年度壤塘县中壤塘镇文化旅游</w:t>
      </w:r>
    </w:p>
    <w:p>
      <w:pPr>
        <w:jc w:val="center"/>
        <w:rPr>
          <w:rFonts w:ascii="方正小标宋简体" w:eastAsia="方正小标宋简体"/>
          <w:sz w:val="72"/>
          <w:szCs w:val="72"/>
        </w:rPr>
      </w:pPr>
      <w:r>
        <w:rPr>
          <w:rFonts w:hint="eastAsia" w:ascii="方正小标宋简体" w:hAnsi="宋体" w:eastAsia="方正小标宋简体" w:cs="Times New Roman"/>
          <w:color w:val="auto"/>
          <w:kern w:val="2"/>
          <w:sz w:val="44"/>
          <w:szCs w:val="44"/>
          <w:highlight w:val="none"/>
          <w:lang w:val="en-US" w:eastAsia="zh-CN" w:bidi="ar-SA"/>
        </w:rPr>
        <w:t>景区管理处决算公开</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pStyle w:val="19"/>
        <w:rPr>
          <w:rFonts w:ascii="方正小标宋简体" w:eastAsia="方正小标宋简体"/>
          <w:sz w:val="36"/>
          <w:szCs w:val="36"/>
        </w:rPr>
      </w:pPr>
    </w:p>
    <w:p>
      <w:pPr>
        <w:rPr>
          <w:rFonts w:ascii="方正小标宋简体" w:eastAsia="方正小标宋简体"/>
          <w:sz w:val="36"/>
          <w:szCs w:val="36"/>
        </w:rPr>
      </w:pPr>
    </w:p>
    <w:p>
      <w:pPr>
        <w:pStyle w:val="3"/>
      </w:pPr>
    </w:p>
    <w:p>
      <w:pPr>
        <w:pStyle w:val="19"/>
        <w:rPr>
          <w:rFonts w:ascii="方正小标宋简体" w:eastAsia="方正小标宋简体"/>
          <w:sz w:val="36"/>
          <w:szCs w:val="36"/>
        </w:rPr>
      </w:pPr>
    </w:p>
    <w:p/>
    <w:p>
      <w:pPr>
        <w:rPr>
          <w:rFonts w:ascii="方正小标宋简体" w:eastAsia="方正小标宋简体"/>
          <w:sz w:val="36"/>
          <w:szCs w:val="36"/>
        </w:rPr>
      </w:pPr>
    </w:p>
    <w:p>
      <w:pPr>
        <w:pStyle w:val="2"/>
        <w:rPr>
          <w:rFonts w:ascii="方正小标宋简体" w:eastAsia="方正小标宋简体"/>
          <w:sz w:val="36"/>
          <w:szCs w:val="36"/>
        </w:rPr>
      </w:pPr>
    </w:p>
    <w:p>
      <w:pPr>
        <w:pStyle w:val="3"/>
      </w:pPr>
    </w:p>
    <w:p>
      <w:pPr>
        <w:widowControl/>
        <w:jc w:val="center"/>
        <w:rPr>
          <w:rFonts w:ascii="方正小标宋简体" w:eastAsia="方正小标宋简体"/>
          <w:color w:val="000000"/>
          <w:sz w:val="36"/>
          <w:szCs w:val="36"/>
        </w:rPr>
      </w:pPr>
    </w:p>
    <w:p>
      <w:pPr>
        <w:pStyle w:val="3"/>
        <w:rPr>
          <w:rFonts w:ascii="方正小标宋简体" w:eastAsia="方正小标宋简体"/>
          <w:color w:val="000000"/>
          <w:sz w:val="36"/>
          <w:szCs w:val="36"/>
        </w:rPr>
      </w:pPr>
    </w:p>
    <w:p/>
    <w:p>
      <w:pPr>
        <w:widowControl/>
        <w:jc w:val="center"/>
        <w:rPr>
          <w:rFonts w:ascii="黑体" w:eastAsia="黑体"/>
          <w:color w:val="000000"/>
          <w:sz w:val="48"/>
          <w:szCs w:val="48"/>
        </w:rPr>
      </w:pPr>
      <w:r>
        <w:rPr>
          <w:rFonts w:hint="eastAsia" w:ascii="黑体" w:eastAsia="黑体"/>
          <w:color w:val="000000"/>
          <w:sz w:val="48"/>
          <w:szCs w:val="48"/>
        </w:rPr>
        <w:t>目录</w:t>
      </w:r>
    </w:p>
    <w:p>
      <w:pPr>
        <w:pStyle w:val="16"/>
        <w:jc w:val="center"/>
        <w:rPr>
          <w:b w:val="0"/>
          <w:bCs w:val="0"/>
          <w:sz w:val="24"/>
          <w:szCs w:val="24"/>
        </w:rPr>
      </w:pPr>
      <w:r>
        <w:rPr>
          <w:rFonts w:hint="eastAsia"/>
          <w:b w:val="0"/>
          <w:bCs w:val="0"/>
          <w:sz w:val="24"/>
          <w:szCs w:val="24"/>
        </w:rPr>
        <w:t>公开时间：202</w:t>
      </w:r>
      <w:r>
        <w:rPr>
          <w:rFonts w:hint="eastAsia"/>
          <w:b w:val="0"/>
          <w:bCs w:val="0"/>
          <w:sz w:val="24"/>
          <w:szCs w:val="24"/>
          <w:lang w:val="en-US" w:eastAsia="zh-CN"/>
        </w:rPr>
        <w:t>5</w:t>
      </w:r>
      <w:r>
        <w:rPr>
          <w:rFonts w:hint="eastAsia"/>
          <w:b w:val="0"/>
          <w:bCs w:val="0"/>
          <w:sz w:val="24"/>
          <w:szCs w:val="24"/>
        </w:rPr>
        <w:t>年</w:t>
      </w:r>
      <w:r>
        <w:rPr>
          <w:rFonts w:hint="eastAsia"/>
          <w:b w:val="0"/>
          <w:bCs w:val="0"/>
          <w:sz w:val="24"/>
          <w:szCs w:val="24"/>
          <w:lang w:val="en-US" w:eastAsia="zh-CN"/>
        </w:rPr>
        <w:t>10</w:t>
      </w:r>
      <w:r>
        <w:rPr>
          <w:rFonts w:hint="eastAsia"/>
          <w:b w:val="0"/>
          <w:bCs w:val="0"/>
          <w:sz w:val="24"/>
          <w:szCs w:val="24"/>
        </w:rPr>
        <w:t>月</w:t>
      </w:r>
      <w:r>
        <w:rPr>
          <w:rFonts w:hint="eastAsia"/>
          <w:b w:val="0"/>
          <w:bCs w:val="0"/>
          <w:sz w:val="24"/>
          <w:szCs w:val="24"/>
          <w:lang w:val="en-US" w:eastAsia="zh-CN"/>
        </w:rPr>
        <w:t>15</w:t>
      </w:r>
      <w:r>
        <w:rPr>
          <w:rFonts w:hint="eastAsia"/>
          <w:b w:val="0"/>
          <w:bCs w:val="0"/>
          <w:sz w:val="24"/>
          <w:szCs w:val="24"/>
        </w:rPr>
        <w:t>日</w:t>
      </w:r>
    </w:p>
    <w:p>
      <w:pPr>
        <w:pStyle w:val="16"/>
        <w:tabs>
          <w:tab w:val="right" w:leader="dot" w:pos="8306"/>
        </w:tabs>
      </w:pPr>
      <w:r>
        <w:rPr>
          <w:b w:val="0"/>
          <w:bCs w:val="0"/>
          <w:caps w:val="0"/>
          <w:smallCaps w:val="0"/>
        </w:rPr>
        <w:fldChar w:fldCharType="begin"/>
      </w:r>
      <w:r>
        <w:rPr>
          <w:b w:val="0"/>
          <w:bCs w:val="0"/>
          <w:caps w:val="0"/>
          <w:smallCaps w:val="0"/>
        </w:rPr>
        <w:instrText xml:space="preserve"> TOC \o \u </w:instrText>
      </w:r>
      <w:r>
        <w:rPr>
          <w:b w:val="0"/>
          <w:bCs w:val="0"/>
          <w:caps w:val="0"/>
          <w:smallCaps w:val="0"/>
        </w:rPr>
        <w:fldChar w:fldCharType="separate"/>
      </w:r>
      <w:r>
        <w:rPr>
          <w:rFonts w:hint="eastAsia" w:ascii="黑体" w:eastAsia="黑体"/>
        </w:rPr>
        <w:t>第一部分</w:t>
      </w:r>
      <w:r>
        <w:rPr>
          <w:rFonts w:ascii="黑体" w:eastAsia="黑体"/>
        </w:rPr>
        <w:t xml:space="preserve"> </w:t>
      </w:r>
      <w:r>
        <w:rPr>
          <w:rFonts w:hint="eastAsia" w:ascii="黑体" w:eastAsia="黑体"/>
          <w:bCs w:val="0"/>
        </w:rPr>
        <w:t>部门概况</w:t>
      </w:r>
      <w:r>
        <w:tab/>
      </w:r>
      <w:r>
        <w:fldChar w:fldCharType="begin"/>
      </w:r>
      <w:r>
        <w:instrText xml:space="preserve"> PAGEREF _Toc12812 </w:instrText>
      </w:r>
      <w:r>
        <w:fldChar w:fldCharType="separate"/>
      </w:r>
      <w:r>
        <w:t>1</w:t>
      </w:r>
      <w:r>
        <w:fldChar w:fldCharType="end"/>
      </w:r>
    </w:p>
    <w:p>
      <w:pPr>
        <w:pStyle w:val="20"/>
        <w:tabs>
          <w:tab w:val="right" w:leader="dot" w:pos="8306"/>
        </w:tabs>
      </w:pPr>
      <w:r>
        <w:rPr>
          <w:rFonts w:hint="eastAsia" w:ascii="黑体" w:eastAsia="黑体"/>
          <w:bCs w:val="0"/>
        </w:rPr>
        <w:t xml:space="preserve">一、 </w:t>
      </w:r>
      <w:r>
        <w:rPr>
          <w:rFonts w:hint="eastAsia" w:ascii="黑体" w:eastAsia="黑体"/>
          <w:color w:val="000000"/>
          <w:lang w:val="en-US" w:eastAsia="zh-CN"/>
        </w:rPr>
        <w:t>部门职责</w:t>
      </w:r>
      <w:r>
        <w:tab/>
      </w:r>
      <w:r>
        <w:fldChar w:fldCharType="begin"/>
      </w:r>
      <w:r>
        <w:instrText xml:space="preserve"> PAGEREF _Toc8425 </w:instrText>
      </w:r>
      <w:r>
        <w:fldChar w:fldCharType="separate"/>
      </w:r>
      <w:r>
        <w:t>1</w:t>
      </w:r>
      <w:r>
        <w:fldChar w:fldCharType="end"/>
      </w:r>
    </w:p>
    <w:p>
      <w:pPr>
        <w:pStyle w:val="20"/>
        <w:tabs>
          <w:tab w:val="right" w:leader="dot" w:pos="8306"/>
        </w:tabs>
      </w:pPr>
      <w:r>
        <w:rPr>
          <w:rFonts w:hint="eastAsia" w:ascii="黑体" w:eastAsia="黑体"/>
          <w:color w:val="000000"/>
        </w:rPr>
        <w:t>二、机</w:t>
      </w:r>
      <w:r>
        <w:rPr>
          <w:rFonts w:hint="eastAsia" w:ascii="黑体" w:eastAsia="黑体"/>
          <w:bCs w:val="0"/>
        </w:rPr>
        <w:t>构设置</w:t>
      </w:r>
      <w:r>
        <w:tab/>
      </w:r>
      <w:r>
        <w:fldChar w:fldCharType="begin"/>
      </w:r>
      <w:r>
        <w:instrText xml:space="preserve"> PAGEREF _Toc6760 </w:instrText>
      </w:r>
      <w:r>
        <w:fldChar w:fldCharType="separate"/>
      </w:r>
      <w:r>
        <w:t>2</w:t>
      </w:r>
      <w:r>
        <w:fldChar w:fldCharType="end"/>
      </w:r>
    </w:p>
    <w:p>
      <w:pPr>
        <w:pStyle w:val="16"/>
        <w:tabs>
          <w:tab w:val="right" w:leader="dot" w:pos="8306"/>
        </w:tabs>
      </w:pPr>
      <w:r>
        <w:rPr>
          <w:rFonts w:hint="eastAsia" w:ascii="黑体" w:eastAsia="黑体"/>
          <w:color w:val="000000"/>
        </w:rPr>
        <w:t>第二部分</w:t>
      </w:r>
      <w:r>
        <w:rPr>
          <w:rFonts w:ascii="黑体" w:eastAsia="黑体"/>
          <w:color w:val="000000"/>
        </w:rPr>
        <w:t xml:space="preserve"> </w:t>
      </w:r>
      <w:r>
        <w:rPr>
          <w:rFonts w:hint="eastAsia" w:ascii="黑体" w:eastAsia="黑体"/>
          <w:bCs w:val="0"/>
          <w:lang w:eastAsia="zh-CN"/>
        </w:rPr>
        <w:t>2024年</w:t>
      </w:r>
      <w:r>
        <w:rPr>
          <w:rFonts w:hint="eastAsia" w:ascii="黑体" w:eastAsia="黑体"/>
          <w:bCs w:val="0"/>
        </w:rPr>
        <w:t>度部门决算情况说明</w:t>
      </w:r>
      <w:r>
        <w:tab/>
      </w:r>
      <w:r>
        <w:fldChar w:fldCharType="begin"/>
      </w:r>
      <w:r>
        <w:instrText xml:space="preserve"> PAGEREF _Toc14552 </w:instrText>
      </w:r>
      <w:r>
        <w:fldChar w:fldCharType="separate"/>
      </w:r>
      <w:r>
        <w:t>3</w:t>
      </w:r>
      <w:r>
        <w:fldChar w:fldCharType="end"/>
      </w:r>
    </w:p>
    <w:p>
      <w:pPr>
        <w:pStyle w:val="20"/>
        <w:tabs>
          <w:tab w:val="right" w:leader="dot" w:pos="8306"/>
        </w:tabs>
      </w:pPr>
      <w:r>
        <w:rPr>
          <w:rFonts w:hint="eastAsia" w:ascii="黑体" w:eastAsia="黑体" w:cs="黑体"/>
          <w:lang w:val="en-US" w:eastAsia="zh-CN"/>
        </w:rPr>
        <w:t>一、收入支出决算总体情况说明</w:t>
      </w:r>
      <w:r>
        <w:tab/>
      </w:r>
      <w:r>
        <w:fldChar w:fldCharType="begin"/>
      </w:r>
      <w:r>
        <w:instrText xml:space="preserve"> PAGEREF _Toc25899 </w:instrText>
      </w:r>
      <w:r>
        <w:fldChar w:fldCharType="separate"/>
      </w:r>
      <w:r>
        <w:t>3</w:t>
      </w:r>
      <w:r>
        <w:fldChar w:fldCharType="end"/>
      </w:r>
    </w:p>
    <w:p>
      <w:pPr>
        <w:pStyle w:val="20"/>
        <w:tabs>
          <w:tab w:val="right" w:leader="dot" w:pos="8306"/>
        </w:tabs>
      </w:pPr>
      <w:r>
        <w:rPr>
          <w:rFonts w:hint="eastAsia" w:ascii="黑体" w:eastAsia="黑体" w:cs="Times New Roman"/>
          <w:bCs w:val="0"/>
          <w:color w:val="000000"/>
          <w:kern w:val="2"/>
          <w:szCs w:val="32"/>
          <w:lang w:val="en-US" w:eastAsia="zh-CN" w:bidi="ar-SA"/>
        </w:rPr>
        <w:t>二、收入决算情况说明</w:t>
      </w:r>
      <w:r>
        <w:tab/>
      </w:r>
      <w:r>
        <w:fldChar w:fldCharType="begin"/>
      </w:r>
      <w:r>
        <w:instrText xml:space="preserve"> PAGEREF _Toc4093 </w:instrText>
      </w:r>
      <w:r>
        <w:fldChar w:fldCharType="separate"/>
      </w:r>
      <w:r>
        <w:t>4</w:t>
      </w:r>
      <w:r>
        <w:fldChar w:fldCharType="end"/>
      </w:r>
    </w:p>
    <w:p>
      <w:pPr>
        <w:pStyle w:val="20"/>
        <w:tabs>
          <w:tab w:val="right" w:leader="dot" w:pos="8306"/>
        </w:tabs>
      </w:pPr>
      <w:r>
        <w:rPr>
          <w:rFonts w:hint="eastAsia" w:ascii="黑体" w:eastAsia="黑体" w:cs="Times New Roman"/>
          <w:bCs w:val="0"/>
          <w:color w:val="000000"/>
          <w:kern w:val="2"/>
          <w:szCs w:val="32"/>
          <w:lang w:val="en-US" w:eastAsia="zh-CN" w:bidi="ar-SA"/>
        </w:rPr>
        <w:t>三、支出决算情况说</w:t>
      </w:r>
      <w:r>
        <w:rPr>
          <w:rFonts w:hint="eastAsia"/>
          <w:lang w:val="en-US" w:eastAsia="zh-CN"/>
        </w:rPr>
        <w:t>明</w:t>
      </w:r>
      <w:r>
        <w:tab/>
      </w:r>
      <w:r>
        <w:fldChar w:fldCharType="begin"/>
      </w:r>
      <w:r>
        <w:instrText xml:space="preserve"> PAGEREF _Toc27671 </w:instrText>
      </w:r>
      <w:r>
        <w:fldChar w:fldCharType="separate"/>
      </w:r>
      <w:r>
        <w:t>4</w:t>
      </w:r>
      <w:r>
        <w:fldChar w:fldCharType="end"/>
      </w:r>
    </w:p>
    <w:p>
      <w:pPr>
        <w:pStyle w:val="20"/>
        <w:tabs>
          <w:tab w:val="right" w:leader="dot" w:pos="8306"/>
        </w:tabs>
      </w:pPr>
      <w:r>
        <w:rPr>
          <w:rFonts w:hint="eastAsia" w:ascii="黑体" w:eastAsia="黑体"/>
          <w:color w:val="000000"/>
          <w:szCs w:val="32"/>
        </w:rPr>
        <w:t>四、财</w:t>
      </w:r>
      <w:r>
        <w:rPr>
          <w:rFonts w:hint="eastAsia" w:ascii="黑体" w:eastAsia="黑体"/>
        </w:rPr>
        <w:t>政拨款收入支出决算总体情况说明</w:t>
      </w:r>
      <w:r>
        <w:tab/>
      </w:r>
      <w:r>
        <w:fldChar w:fldCharType="begin"/>
      </w:r>
      <w:r>
        <w:instrText xml:space="preserve"> PAGEREF _Toc15942 </w:instrText>
      </w:r>
      <w:r>
        <w:fldChar w:fldCharType="separate"/>
      </w:r>
      <w:r>
        <w:t>5</w:t>
      </w:r>
      <w:r>
        <w:fldChar w:fldCharType="end"/>
      </w:r>
    </w:p>
    <w:p>
      <w:pPr>
        <w:pStyle w:val="20"/>
        <w:tabs>
          <w:tab w:val="right" w:leader="dot" w:pos="8306"/>
        </w:tabs>
      </w:pPr>
      <w:r>
        <w:rPr>
          <w:rFonts w:hint="eastAsia" w:ascii="黑体" w:eastAsia="黑体"/>
          <w:color w:val="000000"/>
          <w:szCs w:val="32"/>
        </w:rPr>
        <w:t>五、一</w:t>
      </w:r>
      <w:r>
        <w:rPr>
          <w:rFonts w:hint="eastAsia" w:ascii="黑体" w:eastAsia="黑体"/>
        </w:rPr>
        <w:t>般公共预算财政拨款支出决算情况说明</w:t>
      </w:r>
      <w:r>
        <w:tab/>
      </w:r>
      <w:r>
        <w:fldChar w:fldCharType="begin"/>
      </w:r>
      <w:r>
        <w:instrText xml:space="preserve"> PAGEREF _Toc24502 </w:instrText>
      </w:r>
      <w:r>
        <w:fldChar w:fldCharType="separate"/>
      </w:r>
      <w:r>
        <w:t>5</w:t>
      </w:r>
      <w:r>
        <w:fldChar w:fldCharType="end"/>
      </w:r>
    </w:p>
    <w:p>
      <w:pPr>
        <w:pStyle w:val="20"/>
        <w:tabs>
          <w:tab w:val="right" w:leader="dot" w:pos="8306"/>
        </w:tabs>
      </w:pPr>
      <w:r>
        <w:rPr>
          <w:rFonts w:hint="eastAsia" w:ascii="黑体" w:eastAsia="黑体"/>
          <w:color w:val="000000"/>
          <w:szCs w:val="32"/>
        </w:rPr>
        <w:t>六、一</w:t>
      </w:r>
      <w:r>
        <w:rPr>
          <w:rFonts w:hint="eastAsia" w:ascii="黑体" w:eastAsia="黑体"/>
        </w:rPr>
        <w:t>般公共预算财政拨款基本支出决算情况说明</w:t>
      </w:r>
      <w:r>
        <w:tab/>
      </w:r>
      <w:r>
        <w:fldChar w:fldCharType="begin"/>
      </w:r>
      <w:r>
        <w:instrText xml:space="preserve"> PAGEREF _Toc10134 </w:instrText>
      </w:r>
      <w:r>
        <w:fldChar w:fldCharType="separate"/>
      </w:r>
      <w:r>
        <w:t>8</w:t>
      </w:r>
      <w:r>
        <w:fldChar w:fldCharType="end"/>
      </w:r>
    </w:p>
    <w:p>
      <w:pPr>
        <w:pStyle w:val="20"/>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_Toc15661 </w:instrText>
      </w:r>
      <w:r>
        <w:fldChar w:fldCharType="separate"/>
      </w:r>
      <w:r>
        <w:t>9</w:t>
      </w:r>
      <w:r>
        <w:fldChar w:fldCharType="end"/>
      </w:r>
    </w:p>
    <w:p>
      <w:pPr>
        <w:pStyle w:val="20"/>
        <w:tabs>
          <w:tab w:val="right" w:leader="dot" w:pos="8306"/>
        </w:tabs>
      </w:pPr>
      <w:r>
        <w:rPr>
          <w:rFonts w:hint="eastAsia" w:ascii="黑体" w:eastAsia="黑体"/>
          <w:color w:val="000000"/>
          <w:szCs w:val="32"/>
        </w:rPr>
        <w:t>八、</w:t>
      </w:r>
      <w:r>
        <w:rPr>
          <w:rFonts w:hint="eastAsia" w:ascii="黑体" w:eastAsia="黑体"/>
        </w:rPr>
        <w:t>政府性基金预算支出决算情况说明</w:t>
      </w:r>
      <w:r>
        <w:tab/>
      </w:r>
      <w:r>
        <w:fldChar w:fldCharType="begin"/>
      </w:r>
      <w:r>
        <w:instrText xml:space="preserve"> PAGEREF _Toc9956 </w:instrText>
      </w:r>
      <w:r>
        <w:fldChar w:fldCharType="separate"/>
      </w:r>
      <w:r>
        <w:t>10</w:t>
      </w:r>
      <w:r>
        <w:fldChar w:fldCharType="end"/>
      </w:r>
    </w:p>
    <w:p>
      <w:pPr>
        <w:pStyle w:val="20"/>
        <w:tabs>
          <w:tab w:val="right" w:leader="dot" w:pos="8306"/>
        </w:tabs>
      </w:pPr>
      <w:r>
        <w:rPr>
          <w:rFonts w:hint="eastAsia" w:ascii="黑体" w:eastAsia="黑体" w:cs="Times New Roman"/>
        </w:rPr>
        <w:t xml:space="preserve">九、 </w:t>
      </w:r>
      <w:r>
        <w:rPr>
          <w:rFonts w:hint="eastAsia" w:ascii="黑体" w:eastAsia="黑体"/>
        </w:rPr>
        <w:t>国有资本经营预算支出决算情况说明</w:t>
      </w:r>
      <w:r>
        <w:tab/>
      </w:r>
      <w:r>
        <w:fldChar w:fldCharType="begin"/>
      </w:r>
      <w:r>
        <w:instrText xml:space="preserve"> PAGEREF _Toc19810 </w:instrText>
      </w:r>
      <w:r>
        <w:fldChar w:fldCharType="separate"/>
      </w:r>
      <w:r>
        <w:t>10</w:t>
      </w:r>
      <w:r>
        <w:fldChar w:fldCharType="end"/>
      </w:r>
    </w:p>
    <w:p>
      <w:pPr>
        <w:pStyle w:val="20"/>
        <w:tabs>
          <w:tab w:val="right" w:leader="dot" w:pos="8306"/>
        </w:tabs>
      </w:pPr>
      <w:r>
        <w:rPr>
          <w:rFonts w:hint="eastAsia" w:ascii="黑体" w:eastAsia="黑体"/>
          <w:color w:val="000000"/>
          <w:szCs w:val="32"/>
        </w:rPr>
        <w:t>十</w:t>
      </w:r>
      <w:r>
        <w:rPr>
          <w:rFonts w:hint="eastAsia" w:ascii="黑体" w:eastAsia="黑体"/>
        </w:rPr>
        <w:t>、其他重要事项的情况说明</w:t>
      </w:r>
      <w:r>
        <w:tab/>
      </w:r>
      <w:r>
        <w:fldChar w:fldCharType="begin"/>
      </w:r>
      <w:r>
        <w:instrText xml:space="preserve"> PAGEREF _Toc19702 </w:instrText>
      </w:r>
      <w:r>
        <w:fldChar w:fldCharType="separate"/>
      </w:r>
      <w:r>
        <w:t>10</w:t>
      </w:r>
      <w:r>
        <w:fldChar w:fldCharType="end"/>
      </w:r>
    </w:p>
    <w:p>
      <w:pPr>
        <w:pStyle w:val="16"/>
        <w:tabs>
          <w:tab w:val="right" w:leader="dot" w:pos="8306"/>
        </w:tabs>
      </w:pPr>
      <w:r>
        <w:rPr>
          <w:rFonts w:hint="eastAsia" w:ascii="黑体" w:eastAsia="黑体" w:cs="Times New Roman"/>
        </w:rPr>
        <w:t xml:space="preserve">第三部分 </w:t>
      </w:r>
      <w:r>
        <w:rPr>
          <w:rFonts w:hint="eastAsia" w:ascii="黑体" w:eastAsia="黑体"/>
          <w:color w:val="000000"/>
          <w:szCs w:val="44"/>
        </w:rPr>
        <w:t>名</w:t>
      </w:r>
      <w:r>
        <w:rPr>
          <w:rFonts w:hint="eastAsia" w:ascii="黑体" w:eastAsia="黑体"/>
        </w:rPr>
        <w:t>词解释</w:t>
      </w:r>
      <w:r>
        <w:tab/>
      </w:r>
      <w:r>
        <w:fldChar w:fldCharType="begin"/>
      </w:r>
      <w:r>
        <w:instrText xml:space="preserve"> PAGEREF _Toc25801 </w:instrText>
      </w:r>
      <w:r>
        <w:fldChar w:fldCharType="separate"/>
      </w:r>
      <w:r>
        <w:t>12</w:t>
      </w:r>
      <w:r>
        <w:fldChar w:fldCharType="end"/>
      </w:r>
    </w:p>
    <w:p>
      <w:pPr>
        <w:pStyle w:val="16"/>
        <w:tabs>
          <w:tab w:val="right" w:leader="dot" w:pos="8306"/>
        </w:tabs>
      </w:pPr>
      <w:r>
        <w:rPr>
          <w:rFonts w:hint="eastAsia" w:ascii="黑体" w:eastAsia="黑体"/>
          <w:color w:val="000000"/>
          <w:szCs w:val="44"/>
        </w:rPr>
        <w:t>第</w:t>
      </w:r>
      <w:r>
        <w:rPr>
          <w:rFonts w:hint="eastAsia" w:ascii="黑体" w:eastAsia="黑体"/>
        </w:rPr>
        <w:t>四部分</w:t>
      </w:r>
      <w:r>
        <w:rPr>
          <w:rFonts w:ascii="黑体" w:eastAsia="黑体"/>
        </w:rPr>
        <w:t xml:space="preserve"> </w:t>
      </w:r>
      <w:r>
        <w:rPr>
          <w:rFonts w:hint="eastAsia" w:ascii="黑体" w:eastAsia="黑体"/>
        </w:rPr>
        <w:t>附件</w:t>
      </w:r>
      <w:r>
        <w:tab/>
      </w:r>
      <w:r>
        <w:fldChar w:fldCharType="begin"/>
      </w:r>
      <w:r>
        <w:instrText xml:space="preserve"> PAGEREF _Toc30450 </w:instrText>
      </w:r>
      <w:r>
        <w:fldChar w:fldCharType="separate"/>
      </w:r>
      <w:r>
        <w:t>15</w:t>
      </w:r>
      <w:r>
        <w:fldChar w:fldCharType="end"/>
      </w:r>
    </w:p>
    <w:p>
      <w:pPr>
        <w:pStyle w:val="16"/>
        <w:tabs>
          <w:tab w:val="right" w:leader="dot" w:pos="8306"/>
        </w:tabs>
      </w:pPr>
      <w:r>
        <w:rPr>
          <w:rFonts w:hint="eastAsia" w:ascii="黑体" w:eastAsia="黑体"/>
          <w:color w:val="000000"/>
          <w:szCs w:val="44"/>
        </w:rPr>
        <w:t>第</w:t>
      </w:r>
      <w:r>
        <w:rPr>
          <w:rFonts w:hint="eastAsia" w:ascii="黑体" w:eastAsia="黑体"/>
        </w:rPr>
        <w:t>五部分</w:t>
      </w:r>
      <w:r>
        <w:rPr>
          <w:rFonts w:ascii="黑体" w:eastAsia="黑体"/>
        </w:rPr>
        <w:t xml:space="preserve"> </w:t>
      </w:r>
      <w:r>
        <w:rPr>
          <w:rFonts w:hint="eastAsia" w:ascii="黑体" w:eastAsia="黑体"/>
        </w:rPr>
        <w:t>附表</w:t>
      </w:r>
      <w:r>
        <w:tab/>
      </w:r>
      <w:r>
        <w:fldChar w:fldCharType="begin"/>
      </w:r>
      <w:r>
        <w:instrText xml:space="preserve"> PAGEREF _Toc24761 </w:instrText>
      </w:r>
      <w:r>
        <w:fldChar w:fldCharType="separate"/>
      </w:r>
      <w:r>
        <w:t>36</w:t>
      </w:r>
      <w:r>
        <w:fldChar w:fldCharType="end"/>
      </w:r>
    </w:p>
    <w:p>
      <w:pPr>
        <w:pStyle w:val="20"/>
        <w:tabs>
          <w:tab w:val="right" w:leader="dot" w:pos="8306"/>
        </w:tabs>
      </w:pPr>
      <w:r>
        <w:rPr>
          <w:rFonts w:hint="eastAsia" w:ascii="仿宋" w:eastAsia="仿宋"/>
          <w:color w:val="000000"/>
        </w:rPr>
        <w:t>一、收</w:t>
      </w:r>
      <w:r>
        <w:rPr>
          <w:rFonts w:hint="eastAsia" w:ascii="仿宋" w:eastAsia="仿宋"/>
          <w:bCs w:val="0"/>
        </w:rPr>
        <w:t>入支出决算总表</w:t>
      </w:r>
      <w:r>
        <w:tab/>
      </w:r>
      <w:r>
        <w:fldChar w:fldCharType="begin"/>
      </w:r>
      <w:r>
        <w:instrText xml:space="preserve"> PAGEREF _Toc10708 </w:instrText>
      </w:r>
      <w:r>
        <w:fldChar w:fldCharType="separate"/>
      </w:r>
      <w:r>
        <w:t>36</w:t>
      </w:r>
      <w:r>
        <w:fldChar w:fldCharType="end"/>
      </w:r>
    </w:p>
    <w:p>
      <w:pPr>
        <w:pStyle w:val="20"/>
        <w:tabs>
          <w:tab w:val="right" w:leader="dot" w:pos="8306"/>
        </w:tabs>
      </w:pPr>
      <w:r>
        <w:rPr>
          <w:rFonts w:hint="eastAsia" w:ascii="仿宋" w:eastAsia="仿宋"/>
          <w:color w:val="000000"/>
        </w:rPr>
        <w:t>二、收</w:t>
      </w:r>
      <w:r>
        <w:rPr>
          <w:rFonts w:hint="eastAsia" w:ascii="仿宋" w:eastAsia="仿宋"/>
          <w:bCs w:val="0"/>
        </w:rPr>
        <w:t>入决算表</w:t>
      </w:r>
      <w:r>
        <w:tab/>
      </w:r>
      <w:r>
        <w:fldChar w:fldCharType="begin"/>
      </w:r>
      <w:r>
        <w:instrText xml:space="preserve"> PAGEREF _Toc12275 </w:instrText>
      </w:r>
      <w:r>
        <w:fldChar w:fldCharType="separate"/>
      </w:r>
      <w:r>
        <w:t>36</w:t>
      </w:r>
      <w:r>
        <w:fldChar w:fldCharType="end"/>
      </w:r>
    </w:p>
    <w:p>
      <w:pPr>
        <w:pStyle w:val="20"/>
        <w:tabs>
          <w:tab w:val="right" w:leader="dot" w:pos="8306"/>
        </w:tabs>
      </w:pPr>
      <w:r>
        <w:rPr>
          <w:rFonts w:hint="eastAsia" w:ascii="仿宋" w:eastAsia="仿宋"/>
          <w:bCs w:val="0"/>
        </w:rPr>
        <w:t>三、</w:t>
      </w:r>
      <w:r>
        <w:rPr>
          <w:rFonts w:hint="eastAsia" w:ascii="仿宋" w:eastAsia="仿宋"/>
          <w:color w:val="000000"/>
        </w:rPr>
        <w:t>支</w:t>
      </w:r>
      <w:r>
        <w:rPr>
          <w:rFonts w:hint="eastAsia" w:ascii="仿宋" w:eastAsia="仿宋"/>
          <w:bCs w:val="0"/>
        </w:rPr>
        <w:t>出决算表</w:t>
      </w:r>
      <w:r>
        <w:tab/>
      </w:r>
      <w:r>
        <w:fldChar w:fldCharType="begin"/>
      </w:r>
      <w:r>
        <w:instrText xml:space="preserve"> PAGEREF _Toc6643 </w:instrText>
      </w:r>
      <w:r>
        <w:fldChar w:fldCharType="separate"/>
      </w:r>
      <w:r>
        <w:t>36</w:t>
      </w:r>
      <w:r>
        <w:fldChar w:fldCharType="end"/>
      </w:r>
    </w:p>
    <w:p>
      <w:pPr>
        <w:pStyle w:val="20"/>
        <w:tabs>
          <w:tab w:val="right" w:leader="dot" w:pos="8306"/>
        </w:tabs>
      </w:pPr>
      <w:r>
        <w:rPr>
          <w:rFonts w:hint="eastAsia" w:ascii="仿宋" w:eastAsia="仿宋"/>
          <w:bCs w:val="0"/>
        </w:rPr>
        <w:t>四、</w:t>
      </w:r>
      <w:r>
        <w:rPr>
          <w:rFonts w:hint="eastAsia" w:ascii="仿宋" w:eastAsia="仿宋"/>
          <w:color w:val="000000"/>
        </w:rPr>
        <w:t>财</w:t>
      </w:r>
      <w:r>
        <w:rPr>
          <w:rFonts w:hint="eastAsia" w:ascii="仿宋" w:eastAsia="仿宋"/>
          <w:bCs w:val="0"/>
        </w:rPr>
        <w:t>政拨款收入支出决算总表</w:t>
      </w:r>
      <w:r>
        <w:tab/>
      </w:r>
      <w:r>
        <w:fldChar w:fldCharType="begin"/>
      </w:r>
      <w:r>
        <w:instrText xml:space="preserve"> PAGEREF _Toc17608 </w:instrText>
      </w:r>
      <w:r>
        <w:fldChar w:fldCharType="separate"/>
      </w:r>
      <w:r>
        <w:t>36</w:t>
      </w:r>
      <w:r>
        <w:fldChar w:fldCharType="end"/>
      </w:r>
    </w:p>
    <w:p>
      <w:pPr>
        <w:pStyle w:val="20"/>
        <w:tabs>
          <w:tab w:val="right" w:leader="dot" w:pos="8306"/>
        </w:tabs>
      </w:pPr>
      <w:r>
        <w:rPr>
          <w:rFonts w:hint="eastAsia" w:ascii="仿宋" w:eastAsia="仿宋"/>
          <w:bCs w:val="0"/>
        </w:rPr>
        <w:t>五、</w:t>
      </w:r>
      <w:r>
        <w:rPr>
          <w:rFonts w:hint="eastAsia" w:ascii="仿宋" w:eastAsia="仿宋"/>
          <w:color w:val="000000"/>
        </w:rPr>
        <w:t>财</w:t>
      </w:r>
      <w:r>
        <w:rPr>
          <w:rFonts w:hint="eastAsia" w:ascii="仿宋" w:eastAsia="仿宋"/>
          <w:bCs w:val="0"/>
        </w:rPr>
        <w:t>政拨款支出决算明细表</w:t>
      </w:r>
      <w:r>
        <w:tab/>
      </w:r>
      <w:r>
        <w:fldChar w:fldCharType="begin"/>
      </w:r>
      <w:r>
        <w:instrText xml:space="preserve"> PAGEREF _Toc12286 </w:instrText>
      </w:r>
      <w:r>
        <w:fldChar w:fldCharType="separate"/>
      </w:r>
      <w:r>
        <w:t>36</w:t>
      </w:r>
      <w:r>
        <w:fldChar w:fldCharType="end"/>
      </w:r>
    </w:p>
    <w:p>
      <w:pPr>
        <w:pStyle w:val="20"/>
        <w:tabs>
          <w:tab w:val="right" w:leader="dot" w:pos="8306"/>
        </w:tabs>
      </w:pPr>
      <w:r>
        <w:rPr>
          <w:rFonts w:hint="eastAsia" w:ascii="仿宋" w:eastAsia="仿宋"/>
          <w:bCs w:val="0"/>
        </w:rPr>
        <w:t>六、</w:t>
      </w:r>
      <w:r>
        <w:rPr>
          <w:rFonts w:hint="eastAsia" w:ascii="仿宋" w:eastAsia="仿宋"/>
          <w:color w:val="000000"/>
        </w:rPr>
        <w:t>一</w:t>
      </w:r>
      <w:r>
        <w:rPr>
          <w:rFonts w:hint="eastAsia" w:ascii="仿宋" w:eastAsia="仿宋"/>
          <w:bCs w:val="0"/>
        </w:rPr>
        <w:t>般公共预算财政拨款支出决算表</w:t>
      </w:r>
      <w:r>
        <w:tab/>
      </w:r>
      <w:r>
        <w:fldChar w:fldCharType="begin"/>
      </w:r>
      <w:r>
        <w:instrText xml:space="preserve"> PAGEREF _Toc30894 </w:instrText>
      </w:r>
      <w:r>
        <w:fldChar w:fldCharType="separate"/>
      </w:r>
      <w:r>
        <w:t>36</w:t>
      </w:r>
      <w:r>
        <w:fldChar w:fldCharType="end"/>
      </w:r>
    </w:p>
    <w:p>
      <w:pPr>
        <w:pStyle w:val="20"/>
        <w:tabs>
          <w:tab w:val="right" w:leader="dot" w:pos="8306"/>
        </w:tabs>
      </w:pPr>
      <w:r>
        <w:rPr>
          <w:rFonts w:hint="eastAsia" w:ascii="仿宋" w:eastAsia="仿宋"/>
          <w:bCs w:val="0"/>
        </w:rPr>
        <w:t>七、</w:t>
      </w:r>
      <w:r>
        <w:rPr>
          <w:rFonts w:hint="eastAsia" w:ascii="仿宋" w:eastAsia="仿宋"/>
          <w:color w:val="000000"/>
        </w:rPr>
        <w:t>一</w:t>
      </w:r>
      <w:r>
        <w:rPr>
          <w:rFonts w:hint="eastAsia" w:ascii="仿宋" w:eastAsia="仿宋"/>
          <w:bCs w:val="0"/>
        </w:rPr>
        <w:t>般公共预算财政拨款支出决算明细表</w:t>
      </w:r>
      <w:r>
        <w:tab/>
      </w:r>
      <w:r>
        <w:fldChar w:fldCharType="begin"/>
      </w:r>
      <w:r>
        <w:instrText xml:space="preserve"> PAGEREF _Toc22360 </w:instrText>
      </w:r>
      <w:r>
        <w:fldChar w:fldCharType="separate"/>
      </w:r>
      <w:r>
        <w:t>36</w:t>
      </w:r>
      <w:r>
        <w:fldChar w:fldCharType="end"/>
      </w:r>
    </w:p>
    <w:p>
      <w:pPr>
        <w:pStyle w:val="20"/>
        <w:tabs>
          <w:tab w:val="right" w:leader="dot" w:pos="8306"/>
        </w:tabs>
      </w:pPr>
      <w:r>
        <w:rPr>
          <w:rFonts w:hint="eastAsia" w:ascii="仿宋" w:eastAsia="仿宋"/>
          <w:bCs w:val="0"/>
        </w:rPr>
        <w:t>八、</w:t>
      </w:r>
      <w:r>
        <w:rPr>
          <w:rFonts w:hint="eastAsia" w:ascii="仿宋" w:eastAsia="仿宋"/>
          <w:color w:val="000000"/>
        </w:rPr>
        <w:t>一</w:t>
      </w:r>
      <w:r>
        <w:rPr>
          <w:rFonts w:hint="eastAsia" w:ascii="仿宋" w:eastAsia="仿宋"/>
          <w:bCs w:val="0"/>
        </w:rPr>
        <w:t>般公共预算财政拨款基本支出决算表</w:t>
      </w:r>
      <w:r>
        <w:tab/>
      </w:r>
      <w:r>
        <w:fldChar w:fldCharType="begin"/>
      </w:r>
      <w:r>
        <w:instrText xml:space="preserve"> PAGEREF _Toc18971 </w:instrText>
      </w:r>
      <w:r>
        <w:fldChar w:fldCharType="separate"/>
      </w:r>
      <w:r>
        <w:t>36</w:t>
      </w:r>
      <w:r>
        <w:fldChar w:fldCharType="end"/>
      </w:r>
    </w:p>
    <w:p>
      <w:pPr>
        <w:pStyle w:val="20"/>
        <w:tabs>
          <w:tab w:val="right" w:leader="dot" w:pos="8306"/>
        </w:tabs>
      </w:pPr>
      <w:r>
        <w:rPr>
          <w:rFonts w:hint="eastAsia" w:ascii="仿宋" w:eastAsia="仿宋"/>
          <w:bCs w:val="0"/>
        </w:rPr>
        <w:t>九、</w:t>
      </w:r>
      <w:r>
        <w:rPr>
          <w:rFonts w:hint="eastAsia" w:ascii="仿宋" w:eastAsia="仿宋"/>
          <w:color w:val="000000"/>
        </w:rPr>
        <w:t>一</w:t>
      </w:r>
      <w:r>
        <w:rPr>
          <w:rFonts w:hint="eastAsia" w:ascii="仿宋" w:eastAsia="仿宋"/>
          <w:bCs w:val="0"/>
        </w:rPr>
        <w:t>般公共预算财政拨款项目支出决算表</w:t>
      </w:r>
      <w:r>
        <w:tab/>
      </w:r>
      <w:r>
        <w:fldChar w:fldCharType="begin"/>
      </w:r>
      <w:r>
        <w:instrText xml:space="preserve"> PAGEREF _Toc23224 </w:instrText>
      </w:r>
      <w:r>
        <w:fldChar w:fldCharType="separate"/>
      </w:r>
      <w:r>
        <w:t>36</w:t>
      </w:r>
      <w:r>
        <w:fldChar w:fldCharType="end"/>
      </w:r>
    </w:p>
    <w:p>
      <w:pPr>
        <w:pStyle w:val="20"/>
        <w:tabs>
          <w:tab w:val="right" w:leader="dot" w:pos="8306"/>
        </w:tabs>
      </w:pPr>
      <w:r>
        <w:rPr>
          <w:rFonts w:hint="eastAsia" w:ascii="仿宋" w:eastAsia="仿宋"/>
          <w:bCs w:val="0"/>
        </w:rPr>
        <w:t>十、</w:t>
      </w:r>
      <w:r>
        <w:rPr>
          <w:rFonts w:hint="eastAsia" w:ascii="仿宋" w:eastAsia="仿宋"/>
          <w:color w:val="000000"/>
        </w:rPr>
        <w:t>政</w:t>
      </w:r>
      <w:r>
        <w:rPr>
          <w:rFonts w:hint="eastAsia" w:ascii="仿宋" w:eastAsia="仿宋"/>
          <w:bCs w:val="0"/>
        </w:rPr>
        <w:t>府性基金预算财政拨款收入支出决算表</w:t>
      </w:r>
      <w:r>
        <w:tab/>
      </w:r>
      <w:r>
        <w:fldChar w:fldCharType="begin"/>
      </w:r>
      <w:r>
        <w:instrText xml:space="preserve"> PAGEREF _Toc28322 </w:instrText>
      </w:r>
      <w:r>
        <w:fldChar w:fldCharType="separate"/>
      </w:r>
      <w:r>
        <w:t>36</w:t>
      </w:r>
      <w:r>
        <w:fldChar w:fldCharType="end"/>
      </w:r>
    </w:p>
    <w:p>
      <w:pPr>
        <w:pStyle w:val="20"/>
        <w:tabs>
          <w:tab w:val="right" w:leader="dot" w:pos="8306"/>
        </w:tabs>
      </w:pPr>
      <w:r>
        <w:rPr>
          <w:rFonts w:hint="eastAsia" w:ascii="仿宋" w:eastAsia="仿宋"/>
          <w:bCs w:val="0"/>
        </w:rPr>
        <w:t>十</w:t>
      </w:r>
      <w:r>
        <w:rPr>
          <w:rFonts w:hint="eastAsia" w:ascii="仿宋" w:eastAsia="仿宋"/>
          <w:bCs w:val="0"/>
          <w:lang w:val="en-US" w:eastAsia="zh-CN"/>
        </w:rPr>
        <w:t>一</w:t>
      </w:r>
      <w:r>
        <w:rPr>
          <w:rFonts w:hint="eastAsia" w:ascii="仿宋" w:eastAsia="仿宋"/>
          <w:bCs w:val="0"/>
        </w:rPr>
        <w:t>、</w:t>
      </w:r>
      <w:r>
        <w:rPr>
          <w:rFonts w:hint="eastAsia" w:ascii="仿宋" w:eastAsia="仿宋"/>
          <w:color w:val="000000"/>
        </w:rPr>
        <w:t>国</w:t>
      </w:r>
      <w:r>
        <w:rPr>
          <w:rFonts w:hint="eastAsia" w:ascii="仿宋" w:eastAsia="仿宋"/>
          <w:bCs w:val="0"/>
        </w:rPr>
        <w:t>有资本经营预算财政拨款</w:t>
      </w:r>
      <w:r>
        <w:rPr>
          <w:rFonts w:hint="eastAsia" w:ascii="仿宋" w:eastAsia="仿宋"/>
          <w:bCs w:val="0"/>
          <w:lang w:val="en-US" w:eastAsia="zh-CN"/>
        </w:rPr>
        <w:t>收入</w:t>
      </w:r>
      <w:r>
        <w:rPr>
          <w:rFonts w:hint="eastAsia" w:ascii="仿宋" w:eastAsia="仿宋"/>
          <w:bCs w:val="0"/>
        </w:rPr>
        <w:t>支出决算表</w:t>
      </w:r>
      <w:r>
        <w:tab/>
      </w:r>
      <w:r>
        <w:fldChar w:fldCharType="begin"/>
      </w:r>
      <w:r>
        <w:instrText xml:space="preserve"> PAGEREF _Toc8277 </w:instrText>
      </w:r>
      <w:r>
        <w:fldChar w:fldCharType="separate"/>
      </w:r>
      <w:r>
        <w:t>36</w:t>
      </w:r>
      <w:r>
        <w:fldChar w:fldCharType="end"/>
      </w:r>
    </w:p>
    <w:p>
      <w:pPr>
        <w:pStyle w:val="20"/>
        <w:tabs>
          <w:tab w:val="right" w:leader="dot" w:pos="8306"/>
        </w:tabs>
      </w:pPr>
      <w:r>
        <w:rPr>
          <w:rFonts w:hint="eastAsia" w:ascii="仿宋" w:eastAsia="仿宋"/>
          <w:bCs w:val="0"/>
        </w:rPr>
        <w:t>十</w:t>
      </w:r>
      <w:r>
        <w:rPr>
          <w:rFonts w:hint="eastAsia" w:ascii="仿宋" w:eastAsia="仿宋"/>
          <w:bCs w:val="0"/>
          <w:lang w:val="en-US" w:eastAsia="zh-CN"/>
        </w:rPr>
        <w:t>二</w:t>
      </w:r>
      <w:r>
        <w:rPr>
          <w:rFonts w:hint="eastAsia" w:ascii="仿宋" w:eastAsia="仿宋"/>
          <w:bCs w:val="0"/>
        </w:rPr>
        <w:t>、国有资本经营预算财政拨款支出决算表</w:t>
      </w:r>
      <w:r>
        <w:tab/>
      </w:r>
      <w:r>
        <w:fldChar w:fldCharType="begin"/>
      </w:r>
      <w:r>
        <w:instrText xml:space="preserve"> PAGEREF _Toc18139 </w:instrText>
      </w:r>
      <w:r>
        <w:fldChar w:fldCharType="separate"/>
      </w:r>
      <w:r>
        <w:t>36</w:t>
      </w:r>
      <w:r>
        <w:fldChar w:fldCharType="end"/>
      </w:r>
    </w:p>
    <w:p>
      <w:pPr>
        <w:pStyle w:val="20"/>
        <w:tabs>
          <w:tab w:val="right" w:leader="dot" w:pos="8306"/>
        </w:tabs>
      </w:pPr>
      <w:r>
        <w:rPr>
          <w:rFonts w:hint="eastAsia" w:ascii="仿宋" w:eastAsia="仿宋"/>
          <w:bCs w:val="0"/>
          <w:lang w:val="en-US" w:eastAsia="zh-CN"/>
        </w:rPr>
        <w:t>十三、</w:t>
      </w:r>
      <w:r>
        <w:rPr>
          <w:rFonts w:hint="eastAsia" w:ascii="仿宋" w:eastAsia="仿宋"/>
          <w:bCs w:val="0"/>
        </w:rPr>
        <w:t>财政拨款“三公”经费支出决算表</w:t>
      </w:r>
      <w:r>
        <w:tab/>
      </w:r>
      <w:r>
        <w:fldChar w:fldCharType="begin"/>
      </w:r>
      <w:r>
        <w:instrText xml:space="preserve"> PAGEREF _Toc21658 </w:instrText>
      </w:r>
      <w:r>
        <w:fldChar w:fldCharType="separate"/>
      </w:r>
      <w:r>
        <w:t>36</w:t>
      </w:r>
      <w: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ascii="等线" w:eastAsia="等线"/>
          <w:bCs/>
          <w:caps/>
          <w:smallCaps w:val="0"/>
          <w:szCs w:val="20"/>
        </w:rPr>
        <w:fldChar w:fldCharType="end"/>
      </w:r>
    </w:p>
    <w:p>
      <w:pPr>
        <w:pStyle w:val="5"/>
        <w:jc w:val="center"/>
        <w:rPr>
          <w:rFonts w:hint="eastAsia" w:ascii="黑体" w:eastAsia="黑体"/>
          <w:b w:val="0"/>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1" w:name="_Toc15396599"/>
      <w:bookmarkStart w:id="2" w:name="_Toc79163601"/>
      <w:bookmarkStart w:id="3" w:name="_Toc15377196"/>
    </w:p>
    <w:p>
      <w:pPr>
        <w:pStyle w:val="5"/>
        <w:jc w:val="center"/>
        <w:rPr>
          <w:rFonts w:ascii="黑体" w:eastAsia="黑体"/>
          <w:color w:val="000000"/>
          <w:sz w:val="32"/>
          <w:szCs w:val="32"/>
        </w:rPr>
      </w:pPr>
      <w:bookmarkStart w:id="4" w:name="_Toc12812"/>
      <w:r>
        <w:rPr>
          <w:rFonts w:hint="eastAsia" w:ascii="黑体" w:eastAsia="黑体"/>
          <w:b w:val="0"/>
        </w:rPr>
        <w:t>第一部分</w:t>
      </w:r>
      <w:r>
        <w:rPr>
          <w:rFonts w:ascii="黑体" w:eastAsia="黑体"/>
          <w:b w:val="0"/>
        </w:rPr>
        <w:t xml:space="preserve"> </w:t>
      </w:r>
      <w:r>
        <w:rPr>
          <w:rStyle w:val="28"/>
          <w:rFonts w:hint="eastAsia" w:ascii="黑体" w:eastAsia="黑体"/>
          <w:b w:val="0"/>
          <w:bCs w:val="0"/>
        </w:rPr>
        <w:t>部门概况</w:t>
      </w:r>
      <w:bookmarkEnd w:id="1"/>
      <w:bookmarkEnd w:id="2"/>
      <w:bookmarkEnd w:id="3"/>
      <w:bookmarkEnd w:id="4"/>
    </w:p>
    <w:p>
      <w:pPr>
        <w:pStyle w:val="6"/>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9"/>
          <w:rFonts w:hint="eastAsia" w:ascii="黑体" w:eastAsia="黑体"/>
          <w:b w:val="0"/>
          <w:bCs w:val="0"/>
        </w:rPr>
      </w:pPr>
      <w:bookmarkStart w:id="5" w:name="_Toc79163602"/>
      <w:bookmarkStart w:id="6" w:name="_Toc15396600"/>
      <w:bookmarkStart w:id="7" w:name="_Toc15377197"/>
      <w:bookmarkStart w:id="8" w:name="_Toc8425"/>
      <w:r>
        <w:rPr>
          <w:rFonts w:hint="eastAsia" w:ascii="黑体" w:eastAsia="黑体"/>
          <w:b w:val="0"/>
          <w:color w:val="000000"/>
          <w:lang w:val="en-US" w:eastAsia="zh-CN"/>
        </w:rPr>
        <w:t>部门职责</w:t>
      </w:r>
      <w:bookmarkEnd w:id="5"/>
      <w:bookmarkEnd w:id="6"/>
      <w:bookmarkEnd w:id="7"/>
      <w:bookmarkEnd w:id="8"/>
      <w:bookmarkStart w:id="9" w:name="_Toc15377198"/>
      <w:bookmarkStart w:id="10" w:name="_Toc15378445"/>
      <w:bookmarkStart w:id="11" w:name="_Toc79163853"/>
      <w:bookmarkStart w:id="12" w:name="_Toc79163603"/>
    </w:p>
    <w:bookmarkEnd w:id="9"/>
    <w:bookmarkEnd w:id="10"/>
    <w:bookmarkEnd w:id="11"/>
    <w:bookmarkEnd w:id="12"/>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sz w:val="32"/>
          <w:szCs w:val="32"/>
        </w:rPr>
      </w:pPr>
      <w:r>
        <w:rPr>
          <w:rFonts w:hint="eastAsia"/>
          <w:sz w:val="32"/>
          <w:szCs w:val="32"/>
          <w:lang w:val="en-US" w:eastAsia="zh-CN"/>
        </w:rPr>
        <w:t>1.</w:t>
      </w:r>
      <w:r>
        <w:rPr>
          <w:rFonts w:hint="eastAsia"/>
          <w:sz w:val="32"/>
          <w:szCs w:val="32"/>
        </w:rPr>
        <w:t>依照相关法律和行政法规,对区域内(上壤塘海子山中壤塘三座寺庙及茸木达棒托寺石刻大藏经等)所辖景区资源实行统一管理、统一规划、统一开发和统一保护。</w:t>
      </w:r>
    </w:p>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cs="Times New Roman"/>
          <w:sz w:val="32"/>
          <w:szCs w:val="32"/>
        </w:rPr>
      </w:pPr>
      <w:r>
        <w:rPr>
          <w:rFonts w:hint="eastAsia"/>
          <w:sz w:val="32"/>
          <w:szCs w:val="32"/>
          <w:lang w:val="en-US" w:eastAsia="zh-CN"/>
        </w:rPr>
        <w:t>2.</w:t>
      </w:r>
      <w:r>
        <w:rPr>
          <w:rFonts w:hint="eastAsia"/>
          <w:sz w:val="32"/>
          <w:szCs w:val="32"/>
        </w:rPr>
        <w:t>宣传</w:t>
      </w:r>
      <w:r>
        <w:rPr>
          <w:rFonts w:hint="eastAsia" w:cs="Times New Roman"/>
          <w:sz w:val="32"/>
          <w:szCs w:val="32"/>
        </w:rPr>
        <w:t>贯彻国家风景名胜、民族宗教、文物、林业、国土、环境保护等有关法律、法规和方针政策。</w:t>
      </w:r>
    </w:p>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cs="Times New Roman"/>
          <w:sz w:val="32"/>
          <w:szCs w:val="32"/>
        </w:rPr>
      </w:pPr>
      <w:r>
        <w:rPr>
          <w:rFonts w:hint="eastAsia" w:cs="Times New Roman"/>
          <w:sz w:val="32"/>
          <w:szCs w:val="32"/>
          <w:lang w:val="en-US" w:eastAsia="zh-CN"/>
        </w:rPr>
        <w:t>3.</w:t>
      </w:r>
      <w:r>
        <w:rPr>
          <w:rFonts w:hint="eastAsia" w:cs="Times New Roman"/>
          <w:sz w:val="32"/>
          <w:szCs w:val="32"/>
        </w:rPr>
        <w:t>依法保护景区资源和生态环境,维护景区的自然风貌和人文景观,有效开发和合理利用景区资源。</w:t>
      </w:r>
    </w:p>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cs="Times New Roman"/>
          <w:sz w:val="32"/>
          <w:szCs w:val="32"/>
        </w:rPr>
      </w:pPr>
      <w:r>
        <w:rPr>
          <w:rFonts w:hint="eastAsia" w:cs="Times New Roman"/>
          <w:sz w:val="32"/>
          <w:szCs w:val="32"/>
          <w:lang w:val="en-US" w:eastAsia="zh-CN"/>
        </w:rPr>
        <w:t>4.</w:t>
      </w:r>
      <w:r>
        <w:rPr>
          <w:rFonts w:hint="eastAsia" w:cs="Times New Roman"/>
          <w:sz w:val="32"/>
          <w:szCs w:val="32"/>
        </w:rPr>
        <w:t>编制景区总体规划和详细规划并组织实施,按照总体</w:t>
      </w:r>
      <w:r>
        <w:rPr>
          <w:rFonts w:hint="eastAsia" w:cs="Times New Roman"/>
          <w:sz w:val="32"/>
          <w:szCs w:val="32"/>
          <w:lang w:eastAsia="zh-CN"/>
        </w:rPr>
        <w:t>规</w:t>
      </w:r>
      <w:r>
        <w:rPr>
          <w:rFonts w:hint="eastAsia" w:cs="Times New Roman"/>
          <w:sz w:val="32"/>
          <w:szCs w:val="32"/>
        </w:rPr>
        <w:t>划对景区新建、扩建和改建项目进行审核,对建设活动进行监督、检查。</w:t>
      </w:r>
    </w:p>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cs="Times New Roman"/>
          <w:sz w:val="32"/>
          <w:szCs w:val="32"/>
        </w:rPr>
      </w:pPr>
      <w:r>
        <w:rPr>
          <w:rFonts w:hint="eastAsia" w:cs="Times New Roman"/>
          <w:sz w:val="32"/>
          <w:szCs w:val="32"/>
          <w:lang w:val="en-US" w:eastAsia="zh-CN"/>
        </w:rPr>
        <w:t>5.</w:t>
      </w:r>
      <w:r>
        <w:rPr>
          <w:rFonts w:hint="eastAsia" w:cs="Times New Roman"/>
          <w:sz w:val="32"/>
          <w:szCs w:val="32"/>
        </w:rPr>
        <w:t>负责建设、维护、管理景区基础设施和公共设施,管理景区旅游经营活动,增强景区自我发展能力。</w:t>
      </w:r>
    </w:p>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cs="Times New Roman"/>
          <w:sz w:val="32"/>
          <w:szCs w:val="32"/>
        </w:rPr>
      </w:pPr>
      <w:r>
        <w:rPr>
          <w:rFonts w:hint="eastAsia" w:cs="Times New Roman"/>
          <w:sz w:val="32"/>
          <w:szCs w:val="32"/>
          <w:lang w:val="en-US" w:eastAsia="zh-CN"/>
        </w:rPr>
        <w:t>6.</w:t>
      </w:r>
      <w:r>
        <w:rPr>
          <w:rFonts w:hint="eastAsia" w:cs="Times New Roman"/>
          <w:sz w:val="32"/>
          <w:szCs w:val="32"/>
        </w:rPr>
        <w:t>制定景区各项管理制度,负责景区的游人安全、环境卫生、社会治安、安全生产和护林防火等管理工作。</w:t>
      </w:r>
    </w:p>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cs="Times New Roman"/>
          <w:sz w:val="32"/>
          <w:szCs w:val="32"/>
        </w:rPr>
      </w:pPr>
      <w:r>
        <w:rPr>
          <w:rFonts w:hint="eastAsia" w:cs="Times New Roman"/>
          <w:sz w:val="32"/>
          <w:szCs w:val="32"/>
          <w:lang w:val="en-US" w:eastAsia="zh-CN"/>
        </w:rPr>
        <w:t>7.</w:t>
      </w:r>
      <w:r>
        <w:rPr>
          <w:rFonts w:hint="eastAsia" w:cs="Times New Roman"/>
          <w:sz w:val="32"/>
          <w:szCs w:val="32"/>
        </w:rPr>
        <w:t>负责招商引资,统一对外宣传,扩大景区知名度。</w:t>
      </w:r>
    </w:p>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cs="Times New Roman"/>
          <w:sz w:val="32"/>
          <w:szCs w:val="32"/>
        </w:rPr>
      </w:pPr>
      <w:r>
        <w:rPr>
          <w:rFonts w:hint="eastAsia" w:cs="Times New Roman"/>
          <w:sz w:val="32"/>
          <w:szCs w:val="32"/>
          <w:lang w:val="en-US" w:eastAsia="zh-CN"/>
        </w:rPr>
        <w:t>8.</w:t>
      </w:r>
      <w:r>
        <w:rPr>
          <w:rFonts w:hint="eastAsia" w:cs="Times New Roman"/>
          <w:sz w:val="32"/>
          <w:szCs w:val="32"/>
        </w:rPr>
        <w:t>负责景区内经营性项目的审批和管理,根据景区规划和需要,对景区的村寨实施托管,统筹协调并处理辖区内村寨利益。</w:t>
      </w:r>
    </w:p>
    <w:p>
      <w:pPr>
        <w:pStyle w:val="9"/>
        <w:keepNext w:val="0"/>
        <w:keepLines w:val="0"/>
        <w:pageBreakBefore w:val="0"/>
        <w:widowControl w:val="0"/>
        <w:kinsoku/>
        <w:wordWrap/>
        <w:overflowPunct/>
        <w:topLinePunct w:val="0"/>
        <w:autoSpaceDE/>
        <w:autoSpaceDN/>
        <w:bidi w:val="0"/>
        <w:adjustRightInd/>
        <w:snapToGrid/>
        <w:spacing w:before="30" w:beforeLines="0" w:line="560" w:lineRule="exact"/>
        <w:ind w:firstLine="640" w:firstLineChars="200"/>
        <w:textAlignment w:val="auto"/>
        <w:rPr>
          <w:rFonts w:hint="eastAsia" w:cs="Times New Roman"/>
          <w:sz w:val="32"/>
          <w:szCs w:val="32"/>
        </w:rPr>
      </w:pPr>
      <w:r>
        <w:rPr>
          <w:rFonts w:hint="eastAsia" w:cs="Times New Roman"/>
          <w:sz w:val="32"/>
          <w:szCs w:val="32"/>
          <w:lang w:val="en-US" w:eastAsia="zh-CN"/>
        </w:rPr>
        <w:t>9.</w:t>
      </w:r>
      <w:r>
        <w:rPr>
          <w:rFonts w:hint="eastAsia" w:cs="Times New Roman"/>
          <w:sz w:val="32"/>
          <w:szCs w:val="32"/>
        </w:rPr>
        <w:t>承办县委县政府交办的事项</w:t>
      </w:r>
      <w:r>
        <w:rPr>
          <w:rFonts w:hint="eastAsia" w:cs="Times New Roman"/>
          <w:sz w:val="32"/>
          <w:szCs w:val="32"/>
          <w:lang w:eastAsia="zh-CN"/>
        </w:rPr>
        <w:t>。</w:t>
      </w:r>
    </w:p>
    <w:p>
      <w:pPr>
        <w:pStyle w:val="6"/>
        <w:keepNext/>
        <w:keepLines/>
        <w:pageBreakBefore w:val="0"/>
        <w:widowControl w:val="0"/>
        <w:kinsoku/>
        <w:wordWrap/>
        <w:overflowPunct/>
        <w:topLinePunct w:val="0"/>
        <w:bidi w:val="0"/>
        <w:spacing w:line="560" w:lineRule="exact"/>
        <w:textAlignment w:val="auto"/>
        <w:rPr>
          <w:rStyle w:val="29"/>
          <w:b w:val="0"/>
          <w:bCs w:val="0"/>
        </w:rPr>
      </w:pPr>
      <w:bookmarkStart w:id="13" w:name="_Toc15377200"/>
      <w:bookmarkStart w:id="14" w:name="_Toc15396601"/>
      <w:bookmarkStart w:id="15" w:name="_Toc6760"/>
      <w:bookmarkStart w:id="16" w:name="_Toc79163605"/>
      <w:r>
        <w:rPr>
          <w:rFonts w:hint="eastAsia" w:ascii="黑体" w:eastAsia="黑体"/>
          <w:b w:val="0"/>
          <w:color w:val="000000"/>
        </w:rPr>
        <w:t>二、机</w:t>
      </w:r>
      <w:r>
        <w:rPr>
          <w:rStyle w:val="29"/>
          <w:rFonts w:hint="eastAsia" w:ascii="黑体" w:eastAsia="黑体"/>
          <w:b w:val="0"/>
          <w:bCs w:val="0"/>
        </w:rPr>
        <w:t>构设置</w:t>
      </w:r>
      <w:bookmarkEnd w:id="13"/>
      <w:bookmarkEnd w:id="14"/>
      <w:bookmarkEnd w:id="15"/>
      <w:bookmarkEnd w:id="16"/>
    </w:p>
    <w:p>
      <w:pPr>
        <w:pStyle w:val="9"/>
        <w:pageBreakBefore w:val="0"/>
        <w:widowControl w:val="0"/>
        <w:kinsoku/>
        <w:wordWrap/>
        <w:overflowPunct/>
        <w:topLinePunct w:val="0"/>
        <w:bidi w:val="0"/>
        <w:adjustRightInd w:val="0"/>
        <w:snapToGrid w:val="0"/>
        <w:spacing w:before="93" w:beforeLines="0" w:line="560" w:lineRule="exact"/>
        <w:ind w:firstLine="668" w:firstLineChars="209"/>
        <w:textAlignment w:val="auto"/>
        <w:rPr>
          <w:rFonts w:ascii="仿宋" w:eastAsia="仿宋"/>
          <w:color w:val="000000"/>
          <w:kern w:val="0"/>
          <w:sz w:val="32"/>
          <w:szCs w:val="32"/>
        </w:rPr>
      </w:pPr>
      <w:bookmarkStart w:id="17" w:name="_Toc30939"/>
      <w:bookmarkStart w:id="18" w:name="_Toc12356"/>
      <w:bookmarkStart w:id="19" w:name="_Toc10699"/>
      <w:r>
        <w:rPr>
          <w:rFonts w:hint="eastAsia" w:ascii="仿宋_GB2312" w:eastAsia="仿宋_GB2312" w:cs="Times New Roman"/>
          <w:b w:val="0"/>
          <w:bCs w:val="0"/>
          <w:kern w:val="2"/>
          <w:sz w:val="32"/>
          <w:szCs w:val="32"/>
          <w:highlight w:val="none"/>
          <w:lang w:val="en-US" w:eastAsia="zh-CN" w:bidi="ar-SA"/>
        </w:rPr>
        <w:t>壤塘县中壤塘文化旅游景区管理处无下属二级单位，本单位属事业单位。</w:t>
      </w:r>
      <w:bookmarkEnd w:id="17"/>
      <w:bookmarkEnd w:id="18"/>
      <w:bookmarkEnd w:id="19"/>
      <w:r>
        <w:rPr>
          <w:rFonts w:ascii="仿宋" w:eastAsia="仿宋"/>
          <w:color w:val="000000"/>
          <w:sz w:val="32"/>
          <w:szCs w:val="32"/>
        </w:rPr>
        <w:br w:type="page"/>
      </w:r>
    </w:p>
    <w:p>
      <w:pPr>
        <w:pStyle w:val="5"/>
        <w:keepNext/>
        <w:keepLines/>
        <w:pageBreakBefore w:val="0"/>
        <w:widowControl w:val="0"/>
        <w:kinsoku/>
        <w:wordWrap/>
        <w:overflowPunct/>
        <w:topLinePunct w:val="0"/>
        <w:bidi w:val="0"/>
        <w:spacing w:line="560" w:lineRule="exact"/>
        <w:ind w:right="440"/>
        <w:jc w:val="right"/>
        <w:textAlignment w:val="auto"/>
        <w:rPr>
          <w:rStyle w:val="28"/>
          <w:rFonts w:ascii="黑体" w:eastAsia="黑体"/>
          <w:b w:val="0"/>
          <w:bCs w:val="0"/>
        </w:rPr>
      </w:pPr>
      <w:bookmarkStart w:id="20" w:name="_Toc14552"/>
      <w:bookmarkStart w:id="21" w:name="_Toc79163609"/>
      <w:bookmarkStart w:id="22" w:name="_Toc8869"/>
      <w:bookmarkStart w:id="23" w:name="_Toc15396602"/>
      <w:bookmarkStart w:id="24" w:name="_Toc15377204"/>
      <w:r>
        <w:rPr>
          <w:rFonts w:hint="eastAsia" w:ascii="黑体" w:eastAsia="黑体"/>
          <w:b w:val="0"/>
          <w:color w:val="000000"/>
        </w:rPr>
        <w:t>第二部分</w:t>
      </w:r>
      <w:r>
        <w:rPr>
          <w:rFonts w:ascii="黑体" w:eastAsia="黑体"/>
          <w:color w:val="000000"/>
        </w:rPr>
        <w:t xml:space="preserve"> </w:t>
      </w:r>
      <w:r>
        <w:rPr>
          <w:rStyle w:val="28"/>
          <w:rFonts w:hint="eastAsia" w:ascii="黑体" w:eastAsia="黑体"/>
          <w:b w:val="0"/>
          <w:bCs w:val="0"/>
          <w:lang w:eastAsia="zh-CN"/>
        </w:rPr>
        <w:t>2024年</w:t>
      </w:r>
      <w:r>
        <w:rPr>
          <w:rStyle w:val="28"/>
          <w:rFonts w:hint="eastAsia" w:ascii="黑体" w:eastAsia="黑体"/>
          <w:b w:val="0"/>
          <w:bCs w:val="0"/>
        </w:rPr>
        <w:t>度部门决算情况说明</w:t>
      </w:r>
      <w:bookmarkEnd w:id="20"/>
      <w:bookmarkEnd w:id="21"/>
      <w:bookmarkEnd w:id="22"/>
      <w:bookmarkEnd w:id="23"/>
      <w:bookmarkEnd w:id="24"/>
    </w:p>
    <w:p>
      <w:pPr>
        <w:pStyle w:val="6"/>
        <w:keepNext/>
        <w:keepLines/>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黑体" w:eastAsia="黑体" w:cs="黑体"/>
          <w:lang w:val="en-US" w:eastAsia="zh-CN"/>
        </w:rPr>
      </w:pPr>
      <w:bookmarkStart w:id="25" w:name="_Toc25899"/>
      <w:bookmarkStart w:id="26" w:name="_Toc9372"/>
      <w:r>
        <w:rPr>
          <w:rFonts w:hint="eastAsia" w:ascii="黑体" w:eastAsia="黑体" w:cs="黑体"/>
          <w:lang w:val="en-US" w:eastAsia="zh-CN"/>
        </w:rPr>
        <w:t>一、收入支出决算总体情况说明</w:t>
      </w:r>
      <w:bookmarkEnd w:id="25"/>
      <w:bookmarkEnd w:id="26"/>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eastAsia="仿宋" w:cs="Times New Roman"/>
          <w:color w:val="000000"/>
          <w:kern w:val="2"/>
          <w:sz w:val="32"/>
          <w:szCs w:val="32"/>
        </w:rPr>
      </w:pPr>
      <w:r>
        <w:rPr>
          <w:rFonts w:hint="eastAsia" w:ascii="仿宋" w:eastAsia="仿宋" w:cs="仿宋"/>
          <w:color w:val="000000"/>
          <w:kern w:val="2"/>
          <w:sz w:val="32"/>
          <w:szCs w:val="32"/>
          <w:lang w:val="en-US" w:eastAsia="zh-CN"/>
        </w:rPr>
        <w:t>2024年度收入总计1394.86万元，与2023年相比，减少487.23万元，降低25.89%。支出总计1394.86万元。与2023年相比，减少487.23万元，降低25.89%。主要变动原因是本年度项目减少，项目收入减少，故本年收入减少。</w:t>
      </w:r>
    </w:p>
    <w:p>
      <w:pPr>
        <w:pStyle w:val="22"/>
        <w:keepNext w:val="0"/>
        <w:keepLines w:val="0"/>
        <w:widowControl w:val="0"/>
        <w:suppressLineNumbers w:val="0"/>
        <w:spacing w:before="0" w:beforeAutospacing="1" w:after="0" w:afterAutospacing="0" w:line="360" w:lineRule="auto"/>
        <w:ind w:left="0" w:right="0" w:firstLine="0"/>
        <w:jc w:val="center"/>
        <w:rPr>
          <w:rFonts w:hint="eastAsia" w:ascii="Times New Roman" w:hAnsi="Times New Roman" w:eastAsia="宋体" w:cs="Times New Roman"/>
          <w:kern w:val="2"/>
          <w:sz w:val="21"/>
          <w:szCs w:val="21"/>
        </w:rPr>
      </w:pPr>
      <w:r>
        <w:drawing>
          <wp:inline distT="0" distB="0" distL="114300" distR="114300">
            <wp:extent cx="4134485" cy="2405380"/>
            <wp:effectExtent l="4445" t="4445" r="13970" b="9525"/>
            <wp:docPr id="135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drawing>
          <wp:inline distT="0" distB="0" distL="114300" distR="114300">
            <wp:extent cx="4083685" cy="2139315"/>
            <wp:effectExtent l="4445" t="4445" r="7620" b="8890"/>
            <wp:docPr id="134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eastAsia="仿宋" w:cs="Times New Roman"/>
          <w:color w:val="000000"/>
          <w:kern w:val="2"/>
          <w:sz w:val="32"/>
          <w:szCs w:val="32"/>
        </w:rPr>
      </w:pPr>
      <w:r>
        <w:rPr>
          <w:rFonts w:hint="eastAsia" w:ascii="仿宋" w:eastAsia="仿宋" w:cs="仿宋"/>
          <w:color w:val="000000"/>
          <w:kern w:val="2"/>
          <w:sz w:val="32"/>
          <w:szCs w:val="32"/>
          <w:lang w:val="en-US" w:eastAsia="zh-CN"/>
        </w:rPr>
        <w:t>（图</w:t>
      </w:r>
      <w:r>
        <w:rPr>
          <w:rFonts w:hint="eastAsia" w:ascii="仿宋" w:eastAsia="仿宋" w:cs="Times New Roman"/>
          <w:color w:val="000000"/>
          <w:kern w:val="2"/>
          <w:sz w:val="32"/>
          <w:szCs w:val="32"/>
          <w:lang w:val="en-US" w:eastAsia="zh-CN"/>
        </w:rPr>
        <w:t>1</w:t>
      </w:r>
      <w:r>
        <w:rPr>
          <w:rFonts w:hint="eastAsia" w:ascii="仿宋" w:eastAsia="仿宋" w:cs="仿宋"/>
          <w:color w:val="000000"/>
          <w:kern w:val="2"/>
          <w:sz w:val="32"/>
          <w:szCs w:val="32"/>
          <w:lang w:val="en-US" w:eastAsia="zh-CN"/>
        </w:rPr>
        <w:t>：收、支决算总计变动情况图）（柱状图）</w:t>
      </w:r>
    </w:p>
    <w:p>
      <w:pPr>
        <w:keepNext w:val="0"/>
        <w:keepLines w:val="0"/>
        <w:widowControl w:val="0"/>
        <w:suppressLineNumbers w:val="0"/>
        <w:spacing w:before="0" w:beforeAutospacing="0" w:after="0" w:afterAutospacing="0" w:line="560" w:lineRule="exact"/>
        <w:ind w:left="0" w:right="0" w:firstLine="640" w:firstLineChars="200"/>
        <w:jc w:val="left"/>
        <w:rPr>
          <w:rFonts w:ascii="仿宋_GB2312" w:eastAsia="仿宋_GB2312" w:cs="Times New Roman"/>
          <w:color w:val="000000"/>
          <w:kern w:val="2"/>
          <w:sz w:val="32"/>
          <w:szCs w:val="32"/>
        </w:rPr>
      </w:pPr>
      <w:r>
        <w:rPr>
          <w:rFonts w:ascii="仿宋_GB2312" w:eastAsia="仿宋_GB2312" w:cs="Times New Roman"/>
          <w:color w:val="000000"/>
          <w:kern w:val="2"/>
          <w:sz w:val="32"/>
          <w:szCs w:val="32"/>
          <w:lang w:val="en-US" w:eastAsia="zh-CN"/>
        </w:rPr>
        <w:t xml:space="preserve"> </w:t>
      </w:r>
    </w:p>
    <w:p>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bookmarkStart w:id="27" w:name="_Toc12480"/>
      <w:bookmarkStart w:id="28" w:name="_Toc4093"/>
      <w:r>
        <w:rPr>
          <w:rFonts w:hint="eastAsia" w:ascii="黑体" w:eastAsia="黑体" w:cs="Times New Roman"/>
          <w:b w:val="0"/>
          <w:bCs w:val="0"/>
          <w:color w:val="000000"/>
          <w:kern w:val="2"/>
          <w:sz w:val="32"/>
          <w:szCs w:val="32"/>
          <w:lang w:val="en-US" w:eastAsia="zh-CN" w:bidi="ar-SA"/>
        </w:rPr>
        <w:t>二、收入决算情况说明</w:t>
      </w:r>
      <w:bookmarkEnd w:id="27"/>
      <w:bookmarkEnd w:id="28"/>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eastAsia="仿宋" w:cs="Times New Roman"/>
          <w:color w:val="000000"/>
          <w:kern w:val="2"/>
          <w:sz w:val="32"/>
          <w:szCs w:val="32"/>
        </w:rPr>
      </w:pPr>
      <w:r>
        <w:rPr>
          <w:rFonts w:hint="eastAsia" w:ascii="仿宋" w:eastAsia="仿宋" w:cs="Times New Roman"/>
          <w:color w:val="000000"/>
          <w:kern w:val="2"/>
          <w:sz w:val="32"/>
          <w:szCs w:val="32"/>
          <w:lang w:val="en-US" w:eastAsia="zh-CN"/>
        </w:rPr>
        <w:t>2024年</w:t>
      </w:r>
      <w:r>
        <w:rPr>
          <w:rFonts w:hint="eastAsia" w:ascii="仿宋" w:eastAsia="仿宋" w:cs="仿宋"/>
          <w:color w:val="000000"/>
          <w:kern w:val="2"/>
          <w:sz w:val="32"/>
          <w:szCs w:val="32"/>
          <w:lang w:val="en-US" w:eastAsia="zh-CN"/>
        </w:rPr>
        <w:t>本年收入合计1394.86万元，其中：一般公共预算财政拨款收入1374.86万元，占98.57</w:t>
      </w:r>
      <w:r>
        <w:rPr>
          <w:rFonts w:hint="eastAsia" w:ascii="仿宋" w:eastAsia="仿宋" w:cs="Times New Roman"/>
          <w:color w:val="000000"/>
          <w:kern w:val="2"/>
          <w:sz w:val="32"/>
          <w:szCs w:val="32"/>
          <w:lang w:val="en-US" w:eastAsia="zh-CN"/>
        </w:rPr>
        <w:t>%；其他收入20万元，占1.43%</w:t>
      </w:r>
      <w:r>
        <w:rPr>
          <w:rFonts w:hint="eastAsia" w:ascii="仿宋" w:eastAsia="仿宋" w:cs="仿宋"/>
          <w:color w:val="000000"/>
          <w:kern w:val="2"/>
          <w:sz w:val="32"/>
          <w:szCs w:val="32"/>
          <w:lang w:val="en-US" w:eastAsia="zh-CN"/>
        </w:rPr>
        <w:t>。</w:t>
      </w:r>
    </w:p>
    <w:p>
      <w:pPr>
        <w:pStyle w:val="22"/>
        <w:keepNext w:val="0"/>
        <w:keepLines w:val="0"/>
        <w:widowControl w:val="0"/>
        <w:suppressLineNumbers w:val="0"/>
        <w:spacing w:before="0" w:beforeAutospacing="1" w:after="120" w:afterAutospacing="0" w:line="360" w:lineRule="auto"/>
        <w:ind w:left="0" w:right="0" w:firstLine="420" w:firstLineChars="200"/>
        <w:jc w:val="center"/>
        <w:rPr>
          <w:rFonts w:ascii="Times New Roman" w:hAnsi="Times New Roman" w:eastAsia="宋体" w:cs="Times New Roman"/>
          <w:kern w:val="2"/>
          <w:sz w:val="21"/>
          <w:szCs w:val="21"/>
        </w:rPr>
      </w:pPr>
      <w:r>
        <w:drawing>
          <wp:inline distT="0" distB="0" distL="114300" distR="114300">
            <wp:extent cx="3620135" cy="2018030"/>
            <wp:effectExtent l="5080" t="4445" r="13335" b="15875"/>
            <wp:docPr id="135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eastAsia="仿宋" w:cs="Times New Roman"/>
          <w:color w:val="000000"/>
          <w:kern w:val="2"/>
          <w:sz w:val="32"/>
          <w:szCs w:val="32"/>
        </w:rPr>
      </w:pPr>
      <w:r>
        <w:rPr>
          <w:rFonts w:hint="eastAsia" w:ascii="仿宋" w:eastAsia="仿宋" w:cs="仿宋"/>
          <w:color w:val="000000"/>
          <w:kern w:val="2"/>
          <w:sz w:val="32"/>
          <w:szCs w:val="32"/>
          <w:lang w:val="en-US" w:eastAsia="zh-CN"/>
        </w:rPr>
        <w:t>（图</w:t>
      </w:r>
      <w:r>
        <w:rPr>
          <w:rFonts w:hint="eastAsia" w:ascii="仿宋" w:eastAsia="仿宋" w:cs="Times New Roman"/>
          <w:color w:val="000000"/>
          <w:kern w:val="2"/>
          <w:sz w:val="32"/>
          <w:szCs w:val="32"/>
          <w:lang w:val="en-US" w:eastAsia="zh-CN"/>
        </w:rPr>
        <w:t>2</w:t>
      </w:r>
      <w:r>
        <w:rPr>
          <w:rFonts w:hint="eastAsia" w:ascii="仿宋" w:eastAsia="仿宋" w:cs="仿宋"/>
          <w:color w:val="000000"/>
          <w:kern w:val="2"/>
          <w:sz w:val="32"/>
          <w:szCs w:val="32"/>
          <w:lang w:val="en-US" w:eastAsia="zh-CN"/>
        </w:rPr>
        <w:t>：收入决算结构图）（饼状图）</w:t>
      </w:r>
    </w:p>
    <w:p>
      <w:pPr>
        <w:keepNext w:val="0"/>
        <w:keepLines w:val="0"/>
        <w:widowControl w:val="0"/>
        <w:suppressLineNumbers w:val="0"/>
        <w:spacing w:before="0" w:beforeAutospacing="0" w:after="0" w:afterAutospacing="0" w:line="560" w:lineRule="exact"/>
        <w:ind w:left="0" w:right="0" w:firstLine="640" w:firstLineChars="200"/>
        <w:jc w:val="both"/>
        <w:rPr>
          <w:rFonts w:ascii="仿宋_GB2312" w:eastAsia="仿宋_GB2312" w:cs="Times New Roman"/>
          <w:color w:val="FF0000"/>
          <w:kern w:val="2"/>
          <w:sz w:val="32"/>
          <w:szCs w:val="32"/>
        </w:rPr>
      </w:pPr>
      <w:r>
        <w:rPr>
          <w:rFonts w:ascii="仿宋_GB2312" w:eastAsia="仿宋_GB2312" w:cs="Times New Roman"/>
          <w:color w:val="FF0000"/>
          <w:kern w:val="2"/>
          <w:sz w:val="32"/>
          <w:szCs w:val="32"/>
          <w:lang w:val="en-US" w:eastAsia="zh-CN"/>
        </w:rPr>
        <w:t xml:space="preserve"> </w:t>
      </w:r>
    </w:p>
    <w:p>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bookmarkStart w:id="29" w:name="_Toc27671"/>
      <w:r>
        <w:rPr>
          <w:rFonts w:hint="eastAsia" w:ascii="黑体" w:eastAsia="黑体" w:cs="Times New Roman"/>
          <w:b w:val="0"/>
          <w:bCs w:val="0"/>
          <w:color w:val="000000"/>
          <w:kern w:val="2"/>
          <w:sz w:val="32"/>
          <w:szCs w:val="32"/>
          <w:lang w:val="en-US" w:eastAsia="zh-CN" w:bidi="ar-SA"/>
        </w:rPr>
        <w:t>三、支出决算情况说</w:t>
      </w:r>
      <w:r>
        <w:rPr>
          <w:rFonts w:hint="eastAsia"/>
          <w:lang w:val="en-US" w:eastAsia="zh-CN"/>
        </w:rPr>
        <w:t>明</w:t>
      </w:r>
      <w:bookmarkEnd w:id="29"/>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cs="Times New Roman"/>
          <w:kern w:val="2"/>
          <w:sz w:val="32"/>
          <w:szCs w:val="32"/>
          <w:lang w:val="en-US" w:eastAsia="zh-CN"/>
        </w:rPr>
        <w:t>2024年</w:t>
      </w:r>
      <w:r>
        <w:rPr>
          <w:rFonts w:ascii="仿宋_GB2312" w:eastAsia="仿宋_GB2312" w:cs="仿宋_GB2312"/>
          <w:kern w:val="2"/>
          <w:sz w:val="32"/>
          <w:szCs w:val="32"/>
          <w:lang w:val="en-US" w:eastAsia="zh-CN"/>
        </w:rPr>
        <w:t>本年支出合计</w:t>
      </w:r>
      <w:r>
        <w:rPr>
          <w:rFonts w:hint="eastAsia" w:ascii="仿宋_GB2312" w:eastAsia="仿宋_GB2312" w:cs="仿宋_GB2312"/>
          <w:kern w:val="2"/>
          <w:sz w:val="32"/>
          <w:szCs w:val="32"/>
          <w:lang w:val="en-US" w:eastAsia="zh-CN"/>
        </w:rPr>
        <w:t>1394.86</w:t>
      </w:r>
      <w:r>
        <w:rPr>
          <w:rFonts w:ascii="仿宋_GB2312" w:eastAsia="仿宋_GB2312" w:cs="仿宋_GB2312"/>
          <w:kern w:val="2"/>
          <w:sz w:val="32"/>
          <w:szCs w:val="32"/>
          <w:lang w:val="en-US" w:eastAsia="zh-CN"/>
        </w:rPr>
        <w:t>万元</w:t>
      </w:r>
      <w:r>
        <w:rPr>
          <w:rFonts w:hint="eastAsia" w:ascii="仿宋_GB2312" w:eastAsia="仿宋_GB2312"/>
          <w:sz w:val="32"/>
          <w:szCs w:val="32"/>
        </w:rPr>
        <w:t>，其中：基本支出366.02万元，占</w:t>
      </w:r>
      <w:r>
        <w:rPr>
          <w:rFonts w:hint="eastAsia" w:ascii="仿宋_GB2312" w:eastAsia="仿宋_GB2312"/>
          <w:sz w:val="32"/>
          <w:szCs w:val="32"/>
          <w:lang w:val="en-US" w:eastAsia="zh-CN"/>
        </w:rPr>
        <w:t>26.24</w:t>
      </w:r>
      <w:r>
        <w:rPr>
          <w:rFonts w:hint="eastAsia" w:ascii="仿宋_GB2312" w:eastAsia="仿宋_GB2312"/>
          <w:sz w:val="32"/>
          <w:szCs w:val="32"/>
        </w:rPr>
        <w:t>%；项目支出1028.84万元，占</w:t>
      </w:r>
      <w:r>
        <w:rPr>
          <w:rFonts w:hint="eastAsia" w:ascii="仿宋_GB2312" w:eastAsia="仿宋_GB2312"/>
          <w:sz w:val="32"/>
          <w:szCs w:val="32"/>
          <w:lang w:val="en-US" w:eastAsia="zh-CN"/>
        </w:rPr>
        <w:t>73.76</w:t>
      </w:r>
      <w:r>
        <w:rPr>
          <w:rFonts w:hint="eastAsia" w:ascii="仿宋_GB2312" w:eastAsia="仿宋_GB2312"/>
          <w:sz w:val="32"/>
          <w:szCs w:val="32"/>
        </w:rPr>
        <w:t>%。</w:t>
      </w:r>
    </w:p>
    <w:p>
      <w:pPr>
        <w:pStyle w:val="3"/>
        <w:jc w:val="center"/>
        <w:rPr>
          <w:rFonts w:ascii="仿宋" w:eastAsia="仿宋"/>
          <w:color w:val="000000"/>
          <w:sz w:val="32"/>
          <w:szCs w:val="32"/>
          <w:shd w:val="pct10" w:color="auto" w:fill="FFFFFF"/>
        </w:rPr>
      </w:pPr>
      <w:r>
        <w:drawing>
          <wp:inline distT="0" distB="0" distL="114300" distR="114300">
            <wp:extent cx="3658870" cy="2108200"/>
            <wp:effectExtent l="4445" t="4445" r="13335" b="20955"/>
            <wp:docPr id="134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：支出决算结构图）（饼状图）</w:t>
      </w:r>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eastAsia="黑体"/>
          <w:b w:val="0"/>
        </w:rPr>
      </w:pPr>
      <w:bookmarkStart w:id="30" w:name="_Toc15942"/>
      <w:bookmarkStart w:id="31" w:name="_Toc15377208"/>
      <w:bookmarkStart w:id="32" w:name="_Toc15396606"/>
      <w:bookmarkStart w:id="33" w:name="_Toc79163613"/>
      <w:r>
        <w:rPr>
          <w:rFonts w:hint="eastAsia" w:ascii="黑体" w:eastAsia="黑体"/>
          <w:color w:val="000000"/>
          <w:sz w:val="32"/>
          <w:szCs w:val="32"/>
        </w:rPr>
        <w:t>四、财</w:t>
      </w:r>
      <w:r>
        <w:rPr>
          <w:rStyle w:val="29"/>
          <w:rFonts w:hint="eastAsia" w:ascii="黑体" w:eastAsia="黑体"/>
          <w:b w:val="0"/>
        </w:rPr>
        <w:t>政拨款收入支出决算总体情况说明</w:t>
      </w:r>
      <w:bookmarkEnd w:id="30"/>
      <w:bookmarkEnd w:id="31"/>
      <w:bookmarkEnd w:id="32"/>
      <w:bookmarkEnd w:id="33"/>
    </w:p>
    <w:p>
      <w:pPr>
        <w:pageBreakBefore w:val="0"/>
        <w:widowControl w:val="0"/>
        <w:kinsoku/>
        <w:wordWrap/>
        <w:overflowPunct/>
        <w:topLinePunct w:val="0"/>
        <w:bidi w:val="0"/>
        <w:spacing w:line="560"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lang w:eastAsia="zh-CN"/>
        </w:rPr>
        <w:t>2024年</w:t>
      </w:r>
      <w:r>
        <w:rPr>
          <w:rFonts w:hint="eastAsia" w:ascii="仿宋" w:eastAsia="仿宋"/>
          <w:color w:val="000000"/>
          <w:sz w:val="32"/>
          <w:szCs w:val="32"/>
        </w:rPr>
        <w:t>财政拨款</w:t>
      </w:r>
      <w:r>
        <w:rPr>
          <w:rFonts w:hint="eastAsia" w:ascii="仿宋" w:eastAsia="仿宋"/>
          <w:color w:val="000000"/>
          <w:sz w:val="32"/>
          <w:szCs w:val="32"/>
          <w:lang w:eastAsia="zh-CN"/>
        </w:rPr>
        <w:t>收入</w:t>
      </w:r>
      <w:r>
        <w:rPr>
          <w:rFonts w:hint="eastAsia" w:ascii="仿宋" w:eastAsia="仿宋"/>
          <w:color w:val="000000"/>
          <w:sz w:val="32"/>
          <w:szCs w:val="32"/>
        </w:rPr>
        <w:t>总计</w:t>
      </w:r>
      <w:r>
        <w:rPr>
          <w:rFonts w:hint="eastAsia" w:ascii="仿宋" w:eastAsia="仿宋"/>
          <w:color w:val="000000"/>
          <w:sz w:val="32"/>
          <w:szCs w:val="32"/>
          <w:lang w:val="en-US" w:eastAsia="zh-CN"/>
        </w:rPr>
        <w:t>1374.86万元，与2023年相比，减少507.23万元，</w:t>
      </w:r>
      <w:r>
        <w:rPr>
          <w:rFonts w:hint="eastAsia" w:ascii="仿宋" w:eastAsia="仿宋" w:cs="仿宋"/>
          <w:color w:val="000000"/>
          <w:kern w:val="2"/>
          <w:sz w:val="32"/>
          <w:szCs w:val="32"/>
          <w:lang w:val="en-US" w:eastAsia="zh-CN"/>
        </w:rPr>
        <w:t>下降</w:t>
      </w:r>
      <w:r>
        <w:rPr>
          <w:rFonts w:hint="eastAsia" w:ascii="仿宋" w:eastAsia="仿宋"/>
          <w:color w:val="000000"/>
          <w:sz w:val="32"/>
          <w:szCs w:val="32"/>
          <w:lang w:val="en-US" w:eastAsia="zh-CN"/>
        </w:rPr>
        <w:t>26.95%。</w:t>
      </w:r>
      <w:r>
        <w:rPr>
          <w:rFonts w:hint="eastAsia" w:ascii="仿宋" w:eastAsia="仿宋"/>
          <w:color w:val="000000"/>
          <w:sz w:val="32"/>
          <w:szCs w:val="32"/>
          <w:lang w:eastAsia="zh-CN"/>
        </w:rPr>
        <w:t>2024年</w:t>
      </w:r>
      <w:r>
        <w:rPr>
          <w:rFonts w:hint="eastAsia" w:ascii="仿宋" w:eastAsia="仿宋"/>
          <w:color w:val="000000"/>
          <w:sz w:val="32"/>
          <w:szCs w:val="32"/>
        </w:rPr>
        <w:t>财政拨款支出总计</w:t>
      </w:r>
      <w:r>
        <w:rPr>
          <w:rFonts w:hint="eastAsia" w:ascii="仿宋" w:eastAsia="仿宋"/>
          <w:color w:val="000000"/>
          <w:sz w:val="32"/>
          <w:szCs w:val="32"/>
          <w:lang w:val="en-US" w:eastAsia="zh-CN"/>
        </w:rPr>
        <w:t>1374.86万元，与2023年相比，减少507.23万元，</w:t>
      </w:r>
      <w:r>
        <w:rPr>
          <w:rFonts w:hint="eastAsia" w:ascii="仿宋" w:eastAsia="仿宋" w:cs="仿宋"/>
          <w:color w:val="000000"/>
          <w:kern w:val="2"/>
          <w:sz w:val="32"/>
          <w:szCs w:val="32"/>
          <w:lang w:val="en-US" w:eastAsia="zh-CN"/>
        </w:rPr>
        <w:t>下降</w:t>
      </w:r>
      <w:r>
        <w:rPr>
          <w:rFonts w:hint="eastAsia" w:ascii="仿宋" w:eastAsia="仿宋"/>
          <w:color w:val="000000"/>
          <w:sz w:val="32"/>
          <w:szCs w:val="32"/>
          <w:lang w:val="en-US" w:eastAsia="zh-CN"/>
        </w:rPr>
        <w:t>26.95%。主要变动原因是本年度项目减少，项目收入减少，故本年收入减少。</w:t>
      </w:r>
    </w:p>
    <w:p>
      <w:pPr>
        <w:pStyle w:val="3"/>
        <w:jc w:val="center"/>
      </w:pPr>
      <w:r>
        <w:drawing>
          <wp:inline distT="0" distB="0" distL="114300" distR="114300">
            <wp:extent cx="4208780" cy="2156460"/>
            <wp:effectExtent l="4445" t="4445" r="15875" b="10795"/>
            <wp:docPr id="134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3"/>
        <w:jc w:val="center"/>
        <w:rPr>
          <w:rFonts w:ascii="仿宋" w:eastAsia="仿宋"/>
          <w:color w:val="000000"/>
          <w:sz w:val="32"/>
          <w:szCs w:val="32"/>
        </w:rPr>
      </w:pPr>
      <w:r>
        <w:drawing>
          <wp:inline distT="0" distB="0" distL="114300" distR="114300">
            <wp:extent cx="4340860" cy="2025650"/>
            <wp:effectExtent l="4445" t="4445" r="17145" b="8255"/>
            <wp:docPr id="134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val="0"/>
        <w:kinsoku/>
        <w:wordWrap/>
        <w:overflowPunct/>
        <w:topLinePunct w:val="0"/>
        <w:bidi w:val="0"/>
        <w:spacing w:line="560"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p>
    <w:p>
      <w:pPr>
        <w:pageBreakBefore w:val="0"/>
        <w:widowControl w:val="0"/>
        <w:kinsoku/>
        <w:wordWrap/>
        <w:overflowPunct/>
        <w:topLinePunct w:val="0"/>
        <w:bidi w:val="0"/>
        <w:spacing w:line="560" w:lineRule="exact"/>
        <w:ind w:firstLine="640"/>
        <w:textAlignment w:val="auto"/>
        <w:rPr>
          <w:rFonts w:ascii="仿宋" w:eastAsia="仿宋"/>
          <w:b/>
          <w:color w:val="00B050"/>
          <w:sz w:val="32"/>
          <w:szCs w:val="32"/>
        </w:rPr>
      </w:pPr>
    </w:p>
    <w:p>
      <w:pPr>
        <w:pageBreakBefore w:val="0"/>
        <w:widowControl w:val="0"/>
        <w:kinsoku/>
        <w:wordWrap/>
        <w:overflowPunct/>
        <w:topLinePunct w:val="0"/>
        <w:bidi w:val="0"/>
        <w:spacing w:line="560" w:lineRule="exact"/>
        <w:ind w:firstLine="640" w:firstLineChars="200"/>
        <w:textAlignment w:val="auto"/>
        <w:outlineLvl w:val="1"/>
        <w:rPr>
          <w:rStyle w:val="29"/>
          <w:rFonts w:ascii="黑体" w:eastAsia="黑体"/>
          <w:b w:val="0"/>
        </w:rPr>
      </w:pPr>
      <w:bookmarkStart w:id="34" w:name="_Toc24502"/>
      <w:bookmarkStart w:id="35" w:name="_Toc15396607"/>
      <w:bookmarkStart w:id="36" w:name="_Toc79163614"/>
      <w:bookmarkStart w:id="37" w:name="_Toc15377209"/>
      <w:r>
        <w:rPr>
          <w:rFonts w:hint="eastAsia" w:ascii="黑体" w:eastAsia="黑体"/>
          <w:color w:val="000000"/>
          <w:sz w:val="32"/>
          <w:szCs w:val="32"/>
        </w:rPr>
        <w:t>五、</w:t>
      </w:r>
      <w:r>
        <w:rPr>
          <w:rFonts w:hint="eastAsia" w:ascii="黑体" w:eastAsia="黑体"/>
          <w:b/>
          <w:color w:val="000000"/>
          <w:sz w:val="32"/>
          <w:szCs w:val="32"/>
        </w:rPr>
        <w:t>一</w:t>
      </w:r>
      <w:r>
        <w:rPr>
          <w:rStyle w:val="29"/>
          <w:rFonts w:hint="eastAsia" w:ascii="黑体" w:eastAsia="黑体"/>
          <w:b w:val="0"/>
        </w:rPr>
        <w:t>般公共预算财政拨款支出决算情况说明</w:t>
      </w:r>
      <w:bookmarkEnd w:id="34"/>
      <w:bookmarkEnd w:id="35"/>
      <w:bookmarkEnd w:id="36"/>
      <w:bookmarkEnd w:id="37"/>
    </w:p>
    <w:p>
      <w:pPr>
        <w:pageBreakBefore w:val="0"/>
        <w:widowControl w:val="0"/>
        <w:kinsoku/>
        <w:wordWrap/>
        <w:overflowPunct/>
        <w:topLinePunct w:val="0"/>
        <w:bidi w:val="0"/>
        <w:spacing w:line="560" w:lineRule="exact"/>
        <w:ind w:firstLine="642" w:firstLineChars="200"/>
        <w:textAlignment w:val="auto"/>
        <w:outlineLvl w:val="2"/>
        <w:rPr>
          <w:rFonts w:ascii="仿宋" w:eastAsia="仿宋"/>
          <w:b/>
          <w:color w:val="000000"/>
          <w:sz w:val="32"/>
          <w:szCs w:val="32"/>
        </w:rPr>
      </w:pPr>
      <w:bookmarkStart w:id="38" w:name="_Toc15377210"/>
      <w:bookmarkStart w:id="39" w:name="_Toc4387"/>
      <w:bookmarkStart w:id="40" w:name="_Toc79163615"/>
      <w:r>
        <w:rPr>
          <w:rFonts w:hint="eastAsia" w:ascii="仿宋" w:eastAsia="仿宋"/>
          <w:b/>
          <w:color w:val="000000"/>
          <w:sz w:val="32"/>
          <w:szCs w:val="32"/>
        </w:rPr>
        <w:t>（一）一般公共预算财政拨款支出决算总体情况</w:t>
      </w:r>
      <w:bookmarkEnd w:id="38"/>
      <w:bookmarkEnd w:id="39"/>
      <w:bookmarkEnd w:id="40"/>
    </w:p>
    <w:p>
      <w:pPr>
        <w:pageBreakBefore w:val="0"/>
        <w:widowControl w:val="0"/>
        <w:kinsoku/>
        <w:wordWrap/>
        <w:overflowPunct/>
        <w:topLinePunct w:val="0"/>
        <w:bidi w:val="0"/>
        <w:spacing w:line="560" w:lineRule="exact"/>
        <w:ind w:firstLine="640" w:firstLineChars="200"/>
        <w:textAlignment w:val="auto"/>
        <w:rPr>
          <w:rFonts w:hint="default" w:ascii="仿宋" w:eastAsia="仿宋"/>
          <w:color w:val="000000"/>
          <w:sz w:val="32"/>
          <w:szCs w:val="32"/>
          <w:lang w:val="en-US" w:eastAsia="zh-CN"/>
        </w:rPr>
      </w:pPr>
      <w:r>
        <w:rPr>
          <w:rFonts w:hint="eastAsia" w:ascii="仿宋" w:eastAsia="仿宋"/>
          <w:color w:val="000000"/>
          <w:sz w:val="32"/>
          <w:szCs w:val="32"/>
          <w:lang w:eastAsia="zh-CN"/>
        </w:rPr>
        <w:t>2024年</w:t>
      </w:r>
      <w:r>
        <w:rPr>
          <w:rFonts w:hint="eastAsia" w:ascii="仿宋" w:eastAsia="仿宋"/>
          <w:color w:val="000000"/>
          <w:sz w:val="32"/>
          <w:szCs w:val="32"/>
        </w:rPr>
        <w:t>一般公共预算财政拨款支出</w:t>
      </w:r>
      <w:r>
        <w:rPr>
          <w:rFonts w:hint="eastAsia" w:ascii="仿宋" w:eastAsia="仿宋"/>
          <w:color w:val="000000"/>
          <w:sz w:val="32"/>
          <w:szCs w:val="32"/>
          <w:lang w:val="en-US" w:eastAsia="zh-CN"/>
        </w:rPr>
        <w:t>1374.86</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hint="eastAsia" w:ascii="仿宋" w:eastAsia="仿宋"/>
          <w:color w:val="000000"/>
          <w:sz w:val="32"/>
          <w:szCs w:val="32"/>
          <w:lang w:eastAsia="zh-CN"/>
        </w:rPr>
        <w:t>2023年</w:t>
      </w:r>
      <w:r>
        <w:rPr>
          <w:rFonts w:hint="eastAsia" w:ascii="仿宋" w:eastAsia="仿宋"/>
          <w:color w:val="000000"/>
          <w:sz w:val="32"/>
          <w:szCs w:val="32"/>
        </w:rPr>
        <w:t>相比，一般公共预算财政拨款</w:t>
      </w:r>
      <w:r>
        <w:rPr>
          <w:rFonts w:hint="eastAsia" w:ascii="仿宋" w:eastAsia="仿宋"/>
          <w:color w:val="000000"/>
          <w:sz w:val="32"/>
          <w:szCs w:val="32"/>
          <w:lang w:val="en-US" w:eastAsia="zh-CN"/>
        </w:rPr>
        <w:t>减少507.23万元，</w:t>
      </w:r>
      <w:r>
        <w:rPr>
          <w:rFonts w:hint="eastAsia" w:ascii="仿宋" w:eastAsia="仿宋" w:cs="仿宋"/>
          <w:color w:val="000000"/>
          <w:kern w:val="2"/>
          <w:sz w:val="32"/>
          <w:szCs w:val="32"/>
          <w:lang w:val="en-US" w:eastAsia="zh-CN"/>
        </w:rPr>
        <w:t>下降</w:t>
      </w:r>
      <w:r>
        <w:rPr>
          <w:rFonts w:hint="eastAsia" w:ascii="仿宋" w:eastAsia="仿宋"/>
          <w:color w:val="000000"/>
          <w:sz w:val="32"/>
          <w:szCs w:val="32"/>
          <w:lang w:val="en-US" w:eastAsia="zh-CN"/>
        </w:rPr>
        <w:t>26.95%。主要变动原因是本年度项目减少，项目收入减少，故本年收入减少。</w:t>
      </w:r>
    </w:p>
    <w:p>
      <w:pPr>
        <w:jc w:val="center"/>
        <w:rPr>
          <w:rFonts w:ascii="仿宋" w:eastAsia="仿宋"/>
          <w:color w:val="000000"/>
          <w:sz w:val="32"/>
          <w:szCs w:val="32"/>
        </w:rPr>
      </w:pPr>
      <w:r>
        <w:drawing>
          <wp:inline distT="0" distB="0" distL="114300" distR="114300">
            <wp:extent cx="4168140" cy="2158365"/>
            <wp:effectExtent l="4445" t="4445" r="18415" b="8890"/>
            <wp:docPr id="134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widowControl w:val="0"/>
        <w:kinsoku/>
        <w:wordWrap/>
        <w:overflowPunct/>
        <w:topLinePunct w:val="0"/>
        <w:bidi w:val="0"/>
        <w:spacing w:line="560" w:lineRule="exact"/>
        <w:textAlignment w:val="auto"/>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r>
        <w:rPr>
          <w:rFonts w:hint="eastAsia" w:ascii="仿宋" w:eastAsia="仿宋"/>
          <w:color w:val="000000"/>
          <w:sz w:val="32"/>
          <w:szCs w:val="32"/>
          <w:lang w:val="en-US" w:eastAsia="zh-CN"/>
        </w:rPr>
        <w:t>)(</w:t>
      </w:r>
      <w:r>
        <w:rPr>
          <w:rFonts w:hint="eastAsia" w:ascii="仿宋" w:eastAsia="仿宋"/>
          <w:color w:val="000000"/>
          <w:sz w:val="32"/>
          <w:szCs w:val="32"/>
        </w:rPr>
        <w:t>柱状图）</w:t>
      </w:r>
    </w:p>
    <w:p>
      <w:pPr>
        <w:pageBreakBefore w:val="0"/>
        <w:widowControl w:val="0"/>
        <w:kinsoku/>
        <w:wordWrap/>
        <w:overflowPunct/>
        <w:topLinePunct w:val="0"/>
        <w:bidi w:val="0"/>
        <w:spacing w:line="560" w:lineRule="exact"/>
        <w:ind w:firstLine="642" w:firstLineChars="200"/>
        <w:textAlignment w:val="auto"/>
        <w:outlineLvl w:val="2"/>
        <w:rPr>
          <w:rFonts w:ascii="仿宋" w:eastAsia="仿宋"/>
          <w:b/>
          <w:color w:val="000000"/>
          <w:sz w:val="32"/>
          <w:szCs w:val="32"/>
        </w:rPr>
      </w:pPr>
      <w:bookmarkStart w:id="41" w:name="_Toc79163616"/>
      <w:bookmarkStart w:id="42" w:name="_Toc15377211"/>
      <w:bookmarkStart w:id="43" w:name="_Toc25236"/>
      <w:r>
        <w:rPr>
          <w:rFonts w:hint="eastAsia" w:ascii="仿宋" w:eastAsia="仿宋"/>
          <w:b/>
          <w:color w:val="000000"/>
          <w:sz w:val="32"/>
          <w:szCs w:val="32"/>
        </w:rPr>
        <w:t>（二）一般公共预算财政拨款支出决算结构情况</w:t>
      </w:r>
      <w:bookmarkEnd w:id="41"/>
      <w:bookmarkEnd w:id="42"/>
      <w:bookmarkEnd w:id="43"/>
    </w:p>
    <w:p>
      <w:pPr>
        <w:pageBreakBefore w:val="0"/>
        <w:widowControl w:val="0"/>
        <w:kinsoku/>
        <w:wordWrap/>
        <w:overflowPunct/>
        <w:topLinePunct w:val="0"/>
        <w:bidi w:val="0"/>
        <w:spacing w:line="560" w:lineRule="exact"/>
        <w:ind w:firstLine="640"/>
        <w:textAlignment w:val="auto"/>
        <w:rPr>
          <w:rFonts w:hint="eastAsia" w:ascii="仿宋" w:eastAsia="仿宋"/>
          <w:color w:val="000000"/>
          <w:sz w:val="32"/>
          <w:szCs w:val="32"/>
        </w:rPr>
      </w:pPr>
      <w:r>
        <w:rPr>
          <w:rFonts w:hint="eastAsia" w:ascii="仿宋" w:eastAsia="仿宋"/>
          <w:color w:val="000000"/>
          <w:sz w:val="32"/>
          <w:szCs w:val="32"/>
          <w:lang w:eastAsia="zh-CN"/>
        </w:rPr>
        <w:t>2024年</w:t>
      </w:r>
      <w:r>
        <w:rPr>
          <w:rFonts w:hint="eastAsia" w:ascii="仿宋" w:eastAsia="仿宋"/>
          <w:color w:val="000000"/>
          <w:sz w:val="32"/>
          <w:szCs w:val="32"/>
        </w:rPr>
        <w:t>一般公共预算财政拨款支出</w:t>
      </w:r>
      <w:r>
        <w:rPr>
          <w:rFonts w:hint="eastAsia" w:ascii="仿宋" w:eastAsia="仿宋"/>
          <w:color w:val="000000"/>
          <w:sz w:val="32"/>
          <w:szCs w:val="32"/>
          <w:lang w:eastAsia="zh-CN"/>
        </w:rPr>
        <w:t>13</w:t>
      </w:r>
      <w:r>
        <w:rPr>
          <w:rFonts w:hint="eastAsia" w:ascii="仿宋" w:eastAsia="仿宋"/>
          <w:color w:val="000000"/>
          <w:sz w:val="32"/>
          <w:szCs w:val="32"/>
          <w:lang w:val="en-US" w:eastAsia="zh-CN"/>
        </w:rPr>
        <w:t>7</w:t>
      </w:r>
      <w:r>
        <w:rPr>
          <w:rFonts w:hint="eastAsia" w:ascii="仿宋" w:eastAsia="仿宋"/>
          <w:color w:val="000000"/>
          <w:sz w:val="32"/>
          <w:szCs w:val="32"/>
          <w:lang w:eastAsia="zh-CN"/>
        </w:rPr>
        <w:t>4.86</w:t>
      </w:r>
      <w:r>
        <w:rPr>
          <w:rFonts w:hint="eastAsia" w:ascii="仿宋" w:eastAsia="仿宋"/>
          <w:color w:val="000000"/>
          <w:sz w:val="32"/>
          <w:szCs w:val="32"/>
        </w:rPr>
        <w:t>万元，主要用于以下方面:</w:t>
      </w:r>
      <w:r>
        <w:rPr>
          <w:rFonts w:hint="eastAsia" w:ascii="仿宋" w:eastAsia="仿宋"/>
          <w:color w:val="000000"/>
          <w:sz w:val="32"/>
          <w:szCs w:val="32"/>
          <w:lang w:val="en-US" w:eastAsia="zh-CN"/>
        </w:rPr>
        <w:t>城乡社区支出75.71万元，占5.51%;</w:t>
      </w:r>
      <w:r>
        <w:rPr>
          <w:rFonts w:hint="eastAsia" w:ascii="仿宋" w:eastAsia="仿宋"/>
          <w:color w:val="000000"/>
          <w:sz w:val="32"/>
          <w:szCs w:val="32"/>
        </w:rPr>
        <w:t>文化旅游体育与传媒支出443.91万元，占</w:t>
      </w:r>
      <w:r>
        <w:rPr>
          <w:rFonts w:hint="eastAsia" w:ascii="仿宋" w:eastAsia="仿宋"/>
          <w:color w:val="000000"/>
          <w:sz w:val="32"/>
          <w:szCs w:val="32"/>
          <w:lang w:val="en-US" w:eastAsia="zh-CN"/>
        </w:rPr>
        <w:t>32.29</w:t>
      </w:r>
      <w:r>
        <w:rPr>
          <w:rFonts w:hint="eastAsia" w:ascii="仿宋" w:eastAsia="仿宋"/>
          <w:color w:val="000000"/>
          <w:sz w:val="32"/>
          <w:szCs w:val="32"/>
        </w:rPr>
        <w:t>%；社会保障和就业支出54.17万元，占</w:t>
      </w:r>
      <w:r>
        <w:rPr>
          <w:rFonts w:hint="eastAsia" w:ascii="仿宋" w:eastAsia="仿宋"/>
          <w:color w:val="000000"/>
          <w:sz w:val="32"/>
          <w:szCs w:val="32"/>
          <w:lang w:val="en-US" w:eastAsia="zh-CN"/>
        </w:rPr>
        <w:t>3.94</w:t>
      </w:r>
      <w:r>
        <w:rPr>
          <w:rFonts w:hint="eastAsia" w:ascii="仿宋" w:eastAsia="仿宋"/>
          <w:color w:val="000000"/>
          <w:sz w:val="32"/>
          <w:szCs w:val="32"/>
        </w:rPr>
        <w:t>%；卫生健康支出20.40万元，占</w:t>
      </w:r>
      <w:r>
        <w:rPr>
          <w:rFonts w:hint="eastAsia" w:ascii="仿宋" w:eastAsia="仿宋"/>
          <w:color w:val="000000"/>
          <w:sz w:val="32"/>
          <w:szCs w:val="32"/>
          <w:lang w:val="en-US" w:eastAsia="zh-CN"/>
        </w:rPr>
        <w:t>1.48</w:t>
      </w:r>
      <w:r>
        <w:rPr>
          <w:rFonts w:hint="eastAsia" w:ascii="仿宋" w:eastAsia="仿宋"/>
          <w:color w:val="000000"/>
          <w:sz w:val="32"/>
          <w:szCs w:val="32"/>
        </w:rPr>
        <w:t>%；农林水支出753.53万元，占</w:t>
      </w:r>
      <w:r>
        <w:rPr>
          <w:rFonts w:hint="eastAsia" w:ascii="仿宋" w:eastAsia="仿宋"/>
          <w:color w:val="000000"/>
          <w:sz w:val="32"/>
          <w:szCs w:val="32"/>
          <w:lang w:val="en-US" w:eastAsia="zh-CN"/>
        </w:rPr>
        <w:t>54.81</w:t>
      </w:r>
      <w:r>
        <w:rPr>
          <w:rFonts w:hint="eastAsia" w:ascii="仿宋" w:eastAsia="仿宋"/>
          <w:color w:val="000000"/>
          <w:sz w:val="32"/>
          <w:szCs w:val="32"/>
        </w:rPr>
        <w:t>%</w:t>
      </w:r>
      <w:r>
        <w:rPr>
          <w:rFonts w:hint="eastAsia" w:ascii="仿宋" w:eastAsia="仿宋"/>
          <w:color w:val="000000"/>
          <w:sz w:val="32"/>
          <w:szCs w:val="32"/>
          <w:lang w:eastAsia="zh-CN"/>
        </w:rPr>
        <w:t>；住房保障支出27.13万元，占</w:t>
      </w:r>
      <w:r>
        <w:rPr>
          <w:rFonts w:hint="eastAsia" w:ascii="仿宋" w:eastAsia="仿宋"/>
          <w:color w:val="000000"/>
          <w:sz w:val="32"/>
          <w:szCs w:val="32"/>
          <w:lang w:val="en-US" w:eastAsia="zh-CN"/>
        </w:rPr>
        <w:t>1.97</w:t>
      </w:r>
      <w:r>
        <w:rPr>
          <w:rFonts w:hint="eastAsia" w:ascii="仿宋" w:eastAsia="仿宋"/>
          <w:color w:val="000000"/>
          <w:sz w:val="32"/>
          <w:szCs w:val="32"/>
          <w:lang w:eastAsia="zh-CN"/>
        </w:rPr>
        <w:t>%。</w:t>
      </w:r>
    </w:p>
    <w:p>
      <w:pPr>
        <w:jc w:val="center"/>
        <w:rPr>
          <w:rFonts w:ascii="仿宋" w:eastAsia="仿宋"/>
          <w:color w:val="000000"/>
          <w:sz w:val="32"/>
          <w:szCs w:val="32"/>
        </w:rPr>
      </w:pPr>
      <w:r>
        <w:drawing>
          <wp:inline distT="0" distB="0" distL="114300" distR="114300">
            <wp:extent cx="4180840" cy="2123440"/>
            <wp:effectExtent l="4445" t="4445" r="5715" b="5715"/>
            <wp:docPr id="135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ageBreakBefore w:val="0"/>
        <w:widowControl w:val="0"/>
        <w:kinsoku/>
        <w:wordWrap/>
        <w:overflowPunct/>
        <w:topLinePunct w:val="0"/>
        <w:bidi w:val="0"/>
        <w:spacing w:line="560" w:lineRule="exact"/>
        <w:textAlignment w:val="auto"/>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：一般公共预算财政拨款支出决算结构）（饼状图）</w:t>
      </w:r>
    </w:p>
    <w:p>
      <w:pPr>
        <w:pageBreakBefore w:val="0"/>
        <w:widowControl w:val="0"/>
        <w:kinsoku/>
        <w:wordWrap/>
        <w:overflowPunct/>
        <w:topLinePunct w:val="0"/>
        <w:bidi w:val="0"/>
        <w:spacing w:line="560" w:lineRule="exact"/>
        <w:ind w:firstLine="640" w:firstLineChars="200"/>
        <w:textAlignment w:val="auto"/>
        <w:rPr>
          <w:rFonts w:ascii="仿宋" w:eastAsia="仿宋"/>
          <w:color w:val="000000"/>
          <w:sz w:val="32"/>
          <w:szCs w:val="32"/>
        </w:rPr>
      </w:pPr>
    </w:p>
    <w:p>
      <w:pPr>
        <w:pageBreakBefore w:val="0"/>
        <w:widowControl w:val="0"/>
        <w:kinsoku/>
        <w:wordWrap/>
        <w:overflowPunct/>
        <w:topLinePunct w:val="0"/>
        <w:bidi w:val="0"/>
        <w:spacing w:line="560" w:lineRule="exact"/>
        <w:ind w:firstLine="642" w:firstLineChars="200"/>
        <w:textAlignment w:val="auto"/>
        <w:outlineLvl w:val="2"/>
        <w:rPr>
          <w:rFonts w:ascii="仿宋" w:eastAsia="仿宋"/>
          <w:b/>
          <w:color w:val="000000"/>
          <w:sz w:val="32"/>
          <w:szCs w:val="32"/>
        </w:rPr>
      </w:pPr>
      <w:bookmarkStart w:id="44" w:name="_Toc15377212"/>
      <w:bookmarkStart w:id="45" w:name="_Toc2116"/>
      <w:bookmarkStart w:id="46" w:name="_Toc79163617"/>
      <w:r>
        <w:rPr>
          <w:rFonts w:hint="eastAsia" w:ascii="仿宋" w:eastAsia="仿宋"/>
          <w:b/>
          <w:color w:val="000000"/>
          <w:sz w:val="32"/>
          <w:szCs w:val="32"/>
        </w:rPr>
        <w:t>（三）一般公共预算财政拨款支出决算具体情况</w:t>
      </w:r>
      <w:bookmarkEnd w:id="44"/>
      <w:bookmarkEnd w:id="45"/>
      <w:bookmarkEnd w:id="46"/>
    </w:p>
    <w:p>
      <w:pPr>
        <w:pageBreakBefore w:val="0"/>
        <w:widowControl w:val="0"/>
        <w:kinsoku/>
        <w:wordWrap/>
        <w:overflowPunct/>
        <w:topLinePunct w:val="0"/>
        <w:bidi w:val="0"/>
        <w:spacing w:line="560" w:lineRule="exact"/>
        <w:ind w:firstLine="642" w:firstLineChars="200"/>
        <w:textAlignment w:val="auto"/>
        <w:rPr>
          <w:rFonts w:hint="eastAsia" w:ascii="仿宋_GB2312" w:eastAsia="仿宋_GB2312"/>
          <w:b/>
          <w:bCs/>
          <w:sz w:val="32"/>
          <w:szCs w:val="32"/>
        </w:rPr>
      </w:pPr>
      <w:bookmarkStart w:id="47" w:name="_Toc15377213"/>
      <w:bookmarkStart w:id="48" w:name="_Toc15377444"/>
      <w:bookmarkStart w:id="49" w:name="_Toc15378460"/>
      <w:r>
        <w:rPr>
          <w:rFonts w:hint="eastAsia" w:ascii="仿宋_GB2312" w:eastAsia="仿宋_GB2312"/>
          <w:b/>
          <w:bCs/>
          <w:sz w:val="32"/>
          <w:szCs w:val="32"/>
          <w:lang w:eastAsia="zh-CN"/>
        </w:rPr>
        <w:t>2024年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13</w:t>
      </w:r>
      <w:r>
        <w:rPr>
          <w:rFonts w:hint="eastAsia" w:ascii="仿宋_GB2312" w:eastAsia="仿宋_GB2312"/>
          <w:b/>
          <w:bCs/>
          <w:sz w:val="32"/>
          <w:szCs w:val="32"/>
          <w:lang w:val="en-US" w:eastAsia="zh-CN"/>
        </w:rPr>
        <w:t>7</w:t>
      </w:r>
      <w:r>
        <w:rPr>
          <w:rFonts w:hint="eastAsia" w:ascii="仿宋_GB2312" w:eastAsia="仿宋_GB2312"/>
          <w:b/>
          <w:bCs/>
          <w:sz w:val="32"/>
          <w:szCs w:val="32"/>
          <w:lang w:eastAsia="zh-CN"/>
        </w:rPr>
        <w:t>4.86</w:t>
      </w:r>
      <w:r>
        <w:rPr>
          <w:rFonts w:hint="eastAsia" w:ascii="仿宋_GB2312" w:eastAsia="仿宋_GB2312"/>
          <w:b/>
          <w:bCs/>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47"/>
      <w:bookmarkEnd w:id="48"/>
      <w:bookmarkEnd w:id="49"/>
    </w:p>
    <w:p>
      <w:pPr>
        <w:pStyle w:val="3"/>
        <w:rPr>
          <w:rFonts w:ascii="仿宋" w:eastAsia="仿宋"/>
          <w:b/>
          <w:color w:val="000000"/>
          <w:sz w:val="32"/>
          <w:szCs w:val="32"/>
        </w:rPr>
      </w:pPr>
      <w:r>
        <w:rPr>
          <w:rStyle w:val="25"/>
          <w:rFonts w:hint="eastAsia" w:ascii="仿宋" w:hAnsi="Times New Roman" w:eastAsia="仿宋"/>
          <w:bCs/>
          <w:color w:val="000000"/>
          <w:kern w:val="2"/>
          <w:sz w:val="32"/>
          <w:szCs w:val="32"/>
          <w:lang w:val="en-US" w:eastAsia="zh-CN" w:bidi="ar-SA"/>
        </w:rPr>
        <w:t>1</w:t>
      </w:r>
      <w:r>
        <w:rPr>
          <w:rFonts w:hint="eastAsia" w:ascii="仿宋_GB2312" w:eastAsia="仿宋_GB2312"/>
          <w:b/>
          <w:bCs/>
          <w:sz w:val="32"/>
          <w:szCs w:val="32"/>
          <w:lang w:val="en-US" w:eastAsia="zh-CN"/>
        </w:rPr>
        <w:t>.</w:t>
      </w:r>
      <w:r>
        <w:rPr>
          <w:rStyle w:val="25"/>
          <w:rFonts w:hint="eastAsia" w:ascii="仿宋" w:eastAsia="仿宋"/>
          <w:bCs/>
          <w:color w:val="000000"/>
          <w:sz w:val="32"/>
          <w:szCs w:val="32"/>
        </w:rPr>
        <w:t>文化旅游体育与传媒支出（类）文化和旅游（款</w:t>
      </w:r>
      <w:r>
        <w:rPr>
          <w:rStyle w:val="25"/>
          <w:rFonts w:hint="eastAsia" w:ascii="仿宋" w:eastAsia="仿宋"/>
          <w:bCs/>
          <w:color w:val="000000"/>
          <w:sz w:val="32"/>
          <w:szCs w:val="32"/>
          <w:lang w:eastAsia="zh-CN"/>
        </w:rPr>
        <w:t>）</w:t>
      </w:r>
      <w:r>
        <w:rPr>
          <w:rStyle w:val="25"/>
          <w:rFonts w:hint="eastAsia" w:ascii="仿宋" w:eastAsia="仿宋"/>
          <w:bCs/>
          <w:color w:val="000000"/>
          <w:sz w:val="32"/>
          <w:szCs w:val="32"/>
        </w:rPr>
        <w:t>机关服务（项）</w:t>
      </w:r>
      <w:r>
        <w:rPr>
          <w:rStyle w:val="25"/>
          <w:rFonts w:ascii="仿宋" w:eastAsia="仿宋"/>
          <w:bCs/>
          <w:color w:val="000000"/>
          <w:sz w:val="32"/>
          <w:szCs w:val="32"/>
        </w:rPr>
        <w:t>:</w:t>
      </w:r>
      <w:r>
        <w:rPr>
          <w:rStyle w:val="25"/>
          <w:rFonts w:ascii="仿宋" w:eastAsia="仿宋"/>
          <w:b w:val="0"/>
          <w:bCs/>
          <w:color w:val="000000"/>
          <w:sz w:val="32"/>
          <w:szCs w:val="32"/>
        </w:rPr>
        <w:t xml:space="preserve"> </w:t>
      </w:r>
      <w:r>
        <w:rPr>
          <w:rStyle w:val="25"/>
          <w:rFonts w:hint="eastAsia" w:ascii="仿宋" w:eastAsia="仿宋"/>
          <w:b w:val="0"/>
          <w:bCs/>
          <w:color w:val="000000"/>
          <w:sz w:val="32"/>
          <w:szCs w:val="32"/>
        </w:rPr>
        <w:t>支出决算为264.32万元，完成预算</w:t>
      </w:r>
      <w:r>
        <w:rPr>
          <w:rStyle w:val="25"/>
          <w:rFonts w:hint="eastAsia" w:ascii="仿宋" w:eastAsia="仿宋"/>
          <w:b w:val="0"/>
          <w:bCs/>
          <w:color w:val="000000"/>
          <w:sz w:val="32"/>
          <w:szCs w:val="32"/>
          <w:lang w:val="en-US" w:eastAsia="zh-CN"/>
        </w:rPr>
        <w:t>100</w:t>
      </w:r>
      <w:r>
        <w:rPr>
          <w:rStyle w:val="25"/>
          <w:rFonts w:ascii="仿宋" w:eastAsia="仿宋"/>
          <w:b w:val="0"/>
          <w:bCs/>
          <w:color w:val="000000"/>
          <w:sz w:val="32"/>
          <w:szCs w:val="32"/>
        </w:rPr>
        <w:t>%</w:t>
      </w:r>
      <w:r>
        <w:rPr>
          <w:rStyle w:val="25"/>
          <w:rFonts w:hint="eastAsia" w:ascii="仿宋" w:eastAsia="仿宋"/>
          <w:b w:val="0"/>
          <w:bCs/>
          <w:color w:val="000000"/>
          <w:sz w:val="32"/>
          <w:szCs w:val="32"/>
        </w:rPr>
        <w:t>。</w:t>
      </w:r>
    </w:p>
    <w:p>
      <w:pPr>
        <w:pageBreakBefore w:val="0"/>
        <w:widowControl w:val="0"/>
        <w:kinsoku/>
        <w:wordWrap/>
        <w:overflowPunct/>
        <w:topLinePunct w:val="0"/>
        <w:bidi w:val="0"/>
        <w:spacing w:line="560" w:lineRule="exact"/>
        <w:ind w:firstLine="642" w:firstLineChars="200"/>
        <w:textAlignment w:val="auto"/>
        <w:rPr>
          <w:rStyle w:val="25"/>
          <w:rFonts w:hint="eastAsia" w:ascii="仿宋" w:eastAsia="仿宋"/>
          <w:b w:val="0"/>
          <w:bCs/>
          <w:color w:val="000000"/>
          <w:sz w:val="32"/>
          <w:szCs w:val="32"/>
        </w:rPr>
      </w:pPr>
      <w:r>
        <w:rPr>
          <w:rStyle w:val="25"/>
          <w:rFonts w:hint="eastAsia" w:ascii="仿宋" w:eastAsia="仿宋"/>
          <w:bCs/>
          <w:color w:val="000000"/>
          <w:sz w:val="32"/>
          <w:szCs w:val="32"/>
          <w:lang w:val="en-US" w:eastAsia="zh-CN"/>
        </w:rPr>
        <w:t>2</w:t>
      </w:r>
      <w:r>
        <w:rPr>
          <w:rStyle w:val="25"/>
          <w:rFonts w:ascii="仿宋" w:eastAsia="仿宋"/>
          <w:bCs/>
          <w:color w:val="000000"/>
          <w:sz w:val="32"/>
          <w:szCs w:val="32"/>
        </w:rPr>
        <w:t>.</w:t>
      </w:r>
      <w:r>
        <w:rPr>
          <w:rStyle w:val="25"/>
          <w:rFonts w:hint="eastAsia" w:ascii="仿宋" w:eastAsia="仿宋"/>
          <w:bCs/>
          <w:color w:val="000000"/>
          <w:sz w:val="32"/>
          <w:szCs w:val="32"/>
        </w:rPr>
        <w:t>文化旅游体育与传媒支出（类）文化和旅游（款）文化</w:t>
      </w:r>
      <w:r>
        <w:rPr>
          <w:rStyle w:val="25"/>
          <w:rFonts w:hint="eastAsia" w:ascii="仿宋" w:eastAsia="仿宋"/>
          <w:bCs/>
          <w:color w:val="000000"/>
          <w:sz w:val="32"/>
          <w:szCs w:val="32"/>
          <w:lang w:val="en-US" w:eastAsia="zh-CN"/>
        </w:rPr>
        <w:t>活动</w:t>
      </w:r>
      <w:r>
        <w:rPr>
          <w:rStyle w:val="25"/>
          <w:rFonts w:hint="eastAsia" w:ascii="仿宋" w:eastAsia="仿宋"/>
          <w:bCs/>
          <w:color w:val="000000"/>
          <w:sz w:val="32"/>
          <w:szCs w:val="32"/>
        </w:rPr>
        <w:t xml:space="preserve">（项）: </w:t>
      </w:r>
      <w:r>
        <w:rPr>
          <w:rStyle w:val="25"/>
          <w:rFonts w:hint="eastAsia" w:ascii="仿宋" w:eastAsia="仿宋"/>
          <w:b w:val="0"/>
          <w:bCs w:val="0"/>
          <w:color w:val="000000"/>
          <w:sz w:val="32"/>
          <w:szCs w:val="32"/>
        </w:rPr>
        <w:t>支出决算为38.03万元，完成预算</w:t>
      </w:r>
      <w:r>
        <w:rPr>
          <w:rStyle w:val="25"/>
          <w:rFonts w:hint="eastAsia" w:ascii="仿宋" w:eastAsia="仿宋"/>
          <w:b w:val="0"/>
          <w:bCs w:val="0"/>
          <w:color w:val="000000"/>
          <w:sz w:val="32"/>
          <w:szCs w:val="32"/>
          <w:lang w:val="en-US" w:eastAsia="zh-CN"/>
        </w:rPr>
        <w:t>100</w:t>
      </w:r>
      <w:r>
        <w:rPr>
          <w:rStyle w:val="25"/>
          <w:rFonts w:hint="eastAsia" w:ascii="仿宋" w:eastAsia="仿宋"/>
          <w:b w:val="0"/>
          <w:bCs w:val="0"/>
          <w:color w:val="000000"/>
          <w:sz w:val="32"/>
          <w:szCs w:val="32"/>
        </w:rPr>
        <w:t>%</w:t>
      </w:r>
      <w:r>
        <w:rPr>
          <w:rStyle w:val="25"/>
          <w:rFonts w:hint="eastAsia" w:ascii="仿宋" w:eastAsia="仿宋"/>
          <w:b w:val="0"/>
          <w:bCs/>
          <w:color w:val="000000"/>
          <w:sz w:val="32"/>
          <w:szCs w:val="32"/>
        </w:rPr>
        <w:t>。</w:t>
      </w:r>
    </w:p>
    <w:p>
      <w:pPr>
        <w:pageBreakBefore w:val="0"/>
        <w:widowControl w:val="0"/>
        <w:kinsoku/>
        <w:wordWrap/>
        <w:overflowPunct/>
        <w:topLinePunct w:val="0"/>
        <w:bidi w:val="0"/>
        <w:spacing w:line="560" w:lineRule="exact"/>
        <w:ind w:firstLine="642" w:firstLineChars="200"/>
        <w:textAlignment w:val="auto"/>
        <w:rPr>
          <w:rStyle w:val="25"/>
          <w:rFonts w:hint="eastAsia" w:ascii="仿宋" w:eastAsia="仿宋"/>
          <w:b w:val="0"/>
          <w:bCs/>
          <w:color w:val="000000"/>
          <w:sz w:val="32"/>
          <w:szCs w:val="32"/>
        </w:rPr>
      </w:pPr>
      <w:r>
        <w:rPr>
          <w:rStyle w:val="25"/>
          <w:rFonts w:hint="eastAsia" w:ascii="仿宋" w:eastAsia="仿宋"/>
          <w:bCs/>
          <w:color w:val="000000"/>
          <w:sz w:val="32"/>
          <w:szCs w:val="32"/>
          <w:lang w:val="en-US" w:eastAsia="zh-CN"/>
        </w:rPr>
        <w:t>3</w:t>
      </w:r>
      <w:r>
        <w:rPr>
          <w:rStyle w:val="25"/>
          <w:rFonts w:ascii="仿宋" w:eastAsia="仿宋"/>
          <w:bCs/>
          <w:color w:val="000000"/>
          <w:sz w:val="32"/>
          <w:szCs w:val="32"/>
        </w:rPr>
        <w:t>.</w:t>
      </w:r>
      <w:r>
        <w:rPr>
          <w:rStyle w:val="25"/>
          <w:rFonts w:hint="eastAsia" w:ascii="仿宋" w:eastAsia="仿宋"/>
          <w:bCs/>
          <w:color w:val="000000"/>
          <w:sz w:val="32"/>
          <w:szCs w:val="32"/>
        </w:rPr>
        <w:t xml:space="preserve">文化旅游体育与传媒支出（类）文化和旅游（款）群众文化（项）: </w:t>
      </w:r>
      <w:r>
        <w:rPr>
          <w:rStyle w:val="25"/>
          <w:rFonts w:hint="eastAsia" w:ascii="仿宋" w:eastAsia="仿宋"/>
          <w:b w:val="0"/>
          <w:bCs w:val="0"/>
          <w:color w:val="000000"/>
          <w:sz w:val="32"/>
          <w:szCs w:val="32"/>
        </w:rPr>
        <w:t>支出决算为0.42万元，完成预算</w:t>
      </w:r>
      <w:r>
        <w:rPr>
          <w:rStyle w:val="25"/>
          <w:rFonts w:hint="eastAsia" w:ascii="仿宋" w:eastAsia="仿宋"/>
          <w:b w:val="0"/>
          <w:bCs w:val="0"/>
          <w:color w:val="000000"/>
          <w:sz w:val="32"/>
          <w:szCs w:val="32"/>
          <w:lang w:val="en-US" w:eastAsia="zh-CN"/>
        </w:rPr>
        <w:t>100</w:t>
      </w:r>
      <w:r>
        <w:rPr>
          <w:rStyle w:val="25"/>
          <w:rFonts w:hint="eastAsia" w:ascii="仿宋" w:eastAsia="仿宋"/>
          <w:b w:val="0"/>
          <w:bCs w:val="0"/>
          <w:color w:val="000000"/>
          <w:sz w:val="32"/>
          <w:szCs w:val="32"/>
        </w:rPr>
        <w:t>%</w:t>
      </w:r>
      <w:r>
        <w:rPr>
          <w:rStyle w:val="25"/>
          <w:rFonts w:hint="eastAsia" w:ascii="仿宋" w:eastAsia="仿宋"/>
          <w:b w:val="0"/>
          <w:bCs/>
          <w:color w:val="000000"/>
          <w:sz w:val="32"/>
          <w:szCs w:val="32"/>
        </w:rPr>
        <w:t>。</w:t>
      </w:r>
    </w:p>
    <w:p>
      <w:pPr>
        <w:pageBreakBefore w:val="0"/>
        <w:widowControl w:val="0"/>
        <w:kinsoku/>
        <w:wordWrap/>
        <w:overflowPunct/>
        <w:topLinePunct w:val="0"/>
        <w:bidi w:val="0"/>
        <w:spacing w:line="560" w:lineRule="exact"/>
        <w:ind w:firstLine="642" w:firstLineChars="200"/>
        <w:textAlignment w:val="auto"/>
        <w:rPr>
          <w:rStyle w:val="25"/>
          <w:rFonts w:hint="eastAsia" w:ascii="仿宋" w:eastAsia="仿宋"/>
          <w:b w:val="0"/>
          <w:bCs/>
          <w:color w:val="000000"/>
          <w:sz w:val="32"/>
          <w:szCs w:val="32"/>
        </w:rPr>
      </w:pPr>
      <w:r>
        <w:rPr>
          <w:rStyle w:val="25"/>
          <w:rFonts w:hint="eastAsia" w:ascii="仿宋" w:eastAsia="仿宋"/>
          <w:bCs/>
          <w:color w:val="000000"/>
          <w:sz w:val="32"/>
          <w:szCs w:val="32"/>
          <w:lang w:val="en-US" w:eastAsia="zh-CN"/>
        </w:rPr>
        <w:t>4</w:t>
      </w:r>
      <w:r>
        <w:rPr>
          <w:rStyle w:val="25"/>
          <w:rFonts w:ascii="仿宋" w:eastAsia="仿宋"/>
          <w:bCs/>
          <w:color w:val="000000"/>
          <w:sz w:val="32"/>
          <w:szCs w:val="32"/>
        </w:rPr>
        <w:t>.</w:t>
      </w:r>
      <w:r>
        <w:rPr>
          <w:rStyle w:val="25"/>
          <w:rFonts w:hint="eastAsia" w:ascii="仿宋" w:eastAsia="仿宋"/>
          <w:bCs/>
          <w:color w:val="000000"/>
          <w:sz w:val="32"/>
          <w:szCs w:val="32"/>
        </w:rPr>
        <w:t>文化旅游体育与传媒支出（类）文化和旅游（款）</w:t>
      </w:r>
      <w:r>
        <w:rPr>
          <w:rStyle w:val="25"/>
          <w:rFonts w:hint="eastAsia" w:ascii="仿宋" w:eastAsia="仿宋"/>
          <w:bCs/>
          <w:color w:val="000000"/>
          <w:sz w:val="32"/>
          <w:szCs w:val="32"/>
          <w:lang w:val="en-US" w:eastAsia="zh-CN"/>
        </w:rPr>
        <w:t>文化创作与保护</w:t>
      </w:r>
      <w:r>
        <w:rPr>
          <w:rStyle w:val="25"/>
          <w:rFonts w:hint="eastAsia" w:ascii="仿宋" w:eastAsia="仿宋"/>
          <w:bCs/>
          <w:color w:val="000000"/>
          <w:sz w:val="32"/>
          <w:szCs w:val="32"/>
        </w:rPr>
        <w:t xml:space="preserve">（项）: </w:t>
      </w:r>
      <w:r>
        <w:rPr>
          <w:rStyle w:val="25"/>
          <w:rFonts w:hint="eastAsia" w:ascii="仿宋" w:eastAsia="仿宋"/>
          <w:b w:val="0"/>
          <w:bCs w:val="0"/>
          <w:color w:val="000000"/>
          <w:sz w:val="32"/>
          <w:szCs w:val="32"/>
        </w:rPr>
        <w:t>支出决算为2.20万元，完成预算</w:t>
      </w:r>
      <w:r>
        <w:rPr>
          <w:rStyle w:val="25"/>
          <w:rFonts w:hint="eastAsia" w:ascii="仿宋" w:eastAsia="仿宋"/>
          <w:b w:val="0"/>
          <w:bCs w:val="0"/>
          <w:color w:val="000000"/>
          <w:sz w:val="32"/>
          <w:szCs w:val="32"/>
          <w:lang w:val="en-US" w:eastAsia="zh-CN"/>
        </w:rPr>
        <w:t>100</w:t>
      </w:r>
      <w:r>
        <w:rPr>
          <w:rStyle w:val="25"/>
          <w:rFonts w:hint="eastAsia" w:ascii="仿宋" w:eastAsia="仿宋"/>
          <w:b w:val="0"/>
          <w:bCs w:val="0"/>
          <w:color w:val="000000"/>
          <w:sz w:val="32"/>
          <w:szCs w:val="32"/>
        </w:rPr>
        <w:t>%</w:t>
      </w:r>
      <w:r>
        <w:rPr>
          <w:rStyle w:val="25"/>
          <w:rFonts w:hint="eastAsia" w:ascii="仿宋" w:eastAsia="仿宋"/>
          <w:b w:val="0"/>
          <w:bCs/>
          <w:color w:val="000000"/>
          <w:sz w:val="32"/>
          <w:szCs w:val="32"/>
        </w:rPr>
        <w:t>。</w:t>
      </w:r>
    </w:p>
    <w:p>
      <w:pPr>
        <w:pageBreakBefore w:val="0"/>
        <w:widowControl w:val="0"/>
        <w:kinsoku/>
        <w:wordWrap/>
        <w:overflowPunct/>
        <w:topLinePunct w:val="0"/>
        <w:bidi w:val="0"/>
        <w:spacing w:line="560" w:lineRule="exact"/>
        <w:ind w:firstLine="642" w:firstLineChars="200"/>
        <w:textAlignment w:val="auto"/>
      </w:pPr>
      <w:r>
        <w:rPr>
          <w:rStyle w:val="25"/>
          <w:rFonts w:hint="eastAsia" w:ascii="仿宋" w:eastAsia="仿宋"/>
          <w:bCs/>
          <w:color w:val="000000"/>
          <w:sz w:val="32"/>
          <w:szCs w:val="32"/>
          <w:lang w:val="en-US" w:eastAsia="zh-CN"/>
        </w:rPr>
        <w:t>5</w:t>
      </w:r>
      <w:r>
        <w:rPr>
          <w:rStyle w:val="25"/>
          <w:rFonts w:ascii="仿宋" w:eastAsia="仿宋"/>
          <w:bCs/>
          <w:color w:val="000000"/>
          <w:sz w:val="32"/>
          <w:szCs w:val="32"/>
        </w:rPr>
        <w:t>.</w:t>
      </w:r>
      <w:r>
        <w:rPr>
          <w:rStyle w:val="25"/>
          <w:rFonts w:hint="eastAsia" w:ascii="仿宋" w:eastAsia="仿宋"/>
          <w:bCs/>
          <w:color w:val="000000"/>
          <w:sz w:val="32"/>
          <w:szCs w:val="32"/>
        </w:rPr>
        <w:t>文化旅游体育与传媒支出（类）文化和旅游（款）</w:t>
      </w:r>
      <w:r>
        <w:rPr>
          <w:rStyle w:val="25"/>
          <w:rFonts w:hint="eastAsia" w:ascii="仿宋" w:eastAsia="仿宋"/>
          <w:bCs/>
          <w:color w:val="000000"/>
          <w:sz w:val="32"/>
          <w:szCs w:val="32"/>
          <w:lang w:val="en-US" w:eastAsia="zh-CN"/>
        </w:rPr>
        <w:t>旅游宣传</w:t>
      </w:r>
      <w:r>
        <w:rPr>
          <w:rStyle w:val="25"/>
          <w:rFonts w:hint="eastAsia" w:ascii="仿宋" w:eastAsia="仿宋"/>
          <w:bCs/>
          <w:color w:val="000000"/>
          <w:sz w:val="32"/>
          <w:szCs w:val="32"/>
        </w:rPr>
        <w:t xml:space="preserve">（项）: </w:t>
      </w:r>
      <w:r>
        <w:rPr>
          <w:rStyle w:val="25"/>
          <w:rFonts w:hint="eastAsia" w:ascii="仿宋" w:eastAsia="仿宋"/>
          <w:b w:val="0"/>
          <w:bCs w:val="0"/>
          <w:color w:val="000000"/>
          <w:sz w:val="32"/>
          <w:szCs w:val="32"/>
        </w:rPr>
        <w:t>支出决算为2.16万元，完成预算</w:t>
      </w:r>
      <w:r>
        <w:rPr>
          <w:rStyle w:val="25"/>
          <w:rFonts w:hint="eastAsia" w:ascii="仿宋" w:eastAsia="仿宋"/>
          <w:b w:val="0"/>
          <w:bCs w:val="0"/>
          <w:color w:val="000000"/>
          <w:sz w:val="32"/>
          <w:szCs w:val="32"/>
          <w:lang w:val="en-US" w:eastAsia="zh-CN"/>
        </w:rPr>
        <w:t>100</w:t>
      </w:r>
      <w:r>
        <w:rPr>
          <w:rStyle w:val="25"/>
          <w:rFonts w:hint="eastAsia" w:ascii="仿宋" w:eastAsia="仿宋"/>
          <w:b w:val="0"/>
          <w:bCs w:val="0"/>
          <w:color w:val="000000"/>
          <w:sz w:val="32"/>
          <w:szCs w:val="32"/>
        </w:rPr>
        <w:t>%</w:t>
      </w:r>
      <w:r>
        <w:rPr>
          <w:rStyle w:val="25"/>
          <w:rFonts w:hint="eastAsia" w:ascii="仿宋" w:eastAsia="仿宋"/>
          <w:b w:val="0"/>
          <w:bCs/>
          <w:color w:val="000000"/>
          <w:sz w:val="32"/>
          <w:szCs w:val="32"/>
        </w:rPr>
        <w:t>。</w:t>
      </w:r>
    </w:p>
    <w:p>
      <w:pPr>
        <w:pageBreakBefore w:val="0"/>
        <w:widowControl w:val="0"/>
        <w:kinsoku/>
        <w:wordWrap/>
        <w:overflowPunct/>
        <w:topLinePunct w:val="0"/>
        <w:bidi w:val="0"/>
        <w:spacing w:line="560" w:lineRule="exact"/>
        <w:ind w:firstLine="642" w:firstLineChars="200"/>
        <w:textAlignment w:val="auto"/>
        <w:rPr>
          <w:rFonts w:ascii="仿宋" w:eastAsia="仿宋"/>
          <w:b/>
          <w:color w:val="000000"/>
          <w:sz w:val="32"/>
          <w:szCs w:val="32"/>
        </w:rPr>
      </w:pPr>
      <w:r>
        <w:rPr>
          <w:rStyle w:val="25"/>
          <w:rFonts w:hint="eastAsia" w:ascii="仿宋" w:eastAsia="仿宋"/>
          <w:bCs/>
          <w:color w:val="000000"/>
          <w:sz w:val="32"/>
          <w:szCs w:val="32"/>
          <w:lang w:val="en-US" w:eastAsia="zh-CN"/>
        </w:rPr>
        <w:t>6</w:t>
      </w:r>
      <w:r>
        <w:rPr>
          <w:rStyle w:val="25"/>
          <w:rFonts w:ascii="仿宋" w:eastAsia="仿宋"/>
          <w:bCs/>
          <w:color w:val="000000"/>
          <w:sz w:val="32"/>
          <w:szCs w:val="32"/>
        </w:rPr>
        <w:t>.</w:t>
      </w:r>
      <w:r>
        <w:rPr>
          <w:rStyle w:val="25"/>
          <w:rFonts w:hint="eastAsia" w:ascii="仿宋" w:eastAsia="仿宋"/>
          <w:bCs/>
          <w:color w:val="000000"/>
          <w:sz w:val="32"/>
          <w:szCs w:val="32"/>
        </w:rPr>
        <w:t xml:space="preserve">文化旅游体育与传媒支出（类）文化和旅游（款）其他文化和旅游支出（项）: </w:t>
      </w:r>
      <w:r>
        <w:rPr>
          <w:rStyle w:val="25"/>
          <w:rFonts w:hint="eastAsia" w:ascii="仿宋" w:eastAsia="仿宋"/>
          <w:b w:val="0"/>
          <w:bCs w:val="0"/>
          <w:color w:val="000000"/>
          <w:sz w:val="32"/>
          <w:szCs w:val="32"/>
        </w:rPr>
        <w:t>支出决算为136.79万元，完成预算</w:t>
      </w:r>
      <w:r>
        <w:rPr>
          <w:rStyle w:val="25"/>
          <w:rFonts w:hint="eastAsia" w:ascii="仿宋" w:eastAsia="仿宋"/>
          <w:b w:val="0"/>
          <w:bCs w:val="0"/>
          <w:color w:val="000000"/>
          <w:sz w:val="32"/>
          <w:szCs w:val="32"/>
          <w:lang w:val="en-US" w:eastAsia="zh-CN"/>
        </w:rPr>
        <w:t>100</w:t>
      </w:r>
      <w:r>
        <w:rPr>
          <w:rStyle w:val="25"/>
          <w:rFonts w:hint="eastAsia" w:ascii="仿宋" w:eastAsia="仿宋"/>
          <w:b w:val="0"/>
          <w:bCs w:val="0"/>
          <w:color w:val="000000"/>
          <w:sz w:val="32"/>
          <w:szCs w:val="32"/>
        </w:rPr>
        <w:t>%</w:t>
      </w:r>
      <w:r>
        <w:rPr>
          <w:rStyle w:val="25"/>
          <w:rFonts w:hint="eastAsia" w:ascii="仿宋" w:eastAsia="仿宋"/>
          <w:b w:val="0"/>
          <w:bCs/>
          <w:color w:val="000000"/>
          <w:sz w:val="32"/>
          <w:szCs w:val="32"/>
        </w:rPr>
        <w:t>。</w:t>
      </w:r>
    </w:p>
    <w:p>
      <w:pPr>
        <w:pageBreakBefore w:val="0"/>
        <w:widowControl w:val="0"/>
        <w:kinsoku/>
        <w:wordWrap/>
        <w:overflowPunct/>
        <w:topLinePunct w:val="0"/>
        <w:bidi w:val="0"/>
        <w:spacing w:line="560" w:lineRule="exact"/>
        <w:ind w:firstLine="642" w:firstLineChars="200"/>
        <w:textAlignment w:val="auto"/>
        <w:rPr>
          <w:rFonts w:ascii="仿宋" w:eastAsia="仿宋"/>
          <w:b/>
          <w:color w:val="000000"/>
          <w:sz w:val="32"/>
          <w:szCs w:val="32"/>
        </w:rPr>
      </w:pPr>
      <w:r>
        <w:rPr>
          <w:rStyle w:val="25"/>
          <w:rFonts w:hint="eastAsia" w:ascii="仿宋" w:eastAsia="仿宋"/>
          <w:bCs/>
          <w:color w:val="000000"/>
          <w:sz w:val="32"/>
          <w:szCs w:val="32"/>
          <w:lang w:val="en-US" w:eastAsia="zh-CN"/>
        </w:rPr>
        <w:t>7</w:t>
      </w:r>
      <w:r>
        <w:rPr>
          <w:rStyle w:val="25"/>
          <w:rFonts w:ascii="仿宋" w:eastAsia="仿宋"/>
          <w:bCs/>
          <w:color w:val="000000"/>
          <w:sz w:val="32"/>
          <w:szCs w:val="32"/>
        </w:rPr>
        <w:t>.</w:t>
      </w:r>
      <w:r>
        <w:rPr>
          <w:rStyle w:val="25"/>
          <w:rFonts w:hint="eastAsia" w:ascii="仿宋" w:eastAsia="仿宋"/>
          <w:bCs/>
          <w:color w:val="000000"/>
          <w:sz w:val="32"/>
          <w:szCs w:val="32"/>
        </w:rPr>
        <w:t>社会保障和就业支出（类）行政事业单位养老支出（款）机关事业单位基本养老保险缴费支出（项）</w:t>
      </w:r>
      <w:r>
        <w:rPr>
          <w:rStyle w:val="25"/>
          <w:rFonts w:ascii="仿宋" w:eastAsia="仿宋"/>
          <w:bCs/>
          <w:color w:val="000000"/>
          <w:sz w:val="32"/>
          <w:szCs w:val="32"/>
        </w:rPr>
        <w:t>:</w:t>
      </w:r>
      <w:r>
        <w:rPr>
          <w:rStyle w:val="25"/>
          <w:rFonts w:ascii="仿宋" w:eastAsia="仿宋"/>
          <w:b w:val="0"/>
          <w:bCs/>
          <w:color w:val="000000"/>
          <w:sz w:val="32"/>
          <w:szCs w:val="32"/>
        </w:rPr>
        <w:t xml:space="preserve"> </w:t>
      </w:r>
      <w:r>
        <w:rPr>
          <w:rStyle w:val="25"/>
          <w:rFonts w:hint="eastAsia" w:ascii="仿宋" w:eastAsia="仿宋"/>
          <w:b w:val="0"/>
          <w:bCs/>
          <w:color w:val="000000"/>
          <w:sz w:val="32"/>
          <w:szCs w:val="32"/>
        </w:rPr>
        <w:t>支出决算为36.11万元，完成预算</w:t>
      </w:r>
      <w:r>
        <w:rPr>
          <w:rStyle w:val="25"/>
          <w:rFonts w:hint="eastAsia" w:ascii="仿宋" w:eastAsia="仿宋"/>
          <w:b w:val="0"/>
          <w:bCs/>
          <w:color w:val="000000"/>
          <w:sz w:val="32"/>
          <w:szCs w:val="32"/>
          <w:lang w:val="en-US" w:eastAsia="zh-CN"/>
        </w:rPr>
        <w:t>100</w:t>
      </w:r>
      <w:r>
        <w:rPr>
          <w:rStyle w:val="25"/>
          <w:rFonts w:ascii="仿宋" w:eastAsia="仿宋"/>
          <w:b w:val="0"/>
          <w:bCs/>
          <w:color w:val="000000"/>
          <w:sz w:val="32"/>
          <w:szCs w:val="32"/>
        </w:rPr>
        <w:t>%</w:t>
      </w:r>
      <w:r>
        <w:rPr>
          <w:rStyle w:val="25"/>
          <w:rFonts w:hint="eastAsia" w:ascii="仿宋" w:eastAsia="仿宋"/>
          <w:b w:val="0"/>
          <w:bCs/>
          <w:color w:val="000000"/>
          <w:sz w:val="32"/>
          <w:szCs w:val="32"/>
        </w:rPr>
        <w:t>。</w:t>
      </w:r>
    </w:p>
    <w:p>
      <w:pPr>
        <w:spacing w:line="560" w:lineRule="exact"/>
        <w:ind w:firstLine="642" w:firstLineChars="200"/>
        <w:rPr>
          <w:rStyle w:val="25"/>
          <w:rFonts w:hint="eastAsia" w:ascii="仿宋" w:eastAsia="仿宋"/>
          <w:b w:val="0"/>
          <w:bCs/>
          <w:color w:val="000000"/>
          <w:sz w:val="32"/>
          <w:szCs w:val="32"/>
        </w:rPr>
      </w:pPr>
      <w:r>
        <w:rPr>
          <w:rStyle w:val="25"/>
          <w:rFonts w:hint="eastAsia" w:ascii="仿宋" w:eastAsia="仿宋"/>
          <w:bCs/>
          <w:color w:val="000000"/>
          <w:sz w:val="32"/>
          <w:szCs w:val="32"/>
          <w:lang w:val="en-US" w:eastAsia="zh-CN"/>
        </w:rPr>
        <w:t>8</w:t>
      </w:r>
      <w:r>
        <w:rPr>
          <w:rStyle w:val="25"/>
          <w:rFonts w:ascii="仿宋" w:eastAsia="仿宋"/>
          <w:bCs/>
          <w:color w:val="000000"/>
          <w:sz w:val="32"/>
          <w:szCs w:val="32"/>
        </w:rPr>
        <w:t>.</w:t>
      </w:r>
      <w:r>
        <w:rPr>
          <w:rFonts w:hint="eastAsia" w:ascii="仿宋" w:eastAsia="仿宋"/>
          <w:b/>
          <w:bCs/>
          <w:color w:val="000000"/>
          <w:sz w:val="32"/>
          <w:szCs w:val="32"/>
        </w:rPr>
        <w:t>社会保障和就业支出（类）行政事业单位养老支出（款）机关事业单位职业年金缴费支出（项）</w:t>
      </w:r>
      <w:r>
        <w:rPr>
          <w:rStyle w:val="25"/>
          <w:rFonts w:ascii="仿宋" w:eastAsia="仿宋"/>
          <w:bCs/>
          <w:color w:val="000000"/>
          <w:sz w:val="32"/>
          <w:szCs w:val="32"/>
        </w:rPr>
        <w:t>:</w:t>
      </w:r>
      <w:r>
        <w:rPr>
          <w:rStyle w:val="25"/>
          <w:rFonts w:hint="eastAsia" w:ascii="仿宋" w:eastAsia="仿宋"/>
          <w:b w:val="0"/>
          <w:bCs/>
          <w:color w:val="000000"/>
          <w:sz w:val="32"/>
          <w:szCs w:val="32"/>
        </w:rPr>
        <w:t>支出决算为18.06万元，完成预算</w:t>
      </w:r>
      <w:r>
        <w:rPr>
          <w:rStyle w:val="25"/>
          <w:rFonts w:hint="eastAsia" w:ascii="仿宋" w:eastAsia="仿宋"/>
          <w:b w:val="0"/>
          <w:bCs/>
          <w:color w:val="000000"/>
          <w:sz w:val="32"/>
          <w:szCs w:val="32"/>
          <w:lang w:val="en-US" w:eastAsia="zh-CN"/>
        </w:rPr>
        <w:t>100</w:t>
      </w:r>
      <w:r>
        <w:rPr>
          <w:rStyle w:val="25"/>
          <w:rFonts w:ascii="仿宋" w:eastAsia="仿宋"/>
          <w:b w:val="0"/>
          <w:bCs/>
          <w:color w:val="000000"/>
          <w:sz w:val="32"/>
          <w:szCs w:val="32"/>
        </w:rPr>
        <w:t>%</w:t>
      </w:r>
      <w:r>
        <w:rPr>
          <w:rStyle w:val="25"/>
          <w:rFonts w:hint="eastAsia" w:ascii="仿宋" w:eastAsia="仿宋"/>
          <w:b w:val="0"/>
          <w:bCs/>
          <w:color w:val="000000"/>
          <w:sz w:val="32"/>
          <w:szCs w:val="32"/>
        </w:rPr>
        <w:t>。</w:t>
      </w:r>
    </w:p>
    <w:p>
      <w:pPr>
        <w:spacing w:line="560" w:lineRule="exact"/>
        <w:ind w:firstLine="642" w:firstLineChars="200"/>
        <w:rPr>
          <w:rFonts w:hint="eastAsia" w:ascii="仿宋" w:eastAsia="仿宋"/>
          <w:b/>
          <w:color w:val="000000"/>
          <w:sz w:val="32"/>
          <w:szCs w:val="32"/>
        </w:rPr>
      </w:pPr>
      <w:r>
        <w:rPr>
          <w:rStyle w:val="25"/>
          <w:rFonts w:hint="eastAsia" w:ascii="仿宋" w:eastAsia="仿宋"/>
          <w:color w:val="000000"/>
          <w:sz w:val="32"/>
          <w:szCs w:val="32"/>
          <w:lang w:val="en-US" w:eastAsia="zh-CN"/>
        </w:rPr>
        <w:t>9</w:t>
      </w:r>
      <w:r>
        <w:rPr>
          <w:rStyle w:val="25"/>
          <w:rFonts w:hint="eastAsia" w:ascii="仿宋" w:eastAsia="仿宋"/>
          <w:color w:val="000000"/>
          <w:sz w:val="32"/>
          <w:szCs w:val="32"/>
        </w:rPr>
        <w:t>.卫生健康支出（类）行政事业单位医疗（款）事业单位医疗（项）:</w:t>
      </w:r>
      <w:r>
        <w:rPr>
          <w:rStyle w:val="25"/>
          <w:rFonts w:hint="eastAsia" w:ascii="仿宋" w:eastAsia="仿宋"/>
          <w:b w:val="0"/>
          <w:color w:val="000000"/>
          <w:sz w:val="32"/>
          <w:szCs w:val="32"/>
        </w:rPr>
        <w:t xml:space="preserve"> 支出决算为17.09万元，完成预算100%。</w:t>
      </w:r>
    </w:p>
    <w:p>
      <w:pPr>
        <w:spacing w:line="560" w:lineRule="exact"/>
        <w:ind w:firstLine="642" w:firstLineChars="200"/>
        <w:rPr>
          <w:rStyle w:val="25"/>
          <w:rFonts w:hint="eastAsia" w:ascii="仿宋" w:eastAsia="仿宋"/>
          <w:b w:val="0"/>
          <w:color w:val="000000"/>
          <w:sz w:val="32"/>
          <w:szCs w:val="32"/>
        </w:rPr>
      </w:pPr>
      <w:r>
        <w:rPr>
          <w:rStyle w:val="25"/>
          <w:rFonts w:hint="eastAsia" w:ascii="仿宋" w:eastAsia="仿宋"/>
          <w:color w:val="000000"/>
          <w:sz w:val="32"/>
          <w:szCs w:val="32"/>
          <w:lang w:val="en-US" w:eastAsia="zh-CN"/>
        </w:rPr>
        <w:t>10</w:t>
      </w:r>
      <w:r>
        <w:rPr>
          <w:rStyle w:val="25"/>
          <w:rFonts w:hint="eastAsia" w:ascii="仿宋" w:eastAsia="仿宋"/>
          <w:color w:val="000000"/>
          <w:sz w:val="32"/>
          <w:szCs w:val="32"/>
        </w:rPr>
        <w:t xml:space="preserve">.卫生健康支出（类）行政事业单位医疗（款）其他行政事业单位医疗支出（项）: </w:t>
      </w:r>
      <w:r>
        <w:rPr>
          <w:rStyle w:val="25"/>
          <w:rFonts w:hint="eastAsia" w:ascii="仿宋" w:eastAsia="仿宋"/>
          <w:b w:val="0"/>
          <w:color w:val="000000"/>
          <w:sz w:val="32"/>
          <w:szCs w:val="32"/>
        </w:rPr>
        <w:t>支出决算为3.32万元，完成预算100%。</w:t>
      </w:r>
    </w:p>
    <w:p>
      <w:pPr>
        <w:spacing w:line="560" w:lineRule="exact"/>
        <w:ind w:firstLine="642" w:firstLineChars="200"/>
        <w:rPr>
          <w:rFonts w:hint="eastAsia" w:ascii="仿宋" w:eastAsia="仿宋"/>
          <w:b/>
          <w:color w:val="000000"/>
          <w:sz w:val="32"/>
          <w:szCs w:val="32"/>
        </w:rPr>
      </w:pPr>
      <w:r>
        <w:rPr>
          <w:rStyle w:val="25"/>
          <w:rFonts w:hint="eastAsia" w:ascii="仿宋" w:eastAsia="仿宋"/>
          <w:color w:val="000000"/>
          <w:sz w:val="32"/>
          <w:szCs w:val="32"/>
          <w:lang w:val="en-US" w:eastAsia="zh-CN"/>
        </w:rPr>
        <w:t>11</w:t>
      </w:r>
      <w:r>
        <w:rPr>
          <w:rStyle w:val="25"/>
          <w:rFonts w:hint="eastAsia" w:ascii="仿宋" w:eastAsia="仿宋"/>
          <w:color w:val="000000"/>
          <w:sz w:val="32"/>
          <w:szCs w:val="32"/>
        </w:rPr>
        <w:t xml:space="preserve">.城乡社区支出（类）城乡社区公共设施（款）其他城乡社区公共设施支出（项）: </w:t>
      </w:r>
      <w:r>
        <w:rPr>
          <w:rStyle w:val="25"/>
          <w:rFonts w:hint="eastAsia" w:ascii="仿宋" w:eastAsia="仿宋"/>
          <w:b w:val="0"/>
          <w:color w:val="000000"/>
          <w:sz w:val="32"/>
          <w:szCs w:val="32"/>
        </w:rPr>
        <w:t>支出决算为74.00万元，完成预算100%。</w:t>
      </w:r>
    </w:p>
    <w:p>
      <w:pPr>
        <w:spacing w:line="560" w:lineRule="exact"/>
        <w:ind w:firstLine="642" w:firstLineChars="200"/>
        <w:rPr>
          <w:rFonts w:hint="eastAsia" w:ascii="仿宋" w:eastAsia="仿宋"/>
          <w:b/>
          <w:color w:val="000000"/>
          <w:sz w:val="32"/>
          <w:szCs w:val="32"/>
        </w:rPr>
      </w:pPr>
      <w:r>
        <w:rPr>
          <w:rStyle w:val="25"/>
          <w:rFonts w:hint="eastAsia" w:ascii="仿宋" w:eastAsia="仿宋"/>
          <w:color w:val="000000"/>
          <w:sz w:val="32"/>
          <w:szCs w:val="32"/>
          <w:lang w:val="en-US" w:eastAsia="zh-CN"/>
        </w:rPr>
        <w:t>12</w:t>
      </w:r>
      <w:r>
        <w:rPr>
          <w:rStyle w:val="25"/>
          <w:rFonts w:hint="eastAsia" w:ascii="仿宋" w:eastAsia="仿宋"/>
          <w:color w:val="000000"/>
          <w:sz w:val="32"/>
          <w:szCs w:val="32"/>
        </w:rPr>
        <w:t xml:space="preserve">.城乡社区支出（类）其他城乡社区支出（款）其他城乡社区支出（项）: </w:t>
      </w:r>
      <w:r>
        <w:rPr>
          <w:rStyle w:val="25"/>
          <w:rFonts w:hint="eastAsia" w:ascii="仿宋" w:eastAsia="仿宋"/>
          <w:b w:val="0"/>
          <w:color w:val="000000"/>
          <w:sz w:val="32"/>
          <w:szCs w:val="32"/>
        </w:rPr>
        <w:t>支出决算为1.71万元，完成预算100%。</w:t>
      </w:r>
    </w:p>
    <w:p>
      <w:pPr>
        <w:spacing w:line="560" w:lineRule="exact"/>
        <w:ind w:firstLine="642" w:firstLineChars="200"/>
        <w:rPr>
          <w:rFonts w:hint="eastAsia" w:ascii="仿宋" w:eastAsia="仿宋"/>
          <w:b/>
          <w:color w:val="000000"/>
          <w:sz w:val="32"/>
          <w:szCs w:val="32"/>
        </w:rPr>
      </w:pPr>
      <w:r>
        <w:rPr>
          <w:rStyle w:val="25"/>
          <w:rFonts w:hint="eastAsia" w:ascii="仿宋" w:eastAsia="仿宋"/>
          <w:color w:val="000000"/>
          <w:sz w:val="32"/>
          <w:szCs w:val="32"/>
          <w:lang w:val="en-US" w:eastAsia="zh-CN"/>
        </w:rPr>
        <w:t>13</w:t>
      </w:r>
      <w:r>
        <w:rPr>
          <w:rStyle w:val="25"/>
          <w:rFonts w:hint="eastAsia" w:ascii="仿宋" w:eastAsia="仿宋"/>
          <w:color w:val="000000"/>
          <w:sz w:val="32"/>
          <w:szCs w:val="32"/>
        </w:rPr>
        <w:t xml:space="preserve">.农林水支出（类）巩固脱贫衔接乡村振兴（款）农村基础设施建设（项）: </w:t>
      </w:r>
      <w:r>
        <w:rPr>
          <w:rStyle w:val="25"/>
          <w:rFonts w:hint="eastAsia" w:ascii="仿宋" w:eastAsia="仿宋"/>
          <w:b w:val="0"/>
          <w:color w:val="000000"/>
          <w:sz w:val="32"/>
          <w:szCs w:val="32"/>
        </w:rPr>
        <w:t>支出决算为753.53万元，完成预算100%。</w:t>
      </w:r>
    </w:p>
    <w:p>
      <w:pPr>
        <w:pageBreakBefore w:val="0"/>
        <w:widowControl w:val="0"/>
        <w:kinsoku/>
        <w:wordWrap/>
        <w:overflowPunct/>
        <w:topLinePunct w:val="0"/>
        <w:bidi w:val="0"/>
        <w:spacing w:line="560" w:lineRule="exact"/>
        <w:ind w:firstLine="642" w:firstLineChars="200"/>
        <w:textAlignment w:val="auto"/>
        <w:rPr>
          <w:rFonts w:ascii="仿宋" w:eastAsia="仿宋"/>
          <w:b/>
          <w:color w:val="FF0000"/>
          <w:sz w:val="32"/>
          <w:szCs w:val="32"/>
        </w:rPr>
      </w:pPr>
      <w:r>
        <w:rPr>
          <w:rFonts w:hint="eastAsia" w:ascii="仿宋" w:eastAsia="仿宋" w:cs="仿宋"/>
          <w:b/>
          <w:bCs w:val="0"/>
          <w:color w:val="000000"/>
          <w:kern w:val="2"/>
          <w:sz w:val="32"/>
          <w:szCs w:val="32"/>
          <w:lang w:val="en-US" w:eastAsia="zh-CN"/>
        </w:rPr>
        <w:t>14.住房保障支出（类）住房改革支出（款）住房公积金（项）:</w:t>
      </w:r>
      <w:r>
        <w:rPr>
          <w:rFonts w:hint="eastAsia" w:ascii="仿宋" w:eastAsia="仿宋" w:cs="仿宋"/>
          <w:b w:val="0"/>
          <w:color w:val="000000"/>
          <w:kern w:val="2"/>
          <w:sz w:val="32"/>
          <w:szCs w:val="32"/>
          <w:lang w:val="en-US" w:eastAsia="zh-CN"/>
        </w:rPr>
        <w:t>支出决算为27.13万元，完成预算100%。</w:t>
      </w:r>
    </w:p>
    <w:p>
      <w:pPr>
        <w:pageBreakBefore w:val="0"/>
        <w:widowControl w:val="0"/>
        <w:kinsoku/>
        <w:wordWrap/>
        <w:overflowPunct/>
        <w:topLinePunct w:val="0"/>
        <w:bidi w:val="0"/>
        <w:spacing w:line="560" w:lineRule="exact"/>
        <w:ind w:firstLine="640"/>
        <w:textAlignment w:val="auto"/>
        <w:rPr>
          <w:rFonts w:ascii="仿宋" w:eastAsia="仿宋"/>
          <w:b/>
          <w:color w:val="000000"/>
          <w:sz w:val="32"/>
          <w:szCs w:val="32"/>
        </w:rPr>
      </w:pPr>
    </w:p>
    <w:p>
      <w:pPr>
        <w:pageBreakBefore w:val="0"/>
        <w:widowControl w:val="0"/>
        <w:tabs>
          <w:tab w:val="right" w:pos="8306"/>
        </w:tabs>
        <w:kinsoku/>
        <w:wordWrap/>
        <w:overflowPunct/>
        <w:topLinePunct w:val="0"/>
        <w:bidi w:val="0"/>
        <w:spacing w:line="560" w:lineRule="exact"/>
        <w:ind w:firstLine="640"/>
        <w:textAlignment w:val="auto"/>
        <w:outlineLvl w:val="1"/>
        <w:rPr>
          <w:rStyle w:val="29"/>
        </w:rPr>
      </w:pPr>
      <w:bookmarkStart w:id="50" w:name="_Toc10134"/>
      <w:bookmarkStart w:id="51" w:name="_Toc79163618"/>
      <w:bookmarkStart w:id="52" w:name="_Toc15396608"/>
      <w:bookmarkStart w:id="53" w:name="_Toc15377214"/>
      <w:r>
        <w:rPr>
          <w:rFonts w:hint="eastAsia" w:ascii="黑体" w:eastAsia="黑体"/>
          <w:color w:val="000000"/>
          <w:sz w:val="32"/>
          <w:szCs w:val="32"/>
        </w:rPr>
        <w:t>六</w:t>
      </w:r>
      <w:r>
        <w:rPr>
          <w:rFonts w:hint="eastAsia" w:ascii="黑体" w:eastAsia="黑体"/>
          <w:b/>
          <w:color w:val="000000"/>
          <w:sz w:val="32"/>
          <w:szCs w:val="32"/>
        </w:rPr>
        <w:t>、一</w:t>
      </w:r>
      <w:r>
        <w:rPr>
          <w:rStyle w:val="29"/>
          <w:rFonts w:hint="eastAsia" w:ascii="黑体" w:eastAsia="黑体"/>
          <w:b w:val="0"/>
        </w:rPr>
        <w:t>般公共预算财政拨款基本支出决算情况说明</w:t>
      </w:r>
      <w:bookmarkEnd w:id="50"/>
      <w:bookmarkEnd w:id="51"/>
      <w:bookmarkEnd w:id="52"/>
      <w:bookmarkEnd w:id="53"/>
      <w:r>
        <w:rPr>
          <w:rStyle w:val="29"/>
          <w:rFonts w:ascii="黑体" w:eastAsia="黑体"/>
          <w:b w:val="0"/>
        </w:rPr>
        <w:tab/>
      </w:r>
    </w:p>
    <w:p>
      <w:pPr>
        <w:pageBreakBefore w:val="0"/>
        <w:widowControl w:val="0"/>
        <w:kinsoku/>
        <w:wordWrap/>
        <w:overflowPunct/>
        <w:topLinePunct w:val="0"/>
        <w:bidi w:val="0"/>
        <w:spacing w:line="560" w:lineRule="exact"/>
        <w:ind w:firstLine="645"/>
        <w:textAlignment w:val="auto"/>
        <w:rPr>
          <w:rFonts w:ascii="仿宋" w:eastAsia="仿宋"/>
          <w:color w:val="000000"/>
          <w:sz w:val="32"/>
          <w:szCs w:val="32"/>
        </w:rPr>
      </w:pPr>
      <w:r>
        <w:rPr>
          <w:rFonts w:hint="eastAsia" w:ascii="仿宋" w:eastAsia="仿宋"/>
          <w:color w:val="000000"/>
          <w:sz w:val="32"/>
          <w:szCs w:val="32"/>
          <w:lang w:eastAsia="zh-CN"/>
        </w:rPr>
        <w:t>2024年</w:t>
      </w:r>
      <w:r>
        <w:rPr>
          <w:rFonts w:hint="eastAsia" w:ascii="仿宋" w:eastAsia="仿宋"/>
          <w:color w:val="000000"/>
          <w:sz w:val="32"/>
          <w:szCs w:val="32"/>
        </w:rPr>
        <w:t>一般公共预算财政拨款基本支出366.02万元，其中：</w:t>
      </w:r>
    </w:p>
    <w:p>
      <w:pPr>
        <w:pageBreakBefore w:val="0"/>
        <w:widowControl w:val="0"/>
        <w:kinsoku/>
        <w:wordWrap/>
        <w:overflowPunct/>
        <w:topLinePunct w:val="0"/>
        <w:bidi w:val="0"/>
        <w:spacing w:line="560" w:lineRule="exact"/>
        <w:ind w:firstLine="645"/>
        <w:textAlignment w:val="auto"/>
        <w:rPr>
          <w:rFonts w:hint="eastAsia" w:ascii="仿宋" w:eastAsia="仿宋"/>
          <w:color w:val="000000"/>
          <w:sz w:val="32"/>
          <w:szCs w:val="32"/>
          <w:lang w:eastAsia="zh-CN"/>
        </w:rPr>
      </w:pPr>
      <w:r>
        <w:rPr>
          <w:rFonts w:hint="eastAsia" w:ascii="仿宋" w:eastAsia="仿宋"/>
          <w:color w:val="000000"/>
          <w:sz w:val="32"/>
          <w:szCs w:val="32"/>
        </w:rPr>
        <w:t>人员经费348.45万元，主要包括：基本工资、津贴补贴</w:t>
      </w:r>
      <w:r>
        <w:rPr>
          <w:rFonts w:hint="eastAsia" w:ascii="仿宋" w:eastAsia="仿宋"/>
          <w:color w:val="000000"/>
          <w:sz w:val="32"/>
          <w:szCs w:val="32"/>
          <w:lang w:eastAsia="zh-CN"/>
        </w:rPr>
        <w:t>、奖金、</w:t>
      </w:r>
      <w:r>
        <w:rPr>
          <w:rFonts w:hint="eastAsia" w:ascii="仿宋" w:eastAsia="仿宋"/>
          <w:color w:val="000000"/>
          <w:sz w:val="32"/>
          <w:szCs w:val="32"/>
          <w:lang w:val="en-US" w:eastAsia="zh-CN"/>
        </w:rPr>
        <w:t>绩效工资、</w:t>
      </w:r>
      <w:r>
        <w:rPr>
          <w:rFonts w:hint="eastAsia" w:ascii="仿宋" w:eastAsia="仿宋"/>
          <w:color w:val="000000"/>
          <w:sz w:val="32"/>
          <w:szCs w:val="32"/>
          <w:lang w:eastAsia="zh-CN"/>
        </w:rPr>
        <w:t>机关事业单位基本养老保险费、职业年金缴费、职工基本医疗保险缴费、其他社会保障缴费、住房公积金、医疗费补助</w:t>
      </w:r>
      <w:r>
        <w:rPr>
          <w:rFonts w:hint="eastAsia" w:ascii="仿宋" w:eastAsia="仿宋"/>
          <w:color w:val="000000"/>
          <w:sz w:val="32"/>
          <w:szCs w:val="32"/>
        </w:rPr>
        <w:t>。</w:t>
      </w:r>
    </w:p>
    <w:p>
      <w:pPr>
        <w:pageBreakBefore w:val="0"/>
        <w:widowControl w:val="0"/>
        <w:kinsoku/>
        <w:wordWrap/>
        <w:overflowPunct/>
        <w:topLinePunct w:val="0"/>
        <w:bidi w:val="0"/>
        <w:spacing w:line="560" w:lineRule="exact"/>
        <w:ind w:firstLine="645"/>
        <w:textAlignment w:val="auto"/>
        <w:rPr>
          <w:rFonts w:ascii="仿宋" w:eastAsia="仿宋"/>
          <w:b/>
          <w:color w:val="FF0000"/>
          <w:sz w:val="32"/>
          <w:szCs w:val="32"/>
        </w:rPr>
      </w:pPr>
      <w:r>
        <w:rPr>
          <w:rFonts w:hint="eastAsia" w:ascii="仿宋" w:eastAsia="仿宋"/>
          <w:color w:val="000000"/>
          <w:sz w:val="32"/>
          <w:szCs w:val="32"/>
        </w:rPr>
        <w:t>日常公用经费17.57万元，主要包括：办公费、</w:t>
      </w:r>
      <w:r>
        <w:rPr>
          <w:rFonts w:hint="eastAsia" w:ascii="仿宋" w:eastAsia="仿宋"/>
          <w:color w:val="000000"/>
          <w:sz w:val="32"/>
          <w:szCs w:val="32"/>
          <w:lang w:eastAsia="zh-CN"/>
        </w:rPr>
        <w:t>印刷</w:t>
      </w:r>
      <w:r>
        <w:rPr>
          <w:rFonts w:hint="eastAsia" w:ascii="仿宋" w:eastAsia="仿宋"/>
          <w:color w:val="000000"/>
          <w:sz w:val="32"/>
          <w:szCs w:val="32"/>
        </w:rPr>
        <w:t>费</w:t>
      </w:r>
      <w:r>
        <w:rPr>
          <w:rFonts w:hint="eastAsia" w:ascii="仿宋" w:eastAsia="仿宋"/>
          <w:color w:val="000000"/>
          <w:sz w:val="32"/>
          <w:szCs w:val="32"/>
          <w:lang w:eastAsia="zh-CN"/>
        </w:rPr>
        <w:t>、</w:t>
      </w:r>
      <w:r>
        <w:rPr>
          <w:rFonts w:hint="eastAsia" w:ascii="仿宋" w:eastAsia="仿宋"/>
          <w:color w:val="000000"/>
          <w:sz w:val="32"/>
          <w:szCs w:val="32"/>
          <w:lang w:val="en-US" w:eastAsia="zh-CN"/>
        </w:rPr>
        <w:t>邮</w:t>
      </w:r>
      <w:r>
        <w:rPr>
          <w:rFonts w:hint="eastAsia" w:ascii="仿宋" w:eastAsia="仿宋"/>
          <w:color w:val="000000"/>
          <w:sz w:val="32"/>
          <w:szCs w:val="32"/>
          <w:lang w:eastAsia="zh-CN"/>
        </w:rPr>
        <w:t>电费、</w:t>
      </w:r>
      <w:r>
        <w:rPr>
          <w:rFonts w:hint="eastAsia" w:ascii="仿宋" w:eastAsia="仿宋"/>
          <w:color w:val="000000"/>
          <w:sz w:val="32"/>
          <w:szCs w:val="32"/>
          <w:lang w:val="en-US" w:eastAsia="zh-CN"/>
        </w:rPr>
        <w:t>差旅费、租赁费、</w:t>
      </w:r>
      <w:r>
        <w:rPr>
          <w:rFonts w:hint="eastAsia" w:ascii="仿宋" w:eastAsia="仿宋"/>
          <w:color w:val="000000"/>
          <w:sz w:val="32"/>
          <w:szCs w:val="32"/>
          <w:lang w:eastAsia="zh-CN"/>
        </w:rPr>
        <w:t>劳务费、公务用车运行维护费</w:t>
      </w:r>
      <w:r>
        <w:rPr>
          <w:rFonts w:hint="eastAsia" w:ascii="仿宋" w:eastAsia="仿宋"/>
          <w:color w:val="000000"/>
          <w:sz w:val="32"/>
          <w:szCs w:val="32"/>
        </w:rPr>
        <w:t>。</w:t>
      </w:r>
    </w:p>
    <w:p>
      <w:pPr>
        <w:pageBreakBefore w:val="0"/>
        <w:widowControl w:val="0"/>
        <w:kinsoku/>
        <w:wordWrap/>
        <w:overflowPunct/>
        <w:topLinePunct w:val="0"/>
        <w:bidi w:val="0"/>
        <w:spacing w:line="560" w:lineRule="exact"/>
        <w:ind w:firstLine="640"/>
        <w:textAlignment w:val="auto"/>
        <w:rPr>
          <w:rFonts w:ascii="仿宋" w:eastAsia="仿宋"/>
          <w:b/>
          <w:color w:val="FF0000"/>
          <w:sz w:val="32"/>
          <w:szCs w:val="32"/>
        </w:rPr>
      </w:pPr>
    </w:p>
    <w:p>
      <w:pPr>
        <w:pageBreakBefore w:val="0"/>
        <w:widowControl w:val="0"/>
        <w:kinsoku/>
        <w:wordWrap/>
        <w:overflowPunct/>
        <w:topLinePunct w:val="0"/>
        <w:bidi w:val="0"/>
        <w:spacing w:line="560" w:lineRule="exact"/>
        <w:ind w:firstLine="640"/>
        <w:textAlignment w:val="auto"/>
        <w:outlineLvl w:val="1"/>
        <w:rPr>
          <w:rStyle w:val="47"/>
          <w:rFonts w:ascii="黑体" w:hAnsi="黑体" w:eastAsia="黑体"/>
          <w:b w:val="0"/>
        </w:rPr>
      </w:pPr>
      <w:bookmarkStart w:id="54" w:name="_Toc15377215"/>
      <w:bookmarkStart w:id="55" w:name="_Toc15661"/>
      <w:bookmarkStart w:id="56" w:name="_Toc79163619"/>
      <w:bookmarkStart w:id="57" w:name="_Toc15396609"/>
      <w:bookmarkStart w:id="58" w:name="_Toc79163869"/>
      <w:bookmarkStart w:id="59" w:name="_Toc15396610"/>
      <w:bookmarkStart w:id="60" w:name="_Toc15377218"/>
      <w:bookmarkStart w:id="61" w:name="_Toc79163622"/>
      <w:r>
        <w:rPr>
          <w:rFonts w:hint="eastAsia" w:ascii="黑体" w:eastAsia="黑体"/>
          <w:color w:val="000000"/>
          <w:sz w:val="32"/>
          <w:szCs w:val="32"/>
        </w:rPr>
        <w:t>七、</w:t>
      </w:r>
      <w:r>
        <w:rPr>
          <w:rStyle w:val="47"/>
          <w:rFonts w:hint="eastAsia" w:ascii="黑体" w:hAnsi="黑体" w:eastAsia="黑体"/>
        </w:rPr>
        <w:t>“</w:t>
      </w:r>
      <w:r>
        <w:rPr>
          <w:rStyle w:val="47"/>
          <w:rFonts w:hint="eastAsia" w:ascii="黑体" w:hAnsi="黑体" w:eastAsia="黑体"/>
          <w:b w:val="0"/>
        </w:rPr>
        <w:t>三公”经费财政拨款支出决算情况说明</w:t>
      </w:r>
      <w:bookmarkEnd w:id="54"/>
      <w:bookmarkEnd w:id="55"/>
      <w:bookmarkEnd w:id="56"/>
      <w:bookmarkEnd w:id="57"/>
      <w:bookmarkEnd w:id="58"/>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2" w:name="_Toc15377216"/>
      <w:bookmarkStart w:id="63" w:name="_Toc79163870"/>
      <w:bookmarkStart w:id="64" w:name="_Toc29621"/>
      <w:bookmarkStart w:id="65" w:name="_Toc79163620"/>
      <w:r>
        <w:rPr>
          <w:rFonts w:hint="eastAsia" w:ascii="仿宋" w:hAnsi="仿宋" w:eastAsia="仿宋"/>
          <w:b/>
          <w:color w:val="000000"/>
          <w:sz w:val="32"/>
          <w:szCs w:val="32"/>
        </w:rPr>
        <w:t>（一）“三公”经费财政拨款支出决算总体情况说明</w:t>
      </w:r>
      <w:bookmarkEnd w:id="62"/>
      <w:bookmarkEnd w:id="63"/>
      <w:bookmarkEnd w:id="64"/>
      <w:bookmarkEnd w:id="65"/>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“三公”经费财政拨款支出决算为</w:t>
      </w:r>
      <w:r>
        <w:rPr>
          <w:rFonts w:hint="eastAsia" w:ascii="仿宋" w:hAnsi="仿宋" w:eastAsia="仿宋"/>
          <w:color w:val="000000"/>
          <w:sz w:val="32"/>
          <w:szCs w:val="32"/>
          <w:lang w:val="en-US" w:eastAsia="zh-CN"/>
        </w:rPr>
        <w:t>3.93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78.6%</w:t>
      </w:r>
      <w:r>
        <w:rPr>
          <w:rFonts w:hint="eastAsia" w:ascii="仿宋" w:hAnsi="仿宋" w:eastAsia="仿宋"/>
          <w:color w:val="000000"/>
          <w:sz w:val="32"/>
          <w:szCs w:val="32"/>
        </w:rPr>
        <w:t>。</w:t>
      </w:r>
    </w:p>
    <w:p>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6" w:name="_Toc79163621"/>
      <w:bookmarkStart w:id="67" w:name="_Toc13415"/>
      <w:bookmarkStart w:id="68" w:name="_Toc15377217"/>
      <w:bookmarkStart w:id="69" w:name="_Toc79163871"/>
      <w:r>
        <w:rPr>
          <w:rFonts w:hint="eastAsia" w:ascii="仿宋" w:hAnsi="仿宋" w:eastAsia="仿宋"/>
          <w:b/>
          <w:color w:val="000000"/>
          <w:sz w:val="32"/>
          <w:szCs w:val="32"/>
        </w:rPr>
        <w:t>（二）“三公”经费财政拨款支出决算具体情况说明</w:t>
      </w:r>
      <w:bookmarkEnd w:id="66"/>
      <w:bookmarkEnd w:id="67"/>
      <w:bookmarkEnd w:id="68"/>
      <w:bookmarkEnd w:id="69"/>
    </w:p>
    <w:p>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rPr>
      </w:pPr>
      <w:r>
        <w:rPr>
          <w:rFonts w:hint="eastAsia" w:ascii="仿宋" w:hAnsi="仿宋" w:eastAsia="仿宋"/>
          <w:color w:val="000000"/>
          <w:sz w:val="32"/>
          <w:szCs w:val="32"/>
          <w:lang w:eastAsia="zh-CN"/>
        </w:rPr>
        <w:t>2024年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b/>
          <w:bCs/>
          <w:color w:val="000000"/>
          <w:sz w:val="32"/>
          <w:szCs w:val="32"/>
          <w:lang w:val="en-US" w:eastAsia="zh-CN"/>
        </w:rPr>
        <w:t>3.93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jc w:val="center"/>
        <w:rPr>
          <w:rFonts w:hint="eastAsia"/>
        </w:rPr>
      </w:pPr>
      <w:r>
        <w:drawing>
          <wp:inline distT="0" distB="0" distL="114300" distR="114300">
            <wp:extent cx="3703955" cy="1661795"/>
            <wp:effectExtent l="4445" t="5080" r="6350" b="9525"/>
            <wp:docPr id="1" name="图表 1"/>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b/>
          <w:bCs/>
          <w:color w:val="000000"/>
          <w:sz w:val="32"/>
          <w:szCs w:val="32"/>
          <w:lang w:val="en-US" w:eastAsia="zh-CN"/>
        </w:rPr>
        <w:t>3.93</w:t>
      </w:r>
      <w:r>
        <w:rPr>
          <w:rFonts w:hint="eastAsia" w:ascii="仿宋_GB2312" w:eastAsia="仿宋_GB2312"/>
          <w:color w:val="000000"/>
          <w:sz w:val="32"/>
          <w:szCs w:val="32"/>
        </w:rPr>
        <w:t>万元</w:t>
      </w:r>
      <w:r>
        <w:rPr>
          <w:rFonts w:ascii="仿宋_GB2312" w:eastAsia="仿宋_GB2312"/>
          <w:color w:val="000000"/>
          <w:sz w:val="32"/>
          <w:szCs w:val="32"/>
        </w:rPr>
        <w:t>,</w:t>
      </w:r>
      <w:r>
        <w:rPr>
          <w:rStyle w:val="25"/>
          <w:rFonts w:hint="eastAsia" w:ascii="仿宋" w:hAnsi="仿宋" w:eastAsia="仿宋"/>
          <w:b w:val="0"/>
          <w:bCs/>
          <w:color w:val="000000"/>
          <w:sz w:val="32"/>
          <w:szCs w:val="32"/>
        </w:rPr>
        <w:t>完成预算</w:t>
      </w:r>
      <w:r>
        <w:rPr>
          <w:rFonts w:hint="eastAsia" w:ascii="仿宋" w:hAnsi="仿宋" w:eastAsia="仿宋"/>
          <w:color w:val="000000"/>
          <w:sz w:val="32"/>
          <w:szCs w:val="32"/>
          <w:lang w:val="en-US" w:eastAsia="zh-CN"/>
        </w:rPr>
        <w:t>78.6</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2023年</w:t>
      </w:r>
      <w:r>
        <w:rPr>
          <w:rFonts w:hint="eastAsia" w:ascii="仿宋_GB2312" w:eastAsia="仿宋_GB2312"/>
          <w:color w:val="000000"/>
          <w:sz w:val="32"/>
          <w:szCs w:val="32"/>
          <w:lang w:val="en-US" w:eastAsia="zh-CN"/>
        </w:rPr>
        <w:t>减少0.7</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下降15.12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主要原因是本年度业务活动减少，相应费用减少。</w:t>
      </w:r>
    </w:p>
    <w:p>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。到2024年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其他用车0辆</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b/>
          <w:bCs/>
          <w:color w:val="000000"/>
          <w:sz w:val="32"/>
          <w:szCs w:val="32"/>
          <w:lang w:val="en-US" w:eastAsia="zh-CN"/>
        </w:rPr>
        <w:t>3.93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w:t>
      </w:r>
      <w:r>
        <w:rPr>
          <w:rFonts w:hint="eastAsia" w:ascii="仿宋_GB2312" w:eastAsia="仿宋_GB2312"/>
          <w:color w:val="000000"/>
          <w:sz w:val="32"/>
          <w:szCs w:val="32"/>
          <w:lang w:val="en-US" w:eastAsia="zh-CN"/>
        </w:rPr>
        <w:t>车辆日常</w:t>
      </w:r>
      <w:r>
        <w:rPr>
          <w:rFonts w:hint="eastAsia" w:ascii="仿宋_GB2312" w:eastAsia="仿宋_GB2312"/>
          <w:color w:val="000000"/>
          <w:sz w:val="32"/>
          <w:szCs w:val="32"/>
          <w:lang w:eastAsia="zh-CN"/>
        </w:rPr>
        <w:t>所需的维修费、</w:t>
      </w:r>
      <w:r>
        <w:rPr>
          <w:rFonts w:hint="eastAsia" w:ascii="仿宋_GB2312" w:eastAsia="仿宋_GB2312"/>
          <w:color w:val="000000"/>
          <w:sz w:val="32"/>
          <w:szCs w:val="32"/>
          <w:lang w:val="en-US" w:eastAsia="zh-CN"/>
        </w:rPr>
        <w:t>过路费、</w:t>
      </w:r>
      <w:r>
        <w:rPr>
          <w:rFonts w:hint="eastAsia" w:ascii="仿宋_GB2312" w:eastAsia="仿宋_GB2312"/>
          <w:color w:val="000000"/>
          <w:sz w:val="32"/>
          <w:szCs w:val="32"/>
          <w:lang w:eastAsia="zh-CN"/>
        </w:rPr>
        <w:t>保险费等支出</w:t>
      </w:r>
      <w:r>
        <w:rPr>
          <w:rFonts w:hint="eastAsia" w:ascii="仿宋_GB2312" w:eastAsia="仿宋_GB2312"/>
          <w:color w:val="000000"/>
          <w:sz w:val="32"/>
          <w:szCs w:val="32"/>
        </w:rPr>
        <w:t>。</w:t>
      </w:r>
    </w:p>
    <w:p>
      <w:pPr>
        <w:pageBreakBefore w:val="0"/>
        <w:widowControl w:val="0"/>
        <w:kinsoku/>
        <w:wordWrap/>
        <w:overflowPunct/>
        <w:topLinePunct w:val="0"/>
        <w:bidi w:val="0"/>
        <w:spacing w:line="560" w:lineRule="exact"/>
        <w:ind w:firstLine="642" w:firstLineChars="20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640"/>
        <w:textAlignment w:val="auto"/>
        <w:outlineLvl w:val="1"/>
        <w:rPr>
          <w:rStyle w:val="29"/>
          <w:rFonts w:ascii="黑体" w:eastAsia="黑体"/>
        </w:rPr>
      </w:pPr>
      <w:bookmarkStart w:id="70" w:name="_Toc9956"/>
      <w:r>
        <w:rPr>
          <w:rFonts w:hint="eastAsia" w:ascii="黑体" w:eastAsia="黑体"/>
          <w:color w:val="000000"/>
          <w:sz w:val="32"/>
          <w:szCs w:val="32"/>
        </w:rPr>
        <w:t>八、</w:t>
      </w:r>
      <w:r>
        <w:rPr>
          <w:rStyle w:val="29"/>
          <w:rFonts w:hint="eastAsia" w:ascii="黑体" w:eastAsia="黑体"/>
          <w:b w:val="0"/>
        </w:rPr>
        <w:t>政府性基金预算支出决算情况说明</w:t>
      </w:r>
      <w:bookmarkEnd w:id="59"/>
      <w:bookmarkEnd w:id="60"/>
      <w:bookmarkEnd w:id="61"/>
      <w:bookmarkEnd w:id="70"/>
    </w:p>
    <w:p>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numPr>
          <w:ilvl w:val="0"/>
          <w:numId w:val="2"/>
        </w:numPr>
        <w:kinsoku/>
        <w:wordWrap/>
        <w:overflowPunct/>
        <w:topLinePunct w:val="0"/>
        <w:bidi w:val="0"/>
        <w:spacing w:line="560" w:lineRule="exact"/>
        <w:ind w:left="0" w:firstLine="640"/>
        <w:textAlignment w:val="auto"/>
        <w:outlineLvl w:val="1"/>
        <w:rPr>
          <w:rStyle w:val="29"/>
          <w:rFonts w:ascii="黑体" w:eastAsia="黑体"/>
          <w:b w:val="0"/>
        </w:rPr>
      </w:pPr>
      <w:bookmarkStart w:id="71" w:name="_Toc15396611"/>
      <w:bookmarkStart w:id="72" w:name="_Toc79163623"/>
      <w:bookmarkStart w:id="73" w:name="_Toc15377219"/>
      <w:bookmarkStart w:id="74" w:name="_Toc19810"/>
      <w:r>
        <w:rPr>
          <w:rStyle w:val="29"/>
          <w:rFonts w:hint="eastAsia" w:ascii="黑体" w:eastAsia="黑体"/>
          <w:b w:val="0"/>
        </w:rPr>
        <w:t>国有资本经营预算支出决算情况说明</w:t>
      </w:r>
      <w:bookmarkEnd w:id="71"/>
      <w:bookmarkEnd w:id="72"/>
      <w:bookmarkEnd w:id="73"/>
      <w:bookmarkEnd w:id="74"/>
    </w:p>
    <w:p>
      <w:pPr>
        <w:pageBreakBefore w:val="0"/>
        <w:widowControl w:val="0"/>
        <w:kinsoku/>
        <w:wordWrap/>
        <w:overflowPunct/>
        <w:topLinePunct w:val="0"/>
        <w:bidi w:val="0"/>
        <w:spacing w:line="560" w:lineRule="exact"/>
        <w:ind w:firstLine="640"/>
        <w:textAlignment w:val="auto"/>
        <w:rPr>
          <w:rFonts w:ascii="方正小标宋简体" w:eastAsia="方正小标宋简体" w:cs="方正小标宋简体"/>
          <w:sz w:val="44"/>
          <w:szCs w:val="44"/>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60" w:lineRule="exact"/>
        <w:ind w:firstLine="800" w:firstLineChars="250"/>
        <w:textAlignment w:val="auto"/>
        <w:outlineLvl w:val="1"/>
        <w:rPr>
          <w:rStyle w:val="29"/>
          <w:rFonts w:ascii="黑体" w:eastAsia="黑体"/>
        </w:rPr>
      </w:pPr>
      <w:bookmarkStart w:id="75" w:name="_Toc19702"/>
      <w:bookmarkStart w:id="76" w:name="_Toc15377221"/>
      <w:bookmarkStart w:id="77" w:name="_Toc15396612"/>
      <w:bookmarkStart w:id="78" w:name="_Toc79163624"/>
      <w:r>
        <w:rPr>
          <w:rFonts w:hint="eastAsia" w:ascii="黑体" w:eastAsia="黑体"/>
          <w:color w:val="000000"/>
          <w:sz w:val="32"/>
          <w:szCs w:val="32"/>
        </w:rPr>
        <w:t>十</w:t>
      </w:r>
      <w:r>
        <w:rPr>
          <w:rStyle w:val="29"/>
          <w:rFonts w:hint="eastAsia" w:ascii="黑体" w:eastAsia="黑体"/>
        </w:rPr>
        <w:t>、</w:t>
      </w:r>
      <w:r>
        <w:rPr>
          <w:rStyle w:val="29"/>
          <w:rFonts w:hint="eastAsia" w:ascii="黑体" w:eastAsia="黑体"/>
          <w:b w:val="0"/>
        </w:rPr>
        <w:t>其他重要事项的情况说明</w:t>
      </w:r>
      <w:bookmarkEnd w:id="75"/>
      <w:bookmarkEnd w:id="76"/>
      <w:bookmarkEnd w:id="77"/>
      <w:bookmarkEnd w:id="78"/>
    </w:p>
    <w:p>
      <w:pPr>
        <w:pageBreakBefore w:val="0"/>
        <w:widowControl w:val="0"/>
        <w:kinsoku/>
        <w:wordWrap/>
        <w:overflowPunct/>
        <w:topLinePunct w:val="0"/>
        <w:bidi w:val="0"/>
        <w:spacing w:line="560" w:lineRule="exact"/>
        <w:ind w:firstLine="642" w:firstLineChars="200"/>
        <w:textAlignment w:val="auto"/>
        <w:outlineLvl w:val="2"/>
        <w:rPr>
          <w:rFonts w:ascii="仿宋" w:eastAsia="仿宋"/>
          <w:color w:val="000000"/>
          <w:sz w:val="32"/>
          <w:szCs w:val="32"/>
        </w:rPr>
      </w:pPr>
      <w:bookmarkStart w:id="79" w:name="_Toc79163625"/>
      <w:bookmarkStart w:id="80" w:name="_Toc15377222"/>
      <w:bookmarkStart w:id="81" w:name="_Toc28227"/>
      <w:r>
        <w:rPr>
          <w:rFonts w:hint="eastAsia" w:ascii="仿宋" w:eastAsia="仿宋"/>
          <w:b/>
          <w:color w:val="000000"/>
          <w:sz w:val="32"/>
          <w:szCs w:val="32"/>
        </w:rPr>
        <w:t>（一）机关运行经费支出情况</w:t>
      </w:r>
      <w:bookmarkEnd w:id="79"/>
      <w:bookmarkEnd w:id="80"/>
      <w:bookmarkEnd w:id="81"/>
    </w:p>
    <w:p>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w:t>
      </w:r>
      <w:r>
        <w:rPr>
          <w:rFonts w:hint="eastAsia" w:ascii="仿宋_GB2312" w:eastAsia="仿宋_GB2312"/>
          <w:color w:val="000000"/>
          <w:sz w:val="32"/>
          <w:szCs w:val="32"/>
          <w:lang w:eastAsia="zh-CN"/>
        </w:rPr>
        <w:t>壤塘县中壤塘文化旅游景区管理处</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2023年</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/减少0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/下降0%</w:t>
      </w:r>
      <w:r>
        <w:rPr>
          <w:rFonts w:hint="eastAsia" w:ascii="仿宋_GB2312" w:eastAsia="仿宋_GB2312"/>
          <w:color w:val="000000"/>
          <w:sz w:val="32"/>
          <w:szCs w:val="32"/>
        </w:rPr>
        <w:t>。主要原因是本年</w:t>
      </w:r>
      <w:r>
        <w:rPr>
          <w:rFonts w:hint="eastAsia" w:ascii="仿宋_GB2312" w:eastAsia="仿宋_GB2312"/>
          <w:color w:val="000000"/>
          <w:sz w:val="32"/>
          <w:szCs w:val="32"/>
          <w:lang w:val="en-US" w:eastAsia="zh-CN"/>
        </w:rPr>
        <w:t>与上年均无机关运行经费</w:t>
      </w:r>
      <w:r>
        <w:rPr>
          <w:rFonts w:hint="eastAsia" w:ascii="仿宋_GB2312" w:eastAsia="仿宋_GB2312"/>
          <w:color w:val="000000"/>
          <w:sz w:val="32"/>
          <w:szCs w:val="32"/>
          <w:lang w:eastAsia="zh-CN"/>
        </w:rPr>
        <w:t>。</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eastAsia="仿宋"/>
          <w:b/>
          <w:color w:val="000000"/>
          <w:sz w:val="32"/>
          <w:szCs w:val="32"/>
        </w:rPr>
      </w:pPr>
      <w:bookmarkStart w:id="82" w:name="_Toc79163626"/>
      <w:bookmarkStart w:id="83" w:name="_Toc15377223"/>
      <w:bookmarkStart w:id="84" w:name="_Toc32429"/>
      <w:r>
        <w:rPr>
          <w:rFonts w:hint="eastAsia" w:ascii="仿宋" w:eastAsia="仿宋"/>
          <w:b/>
          <w:color w:val="000000"/>
          <w:sz w:val="32"/>
          <w:szCs w:val="32"/>
        </w:rPr>
        <w:t>（二）政府采购支出情况</w:t>
      </w:r>
      <w:bookmarkEnd w:id="82"/>
      <w:bookmarkEnd w:id="83"/>
      <w:bookmarkEnd w:id="84"/>
    </w:p>
    <w:p>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2024年</w:t>
      </w:r>
      <w:r>
        <w:rPr>
          <w:rFonts w:hint="eastAsia" w:ascii="仿宋_GB2312" w:eastAsia="仿宋_GB2312"/>
          <w:color w:val="000000"/>
          <w:sz w:val="32"/>
          <w:szCs w:val="32"/>
        </w:rPr>
        <w:t>，</w:t>
      </w:r>
      <w:r>
        <w:rPr>
          <w:rFonts w:hint="eastAsia" w:ascii="仿宋_GB2312" w:eastAsia="仿宋_GB2312"/>
          <w:color w:val="000000"/>
          <w:sz w:val="32"/>
          <w:szCs w:val="32"/>
          <w:lang w:eastAsia="zh-CN"/>
        </w:rPr>
        <w:t>壤塘县中壤塘文化旅游景区管理处</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项目的采购支出</w:t>
      </w:r>
      <w:r>
        <w:rPr>
          <w:rFonts w:hint="eastAsia" w:ascii="仿宋_GB2312" w:eastAsia="仿宋_GB2312"/>
          <w:color w:val="000000"/>
          <w:sz w:val="32"/>
          <w:szCs w:val="32"/>
        </w:rPr>
        <w:t>。授予中小企业合同金额1</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eastAsia="仿宋"/>
          <w:b/>
          <w:color w:val="000000"/>
          <w:sz w:val="32"/>
          <w:szCs w:val="32"/>
        </w:rPr>
      </w:pPr>
      <w:bookmarkStart w:id="85" w:name="_Toc79163627"/>
      <w:bookmarkStart w:id="86" w:name="_Toc13102"/>
      <w:bookmarkStart w:id="87" w:name="_Toc15377224"/>
      <w:r>
        <w:rPr>
          <w:rFonts w:hint="eastAsia" w:ascii="仿宋" w:eastAsia="仿宋"/>
          <w:b/>
          <w:color w:val="000000"/>
          <w:sz w:val="32"/>
          <w:szCs w:val="32"/>
        </w:rPr>
        <w:t>（三）国有资产占有使用情况</w:t>
      </w:r>
      <w:bookmarkEnd w:id="85"/>
      <w:bookmarkEnd w:id="86"/>
      <w:bookmarkEnd w:id="87"/>
    </w:p>
    <w:p>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eastAsia="仿宋"/>
          <w:b/>
          <w:color w:val="FF0000"/>
          <w:sz w:val="32"/>
          <w:szCs w:val="32"/>
        </w:rPr>
      </w:pPr>
      <w:r>
        <w:rPr>
          <w:rFonts w:hint="eastAsia" w:ascii="仿宋_GB2312" w:eastAsia="仿宋_GB2312"/>
          <w:color w:val="000000"/>
          <w:sz w:val="32"/>
          <w:szCs w:val="32"/>
          <w:lang w:eastAsia="zh-CN"/>
        </w:rPr>
        <w:t>截止2024年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壤塘县中壤塘文化旅游景区管理处</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搬运货物，</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widowControl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eastAsia="仿宋"/>
          <w:b/>
          <w:color w:val="000000"/>
          <w:sz w:val="32"/>
          <w:szCs w:val="32"/>
        </w:rPr>
      </w:pPr>
      <w:bookmarkStart w:id="88" w:name="_Toc23651"/>
      <w:bookmarkStart w:id="89" w:name="_Toc79163628"/>
      <w:r>
        <w:rPr>
          <w:rFonts w:hint="eastAsia" w:ascii="仿宋" w:eastAsia="仿宋"/>
          <w:b/>
          <w:color w:val="000000"/>
          <w:sz w:val="32"/>
          <w:szCs w:val="32"/>
        </w:rPr>
        <w:t>（四）预算绩效管理情况。</w:t>
      </w:r>
      <w:bookmarkEnd w:id="88"/>
      <w:bookmarkEnd w:id="89"/>
    </w:p>
    <w:p>
      <w:pPr>
        <w:pageBreakBefore w:val="0"/>
        <w:widowControl w:val="0"/>
        <w:kinsoku/>
        <w:wordWrap/>
        <w:overflowPunct/>
        <w:topLinePunct w:val="0"/>
        <w:bidi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根据预算绩效管理要求，本单位在年初预算编制阶段，组织对</w:t>
      </w:r>
      <w:r>
        <w:rPr>
          <w:rFonts w:hint="eastAsia" w:ascii="仿宋_GB2312" w:eastAsia="仿宋_GB2312" w:cs="仿宋_GB2312"/>
          <w:sz w:val="32"/>
          <w:szCs w:val="32"/>
          <w:lang w:val="en-US" w:eastAsia="zh-CN"/>
        </w:rPr>
        <w:t>伙食团经费等13个</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开展了预算事前绩效评估，对</w:t>
      </w: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13个项目</w:t>
      </w:r>
      <w:r>
        <w:rPr>
          <w:rFonts w:hint="eastAsia" w:ascii="仿宋_GB2312" w:eastAsia="仿宋_GB2312" w:cs="仿宋_GB2312"/>
          <w:sz w:val="32"/>
          <w:szCs w:val="32"/>
        </w:rPr>
        <w:t>开展了绩效目标完成情况自评。</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度一般公共预算以及资本资产、债券资金等全面开展绩效自评，形成</w:t>
      </w:r>
      <w:r>
        <w:rPr>
          <w:rFonts w:hint="eastAsia" w:ascii="仿宋_GB2312" w:hAnsi="仿宋_GB2312" w:eastAsia="仿宋_GB2312" w:cs="仿宋_GB2312"/>
          <w:sz w:val="32"/>
          <w:szCs w:val="32"/>
          <w:lang w:val="en-US" w:eastAsia="zh-CN"/>
        </w:rPr>
        <w:t>壤塘县中壤塘文化旅游景区管理处</w:t>
      </w:r>
      <w:r>
        <w:rPr>
          <w:rFonts w:hint="eastAsia" w:ascii="仿宋_GB2312" w:hAnsi="仿宋_GB2312" w:eastAsia="仿宋_GB2312" w:cs="仿宋_GB2312"/>
          <w:sz w:val="32"/>
          <w:szCs w:val="32"/>
        </w:rPr>
        <w:t>（含部门预算项目）绩效自评报告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壤塘县中壤塘文化旅游景区管理处</w:t>
      </w:r>
      <w:r>
        <w:rPr>
          <w:rFonts w:hint="eastAsia" w:ascii="仿宋_GB2312" w:hAnsi="仿宋_GB2312" w:eastAsia="仿宋_GB2312" w:cs="仿宋_GB2312"/>
          <w:sz w:val="32"/>
          <w:szCs w:val="32"/>
        </w:rPr>
        <w:t>（含部门预算项目）绩效自评得分为</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本次部门整体支出绩效自评得分为94分，总体表现良好。绩效自评报告详见附件。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ind w:firstLine="640" w:firstLineChars="200"/>
        <w:jc w:val="left"/>
        <w:rPr>
          <w:rFonts w:hint="eastAsia" w:ascii="仿宋_GB2312" w:hAnsi="仿宋_GB2312" w:eastAsia="仿宋_GB2312" w:cs="仿宋_GB2312"/>
          <w:sz w:val="32"/>
          <w:szCs w:val="32"/>
          <w:lang w:val="en-US" w:eastAsia="zh-CN"/>
        </w:rPr>
      </w:pPr>
    </w:p>
    <w:p>
      <w:pPr>
        <w:numPr>
          <w:ilvl w:val="0"/>
          <w:numId w:val="3"/>
        </w:numPr>
        <w:spacing w:line="600" w:lineRule="exact"/>
        <w:ind w:left="0" w:firstLine="660" w:firstLineChars="150"/>
        <w:jc w:val="center"/>
        <w:outlineLvl w:val="0"/>
        <w:rPr>
          <w:rStyle w:val="28"/>
          <w:rFonts w:ascii="黑体" w:eastAsia="黑体"/>
          <w:b w:val="0"/>
        </w:rPr>
      </w:pPr>
      <w:bookmarkStart w:id="90" w:name="_Toc28776"/>
      <w:bookmarkStart w:id="91" w:name="_Toc79163629"/>
      <w:bookmarkStart w:id="92" w:name="_Toc25801"/>
      <w:bookmarkStart w:id="93" w:name="_Toc15396613"/>
      <w:bookmarkStart w:id="94" w:name="_Toc15377225"/>
      <w:r>
        <w:rPr>
          <w:rFonts w:hint="eastAsia" w:ascii="黑体" w:eastAsia="黑体"/>
          <w:color w:val="000000"/>
          <w:sz w:val="44"/>
          <w:szCs w:val="44"/>
        </w:rPr>
        <w:t>名</w:t>
      </w:r>
      <w:r>
        <w:rPr>
          <w:rStyle w:val="28"/>
          <w:rFonts w:hint="eastAsia" w:ascii="黑体" w:eastAsia="黑体"/>
          <w:b w:val="0"/>
        </w:rPr>
        <w:t>词解释</w:t>
      </w:r>
      <w:bookmarkEnd w:id="90"/>
      <w:bookmarkEnd w:id="91"/>
      <w:bookmarkEnd w:id="92"/>
      <w:bookmarkEnd w:id="93"/>
      <w:bookmarkEnd w:id="94"/>
    </w:p>
    <w:p>
      <w:pPr>
        <w:spacing w:line="600" w:lineRule="exact"/>
        <w:jc w:val="left"/>
        <w:rPr>
          <w:rFonts w:ascii="宋体"/>
          <w:b/>
          <w:color w:val="000000"/>
          <w:sz w:val="44"/>
          <w:szCs w:val="44"/>
        </w:rPr>
      </w:pPr>
    </w:p>
    <w:p>
      <w:pPr>
        <w:pStyle w:val="3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9. 社会保障和就业（类）人力资源和社会保障管理事务（款）社会保险经办机构（项）：指社会保险经办机构开展业务工作的支出</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10.社会保障和就业（类）行政事业单位离退休（款）机关事业单位基本养老保险缴费支出（项）：指机关事业单位实施养老保险制度由单位缴纳的基本养老保险费支出。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 社会保障和就业（类）行政事业单位离退休（款）机关事业单位职业年金缴费支出（项）：指机关事业单位养老保险制度由单位缴纳的职业年金支出。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12.医疗卫生与计划生育（类）行政事业单位医疗（款）事业单位医疗（项）：指财政部门集中安排的事业单位基本医疗保险缴费。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13.住房保障（类）住房改革（款）住房公积金（项）：指行政事业单位按规定的标准和比例为职工缴纳的住房公积金。</w:t>
      </w:r>
    </w:p>
    <w:p>
      <w:pPr>
        <w:pStyle w:val="33"/>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14.基本支出：指为保障机构正常运转、完成日常工作任务而发生的人员支出和公用支出。</w:t>
      </w:r>
    </w:p>
    <w:p>
      <w:pPr>
        <w:pStyle w:val="33"/>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15.项目支出：指在基本支出之外为完成特定行政任务和事业发展目标所发生的支出。</w:t>
      </w:r>
    </w:p>
    <w:p>
      <w:pPr>
        <w:pStyle w:val="33"/>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16.经营支出：指事业单位在专业业务活动及其辅助活动之外开展非独立核算经营活动发生的支出。</w:t>
      </w:r>
    </w:p>
    <w:p>
      <w:pPr>
        <w:pStyle w:val="33"/>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pPr>
        <w:spacing w:line="600" w:lineRule="exact"/>
        <w:jc w:val="center"/>
        <w:outlineLvl w:val="0"/>
        <w:rPr>
          <w:rStyle w:val="28"/>
          <w:rFonts w:ascii="黑体" w:eastAsia="黑体"/>
          <w:b w:val="0"/>
        </w:rPr>
      </w:pPr>
      <w:bookmarkStart w:id="95" w:name="_Toc15377226"/>
      <w:r>
        <w:rPr>
          <w:rFonts w:ascii="宋体"/>
          <w:b/>
          <w:color w:val="000000"/>
          <w:sz w:val="44"/>
          <w:szCs w:val="44"/>
        </w:rPr>
        <w:br w:type="page"/>
      </w:r>
      <w:bookmarkStart w:id="96" w:name="_Toc79163630"/>
      <w:bookmarkStart w:id="97" w:name="_Toc15396614"/>
      <w:bookmarkStart w:id="98" w:name="_Toc30450"/>
      <w:bookmarkStart w:id="99" w:name="_Toc3560"/>
      <w:r>
        <w:rPr>
          <w:rFonts w:hint="eastAsia" w:ascii="黑体" w:eastAsia="黑体"/>
          <w:color w:val="000000"/>
          <w:sz w:val="44"/>
          <w:szCs w:val="44"/>
        </w:rPr>
        <w:t>第</w:t>
      </w:r>
      <w:r>
        <w:rPr>
          <w:rStyle w:val="28"/>
          <w:rFonts w:hint="eastAsia" w:ascii="黑体" w:eastAsia="黑体"/>
          <w:b w:val="0"/>
        </w:rPr>
        <w:t>四部分</w:t>
      </w:r>
      <w:r>
        <w:rPr>
          <w:rStyle w:val="28"/>
          <w:rFonts w:ascii="黑体" w:eastAsia="黑体"/>
          <w:b w:val="0"/>
        </w:rPr>
        <w:t xml:space="preserve"> </w:t>
      </w:r>
      <w:r>
        <w:rPr>
          <w:rStyle w:val="28"/>
          <w:rFonts w:hint="eastAsia" w:ascii="黑体" w:eastAsia="黑体"/>
          <w:b w:val="0"/>
        </w:rPr>
        <w:t>附件</w:t>
      </w:r>
      <w:bookmarkEnd w:id="96"/>
      <w:bookmarkEnd w:id="97"/>
      <w:bookmarkEnd w:id="98"/>
      <w:bookmarkEnd w:id="99"/>
    </w:p>
    <w:p>
      <w:pPr>
        <w:spacing w:line="600" w:lineRule="exact"/>
        <w:jc w:val="left"/>
        <w:outlineLvl w:val="0"/>
        <w:rPr>
          <w:rFonts w:ascii="黑体" w:eastAsia="黑体" w:cs="黑体"/>
          <w:sz w:val="32"/>
          <w:szCs w:val="32"/>
        </w:rPr>
      </w:pPr>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壤塘县中壤塘文化旅游景区管理处</w:t>
      </w:r>
    </w:p>
    <w:p>
      <w:pPr>
        <w:spacing w:line="360" w:lineRule="auto"/>
        <w:jc w:val="center"/>
        <w:rPr>
          <w:rFonts w:ascii="宋体" w:hAnsi="宋体" w:cs="宋体"/>
          <w:b/>
          <w:bCs/>
          <w:kern w:val="0"/>
          <w:sz w:val="44"/>
          <w:szCs w:val="44"/>
        </w:rPr>
      </w:pPr>
      <w:r>
        <w:rPr>
          <w:rFonts w:hint="eastAsia" w:ascii="宋体" w:hAnsi="宋体" w:cs="宋体"/>
          <w:b/>
          <w:bCs/>
          <w:kern w:val="0"/>
          <w:sz w:val="44"/>
          <w:szCs w:val="44"/>
          <w:lang w:eastAsia="zh-CN"/>
        </w:rPr>
        <w:t>2024年</w:t>
      </w:r>
      <w:r>
        <w:rPr>
          <w:rFonts w:hint="eastAsia" w:ascii="宋体" w:hAnsi="宋体" w:cs="宋体"/>
          <w:b/>
          <w:bCs/>
          <w:kern w:val="0"/>
          <w:sz w:val="44"/>
          <w:szCs w:val="44"/>
        </w:rPr>
        <w:t>度部门整体支出绩效评价自评报告</w:t>
      </w:r>
    </w:p>
    <w:p>
      <w:pPr>
        <w:spacing w:line="360" w:lineRule="auto"/>
        <w:jc w:val="center"/>
        <w:rPr>
          <w:rFonts w:ascii="宋体" w:hAnsi="宋体" w:cs="宋体"/>
          <w:kern w:val="0"/>
          <w:szCs w:val="21"/>
        </w:rPr>
      </w:pPr>
    </w:p>
    <w:p>
      <w:p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壤塘县中壤塘文化旅游景区管理处机构性质：事业单位，机构地址：四川省阿坝州壤塘县中壤塘镇伊根多村34号，单位负责人：泽让恩波。</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壤塘中壤塘文化旅游景区管理处共有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个股室，办公室、规划建设股、管理运营股。</w:t>
      </w:r>
    </w:p>
    <w:p>
      <w:pPr>
        <w:numPr>
          <w:ilvl w:val="0"/>
          <w:numId w:val="4"/>
        </w:num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pPr>
        <w:numPr>
          <w:ilvl w:val="0"/>
          <w:numId w:val="4"/>
        </w:numPr>
        <w:spacing w:line="360" w:lineRule="auto"/>
        <w:ind w:firstLine="640" w:firstLineChars="200"/>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中壤塘文化旅游景区管理处成立于2017年，2022年11月3日，隶属关系由县人民政府直属管理调整为县文体旅游局部门管理事业单位。负责管理壤巴拉文化旅游景区、壤巴拉非遗传习创业园16个传习所及南木达片区14个传习所，2025年6月更名为壤塘县文化旅游景区发展中心。</w:t>
      </w:r>
    </w:p>
    <w:p>
      <w:pPr>
        <w:numPr>
          <w:ilvl w:val="0"/>
          <w:numId w:val="4"/>
        </w:numPr>
        <w:spacing w:line="360" w:lineRule="auto"/>
        <w:ind w:firstLine="640"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10"/>
          <w:sz w:val="32"/>
          <w:szCs w:val="32"/>
        </w:rPr>
        <w:t>下内设机构：办公室、规划建设股、管理运营股、壤巴拉非遗传习创业园管理运营股。</w:t>
      </w:r>
    </w:p>
    <w:p>
      <w:pPr>
        <w:numPr>
          <w:ilvl w:val="0"/>
          <w:numId w:val="4"/>
        </w:num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人员情况：总</w:t>
      </w:r>
      <w:r>
        <w:rPr>
          <w:rFonts w:hint="eastAsia" w:ascii="仿宋_GB2312" w:hAnsi="宋体" w:eastAsia="仿宋_GB2312" w:cs="仿宋_GB2312"/>
          <w:kern w:val="0"/>
          <w:sz w:val="32"/>
          <w:szCs w:val="32"/>
          <w:lang w:val="en-US" w:eastAsia="zh-CN"/>
        </w:rPr>
        <w:t>人数</w:t>
      </w:r>
      <w:r>
        <w:rPr>
          <w:rFonts w:hint="eastAsia" w:ascii="仿宋_GB2312" w:hAnsi="宋体" w:eastAsia="仿宋_GB2312" w:cs="仿宋_GB2312"/>
          <w:kern w:val="0"/>
          <w:sz w:val="32"/>
          <w:szCs w:val="32"/>
        </w:rPr>
        <w:t>1</w:t>
      </w:r>
      <w:r>
        <w:rPr>
          <w:rFonts w:hint="eastAsia" w:ascii="仿宋_GB2312" w:hAnsi="宋体" w:eastAsia="仿宋_GB2312" w:cs="仿宋_GB2312"/>
          <w:kern w:val="0"/>
          <w:sz w:val="32"/>
          <w:szCs w:val="32"/>
          <w:lang w:val="en-US" w:eastAsia="zh-CN"/>
        </w:rPr>
        <w:t>5人</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事业编制1</w:t>
      </w:r>
      <w:r>
        <w:rPr>
          <w:rFonts w:hint="eastAsia" w:ascii="仿宋_GB2312" w:hAnsi="宋体" w:eastAsia="仿宋_GB2312" w:cs="仿宋_GB2312"/>
          <w:kern w:val="0"/>
          <w:sz w:val="32"/>
          <w:szCs w:val="32"/>
          <w:lang w:val="en-US" w:eastAsia="zh-CN"/>
        </w:rPr>
        <w:t>5</w:t>
      </w:r>
      <w:r>
        <w:rPr>
          <w:rFonts w:hint="eastAsia" w:ascii="仿宋_GB2312" w:hAnsi="宋体" w:eastAsia="仿宋_GB2312" w:cs="仿宋_GB2312"/>
          <w:kern w:val="0"/>
          <w:sz w:val="32"/>
          <w:szCs w:val="32"/>
        </w:rPr>
        <w:t>人</w:t>
      </w:r>
      <w:r>
        <w:rPr>
          <w:rFonts w:hint="eastAsia" w:ascii="仿宋_GB2312" w:hAnsi="仿宋_GB2312" w:eastAsia="仿宋_GB2312" w:cs="仿宋_GB2312"/>
          <w:sz w:val="32"/>
          <w:szCs w:val="32"/>
        </w:rPr>
        <w:t>。</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pPr>
        <w:spacing w:line="360" w:lineRule="auto"/>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pPr>
        <w:pStyle w:val="39"/>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财政下达壤塘县中壤塘文化旅游景区管理处年初预算收入</w:t>
      </w:r>
      <w:r>
        <w:rPr>
          <w:rFonts w:hint="eastAsia" w:ascii="仿宋_GB2312" w:hAnsi="仿宋_GB2312" w:eastAsia="仿宋_GB2312" w:cs="仿宋_GB2312"/>
          <w:sz w:val="32"/>
          <w:szCs w:val="32"/>
          <w:lang w:val="en-US" w:eastAsia="zh-CN"/>
        </w:rPr>
        <w:t>293.32</w:t>
      </w:r>
      <w:r>
        <w:rPr>
          <w:rFonts w:hint="eastAsia" w:ascii="仿宋_GB2312" w:hAnsi="仿宋_GB2312" w:eastAsia="仿宋_GB2312" w:cs="仿宋_GB2312"/>
          <w:sz w:val="32"/>
          <w:szCs w:val="32"/>
        </w:rPr>
        <w:t>万元，执行期中追加收入</w:t>
      </w:r>
      <w:r>
        <w:rPr>
          <w:rFonts w:hint="eastAsia" w:ascii="仿宋_GB2312" w:hAnsi="仿宋_GB2312" w:eastAsia="仿宋_GB2312" w:cs="仿宋_GB2312"/>
          <w:sz w:val="32"/>
          <w:szCs w:val="32"/>
          <w:lang w:val="en-US" w:eastAsia="zh-CN"/>
        </w:rPr>
        <w:t>1081.54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部门财政资金收入合计1374.86万元；其他收入20万元，全年实际收入合计为1394.86万元，本年度无财政应返还额度</w:t>
      </w:r>
      <w:r>
        <w:rPr>
          <w:rFonts w:hint="eastAsia" w:ascii="仿宋_GB2312" w:hAnsi="仿宋_GB2312" w:eastAsia="仿宋_GB2312" w:cs="仿宋_GB2312"/>
          <w:sz w:val="32"/>
          <w:szCs w:val="32"/>
        </w:rPr>
        <w:t xml:space="preserve">。 </w:t>
      </w:r>
    </w:p>
    <w:p>
      <w:pPr>
        <w:pStyle w:val="39"/>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r>
        <w:rPr>
          <w:rFonts w:hint="eastAsia" w:ascii="仿宋_GB2312" w:hAnsi="仿宋_GB2312" w:eastAsia="仿宋_GB2312" w:cs="仿宋_GB2312"/>
          <w:sz w:val="32"/>
          <w:szCs w:val="32"/>
        </w:rPr>
        <w:t xml:space="preserve">  </w:t>
      </w:r>
    </w:p>
    <w:p>
      <w:pPr>
        <w:pStyle w:val="39"/>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壤塘县中壤塘文化旅游景区管理处支出数共计</w:t>
      </w:r>
      <w:r>
        <w:rPr>
          <w:rFonts w:hint="eastAsia" w:ascii="仿宋_GB2312" w:hAnsi="仿宋_GB2312" w:eastAsia="仿宋_GB2312" w:cs="仿宋_GB2312"/>
          <w:sz w:val="32"/>
          <w:szCs w:val="32"/>
          <w:lang w:eastAsia="zh-CN"/>
        </w:rPr>
        <w:t>1394.86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366.02</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1028.84</w:t>
      </w:r>
      <w:r>
        <w:rPr>
          <w:rFonts w:hint="eastAsia" w:ascii="仿宋_GB2312" w:hAnsi="仿宋_GB2312" w:eastAsia="仿宋_GB2312" w:cs="仿宋_GB2312"/>
          <w:sz w:val="32"/>
          <w:szCs w:val="32"/>
        </w:rPr>
        <w:t>万元。</w:t>
      </w:r>
    </w:p>
    <w:p>
      <w:pPr>
        <w:spacing w:line="360" w:lineRule="auto"/>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pPr>
        <w:pStyle w:val="39"/>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（一）部门预算管理</w:t>
      </w:r>
    </w:p>
    <w:p>
      <w:pPr>
        <w:pStyle w:val="39"/>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1.部门整体绩效目标制定情况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kern w:val="2"/>
          <w:sz w:val="32"/>
          <w:szCs w:val="32"/>
          <w:lang w:val="en-US" w:eastAsia="zh-CN" w:bidi="ar-SA"/>
        </w:rPr>
        <w:t>景区管理处坚持以壤巴拉文化旅游景区为抓手，以文旅融合发展为重点，全面推进单位各项工作落实落细</w:t>
      </w:r>
      <w:r>
        <w:rPr>
          <w:rFonts w:hint="eastAsia" w:ascii="仿宋_GB2312" w:hAnsi="仿宋_GB2312" w:eastAsia="仿宋_GB2312" w:cs="仿宋_GB2312"/>
          <w:sz w:val="32"/>
          <w:szCs w:val="32"/>
        </w:rPr>
        <w:t>。</w:t>
      </w:r>
    </w:p>
    <w:p>
      <w:pPr>
        <w:pStyle w:val="39"/>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2.部门整体绩效目标完成情况</w:t>
      </w:r>
    </w:p>
    <w:p>
      <w:pPr>
        <w:pStyle w:val="39"/>
        <w:spacing w:line="360" w:lineRule="auto"/>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（1）聚焦主责主业，强化内部管理；</w:t>
      </w:r>
    </w:p>
    <w:p>
      <w:pPr>
        <w:pStyle w:val="39"/>
        <w:spacing w:line="360" w:lineRule="auto"/>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坚持非遗文化“走出去”，促进文化交流交融；坚持“引进来”“走出去”双向提速，在充分挖掘文化资源的基础上，扩大非遗文化影响力，利用上海、杭州、江西等地的23个“飞地”传习所，深始终把文化、旅游作为经济发展的“活力源”，深化壤塘产业发展对外交流、项目合作和人才培养，不断延伸文化的广度。</w:t>
      </w:r>
    </w:p>
    <w:p>
      <w:pPr>
        <w:pStyle w:val="39"/>
        <w:spacing w:line="360" w:lineRule="auto"/>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提升公共服务水平，推进非遗文化宣传推广；完成了省州县各级领导来壤讲解服务工作。做好了省级主要领导来壤调研筹备工作，包括点位展板制作、汇报材料、环境卫生整治等工作。2024年共计接待省、州、县级领导及专家游客430次，6000余人</w:t>
      </w:r>
      <w:r>
        <w:rPr>
          <w:rFonts w:hint="eastAsia" w:ascii="仿宋_GB2312" w:hAnsi="仿宋_GB2312" w:eastAsia="仿宋_GB2312" w:cs="仿宋_GB2312"/>
          <w:color w:val="000000"/>
          <w:kern w:val="0"/>
          <w:sz w:val="31"/>
          <w:szCs w:val="31"/>
          <w:lang w:val="en-US" w:eastAsia="zh-CN" w:bidi="ar"/>
        </w:rPr>
        <w:t>。</w:t>
      </w:r>
    </w:p>
    <w:p>
      <w:pPr>
        <w:pStyle w:val="39"/>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3.预算编制情况</w:t>
      </w:r>
    </w:p>
    <w:p>
      <w:pPr>
        <w:pStyle w:val="39"/>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壤塘县中壤塘文化旅游景区管理处</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293.32</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hint="eastAsia" w:ascii="仿宋_GB2312" w:hAnsi="仿宋_GB2312" w:eastAsia="仿宋_GB2312" w:cs="仿宋_GB2312"/>
          <w:sz w:val="32"/>
          <w:szCs w:val="32"/>
          <w:lang w:val="en-US" w:eastAsia="zh-CN"/>
        </w:rPr>
        <w:t>1081.54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其他收入20万元，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val="en-US" w:eastAsia="zh-CN"/>
        </w:rPr>
        <w:t>1394.86</w:t>
      </w:r>
      <w:r>
        <w:rPr>
          <w:rFonts w:ascii="仿宋_GB2312" w:hAnsi="仿宋_GB2312" w:eastAsia="仿宋_GB2312" w:cs="仿宋_GB2312"/>
          <w:sz w:val="32"/>
          <w:szCs w:val="32"/>
        </w:rPr>
        <w:t>万元，</w:t>
      </w:r>
      <w:r>
        <w:rPr>
          <w:rFonts w:hint="default" w:ascii="仿宋_GB2312" w:hAnsi="仿宋_GB2312" w:eastAsia="仿宋_GB2312" w:cs="仿宋_GB2312"/>
          <w:sz w:val="32"/>
          <w:szCs w:val="32"/>
          <w:lang w:val="en-US" w:eastAsia="zh-CN"/>
        </w:rPr>
        <w:t>预算安排</w:t>
      </w:r>
      <w:r>
        <w:rPr>
          <w:rFonts w:hint="eastAsia" w:ascii="仿宋_GB2312" w:hAnsi="仿宋_GB2312" w:eastAsia="仿宋_GB2312" w:cs="仿宋_GB2312"/>
          <w:sz w:val="32"/>
          <w:szCs w:val="32"/>
          <w:lang w:val="en-US" w:eastAsia="zh-CN"/>
        </w:rPr>
        <w:t>准确性不高，主要是因为项目支出未纳入预算</w:t>
      </w:r>
      <w:r>
        <w:rPr>
          <w:rFonts w:ascii="仿宋_GB2312" w:hAnsi="仿宋_GB2312" w:eastAsia="仿宋_GB2312" w:cs="仿宋_GB2312"/>
          <w:sz w:val="32"/>
          <w:szCs w:val="32"/>
        </w:rPr>
        <w:t>。</w:t>
      </w:r>
    </w:p>
    <w:p>
      <w:pPr>
        <w:pStyle w:val="39"/>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4.执行进度</w:t>
      </w:r>
    </w:p>
    <w:p>
      <w:pPr>
        <w:pStyle w:val="39"/>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壤塘县中壤塘文化旅游景区管理处财政拨款执行数</w:t>
      </w:r>
      <w:r>
        <w:rPr>
          <w:rFonts w:hint="eastAsia" w:ascii="仿宋_GB2312" w:hAnsi="仿宋_GB2312" w:eastAsia="仿宋_GB2312" w:cs="仿宋_GB2312"/>
          <w:sz w:val="32"/>
          <w:szCs w:val="32"/>
          <w:lang w:eastAsia="zh-CN"/>
        </w:rPr>
        <w:t>1374.86</w:t>
      </w:r>
      <w:r>
        <w:rPr>
          <w:rFonts w:hint="eastAsia" w:ascii="仿宋_GB2312" w:hAnsi="仿宋_GB2312" w:eastAsia="仿宋_GB2312" w:cs="仿宋_GB2312"/>
          <w:sz w:val="32"/>
          <w:szCs w:val="32"/>
        </w:rPr>
        <w:t>万元，财政拨款调整预算数</w:t>
      </w:r>
      <w:r>
        <w:rPr>
          <w:rFonts w:hint="eastAsia" w:ascii="仿宋_GB2312" w:hAnsi="仿宋_GB2312" w:eastAsia="仿宋_GB2312" w:cs="仿宋_GB2312"/>
          <w:sz w:val="32"/>
          <w:szCs w:val="32"/>
          <w:lang w:eastAsia="zh-CN"/>
        </w:rPr>
        <w:t>13</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4.86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部门整体执行进度为100%，执行进度较高</w:t>
      </w:r>
      <w:r>
        <w:rPr>
          <w:rFonts w:hint="eastAsia" w:ascii="仿宋_GB2312" w:hAnsi="仿宋_GB2312" w:eastAsia="仿宋_GB2312" w:cs="仿宋_GB2312"/>
          <w:sz w:val="32"/>
          <w:szCs w:val="32"/>
        </w:rPr>
        <w:t>。</w:t>
      </w:r>
    </w:p>
    <w:p>
      <w:pPr>
        <w:pStyle w:val="39"/>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5.预算完成情况</w:t>
      </w:r>
    </w:p>
    <w:p>
      <w:pPr>
        <w:pStyle w:val="39"/>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壤塘县中壤塘文化旅游景区管理处</w:t>
      </w:r>
      <w:r>
        <w:rPr>
          <w:rFonts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293.32</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执行期间根据工作安排和开展情况追加收入</w:t>
      </w:r>
      <w:r>
        <w:rPr>
          <w:rFonts w:hint="eastAsia" w:ascii="仿宋_GB2312" w:hAnsi="仿宋_GB2312" w:eastAsia="仿宋_GB2312" w:cs="仿宋_GB2312"/>
          <w:sz w:val="32"/>
          <w:szCs w:val="32"/>
          <w:lang w:val="en-US" w:eastAsia="zh-CN"/>
        </w:rPr>
        <w:t>1081.54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其他收入20万元，</w:t>
      </w:r>
      <w:r>
        <w:rPr>
          <w:rFonts w:ascii="仿宋_GB2312" w:hAnsi="仿宋_GB2312" w:eastAsia="仿宋_GB2312" w:cs="仿宋_GB2312"/>
          <w:sz w:val="32"/>
          <w:szCs w:val="32"/>
        </w:rPr>
        <w:t>调整预算数为</w:t>
      </w:r>
      <w:r>
        <w:rPr>
          <w:rFonts w:hint="eastAsia" w:ascii="仿宋_GB2312" w:hAnsi="仿宋_GB2312" w:eastAsia="仿宋_GB2312" w:cs="仿宋_GB2312"/>
          <w:sz w:val="32"/>
          <w:szCs w:val="32"/>
          <w:lang w:val="en-US" w:eastAsia="zh-CN"/>
        </w:rPr>
        <w:t>1394.86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，预算完成度较高。</w:t>
      </w:r>
    </w:p>
    <w:p>
      <w:pPr>
        <w:pStyle w:val="39"/>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6.违规纪录</w:t>
      </w:r>
    </w:p>
    <w:p>
      <w:pPr>
        <w:pStyle w:val="39"/>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eastAsia="zh-CN"/>
        </w:rPr>
        <w:t>止2024年</w:t>
      </w:r>
      <w:r>
        <w:rPr>
          <w:rFonts w:hint="eastAsia" w:ascii="仿宋_GB2312" w:hAnsi="仿宋_GB2312" w:eastAsia="仿宋_GB2312" w:cs="仿宋_GB2312"/>
          <w:sz w:val="32"/>
          <w:szCs w:val="32"/>
        </w:rPr>
        <w:t>12月31日，我单位无违规纪录情况。</w:t>
      </w:r>
    </w:p>
    <w:p>
      <w:pPr>
        <w:pStyle w:val="39"/>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7.“三公”经费</w:t>
      </w:r>
    </w:p>
    <w:p>
      <w:pPr>
        <w:pStyle w:val="39"/>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控制。壤塘县中壤塘文化旅游景区管理处2024年“三公”经费预算0万元，决算支出0万元。未发生公务用车购置及运行维护费、因公出国（境）费及公务接待费，2024年“三公”经费决算均未超过预算。</w:t>
      </w:r>
    </w:p>
    <w:p>
      <w:pPr>
        <w:pStyle w:val="39"/>
        <w:spacing w:line="360" w:lineRule="auto"/>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8.政府采购</w:t>
      </w:r>
    </w:p>
    <w:p>
      <w:pPr>
        <w:pStyle w:val="39"/>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采购规范性。壤塘县中壤塘文化旅游景区管理处2024年度政府采购货物支出0万元，政府采购工程支出0万元，政府采购服务支出0万元。</w:t>
      </w:r>
    </w:p>
    <w:p>
      <w:pPr>
        <w:pStyle w:val="39"/>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9.资产管理</w:t>
      </w:r>
      <w:r>
        <w:rPr>
          <w:rFonts w:hint="eastAsia" w:ascii="仿宋_GB2312" w:hAnsi="仿宋_GB2312" w:eastAsia="仿宋_GB2312" w:cs="仿宋_GB2312"/>
          <w:sz w:val="32"/>
          <w:szCs w:val="32"/>
          <w:lang w:val="en-US" w:eastAsia="zh-CN"/>
        </w:rPr>
        <w:t xml:space="preserve">  </w:t>
      </w:r>
    </w:p>
    <w:p>
      <w:pPr>
        <w:pStyle w:val="39"/>
        <w:spacing w:line="360" w:lineRule="auto"/>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固定资产在用率。截止2024年12月31日，壤塘县中壤塘文化旅游景区管理处行政单位资产管理系统统</w:t>
      </w:r>
      <w:bookmarkStart w:id="163" w:name="_GoBack"/>
      <w:bookmarkEnd w:id="163"/>
      <w:r>
        <w:rPr>
          <w:rFonts w:hint="eastAsia" w:ascii="仿宋_GB2312" w:hAnsi="仿宋_GB2312" w:eastAsia="仿宋_GB2312" w:cs="仿宋_GB2312"/>
          <w:sz w:val="32"/>
          <w:szCs w:val="32"/>
          <w:lang w:val="en-US" w:eastAsia="zh-CN"/>
        </w:rPr>
        <w:t>计的固定资产总计3686.80万元，在用的固定资产总计3686.80万元，固定资产在用率达100%。</w:t>
      </w:r>
    </w:p>
    <w:p>
      <w:pPr>
        <w:pStyle w:val="39"/>
        <w:numPr>
          <w:ilvl w:val="0"/>
          <w:numId w:val="5"/>
        </w:numPr>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结果应用情况</w:t>
      </w:r>
    </w:p>
    <w:p>
      <w:pPr>
        <w:pStyle w:val="39"/>
        <w:spacing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根据县财政局要求，我单位成立自评工作小组，组织实施本单位</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执行财务管理制度，根据年初预算合理安排日常公用经费资金，做到厉行节约、精打细算，把有效的资金用到刀刃上，让财政资金发挥最大的社会及经济效益并保证各项工作的正常运转。</w:t>
      </w:r>
    </w:p>
    <w:p>
      <w:pPr>
        <w:pStyle w:val="39"/>
        <w:spacing w:line="360" w:lineRule="auto"/>
        <w:ind w:firstLine="643"/>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pPr>
        <w:pStyle w:val="39"/>
        <w:spacing w:line="360" w:lineRule="auto"/>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pPr>
        <w:pStyle w:val="39"/>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我单位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单位将继续努力，科学合理编制预决算，进行绩效评价，加强精细管理，完善不足</w:t>
      </w:r>
      <w:r>
        <w:rPr>
          <w:rFonts w:hint="eastAsia" w:ascii="仿宋_GB2312" w:hAnsi="仿宋_GB2312" w:eastAsia="仿宋_GB2312" w:cs="仿宋_GB2312"/>
          <w:sz w:val="32"/>
          <w:szCs w:val="32"/>
        </w:rPr>
        <w:t>。</w:t>
      </w:r>
    </w:p>
    <w:p>
      <w:pPr>
        <w:pStyle w:val="39"/>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（二）存在问题</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1.执行期间根据工作安排和开展情况追加收入较多，年初预算数与调整预算数差别较大，预算安排不准确</w:t>
      </w:r>
      <w:r>
        <w:rPr>
          <w:rFonts w:hint="eastAsia" w:ascii="仿宋_GB2312" w:hAnsi="仿宋_GB2312" w:eastAsia="仿宋_GB2312" w:cs="仿宋_GB2312"/>
          <w:sz w:val="32"/>
          <w:szCs w:val="32"/>
          <w:lang w:val="zh-CN"/>
        </w:rPr>
        <w:t>。</w:t>
      </w:r>
    </w:p>
    <w:p>
      <w:pPr>
        <w:keepNext w:val="0"/>
        <w:keepLines w:val="0"/>
        <w:pageBreakBefore w:val="0"/>
        <w:widowControl/>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（三）改进建议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1.加强预算安排准确性，尽量减少执行中期追加数。</w:t>
      </w:r>
    </w:p>
    <w:p>
      <w:pPr>
        <w:pStyle w:val="2"/>
        <w:rPr>
          <w:rFonts w:hint="eastAsia" w:ascii="仿宋_GB2312" w:hAnsi="仿宋_GB2312" w:eastAsia="仿宋_GB2312" w:cs="仿宋_GB2312"/>
          <w:sz w:val="32"/>
          <w:szCs w:val="32"/>
          <w:lang w:val="en-US" w:eastAsia="zh-CN"/>
        </w:rPr>
      </w:pPr>
    </w:p>
    <w:p>
      <w:pPr>
        <w:pStyle w:val="3"/>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eastAsia="黑体" w:cs="黑体"/>
          <w:sz w:val="32"/>
          <w:szCs w:val="32"/>
        </w:rPr>
      </w:pPr>
      <w:bookmarkStart w:id="100" w:name="_Toc79163883"/>
      <w:bookmarkStart w:id="101" w:name="_Toc79163633"/>
      <w:bookmarkStart w:id="102" w:name="_Toc25495"/>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部门预算项目支出绩效自评表（2024年度）</w:t>
      </w:r>
    </w:p>
    <w:bookmarkEnd w:id="100"/>
    <w:bookmarkEnd w:id="101"/>
    <w:bookmarkEnd w:id="102"/>
    <w:tbl>
      <w:tblPr>
        <w:tblStyle w:val="23"/>
        <w:tblW w:w="0" w:type="auto"/>
        <w:tblInd w:w="0" w:type="dxa"/>
        <w:shd w:val="clear" w:color="auto" w:fill="auto"/>
        <w:tblLayout w:type="autofit"/>
        <w:tblCellMar>
          <w:top w:w="0" w:type="dxa"/>
          <w:left w:w="0" w:type="dxa"/>
          <w:bottom w:w="0" w:type="dxa"/>
          <w:right w:w="0" w:type="dxa"/>
        </w:tblCellMar>
      </w:tblPr>
      <w:tblGrid>
        <w:gridCol w:w="626"/>
        <w:gridCol w:w="677"/>
        <w:gridCol w:w="597"/>
        <w:gridCol w:w="925"/>
        <w:gridCol w:w="299"/>
        <w:gridCol w:w="497"/>
        <w:gridCol w:w="299"/>
        <w:gridCol w:w="804"/>
        <w:gridCol w:w="314"/>
        <w:gridCol w:w="239"/>
        <w:gridCol w:w="3059"/>
      </w:tblGrid>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103" w:name="_Toc15396618"/>
            <w:bookmarkStart w:id="104" w:name="_Toc7627"/>
            <w:bookmarkStart w:id="105" w:name="_Toc79163635"/>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51323021T000000135858-伙食团经费</w:t>
            </w:r>
          </w:p>
        </w:tc>
      </w:tr>
      <w:tr>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单位伙食团经费，为了提高伙食团运转率，保障单位职工生活质量。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燃料费15000元/伙食团运转经费13000元/购买厨房用品2000元，合计30000元。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单位就餐服务人数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全年保障正常就餐天数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单位员工幸福指数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就餐人员满意度调查非常满意占比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伙食团经费成本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51323021T000000135868-中壤塘景区游客中心文化旅游发展运营、营销经费</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51323022T000006962607-2019年浙江援建壤塘县（浙川）文化扶贫产业园建设项目（二期）资金</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206.20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51323023T000009764192-壤塘县中壤塘镇创业园传习中心创作区提升项目</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51323023T000009764207-壤塘县中壤塘镇创业园唐卡传习所提升改造项目</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51323024T000010481005-阿坝州非遗现场会展厅建设项目</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68.17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68.17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51323024T000010716150-喜迎建州70周年瓷板画及挂毯费用</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38.03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38.03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51323024T000011429063-壤塘县中壤塘镇创业园区工坊二期建设项目</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622.40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622.40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51323024T000011725025-阿坝州推进全域旅游工作先进个人奖励资金</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51323024T000011830326-特色化产业摄影采风活动资金</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51323024T000012044691-壤巴拉文化产业园电力工程</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92.46%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92.46%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51323025T000012121761-控辍保学中壤塘非遗传习创业园教学点维修改造项目</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75.71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76.47%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75.71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76.47%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shd w:val="clear" w:color="auto" w:fill="auto"/>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51323025T000012688193-中壤塘非遗传习创业园控辍保学安置点原有学员租房安置的资金</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壤塘县中壤塘文化旅游景区管理处本级</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壤塘县中壤塘文化旅游景区管理处</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
    <w:p/>
    <w:p>
      <w:pPr>
        <w:pStyle w:val="3"/>
        <w:ind w:left="0" w:leftChars="0" w:firstLine="0" w:firstLineChars="0"/>
        <w:rPr>
          <w:rFonts w:hint="eastAsia"/>
        </w:rPr>
      </w:pPr>
    </w:p>
    <w:p>
      <w:pPr>
        <w:pStyle w:val="2"/>
        <w:rPr>
          <w:rFonts w:hint="eastAsia"/>
        </w:rPr>
      </w:pPr>
    </w:p>
    <w:p>
      <w:pPr>
        <w:pStyle w:val="3"/>
        <w:rPr>
          <w:rFonts w:hint="eastAsia"/>
        </w:rPr>
      </w:pPr>
    </w:p>
    <w:p>
      <w:pPr>
        <w:rPr>
          <w:rFonts w:hint="eastAsia"/>
        </w:rPr>
      </w:pPr>
    </w:p>
    <w:p>
      <w:pPr>
        <w:spacing w:line="600" w:lineRule="exact"/>
        <w:jc w:val="center"/>
        <w:outlineLvl w:val="0"/>
        <w:rPr>
          <w:rStyle w:val="28"/>
          <w:rFonts w:ascii="黑体" w:eastAsia="黑体"/>
          <w:b w:val="0"/>
        </w:rPr>
      </w:pPr>
      <w:bookmarkStart w:id="106" w:name="_Toc24761"/>
      <w:r>
        <w:rPr>
          <w:rFonts w:hint="eastAsia" w:ascii="黑体" w:eastAsia="黑体"/>
          <w:color w:val="000000"/>
          <w:sz w:val="44"/>
          <w:szCs w:val="44"/>
        </w:rPr>
        <w:t>第</w:t>
      </w:r>
      <w:r>
        <w:rPr>
          <w:rStyle w:val="28"/>
          <w:rFonts w:hint="eastAsia" w:ascii="黑体" w:eastAsia="黑体"/>
          <w:b w:val="0"/>
        </w:rPr>
        <w:t>五部分</w:t>
      </w:r>
      <w:r>
        <w:rPr>
          <w:rStyle w:val="28"/>
          <w:rFonts w:ascii="黑体" w:eastAsia="黑体"/>
          <w:b w:val="0"/>
        </w:rPr>
        <w:t xml:space="preserve"> </w:t>
      </w:r>
      <w:r>
        <w:rPr>
          <w:rStyle w:val="28"/>
          <w:rFonts w:hint="eastAsia" w:ascii="黑体" w:eastAsia="黑体"/>
          <w:b w:val="0"/>
        </w:rPr>
        <w:t>附表</w:t>
      </w:r>
      <w:bookmarkEnd w:id="95"/>
      <w:bookmarkEnd w:id="103"/>
      <w:bookmarkEnd w:id="104"/>
      <w:bookmarkEnd w:id="105"/>
      <w:bookmarkEnd w:id="106"/>
    </w:p>
    <w:p>
      <w:pPr>
        <w:pStyle w:val="6"/>
        <w:rPr>
          <w:rFonts w:ascii="仿宋" w:eastAsia="仿宋"/>
          <w:color w:val="000000"/>
        </w:rPr>
      </w:pPr>
      <w:bookmarkStart w:id="107" w:name="_Toc79163636"/>
      <w:bookmarkStart w:id="108" w:name="_Toc18544"/>
      <w:bookmarkStart w:id="109" w:name="_Toc15396619"/>
      <w:bookmarkStart w:id="110" w:name="_Toc10708"/>
      <w:r>
        <w:rPr>
          <w:rFonts w:hint="eastAsia" w:ascii="仿宋" w:eastAsia="仿宋"/>
          <w:b w:val="0"/>
          <w:color w:val="000000"/>
        </w:rPr>
        <w:t>一、收</w:t>
      </w:r>
      <w:r>
        <w:rPr>
          <w:rStyle w:val="29"/>
          <w:rFonts w:hint="eastAsia" w:ascii="仿宋" w:eastAsia="仿宋"/>
          <w:b w:val="0"/>
          <w:bCs w:val="0"/>
        </w:rPr>
        <w:t>入支出决算总表</w:t>
      </w:r>
      <w:bookmarkEnd w:id="107"/>
      <w:bookmarkEnd w:id="108"/>
      <w:bookmarkEnd w:id="109"/>
      <w:bookmarkEnd w:id="110"/>
    </w:p>
    <w:p>
      <w:pPr>
        <w:pStyle w:val="6"/>
        <w:rPr>
          <w:rFonts w:ascii="仿宋" w:eastAsia="仿宋"/>
          <w:color w:val="000000"/>
        </w:rPr>
      </w:pPr>
      <w:bookmarkStart w:id="111" w:name="_Toc79163637"/>
      <w:bookmarkStart w:id="112" w:name="_Toc13553"/>
      <w:bookmarkStart w:id="113" w:name="_Toc12275"/>
      <w:bookmarkStart w:id="114" w:name="_Toc15396620"/>
      <w:r>
        <w:rPr>
          <w:rFonts w:hint="eastAsia" w:ascii="仿宋" w:eastAsia="仿宋"/>
          <w:b w:val="0"/>
          <w:color w:val="000000"/>
        </w:rPr>
        <w:t>二、收</w:t>
      </w:r>
      <w:r>
        <w:rPr>
          <w:rStyle w:val="29"/>
          <w:rFonts w:hint="eastAsia" w:ascii="仿宋" w:eastAsia="仿宋"/>
          <w:b w:val="0"/>
          <w:bCs w:val="0"/>
        </w:rPr>
        <w:t>入决算表</w:t>
      </w:r>
      <w:bookmarkEnd w:id="111"/>
      <w:bookmarkEnd w:id="112"/>
      <w:bookmarkEnd w:id="113"/>
      <w:bookmarkEnd w:id="114"/>
    </w:p>
    <w:p>
      <w:pPr>
        <w:pStyle w:val="6"/>
        <w:rPr>
          <w:rFonts w:ascii="仿宋" w:eastAsia="仿宋"/>
          <w:color w:val="000000"/>
        </w:rPr>
      </w:pPr>
      <w:bookmarkStart w:id="115" w:name="_Toc79163638"/>
      <w:bookmarkStart w:id="116" w:name="_Toc6643"/>
      <w:bookmarkStart w:id="117" w:name="_Toc15396621"/>
      <w:bookmarkStart w:id="118" w:name="_Toc401"/>
      <w:r>
        <w:rPr>
          <w:rStyle w:val="29"/>
          <w:rFonts w:hint="eastAsia" w:ascii="仿宋" w:eastAsia="仿宋"/>
          <w:b w:val="0"/>
          <w:bCs w:val="0"/>
        </w:rPr>
        <w:t>三、</w:t>
      </w:r>
      <w:r>
        <w:rPr>
          <w:rFonts w:hint="eastAsia" w:ascii="仿宋" w:eastAsia="仿宋"/>
          <w:b w:val="0"/>
          <w:color w:val="000000"/>
        </w:rPr>
        <w:t>支</w:t>
      </w:r>
      <w:r>
        <w:rPr>
          <w:rStyle w:val="29"/>
          <w:rFonts w:hint="eastAsia" w:ascii="仿宋" w:eastAsia="仿宋"/>
          <w:b w:val="0"/>
          <w:bCs w:val="0"/>
        </w:rPr>
        <w:t>出决算表</w:t>
      </w:r>
      <w:bookmarkEnd w:id="115"/>
      <w:bookmarkEnd w:id="116"/>
      <w:bookmarkEnd w:id="117"/>
      <w:bookmarkEnd w:id="118"/>
    </w:p>
    <w:p>
      <w:pPr>
        <w:pStyle w:val="6"/>
        <w:rPr>
          <w:rFonts w:ascii="仿宋" w:eastAsia="仿宋"/>
          <w:b w:val="0"/>
          <w:color w:val="000000"/>
        </w:rPr>
      </w:pPr>
      <w:bookmarkStart w:id="119" w:name="_Toc7929"/>
      <w:bookmarkStart w:id="120" w:name="_Toc15396622"/>
      <w:bookmarkStart w:id="121" w:name="_Toc17608"/>
      <w:bookmarkStart w:id="122" w:name="_Toc79163639"/>
      <w:r>
        <w:rPr>
          <w:rStyle w:val="29"/>
          <w:rFonts w:hint="eastAsia" w:ascii="仿宋" w:eastAsia="仿宋"/>
          <w:b w:val="0"/>
          <w:bCs w:val="0"/>
        </w:rPr>
        <w:t>四、</w:t>
      </w:r>
      <w:r>
        <w:rPr>
          <w:rFonts w:hint="eastAsia" w:ascii="仿宋" w:eastAsia="仿宋"/>
          <w:b w:val="0"/>
          <w:color w:val="000000"/>
        </w:rPr>
        <w:t>财</w:t>
      </w:r>
      <w:r>
        <w:rPr>
          <w:rStyle w:val="29"/>
          <w:rFonts w:hint="eastAsia" w:ascii="仿宋" w:eastAsia="仿宋"/>
          <w:b w:val="0"/>
          <w:bCs w:val="0"/>
        </w:rPr>
        <w:t>政拨款收入支出决算总表</w:t>
      </w:r>
      <w:bookmarkEnd w:id="119"/>
      <w:bookmarkEnd w:id="120"/>
      <w:bookmarkEnd w:id="121"/>
      <w:bookmarkEnd w:id="122"/>
    </w:p>
    <w:p>
      <w:pPr>
        <w:pStyle w:val="6"/>
        <w:rPr>
          <w:rStyle w:val="29"/>
          <w:rFonts w:ascii="仿宋" w:eastAsia="仿宋"/>
          <w:b w:val="0"/>
          <w:bCs w:val="0"/>
        </w:rPr>
      </w:pPr>
      <w:bookmarkStart w:id="123" w:name="_Toc15396623"/>
      <w:bookmarkStart w:id="124" w:name="_Toc79163640"/>
      <w:bookmarkStart w:id="125" w:name="_Toc12286"/>
      <w:bookmarkStart w:id="126" w:name="_Toc20440"/>
      <w:r>
        <w:rPr>
          <w:rStyle w:val="29"/>
          <w:rFonts w:hint="eastAsia" w:ascii="仿宋" w:eastAsia="仿宋"/>
          <w:b w:val="0"/>
          <w:bCs w:val="0"/>
        </w:rPr>
        <w:t>五、</w:t>
      </w:r>
      <w:r>
        <w:rPr>
          <w:rFonts w:hint="eastAsia" w:ascii="仿宋" w:eastAsia="仿宋"/>
          <w:b w:val="0"/>
          <w:color w:val="000000"/>
        </w:rPr>
        <w:t>财</w:t>
      </w:r>
      <w:r>
        <w:rPr>
          <w:rStyle w:val="29"/>
          <w:rFonts w:hint="eastAsia" w:ascii="仿宋" w:eastAsia="仿宋"/>
          <w:b w:val="0"/>
          <w:bCs w:val="0"/>
        </w:rPr>
        <w:t>政拨款支出决算明细表</w:t>
      </w:r>
      <w:bookmarkEnd w:id="123"/>
      <w:bookmarkEnd w:id="124"/>
      <w:bookmarkEnd w:id="125"/>
      <w:bookmarkEnd w:id="126"/>
      <w:bookmarkStart w:id="127" w:name="_Toc15396624"/>
    </w:p>
    <w:p>
      <w:pPr>
        <w:pStyle w:val="6"/>
        <w:rPr>
          <w:rFonts w:ascii="仿宋" w:eastAsia="仿宋"/>
          <w:color w:val="000000"/>
        </w:rPr>
      </w:pPr>
      <w:bookmarkStart w:id="128" w:name="_Toc10532"/>
      <w:bookmarkStart w:id="129" w:name="_Toc30894"/>
      <w:bookmarkStart w:id="130" w:name="_Toc79163641"/>
      <w:r>
        <w:rPr>
          <w:rStyle w:val="29"/>
          <w:rFonts w:hint="eastAsia" w:ascii="仿宋" w:eastAsia="仿宋"/>
          <w:b w:val="0"/>
          <w:bCs w:val="0"/>
        </w:rPr>
        <w:t>六、</w:t>
      </w:r>
      <w:r>
        <w:rPr>
          <w:rFonts w:hint="eastAsia" w:ascii="仿宋" w:eastAsia="仿宋"/>
          <w:b w:val="0"/>
          <w:color w:val="000000"/>
        </w:rPr>
        <w:t>一</w:t>
      </w:r>
      <w:r>
        <w:rPr>
          <w:rStyle w:val="29"/>
          <w:rFonts w:hint="eastAsia" w:ascii="仿宋" w:eastAsia="仿宋"/>
          <w:b w:val="0"/>
          <w:bCs w:val="0"/>
        </w:rPr>
        <w:t>般公共预算财政拨款支出决算表</w:t>
      </w:r>
      <w:bookmarkEnd w:id="127"/>
      <w:bookmarkEnd w:id="128"/>
      <w:bookmarkEnd w:id="129"/>
      <w:bookmarkEnd w:id="130"/>
    </w:p>
    <w:p>
      <w:pPr>
        <w:pStyle w:val="6"/>
        <w:rPr>
          <w:rFonts w:ascii="仿宋" w:eastAsia="仿宋"/>
          <w:color w:val="000000"/>
        </w:rPr>
      </w:pPr>
      <w:bookmarkStart w:id="131" w:name="_Toc79163642"/>
      <w:bookmarkStart w:id="132" w:name="_Toc1017"/>
      <w:bookmarkStart w:id="133" w:name="_Toc15396625"/>
      <w:bookmarkStart w:id="134" w:name="_Toc22360"/>
      <w:r>
        <w:rPr>
          <w:rStyle w:val="29"/>
          <w:rFonts w:hint="eastAsia" w:ascii="仿宋" w:eastAsia="仿宋"/>
          <w:b w:val="0"/>
          <w:bCs w:val="0"/>
        </w:rPr>
        <w:t>七、</w:t>
      </w:r>
      <w:r>
        <w:rPr>
          <w:rFonts w:hint="eastAsia" w:ascii="仿宋" w:eastAsia="仿宋"/>
          <w:b w:val="0"/>
          <w:color w:val="000000"/>
        </w:rPr>
        <w:t>一</w:t>
      </w:r>
      <w:r>
        <w:rPr>
          <w:rStyle w:val="29"/>
          <w:rFonts w:hint="eastAsia" w:ascii="仿宋" w:eastAsia="仿宋"/>
          <w:b w:val="0"/>
          <w:bCs w:val="0"/>
        </w:rPr>
        <w:t>般公共预算财政拨款支出决算明细表</w:t>
      </w:r>
      <w:bookmarkEnd w:id="131"/>
      <w:bookmarkEnd w:id="132"/>
      <w:bookmarkEnd w:id="133"/>
      <w:bookmarkEnd w:id="134"/>
    </w:p>
    <w:p>
      <w:pPr>
        <w:pStyle w:val="6"/>
        <w:rPr>
          <w:rFonts w:ascii="仿宋" w:eastAsia="仿宋"/>
          <w:color w:val="000000"/>
        </w:rPr>
      </w:pPr>
      <w:bookmarkStart w:id="135" w:name="_Toc32767"/>
      <w:bookmarkStart w:id="136" w:name="_Toc15396626"/>
      <w:bookmarkStart w:id="137" w:name="_Toc79163643"/>
      <w:bookmarkStart w:id="138" w:name="_Toc18971"/>
      <w:r>
        <w:rPr>
          <w:rStyle w:val="29"/>
          <w:rFonts w:hint="eastAsia" w:ascii="仿宋" w:eastAsia="仿宋"/>
          <w:b w:val="0"/>
          <w:bCs w:val="0"/>
        </w:rPr>
        <w:t>八、</w:t>
      </w:r>
      <w:r>
        <w:rPr>
          <w:rFonts w:hint="eastAsia" w:ascii="仿宋" w:eastAsia="仿宋"/>
          <w:b w:val="0"/>
          <w:color w:val="000000"/>
        </w:rPr>
        <w:t>一</w:t>
      </w:r>
      <w:r>
        <w:rPr>
          <w:rStyle w:val="29"/>
          <w:rFonts w:hint="eastAsia" w:ascii="仿宋" w:eastAsia="仿宋"/>
          <w:b w:val="0"/>
          <w:bCs w:val="0"/>
        </w:rPr>
        <w:t>般公共预算财政拨款基本支出决算表</w:t>
      </w:r>
      <w:bookmarkEnd w:id="135"/>
      <w:bookmarkEnd w:id="136"/>
      <w:bookmarkEnd w:id="137"/>
      <w:bookmarkEnd w:id="138"/>
    </w:p>
    <w:p>
      <w:pPr>
        <w:pStyle w:val="6"/>
        <w:rPr>
          <w:rFonts w:ascii="仿宋" w:eastAsia="仿宋"/>
          <w:color w:val="000000"/>
        </w:rPr>
      </w:pPr>
      <w:bookmarkStart w:id="139" w:name="_Toc79163644"/>
      <w:bookmarkStart w:id="140" w:name="_Toc23224"/>
      <w:bookmarkStart w:id="141" w:name="_Toc79163894"/>
      <w:bookmarkStart w:id="142" w:name="_Toc15396627"/>
      <w:bookmarkStart w:id="143" w:name="_Toc25673"/>
      <w:r>
        <w:rPr>
          <w:rStyle w:val="29"/>
          <w:rFonts w:hint="eastAsia" w:ascii="仿宋" w:eastAsia="仿宋"/>
          <w:b w:val="0"/>
          <w:bCs w:val="0"/>
        </w:rPr>
        <w:t>九、</w:t>
      </w:r>
      <w:r>
        <w:rPr>
          <w:rFonts w:hint="eastAsia" w:ascii="仿宋" w:eastAsia="仿宋"/>
          <w:b w:val="0"/>
          <w:color w:val="000000"/>
        </w:rPr>
        <w:t>一</w:t>
      </w:r>
      <w:r>
        <w:rPr>
          <w:rStyle w:val="29"/>
          <w:rFonts w:hint="eastAsia" w:ascii="仿宋" w:eastAsia="仿宋"/>
          <w:b w:val="0"/>
          <w:bCs w:val="0"/>
        </w:rPr>
        <w:t>般公共预算财政拨款项目支出决算表</w:t>
      </w:r>
      <w:bookmarkEnd w:id="139"/>
      <w:bookmarkEnd w:id="140"/>
      <w:bookmarkEnd w:id="141"/>
      <w:bookmarkEnd w:id="142"/>
      <w:bookmarkEnd w:id="143"/>
    </w:p>
    <w:p>
      <w:pPr>
        <w:pStyle w:val="6"/>
        <w:rPr>
          <w:rFonts w:ascii="仿宋" w:eastAsia="仿宋"/>
          <w:color w:val="000000"/>
        </w:rPr>
      </w:pPr>
      <w:bookmarkStart w:id="144" w:name="_Toc79163895"/>
      <w:bookmarkStart w:id="145" w:name="_Toc15396628"/>
      <w:bookmarkStart w:id="146" w:name="_Toc79163645"/>
      <w:bookmarkStart w:id="147" w:name="_Toc28322"/>
      <w:bookmarkStart w:id="148" w:name="_Toc29832"/>
      <w:r>
        <w:rPr>
          <w:rStyle w:val="29"/>
          <w:rFonts w:hint="eastAsia" w:ascii="仿宋" w:eastAsia="仿宋"/>
          <w:b w:val="0"/>
          <w:bCs w:val="0"/>
        </w:rPr>
        <w:t>十、</w:t>
      </w:r>
      <w:bookmarkEnd w:id="144"/>
      <w:bookmarkEnd w:id="145"/>
      <w:bookmarkEnd w:id="146"/>
      <w:bookmarkStart w:id="149" w:name="_Toc79163646"/>
      <w:bookmarkStart w:id="150" w:name="_Toc15396629"/>
      <w:r>
        <w:rPr>
          <w:rFonts w:hint="eastAsia" w:ascii="仿宋" w:eastAsia="仿宋"/>
          <w:b w:val="0"/>
          <w:color w:val="000000"/>
        </w:rPr>
        <w:t>政</w:t>
      </w:r>
      <w:r>
        <w:rPr>
          <w:rStyle w:val="29"/>
          <w:rFonts w:hint="eastAsia" w:ascii="仿宋" w:eastAsia="仿宋"/>
          <w:b w:val="0"/>
          <w:bCs w:val="0"/>
        </w:rPr>
        <w:t>府性基金预算财政拨款收入支出决算表</w:t>
      </w:r>
      <w:bookmarkEnd w:id="147"/>
      <w:bookmarkEnd w:id="148"/>
      <w:bookmarkEnd w:id="149"/>
      <w:bookmarkEnd w:id="150"/>
    </w:p>
    <w:p>
      <w:pPr>
        <w:pStyle w:val="6"/>
        <w:rPr>
          <w:rStyle w:val="29"/>
          <w:rFonts w:ascii="仿宋" w:eastAsia="仿宋"/>
          <w:b w:val="0"/>
          <w:bCs w:val="0"/>
        </w:rPr>
      </w:pPr>
      <w:bookmarkStart w:id="151" w:name="_Toc15396630"/>
      <w:bookmarkStart w:id="152" w:name="_Toc79163647"/>
      <w:bookmarkStart w:id="153" w:name="_Toc79163897"/>
      <w:bookmarkStart w:id="154" w:name="_Toc31206"/>
      <w:bookmarkStart w:id="155" w:name="_Toc8277"/>
      <w:r>
        <w:rPr>
          <w:rStyle w:val="29"/>
          <w:rFonts w:hint="eastAsia" w:ascii="仿宋" w:eastAsia="仿宋"/>
          <w:b w:val="0"/>
          <w:bCs w:val="0"/>
        </w:rPr>
        <w:t>十</w:t>
      </w:r>
      <w:bookmarkEnd w:id="151"/>
      <w:bookmarkEnd w:id="152"/>
      <w:bookmarkEnd w:id="153"/>
      <w:bookmarkStart w:id="156" w:name="_Toc15396631"/>
      <w:bookmarkStart w:id="157" w:name="_Toc79163648"/>
      <w:r>
        <w:rPr>
          <w:rStyle w:val="29"/>
          <w:rFonts w:hint="eastAsia" w:ascii="仿宋" w:eastAsia="仿宋"/>
          <w:b w:val="0"/>
          <w:bCs w:val="0"/>
          <w:lang w:val="en-US" w:eastAsia="zh-CN"/>
        </w:rPr>
        <w:t>一</w:t>
      </w:r>
      <w:r>
        <w:rPr>
          <w:rStyle w:val="29"/>
          <w:rFonts w:hint="eastAsia" w:ascii="仿宋" w:eastAsia="仿宋"/>
          <w:b w:val="0"/>
          <w:bCs w:val="0"/>
        </w:rPr>
        <w:t>、</w:t>
      </w:r>
      <w:r>
        <w:rPr>
          <w:rFonts w:hint="eastAsia" w:ascii="仿宋" w:eastAsia="仿宋"/>
          <w:b w:val="0"/>
          <w:color w:val="000000"/>
        </w:rPr>
        <w:t>国</w:t>
      </w:r>
      <w:r>
        <w:rPr>
          <w:rStyle w:val="29"/>
          <w:rFonts w:hint="eastAsia" w:ascii="仿宋" w:eastAsia="仿宋"/>
          <w:b w:val="0"/>
          <w:bCs w:val="0"/>
        </w:rPr>
        <w:t>有资本经营预算财政拨款</w:t>
      </w:r>
      <w:r>
        <w:rPr>
          <w:rStyle w:val="29"/>
          <w:rFonts w:hint="eastAsia" w:ascii="仿宋" w:eastAsia="仿宋"/>
          <w:b w:val="0"/>
          <w:bCs w:val="0"/>
          <w:lang w:val="en-US" w:eastAsia="zh-CN"/>
        </w:rPr>
        <w:t>收入</w:t>
      </w:r>
      <w:r>
        <w:rPr>
          <w:rStyle w:val="29"/>
          <w:rFonts w:hint="eastAsia" w:ascii="仿宋" w:eastAsia="仿宋"/>
          <w:b w:val="0"/>
          <w:bCs w:val="0"/>
        </w:rPr>
        <w:t>支出决算表</w:t>
      </w:r>
      <w:bookmarkEnd w:id="154"/>
      <w:bookmarkEnd w:id="155"/>
      <w:bookmarkEnd w:id="156"/>
      <w:bookmarkEnd w:id="157"/>
    </w:p>
    <w:p>
      <w:pPr>
        <w:pStyle w:val="6"/>
        <w:rPr>
          <w:rStyle w:val="29"/>
          <w:rFonts w:hint="eastAsia" w:ascii="仿宋" w:eastAsia="仿宋"/>
          <w:b w:val="0"/>
          <w:bCs w:val="0"/>
        </w:rPr>
      </w:pPr>
      <w:bookmarkStart w:id="158" w:name="_Toc16172"/>
      <w:bookmarkStart w:id="159" w:name="_Toc79163649"/>
      <w:bookmarkStart w:id="160" w:name="_Toc18139"/>
      <w:r>
        <w:rPr>
          <w:rStyle w:val="29"/>
          <w:rFonts w:hint="eastAsia" w:ascii="仿宋" w:eastAsia="仿宋"/>
          <w:b w:val="0"/>
          <w:bCs w:val="0"/>
        </w:rPr>
        <w:t>十</w:t>
      </w:r>
      <w:r>
        <w:rPr>
          <w:rStyle w:val="29"/>
          <w:rFonts w:hint="eastAsia" w:ascii="仿宋" w:eastAsia="仿宋"/>
          <w:b w:val="0"/>
          <w:bCs w:val="0"/>
          <w:lang w:val="en-US" w:eastAsia="zh-CN"/>
        </w:rPr>
        <w:t>二</w:t>
      </w:r>
      <w:r>
        <w:rPr>
          <w:rStyle w:val="29"/>
          <w:rFonts w:hint="eastAsia" w:ascii="仿宋" w:eastAsia="仿宋"/>
          <w:b w:val="0"/>
          <w:bCs w:val="0"/>
        </w:rPr>
        <w:t>、国有资本经营预算财政拨款支出决算表</w:t>
      </w:r>
      <w:bookmarkEnd w:id="158"/>
      <w:bookmarkEnd w:id="159"/>
      <w:bookmarkEnd w:id="160"/>
    </w:p>
    <w:p>
      <w:bookmarkStart w:id="161" w:name="_Toc21658"/>
      <w:bookmarkStart w:id="162" w:name="_Toc18470"/>
      <w:r>
        <w:rPr>
          <w:rStyle w:val="29"/>
          <w:rFonts w:hint="eastAsia" w:ascii="仿宋" w:eastAsia="仿宋"/>
          <w:b w:val="0"/>
          <w:bCs w:val="0"/>
          <w:lang w:val="en-US" w:eastAsia="zh-CN"/>
        </w:rPr>
        <w:t>十三、</w:t>
      </w:r>
      <w:r>
        <w:rPr>
          <w:rStyle w:val="29"/>
          <w:rFonts w:hint="eastAsia" w:ascii="仿宋" w:eastAsia="仿宋"/>
          <w:b w:val="0"/>
          <w:bCs w:val="0"/>
        </w:rPr>
        <w:t>财政拨款“三公”经费支出决算表</w:t>
      </w:r>
      <w:bookmarkEnd w:id="161"/>
      <w:bookmarkEnd w:id="162"/>
    </w:p>
    <w:p>
      <w:pPr>
        <w:pStyle w:val="6"/>
        <w:rPr>
          <w:rStyle w:val="29"/>
          <w:rFonts w:ascii="仿宋" w:eastAsia="仿宋"/>
          <w:b w:val="0"/>
          <w:bCs w:val="0"/>
        </w:rPr>
      </w:pPr>
    </w:p>
    <w:sectPr>
      <w:footerReference r:id="rId7" w:type="first"/>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t>25</w: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33080"/>
    <w:multiLevelType w:val="singleLevel"/>
    <w:tmpl w:val="ACE33080"/>
    <w:lvl w:ilvl="0" w:tentative="0">
      <w:start w:val="2"/>
      <w:numFmt w:val="chineseCounting"/>
      <w:suff w:val="nothing"/>
      <w:lvlText w:val="（%1）"/>
      <w:lvlJc w:val="left"/>
      <w:pPr>
        <w:ind w:left="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3">
    <w:nsid w:val="27BE6324"/>
    <w:multiLevelType w:val="singleLevel"/>
    <w:tmpl w:val="27BE6324"/>
    <w:lvl w:ilvl="0" w:tentative="0">
      <w:start w:val="2"/>
      <w:numFmt w:val="chineseCounting"/>
      <w:suff w:val="nothing"/>
      <w:lvlText w:val="（%1）"/>
      <w:lvlJc w:val="left"/>
      <w:pPr>
        <w:ind w:left="0" w:firstLine="0"/>
      </w:pPr>
      <w:rPr>
        <w:rFonts w:hint="eastAsia"/>
      </w:rPr>
    </w:lvl>
  </w:abstractNum>
  <w:abstractNum w:abstractNumId="4">
    <w:nsid w:val="7EED1195"/>
    <w:multiLevelType w:val="singleLevel"/>
    <w:tmpl w:val="7EED1195"/>
    <w:lvl w:ilvl="0" w:tentative="0">
      <w:start w:val="1"/>
      <w:numFmt w:val="chineseCounting"/>
      <w:suff w:val="nothing"/>
      <w:lvlText w:val="%1、"/>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zZkNzQ4ZWFiZmQ4NTRhOWRkZTk3YTMwMjlmMmZhYmUifQ=="/>
  </w:docVars>
  <w:rsids>
    <w:rsidRoot w:val="00172A27"/>
    <w:rsid w:val="02B16AA9"/>
    <w:rsid w:val="03A05C2B"/>
    <w:rsid w:val="07152133"/>
    <w:rsid w:val="0CFC4D4C"/>
    <w:rsid w:val="11902A8A"/>
    <w:rsid w:val="1AE02BCC"/>
    <w:rsid w:val="1E195339"/>
    <w:rsid w:val="1F222C43"/>
    <w:rsid w:val="277B6AE8"/>
    <w:rsid w:val="27C47099"/>
    <w:rsid w:val="2BB75AAF"/>
    <w:rsid w:val="2FA01017"/>
    <w:rsid w:val="313034EA"/>
    <w:rsid w:val="35FF4AF3"/>
    <w:rsid w:val="3A4D3F97"/>
    <w:rsid w:val="405B3209"/>
    <w:rsid w:val="40D75730"/>
    <w:rsid w:val="48CE566A"/>
    <w:rsid w:val="4B8D5E30"/>
    <w:rsid w:val="4D671543"/>
    <w:rsid w:val="525C3CE7"/>
    <w:rsid w:val="5CD01559"/>
    <w:rsid w:val="607C76DB"/>
    <w:rsid w:val="67EF22DB"/>
    <w:rsid w:val="6D135E59"/>
    <w:rsid w:val="739B2881"/>
    <w:rsid w:val="772F2F41"/>
    <w:rsid w:val="792E168A"/>
    <w:rsid w:val="79DE4E5E"/>
    <w:rsid w:val="7D80348B"/>
    <w:rsid w:val="7FEA3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link w:val="47"/>
    <w:qFormat/>
    <w:uiPriority w:val="0"/>
    <w:pPr>
      <w:keepNext/>
      <w:keepLines/>
      <w:widowControl w:val="0"/>
      <w:spacing w:before="260" w:after="260" w:line="415" w:lineRule="auto"/>
      <w:outlineLvl w:val="1"/>
    </w:pPr>
    <w:rPr>
      <w:rFonts w:ascii="Cambria" w:hAnsi="Cambria"/>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4">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qFormat/>
    <w:uiPriority w:val="0"/>
    <w:pPr>
      <w:spacing w:line="360" w:lineRule="auto"/>
      <w:ind w:left="0" w:leftChars="0" w:firstLine="200" w:firstLineChars="200"/>
    </w:pPr>
    <w:rPr>
      <w:rFonts w:ascii="Times New Roman" w:hAnsi="Times New Roman" w:eastAsia="宋体"/>
    </w:rPr>
  </w:style>
  <w:style w:type="paragraph" w:styleId="4">
    <w:name w:val="Body Text Indent"/>
    <w:basedOn w:val="1"/>
    <w:next w:val="3"/>
    <w:qFormat/>
    <w:uiPriority w:val="0"/>
    <w:pPr>
      <w:spacing w:after="120"/>
      <w:ind w:left="200" w:leftChars="200"/>
    </w:pPr>
    <w:rPr>
      <w:rFonts w:ascii="Calibri" w:hAnsi="Calibri"/>
      <w:szCs w:val="22"/>
    </w:rPr>
  </w:style>
  <w:style w:type="paragraph" w:styleId="8">
    <w:name w:val="toc 7"/>
    <w:basedOn w:val="1"/>
    <w:next w:val="1"/>
    <w:qFormat/>
    <w:uiPriority w:val="0"/>
    <w:pPr>
      <w:ind w:left="1260"/>
      <w:jc w:val="left"/>
    </w:pPr>
    <w:rPr>
      <w:rFonts w:ascii="等线" w:eastAsia="等线"/>
      <w:sz w:val="18"/>
      <w:szCs w:val="18"/>
    </w:rPr>
  </w:style>
  <w:style w:type="paragraph" w:styleId="9">
    <w:name w:val="Body Text"/>
    <w:basedOn w:val="1"/>
    <w:qFormat/>
    <w:uiPriority w:val="0"/>
    <w:pPr>
      <w:spacing w:before="30" w:beforeLines="30"/>
    </w:pPr>
    <w:rPr>
      <w:rFonts w:ascii="仿宋_GB2312" w:eastAsia="仿宋_GB2312"/>
      <w:kern w:val="0"/>
      <w:sz w:val="24"/>
      <w:szCs w:val="20"/>
      <w:lang w:val="zh-CN"/>
    </w:rPr>
  </w:style>
  <w:style w:type="paragraph" w:styleId="10">
    <w:name w:val="toc 5"/>
    <w:basedOn w:val="1"/>
    <w:next w:val="1"/>
    <w:qFormat/>
    <w:uiPriority w:val="0"/>
    <w:pPr>
      <w:ind w:left="840"/>
      <w:jc w:val="left"/>
    </w:pPr>
    <w:rPr>
      <w:rFonts w:ascii="等线" w:eastAsia="等线"/>
      <w:sz w:val="18"/>
      <w:szCs w:val="18"/>
    </w:rPr>
  </w:style>
  <w:style w:type="paragraph" w:styleId="11">
    <w:name w:val="toc 3"/>
    <w:basedOn w:val="1"/>
    <w:next w:val="1"/>
    <w:qFormat/>
    <w:uiPriority w:val="0"/>
    <w:pPr>
      <w:ind w:left="420"/>
      <w:jc w:val="left"/>
    </w:pPr>
    <w:rPr>
      <w:rFonts w:ascii="等线" w:eastAsia="等线"/>
      <w:i/>
      <w:iCs/>
      <w:sz w:val="20"/>
      <w:szCs w:val="20"/>
    </w:rPr>
  </w:style>
  <w:style w:type="paragraph" w:styleId="12">
    <w:name w:val="toc 8"/>
    <w:basedOn w:val="1"/>
    <w:next w:val="1"/>
    <w:qFormat/>
    <w:uiPriority w:val="0"/>
    <w:pPr>
      <w:ind w:left="1470"/>
      <w:jc w:val="left"/>
    </w:pPr>
    <w:rPr>
      <w:rFonts w:ascii="等线" w:eastAsia="等线"/>
      <w:sz w:val="18"/>
      <w:szCs w:val="18"/>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qFormat/>
    <w:uiPriority w:val="0"/>
    <w:pPr>
      <w:spacing w:before="120" w:after="120"/>
      <w:jc w:val="left"/>
    </w:pPr>
    <w:rPr>
      <w:rFonts w:ascii="等线" w:eastAsia="等线"/>
      <w:b/>
      <w:bCs/>
      <w:caps/>
      <w:sz w:val="20"/>
      <w:szCs w:val="20"/>
    </w:rPr>
  </w:style>
  <w:style w:type="paragraph" w:styleId="17">
    <w:name w:val="toc 4"/>
    <w:basedOn w:val="1"/>
    <w:next w:val="1"/>
    <w:qFormat/>
    <w:uiPriority w:val="0"/>
    <w:pPr>
      <w:ind w:left="630"/>
      <w:jc w:val="left"/>
    </w:pPr>
    <w:rPr>
      <w:rFonts w:ascii="等线" w:eastAsia="等线"/>
      <w:sz w:val="18"/>
      <w:szCs w:val="18"/>
    </w:rPr>
  </w:style>
  <w:style w:type="paragraph" w:styleId="18">
    <w:name w:val="toc 6"/>
    <w:basedOn w:val="1"/>
    <w:next w:val="1"/>
    <w:qFormat/>
    <w:uiPriority w:val="0"/>
    <w:pPr>
      <w:ind w:left="1050"/>
      <w:jc w:val="left"/>
    </w:pPr>
    <w:rPr>
      <w:rFonts w:ascii="等线" w:eastAsia="等线"/>
      <w:sz w:val="18"/>
      <w:szCs w:val="18"/>
    </w:rPr>
  </w:style>
  <w:style w:type="paragraph" w:styleId="19">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qFormat/>
    <w:uiPriority w:val="0"/>
    <w:pPr>
      <w:ind w:left="210"/>
      <w:jc w:val="left"/>
    </w:pPr>
    <w:rPr>
      <w:rFonts w:ascii="等线" w:eastAsia="等线"/>
      <w:smallCaps/>
      <w:sz w:val="20"/>
      <w:szCs w:val="20"/>
    </w:rPr>
  </w:style>
  <w:style w:type="paragraph" w:styleId="21">
    <w:name w:val="toc 9"/>
    <w:basedOn w:val="1"/>
    <w:next w:val="1"/>
    <w:qFormat/>
    <w:uiPriority w:val="0"/>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pPr>
  </w:style>
  <w:style w:type="character" w:styleId="25">
    <w:name w:val="Strong"/>
    <w:basedOn w:val="24"/>
    <w:qFormat/>
    <w:uiPriority w:val="0"/>
    <w:rPr>
      <w:rFonts w:cs="Times New Roman"/>
      <w:b/>
    </w:rPr>
  </w:style>
  <w:style w:type="character" w:styleId="26">
    <w:name w:val="page number"/>
    <w:basedOn w:val="24"/>
    <w:qFormat/>
    <w:uiPriority w:val="0"/>
  </w:style>
  <w:style w:type="character" w:styleId="27">
    <w:name w:val="Hyperlink"/>
    <w:basedOn w:val="24"/>
    <w:qFormat/>
    <w:uiPriority w:val="0"/>
    <w:rPr>
      <w:rFonts w:cs="Times New Roman"/>
      <w:color w:val="0000FF"/>
      <w:u w:val="single"/>
    </w:rPr>
  </w:style>
  <w:style w:type="character" w:customStyle="1" w:styleId="28">
    <w:name w:val="heading 1 Char"/>
    <w:basedOn w:val="24"/>
    <w:link w:val="5"/>
    <w:qFormat/>
    <w:uiPriority w:val="0"/>
    <w:rPr>
      <w:rFonts w:ascii="Times New Roman" w:hAnsi="Times New Roman" w:eastAsia="宋体" w:cs="Times New Roman"/>
      <w:b/>
      <w:bCs/>
      <w:kern w:val="44"/>
      <w:sz w:val="44"/>
      <w:szCs w:val="44"/>
      <w:lang w:val="en-US" w:eastAsia="zh-CN" w:bidi="ar-SA"/>
    </w:rPr>
  </w:style>
  <w:style w:type="character" w:customStyle="1" w:styleId="29">
    <w:name w:val="heading 2 Char"/>
    <w:basedOn w:val="24"/>
    <w:link w:val="6"/>
    <w:qFormat/>
    <w:uiPriority w:val="0"/>
    <w:rPr>
      <w:rFonts w:ascii="Cambria" w:hAnsi="Cambria" w:eastAsia="宋体" w:cs="Times New Roman"/>
      <w:b/>
      <w:bCs/>
      <w:kern w:val="2"/>
      <w:sz w:val="32"/>
      <w:szCs w:val="32"/>
      <w:lang w:val="en-US" w:eastAsia="zh-CN" w:bidi="ar-SA"/>
    </w:rPr>
  </w:style>
  <w:style w:type="character" w:customStyle="1" w:styleId="30">
    <w:name w:val="Body Text Char"/>
    <w:basedOn w:val="24"/>
    <w:qFormat/>
    <w:uiPriority w:val="0"/>
    <w:rPr>
      <w:rFonts w:ascii="Times New Roman" w:hAnsi="Times New Roman" w:cs="Times New Roman"/>
      <w:sz w:val="24"/>
      <w:szCs w:val="24"/>
    </w:rPr>
  </w:style>
  <w:style w:type="character" w:customStyle="1" w:styleId="31">
    <w:name w:val="Footer Char"/>
    <w:basedOn w:val="24"/>
    <w:qFormat/>
    <w:uiPriority w:val="0"/>
    <w:rPr>
      <w:rFonts w:ascii="Times New Roman" w:hAnsi="Times New Roman" w:cs="Times New Roman"/>
      <w:sz w:val="18"/>
      <w:szCs w:val="18"/>
    </w:rPr>
  </w:style>
  <w:style w:type="character" w:customStyle="1" w:styleId="32">
    <w:name w:val="Header Char"/>
    <w:basedOn w:val="24"/>
    <w:qFormat/>
    <w:uiPriority w:val="0"/>
    <w:rPr>
      <w:rFonts w:ascii="Times New Roman" w:hAnsi="Times New Roman" w:cs="Times New Roman"/>
      <w:sz w:val="18"/>
      <w:szCs w:val="18"/>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4">
    <w:name w:val="列表段落1"/>
    <w:basedOn w:val="1"/>
    <w:qFormat/>
    <w:uiPriority w:val="0"/>
    <w:pPr>
      <w:ind w:firstLine="200" w:firstLineChars="200"/>
    </w:pPr>
  </w:style>
  <w:style w:type="paragraph" w:customStyle="1" w:styleId="35">
    <w:name w:val="TOC 标题1"/>
    <w:basedOn w:val="5"/>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5"/>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7">
    <w:name w:val="TOC 标题2"/>
    <w:basedOn w:val="5"/>
    <w:next w:val="1"/>
    <w:qFormat/>
    <w:uiPriority w:val="0"/>
    <w:pPr>
      <w:keepNext/>
      <w:keepLines/>
      <w:widowControl/>
      <w:spacing w:before="240" w:after="0" w:line="259" w:lineRule="auto"/>
      <w:jc w:val="left"/>
      <w:outlineLvl w:val="9"/>
    </w:pPr>
    <w:rPr>
      <w:rFonts w:ascii="等线 Light" w:eastAsia="等线 Light" w:cs="Times New Roman"/>
      <w:b w:val="0"/>
      <w:bCs w:val="0"/>
      <w:color w:val="2F5597"/>
      <w:kern w:val="0"/>
      <w:sz w:val="32"/>
      <w:szCs w:val="32"/>
    </w:rPr>
  </w:style>
  <w:style w:type="character" w:customStyle="1" w:styleId="38">
    <w:name w:val="NormalCharacter"/>
    <w:qFormat/>
    <w:uiPriority w:val="0"/>
    <w:rPr>
      <w:rFonts w:ascii="Calibri" w:hAnsi="Calibri" w:eastAsia="宋体" w:cs="Times New Roman"/>
      <w:kern w:val="2"/>
      <w:sz w:val="21"/>
      <w:szCs w:val="24"/>
      <w:lang w:val="en-US" w:eastAsia="zh-CN" w:bidi="ar-SA"/>
    </w:rPr>
  </w:style>
  <w:style w:type="paragraph" w:customStyle="1" w:styleId="39">
    <w:name w:val="列出段落1"/>
    <w:basedOn w:val="1"/>
    <w:qFormat/>
    <w:uiPriority w:val="0"/>
    <w:pPr>
      <w:ind w:firstLine="200" w:firstLineChars="200"/>
    </w:pPr>
    <w:rPr>
      <w:rFonts w:ascii="Calibri" w:hAnsi="Calibri" w:eastAsia="宋体" w:cs="Times New Roman"/>
    </w:rPr>
  </w:style>
  <w:style w:type="character" w:customStyle="1" w:styleId="40">
    <w:name w:val="15"/>
    <w:basedOn w:val="24"/>
    <w:qFormat/>
    <w:uiPriority w:val="0"/>
    <w:rPr>
      <w:rFonts w:ascii="Cambria" w:hAnsi="Cambria" w:eastAsia="宋体" w:cs="Times New Roman"/>
      <w:b/>
      <w:bCs/>
      <w:kern w:val="2"/>
      <w:sz w:val="32"/>
      <w:szCs w:val="32"/>
    </w:rPr>
  </w:style>
  <w:style w:type="character" w:customStyle="1" w:styleId="41">
    <w:name w:val="10"/>
    <w:basedOn w:val="24"/>
    <w:qFormat/>
    <w:uiPriority w:val="0"/>
    <w:rPr>
      <w:rFonts w:ascii="Times New Roman" w:hAnsi="Times New Roman" w:cs="Times New Roman"/>
    </w:rPr>
  </w:style>
  <w:style w:type="paragraph" w:customStyle="1" w:styleId="42">
    <w:name w:val="四号正文"/>
    <w:basedOn w:val="1"/>
    <w:qFormat/>
    <w:uiPriority w:val="0"/>
    <w:pPr>
      <w:spacing w:line="360" w:lineRule="auto"/>
    </w:pPr>
    <w:rPr>
      <w:rFonts w:ascii="??" w:hAnsi="??" w:eastAsia="宋体"/>
      <w:color w:val="000000"/>
      <w:kern w:val="0"/>
      <w:sz w:val="28"/>
      <w:szCs w:val="21"/>
    </w:rPr>
  </w:style>
  <w:style w:type="paragraph" w:customStyle="1" w:styleId="43">
    <w:name w:val="正文首行缩进 21"/>
    <w:basedOn w:val="44"/>
    <w:qFormat/>
    <w:uiPriority w:val="0"/>
    <w:pPr>
      <w:spacing w:line="360" w:lineRule="auto"/>
      <w:ind w:left="0" w:leftChars="0" w:firstLine="420" w:firstLineChars="200"/>
    </w:pPr>
    <w:rPr>
      <w:rFonts w:ascii="Times New Roman" w:hAnsi="Times New Roman" w:eastAsia="宋体"/>
    </w:rPr>
  </w:style>
  <w:style w:type="paragraph" w:customStyle="1" w:styleId="44">
    <w:name w:val="正文文本缩进1"/>
    <w:basedOn w:val="1"/>
    <w:qFormat/>
    <w:uiPriority w:val="0"/>
    <w:pPr>
      <w:spacing w:after="120"/>
      <w:ind w:left="420" w:leftChars="200"/>
    </w:pPr>
    <w:rPr>
      <w:rFonts w:ascii="Calibri" w:hAnsi="Calibri"/>
      <w:szCs w:val="22"/>
    </w:rPr>
  </w:style>
  <w:style w:type="paragraph" w:customStyle="1" w:styleId="45">
    <w:name w:val="页脚1"/>
    <w:basedOn w:val="1"/>
    <w:qFormat/>
    <w:uiPriority w:val="0"/>
    <w:pPr>
      <w:tabs>
        <w:tab w:val="center" w:pos="4153"/>
        <w:tab w:val="right" w:pos="8306"/>
      </w:tabs>
      <w:snapToGrid w:val="0"/>
      <w:jc w:val="left"/>
    </w:pPr>
    <w:rPr>
      <w:rFonts w:eastAsia="宋体"/>
      <w:sz w:val="18"/>
      <w:szCs w:val="18"/>
    </w:rPr>
  </w:style>
  <w:style w:type="character" w:customStyle="1" w:styleId="46">
    <w:name w:val="页码1"/>
    <w:link w:val="1"/>
    <w:qFormat/>
    <w:uiPriority w:val="0"/>
    <w:rPr>
      <w:rFonts w:ascii="Times New Roman" w:hAnsi="Times New Roman" w:eastAsia="宋体" w:cs="Times New Roman"/>
      <w:kern w:val="2"/>
      <w:sz w:val="21"/>
      <w:szCs w:val="24"/>
      <w:lang w:val="en-US" w:eastAsia="zh-CN" w:bidi="ar-SA"/>
    </w:rPr>
  </w:style>
  <w:style w:type="character" w:customStyle="1" w:styleId="47">
    <w:name w:val="标题 2 Char"/>
    <w:basedOn w:val="24"/>
    <w:link w:val="6"/>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9.xml"/><Relationship Id="rId16" Type="http://schemas.openxmlformats.org/officeDocument/2006/relationships/chart" Target="charts/chart8.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20915;&#31639;&#20844;&#24320;&#20998;&#26512;&#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manualLayout>
          <c:layoutTarget val="inner"/>
          <c:xMode val="edge"/>
          <c:yMode val="edge"/>
          <c:x val="0.0988333333333333"/>
          <c:y val="0.22037037037037"/>
          <c:w val="0.844222222222222"/>
          <c:h val="0.711666666666667"/>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[决算公开分析图表.xls]Sheet1!$A$3:$B$3</c:f>
              <c:strCache>
                <c:ptCount val="2"/>
                <c:pt idx="0">
                  <c:v>2023年</c:v>
                </c:pt>
                <c:pt idx="1">
                  <c:v>2024年</c:v>
                </c:pt>
              </c:strCache>
            </c:strRef>
          </c:cat>
          <c:val>
            <c:numRef>
              <c:f>[决算公开分析图表.xls]Sheet1!$A$4:$B$4</c:f>
              <c:numCache>
                <c:formatCode>General</c:formatCode>
                <c:ptCount val="2"/>
                <c:pt idx="0">
                  <c:v>1882.09</c:v>
                </c:pt>
                <c:pt idx="1" c:formatCode="#,##0.00">
                  <c:v>1394.86</c:v>
                </c:pt>
              </c:numCache>
            </c:numRef>
          </c:val>
        </c:ser>
        <c:dLbls>
          <c:showLegendKey val="false"/>
          <c:showVal val="false"/>
          <c:showCatName val="false"/>
          <c:showSerName val="false"/>
          <c:showPercent val="false"/>
          <c:showBubbleSize val="false"/>
        </c:dLbls>
        <c:gapWidth val="219"/>
        <c:overlap val="-27"/>
        <c:axId val="314881465"/>
        <c:axId val="757827420"/>
      </c:barChart>
      <c:catAx>
        <c:axId val="314881465"/>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57827420"/>
        <c:crosses val="autoZero"/>
        <c:auto val="true"/>
        <c:lblAlgn val="ctr"/>
        <c:lblOffset val="100"/>
        <c:noMultiLvlLbl val="false"/>
      </c:catAx>
      <c:valAx>
        <c:axId val="75782742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488146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[决算公开分析图表.xls]Sheet1!$A$24:$B$24</c:f>
              <c:strCache>
                <c:ptCount val="2"/>
                <c:pt idx="0">
                  <c:v>2023年</c:v>
                </c:pt>
                <c:pt idx="1">
                  <c:v>2024年</c:v>
                </c:pt>
              </c:strCache>
            </c:strRef>
          </c:cat>
          <c:val>
            <c:numRef>
              <c:f>[决算公开分析图表.xls]Sheet1!$A$25:$B$25</c:f>
              <c:numCache>
                <c:formatCode>General</c:formatCode>
                <c:ptCount val="2"/>
                <c:pt idx="0">
                  <c:v>1882.09</c:v>
                </c:pt>
                <c:pt idx="1" c:formatCode="#,##0.00">
                  <c:v>1394.86</c:v>
                </c:pt>
              </c:numCache>
            </c:numRef>
          </c:val>
        </c:ser>
        <c:dLbls>
          <c:showLegendKey val="false"/>
          <c:showVal val="false"/>
          <c:showCatName val="false"/>
          <c:showSerName val="false"/>
          <c:showPercent val="false"/>
          <c:showBubbleSize val="false"/>
        </c:dLbls>
        <c:gapWidth val="219"/>
        <c:overlap val="-27"/>
        <c:axId val="818411759"/>
        <c:axId val="351555114"/>
      </c:barChart>
      <c:catAx>
        <c:axId val="818411759"/>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51555114"/>
        <c:crosses val="autoZero"/>
        <c:auto val="true"/>
        <c:lblAlgn val="ctr"/>
        <c:lblOffset val="100"/>
        <c:noMultiLvlLbl val="false"/>
      </c:catAx>
      <c:valAx>
        <c:axId val="35155511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841175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delete val="true"/>
          </c:dLbls>
          <c:cat>
            <c:strRef>
              <c:f>[决算公开分析图表.xls]Sheet1!$D$43:$D$44</c:f>
              <c:strCache>
                <c:ptCount val="2"/>
                <c:pt idx="0">
                  <c:v>一般公共预算财政拨款收入</c:v>
                </c:pt>
                <c:pt idx="1">
                  <c:v>其他收入</c:v>
                </c:pt>
              </c:strCache>
            </c:strRef>
          </c:cat>
          <c:val>
            <c:numRef>
              <c:f>[决算公开分析图表.xls]Sheet1!$E$43:$E$44</c:f>
              <c:numCache>
                <c:formatCode>#,##0.00</c:formatCode>
                <c:ptCount val="2"/>
                <c:pt idx="0">
                  <c:v>1374.86</c:v>
                </c:pt>
                <c:pt idx="1" c:formatCode="General">
                  <c:v>20</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delete val="true"/>
          </c:dLbls>
          <c:cat>
            <c:strRef>
              <c:f>[决算公开分析图表.xls]Sheet1!$C$57:$C$58</c:f>
              <c:strCache>
                <c:ptCount val="2"/>
                <c:pt idx="0">
                  <c:v>基本支出</c:v>
                </c:pt>
                <c:pt idx="1">
                  <c:v>项目支出</c:v>
                </c:pt>
              </c:strCache>
            </c:strRef>
          </c:cat>
          <c:val>
            <c:numRef>
              <c:f>[决算公开分析图表.xls]Sheet1!$D$57:$D$58</c:f>
              <c:numCache>
                <c:formatCode>General</c:formatCode>
                <c:ptCount val="2"/>
                <c:pt idx="0">
                  <c:v>366.02</c:v>
                </c:pt>
                <c:pt idx="1" c:formatCode="#,##0.00">
                  <c:v>1028.84</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manualLayout>
          <c:xMode val="edge"/>
          <c:yMode val="edge"/>
          <c:x val="0.022"/>
          <c:y val="0.89475"/>
          <c:w val="0.9275"/>
          <c:h val="0.09325"/>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[决算公开分析图表.xls]Sheet1!$A$82:$B$82</c:f>
              <c:strCache>
                <c:ptCount val="2"/>
                <c:pt idx="0">
                  <c:v>2023年</c:v>
                </c:pt>
                <c:pt idx="1">
                  <c:v>2024年</c:v>
                </c:pt>
              </c:strCache>
            </c:strRef>
          </c:cat>
          <c:val>
            <c:numRef>
              <c:f>[决算公开分析图表.xls]Sheet1!$A$83:$B$83</c:f>
              <c:numCache>
                <c:formatCode>General</c:formatCode>
                <c:ptCount val="2"/>
                <c:pt idx="0">
                  <c:v>1882.09</c:v>
                </c:pt>
                <c:pt idx="1" c:formatCode="#,##0.00">
                  <c:v>1374.86</c:v>
                </c:pt>
              </c:numCache>
            </c:numRef>
          </c:val>
        </c:ser>
        <c:dLbls>
          <c:showLegendKey val="false"/>
          <c:showVal val="false"/>
          <c:showCatName val="false"/>
          <c:showSerName val="false"/>
          <c:showPercent val="false"/>
          <c:showBubbleSize val="false"/>
        </c:dLbls>
        <c:gapWidth val="219"/>
        <c:overlap val="-27"/>
        <c:axId val="862280183"/>
        <c:axId val="839048716"/>
      </c:barChart>
      <c:catAx>
        <c:axId val="862280183"/>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39048716"/>
        <c:crosses val="autoZero"/>
        <c:auto val="true"/>
        <c:lblAlgn val="ctr"/>
        <c:lblOffset val="100"/>
        <c:noMultiLvlLbl val="false"/>
      </c:catAx>
      <c:valAx>
        <c:axId val="83904871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6228018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[决算公开分析图表.xls]Sheet1!$A$99:$B$99</c:f>
              <c:strCache>
                <c:ptCount val="2"/>
                <c:pt idx="0">
                  <c:v>2023年</c:v>
                </c:pt>
                <c:pt idx="1">
                  <c:v>2024年</c:v>
                </c:pt>
              </c:strCache>
            </c:strRef>
          </c:cat>
          <c:val>
            <c:numRef>
              <c:f>[决算公开分析图表.xls]Sheet1!$A$100:$B$100</c:f>
              <c:numCache>
                <c:formatCode>General</c:formatCode>
                <c:ptCount val="2"/>
                <c:pt idx="0">
                  <c:v>1882.09</c:v>
                </c:pt>
                <c:pt idx="1" c:formatCode="#,##0.00">
                  <c:v>1374.86</c:v>
                </c:pt>
              </c:numCache>
            </c:numRef>
          </c:val>
        </c:ser>
        <c:dLbls>
          <c:showLegendKey val="false"/>
          <c:showVal val="false"/>
          <c:showCatName val="false"/>
          <c:showSerName val="false"/>
          <c:showPercent val="false"/>
          <c:showBubbleSize val="false"/>
        </c:dLbls>
        <c:gapWidth val="219"/>
        <c:overlap val="-27"/>
        <c:axId val="301484187"/>
        <c:axId val="803611363"/>
      </c:barChart>
      <c:catAx>
        <c:axId val="301484187"/>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3611363"/>
        <c:crosses val="autoZero"/>
        <c:auto val="true"/>
        <c:lblAlgn val="ctr"/>
        <c:lblOffset val="100"/>
        <c:noMultiLvlLbl val="false"/>
      </c:catAx>
      <c:valAx>
        <c:axId val="803611363"/>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0148418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65321992487624"/>
          <c:y val="0.0787843557603584"/>
        </c:manualLayout>
      </c:layout>
      <c:overlay val="false"/>
      <c:spPr>
        <a:noFill/>
        <a:ln>
          <a:noFill/>
        </a:ln>
        <a:effectLst/>
      </c:spPr>
    </c:title>
    <c:autoTitleDeleted val="false"/>
    <c:plotArea>
      <c:layout>
        <c:manualLayout>
          <c:layoutTarget val="inner"/>
          <c:xMode val="edge"/>
          <c:yMode val="edge"/>
          <c:x val="0.058544689334367"/>
          <c:y val="0.255962378233121"/>
          <c:w val="0.915981836305239"/>
          <c:h val="0.581592206919718"/>
        </c:manualLayout>
      </c:layout>
      <c:barChart>
        <c:barDir val="col"/>
        <c:grouping val="clustered"/>
        <c:varyColors val="false"/>
        <c:ser>
          <c:idx val="0"/>
          <c:order val="0"/>
          <c:spPr>
            <a:solidFill>
              <a:schemeClr val="accent1"/>
            </a:solidFill>
            <a:ln>
              <a:noFill/>
            </a:ln>
            <a:effectLst/>
          </c:spPr>
          <c:invertIfNegative val="false"/>
          <c:dLbls>
            <c:delete val="true"/>
          </c:dLbls>
          <c:cat>
            <c:strRef>
              <c:f>[决算公开分析图表.xls]Sheet1!$A$115:$B$115</c:f>
              <c:strCache>
                <c:ptCount val="2"/>
                <c:pt idx="0">
                  <c:v>2023年</c:v>
                </c:pt>
                <c:pt idx="1">
                  <c:v>2024年</c:v>
                </c:pt>
              </c:strCache>
            </c:strRef>
          </c:cat>
          <c:val>
            <c:numRef>
              <c:f>[决算公开分析图表.xls]Sheet1!$A$116:$B$116</c:f>
              <c:numCache>
                <c:formatCode>General</c:formatCode>
                <c:ptCount val="2"/>
                <c:pt idx="0">
                  <c:v>1882.09</c:v>
                </c:pt>
                <c:pt idx="1" c:formatCode="#,##0.00">
                  <c:v>1374.86</c:v>
                </c:pt>
              </c:numCache>
            </c:numRef>
          </c:val>
        </c:ser>
        <c:dLbls>
          <c:showLegendKey val="false"/>
          <c:showVal val="false"/>
          <c:showCatName val="false"/>
          <c:showSerName val="false"/>
          <c:showPercent val="false"/>
          <c:showBubbleSize val="false"/>
        </c:dLbls>
        <c:gapWidth val="219"/>
        <c:overlap val="-27"/>
        <c:axId val="214012275"/>
        <c:axId val="92476527"/>
      </c:barChart>
      <c:catAx>
        <c:axId val="214012275"/>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476527"/>
        <c:crosses val="autoZero"/>
        <c:auto val="true"/>
        <c:lblAlgn val="ctr"/>
        <c:lblOffset val="100"/>
        <c:noMultiLvlLbl val="false"/>
      </c:catAx>
      <c:valAx>
        <c:axId val="92476527"/>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401227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62923053574139"/>
          <c:y val="0.0421348314606742"/>
        </c:manualLayout>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dPt>
          <c:dPt>
            <c:idx val="5"/>
            <c:bubble3D val="false"/>
          </c:dPt>
          <c:dLbls>
            <c:delete val="true"/>
          </c:dLbls>
          <c:cat>
            <c:strRef>
              <c:f>[决算公开分析图表.xls]Sheet1!$C$139:$C$144</c:f>
              <c:strCache>
                <c:ptCount val="6"/>
                <c:pt idx="0">
                  <c:v>城乡社区支出</c:v>
                </c:pt>
                <c:pt idx="1">
                  <c:v>社会保障和就业支出</c:v>
                </c:pt>
                <c:pt idx="2">
                  <c:v>卫生健康支出</c:v>
                </c:pt>
                <c:pt idx="3">
                  <c:v>住房保障支出</c:v>
                </c:pt>
                <c:pt idx="4">
                  <c:v>农林水支出</c:v>
                </c:pt>
                <c:pt idx="5">
                  <c:v>文化旅游体育与传媒支出</c:v>
                </c:pt>
              </c:strCache>
            </c:strRef>
          </c:cat>
          <c:val>
            <c:numRef>
              <c:f>[决算公开分析图表.xls]Sheet1!$D$139:$D$144</c:f>
              <c:numCache>
                <c:formatCode>General</c:formatCode>
                <c:ptCount val="6"/>
                <c:pt idx="0">
                  <c:v>75.71</c:v>
                </c:pt>
                <c:pt idx="1">
                  <c:v>54.17</c:v>
                </c:pt>
                <c:pt idx="2">
                  <c:v>20.4</c:v>
                </c:pt>
                <c:pt idx="3" c:formatCode="#,##0.00">
                  <c:v>27.13</c:v>
                </c:pt>
                <c:pt idx="4" c:formatCode="#,##0.00">
                  <c:v>753.53</c:v>
                </c:pt>
                <c:pt idx="5" c:formatCode="#,##0.00">
                  <c:v>443.91</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manualLayout>
          <c:xMode val="edge"/>
          <c:yMode val="edge"/>
          <c:x val="0.663934426229508"/>
          <c:y val="0.219101123595506"/>
          <c:w val="0.317850637522769"/>
          <c:h val="0.75786516853932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rgbClr val="4472C4"/>
              </a:solidFill>
              <a:ln w="19050">
                <a:solidFill>
                  <a:srgbClr val="FFFFFF"/>
                </a:solidFill>
              </a:ln>
              <a:effectLst/>
            </c:spPr>
          </c:dPt>
          <c:dPt>
            <c:idx val="1"/>
            <c:bubble3D val="false"/>
            <c:explosion val="0"/>
            <c:spPr>
              <a:solidFill>
                <a:srgbClr val="ED7D31"/>
              </a:solidFill>
              <a:ln w="19050">
                <a:solidFill>
                  <a:srgbClr val="FFFFFF"/>
                </a:solidFill>
              </a:ln>
              <a:effectLst/>
            </c:spPr>
          </c:dPt>
          <c:dPt>
            <c:idx val="2"/>
            <c:bubble3D val="false"/>
            <c:explosion val="0"/>
            <c:spPr>
              <a:solidFill>
                <a:srgbClr val="A5A5A5"/>
              </a:solidFill>
              <a:ln w="19050">
                <a:solidFill>
                  <a:srgbClr val="FFFFFF"/>
                </a:solidFill>
              </a:ln>
              <a:effectLst/>
            </c:spPr>
          </c:dPt>
          <c:dLbls>
            <c:delete val="true"/>
          </c:dLbls>
          <c:cat>
            <c:strRef>
              <c:f>[决算公开分析图表.xls]Sheet1!$A$164:$A$166</c:f>
              <c:strCache>
                <c:ptCount val="3"/>
                <c:pt idx="0">
                  <c:v>因公出国（境）费</c:v>
                </c:pt>
                <c:pt idx="1">
                  <c:v>公务接待费</c:v>
                </c:pt>
                <c:pt idx="2">
                  <c:v>公务用车购置及运行维护费</c:v>
                </c:pt>
              </c:strCache>
            </c:strRef>
          </c:cat>
          <c:val>
            <c:numRef>
              <c:f>[决算公开分析图表.xls]Sheet1!$B$164:$B$166</c:f>
              <c:numCache>
                <c:formatCode>General</c:formatCode>
                <c:ptCount val="3"/>
                <c:pt idx="0">
                  <c:v>0</c:v>
                </c:pt>
                <c:pt idx="1">
                  <c:v>0</c:v>
                </c:pt>
                <c:pt idx="2">
                  <c:v>3.92</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35</Pages>
  <Words>10408</Words>
  <Characters>11460</Characters>
  <Lines>768</Lines>
  <Paragraphs>290</Paragraphs>
  <TotalTime>32</TotalTime>
  <ScaleCrop>false</ScaleCrop>
  <LinksUpToDate>false</LinksUpToDate>
  <CharactersWithSpaces>11543</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碧落  </cp:lastModifiedBy>
  <cp:lastPrinted>2023-10-25T18:47:00Z</cp:lastPrinted>
  <dcterms:modified xsi:type="dcterms:W3CDTF">2025-10-27T16:30:02Z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F2AC334CD5EC459AAF2F7047152C6CD4_13</vt:lpwstr>
  </property>
  <property fmtid="{D5CDD505-2E9C-101B-9397-08002B2CF9AE}" pid="4" name="KSOTemplateDocerSaveRecord">
    <vt:lpwstr>eyJoZGlkIjoiMWQ0M2IwMDMxMWJlNzQxNThhNGZkMzJlMWRjNGJmZTgiLCJ1c2VySWQiOiIzNDE4Mjk3ODEifQ==</vt:lpwstr>
  </property>
</Properties>
</file>