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7986F">
      <w:pPr>
        <w:spacing w:line="600" w:lineRule="exact"/>
        <w:jc w:val="center"/>
        <w:outlineLvl w:val="0"/>
        <w:rPr>
          <w:rFonts w:ascii="方正小标宋简体" w:eastAsia="方正小标宋简体"/>
          <w:color w:val="000000"/>
          <w:sz w:val="72"/>
          <w:szCs w:val="72"/>
        </w:rPr>
      </w:pPr>
      <w:bookmarkStart w:id="0" w:name="_Toc15306267"/>
    </w:p>
    <w:p w14:paraId="08B10EC7">
      <w:pPr>
        <w:spacing w:line="600" w:lineRule="exact"/>
        <w:jc w:val="center"/>
        <w:outlineLvl w:val="0"/>
        <w:rPr>
          <w:rFonts w:ascii="方正小标宋简体" w:eastAsia="方正小标宋简体"/>
          <w:color w:val="000000"/>
          <w:sz w:val="72"/>
          <w:szCs w:val="72"/>
        </w:rPr>
      </w:pPr>
    </w:p>
    <w:p w14:paraId="1CE1DD91">
      <w:pPr>
        <w:spacing w:line="600" w:lineRule="exact"/>
        <w:jc w:val="center"/>
        <w:outlineLvl w:val="0"/>
        <w:rPr>
          <w:rFonts w:ascii="方正小标宋简体" w:eastAsia="方正小标宋简体"/>
          <w:color w:val="000000"/>
          <w:sz w:val="72"/>
          <w:szCs w:val="72"/>
        </w:rPr>
      </w:pPr>
    </w:p>
    <w:p w14:paraId="4A4BD91C">
      <w:pPr>
        <w:jc w:val="center"/>
        <w:rPr>
          <w:rFonts w:ascii="黑体" w:eastAsia="黑体"/>
          <w:sz w:val="72"/>
          <w:szCs w:val="72"/>
        </w:rPr>
      </w:pPr>
      <w:bookmarkStart w:id="1" w:name="_Toc15396475"/>
      <w:bookmarkStart w:id="2" w:name="_Toc15378441"/>
      <w:bookmarkStart w:id="3" w:name="_Toc15377425"/>
      <w:bookmarkStart w:id="4" w:name="_Toc15377193"/>
      <w:bookmarkStart w:id="5" w:name="_Toc15396597"/>
      <w:r>
        <w:rPr>
          <w:rFonts w:hint="eastAsia" w:ascii="黑体" w:eastAsia="黑体"/>
          <w:sz w:val="72"/>
          <w:szCs w:val="72"/>
          <w:lang w:eastAsia="zh-CN"/>
        </w:rPr>
        <w:t>2023年</w:t>
      </w:r>
      <w:r>
        <w:rPr>
          <w:rFonts w:hint="eastAsia" w:ascii="黑体" w:eastAsia="黑体"/>
          <w:sz w:val="72"/>
          <w:szCs w:val="72"/>
        </w:rPr>
        <w:t>度</w:t>
      </w:r>
      <w:bookmarkEnd w:id="1"/>
      <w:bookmarkEnd w:id="2"/>
      <w:bookmarkEnd w:id="3"/>
      <w:bookmarkEnd w:id="4"/>
      <w:bookmarkEnd w:id="5"/>
    </w:p>
    <w:p w14:paraId="30B8B571">
      <w:pPr>
        <w:jc w:val="center"/>
        <w:rPr>
          <w:rFonts w:ascii="方正小标宋简体" w:eastAsia="方正小标宋简体"/>
          <w:sz w:val="72"/>
          <w:szCs w:val="72"/>
        </w:rPr>
      </w:pPr>
      <w:bookmarkStart w:id="6" w:name="_Toc15377426"/>
      <w:bookmarkStart w:id="7" w:name="_Toc15396476"/>
      <w:bookmarkStart w:id="8" w:name="_Toc15377194"/>
      <w:bookmarkStart w:id="9" w:name="_Toc15378442"/>
      <w:bookmarkStart w:id="10" w:name="_Toc15396598"/>
      <w:r>
        <w:rPr>
          <w:rFonts w:hint="eastAsia" w:ascii="方正小标宋简体" w:eastAsia="方正小标宋简体"/>
          <w:sz w:val="72"/>
          <w:szCs w:val="72"/>
        </w:rPr>
        <w:t>阿坝州壤塘县</w:t>
      </w:r>
      <w:bookmarkEnd w:id="0"/>
      <w:bookmarkStart w:id="11" w:name="_Toc15306268"/>
      <w:r>
        <w:rPr>
          <w:rFonts w:hint="eastAsia" w:ascii="方正小标宋简体" w:eastAsia="方正小标宋简体"/>
          <w:sz w:val="72"/>
          <w:szCs w:val="72"/>
          <w:lang w:val="en-US" w:eastAsia="zh-CN"/>
        </w:rPr>
        <w:t>中壤塘文化旅游景区管理处</w:t>
      </w:r>
      <w:r>
        <w:rPr>
          <w:rFonts w:hint="eastAsia" w:ascii="方正小标宋简体" w:eastAsia="方正小标宋简体"/>
          <w:sz w:val="72"/>
          <w:szCs w:val="72"/>
        </w:rPr>
        <w:t>部门决算</w:t>
      </w:r>
      <w:bookmarkEnd w:id="6"/>
      <w:bookmarkEnd w:id="7"/>
      <w:bookmarkEnd w:id="8"/>
      <w:bookmarkEnd w:id="9"/>
      <w:bookmarkEnd w:id="10"/>
      <w:bookmarkEnd w:id="11"/>
    </w:p>
    <w:p w14:paraId="2DD0658C">
      <w:pPr>
        <w:widowControl/>
        <w:jc w:val="center"/>
        <w:rPr>
          <w:rFonts w:ascii="方正小标宋简体" w:eastAsia="方正小标宋简体"/>
          <w:color w:val="000000"/>
          <w:sz w:val="36"/>
          <w:szCs w:val="36"/>
        </w:rPr>
      </w:pPr>
    </w:p>
    <w:p w14:paraId="5C5CF636">
      <w:pPr>
        <w:rPr>
          <w:rFonts w:ascii="方正小标宋简体" w:eastAsia="方正小标宋简体"/>
          <w:sz w:val="36"/>
          <w:szCs w:val="36"/>
        </w:rPr>
      </w:pPr>
    </w:p>
    <w:p w14:paraId="51E469F7">
      <w:pPr>
        <w:rPr>
          <w:rFonts w:ascii="方正小标宋简体" w:eastAsia="方正小标宋简体"/>
          <w:sz w:val="36"/>
          <w:szCs w:val="36"/>
        </w:rPr>
      </w:pPr>
    </w:p>
    <w:p w14:paraId="2B0DB3DB">
      <w:pPr>
        <w:rPr>
          <w:rFonts w:ascii="方正小标宋简体" w:eastAsia="方正小标宋简体"/>
          <w:sz w:val="36"/>
          <w:szCs w:val="36"/>
        </w:rPr>
      </w:pPr>
    </w:p>
    <w:p w14:paraId="57D0054D">
      <w:pPr>
        <w:rPr>
          <w:rFonts w:ascii="方正小标宋简体" w:eastAsia="方正小标宋简体"/>
          <w:sz w:val="36"/>
          <w:szCs w:val="36"/>
        </w:rPr>
      </w:pPr>
    </w:p>
    <w:p w14:paraId="15A8C51A">
      <w:pPr>
        <w:rPr>
          <w:rFonts w:ascii="方正小标宋简体" w:eastAsia="方正小标宋简体"/>
          <w:sz w:val="36"/>
          <w:szCs w:val="36"/>
        </w:rPr>
      </w:pPr>
    </w:p>
    <w:p w14:paraId="33484A21">
      <w:pPr>
        <w:pStyle w:val="17"/>
        <w:rPr>
          <w:rFonts w:ascii="方正小标宋简体" w:eastAsia="方正小标宋简体"/>
          <w:sz w:val="36"/>
          <w:szCs w:val="36"/>
        </w:rPr>
      </w:pPr>
    </w:p>
    <w:p w14:paraId="2B065B5F">
      <w:pPr>
        <w:rPr>
          <w:rFonts w:ascii="方正小标宋简体" w:eastAsia="方正小标宋简体"/>
          <w:sz w:val="36"/>
          <w:szCs w:val="36"/>
        </w:rPr>
      </w:pPr>
    </w:p>
    <w:p w14:paraId="24535D70">
      <w:pPr>
        <w:pStyle w:val="21"/>
      </w:pPr>
    </w:p>
    <w:p w14:paraId="298373C0">
      <w:pPr>
        <w:pStyle w:val="17"/>
        <w:rPr>
          <w:rFonts w:ascii="方正小标宋简体" w:eastAsia="方正小标宋简体"/>
          <w:sz w:val="36"/>
          <w:szCs w:val="36"/>
        </w:rPr>
      </w:pPr>
    </w:p>
    <w:p w14:paraId="45A746F4"/>
    <w:p w14:paraId="3CC5C29C">
      <w:pPr>
        <w:rPr>
          <w:rFonts w:ascii="方正小标宋简体" w:eastAsia="方正小标宋简体"/>
          <w:sz w:val="36"/>
          <w:szCs w:val="36"/>
        </w:rPr>
      </w:pPr>
    </w:p>
    <w:p w14:paraId="532C94ED">
      <w:pPr>
        <w:widowControl/>
        <w:jc w:val="center"/>
        <w:rPr>
          <w:rFonts w:ascii="方正小标宋简体" w:eastAsia="方正小标宋简体"/>
          <w:color w:val="000000"/>
          <w:sz w:val="36"/>
          <w:szCs w:val="36"/>
        </w:rPr>
      </w:pPr>
    </w:p>
    <w:p w14:paraId="0AE663B5">
      <w:pPr>
        <w:pStyle w:val="21"/>
        <w:rPr>
          <w:rFonts w:ascii="方正小标宋简体" w:eastAsia="方正小标宋简体"/>
          <w:color w:val="000000"/>
          <w:sz w:val="36"/>
          <w:szCs w:val="36"/>
        </w:rPr>
      </w:pPr>
    </w:p>
    <w:p w14:paraId="434DF31F"/>
    <w:p w14:paraId="0E2C140C">
      <w:pPr>
        <w:widowControl/>
        <w:jc w:val="center"/>
        <w:rPr>
          <w:rFonts w:ascii="黑体" w:eastAsia="黑体"/>
          <w:color w:val="000000"/>
          <w:sz w:val="48"/>
          <w:szCs w:val="48"/>
        </w:rPr>
      </w:pPr>
      <w:r>
        <w:rPr>
          <w:rFonts w:hint="eastAsia" w:ascii="黑体" w:eastAsia="黑体"/>
          <w:color w:val="000000"/>
          <w:sz w:val="48"/>
          <w:szCs w:val="48"/>
        </w:rPr>
        <w:t>目录</w:t>
      </w:r>
    </w:p>
    <w:p w14:paraId="5673FF7B">
      <w:pPr>
        <w:pStyle w:val="14"/>
        <w:jc w:val="center"/>
        <w:rPr>
          <w:b w:val="0"/>
          <w:bCs w:val="0"/>
          <w:sz w:val="24"/>
          <w:szCs w:val="24"/>
        </w:rPr>
      </w:pPr>
      <w:r>
        <w:rPr>
          <w:rFonts w:hint="eastAsia"/>
          <w:b w:val="0"/>
          <w:bCs w:val="0"/>
          <w:sz w:val="24"/>
          <w:szCs w:val="24"/>
        </w:rPr>
        <w:t>公开时间：202</w:t>
      </w:r>
      <w:r>
        <w:rPr>
          <w:rFonts w:hint="eastAsia"/>
          <w:b w:val="0"/>
          <w:bCs w:val="0"/>
          <w:sz w:val="24"/>
          <w:szCs w:val="24"/>
          <w:lang w:val="en-US" w:eastAsia="zh-CN"/>
        </w:rPr>
        <w:t>4</w:t>
      </w:r>
      <w:r>
        <w:rPr>
          <w:rFonts w:hint="eastAsia"/>
          <w:b w:val="0"/>
          <w:bCs w:val="0"/>
          <w:sz w:val="24"/>
          <w:szCs w:val="24"/>
        </w:rPr>
        <w:t>年</w:t>
      </w:r>
      <w:r>
        <w:rPr>
          <w:rFonts w:hint="eastAsia"/>
          <w:b w:val="0"/>
          <w:bCs w:val="0"/>
          <w:sz w:val="24"/>
          <w:szCs w:val="24"/>
          <w:lang w:val="en-US" w:eastAsia="zh-CN"/>
        </w:rPr>
        <w:t>10</w:t>
      </w:r>
      <w:r>
        <w:rPr>
          <w:rFonts w:hint="eastAsia"/>
          <w:b w:val="0"/>
          <w:bCs w:val="0"/>
          <w:sz w:val="24"/>
          <w:szCs w:val="24"/>
        </w:rPr>
        <w:t>月</w:t>
      </w:r>
      <w:r>
        <w:rPr>
          <w:rFonts w:hint="eastAsia"/>
          <w:b w:val="0"/>
          <w:bCs w:val="0"/>
          <w:sz w:val="24"/>
          <w:szCs w:val="24"/>
          <w:lang w:val="en-US" w:eastAsia="zh-CN"/>
        </w:rPr>
        <w:t>22</w:t>
      </w:r>
      <w:r>
        <w:rPr>
          <w:rFonts w:hint="eastAsia"/>
          <w:b w:val="0"/>
          <w:bCs w:val="0"/>
          <w:sz w:val="24"/>
          <w:szCs w:val="24"/>
        </w:rPr>
        <w:t>日</w:t>
      </w:r>
    </w:p>
    <w:p w14:paraId="7A75797D">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 w:val="0"/>
          <w:bCs w:val="0"/>
          <w:caps w:val="0"/>
          <w:smallCaps w:val="0"/>
        </w:rPr>
        <w:fldChar w:fldCharType="begin"/>
      </w:r>
      <w:r>
        <w:rPr>
          <w:b w:val="0"/>
          <w:bCs w:val="0"/>
          <w:caps w:val="0"/>
          <w:smallCaps w:val="0"/>
        </w:rPr>
        <w:instrText xml:space="preserve"> TOC \o \u </w:instrText>
      </w:r>
      <w:r>
        <w:rPr>
          <w:b w:val="0"/>
          <w:bCs w:val="0"/>
          <w:caps w:val="0"/>
          <w:smallCaps w:val="0"/>
        </w:rPr>
        <w:fldChar w:fldCharType="separate"/>
      </w:r>
      <w:r>
        <w:rPr>
          <w:rFonts w:hint="eastAsia" w:ascii="黑体" w:eastAsia="黑体"/>
        </w:rPr>
        <w:t>第一部分</w:t>
      </w:r>
      <w:r>
        <w:rPr>
          <w:rFonts w:ascii="黑体" w:eastAsia="黑体"/>
        </w:rPr>
        <w:t xml:space="preserve"> </w:t>
      </w:r>
      <w:r>
        <w:rPr>
          <w:rFonts w:hint="eastAsia" w:ascii="黑体" w:eastAsia="黑体"/>
          <w:bCs w:val="0"/>
        </w:rPr>
        <w:t>部门概况</w:t>
      </w:r>
      <w:r>
        <w:tab/>
      </w:r>
      <w:r>
        <w:fldChar w:fldCharType="begin"/>
      </w:r>
      <w:r>
        <w:instrText xml:space="preserve"> PAGEREF _Toc21816 </w:instrText>
      </w:r>
      <w:r>
        <w:fldChar w:fldCharType="separate"/>
      </w:r>
      <w:r>
        <w:t>1</w:t>
      </w:r>
      <w:r>
        <w:fldChar w:fldCharType="end"/>
      </w:r>
    </w:p>
    <w:p w14:paraId="1B0B0B48">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bCs w:val="0"/>
        </w:rPr>
        <w:t xml:space="preserve">一、 </w:t>
      </w:r>
      <w:r>
        <w:rPr>
          <w:rFonts w:hint="eastAsia" w:ascii="黑体" w:eastAsia="黑体"/>
          <w:color w:val="000000"/>
          <w:lang w:val="en-US" w:eastAsia="zh-CN"/>
        </w:rPr>
        <w:t>部门职责</w:t>
      </w:r>
      <w:r>
        <w:tab/>
      </w:r>
      <w:r>
        <w:fldChar w:fldCharType="begin"/>
      </w:r>
      <w:r>
        <w:instrText xml:space="preserve"> PAGEREF _Toc10972 </w:instrText>
      </w:r>
      <w:r>
        <w:fldChar w:fldCharType="separate"/>
      </w:r>
      <w:r>
        <w:t>1</w:t>
      </w:r>
      <w:r>
        <w:fldChar w:fldCharType="end"/>
      </w:r>
    </w:p>
    <w:p w14:paraId="7B6EF441">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rPr>
        <w:t>二、机</w:t>
      </w:r>
      <w:r>
        <w:rPr>
          <w:rFonts w:hint="eastAsia" w:ascii="黑体" w:eastAsia="黑体"/>
          <w:bCs w:val="0"/>
        </w:rPr>
        <w:t>构设置</w:t>
      </w:r>
      <w:r>
        <w:tab/>
      </w:r>
      <w:r>
        <w:fldChar w:fldCharType="begin"/>
      </w:r>
      <w:r>
        <w:instrText xml:space="preserve"> PAGEREF _Toc1864 </w:instrText>
      </w:r>
      <w:r>
        <w:fldChar w:fldCharType="separate"/>
      </w:r>
      <w:r>
        <w:t>2</w:t>
      </w:r>
      <w:r>
        <w:fldChar w:fldCharType="end"/>
      </w:r>
    </w:p>
    <w:p w14:paraId="7676982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黑体" w:eastAsia="黑体"/>
          <w:color w:val="000000"/>
        </w:rPr>
        <w:t>第二部分</w:t>
      </w:r>
      <w:r>
        <w:rPr>
          <w:rFonts w:ascii="黑体" w:eastAsia="黑体"/>
          <w:color w:val="000000"/>
        </w:rPr>
        <w:t xml:space="preserve"> </w:t>
      </w:r>
      <w:r>
        <w:rPr>
          <w:rFonts w:hint="eastAsia" w:ascii="黑体" w:eastAsia="黑体"/>
          <w:bCs w:val="0"/>
          <w:lang w:eastAsia="zh-CN"/>
        </w:rPr>
        <w:t>2023年</w:t>
      </w:r>
      <w:r>
        <w:rPr>
          <w:rFonts w:hint="eastAsia" w:ascii="黑体" w:eastAsia="黑体"/>
          <w:bCs w:val="0"/>
        </w:rPr>
        <w:t>度部门决算情况说明</w:t>
      </w:r>
      <w:r>
        <w:tab/>
      </w:r>
      <w:r>
        <w:rPr>
          <w:rFonts w:hint="eastAsia"/>
          <w:lang w:val="en-US" w:eastAsia="zh-CN"/>
        </w:rPr>
        <w:t xml:space="preserve"> 3</w:t>
      </w:r>
    </w:p>
    <w:p w14:paraId="08E93C3D">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eastAsia="等线"/>
          <w:lang w:val="en-US" w:eastAsia="zh-CN"/>
        </w:rPr>
      </w:pPr>
      <w:r>
        <w:rPr>
          <w:rFonts w:hint="eastAsia" w:ascii="黑体" w:eastAsia="黑体" w:cs="黑体"/>
          <w:lang w:val="en-US" w:eastAsia="zh-CN"/>
        </w:rPr>
        <w:t>一、收入支出决算总体情况说明</w:t>
      </w:r>
      <w:r>
        <w:tab/>
      </w:r>
      <w:r>
        <w:rPr>
          <w:rFonts w:hint="eastAsia"/>
          <w:lang w:val="en-US" w:eastAsia="zh-CN"/>
        </w:rPr>
        <w:t>3</w:t>
      </w:r>
    </w:p>
    <w:p w14:paraId="56FE6EEE">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eastAsia="等线"/>
          <w:lang w:val="en-US" w:eastAsia="zh-CN"/>
        </w:rPr>
      </w:pPr>
      <w:r>
        <w:rPr>
          <w:rFonts w:hint="eastAsia" w:ascii="黑体" w:eastAsia="黑体" w:cs="Times New Roman"/>
          <w:bCs w:val="0"/>
          <w:color w:val="000000"/>
          <w:kern w:val="2"/>
          <w:szCs w:val="32"/>
          <w:lang w:val="en-US" w:eastAsia="zh-CN" w:bidi="ar-SA"/>
        </w:rPr>
        <w:t>二、收入决算情况说明</w:t>
      </w:r>
      <w:r>
        <w:tab/>
      </w:r>
      <w:r>
        <w:rPr>
          <w:rFonts w:hint="eastAsia"/>
          <w:lang w:val="en-US" w:eastAsia="zh-CN"/>
        </w:rPr>
        <w:t>4</w:t>
      </w:r>
    </w:p>
    <w:p w14:paraId="414B8A70">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s="Times New Roman"/>
          <w:bCs w:val="0"/>
          <w:color w:val="000000"/>
          <w:kern w:val="2"/>
          <w:szCs w:val="32"/>
          <w:lang w:val="en-US" w:eastAsia="zh-CN" w:bidi="ar-SA"/>
        </w:rPr>
        <w:t>三、支出决算情况说</w:t>
      </w:r>
      <w:r>
        <w:rPr>
          <w:rFonts w:hint="eastAsia"/>
          <w:lang w:val="en-US" w:eastAsia="zh-CN"/>
        </w:rPr>
        <w:t>明</w:t>
      </w:r>
      <w:r>
        <w:tab/>
      </w:r>
      <w:r>
        <w:fldChar w:fldCharType="begin"/>
      </w:r>
      <w:r>
        <w:instrText xml:space="preserve"> PAGEREF _Toc27568 </w:instrText>
      </w:r>
      <w:r>
        <w:fldChar w:fldCharType="separate"/>
      </w:r>
      <w:r>
        <w:t>4</w:t>
      </w:r>
      <w:r>
        <w:fldChar w:fldCharType="end"/>
      </w:r>
    </w:p>
    <w:p w14:paraId="449C2F68">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szCs w:val="32"/>
        </w:rPr>
        <w:t>四、财</w:t>
      </w:r>
      <w:r>
        <w:rPr>
          <w:rFonts w:hint="eastAsia" w:ascii="黑体" w:eastAsia="黑体"/>
        </w:rPr>
        <w:t>政拨款收入支出决算总体情况说明</w:t>
      </w:r>
      <w:r>
        <w:tab/>
      </w:r>
      <w:r>
        <w:fldChar w:fldCharType="begin"/>
      </w:r>
      <w:r>
        <w:instrText xml:space="preserve"> PAGEREF _Toc7290 </w:instrText>
      </w:r>
      <w:r>
        <w:fldChar w:fldCharType="separate"/>
      </w:r>
      <w:r>
        <w:t>5</w:t>
      </w:r>
      <w:r>
        <w:fldChar w:fldCharType="end"/>
      </w:r>
    </w:p>
    <w:p w14:paraId="12EDBA9E">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szCs w:val="32"/>
        </w:rPr>
        <w:t>五、一</w:t>
      </w:r>
      <w:r>
        <w:rPr>
          <w:rFonts w:hint="eastAsia" w:ascii="黑体" w:eastAsia="黑体"/>
        </w:rPr>
        <w:t>般公共预算财政拨款支出决算情况说明</w:t>
      </w:r>
      <w:r>
        <w:tab/>
      </w:r>
      <w:r>
        <w:fldChar w:fldCharType="begin"/>
      </w:r>
      <w:r>
        <w:instrText xml:space="preserve"> PAGEREF _Toc9785 </w:instrText>
      </w:r>
      <w:r>
        <w:fldChar w:fldCharType="separate"/>
      </w:r>
      <w:r>
        <w:t>5</w:t>
      </w:r>
      <w:r>
        <w:fldChar w:fldCharType="end"/>
      </w:r>
    </w:p>
    <w:p w14:paraId="710F8C98">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（一）一般公共预算财政拨款支出决算总体情况</w:t>
      </w:r>
      <w:r>
        <w:tab/>
      </w:r>
      <w:r>
        <w:fldChar w:fldCharType="begin"/>
      </w:r>
      <w:r>
        <w:instrText xml:space="preserve"> PAGEREF _Toc12757 </w:instrText>
      </w:r>
      <w:r>
        <w:fldChar w:fldCharType="separate"/>
      </w:r>
      <w:r>
        <w:t>5</w:t>
      </w:r>
      <w:r>
        <w:fldChar w:fldCharType="end"/>
      </w:r>
    </w:p>
    <w:p w14:paraId="4DE33ED1">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（二）一般公共预算财政拨款支出决算结构情况</w:t>
      </w:r>
      <w:r>
        <w:tab/>
      </w:r>
      <w:r>
        <w:fldChar w:fldCharType="begin"/>
      </w:r>
      <w:r>
        <w:instrText xml:space="preserve"> PAGEREF _Toc23785 </w:instrText>
      </w:r>
      <w:r>
        <w:fldChar w:fldCharType="separate"/>
      </w:r>
      <w:r>
        <w:t>6</w:t>
      </w:r>
      <w:r>
        <w:fldChar w:fldCharType="end"/>
      </w:r>
    </w:p>
    <w:p w14:paraId="75376129">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（三）一般公共预算财政拨款支出决算具体情况</w:t>
      </w:r>
      <w:r>
        <w:tab/>
      </w:r>
      <w:r>
        <w:fldChar w:fldCharType="begin"/>
      </w:r>
      <w:r>
        <w:instrText xml:space="preserve"> PAGEREF _Toc22688 </w:instrText>
      </w:r>
      <w:r>
        <w:fldChar w:fldCharType="separate"/>
      </w:r>
      <w:r>
        <w:t>7</w:t>
      </w:r>
      <w:r>
        <w:fldChar w:fldCharType="end"/>
      </w:r>
    </w:p>
    <w:p w14:paraId="651483B3">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szCs w:val="32"/>
        </w:rPr>
        <w:t>六、一</w:t>
      </w:r>
      <w:r>
        <w:rPr>
          <w:rFonts w:hint="eastAsia" w:ascii="黑体" w:eastAsia="黑体"/>
        </w:rPr>
        <w:t>般公共预算财政拨款基本支出决算情况说明</w:t>
      </w:r>
      <w:r>
        <w:tab/>
      </w:r>
      <w:r>
        <w:fldChar w:fldCharType="begin"/>
      </w:r>
      <w:r>
        <w:instrText xml:space="preserve"> PAGEREF _Toc31380 </w:instrText>
      </w:r>
      <w:r>
        <w:fldChar w:fldCharType="separate"/>
      </w:r>
      <w:r>
        <w:t>9</w:t>
      </w:r>
      <w:r>
        <w:fldChar w:fldCharType="end"/>
      </w:r>
    </w:p>
    <w:p w14:paraId="5AC893E9">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eastAsia="等线"/>
          <w:lang w:eastAsia="zh-CN"/>
        </w:rPr>
      </w:pPr>
      <w:r>
        <w:rPr>
          <w:rFonts w:hint="eastAsia" w:ascii="黑体" w:eastAsia="黑体"/>
          <w:color w:val="000000"/>
          <w:szCs w:val="32"/>
        </w:rPr>
        <w:t>七、</w:t>
      </w:r>
      <w:r>
        <w:rPr>
          <w:rFonts w:hint="eastAsia" w:ascii="黑体" w:eastAsia="黑体"/>
        </w:rPr>
        <w:t>“三公”经费财政拨款支出决算情况说明</w:t>
      </w:r>
      <w:r>
        <w:tab/>
      </w:r>
      <w:r>
        <w:rPr>
          <w:rFonts w:hint="eastAsia"/>
          <w:lang w:val="en-US" w:eastAsia="zh-CN"/>
        </w:rPr>
        <w:t>9</w:t>
      </w:r>
    </w:p>
    <w:p w14:paraId="25F47571">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eastAsia="等线"/>
          <w:lang w:eastAsia="zh-CN"/>
        </w:rPr>
      </w:pPr>
      <w:r>
        <w:rPr>
          <w:rFonts w:hint="eastAsia" w:ascii="仿宋" w:eastAsia="仿宋"/>
          <w:color w:val="000000"/>
          <w:szCs w:val="32"/>
        </w:rPr>
        <w:t>（一）“三公”经费财政拨款支出决算总体情况说明</w:t>
      </w:r>
      <w:r>
        <w:tab/>
      </w:r>
      <w:r>
        <w:rPr>
          <w:rFonts w:hint="eastAsia"/>
          <w:lang w:val="en-US" w:eastAsia="zh-CN"/>
        </w:rPr>
        <w:t>9</w:t>
      </w:r>
    </w:p>
    <w:p w14:paraId="0ABA2167">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eastAsia="等线"/>
          <w:lang w:eastAsia="zh-CN"/>
        </w:rPr>
      </w:pPr>
      <w:r>
        <w:rPr>
          <w:rFonts w:hint="eastAsia" w:ascii="仿宋" w:eastAsia="仿宋"/>
          <w:color w:val="000000"/>
          <w:szCs w:val="32"/>
        </w:rPr>
        <w:t>（二）“三公”经费财政拨款支出决算具体情况说明</w:t>
      </w:r>
      <w:r>
        <w:tab/>
      </w:r>
      <w:r>
        <w:rPr>
          <w:rFonts w:hint="eastAsia"/>
          <w:lang w:val="en-US" w:eastAsia="zh-CN"/>
        </w:rPr>
        <w:t>9</w:t>
      </w:r>
    </w:p>
    <w:p w14:paraId="35E46168">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szCs w:val="32"/>
        </w:rPr>
        <w:t>八、</w:t>
      </w:r>
      <w:r>
        <w:rPr>
          <w:rFonts w:hint="eastAsia" w:ascii="黑体" w:eastAsia="黑体"/>
        </w:rPr>
        <w:t>政府性基金预算支出决算情况说明</w:t>
      </w:r>
      <w:r>
        <w:tab/>
      </w:r>
      <w:r>
        <w:fldChar w:fldCharType="begin"/>
      </w:r>
      <w:r>
        <w:instrText xml:space="preserve"> PAGEREF _Toc18774 </w:instrText>
      </w:r>
      <w:r>
        <w:fldChar w:fldCharType="separate"/>
      </w:r>
      <w:r>
        <w:t>9</w:t>
      </w:r>
      <w:r>
        <w:fldChar w:fldCharType="end"/>
      </w:r>
    </w:p>
    <w:p w14:paraId="49FFBFF4">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s="Times New Roman"/>
        </w:rPr>
        <w:t xml:space="preserve">九、 </w:t>
      </w:r>
      <w:r>
        <w:rPr>
          <w:rFonts w:hint="eastAsia" w:ascii="黑体" w:eastAsia="黑体"/>
        </w:rPr>
        <w:t>国有资本经营预算支出决算情况说明</w:t>
      </w:r>
      <w:r>
        <w:tab/>
      </w:r>
      <w:r>
        <w:fldChar w:fldCharType="begin"/>
      </w:r>
      <w:r>
        <w:instrText xml:space="preserve"> PAGEREF _Toc13100 </w:instrText>
      </w:r>
      <w:r>
        <w:fldChar w:fldCharType="separate"/>
      </w:r>
      <w:r>
        <w:t>10</w:t>
      </w:r>
      <w:r>
        <w:fldChar w:fldCharType="end"/>
      </w:r>
    </w:p>
    <w:p w14:paraId="2AC3D536">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黑体" w:eastAsia="黑体"/>
          <w:color w:val="000000"/>
          <w:szCs w:val="32"/>
        </w:rPr>
        <w:t>十</w:t>
      </w:r>
      <w:r>
        <w:rPr>
          <w:rFonts w:hint="eastAsia" w:ascii="黑体" w:eastAsia="黑体"/>
        </w:rPr>
        <w:t>、其他重要事项的情况说明</w:t>
      </w:r>
      <w:r>
        <w:tab/>
      </w:r>
      <w:r>
        <w:fldChar w:fldCharType="begin"/>
      </w:r>
      <w:r>
        <w:instrText xml:space="preserve"> PAGEREF _Toc16723 </w:instrText>
      </w:r>
      <w:r>
        <w:fldChar w:fldCharType="separate"/>
      </w:r>
      <w:r>
        <w:t>10</w:t>
      </w:r>
      <w:r>
        <w:fldChar w:fldCharType="end"/>
      </w:r>
    </w:p>
    <w:p w14:paraId="369A8D83">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（一）机关运行经费支出情况</w:t>
      </w:r>
      <w:r>
        <w:tab/>
      </w:r>
      <w:r>
        <w:fldChar w:fldCharType="begin"/>
      </w:r>
      <w:r>
        <w:instrText xml:space="preserve"> PAGEREF _Toc30866 </w:instrText>
      </w:r>
      <w:r>
        <w:fldChar w:fldCharType="separate"/>
      </w:r>
      <w:r>
        <w:t>10</w:t>
      </w:r>
      <w:r>
        <w:fldChar w:fldCharType="end"/>
      </w:r>
    </w:p>
    <w:p w14:paraId="68D9DD7D">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（二）政府采购支出情况</w:t>
      </w:r>
      <w:r>
        <w:tab/>
      </w:r>
      <w:r>
        <w:fldChar w:fldCharType="begin"/>
      </w:r>
      <w:r>
        <w:instrText xml:space="preserve"> PAGEREF _Toc8107 </w:instrText>
      </w:r>
      <w:r>
        <w:fldChar w:fldCharType="separate"/>
      </w:r>
      <w:r>
        <w:t>10</w:t>
      </w:r>
      <w:r>
        <w:fldChar w:fldCharType="end"/>
      </w:r>
    </w:p>
    <w:p w14:paraId="4773862D">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 w:eastAsia="仿宋"/>
          <w:color w:val="000000"/>
          <w:szCs w:val="32"/>
        </w:rPr>
        <w:sectPr>
          <w:headerReference r:id="rId3" w:type="default"/>
          <w:pgSz w:w="11906" w:h="16838"/>
          <w:pgMar w:top="1440" w:right="1800" w:bottom="1440" w:left="1800" w:header="851" w:footer="992" w:gutter="0"/>
          <w:pgNumType w:start="1"/>
          <w:cols w:space="720" w:num="1"/>
          <w:titlePg/>
          <w:docGrid w:type="lines" w:linePitch="312" w:charSpace="0"/>
        </w:sectPr>
      </w:pPr>
    </w:p>
    <w:p w14:paraId="2F293094">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（三）国有资产占有使用情况</w:t>
      </w:r>
      <w:r>
        <w:tab/>
      </w:r>
      <w:r>
        <w:fldChar w:fldCharType="begin"/>
      </w:r>
      <w:r>
        <w:instrText xml:space="preserve"> PAGEREF _Toc11794 </w:instrText>
      </w:r>
      <w:r>
        <w:fldChar w:fldCharType="separate"/>
      </w:r>
      <w:r>
        <w:t>10</w:t>
      </w:r>
      <w:r>
        <w:fldChar w:fldCharType="end"/>
      </w:r>
    </w:p>
    <w:p w14:paraId="4603EE31">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 w:eastAsia="仿宋"/>
          <w:color w:val="000000"/>
          <w:szCs w:val="32"/>
        </w:rPr>
        <w:t>（四）预算绩效管理情况。</w:t>
      </w:r>
      <w:r>
        <w:tab/>
      </w:r>
      <w:r>
        <w:fldChar w:fldCharType="begin"/>
      </w:r>
      <w:r>
        <w:instrText xml:space="preserve"> PAGEREF _Toc31031 </w:instrText>
      </w:r>
      <w:r>
        <w:fldChar w:fldCharType="separate"/>
      </w:r>
      <w:r>
        <w:t>10</w:t>
      </w:r>
      <w:r>
        <w:fldChar w:fldCharType="end"/>
      </w:r>
    </w:p>
    <w:p w14:paraId="2D464415">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黑体" w:eastAsia="黑体" w:cs="Times New Roman"/>
        </w:rPr>
        <w:t xml:space="preserve">第三部分 </w:t>
      </w:r>
      <w:r>
        <w:rPr>
          <w:rFonts w:hint="eastAsia" w:ascii="黑体" w:eastAsia="黑体"/>
          <w:color w:val="000000"/>
          <w:szCs w:val="44"/>
        </w:rPr>
        <w:t>名</w:t>
      </w:r>
      <w:r>
        <w:rPr>
          <w:rFonts w:hint="eastAsia" w:ascii="黑体" w:eastAsia="黑体"/>
        </w:rPr>
        <w:t>词解释</w:t>
      </w:r>
      <w:r>
        <w:tab/>
      </w:r>
      <w:r>
        <w:rPr>
          <w:rFonts w:hint="eastAsia"/>
          <w:lang w:val="en-US" w:eastAsia="zh-CN"/>
        </w:rPr>
        <w:t>15</w:t>
      </w:r>
    </w:p>
    <w:p w14:paraId="1FD181C8">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黑体" w:eastAsia="黑体"/>
          <w:color w:val="000000"/>
          <w:szCs w:val="44"/>
        </w:rPr>
        <w:t>第</w:t>
      </w:r>
      <w:r>
        <w:rPr>
          <w:rFonts w:hint="eastAsia" w:ascii="黑体" w:eastAsia="黑体"/>
        </w:rPr>
        <w:t>四部分</w:t>
      </w:r>
      <w:r>
        <w:rPr>
          <w:rFonts w:ascii="黑体" w:eastAsia="黑体"/>
        </w:rPr>
        <w:t xml:space="preserve"> </w:t>
      </w:r>
      <w:r>
        <w:rPr>
          <w:rFonts w:hint="eastAsia" w:ascii="黑体" w:eastAsia="黑体"/>
        </w:rPr>
        <w:t>附件</w:t>
      </w:r>
      <w:r>
        <w:tab/>
      </w:r>
      <w:r>
        <w:rPr>
          <w:rFonts w:hint="eastAsia"/>
          <w:lang w:val="en-US" w:eastAsia="zh-CN"/>
        </w:rPr>
        <w:t>18</w:t>
      </w:r>
    </w:p>
    <w:p w14:paraId="78A96AB3">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黑体" w:eastAsia="黑体" w:cs="黑体"/>
          <w:szCs w:val="32"/>
        </w:rPr>
        <w:t>附件</w:t>
      </w:r>
      <w:r>
        <w:rPr>
          <w:rFonts w:ascii="黑体" w:eastAsia="黑体" w:cs="黑体"/>
          <w:szCs w:val="32"/>
        </w:rPr>
        <w:t>1</w:t>
      </w:r>
      <w:r>
        <w:tab/>
      </w:r>
      <w:r>
        <w:rPr>
          <w:rFonts w:hint="eastAsia"/>
          <w:lang w:val="en-US" w:eastAsia="zh-CN"/>
        </w:rPr>
        <w:t>18</w:t>
      </w:r>
    </w:p>
    <w:p w14:paraId="0D600DD5">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eastAsia="等线"/>
          <w:lang w:val="en-US" w:eastAsia="zh-CN"/>
        </w:rPr>
      </w:pPr>
      <w:r>
        <w:rPr>
          <w:rFonts w:hint="eastAsia" w:ascii="黑体" w:eastAsia="黑体" w:cs="黑体"/>
          <w:szCs w:val="32"/>
        </w:rPr>
        <w:t>附件</w:t>
      </w:r>
      <w:r>
        <w:rPr>
          <w:rFonts w:ascii="黑体" w:eastAsia="黑体" w:cs="黑体"/>
          <w:szCs w:val="32"/>
        </w:rPr>
        <w:t>2</w:t>
      </w:r>
      <w:r>
        <w:tab/>
      </w:r>
      <w:r>
        <w:rPr>
          <w:rFonts w:hint="eastAsia"/>
          <w:lang w:val="en-US" w:eastAsia="zh-CN"/>
        </w:rPr>
        <w:t>29</w:t>
      </w:r>
    </w:p>
    <w:p w14:paraId="4F2BFB2D">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黑体" w:eastAsia="黑体"/>
          <w:color w:val="000000"/>
          <w:szCs w:val="44"/>
        </w:rPr>
        <w:t>第</w:t>
      </w:r>
      <w:r>
        <w:rPr>
          <w:rFonts w:hint="eastAsia" w:ascii="黑体" w:eastAsia="黑体"/>
        </w:rPr>
        <w:t>五部分</w:t>
      </w:r>
      <w:r>
        <w:rPr>
          <w:rFonts w:ascii="黑体" w:eastAsia="黑体"/>
        </w:rPr>
        <w:t xml:space="preserve"> </w:t>
      </w:r>
      <w:r>
        <w:rPr>
          <w:rFonts w:hint="eastAsia" w:ascii="黑体" w:eastAsia="黑体"/>
        </w:rPr>
        <w:t>附表</w:t>
      </w:r>
      <w:r>
        <w:tab/>
      </w:r>
      <w:r>
        <w:rPr>
          <w:rFonts w:hint="eastAsia"/>
          <w:lang w:val="en-US" w:eastAsia="zh-CN"/>
        </w:rPr>
        <w:t>38</w:t>
      </w:r>
    </w:p>
    <w:p w14:paraId="2BA90724">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color w:val="000000"/>
        </w:rPr>
        <w:t>一、收</w:t>
      </w:r>
      <w:r>
        <w:rPr>
          <w:rFonts w:hint="eastAsia" w:ascii="仿宋" w:eastAsia="仿宋"/>
          <w:bCs w:val="0"/>
        </w:rPr>
        <w:t>入支出决算总表</w:t>
      </w:r>
      <w:r>
        <w:tab/>
      </w:r>
      <w:r>
        <w:rPr>
          <w:rFonts w:hint="eastAsia"/>
          <w:lang w:val="en-US" w:eastAsia="zh-CN"/>
        </w:rPr>
        <w:t>38</w:t>
      </w:r>
    </w:p>
    <w:p w14:paraId="72817712">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color w:val="000000"/>
        </w:rPr>
        <w:t>二、收</w:t>
      </w:r>
      <w:r>
        <w:rPr>
          <w:rFonts w:hint="eastAsia" w:ascii="仿宋" w:eastAsia="仿宋"/>
          <w:bCs w:val="0"/>
        </w:rPr>
        <w:t>入决算表</w:t>
      </w:r>
      <w:r>
        <w:tab/>
      </w:r>
      <w:r>
        <w:rPr>
          <w:rFonts w:hint="eastAsia"/>
          <w:lang w:val="en-US" w:eastAsia="zh-CN"/>
        </w:rPr>
        <w:t>38</w:t>
      </w:r>
    </w:p>
    <w:p w14:paraId="1672A9B4">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三、</w:t>
      </w:r>
      <w:r>
        <w:rPr>
          <w:rFonts w:hint="eastAsia" w:ascii="仿宋" w:eastAsia="仿宋"/>
          <w:color w:val="000000"/>
        </w:rPr>
        <w:t>支</w:t>
      </w:r>
      <w:r>
        <w:rPr>
          <w:rFonts w:hint="eastAsia" w:ascii="仿宋" w:eastAsia="仿宋"/>
          <w:bCs w:val="0"/>
        </w:rPr>
        <w:t>出决算表</w:t>
      </w:r>
      <w:r>
        <w:tab/>
      </w:r>
      <w:r>
        <w:rPr>
          <w:rFonts w:hint="eastAsia"/>
          <w:lang w:val="en-US" w:eastAsia="zh-CN"/>
        </w:rPr>
        <w:t>38</w:t>
      </w:r>
    </w:p>
    <w:p w14:paraId="30329AFD">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四、</w:t>
      </w:r>
      <w:r>
        <w:rPr>
          <w:rFonts w:hint="eastAsia" w:ascii="仿宋" w:eastAsia="仿宋"/>
          <w:color w:val="000000"/>
        </w:rPr>
        <w:t>财</w:t>
      </w:r>
      <w:r>
        <w:rPr>
          <w:rFonts w:hint="eastAsia" w:ascii="仿宋" w:eastAsia="仿宋"/>
          <w:bCs w:val="0"/>
        </w:rPr>
        <w:t>政拨款收入支出决算总表</w:t>
      </w:r>
      <w:r>
        <w:tab/>
      </w:r>
      <w:r>
        <w:rPr>
          <w:rFonts w:hint="eastAsia"/>
          <w:lang w:val="en-US" w:eastAsia="zh-CN"/>
        </w:rPr>
        <w:t>38</w:t>
      </w:r>
    </w:p>
    <w:p w14:paraId="7CBB3BF3">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五、</w:t>
      </w:r>
      <w:r>
        <w:rPr>
          <w:rFonts w:hint="eastAsia" w:ascii="仿宋" w:eastAsia="仿宋"/>
          <w:color w:val="000000"/>
        </w:rPr>
        <w:t>财</w:t>
      </w:r>
      <w:r>
        <w:rPr>
          <w:rFonts w:hint="eastAsia" w:ascii="仿宋" w:eastAsia="仿宋"/>
          <w:bCs w:val="0"/>
        </w:rPr>
        <w:t>政拨款支出决算明细表</w:t>
      </w:r>
      <w:r>
        <w:tab/>
      </w:r>
      <w:r>
        <w:rPr>
          <w:rFonts w:hint="eastAsia"/>
          <w:lang w:val="en-US" w:eastAsia="zh-CN"/>
        </w:rPr>
        <w:t>38</w:t>
      </w:r>
    </w:p>
    <w:p w14:paraId="1D463EB4">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六、</w:t>
      </w:r>
      <w:r>
        <w:rPr>
          <w:rFonts w:hint="eastAsia" w:ascii="仿宋" w:eastAsia="仿宋"/>
          <w:color w:val="000000"/>
        </w:rPr>
        <w:t>一</w:t>
      </w:r>
      <w:r>
        <w:rPr>
          <w:rFonts w:hint="eastAsia" w:ascii="仿宋" w:eastAsia="仿宋"/>
          <w:bCs w:val="0"/>
        </w:rPr>
        <w:t>般公共预算财政拨款支出决算表</w:t>
      </w:r>
      <w:r>
        <w:tab/>
      </w:r>
      <w:r>
        <w:rPr>
          <w:rFonts w:hint="eastAsia"/>
          <w:lang w:val="en-US" w:eastAsia="zh-CN"/>
        </w:rPr>
        <w:t>38</w:t>
      </w:r>
    </w:p>
    <w:p w14:paraId="27121A5D">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七、</w:t>
      </w:r>
      <w:r>
        <w:rPr>
          <w:rFonts w:hint="eastAsia" w:ascii="仿宋" w:eastAsia="仿宋"/>
          <w:color w:val="000000"/>
        </w:rPr>
        <w:t>一</w:t>
      </w:r>
      <w:r>
        <w:rPr>
          <w:rFonts w:hint="eastAsia" w:ascii="仿宋" w:eastAsia="仿宋"/>
          <w:bCs w:val="0"/>
        </w:rPr>
        <w:t>般公共预算财政拨款支出决算明细表</w:t>
      </w:r>
      <w:r>
        <w:tab/>
      </w:r>
      <w:r>
        <w:rPr>
          <w:rFonts w:hint="eastAsia"/>
          <w:lang w:val="en-US" w:eastAsia="zh-CN"/>
        </w:rPr>
        <w:t>38</w:t>
      </w:r>
    </w:p>
    <w:p w14:paraId="66A4494B">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八、</w:t>
      </w:r>
      <w:r>
        <w:rPr>
          <w:rFonts w:hint="eastAsia" w:ascii="仿宋" w:eastAsia="仿宋"/>
          <w:color w:val="000000"/>
        </w:rPr>
        <w:t>一</w:t>
      </w:r>
      <w:r>
        <w:rPr>
          <w:rFonts w:hint="eastAsia" w:ascii="仿宋" w:eastAsia="仿宋"/>
          <w:bCs w:val="0"/>
        </w:rPr>
        <w:t>般公共预算财政拨款基本支出决算表</w:t>
      </w:r>
      <w:r>
        <w:tab/>
      </w:r>
      <w:r>
        <w:rPr>
          <w:rFonts w:hint="eastAsia"/>
          <w:lang w:val="en-US" w:eastAsia="zh-CN"/>
        </w:rPr>
        <w:t>38</w:t>
      </w:r>
    </w:p>
    <w:p w14:paraId="54020973">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九、</w:t>
      </w:r>
      <w:r>
        <w:rPr>
          <w:rFonts w:hint="eastAsia" w:ascii="仿宋" w:eastAsia="仿宋"/>
          <w:color w:val="000000"/>
        </w:rPr>
        <w:t>一</w:t>
      </w:r>
      <w:r>
        <w:rPr>
          <w:rFonts w:hint="eastAsia" w:ascii="仿宋" w:eastAsia="仿宋"/>
          <w:bCs w:val="0"/>
        </w:rPr>
        <w:t>般公共预算财政拨款项目支出决算表</w:t>
      </w:r>
      <w:r>
        <w:tab/>
      </w:r>
      <w:r>
        <w:rPr>
          <w:rFonts w:hint="eastAsia"/>
          <w:lang w:val="en-US" w:eastAsia="zh-CN"/>
        </w:rPr>
        <w:t>38</w:t>
      </w:r>
    </w:p>
    <w:p w14:paraId="57CFD5AE">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十、</w:t>
      </w:r>
      <w:r>
        <w:rPr>
          <w:rFonts w:hint="eastAsia" w:ascii="仿宋" w:eastAsia="仿宋"/>
          <w:color w:val="000000"/>
        </w:rPr>
        <w:t>政</w:t>
      </w:r>
      <w:r>
        <w:rPr>
          <w:rFonts w:hint="eastAsia" w:ascii="仿宋" w:eastAsia="仿宋"/>
          <w:bCs w:val="0"/>
        </w:rPr>
        <w:t>府性基金预算财政拨款收入支出决算表</w:t>
      </w:r>
      <w:r>
        <w:tab/>
      </w:r>
      <w:r>
        <w:rPr>
          <w:rFonts w:hint="eastAsia"/>
          <w:lang w:val="en-US" w:eastAsia="zh-CN"/>
        </w:rPr>
        <w:t>38</w:t>
      </w:r>
    </w:p>
    <w:p w14:paraId="1AEAAAA3">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十</w:t>
      </w:r>
      <w:r>
        <w:rPr>
          <w:rFonts w:hint="eastAsia" w:ascii="仿宋" w:eastAsia="仿宋"/>
          <w:bCs w:val="0"/>
          <w:lang w:val="en-US" w:eastAsia="zh-CN"/>
        </w:rPr>
        <w:t>一</w:t>
      </w:r>
      <w:r>
        <w:rPr>
          <w:rFonts w:hint="eastAsia" w:ascii="仿宋" w:eastAsia="仿宋"/>
          <w:bCs w:val="0"/>
        </w:rPr>
        <w:t>、</w:t>
      </w:r>
      <w:r>
        <w:rPr>
          <w:rFonts w:hint="eastAsia" w:ascii="仿宋" w:eastAsia="仿宋"/>
          <w:color w:val="000000"/>
        </w:rPr>
        <w:t>国</w:t>
      </w:r>
      <w:r>
        <w:rPr>
          <w:rFonts w:hint="eastAsia" w:ascii="仿宋" w:eastAsia="仿宋"/>
          <w:bCs w:val="0"/>
        </w:rPr>
        <w:t>有资本经营预算财政拨款</w:t>
      </w:r>
      <w:r>
        <w:rPr>
          <w:rFonts w:hint="eastAsia" w:ascii="仿宋" w:eastAsia="仿宋"/>
          <w:bCs w:val="0"/>
          <w:lang w:val="en-US" w:eastAsia="zh-CN"/>
        </w:rPr>
        <w:t>收入</w:t>
      </w:r>
      <w:r>
        <w:rPr>
          <w:rFonts w:hint="eastAsia" w:ascii="仿宋" w:eastAsia="仿宋"/>
          <w:bCs w:val="0"/>
        </w:rPr>
        <w:t>支出决算表</w:t>
      </w:r>
      <w:r>
        <w:tab/>
      </w:r>
      <w:r>
        <w:rPr>
          <w:rFonts w:hint="eastAsia"/>
          <w:lang w:val="en-US" w:eastAsia="zh-CN"/>
        </w:rPr>
        <w:t>38</w:t>
      </w:r>
    </w:p>
    <w:p w14:paraId="790A4E0F">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rPr>
        <w:t>十</w:t>
      </w:r>
      <w:r>
        <w:rPr>
          <w:rFonts w:hint="eastAsia" w:ascii="仿宋" w:eastAsia="仿宋"/>
          <w:bCs w:val="0"/>
          <w:lang w:val="en-US" w:eastAsia="zh-CN"/>
        </w:rPr>
        <w:t>二</w:t>
      </w:r>
      <w:r>
        <w:rPr>
          <w:rFonts w:hint="eastAsia" w:ascii="仿宋" w:eastAsia="仿宋"/>
          <w:bCs w:val="0"/>
        </w:rPr>
        <w:t>、国有资本经营预算财政拨款支出决算表</w:t>
      </w:r>
      <w:r>
        <w:tab/>
      </w:r>
      <w:r>
        <w:rPr>
          <w:rFonts w:hint="eastAsia"/>
          <w:lang w:val="en-US" w:eastAsia="zh-CN"/>
        </w:rPr>
        <w:t>38</w:t>
      </w:r>
    </w:p>
    <w:p w14:paraId="4C1BA990">
      <w:pPr>
        <w:pStyle w:val="1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eastAsia="等线"/>
          <w:lang w:val="en-US" w:eastAsia="zh-CN"/>
        </w:rPr>
      </w:pPr>
      <w:r>
        <w:rPr>
          <w:rFonts w:hint="eastAsia" w:ascii="仿宋" w:eastAsia="仿宋"/>
          <w:bCs w:val="0"/>
          <w:lang w:val="en-US" w:eastAsia="zh-CN"/>
        </w:rPr>
        <w:t>十三、</w:t>
      </w:r>
      <w:r>
        <w:rPr>
          <w:rFonts w:hint="eastAsia" w:ascii="仿宋" w:eastAsia="仿宋"/>
          <w:bCs w:val="0"/>
        </w:rPr>
        <w:t>财政拨款“三公”经费支出决算表</w:t>
      </w:r>
      <w:r>
        <w:tab/>
      </w:r>
      <w:r>
        <w:rPr>
          <w:rFonts w:hint="eastAsia"/>
          <w:lang w:val="en-US" w:eastAsia="zh-CN"/>
        </w:rPr>
        <w:t>38</w:t>
      </w:r>
    </w:p>
    <w:p w14:paraId="4BD9B818">
      <w:pPr>
        <w:keepNext w:val="0"/>
        <w:keepLines w:val="0"/>
        <w:pageBreakBefore w:val="0"/>
        <w:widowControl w:val="0"/>
        <w:kinsoku/>
        <w:wordWrap/>
        <w:overflowPunct/>
        <w:topLinePunct w:val="0"/>
        <w:autoSpaceDE/>
        <w:autoSpaceDN/>
        <w:bidi w:val="0"/>
        <w:adjustRightInd/>
        <w:snapToGrid/>
        <w:spacing w:line="560" w:lineRule="exact"/>
        <w:textAlignment w:val="auto"/>
      </w:pPr>
      <w:r>
        <w:rPr>
          <w:rFonts w:ascii="等线" w:eastAsia="等线"/>
          <w:bCs/>
          <w:caps/>
          <w:smallCaps w:val="0"/>
          <w:szCs w:val="20"/>
        </w:rPr>
        <w:fldChar w:fldCharType="end"/>
      </w:r>
    </w:p>
    <w:p w14:paraId="25B7DDD4">
      <w:pPr>
        <w:pStyle w:val="2"/>
        <w:jc w:val="center"/>
        <w:rPr>
          <w:rFonts w:hint="eastAsia" w:ascii="黑体" w:eastAsia="黑体"/>
          <w:b w:val="0"/>
        </w:rPr>
        <w:sectPr>
          <w:footerReference r:id="rId5" w:type="first"/>
          <w:footerReference r:id="rId4" w:type="default"/>
          <w:pgSz w:w="11906" w:h="16838"/>
          <w:pgMar w:top="1440" w:right="1800" w:bottom="1440" w:left="1800" w:header="851" w:footer="992" w:gutter="0"/>
          <w:pgNumType w:start="1"/>
          <w:cols w:space="720" w:num="1"/>
          <w:titlePg/>
          <w:docGrid w:type="lines" w:linePitch="312" w:charSpace="0"/>
        </w:sectPr>
      </w:pPr>
      <w:bookmarkStart w:id="12" w:name="_Toc15377196"/>
      <w:bookmarkStart w:id="13" w:name="_Toc79163601"/>
      <w:bookmarkStart w:id="14" w:name="_Toc15396599"/>
      <w:bookmarkStart w:id="15" w:name="_Toc21816"/>
    </w:p>
    <w:p w14:paraId="5E0FF893">
      <w:pPr>
        <w:pStyle w:val="2"/>
        <w:jc w:val="center"/>
        <w:rPr>
          <w:rStyle w:val="27"/>
          <w:rFonts w:ascii="黑体" w:eastAsia="黑体"/>
          <w:b/>
          <w:bCs w:val="0"/>
        </w:rPr>
      </w:pPr>
      <w:r>
        <w:rPr>
          <w:rFonts w:hint="eastAsia" w:ascii="黑体" w:eastAsia="黑体"/>
          <w:b w:val="0"/>
        </w:rPr>
        <w:t>第一部分</w:t>
      </w:r>
      <w:r>
        <w:rPr>
          <w:rFonts w:ascii="黑体" w:eastAsia="黑体"/>
          <w:b w:val="0"/>
        </w:rPr>
        <w:t xml:space="preserve"> </w:t>
      </w:r>
      <w:r>
        <w:rPr>
          <w:rStyle w:val="27"/>
          <w:rFonts w:hint="eastAsia" w:ascii="黑体" w:eastAsia="黑体"/>
          <w:b w:val="0"/>
          <w:bCs w:val="0"/>
        </w:rPr>
        <w:t>部门概况</w:t>
      </w:r>
      <w:bookmarkEnd w:id="12"/>
      <w:bookmarkEnd w:id="13"/>
      <w:bookmarkEnd w:id="14"/>
      <w:bookmarkEnd w:id="15"/>
    </w:p>
    <w:p w14:paraId="061461B4">
      <w:pPr>
        <w:widowControl/>
        <w:jc w:val="left"/>
        <w:rPr>
          <w:rFonts w:ascii="黑体" w:eastAsia="黑体"/>
          <w:color w:val="000000"/>
          <w:sz w:val="32"/>
          <w:szCs w:val="32"/>
        </w:rPr>
      </w:pPr>
    </w:p>
    <w:p w14:paraId="08BBD207">
      <w:pPr>
        <w:pStyle w:val="3"/>
        <w:keepNext/>
        <w:keepLines/>
        <w:pageBreakBefore w:val="0"/>
        <w:widowControl w:val="0"/>
        <w:numPr>
          <w:ilvl w:val="0"/>
          <w:numId w:val="1"/>
        </w:numPr>
        <w:kinsoku/>
        <w:wordWrap/>
        <w:overflowPunct/>
        <w:topLinePunct w:val="0"/>
        <w:autoSpaceDE/>
        <w:autoSpaceDN/>
        <w:bidi w:val="0"/>
        <w:adjustRightInd/>
        <w:snapToGrid/>
        <w:spacing w:line="560" w:lineRule="exact"/>
        <w:textAlignment w:val="auto"/>
        <w:rPr>
          <w:rStyle w:val="28"/>
          <w:rFonts w:hint="eastAsia" w:ascii="黑体" w:eastAsia="黑体"/>
          <w:b w:val="0"/>
          <w:bCs w:val="0"/>
        </w:rPr>
      </w:pPr>
      <w:bookmarkStart w:id="16" w:name="_Toc79163602"/>
      <w:bookmarkStart w:id="17" w:name="_Toc15377197"/>
      <w:bookmarkStart w:id="18" w:name="_Toc15396600"/>
      <w:bookmarkStart w:id="19" w:name="_Toc10972"/>
      <w:r>
        <w:rPr>
          <w:rFonts w:hint="eastAsia" w:ascii="黑体" w:eastAsia="黑体"/>
          <w:b w:val="0"/>
          <w:color w:val="000000"/>
          <w:lang w:val="en-US" w:eastAsia="zh-CN"/>
        </w:rPr>
        <w:t>部门职责</w:t>
      </w:r>
      <w:bookmarkEnd w:id="16"/>
      <w:bookmarkEnd w:id="17"/>
      <w:bookmarkEnd w:id="18"/>
      <w:bookmarkEnd w:id="19"/>
      <w:bookmarkStart w:id="20" w:name="_Toc79163603"/>
      <w:bookmarkStart w:id="21" w:name="_Toc15378445"/>
      <w:bookmarkStart w:id="22" w:name="_Toc79163853"/>
      <w:bookmarkStart w:id="23" w:name="_Toc15377198"/>
    </w:p>
    <w:bookmarkEnd w:id="20"/>
    <w:bookmarkEnd w:id="21"/>
    <w:bookmarkEnd w:id="22"/>
    <w:bookmarkEnd w:id="23"/>
    <w:p w14:paraId="1C565990">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sz w:val="32"/>
          <w:szCs w:val="32"/>
        </w:rPr>
      </w:pPr>
      <w:r>
        <w:rPr>
          <w:rFonts w:hint="eastAsia"/>
          <w:sz w:val="32"/>
          <w:szCs w:val="32"/>
          <w:lang w:val="en-US" w:eastAsia="zh-CN"/>
        </w:rPr>
        <w:t>1.</w:t>
      </w:r>
      <w:r>
        <w:rPr>
          <w:rFonts w:hint="eastAsia"/>
          <w:sz w:val="32"/>
          <w:szCs w:val="32"/>
        </w:rPr>
        <w:t>依照相关法律和行政法规,对区域内(上壤塘海子山中壤塘三座寺庙及茸木达棒托寺石刻大藏经等)所辖景区资源实行统一管理、统一规划、统一开发和统一保护。</w:t>
      </w:r>
    </w:p>
    <w:p w14:paraId="3D5C2100">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sz w:val="32"/>
          <w:szCs w:val="32"/>
          <w:lang w:val="en-US" w:eastAsia="zh-CN"/>
        </w:rPr>
        <w:t>2.</w:t>
      </w:r>
      <w:r>
        <w:rPr>
          <w:rFonts w:hint="eastAsia"/>
          <w:sz w:val="32"/>
          <w:szCs w:val="32"/>
        </w:rPr>
        <w:t>宣传</w:t>
      </w:r>
      <w:r>
        <w:rPr>
          <w:rFonts w:hint="eastAsia" w:cs="Times New Roman"/>
          <w:sz w:val="32"/>
          <w:szCs w:val="32"/>
        </w:rPr>
        <w:t>贯彻国家风景名胜、民族宗教、文物、林业、国土、环境保护等有关法律、法规和方针政策。</w:t>
      </w:r>
    </w:p>
    <w:p w14:paraId="4F8FFDCF">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3.</w:t>
      </w:r>
      <w:r>
        <w:rPr>
          <w:rFonts w:hint="eastAsia" w:cs="Times New Roman"/>
          <w:sz w:val="32"/>
          <w:szCs w:val="32"/>
        </w:rPr>
        <w:t>依法保护景区资源和生态环境,维护景区的自然风貌和人文景观,有效开发和合理利用景区资源。</w:t>
      </w:r>
    </w:p>
    <w:p w14:paraId="58200617">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4.</w:t>
      </w:r>
      <w:r>
        <w:rPr>
          <w:rFonts w:hint="eastAsia" w:cs="Times New Roman"/>
          <w:sz w:val="32"/>
          <w:szCs w:val="32"/>
        </w:rPr>
        <w:t>编制景区总体规划和详细规划并组织实施,按照总体</w:t>
      </w:r>
      <w:r>
        <w:rPr>
          <w:rFonts w:hint="eastAsia" w:cs="Times New Roman"/>
          <w:sz w:val="32"/>
          <w:szCs w:val="32"/>
          <w:lang w:eastAsia="zh-CN"/>
        </w:rPr>
        <w:t>规</w:t>
      </w:r>
      <w:r>
        <w:rPr>
          <w:rFonts w:hint="eastAsia" w:cs="Times New Roman"/>
          <w:sz w:val="32"/>
          <w:szCs w:val="32"/>
        </w:rPr>
        <w:t>划对景区新建、扩建和改建项目进行审核,对建设活动进行监督、检查。</w:t>
      </w:r>
    </w:p>
    <w:p w14:paraId="44856EA9">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5.</w:t>
      </w:r>
      <w:r>
        <w:rPr>
          <w:rFonts w:hint="eastAsia" w:cs="Times New Roman"/>
          <w:sz w:val="32"/>
          <w:szCs w:val="32"/>
        </w:rPr>
        <w:t>负责建设、维护、管理景区基础设施和公共设施,管理景区旅游经营活动,增强景区自我发展能力。</w:t>
      </w:r>
    </w:p>
    <w:p w14:paraId="48527C50">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6.</w:t>
      </w:r>
      <w:r>
        <w:rPr>
          <w:rFonts w:hint="eastAsia" w:cs="Times New Roman"/>
          <w:sz w:val="32"/>
          <w:szCs w:val="32"/>
        </w:rPr>
        <w:t>制定景区各项管理制度,负责景区的游人安全、环境卫生、社会治安、安全生产和护林防火等管理工作。</w:t>
      </w:r>
    </w:p>
    <w:p w14:paraId="7049D6AE">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7.</w:t>
      </w:r>
      <w:r>
        <w:rPr>
          <w:rFonts w:hint="eastAsia" w:cs="Times New Roman"/>
          <w:sz w:val="32"/>
          <w:szCs w:val="32"/>
        </w:rPr>
        <w:t>负责招商引资,统一对外宣传,扩大景区知名度。</w:t>
      </w:r>
    </w:p>
    <w:p w14:paraId="2D56AB07">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8.</w:t>
      </w:r>
      <w:r>
        <w:rPr>
          <w:rFonts w:hint="eastAsia" w:cs="Times New Roman"/>
          <w:sz w:val="32"/>
          <w:szCs w:val="32"/>
        </w:rPr>
        <w:t>负责景区内经营性项目的审批和管理,根据景区规划和需要,对景区的村寨实施托管,统筹协调并处理辖区内村寨利益。</w:t>
      </w:r>
    </w:p>
    <w:p w14:paraId="436E5A80">
      <w:pPr>
        <w:pStyle w:val="6"/>
        <w:keepNext w:val="0"/>
        <w:keepLines w:val="0"/>
        <w:pageBreakBefore w:val="0"/>
        <w:widowControl w:val="0"/>
        <w:kinsoku/>
        <w:wordWrap/>
        <w:overflowPunct/>
        <w:topLinePunct w:val="0"/>
        <w:autoSpaceDE/>
        <w:autoSpaceDN/>
        <w:bidi w:val="0"/>
        <w:adjustRightInd/>
        <w:snapToGrid/>
        <w:spacing w:before="30" w:beforeLines="0" w:line="560" w:lineRule="exact"/>
        <w:ind w:firstLine="640" w:firstLineChars="200"/>
        <w:textAlignment w:val="auto"/>
        <w:rPr>
          <w:rFonts w:hint="eastAsia" w:cs="Times New Roman"/>
          <w:sz w:val="32"/>
          <w:szCs w:val="32"/>
        </w:rPr>
      </w:pPr>
      <w:r>
        <w:rPr>
          <w:rFonts w:hint="eastAsia" w:cs="Times New Roman"/>
          <w:sz w:val="32"/>
          <w:szCs w:val="32"/>
          <w:lang w:val="en-US" w:eastAsia="zh-CN"/>
        </w:rPr>
        <w:t>9.</w:t>
      </w:r>
      <w:r>
        <w:rPr>
          <w:rFonts w:hint="eastAsia" w:cs="Times New Roman"/>
          <w:sz w:val="32"/>
          <w:szCs w:val="32"/>
        </w:rPr>
        <w:t>承办县委、县人民政府交办的其它事项</w:t>
      </w:r>
      <w:r>
        <w:rPr>
          <w:rFonts w:hint="eastAsia" w:cs="Times New Roman"/>
          <w:sz w:val="32"/>
          <w:szCs w:val="32"/>
          <w:lang w:eastAsia="zh-CN"/>
        </w:rPr>
        <w:t>。</w:t>
      </w:r>
    </w:p>
    <w:p w14:paraId="7E02CE72">
      <w:pPr>
        <w:pStyle w:val="3"/>
        <w:keepNext/>
        <w:keepLines/>
        <w:pageBreakBefore w:val="0"/>
        <w:widowControl w:val="0"/>
        <w:kinsoku/>
        <w:wordWrap/>
        <w:overflowPunct/>
        <w:topLinePunct w:val="0"/>
        <w:bidi w:val="0"/>
        <w:spacing w:line="560" w:lineRule="exact"/>
        <w:textAlignment w:val="auto"/>
        <w:rPr>
          <w:rStyle w:val="28"/>
          <w:b w:val="0"/>
          <w:bCs w:val="0"/>
        </w:rPr>
      </w:pPr>
      <w:bookmarkStart w:id="24" w:name="_Toc1864"/>
      <w:bookmarkStart w:id="25" w:name="_Toc79163605"/>
      <w:bookmarkStart w:id="26" w:name="_Toc15377200"/>
      <w:bookmarkStart w:id="27" w:name="_Toc15396601"/>
      <w:r>
        <w:rPr>
          <w:rFonts w:hint="eastAsia" w:ascii="黑体" w:eastAsia="黑体"/>
          <w:b w:val="0"/>
          <w:color w:val="000000"/>
        </w:rPr>
        <w:t>二、机</w:t>
      </w:r>
      <w:r>
        <w:rPr>
          <w:rStyle w:val="28"/>
          <w:rFonts w:hint="eastAsia" w:ascii="黑体" w:eastAsia="黑体"/>
          <w:b w:val="0"/>
          <w:bCs w:val="0"/>
        </w:rPr>
        <w:t>构设置</w:t>
      </w:r>
      <w:bookmarkEnd w:id="24"/>
      <w:bookmarkEnd w:id="25"/>
      <w:bookmarkEnd w:id="26"/>
      <w:bookmarkEnd w:id="27"/>
    </w:p>
    <w:p w14:paraId="339303A7">
      <w:pPr>
        <w:pStyle w:val="6"/>
        <w:pageBreakBefore w:val="0"/>
        <w:widowControl w:val="0"/>
        <w:kinsoku/>
        <w:wordWrap/>
        <w:overflowPunct/>
        <w:topLinePunct w:val="0"/>
        <w:bidi w:val="0"/>
        <w:adjustRightInd w:val="0"/>
        <w:snapToGrid w:val="0"/>
        <w:spacing w:before="93" w:beforeLines="0" w:line="560" w:lineRule="exact"/>
        <w:ind w:firstLine="668" w:firstLineChars="209"/>
        <w:textAlignment w:val="auto"/>
        <w:rPr>
          <w:rFonts w:ascii="仿宋" w:eastAsia="仿宋"/>
          <w:color w:val="000000"/>
          <w:kern w:val="0"/>
          <w:sz w:val="32"/>
          <w:szCs w:val="32"/>
        </w:rPr>
      </w:pPr>
      <w:bookmarkStart w:id="28" w:name="_Toc30939"/>
      <w:bookmarkStart w:id="29" w:name="_Toc12356"/>
      <w:bookmarkStart w:id="30" w:name="_Toc10699"/>
      <w:r>
        <w:rPr>
          <w:rFonts w:hint="eastAsia" w:ascii="仿宋_GB2312" w:eastAsia="仿宋_GB2312" w:cs="Times New Roman"/>
          <w:b w:val="0"/>
          <w:bCs w:val="0"/>
          <w:kern w:val="2"/>
          <w:sz w:val="32"/>
          <w:szCs w:val="32"/>
          <w:highlight w:val="none"/>
          <w:lang w:val="en-US" w:eastAsia="zh-CN" w:bidi="ar-SA"/>
        </w:rPr>
        <w:t>壤塘县中壤塘文化旅游景区管理处无下属二级单位，本单位属事业单位。</w:t>
      </w:r>
      <w:bookmarkEnd w:id="28"/>
      <w:bookmarkEnd w:id="29"/>
      <w:bookmarkEnd w:id="30"/>
      <w:r>
        <w:rPr>
          <w:rFonts w:ascii="仿宋" w:eastAsia="仿宋"/>
          <w:color w:val="000000"/>
          <w:sz w:val="32"/>
          <w:szCs w:val="32"/>
        </w:rPr>
        <w:br w:type="page"/>
      </w:r>
    </w:p>
    <w:p w14:paraId="3154CDC7">
      <w:pPr>
        <w:pStyle w:val="2"/>
        <w:keepNext/>
        <w:keepLines/>
        <w:pageBreakBefore w:val="0"/>
        <w:widowControl w:val="0"/>
        <w:kinsoku/>
        <w:wordWrap/>
        <w:overflowPunct/>
        <w:topLinePunct w:val="0"/>
        <w:bidi w:val="0"/>
        <w:spacing w:line="560" w:lineRule="exact"/>
        <w:ind w:right="440"/>
        <w:jc w:val="right"/>
        <w:textAlignment w:val="auto"/>
        <w:rPr>
          <w:rStyle w:val="27"/>
          <w:rFonts w:ascii="黑体" w:eastAsia="黑体"/>
          <w:b w:val="0"/>
          <w:bCs w:val="0"/>
        </w:rPr>
      </w:pPr>
      <w:bookmarkStart w:id="31" w:name="_Toc8869"/>
      <w:bookmarkStart w:id="32" w:name="_Toc79163609"/>
      <w:bookmarkStart w:id="33" w:name="_Toc15396602"/>
      <w:bookmarkStart w:id="34" w:name="_Toc15377204"/>
      <w:r>
        <w:rPr>
          <w:rFonts w:hint="eastAsia" w:ascii="黑体" w:eastAsia="黑体"/>
          <w:b w:val="0"/>
          <w:color w:val="000000"/>
        </w:rPr>
        <w:t>第二部分</w:t>
      </w:r>
      <w:r>
        <w:rPr>
          <w:rFonts w:ascii="黑体" w:eastAsia="黑体"/>
          <w:color w:val="000000"/>
        </w:rPr>
        <w:t xml:space="preserve"> </w:t>
      </w:r>
      <w:r>
        <w:rPr>
          <w:rStyle w:val="27"/>
          <w:rFonts w:hint="eastAsia" w:ascii="黑体" w:eastAsia="黑体"/>
          <w:b w:val="0"/>
          <w:bCs w:val="0"/>
          <w:lang w:eastAsia="zh-CN"/>
        </w:rPr>
        <w:t>2023年</w:t>
      </w:r>
      <w:r>
        <w:rPr>
          <w:rStyle w:val="27"/>
          <w:rFonts w:hint="eastAsia" w:ascii="黑体" w:eastAsia="黑体"/>
          <w:b w:val="0"/>
          <w:bCs w:val="0"/>
        </w:rPr>
        <w:t>度部门决算情况说明</w:t>
      </w:r>
      <w:bookmarkEnd w:id="31"/>
      <w:bookmarkEnd w:id="32"/>
      <w:bookmarkEnd w:id="33"/>
      <w:bookmarkEnd w:id="34"/>
    </w:p>
    <w:p w14:paraId="2BA1DECD">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eastAsia="黑体" w:cs="黑体"/>
          <w:lang w:val="en-US" w:eastAsia="zh-CN"/>
        </w:rPr>
      </w:pPr>
      <w:bookmarkStart w:id="35" w:name="_Toc9372"/>
      <w:r>
        <w:rPr>
          <w:rFonts w:hint="eastAsia" w:ascii="黑体" w:eastAsia="黑体" w:cs="黑体"/>
          <w:lang w:val="en-US" w:eastAsia="zh-CN"/>
        </w:rPr>
        <w:t>一、收入支出决算总体情况说明</w:t>
      </w:r>
      <w:bookmarkEnd w:id="35"/>
    </w:p>
    <w:p w14:paraId="3DF6361A">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 w:eastAsia="仿宋" w:cs="Times New Roman"/>
          <w:color w:val="000000"/>
          <w:kern w:val="2"/>
          <w:sz w:val="32"/>
          <w:szCs w:val="32"/>
        </w:rPr>
      </w:pPr>
      <w:r>
        <w:rPr>
          <w:rFonts w:hint="eastAsia" w:ascii="仿宋" w:eastAsia="仿宋" w:cs="仿宋"/>
          <w:color w:val="000000"/>
          <w:kern w:val="2"/>
          <w:sz w:val="32"/>
          <w:szCs w:val="32"/>
          <w:lang w:val="en-US" w:eastAsia="zh-CN"/>
        </w:rPr>
        <w:t>2023年度收入总计1882.09万元，与2022年相比，减少799.81万元，降低29.82%。支出总计1,882.09万元。与2022年相比，减少加1,295.14万元，下降29.82%。主要变动原因是本年度项目减少，项目收入减少，故本年收入减少</w:t>
      </w:r>
    </w:p>
    <w:p w14:paraId="0F015762">
      <w:pPr>
        <w:pStyle w:val="20"/>
        <w:keepNext w:val="0"/>
        <w:keepLines w:val="0"/>
        <w:widowControl w:val="0"/>
        <w:suppressLineNumbers w:val="0"/>
        <w:spacing w:before="0" w:beforeAutospacing="1" w:after="0" w:afterAutospacing="0" w:line="360" w:lineRule="auto"/>
        <w:ind w:left="0" w:right="0" w:firstLine="0"/>
        <w:jc w:val="right"/>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 xml:space="preserve"> </w:t>
      </w:r>
      <w:r>
        <w:drawing>
          <wp:inline distT="0" distB="0" distL="114300" distR="114300">
            <wp:extent cx="4705350" cy="2576195"/>
            <wp:effectExtent l="4445" t="4445" r="14605" b="10160"/>
            <wp:docPr id="13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drawing>
          <wp:inline distT="0" distB="0" distL="114300" distR="114300">
            <wp:extent cx="4617085" cy="2406015"/>
            <wp:effectExtent l="4445" t="4445" r="13970" b="15240"/>
            <wp:docPr id="13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770368">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 w:eastAsia="仿宋" w:cs="Times New Roman"/>
          <w:color w:val="000000"/>
          <w:kern w:val="2"/>
          <w:sz w:val="32"/>
          <w:szCs w:val="32"/>
        </w:rPr>
      </w:pPr>
      <w:r>
        <w:rPr>
          <w:rFonts w:hint="eastAsia" w:ascii="仿宋" w:eastAsia="仿宋" w:cs="仿宋"/>
          <w:color w:val="000000"/>
          <w:kern w:val="2"/>
          <w:sz w:val="32"/>
          <w:szCs w:val="32"/>
          <w:lang w:val="en-US" w:eastAsia="zh-CN"/>
        </w:rPr>
        <w:t>（图</w:t>
      </w:r>
      <w:r>
        <w:rPr>
          <w:rFonts w:hint="eastAsia" w:ascii="仿宋" w:eastAsia="仿宋" w:cs="Times New Roman"/>
          <w:color w:val="000000"/>
          <w:kern w:val="2"/>
          <w:sz w:val="32"/>
          <w:szCs w:val="32"/>
          <w:lang w:val="en-US" w:eastAsia="zh-CN"/>
        </w:rPr>
        <w:t>1</w:t>
      </w:r>
      <w:r>
        <w:rPr>
          <w:rFonts w:hint="eastAsia" w:ascii="仿宋" w:eastAsia="仿宋" w:cs="仿宋"/>
          <w:color w:val="000000"/>
          <w:kern w:val="2"/>
          <w:sz w:val="32"/>
          <w:szCs w:val="32"/>
          <w:lang w:val="en-US" w:eastAsia="zh-CN"/>
        </w:rPr>
        <w:t>：收、支决算总计变动情况图）（柱状图）</w:t>
      </w:r>
    </w:p>
    <w:p w14:paraId="5B15D24C">
      <w:pPr>
        <w:keepNext w:val="0"/>
        <w:keepLines w:val="0"/>
        <w:widowControl w:val="0"/>
        <w:suppressLineNumbers w:val="0"/>
        <w:spacing w:before="0" w:beforeAutospacing="0" w:after="0" w:afterAutospacing="0" w:line="560" w:lineRule="exact"/>
        <w:ind w:left="0" w:right="0" w:firstLine="640" w:firstLineChars="200"/>
        <w:jc w:val="left"/>
        <w:rPr>
          <w:rFonts w:ascii="仿宋_GB2312" w:eastAsia="仿宋_GB2312" w:cs="Times New Roman"/>
          <w:color w:val="000000"/>
          <w:kern w:val="2"/>
          <w:sz w:val="32"/>
          <w:szCs w:val="32"/>
        </w:rPr>
      </w:pPr>
      <w:r>
        <w:rPr>
          <w:rFonts w:ascii="仿宋_GB2312" w:eastAsia="仿宋_GB2312" w:cs="Times New Roman"/>
          <w:color w:val="000000"/>
          <w:kern w:val="2"/>
          <w:sz w:val="32"/>
          <w:szCs w:val="32"/>
          <w:lang w:val="en-US" w:eastAsia="zh-CN"/>
        </w:rPr>
        <w:t xml:space="preserve"> </w:t>
      </w:r>
    </w:p>
    <w:p w14:paraId="491F242A">
      <w:pPr>
        <w:pStyle w:val="3"/>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bookmarkStart w:id="36" w:name="_Toc12480"/>
      <w:r>
        <w:rPr>
          <w:rFonts w:hint="eastAsia" w:ascii="黑体" w:eastAsia="黑体" w:cs="Times New Roman"/>
          <w:b w:val="0"/>
          <w:bCs w:val="0"/>
          <w:color w:val="000000"/>
          <w:kern w:val="2"/>
          <w:sz w:val="32"/>
          <w:szCs w:val="32"/>
          <w:lang w:val="en-US" w:eastAsia="zh-CN" w:bidi="ar-SA"/>
        </w:rPr>
        <w:t>二、收入决算情况说明</w:t>
      </w:r>
      <w:bookmarkEnd w:id="36"/>
    </w:p>
    <w:p w14:paraId="20E65A7E">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 w:eastAsia="仿宋" w:cs="Times New Roman"/>
          <w:color w:val="000000"/>
          <w:kern w:val="2"/>
          <w:sz w:val="32"/>
          <w:szCs w:val="32"/>
        </w:rPr>
      </w:pPr>
      <w:r>
        <w:rPr>
          <w:rFonts w:hint="eastAsia" w:ascii="仿宋" w:eastAsia="仿宋" w:cs="Times New Roman"/>
          <w:color w:val="000000"/>
          <w:kern w:val="2"/>
          <w:sz w:val="32"/>
          <w:szCs w:val="32"/>
          <w:lang w:val="en-US" w:eastAsia="zh-CN"/>
        </w:rPr>
        <w:t>2023年</w:t>
      </w:r>
      <w:r>
        <w:rPr>
          <w:rFonts w:hint="eastAsia" w:ascii="仿宋" w:eastAsia="仿宋" w:cs="仿宋"/>
          <w:color w:val="000000"/>
          <w:kern w:val="2"/>
          <w:sz w:val="32"/>
          <w:szCs w:val="32"/>
          <w:lang w:val="en-US" w:eastAsia="zh-CN"/>
        </w:rPr>
        <w:t>本年收入合计1882.09万元，其中：一般公共预算财政拨款收入1882.09万元，占100</w:t>
      </w:r>
      <w:r>
        <w:rPr>
          <w:rFonts w:hint="eastAsia" w:ascii="仿宋" w:eastAsia="仿宋" w:cs="Times New Roman"/>
          <w:color w:val="000000"/>
          <w:kern w:val="2"/>
          <w:sz w:val="32"/>
          <w:szCs w:val="32"/>
          <w:lang w:val="en-US" w:eastAsia="zh-CN"/>
        </w:rPr>
        <w:t>%</w:t>
      </w:r>
      <w:r>
        <w:rPr>
          <w:rFonts w:hint="eastAsia" w:ascii="仿宋" w:eastAsia="仿宋" w:cs="仿宋"/>
          <w:color w:val="000000"/>
          <w:kern w:val="2"/>
          <w:sz w:val="32"/>
          <w:szCs w:val="32"/>
          <w:lang w:val="en-US" w:eastAsia="zh-CN"/>
        </w:rPr>
        <w:t>。</w:t>
      </w:r>
    </w:p>
    <w:p w14:paraId="4A113329">
      <w:pPr>
        <w:pStyle w:val="20"/>
        <w:keepNext w:val="0"/>
        <w:keepLines w:val="0"/>
        <w:widowControl w:val="0"/>
        <w:suppressLineNumbers w:val="0"/>
        <w:spacing w:before="0" w:beforeAutospacing="1" w:after="120" w:afterAutospacing="0" w:line="360" w:lineRule="auto"/>
        <w:ind w:left="0" w:right="0" w:firstLine="420" w:firstLineChars="200"/>
        <w:jc w:val="center"/>
        <w:rPr>
          <w:rFonts w:ascii="Times New Roman" w:hAnsi="Times New Roman" w:eastAsia="宋体" w:cs="Times New Roman"/>
          <w:kern w:val="2"/>
          <w:sz w:val="21"/>
          <w:szCs w:val="21"/>
        </w:rPr>
      </w:pPr>
      <w:r>
        <w:drawing>
          <wp:inline distT="0" distB="0" distL="114300" distR="114300">
            <wp:extent cx="4396105" cy="2197100"/>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B2B009">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 w:eastAsia="仿宋" w:cs="Times New Roman"/>
          <w:color w:val="000000"/>
          <w:kern w:val="2"/>
          <w:sz w:val="32"/>
          <w:szCs w:val="32"/>
        </w:rPr>
      </w:pPr>
      <w:r>
        <w:rPr>
          <w:rFonts w:hint="eastAsia" w:ascii="仿宋" w:eastAsia="仿宋" w:cs="仿宋"/>
          <w:color w:val="000000"/>
          <w:kern w:val="2"/>
          <w:sz w:val="32"/>
          <w:szCs w:val="32"/>
          <w:lang w:val="en-US" w:eastAsia="zh-CN"/>
        </w:rPr>
        <w:t>（图</w:t>
      </w:r>
      <w:r>
        <w:rPr>
          <w:rFonts w:hint="eastAsia" w:ascii="仿宋" w:eastAsia="仿宋" w:cs="Times New Roman"/>
          <w:color w:val="000000"/>
          <w:kern w:val="2"/>
          <w:sz w:val="32"/>
          <w:szCs w:val="32"/>
          <w:lang w:val="en-US" w:eastAsia="zh-CN"/>
        </w:rPr>
        <w:t>2</w:t>
      </w:r>
      <w:r>
        <w:rPr>
          <w:rFonts w:hint="eastAsia" w:ascii="仿宋" w:eastAsia="仿宋" w:cs="仿宋"/>
          <w:color w:val="000000"/>
          <w:kern w:val="2"/>
          <w:sz w:val="32"/>
          <w:szCs w:val="32"/>
          <w:lang w:val="en-US" w:eastAsia="zh-CN"/>
        </w:rPr>
        <w:t>：收入决算结构图）（饼状图）</w:t>
      </w:r>
    </w:p>
    <w:p w14:paraId="5EFEA422">
      <w:pPr>
        <w:keepNext w:val="0"/>
        <w:keepLines w:val="0"/>
        <w:widowControl w:val="0"/>
        <w:suppressLineNumbers w:val="0"/>
        <w:spacing w:before="0" w:beforeAutospacing="0" w:after="0" w:afterAutospacing="0" w:line="560" w:lineRule="exact"/>
        <w:ind w:left="0" w:right="0" w:firstLine="640" w:firstLineChars="200"/>
        <w:jc w:val="both"/>
        <w:rPr>
          <w:rFonts w:ascii="仿宋_GB2312" w:eastAsia="仿宋_GB2312" w:cs="Times New Roman"/>
          <w:color w:val="FF0000"/>
          <w:kern w:val="2"/>
          <w:sz w:val="32"/>
          <w:szCs w:val="32"/>
        </w:rPr>
      </w:pPr>
      <w:r>
        <w:rPr>
          <w:rFonts w:ascii="仿宋_GB2312" w:eastAsia="仿宋_GB2312" w:cs="Times New Roman"/>
          <w:color w:val="FF0000"/>
          <w:kern w:val="2"/>
          <w:sz w:val="32"/>
          <w:szCs w:val="32"/>
          <w:lang w:val="en-US" w:eastAsia="zh-CN"/>
        </w:rPr>
        <w:t xml:space="preserve"> </w:t>
      </w:r>
    </w:p>
    <w:p w14:paraId="4ADCC8BE">
      <w:pPr>
        <w:pStyle w:val="3"/>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bookmarkStart w:id="37" w:name="_Toc27568"/>
      <w:r>
        <w:rPr>
          <w:rFonts w:hint="eastAsia" w:ascii="黑体" w:eastAsia="黑体" w:cs="Times New Roman"/>
          <w:b w:val="0"/>
          <w:bCs w:val="0"/>
          <w:color w:val="000000"/>
          <w:kern w:val="2"/>
          <w:sz w:val="32"/>
          <w:szCs w:val="32"/>
          <w:lang w:val="en-US" w:eastAsia="zh-CN" w:bidi="ar-SA"/>
        </w:rPr>
        <w:t>三、支出决算情况说</w:t>
      </w:r>
      <w:r>
        <w:rPr>
          <w:rFonts w:hint="eastAsia"/>
          <w:lang w:val="en-US" w:eastAsia="zh-CN"/>
        </w:rPr>
        <w:t>明</w:t>
      </w:r>
      <w:bookmarkEnd w:id="37"/>
    </w:p>
    <w:p w14:paraId="46E4B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sz w:val="32"/>
          <w:szCs w:val="32"/>
        </w:rPr>
      </w:pPr>
      <w:r>
        <w:rPr>
          <w:rFonts w:hint="eastAsia" w:ascii="仿宋_GB2312" w:eastAsia="仿宋_GB2312" w:cs="Times New Roman"/>
          <w:kern w:val="2"/>
          <w:sz w:val="32"/>
          <w:szCs w:val="32"/>
          <w:lang w:val="en-US" w:eastAsia="zh-CN"/>
        </w:rPr>
        <w:t>2023年</w:t>
      </w:r>
      <w:r>
        <w:rPr>
          <w:rFonts w:ascii="仿宋_GB2312" w:eastAsia="仿宋_GB2312" w:cs="仿宋_GB2312"/>
          <w:kern w:val="2"/>
          <w:sz w:val="32"/>
          <w:szCs w:val="32"/>
          <w:lang w:val="en-US" w:eastAsia="zh-CN"/>
        </w:rPr>
        <w:t>本年支出合计</w:t>
      </w:r>
      <w:r>
        <w:rPr>
          <w:rFonts w:hint="eastAsia" w:ascii="仿宋_GB2312" w:eastAsia="仿宋_GB2312" w:cs="仿宋_GB2312"/>
          <w:kern w:val="2"/>
          <w:sz w:val="32"/>
          <w:szCs w:val="32"/>
          <w:lang w:val="en-US" w:eastAsia="zh-CN"/>
        </w:rPr>
        <w:t>1882.09</w:t>
      </w:r>
      <w:r>
        <w:rPr>
          <w:rFonts w:ascii="仿宋_GB2312" w:eastAsia="仿宋_GB2312" w:cs="仿宋_GB2312"/>
          <w:kern w:val="2"/>
          <w:sz w:val="32"/>
          <w:szCs w:val="32"/>
          <w:lang w:val="en-US" w:eastAsia="zh-CN"/>
        </w:rPr>
        <w:t>万元</w:t>
      </w:r>
      <w:r>
        <w:rPr>
          <w:rFonts w:hint="eastAsia" w:ascii="仿宋_GB2312" w:eastAsia="仿宋_GB2312"/>
          <w:sz w:val="32"/>
          <w:szCs w:val="32"/>
        </w:rPr>
        <w:t>，其中：基本支出339.11万元，占1</w:t>
      </w:r>
      <w:r>
        <w:rPr>
          <w:rFonts w:hint="eastAsia" w:ascii="仿宋_GB2312" w:eastAsia="仿宋_GB2312"/>
          <w:sz w:val="32"/>
          <w:szCs w:val="32"/>
          <w:lang w:val="en-US" w:eastAsia="zh-CN"/>
        </w:rPr>
        <w:t>8.02</w:t>
      </w:r>
      <w:r>
        <w:rPr>
          <w:rFonts w:hint="eastAsia" w:ascii="仿宋_GB2312" w:eastAsia="仿宋_GB2312"/>
          <w:sz w:val="32"/>
          <w:szCs w:val="32"/>
        </w:rPr>
        <w:t>%；项目支出1542.97万元，占8</w:t>
      </w:r>
      <w:r>
        <w:rPr>
          <w:rFonts w:hint="eastAsia" w:ascii="仿宋_GB2312" w:eastAsia="仿宋_GB2312"/>
          <w:sz w:val="32"/>
          <w:szCs w:val="32"/>
          <w:lang w:val="en-US" w:eastAsia="zh-CN"/>
        </w:rPr>
        <w:t>1.98</w:t>
      </w:r>
      <w:r>
        <w:rPr>
          <w:rFonts w:hint="eastAsia" w:ascii="仿宋_GB2312" w:eastAsia="仿宋_GB2312"/>
          <w:sz w:val="32"/>
          <w:szCs w:val="32"/>
        </w:rPr>
        <w:t>%。</w:t>
      </w:r>
    </w:p>
    <w:p w14:paraId="5204B8C2">
      <w:pPr>
        <w:pStyle w:val="21"/>
        <w:jc w:val="center"/>
        <w:rPr>
          <w:rFonts w:ascii="仿宋" w:eastAsia="仿宋"/>
          <w:color w:val="000000"/>
          <w:sz w:val="32"/>
          <w:szCs w:val="32"/>
          <w:shd w:val="pct10" w:color="auto" w:fill="FFFFFF"/>
        </w:rPr>
      </w:pPr>
      <w:r>
        <w:drawing>
          <wp:inline distT="0" distB="0" distL="114300" distR="114300">
            <wp:extent cx="4107180" cy="2176145"/>
            <wp:effectExtent l="4445" t="4445" r="15875" b="16510"/>
            <wp:docPr id="133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82CEB9">
      <w:pPr>
        <w:pageBreakBefore w:val="0"/>
        <w:widowControl w:val="0"/>
        <w:kinsoku/>
        <w:wordWrap/>
        <w:overflowPunct/>
        <w:topLinePunct w:val="0"/>
        <w:bidi w:val="0"/>
        <w:spacing w:line="560" w:lineRule="exact"/>
        <w:ind w:firstLine="640" w:firstLineChars="200"/>
        <w:textAlignment w:val="auto"/>
        <w:rPr>
          <w:rFonts w:ascii="仿宋" w:eastAsia="仿宋"/>
          <w:color w:val="000000"/>
          <w:sz w:val="32"/>
          <w:szCs w:val="32"/>
        </w:rPr>
      </w:pPr>
      <w:r>
        <w:rPr>
          <w:rFonts w:hint="eastAsia" w:ascii="仿宋" w:eastAsia="仿宋"/>
          <w:color w:val="000000"/>
          <w:sz w:val="32"/>
          <w:szCs w:val="32"/>
        </w:rPr>
        <w:t>（图</w:t>
      </w:r>
      <w:r>
        <w:rPr>
          <w:rFonts w:ascii="仿宋" w:eastAsia="仿宋"/>
          <w:color w:val="000000"/>
          <w:sz w:val="32"/>
          <w:szCs w:val="32"/>
        </w:rPr>
        <w:t>3</w:t>
      </w:r>
      <w:r>
        <w:rPr>
          <w:rFonts w:hint="eastAsia" w:ascii="仿宋" w:eastAsia="仿宋"/>
          <w:color w:val="000000"/>
          <w:sz w:val="32"/>
          <w:szCs w:val="32"/>
        </w:rPr>
        <w:t>：支出决算结构图）（饼状图）</w:t>
      </w:r>
    </w:p>
    <w:p w14:paraId="676C22EA">
      <w:pPr>
        <w:pageBreakBefore w:val="0"/>
        <w:widowControl w:val="0"/>
        <w:kinsoku/>
        <w:wordWrap/>
        <w:overflowPunct/>
        <w:topLinePunct w:val="0"/>
        <w:bidi w:val="0"/>
        <w:spacing w:line="560" w:lineRule="exact"/>
        <w:ind w:firstLine="640" w:firstLineChars="200"/>
        <w:textAlignment w:val="auto"/>
        <w:rPr>
          <w:rFonts w:ascii="仿宋_GB2312" w:eastAsia="仿宋_GB2312"/>
          <w:color w:val="FF0000"/>
          <w:sz w:val="32"/>
          <w:szCs w:val="32"/>
        </w:rPr>
      </w:pPr>
    </w:p>
    <w:p w14:paraId="107B9001">
      <w:pPr>
        <w:pageBreakBefore w:val="0"/>
        <w:widowControl w:val="0"/>
        <w:kinsoku/>
        <w:wordWrap/>
        <w:overflowPunct/>
        <w:topLinePunct w:val="0"/>
        <w:bidi w:val="0"/>
        <w:spacing w:line="560" w:lineRule="exact"/>
        <w:ind w:firstLine="640" w:firstLineChars="200"/>
        <w:textAlignment w:val="auto"/>
        <w:outlineLvl w:val="1"/>
        <w:rPr>
          <w:rStyle w:val="28"/>
          <w:rFonts w:ascii="黑体" w:eastAsia="黑体"/>
          <w:b w:val="0"/>
        </w:rPr>
      </w:pPr>
      <w:bookmarkStart w:id="38" w:name="_Toc15377208"/>
      <w:bookmarkStart w:id="39" w:name="_Toc15396606"/>
      <w:bookmarkStart w:id="40" w:name="_Toc79163613"/>
      <w:bookmarkStart w:id="41" w:name="_Toc7290"/>
      <w:r>
        <w:rPr>
          <w:rFonts w:hint="eastAsia" w:ascii="黑体" w:eastAsia="黑体"/>
          <w:color w:val="000000"/>
          <w:sz w:val="32"/>
          <w:szCs w:val="32"/>
        </w:rPr>
        <w:t>四、财</w:t>
      </w:r>
      <w:r>
        <w:rPr>
          <w:rStyle w:val="28"/>
          <w:rFonts w:hint="eastAsia" w:ascii="黑体" w:eastAsia="黑体"/>
          <w:b w:val="0"/>
        </w:rPr>
        <w:t>政拨款收入支出决算总体情况说明</w:t>
      </w:r>
      <w:bookmarkEnd w:id="38"/>
      <w:bookmarkEnd w:id="39"/>
      <w:bookmarkEnd w:id="40"/>
      <w:bookmarkEnd w:id="41"/>
    </w:p>
    <w:p w14:paraId="4E9AF21C">
      <w:pPr>
        <w:pageBreakBefore w:val="0"/>
        <w:widowControl w:val="0"/>
        <w:kinsoku/>
        <w:wordWrap/>
        <w:overflowPunct/>
        <w:topLinePunct w:val="0"/>
        <w:bidi w:val="0"/>
        <w:spacing w:line="560" w:lineRule="exact"/>
        <w:ind w:firstLine="640"/>
        <w:textAlignment w:val="auto"/>
        <w:rPr>
          <w:rFonts w:hint="eastAsia" w:ascii="仿宋" w:eastAsia="仿宋"/>
          <w:color w:val="000000"/>
          <w:sz w:val="32"/>
          <w:szCs w:val="32"/>
          <w:lang w:eastAsia="zh-CN"/>
        </w:rPr>
      </w:pPr>
      <w:r>
        <w:rPr>
          <w:rFonts w:hint="eastAsia" w:ascii="仿宋" w:eastAsia="仿宋"/>
          <w:color w:val="000000"/>
          <w:sz w:val="32"/>
          <w:szCs w:val="32"/>
          <w:lang w:eastAsia="zh-CN"/>
        </w:rPr>
        <w:t>2023年</w:t>
      </w:r>
      <w:r>
        <w:rPr>
          <w:rFonts w:hint="eastAsia" w:ascii="仿宋" w:eastAsia="仿宋"/>
          <w:color w:val="000000"/>
          <w:sz w:val="32"/>
          <w:szCs w:val="32"/>
        </w:rPr>
        <w:t>财政拨款</w:t>
      </w:r>
      <w:r>
        <w:rPr>
          <w:rFonts w:hint="eastAsia" w:ascii="仿宋" w:eastAsia="仿宋"/>
          <w:color w:val="000000"/>
          <w:sz w:val="32"/>
          <w:szCs w:val="32"/>
          <w:lang w:eastAsia="zh-CN"/>
        </w:rPr>
        <w:t>收入</w:t>
      </w:r>
      <w:r>
        <w:rPr>
          <w:rFonts w:hint="eastAsia" w:ascii="仿宋" w:eastAsia="仿宋"/>
          <w:color w:val="000000"/>
          <w:sz w:val="32"/>
          <w:szCs w:val="32"/>
        </w:rPr>
        <w:t>总计</w:t>
      </w:r>
      <w:r>
        <w:rPr>
          <w:rFonts w:hint="eastAsia" w:ascii="仿宋" w:eastAsia="仿宋"/>
          <w:color w:val="000000"/>
          <w:sz w:val="32"/>
          <w:szCs w:val="32"/>
          <w:lang w:val="en-US" w:eastAsia="zh-CN"/>
        </w:rPr>
        <w:t>1882.09万元，与2022年相比，减少799.81万元，</w:t>
      </w:r>
      <w:r>
        <w:rPr>
          <w:rFonts w:hint="eastAsia" w:ascii="仿宋" w:eastAsia="仿宋" w:cs="仿宋"/>
          <w:color w:val="000000"/>
          <w:kern w:val="2"/>
          <w:sz w:val="32"/>
          <w:szCs w:val="32"/>
          <w:lang w:val="en-US" w:eastAsia="zh-CN"/>
        </w:rPr>
        <w:t>下降</w:t>
      </w:r>
      <w:r>
        <w:rPr>
          <w:rFonts w:hint="eastAsia" w:ascii="仿宋" w:eastAsia="仿宋"/>
          <w:color w:val="000000"/>
          <w:sz w:val="32"/>
          <w:szCs w:val="32"/>
          <w:lang w:val="en-US" w:eastAsia="zh-CN"/>
        </w:rPr>
        <w:t>29.82%。</w:t>
      </w:r>
      <w:r>
        <w:rPr>
          <w:rFonts w:hint="eastAsia" w:ascii="仿宋" w:eastAsia="仿宋"/>
          <w:color w:val="000000"/>
          <w:sz w:val="32"/>
          <w:szCs w:val="32"/>
          <w:lang w:eastAsia="zh-CN"/>
        </w:rPr>
        <w:t>2023年</w:t>
      </w:r>
      <w:r>
        <w:rPr>
          <w:rFonts w:hint="eastAsia" w:ascii="仿宋" w:eastAsia="仿宋"/>
          <w:color w:val="000000"/>
          <w:sz w:val="32"/>
          <w:szCs w:val="32"/>
        </w:rPr>
        <w:t>财政拨款支出总计</w:t>
      </w:r>
      <w:r>
        <w:rPr>
          <w:rFonts w:hint="eastAsia" w:ascii="仿宋" w:eastAsia="仿宋"/>
          <w:color w:val="000000"/>
          <w:sz w:val="32"/>
          <w:szCs w:val="32"/>
          <w:lang w:val="en-US" w:eastAsia="zh-CN"/>
        </w:rPr>
        <w:t>1882.09万元，与2022年相比，减少1,295.14万元，</w:t>
      </w:r>
      <w:r>
        <w:rPr>
          <w:rFonts w:hint="eastAsia" w:ascii="仿宋" w:eastAsia="仿宋" w:cs="仿宋"/>
          <w:color w:val="000000"/>
          <w:kern w:val="2"/>
          <w:sz w:val="32"/>
          <w:szCs w:val="32"/>
          <w:lang w:val="en-US" w:eastAsia="zh-CN"/>
        </w:rPr>
        <w:t>下降</w:t>
      </w:r>
      <w:r>
        <w:rPr>
          <w:rFonts w:hint="eastAsia" w:ascii="仿宋" w:eastAsia="仿宋"/>
          <w:color w:val="000000"/>
          <w:sz w:val="32"/>
          <w:szCs w:val="32"/>
          <w:lang w:val="en-US" w:eastAsia="zh-CN"/>
        </w:rPr>
        <w:t>40.76%。主要变动原因是本年度项目减少，项目收入减少，故本年收入减少。</w:t>
      </w:r>
    </w:p>
    <w:p w14:paraId="3C0E230C">
      <w:pPr>
        <w:pStyle w:val="21"/>
        <w:jc w:val="center"/>
      </w:pPr>
      <w:r>
        <w:drawing>
          <wp:inline distT="0" distB="0" distL="114300" distR="114300">
            <wp:extent cx="4250055" cy="2334260"/>
            <wp:effectExtent l="5080" t="4445" r="12065" b="10795"/>
            <wp:docPr id="133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B6C4CA">
      <w:pPr>
        <w:pStyle w:val="21"/>
        <w:jc w:val="center"/>
        <w:rPr>
          <w:rFonts w:ascii="仿宋" w:eastAsia="仿宋"/>
          <w:color w:val="000000"/>
          <w:sz w:val="32"/>
          <w:szCs w:val="32"/>
        </w:rPr>
      </w:pPr>
      <w:r>
        <w:drawing>
          <wp:inline distT="0" distB="0" distL="114300" distR="114300">
            <wp:extent cx="4339590" cy="2130425"/>
            <wp:effectExtent l="4445" t="4445" r="12065" b="11430"/>
            <wp:docPr id="133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E37F81">
      <w:pPr>
        <w:pageBreakBefore w:val="0"/>
        <w:widowControl w:val="0"/>
        <w:kinsoku/>
        <w:wordWrap/>
        <w:overflowPunct/>
        <w:topLinePunct w:val="0"/>
        <w:bidi w:val="0"/>
        <w:spacing w:line="560" w:lineRule="exact"/>
        <w:ind w:firstLine="640" w:firstLineChars="200"/>
        <w:textAlignment w:val="auto"/>
        <w:rPr>
          <w:rFonts w:ascii="仿宋" w:eastAsia="仿宋"/>
          <w:color w:val="000000"/>
          <w:sz w:val="32"/>
          <w:szCs w:val="32"/>
        </w:rPr>
      </w:pPr>
      <w:r>
        <w:rPr>
          <w:rFonts w:hint="eastAsia" w:ascii="仿宋" w:eastAsia="仿宋"/>
          <w:color w:val="000000"/>
          <w:sz w:val="32"/>
          <w:szCs w:val="32"/>
        </w:rPr>
        <w:t>（图</w:t>
      </w:r>
      <w:r>
        <w:rPr>
          <w:rFonts w:ascii="仿宋" w:eastAsia="仿宋"/>
          <w:color w:val="000000"/>
          <w:sz w:val="32"/>
          <w:szCs w:val="32"/>
        </w:rPr>
        <w:t>4</w:t>
      </w:r>
      <w:r>
        <w:rPr>
          <w:rFonts w:hint="eastAsia" w:ascii="仿宋" w:eastAsia="仿宋"/>
          <w:color w:val="000000"/>
          <w:sz w:val="32"/>
          <w:szCs w:val="32"/>
        </w:rPr>
        <w:t>：财政拨款收、支决算总计变动情况）（柱状图）</w:t>
      </w:r>
    </w:p>
    <w:p w14:paraId="23B663E4">
      <w:pPr>
        <w:pageBreakBefore w:val="0"/>
        <w:widowControl w:val="0"/>
        <w:kinsoku/>
        <w:wordWrap/>
        <w:overflowPunct/>
        <w:topLinePunct w:val="0"/>
        <w:bidi w:val="0"/>
        <w:spacing w:line="560" w:lineRule="exact"/>
        <w:ind w:firstLine="640"/>
        <w:textAlignment w:val="auto"/>
        <w:rPr>
          <w:rFonts w:ascii="仿宋" w:eastAsia="仿宋"/>
          <w:b/>
          <w:color w:val="00B050"/>
          <w:sz w:val="32"/>
          <w:szCs w:val="32"/>
        </w:rPr>
      </w:pPr>
    </w:p>
    <w:p w14:paraId="5F79CE18">
      <w:pPr>
        <w:pageBreakBefore w:val="0"/>
        <w:widowControl w:val="0"/>
        <w:kinsoku/>
        <w:wordWrap/>
        <w:overflowPunct/>
        <w:topLinePunct w:val="0"/>
        <w:bidi w:val="0"/>
        <w:spacing w:line="560" w:lineRule="exact"/>
        <w:ind w:firstLine="640" w:firstLineChars="200"/>
        <w:textAlignment w:val="auto"/>
        <w:outlineLvl w:val="1"/>
        <w:rPr>
          <w:rStyle w:val="28"/>
          <w:rFonts w:ascii="黑体" w:eastAsia="黑体"/>
          <w:b w:val="0"/>
        </w:rPr>
      </w:pPr>
      <w:bookmarkStart w:id="42" w:name="_Toc9785"/>
      <w:bookmarkStart w:id="43" w:name="_Toc15396607"/>
      <w:bookmarkStart w:id="44" w:name="_Toc15377209"/>
      <w:bookmarkStart w:id="45" w:name="_Toc79163614"/>
      <w:r>
        <w:rPr>
          <w:rFonts w:hint="eastAsia" w:ascii="黑体" w:eastAsia="黑体"/>
          <w:color w:val="000000"/>
          <w:sz w:val="32"/>
          <w:szCs w:val="32"/>
        </w:rPr>
        <w:t>五、</w:t>
      </w:r>
      <w:r>
        <w:rPr>
          <w:rFonts w:hint="eastAsia" w:ascii="黑体" w:eastAsia="黑体"/>
          <w:b/>
          <w:color w:val="000000"/>
          <w:sz w:val="32"/>
          <w:szCs w:val="32"/>
        </w:rPr>
        <w:t>一</w:t>
      </w:r>
      <w:r>
        <w:rPr>
          <w:rStyle w:val="28"/>
          <w:rFonts w:hint="eastAsia" w:ascii="黑体" w:eastAsia="黑体"/>
          <w:b w:val="0"/>
        </w:rPr>
        <w:t>般公共预算财政拨款支出决算情况说明</w:t>
      </w:r>
      <w:bookmarkEnd w:id="42"/>
      <w:bookmarkEnd w:id="43"/>
      <w:bookmarkEnd w:id="44"/>
      <w:bookmarkEnd w:id="45"/>
    </w:p>
    <w:p w14:paraId="059F5646">
      <w:pPr>
        <w:pageBreakBefore w:val="0"/>
        <w:widowControl w:val="0"/>
        <w:kinsoku/>
        <w:wordWrap/>
        <w:overflowPunct/>
        <w:topLinePunct w:val="0"/>
        <w:bidi w:val="0"/>
        <w:spacing w:line="560" w:lineRule="exact"/>
        <w:ind w:firstLine="643" w:firstLineChars="200"/>
        <w:textAlignment w:val="auto"/>
        <w:outlineLvl w:val="2"/>
        <w:rPr>
          <w:rFonts w:ascii="仿宋" w:eastAsia="仿宋"/>
          <w:b/>
          <w:color w:val="000000"/>
          <w:sz w:val="32"/>
          <w:szCs w:val="32"/>
        </w:rPr>
      </w:pPr>
      <w:bookmarkStart w:id="46" w:name="_Toc15377210"/>
      <w:bookmarkStart w:id="47" w:name="_Toc79163615"/>
      <w:bookmarkStart w:id="48" w:name="_Toc12757"/>
      <w:r>
        <w:rPr>
          <w:rFonts w:hint="eastAsia" w:ascii="仿宋" w:eastAsia="仿宋"/>
          <w:b/>
          <w:color w:val="000000"/>
          <w:sz w:val="32"/>
          <w:szCs w:val="32"/>
        </w:rPr>
        <w:t>（一）一般公共预算财政拨款支出决算总体情况</w:t>
      </w:r>
      <w:bookmarkEnd w:id="46"/>
      <w:bookmarkEnd w:id="47"/>
      <w:bookmarkEnd w:id="48"/>
    </w:p>
    <w:p w14:paraId="48778C40">
      <w:pPr>
        <w:pageBreakBefore w:val="0"/>
        <w:widowControl w:val="0"/>
        <w:kinsoku/>
        <w:wordWrap/>
        <w:overflowPunct/>
        <w:topLinePunct w:val="0"/>
        <w:bidi w:val="0"/>
        <w:spacing w:line="560" w:lineRule="exact"/>
        <w:ind w:firstLine="640" w:firstLineChars="200"/>
        <w:textAlignment w:val="auto"/>
        <w:rPr>
          <w:rFonts w:hint="default" w:ascii="仿宋" w:eastAsia="仿宋"/>
          <w:color w:val="000000"/>
          <w:sz w:val="32"/>
          <w:szCs w:val="32"/>
          <w:lang w:val="en-US" w:eastAsia="zh-CN"/>
        </w:rPr>
      </w:pPr>
      <w:r>
        <w:rPr>
          <w:rFonts w:hint="eastAsia" w:ascii="仿宋" w:eastAsia="仿宋"/>
          <w:color w:val="000000"/>
          <w:sz w:val="32"/>
          <w:szCs w:val="32"/>
          <w:lang w:eastAsia="zh-CN"/>
        </w:rPr>
        <w:t>2023年</w:t>
      </w:r>
      <w:r>
        <w:rPr>
          <w:rFonts w:hint="eastAsia" w:ascii="仿宋" w:eastAsia="仿宋"/>
          <w:color w:val="000000"/>
          <w:sz w:val="32"/>
          <w:szCs w:val="32"/>
        </w:rPr>
        <w:t>一般公共预算财政拨款支出</w:t>
      </w:r>
      <w:r>
        <w:rPr>
          <w:rFonts w:hint="eastAsia" w:ascii="仿宋" w:eastAsia="仿宋"/>
          <w:color w:val="000000"/>
          <w:sz w:val="32"/>
          <w:szCs w:val="32"/>
          <w:lang w:val="en-US" w:eastAsia="zh-CN"/>
        </w:rPr>
        <w:t>1882.09</w:t>
      </w:r>
      <w:r>
        <w:rPr>
          <w:rFonts w:hint="eastAsia" w:ascii="仿宋" w:eastAsia="仿宋"/>
          <w:color w:val="000000"/>
          <w:sz w:val="32"/>
          <w:szCs w:val="32"/>
        </w:rPr>
        <w:t>万元，占本年支出合计的</w:t>
      </w:r>
      <w:r>
        <w:rPr>
          <w:rFonts w:hint="eastAsia" w:ascii="仿宋" w:eastAsia="仿宋"/>
          <w:color w:val="000000"/>
          <w:sz w:val="32"/>
          <w:szCs w:val="32"/>
          <w:lang w:val="en-US" w:eastAsia="zh-CN"/>
        </w:rPr>
        <w:t>100</w:t>
      </w:r>
      <w:r>
        <w:rPr>
          <w:rFonts w:ascii="仿宋" w:eastAsia="仿宋"/>
          <w:color w:val="000000"/>
          <w:sz w:val="32"/>
          <w:szCs w:val="32"/>
        </w:rPr>
        <w:t>%</w:t>
      </w:r>
      <w:r>
        <w:rPr>
          <w:rFonts w:hint="eastAsia" w:ascii="仿宋" w:eastAsia="仿宋"/>
          <w:color w:val="000000"/>
          <w:sz w:val="32"/>
          <w:szCs w:val="32"/>
        </w:rPr>
        <w:t>。与</w:t>
      </w:r>
      <w:r>
        <w:rPr>
          <w:rFonts w:hint="eastAsia" w:ascii="仿宋" w:eastAsia="仿宋"/>
          <w:color w:val="000000"/>
          <w:sz w:val="32"/>
          <w:szCs w:val="32"/>
          <w:lang w:eastAsia="zh-CN"/>
        </w:rPr>
        <w:t>2022年</w:t>
      </w:r>
      <w:r>
        <w:rPr>
          <w:rFonts w:hint="eastAsia" w:ascii="仿宋" w:eastAsia="仿宋"/>
          <w:color w:val="000000"/>
          <w:sz w:val="32"/>
          <w:szCs w:val="32"/>
        </w:rPr>
        <w:t>相比，一般公共预算财政拨款</w:t>
      </w:r>
      <w:r>
        <w:rPr>
          <w:rFonts w:hint="eastAsia" w:ascii="仿宋" w:eastAsia="仿宋"/>
          <w:color w:val="000000"/>
          <w:sz w:val="32"/>
          <w:szCs w:val="32"/>
          <w:lang w:val="en-US" w:eastAsia="zh-CN"/>
        </w:rPr>
        <w:t>减少799.81万元，</w:t>
      </w:r>
      <w:r>
        <w:rPr>
          <w:rFonts w:hint="eastAsia" w:ascii="仿宋" w:eastAsia="仿宋" w:cs="仿宋"/>
          <w:color w:val="000000"/>
          <w:kern w:val="2"/>
          <w:sz w:val="32"/>
          <w:szCs w:val="32"/>
          <w:lang w:val="en-US" w:eastAsia="zh-CN"/>
        </w:rPr>
        <w:t>下降</w:t>
      </w:r>
      <w:r>
        <w:rPr>
          <w:rFonts w:hint="eastAsia" w:ascii="仿宋" w:eastAsia="仿宋"/>
          <w:color w:val="000000"/>
          <w:sz w:val="32"/>
          <w:szCs w:val="32"/>
          <w:lang w:val="en-US" w:eastAsia="zh-CN"/>
        </w:rPr>
        <w:t>29.82%。主要变动原因是本年度项目减少，项目收入减少，故本年收入减少。</w:t>
      </w:r>
    </w:p>
    <w:p w14:paraId="5827D500">
      <w:pPr>
        <w:jc w:val="center"/>
        <w:rPr>
          <w:rFonts w:ascii="仿宋" w:eastAsia="仿宋"/>
          <w:color w:val="000000"/>
          <w:sz w:val="32"/>
          <w:szCs w:val="32"/>
        </w:rPr>
      </w:pPr>
      <w:r>
        <w:drawing>
          <wp:inline distT="0" distB="0" distL="114300" distR="114300">
            <wp:extent cx="4451350" cy="2411095"/>
            <wp:effectExtent l="4445" t="4445" r="14605" b="10160"/>
            <wp:docPr id="134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345436">
      <w:pPr>
        <w:pageBreakBefore w:val="0"/>
        <w:widowControl w:val="0"/>
        <w:kinsoku/>
        <w:wordWrap/>
        <w:overflowPunct/>
        <w:topLinePunct w:val="0"/>
        <w:bidi w:val="0"/>
        <w:spacing w:line="560" w:lineRule="exact"/>
        <w:textAlignment w:val="auto"/>
        <w:rPr>
          <w:rFonts w:ascii="仿宋" w:eastAsia="仿宋"/>
          <w:color w:val="000000"/>
          <w:sz w:val="32"/>
          <w:szCs w:val="32"/>
        </w:rPr>
      </w:pPr>
      <w:r>
        <w:rPr>
          <w:rFonts w:hint="eastAsia" w:ascii="仿宋" w:eastAsia="仿宋"/>
          <w:color w:val="000000"/>
          <w:sz w:val="32"/>
          <w:szCs w:val="32"/>
        </w:rPr>
        <w:t>（图</w:t>
      </w:r>
      <w:r>
        <w:rPr>
          <w:rFonts w:ascii="仿宋" w:eastAsia="仿宋"/>
          <w:color w:val="000000"/>
          <w:sz w:val="32"/>
          <w:szCs w:val="32"/>
        </w:rPr>
        <w:t>5</w:t>
      </w:r>
      <w:r>
        <w:rPr>
          <w:rFonts w:hint="eastAsia" w:ascii="仿宋" w:eastAsia="仿宋"/>
          <w:color w:val="000000"/>
          <w:sz w:val="32"/>
          <w:szCs w:val="32"/>
        </w:rPr>
        <w:t>：一般公共预算财政拨款支出决算变动情况</w:t>
      </w:r>
      <w:r>
        <w:rPr>
          <w:rFonts w:hint="eastAsia" w:ascii="仿宋" w:eastAsia="仿宋"/>
          <w:color w:val="000000"/>
          <w:sz w:val="32"/>
          <w:szCs w:val="32"/>
          <w:lang w:val="en-US" w:eastAsia="zh-CN"/>
        </w:rPr>
        <w:t>)(</w:t>
      </w:r>
      <w:r>
        <w:rPr>
          <w:rFonts w:hint="eastAsia" w:ascii="仿宋" w:eastAsia="仿宋"/>
          <w:color w:val="000000"/>
          <w:sz w:val="32"/>
          <w:szCs w:val="32"/>
        </w:rPr>
        <w:t>柱状图）</w:t>
      </w:r>
    </w:p>
    <w:p w14:paraId="152A87C8">
      <w:pPr>
        <w:pageBreakBefore w:val="0"/>
        <w:widowControl w:val="0"/>
        <w:kinsoku/>
        <w:wordWrap/>
        <w:overflowPunct/>
        <w:topLinePunct w:val="0"/>
        <w:bidi w:val="0"/>
        <w:spacing w:line="560" w:lineRule="exact"/>
        <w:ind w:firstLine="640" w:firstLineChars="200"/>
        <w:textAlignment w:val="auto"/>
        <w:rPr>
          <w:rFonts w:ascii="仿宋" w:eastAsia="仿宋"/>
          <w:color w:val="000000"/>
          <w:sz w:val="32"/>
          <w:szCs w:val="32"/>
        </w:rPr>
      </w:pPr>
    </w:p>
    <w:p w14:paraId="35DC6733">
      <w:pPr>
        <w:pageBreakBefore w:val="0"/>
        <w:widowControl w:val="0"/>
        <w:kinsoku/>
        <w:wordWrap/>
        <w:overflowPunct/>
        <w:topLinePunct w:val="0"/>
        <w:bidi w:val="0"/>
        <w:spacing w:line="560" w:lineRule="exact"/>
        <w:ind w:firstLine="643" w:firstLineChars="200"/>
        <w:textAlignment w:val="auto"/>
        <w:outlineLvl w:val="2"/>
        <w:rPr>
          <w:rFonts w:ascii="仿宋" w:eastAsia="仿宋"/>
          <w:b/>
          <w:color w:val="000000"/>
          <w:sz w:val="32"/>
          <w:szCs w:val="32"/>
        </w:rPr>
      </w:pPr>
      <w:bookmarkStart w:id="49" w:name="_Toc79163616"/>
      <w:bookmarkStart w:id="50" w:name="_Toc23785"/>
      <w:bookmarkStart w:id="51" w:name="_Toc15377211"/>
      <w:r>
        <w:rPr>
          <w:rFonts w:hint="eastAsia" w:ascii="仿宋" w:eastAsia="仿宋"/>
          <w:b/>
          <w:color w:val="000000"/>
          <w:sz w:val="32"/>
          <w:szCs w:val="32"/>
        </w:rPr>
        <w:t>（二）一般公共预算财政拨款支出决算结构情况</w:t>
      </w:r>
      <w:bookmarkEnd w:id="49"/>
      <w:bookmarkEnd w:id="50"/>
      <w:bookmarkEnd w:id="51"/>
    </w:p>
    <w:p w14:paraId="111266DF">
      <w:pPr>
        <w:pageBreakBefore w:val="0"/>
        <w:widowControl w:val="0"/>
        <w:kinsoku/>
        <w:wordWrap/>
        <w:overflowPunct/>
        <w:topLinePunct w:val="0"/>
        <w:bidi w:val="0"/>
        <w:spacing w:line="560" w:lineRule="exact"/>
        <w:ind w:firstLine="640"/>
        <w:textAlignment w:val="auto"/>
        <w:rPr>
          <w:rFonts w:hint="eastAsia" w:ascii="仿宋" w:eastAsia="仿宋"/>
          <w:color w:val="000000"/>
          <w:sz w:val="32"/>
          <w:szCs w:val="32"/>
        </w:rPr>
      </w:pPr>
      <w:r>
        <w:rPr>
          <w:rFonts w:hint="eastAsia" w:ascii="仿宋" w:eastAsia="仿宋"/>
          <w:color w:val="000000"/>
          <w:sz w:val="32"/>
          <w:szCs w:val="32"/>
          <w:lang w:eastAsia="zh-CN"/>
        </w:rPr>
        <w:t>2023年</w:t>
      </w:r>
      <w:r>
        <w:rPr>
          <w:rFonts w:hint="eastAsia" w:ascii="仿宋" w:eastAsia="仿宋"/>
          <w:color w:val="000000"/>
          <w:sz w:val="32"/>
          <w:szCs w:val="32"/>
        </w:rPr>
        <w:t>一般公共预算财政拨款支出</w:t>
      </w:r>
      <w:r>
        <w:rPr>
          <w:rFonts w:hint="eastAsia" w:ascii="仿宋" w:eastAsia="仿宋"/>
          <w:color w:val="000000"/>
          <w:sz w:val="32"/>
          <w:szCs w:val="32"/>
          <w:lang w:eastAsia="zh-CN"/>
        </w:rPr>
        <w:t>1,882.09</w:t>
      </w:r>
      <w:r>
        <w:rPr>
          <w:rFonts w:hint="eastAsia" w:ascii="仿宋" w:eastAsia="仿宋"/>
          <w:color w:val="000000"/>
          <w:sz w:val="32"/>
          <w:szCs w:val="32"/>
        </w:rPr>
        <w:t>万元，主要用于以下方面:</w:t>
      </w:r>
      <w:r>
        <w:rPr>
          <w:rFonts w:hint="eastAsia" w:ascii="仿宋" w:eastAsia="仿宋"/>
          <w:color w:val="000000"/>
          <w:sz w:val="32"/>
          <w:szCs w:val="32"/>
          <w:lang w:val="en-US" w:eastAsia="zh-CN"/>
        </w:rPr>
        <w:t>教育支出69.22万元，占3.68%;</w:t>
      </w:r>
      <w:r>
        <w:rPr>
          <w:rFonts w:hint="eastAsia" w:ascii="仿宋" w:eastAsia="仿宋"/>
          <w:color w:val="000000"/>
          <w:sz w:val="32"/>
          <w:szCs w:val="32"/>
        </w:rPr>
        <w:t>文化旅游体育与传媒支出396.38万元，占</w:t>
      </w:r>
      <w:r>
        <w:rPr>
          <w:rFonts w:hint="eastAsia" w:ascii="仿宋" w:eastAsia="仿宋"/>
          <w:color w:val="000000"/>
          <w:sz w:val="32"/>
          <w:szCs w:val="32"/>
          <w:lang w:val="en-US" w:eastAsia="zh-CN"/>
        </w:rPr>
        <w:t>21.06</w:t>
      </w:r>
      <w:r>
        <w:rPr>
          <w:rFonts w:hint="eastAsia" w:ascii="仿宋" w:eastAsia="仿宋"/>
          <w:color w:val="000000"/>
          <w:sz w:val="32"/>
          <w:szCs w:val="32"/>
        </w:rPr>
        <w:t>%；社会保障和就业支出40.82万元，占</w:t>
      </w:r>
      <w:r>
        <w:rPr>
          <w:rFonts w:hint="eastAsia" w:ascii="仿宋" w:eastAsia="仿宋"/>
          <w:color w:val="000000"/>
          <w:sz w:val="32"/>
          <w:szCs w:val="32"/>
          <w:lang w:val="en-US" w:eastAsia="zh-CN"/>
        </w:rPr>
        <w:t>2.17</w:t>
      </w:r>
      <w:r>
        <w:rPr>
          <w:rFonts w:hint="eastAsia" w:ascii="仿宋" w:eastAsia="仿宋"/>
          <w:color w:val="000000"/>
          <w:sz w:val="32"/>
          <w:szCs w:val="32"/>
        </w:rPr>
        <w:t>%；卫生健康支出18.08万元，占0.</w:t>
      </w:r>
      <w:r>
        <w:rPr>
          <w:rFonts w:hint="eastAsia" w:ascii="仿宋" w:eastAsia="仿宋"/>
          <w:color w:val="000000"/>
          <w:sz w:val="32"/>
          <w:szCs w:val="32"/>
          <w:lang w:val="en-US" w:eastAsia="zh-CN"/>
        </w:rPr>
        <w:t>96</w:t>
      </w:r>
      <w:r>
        <w:rPr>
          <w:rFonts w:hint="eastAsia" w:ascii="仿宋" w:eastAsia="仿宋"/>
          <w:color w:val="000000"/>
          <w:sz w:val="32"/>
          <w:szCs w:val="32"/>
        </w:rPr>
        <w:t>%；农林水支出1,334.18万元，占</w:t>
      </w:r>
      <w:r>
        <w:rPr>
          <w:rFonts w:hint="eastAsia" w:ascii="仿宋" w:eastAsia="仿宋"/>
          <w:color w:val="000000"/>
          <w:sz w:val="32"/>
          <w:szCs w:val="32"/>
          <w:lang w:val="en-US" w:eastAsia="zh-CN"/>
        </w:rPr>
        <w:t>70.89</w:t>
      </w:r>
      <w:r>
        <w:rPr>
          <w:rFonts w:hint="eastAsia" w:ascii="仿宋" w:eastAsia="仿宋"/>
          <w:color w:val="000000"/>
          <w:sz w:val="32"/>
          <w:szCs w:val="32"/>
        </w:rPr>
        <w:t>%</w:t>
      </w:r>
      <w:r>
        <w:rPr>
          <w:rFonts w:hint="eastAsia" w:ascii="仿宋" w:eastAsia="仿宋"/>
          <w:color w:val="000000"/>
          <w:sz w:val="32"/>
          <w:szCs w:val="32"/>
          <w:lang w:eastAsia="zh-CN"/>
        </w:rPr>
        <w:t>；住房保障支出23.40万元，占</w:t>
      </w:r>
      <w:r>
        <w:rPr>
          <w:rFonts w:hint="eastAsia" w:ascii="仿宋" w:eastAsia="仿宋"/>
          <w:color w:val="000000"/>
          <w:sz w:val="32"/>
          <w:szCs w:val="32"/>
          <w:lang w:val="en-US" w:eastAsia="zh-CN"/>
        </w:rPr>
        <w:t>1.24</w:t>
      </w:r>
      <w:r>
        <w:rPr>
          <w:rFonts w:hint="eastAsia" w:ascii="仿宋" w:eastAsia="仿宋"/>
          <w:color w:val="000000"/>
          <w:sz w:val="32"/>
          <w:szCs w:val="32"/>
          <w:lang w:eastAsia="zh-CN"/>
        </w:rPr>
        <w:t>%。</w:t>
      </w:r>
    </w:p>
    <w:p w14:paraId="33467EF9">
      <w:pPr>
        <w:jc w:val="center"/>
        <w:rPr>
          <w:rFonts w:ascii="仿宋" w:eastAsia="仿宋"/>
          <w:color w:val="000000"/>
          <w:sz w:val="32"/>
          <w:szCs w:val="32"/>
        </w:rPr>
      </w:pPr>
      <w:r>
        <w:drawing>
          <wp:inline distT="0" distB="0" distL="114300" distR="114300">
            <wp:extent cx="4466590" cy="2393950"/>
            <wp:effectExtent l="4445" t="4445" r="12065" b="14605"/>
            <wp:docPr id="134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53639C">
      <w:pPr>
        <w:pageBreakBefore w:val="0"/>
        <w:widowControl w:val="0"/>
        <w:kinsoku/>
        <w:wordWrap/>
        <w:overflowPunct/>
        <w:topLinePunct w:val="0"/>
        <w:bidi w:val="0"/>
        <w:spacing w:line="560" w:lineRule="exact"/>
        <w:textAlignment w:val="auto"/>
        <w:rPr>
          <w:rFonts w:ascii="仿宋" w:eastAsia="仿宋"/>
          <w:color w:val="000000"/>
          <w:sz w:val="32"/>
          <w:szCs w:val="32"/>
        </w:rPr>
      </w:pPr>
      <w:r>
        <w:rPr>
          <w:rFonts w:hint="eastAsia" w:ascii="仿宋" w:eastAsia="仿宋"/>
          <w:color w:val="000000"/>
          <w:sz w:val="32"/>
          <w:szCs w:val="32"/>
        </w:rPr>
        <w:t>（图</w:t>
      </w:r>
      <w:r>
        <w:rPr>
          <w:rFonts w:ascii="仿宋" w:eastAsia="仿宋"/>
          <w:color w:val="000000"/>
          <w:sz w:val="32"/>
          <w:szCs w:val="32"/>
        </w:rPr>
        <w:t>6</w:t>
      </w:r>
      <w:r>
        <w:rPr>
          <w:rFonts w:hint="eastAsia" w:ascii="仿宋" w:eastAsia="仿宋"/>
          <w:color w:val="000000"/>
          <w:sz w:val="32"/>
          <w:szCs w:val="32"/>
        </w:rPr>
        <w:t>：一般公共预算财政拨款支出决算结构）（饼状图）</w:t>
      </w:r>
    </w:p>
    <w:p w14:paraId="4E06F5AE">
      <w:pPr>
        <w:pageBreakBefore w:val="0"/>
        <w:widowControl w:val="0"/>
        <w:kinsoku/>
        <w:wordWrap/>
        <w:overflowPunct/>
        <w:topLinePunct w:val="0"/>
        <w:bidi w:val="0"/>
        <w:spacing w:line="560" w:lineRule="exact"/>
        <w:ind w:firstLine="640" w:firstLineChars="200"/>
        <w:textAlignment w:val="auto"/>
        <w:rPr>
          <w:rFonts w:ascii="仿宋" w:eastAsia="仿宋"/>
          <w:color w:val="000000"/>
          <w:sz w:val="32"/>
          <w:szCs w:val="32"/>
        </w:rPr>
      </w:pPr>
    </w:p>
    <w:p w14:paraId="37D5D9AB">
      <w:pPr>
        <w:pageBreakBefore w:val="0"/>
        <w:widowControl w:val="0"/>
        <w:kinsoku/>
        <w:wordWrap/>
        <w:overflowPunct/>
        <w:topLinePunct w:val="0"/>
        <w:bidi w:val="0"/>
        <w:spacing w:line="560" w:lineRule="exact"/>
        <w:ind w:firstLine="643" w:firstLineChars="200"/>
        <w:textAlignment w:val="auto"/>
        <w:outlineLvl w:val="2"/>
        <w:rPr>
          <w:rFonts w:ascii="仿宋" w:eastAsia="仿宋"/>
          <w:b/>
          <w:color w:val="000000"/>
          <w:sz w:val="32"/>
          <w:szCs w:val="32"/>
        </w:rPr>
      </w:pPr>
      <w:bookmarkStart w:id="52" w:name="_Toc15377212"/>
      <w:bookmarkStart w:id="53" w:name="_Toc22688"/>
      <w:bookmarkStart w:id="54" w:name="_Toc79163617"/>
      <w:r>
        <w:rPr>
          <w:rFonts w:hint="eastAsia" w:ascii="仿宋" w:eastAsia="仿宋"/>
          <w:b/>
          <w:color w:val="000000"/>
          <w:sz w:val="32"/>
          <w:szCs w:val="32"/>
        </w:rPr>
        <w:t>（三）一般公共预算财政拨款支出决算具体情况</w:t>
      </w:r>
      <w:bookmarkEnd w:id="52"/>
      <w:bookmarkEnd w:id="53"/>
      <w:bookmarkEnd w:id="54"/>
    </w:p>
    <w:p w14:paraId="67872CE0">
      <w:pPr>
        <w:pageBreakBefore w:val="0"/>
        <w:widowControl w:val="0"/>
        <w:kinsoku/>
        <w:wordWrap/>
        <w:overflowPunct/>
        <w:topLinePunct w:val="0"/>
        <w:bidi w:val="0"/>
        <w:spacing w:line="560" w:lineRule="exact"/>
        <w:ind w:firstLine="643" w:firstLineChars="200"/>
        <w:textAlignment w:val="auto"/>
        <w:rPr>
          <w:rFonts w:hint="eastAsia" w:ascii="仿宋_GB2312" w:eastAsia="仿宋_GB2312"/>
          <w:b/>
          <w:bCs/>
          <w:sz w:val="32"/>
          <w:szCs w:val="32"/>
        </w:rPr>
      </w:pPr>
      <w:bookmarkStart w:id="55" w:name="_Toc15377213"/>
      <w:bookmarkStart w:id="56" w:name="_Toc15377444"/>
      <w:bookmarkStart w:id="57" w:name="_Toc15378460"/>
      <w:r>
        <w:rPr>
          <w:rFonts w:hint="eastAsia" w:ascii="仿宋_GB2312" w:eastAsia="仿宋_GB2312"/>
          <w:b/>
          <w:bCs/>
          <w:sz w:val="32"/>
          <w:szCs w:val="32"/>
          <w:lang w:eastAsia="zh-CN"/>
        </w:rPr>
        <w:t>2023年</w:t>
      </w:r>
      <w:r>
        <w:rPr>
          <w:rFonts w:hint="eastAsia" w:ascii="仿宋_GB2312" w:eastAsia="仿宋_GB2312"/>
          <w:b/>
          <w:bCs/>
          <w:sz w:val="32"/>
          <w:szCs w:val="32"/>
        </w:rPr>
        <w:t>一般公共预算支出决算数为</w:t>
      </w:r>
      <w:r>
        <w:rPr>
          <w:rFonts w:hint="eastAsia" w:ascii="仿宋_GB2312" w:eastAsia="仿宋_GB2312"/>
          <w:b/>
          <w:bCs/>
          <w:sz w:val="32"/>
          <w:szCs w:val="32"/>
          <w:lang w:eastAsia="zh-CN"/>
        </w:rPr>
        <w:t>1882.09</w:t>
      </w:r>
      <w:r>
        <w:rPr>
          <w:rFonts w:hint="eastAsia" w:ascii="仿宋_GB2312" w:eastAsia="仿宋_GB2312"/>
          <w:b/>
          <w:bCs/>
          <w:sz w:val="32"/>
          <w:szCs w:val="32"/>
          <w:lang w:val="en-US" w:eastAsia="zh-CN"/>
        </w:rPr>
        <w:t>万元</w:t>
      </w:r>
      <w:r>
        <w:rPr>
          <w:rFonts w:hint="eastAsia" w:ascii="仿宋_GB2312" w:eastAsia="仿宋_GB2312"/>
          <w:b/>
          <w:bCs/>
          <w:sz w:val="32"/>
          <w:szCs w:val="32"/>
        </w:rPr>
        <w:t>，完成预算</w:t>
      </w:r>
      <w:r>
        <w:rPr>
          <w:rFonts w:hint="eastAsia" w:ascii="仿宋_GB2312" w:eastAsia="仿宋_GB2312"/>
          <w:b/>
          <w:bCs/>
          <w:sz w:val="32"/>
          <w:szCs w:val="32"/>
          <w:lang w:val="en-US" w:eastAsia="zh-CN"/>
        </w:rPr>
        <w:t>100</w:t>
      </w:r>
      <w:r>
        <w:rPr>
          <w:rFonts w:ascii="仿宋_GB2312" w:eastAsia="仿宋_GB2312"/>
          <w:b/>
          <w:bCs/>
          <w:sz w:val="32"/>
          <w:szCs w:val="32"/>
        </w:rPr>
        <w:t>%</w:t>
      </w:r>
      <w:r>
        <w:rPr>
          <w:rFonts w:hint="eastAsia" w:ascii="仿宋_GB2312" w:eastAsia="仿宋_GB2312"/>
          <w:b/>
          <w:bCs/>
          <w:sz w:val="32"/>
          <w:szCs w:val="32"/>
        </w:rPr>
        <w:t>。其中：</w:t>
      </w:r>
      <w:bookmarkEnd w:id="55"/>
      <w:bookmarkEnd w:id="56"/>
      <w:bookmarkEnd w:id="57"/>
    </w:p>
    <w:p w14:paraId="3DB31FCA">
      <w:pPr>
        <w:pStyle w:val="21"/>
        <w:rPr>
          <w:rStyle w:val="24"/>
          <w:rFonts w:hint="eastAsia" w:ascii="仿宋" w:hAnsi="Times New Roman" w:eastAsia="仿宋"/>
          <w:b w:val="0"/>
          <w:bCs/>
          <w:color w:val="000000"/>
          <w:kern w:val="2"/>
          <w:sz w:val="32"/>
          <w:szCs w:val="32"/>
          <w:lang w:val="en-US" w:eastAsia="zh-CN" w:bidi="ar-SA"/>
        </w:rPr>
      </w:pPr>
      <w:r>
        <w:rPr>
          <w:rStyle w:val="24"/>
          <w:rFonts w:hint="eastAsia" w:ascii="仿宋" w:hAnsi="Times New Roman" w:eastAsia="仿宋"/>
          <w:bCs/>
          <w:color w:val="000000"/>
          <w:kern w:val="2"/>
          <w:sz w:val="32"/>
          <w:szCs w:val="32"/>
          <w:lang w:val="en-US" w:eastAsia="zh-CN" w:bidi="ar-SA"/>
        </w:rPr>
        <w:t>1</w:t>
      </w:r>
      <w:r>
        <w:rPr>
          <w:rFonts w:hint="eastAsia" w:ascii="仿宋_GB2312" w:eastAsia="仿宋_GB2312"/>
          <w:b/>
          <w:bCs/>
          <w:sz w:val="32"/>
          <w:szCs w:val="32"/>
          <w:lang w:val="en-US" w:eastAsia="zh-CN"/>
        </w:rPr>
        <w:t>.</w:t>
      </w:r>
      <w:r>
        <w:rPr>
          <w:rStyle w:val="24"/>
          <w:rFonts w:hint="eastAsia" w:ascii="仿宋" w:hAnsi="Times New Roman" w:eastAsia="仿宋"/>
          <w:bCs/>
          <w:color w:val="000000"/>
          <w:kern w:val="2"/>
          <w:sz w:val="32"/>
          <w:szCs w:val="32"/>
          <w:lang w:val="en-US" w:eastAsia="zh-CN" w:bidi="ar-SA"/>
        </w:rPr>
        <w:t>教育支出（类）其他教育支出（款）其他教育支出（项）：</w:t>
      </w:r>
      <w:r>
        <w:rPr>
          <w:rFonts w:hint="eastAsia" w:ascii="仿宋_GB2312" w:eastAsia="仿宋_GB2312"/>
          <w:b/>
          <w:bCs/>
          <w:sz w:val="32"/>
          <w:szCs w:val="32"/>
          <w:lang w:val="en-US" w:eastAsia="zh-CN"/>
        </w:rPr>
        <w:t>支</w:t>
      </w:r>
      <w:r>
        <w:rPr>
          <w:rStyle w:val="24"/>
          <w:rFonts w:hint="eastAsia" w:ascii="仿宋" w:hAnsi="Times New Roman" w:eastAsia="仿宋"/>
          <w:b w:val="0"/>
          <w:bCs/>
          <w:color w:val="000000"/>
          <w:kern w:val="2"/>
          <w:sz w:val="32"/>
          <w:szCs w:val="32"/>
          <w:lang w:val="en-US" w:eastAsia="zh-CN" w:bidi="ar-SA"/>
        </w:rPr>
        <w:t>出决算为69.22万元，完成预算100%。</w:t>
      </w:r>
    </w:p>
    <w:p w14:paraId="717B1451">
      <w:pPr>
        <w:pStyle w:val="21"/>
        <w:rPr>
          <w:rFonts w:ascii="仿宋" w:eastAsia="仿宋"/>
          <w:b/>
          <w:color w:val="000000"/>
          <w:sz w:val="32"/>
          <w:szCs w:val="32"/>
        </w:rPr>
      </w:pPr>
      <w:r>
        <w:rPr>
          <w:rStyle w:val="24"/>
          <w:rFonts w:hint="eastAsia" w:ascii="仿宋" w:eastAsia="仿宋"/>
          <w:bCs/>
          <w:color w:val="000000"/>
          <w:sz w:val="32"/>
          <w:szCs w:val="32"/>
          <w:lang w:val="en-US" w:eastAsia="zh-CN"/>
        </w:rPr>
        <w:t>2</w:t>
      </w:r>
      <w:r>
        <w:rPr>
          <w:rStyle w:val="24"/>
          <w:rFonts w:ascii="仿宋" w:eastAsia="仿宋"/>
          <w:bCs/>
          <w:color w:val="000000"/>
          <w:sz w:val="32"/>
          <w:szCs w:val="32"/>
        </w:rPr>
        <w:t>.</w:t>
      </w:r>
      <w:r>
        <w:rPr>
          <w:rStyle w:val="24"/>
          <w:rFonts w:hint="eastAsia" w:ascii="仿宋" w:eastAsia="仿宋"/>
          <w:bCs/>
          <w:color w:val="000000"/>
          <w:sz w:val="32"/>
          <w:szCs w:val="32"/>
        </w:rPr>
        <w:t>文化旅游体育与传媒支出（类）文化和旅游（款</w:t>
      </w:r>
      <w:r>
        <w:rPr>
          <w:rStyle w:val="24"/>
          <w:rFonts w:hint="eastAsia" w:ascii="仿宋" w:eastAsia="仿宋"/>
          <w:bCs/>
          <w:color w:val="000000"/>
          <w:sz w:val="32"/>
          <w:szCs w:val="32"/>
          <w:lang w:eastAsia="zh-CN"/>
        </w:rPr>
        <w:t>）</w:t>
      </w:r>
      <w:r>
        <w:rPr>
          <w:rStyle w:val="24"/>
          <w:rFonts w:hint="eastAsia" w:ascii="仿宋" w:eastAsia="仿宋"/>
          <w:bCs/>
          <w:color w:val="000000"/>
          <w:sz w:val="32"/>
          <w:szCs w:val="32"/>
        </w:rPr>
        <w:t>机关服务（项）</w:t>
      </w:r>
      <w:r>
        <w:rPr>
          <w:rStyle w:val="24"/>
          <w:rFonts w:ascii="仿宋" w:eastAsia="仿宋"/>
          <w:bCs/>
          <w:color w:val="000000"/>
          <w:sz w:val="32"/>
          <w:szCs w:val="32"/>
        </w:rPr>
        <w:t>:</w:t>
      </w:r>
      <w:r>
        <w:rPr>
          <w:rStyle w:val="24"/>
          <w:rFonts w:ascii="仿宋" w:eastAsia="仿宋"/>
          <w:b w:val="0"/>
          <w:bCs/>
          <w:color w:val="000000"/>
          <w:sz w:val="32"/>
          <w:szCs w:val="32"/>
        </w:rPr>
        <w:t xml:space="preserve"> </w:t>
      </w:r>
      <w:r>
        <w:rPr>
          <w:rStyle w:val="24"/>
          <w:rFonts w:hint="eastAsia" w:ascii="仿宋" w:eastAsia="仿宋"/>
          <w:b w:val="0"/>
          <w:bCs/>
          <w:color w:val="000000"/>
          <w:sz w:val="32"/>
          <w:szCs w:val="32"/>
        </w:rPr>
        <w:t>支出决算为256.81万元，完成预算</w:t>
      </w:r>
      <w:r>
        <w:rPr>
          <w:rStyle w:val="24"/>
          <w:rFonts w:hint="eastAsia" w:ascii="仿宋" w:eastAsia="仿宋"/>
          <w:b w:val="0"/>
          <w:bCs/>
          <w:color w:val="000000"/>
          <w:sz w:val="32"/>
          <w:szCs w:val="32"/>
          <w:lang w:val="en-US" w:eastAsia="zh-CN"/>
        </w:rPr>
        <w:t>100</w:t>
      </w:r>
      <w:r>
        <w:rPr>
          <w:rStyle w:val="24"/>
          <w:rFonts w:ascii="仿宋" w:eastAsia="仿宋"/>
          <w:b w:val="0"/>
          <w:bCs/>
          <w:color w:val="000000"/>
          <w:sz w:val="32"/>
          <w:szCs w:val="32"/>
        </w:rPr>
        <w:t>%</w:t>
      </w:r>
      <w:r>
        <w:rPr>
          <w:rStyle w:val="24"/>
          <w:rFonts w:hint="eastAsia" w:ascii="仿宋" w:eastAsia="仿宋"/>
          <w:b w:val="0"/>
          <w:bCs/>
          <w:color w:val="000000"/>
          <w:sz w:val="32"/>
          <w:szCs w:val="32"/>
        </w:rPr>
        <w:t>。</w:t>
      </w:r>
    </w:p>
    <w:p w14:paraId="1CC89ABE">
      <w:pPr>
        <w:pageBreakBefore w:val="0"/>
        <w:widowControl w:val="0"/>
        <w:kinsoku/>
        <w:wordWrap/>
        <w:overflowPunct/>
        <w:topLinePunct w:val="0"/>
        <w:bidi w:val="0"/>
        <w:spacing w:line="560" w:lineRule="exact"/>
        <w:ind w:firstLine="643" w:firstLineChars="200"/>
        <w:textAlignment w:val="auto"/>
        <w:rPr>
          <w:rStyle w:val="24"/>
          <w:rFonts w:hint="eastAsia" w:ascii="仿宋" w:eastAsia="仿宋"/>
          <w:b w:val="0"/>
          <w:bCs/>
          <w:color w:val="000000"/>
          <w:sz w:val="32"/>
          <w:szCs w:val="32"/>
        </w:rPr>
      </w:pPr>
      <w:r>
        <w:rPr>
          <w:rStyle w:val="24"/>
          <w:rFonts w:hint="eastAsia" w:ascii="仿宋" w:eastAsia="仿宋"/>
          <w:bCs/>
          <w:color w:val="000000"/>
          <w:sz w:val="32"/>
          <w:szCs w:val="32"/>
          <w:lang w:val="en-US" w:eastAsia="zh-CN"/>
        </w:rPr>
        <w:t>3</w:t>
      </w:r>
      <w:r>
        <w:rPr>
          <w:rStyle w:val="24"/>
          <w:rFonts w:ascii="仿宋" w:eastAsia="仿宋"/>
          <w:bCs/>
          <w:color w:val="000000"/>
          <w:sz w:val="32"/>
          <w:szCs w:val="32"/>
        </w:rPr>
        <w:t>.</w:t>
      </w:r>
      <w:r>
        <w:rPr>
          <w:rStyle w:val="24"/>
          <w:rFonts w:hint="eastAsia" w:ascii="仿宋" w:eastAsia="仿宋"/>
          <w:bCs/>
          <w:color w:val="000000"/>
          <w:sz w:val="32"/>
          <w:szCs w:val="32"/>
        </w:rPr>
        <w:t>文化旅游体育与传媒支出（类）文化和旅游（款）文化</w:t>
      </w:r>
      <w:r>
        <w:rPr>
          <w:rStyle w:val="24"/>
          <w:rFonts w:hint="eastAsia" w:ascii="仿宋" w:eastAsia="仿宋"/>
          <w:bCs/>
          <w:color w:val="000000"/>
          <w:sz w:val="32"/>
          <w:szCs w:val="32"/>
          <w:lang w:val="en-US" w:eastAsia="zh-CN"/>
        </w:rPr>
        <w:t>活动</w:t>
      </w:r>
      <w:r>
        <w:rPr>
          <w:rStyle w:val="24"/>
          <w:rFonts w:hint="eastAsia" w:ascii="仿宋" w:eastAsia="仿宋"/>
          <w:bCs/>
          <w:color w:val="000000"/>
          <w:sz w:val="32"/>
          <w:szCs w:val="32"/>
        </w:rPr>
        <w:t xml:space="preserve">（项）: </w:t>
      </w:r>
      <w:r>
        <w:rPr>
          <w:rStyle w:val="24"/>
          <w:rFonts w:hint="eastAsia" w:ascii="仿宋" w:eastAsia="仿宋"/>
          <w:b w:val="0"/>
          <w:bCs w:val="0"/>
          <w:color w:val="000000"/>
          <w:sz w:val="32"/>
          <w:szCs w:val="32"/>
        </w:rPr>
        <w:t>支出决算为17.28万元，完成预算</w:t>
      </w:r>
      <w:r>
        <w:rPr>
          <w:rStyle w:val="24"/>
          <w:rFonts w:hint="eastAsia" w:ascii="仿宋" w:eastAsia="仿宋"/>
          <w:b w:val="0"/>
          <w:bCs w:val="0"/>
          <w:color w:val="000000"/>
          <w:sz w:val="32"/>
          <w:szCs w:val="32"/>
          <w:lang w:val="en-US" w:eastAsia="zh-CN"/>
        </w:rPr>
        <w:t>100</w:t>
      </w:r>
      <w:r>
        <w:rPr>
          <w:rStyle w:val="24"/>
          <w:rFonts w:hint="eastAsia" w:ascii="仿宋" w:eastAsia="仿宋"/>
          <w:b w:val="0"/>
          <w:bCs w:val="0"/>
          <w:color w:val="000000"/>
          <w:sz w:val="32"/>
          <w:szCs w:val="32"/>
        </w:rPr>
        <w:t>%</w:t>
      </w:r>
      <w:r>
        <w:rPr>
          <w:rStyle w:val="24"/>
          <w:rFonts w:hint="eastAsia" w:ascii="仿宋" w:eastAsia="仿宋"/>
          <w:b w:val="0"/>
          <w:bCs/>
          <w:color w:val="000000"/>
          <w:sz w:val="32"/>
          <w:szCs w:val="32"/>
        </w:rPr>
        <w:t>。</w:t>
      </w:r>
    </w:p>
    <w:p w14:paraId="7F81CCB0">
      <w:pPr>
        <w:pageBreakBefore w:val="0"/>
        <w:widowControl w:val="0"/>
        <w:kinsoku/>
        <w:wordWrap/>
        <w:overflowPunct/>
        <w:topLinePunct w:val="0"/>
        <w:bidi w:val="0"/>
        <w:spacing w:line="560" w:lineRule="exact"/>
        <w:ind w:firstLine="643" w:firstLineChars="200"/>
        <w:textAlignment w:val="auto"/>
        <w:rPr>
          <w:rStyle w:val="24"/>
          <w:rFonts w:hint="eastAsia" w:ascii="仿宋" w:eastAsia="仿宋"/>
          <w:b w:val="0"/>
          <w:bCs/>
          <w:color w:val="000000"/>
          <w:sz w:val="32"/>
          <w:szCs w:val="32"/>
        </w:rPr>
      </w:pPr>
      <w:r>
        <w:rPr>
          <w:rStyle w:val="24"/>
          <w:rFonts w:hint="eastAsia" w:ascii="仿宋" w:eastAsia="仿宋"/>
          <w:bCs/>
          <w:color w:val="000000"/>
          <w:sz w:val="32"/>
          <w:szCs w:val="32"/>
          <w:lang w:val="en-US" w:eastAsia="zh-CN"/>
        </w:rPr>
        <w:t>4</w:t>
      </w:r>
      <w:r>
        <w:rPr>
          <w:rStyle w:val="24"/>
          <w:rFonts w:ascii="仿宋" w:eastAsia="仿宋"/>
          <w:bCs/>
          <w:color w:val="000000"/>
          <w:sz w:val="32"/>
          <w:szCs w:val="32"/>
        </w:rPr>
        <w:t>.</w:t>
      </w:r>
      <w:r>
        <w:rPr>
          <w:rStyle w:val="24"/>
          <w:rFonts w:hint="eastAsia" w:ascii="仿宋" w:eastAsia="仿宋"/>
          <w:bCs/>
          <w:color w:val="000000"/>
          <w:sz w:val="32"/>
          <w:szCs w:val="32"/>
        </w:rPr>
        <w:t>文化旅游体育与传媒支出（类）文化和旅游（款）</w:t>
      </w:r>
      <w:r>
        <w:rPr>
          <w:rStyle w:val="24"/>
          <w:rFonts w:hint="eastAsia" w:ascii="仿宋" w:eastAsia="仿宋"/>
          <w:bCs/>
          <w:color w:val="000000"/>
          <w:sz w:val="32"/>
          <w:szCs w:val="32"/>
          <w:lang w:val="en-US" w:eastAsia="zh-CN"/>
        </w:rPr>
        <w:t>文化创作与保护</w:t>
      </w:r>
      <w:r>
        <w:rPr>
          <w:rStyle w:val="24"/>
          <w:rFonts w:hint="eastAsia" w:ascii="仿宋" w:eastAsia="仿宋"/>
          <w:bCs/>
          <w:color w:val="000000"/>
          <w:sz w:val="32"/>
          <w:szCs w:val="32"/>
        </w:rPr>
        <w:t xml:space="preserve">（项）: </w:t>
      </w:r>
      <w:r>
        <w:rPr>
          <w:rStyle w:val="24"/>
          <w:rFonts w:hint="eastAsia" w:ascii="仿宋" w:eastAsia="仿宋"/>
          <w:b w:val="0"/>
          <w:bCs w:val="0"/>
          <w:color w:val="000000"/>
          <w:sz w:val="32"/>
          <w:szCs w:val="32"/>
        </w:rPr>
        <w:t>支出决算为29.67万元，完成预算</w:t>
      </w:r>
      <w:r>
        <w:rPr>
          <w:rStyle w:val="24"/>
          <w:rFonts w:hint="eastAsia" w:ascii="仿宋" w:eastAsia="仿宋"/>
          <w:b w:val="0"/>
          <w:bCs w:val="0"/>
          <w:color w:val="000000"/>
          <w:sz w:val="32"/>
          <w:szCs w:val="32"/>
          <w:lang w:val="en-US" w:eastAsia="zh-CN"/>
        </w:rPr>
        <w:t>100</w:t>
      </w:r>
      <w:r>
        <w:rPr>
          <w:rStyle w:val="24"/>
          <w:rFonts w:hint="eastAsia" w:ascii="仿宋" w:eastAsia="仿宋"/>
          <w:b w:val="0"/>
          <w:bCs w:val="0"/>
          <w:color w:val="000000"/>
          <w:sz w:val="32"/>
          <w:szCs w:val="32"/>
        </w:rPr>
        <w:t>%</w:t>
      </w:r>
      <w:r>
        <w:rPr>
          <w:rStyle w:val="24"/>
          <w:rFonts w:hint="eastAsia" w:ascii="仿宋" w:eastAsia="仿宋"/>
          <w:b w:val="0"/>
          <w:bCs/>
          <w:color w:val="000000"/>
          <w:sz w:val="32"/>
          <w:szCs w:val="32"/>
        </w:rPr>
        <w:t>。</w:t>
      </w:r>
    </w:p>
    <w:p w14:paraId="69A01672">
      <w:pPr>
        <w:pageBreakBefore w:val="0"/>
        <w:widowControl w:val="0"/>
        <w:kinsoku/>
        <w:wordWrap/>
        <w:overflowPunct/>
        <w:topLinePunct w:val="0"/>
        <w:bidi w:val="0"/>
        <w:spacing w:line="560" w:lineRule="exact"/>
        <w:ind w:firstLine="643" w:firstLineChars="200"/>
        <w:textAlignment w:val="auto"/>
      </w:pPr>
      <w:r>
        <w:rPr>
          <w:rStyle w:val="24"/>
          <w:rFonts w:hint="eastAsia" w:ascii="仿宋" w:eastAsia="仿宋"/>
          <w:bCs/>
          <w:color w:val="000000"/>
          <w:sz w:val="32"/>
          <w:szCs w:val="32"/>
          <w:lang w:val="en-US" w:eastAsia="zh-CN"/>
        </w:rPr>
        <w:t>5</w:t>
      </w:r>
      <w:r>
        <w:rPr>
          <w:rStyle w:val="24"/>
          <w:rFonts w:ascii="仿宋" w:eastAsia="仿宋"/>
          <w:bCs/>
          <w:color w:val="000000"/>
          <w:sz w:val="32"/>
          <w:szCs w:val="32"/>
        </w:rPr>
        <w:t>.</w:t>
      </w:r>
      <w:r>
        <w:rPr>
          <w:rStyle w:val="24"/>
          <w:rFonts w:hint="eastAsia" w:ascii="仿宋" w:eastAsia="仿宋"/>
          <w:bCs/>
          <w:color w:val="000000"/>
          <w:sz w:val="32"/>
          <w:szCs w:val="32"/>
        </w:rPr>
        <w:t>文化旅游体育与传媒支出（类）文化和旅游（款）</w:t>
      </w:r>
      <w:r>
        <w:rPr>
          <w:rStyle w:val="24"/>
          <w:rFonts w:hint="eastAsia" w:ascii="仿宋" w:eastAsia="仿宋"/>
          <w:bCs/>
          <w:color w:val="000000"/>
          <w:sz w:val="32"/>
          <w:szCs w:val="32"/>
          <w:lang w:val="en-US" w:eastAsia="zh-CN"/>
        </w:rPr>
        <w:t>文化和旅游管理事务</w:t>
      </w:r>
      <w:r>
        <w:rPr>
          <w:rStyle w:val="24"/>
          <w:rFonts w:hint="eastAsia" w:ascii="仿宋" w:eastAsia="仿宋"/>
          <w:bCs/>
          <w:color w:val="000000"/>
          <w:sz w:val="32"/>
          <w:szCs w:val="32"/>
        </w:rPr>
        <w:t xml:space="preserve">（项）: </w:t>
      </w:r>
      <w:r>
        <w:rPr>
          <w:rStyle w:val="24"/>
          <w:rFonts w:hint="eastAsia" w:ascii="仿宋" w:eastAsia="仿宋"/>
          <w:b w:val="0"/>
          <w:bCs w:val="0"/>
          <w:color w:val="000000"/>
          <w:sz w:val="32"/>
          <w:szCs w:val="32"/>
        </w:rPr>
        <w:t>支出决算为1.06万元，完成预算</w:t>
      </w:r>
      <w:r>
        <w:rPr>
          <w:rStyle w:val="24"/>
          <w:rFonts w:hint="eastAsia" w:ascii="仿宋" w:eastAsia="仿宋"/>
          <w:b w:val="0"/>
          <w:bCs w:val="0"/>
          <w:color w:val="000000"/>
          <w:sz w:val="32"/>
          <w:szCs w:val="32"/>
          <w:lang w:val="en-US" w:eastAsia="zh-CN"/>
        </w:rPr>
        <w:t>100</w:t>
      </w:r>
      <w:r>
        <w:rPr>
          <w:rStyle w:val="24"/>
          <w:rFonts w:hint="eastAsia" w:ascii="仿宋" w:eastAsia="仿宋"/>
          <w:b w:val="0"/>
          <w:bCs w:val="0"/>
          <w:color w:val="000000"/>
          <w:sz w:val="32"/>
          <w:szCs w:val="32"/>
        </w:rPr>
        <w:t>%</w:t>
      </w:r>
      <w:r>
        <w:rPr>
          <w:rStyle w:val="24"/>
          <w:rFonts w:hint="eastAsia" w:ascii="仿宋" w:eastAsia="仿宋"/>
          <w:b w:val="0"/>
          <w:bCs/>
          <w:color w:val="000000"/>
          <w:sz w:val="32"/>
          <w:szCs w:val="32"/>
        </w:rPr>
        <w:t>。</w:t>
      </w:r>
    </w:p>
    <w:p w14:paraId="1A65A953">
      <w:pPr>
        <w:pageBreakBefore w:val="0"/>
        <w:widowControl w:val="0"/>
        <w:kinsoku/>
        <w:wordWrap/>
        <w:overflowPunct/>
        <w:topLinePunct w:val="0"/>
        <w:bidi w:val="0"/>
        <w:spacing w:line="560" w:lineRule="exact"/>
        <w:ind w:firstLine="643" w:firstLineChars="200"/>
        <w:textAlignment w:val="auto"/>
        <w:rPr>
          <w:rFonts w:ascii="仿宋" w:eastAsia="仿宋"/>
          <w:b/>
          <w:color w:val="000000"/>
          <w:sz w:val="32"/>
          <w:szCs w:val="32"/>
        </w:rPr>
      </w:pPr>
      <w:r>
        <w:rPr>
          <w:rStyle w:val="24"/>
          <w:rFonts w:hint="eastAsia" w:ascii="仿宋" w:eastAsia="仿宋"/>
          <w:bCs/>
          <w:color w:val="000000"/>
          <w:sz w:val="32"/>
          <w:szCs w:val="32"/>
          <w:lang w:val="en-US" w:eastAsia="zh-CN"/>
        </w:rPr>
        <w:t>6</w:t>
      </w:r>
      <w:r>
        <w:rPr>
          <w:rStyle w:val="24"/>
          <w:rFonts w:ascii="仿宋" w:eastAsia="仿宋"/>
          <w:bCs/>
          <w:color w:val="000000"/>
          <w:sz w:val="32"/>
          <w:szCs w:val="32"/>
        </w:rPr>
        <w:t>.</w:t>
      </w:r>
      <w:r>
        <w:rPr>
          <w:rStyle w:val="24"/>
          <w:rFonts w:hint="eastAsia" w:ascii="仿宋" w:eastAsia="仿宋"/>
          <w:bCs/>
          <w:color w:val="000000"/>
          <w:sz w:val="32"/>
          <w:szCs w:val="32"/>
        </w:rPr>
        <w:t xml:space="preserve">文化旅游体育与传媒支出（类）文化和旅游（款）其他文化和旅游支出（项）: </w:t>
      </w:r>
      <w:r>
        <w:rPr>
          <w:rStyle w:val="24"/>
          <w:rFonts w:hint="eastAsia" w:ascii="仿宋" w:eastAsia="仿宋"/>
          <w:b w:val="0"/>
          <w:bCs w:val="0"/>
          <w:color w:val="000000"/>
          <w:sz w:val="32"/>
          <w:szCs w:val="32"/>
        </w:rPr>
        <w:t>支出决算为91.56万元，完成预算</w:t>
      </w:r>
      <w:r>
        <w:rPr>
          <w:rStyle w:val="24"/>
          <w:rFonts w:hint="eastAsia" w:ascii="仿宋" w:eastAsia="仿宋"/>
          <w:b w:val="0"/>
          <w:bCs w:val="0"/>
          <w:color w:val="000000"/>
          <w:sz w:val="32"/>
          <w:szCs w:val="32"/>
          <w:lang w:val="en-US" w:eastAsia="zh-CN"/>
        </w:rPr>
        <w:t>100</w:t>
      </w:r>
      <w:r>
        <w:rPr>
          <w:rStyle w:val="24"/>
          <w:rFonts w:hint="eastAsia" w:ascii="仿宋" w:eastAsia="仿宋"/>
          <w:b w:val="0"/>
          <w:bCs w:val="0"/>
          <w:color w:val="000000"/>
          <w:sz w:val="32"/>
          <w:szCs w:val="32"/>
        </w:rPr>
        <w:t>%</w:t>
      </w:r>
      <w:r>
        <w:rPr>
          <w:rStyle w:val="24"/>
          <w:rFonts w:hint="eastAsia" w:ascii="仿宋" w:eastAsia="仿宋"/>
          <w:b w:val="0"/>
          <w:bCs/>
          <w:color w:val="000000"/>
          <w:sz w:val="32"/>
          <w:szCs w:val="32"/>
        </w:rPr>
        <w:t>。</w:t>
      </w:r>
    </w:p>
    <w:p w14:paraId="23BA48F9">
      <w:pPr>
        <w:pageBreakBefore w:val="0"/>
        <w:widowControl w:val="0"/>
        <w:kinsoku/>
        <w:wordWrap/>
        <w:overflowPunct/>
        <w:topLinePunct w:val="0"/>
        <w:bidi w:val="0"/>
        <w:spacing w:line="560" w:lineRule="exact"/>
        <w:ind w:firstLine="643" w:firstLineChars="200"/>
        <w:textAlignment w:val="auto"/>
        <w:rPr>
          <w:rFonts w:ascii="仿宋" w:eastAsia="仿宋"/>
          <w:b/>
          <w:color w:val="000000"/>
          <w:sz w:val="32"/>
          <w:szCs w:val="32"/>
        </w:rPr>
      </w:pPr>
      <w:r>
        <w:rPr>
          <w:rStyle w:val="24"/>
          <w:rFonts w:hint="eastAsia" w:ascii="仿宋" w:eastAsia="仿宋"/>
          <w:bCs/>
          <w:color w:val="000000"/>
          <w:sz w:val="32"/>
          <w:szCs w:val="32"/>
          <w:lang w:val="en-US" w:eastAsia="zh-CN"/>
        </w:rPr>
        <w:t>7</w:t>
      </w:r>
      <w:r>
        <w:rPr>
          <w:rStyle w:val="24"/>
          <w:rFonts w:ascii="仿宋" w:eastAsia="仿宋"/>
          <w:bCs/>
          <w:color w:val="000000"/>
          <w:sz w:val="32"/>
          <w:szCs w:val="32"/>
        </w:rPr>
        <w:t>.</w:t>
      </w:r>
      <w:r>
        <w:rPr>
          <w:rStyle w:val="24"/>
          <w:rFonts w:hint="eastAsia" w:ascii="仿宋" w:eastAsia="仿宋"/>
          <w:bCs/>
          <w:color w:val="000000"/>
          <w:sz w:val="32"/>
          <w:szCs w:val="32"/>
        </w:rPr>
        <w:t>社会保障和就业支出（类）行政事业单位养老支出（款）机关事业单位基本养老保险缴费支出（项）</w:t>
      </w:r>
      <w:r>
        <w:rPr>
          <w:rStyle w:val="24"/>
          <w:rFonts w:ascii="仿宋" w:eastAsia="仿宋"/>
          <w:bCs/>
          <w:color w:val="000000"/>
          <w:sz w:val="32"/>
          <w:szCs w:val="32"/>
        </w:rPr>
        <w:t>:</w:t>
      </w:r>
      <w:r>
        <w:rPr>
          <w:rStyle w:val="24"/>
          <w:rFonts w:ascii="仿宋" w:eastAsia="仿宋"/>
          <w:b w:val="0"/>
          <w:bCs/>
          <w:color w:val="000000"/>
          <w:sz w:val="32"/>
          <w:szCs w:val="32"/>
        </w:rPr>
        <w:t xml:space="preserve"> </w:t>
      </w:r>
      <w:r>
        <w:rPr>
          <w:rStyle w:val="24"/>
          <w:rFonts w:hint="eastAsia" w:ascii="仿宋" w:eastAsia="仿宋"/>
          <w:b w:val="0"/>
          <w:bCs/>
          <w:color w:val="000000"/>
          <w:sz w:val="32"/>
          <w:szCs w:val="32"/>
        </w:rPr>
        <w:t>支出决算为27.21万元，完成预算</w:t>
      </w:r>
      <w:r>
        <w:rPr>
          <w:rStyle w:val="24"/>
          <w:rFonts w:hint="eastAsia" w:ascii="仿宋" w:eastAsia="仿宋"/>
          <w:b w:val="0"/>
          <w:bCs/>
          <w:color w:val="000000"/>
          <w:sz w:val="32"/>
          <w:szCs w:val="32"/>
          <w:lang w:val="en-US" w:eastAsia="zh-CN"/>
        </w:rPr>
        <w:t>100</w:t>
      </w:r>
      <w:r>
        <w:rPr>
          <w:rStyle w:val="24"/>
          <w:rFonts w:ascii="仿宋" w:eastAsia="仿宋"/>
          <w:b w:val="0"/>
          <w:bCs/>
          <w:color w:val="000000"/>
          <w:sz w:val="32"/>
          <w:szCs w:val="32"/>
        </w:rPr>
        <w:t>%</w:t>
      </w:r>
      <w:r>
        <w:rPr>
          <w:rStyle w:val="24"/>
          <w:rFonts w:hint="eastAsia" w:ascii="仿宋" w:eastAsia="仿宋"/>
          <w:b w:val="0"/>
          <w:bCs/>
          <w:color w:val="000000"/>
          <w:sz w:val="32"/>
          <w:szCs w:val="32"/>
        </w:rPr>
        <w:t>。</w:t>
      </w:r>
    </w:p>
    <w:p w14:paraId="25F61E67">
      <w:pPr>
        <w:spacing w:line="560" w:lineRule="exact"/>
        <w:ind w:firstLine="643" w:firstLineChars="200"/>
        <w:rPr>
          <w:rStyle w:val="24"/>
          <w:rFonts w:hint="eastAsia" w:ascii="仿宋" w:eastAsia="仿宋"/>
          <w:b w:val="0"/>
          <w:bCs/>
          <w:color w:val="000000"/>
          <w:sz w:val="32"/>
          <w:szCs w:val="32"/>
        </w:rPr>
      </w:pPr>
      <w:r>
        <w:rPr>
          <w:rStyle w:val="24"/>
          <w:rFonts w:hint="eastAsia" w:ascii="仿宋" w:eastAsia="仿宋"/>
          <w:bCs/>
          <w:color w:val="000000"/>
          <w:sz w:val="32"/>
          <w:szCs w:val="32"/>
          <w:lang w:val="en-US" w:eastAsia="zh-CN"/>
        </w:rPr>
        <w:t>8</w:t>
      </w:r>
      <w:r>
        <w:rPr>
          <w:rStyle w:val="24"/>
          <w:rFonts w:ascii="仿宋" w:eastAsia="仿宋"/>
          <w:bCs/>
          <w:color w:val="000000"/>
          <w:sz w:val="32"/>
          <w:szCs w:val="32"/>
        </w:rPr>
        <w:t>.</w:t>
      </w:r>
      <w:r>
        <w:rPr>
          <w:rFonts w:hint="eastAsia" w:ascii="仿宋" w:eastAsia="仿宋"/>
          <w:b/>
          <w:bCs/>
          <w:color w:val="000000"/>
          <w:sz w:val="32"/>
          <w:szCs w:val="32"/>
        </w:rPr>
        <w:t>社会保障和就业支出（类）行政事业单位养老支出（款）机关事业单位职业年金缴费支出（项）</w:t>
      </w:r>
      <w:r>
        <w:rPr>
          <w:rStyle w:val="24"/>
          <w:rFonts w:ascii="仿宋" w:eastAsia="仿宋"/>
          <w:bCs/>
          <w:color w:val="000000"/>
          <w:sz w:val="32"/>
          <w:szCs w:val="32"/>
        </w:rPr>
        <w:t>:</w:t>
      </w:r>
      <w:r>
        <w:rPr>
          <w:rStyle w:val="24"/>
          <w:rFonts w:hint="eastAsia" w:ascii="仿宋" w:eastAsia="仿宋"/>
          <w:b w:val="0"/>
          <w:bCs/>
          <w:color w:val="000000"/>
          <w:sz w:val="32"/>
          <w:szCs w:val="32"/>
        </w:rPr>
        <w:t>支出决算为13.61万元，完成预算</w:t>
      </w:r>
      <w:r>
        <w:rPr>
          <w:rStyle w:val="24"/>
          <w:rFonts w:hint="eastAsia" w:ascii="仿宋" w:eastAsia="仿宋"/>
          <w:b w:val="0"/>
          <w:bCs/>
          <w:color w:val="000000"/>
          <w:sz w:val="32"/>
          <w:szCs w:val="32"/>
          <w:lang w:val="en-US" w:eastAsia="zh-CN"/>
        </w:rPr>
        <w:t>100</w:t>
      </w:r>
      <w:r>
        <w:rPr>
          <w:rStyle w:val="24"/>
          <w:rFonts w:ascii="仿宋" w:eastAsia="仿宋"/>
          <w:b w:val="0"/>
          <w:bCs/>
          <w:color w:val="000000"/>
          <w:sz w:val="32"/>
          <w:szCs w:val="32"/>
        </w:rPr>
        <w:t>%</w:t>
      </w:r>
      <w:r>
        <w:rPr>
          <w:rStyle w:val="24"/>
          <w:rFonts w:hint="eastAsia" w:ascii="仿宋" w:eastAsia="仿宋"/>
          <w:b w:val="0"/>
          <w:bCs/>
          <w:color w:val="000000"/>
          <w:sz w:val="32"/>
          <w:szCs w:val="32"/>
        </w:rPr>
        <w:t>。</w:t>
      </w:r>
    </w:p>
    <w:p w14:paraId="08321604">
      <w:pPr>
        <w:spacing w:line="560" w:lineRule="exact"/>
        <w:ind w:firstLine="643" w:firstLineChars="200"/>
        <w:rPr>
          <w:rFonts w:hint="eastAsia" w:ascii="仿宋" w:eastAsia="仿宋"/>
          <w:b/>
          <w:color w:val="000000"/>
          <w:sz w:val="32"/>
          <w:szCs w:val="32"/>
        </w:rPr>
      </w:pPr>
      <w:r>
        <w:rPr>
          <w:rStyle w:val="24"/>
          <w:rFonts w:hint="eastAsia" w:ascii="仿宋" w:eastAsia="仿宋"/>
          <w:color w:val="000000"/>
          <w:sz w:val="32"/>
          <w:szCs w:val="32"/>
          <w:lang w:val="en-US" w:eastAsia="zh-CN"/>
        </w:rPr>
        <w:t>9</w:t>
      </w:r>
      <w:r>
        <w:rPr>
          <w:rStyle w:val="24"/>
          <w:rFonts w:hint="eastAsia" w:ascii="仿宋" w:eastAsia="仿宋"/>
          <w:color w:val="000000"/>
          <w:sz w:val="32"/>
          <w:szCs w:val="32"/>
        </w:rPr>
        <w:t>.卫生健康支出（类）行政事业单位医疗（款）事业单位医疗（项）:</w:t>
      </w:r>
      <w:r>
        <w:rPr>
          <w:rStyle w:val="24"/>
          <w:rFonts w:hint="eastAsia" w:ascii="仿宋" w:eastAsia="仿宋"/>
          <w:b w:val="0"/>
          <w:color w:val="000000"/>
          <w:sz w:val="32"/>
          <w:szCs w:val="32"/>
        </w:rPr>
        <w:t xml:space="preserve"> 支出决算为15.02万元，完成预算100%。</w:t>
      </w:r>
    </w:p>
    <w:p w14:paraId="7E51DB58">
      <w:pPr>
        <w:spacing w:line="560" w:lineRule="exact"/>
        <w:ind w:firstLine="643" w:firstLineChars="200"/>
        <w:rPr>
          <w:rFonts w:hint="eastAsia" w:ascii="仿宋" w:eastAsia="仿宋"/>
          <w:b/>
          <w:color w:val="000000"/>
          <w:sz w:val="32"/>
          <w:szCs w:val="32"/>
        </w:rPr>
      </w:pPr>
      <w:r>
        <w:rPr>
          <w:rStyle w:val="24"/>
          <w:rFonts w:hint="eastAsia" w:ascii="仿宋" w:eastAsia="仿宋"/>
          <w:color w:val="000000"/>
          <w:sz w:val="32"/>
          <w:szCs w:val="32"/>
          <w:lang w:val="en-US" w:eastAsia="zh-CN"/>
        </w:rPr>
        <w:t>10</w:t>
      </w:r>
      <w:r>
        <w:rPr>
          <w:rStyle w:val="24"/>
          <w:rFonts w:hint="eastAsia" w:ascii="仿宋" w:eastAsia="仿宋"/>
          <w:color w:val="000000"/>
          <w:sz w:val="32"/>
          <w:szCs w:val="32"/>
        </w:rPr>
        <w:t xml:space="preserve">.卫生健康支出（类）行政事业单位医疗（款）其他行政事业单位医疗支出（项）: </w:t>
      </w:r>
      <w:r>
        <w:rPr>
          <w:rStyle w:val="24"/>
          <w:rFonts w:hint="eastAsia" w:ascii="仿宋" w:eastAsia="仿宋"/>
          <w:b w:val="0"/>
          <w:color w:val="000000"/>
          <w:sz w:val="32"/>
          <w:szCs w:val="32"/>
        </w:rPr>
        <w:t>支出决算为3.07万元，完成预算100%。</w:t>
      </w:r>
    </w:p>
    <w:p w14:paraId="1E60BA4D">
      <w:pPr>
        <w:spacing w:line="560" w:lineRule="exact"/>
        <w:ind w:firstLine="643" w:firstLineChars="200"/>
        <w:rPr>
          <w:rFonts w:hint="eastAsia" w:ascii="仿宋" w:eastAsia="仿宋"/>
          <w:b/>
          <w:color w:val="000000"/>
          <w:sz w:val="32"/>
          <w:szCs w:val="32"/>
        </w:rPr>
      </w:pPr>
      <w:r>
        <w:rPr>
          <w:rStyle w:val="24"/>
          <w:rFonts w:hint="eastAsia" w:ascii="仿宋" w:eastAsia="仿宋"/>
          <w:color w:val="000000"/>
          <w:sz w:val="32"/>
          <w:szCs w:val="32"/>
          <w:lang w:val="en-US" w:eastAsia="zh-CN"/>
        </w:rPr>
        <w:t>11</w:t>
      </w:r>
      <w:r>
        <w:rPr>
          <w:rStyle w:val="24"/>
          <w:rFonts w:hint="eastAsia" w:ascii="仿宋" w:eastAsia="仿宋"/>
          <w:color w:val="000000"/>
          <w:sz w:val="32"/>
          <w:szCs w:val="32"/>
        </w:rPr>
        <w:t xml:space="preserve">.农林水支出（类）巩固脱贫衔接乡村振兴（款）农村基础设施建设（项）: </w:t>
      </w:r>
      <w:r>
        <w:rPr>
          <w:rStyle w:val="24"/>
          <w:rFonts w:hint="eastAsia" w:ascii="仿宋" w:eastAsia="仿宋"/>
          <w:b w:val="0"/>
          <w:color w:val="000000"/>
          <w:sz w:val="32"/>
          <w:szCs w:val="32"/>
        </w:rPr>
        <w:t>支出决算为1,323.92万元，完成预算100%。</w:t>
      </w:r>
    </w:p>
    <w:p w14:paraId="5EE3260B">
      <w:pPr>
        <w:spacing w:line="560" w:lineRule="exact"/>
        <w:ind w:firstLine="643" w:firstLineChars="200"/>
        <w:rPr>
          <w:rFonts w:hint="eastAsia" w:ascii="仿宋" w:eastAsia="仿宋"/>
          <w:b/>
          <w:color w:val="000000"/>
          <w:sz w:val="32"/>
          <w:szCs w:val="32"/>
        </w:rPr>
      </w:pPr>
      <w:r>
        <w:rPr>
          <w:rStyle w:val="24"/>
          <w:rFonts w:hint="eastAsia" w:ascii="仿宋" w:eastAsia="仿宋"/>
          <w:color w:val="000000"/>
          <w:sz w:val="32"/>
          <w:szCs w:val="32"/>
          <w:lang w:val="en-US" w:eastAsia="zh-CN"/>
        </w:rPr>
        <w:t>12</w:t>
      </w:r>
      <w:r>
        <w:rPr>
          <w:rStyle w:val="24"/>
          <w:rFonts w:hint="eastAsia" w:ascii="仿宋" w:eastAsia="仿宋"/>
          <w:color w:val="000000"/>
          <w:sz w:val="32"/>
          <w:szCs w:val="32"/>
        </w:rPr>
        <w:t xml:space="preserve">.农林水支出（类）巩固脱贫衔接乡村振兴（款）生产发展（项）: </w:t>
      </w:r>
      <w:r>
        <w:rPr>
          <w:rStyle w:val="24"/>
          <w:rFonts w:hint="eastAsia" w:ascii="仿宋" w:eastAsia="仿宋"/>
          <w:b w:val="0"/>
          <w:color w:val="000000"/>
          <w:sz w:val="32"/>
          <w:szCs w:val="32"/>
        </w:rPr>
        <w:t>支出决算为0.22万元，完成预算100%。</w:t>
      </w:r>
    </w:p>
    <w:p w14:paraId="53A5663D">
      <w:pPr>
        <w:spacing w:line="560" w:lineRule="exact"/>
        <w:ind w:firstLine="643" w:firstLineChars="200"/>
        <w:rPr>
          <w:rFonts w:hint="eastAsia" w:ascii="仿宋" w:eastAsia="仿宋"/>
          <w:b/>
          <w:color w:val="000000"/>
          <w:sz w:val="32"/>
          <w:szCs w:val="32"/>
        </w:rPr>
      </w:pPr>
      <w:r>
        <w:rPr>
          <w:rStyle w:val="24"/>
          <w:rFonts w:hint="eastAsia" w:ascii="仿宋" w:eastAsia="仿宋"/>
          <w:color w:val="000000"/>
          <w:sz w:val="32"/>
          <w:szCs w:val="32"/>
          <w:lang w:val="en-US" w:eastAsia="zh-CN"/>
        </w:rPr>
        <w:t>13</w:t>
      </w:r>
      <w:r>
        <w:rPr>
          <w:rStyle w:val="24"/>
          <w:rFonts w:hint="eastAsia" w:ascii="仿宋" w:eastAsia="仿宋"/>
          <w:color w:val="000000"/>
          <w:sz w:val="32"/>
          <w:szCs w:val="32"/>
        </w:rPr>
        <w:t>.农林水支出（类）巩固脱贫衔接乡村振兴（款）其他巩固脱贫衔接乡村振兴支出（项）:</w:t>
      </w:r>
      <w:r>
        <w:rPr>
          <w:rStyle w:val="24"/>
          <w:rFonts w:hint="eastAsia" w:ascii="仿宋" w:eastAsia="仿宋"/>
          <w:b w:val="0"/>
          <w:color w:val="000000"/>
          <w:sz w:val="32"/>
          <w:szCs w:val="32"/>
        </w:rPr>
        <w:t xml:space="preserve"> 支出决算为10.05万元，完成预算100%。</w:t>
      </w:r>
    </w:p>
    <w:p w14:paraId="095C6B0E">
      <w:pPr>
        <w:pageBreakBefore w:val="0"/>
        <w:widowControl w:val="0"/>
        <w:kinsoku/>
        <w:wordWrap/>
        <w:overflowPunct/>
        <w:topLinePunct w:val="0"/>
        <w:bidi w:val="0"/>
        <w:spacing w:line="560" w:lineRule="exact"/>
        <w:ind w:firstLine="643" w:firstLineChars="200"/>
        <w:textAlignment w:val="auto"/>
        <w:rPr>
          <w:rFonts w:ascii="仿宋" w:eastAsia="仿宋"/>
          <w:b/>
          <w:color w:val="FF0000"/>
          <w:sz w:val="32"/>
          <w:szCs w:val="32"/>
        </w:rPr>
      </w:pPr>
      <w:r>
        <w:rPr>
          <w:rFonts w:hint="eastAsia" w:ascii="仿宋" w:eastAsia="仿宋" w:cs="仿宋"/>
          <w:b/>
          <w:bCs w:val="0"/>
          <w:color w:val="000000"/>
          <w:kern w:val="2"/>
          <w:sz w:val="32"/>
          <w:szCs w:val="32"/>
          <w:lang w:val="en-US" w:eastAsia="zh-CN"/>
        </w:rPr>
        <w:t>14.住房保障支出（类）住房改革支出（款）住房公积金（项）:</w:t>
      </w:r>
      <w:r>
        <w:rPr>
          <w:rFonts w:hint="eastAsia" w:ascii="仿宋" w:eastAsia="仿宋" w:cs="仿宋"/>
          <w:b w:val="0"/>
          <w:color w:val="000000"/>
          <w:kern w:val="2"/>
          <w:sz w:val="32"/>
          <w:szCs w:val="32"/>
          <w:lang w:val="en-US" w:eastAsia="zh-CN"/>
        </w:rPr>
        <w:t>支出决算为23.40万元，完成预算100%。</w:t>
      </w:r>
    </w:p>
    <w:p w14:paraId="3A7432EB">
      <w:pPr>
        <w:pageBreakBefore w:val="0"/>
        <w:widowControl w:val="0"/>
        <w:kinsoku/>
        <w:wordWrap/>
        <w:overflowPunct/>
        <w:topLinePunct w:val="0"/>
        <w:bidi w:val="0"/>
        <w:spacing w:line="560" w:lineRule="exact"/>
        <w:ind w:firstLine="640"/>
        <w:textAlignment w:val="auto"/>
        <w:rPr>
          <w:rFonts w:ascii="仿宋" w:eastAsia="仿宋"/>
          <w:b/>
          <w:color w:val="000000"/>
          <w:sz w:val="32"/>
          <w:szCs w:val="32"/>
        </w:rPr>
      </w:pPr>
    </w:p>
    <w:p w14:paraId="2EA0E421">
      <w:pPr>
        <w:pageBreakBefore w:val="0"/>
        <w:widowControl w:val="0"/>
        <w:tabs>
          <w:tab w:val="right" w:pos="8306"/>
        </w:tabs>
        <w:kinsoku/>
        <w:wordWrap/>
        <w:overflowPunct/>
        <w:topLinePunct w:val="0"/>
        <w:bidi w:val="0"/>
        <w:spacing w:line="560" w:lineRule="exact"/>
        <w:ind w:firstLine="640"/>
        <w:textAlignment w:val="auto"/>
        <w:outlineLvl w:val="1"/>
        <w:rPr>
          <w:rStyle w:val="28"/>
        </w:rPr>
      </w:pPr>
      <w:bookmarkStart w:id="58" w:name="_Toc15377214"/>
      <w:bookmarkStart w:id="59" w:name="_Toc79163618"/>
      <w:bookmarkStart w:id="60" w:name="_Toc31380"/>
      <w:bookmarkStart w:id="61" w:name="_Toc15396608"/>
      <w:r>
        <w:rPr>
          <w:rFonts w:hint="eastAsia" w:ascii="黑体" w:eastAsia="黑体"/>
          <w:color w:val="000000"/>
          <w:sz w:val="32"/>
          <w:szCs w:val="32"/>
        </w:rPr>
        <w:t>六</w:t>
      </w:r>
      <w:r>
        <w:rPr>
          <w:rFonts w:hint="eastAsia" w:ascii="黑体" w:eastAsia="黑体"/>
          <w:b/>
          <w:color w:val="000000"/>
          <w:sz w:val="32"/>
          <w:szCs w:val="32"/>
        </w:rPr>
        <w:t>、一</w:t>
      </w:r>
      <w:r>
        <w:rPr>
          <w:rStyle w:val="28"/>
          <w:rFonts w:hint="eastAsia" w:ascii="黑体" w:eastAsia="黑体"/>
          <w:b w:val="0"/>
        </w:rPr>
        <w:t>般公共预算财政拨款基本支出决算情况说明</w:t>
      </w:r>
      <w:bookmarkEnd w:id="58"/>
      <w:bookmarkEnd w:id="59"/>
      <w:bookmarkEnd w:id="60"/>
      <w:bookmarkEnd w:id="61"/>
      <w:r>
        <w:rPr>
          <w:rStyle w:val="28"/>
          <w:rFonts w:ascii="黑体" w:eastAsia="黑体"/>
          <w:b w:val="0"/>
        </w:rPr>
        <w:tab/>
      </w:r>
    </w:p>
    <w:p w14:paraId="4C70E633">
      <w:pPr>
        <w:pageBreakBefore w:val="0"/>
        <w:widowControl w:val="0"/>
        <w:kinsoku/>
        <w:wordWrap/>
        <w:overflowPunct/>
        <w:topLinePunct w:val="0"/>
        <w:bidi w:val="0"/>
        <w:spacing w:line="560" w:lineRule="exact"/>
        <w:ind w:firstLine="645"/>
        <w:textAlignment w:val="auto"/>
        <w:rPr>
          <w:rFonts w:ascii="仿宋" w:eastAsia="仿宋"/>
          <w:color w:val="000000"/>
          <w:sz w:val="32"/>
          <w:szCs w:val="32"/>
        </w:rPr>
      </w:pPr>
      <w:r>
        <w:rPr>
          <w:rFonts w:hint="eastAsia" w:ascii="仿宋" w:eastAsia="仿宋"/>
          <w:color w:val="000000"/>
          <w:sz w:val="32"/>
          <w:szCs w:val="32"/>
          <w:lang w:eastAsia="zh-CN"/>
        </w:rPr>
        <w:t>2023年</w:t>
      </w:r>
      <w:r>
        <w:rPr>
          <w:rFonts w:hint="eastAsia" w:ascii="仿宋" w:eastAsia="仿宋"/>
          <w:color w:val="000000"/>
          <w:sz w:val="32"/>
          <w:szCs w:val="32"/>
        </w:rPr>
        <w:t>一般公共预算财政拨款基本支出339.11万元，其中：</w:t>
      </w:r>
    </w:p>
    <w:p w14:paraId="65F4E53C">
      <w:pPr>
        <w:pageBreakBefore w:val="0"/>
        <w:widowControl w:val="0"/>
        <w:kinsoku/>
        <w:wordWrap/>
        <w:overflowPunct/>
        <w:topLinePunct w:val="0"/>
        <w:bidi w:val="0"/>
        <w:spacing w:line="560" w:lineRule="exact"/>
        <w:ind w:firstLine="645"/>
        <w:textAlignment w:val="auto"/>
        <w:rPr>
          <w:rFonts w:hint="eastAsia" w:ascii="仿宋" w:eastAsia="仿宋"/>
          <w:color w:val="000000"/>
          <w:sz w:val="32"/>
          <w:szCs w:val="32"/>
          <w:lang w:eastAsia="zh-CN"/>
        </w:rPr>
      </w:pPr>
      <w:r>
        <w:rPr>
          <w:rFonts w:hint="eastAsia" w:ascii="仿宋" w:eastAsia="仿宋"/>
          <w:color w:val="000000"/>
          <w:sz w:val="32"/>
          <w:szCs w:val="32"/>
        </w:rPr>
        <w:t>人员经费321.98万元，主要包括：基本工资、津贴补贴</w:t>
      </w:r>
      <w:r>
        <w:rPr>
          <w:rFonts w:hint="eastAsia" w:ascii="仿宋" w:eastAsia="仿宋"/>
          <w:color w:val="000000"/>
          <w:sz w:val="32"/>
          <w:szCs w:val="32"/>
          <w:lang w:eastAsia="zh-CN"/>
        </w:rPr>
        <w:t>、奖金、</w:t>
      </w:r>
      <w:r>
        <w:rPr>
          <w:rFonts w:hint="eastAsia" w:ascii="仿宋" w:eastAsia="仿宋"/>
          <w:color w:val="000000"/>
          <w:sz w:val="32"/>
          <w:szCs w:val="32"/>
          <w:lang w:val="en-US" w:eastAsia="zh-CN"/>
        </w:rPr>
        <w:t>绩效工资、</w:t>
      </w:r>
      <w:r>
        <w:rPr>
          <w:rFonts w:hint="eastAsia" w:ascii="仿宋" w:eastAsia="仿宋"/>
          <w:color w:val="000000"/>
          <w:sz w:val="32"/>
          <w:szCs w:val="32"/>
          <w:lang w:eastAsia="zh-CN"/>
        </w:rPr>
        <w:t>机关事业单位基本养老保险费、职业年金缴费、职工基本医疗保险缴费、其他社会保障缴费、住房公积金、医疗费补助</w:t>
      </w:r>
      <w:r>
        <w:rPr>
          <w:rFonts w:hint="eastAsia" w:ascii="仿宋" w:eastAsia="仿宋"/>
          <w:color w:val="000000"/>
          <w:sz w:val="32"/>
          <w:szCs w:val="32"/>
        </w:rPr>
        <w:t>。</w:t>
      </w:r>
    </w:p>
    <w:p w14:paraId="4C24C54D">
      <w:pPr>
        <w:pageBreakBefore w:val="0"/>
        <w:widowControl w:val="0"/>
        <w:kinsoku/>
        <w:wordWrap/>
        <w:overflowPunct/>
        <w:topLinePunct w:val="0"/>
        <w:bidi w:val="0"/>
        <w:spacing w:line="560" w:lineRule="exact"/>
        <w:ind w:firstLine="645"/>
        <w:textAlignment w:val="auto"/>
        <w:rPr>
          <w:rFonts w:ascii="仿宋" w:eastAsia="仿宋"/>
          <w:b/>
          <w:color w:val="FF0000"/>
          <w:sz w:val="32"/>
          <w:szCs w:val="32"/>
        </w:rPr>
      </w:pPr>
      <w:r>
        <w:rPr>
          <w:rFonts w:hint="eastAsia" w:ascii="仿宋" w:eastAsia="仿宋"/>
          <w:color w:val="000000"/>
          <w:sz w:val="32"/>
          <w:szCs w:val="32"/>
        </w:rPr>
        <w:t>日常公用经费17.14万元，主要包括：办公费、</w:t>
      </w:r>
      <w:r>
        <w:rPr>
          <w:rFonts w:hint="eastAsia" w:ascii="仿宋" w:eastAsia="仿宋"/>
          <w:color w:val="000000"/>
          <w:sz w:val="32"/>
          <w:szCs w:val="32"/>
          <w:lang w:eastAsia="zh-CN"/>
        </w:rPr>
        <w:t>印刷</w:t>
      </w:r>
      <w:r>
        <w:rPr>
          <w:rFonts w:hint="eastAsia" w:ascii="仿宋" w:eastAsia="仿宋"/>
          <w:color w:val="000000"/>
          <w:sz w:val="32"/>
          <w:szCs w:val="32"/>
        </w:rPr>
        <w:t>费</w:t>
      </w:r>
      <w:r>
        <w:rPr>
          <w:rFonts w:hint="eastAsia" w:ascii="仿宋" w:eastAsia="仿宋"/>
          <w:color w:val="000000"/>
          <w:sz w:val="32"/>
          <w:szCs w:val="32"/>
          <w:lang w:eastAsia="zh-CN"/>
        </w:rPr>
        <w:t>、电费、劳务费、公务用车运行维护费</w:t>
      </w:r>
      <w:r>
        <w:rPr>
          <w:rFonts w:hint="eastAsia" w:ascii="仿宋" w:eastAsia="仿宋"/>
          <w:color w:val="000000"/>
          <w:sz w:val="32"/>
          <w:szCs w:val="32"/>
        </w:rPr>
        <w:t>。</w:t>
      </w:r>
    </w:p>
    <w:p w14:paraId="78B49622">
      <w:pPr>
        <w:pageBreakBefore w:val="0"/>
        <w:widowControl w:val="0"/>
        <w:kinsoku/>
        <w:wordWrap/>
        <w:overflowPunct/>
        <w:topLinePunct w:val="0"/>
        <w:bidi w:val="0"/>
        <w:spacing w:line="560" w:lineRule="exact"/>
        <w:ind w:firstLine="640"/>
        <w:textAlignment w:val="auto"/>
        <w:rPr>
          <w:rFonts w:ascii="仿宋" w:eastAsia="仿宋"/>
          <w:b/>
          <w:color w:val="FF0000"/>
          <w:sz w:val="32"/>
          <w:szCs w:val="32"/>
        </w:rPr>
      </w:pPr>
    </w:p>
    <w:p w14:paraId="13201A12">
      <w:pPr>
        <w:spacing w:line="560" w:lineRule="exact"/>
        <w:ind w:firstLine="640"/>
        <w:outlineLvl w:val="1"/>
        <w:rPr>
          <w:rFonts w:ascii="黑体" w:hAnsi="黑体" w:eastAsia="黑体" w:cs="Times New Roman"/>
          <w:b w:val="0"/>
        </w:rPr>
      </w:pPr>
      <w:bookmarkStart w:id="62" w:name="_Toc15377215"/>
      <w:bookmarkStart w:id="63" w:name="_Toc79163619"/>
      <w:bookmarkStart w:id="64" w:name="_Toc79163869"/>
      <w:bookmarkStart w:id="65" w:name="_Toc15396609"/>
      <w:bookmarkStart w:id="66" w:name="_Toc79163622"/>
      <w:bookmarkStart w:id="67" w:name="_Toc18774"/>
      <w:bookmarkStart w:id="68" w:name="_Toc15377218"/>
      <w:bookmarkStart w:id="69" w:name="_Toc15396610"/>
      <w:r>
        <w:rPr>
          <w:rFonts w:hint="eastAsia" w:ascii="黑体" w:hAnsi="Times New Roman" w:eastAsia="黑体" w:cs="Times New Roman"/>
          <w:color w:val="000000"/>
          <w:sz w:val="32"/>
          <w:szCs w:val="32"/>
        </w:rPr>
        <w:t>七、</w:t>
      </w:r>
      <w:r>
        <w:rPr>
          <w:rFonts w:hint="eastAsia" w:ascii="黑体" w:hAnsi="黑体" w:eastAsia="黑体" w:cs="Times New Roman"/>
          <w:b/>
          <w:bCs/>
          <w:sz w:val="32"/>
          <w:szCs w:val="32"/>
        </w:rPr>
        <w:t>“</w:t>
      </w:r>
      <w:r>
        <w:rPr>
          <w:rFonts w:hint="eastAsia" w:ascii="黑体" w:hAnsi="黑体" w:eastAsia="黑体" w:cs="Times New Roman"/>
          <w:b w:val="0"/>
          <w:bCs/>
          <w:sz w:val="32"/>
          <w:szCs w:val="32"/>
        </w:rPr>
        <w:t>三公”经费财政拨款支出决算情况说明</w:t>
      </w:r>
      <w:bookmarkEnd w:id="62"/>
      <w:bookmarkEnd w:id="63"/>
      <w:bookmarkEnd w:id="64"/>
      <w:bookmarkEnd w:id="65"/>
    </w:p>
    <w:p w14:paraId="293137AF">
      <w:pPr>
        <w:spacing w:line="560" w:lineRule="exact"/>
        <w:ind w:firstLine="640"/>
        <w:outlineLvl w:val="2"/>
        <w:rPr>
          <w:rFonts w:ascii="仿宋" w:hAnsi="仿宋" w:eastAsia="仿宋" w:cs="Times New Roman"/>
          <w:b/>
          <w:color w:val="000000"/>
          <w:sz w:val="32"/>
          <w:szCs w:val="32"/>
        </w:rPr>
      </w:pPr>
      <w:bookmarkStart w:id="70" w:name="_Toc79163870"/>
      <w:bookmarkStart w:id="71" w:name="_Toc79163620"/>
      <w:bookmarkStart w:id="72" w:name="_Toc15377216"/>
      <w:r>
        <w:rPr>
          <w:rFonts w:hint="eastAsia" w:ascii="仿宋" w:hAnsi="仿宋" w:eastAsia="仿宋" w:cs="Times New Roman"/>
          <w:b/>
          <w:color w:val="000000"/>
          <w:sz w:val="32"/>
          <w:szCs w:val="32"/>
        </w:rPr>
        <w:t>（一）“三公”经费财政拨款支出决算总体情况说明</w:t>
      </w:r>
      <w:bookmarkEnd w:id="70"/>
      <w:bookmarkEnd w:id="71"/>
      <w:bookmarkEnd w:id="72"/>
    </w:p>
    <w:p w14:paraId="4E7BF925">
      <w:pPr>
        <w:spacing w:line="560" w:lineRule="exact"/>
        <w:ind w:firstLine="640"/>
        <w:rPr>
          <w:rFonts w:ascii="仿宋" w:hAnsi="仿宋" w:eastAsia="仿宋" w:cs="Times New Roman"/>
          <w:color w:val="000000"/>
          <w:sz w:val="32"/>
          <w:szCs w:val="32"/>
        </w:rPr>
      </w:pPr>
      <w:r>
        <w:rPr>
          <w:rFonts w:hint="eastAsia" w:ascii="仿宋" w:hAnsi="仿宋" w:eastAsia="仿宋" w:cs="Times New Roman"/>
          <w:color w:val="000000"/>
          <w:sz w:val="32"/>
          <w:szCs w:val="32"/>
          <w:lang w:eastAsia="zh-CN"/>
        </w:rPr>
        <w:t>2023</w:t>
      </w:r>
      <w:r>
        <w:rPr>
          <w:rFonts w:hint="eastAsia" w:ascii="仿宋" w:hAnsi="仿宋" w:eastAsia="仿宋" w:cs="Times New Roman"/>
          <w:color w:val="000000"/>
          <w:sz w:val="32"/>
          <w:szCs w:val="32"/>
        </w:rPr>
        <w:t>年“三公”经费财政拨款支出决算为0万元。</w:t>
      </w:r>
    </w:p>
    <w:p w14:paraId="45CB487A">
      <w:pPr>
        <w:spacing w:line="560" w:lineRule="exact"/>
        <w:ind w:firstLine="640"/>
        <w:outlineLvl w:val="2"/>
        <w:rPr>
          <w:rFonts w:ascii="仿宋" w:hAnsi="仿宋" w:eastAsia="仿宋" w:cs="Times New Roman"/>
          <w:b/>
          <w:color w:val="000000"/>
          <w:sz w:val="32"/>
          <w:szCs w:val="32"/>
        </w:rPr>
      </w:pPr>
      <w:bookmarkStart w:id="73" w:name="_Toc79163621"/>
      <w:bookmarkStart w:id="74" w:name="_Toc15377217"/>
      <w:bookmarkStart w:id="75" w:name="_Toc79163871"/>
      <w:r>
        <w:rPr>
          <w:rFonts w:hint="eastAsia" w:ascii="仿宋" w:hAnsi="仿宋" w:eastAsia="仿宋" w:cs="Times New Roman"/>
          <w:b/>
          <w:color w:val="000000"/>
          <w:sz w:val="32"/>
          <w:szCs w:val="32"/>
        </w:rPr>
        <w:t>（二）“三公”经费财政拨款支出决算具体情况说明</w:t>
      </w:r>
      <w:bookmarkEnd w:id="73"/>
      <w:bookmarkEnd w:id="74"/>
      <w:bookmarkEnd w:id="75"/>
    </w:p>
    <w:p w14:paraId="0E9B80A2">
      <w:pPr>
        <w:spacing w:line="560" w:lineRule="exact"/>
        <w:ind w:firstLine="640"/>
        <w:rPr>
          <w:rFonts w:ascii="仿宋" w:hAnsi="仿宋" w:eastAsia="仿宋" w:cs="Times New Roman"/>
          <w:color w:val="000000"/>
          <w:sz w:val="32"/>
          <w:szCs w:val="32"/>
        </w:rPr>
      </w:pPr>
      <w:r>
        <w:rPr>
          <w:rFonts w:hint="eastAsia" w:ascii="仿宋" w:hAnsi="仿宋" w:eastAsia="仿宋" w:cs="Times New Roman"/>
          <w:color w:val="000000"/>
          <w:sz w:val="32"/>
          <w:szCs w:val="32"/>
          <w:lang w:eastAsia="zh-CN"/>
        </w:rPr>
        <w:t>2023</w:t>
      </w:r>
      <w:r>
        <w:rPr>
          <w:rFonts w:hint="eastAsia" w:ascii="仿宋" w:hAnsi="仿宋" w:eastAsia="仿宋" w:cs="Times New Roman"/>
          <w:color w:val="000000"/>
          <w:sz w:val="32"/>
          <w:szCs w:val="32"/>
        </w:rPr>
        <w:t>年“三公”经费财政拨款支出决算中，因公出国（境）费支出决算0万元；公务用车购置及运行维护费支出决算0万元；公务接待费支出决算0万元。</w:t>
      </w:r>
    </w:p>
    <w:p w14:paraId="28C6EE59">
      <w:pPr>
        <w:spacing w:line="560" w:lineRule="exact"/>
        <w:ind w:firstLine="640"/>
        <w:rPr>
          <w:rFonts w:ascii="仿宋_GB2312" w:hAnsi="Times New Roman" w:eastAsia="仿宋_GB2312" w:cs="Times New Roman"/>
          <w:b/>
          <w:color w:val="000000"/>
          <w:sz w:val="32"/>
          <w:szCs w:val="32"/>
        </w:rPr>
      </w:pPr>
      <w:r>
        <w:rPr>
          <w:rFonts w:ascii="仿宋_GB2312" w:hAnsi="Times New Roman" w:eastAsia="仿宋_GB2312" w:cs="Times New Roman"/>
          <w:b/>
          <w:color w:val="000000"/>
          <w:sz w:val="32"/>
          <w:szCs w:val="32"/>
        </w:rPr>
        <w:t>1.</w:t>
      </w:r>
      <w:r>
        <w:rPr>
          <w:rFonts w:hint="eastAsia" w:ascii="仿宋_GB2312" w:hAnsi="Times New Roman" w:eastAsia="仿宋_GB2312" w:cs="Times New Roman"/>
          <w:b/>
          <w:color w:val="000000"/>
          <w:sz w:val="32"/>
          <w:szCs w:val="32"/>
        </w:rPr>
        <w:t>因公出国（境）经费支出</w:t>
      </w:r>
      <w:r>
        <w:rPr>
          <w:rFonts w:hint="eastAsia" w:ascii="仿宋_GB2312" w:hAnsi="Times New Roman" w:eastAsia="仿宋_GB2312" w:cs="Times New Roman"/>
          <w:color w:val="000000"/>
          <w:sz w:val="32"/>
          <w:szCs w:val="32"/>
        </w:rPr>
        <w:t>0万元</w:t>
      </w:r>
      <w:r>
        <w:rPr>
          <w:rFonts w:hint="eastAsia" w:ascii="仿宋" w:hAnsi="仿宋" w:eastAsia="仿宋" w:cs="Times New Roman"/>
          <w:b w:val="0"/>
          <w:bCs/>
          <w:color w:val="000000"/>
          <w:sz w:val="32"/>
          <w:szCs w:val="32"/>
        </w:rPr>
        <w:t>。</w:t>
      </w:r>
    </w:p>
    <w:p w14:paraId="16586DCD">
      <w:pPr>
        <w:spacing w:line="560" w:lineRule="exact"/>
        <w:ind w:firstLine="640"/>
        <w:rPr>
          <w:rFonts w:ascii="仿宋_GB2312" w:hAnsi="Times New Roman" w:eastAsia="仿宋_GB2312" w:cs="Times New Roman"/>
          <w:b/>
          <w:color w:val="000000"/>
          <w:sz w:val="32"/>
          <w:szCs w:val="32"/>
        </w:rPr>
      </w:pPr>
      <w:r>
        <w:rPr>
          <w:rFonts w:ascii="仿宋_GB2312" w:hAnsi="Times New Roman" w:eastAsia="仿宋_GB2312" w:cs="Times New Roman"/>
          <w:b/>
          <w:color w:val="000000"/>
          <w:sz w:val="32"/>
          <w:szCs w:val="32"/>
        </w:rPr>
        <w:t>2.</w:t>
      </w:r>
      <w:r>
        <w:rPr>
          <w:rFonts w:hint="eastAsia" w:ascii="仿宋_GB2312" w:hAnsi="Times New Roman" w:eastAsia="仿宋_GB2312" w:cs="Times New Roman"/>
          <w:b/>
          <w:color w:val="000000"/>
          <w:sz w:val="32"/>
          <w:szCs w:val="32"/>
        </w:rPr>
        <w:t>公务用车购置及运行维护费支出</w:t>
      </w:r>
      <w:r>
        <w:rPr>
          <w:rFonts w:hint="eastAsia" w:ascii="仿宋_GB2312" w:hAnsi="Times New Roman" w:eastAsia="仿宋_GB2312" w:cs="Times New Roman"/>
          <w:color w:val="000000"/>
          <w:sz w:val="32"/>
          <w:szCs w:val="32"/>
        </w:rPr>
        <w:t>0万元。</w:t>
      </w:r>
    </w:p>
    <w:p w14:paraId="074ED7BC">
      <w:pPr>
        <w:spacing w:line="560" w:lineRule="exact"/>
        <w:ind w:firstLine="640" w:firstLineChars="200"/>
        <w:rPr>
          <w:rFonts w:ascii="仿宋_GB2312" w:hAnsi="Times New Roman" w:eastAsia="仿宋_GB2312" w:cs="Times New Roman"/>
          <w:b/>
          <w:color w:val="000000"/>
          <w:sz w:val="32"/>
          <w:szCs w:val="32"/>
        </w:rPr>
      </w:pPr>
      <w:r>
        <w:rPr>
          <w:rFonts w:hint="eastAsia" w:ascii="仿宋_GB2312" w:hAnsi="Times New Roman" w:eastAsia="仿宋_GB2312" w:cs="Times New Roman"/>
          <w:color w:val="000000"/>
          <w:sz w:val="32"/>
          <w:szCs w:val="32"/>
        </w:rPr>
        <w:t>其中：</w:t>
      </w:r>
      <w:r>
        <w:rPr>
          <w:rFonts w:hint="eastAsia" w:ascii="仿宋_GB2312" w:hAnsi="Times New Roman" w:eastAsia="仿宋_GB2312" w:cs="Times New Roman"/>
          <w:b/>
          <w:color w:val="000000"/>
          <w:sz w:val="32"/>
          <w:szCs w:val="32"/>
        </w:rPr>
        <w:t>公务用车购置支出0</w:t>
      </w:r>
      <w:r>
        <w:rPr>
          <w:rFonts w:hint="eastAsia" w:ascii="仿宋_GB2312" w:hAnsi="Times New Roman" w:eastAsia="仿宋_GB2312" w:cs="Times New Roman"/>
          <w:color w:val="000000"/>
          <w:sz w:val="32"/>
          <w:szCs w:val="32"/>
        </w:rPr>
        <w:t>万元。截至</w:t>
      </w:r>
      <w:r>
        <w:rPr>
          <w:rFonts w:hint="eastAsia" w:ascii="仿宋_GB2312" w:hAnsi="Times New Roman" w:eastAsia="仿宋_GB2312" w:cs="Times New Roman"/>
          <w:color w:val="000000"/>
          <w:sz w:val="32"/>
          <w:szCs w:val="32"/>
          <w:lang w:eastAsia="zh-CN"/>
        </w:rPr>
        <w:t>2023</w:t>
      </w:r>
      <w:r>
        <w:rPr>
          <w:rFonts w:hint="eastAsia" w:ascii="仿宋_GB2312" w:hAnsi="Times New Roman" w:eastAsia="仿宋_GB2312" w:cs="Times New Roman"/>
          <w:color w:val="000000"/>
          <w:sz w:val="32"/>
          <w:szCs w:val="32"/>
        </w:rPr>
        <w:t>年</w:t>
      </w:r>
      <w:r>
        <w:rPr>
          <w:rFonts w:ascii="仿宋_GB2312" w:hAnsi="Times New Roman" w:eastAsia="仿宋_GB2312" w:cs="Times New Roman"/>
          <w:color w:val="000000"/>
          <w:sz w:val="32"/>
          <w:szCs w:val="32"/>
        </w:rPr>
        <w:t>12</w:t>
      </w:r>
      <w:r>
        <w:rPr>
          <w:rFonts w:hint="eastAsia" w:ascii="仿宋_GB2312" w:hAnsi="Times New Roman" w:eastAsia="仿宋_GB2312" w:cs="Times New Roman"/>
          <w:color w:val="000000"/>
          <w:sz w:val="32"/>
          <w:szCs w:val="32"/>
        </w:rPr>
        <w:t>月底，单位共有公务用车0辆。</w:t>
      </w:r>
    </w:p>
    <w:p w14:paraId="5C90239D">
      <w:pPr>
        <w:spacing w:line="560" w:lineRule="exact"/>
        <w:ind w:firstLine="640"/>
        <w:rPr>
          <w:rFonts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公务用车运行维护费支出</w:t>
      </w:r>
      <w:r>
        <w:rPr>
          <w:rFonts w:hint="eastAsia" w:ascii="仿宋_GB2312" w:hAnsi="Times New Roman" w:eastAsia="仿宋_GB2312" w:cs="Times New Roman"/>
          <w:color w:val="000000"/>
          <w:sz w:val="32"/>
          <w:szCs w:val="32"/>
        </w:rPr>
        <w:t>0万元。</w:t>
      </w:r>
    </w:p>
    <w:p w14:paraId="04BDA69A">
      <w:pPr>
        <w:spacing w:line="560" w:lineRule="exact"/>
        <w:ind w:firstLine="643" w:firstLineChars="200"/>
        <w:rPr>
          <w:rFonts w:ascii="仿宋_GB2312" w:hAnsi="Times New Roman" w:eastAsia="仿宋_GB2312" w:cs="Times New Roman"/>
          <w:color w:val="000000"/>
          <w:sz w:val="32"/>
          <w:szCs w:val="32"/>
        </w:rPr>
      </w:pPr>
      <w:r>
        <w:rPr>
          <w:rFonts w:ascii="仿宋_GB2312" w:hAnsi="Times New Roman" w:eastAsia="仿宋_GB2312" w:cs="Times New Roman"/>
          <w:b/>
          <w:color w:val="000000"/>
          <w:sz w:val="32"/>
          <w:szCs w:val="32"/>
        </w:rPr>
        <w:t>3.</w:t>
      </w:r>
      <w:r>
        <w:rPr>
          <w:rFonts w:hint="eastAsia" w:ascii="仿宋_GB2312" w:hAnsi="Times New Roman" w:eastAsia="仿宋_GB2312" w:cs="Times New Roman"/>
          <w:b/>
          <w:color w:val="000000"/>
          <w:sz w:val="32"/>
          <w:szCs w:val="32"/>
        </w:rPr>
        <w:t>公务接待费支出</w:t>
      </w:r>
      <w:r>
        <w:rPr>
          <w:rFonts w:hint="eastAsia" w:ascii="仿宋_GB2312" w:hAnsi="Times New Roman" w:eastAsia="仿宋_GB2312" w:cs="Times New Roman"/>
          <w:color w:val="000000"/>
          <w:sz w:val="32"/>
          <w:szCs w:val="32"/>
        </w:rPr>
        <w:t>0万元。</w:t>
      </w:r>
    </w:p>
    <w:p w14:paraId="5B5FF0B1">
      <w:pPr>
        <w:pageBreakBefore w:val="0"/>
        <w:widowControl w:val="0"/>
        <w:kinsoku/>
        <w:wordWrap/>
        <w:overflowPunct/>
        <w:topLinePunct w:val="0"/>
        <w:bidi w:val="0"/>
        <w:spacing w:line="560" w:lineRule="exact"/>
        <w:ind w:firstLine="640"/>
        <w:textAlignment w:val="auto"/>
        <w:outlineLvl w:val="1"/>
        <w:rPr>
          <w:rStyle w:val="28"/>
          <w:rFonts w:ascii="黑体" w:eastAsia="黑体"/>
        </w:rPr>
      </w:pPr>
      <w:r>
        <w:rPr>
          <w:rFonts w:hint="eastAsia" w:ascii="黑体" w:eastAsia="黑体"/>
          <w:color w:val="000000"/>
          <w:sz w:val="32"/>
          <w:szCs w:val="32"/>
        </w:rPr>
        <w:t>八、</w:t>
      </w:r>
      <w:r>
        <w:rPr>
          <w:rStyle w:val="28"/>
          <w:rFonts w:hint="eastAsia" w:ascii="黑体" w:eastAsia="黑体"/>
          <w:b w:val="0"/>
        </w:rPr>
        <w:t>政府性基金预算支出决算情况说明</w:t>
      </w:r>
      <w:bookmarkEnd w:id="66"/>
      <w:bookmarkEnd w:id="67"/>
      <w:bookmarkEnd w:id="68"/>
      <w:bookmarkEnd w:id="69"/>
    </w:p>
    <w:p w14:paraId="2E6B75DC">
      <w:pPr>
        <w:pageBreakBefore w:val="0"/>
        <w:widowControl w:val="0"/>
        <w:kinsoku/>
        <w:wordWrap/>
        <w:overflowPunct/>
        <w:topLinePunct w:val="0"/>
        <w:bidi w:val="0"/>
        <w:spacing w:line="560" w:lineRule="exact"/>
        <w:ind w:firstLine="640"/>
        <w:textAlignment w:val="auto"/>
        <w:rPr>
          <w:rFonts w:ascii="仿宋_GB2312" w:eastAsia="仿宋_GB2312"/>
          <w:color w:val="000000"/>
          <w:sz w:val="32"/>
          <w:szCs w:val="32"/>
        </w:rPr>
      </w:pPr>
      <w:r>
        <w:rPr>
          <w:rFonts w:hint="eastAsia" w:ascii="仿宋_GB2312" w:eastAsia="仿宋_GB2312"/>
          <w:color w:val="000000"/>
          <w:sz w:val="32"/>
          <w:szCs w:val="32"/>
          <w:lang w:eastAsia="zh-CN"/>
        </w:rPr>
        <w:t>2023年</w:t>
      </w:r>
      <w:r>
        <w:rPr>
          <w:rFonts w:hint="eastAsia" w:ascii="仿宋_GB2312" w:eastAsia="仿宋_GB2312"/>
          <w:color w:val="000000"/>
          <w:sz w:val="32"/>
          <w:szCs w:val="32"/>
        </w:rPr>
        <w:t>政府性基金预算拨款支出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5D1663B1">
      <w:pPr>
        <w:pageBreakBefore w:val="0"/>
        <w:widowControl w:val="0"/>
        <w:numPr>
          <w:ilvl w:val="0"/>
          <w:numId w:val="2"/>
        </w:numPr>
        <w:kinsoku/>
        <w:wordWrap/>
        <w:overflowPunct/>
        <w:topLinePunct w:val="0"/>
        <w:bidi w:val="0"/>
        <w:spacing w:line="560" w:lineRule="exact"/>
        <w:ind w:left="0" w:firstLine="640"/>
        <w:textAlignment w:val="auto"/>
        <w:outlineLvl w:val="1"/>
        <w:rPr>
          <w:rStyle w:val="28"/>
          <w:rFonts w:ascii="黑体" w:eastAsia="黑体"/>
          <w:b w:val="0"/>
        </w:rPr>
      </w:pPr>
      <w:bookmarkStart w:id="76" w:name="_Toc79163623"/>
      <w:bookmarkStart w:id="77" w:name="_Toc13100"/>
      <w:bookmarkStart w:id="78" w:name="_Toc15377219"/>
      <w:bookmarkStart w:id="79" w:name="_Toc15396611"/>
      <w:r>
        <w:rPr>
          <w:rStyle w:val="28"/>
          <w:rFonts w:hint="eastAsia" w:ascii="黑体" w:eastAsia="黑体"/>
          <w:b w:val="0"/>
        </w:rPr>
        <w:t>国有资本经营预算支出决算情况说明</w:t>
      </w:r>
      <w:bookmarkEnd w:id="76"/>
      <w:bookmarkEnd w:id="77"/>
      <w:bookmarkEnd w:id="78"/>
      <w:bookmarkEnd w:id="79"/>
    </w:p>
    <w:p w14:paraId="468BD210">
      <w:pPr>
        <w:pageBreakBefore w:val="0"/>
        <w:widowControl w:val="0"/>
        <w:kinsoku/>
        <w:wordWrap/>
        <w:overflowPunct/>
        <w:topLinePunct w:val="0"/>
        <w:bidi w:val="0"/>
        <w:spacing w:line="560" w:lineRule="exact"/>
        <w:ind w:firstLine="640"/>
        <w:textAlignment w:val="auto"/>
        <w:rPr>
          <w:rFonts w:ascii="方正小标宋简体" w:eastAsia="方正小标宋简体" w:cs="方正小标宋简体"/>
          <w:sz w:val="44"/>
          <w:szCs w:val="44"/>
        </w:rPr>
      </w:pPr>
      <w:r>
        <w:rPr>
          <w:rFonts w:hint="eastAsia" w:ascii="仿宋_GB2312" w:eastAsia="仿宋_GB2312"/>
          <w:color w:val="000000"/>
          <w:sz w:val="32"/>
          <w:szCs w:val="32"/>
          <w:lang w:eastAsia="zh-CN"/>
        </w:rPr>
        <w:t>2023年</w:t>
      </w:r>
      <w:r>
        <w:rPr>
          <w:rFonts w:hint="eastAsia" w:ascii="仿宋_GB2312" w:eastAsia="仿宋_GB2312"/>
          <w:color w:val="000000"/>
          <w:sz w:val="32"/>
          <w:szCs w:val="32"/>
        </w:rPr>
        <w:t>国有资本经营预算拨款支出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3F36052B">
      <w:pPr>
        <w:pageBreakBefore w:val="0"/>
        <w:widowControl w:val="0"/>
        <w:kinsoku/>
        <w:wordWrap/>
        <w:overflowPunct/>
        <w:topLinePunct w:val="0"/>
        <w:bidi w:val="0"/>
        <w:spacing w:line="560" w:lineRule="exact"/>
        <w:ind w:firstLine="800" w:firstLineChars="250"/>
        <w:textAlignment w:val="auto"/>
        <w:outlineLvl w:val="1"/>
        <w:rPr>
          <w:rStyle w:val="28"/>
          <w:rFonts w:ascii="黑体" w:eastAsia="黑体"/>
        </w:rPr>
      </w:pPr>
      <w:bookmarkStart w:id="80" w:name="_Toc15377221"/>
      <w:bookmarkStart w:id="81" w:name="_Toc15396612"/>
      <w:bookmarkStart w:id="82" w:name="_Toc79163624"/>
      <w:bookmarkStart w:id="83" w:name="_Toc16723"/>
      <w:r>
        <w:rPr>
          <w:rFonts w:hint="eastAsia" w:ascii="黑体" w:eastAsia="黑体"/>
          <w:color w:val="000000"/>
          <w:sz w:val="32"/>
          <w:szCs w:val="32"/>
        </w:rPr>
        <w:t>十</w:t>
      </w:r>
      <w:r>
        <w:rPr>
          <w:rStyle w:val="28"/>
          <w:rFonts w:hint="eastAsia" w:ascii="黑体" w:eastAsia="黑体"/>
        </w:rPr>
        <w:t>、</w:t>
      </w:r>
      <w:r>
        <w:rPr>
          <w:rStyle w:val="28"/>
          <w:rFonts w:hint="eastAsia" w:ascii="黑体" w:eastAsia="黑体"/>
          <w:b w:val="0"/>
        </w:rPr>
        <w:t>其他重要事项的情况说明</w:t>
      </w:r>
      <w:bookmarkEnd w:id="80"/>
      <w:bookmarkEnd w:id="81"/>
      <w:bookmarkEnd w:id="82"/>
      <w:bookmarkEnd w:id="83"/>
    </w:p>
    <w:p w14:paraId="78741A23">
      <w:pPr>
        <w:pageBreakBefore w:val="0"/>
        <w:widowControl w:val="0"/>
        <w:kinsoku/>
        <w:wordWrap/>
        <w:overflowPunct/>
        <w:topLinePunct w:val="0"/>
        <w:bidi w:val="0"/>
        <w:spacing w:line="560" w:lineRule="exact"/>
        <w:ind w:firstLine="643" w:firstLineChars="200"/>
        <w:textAlignment w:val="auto"/>
        <w:outlineLvl w:val="2"/>
        <w:rPr>
          <w:rFonts w:ascii="仿宋" w:eastAsia="仿宋"/>
          <w:color w:val="000000"/>
          <w:sz w:val="32"/>
          <w:szCs w:val="32"/>
        </w:rPr>
      </w:pPr>
      <w:bookmarkStart w:id="84" w:name="_Toc15377222"/>
      <w:bookmarkStart w:id="85" w:name="_Toc79163625"/>
      <w:bookmarkStart w:id="86" w:name="_Toc30866"/>
      <w:r>
        <w:rPr>
          <w:rFonts w:hint="eastAsia" w:ascii="仿宋" w:eastAsia="仿宋"/>
          <w:b/>
          <w:color w:val="000000"/>
          <w:sz w:val="32"/>
          <w:szCs w:val="32"/>
        </w:rPr>
        <w:t>（一）机关运行经费支出情况</w:t>
      </w:r>
      <w:bookmarkEnd w:id="84"/>
      <w:bookmarkEnd w:id="85"/>
      <w:bookmarkEnd w:id="86"/>
    </w:p>
    <w:p w14:paraId="39B69F21">
      <w:pPr>
        <w:pageBreakBefore w:val="0"/>
        <w:widowControl w:val="0"/>
        <w:kinsoku/>
        <w:wordWrap/>
        <w:overflowPunct/>
        <w:topLinePunct w:val="0"/>
        <w:bidi w:val="0"/>
        <w:spacing w:line="560" w:lineRule="exact"/>
        <w:ind w:firstLine="640" w:firstLineChars="200"/>
        <w:textAlignment w:val="auto"/>
        <w:rPr>
          <w:rFonts w:hint="eastAsia" w:ascii="仿宋_GB2312" w:eastAsia="仿宋_GB2312"/>
          <w:color w:val="000000"/>
          <w:sz w:val="32"/>
          <w:szCs w:val="32"/>
          <w:lang w:val="en-US" w:eastAsia="zh-CN"/>
        </w:rPr>
      </w:pPr>
      <w:r>
        <w:rPr>
          <w:rFonts w:hint="eastAsia" w:ascii="仿宋_GB2312" w:eastAsia="仿宋_GB2312"/>
          <w:color w:val="000000"/>
          <w:sz w:val="32"/>
          <w:szCs w:val="32"/>
          <w:lang w:eastAsia="zh-CN"/>
        </w:rPr>
        <w:t>2023年</w:t>
      </w:r>
      <w:r>
        <w:rPr>
          <w:rFonts w:hint="eastAsia" w:ascii="仿宋_GB2312" w:eastAsia="仿宋_GB2312"/>
          <w:color w:val="000000"/>
          <w:sz w:val="32"/>
          <w:szCs w:val="32"/>
        </w:rPr>
        <w:t>，</w:t>
      </w:r>
      <w:r>
        <w:rPr>
          <w:rFonts w:hint="eastAsia" w:ascii="仿宋_GB2312" w:eastAsia="仿宋_GB2312"/>
          <w:color w:val="000000"/>
          <w:sz w:val="32"/>
          <w:szCs w:val="32"/>
          <w:lang w:eastAsia="zh-CN"/>
        </w:rPr>
        <w:t>壤塘县中壤塘文化旅游景区管理处</w:t>
      </w:r>
      <w:r>
        <w:rPr>
          <w:rFonts w:hint="eastAsia" w:ascii="仿宋_GB2312" w:eastAsia="仿宋_GB2312"/>
          <w:color w:val="000000"/>
          <w:sz w:val="32"/>
          <w:szCs w:val="32"/>
        </w:rPr>
        <w:t>机关运行经费支出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万元，比</w:t>
      </w:r>
      <w:r>
        <w:rPr>
          <w:rFonts w:hint="eastAsia" w:ascii="仿宋_GB2312" w:eastAsia="仿宋_GB2312"/>
          <w:color w:val="000000"/>
          <w:sz w:val="32"/>
          <w:szCs w:val="32"/>
          <w:lang w:eastAsia="zh-CN"/>
        </w:rPr>
        <w:t>2022年</w:t>
      </w:r>
      <w:r>
        <w:rPr>
          <w:rFonts w:hint="eastAsia" w:ascii="仿宋_GB2312" w:eastAsia="仿宋_GB2312"/>
          <w:color w:val="000000"/>
          <w:sz w:val="32"/>
          <w:szCs w:val="32"/>
        </w:rPr>
        <w:t>增加</w:t>
      </w:r>
      <w:r>
        <w:rPr>
          <w:rFonts w:hint="eastAsia" w:ascii="仿宋_GB2312" w:eastAsia="仿宋_GB2312"/>
          <w:color w:val="000000"/>
          <w:sz w:val="32"/>
          <w:szCs w:val="32"/>
          <w:lang w:val="en-US" w:eastAsia="zh-CN"/>
        </w:rPr>
        <w:t>/减少0</w:t>
      </w:r>
      <w:r>
        <w:rPr>
          <w:rFonts w:hint="eastAsia" w:ascii="仿宋_GB2312" w:eastAsia="仿宋_GB2312"/>
          <w:color w:val="000000"/>
          <w:sz w:val="32"/>
          <w:szCs w:val="32"/>
        </w:rPr>
        <w:t>万元，增长</w:t>
      </w:r>
      <w:r>
        <w:rPr>
          <w:rFonts w:hint="eastAsia" w:ascii="仿宋_GB2312" w:eastAsia="仿宋_GB2312"/>
          <w:color w:val="000000"/>
          <w:sz w:val="32"/>
          <w:szCs w:val="32"/>
          <w:lang w:val="en-US" w:eastAsia="zh-CN"/>
        </w:rPr>
        <w:t>/下降0%</w:t>
      </w:r>
      <w:r>
        <w:rPr>
          <w:rFonts w:hint="eastAsia" w:ascii="仿宋_GB2312" w:eastAsia="仿宋_GB2312"/>
          <w:color w:val="000000"/>
          <w:sz w:val="32"/>
          <w:szCs w:val="32"/>
        </w:rPr>
        <w:t>。主要原因是本年</w:t>
      </w:r>
      <w:r>
        <w:rPr>
          <w:rFonts w:hint="eastAsia" w:ascii="仿宋_GB2312" w:eastAsia="仿宋_GB2312"/>
          <w:color w:val="000000"/>
          <w:sz w:val="32"/>
          <w:szCs w:val="32"/>
          <w:lang w:val="en-US" w:eastAsia="zh-CN"/>
        </w:rPr>
        <w:t>与上年均无机关运行经费</w:t>
      </w:r>
      <w:r>
        <w:rPr>
          <w:rFonts w:hint="eastAsia" w:ascii="仿宋_GB2312" w:eastAsia="仿宋_GB2312"/>
          <w:color w:val="000000"/>
          <w:sz w:val="32"/>
          <w:szCs w:val="32"/>
          <w:lang w:eastAsia="zh-CN"/>
        </w:rPr>
        <w:t>。</w:t>
      </w:r>
    </w:p>
    <w:p w14:paraId="5B35B753">
      <w:pPr>
        <w:pageBreakBefore w:val="0"/>
        <w:widowControl w:val="0"/>
        <w:kinsoku/>
        <w:wordWrap/>
        <w:overflowPunct/>
        <w:topLinePunct w:val="0"/>
        <w:autoSpaceDE w:val="0"/>
        <w:autoSpaceDN w:val="0"/>
        <w:bidi w:val="0"/>
        <w:adjustRightInd w:val="0"/>
        <w:spacing w:line="560" w:lineRule="exact"/>
        <w:ind w:firstLine="643" w:firstLineChars="200"/>
        <w:jc w:val="left"/>
        <w:textAlignment w:val="auto"/>
        <w:outlineLvl w:val="2"/>
        <w:rPr>
          <w:rFonts w:ascii="仿宋" w:eastAsia="仿宋"/>
          <w:b/>
          <w:color w:val="000000"/>
          <w:sz w:val="32"/>
          <w:szCs w:val="32"/>
        </w:rPr>
      </w:pPr>
      <w:bookmarkStart w:id="87" w:name="_Toc8107"/>
      <w:bookmarkStart w:id="88" w:name="_Toc15377223"/>
      <w:bookmarkStart w:id="89" w:name="_Toc79163626"/>
      <w:r>
        <w:rPr>
          <w:rFonts w:hint="eastAsia" w:ascii="仿宋" w:eastAsia="仿宋"/>
          <w:b/>
          <w:color w:val="000000"/>
          <w:sz w:val="32"/>
          <w:szCs w:val="32"/>
        </w:rPr>
        <w:t>（二）政府采购支出情况</w:t>
      </w:r>
      <w:bookmarkEnd w:id="87"/>
      <w:bookmarkEnd w:id="88"/>
      <w:bookmarkEnd w:id="89"/>
    </w:p>
    <w:p w14:paraId="5427C1D9">
      <w:pPr>
        <w:pageBreakBefore w:val="0"/>
        <w:widowControl w:val="0"/>
        <w:kinsoku/>
        <w:wordWrap/>
        <w:overflowPunct/>
        <w:topLinePunct w:val="0"/>
        <w:bidi w:val="0"/>
        <w:spacing w:line="56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eastAsia="zh-CN"/>
        </w:rPr>
        <w:t>2023年</w:t>
      </w:r>
      <w:r>
        <w:rPr>
          <w:rFonts w:hint="eastAsia" w:ascii="仿宋_GB2312" w:eastAsia="仿宋_GB2312"/>
          <w:color w:val="000000"/>
          <w:sz w:val="32"/>
          <w:szCs w:val="32"/>
        </w:rPr>
        <w:t>，</w:t>
      </w:r>
      <w:r>
        <w:rPr>
          <w:rFonts w:hint="eastAsia" w:ascii="仿宋_GB2312" w:eastAsia="仿宋_GB2312"/>
          <w:color w:val="000000"/>
          <w:sz w:val="32"/>
          <w:szCs w:val="32"/>
          <w:lang w:eastAsia="zh-CN"/>
        </w:rPr>
        <w:t>壤塘县中壤塘文化旅游景区管理处</w:t>
      </w:r>
      <w:r>
        <w:rPr>
          <w:rFonts w:hint="eastAsia" w:ascii="仿宋_GB2312" w:eastAsia="仿宋_GB2312"/>
          <w:color w:val="000000"/>
          <w:sz w:val="32"/>
          <w:szCs w:val="32"/>
        </w:rPr>
        <w:t>政府采购支出总额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万元，其中：政府采购货物支出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万元、政府采购工程支出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万元、政府采购服务支出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万元。主要用于</w:t>
      </w:r>
      <w:r>
        <w:rPr>
          <w:rFonts w:hint="eastAsia" w:ascii="仿宋_GB2312" w:eastAsia="仿宋_GB2312"/>
          <w:color w:val="000000"/>
          <w:sz w:val="32"/>
          <w:szCs w:val="32"/>
          <w:lang w:val="en-US" w:eastAsia="zh-CN"/>
        </w:rPr>
        <w:t>项目的采购支出</w:t>
      </w:r>
      <w:r>
        <w:rPr>
          <w:rFonts w:hint="eastAsia" w:ascii="仿宋_GB2312" w:eastAsia="仿宋_GB2312"/>
          <w:color w:val="000000"/>
          <w:sz w:val="32"/>
          <w:szCs w:val="32"/>
        </w:rPr>
        <w:t>。授予中小企业合同金额1</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万元，占政府采购支出总额的</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，其中：授予小微企业合同金额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万元，占政府采购支出总额的</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w:t>
      </w:r>
    </w:p>
    <w:p w14:paraId="4A4C4E81">
      <w:pPr>
        <w:pageBreakBefore w:val="0"/>
        <w:widowControl w:val="0"/>
        <w:kinsoku/>
        <w:wordWrap/>
        <w:overflowPunct/>
        <w:topLinePunct w:val="0"/>
        <w:autoSpaceDE w:val="0"/>
        <w:autoSpaceDN w:val="0"/>
        <w:bidi w:val="0"/>
        <w:adjustRightInd w:val="0"/>
        <w:spacing w:line="560" w:lineRule="exact"/>
        <w:ind w:firstLine="643" w:firstLineChars="200"/>
        <w:jc w:val="left"/>
        <w:textAlignment w:val="auto"/>
        <w:outlineLvl w:val="2"/>
        <w:rPr>
          <w:rFonts w:ascii="仿宋" w:eastAsia="仿宋"/>
          <w:b/>
          <w:color w:val="000000"/>
          <w:sz w:val="32"/>
          <w:szCs w:val="32"/>
        </w:rPr>
      </w:pPr>
      <w:bookmarkStart w:id="90" w:name="_Toc15377224"/>
      <w:bookmarkStart w:id="91" w:name="_Toc11794"/>
      <w:bookmarkStart w:id="92" w:name="_Toc79163627"/>
      <w:r>
        <w:rPr>
          <w:rFonts w:hint="eastAsia" w:ascii="仿宋" w:eastAsia="仿宋"/>
          <w:b/>
          <w:color w:val="000000"/>
          <w:sz w:val="32"/>
          <w:szCs w:val="32"/>
        </w:rPr>
        <w:t>（三）国有资产占有使用情况</w:t>
      </w:r>
      <w:bookmarkEnd w:id="90"/>
      <w:bookmarkEnd w:id="91"/>
      <w:bookmarkEnd w:id="92"/>
    </w:p>
    <w:p w14:paraId="0A9FCE30">
      <w:pPr>
        <w:pageBreakBefore w:val="0"/>
        <w:widowControl w:val="0"/>
        <w:kinsoku/>
        <w:wordWrap/>
        <w:overflowPunct/>
        <w:topLinePunct w:val="0"/>
        <w:autoSpaceDE w:val="0"/>
        <w:autoSpaceDN w:val="0"/>
        <w:bidi w:val="0"/>
        <w:adjustRightInd w:val="0"/>
        <w:spacing w:line="560" w:lineRule="exact"/>
        <w:ind w:firstLine="640" w:firstLineChars="200"/>
        <w:jc w:val="left"/>
        <w:textAlignment w:val="auto"/>
        <w:rPr>
          <w:rFonts w:ascii="仿宋" w:eastAsia="仿宋"/>
          <w:b/>
          <w:color w:val="FF0000"/>
          <w:sz w:val="32"/>
          <w:szCs w:val="32"/>
        </w:rPr>
      </w:pPr>
      <w:r>
        <w:rPr>
          <w:rFonts w:hint="eastAsia" w:ascii="仿宋_GB2312" w:eastAsia="仿宋_GB2312"/>
          <w:color w:val="000000"/>
          <w:sz w:val="32"/>
          <w:szCs w:val="32"/>
        </w:rPr>
        <w:t>截至</w:t>
      </w:r>
      <w:r>
        <w:rPr>
          <w:rFonts w:hint="eastAsia" w:ascii="仿宋_GB2312" w:eastAsia="仿宋_GB2312"/>
          <w:color w:val="000000"/>
          <w:sz w:val="32"/>
          <w:szCs w:val="32"/>
          <w:lang w:eastAsia="zh-CN"/>
        </w:rPr>
        <w:t>2023年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eastAsia="zh-CN"/>
        </w:rPr>
        <w:t>壤塘县中壤塘文化旅游景区管理处</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w:t>
      </w:r>
      <w:r>
        <w:rPr>
          <w:rFonts w:hint="eastAsia" w:ascii="仿宋_GB2312" w:eastAsia="仿宋_GB2312"/>
          <w:color w:val="000000"/>
          <w:sz w:val="32"/>
          <w:szCs w:val="32"/>
          <w:lang w:eastAsia="zh-CN"/>
        </w:rPr>
        <w:t>，</w:t>
      </w:r>
      <w:r>
        <w:rPr>
          <w:rFonts w:hint="eastAsia" w:ascii="仿宋_GB2312" w:eastAsia="仿宋_GB2312"/>
          <w:color w:val="000000"/>
          <w:sz w:val="32"/>
          <w:szCs w:val="32"/>
        </w:rPr>
        <w:t>其他用车主要是用于</w:t>
      </w:r>
      <w:r>
        <w:rPr>
          <w:rFonts w:hint="eastAsia" w:ascii="仿宋_GB2312" w:eastAsia="仿宋_GB2312"/>
          <w:color w:val="000000"/>
          <w:sz w:val="32"/>
          <w:szCs w:val="32"/>
          <w:lang w:val="en-US" w:eastAsia="zh-CN"/>
        </w:rPr>
        <w:t>搬运货物，</w:t>
      </w:r>
      <w:r>
        <w:rPr>
          <w:rFonts w:hint="eastAsia" w:ascii="仿宋_GB2312" w:eastAsia="仿宋_GB2312"/>
          <w:color w:val="000000"/>
          <w:sz w:val="32"/>
          <w:szCs w:val="32"/>
        </w:rPr>
        <w:t>单价</w:t>
      </w:r>
      <w:r>
        <w:rPr>
          <w:rFonts w:ascii="仿宋_GB2312" w:eastAsia="仿宋_GB2312"/>
          <w:color w:val="000000"/>
          <w:sz w:val="32"/>
          <w:szCs w:val="32"/>
        </w:rPr>
        <w:t>50</w:t>
      </w:r>
      <w:r>
        <w:rPr>
          <w:rFonts w:hint="eastAsia" w:ascii="仿宋_GB2312" w:eastAsia="仿宋_GB2312"/>
          <w:color w:val="000000"/>
          <w:sz w:val="32"/>
          <w:szCs w:val="32"/>
        </w:rPr>
        <w:t>万元以上通用设备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14:paraId="25B7BF80">
      <w:pPr>
        <w:pageBreakBefore w:val="0"/>
        <w:widowControl w:val="0"/>
        <w:kinsoku/>
        <w:wordWrap/>
        <w:overflowPunct/>
        <w:topLinePunct w:val="0"/>
        <w:autoSpaceDE w:val="0"/>
        <w:autoSpaceDN w:val="0"/>
        <w:bidi w:val="0"/>
        <w:adjustRightInd w:val="0"/>
        <w:spacing w:line="560" w:lineRule="exact"/>
        <w:ind w:firstLine="643" w:firstLineChars="200"/>
        <w:jc w:val="left"/>
        <w:textAlignment w:val="auto"/>
        <w:outlineLvl w:val="2"/>
        <w:rPr>
          <w:rFonts w:ascii="仿宋" w:eastAsia="仿宋"/>
          <w:b/>
          <w:color w:val="000000"/>
          <w:sz w:val="32"/>
          <w:szCs w:val="32"/>
        </w:rPr>
      </w:pPr>
      <w:bookmarkStart w:id="93" w:name="_Toc31031"/>
      <w:bookmarkStart w:id="94" w:name="_Toc79163628"/>
      <w:r>
        <w:rPr>
          <w:rFonts w:hint="eastAsia" w:ascii="仿宋" w:eastAsia="仿宋"/>
          <w:b/>
          <w:color w:val="000000"/>
          <w:sz w:val="32"/>
          <w:szCs w:val="32"/>
        </w:rPr>
        <w:t>（四）预算绩效管理情况。</w:t>
      </w:r>
      <w:bookmarkEnd w:id="93"/>
      <w:bookmarkEnd w:id="94"/>
    </w:p>
    <w:p w14:paraId="76ECA518">
      <w:pPr>
        <w:pageBreakBefore w:val="0"/>
        <w:widowControl w:val="0"/>
        <w:kinsoku/>
        <w:wordWrap/>
        <w:overflowPunct/>
        <w:topLinePunct w:val="0"/>
        <w:bidi w:val="0"/>
        <w:spacing w:line="5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根据预算绩效管理要求，本单位在年初预算编制阶段，组织对</w:t>
      </w:r>
      <w:r>
        <w:rPr>
          <w:rFonts w:hint="eastAsia" w:ascii="仿宋_GB2312" w:eastAsia="仿宋_GB2312" w:cs="仿宋_GB2312"/>
          <w:sz w:val="32"/>
          <w:szCs w:val="32"/>
          <w:lang w:val="en-US" w:eastAsia="zh-CN"/>
        </w:rPr>
        <w:t>2023年</w:t>
      </w:r>
      <w:r>
        <w:rPr>
          <w:rFonts w:hint="eastAsia" w:ascii="仿宋_GB2312" w:eastAsia="仿宋_GB2312" w:cs="仿宋_GB2312"/>
          <w:sz w:val="32"/>
          <w:szCs w:val="32"/>
          <w:lang w:eastAsia="zh-CN"/>
        </w:rPr>
        <w:t>壤塘县乡村振兴产业发展中壤塘镇创业园工坊建设项目、壤塘县中壤塘文化旅游景区管理处中壤塘镇创业园文化中心功能完善</w:t>
      </w:r>
      <w:r>
        <w:rPr>
          <w:rFonts w:hint="eastAsia" w:ascii="仿宋_GB2312" w:eastAsia="仿宋_GB2312" w:cs="仿宋_GB2312"/>
          <w:sz w:val="32"/>
          <w:szCs w:val="32"/>
          <w:lang w:val="en-US" w:eastAsia="zh-CN"/>
        </w:rPr>
        <w:t>等11个</w:t>
      </w:r>
      <w:r>
        <w:rPr>
          <w:rFonts w:hint="eastAsia" w:ascii="仿宋_GB2312" w:eastAsia="仿宋_GB2312" w:cs="仿宋_GB2312"/>
          <w:sz w:val="32"/>
          <w:szCs w:val="32"/>
          <w:lang w:eastAsia="zh-CN"/>
        </w:rPr>
        <w:t>项目</w:t>
      </w:r>
      <w:r>
        <w:rPr>
          <w:rFonts w:hint="eastAsia" w:ascii="仿宋_GB2312" w:eastAsia="仿宋_GB2312" w:cs="仿宋_GB2312"/>
          <w:sz w:val="32"/>
          <w:szCs w:val="32"/>
        </w:rPr>
        <w:t>开展了预算事前绩效评估，对</w:t>
      </w:r>
      <w:r>
        <w:rPr>
          <w:rFonts w:hint="eastAsia" w:ascii="仿宋_GB2312" w:eastAsia="仿宋_GB2312" w:cs="仿宋_GB2312"/>
          <w:sz w:val="32"/>
          <w:szCs w:val="32"/>
          <w:lang w:val="en-US" w:eastAsia="zh-CN"/>
        </w:rPr>
        <w:t>11</w:t>
      </w:r>
      <w:r>
        <w:rPr>
          <w:rFonts w:hint="eastAsia" w:ascii="仿宋_GB2312" w:eastAsia="仿宋_GB2312" w:cs="仿宋_GB2312"/>
          <w:sz w:val="32"/>
          <w:szCs w:val="32"/>
        </w:rPr>
        <w:t>个项目编制了绩效目标，预算执行过程中，选取</w:t>
      </w:r>
      <w:r>
        <w:rPr>
          <w:rFonts w:hint="eastAsia" w:ascii="仿宋_GB2312" w:eastAsia="仿宋_GB2312" w:cs="仿宋_GB2312"/>
          <w:sz w:val="32"/>
          <w:szCs w:val="32"/>
          <w:lang w:val="en-US" w:eastAsia="zh-CN"/>
        </w:rPr>
        <w:t>11</w:t>
      </w:r>
      <w:r>
        <w:rPr>
          <w:rFonts w:hint="eastAsia" w:ascii="仿宋_GB2312" w:eastAsia="仿宋_GB2312" w:cs="仿宋_GB2312"/>
          <w:sz w:val="32"/>
          <w:szCs w:val="32"/>
        </w:rPr>
        <w:t>个项目开展绩效监控，年终执行完毕后，对</w:t>
      </w:r>
      <w:r>
        <w:rPr>
          <w:rFonts w:hint="eastAsia" w:ascii="仿宋_GB2312" w:eastAsia="仿宋_GB2312" w:cs="仿宋_GB2312"/>
          <w:sz w:val="32"/>
          <w:szCs w:val="32"/>
          <w:lang w:val="en-US" w:eastAsia="zh-CN"/>
        </w:rPr>
        <w:t>壤塘县中壤塘镇创业园工坊建设</w:t>
      </w:r>
      <w:r>
        <w:rPr>
          <w:rFonts w:hint="eastAsia" w:ascii="仿宋_GB2312" w:eastAsia="仿宋_GB2312" w:cs="仿宋_GB2312"/>
          <w:sz w:val="32"/>
          <w:szCs w:val="32"/>
        </w:rPr>
        <w:t>项目开展了绩效目标完成情况自评。</w:t>
      </w:r>
    </w:p>
    <w:p w14:paraId="7011F2D4">
      <w:pPr>
        <w:widowControl/>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sz w:val="32"/>
          <w:szCs w:val="32"/>
          <w:lang w:val="en-US" w:eastAsia="zh-CN"/>
        </w:rPr>
        <w:t>阿坝州壤塘县中壤塘文化旅游景区管理处</w:t>
      </w:r>
      <w:r>
        <w:rPr>
          <w:rFonts w:hint="eastAsia" w:ascii="仿宋_GB2312" w:hAnsi="仿宋_GB2312" w:eastAsia="仿宋_GB2312" w:cs="仿宋_GB2312"/>
          <w:sz w:val="32"/>
          <w:szCs w:val="32"/>
        </w:rPr>
        <w:t>（含部门预算项目）绩效自评报告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val="en-US" w:eastAsia="zh-CN"/>
        </w:rPr>
        <w:t>阿坝州壤塘县中壤塘文化旅游景区管理处</w:t>
      </w:r>
      <w:r>
        <w:rPr>
          <w:rFonts w:hint="eastAsia" w:ascii="仿宋_GB2312" w:hAnsi="仿宋_GB2312" w:eastAsia="仿宋_GB2312" w:cs="仿宋_GB2312"/>
          <w:sz w:val="32"/>
          <w:szCs w:val="32"/>
        </w:rPr>
        <w:t>（含部门预算项目）绩效自评得分为</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分，绩效自评综述：</w:t>
      </w:r>
      <w:r>
        <w:rPr>
          <w:rFonts w:hint="eastAsia" w:ascii="仿宋_GB2312" w:hAnsi="仿宋_GB2312" w:eastAsia="仿宋_GB2312" w:cs="仿宋_GB2312"/>
          <w:sz w:val="32"/>
          <w:szCs w:val="32"/>
          <w:lang w:val="en-US" w:eastAsia="zh-CN"/>
        </w:rPr>
        <w:t>本次部门整体支出绩效自评得分为94分，总体表现良好。壤塘县中壤塘镇创业园工坊建设项目绩效自评得分为100分，绩效自评综述：完成情况较好。绩效自评报告详见附件。</w:t>
      </w:r>
    </w:p>
    <w:p w14:paraId="51D84572">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514CF2EE">
      <w:pPr>
        <w:widowControl/>
        <w:ind w:firstLine="640" w:firstLineChars="200"/>
        <w:jc w:val="left"/>
        <w:rPr>
          <w:rFonts w:hint="eastAsia" w:ascii="仿宋_GB2312" w:hAnsi="仿宋_GB2312" w:eastAsia="仿宋_GB2312" w:cs="仿宋_GB2312"/>
          <w:sz w:val="32"/>
          <w:szCs w:val="32"/>
          <w:lang w:val="en-US" w:eastAsia="zh-CN"/>
        </w:rPr>
      </w:pPr>
    </w:p>
    <w:p w14:paraId="0D4ACE1A">
      <w:pPr>
        <w:numPr>
          <w:ilvl w:val="0"/>
          <w:numId w:val="3"/>
        </w:numPr>
        <w:spacing w:line="600" w:lineRule="exact"/>
        <w:ind w:left="0" w:firstLine="660" w:firstLineChars="150"/>
        <w:jc w:val="center"/>
        <w:outlineLvl w:val="0"/>
        <w:rPr>
          <w:rStyle w:val="27"/>
          <w:rFonts w:ascii="黑体" w:eastAsia="黑体"/>
          <w:b w:val="0"/>
        </w:rPr>
      </w:pPr>
      <w:bookmarkStart w:id="95" w:name="_Toc79163629"/>
      <w:bookmarkStart w:id="96" w:name="_Toc15396613"/>
      <w:bookmarkStart w:id="97" w:name="_Toc28776"/>
      <w:bookmarkStart w:id="98" w:name="_Toc15377225"/>
      <w:r>
        <w:rPr>
          <w:rFonts w:hint="eastAsia" w:ascii="黑体" w:eastAsia="黑体"/>
          <w:color w:val="000000"/>
          <w:sz w:val="44"/>
          <w:szCs w:val="44"/>
        </w:rPr>
        <w:t>名</w:t>
      </w:r>
      <w:r>
        <w:rPr>
          <w:rStyle w:val="27"/>
          <w:rFonts w:hint="eastAsia" w:ascii="黑体" w:eastAsia="黑体"/>
          <w:b w:val="0"/>
        </w:rPr>
        <w:t>词解释</w:t>
      </w:r>
      <w:bookmarkEnd w:id="95"/>
      <w:bookmarkEnd w:id="96"/>
      <w:bookmarkEnd w:id="97"/>
      <w:bookmarkEnd w:id="98"/>
    </w:p>
    <w:p w14:paraId="3A0F809C">
      <w:pPr>
        <w:spacing w:line="600" w:lineRule="exact"/>
        <w:jc w:val="left"/>
        <w:rPr>
          <w:rFonts w:ascii="宋体"/>
          <w:b/>
          <w:color w:val="000000"/>
          <w:sz w:val="44"/>
          <w:szCs w:val="44"/>
        </w:rPr>
      </w:pPr>
    </w:p>
    <w:p w14:paraId="141EE126">
      <w:pPr>
        <w:pStyle w:val="32"/>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14:paraId="17A69782">
      <w:pPr>
        <w:pStyle w:val="32"/>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事业收入：指事业单位开展专业业务活动及辅助活动取得的收入。（二级预算单位事业收入情况）等。</w:t>
      </w:r>
    </w:p>
    <w:p w14:paraId="19A13D15">
      <w:pPr>
        <w:pStyle w:val="32"/>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经营收入：指事业单位在专业业务活动及其辅助活动之外开展非独立核算经营活动取得的收入。（二级预算单位经营收入情况）等。</w:t>
      </w:r>
    </w:p>
    <w:p w14:paraId="5B888B48">
      <w:pPr>
        <w:pStyle w:val="32"/>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其他收入：指单位取得的除上述收入以外的各项收入。主要是（收入类型）等。</w:t>
      </w:r>
      <w:r>
        <w:rPr>
          <w:rFonts w:ascii="仿宋_GB2312" w:eastAsia="仿宋_GB2312"/>
          <w:sz w:val="32"/>
          <w:szCs w:val="32"/>
        </w:rPr>
        <w:t xml:space="preserve"> </w:t>
      </w:r>
    </w:p>
    <w:p w14:paraId="51643635">
      <w:pPr>
        <w:pStyle w:val="32"/>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14:paraId="70A10B9D">
      <w:pPr>
        <w:pStyle w:val="32"/>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0F080CA6">
      <w:pPr>
        <w:pStyle w:val="32"/>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14:paraId="7486D037">
      <w:pPr>
        <w:pStyle w:val="32"/>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14:paraId="3457E5BB">
      <w:pPr>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9. 社会保障和就业（类）人力资源和社会保障管理事务（款）社会保险经办机构（项）：指社会保险经办机构开展业务工作的支出</w:t>
      </w:r>
      <w:r>
        <w:rPr>
          <w:rFonts w:hint="eastAsia" w:ascii="仿宋_GB2312" w:eastAsia="仿宋_GB2312"/>
          <w:color w:val="000000"/>
          <w:sz w:val="32"/>
          <w:szCs w:val="32"/>
          <w:lang w:eastAsia="zh-CN"/>
        </w:rPr>
        <w:t>。</w:t>
      </w:r>
    </w:p>
    <w:p w14:paraId="75013660">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10.社会保障和就业（类）行政事业单位离退休（款）机关事业单位基本养老保险缴费支出（项）：指机关事业单位实施养老保险制度由单位缴纳的基本养老保险费支出。</w:t>
      </w:r>
    </w:p>
    <w:p w14:paraId="2962D91A">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11. 社会保障和就业（类）行政事业单位离退休（款）机关事业单位职业年金缴费支出（项）：指机关事业单位养老保险制度由单位缴纳的职业年金支出。</w:t>
      </w:r>
    </w:p>
    <w:p w14:paraId="54D8B0AC">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12.医疗卫生与计划生育（类）行政事业单位医疗（款）事业单位医疗（项）：指财政部门集中安排的事业单位基本医疗保险缴费。</w:t>
      </w:r>
    </w:p>
    <w:p w14:paraId="243CC797">
      <w:pPr>
        <w:ind w:firstLine="640" w:firstLineChars="200"/>
        <w:rPr>
          <w:rFonts w:ascii="仿宋_GB2312" w:eastAsia="仿宋_GB2312"/>
          <w:color w:val="000000"/>
          <w:sz w:val="32"/>
          <w:szCs w:val="32"/>
        </w:rPr>
      </w:pPr>
      <w:r>
        <w:rPr>
          <w:rFonts w:hint="eastAsia" w:ascii="仿宋_GB2312" w:eastAsia="仿宋_GB2312"/>
          <w:color w:val="000000"/>
          <w:sz w:val="32"/>
          <w:szCs w:val="32"/>
        </w:rPr>
        <w:t>13.住房保障（类）住房改革（款）住房公积金（项）：指行政事业单位按规定的标准和比例为职工缴纳的住房公积金。</w:t>
      </w:r>
    </w:p>
    <w:p w14:paraId="1B9DCC32">
      <w:pPr>
        <w:pStyle w:val="32"/>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14.基本支出：指为保障机构正常运转、完成日常工作任务而发生的人员支出和公用支出。</w:t>
      </w:r>
    </w:p>
    <w:p w14:paraId="149FAE53">
      <w:pPr>
        <w:pStyle w:val="32"/>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15.项目支出：指在基本支出之外为完成特定行政任务和事业发展目标所发生的支出。</w:t>
      </w:r>
    </w:p>
    <w:p w14:paraId="0657D5FB">
      <w:pPr>
        <w:pStyle w:val="32"/>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16.经营支出：指事业单位在专业业务活动及其辅助活动之外开展非独立核算经营活动发生的支出。</w:t>
      </w:r>
    </w:p>
    <w:p w14:paraId="1CC06D74">
      <w:pPr>
        <w:pStyle w:val="32"/>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17.“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CE4B0A7">
      <w:pPr>
        <w:pStyle w:val="32"/>
        <w:spacing w:line="560" w:lineRule="exact"/>
        <w:ind w:firstLine="640" w:firstLineChars="200"/>
        <w:rPr>
          <w:rFonts w:ascii="仿宋_GB2312" w:eastAsia="仿宋_GB2312"/>
          <w:sz w:val="32"/>
          <w:szCs w:val="32"/>
        </w:rPr>
      </w:pPr>
      <w:r>
        <w:rPr>
          <w:rFonts w:hint="eastAsia" w:ascii="仿宋_GB2312" w:eastAsia="仿宋_GB2312"/>
          <w:color w:val="000000"/>
          <w:sz w:val="32"/>
          <w:szCs w:val="32"/>
        </w:rPr>
        <w:t>18.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仿宋_GB2312" w:eastAsia="仿宋_GB2312"/>
          <w:sz w:val="32"/>
          <w:szCs w:val="32"/>
        </w:rPr>
        <w:t>。</w:t>
      </w:r>
    </w:p>
    <w:p w14:paraId="44321172">
      <w:pPr>
        <w:spacing w:line="600" w:lineRule="exact"/>
        <w:jc w:val="center"/>
        <w:outlineLvl w:val="0"/>
        <w:rPr>
          <w:rStyle w:val="27"/>
          <w:rFonts w:ascii="黑体" w:eastAsia="黑体"/>
          <w:b w:val="0"/>
        </w:rPr>
      </w:pPr>
      <w:bookmarkStart w:id="99" w:name="_Toc15377226"/>
      <w:r>
        <w:rPr>
          <w:rFonts w:ascii="宋体"/>
          <w:b/>
          <w:color w:val="000000"/>
          <w:sz w:val="44"/>
          <w:szCs w:val="44"/>
        </w:rPr>
        <w:br w:type="page"/>
      </w:r>
      <w:bookmarkStart w:id="100" w:name="_Toc79163630"/>
      <w:bookmarkStart w:id="101" w:name="_Toc15396614"/>
      <w:bookmarkStart w:id="102" w:name="_Toc3560"/>
      <w:r>
        <w:rPr>
          <w:rFonts w:hint="eastAsia" w:ascii="黑体" w:eastAsia="黑体"/>
          <w:color w:val="000000"/>
          <w:sz w:val="44"/>
          <w:szCs w:val="44"/>
        </w:rPr>
        <w:t>第</w:t>
      </w:r>
      <w:r>
        <w:rPr>
          <w:rStyle w:val="27"/>
          <w:rFonts w:hint="eastAsia" w:ascii="黑体" w:eastAsia="黑体"/>
          <w:b w:val="0"/>
        </w:rPr>
        <w:t>四部分</w:t>
      </w:r>
      <w:r>
        <w:rPr>
          <w:rStyle w:val="27"/>
          <w:rFonts w:ascii="黑体" w:eastAsia="黑体"/>
          <w:b w:val="0"/>
        </w:rPr>
        <w:t xml:space="preserve"> </w:t>
      </w:r>
      <w:r>
        <w:rPr>
          <w:rStyle w:val="27"/>
          <w:rFonts w:hint="eastAsia" w:ascii="黑体" w:eastAsia="黑体"/>
          <w:b w:val="0"/>
        </w:rPr>
        <w:t>附件</w:t>
      </w:r>
      <w:bookmarkEnd w:id="100"/>
      <w:bookmarkEnd w:id="101"/>
      <w:bookmarkEnd w:id="102"/>
    </w:p>
    <w:p w14:paraId="30290650">
      <w:pPr>
        <w:spacing w:line="600" w:lineRule="exact"/>
        <w:jc w:val="left"/>
        <w:outlineLvl w:val="0"/>
        <w:rPr>
          <w:rFonts w:ascii="黑体" w:eastAsia="黑体" w:cs="黑体"/>
          <w:sz w:val="32"/>
          <w:szCs w:val="32"/>
        </w:rPr>
      </w:pPr>
      <w:bookmarkStart w:id="103" w:name="_Toc79163631"/>
      <w:bookmarkStart w:id="104" w:name="_Toc79163881"/>
      <w:bookmarkStart w:id="105" w:name="_Toc17756"/>
      <w:r>
        <w:rPr>
          <w:rFonts w:hint="eastAsia" w:ascii="黑体" w:eastAsia="黑体" w:cs="黑体"/>
          <w:sz w:val="32"/>
          <w:szCs w:val="32"/>
        </w:rPr>
        <w:t>附件</w:t>
      </w:r>
      <w:r>
        <w:rPr>
          <w:rFonts w:ascii="黑体" w:eastAsia="黑体" w:cs="黑体"/>
          <w:sz w:val="32"/>
          <w:szCs w:val="32"/>
        </w:rPr>
        <w:t>1</w:t>
      </w:r>
      <w:bookmarkEnd w:id="103"/>
      <w:bookmarkEnd w:id="104"/>
      <w:bookmarkEnd w:id="105"/>
    </w:p>
    <w:p w14:paraId="5965A266">
      <w:pPr>
        <w:spacing w:line="360" w:lineRule="auto"/>
        <w:jc w:val="center"/>
        <w:rPr>
          <w:rFonts w:hint="eastAsia" w:ascii="宋体" w:hAnsi="宋体" w:cs="宋体"/>
          <w:b/>
          <w:bCs/>
          <w:kern w:val="0"/>
          <w:sz w:val="44"/>
          <w:szCs w:val="44"/>
        </w:rPr>
      </w:pPr>
      <w:r>
        <w:rPr>
          <w:rFonts w:hint="eastAsia" w:ascii="宋体" w:hAnsi="宋体" w:cs="宋体"/>
          <w:b/>
          <w:bCs/>
          <w:kern w:val="0"/>
          <w:sz w:val="44"/>
          <w:szCs w:val="44"/>
        </w:rPr>
        <w:t>壤塘县中壤塘文化旅游景区管理处</w:t>
      </w:r>
    </w:p>
    <w:p w14:paraId="3FF3D9DB">
      <w:pPr>
        <w:spacing w:line="360" w:lineRule="auto"/>
        <w:jc w:val="center"/>
        <w:rPr>
          <w:rFonts w:ascii="宋体" w:hAnsi="宋体" w:cs="宋体"/>
          <w:b/>
          <w:bCs/>
          <w:kern w:val="0"/>
          <w:sz w:val="44"/>
          <w:szCs w:val="44"/>
        </w:rPr>
      </w:pPr>
      <w:r>
        <w:rPr>
          <w:rFonts w:hint="eastAsia" w:ascii="宋体" w:hAnsi="宋体" w:cs="宋体"/>
          <w:b/>
          <w:bCs/>
          <w:kern w:val="0"/>
          <w:sz w:val="44"/>
          <w:szCs w:val="44"/>
          <w:lang w:eastAsia="zh-CN"/>
        </w:rPr>
        <w:t>2023年</w:t>
      </w:r>
      <w:r>
        <w:rPr>
          <w:rFonts w:hint="eastAsia" w:ascii="宋体" w:hAnsi="宋体" w:cs="宋体"/>
          <w:b/>
          <w:bCs/>
          <w:kern w:val="0"/>
          <w:sz w:val="44"/>
          <w:szCs w:val="44"/>
        </w:rPr>
        <w:t>度部门整体支出绩效评价自评报告</w:t>
      </w:r>
    </w:p>
    <w:p w14:paraId="2258C3C2">
      <w:pPr>
        <w:spacing w:line="360" w:lineRule="auto"/>
        <w:jc w:val="center"/>
        <w:rPr>
          <w:rFonts w:ascii="宋体" w:hAnsi="宋体" w:cs="宋体"/>
          <w:kern w:val="0"/>
          <w:szCs w:val="21"/>
        </w:rPr>
      </w:pPr>
    </w:p>
    <w:p w14:paraId="15D898D2">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一、部门（单位）概况</w:t>
      </w:r>
    </w:p>
    <w:p w14:paraId="42F43C58">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壤塘县中壤塘文化旅游景区管理处机构性质：事业单位，机构地址：四川省壤塘县中壤塘镇，单位负责人：尕壤卓玛。</w:t>
      </w:r>
    </w:p>
    <w:p w14:paraId="2329BEF6">
      <w:pPr>
        <w:spacing w:line="360" w:lineRule="auto"/>
        <w:ind w:firstLine="643" w:firstLineChars="20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（一）机构组成</w:t>
      </w:r>
    </w:p>
    <w:p w14:paraId="3C1EC8BF">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壤塘中壤塘文化旅游景区管理处共有4个股室，办公室、规划建设股、管理运营股、</w:t>
      </w:r>
      <w:r>
        <w:rPr>
          <w:rFonts w:ascii="仿宋_GB2312" w:eastAsia="仿宋_GB2312" w:cs="仿宋_GB2312"/>
          <w:sz w:val="32"/>
          <w:szCs w:val="32"/>
        </w:rPr>
        <w:t>创业园管理运营股</w:t>
      </w:r>
      <w:r>
        <w:rPr>
          <w:rFonts w:hint="eastAsia" w:ascii="仿宋_GB2312" w:hAnsi="仿宋_GB2312" w:eastAsia="仿宋_GB2312" w:cs="仿宋_GB2312"/>
          <w:sz w:val="32"/>
          <w:szCs w:val="32"/>
        </w:rPr>
        <w:t>。</w:t>
      </w:r>
    </w:p>
    <w:p w14:paraId="419AA3C6">
      <w:pPr>
        <w:numPr>
          <w:ilvl w:val="0"/>
          <w:numId w:val="4"/>
        </w:num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机构职能</w:t>
      </w:r>
    </w:p>
    <w:p w14:paraId="6F640FA2">
      <w:pPr>
        <w:pStyle w:val="20"/>
        <w:widowControl/>
        <w:spacing w:beforeAutospacing="0" w:afterAutospacing="0" w:line="560" w:lineRule="exact"/>
        <w:ind w:firstLine="640" w:firstLineChars="200"/>
        <w:jc w:val="both"/>
        <w:rPr>
          <w:rFonts w:hint="eastAsia" w:ascii="仿宋_GB2312" w:hAnsi="仿宋_GB2312" w:eastAsia="仿宋_GB2312" w:cs="仿宋_GB2312"/>
          <w:kern w:val="10"/>
          <w:sz w:val="32"/>
          <w:szCs w:val="32"/>
        </w:rPr>
      </w:pPr>
      <w:r>
        <w:rPr>
          <w:rFonts w:hint="eastAsia" w:ascii="仿宋_GB2312" w:hAnsi="仿宋_GB2312" w:eastAsia="仿宋_GB2312" w:cs="仿宋_GB2312"/>
          <w:kern w:val="10"/>
          <w:sz w:val="32"/>
          <w:szCs w:val="32"/>
        </w:rPr>
        <w:t>1</w:t>
      </w:r>
      <w:r>
        <w:rPr>
          <w:rFonts w:hint="eastAsia" w:ascii="仿宋_GB2312" w:hAnsi="仿宋_GB2312" w:eastAsia="仿宋_GB2312" w:cs="仿宋_GB2312"/>
          <w:kern w:val="10"/>
          <w:sz w:val="32"/>
          <w:szCs w:val="32"/>
          <w:lang w:val="en-US" w:eastAsia="zh-CN"/>
        </w:rPr>
        <w:t>.</w:t>
      </w:r>
      <w:r>
        <w:rPr>
          <w:rFonts w:hint="eastAsia" w:ascii="仿宋_GB2312" w:hAnsi="仿宋_GB2312" w:eastAsia="仿宋_GB2312" w:cs="仿宋_GB2312"/>
          <w:kern w:val="10"/>
          <w:sz w:val="32"/>
          <w:szCs w:val="32"/>
        </w:rPr>
        <w:t>办公室。贯彻执行景区各项工作制度，协</w:t>
      </w:r>
      <w:bookmarkStart w:id="155" w:name="_GoBack"/>
      <w:bookmarkEnd w:id="155"/>
      <w:r>
        <w:rPr>
          <w:rFonts w:hint="eastAsia" w:ascii="仿宋_GB2312" w:hAnsi="仿宋_GB2312" w:eastAsia="仿宋_GB2312" w:cs="仿宋_GB2312"/>
          <w:kern w:val="10"/>
          <w:sz w:val="32"/>
          <w:szCs w:val="32"/>
        </w:rPr>
        <w:t>助党支部、</w:t>
      </w:r>
      <w:r>
        <w:rPr>
          <w:rFonts w:hint="eastAsia" w:ascii="仿宋_GB2312" w:hAnsi="仿宋_GB2312" w:eastAsia="仿宋_GB2312" w:cs="仿宋_GB2312"/>
          <w:kern w:val="10"/>
          <w:sz w:val="32"/>
          <w:szCs w:val="32"/>
        </w:rPr>
        <w:br w:type="textWrapping"/>
      </w:r>
      <w:r>
        <w:rPr>
          <w:rFonts w:hint="eastAsia" w:ascii="仿宋_GB2312" w:hAnsi="仿宋_GB2312" w:eastAsia="仿宋_GB2312" w:cs="仿宋_GB2312"/>
          <w:kern w:val="10"/>
          <w:sz w:val="32"/>
          <w:szCs w:val="32"/>
        </w:rPr>
        <w:t xml:space="preserve">管理处领导做好日常工作，抓好组织协调和对外联络接待工作；协助景区领导抓好干部职工的思想政治教育、精神文明建设、党风廉政建设、社会治安综合治理、普法、信访、统计、保密、计划生育及工、青、妇和老干部工作；抓好机关行政管理、作风建设工作，对工作作风、纪律进行督查；负责公文的写作和处理，及时做好来文的登记、请办、分送、 传阅、承办；发文的草拟、送审、打印、校对、印刷、缮印、装订、送发；文书档案的收集、整理、鉴别、保管、统计、 移交、利用、销毁、立卷、归档等工作；负责收发、印信、 考勤工作， 做好报刊、信函的订阅、分发和登记；印章的刻制、颁发、使用、缴销；介绍信（证明）的审批、填写、 保管；按照考勤制度组织考勤、保存考勤资料；负责会议的组织安排和综合性文稿的起草工作，搞好机关的宣传工作； 负责人事管理和年度考核等工作；负责景区公共财产管理，办公用品的购置，公设施的改造、维修、维护等工作；负责景区车辆的调度、维修保养及安全管理工作；负责景区重大接待、重大活动、重要工作、日常接待的安排及重要决议的督促、检查、督办；负责抓好督查工作的拟办、立项、交办、催办、办结、复函及立卷归档工作。贯彻落实景区有关财务工作的方针政策，制订具体实施意见和细则；搞好财务分析，为领导经营决策提供优质服务；协调好与计划、财政、税务、银行、统计等业务部门的关系；负责单位财务经费计划的报批工作，做好全年财务预、决算；做好各种财务票据的领购、管理及各种财务报表的编报分析工作；负责景区各项经营业务收入和税外规费的征收、管理、使用，接受财政、审计监督；对管委会及下属单位实行会计监督，坚持依法办事，维护国家财政纪律；负责单位财务收支运行、记账工作，及时办理各项现金手续，建立健全会计账目，做到日清月结、帐帐相符、帐实相符；负责管委会资金的合理调度，积极组织投融资工作，并进行监督管理；协助搞好工程预结算和财务审计工作；定期、如实做好管委会各项统计指标的统计、 制表；对其他统计单位报表汇总，如期上报统计报表；负责单位人事工资审核报批和国有资产产权登记管理工作；加强财务人员专业知识培训，组织会计人员培训、学习、考试和会计证年检；辅导和监督报销单位的会计工作；为相关企业办理营业执照、税务登记的申领、年审、变更、换证等提供协助服务。完成领导交办的其他工作。 </w:t>
      </w:r>
    </w:p>
    <w:p w14:paraId="03DE0876">
      <w:pPr>
        <w:pStyle w:val="20"/>
        <w:widowControl/>
        <w:spacing w:beforeAutospacing="0" w:afterAutospacing="0"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w:t>
      </w:r>
      <w:r>
        <w:rPr>
          <w:rFonts w:hint="eastAsia" w:ascii="仿宋_GB2312" w:hAnsi="仿宋_GB2312" w:eastAsia="仿宋_GB2312" w:cs="仿宋_GB2312"/>
          <w:kern w:val="2"/>
          <w:sz w:val="32"/>
          <w:szCs w:val="32"/>
          <w:lang w:val="en-US" w:eastAsia="zh-CN"/>
        </w:rPr>
        <w:t>.</w:t>
      </w:r>
      <w:r>
        <w:rPr>
          <w:rFonts w:hint="eastAsia" w:ascii="仿宋_GB2312" w:hAnsi="仿宋_GB2312" w:eastAsia="仿宋_GB2312" w:cs="仿宋_GB2312"/>
          <w:kern w:val="2"/>
          <w:sz w:val="32"/>
          <w:szCs w:val="32"/>
        </w:rPr>
        <w:t>规划建设股。贯彻执行上级有关景区旅游事业的法律、法规和政策，拟定景区旅游业发展的规范性文件，并组织监督实施;负责申报中壤塘创建国家4A级旅游景区工作及景区建设工作;负责制定景区总体规划、土地利用总体规划和单体规划，搞好景区单体项目可研、环评、立项等报批工作，做好各项工程的勘察、设计、图纸会审等工作;负责景区的统一规划和开发建设，编制景区基础设施及配套工程的建设计划，并组织实施;负责编制景区的总体发展规划、建设性详细规划、中长期规划及年度计划，并组织实施，同时注重有效保护和科学开发利用资源;负责景区内的规划建设、生态环境保护等各项管理;按规定权限和程序，管辖区域内的招商引资、旅游开发工作;负责协调相关部门处理景区保护、规划、开发、建设、管理中的问题;加强景区内旅游服务质量的监督管理工作;协调处理景区建设和发展过程中的其他问题;负责景区建设工程、在建企业的建设和安全生产管理等工作，督促抓好施工现场管理、安全措施落实工作，杜绝安全事故的发生;负责景区内土地管理和土地储备工作;制定景区旅游协调发展配套政策和实施细则;负责研究解决景区建设过程中存在的其他问题和困难;完成领导交办的其他工作。</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xml:space="preserve">    3</w:t>
      </w:r>
      <w:r>
        <w:rPr>
          <w:rFonts w:hint="eastAsia" w:ascii="仿宋_GB2312" w:hAnsi="仿宋_GB2312" w:eastAsia="仿宋_GB2312" w:cs="仿宋_GB2312"/>
          <w:kern w:val="2"/>
          <w:sz w:val="32"/>
          <w:szCs w:val="32"/>
          <w:lang w:val="en-US" w:eastAsia="zh-CN"/>
        </w:rPr>
        <w:t>.</w:t>
      </w:r>
      <w:r>
        <w:rPr>
          <w:rFonts w:hint="eastAsia" w:ascii="仿宋_GB2312" w:hAnsi="仿宋_GB2312" w:eastAsia="仿宋_GB2312" w:cs="仿宋_GB2312"/>
          <w:kern w:val="2"/>
          <w:sz w:val="32"/>
          <w:szCs w:val="32"/>
        </w:rPr>
        <w:t>管理运营股。按照相关法律、法规对景区内风景资源、人文资源、自然生态环境实施保护、管理和合理开发利用;负责做好景区内的公共设施维护管理、环境保护、市政市容、环境卫生、园林绿化、水资源保护和安全运营等工作;负责组织编制景区管理运营的规章制度及考核标准和办法;积极探索市场化养护机制，对建成工程，谋划、制定出台相应的管理运营承包办法，落实管护队伍和资金，在满足公共服务的基础上，最大限度地回收成本;负责景区内经营活动的审核事项，搞好经营企业、经营网点和从业人员的市场准入工作，并依法对其经营活动进行管理;负责景区环境资源、旅游资源的普查、管理和保护，利用土地资源和项目内外市场搞好旅游开发、休闲游乐等方面的商业运作;负责景区总体形象的对外宣传推介，汇编宣传资料，了解市场信息，制定营销策略，搞好服务项目开发建设的招商引资与服务工作;协调搞好景区范围内的综合执法工作，做好景区内投诉处理、车辆停放、安全保卫等工作，组织对景区保护、管理和利用情况进行督查，开展日常巡护工作，发现有违规行为的，及时按照有关制度进行处置;负责群众环境保护意识的宣传工作;负责对景区内非物遗产、传统建筑和公共设施的日常管理以及旅游市场秩序管理等工作;完成上级领导交办的其他事项。</w:t>
      </w:r>
    </w:p>
    <w:p w14:paraId="1D22DF82">
      <w:pPr>
        <w:spacing w:line="360" w:lineRule="auto"/>
        <w:ind w:firstLine="640" w:firstLineChars="200"/>
        <w:rPr>
          <w:rFonts w:hint="eastAsia" w:asci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ascii="仿宋_GB2312" w:eastAsia="仿宋_GB2312" w:cs="仿宋_GB2312"/>
          <w:sz w:val="32"/>
          <w:szCs w:val="32"/>
        </w:rPr>
        <w:t>创业园管理运营股：负责制定园区管理相关规章制度;负责园区传习所工作人员的思想政治建设;负责创新型发展示范园区，推动建设中华优秀文化壤巴拉文化传习所规范化运营和创造性转化;负责了解园区市场信息，积极探索市场化运营机制制定营销策略，制定出台相应的管理运营办法; 负责创业园内的公共设施维护管理、环境保护、环境卫生、园区绿化、安全运营等工作，搞好服务工作;负责对园区保护、管理和利用情况进行监督检查;负责创业园学员管理及园区环境保护意识的宣传工作</w:t>
      </w:r>
    </w:p>
    <w:p w14:paraId="5323D900">
      <w:pPr>
        <w:spacing w:line="360" w:lineRule="auto"/>
        <w:ind w:firstLine="640" w:firstLineChars="200"/>
        <w:rPr>
          <w:rFonts w:hint="eastAsia" w:ascii="仿宋_GB2312" w:hAnsi="仿宋_GB2312" w:eastAsia="仿宋_GB2312" w:cs="仿宋_GB2312"/>
          <w:sz w:val="32"/>
          <w:szCs w:val="32"/>
        </w:rPr>
      </w:pPr>
    </w:p>
    <w:p w14:paraId="258F140A">
      <w:pPr>
        <w:numPr>
          <w:ilvl w:val="0"/>
          <w:numId w:val="4"/>
        </w:numPr>
        <w:spacing w:line="360" w:lineRule="auto"/>
        <w:ind w:firstLine="643" w:firstLineChars="20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人员概况</w:t>
      </w:r>
    </w:p>
    <w:p w14:paraId="4C560C0E">
      <w:pPr>
        <w:spacing w:line="580" w:lineRule="exact"/>
        <w:ind w:left="40" w:firstLine="640" w:firstLineChars="200"/>
        <w:rPr>
          <w:rFonts w:ascii="仿宋_GB2312" w:eastAsia="仿宋_GB2312" w:cs="宋体"/>
          <w:color w:val="000000"/>
          <w:kern w:val="0"/>
          <w:sz w:val="32"/>
          <w:szCs w:val="32"/>
          <w:shd w:val="clear" w:color="auto" w:fill="FFFFFF"/>
          <w:lang w:val="en-US" w:eastAsia="zh-CN"/>
        </w:rPr>
      </w:pPr>
      <w:r>
        <w:rPr>
          <w:rFonts w:hint="eastAsia" w:ascii="仿宋_GB2312" w:hAnsi="宋体" w:eastAsia="仿宋_GB2312" w:cs="仿宋_GB2312"/>
          <w:kern w:val="0"/>
          <w:sz w:val="32"/>
          <w:szCs w:val="32"/>
        </w:rPr>
        <w:t>人员情况：</w:t>
      </w:r>
      <w:r>
        <w:rPr>
          <w:rFonts w:hint="eastAsia" w:ascii="仿宋_GB2312" w:eastAsia="仿宋_GB2312" w:cs="宋体"/>
          <w:color w:val="000000"/>
          <w:kern w:val="0"/>
          <w:sz w:val="32"/>
          <w:szCs w:val="32"/>
          <w:shd w:val="clear" w:color="auto" w:fill="FFFFFF"/>
          <w:lang w:val="zh-CN"/>
        </w:rPr>
        <w:t>总编制</w:t>
      </w:r>
      <w:r>
        <w:rPr>
          <w:rFonts w:hint="eastAsia" w:ascii="仿宋_GB2312" w:eastAsia="仿宋_GB2312" w:cs="宋体"/>
          <w:color w:val="000000"/>
          <w:kern w:val="0"/>
          <w:sz w:val="32"/>
          <w:szCs w:val="32"/>
          <w:shd w:val="clear" w:color="auto" w:fill="FFFFFF"/>
          <w:lang w:val="en-US" w:eastAsia="zh-CN"/>
        </w:rPr>
        <w:t>16</w:t>
      </w:r>
      <w:r>
        <w:rPr>
          <w:rFonts w:hint="eastAsia" w:ascii="仿宋_GB2312" w:eastAsia="仿宋_GB2312" w:cs="宋体"/>
          <w:color w:val="000000"/>
          <w:kern w:val="0"/>
          <w:sz w:val="32"/>
          <w:szCs w:val="32"/>
          <w:shd w:val="clear" w:color="auto" w:fill="FFFFFF"/>
          <w:lang w:val="zh-CN"/>
        </w:rPr>
        <w:t>名,其中:其中，主任1名，副主任2名;股级领导职数4名。</w:t>
      </w:r>
      <w:r>
        <w:rPr>
          <w:rFonts w:hint="eastAsia" w:ascii="仿宋_GB2312" w:eastAsia="仿宋_GB2312" w:cs="宋体"/>
          <w:color w:val="000000"/>
          <w:kern w:val="0"/>
          <w:sz w:val="32"/>
          <w:szCs w:val="32"/>
          <w:shd w:val="clear" w:color="auto" w:fill="FFFFFF"/>
          <w:lang w:val="en-US" w:eastAsia="zh-CN"/>
        </w:rPr>
        <w:t>专业技术岗：4名，管理岗：4名，事业工勤1名。</w:t>
      </w:r>
    </w:p>
    <w:p w14:paraId="7BF23C46">
      <w:pPr>
        <w:ind w:firstLine="800" w:firstLineChars="250"/>
        <w:rPr>
          <w:rFonts w:ascii="仿宋_GB2312" w:hAnsi="仿宋_GB2312" w:eastAsia="仿宋_GB2312" w:cs="仿宋_GB2312"/>
          <w:sz w:val="32"/>
          <w:szCs w:val="32"/>
        </w:rPr>
      </w:pPr>
    </w:p>
    <w:p w14:paraId="597E6FC0">
      <w:pPr>
        <w:spacing w:line="360" w:lineRule="auto"/>
        <w:ind w:firstLine="643" w:firstLineChars="20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二、部门财政资金收支情况</w:t>
      </w:r>
    </w:p>
    <w:p w14:paraId="42D35C1E">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（一）部门财政资金收入情况</w:t>
      </w:r>
    </w:p>
    <w:p w14:paraId="77350DAC">
      <w:pPr>
        <w:pStyle w:val="3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财政下达壤塘县中壤塘文化旅游景区管理处年初预算收入</w:t>
      </w:r>
      <w:r>
        <w:rPr>
          <w:rFonts w:hint="eastAsia" w:ascii="仿宋_GB2312" w:hAnsi="仿宋_GB2312" w:eastAsia="仿宋_GB2312" w:cs="仿宋_GB2312"/>
          <w:sz w:val="32"/>
          <w:szCs w:val="32"/>
          <w:lang w:val="en-US" w:eastAsia="zh-CN"/>
        </w:rPr>
        <w:t>303.86</w:t>
      </w:r>
      <w:r>
        <w:rPr>
          <w:rFonts w:hint="eastAsia" w:ascii="仿宋_GB2312" w:hAnsi="仿宋_GB2312" w:eastAsia="仿宋_GB2312" w:cs="仿宋_GB2312"/>
          <w:sz w:val="32"/>
          <w:szCs w:val="32"/>
        </w:rPr>
        <w:t>万元，执行期中追加收入</w:t>
      </w:r>
      <w:r>
        <w:rPr>
          <w:rFonts w:hint="eastAsia" w:ascii="仿宋_GB2312" w:hAnsi="仿宋_GB2312" w:eastAsia="仿宋_GB2312" w:cs="仿宋_GB2312"/>
          <w:sz w:val="32"/>
          <w:szCs w:val="32"/>
          <w:lang w:eastAsia="zh-CN"/>
        </w:rPr>
        <w:t>1578.23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全年实际收入合计为1882.09万元，本年度无财政应返还额度</w:t>
      </w:r>
      <w:r>
        <w:rPr>
          <w:rFonts w:hint="eastAsia" w:ascii="仿宋_GB2312" w:hAnsi="仿宋_GB2312" w:eastAsia="仿宋_GB2312" w:cs="仿宋_GB2312"/>
          <w:sz w:val="32"/>
          <w:szCs w:val="32"/>
        </w:rPr>
        <w:t xml:space="preserve">。 </w:t>
      </w:r>
    </w:p>
    <w:p w14:paraId="18320BF9">
      <w:pPr>
        <w:pStyle w:val="38"/>
        <w:spacing w:line="360" w:lineRule="auto"/>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（二）部门财政资金支出情况</w:t>
      </w:r>
      <w:r>
        <w:rPr>
          <w:rFonts w:hint="eastAsia" w:ascii="仿宋_GB2312" w:hAnsi="仿宋_GB2312" w:eastAsia="仿宋_GB2312" w:cs="仿宋_GB2312"/>
          <w:sz w:val="32"/>
          <w:szCs w:val="32"/>
        </w:rPr>
        <w:t xml:space="preserve">  </w:t>
      </w:r>
    </w:p>
    <w:p w14:paraId="78844E8E">
      <w:pPr>
        <w:pStyle w:val="3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壤塘县中壤塘文化旅游景区管理处支出全年预算数共计</w:t>
      </w:r>
      <w:r>
        <w:rPr>
          <w:rFonts w:hint="eastAsia" w:ascii="仿宋_GB2312" w:hAnsi="仿宋_GB2312" w:eastAsia="仿宋_GB2312" w:cs="仿宋_GB2312"/>
          <w:sz w:val="32"/>
          <w:szCs w:val="32"/>
          <w:lang w:eastAsia="zh-CN"/>
        </w:rPr>
        <w:t>1882.09</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339.12</w:t>
      </w:r>
      <w:r>
        <w:rPr>
          <w:rFonts w:hint="eastAsia" w:ascii="仿宋_GB2312" w:hAnsi="仿宋_GB2312" w:eastAsia="仿宋_GB2312" w:cs="仿宋_GB2312"/>
          <w:sz w:val="32"/>
          <w:szCs w:val="32"/>
        </w:rPr>
        <w:t>万元，项目支出</w:t>
      </w:r>
      <w:r>
        <w:rPr>
          <w:rFonts w:hint="eastAsia" w:ascii="仿宋_GB2312" w:hAnsi="仿宋_GB2312" w:eastAsia="仿宋_GB2312" w:cs="仿宋_GB2312"/>
          <w:sz w:val="32"/>
          <w:szCs w:val="32"/>
          <w:lang w:val="en-US" w:eastAsia="zh-CN"/>
        </w:rPr>
        <w:t>1542.97</w:t>
      </w:r>
      <w:r>
        <w:rPr>
          <w:rFonts w:hint="eastAsia" w:ascii="仿宋_GB2312" w:hAnsi="仿宋_GB2312" w:eastAsia="仿宋_GB2312" w:cs="仿宋_GB2312"/>
          <w:sz w:val="32"/>
          <w:szCs w:val="32"/>
        </w:rPr>
        <w:t>万元。</w:t>
      </w:r>
    </w:p>
    <w:p w14:paraId="166231CB">
      <w:pPr>
        <w:spacing w:line="360" w:lineRule="auto"/>
        <w:ind w:firstLine="643" w:firstLineChars="20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三、部门整体预算绩效管理情况</w:t>
      </w:r>
    </w:p>
    <w:p w14:paraId="7B83B0E8">
      <w:pPr>
        <w:pStyle w:val="38"/>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（一）部门预算管理</w:t>
      </w:r>
    </w:p>
    <w:p w14:paraId="58B9EF76">
      <w:pPr>
        <w:pStyle w:val="38"/>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1.部门整体绩效目标制定情况</w:t>
      </w:r>
    </w:p>
    <w:p w14:paraId="23B23DA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
          <w:bCs/>
          <w:kern w:val="0"/>
          <w:sz w:val="32"/>
          <w:szCs w:val="32"/>
        </w:rPr>
      </w:pPr>
      <w:r>
        <w:rPr>
          <w:rFonts w:hint="eastAsia" w:ascii="仿宋_GB2312" w:hAnsi="仿宋_GB2312" w:eastAsia="仿宋_GB2312" w:cs="仿宋_GB2312"/>
          <w:kern w:val="2"/>
          <w:sz w:val="32"/>
          <w:szCs w:val="32"/>
          <w:lang w:val="en-US" w:eastAsia="zh-CN" w:bidi="ar-SA"/>
        </w:rPr>
        <w:t>景区管理处在县委、县政府的正确领导下，坚持以习近平新时代中国特色社会主义思想为指导，全面贯彻党的二十大和习近平总书记对四川工作、对阿坝工作系列重要指示批示精神，紧紧围绕县委“农牧立县、文旅兴 县、能源富县</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发展战略，大力实施</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文旅兴县</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发展战略，立足</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藏族非遗传承保护和民族手工艺发展中心</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目标定位，锁定全国</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文化赋能乡村振兴</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试点县，坚持以壤巴拉文化旅游景区为抓手，以文化与旅游融合发展为重点，全面推进单位各项工作落实落细</w:t>
      </w:r>
      <w:r>
        <w:rPr>
          <w:rFonts w:hint="eastAsia" w:ascii="仿宋_GB2312" w:hAnsi="仿宋_GB2312" w:eastAsia="仿宋_GB2312" w:cs="仿宋_GB2312"/>
          <w:sz w:val="32"/>
          <w:szCs w:val="32"/>
        </w:rPr>
        <w:t>。</w:t>
      </w:r>
    </w:p>
    <w:p w14:paraId="4C03DBFD">
      <w:pPr>
        <w:pStyle w:val="38"/>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2.部门整体绩效目标完成情况</w:t>
      </w:r>
    </w:p>
    <w:p w14:paraId="0A6B7FEF">
      <w:pPr>
        <w:pStyle w:val="38"/>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（1）2023 年在县委、县政府的正确领导和县有关部门的密切配合下，我单位圆满完成了阿坝州非遗保护工作现场会、阿坝州“三家园”现场观摩推进会“四好 农村路”创建、阿坝州政协“有事来协商”现场会、省级非遗 保护传承基地申报、县城乡交通运输一体化全国示范县等迎检工作，共接待省州县领导及各地来宾 65 批次，2950余人，2023 年荣获“阿坝州非遗进景区”优秀实践基地、壤塘县非遗文化成果转化先进集体的称号。</w:t>
      </w:r>
    </w:p>
    <w:p w14:paraId="024ED19E">
      <w:pPr>
        <w:pStyle w:val="38"/>
        <w:spacing w:line="360" w:lineRule="auto"/>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（2）坚持“走出去</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与</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请进来</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并重。始终把文化、旅游作为经济发展的“活力源</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，全力打造</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悬天净土</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壤巴拉</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 xml:space="preserve">文化 旅游品牌，利用上海、杭州、江西等地的 </w:t>
      </w:r>
      <w:r>
        <w:rPr>
          <w:rFonts w:hint="default" w:ascii="仿宋_GB2312" w:hAnsi="仿宋_GB2312" w:eastAsia="仿宋_GB2312" w:cs="仿宋_GB2312"/>
          <w:kern w:val="2"/>
          <w:sz w:val="32"/>
          <w:szCs w:val="32"/>
          <w:lang w:val="en-US" w:eastAsia="zh-CN" w:bidi="ar-SA"/>
        </w:rPr>
        <w:t xml:space="preserve">23 </w:t>
      </w:r>
      <w:r>
        <w:rPr>
          <w:rFonts w:hint="eastAsia" w:ascii="仿宋_GB2312" w:hAnsi="仿宋_GB2312" w:eastAsia="仿宋_GB2312" w:cs="仿宋_GB2312"/>
          <w:kern w:val="2"/>
          <w:sz w:val="32"/>
          <w:szCs w:val="32"/>
          <w:lang w:val="en-US" w:eastAsia="zh-CN" w:bidi="ar-SA"/>
        </w:rPr>
        <w:t>个</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飞地</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传习所，深化壤塘产业发展对外交流、项目合作和人才 培养，不断延伸文化的广度。</w:t>
      </w:r>
      <w:r>
        <w:rPr>
          <w:rFonts w:hint="default" w:ascii="仿宋_GB2312" w:hAnsi="仿宋_GB2312" w:eastAsia="仿宋_GB2312" w:cs="仿宋_GB2312"/>
          <w:kern w:val="2"/>
          <w:sz w:val="32"/>
          <w:szCs w:val="32"/>
          <w:lang w:val="en-US" w:eastAsia="zh-CN" w:bidi="ar-SA"/>
        </w:rPr>
        <w:t xml:space="preserve">2023 </w:t>
      </w:r>
      <w:r>
        <w:rPr>
          <w:rFonts w:hint="eastAsia" w:ascii="仿宋_GB2312" w:hAnsi="仿宋_GB2312" w:eastAsia="仿宋_GB2312" w:cs="仿宋_GB2312"/>
          <w:kern w:val="2"/>
          <w:sz w:val="32"/>
          <w:szCs w:val="32"/>
          <w:lang w:val="en-US" w:eastAsia="zh-CN" w:bidi="ar-SA"/>
        </w:rPr>
        <w:t>年创业园在北京、上海、西安、温州、佛山、绵阳等地参与</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 xml:space="preserve">香港国际 </w:t>
      </w:r>
      <w:r>
        <w:rPr>
          <w:rFonts w:hint="default" w:ascii="仿宋_GB2312" w:hAnsi="仿宋_GB2312" w:eastAsia="仿宋_GB2312" w:cs="仿宋_GB2312"/>
          <w:kern w:val="2"/>
          <w:sz w:val="32"/>
          <w:szCs w:val="32"/>
          <w:lang w:val="en-US" w:eastAsia="zh-CN" w:bidi="ar-SA"/>
        </w:rPr>
        <w:t xml:space="preserve">IP </w:t>
      </w:r>
      <w:r>
        <w:rPr>
          <w:rFonts w:hint="eastAsia" w:ascii="仿宋_GB2312" w:hAnsi="仿宋_GB2312" w:eastAsia="仿宋_GB2312" w:cs="仿宋_GB2312"/>
          <w:kern w:val="2"/>
          <w:sz w:val="32"/>
          <w:szCs w:val="32"/>
          <w:lang w:val="en-US" w:eastAsia="zh-CN" w:bidi="ar-SA"/>
        </w:rPr>
        <w:t>授权展</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中国非遗年会</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成都大运会</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杭州藏风宋韵</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绵品出川宁波行</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 xml:space="preserve">等系列展览活动 </w:t>
      </w: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t>4次，让非遗文化从牧场走到园区、走出高原、走进全国、走向国际</w:t>
      </w:r>
      <w:r>
        <w:rPr>
          <w:rFonts w:hint="eastAsia" w:ascii="仿宋_GB2312" w:hAnsi="仿宋_GB2312" w:eastAsia="仿宋_GB2312" w:cs="仿宋_GB2312"/>
          <w:color w:val="000000"/>
          <w:kern w:val="0"/>
          <w:sz w:val="31"/>
          <w:szCs w:val="31"/>
          <w:lang w:val="en-US" w:eastAsia="zh-CN" w:bidi="ar"/>
        </w:rPr>
        <w:t>。</w:t>
      </w:r>
    </w:p>
    <w:p w14:paraId="3010D91C">
      <w:pPr>
        <w:pStyle w:val="38"/>
        <w:spacing w:line="360" w:lineRule="auto"/>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3.预算编制情况</w:t>
      </w:r>
    </w:p>
    <w:p w14:paraId="3CF1392B">
      <w:pPr>
        <w:pStyle w:val="38"/>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壤塘县中壤塘文化旅游景区管理处</w:t>
      </w:r>
      <w:r>
        <w:rPr>
          <w:rFonts w:ascii="仿宋_GB2312" w:hAnsi="仿宋_GB2312" w:eastAsia="仿宋_GB2312" w:cs="仿宋_GB2312"/>
          <w:sz w:val="32"/>
          <w:szCs w:val="32"/>
        </w:rPr>
        <w:t>年初预算数为</w:t>
      </w:r>
      <w:r>
        <w:rPr>
          <w:rFonts w:hint="eastAsia" w:ascii="仿宋_GB2312" w:hAnsi="仿宋_GB2312" w:eastAsia="仿宋_GB2312" w:cs="仿宋_GB2312"/>
          <w:sz w:val="32"/>
          <w:szCs w:val="32"/>
          <w:lang w:val="en-US" w:eastAsia="zh-CN"/>
        </w:rPr>
        <w:t>303.86</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rPr>
        <w:t>执行期间根据工作安排和开展情况追加收入</w:t>
      </w:r>
      <w:r>
        <w:rPr>
          <w:rFonts w:hint="eastAsia" w:ascii="仿宋_GB2312" w:hAnsi="仿宋_GB2312" w:eastAsia="仿宋_GB2312" w:cs="仿宋_GB2312"/>
          <w:sz w:val="32"/>
          <w:szCs w:val="32"/>
          <w:lang w:eastAsia="zh-CN"/>
        </w:rPr>
        <w:t>1578.23</w:t>
      </w:r>
      <w:r>
        <w:rPr>
          <w:rFonts w:hint="eastAsia" w:ascii="仿宋_GB2312" w:hAnsi="仿宋_GB2312" w:eastAsia="仿宋_GB2312" w:cs="仿宋_GB2312"/>
          <w:sz w:val="32"/>
          <w:szCs w:val="32"/>
        </w:rPr>
        <w:t>万元，</w:t>
      </w:r>
      <w:r>
        <w:rPr>
          <w:rFonts w:ascii="仿宋_GB2312" w:hAnsi="仿宋_GB2312" w:eastAsia="仿宋_GB2312" w:cs="仿宋_GB2312"/>
          <w:sz w:val="32"/>
          <w:szCs w:val="32"/>
        </w:rPr>
        <w:t>调整预算数为</w:t>
      </w:r>
      <w:r>
        <w:rPr>
          <w:rFonts w:hint="eastAsia" w:ascii="仿宋_GB2312" w:hAnsi="仿宋_GB2312" w:eastAsia="仿宋_GB2312" w:cs="仿宋_GB2312"/>
          <w:sz w:val="32"/>
          <w:szCs w:val="32"/>
          <w:lang w:eastAsia="zh-CN"/>
        </w:rPr>
        <w:t>1882.09</w:t>
      </w:r>
      <w:r>
        <w:rPr>
          <w:rFonts w:ascii="仿宋_GB2312" w:hAnsi="仿宋_GB2312" w:eastAsia="仿宋_GB2312" w:cs="仿宋_GB2312"/>
          <w:sz w:val="32"/>
          <w:szCs w:val="32"/>
        </w:rPr>
        <w:t>万元，预算安排</w:t>
      </w:r>
      <w:r>
        <w:rPr>
          <w:rFonts w:hint="eastAsia" w:ascii="仿宋_GB2312" w:hAnsi="仿宋_GB2312" w:eastAsia="仿宋_GB2312" w:cs="仿宋_GB2312"/>
          <w:sz w:val="32"/>
          <w:szCs w:val="32"/>
          <w:lang w:val="en-US" w:eastAsia="zh-CN"/>
        </w:rPr>
        <w:t>不</w:t>
      </w:r>
      <w:r>
        <w:rPr>
          <w:rFonts w:ascii="仿宋_GB2312" w:hAnsi="仿宋_GB2312" w:eastAsia="仿宋_GB2312" w:cs="仿宋_GB2312"/>
          <w:sz w:val="32"/>
          <w:szCs w:val="32"/>
        </w:rPr>
        <w:t>准确。</w:t>
      </w:r>
    </w:p>
    <w:p w14:paraId="1F90A05B">
      <w:pPr>
        <w:pStyle w:val="38"/>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4.执行进度</w:t>
      </w:r>
    </w:p>
    <w:p w14:paraId="26C6E592">
      <w:pPr>
        <w:pStyle w:val="3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壤塘县中壤塘文化旅游景区管理处财政拨款执行数</w:t>
      </w:r>
      <w:r>
        <w:rPr>
          <w:rFonts w:hint="eastAsia" w:ascii="仿宋_GB2312" w:hAnsi="仿宋_GB2312" w:eastAsia="仿宋_GB2312" w:cs="仿宋_GB2312"/>
          <w:sz w:val="32"/>
          <w:szCs w:val="32"/>
          <w:lang w:eastAsia="zh-CN"/>
        </w:rPr>
        <w:t>1882.09</w:t>
      </w:r>
      <w:r>
        <w:rPr>
          <w:rFonts w:hint="eastAsia" w:ascii="仿宋_GB2312" w:hAnsi="仿宋_GB2312" w:eastAsia="仿宋_GB2312" w:cs="仿宋_GB2312"/>
          <w:sz w:val="32"/>
          <w:szCs w:val="32"/>
        </w:rPr>
        <w:t>万元，财政拨款调整预算数</w:t>
      </w:r>
      <w:r>
        <w:rPr>
          <w:rFonts w:hint="eastAsia" w:ascii="仿宋_GB2312" w:hAnsi="仿宋_GB2312" w:eastAsia="仿宋_GB2312" w:cs="仿宋_GB2312"/>
          <w:sz w:val="32"/>
          <w:szCs w:val="32"/>
          <w:lang w:eastAsia="zh-CN"/>
        </w:rPr>
        <w:t>1882.09</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部门整体执行进度为100%，执行进度较高</w:t>
      </w:r>
      <w:r>
        <w:rPr>
          <w:rFonts w:hint="eastAsia" w:ascii="仿宋_GB2312" w:hAnsi="仿宋_GB2312" w:eastAsia="仿宋_GB2312" w:cs="仿宋_GB2312"/>
          <w:sz w:val="32"/>
          <w:szCs w:val="32"/>
        </w:rPr>
        <w:t>。</w:t>
      </w:r>
    </w:p>
    <w:p w14:paraId="231D7CD7">
      <w:pPr>
        <w:pStyle w:val="38"/>
        <w:spacing w:line="360" w:lineRule="auto"/>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5.预算完成情况</w:t>
      </w:r>
    </w:p>
    <w:p w14:paraId="6C3E540D">
      <w:pPr>
        <w:pStyle w:val="38"/>
        <w:spacing w:line="360" w:lineRule="auto"/>
        <w:ind w:firstLine="640"/>
        <w:rPr>
          <w:rFonts w:ascii="仿宋_GB2312" w:hAnsi="仿宋_GB2312" w:eastAsia="仿宋_GB2312" w:cs="仿宋_GB2312"/>
          <w:b/>
          <w:bCs/>
          <w:sz w:val="32"/>
          <w:szCs w:val="32"/>
        </w:rPr>
      </w:pP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壤塘县中壤塘文化旅游景区管理处</w:t>
      </w:r>
      <w:r>
        <w:rPr>
          <w:rFonts w:ascii="仿宋_GB2312" w:hAnsi="仿宋_GB2312" w:eastAsia="仿宋_GB2312" w:cs="仿宋_GB2312"/>
          <w:sz w:val="32"/>
          <w:szCs w:val="32"/>
        </w:rPr>
        <w:t>年初预算数为</w:t>
      </w:r>
      <w:r>
        <w:rPr>
          <w:rFonts w:hint="eastAsia" w:ascii="仿宋_GB2312" w:hAnsi="仿宋_GB2312" w:eastAsia="仿宋_GB2312" w:cs="仿宋_GB2312"/>
          <w:sz w:val="32"/>
          <w:szCs w:val="32"/>
          <w:lang w:val="en-US" w:eastAsia="zh-CN"/>
        </w:rPr>
        <w:t>303.86</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rPr>
        <w:t>执行期间根据工作安排和开展情况追加收入</w:t>
      </w:r>
      <w:r>
        <w:rPr>
          <w:rFonts w:hint="eastAsia" w:ascii="仿宋_GB2312" w:hAnsi="仿宋_GB2312" w:eastAsia="仿宋_GB2312" w:cs="仿宋_GB2312"/>
          <w:sz w:val="32"/>
          <w:szCs w:val="32"/>
          <w:lang w:eastAsia="zh-CN"/>
        </w:rPr>
        <w:t>1578.23</w:t>
      </w:r>
      <w:r>
        <w:rPr>
          <w:rFonts w:hint="eastAsia" w:ascii="仿宋_GB2312" w:hAnsi="仿宋_GB2312" w:eastAsia="仿宋_GB2312" w:cs="仿宋_GB2312"/>
          <w:sz w:val="32"/>
          <w:szCs w:val="32"/>
        </w:rPr>
        <w:t>万元，</w:t>
      </w:r>
      <w:r>
        <w:rPr>
          <w:rFonts w:ascii="仿宋_GB2312" w:hAnsi="仿宋_GB2312" w:eastAsia="仿宋_GB2312" w:cs="仿宋_GB2312"/>
          <w:sz w:val="32"/>
          <w:szCs w:val="32"/>
        </w:rPr>
        <w:t>调整预算数为</w:t>
      </w:r>
      <w:r>
        <w:rPr>
          <w:rFonts w:hint="eastAsia" w:ascii="仿宋_GB2312" w:hAnsi="仿宋_GB2312" w:eastAsia="仿宋_GB2312" w:cs="仿宋_GB2312"/>
          <w:sz w:val="32"/>
          <w:szCs w:val="32"/>
          <w:lang w:eastAsia="zh-CN"/>
        </w:rPr>
        <w:t>1882.09</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年末决算数为1882.09万元，</w:t>
      </w:r>
      <w:r>
        <w:rPr>
          <w:rFonts w:hint="eastAsia" w:ascii="仿宋_GB2312" w:hAnsi="仿宋_GB2312" w:eastAsia="仿宋_GB2312" w:cs="仿宋_GB2312"/>
          <w:sz w:val="32"/>
          <w:szCs w:val="32"/>
        </w:rPr>
        <w:t>预算完成度较高。</w:t>
      </w:r>
    </w:p>
    <w:p w14:paraId="4C5061C9">
      <w:pPr>
        <w:pStyle w:val="38"/>
        <w:spacing w:line="360" w:lineRule="auto"/>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6.违规纪录</w:t>
      </w:r>
    </w:p>
    <w:p w14:paraId="521D280B">
      <w:pPr>
        <w:pStyle w:val="38"/>
        <w:spacing w:line="360" w:lineRule="auto"/>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w:t>
      </w: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12月31日，我单位无违规纪录情况。</w:t>
      </w:r>
    </w:p>
    <w:p w14:paraId="0361A261">
      <w:pPr>
        <w:pStyle w:val="38"/>
        <w:spacing w:line="360" w:lineRule="auto"/>
        <w:ind w:firstLine="64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7.三公经费</w:t>
      </w:r>
    </w:p>
    <w:p w14:paraId="734F87F7">
      <w:pPr>
        <w:pStyle w:val="38"/>
        <w:spacing w:line="360" w:lineRule="auto"/>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公”经费控制。壤塘县中壤塘文化旅游景区管理处2023年“三公”经费预算0万元，决算支出0万元。未发生公务用车购置及运行维护费、因公出国（境）费及公务接待费，2023年“三公”经费决算均未超过预算。</w:t>
      </w:r>
    </w:p>
    <w:p w14:paraId="3810E213">
      <w:pPr>
        <w:pStyle w:val="38"/>
        <w:spacing w:line="360" w:lineRule="auto"/>
        <w:ind w:firstLine="64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8.政府采购</w:t>
      </w:r>
    </w:p>
    <w:p w14:paraId="3003460C">
      <w:pPr>
        <w:pStyle w:val="38"/>
        <w:spacing w:line="360" w:lineRule="auto"/>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采购规范性。壤塘县中壤塘文化旅游景区管理处2023年度政府采购货物支出0万元，政府采购工程支出0万元，政府采购服务支出0万元。</w:t>
      </w:r>
    </w:p>
    <w:p w14:paraId="3D9F973D">
      <w:pPr>
        <w:pStyle w:val="38"/>
        <w:spacing w:line="360" w:lineRule="auto"/>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9.资产管理</w:t>
      </w:r>
      <w:r>
        <w:rPr>
          <w:rFonts w:hint="eastAsia" w:ascii="仿宋_GB2312" w:hAnsi="仿宋_GB2312" w:eastAsia="仿宋_GB2312" w:cs="仿宋_GB2312"/>
          <w:sz w:val="32"/>
          <w:szCs w:val="32"/>
          <w:lang w:val="en-US" w:eastAsia="zh-CN"/>
        </w:rPr>
        <w:t xml:space="preserve">  </w:t>
      </w:r>
    </w:p>
    <w:p w14:paraId="1060FB7C">
      <w:pPr>
        <w:pStyle w:val="38"/>
        <w:spacing w:line="360" w:lineRule="auto"/>
        <w:ind w:firstLine="64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固定资产在用率。截止2023年12月31日，壤塘县中壤塘文化旅游景区管理处《行政单位资产管理系统》固定资产总计3686.80万元，在用的固定资产总计3686.80万元，固定资产在用率达100%。</w:t>
      </w:r>
    </w:p>
    <w:p w14:paraId="5BBC85B4">
      <w:pPr>
        <w:pStyle w:val="38"/>
        <w:numPr>
          <w:ilvl w:val="0"/>
          <w:numId w:val="5"/>
        </w:numPr>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结果应用情况</w:t>
      </w:r>
    </w:p>
    <w:p w14:paraId="65B72946">
      <w:pPr>
        <w:pStyle w:val="38"/>
        <w:spacing w:line="360" w:lineRule="auto"/>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b/>
          <w:bCs/>
          <w:kern w:val="0"/>
          <w:sz w:val="32"/>
          <w:szCs w:val="32"/>
        </w:rPr>
        <w:t>　</w:t>
      </w:r>
      <w:r>
        <w:rPr>
          <w:rFonts w:hint="eastAsia" w:ascii="仿宋_GB2312" w:hAnsi="仿宋_GB2312" w:eastAsia="仿宋_GB2312" w:cs="仿宋_GB2312"/>
          <w:sz w:val="32"/>
          <w:szCs w:val="32"/>
        </w:rPr>
        <w:t>　根据县财政局要求，我单位成立自评工作小组，组织实施本单位</w:t>
      </w:r>
      <w:r>
        <w:rPr>
          <w:rFonts w:hint="eastAsia" w:ascii="仿宋_GB2312" w:hAnsi="仿宋_GB2312" w:eastAsia="仿宋_GB2312" w:cs="仿宋_GB2312"/>
          <w:sz w:val="32"/>
          <w:szCs w:val="32"/>
          <w:lang w:eastAsia="zh-CN"/>
        </w:rPr>
        <w:t>2023年</w:t>
      </w:r>
      <w:r>
        <w:rPr>
          <w:rFonts w:hint="eastAsia" w:ascii="仿宋_GB2312" w:hAnsi="仿宋_GB2312" w:eastAsia="仿宋_GB2312" w:cs="仿宋_GB2312"/>
          <w:sz w:val="32"/>
          <w:szCs w:val="32"/>
        </w:rPr>
        <w:t>绩效管理自评工作。信息公开情况：按照财政要求，及时在预决算批复后20日内，在壤塘县人民政府的网站进行了信息公开，公开内容真实、完整。依法接受财政、审计、纪检监察、巡查等部门的监督检查。严守财经法规，严格财经纪律，依法接受财政、审计、巡察、派驻纪检监督，按时上报各类资料。严格遵守中央八项规定及省市县有关厉行勤俭节约相关规定，严格执行财务管理制度，根据年初预算合理安排日常公用经费资金，做到厉行节约、精打细算，把有效的资金用到刀刃上，让财政资金发挥最大的社会及经济效益并保证全局各项工作的正常运转。</w:t>
      </w:r>
    </w:p>
    <w:p w14:paraId="67A376A8">
      <w:pPr>
        <w:pStyle w:val="38"/>
        <w:spacing w:line="360" w:lineRule="auto"/>
        <w:ind w:firstLine="643"/>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四、评价结论及措施</w:t>
      </w:r>
    </w:p>
    <w:p w14:paraId="3FA2FE8F">
      <w:pPr>
        <w:pStyle w:val="38"/>
        <w:spacing w:line="360" w:lineRule="auto"/>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（一）评价结论</w:t>
      </w:r>
    </w:p>
    <w:p w14:paraId="5A438388">
      <w:pPr>
        <w:pStyle w:val="38"/>
        <w:spacing w:line="360" w:lineRule="auto"/>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我单位通过加强预算收支管理，不断建立健全内部管理制度，强化内部管理流程，部门整体支出管理情况得到提升，也能较好完成部门决算的编制、送审、批复和公开工作。同时也认识到在编制决算过程中存在项目分类不够精细、功能科目分类不够准确等不足。在下一年度的部门预算编制、执行决算中，我单位将继续努力，科学合理编制预决算，进行绩效评价，加强精细管理，完善不足</w:t>
      </w:r>
      <w:r>
        <w:rPr>
          <w:rFonts w:hint="eastAsia" w:ascii="仿宋_GB2312" w:hAnsi="仿宋_GB2312" w:eastAsia="仿宋_GB2312" w:cs="仿宋_GB2312"/>
          <w:sz w:val="32"/>
          <w:szCs w:val="32"/>
        </w:rPr>
        <w:t>。</w:t>
      </w:r>
    </w:p>
    <w:p w14:paraId="7D17E555">
      <w:pPr>
        <w:pStyle w:val="38"/>
        <w:spacing w:line="360" w:lineRule="auto"/>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（二）存在问题</w:t>
      </w:r>
    </w:p>
    <w:p w14:paraId="05577CF8">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1.执行期间根据工作安排和开展情况追加收入较多，年初预算数与调整预算数差别较大，预算安排不准确</w:t>
      </w:r>
      <w:r>
        <w:rPr>
          <w:rFonts w:hint="eastAsia" w:ascii="仿宋_GB2312" w:hAnsi="仿宋_GB2312" w:eastAsia="仿宋_GB2312" w:cs="仿宋_GB2312"/>
          <w:sz w:val="32"/>
          <w:szCs w:val="32"/>
          <w:lang w:val="zh-CN"/>
        </w:rPr>
        <w:t>。</w:t>
      </w:r>
    </w:p>
    <w:p w14:paraId="3B758D8A">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（三）改进建议</w:t>
      </w:r>
    </w:p>
    <w:p w14:paraId="621D9D18">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1.加强预算安排准确性，尽量减少执行中期追加数。</w:t>
      </w:r>
    </w:p>
    <w:p w14:paraId="15F93AF5">
      <w:pPr>
        <w:pStyle w:val="21"/>
      </w:pPr>
    </w:p>
    <w:p w14:paraId="53F8179A">
      <w:pPr>
        <w:spacing w:line="580" w:lineRule="exact"/>
        <w:jc w:val="center"/>
        <w:rPr>
          <w:rFonts w:ascii="方正小标宋简体" w:eastAsia="方正小标宋简体" w:cs="方正小标宋简体"/>
          <w:sz w:val="44"/>
          <w:szCs w:val="44"/>
        </w:rPr>
      </w:pPr>
    </w:p>
    <w:p w14:paraId="523EE246">
      <w:pPr>
        <w:pStyle w:val="21"/>
      </w:pPr>
    </w:p>
    <w:p w14:paraId="33CC6C99"/>
    <w:p w14:paraId="45F7172C">
      <w:pPr>
        <w:pStyle w:val="17"/>
      </w:pPr>
    </w:p>
    <w:p w14:paraId="5ACCCEB1"/>
    <w:p w14:paraId="236C19C7">
      <w:pPr>
        <w:pStyle w:val="17"/>
      </w:pPr>
    </w:p>
    <w:p w14:paraId="42002000"/>
    <w:p w14:paraId="04457437">
      <w:pPr>
        <w:pStyle w:val="17"/>
      </w:pPr>
    </w:p>
    <w:p w14:paraId="6727DDEC"/>
    <w:p w14:paraId="38672113">
      <w:pPr>
        <w:pStyle w:val="17"/>
      </w:pPr>
    </w:p>
    <w:p w14:paraId="4DA13AF6"/>
    <w:p w14:paraId="30285820">
      <w:pPr>
        <w:pStyle w:val="17"/>
      </w:pPr>
    </w:p>
    <w:p w14:paraId="7F06A38C"/>
    <w:p w14:paraId="50ED346A">
      <w:pPr>
        <w:pStyle w:val="17"/>
      </w:pPr>
    </w:p>
    <w:p w14:paraId="4A83D467"/>
    <w:p w14:paraId="5F636881">
      <w:pPr>
        <w:pStyle w:val="17"/>
      </w:pPr>
    </w:p>
    <w:p w14:paraId="632F4F60"/>
    <w:p w14:paraId="7F97AF11">
      <w:pPr>
        <w:pStyle w:val="17"/>
      </w:pPr>
    </w:p>
    <w:p w14:paraId="784802A1"/>
    <w:p w14:paraId="0A2C404C">
      <w:pPr>
        <w:pStyle w:val="17"/>
      </w:pPr>
    </w:p>
    <w:p w14:paraId="43C6F44A"/>
    <w:p w14:paraId="1B54DAD8">
      <w:pPr>
        <w:pStyle w:val="17"/>
      </w:pPr>
    </w:p>
    <w:p w14:paraId="4666AABA">
      <w:pPr>
        <w:rPr>
          <w:rFonts w:hint="eastAsia" w:ascii="黑体" w:eastAsia="黑体" w:cs="黑体"/>
          <w:sz w:val="32"/>
          <w:szCs w:val="32"/>
        </w:rPr>
      </w:pPr>
      <w:bookmarkStart w:id="106" w:name="_Toc79163883"/>
      <w:bookmarkStart w:id="107" w:name="_Toc79163633"/>
      <w:bookmarkStart w:id="108" w:name="_Toc25495"/>
      <w:r>
        <w:rPr>
          <w:rFonts w:hint="eastAsia" w:ascii="黑体" w:eastAsia="黑体" w:cs="黑体"/>
          <w:sz w:val="32"/>
          <w:szCs w:val="32"/>
        </w:rPr>
        <w:br w:type="page"/>
      </w:r>
    </w:p>
    <w:p w14:paraId="5CB91858">
      <w:pPr>
        <w:keepNext w:val="0"/>
        <w:keepLines w:val="0"/>
        <w:pageBreakBefore w:val="0"/>
        <w:widowControl w:val="0"/>
        <w:kinsoku/>
        <w:wordWrap/>
        <w:overflowPunct/>
        <w:topLinePunct w:val="0"/>
        <w:autoSpaceDE/>
        <w:autoSpaceDN/>
        <w:bidi w:val="0"/>
        <w:spacing w:line="440" w:lineRule="exact"/>
        <w:jc w:val="left"/>
        <w:rPr>
          <w:rFonts w:ascii="黑体" w:eastAsia="黑体" w:cs="黑体"/>
          <w:sz w:val="32"/>
          <w:szCs w:val="32"/>
        </w:rPr>
      </w:pPr>
      <w:r>
        <w:rPr>
          <w:rFonts w:hint="eastAsia" w:ascii="黑体" w:eastAsia="黑体" w:cs="黑体"/>
          <w:sz w:val="32"/>
          <w:szCs w:val="32"/>
        </w:rPr>
        <w:t>附件</w:t>
      </w:r>
      <w:r>
        <w:rPr>
          <w:rFonts w:ascii="黑体" w:eastAsia="黑体" w:cs="黑体"/>
          <w:sz w:val="32"/>
          <w:szCs w:val="32"/>
        </w:rPr>
        <w:t>2</w:t>
      </w:r>
      <w:bookmarkEnd w:id="106"/>
      <w:bookmarkEnd w:id="107"/>
      <w:bookmarkEnd w:id="108"/>
    </w:p>
    <w:p w14:paraId="4874AA4E">
      <w:pPr>
        <w:keepNext w:val="0"/>
        <w:keepLines w:val="0"/>
        <w:pageBreakBefore w:val="0"/>
        <w:widowControl w:val="0"/>
        <w:kinsoku/>
        <w:wordWrap/>
        <w:overflowPunct/>
        <w:topLinePunct w:val="0"/>
        <w:autoSpaceDE/>
        <w:autoSpaceDN/>
        <w:bidi w:val="0"/>
        <w:spacing w:line="440" w:lineRule="exact"/>
        <w:jc w:val="left"/>
        <w:rPr>
          <w:rFonts w:ascii="黑体" w:eastAsia="黑体" w:cs="黑体"/>
          <w:sz w:val="32"/>
          <w:szCs w:val="32"/>
        </w:rPr>
      </w:pPr>
    </w:p>
    <w:p w14:paraId="29AF2016">
      <w:pPr>
        <w:keepNext w:val="0"/>
        <w:keepLines w:val="0"/>
        <w:pageBreakBefore w:val="0"/>
        <w:widowControl w:val="0"/>
        <w:kinsoku/>
        <w:wordWrap/>
        <w:overflowPunct/>
        <w:topLinePunct w:val="0"/>
        <w:autoSpaceDE/>
        <w:autoSpaceDN/>
        <w:bidi w:val="0"/>
        <w:spacing w:line="440" w:lineRule="exact"/>
        <w:jc w:val="center"/>
        <w:rPr>
          <w:rFonts w:hint="eastAsia" w:ascii="宋体" w:hAnsi="宋体" w:eastAsia="宋体" w:cs="Times New Roman"/>
          <w:b/>
          <w:sz w:val="44"/>
          <w:szCs w:val="44"/>
          <w:lang w:val="en-US" w:eastAsia="zh-CN"/>
        </w:rPr>
      </w:pPr>
      <w:r>
        <w:rPr>
          <w:rFonts w:hint="eastAsia" w:ascii="宋体" w:hAnsi="宋体" w:eastAsia="宋体" w:cs="Times New Roman"/>
          <w:b/>
          <w:sz w:val="44"/>
          <w:szCs w:val="44"/>
          <w:lang w:val="en-US" w:eastAsia="zh-CN"/>
        </w:rPr>
        <w:t>壤塘县中壤塘文化旅游景区管理处</w:t>
      </w:r>
    </w:p>
    <w:p w14:paraId="0A5209D6">
      <w:pPr>
        <w:keepNext w:val="0"/>
        <w:keepLines w:val="0"/>
        <w:pageBreakBefore w:val="0"/>
        <w:widowControl w:val="0"/>
        <w:kinsoku/>
        <w:wordWrap/>
        <w:overflowPunct/>
        <w:topLinePunct w:val="0"/>
        <w:autoSpaceDE/>
        <w:autoSpaceDN/>
        <w:bidi w:val="0"/>
        <w:spacing w:line="440" w:lineRule="exact"/>
        <w:jc w:val="center"/>
        <w:rPr>
          <w:rFonts w:hint="eastAsia" w:ascii="宋体" w:hAnsi="宋体" w:eastAsia="宋体" w:cs="Times New Roman"/>
          <w:b/>
          <w:sz w:val="44"/>
          <w:szCs w:val="44"/>
          <w:lang w:val="en-US" w:eastAsia="zh-CN"/>
        </w:rPr>
      </w:pPr>
      <w:r>
        <w:rPr>
          <w:rFonts w:hint="eastAsia" w:ascii="宋体" w:hAnsi="宋体" w:eastAsia="宋体" w:cs="Times New Roman"/>
          <w:b/>
          <w:sz w:val="44"/>
          <w:szCs w:val="44"/>
          <w:lang w:val="en-US" w:eastAsia="zh-CN"/>
        </w:rPr>
        <w:t>壤塘县中壤塘镇创业园工坊建设项目</w:t>
      </w:r>
    </w:p>
    <w:p w14:paraId="0D3B20F2">
      <w:pPr>
        <w:keepNext w:val="0"/>
        <w:keepLines w:val="0"/>
        <w:pageBreakBefore w:val="0"/>
        <w:widowControl w:val="0"/>
        <w:kinsoku/>
        <w:wordWrap/>
        <w:overflowPunct/>
        <w:topLinePunct w:val="0"/>
        <w:autoSpaceDE/>
        <w:autoSpaceDN/>
        <w:bidi w:val="0"/>
        <w:spacing w:line="440" w:lineRule="exact"/>
        <w:jc w:val="center"/>
        <w:rPr>
          <w:rFonts w:hint="eastAsia" w:ascii="宋体" w:hAnsi="宋体" w:eastAsia="宋体" w:cs="Times New Roman"/>
          <w:b/>
          <w:sz w:val="44"/>
          <w:szCs w:val="44"/>
          <w:lang w:val="en-US" w:eastAsia="zh-CN"/>
        </w:rPr>
      </w:pPr>
      <w:r>
        <w:rPr>
          <w:rFonts w:hint="eastAsia" w:ascii="宋体" w:hAnsi="宋体" w:eastAsia="宋体" w:cs="Times New Roman"/>
          <w:b/>
          <w:sz w:val="44"/>
          <w:szCs w:val="44"/>
          <w:lang w:val="en-US" w:eastAsia="zh-CN"/>
        </w:rPr>
        <w:t>绩</w:t>
      </w:r>
      <w:r>
        <w:rPr>
          <w:rFonts w:hint="eastAsia" w:ascii="宋体" w:hAnsi="宋体" w:eastAsia="宋体" w:cs="Times New Roman"/>
          <w:b/>
          <w:sz w:val="44"/>
          <w:szCs w:val="44"/>
        </w:rPr>
        <w:t>效自评报告</w:t>
      </w:r>
    </w:p>
    <w:p w14:paraId="22957ED4">
      <w:pPr>
        <w:keepNext w:val="0"/>
        <w:keepLines w:val="0"/>
        <w:pageBreakBefore w:val="0"/>
        <w:widowControl w:val="0"/>
        <w:kinsoku/>
        <w:wordWrap/>
        <w:overflowPunct/>
        <w:topLinePunct w:val="0"/>
        <w:autoSpaceDE/>
        <w:autoSpaceDN/>
        <w:bidi w:val="0"/>
        <w:spacing w:line="440" w:lineRule="exact"/>
        <w:jc w:val="center"/>
        <w:rPr>
          <w:rFonts w:hint="eastAsia" w:ascii="宋体" w:hAnsi="宋体" w:eastAsia="宋体" w:cs="Times New Roman"/>
          <w:color w:val="000000"/>
          <w:kern w:val="2"/>
          <w:sz w:val="32"/>
          <w:szCs w:val="32"/>
          <w:lang w:val="en-US" w:eastAsia="zh-CN" w:bidi="ar-SA"/>
        </w:rPr>
      </w:pPr>
    </w:p>
    <w:p w14:paraId="1F559060">
      <w:pPr>
        <w:keepNext w:val="0"/>
        <w:keepLines w:val="0"/>
        <w:pageBreakBefore w:val="0"/>
        <w:widowControl w:val="0"/>
        <w:kinsoku/>
        <w:wordWrap/>
        <w:overflowPunct/>
        <w:topLinePunct w:val="0"/>
        <w:autoSpaceDE/>
        <w:autoSpaceDN/>
        <w:bidi w:val="0"/>
        <w:snapToGrid w:val="0"/>
        <w:spacing w:line="440" w:lineRule="exact"/>
        <w:ind w:firstLine="720"/>
        <w:rPr>
          <w:rFonts w:hint="eastAsia" w:ascii="黑体" w:hAnsi="宋体" w:eastAsia="黑体" w:cs="Times New Roman"/>
          <w:sz w:val="32"/>
          <w:szCs w:val="32"/>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517B1719">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壤塘县中壤塘镇创业园工坊建设项目总投资为2930.44万元，资金来源为财政资金，项目建设规模主要为新建占地面积1119.25平方米、建筑面积2490.03平方米的三层钢结构工坊建筑一栋（1号楼），新建占地面积986.06平方米、建筑面积2427.96平方米的三层钢结构工坊建筑一栋（2号楼），新建占地面积687.77平方米、建筑面积1650.82平方米的三层钢结构建筑一栋（3号楼），新建占地面积994.94平方米，建筑面积2327.43平方米的三层钢结构建筑一栋（4号楼）。</w:t>
      </w:r>
    </w:p>
    <w:p w14:paraId="73AA4ECB">
      <w:pPr>
        <w:keepNext w:val="0"/>
        <w:keepLines w:val="0"/>
        <w:pageBreakBefore w:val="0"/>
        <w:widowControl w:val="0"/>
        <w:kinsoku/>
        <w:wordWrap/>
        <w:overflowPunct/>
        <w:topLinePunct w:val="0"/>
        <w:autoSpaceDE/>
        <w:autoSpaceDN/>
        <w:bidi w:val="0"/>
        <w:snapToGrid w:val="0"/>
        <w:spacing w:line="440" w:lineRule="exact"/>
        <w:ind w:firstLine="720"/>
        <w:rPr>
          <w:rFonts w:hint="eastAsia" w:ascii="仿宋_GB2312" w:hAnsi="仿宋_GB2312" w:eastAsia="仿宋_GB2312" w:cs="仿宋_GB2312"/>
          <w:sz w:val="32"/>
          <w:szCs w:val="32"/>
          <w:lang w:val="zh-CN" w:eastAsia="zh-CN"/>
        </w:rPr>
      </w:pPr>
      <w:r>
        <w:rPr>
          <w:rFonts w:hint="eastAsia" w:ascii="楷体_GB2312" w:hAnsi="宋体" w:eastAsia="楷体_GB2312" w:cs="Times New Roman"/>
          <w:b/>
          <w:sz w:val="32"/>
          <w:szCs w:val="32"/>
          <w:lang w:val="zh-CN"/>
        </w:rPr>
        <w:t>（一）项目资金申报及批复情况。</w:t>
      </w:r>
      <w:r>
        <w:rPr>
          <w:rFonts w:hint="eastAsia" w:ascii="仿宋_GB2312" w:hAnsi="仿宋_GB2312" w:eastAsia="仿宋_GB2312" w:cs="仿宋_GB2312"/>
          <w:sz w:val="32"/>
          <w:szCs w:val="32"/>
          <w:lang w:val="zh-CN" w:eastAsia="zh-CN"/>
        </w:rPr>
        <w:t>项目根据</w:t>
      </w:r>
      <w:r>
        <w:rPr>
          <w:rFonts w:hint="eastAsia" w:ascii="仿宋_GB2312" w:hAnsi="仿宋_GB2312" w:eastAsia="仿宋_GB2312" w:cs="仿宋_GB2312"/>
          <w:sz w:val="32"/>
          <w:szCs w:val="32"/>
          <w:lang w:val="en-US" w:eastAsia="zh-CN"/>
        </w:rPr>
        <w:t>景区管理处</w:t>
      </w:r>
      <w:r>
        <w:rPr>
          <w:rFonts w:hint="eastAsia" w:ascii="仿宋_GB2312" w:hAnsi="仿宋_GB2312" w:eastAsia="仿宋_GB2312" w:cs="仿宋_GB2312"/>
          <w:sz w:val="32"/>
          <w:szCs w:val="32"/>
          <w:lang w:val="zh-CN" w:eastAsia="zh-CN"/>
        </w:rPr>
        <w:t>审核的办法进行，由</w:t>
      </w:r>
      <w:r>
        <w:rPr>
          <w:rFonts w:hint="eastAsia" w:ascii="仿宋_GB2312" w:hAnsi="仿宋_GB2312" w:eastAsia="仿宋_GB2312" w:cs="仿宋_GB2312"/>
          <w:sz w:val="32"/>
          <w:szCs w:val="32"/>
          <w:lang w:val="en-US" w:eastAsia="zh-CN"/>
        </w:rPr>
        <w:t>景区管理处</w:t>
      </w:r>
      <w:r>
        <w:rPr>
          <w:rFonts w:hint="eastAsia" w:ascii="仿宋_GB2312" w:hAnsi="仿宋_GB2312" w:eastAsia="仿宋_GB2312" w:cs="仿宋_GB2312"/>
          <w:sz w:val="32"/>
          <w:szCs w:val="32"/>
          <w:lang w:val="zh-CN" w:eastAsia="zh-CN"/>
        </w:rPr>
        <w:t>对项目进行对标筛选，查看是否存在负面清单，</w:t>
      </w:r>
      <w:r>
        <w:rPr>
          <w:rFonts w:hint="eastAsia" w:ascii="仿宋_GB2312" w:hAnsi="仿宋_GB2312" w:eastAsia="仿宋_GB2312" w:cs="仿宋_GB2312"/>
          <w:sz w:val="32"/>
          <w:szCs w:val="32"/>
          <w:lang w:val="en-US" w:eastAsia="zh-CN"/>
        </w:rPr>
        <w:t>经公示公开后由景区管理处上报给行业部门进行审批</w:t>
      </w:r>
      <w:r>
        <w:rPr>
          <w:rFonts w:hint="eastAsia" w:ascii="仿宋_GB2312" w:hAnsi="仿宋_GB2312" w:eastAsia="仿宋_GB2312" w:cs="仿宋_GB2312"/>
          <w:sz w:val="32"/>
          <w:szCs w:val="32"/>
          <w:lang w:val="zh-CN" w:eastAsia="zh-CN"/>
        </w:rPr>
        <w:t>。</w:t>
      </w:r>
    </w:p>
    <w:p w14:paraId="0DA3B0FC">
      <w:pPr>
        <w:keepNext w:val="0"/>
        <w:keepLines w:val="0"/>
        <w:pageBreakBefore w:val="0"/>
        <w:widowControl w:val="0"/>
        <w:kinsoku/>
        <w:wordWrap/>
        <w:overflowPunct/>
        <w:topLinePunct w:val="0"/>
        <w:autoSpaceDE/>
        <w:autoSpaceDN/>
        <w:bidi w:val="0"/>
        <w:spacing w:line="440" w:lineRule="exact"/>
        <w:ind w:firstLine="643" w:firstLineChars="200"/>
        <w:rPr>
          <w:rFonts w:hint="eastAsia" w:ascii="仿宋_GB2312" w:hAnsi="仿宋_GB2312" w:eastAsia="仿宋_GB2312" w:cs="仿宋_GB2312"/>
          <w:sz w:val="32"/>
          <w:szCs w:val="32"/>
          <w:lang w:val="zh-CN" w:eastAsia="zh-CN"/>
        </w:rPr>
      </w:pPr>
      <w:r>
        <w:rPr>
          <w:rFonts w:hint="eastAsia" w:ascii="楷体_GB2312" w:hAnsi="宋体" w:eastAsia="楷体_GB2312" w:cs="Times New Roman"/>
          <w:b/>
          <w:sz w:val="32"/>
          <w:szCs w:val="32"/>
          <w:lang w:val="zh-CN"/>
        </w:rPr>
        <w:t>（二）项目绩效目标。</w:t>
      </w:r>
      <w:r>
        <w:rPr>
          <w:rFonts w:hint="eastAsia" w:ascii="仿宋_GB2312" w:hAnsi="仿宋_GB2312" w:eastAsia="仿宋_GB2312" w:cs="仿宋_GB2312"/>
          <w:sz w:val="32"/>
          <w:szCs w:val="32"/>
          <w:lang w:val="en-US" w:eastAsia="zh-CN"/>
        </w:rPr>
        <w:t>该项目建设主要内容为积极争取财政专项扶贫资金支持项目建设，力争通过该项目建设,实现基础设施有改善，指标短板全清零。通过项目的实施，让受益群众收入增加。同时，打好乡村振兴前期基础设施建设短板。</w:t>
      </w:r>
    </w:p>
    <w:p w14:paraId="42FDAAC9">
      <w:pPr>
        <w:keepNext w:val="0"/>
        <w:keepLines w:val="0"/>
        <w:pageBreakBefore w:val="0"/>
        <w:widowControl w:val="0"/>
        <w:kinsoku/>
        <w:wordWrap/>
        <w:overflowPunct/>
        <w:topLinePunct w:val="0"/>
        <w:autoSpaceDE/>
        <w:autoSpaceDN/>
        <w:bidi w:val="0"/>
        <w:snapToGrid w:val="0"/>
        <w:spacing w:line="440" w:lineRule="exact"/>
        <w:ind w:firstLine="720"/>
        <w:rPr>
          <w:rFonts w:hint="eastAsia" w:ascii="仿宋_GB2312" w:hAnsi="仿宋_GB2312" w:eastAsia="仿宋_GB2312" w:cs="仿宋_GB2312"/>
          <w:sz w:val="32"/>
          <w:szCs w:val="32"/>
          <w:lang w:val="zh-CN" w:eastAsia="zh-CN"/>
        </w:rPr>
      </w:pPr>
      <w:r>
        <w:rPr>
          <w:rFonts w:hint="eastAsia" w:ascii="楷体_GB2312" w:hAnsi="宋体" w:eastAsia="楷体_GB2312" w:cs="Times New Roman"/>
          <w:b/>
          <w:sz w:val="32"/>
          <w:szCs w:val="32"/>
          <w:lang w:val="zh-CN"/>
        </w:rPr>
        <w:t>（三）项目资金申报相符性。</w:t>
      </w:r>
      <w:r>
        <w:rPr>
          <w:rFonts w:hint="eastAsia" w:ascii="仿宋_GB2312" w:hAnsi="仿宋_GB2312" w:eastAsia="仿宋_GB2312" w:cs="仿宋_GB2312"/>
          <w:sz w:val="32"/>
          <w:szCs w:val="32"/>
          <w:lang w:val="zh-CN" w:eastAsia="zh-CN"/>
        </w:rPr>
        <w:t>项目申报实施内容与实际实施内容一致，</w:t>
      </w:r>
      <w:r>
        <w:rPr>
          <w:rFonts w:hint="eastAsia" w:ascii="仿宋_GB2312" w:hAnsi="仿宋_GB2312" w:eastAsia="仿宋_GB2312" w:cs="仿宋_GB2312"/>
          <w:sz w:val="32"/>
          <w:szCs w:val="32"/>
          <w:lang w:val="en-US" w:eastAsia="zh-CN"/>
        </w:rPr>
        <w:t>围绕进一步改善景区环境条件和提高景区公共服务水平安排具体的建设内容，与群众和游客的生活息息相关，</w:t>
      </w:r>
      <w:r>
        <w:rPr>
          <w:rFonts w:hint="eastAsia" w:ascii="仿宋_GB2312" w:hAnsi="仿宋_GB2312" w:eastAsia="仿宋_GB2312" w:cs="仿宋_GB2312"/>
          <w:sz w:val="32"/>
          <w:szCs w:val="32"/>
          <w:lang w:val="zh-CN" w:eastAsia="zh-CN"/>
        </w:rPr>
        <w:t>该项目的实施十分合理可行。</w:t>
      </w:r>
    </w:p>
    <w:p w14:paraId="24C96329">
      <w:pPr>
        <w:keepNext w:val="0"/>
        <w:keepLines w:val="0"/>
        <w:pageBreakBefore w:val="0"/>
        <w:widowControl w:val="0"/>
        <w:kinsoku/>
        <w:wordWrap/>
        <w:overflowPunct/>
        <w:topLinePunct w:val="0"/>
        <w:autoSpaceDE/>
        <w:autoSpaceDN/>
        <w:bidi w:val="0"/>
        <w:snapToGrid w:val="0"/>
        <w:spacing w:line="440" w:lineRule="exact"/>
        <w:ind w:firstLine="720"/>
        <w:rPr>
          <w:rFonts w:hint="eastAsia" w:ascii="黑体" w:hAnsi="宋体" w:eastAsia="黑体" w:cs="Times New Roman"/>
          <w:sz w:val="32"/>
          <w:szCs w:val="32"/>
        </w:rPr>
      </w:pPr>
      <w:r>
        <w:rPr>
          <w:rFonts w:hint="eastAsia" w:ascii="黑体" w:hAnsi="宋体" w:eastAsia="黑体" w:cs="Times New Roman"/>
          <w:sz w:val="32"/>
          <w:szCs w:val="32"/>
        </w:rPr>
        <w:t>二、项目实施及管理情况</w:t>
      </w:r>
    </w:p>
    <w:p w14:paraId="44DEAB1A">
      <w:pPr>
        <w:keepNext w:val="0"/>
        <w:keepLines w:val="0"/>
        <w:pageBreakBefore w:val="0"/>
        <w:widowControl w:val="0"/>
        <w:kinsoku/>
        <w:wordWrap/>
        <w:overflowPunct/>
        <w:topLinePunct w:val="0"/>
        <w:autoSpaceDE/>
        <w:autoSpaceDN/>
        <w:bidi w:val="0"/>
        <w:snapToGrid w:val="0"/>
        <w:spacing w:line="44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ab/>
      </w:r>
      <w:r>
        <w:rPr>
          <w:rFonts w:hint="eastAsia" w:ascii="楷体_GB2312" w:hAnsi="宋体" w:eastAsia="楷体_GB2312" w:cs="Times New Roman"/>
          <w:b/>
          <w:sz w:val="32"/>
          <w:szCs w:val="32"/>
          <w:lang w:val="zh-CN"/>
        </w:rPr>
        <w:t>（一）资金计划、到位及使用情况。</w:t>
      </w:r>
    </w:p>
    <w:p w14:paraId="044C8FBF">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1、资金计划及到位。该项目资金计划投资</w:t>
      </w:r>
      <w:r>
        <w:rPr>
          <w:rFonts w:hint="eastAsia" w:ascii="仿宋_GB2312" w:hAnsi="仿宋_GB2312" w:eastAsia="仿宋_GB2312" w:cs="仿宋_GB2312"/>
          <w:sz w:val="32"/>
          <w:szCs w:val="32"/>
          <w:lang w:val="en-US" w:eastAsia="zh-CN"/>
        </w:rPr>
        <w:t>2930.44万元，实际</w:t>
      </w:r>
      <w:r>
        <w:rPr>
          <w:rFonts w:hint="eastAsia" w:ascii="仿宋_GB2312" w:hAnsi="仿宋_GB2312" w:eastAsia="仿宋_GB2312" w:cs="仿宋_GB2312"/>
          <w:sz w:val="32"/>
          <w:szCs w:val="32"/>
          <w:lang w:val="zh-CN" w:eastAsia="zh-CN"/>
        </w:rPr>
        <w:t>资金到位22086447.63</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lang w:val="zh-CN" w:eastAsia="zh-CN"/>
        </w:rPr>
        <w:t>与资金计划相比资金到位率</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lang w:val="zh-CN" w:eastAsia="zh-CN"/>
        </w:rPr>
        <w:t>。</w:t>
      </w:r>
    </w:p>
    <w:p w14:paraId="1A72AD54">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2、资金使用。截止评价时点项目资金的实际支出</w:t>
      </w:r>
      <w:r>
        <w:rPr>
          <w:rFonts w:hint="eastAsia" w:ascii="仿宋_GB2312" w:hAnsi="仿宋_GB2312" w:eastAsia="仿宋_GB2312" w:cs="仿宋_GB2312"/>
          <w:sz w:val="32"/>
          <w:szCs w:val="32"/>
          <w:lang w:val="en-US" w:eastAsia="zh-CN"/>
        </w:rPr>
        <w:t>18321281.63元</w:t>
      </w:r>
      <w:r>
        <w:rPr>
          <w:rFonts w:hint="eastAsia" w:ascii="仿宋_GB2312" w:hAnsi="仿宋_GB2312" w:eastAsia="仿宋_GB2312" w:cs="仿宋_GB2312"/>
          <w:sz w:val="32"/>
          <w:szCs w:val="32"/>
          <w:lang w:val="zh-CN" w:eastAsia="zh-CN"/>
        </w:rPr>
        <w:t>，资金开支范围主要为</w:t>
      </w:r>
      <w:r>
        <w:rPr>
          <w:rFonts w:hint="eastAsia" w:ascii="仿宋_GB2312" w:hAnsi="仿宋_GB2312" w:eastAsia="仿宋_GB2312" w:cs="仿宋_GB2312"/>
          <w:sz w:val="32"/>
          <w:szCs w:val="32"/>
          <w:lang w:val="en-US" w:eastAsia="zh-CN"/>
        </w:rPr>
        <w:t>中壤塘镇创业园工坊建设项目建设</w:t>
      </w:r>
      <w:r>
        <w:rPr>
          <w:rFonts w:hint="eastAsia" w:ascii="仿宋_GB2312" w:hAnsi="仿宋_GB2312" w:eastAsia="仿宋_GB2312" w:cs="仿宋_GB2312"/>
          <w:sz w:val="32"/>
          <w:szCs w:val="32"/>
          <w:lang w:val="zh-CN" w:eastAsia="zh-CN"/>
        </w:rPr>
        <w:t>标准及支付进度、支付依据合规合法，资金支付</w:t>
      </w:r>
      <w:r>
        <w:rPr>
          <w:rFonts w:hint="eastAsia" w:ascii="仿宋_GB2312" w:hAnsi="仿宋_GB2312" w:eastAsia="仿宋_GB2312" w:cs="仿宋_GB2312"/>
          <w:sz w:val="32"/>
          <w:szCs w:val="32"/>
          <w:lang w:val="en-US" w:eastAsia="zh-CN"/>
        </w:rPr>
        <w:t>等于</w:t>
      </w:r>
      <w:r>
        <w:rPr>
          <w:rFonts w:hint="eastAsia" w:ascii="仿宋_GB2312" w:hAnsi="仿宋_GB2312" w:eastAsia="仿宋_GB2312" w:cs="仿宋_GB2312"/>
          <w:sz w:val="32"/>
          <w:szCs w:val="32"/>
          <w:lang w:val="zh-CN" w:eastAsia="zh-CN"/>
        </w:rPr>
        <w:t>预算资金。</w:t>
      </w:r>
    </w:p>
    <w:p w14:paraId="409E9BBE">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（二）项目财务管理情况。</w:t>
      </w:r>
    </w:p>
    <w:p w14:paraId="72B357D1">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（一）资金到位后，景区管理处将加强对项目资金使用情况的监督管理，做到专款专用，确保不挪用转借和挤占项目工程款；景区管理处将按县发改委、财政局和县乡村振兴局的督导要求积极配合。</w:t>
      </w:r>
    </w:p>
    <w:p w14:paraId="46C7F511">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（二）项目实施后，待项目主体工程完工，通过使用证明工程质量各项指标均合格后方可拨付。</w:t>
      </w:r>
    </w:p>
    <w:p w14:paraId="26915223">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（三）项目组织实施情况。</w:t>
      </w:r>
    </w:p>
    <w:p w14:paraId="2AE117EF">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项目严格按照中壤塘镇创业园工坊建设项目可行性研究报告执行</w:t>
      </w:r>
      <w:r>
        <w:rPr>
          <w:rFonts w:hint="eastAsia" w:ascii="仿宋_GB2312" w:hAnsi="仿宋_GB2312" w:eastAsia="仿宋_GB2312" w:cs="仿宋_GB2312"/>
          <w:sz w:val="32"/>
          <w:szCs w:val="32"/>
          <w:lang w:val="zh-CN" w:eastAsia="zh-CN"/>
        </w:rPr>
        <w:t>。</w:t>
      </w:r>
    </w:p>
    <w:p w14:paraId="0665C51E">
      <w:pPr>
        <w:keepNext w:val="0"/>
        <w:keepLines w:val="0"/>
        <w:pageBreakBefore w:val="0"/>
        <w:widowControl w:val="0"/>
        <w:kinsoku/>
        <w:wordWrap/>
        <w:overflowPunct/>
        <w:topLinePunct w:val="0"/>
        <w:autoSpaceDE/>
        <w:autoSpaceDN/>
        <w:bidi w:val="0"/>
        <w:snapToGrid w:val="0"/>
        <w:spacing w:line="440" w:lineRule="exact"/>
        <w:ind w:firstLine="720"/>
        <w:rPr>
          <w:rFonts w:hint="eastAsia" w:ascii="黑体" w:hAnsi="宋体" w:eastAsia="黑体" w:cs="Times New Roman"/>
          <w:sz w:val="32"/>
          <w:szCs w:val="32"/>
        </w:rPr>
      </w:pPr>
      <w:r>
        <w:rPr>
          <w:rFonts w:hint="eastAsia" w:ascii="黑体" w:hAnsi="宋体" w:eastAsia="黑体" w:cs="Times New Roman"/>
          <w:sz w:val="32"/>
          <w:szCs w:val="32"/>
        </w:rPr>
        <w:t>三、目标完成情况</w:t>
      </w:r>
      <w:r>
        <w:rPr>
          <w:rFonts w:hint="eastAsia" w:ascii="仿宋_GB2312" w:hAnsi="宋体" w:eastAsia="仿宋_GB2312" w:cs="Times New Roman"/>
          <w:sz w:val="32"/>
          <w:szCs w:val="32"/>
          <w:lang w:val="zh-CN"/>
        </w:rPr>
        <w:tab/>
      </w:r>
    </w:p>
    <w:p w14:paraId="17245494">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（一）目标任务量完成情况。</w:t>
      </w:r>
    </w:p>
    <w:p w14:paraId="2B761659">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项目成立了项目管理办公室，由</w:t>
      </w:r>
      <w:r>
        <w:rPr>
          <w:rFonts w:hint="eastAsia" w:ascii="仿宋_GB2312" w:hAnsi="仿宋_GB2312" w:eastAsia="仿宋_GB2312" w:cs="仿宋_GB2312"/>
          <w:sz w:val="32"/>
          <w:szCs w:val="32"/>
          <w:lang w:val="en-US" w:eastAsia="zh-CN"/>
        </w:rPr>
        <w:t>景区管理处主任</w:t>
      </w:r>
      <w:r>
        <w:rPr>
          <w:rFonts w:hint="eastAsia" w:ascii="仿宋_GB2312" w:hAnsi="仿宋_GB2312" w:eastAsia="仿宋_GB2312" w:cs="仿宋_GB2312"/>
          <w:sz w:val="32"/>
          <w:szCs w:val="32"/>
          <w:lang w:val="zh-CN" w:eastAsia="zh-CN"/>
        </w:rPr>
        <w:t>主管，</w:t>
      </w:r>
      <w:r>
        <w:rPr>
          <w:rFonts w:hint="eastAsia" w:ascii="仿宋_GB2312" w:hAnsi="仿宋_GB2312" w:eastAsia="仿宋_GB2312" w:cs="仿宋_GB2312"/>
          <w:sz w:val="32"/>
          <w:szCs w:val="32"/>
          <w:lang w:val="en-US" w:eastAsia="zh-CN"/>
        </w:rPr>
        <w:t>副主任</w:t>
      </w:r>
      <w:r>
        <w:rPr>
          <w:rFonts w:hint="eastAsia" w:ascii="仿宋_GB2312" w:hAnsi="仿宋_GB2312" w:eastAsia="仿宋_GB2312" w:cs="仿宋_GB2312"/>
          <w:sz w:val="32"/>
          <w:szCs w:val="32"/>
          <w:lang w:val="zh-CN" w:eastAsia="zh-CN"/>
        </w:rPr>
        <w:t>主抓，专人负责，并配备监理协助抓好工程工期</w:t>
      </w:r>
      <w:r>
        <w:rPr>
          <w:rFonts w:hint="eastAsia" w:ascii="仿宋_GB2312" w:hAnsi="仿宋_GB2312" w:eastAsia="仿宋_GB2312" w:cs="仿宋_GB2312"/>
          <w:sz w:val="32"/>
          <w:szCs w:val="32"/>
          <w:lang w:val="en-US" w:eastAsia="zh-CN"/>
        </w:rPr>
        <w:t>与</w:t>
      </w:r>
      <w:r>
        <w:rPr>
          <w:rFonts w:hint="eastAsia" w:ascii="仿宋_GB2312" w:hAnsi="仿宋_GB2312" w:eastAsia="仿宋_GB2312" w:cs="仿宋_GB2312"/>
          <w:sz w:val="32"/>
          <w:szCs w:val="32"/>
          <w:lang w:val="zh-CN" w:eastAsia="zh-CN"/>
        </w:rPr>
        <w:t>质量等工作。</w:t>
      </w:r>
    </w:p>
    <w:p w14:paraId="0AEBA870">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（二）目标质量完成情况。</w:t>
      </w:r>
    </w:p>
    <w:p w14:paraId="58F15DAF">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项目按施工合同约定，如期保质保量完成。</w:t>
      </w:r>
    </w:p>
    <w:p w14:paraId="1E535F2F">
      <w:pPr>
        <w:keepNext w:val="0"/>
        <w:keepLines w:val="0"/>
        <w:pageBreakBefore w:val="0"/>
        <w:widowControl w:val="0"/>
        <w:kinsoku/>
        <w:wordWrap/>
        <w:overflowPunct/>
        <w:topLinePunct w:val="0"/>
        <w:autoSpaceDE/>
        <w:autoSpaceDN/>
        <w:bidi w:val="0"/>
        <w:snapToGrid w:val="0"/>
        <w:spacing w:line="440" w:lineRule="exact"/>
        <w:ind w:firstLine="720"/>
        <w:rPr>
          <w:rFonts w:hint="eastAsia" w:ascii="黑体" w:hAnsi="宋体" w:eastAsia="黑体" w:cs="Times New Roman"/>
          <w:sz w:val="32"/>
          <w:szCs w:val="32"/>
        </w:rPr>
      </w:pPr>
      <w:r>
        <w:rPr>
          <w:rFonts w:hint="eastAsia" w:ascii="黑体" w:hAnsi="宋体" w:eastAsia="黑体" w:cs="Times New Roman"/>
          <w:sz w:val="32"/>
          <w:szCs w:val="32"/>
        </w:rPr>
        <w:t>四、项目效益情况</w:t>
      </w:r>
    </w:p>
    <w:p w14:paraId="2C31C3E7">
      <w:pPr>
        <w:keepNext w:val="0"/>
        <w:keepLines w:val="0"/>
        <w:pageBreakBefore w:val="0"/>
        <w:widowControl w:val="0"/>
        <w:kinsoku/>
        <w:wordWrap/>
        <w:overflowPunct/>
        <w:topLinePunct w:val="0"/>
        <w:autoSpaceDE/>
        <w:autoSpaceDN/>
        <w:bidi w:val="0"/>
        <w:spacing w:line="440" w:lineRule="exact"/>
        <w:ind w:firstLine="630"/>
        <w:jc w:val="left"/>
        <w:rPr>
          <w:rFonts w:hint="eastAsia" w:ascii="仿宋_GB2312" w:hAnsi="仿宋" w:eastAsia="仿宋_GB2312" w:cs="Times New Roman"/>
          <w:sz w:val="32"/>
          <w:szCs w:val="32"/>
        </w:rPr>
      </w:pPr>
      <w:r>
        <w:rPr>
          <w:rFonts w:hint="eastAsia" w:ascii="仿宋_GB2312" w:hAnsi="仿宋_GB2312" w:eastAsia="仿宋_GB2312" w:cs="仿宋_GB2312"/>
          <w:sz w:val="32"/>
          <w:szCs w:val="32"/>
          <w:lang w:val="en-US" w:eastAsia="zh-CN"/>
        </w:rPr>
        <w:t xml:space="preserve">该项目是全面改善该村中壤塘镇生产生活条件，以解决突出制约问题为重点为目的的建设项目，改善生产生活条件的惠民项目。项目按照抓重点、补短板、强弱项的要求，围绕农民群众最关心最直接最现实的利益问题，项目完成后，将使中壤塘镇居住环境得到极大改善，为中壤塘镇的经济发展创造良好的环境，项目建设将有效推进中壤塘镇乡村振兴建设进程。          </w:t>
      </w:r>
      <w:r>
        <w:rPr>
          <w:rFonts w:hint="eastAsia" w:ascii="仿宋_GB2312" w:hAnsi="仿宋" w:eastAsia="仿宋_GB2312" w:cs="Times New Roman"/>
          <w:color w:val="333333"/>
          <w:kern w:val="0"/>
          <w:sz w:val="32"/>
          <w:szCs w:val="32"/>
        </w:rPr>
        <w:t xml:space="preserve"> </w:t>
      </w:r>
    </w:p>
    <w:p w14:paraId="6103A484">
      <w:pPr>
        <w:keepNext w:val="0"/>
        <w:keepLines w:val="0"/>
        <w:pageBreakBefore w:val="0"/>
        <w:widowControl w:val="0"/>
        <w:kinsoku/>
        <w:wordWrap/>
        <w:overflowPunct/>
        <w:topLinePunct w:val="0"/>
        <w:autoSpaceDE/>
        <w:autoSpaceDN/>
        <w:bidi w:val="0"/>
        <w:snapToGrid w:val="0"/>
        <w:spacing w:line="440" w:lineRule="exact"/>
        <w:ind w:firstLine="720"/>
        <w:rPr>
          <w:rFonts w:hint="eastAsia" w:ascii="黑体" w:hAnsi="宋体" w:eastAsia="黑体" w:cs="Times New Roman"/>
          <w:sz w:val="32"/>
          <w:szCs w:val="32"/>
        </w:rPr>
      </w:pPr>
      <w:r>
        <w:rPr>
          <w:rFonts w:hint="eastAsia" w:ascii="黑体" w:hAnsi="宋体" w:eastAsia="黑体" w:cs="Times New Roman"/>
          <w:sz w:val="32"/>
          <w:szCs w:val="32"/>
        </w:rPr>
        <w:t>五、问题及建议</w:t>
      </w:r>
    </w:p>
    <w:p w14:paraId="59E7C501">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（一）存在的问题。</w:t>
      </w:r>
      <w:r>
        <w:rPr>
          <w:rFonts w:hint="eastAsia" w:ascii="宋体" w:hAnsi="宋体" w:eastAsia="仿宋_GB2312" w:cs="Times New Roman"/>
          <w:sz w:val="32"/>
          <w:szCs w:val="32"/>
        </w:rPr>
        <w:t>无</w:t>
      </w:r>
    </w:p>
    <w:p w14:paraId="64B97862">
      <w:pPr>
        <w:keepNext w:val="0"/>
        <w:keepLines w:val="0"/>
        <w:pageBreakBefore w:val="0"/>
        <w:widowControl w:val="0"/>
        <w:kinsoku/>
        <w:wordWrap/>
        <w:overflowPunct/>
        <w:topLinePunct w:val="0"/>
        <w:autoSpaceDE/>
        <w:autoSpaceDN/>
        <w:bidi w:val="0"/>
        <w:snapToGrid w:val="0"/>
        <w:spacing w:line="44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（二）相关建议。</w:t>
      </w:r>
      <w:r>
        <w:rPr>
          <w:rFonts w:hint="eastAsia" w:ascii="宋体" w:hAnsi="宋体" w:eastAsia="仿宋_GB2312" w:cs="Times New Roman"/>
          <w:sz w:val="32"/>
          <w:szCs w:val="32"/>
        </w:rPr>
        <w:t>无</w:t>
      </w:r>
    </w:p>
    <w:p w14:paraId="59A52C48">
      <w:pPr>
        <w:rPr>
          <w:rFonts w:ascii="黑体" w:eastAsia="黑体" w:cs="黑体"/>
          <w:sz w:val="32"/>
          <w:szCs w:val="32"/>
        </w:rPr>
      </w:pPr>
      <w:r>
        <w:rPr>
          <w:rFonts w:ascii="黑体" w:eastAsia="黑体" w:cs="黑体"/>
          <w:sz w:val="32"/>
          <w:szCs w:val="32"/>
        </w:rPr>
        <w:br w:type="page"/>
      </w:r>
    </w:p>
    <w:p w14:paraId="749CD2D3">
      <w:pPr>
        <w:spacing w:line="600" w:lineRule="exact"/>
        <w:jc w:val="left"/>
        <w:outlineLvl w:val="0"/>
        <w:rPr>
          <w:rFonts w:hint="default" w:ascii="黑体" w:eastAsia="黑体" w:cs="黑体"/>
          <w:sz w:val="32"/>
          <w:szCs w:val="32"/>
          <w:lang w:val="en-US" w:eastAsia="zh-CN"/>
        </w:rPr>
      </w:pPr>
      <w:r>
        <w:rPr>
          <w:rFonts w:hint="eastAsia" w:ascii="黑体" w:eastAsia="黑体" w:cs="黑体"/>
          <w:sz w:val="32"/>
          <w:szCs w:val="32"/>
          <w:lang w:val="en-US" w:eastAsia="zh-CN"/>
        </w:rPr>
        <w:t>附件3</w:t>
      </w:r>
    </w:p>
    <w:p w14:paraId="7CA3D0F4">
      <w:pPr>
        <w:spacing w:line="576" w:lineRule="exact"/>
        <w:rPr>
          <w:rFonts w:hint="eastAsia" w:ascii="黑体" w:eastAsia="黑体"/>
          <w:color w:val="000000"/>
          <w:sz w:val="44"/>
          <w:szCs w:val="44"/>
        </w:rPr>
      </w:pPr>
      <w:bookmarkStart w:id="109" w:name="_Toc15396618"/>
      <w:bookmarkStart w:id="110" w:name="_Toc79163635"/>
      <w:r>
        <w:drawing>
          <wp:anchor distT="0" distB="0" distL="114300" distR="114300" simplePos="0" relativeHeight="251659264" behindDoc="0" locked="0" layoutInCell="1" allowOverlap="1">
            <wp:simplePos x="0" y="0"/>
            <wp:positionH relativeFrom="column">
              <wp:posOffset>81280</wp:posOffset>
            </wp:positionH>
            <wp:positionV relativeFrom="paragraph">
              <wp:posOffset>175260</wp:posOffset>
            </wp:positionV>
            <wp:extent cx="5267960" cy="4045585"/>
            <wp:effectExtent l="0" t="0" r="2540" b="571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7960" cy="4045585"/>
                    </a:xfrm>
                    <a:prstGeom prst="rect">
                      <a:avLst/>
                    </a:prstGeom>
                    <a:noFill/>
                    <a:ln>
                      <a:noFill/>
                    </a:ln>
                  </pic:spPr>
                </pic:pic>
              </a:graphicData>
            </a:graphic>
          </wp:anchor>
        </w:drawing>
      </w:r>
    </w:p>
    <w:p w14:paraId="2E4F12B8">
      <w:pPr>
        <w:spacing w:line="576" w:lineRule="exact"/>
        <w:rPr>
          <w:rFonts w:hint="eastAsia" w:ascii="黑体" w:eastAsia="黑体"/>
          <w:color w:val="000000"/>
          <w:sz w:val="44"/>
          <w:szCs w:val="44"/>
        </w:rPr>
      </w:pPr>
    </w:p>
    <w:p w14:paraId="51D279C5">
      <w:pPr>
        <w:spacing w:line="576" w:lineRule="exact"/>
        <w:rPr>
          <w:rFonts w:hint="eastAsia" w:ascii="黑体" w:eastAsia="黑体"/>
          <w:color w:val="000000"/>
          <w:sz w:val="44"/>
          <w:szCs w:val="44"/>
        </w:rPr>
      </w:pPr>
    </w:p>
    <w:p w14:paraId="06A7AFB0">
      <w:pPr>
        <w:spacing w:line="576" w:lineRule="exact"/>
        <w:rPr>
          <w:rFonts w:hint="eastAsia" w:ascii="黑体" w:eastAsia="黑体"/>
          <w:color w:val="000000"/>
          <w:sz w:val="44"/>
          <w:szCs w:val="44"/>
        </w:rPr>
      </w:pPr>
    </w:p>
    <w:p w14:paraId="0F73E10F">
      <w:pPr>
        <w:spacing w:line="576" w:lineRule="exact"/>
        <w:rPr>
          <w:rFonts w:hint="eastAsia" w:ascii="黑体" w:eastAsia="黑体"/>
          <w:color w:val="000000"/>
          <w:sz w:val="44"/>
          <w:szCs w:val="44"/>
        </w:rPr>
      </w:pPr>
    </w:p>
    <w:p w14:paraId="66D23BEE">
      <w:pPr>
        <w:spacing w:line="576" w:lineRule="exact"/>
        <w:rPr>
          <w:rFonts w:hint="eastAsia" w:ascii="黑体" w:eastAsia="黑体"/>
          <w:color w:val="000000"/>
          <w:sz w:val="44"/>
          <w:szCs w:val="44"/>
        </w:rPr>
      </w:pPr>
    </w:p>
    <w:p w14:paraId="23DA4A5F">
      <w:pPr>
        <w:spacing w:line="576" w:lineRule="exact"/>
        <w:rPr>
          <w:rFonts w:hint="eastAsia" w:ascii="黑体" w:eastAsia="黑体"/>
          <w:color w:val="000000"/>
          <w:sz w:val="44"/>
          <w:szCs w:val="44"/>
        </w:rPr>
      </w:pPr>
    </w:p>
    <w:p w14:paraId="4FAF1B44">
      <w:pPr>
        <w:spacing w:line="576" w:lineRule="exact"/>
        <w:rPr>
          <w:rFonts w:hint="eastAsia" w:ascii="黑体" w:eastAsia="黑体"/>
          <w:color w:val="000000"/>
          <w:sz w:val="44"/>
          <w:szCs w:val="44"/>
        </w:rPr>
      </w:pPr>
    </w:p>
    <w:p w14:paraId="495F040E">
      <w:pPr>
        <w:spacing w:line="576" w:lineRule="exact"/>
        <w:rPr>
          <w:rFonts w:hint="eastAsia" w:ascii="黑体" w:eastAsia="黑体"/>
          <w:color w:val="000000"/>
          <w:sz w:val="44"/>
          <w:szCs w:val="44"/>
        </w:rPr>
      </w:pPr>
    </w:p>
    <w:p w14:paraId="5169387E">
      <w:pPr>
        <w:spacing w:line="576" w:lineRule="exact"/>
        <w:rPr>
          <w:rFonts w:hint="eastAsia" w:ascii="黑体" w:eastAsia="黑体"/>
          <w:color w:val="000000"/>
          <w:sz w:val="44"/>
          <w:szCs w:val="44"/>
        </w:rPr>
      </w:pPr>
    </w:p>
    <w:p w14:paraId="14663DBC">
      <w:pPr>
        <w:spacing w:line="576" w:lineRule="exact"/>
        <w:rPr>
          <w:rFonts w:hint="eastAsia" w:ascii="黑体" w:eastAsia="黑体"/>
          <w:color w:val="000000"/>
          <w:sz w:val="44"/>
          <w:szCs w:val="44"/>
        </w:rPr>
      </w:pPr>
    </w:p>
    <w:p w14:paraId="2187C7C5">
      <w:pPr>
        <w:spacing w:line="576" w:lineRule="exact"/>
        <w:rPr>
          <w:rFonts w:hint="eastAsia" w:ascii="黑体" w:eastAsia="黑体"/>
          <w:color w:val="000000"/>
          <w:sz w:val="44"/>
          <w:szCs w:val="44"/>
        </w:rPr>
      </w:pPr>
      <w:r>
        <w:drawing>
          <wp:anchor distT="0" distB="0" distL="114300" distR="114300" simplePos="0" relativeHeight="251660288" behindDoc="0" locked="0" layoutInCell="1" allowOverlap="1">
            <wp:simplePos x="0" y="0"/>
            <wp:positionH relativeFrom="column">
              <wp:posOffset>58420</wp:posOffset>
            </wp:positionH>
            <wp:positionV relativeFrom="paragraph">
              <wp:posOffset>197485</wp:posOffset>
            </wp:positionV>
            <wp:extent cx="5267960" cy="4069080"/>
            <wp:effectExtent l="0" t="0" r="2540" b="762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7960" cy="4069080"/>
                    </a:xfrm>
                    <a:prstGeom prst="rect">
                      <a:avLst/>
                    </a:prstGeom>
                    <a:noFill/>
                    <a:ln>
                      <a:noFill/>
                    </a:ln>
                  </pic:spPr>
                </pic:pic>
              </a:graphicData>
            </a:graphic>
          </wp:anchor>
        </w:drawing>
      </w:r>
    </w:p>
    <w:p w14:paraId="1507A08F">
      <w:pPr>
        <w:spacing w:line="576" w:lineRule="exact"/>
        <w:rPr>
          <w:rFonts w:hint="eastAsia" w:ascii="黑体" w:eastAsia="黑体"/>
          <w:color w:val="000000"/>
          <w:sz w:val="44"/>
          <w:szCs w:val="44"/>
        </w:rPr>
      </w:pPr>
    </w:p>
    <w:p w14:paraId="4F066DA0">
      <w:pPr>
        <w:spacing w:line="576" w:lineRule="exact"/>
        <w:rPr>
          <w:rFonts w:hint="eastAsia" w:ascii="黑体" w:eastAsia="黑体"/>
          <w:color w:val="000000"/>
          <w:sz w:val="44"/>
          <w:szCs w:val="44"/>
        </w:rPr>
      </w:pPr>
    </w:p>
    <w:p w14:paraId="4CB16904">
      <w:pPr>
        <w:spacing w:line="576" w:lineRule="exact"/>
        <w:rPr>
          <w:rFonts w:hint="eastAsia" w:ascii="黑体" w:eastAsia="黑体"/>
          <w:color w:val="000000"/>
          <w:sz w:val="44"/>
          <w:szCs w:val="44"/>
        </w:rPr>
      </w:pPr>
    </w:p>
    <w:p w14:paraId="123CE849">
      <w:pPr>
        <w:spacing w:line="576" w:lineRule="exact"/>
        <w:rPr>
          <w:rFonts w:hint="eastAsia" w:ascii="黑体" w:eastAsia="黑体"/>
          <w:color w:val="000000"/>
          <w:sz w:val="44"/>
          <w:szCs w:val="44"/>
        </w:rPr>
      </w:pPr>
    </w:p>
    <w:p w14:paraId="35C7E48B">
      <w:pPr>
        <w:spacing w:line="576" w:lineRule="exact"/>
        <w:rPr>
          <w:rFonts w:hint="eastAsia" w:ascii="黑体" w:eastAsia="黑体"/>
          <w:color w:val="000000"/>
          <w:sz w:val="44"/>
          <w:szCs w:val="44"/>
        </w:rPr>
      </w:pPr>
    </w:p>
    <w:p w14:paraId="18DFAEB3">
      <w:pPr>
        <w:spacing w:line="576" w:lineRule="exact"/>
        <w:rPr>
          <w:rFonts w:hint="eastAsia" w:ascii="黑体" w:eastAsia="黑体"/>
          <w:color w:val="000000"/>
          <w:sz w:val="44"/>
          <w:szCs w:val="44"/>
        </w:rPr>
      </w:pPr>
    </w:p>
    <w:p w14:paraId="33FA84B0">
      <w:pPr>
        <w:spacing w:line="576" w:lineRule="exact"/>
        <w:rPr>
          <w:rFonts w:hint="eastAsia" w:ascii="黑体" w:eastAsia="黑体"/>
          <w:color w:val="000000"/>
          <w:sz w:val="44"/>
          <w:szCs w:val="44"/>
        </w:rPr>
      </w:pPr>
    </w:p>
    <w:p w14:paraId="4E0C6FC0">
      <w:pPr>
        <w:spacing w:line="576" w:lineRule="exact"/>
        <w:rPr>
          <w:rFonts w:hint="eastAsia" w:ascii="黑体" w:eastAsia="黑体"/>
          <w:color w:val="000000"/>
          <w:sz w:val="44"/>
          <w:szCs w:val="44"/>
        </w:rPr>
      </w:pPr>
    </w:p>
    <w:p w14:paraId="73A4F242">
      <w:pPr>
        <w:spacing w:line="576" w:lineRule="exact"/>
        <w:rPr>
          <w:rFonts w:hint="eastAsia" w:ascii="黑体" w:eastAsia="黑体"/>
          <w:color w:val="000000"/>
          <w:sz w:val="44"/>
          <w:szCs w:val="44"/>
        </w:rPr>
      </w:pPr>
      <w:r>
        <w:rPr>
          <w:rFonts w:hint="eastAsia" w:ascii="黑体" w:eastAsia="黑体"/>
          <w:color w:val="000000"/>
          <w:sz w:val="44"/>
          <w:szCs w:val="44"/>
        </w:rPr>
        <w:br w:type="page"/>
      </w:r>
      <w:bookmarkStart w:id="111" w:name="_Toc7627"/>
    </w:p>
    <w:p w14:paraId="45FF4A78">
      <w:pPr>
        <w:spacing w:line="600" w:lineRule="exact"/>
        <w:jc w:val="both"/>
        <w:outlineLvl w:val="0"/>
        <w:rPr>
          <w:rFonts w:hint="eastAsia" w:ascii="黑体" w:eastAsia="黑体"/>
          <w:color w:val="000000"/>
          <w:sz w:val="44"/>
          <w:szCs w:val="44"/>
        </w:rPr>
      </w:pPr>
      <w:r>
        <w:drawing>
          <wp:anchor distT="0" distB="0" distL="114300" distR="114300" simplePos="0" relativeHeight="251661312" behindDoc="0" locked="0" layoutInCell="1" allowOverlap="1">
            <wp:simplePos x="0" y="0"/>
            <wp:positionH relativeFrom="column">
              <wp:posOffset>-34290</wp:posOffset>
            </wp:positionH>
            <wp:positionV relativeFrom="paragraph">
              <wp:posOffset>-643255</wp:posOffset>
            </wp:positionV>
            <wp:extent cx="5267960" cy="4055110"/>
            <wp:effectExtent l="0" t="0" r="2540" b="889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5267960" cy="4055110"/>
                    </a:xfrm>
                    <a:prstGeom prst="rect">
                      <a:avLst/>
                    </a:prstGeom>
                    <a:noFill/>
                    <a:ln>
                      <a:noFill/>
                    </a:ln>
                  </pic:spPr>
                </pic:pic>
              </a:graphicData>
            </a:graphic>
          </wp:anchor>
        </w:drawing>
      </w:r>
    </w:p>
    <w:p w14:paraId="3176E106">
      <w:pPr>
        <w:spacing w:line="600" w:lineRule="exact"/>
        <w:jc w:val="center"/>
        <w:outlineLvl w:val="0"/>
        <w:rPr>
          <w:rFonts w:hint="eastAsia" w:ascii="黑体" w:eastAsia="黑体"/>
          <w:color w:val="000000"/>
          <w:sz w:val="44"/>
          <w:szCs w:val="44"/>
        </w:rPr>
      </w:pPr>
    </w:p>
    <w:p w14:paraId="3D19238E">
      <w:pPr>
        <w:spacing w:line="600" w:lineRule="exact"/>
        <w:jc w:val="center"/>
        <w:outlineLvl w:val="0"/>
        <w:rPr>
          <w:rFonts w:hint="eastAsia" w:ascii="黑体" w:eastAsia="黑体"/>
          <w:color w:val="000000"/>
          <w:sz w:val="44"/>
          <w:szCs w:val="44"/>
        </w:rPr>
      </w:pPr>
    </w:p>
    <w:p w14:paraId="7B9FC9B2">
      <w:pPr>
        <w:spacing w:line="600" w:lineRule="exact"/>
        <w:jc w:val="center"/>
        <w:outlineLvl w:val="0"/>
        <w:rPr>
          <w:rFonts w:hint="eastAsia" w:ascii="黑体" w:eastAsia="黑体"/>
          <w:color w:val="000000"/>
          <w:sz w:val="44"/>
          <w:szCs w:val="44"/>
        </w:rPr>
      </w:pPr>
    </w:p>
    <w:p w14:paraId="44218090">
      <w:pPr>
        <w:spacing w:line="600" w:lineRule="exact"/>
        <w:jc w:val="center"/>
        <w:outlineLvl w:val="0"/>
        <w:rPr>
          <w:rFonts w:hint="eastAsia" w:ascii="黑体" w:eastAsia="黑体"/>
          <w:color w:val="000000"/>
          <w:sz w:val="44"/>
          <w:szCs w:val="44"/>
        </w:rPr>
      </w:pPr>
    </w:p>
    <w:p w14:paraId="714D669D">
      <w:pPr>
        <w:spacing w:line="600" w:lineRule="exact"/>
        <w:jc w:val="center"/>
        <w:outlineLvl w:val="0"/>
        <w:rPr>
          <w:rFonts w:hint="eastAsia" w:ascii="黑体" w:eastAsia="黑体"/>
          <w:color w:val="000000"/>
          <w:sz w:val="44"/>
          <w:szCs w:val="44"/>
        </w:rPr>
      </w:pPr>
    </w:p>
    <w:p w14:paraId="17F1410C">
      <w:pPr>
        <w:spacing w:line="600" w:lineRule="exact"/>
        <w:jc w:val="center"/>
        <w:outlineLvl w:val="0"/>
        <w:rPr>
          <w:rFonts w:hint="eastAsia" w:ascii="黑体" w:eastAsia="黑体"/>
          <w:color w:val="000000"/>
          <w:sz w:val="44"/>
          <w:szCs w:val="44"/>
        </w:rPr>
      </w:pPr>
    </w:p>
    <w:p w14:paraId="06B7B014">
      <w:pPr>
        <w:spacing w:line="600" w:lineRule="exact"/>
        <w:jc w:val="center"/>
        <w:outlineLvl w:val="0"/>
        <w:rPr>
          <w:rFonts w:hint="eastAsia" w:ascii="黑体" w:eastAsia="黑体"/>
          <w:color w:val="000000"/>
          <w:sz w:val="44"/>
          <w:szCs w:val="44"/>
        </w:rPr>
      </w:pPr>
    </w:p>
    <w:p w14:paraId="153A7859">
      <w:pPr>
        <w:spacing w:line="600" w:lineRule="exact"/>
        <w:jc w:val="center"/>
        <w:outlineLvl w:val="0"/>
        <w:rPr>
          <w:rFonts w:hint="eastAsia" w:ascii="黑体" w:eastAsia="黑体"/>
          <w:color w:val="000000"/>
          <w:sz w:val="44"/>
          <w:szCs w:val="44"/>
        </w:rPr>
      </w:pPr>
    </w:p>
    <w:p w14:paraId="5FCAD753">
      <w:pPr>
        <w:spacing w:line="600" w:lineRule="exact"/>
        <w:jc w:val="center"/>
        <w:outlineLvl w:val="0"/>
        <w:rPr>
          <w:rFonts w:hint="eastAsia" w:ascii="黑体" w:eastAsia="黑体"/>
          <w:color w:val="000000"/>
          <w:sz w:val="44"/>
          <w:szCs w:val="44"/>
        </w:rPr>
      </w:pPr>
      <w:r>
        <w:drawing>
          <wp:anchor distT="0" distB="0" distL="114300" distR="114300" simplePos="0" relativeHeight="251662336" behindDoc="0" locked="0" layoutInCell="1" allowOverlap="1">
            <wp:simplePos x="0" y="0"/>
            <wp:positionH relativeFrom="column">
              <wp:posOffset>-79375</wp:posOffset>
            </wp:positionH>
            <wp:positionV relativeFrom="paragraph">
              <wp:posOffset>81280</wp:posOffset>
            </wp:positionV>
            <wp:extent cx="5267960" cy="3943985"/>
            <wp:effectExtent l="0" t="0" r="2540" b="571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5267960" cy="3943985"/>
                    </a:xfrm>
                    <a:prstGeom prst="rect">
                      <a:avLst/>
                    </a:prstGeom>
                    <a:noFill/>
                    <a:ln>
                      <a:noFill/>
                    </a:ln>
                  </pic:spPr>
                </pic:pic>
              </a:graphicData>
            </a:graphic>
          </wp:anchor>
        </w:drawing>
      </w:r>
    </w:p>
    <w:p w14:paraId="70E51540">
      <w:pPr>
        <w:spacing w:line="600" w:lineRule="exact"/>
        <w:jc w:val="center"/>
        <w:outlineLvl w:val="0"/>
        <w:rPr>
          <w:rFonts w:hint="eastAsia" w:ascii="黑体" w:eastAsia="黑体"/>
          <w:color w:val="000000"/>
          <w:sz w:val="44"/>
          <w:szCs w:val="44"/>
        </w:rPr>
      </w:pPr>
    </w:p>
    <w:p w14:paraId="2F2CFF94">
      <w:pPr>
        <w:spacing w:line="600" w:lineRule="exact"/>
        <w:jc w:val="center"/>
        <w:outlineLvl w:val="0"/>
        <w:rPr>
          <w:rFonts w:hint="eastAsia" w:ascii="黑体" w:eastAsia="黑体"/>
          <w:color w:val="000000"/>
          <w:sz w:val="44"/>
          <w:szCs w:val="44"/>
        </w:rPr>
      </w:pPr>
    </w:p>
    <w:p w14:paraId="128CA629">
      <w:pPr>
        <w:spacing w:line="600" w:lineRule="exact"/>
        <w:jc w:val="center"/>
        <w:outlineLvl w:val="0"/>
        <w:rPr>
          <w:rFonts w:hint="eastAsia" w:ascii="黑体" w:eastAsia="黑体"/>
          <w:color w:val="000000"/>
          <w:sz w:val="44"/>
          <w:szCs w:val="44"/>
        </w:rPr>
      </w:pPr>
    </w:p>
    <w:p w14:paraId="66EA0DFA">
      <w:pPr>
        <w:spacing w:line="600" w:lineRule="exact"/>
        <w:jc w:val="center"/>
        <w:outlineLvl w:val="0"/>
        <w:rPr>
          <w:rFonts w:hint="eastAsia" w:ascii="黑体" w:eastAsia="黑体"/>
          <w:color w:val="000000"/>
          <w:sz w:val="44"/>
          <w:szCs w:val="44"/>
        </w:rPr>
      </w:pPr>
    </w:p>
    <w:p w14:paraId="036365C4">
      <w:pPr>
        <w:spacing w:line="600" w:lineRule="exact"/>
        <w:jc w:val="center"/>
        <w:outlineLvl w:val="0"/>
        <w:rPr>
          <w:rFonts w:hint="eastAsia" w:ascii="黑体" w:eastAsia="黑体"/>
          <w:color w:val="000000"/>
          <w:sz w:val="44"/>
          <w:szCs w:val="44"/>
        </w:rPr>
      </w:pPr>
    </w:p>
    <w:p w14:paraId="5E411659">
      <w:pPr>
        <w:spacing w:line="600" w:lineRule="exact"/>
        <w:jc w:val="center"/>
        <w:outlineLvl w:val="0"/>
        <w:rPr>
          <w:rFonts w:hint="eastAsia" w:ascii="黑体" w:eastAsia="黑体"/>
          <w:color w:val="000000"/>
          <w:sz w:val="44"/>
          <w:szCs w:val="44"/>
        </w:rPr>
      </w:pPr>
    </w:p>
    <w:p w14:paraId="00503720">
      <w:pPr>
        <w:spacing w:line="600" w:lineRule="exact"/>
        <w:jc w:val="center"/>
        <w:outlineLvl w:val="0"/>
        <w:rPr>
          <w:rFonts w:hint="eastAsia" w:ascii="黑体" w:eastAsia="黑体"/>
          <w:color w:val="000000"/>
          <w:sz w:val="44"/>
          <w:szCs w:val="44"/>
        </w:rPr>
      </w:pPr>
    </w:p>
    <w:p w14:paraId="6CE38FF9">
      <w:pPr>
        <w:spacing w:line="600" w:lineRule="exact"/>
        <w:jc w:val="center"/>
        <w:outlineLvl w:val="0"/>
        <w:rPr>
          <w:rFonts w:hint="eastAsia" w:ascii="黑体" w:eastAsia="黑体"/>
          <w:color w:val="000000"/>
          <w:sz w:val="44"/>
          <w:szCs w:val="44"/>
        </w:rPr>
      </w:pPr>
    </w:p>
    <w:p w14:paraId="013A3D00">
      <w:pPr>
        <w:spacing w:line="600" w:lineRule="exact"/>
        <w:jc w:val="center"/>
        <w:outlineLvl w:val="0"/>
        <w:rPr>
          <w:rFonts w:hint="eastAsia" w:ascii="黑体" w:eastAsia="黑体"/>
          <w:color w:val="000000"/>
          <w:sz w:val="44"/>
          <w:szCs w:val="44"/>
        </w:rPr>
      </w:pPr>
    </w:p>
    <w:p w14:paraId="35B4A52D">
      <w:pPr>
        <w:spacing w:line="600" w:lineRule="exact"/>
        <w:jc w:val="center"/>
        <w:outlineLvl w:val="0"/>
        <w:rPr>
          <w:rFonts w:hint="eastAsia" w:ascii="黑体" w:eastAsia="黑体"/>
          <w:color w:val="000000"/>
          <w:sz w:val="44"/>
          <w:szCs w:val="44"/>
        </w:rPr>
      </w:pPr>
    </w:p>
    <w:p w14:paraId="43E1D48F">
      <w:pPr>
        <w:rPr>
          <w:rFonts w:hint="eastAsia"/>
        </w:rPr>
      </w:pPr>
      <w:r>
        <w:drawing>
          <wp:inline distT="0" distB="0" distL="114300" distR="114300">
            <wp:extent cx="5267960" cy="8091805"/>
            <wp:effectExtent l="0" t="0" r="2540" b="1079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5267960" cy="8091805"/>
                    </a:xfrm>
                    <a:prstGeom prst="rect">
                      <a:avLst/>
                    </a:prstGeom>
                    <a:noFill/>
                    <a:ln>
                      <a:noFill/>
                    </a:ln>
                  </pic:spPr>
                </pic:pic>
              </a:graphicData>
            </a:graphic>
          </wp:inline>
        </w:drawing>
      </w:r>
    </w:p>
    <w:p w14:paraId="1DEA1491">
      <w:pPr>
        <w:pStyle w:val="17"/>
        <w:rPr>
          <w:rFonts w:hint="eastAsia"/>
        </w:rPr>
      </w:pPr>
    </w:p>
    <w:p w14:paraId="70698A72">
      <w:pPr>
        <w:pStyle w:val="17"/>
        <w:rPr>
          <w:rFonts w:hint="eastAsia"/>
        </w:rPr>
      </w:pPr>
      <w:r>
        <w:drawing>
          <wp:inline distT="0" distB="0" distL="114300" distR="114300">
            <wp:extent cx="5267960" cy="8170545"/>
            <wp:effectExtent l="0" t="0" r="2540" b="825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267960" cy="8170545"/>
                    </a:xfrm>
                    <a:prstGeom prst="rect">
                      <a:avLst/>
                    </a:prstGeom>
                    <a:noFill/>
                    <a:ln>
                      <a:noFill/>
                    </a:ln>
                  </pic:spPr>
                </pic:pic>
              </a:graphicData>
            </a:graphic>
          </wp:inline>
        </w:drawing>
      </w:r>
      <w:r>
        <w:drawing>
          <wp:inline distT="0" distB="0" distL="114300" distR="114300">
            <wp:extent cx="5267960" cy="8300085"/>
            <wp:effectExtent l="0" t="0" r="2540" b="571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5267960" cy="8300085"/>
                    </a:xfrm>
                    <a:prstGeom prst="rect">
                      <a:avLst/>
                    </a:prstGeom>
                    <a:noFill/>
                    <a:ln>
                      <a:noFill/>
                    </a:ln>
                  </pic:spPr>
                </pic:pic>
              </a:graphicData>
            </a:graphic>
          </wp:inline>
        </w:drawing>
      </w:r>
    </w:p>
    <w:p w14:paraId="626A3264">
      <w:pPr>
        <w:rPr>
          <w:rFonts w:hint="eastAsia"/>
        </w:rPr>
      </w:pPr>
    </w:p>
    <w:p w14:paraId="0CE16923">
      <w:pPr>
        <w:pStyle w:val="17"/>
        <w:ind w:left="0" w:leftChars="0" w:firstLine="0" w:firstLineChars="0"/>
      </w:pPr>
      <w:r>
        <w:drawing>
          <wp:inline distT="0" distB="0" distL="114300" distR="114300">
            <wp:extent cx="5267960" cy="4976495"/>
            <wp:effectExtent l="0" t="0" r="2540"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4"/>
                    <a:stretch>
                      <a:fillRect/>
                    </a:stretch>
                  </pic:blipFill>
                  <pic:spPr>
                    <a:xfrm>
                      <a:off x="0" y="0"/>
                      <a:ext cx="5267960" cy="4976495"/>
                    </a:xfrm>
                    <a:prstGeom prst="rect">
                      <a:avLst/>
                    </a:prstGeom>
                    <a:noFill/>
                    <a:ln>
                      <a:noFill/>
                    </a:ln>
                  </pic:spPr>
                </pic:pic>
              </a:graphicData>
            </a:graphic>
          </wp:inline>
        </w:drawing>
      </w:r>
    </w:p>
    <w:p w14:paraId="75A80263"/>
    <w:p w14:paraId="3113077C">
      <w:pPr>
        <w:pStyle w:val="17"/>
      </w:pPr>
    </w:p>
    <w:p w14:paraId="6141C015"/>
    <w:p w14:paraId="72A9D4D3">
      <w:pPr>
        <w:pStyle w:val="17"/>
      </w:pPr>
    </w:p>
    <w:p w14:paraId="4AF41AAA"/>
    <w:p w14:paraId="3684A944">
      <w:pPr>
        <w:pStyle w:val="17"/>
      </w:pPr>
    </w:p>
    <w:p w14:paraId="2590AE18"/>
    <w:p w14:paraId="7338F0DB">
      <w:pPr>
        <w:pStyle w:val="17"/>
      </w:pPr>
    </w:p>
    <w:p w14:paraId="2045D14C"/>
    <w:p w14:paraId="5C3F13F1"/>
    <w:p w14:paraId="296B4D31"/>
    <w:p w14:paraId="7E483DD0"/>
    <w:p w14:paraId="595709A4"/>
    <w:p w14:paraId="57B87E14"/>
    <w:p w14:paraId="70821DA7"/>
    <w:p w14:paraId="4DC5FF3D"/>
    <w:p w14:paraId="298EE1D6"/>
    <w:p w14:paraId="6C06BACE"/>
    <w:p w14:paraId="13C30901">
      <w:pPr>
        <w:rPr>
          <w:rFonts w:hint="eastAsia"/>
        </w:rPr>
      </w:pPr>
    </w:p>
    <w:p w14:paraId="72EBF5DA">
      <w:pPr>
        <w:spacing w:line="600" w:lineRule="exact"/>
        <w:jc w:val="center"/>
        <w:outlineLvl w:val="0"/>
        <w:rPr>
          <w:rStyle w:val="27"/>
          <w:rFonts w:ascii="黑体" w:eastAsia="黑体"/>
          <w:b w:val="0"/>
        </w:rPr>
      </w:pPr>
      <w:r>
        <w:rPr>
          <w:rFonts w:hint="eastAsia" w:ascii="黑体" w:eastAsia="黑体"/>
          <w:color w:val="000000"/>
          <w:sz w:val="44"/>
          <w:szCs w:val="44"/>
        </w:rPr>
        <w:t>第</w:t>
      </w:r>
      <w:r>
        <w:rPr>
          <w:rStyle w:val="27"/>
          <w:rFonts w:hint="eastAsia" w:ascii="黑体" w:eastAsia="黑体"/>
          <w:b w:val="0"/>
        </w:rPr>
        <w:t>五部分</w:t>
      </w:r>
      <w:r>
        <w:rPr>
          <w:rStyle w:val="27"/>
          <w:rFonts w:ascii="黑体" w:eastAsia="黑体"/>
          <w:b w:val="0"/>
        </w:rPr>
        <w:t xml:space="preserve"> </w:t>
      </w:r>
      <w:r>
        <w:rPr>
          <w:rStyle w:val="27"/>
          <w:rFonts w:hint="eastAsia" w:ascii="黑体" w:eastAsia="黑体"/>
          <w:b w:val="0"/>
        </w:rPr>
        <w:t>附表</w:t>
      </w:r>
      <w:bookmarkEnd w:id="99"/>
      <w:bookmarkEnd w:id="109"/>
      <w:bookmarkEnd w:id="110"/>
      <w:bookmarkEnd w:id="111"/>
    </w:p>
    <w:p w14:paraId="03BAC09F">
      <w:pPr>
        <w:pStyle w:val="3"/>
        <w:rPr>
          <w:rFonts w:ascii="仿宋" w:eastAsia="仿宋"/>
          <w:color w:val="000000"/>
        </w:rPr>
      </w:pPr>
      <w:bookmarkStart w:id="112" w:name="_Toc18544"/>
      <w:bookmarkStart w:id="113" w:name="_Toc79163636"/>
      <w:bookmarkStart w:id="114" w:name="_Toc15396619"/>
      <w:r>
        <w:rPr>
          <w:rFonts w:hint="eastAsia" w:ascii="仿宋" w:eastAsia="仿宋"/>
          <w:b w:val="0"/>
          <w:color w:val="000000"/>
        </w:rPr>
        <w:t>一、收</w:t>
      </w:r>
      <w:r>
        <w:rPr>
          <w:rStyle w:val="28"/>
          <w:rFonts w:hint="eastAsia" w:ascii="仿宋" w:eastAsia="仿宋"/>
          <w:b w:val="0"/>
          <w:bCs w:val="0"/>
        </w:rPr>
        <w:t>入支出决算总表</w:t>
      </w:r>
      <w:bookmarkEnd w:id="112"/>
      <w:bookmarkEnd w:id="113"/>
      <w:bookmarkEnd w:id="114"/>
    </w:p>
    <w:p w14:paraId="64408626">
      <w:pPr>
        <w:pStyle w:val="3"/>
        <w:rPr>
          <w:rFonts w:ascii="仿宋" w:eastAsia="仿宋"/>
          <w:color w:val="000000"/>
        </w:rPr>
      </w:pPr>
      <w:bookmarkStart w:id="115" w:name="_Toc79163637"/>
      <w:bookmarkStart w:id="116" w:name="_Toc15396620"/>
      <w:bookmarkStart w:id="117" w:name="_Toc13553"/>
      <w:r>
        <w:rPr>
          <w:rFonts w:hint="eastAsia" w:ascii="仿宋" w:eastAsia="仿宋"/>
          <w:b w:val="0"/>
          <w:color w:val="000000"/>
        </w:rPr>
        <w:t>二、收</w:t>
      </w:r>
      <w:r>
        <w:rPr>
          <w:rStyle w:val="28"/>
          <w:rFonts w:hint="eastAsia" w:ascii="仿宋" w:eastAsia="仿宋"/>
          <w:b w:val="0"/>
          <w:bCs w:val="0"/>
        </w:rPr>
        <w:t>入决算表</w:t>
      </w:r>
      <w:bookmarkEnd w:id="115"/>
      <w:bookmarkEnd w:id="116"/>
      <w:bookmarkEnd w:id="117"/>
    </w:p>
    <w:p w14:paraId="51B90DC1">
      <w:pPr>
        <w:pStyle w:val="3"/>
        <w:rPr>
          <w:rFonts w:ascii="仿宋" w:eastAsia="仿宋"/>
          <w:color w:val="000000"/>
        </w:rPr>
      </w:pPr>
      <w:bookmarkStart w:id="118" w:name="_Toc79163638"/>
      <w:bookmarkStart w:id="119" w:name="_Toc15396621"/>
      <w:bookmarkStart w:id="120" w:name="_Toc401"/>
      <w:r>
        <w:rPr>
          <w:rStyle w:val="28"/>
          <w:rFonts w:hint="eastAsia" w:ascii="仿宋" w:eastAsia="仿宋"/>
          <w:b w:val="0"/>
          <w:bCs w:val="0"/>
        </w:rPr>
        <w:t>三、</w:t>
      </w:r>
      <w:r>
        <w:rPr>
          <w:rFonts w:hint="eastAsia" w:ascii="仿宋" w:eastAsia="仿宋"/>
          <w:b w:val="0"/>
          <w:color w:val="000000"/>
        </w:rPr>
        <w:t>支</w:t>
      </w:r>
      <w:r>
        <w:rPr>
          <w:rStyle w:val="28"/>
          <w:rFonts w:hint="eastAsia" w:ascii="仿宋" w:eastAsia="仿宋"/>
          <w:b w:val="0"/>
          <w:bCs w:val="0"/>
        </w:rPr>
        <w:t>出决算表</w:t>
      </w:r>
      <w:bookmarkEnd w:id="118"/>
      <w:bookmarkEnd w:id="119"/>
      <w:bookmarkEnd w:id="120"/>
    </w:p>
    <w:p w14:paraId="453B33C7">
      <w:pPr>
        <w:pStyle w:val="3"/>
        <w:rPr>
          <w:rFonts w:ascii="仿宋" w:eastAsia="仿宋"/>
          <w:b w:val="0"/>
          <w:color w:val="000000"/>
        </w:rPr>
      </w:pPr>
      <w:bookmarkStart w:id="121" w:name="_Toc15396622"/>
      <w:bookmarkStart w:id="122" w:name="_Toc79163639"/>
      <w:bookmarkStart w:id="123" w:name="_Toc7929"/>
      <w:r>
        <w:rPr>
          <w:rStyle w:val="28"/>
          <w:rFonts w:hint="eastAsia" w:ascii="仿宋" w:eastAsia="仿宋"/>
          <w:b w:val="0"/>
          <w:bCs w:val="0"/>
        </w:rPr>
        <w:t>四、</w:t>
      </w:r>
      <w:r>
        <w:rPr>
          <w:rFonts w:hint="eastAsia" w:ascii="仿宋" w:eastAsia="仿宋"/>
          <w:b w:val="0"/>
          <w:color w:val="000000"/>
        </w:rPr>
        <w:t>财</w:t>
      </w:r>
      <w:r>
        <w:rPr>
          <w:rStyle w:val="28"/>
          <w:rFonts w:hint="eastAsia" w:ascii="仿宋" w:eastAsia="仿宋"/>
          <w:b w:val="0"/>
          <w:bCs w:val="0"/>
        </w:rPr>
        <w:t>政拨款收入支出决算总表</w:t>
      </w:r>
      <w:bookmarkEnd w:id="121"/>
      <w:bookmarkEnd w:id="122"/>
      <w:bookmarkEnd w:id="123"/>
    </w:p>
    <w:p w14:paraId="08F1A01B">
      <w:pPr>
        <w:pStyle w:val="3"/>
        <w:rPr>
          <w:rStyle w:val="28"/>
          <w:rFonts w:ascii="仿宋" w:eastAsia="仿宋"/>
          <w:b w:val="0"/>
          <w:bCs w:val="0"/>
        </w:rPr>
      </w:pPr>
      <w:bookmarkStart w:id="124" w:name="_Toc20440"/>
      <w:bookmarkStart w:id="125" w:name="_Toc79163640"/>
      <w:bookmarkStart w:id="126" w:name="_Toc15396623"/>
      <w:r>
        <w:rPr>
          <w:rStyle w:val="28"/>
          <w:rFonts w:hint="eastAsia" w:ascii="仿宋" w:eastAsia="仿宋"/>
          <w:b w:val="0"/>
          <w:bCs w:val="0"/>
        </w:rPr>
        <w:t>五、</w:t>
      </w:r>
      <w:r>
        <w:rPr>
          <w:rFonts w:hint="eastAsia" w:ascii="仿宋" w:eastAsia="仿宋"/>
          <w:b w:val="0"/>
          <w:color w:val="000000"/>
        </w:rPr>
        <w:t>财</w:t>
      </w:r>
      <w:r>
        <w:rPr>
          <w:rStyle w:val="28"/>
          <w:rFonts w:hint="eastAsia" w:ascii="仿宋" w:eastAsia="仿宋"/>
          <w:b w:val="0"/>
          <w:bCs w:val="0"/>
        </w:rPr>
        <w:t>政拨款支出决算明细表</w:t>
      </w:r>
      <w:bookmarkEnd w:id="124"/>
      <w:bookmarkEnd w:id="125"/>
      <w:bookmarkEnd w:id="126"/>
      <w:bookmarkStart w:id="127" w:name="_Toc15396624"/>
    </w:p>
    <w:p w14:paraId="4D2D8E57">
      <w:pPr>
        <w:pStyle w:val="3"/>
        <w:rPr>
          <w:rFonts w:ascii="仿宋" w:eastAsia="仿宋"/>
          <w:color w:val="000000"/>
        </w:rPr>
      </w:pPr>
      <w:bookmarkStart w:id="128" w:name="_Toc10532"/>
      <w:bookmarkStart w:id="129" w:name="_Toc79163641"/>
      <w:r>
        <w:rPr>
          <w:rStyle w:val="28"/>
          <w:rFonts w:hint="eastAsia" w:ascii="仿宋" w:eastAsia="仿宋"/>
          <w:b w:val="0"/>
          <w:bCs w:val="0"/>
        </w:rPr>
        <w:t>六、</w:t>
      </w:r>
      <w:r>
        <w:rPr>
          <w:rFonts w:hint="eastAsia" w:ascii="仿宋" w:eastAsia="仿宋"/>
          <w:b w:val="0"/>
          <w:color w:val="000000"/>
        </w:rPr>
        <w:t>一</w:t>
      </w:r>
      <w:r>
        <w:rPr>
          <w:rStyle w:val="28"/>
          <w:rFonts w:hint="eastAsia" w:ascii="仿宋" w:eastAsia="仿宋"/>
          <w:b w:val="0"/>
          <w:bCs w:val="0"/>
        </w:rPr>
        <w:t>般公共预算财政拨款支出决算表</w:t>
      </w:r>
      <w:bookmarkEnd w:id="127"/>
      <w:bookmarkEnd w:id="128"/>
      <w:bookmarkEnd w:id="129"/>
    </w:p>
    <w:p w14:paraId="71E33999">
      <w:pPr>
        <w:pStyle w:val="3"/>
        <w:rPr>
          <w:rFonts w:ascii="仿宋" w:eastAsia="仿宋"/>
          <w:color w:val="000000"/>
        </w:rPr>
      </w:pPr>
      <w:bookmarkStart w:id="130" w:name="_Toc1017"/>
      <w:bookmarkStart w:id="131" w:name="_Toc15396625"/>
      <w:bookmarkStart w:id="132" w:name="_Toc79163642"/>
      <w:r>
        <w:rPr>
          <w:rStyle w:val="28"/>
          <w:rFonts w:hint="eastAsia" w:ascii="仿宋" w:eastAsia="仿宋"/>
          <w:b w:val="0"/>
          <w:bCs w:val="0"/>
        </w:rPr>
        <w:t>七、</w:t>
      </w:r>
      <w:r>
        <w:rPr>
          <w:rFonts w:hint="eastAsia" w:ascii="仿宋" w:eastAsia="仿宋"/>
          <w:b w:val="0"/>
          <w:color w:val="000000"/>
        </w:rPr>
        <w:t>一</w:t>
      </w:r>
      <w:r>
        <w:rPr>
          <w:rStyle w:val="28"/>
          <w:rFonts w:hint="eastAsia" w:ascii="仿宋" w:eastAsia="仿宋"/>
          <w:b w:val="0"/>
          <w:bCs w:val="0"/>
        </w:rPr>
        <w:t>般公共预算财政拨款支出决算明细表</w:t>
      </w:r>
      <w:bookmarkEnd w:id="130"/>
      <w:bookmarkEnd w:id="131"/>
      <w:bookmarkEnd w:id="132"/>
    </w:p>
    <w:p w14:paraId="0CE28431">
      <w:pPr>
        <w:pStyle w:val="3"/>
        <w:rPr>
          <w:rFonts w:ascii="仿宋" w:eastAsia="仿宋"/>
          <w:color w:val="000000"/>
        </w:rPr>
      </w:pPr>
      <w:bookmarkStart w:id="133" w:name="_Toc32767"/>
      <w:bookmarkStart w:id="134" w:name="_Toc15396626"/>
      <w:bookmarkStart w:id="135" w:name="_Toc79163643"/>
      <w:r>
        <w:rPr>
          <w:rStyle w:val="28"/>
          <w:rFonts w:hint="eastAsia" w:ascii="仿宋" w:eastAsia="仿宋"/>
          <w:b w:val="0"/>
          <w:bCs w:val="0"/>
        </w:rPr>
        <w:t>八、</w:t>
      </w:r>
      <w:r>
        <w:rPr>
          <w:rFonts w:hint="eastAsia" w:ascii="仿宋" w:eastAsia="仿宋"/>
          <w:b w:val="0"/>
          <w:color w:val="000000"/>
        </w:rPr>
        <w:t>一</w:t>
      </w:r>
      <w:r>
        <w:rPr>
          <w:rStyle w:val="28"/>
          <w:rFonts w:hint="eastAsia" w:ascii="仿宋" w:eastAsia="仿宋"/>
          <w:b w:val="0"/>
          <w:bCs w:val="0"/>
        </w:rPr>
        <w:t>般公共预算财政拨款基本支出决算表</w:t>
      </w:r>
      <w:bookmarkEnd w:id="133"/>
      <w:bookmarkEnd w:id="134"/>
      <w:bookmarkEnd w:id="135"/>
    </w:p>
    <w:p w14:paraId="2CFDCB02">
      <w:pPr>
        <w:pStyle w:val="3"/>
        <w:rPr>
          <w:rFonts w:ascii="仿宋" w:eastAsia="仿宋"/>
          <w:color w:val="000000"/>
        </w:rPr>
      </w:pPr>
      <w:bookmarkStart w:id="136" w:name="_Toc79163644"/>
      <w:bookmarkStart w:id="137" w:name="_Toc25673"/>
      <w:bookmarkStart w:id="138" w:name="_Toc79163894"/>
      <w:bookmarkStart w:id="139" w:name="_Toc15396627"/>
      <w:r>
        <w:rPr>
          <w:rStyle w:val="28"/>
          <w:rFonts w:hint="eastAsia" w:ascii="仿宋" w:eastAsia="仿宋"/>
          <w:b w:val="0"/>
          <w:bCs w:val="0"/>
        </w:rPr>
        <w:t>九、</w:t>
      </w:r>
      <w:r>
        <w:rPr>
          <w:rFonts w:hint="eastAsia" w:ascii="仿宋" w:eastAsia="仿宋"/>
          <w:b w:val="0"/>
          <w:color w:val="000000"/>
        </w:rPr>
        <w:t>一</w:t>
      </w:r>
      <w:r>
        <w:rPr>
          <w:rStyle w:val="28"/>
          <w:rFonts w:hint="eastAsia" w:ascii="仿宋" w:eastAsia="仿宋"/>
          <w:b w:val="0"/>
          <w:bCs w:val="0"/>
        </w:rPr>
        <w:t>般公共预算财政拨款项目支出决算表</w:t>
      </w:r>
      <w:bookmarkEnd w:id="136"/>
      <w:bookmarkEnd w:id="137"/>
      <w:bookmarkEnd w:id="138"/>
      <w:bookmarkEnd w:id="139"/>
    </w:p>
    <w:p w14:paraId="08E157DC">
      <w:pPr>
        <w:pStyle w:val="3"/>
        <w:rPr>
          <w:rFonts w:ascii="仿宋" w:eastAsia="仿宋"/>
          <w:color w:val="000000"/>
        </w:rPr>
      </w:pPr>
      <w:bookmarkStart w:id="140" w:name="_Toc79163645"/>
      <w:bookmarkStart w:id="141" w:name="_Toc15396628"/>
      <w:bookmarkStart w:id="142" w:name="_Toc79163895"/>
      <w:bookmarkStart w:id="143" w:name="_Toc29832"/>
      <w:r>
        <w:rPr>
          <w:rStyle w:val="28"/>
          <w:rFonts w:hint="eastAsia" w:ascii="仿宋" w:eastAsia="仿宋"/>
          <w:b w:val="0"/>
          <w:bCs w:val="0"/>
        </w:rPr>
        <w:t>十、</w:t>
      </w:r>
      <w:bookmarkEnd w:id="140"/>
      <w:bookmarkEnd w:id="141"/>
      <w:bookmarkEnd w:id="142"/>
      <w:bookmarkStart w:id="144" w:name="_Toc79163646"/>
      <w:bookmarkStart w:id="145" w:name="_Toc15396629"/>
      <w:r>
        <w:rPr>
          <w:rFonts w:hint="eastAsia" w:ascii="仿宋" w:eastAsia="仿宋"/>
          <w:b w:val="0"/>
          <w:color w:val="000000"/>
        </w:rPr>
        <w:t>政</w:t>
      </w:r>
      <w:r>
        <w:rPr>
          <w:rStyle w:val="28"/>
          <w:rFonts w:hint="eastAsia" w:ascii="仿宋" w:eastAsia="仿宋"/>
          <w:b w:val="0"/>
          <w:bCs w:val="0"/>
        </w:rPr>
        <w:t>府性基金预算财政拨款收入支出决算表</w:t>
      </w:r>
      <w:bookmarkEnd w:id="143"/>
      <w:bookmarkEnd w:id="144"/>
      <w:bookmarkEnd w:id="145"/>
    </w:p>
    <w:p w14:paraId="19BF19F2">
      <w:pPr>
        <w:pStyle w:val="3"/>
        <w:rPr>
          <w:rStyle w:val="28"/>
          <w:rFonts w:ascii="仿宋" w:eastAsia="仿宋"/>
          <w:b w:val="0"/>
          <w:bCs w:val="0"/>
        </w:rPr>
      </w:pPr>
      <w:bookmarkStart w:id="146" w:name="_Toc79163897"/>
      <w:bookmarkStart w:id="147" w:name="_Toc79163647"/>
      <w:bookmarkStart w:id="148" w:name="_Toc15396630"/>
      <w:bookmarkStart w:id="149" w:name="_Toc31206"/>
      <w:r>
        <w:rPr>
          <w:rStyle w:val="28"/>
          <w:rFonts w:hint="eastAsia" w:ascii="仿宋" w:eastAsia="仿宋"/>
          <w:b w:val="0"/>
          <w:bCs w:val="0"/>
        </w:rPr>
        <w:t>十</w:t>
      </w:r>
      <w:bookmarkEnd w:id="146"/>
      <w:bookmarkEnd w:id="147"/>
      <w:bookmarkEnd w:id="148"/>
      <w:bookmarkStart w:id="150" w:name="_Toc15396631"/>
      <w:bookmarkStart w:id="151" w:name="_Toc79163648"/>
      <w:r>
        <w:rPr>
          <w:rStyle w:val="28"/>
          <w:rFonts w:hint="eastAsia" w:ascii="仿宋" w:eastAsia="仿宋"/>
          <w:b w:val="0"/>
          <w:bCs w:val="0"/>
          <w:lang w:val="en-US" w:eastAsia="zh-CN"/>
        </w:rPr>
        <w:t>一</w:t>
      </w:r>
      <w:r>
        <w:rPr>
          <w:rStyle w:val="28"/>
          <w:rFonts w:hint="eastAsia" w:ascii="仿宋" w:eastAsia="仿宋"/>
          <w:b w:val="0"/>
          <w:bCs w:val="0"/>
        </w:rPr>
        <w:t>、</w:t>
      </w:r>
      <w:r>
        <w:rPr>
          <w:rFonts w:hint="eastAsia" w:ascii="仿宋" w:eastAsia="仿宋"/>
          <w:b w:val="0"/>
          <w:color w:val="000000"/>
        </w:rPr>
        <w:t>国</w:t>
      </w:r>
      <w:r>
        <w:rPr>
          <w:rStyle w:val="28"/>
          <w:rFonts w:hint="eastAsia" w:ascii="仿宋" w:eastAsia="仿宋"/>
          <w:b w:val="0"/>
          <w:bCs w:val="0"/>
        </w:rPr>
        <w:t>有资本经营预算财政拨款</w:t>
      </w:r>
      <w:r>
        <w:rPr>
          <w:rStyle w:val="28"/>
          <w:rFonts w:hint="eastAsia" w:ascii="仿宋" w:eastAsia="仿宋"/>
          <w:b w:val="0"/>
          <w:bCs w:val="0"/>
          <w:lang w:val="en-US" w:eastAsia="zh-CN"/>
        </w:rPr>
        <w:t>收入</w:t>
      </w:r>
      <w:r>
        <w:rPr>
          <w:rStyle w:val="28"/>
          <w:rFonts w:hint="eastAsia" w:ascii="仿宋" w:eastAsia="仿宋"/>
          <w:b w:val="0"/>
          <w:bCs w:val="0"/>
        </w:rPr>
        <w:t>支出决算表</w:t>
      </w:r>
      <w:bookmarkEnd w:id="149"/>
      <w:bookmarkEnd w:id="150"/>
      <w:bookmarkEnd w:id="151"/>
    </w:p>
    <w:p w14:paraId="74C74B95">
      <w:pPr>
        <w:pStyle w:val="3"/>
        <w:rPr>
          <w:rStyle w:val="28"/>
          <w:rFonts w:hint="eastAsia" w:ascii="仿宋" w:eastAsia="仿宋"/>
          <w:b w:val="0"/>
          <w:bCs w:val="0"/>
        </w:rPr>
      </w:pPr>
      <w:bookmarkStart w:id="152" w:name="_Toc79163649"/>
      <w:bookmarkStart w:id="153" w:name="_Toc16172"/>
      <w:r>
        <w:rPr>
          <w:rStyle w:val="28"/>
          <w:rFonts w:hint="eastAsia" w:ascii="仿宋" w:eastAsia="仿宋"/>
          <w:b w:val="0"/>
          <w:bCs w:val="0"/>
        </w:rPr>
        <w:t>十</w:t>
      </w:r>
      <w:r>
        <w:rPr>
          <w:rStyle w:val="28"/>
          <w:rFonts w:hint="eastAsia" w:ascii="仿宋" w:eastAsia="仿宋"/>
          <w:b w:val="0"/>
          <w:bCs w:val="0"/>
          <w:lang w:val="en-US" w:eastAsia="zh-CN"/>
        </w:rPr>
        <w:t>二</w:t>
      </w:r>
      <w:r>
        <w:rPr>
          <w:rStyle w:val="28"/>
          <w:rFonts w:hint="eastAsia" w:ascii="仿宋" w:eastAsia="仿宋"/>
          <w:b w:val="0"/>
          <w:bCs w:val="0"/>
        </w:rPr>
        <w:t>、国有资本经营预算财政拨款支出决算表</w:t>
      </w:r>
      <w:bookmarkEnd w:id="152"/>
      <w:bookmarkEnd w:id="153"/>
    </w:p>
    <w:p w14:paraId="2187539C">
      <w:bookmarkStart w:id="154" w:name="_Toc18470"/>
      <w:r>
        <w:rPr>
          <w:rStyle w:val="28"/>
          <w:rFonts w:hint="eastAsia" w:ascii="仿宋" w:eastAsia="仿宋"/>
          <w:b w:val="0"/>
          <w:bCs w:val="0"/>
          <w:lang w:val="en-US" w:eastAsia="zh-CN"/>
        </w:rPr>
        <w:t>十三、</w:t>
      </w:r>
      <w:r>
        <w:rPr>
          <w:rStyle w:val="28"/>
          <w:rFonts w:hint="eastAsia" w:ascii="仿宋" w:eastAsia="仿宋"/>
          <w:b w:val="0"/>
          <w:bCs w:val="0"/>
        </w:rPr>
        <w:t>财政拨款“三公”经费支出决算表</w:t>
      </w:r>
      <w:bookmarkEnd w:id="154"/>
    </w:p>
    <w:p w14:paraId="5C9ADBB6">
      <w:pPr>
        <w:pStyle w:val="3"/>
        <w:rPr>
          <w:rStyle w:val="28"/>
          <w:rFonts w:ascii="仿宋" w:eastAsia="仿宋"/>
          <w:b w:val="0"/>
          <w:bCs w:val="0"/>
        </w:rPr>
      </w:pPr>
    </w:p>
    <w:sectPr>
      <w:footerReference r:id="rId7" w:type="first"/>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A133">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719F5">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624C6">
    <w:pPr>
      <w:pStyle w:val="12"/>
      <w:jc w:val="center"/>
    </w:pPr>
    <w:r>
      <w:fldChar w:fldCharType="begin"/>
    </w:r>
    <w:r>
      <w:instrText xml:space="preserve">PAGE   \* MERGEFORMAT</w:instrText>
    </w:r>
    <w:r>
      <w:fldChar w:fldCharType="separate"/>
    </w:r>
    <w:r>
      <w:t>25</w:t>
    </w:r>
    <w:r>
      <w:fldChar w:fldCharType="end"/>
    </w:r>
  </w:p>
  <w:p w14:paraId="646C78EE">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B1AE1">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96135">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33080"/>
    <w:multiLevelType w:val="singleLevel"/>
    <w:tmpl w:val="ACE33080"/>
    <w:lvl w:ilvl="0" w:tentative="0">
      <w:start w:val="2"/>
      <w:numFmt w:val="chineseCounting"/>
      <w:suff w:val="nothing"/>
      <w:lvlText w:val="（%1）"/>
      <w:lvlJc w:val="left"/>
      <w:pPr>
        <w:ind w:left="0" w:firstLine="0"/>
      </w:pPr>
      <w:rPr>
        <w:rFonts w:hint="eastAsia"/>
      </w:rPr>
    </w:lvl>
  </w:abstractNum>
  <w:abstractNum w:abstractNumId="1">
    <w:nsid w:val="CF652CEC"/>
    <w:multiLevelType w:val="singleLevel"/>
    <w:tmpl w:val="CF652CEC"/>
    <w:lvl w:ilvl="0" w:tentative="0">
      <w:start w:val="9"/>
      <w:numFmt w:val="chineseCounting"/>
      <w:suff w:val="nothing"/>
      <w:lvlText w:val="%1、"/>
      <w:lvlJc w:val="left"/>
      <w:pPr>
        <w:ind w:left="0" w:firstLine="0"/>
      </w:pPr>
      <w:rPr>
        <w:rFonts w:hint="eastAsia" w:cs="Times New Roman"/>
      </w:rPr>
    </w:lvl>
  </w:abstractNum>
  <w:abstractNum w:abstractNumId="2">
    <w:nsid w:val="E2FA047D"/>
    <w:multiLevelType w:val="singleLevel"/>
    <w:tmpl w:val="E2FA047D"/>
    <w:lvl w:ilvl="0" w:tentative="0">
      <w:start w:val="3"/>
      <w:numFmt w:val="chineseCounting"/>
      <w:suff w:val="space"/>
      <w:lvlText w:val="第%1部分"/>
      <w:lvlJc w:val="left"/>
      <w:pPr>
        <w:ind w:left="0" w:firstLine="0"/>
      </w:pPr>
      <w:rPr>
        <w:rFonts w:hint="eastAsia" w:cs="Times New Roman"/>
      </w:rPr>
    </w:lvl>
  </w:abstractNum>
  <w:abstractNum w:abstractNumId="3">
    <w:nsid w:val="27BE6324"/>
    <w:multiLevelType w:val="singleLevel"/>
    <w:tmpl w:val="27BE6324"/>
    <w:lvl w:ilvl="0" w:tentative="0">
      <w:start w:val="2"/>
      <w:numFmt w:val="chineseCounting"/>
      <w:suff w:val="nothing"/>
      <w:lvlText w:val="（%1）"/>
      <w:lvlJc w:val="left"/>
      <w:pPr>
        <w:ind w:left="0" w:firstLine="0"/>
      </w:pPr>
      <w:rPr>
        <w:rFonts w:hint="eastAsia"/>
      </w:rPr>
    </w:lvl>
  </w:abstractNum>
  <w:abstractNum w:abstractNumId="4">
    <w:nsid w:val="7EED1195"/>
    <w:multiLevelType w:val="singleLevel"/>
    <w:tmpl w:val="7EED1195"/>
    <w:lvl w:ilvl="0" w:tentative="0">
      <w:start w:val="1"/>
      <w:numFmt w:val="chineseCounting"/>
      <w:suff w:val="nothing"/>
      <w:lvlText w:val="%1、"/>
      <w:lvlJc w:val="left"/>
      <w:pPr>
        <w:ind w:left="0" w:firstLine="0"/>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MTZhOThlNjZjM2NiOTg1NjJjZDViOWIyODY2OTQ0ZTYifQ=="/>
  </w:docVars>
  <w:rsids>
    <w:rsidRoot w:val="00172A27"/>
    <w:rsid w:val="03A05C2B"/>
    <w:rsid w:val="07152133"/>
    <w:rsid w:val="0CFC4D4C"/>
    <w:rsid w:val="11902A8A"/>
    <w:rsid w:val="1502314D"/>
    <w:rsid w:val="1AE02BCC"/>
    <w:rsid w:val="1F222C43"/>
    <w:rsid w:val="2711695C"/>
    <w:rsid w:val="277B6AE8"/>
    <w:rsid w:val="27C47099"/>
    <w:rsid w:val="2BB75AAF"/>
    <w:rsid w:val="313034EA"/>
    <w:rsid w:val="3A4D3F97"/>
    <w:rsid w:val="405B3209"/>
    <w:rsid w:val="40D75730"/>
    <w:rsid w:val="48CE566A"/>
    <w:rsid w:val="4B8D5E30"/>
    <w:rsid w:val="4D671543"/>
    <w:rsid w:val="525C3CE7"/>
    <w:rsid w:val="5CD01559"/>
    <w:rsid w:val="67EF22DB"/>
    <w:rsid w:val="6D135E59"/>
    <w:rsid w:val="739B2881"/>
    <w:rsid w:val="792E168A"/>
    <w:rsid w:val="79DE4E5E"/>
    <w:rsid w:val="7D8034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5"/>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1"/>
    <w:link w:val="28"/>
    <w:qFormat/>
    <w:uiPriority w:val="0"/>
    <w:pPr>
      <w:keepNext/>
      <w:keepLines/>
      <w:widowControl w:val="0"/>
      <w:spacing w:before="260" w:after="260" w:line="415" w:lineRule="auto"/>
      <w:outlineLvl w:val="1"/>
    </w:pPr>
    <w:rPr>
      <w:rFonts w:ascii="Cambria" w:hAnsi="Cambria"/>
      <w:b/>
      <w:bCs/>
      <w:sz w:val="32"/>
      <w:szCs w:val="32"/>
    </w:rPr>
  </w:style>
  <w:style w:type="paragraph" w:styleId="4">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23">
    <w:name w:val="Default Paragraph Font"/>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toc 7"/>
    <w:basedOn w:val="1"/>
    <w:next w:val="1"/>
    <w:qFormat/>
    <w:uiPriority w:val="0"/>
    <w:pPr>
      <w:ind w:left="1260"/>
      <w:jc w:val="left"/>
    </w:pPr>
    <w:rPr>
      <w:rFonts w:ascii="等线" w:eastAsia="等线"/>
      <w:sz w:val="18"/>
      <w:szCs w:val="18"/>
    </w:rPr>
  </w:style>
  <w:style w:type="paragraph" w:styleId="6">
    <w:name w:val="Body Text"/>
    <w:basedOn w:val="1"/>
    <w:qFormat/>
    <w:uiPriority w:val="0"/>
    <w:pPr>
      <w:spacing w:before="30" w:beforeLines="30"/>
    </w:pPr>
    <w:rPr>
      <w:rFonts w:ascii="仿宋_GB2312" w:eastAsia="仿宋_GB2312"/>
      <w:kern w:val="0"/>
      <w:sz w:val="24"/>
      <w:szCs w:val="20"/>
      <w:lang w:val="zh-CN"/>
    </w:rPr>
  </w:style>
  <w:style w:type="paragraph" w:styleId="7">
    <w:name w:val="Body Text Indent"/>
    <w:basedOn w:val="1"/>
    <w:next w:val="1"/>
    <w:qFormat/>
    <w:uiPriority w:val="0"/>
    <w:pPr>
      <w:spacing w:after="120"/>
      <w:ind w:left="200" w:leftChars="200"/>
    </w:pPr>
    <w:rPr>
      <w:rFonts w:ascii="Calibri" w:hAnsi="Calibri"/>
      <w:szCs w:val="22"/>
    </w:rPr>
  </w:style>
  <w:style w:type="paragraph" w:styleId="8">
    <w:name w:val="toc 5"/>
    <w:basedOn w:val="1"/>
    <w:next w:val="1"/>
    <w:qFormat/>
    <w:uiPriority w:val="0"/>
    <w:pPr>
      <w:ind w:left="840"/>
      <w:jc w:val="left"/>
    </w:pPr>
    <w:rPr>
      <w:rFonts w:ascii="等线" w:eastAsia="等线"/>
      <w:sz w:val="18"/>
      <w:szCs w:val="18"/>
    </w:rPr>
  </w:style>
  <w:style w:type="paragraph" w:styleId="9">
    <w:name w:val="toc 3"/>
    <w:basedOn w:val="1"/>
    <w:next w:val="1"/>
    <w:qFormat/>
    <w:uiPriority w:val="0"/>
    <w:pPr>
      <w:ind w:left="420"/>
      <w:jc w:val="left"/>
    </w:pPr>
    <w:rPr>
      <w:rFonts w:ascii="等线" w:eastAsia="等线"/>
      <w:i/>
      <w:iCs/>
      <w:sz w:val="20"/>
      <w:szCs w:val="20"/>
    </w:rPr>
  </w:style>
  <w:style w:type="paragraph" w:styleId="10">
    <w:name w:val="toc 8"/>
    <w:basedOn w:val="1"/>
    <w:next w:val="1"/>
    <w:qFormat/>
    <w:uiPriority w:val="0"/>
    <w:pPr>
      <w:ind w:left="1470"/>
      <w:jc w:val="left"/>
    </w:pPr>
    <w:rPr>
      <w:rFonts w:ascii="等线" w:eastAsia="等线"/>
      <w:sz w:val="18"/>
      <w:szCs w:val="18"/>
    </w:rPr>
  </w:style>
  <w:style w:type="paragraph" w:styleId="11">
    <w:name w:val="Balloon Text"/>
    <w:basedOn w:val="1"/>
    <w:qFormat/>
    <w:uiPriority w:val="0"/>
    <w:rPr>
      <w:sz w:val="18"/>
      <w:szCs w:val="18"/>
    </w:rPr>
  </w:style>
  <w:style w:type="paragraph" w:styleId="12">
    <w:name w:val="footer"/>
    <w:basedOn w:val="1"/>
    <w:qFormat/>
    <w:uiPriority w:val="0"/>
    <w:pPr>
      <w:tabs>
        <w:tab w:val="center" w:pos="4153"/>
        <w:tab w:val="right" w:pos="8306"/>
      </w:tabs>
      <w:snapToGrid w:val="0"/>
      <w:jc w:val="left"/>
    </w:pPr>
    <w:rPr>
      <w:rFonts w:ascii="Calibri" w:hAnsi="Calibri"/>
      <w:kern w:val="0"/>
      <w:sz w:val="18"/>
      <w:szCs w:val="20"/>
      <w:lang w:val="zh-CN"/>
    </w:rPr>
  </w:style>
  <w:style w:type="paragraph" w:styleId="13">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20"/>
      <w:lang w:val="zh-CN"/>
    </w:rPr>
  </w:style>
  <w:style w:type="paragraph" w:styleId="14">
    <w:name w:val="toc 1"/>
    <w:basedOn w:val="1"/>
    <w:next w:val="1"/>
    <w:qFormat/>
    <w:uiPriority w:val="0"/>
    <w:pPr>
      <w:spacing w:before="120" w:after="120"/>
      <w:jc w:val="left"/>
    </w:pPr>
    <w:rPr>
      <w:rFonts w:ascii="等线" w:eastAsia="等线"/>
      <w:b/>
      <w:bCs/>
      <w:caps/>
      <w:sz w:val="20"/>
      <w:szCs w:val="20"/>
    </w:rPr>
  </w:style>
  <w:style w:type="paragraph" w:styleId="15">
    <w:name w:val="toc 4"/>
    <w:basedOn w:val="1"/>
    <w:next w:val="1"/>
    <w:qFormat/>
    <w:uiPriority w:val="0"/>
    <w:pPr>
      <w:ind w:left="630"/>
      <w:jc w:val="left"/>
    </w:pPr>
    <w:rPr>
      <w:rFonts w:ascii="等线" w:eastAsia="等线"/>
      <w:sz w:val="18"/>
      <w:szCs w:val="18"/>
    </w:rPr>
  </w:style>
  <w:style w:type="paragraph" w:styleId="16">
    <w:name w:val="toc 6"/>
    <w:basedOn w:val="1"/>
    <w:next w:val="1"/>
    <w:qFormat/>
    <w:uiPriority w:val="0"/>
    <w:pPr>
      <w:ind w:left="1050"/>
      <w:jc w:val="left"/>
    </w:pPr>
    <w:rPr>
      <w:rFonts w:ascii="等线" w:eastAsia="等线"/>
      <w:sz w:val="18"/>
      <w:szCs w:val="18"/>
    </w:rPr>
  </w:style>
  <w:style w:type="paragraph" w:styleId="17">
    <w:name w:val="table of figures"/>
    <w:basedOn w:val="1"/>
    <w:next w:val="1"/>
    <w:qFormat/>
    <w:uiPriority w:val="0"/>
    <w:pPr>
      <w:widowControl w:val="0"/>
      <w:ind w:left="400" w:leftChars="200" w:hanging="200" w:hangingChars="200"/>
      <w:jc w:val="both"/>
    </w:pPr>
    <w:rPr>
      <w:rFonts w:ascii="Calibri" w:hAnsi="Calibri" w:eastAsia="宋体" w:cs="Times New Roman"/>
      <w:kern w:val="2"/>
      <w:sz w:val="21"/>
      <w:szCs w:val="24"/>
      <w:lang w:val="en-US" w:eastAsia="zh-CN" w:bidi="ar-SA"/>
    </w:rPr>
  </w:style>
  <w:style w:type="paragraph" w:styleId="18">
    <w:name w:val="toc 2"/>
    <w:basedOn w:val="1"/>
    <w:next w:val="1"/>
    <w:qFormat/>
    <w:uiPriority w:val="0"/>
    <w:pPr>
      <w:ind w:left="210"/>
      <w:jc w:val="left"/>
    </w:pPr>
    <w:rPr>
      <w:rFonts w:ascii="等线" w:eastAsia="等线"/>
      <w:smallCaps/>
      <w:sz w:val="20"/>
      <w:szCs w:val="20"/>
    </w:rPr>
  </w:style>
  <w:style w:type="paragraph" w:styleId="19">
    <w:name w:val="toc 9"/>
    <w:basedOn w:val="1"/>
    <w:next w:val="1"/>
    <w:qFormat/>
    <w:uiPriority w:val="0"/>
    <w:pPr>
      <w:ind w:left="1680"/>
      <w:jc w:val="left"/>
    </w:pPr>
    <w:rPr>
      <w:rFonts w:ascii="等线" w:eastAsia="等线"/>
      <w:sz w:val="18"/>
      <w:szCs w:val="18"/>
    </w:rPr>
  </w:style>
  <w:style w:type="paragraph" w:styleId="20">
    <w:name w:val="Normal (Web)"/>
    <w:basedOn w:val="1"/>
    <w:qFormat/>
    <w:uiPriority w:val="0"/>
    <w:pPr>
      <w:spacing w:before="100" w:beforeAutospacing="1" w:after="100" w:afterAutospacing="1"/>
    </w:pPr>
  </w:style>
  <w:style w:type="paragraph" w:styleId="21">
    <w:name w:val="Body Text First Indent 2"/>
    <w:basedOn w:val="7"/>
    <w:next w:val="1"/>
    <w:qFormat/>
    <w:uiPriority w:val="0"/>
    <w:pPr>
      <w:spacing w:line="360" w:lineRule="auto"/>
      <w:ind w:left="0" w:leftChars="0" w:firstLine="200" w:firstLineChars="200"/>
    </w:pPr>
    <w:rPr>
      <w:rFonts w:ascii="Times New Roman" w:hAnsi="Times New Roman" w:eastAsia="宋体"/>
    </w:rPr>
  </w:style>
  <w:style w:type="character" w:styleId="24">
    <w:name w:val="Strong"/>
    <w:basedOn w:val="23"/>
    <w:qFormat/>
    <w:uiPriority w:val="0"/>
    <w:rPr>
      <w:rFonts w:cs="Times New Roman"/>
      <w:b/>
    </w:rPr>
  </w:style>
  <w:style w:type="character" w:styleId="25">
    <w:name w:val="page number"/>
    <w:basedOn w:val="23"/>
    <w:qFormat/>
    <w:uiPriority w:val="0"/>
  </w:style>
  <w:style w:type="character" w:styleId="26">
    <w:name w:val="Hyperlink"/>
    <w:basedOn w:val="23"/>
    <w:qFormat/>
    <w:uiPriority w:val="0"/>
    <w:rPr>
      <w:rFonts w:cs="Times New Roman"/>
      <w:color w:val="0000FF"/>
      <w:u w:val="single"/>
    </w:rPr>
  </w:style>
  <w:style w:type="character" w:customStyle="1" w:styleId="27">
    <w:name w:val="heading 1 Char"/>
    <w:basedOn w:val="23"/>
    <w:link w:val="2"/>
    <w:qFormat/>
    <w:uiPriority w:val="0"/>
    <w:rPr>
      <w:rFonts w:ascii="Times New Roman" w:hAnsi="Times New Roman" w:eastAsia="宋体" w:cs="Times New Roman"/>
      <w:b/>
      <w:bCs/>
      <w:kern w:val="44"/>
      <w:sz w:val="44"/>
      <w:szCs w:val="44"/>
      <w:lang w:val="en-US" w:eastAsia="zh-CN" w:bidi="ar-SA"/>
    </w:rPr>
  </w:style>
  <w:style w:type="character" w:customStyle="1" w:styleId="28">
    <w:name w:val="heading 2 Char"/>
    <w:basedOn w:val="23"/>
    <w:link w:val="3"/>
    <w:qFormat/>
    <w:uiPriority w:val="0"/>
    <w:rPr>
      <w:rFonts w:ascii="Cambria" w:hAnsi="Cambria" w:eastAsia="宋体" w:cs="Times New Roman"/>
      <w:b/>
      <w:bCs/>
      <w:kern w:val="2"/>
      <w:sz w:val="32"/>
      <w:szCs w:val="32"/>
      <w:lang w:val="en-US" w:eastAsia="zh-CN" w:bidi="ar-SA"/>
    </w:rPr>
  </w:style>
  <w:style w:type="character" w:customStyle="1" w:styleId="29">
    <w:name w:val="Body Text Char"/>
    <w:basedOn w:val="23"/>
    <w:qFormat/>
    <w:uiPriority w:val="0"/>
    <w:rPr>
      <w:rFonts w:ascii="Times New Roman" w:hAnsi="Times New Roman" w:cs="Times New Roman"/>
      <w:sz w:val="24"/>
      <w:szCs w:val="24"/>
    </w:rPr>
  </w:style>
  <w:style w:type="character" w:customStyle="1" w:styleId="30">
    <w:name w:val="Footer Char"/>
    <w:basedOn w:val="23"/>
    <w:qFormat/>
    <w:uiPriority w:val="0"/>
    <w:rPr>
      <w:rFonts w:ascii="Times New Roman" w:hAnsi="Times New Roman" w:cs="Times New Roman"/>
      <w:sz w:val="18"/>
      <w:szCs w:val="18"/>
    </w:rPr>
  </w:style>
  <w:style w:type="character" w:customStyle="1" w:styleId="31">
    <w:name w:val="Header Char"/>
    <w:basedOn w:val="23"/>
    <w:qFormat/>
    <w:uiPriority w:val="0"/>
    <w:rPr>
      <w:rFonts w:ascii="Times New Roman" w:hAnsi="Times New Roman" w:cs="Times New Roman"/>
      <w:sz w:val="18"/>
      <w:szCs w:val="18"/>
    </w:rPr>
  </w:style>
  <w:style w:type="paragraph" w:customStyle="1" w:styleId="3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3">
    <w:name w:val="列表段落1"/>
    <w:basedOn w:val="1"/>
    <w:qFormat/>
    <w:uiPriority w:val="0"/>
    <w:pPr>
      <w:ind w:firstLine="200" w:firstLineChars="200"/>
    </w:pPr>
  </w:style>
  <w:style w:type="paragraph" w:customStyle="1" w:styleId="34">
    <w:name w:val="TOC 标题1"/>
    <w:basedOn w:val="2"/>
    <w:next w:val="1"/>
    <w:qFormat/>
    <w:uiPriority w:val="0"/>
    <w:pPr>
      <w:keepNext/>
      <w:keepLines/>
      <w:widowControl/>
      <w:spacing w:before="480" w:after="0" w:line="276" w:lineRule="auto"/>
      <w:jc w:val="left"/>
      <w:outlineLvl w:val="9"/>
    </w:pPr>
    <w:rPr>
      <w:rFonts w:ascii="Cambria" w:hAnsi="Cambria"/>
      <w:color w:val="365F91"/>
      <w:kern w:val="0"/>
      <w:sz w:val="28"/>
      <w:szCs w:val="28"/>
    </w:rPr>
  </w:style>
  <w:style w:type="paragraph" w:customStyle="1" w:styleId="35">
    <w:name w:val="TOC Heading1"/>
    <w:basedOn w:val="2"/>
    <w:next w:val="1"/>
    <w:qFormat/>
    <w:uiPriority w:val="0"/>
    <w:pPr>
      <w:keepNext/>
      <w:keepLines/>
      <w:widowControl/>
      <w:spacing w:before="480" w:after="0" w:line="276" w:lineRule="auto"/>
      <w:jc w:val="left"/>
      <w:outlineLvl w:val="9"/>
    </w:pPr>
    <w:rPr>
      <w:rFonts w:ascii="Cambria" w:hAnsi="Cambria"/>
      <w:color w:val="365F91"/>
      <w:kern w:val="0"/>
      <w:sz w:val="28"/>
      <w:szCs w:val="28"/>
    </w:rPr>
  </w:style>
  <w:style w:type="paragraph" w:customStyle="1" w:styleId="36">
    <w:name w:val="TOC 标题2"/>
    <w:basedOn w:val="2"/>
    <w:next w:val="1"/>
    <w:qFormat/>
    <w:uiPriority w:val="0"/>
    <w:pPr>
      <w:keepNext/>
      <w:keepLines/>
      <w:widowControl/>
      <w:spacing w:before="240" w:after="0" w:line="259" w:lineRule="auto"/>
      <w:jc w:val="left"/>
      <w:outlineLvl w:val="9"/>
    </w:pPr>
    <w:rPr>
      <w:rFonts w:ascii="等线 Light" w:eastAsia="等线 Light" w:cs="Times New Roman"/>
      <w:b w:val="0"/>
      <w:bCs w:val="0"/>
      <w:color w:val="2F5597"/>
      <w:kern w:val="0"/>
      <w:sz w:val="32"/>
      <w:szCs w:val="32"/>
    </w:rPr>
  </w:style>
  <w:style w:type="character" w:customStyle="1" w:styleId="37">
    <w:name w:val="NormalCharacter"/>
    <w:qFormat/>
    <w:uiPriority w:val="0"/>
    <w:rPr>
      <w:rFonts w:ascii="Calibri" w:hAnsi="Calibri" w:eastAsia="宋体" w:cs="Times New Roman"/>
      <w:kern w:val="2"/>
      <w:sz w:val="21"/>
      <w:szCs w:val="24"/>
      <w:lang w:val="en-US" w:eastAsia="zh-CN" w:bidi="ar-SA"/>
    </w:rPr>
  </w:style>
  <w:style w:type="paragraph" w:customStyle="1" w:styleId="38">
    <w:name w:val="列出段落1"/>
    <w:basedOn w:val="1"/>
    <w:qFormat/>
    <w:uiPriority w:val="0"/>
    <w:pPr>
      <w:ind w:firstLine="200" w:firstLineChars="200"/>
    </w:pPr>
    <w:rPr>
      <w:rFonts w:ascii="Calibri" w:hAnsi="Calibri" w:eastAsia="宋体" w:cs="Times New Roman"/>
    </w:rPr>
  </w:style>
  <w:style w:type="character" w:customStyle="1" w:styleId="39">
    <w:name w:val="15"/>
    <w:basedOn w:val="23"/>
    <w:qFormat/>
    <w:uiPriority w:val="0"/>
    <w:rPr>
      <w:rFonts w:ascii="Cambria" w:hAnsi="Cambria" w:eastAsia="宋体" w:cs="Times New Roman"/>
      <w:b/>
      <w:bCs/>
      <w:kern w:val="2"/>
      <w:sz w:val="32"/>
      <w:szCs w:val="32"/>
    </w:rPr>
  </w:style>
  <w:style w:type="character" w:customStyle="1" w:styleId="40">
    <w:name w:val="10"/>
    <w:basedOn w:val="23"/>
    <w:qFormat/>
    <w:uiPriority w:val="0"/>
    <w:rPr>
      <w:rFonts w:ascii="Times New Roman" w:hAnsi="Times New Roman" w:cs="Times New Roman"/>
    </w:rPr>
  </w:style>
  <w:style w:type="paragraph" w:customStyle="1" w:styleId="41">
    <w:name w:val="四号正文"/>
    <w:basedOn w:val="1"/>
    <w:qFormat/>
    <w:uiPriority w:val="0"/>
    <w:pPr>
      <w:spacing w:line="360" w:lineRule="auto"/>
    </w:pPr>
    <w:rPr>
      <w:rFonts w:ascii="??" w:hAnsi="??" w:eastAsia="宋体"/>
      <w:color w:val="000000"/>
      <w:kern w:val="0"/>
      <w:sz w:val="28"/>
      <w:szCs w:val="21"/>
    </w:rPr>
  </w:style>
  <w:style w:type="paragraph" w:customStyle="1" w:styleId="42">
    <w:name w:val="正文首行缩进 21"/>
    <w:basedOn w:val="43"/>
    <w:qFormat/>
    <w:uiPriority w:val="0"/>
    <w:pPr>
      <w:spacing w:line="360" w:lineRule="auto"/>
      <w:ind w:left="0" w:leftChars="0" w:firstLine="420" w:firstLineChars="200"/>
    </w:pPr>
    <w:rPr>
      <w:rFonts w:ascii="Times New Roman" w:hAnsi="Times New Roman" w:eastAsia="宋体"/>
    </w:rPr>
  </w:style>
  <w:style w:type="paragraph" w:customStyle="1" w:styleId="43">
    <w:name w:val="正文文本缩进1"/>
    <w:basedOn w:val="1"/>
    <w:qFormat/>
    <w:uiPriority w:val="0"/>
    <w:pPr>
      <w:spacing w:after="120"/>
      <w:ind w:left="420" w:leftChars="200"/>
    </w:pPr>
    <w:rPr>
      <w:rFonts w:ascii="Calibri" w:hAnsi="Calibri"/>
      <w:szCs w:val="22"/>
    </w:rPr>
  </w:style>
  <w:style w:type="paragraph" w:customStyle="1" w:styleId="44">
    <w:name w:val="页脚1"/>
    <w:basedOn w:val="1"/>
    <w:qFormat/>
    <w:uiPriority w:val="0"/>
    <w:pPr>
      <w:tabs>
        <w:tab w:val="center" w:pos="4153"/>
        <w:tab w:val="right" w:pos="8306"/>
      </w:tabs>
      <w:snapToGrid w:val="0"/>
      <w:jc w:val="left"/>
    </w:pPr>
    <w:rPr>
      <w:rFonts w:eastAsia="宋体"/>
      <w:sz w:val="18"/>
      <w:szCs w:val="18"/>
    </w:rPr>
  </w:style>
  <w:style w:type="character" w:customStyle="1" w:styleId="45">
    <w:name w:val="页码1"/>
    <w:link w:val="1"/>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0988333333333333"/>
          <c:y val="0.22037037037037"/>
          <c:w val="0.844222222222222"/>
          <c:h val="0.711666666666667"/>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[决算公开分析图表.xls]Sheet1!$A$3:$B$3</c:f>
              <c:strCache>
                <c:ptCount val="2"/>
                <c:pt idx="0">
                  <c:v>2022年</c:v>
                </c:pt>
                <c:pt idx="1">
                  <c:v>2023年</c:v>
                </c:pt>
              </c:strCache>
            </c:strRef>
          </c:cat>
          <c:val>
            <c:numRef>
              <c:f>[决算公开分析图表.xls]Sheet1!$A$4:$B$4</c:f>
              <c:numCache>
                <c:formatCode>#,##0.00</c:formatCode>
                <c:ptCount val="2"/>
                <c:pt idx="0">
                  <c:v>2681.89</c:v>
                </c:pt>
                <c:pt idx="1">
                  <c:v>1882.09</c:v>
                </c:pt>
              </c:numCache>
            </c:numRef>
          </c:val>
        </c:ser>
        <c:dLbls>
          <c:showLegendKey val="0"/>
          <c:showVal val="0"/>
          <c:showCatName val="0"/>
          <c:showSerName val="0"/>
          <c:showPercent val="0"/>
          <c:showBubbleSize val="0"/>
        </c:dLbls>
        <c:gapWidth val="219"/>
        <c:overlap val="-27"/>
        <c:axId val="62191934"/>
        <c:axId val="882219205"/>
      </c:barChart>
      <c:catAx>
        <c:axId val="6219193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219205"/>
        <c:crosses val="autoZero"/>
        <c:auto val="1"/>
        <c:lblAlgn val="ctr"/>
        <c:lblOffset val="100"/>
        <c:noMultiLvlLbl val="0"/>
      </c:catAx>
      <c:valAx>
        <c:axId val="882219205"/>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19193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[决算公开分析图表.xls]Sheet1!$A$24:$B$24</c:f>
              <c:strCache>
                <c:ptCount val="2"/>
                <c:pt idx="0">
                  <c:v>2022年</c:v>
                </c:pt>
                <c:pt idx="1">
                  <c:v>2023年</c:v>
                </c:pt>
              </c:strCache>
            </c:strRef>
          </c:cat>
          <c:val>
            <c:numRef>
              <c:f>[决算公开分析图表.xls]Sheet1!$A$25:$B$25</c:f>
              <c:numCache>
                <c:formatCode>#,##0.00</c:formatCode>
                <c:ptCount val="2"/>
                <c:pt idx="0">
                  <c:v>3177.22</c:v>
                </c:pt>
                <c:pt idx="1">
                  <c:v>1882.09</c:v>
                </c:pt>
              </c:numCache>
            </c:numRef>
          </c:val>
        </c:ser>
        <c:dLbls>
          <c:showLegendKey val="0"/>
          <c:showVal val="0"/>
          <c:showCatName val="0"/>
          <c:showSerName val="0"/>
          <c:showPercent val="0"/>
          <c:showBubbleSize val="0"/>
        </c:dLbls>
        <c:gapWidth val="219"/>
        <c:overlap val="-27"/>
        <c:axId val="350919692"/>
        <c:axId val="984707788"/>
      </c:barChart>
      <c:catAx>
        <c:axId val="35091969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707788"/>
        <c:crosses val="autoZero"/>
        <c:auto val="1"/>
        <c:lblAlgn val="ctr"/>
        <c:lblOffset val="100"/>
        <c:noMultiLvlLbl val="0"/>
      </c:catAx>
      <c:valAx>
        <c:axId val="9847077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9196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595959"/>
                </a:solidFill>
                <a:latin typeface="Times New Roman" panose="02020603050405020304"/>
                <a:ea typeface="宋体" panose="02010600030101010101" charset="-122"/>
                <a:cs typeface="Arial" panose="020B0604020202020204" pitchFamily="2"/>
              </a:defRPr>
            </a:pPr>
            <a:r>
              <a:rPr lang="zh-CN"/>
              <a:t>收入决算结构图</a:t>
            </a:r>
            <a:endParaRPr lang="zh-CN"/>
          </a:p>
        </c:rich>
      </c:tx>
      <c:layout/>
      <c:overlay val="0"/>
      <c:spPr>
        <a:noFill/>
        <a:ln>
          <a:noFill/>
        </a:ln>
      </c:spPr>
    </c:title>
    <c:autoTitleDeleted val="0"/>
    <c:plotArea>
      <c:layout/>
      <c:pieChart>
        <c:varyColors val="1"/>
        <c:ser>
          <c:idx val="0"/>
          <c:order val="0"/>
          <c:tx>
            <c:strRef>
              <c:f>一般公共预算财政拨款收入</c:f>
              <c:strCache>
                <c:ptCount val="1"/>
                <c:pt idx="0">
                  <c:v>一般公共预算财政拨款收入</c:v>
                </c:pt>
              </c:strCache>
            </c:strRef>
          </c:tx>
          <c:spPr>
            <a:ln>
              <a:noFill/>
            </a:ln>
          </c:spPr>
          <c:explosion val="0"/>
          <c:dPt>
            <c:idx val="0"/>
            <c:bubble3D val="0"/>
            <c:explosion val="0"/>
            <c:spPr>
              <a:solidFill>
                <a:srgbClr val="4472C4"/>
              </a:solidFill>
              <a:ln w="19050">
                <a:solidFill>
                  <a:srgbClr val="FFFFFF"/>
                </a:solidFill>
                <a:prstDash val="solid"/>
              </a:ln>
            </c:spPr>
          </c:dPt>
          <c:dLbls>
            <c:dLbl>
              <c:idx val="0"/>
              <c:delete val="1"/>
            </c:dLbl>
            <c:numFmt formatCode="General"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Times New Roman" panose="02020603050405020304"/>
                    <a:ea typeface="宋体" panose="02010600030101010101" charset="-122"/>
                    <a:cs typeface="Arial" panose="020B0604020202020204" pitchFamily="2"/>
                  </a:defRPr>
                </a:pPr>
              </a:p>
            </c:txPr>
            <c:dLblPos val="bestFit"/>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{"一般公共预算财政拨款收入"}</c:f>
              <c:strCache>
                <c:ptCount val="1"/>
                <c:pt idx="0">
                  <c:v>一般公共预算财政拨款收入</c:v>
                </c:pt>
              </c:strCache>
            </c:strRef>
          </c:cat>
          <c:val>
            <c:numRef>
              <c:f>{178.1}</c:f>
              <c:numCache>
                <c:formatCode>General</c:formatCode>
                <c:ptCount val="1"/>
                <c:pt idx="0">
                  <c:v>178.1</c:v>
                </c:pt>
              </c:numCache>
            </c:numRef>
          </c:val>
        </c:ser>
        <c:dLbls>
          <c:showLegendKey val="0"/>
          <c:showVal val="0"/>
          <c:showCatName val="0"/>
          <c:showSerName val="0"/>
          <c:showPercent val="0"/>
          <c:showBubbleSize val="0"/>
          <c:showLeaderLines val="1"/>
        </c:dLbls>
        <c:firstSliceAng val="0"/>
      </c:pieChart>
      <c:spPr>
        <a:noFill/>
        <a:ln>
          <a:noFill/>
        </a:ln>
      </c:spPr>
    </c:plotArea>
    <c:legend>
      <c:legendPos val="r"/>
      <c:layout>
        <c:manualLayout>
          <c:xMode val="edge"/>
          <c:yMode val="edge"/>
          <c:x val="0.3135"/>
          <c:y val="0.8945"/>
          <c:w val="0.3941707"/>
          <c:h val="0.074074075"/>
        </c:manualLayout>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宋体" panose="02010600030101010101" charset="-122"/>
              <a:cs typeface="Arial" panose="020B0604020202020204" pitchFamily="2"/>
            </a:defRPr>
          </a:pPr>
        </a:p>
      </c:txPr>
    </c:legend>
    <c:plotVisOnly val="1"/>
    <c:dispBlanksAs val="gap"/>
    <c:showDLblsOverMax val="0"/>
  </c:chart>
  <c:spPr>
    <a:solidFill>
      <a:srgbClr val="FFFFFF"/>
    </a:solidFill>
    <a:ln w="6350" cap="flat" cmpd="sng" algn="ctr">
      <a:solidFill>
        <a:srgbClr val="D9D9D9"/>
      </a:solidFill>
      <a:prstDash val="solid"/>
      <a:round/>
    </a:ln>
  </c:spPr>
  <c:txPr>
    <a:bodyPr/>
    <a:lstStyle/>
    <a:p>
      <a:pPr>
        <a:defRPr lang="zh-CN" sz="1000" b="0" i="0" u="none" strike="noStrike" baseline="0">
          <a:solidFill>
            <a:srgbClr val="000000"/>
          </a:solidFill>
          <a:latin typeface="Times New Roman" panose="02020603050405020304"/>
          <a:ea typeface="宋体" panose="02010600030101010101" charset="-122"/>
          <a:cs typeface="Arial" panose="020B0604020202020204" pitchFamily="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Lbls>
            <c:delete val="1"/>
          </c:dLbls>
          <c:cat>
            <c:strRef>
              <c:f>[决算公开分析图表.xls]Sheet1!$C$58:$C$62</c:f>
              <c:strCache>
                <c:ptCount val="5"/>
                <c:pt idx="0">
                  <c:v>基本支出</c:v>
                </c:pt>
                <c:pt idx="1">
                  <c:v>项目支出</c:v>
                </c:pt>
                <c:pt idx="2">
                  <c:v>上缴上级支出</c:v>
                </c:pt>
                <c:pt idx="3">
                  <c:v>经营支出</c:v>
                </c:pt>
                <c:pt idx="4">
                  <c:v>对附属单位补助支出</c:v>
                </c:pt>
              </c:strCache>
            </c:strRef>
          </c:cat>
          <c:val>
            <c:numRef>
              <c:f>[决算公开分析图表.xls]Sheet1!$D$58:$D$62</c:f>
              <c:numCache>
                <c:formatCode>#,##0.00</c:formatCode>
                <c:ptCount val="5"/>
                <c:pt idx="0">
                  <c:v>339.11</c:v>
                </c:pt>
                <c:pt idx="1">
                  <c:v>1542.97</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0220883534136546"/>
          <c:y val="0.894951852932594"/>
          <c:w val="0.928328699413037"/>
          <c:h val="0.096002334403268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财政拨款收入总计变动表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[决算公开分析图表.xls]Sheet1!$A$83:$B$83</c:f>
              <c:strCache>
                <c:ptCount val="2"/>
                <c:pt idx="0">
                  <c:v>2022年</c:v>
                </c:pt>
                <c:pt idx="1">
                  <c:v>2023年</c:v>
                </c:pt>
              </c:strCache>
            </c:strRef>
          </c:cat>
          <c:val>
            <c:numRef>
              <c:f>[决算公开分析图表.xls]Sheet1!$A$84:$B$84</c:f>
              <c:numCache>
                <c:formatCode>#,##0.00</c:formatCode>
                <c:ptCount val="2"/>
                <c:pt idx="0">
                  <c:v>2681.89</c:v>
                </c:pt>
                <c:pt idx="1">
                  <c:v>1882.09</c:v>
                </c:pt>
              </c:numCache>
            </c:numRef>
          </c:val>
        </c:ser>
        <c:dLbls>
          <c:showLegendKey val="0"/>
          <c:showVal val="0"/>
          <c:showCatName val="0"/>
          <c:showSerName val="0"/>
          <c:showPercent val="0"/>
          <c:showBubbleSize val="0"/>
        </c:dLbls>
        <c:gapWidth val="219"/>
        <c:overlap val="-27"/>
        <c:axId val="292033368"/>
        <c:axId val="318845411"/>
      </c:barChart>
      <c:catAx>
        <c:axId val="2920333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845411"/>
        <c:crosses val="autoZero"/>
        <c:auto val="1"/>
        <c:lblAlgn val="ctr"/>
        <c:lblOffset val="100"/>
        <c:noMultiLvlLbl val="0"/>
      </c:catAx>
      <c:valAx>
        <c:axId val="31884541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2033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[决算公开分析图表.xls]Sheet1!$A$100:$B$100</c:f>
              <c:strCache>
                <c:ptCount val="2"/>
                <c:pt idx="0">
                  <c:v>2022年</c:v>
                </c:pt>
                <c:pt idx="1">
                  <c:v>2023年</c:v>
                </c:pt>
              </c:strCache>
            </c:strRef>
          </c:cat>
          <c:val>
            <c:numRef>
              <c:f>[决算公开分析图表.xls]Sheet1!$A$101:$B$101</c:f>
              <c:numCache>
                <c:formatCode>#,##0.00</c:formatCode>
                <c:ptCount val="2"/>
                <c:pt idx="0">
                  <c:v>3177.22</c:v>
                </c:pt>
                <c:pt idx="1">
                  <c:v>1882.09</c:v>
                </c:pt>
              </c:numCache>
            </c:numRef>
          </c:val>
        </c:ser>
        <c:dLbls>
          <c:showLegendKey val="0"/>
          <c:showVal val="0"/>
          <c:showCatName val="0"/>
          <c:showSerName val="0"/>
          <c:showPercent val="0"/>
          <c:showBubbleSize val="0"/>
        </c:dLbls>
        <c:gapWidth val="219"/>
        <c:overlap val="-27"/>
        <c:axId val="446021110"/>
        <c:axId val="247160338"/>
      </c:barChart>
      <c:catAx>
        <c:axId val="44602111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160338"/>
        <c:crosses val="autoZero"/>
        <c:auto val="1"/>
        <c:lblAlgn val="ctr"/>
        <c:lblOffset val="100"/>
        <c:noMultiLvlLbl val="0"/>
      </c:catAx>
      <c:valAx>
        <c:axId val="24716033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02111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38259236067627"/>
          <c:y val="0.0616061606160616"/>
        </c:manualLayout>
      </c:layout>
      <c:overlay val="0"/>
      <c:spPr>
        <a:noFill/>
        <a:ln>
          <a:noFill/>
        </a:ln>
        <a:effectLst/>
      </c:spPr>
    </c:title>
    <c:autoTitleDeleted val="0"/>
    <c:plotArea>
      <c:layout>
        <c:manualLayout>
          <c:layoutTarget val="inner"/>
          <c:xMode val="edge"/>
          <c:yMode val="edge"/>
          <c:x val="0.058544689334367"/>
          <c:y val="0.255962378233121"/>
          <c:w val="0.915981836305239"/>
          <c:h val="0.581592206919718"/>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[决算公开分析图表.xls]Sheet1!$A$116:$B$116</c:f>
              <c:strCache>
                <c:ptCount val="2"/>
                <c:pt idx="0">
                  <c:v>2022年</c:v>
                </c:pt>
                <c:pt idx="1">
                  <c:v>2023年</c:v>
                </c:pt>
              </c:strCache>
            </c:strRef>
          </c:cat>
          <c:val>
            <c:numRef>
              <c:f>[决算公开分析图表.xls]Sheet1!$A$117:$B$117</c:f>
              <c:numCache>
                <c:formatCode>#,##0.00</c:formatCode>
                <c:ptCount val="2"/>
                <c:pt idx="0">
                  <c:v>3177.22</c:v>
                </c:pt>
                <c:pt idx="1">
                  <c:v>1882.09</c:v>
                </c:pt>
              </c:numCache>
            </c:numRef>
          </c:val>
        </c:ser>
        <c:dLbls>
          <c:showLegendKey val="0"/>
          <c:showVal val="0"/>
          <c:showCatName val="0"/>
          <c:showSerName val="0"/>
          <c:showPercent val="0"/>
          <c:showBubbleSize val="0"/>
        </c:dLbls>
        <c:gapWidth val="219"/>
        <c:overlap val="-27"/>
        <c:axId val="489542854"/>
        <c:axId val="674173313"/>
      </c:barChart>
      <c:catAx>
        <c:axId val="48954285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4173313"/>
        <c:crosses val="autoZero"/>
        <c:auto val="1"/>
        <c:lblAlgn val="ctr"/>
        <c:lblOffset val="100"/>
        <c:noMultiLvlLbl val="0"/>
      </c:catAx>
      <c:valAx>
        <c:axId val="67417331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54285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dPt>
          <c:dPt>
            <c:idx val="5"/>
            <c:bubble3D val="0"/>
          </c:dPt>
          <c:dLbls>
            <c:delete val="1"/>
          </c:dLbls>
          <c:cat>
            <c:strRef>
              <c:f>[决算公开分析图表.xls]Sheet1!$C$140:$C$145</c:f>
              <c:strCache>
                <c:ptCount val="6"/>
                <c:pt idx="0">
                  <c:v>教育支出</c:v>
                </c:pt>
                <c:pt idx="1">
                  <c:v>社会保障和就业支出</c:v>
                </c:pt>
                <c:pt idx="2">
                  <c:v>卫生健康支出</c:v>
                </c:pt>
                <c:pt idx="3">
                  <c:v>住房保障支出</c:v>
                </c:pt>
                <c:pt idx="4">
                  <c:v>文化旅游体育与传媒支出</c:v>
                </c:pt>
                <c:pt idx="5">
                  <c:v>农林水支出</c:v>
                </c:pt>
              </c:strCache>
            </c:strRef>
          </c:cat>
          <c:val>
            <c:numRef>
              <c:f>[决算公开分析图表.xls]Sheet1!$D$140:$D$145</c:f>
              <c:numCache>
                <c:formatCode>General</c:formatCode>
                <c:ptCount val="6"/>
                <c:pt idx="0">
                  <c:v>69.22</c:v>
                </c:pt>
                <c:pt idx="1" c:formatCode="#,##0.00">
                  <c:v>40.82</c:v>
                </c:pt>
                <c:pt idx="2" c:formatCode="#,##0.00">
                  <c:v>18.08</c:v>
                </c:pt>
                <c:pt idx="3" c:formatCode="#,##0.00">
                  <c:v>23.4</c:v>
                </c:pt>
                <c:pt idx="4" c:formatCode="#,##0.00">
                  <c:v>396.38</c:v>
                </c:pt>
                <c:pt idx="5" c:formatCode="#,##0.00">
                  <c:v>1334.18</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Company>四川省财政厅</Company>
  <Pages>37</Pages>
  <Words>10598</Words>
  <Characters>11357</Characters>
  <Lines>768</Lines>
  <Paragraphs>290</Paragraphs>
  <TotalTime>2</TotalTime>
  <ScaleCrop>false</ScaleCrop>
  <LinksUpToDate>false</LinksUpToDate>
  <CharactersWithSpaces>11478</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2021-08-06T17:38:00Z</dcterms:created>
  <dc:creator>曹颖</dc:creator>
  <cp:lastModifiedBy>Administrator</cp:lastModifiedBy>
  <cp:lastPrinted>2023-10-25T10:47:00Z</cp:lastPrinted>
  <dcterms:modified xsi:type="dcterms:W3CDTF">2024-10-22T05:43:32Z</dcterms:modified>
  <dc:title>阿坝州部门决算说明</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3DD3858857FC4103975F47DCB0B6481F_13</vt:lpwstr>
  </property>
</Properties>
</file>