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194"/>
      <w:bookmarkStart w:id="7" w:name="_Toc15377426"/>
      <w:bookmarkStart w:id="8" w:name="_Toc15396476"/>
      <w:bookmarkStart w:id="9" w:name="_Toc15396598"/>
      <w:bookmarkStart w:id="10" w:name="_Toc15378442"/>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lang w:eastAsia="zh-CN"/>
        </w:rPr>
        <w:t>中壤塘文化旅游景区管理处</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.......................................................................................9</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...........................................................................................................9</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...........................................15</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...............................................................17</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.........................................................17</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..............................................................................17</w:t>
      </w:r>
      <w:r>
        <w:rPr>
          <w:rFonts w:ascii="仿宋" w:hAnsi="仿宋" w:eastAsia="仿宋"/>
          <w:sz w:val="24"/>
        </w:rPr>
        <w:tab/>
      </w:r>
    </w:p>
    <w:p>
      <w:pPr>
        <w:pStyle w:val="10"/>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....................................................22</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........................................................................................................................25</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........................................................................................................................28</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一、收入支出决算总表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二、收入决算表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三、支出决算表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四、财政拨款收入支出决算总表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五、财政拨款支出决算明细表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六、一般公共预算财政拨款支出决算表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eastAsia" w:ascii="Times New Roman" w:hAnsi="Times New Roman" w:cs="Times New Roman"/>
          <w:sz w:val="24"/>
          <w:lang w:val="en-US" w:eastAsia="zh-CN"/>
        </w:rPr>
      </w:pPr>
      <w:r>
        <w:rPr>
          <w:rFonts w:hint="eastAsia" w:ascii="Times New Roman" w:hAnsi="Times New Roman" w:cs="Times New Roman"/>
          <w:sz w:val="24"/>
        </w:rPr>
        <w:t>七、一般公共预算财政拨款支出决算明细表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eastAsia" w:ascii="Times New Roman" w:hAnsi="Times New Roman" w:cs="Times New Roman"/>
          <w:sz w:val="24"/>
          <w:lang w:val="en-US" w:eastAsia="zh-CN"/>
        </w:rPr>
      </w:pPr>
      <w:r>
        <w:rPr>
          <w:rFonts w:hint="eastAsia" w:ascii="Times New Roman" w:hAnsi="Times New Roman" w:cs="Times New Roman"/>
          <w:sz w:val="24"/>
        </w:rPr>
        <w:t>八、一般公共预算财政拨款基本支出决算表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九、一般公共预算财政拨款项目支出决算表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eastAsia="zh-CN"/>
        </w:rPr>
      </w:pPr>
      <w:r>
        <w:rPr>
          <w:rFonts w:hint="eastAsia" w:ascii="Times New Roman" w:hAnsi="Times New Roman" w:cs="Times New Roman"/>
          <w:sz w:val="24"/>
        </w:rPr>
        <w:t>十、一般公共预算财政拨款“三公”经费支出决算表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eastAsia" w:ascii="Times New Roman" w:hAnsi="Times New Roman" w:cs="Times New Roman"/>
          <w:sz w:val="24"/>
          <w:lang w:val="en-US" w:eastAsia="zh-CN"/>
        </w:rPr>
      </w:pPr>
      <w:r>
        <w:rPr>
          <w:rFonts w:hint="eastAsia" w:ascii="Times New Roman" w:hAnsi="Times New Roman" w:cs="Times New Roman"/>
          <w:sz w:val="24"/>
        </w:rPr>
        <w:t>十一、政府性基金预算财政拨款收入支出决算表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eastAsia" w:ascii="Times New Roman" w:hAnsi="Times New Roman" w:cs="Times New Roman"/>
          <w:sz w:val="24"/>
          <w:lang w:val="en-US" w:eastAsia="zh-CN"/>
        </w:rPr>
      </w:pPr>
      <w:r>
        <w:rPr>
          <w:rFonts w:hint="eastAsia" w:ascii="Times New Roman" w:hAnsi="Times New Roman" w:cs="Times New Roman"/>
          <w:sz w:val="24"/>
        </w:rPr>
        <w:t>十二、政府性基金预算财政拨款“三公”经费支出决算表</w:t>
      </w:r>
      <w:r>
        <w:rPr>
          <w:rFonts w:hint="eastAsia" w:ascii="Times New Roman" w:hAnsi="Times New Roman" w:cs="Times New Roman"/>
          <w:sz w:val="24"/>
          <w:lang w:val="en-US" w:eastAsia="zh-CN"/>
        </w:rPr>
        <w:t>.............................35</w:t>
      </w:r>
    </w:p>
    <w:p>
      <w:pPr>
        <w:pStyle w:val="11"/>
        <w:adjustRightInd w:val="0"/>
        <w:snapToGrid w:val="0"/>
        <w:spacing w:line="440" w:lineRule="exact"/>
        <w:jc w:val="left"/>
        <w:rPr>
          <w:rFonts w:hint="default" w:ascii="Times New Roman" w:hAnsi="Times New Roman" w:cs="Times New Roman"/>
          <w:sz w:val="24"/>
          <w:lang w:val="en-US"/>
        </w:rPr>
      </w:pPr>
      <w:r>
        <w:rPr>
          <w:rFonts w:hint="eastAsia" w:ascii="Times New Roman" w:hAnsi="Times New Roman" w:cs="Times New Roman"/>
          <w:sz w:val="24"/>
        </w:rPr>
        <w:t>十三、国有资本经营预算支出决算表</w:t>
      </w:r>
      <w:r>
        <w:rPr>
          <w:rFonts w:hint="eastAsia" w:ascii="Times New Roman" w:hAnsi="Times New Roman" w:cs="Times New Roman"/>
          <w:sz w:val="24"/>
          <w:lang w:val="en-US" w:eastAsia="zh-CN"/>
        </w:rPr>
        <w:t>.................................................................</w:t>
      </w:r>
      <w:bookmarkStart w:id="12" w:name="_Toc15377196"/>
      <w:bookmarkStart w:id="13" w:name="_Toc15396599"/>
      <w:r>
        <w:rPr>
          <w:rFonts w:hint="eastAsia" w:ascii="Times New Roman" w:hAnsi="Times New Roman" w:cs="Times New Roman"/>
          <w:sz w:val="24"/>
          <w:lang w:val="en-US" w:eastAsia="zh-CN"/>
        </w:rPr>
        <w:t>35</w:t>
      </w:r>
    </w:p>
    <w:p>
      <w:pPr>
        <w:pStyle w:val="11"/>
        <w:adjustRightInd w:val="0"/>
        <w:snapToGrid w:val="0"/>
        <w:spacing w:line="440" w:lineRule="exact"/>
        <w:jc w:val="left"/>
        <w:rPr>
          <w:rFonts w:hint="eastAsia" w:ascii="Times New Roman" w:hAnsi="Times New Roman" w:cs="Times New Roman"/>
          <w:sz w:val="24"/>
        </w:rPr>
      </w:pPr>
    </w:p>
    <w:p>
      <w:pPr>
        <w:pStyle w:val="2"/>
        <w:jc w:val="center"/>
        <w:rPr>
          <w:rFonts w:hint="eastAsia" w:ascii="黑体" w:hAnsi="黑体" w:eastAsia="黑体"/>
          <w:b w:val="0"/>
        </w:rPr>
      </w:pPr>
    </w:p>
    <w:p>
      <w:pPr>
        <w:pStyle w:val="2"/>
        <w:jc w:val="center"/>
        <w:rPr>
          <w:rFonts w:hint="eastAsia" w:ascii="黑体" w:hAnsi="黑体" w:eastAsia="黑体"/>
          <w:b w:val="0"/>
        </w:rPr>
      </w:pPr>
    </w:p>
    <w:p>
      <w:pPr>
        <w:pStyle w:val="2"/>
        <w:jc w:val="center"/>
        <w:rPr>
          <w:rFonts w:hint="eastAsia" w:ascii="黑体" w:hAnsi="黑体" w:eastAsia="黑体"/>
          <w:b w:val="0"/>
        </w:rPr>
      </w:pPr>
    </w:p>
    <w:p>
      <w:pPr>
        <w:pStyle w:val="2"/>
        <w:jc w:val="both"/>
        <w:rPr>
          <w:rFonts w:hint="eastAsia" w:ascii="黑体" w:hAnsi="黑体" w:eastAsia="黑体"/>
          <w:b w:val="0"/>
        </w:rPr>
      </w:pPr>
    </w:p>
    <w:p>
      <w:pPr>
        <w:pStyle w:val="2"/>
        <w:jc w:val="cente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2"/>
        <w:jc w:val="center"/>
        <w:rPr>
          <w:rFonts w:hint="eastAsia" w:ascii="黑体" w:hAnsi="黑体" w:eastAsia="黑体"/>
          <w:b w:val="0"/>
        </w:rPr>
      </w:pP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（一）主要职能。（职能参照省政府批准的三定方案）</w:t>
      </w:r>
      <w:bookmarkEnd w:id="16"/>
      <w:bookmarkEnd w:id="17"/>
    </w:p>
    <w:p>
      <w:pPr>
        <w:spacing w:after="0"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(1)依照相关法律和行政法规,对区域内(上壤塘海子山、中壤塘三座寺庙及茸木达棒托寺石刻大藏经等)所辖景区资源实行统一管理、统一规划、统一开发和统一保护。</w:t>
      </w:r>
    </w:p>
    <w:p>
      <w:pPr>
        <w:spacing w:after="0" w:line="560" w:lineRule="exact"/>
        <w:ind w:firstLine="640" w:firstLineChars="200"/>
        <w:jc w:val="both"/>
        <w:rPr>
          <w:rFonts w:hint="eastAsia" w:ascii="仿宋" w:hAnsi="仿宋" w:eastAsia="仿宋" w:cs="仿宋"/>
          <w:kern w:val="0"/>
          <w:sz w:val="32"/>
          <w:szCs w:val="32"/>
        </w:rPr>
      </w:pPr>
      <w:r>
        <w:rPr>
          <w:rFonts w:hint="eastAsia" w:ascii="仿宋_GB2312" w:hAnsi="仿宋_GB2312" w:eastAsia="仿宋_GB2312" w:cs="仿宋_GB2312"/>
          <w:sz w:val="32"/>
          <w:szCs w:val="32"/>
          <w:lang w:val="en-US" w:eastAsia="zh-CN"/>
        </w:rPr>
        <w:t>(2)宣传贯彻国家风景名胜、民族宗教、文物、林业、国土、环境保护等有关法律、法规和方针政策。</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(3)依法保护景区资源和生态环境,维护景区的自然风貌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和人文景观,有效开发和合理利用景区资源。</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(4)编制景区总体规划和详细规划并组织实施,按照总体</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规划对景区新建、扩建和改建项目进行审核,对建设活动进行监督、检查。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(5)负责建设、维护、管理景区基础设施和公共设施,管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理景区旅游经营活动,增强景区自我发展能力。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(6)制定景区各项管理制度,负责景区的游人安全、环境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卫生、社会治安、安全生产和护林防火等管理工作。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(7)负责招商引资,统一对外宣传,扩大景区知名度。</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(8)负责景区内经营性项目的审批和管理,根据景区规划</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和需要,对景区的村寨实施托管,统筹协调并处理辖区内村寨利益。</w:t>
      </w:r>
      <w:r>
        <w:rPr>
          <w:rFonts w:hint="eastAsia" w:ascii="仿宋_GB2312" w:hAnsi="仿宋_GB2312" w:eastAsia="仿宋_GB2312" w:cs="仿宋_GB2312"/>
          <w:sz w:val="32"/>
          <w:szCs w:val="32"/>
          <w:lang w:val="en-US" w:eastAsia="zh-CN"/>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)承办县委、县人民政府交办</w:t>
      </w:r>
      <w:r>
        <w:rPr>
          <w:rFonts w:hint="eastAsia" w:ascii="仿宋" w:hAnsi="仿宋" w:eastAsia="仿宋" w:cs="仿宋"/>
          <w:kern w:val="0"/>
          <w:sz w:val="32"/>
          <w:szCs w:val="32"/>
          <w:lang w:eastAsia="zh-CN"/>
        </w:rPr>
        <w:t>的其他</w:t>
      </w:r>
      <w:r>
        <w:rPr>
          <w:rFonts w:hint="eastAsia" w:ascii="仿宋" w:hAnsi="仿宋" w:eastAsia="仿宋" w:cs="仿宋"/>
          <w:kern w:val="0"/>
          <w:sz w:val="32"/>
          <w:szCs w:val="32"/>
        </w:rPr>
        <w:t>事项。</w:t>
      </w:r>
      <w:bookmarkStart w:id="18" w:name="_Toc15377199"/>
      <w:bookmarkStart w:id="19" w:name="_Toc15378446"/>
    </w:p>
    <w:p>
      <w:pPr>
        <w:spacing w:after="0" w:line="56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按照《第</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期委办通报》文件精神</w:t>
      </w:r>
      <w:r>
        <w:rPr>
          <w:rFonts w:hint="eastAsia" w:ascii="仿宋_GB2312" w:hAnsi="仿宋_GB2312" w:eastAsia="仿宋_GB2312" w:cs="仿宋_GB2312"/>
          <w:sz w:val="32"/>
          <w:szCs w:val="32"/>
          <w:lang w:val="en-US" w:eastAsia="zh-CN"/>
        </w:rPr>
        <w:t>，贯彻落实县委重点工作部署会议要求，逐步推进项目建设，并实施</w:t>
      </w:r>
      <w:r>
        <w:rPr>
          <w:rFonts w:hint="eastAsia" w:ascii="仿宋_GB2312" w:hAnsi="仿宋_GB2312" w:eastAsia="仿宋_GB2312" w:cs="仿宋_GB2312"/>
          <w:sz w:val="32"/>
          <w:szCs w:val="32"/>
        </w:rPr>
        <w:t>有效措施，助推</w:t>
      </w:r>
      <w:r>
        <w:rPr>
          <w:rFonts w:hint="eastAsia" w:ascii="仿宋_GB2312" w:hAnsi="仿宋_GB2312" w:eastAsia="仿宋_GB2312" w:cs="仿宋_GB2312"/>
          <w:sz w:val="32"/>
          <w:szCs w:val="32"/>
          <w:lang w:eastAsia="zh-CN"/>
        </w:rPr>
        <w:t>壤巴拉非遗传习创业园</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成立了以</w:t>
      </w:r>
      <w:r>
        <w:rPr>
          <w:rFonts w:hint="eastAsia" w:ascii="仿宋_GB2312" w:hAnsi="仿宋_GB2312" w:eastAsia="仿宋_GB2312" w:cs="仿宋_GB2312"/>
          <w:sz w:val="32"/>
          <w:szCs w:val="32"/>
          <w:lang w:eastAsia="zh-CN"/>
        </w:rPr>
        <w:t>州政府副州长、县委书记严华、县委副书记，县长张德发为组长，县委副书记达尔吉为执行组长，县委常委、县政府常务副县长唐志强为执行副组长，副县级以上领导为副组长，县级各相关部门及片区</w:t>
      </w:r>
      <w:r>
        <w:rPr>
          <w:rFonts w:hint="eastAsia" w:ascii="仿宋_GB2312" w:hAnsi="仿宋_GB2312" w:eastAsia="仿宋_GB2312" w:cs="仿宋_GB2312"/>
          <w:sz w:val="32"/>
          <w:szCs w:val="32"/>
          <w:lang w:val="en-US" w:eastAsia="zh-CN"/>
        </w:rPr>
        <w:t>5个乡镇为成员</w:t>
      </w:r>
      <w:r>
        <w:rPr>
          <w:rFonts w:hint="eastAsia" w:ascii="仿宋_GB2312" w:hAnsi="仿宋_GB2312" w:eastAsia="仿宋_GB2312" w:cs="仿宋_GB2312"/>
          <w:sz w:val="32"/>
          <w:szCs w:val="32"/>
          <w:lang w:eastAsia="zh-CN"/>
        </w:rPr>
        <w:t>的中壤塘文化旅游景区建设的领导小组。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截止目前</w:t>
      </w:r>
      <w:r>
        <w:rPr>
          <w:rFonts w:hint="eastAsia" w:ascii="黑体" w:hAnsi="黑体" w:eastAsia="黑体" w:cs="黑体"/>
          <w:sz w:val="32"/>
          <w:szCs w:val="32"/>
          <w:lang w:val="en-US" w:eastAsia="zh-CN"/>
        </w:rPr>
        <w:t>工程项目建设</w:t>
      </w:r>
      <w:r>
        <w:rPr>
          <w:rFonts w:hint="eastAsia" w:ascii="黑体" w:hAnsi="黑体" w:eastAsia="黑体" w:cs="黑体"/>
          <w:sz w:val="32"/>
          <w:szCs w:val="32"/>
        </w:rPr>
        <w:t>推进情况</w:t>
      </w:r>
      <w:r>
        <w:rPr>
          <w:rFonts w:hint="eastAsia" w:ascii="黑体" w:hAnsi="黑体" w:eastAsia="黑体" w:cs="黑体"/>
          <w:sz w:val="32"/>
          <w:szCs w:val="32"/>
          <w:lang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（一）续建项目进展情况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唐卡创作中心；</w:t>
      </w:r>
      <w:r>
        <w:rPr>
          <w:rFonts w:hint="eastAsia" w:ascii="仿宋_GB2312" w:hAnsi="仿宋_GB2312" w:eastAsia="仿宋_GB2312" w:cs="仿宋_GB2312"/>
          <w:sz w:val="32"/>
          <w:szCs w:val="32"/>
        </w:rPr>
        <w:t>建筑面积3800平方米，该中心满足260个唐卡画师的工作空间，其中包括普通传习画室、长幅和高幅大型唐卡集体创作室、唐卡装裱工作室、基础教室、资料室、多媒体教室、教师办公室等。立项价为：2709.96万元；中标价为：1177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已投入使用。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村民多功能活动中心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建</w:t>
      </w:r>
      <w:r>
        <w:rPr>
          <w:rFonts w:hint="eastAsia" w:ascii="仿宋_GB2312" w:hAnsi="仿宋_GB2312" w:eastAsia="仿宋_GB2312" w:cs="仿宋_GB2312"/>
          <w:b w:val="0"/>
          <w:bCs w:val="0"/>
          <w:sz w:val="32"/>
          <w:szCs w:val="32"/>
        </w:rPr>
        <w:t>筑</w:t>
      </w:r>
      <w:r>
        <w:rPr>
          <w:rFonts w:hint="eastAsia" w:ascii="仿宋_GB2312" w:hAnsi="仿宋_GB2312" w:eastAsia="仿宋_GB2312" w:cs="仿宋_GB2312"/>
          <w:sz w:val="32"/>
          <w:szCs w:val="32"/>
        </w:rPr>
        <w:t>面积为2290平</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米，主要功能包括：村史展、创作成果展示、村民文体娱乐活动；梵音古乐展演剧场（500人）、舞台表演、影视放映；文化艺术展；国际文化艺术学术研讨会、30人小型研讨会和交流中心建筑。立项价为：2029.40万元；中标价为：977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现已完工正组织验收。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创业园</w:t>
      </w:r>
      <w:r>
        <w:rPr>
          <w:rFonts w:hint="eastAsia" w:ascii="仿宋_GB2312" w:hAnsi="仿宋_GB2312" w:eastAsia="仿宋_GB2312" w:cs="仿宋_GB2312"/>
          <w:b/>
          <w:bCs/>
          <w:sz w:val="32"/>
          <w:szCs w:val="32"/>
          <w:lang w:eastAsia="zh-CN"/>
        </w:rPr>
        <w:t>一期配套</w:t>
      </w:r>
      <w:r>
        <w:rPr>
          <w:rFonts w:hint="eastAsia" w:ascii="仿宋_GB2312" w:hAnsi="仿宋_GB2312" w:eastAsia="仿宋_GB2312" w:cs="仿宋_GB2312"/>
          <w:b/>
          <w:bCs/>
          <w:sz w:val="32"/>
          <w:szCs w:val="32"/>
        </w:rPr>
        <w:t>设施建设项目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创业</w:t>
      </w:r>
      <w:r>
        <w:rPr>
          <w:rFonts w:hint="eastAsia" w:ascii="仿宋_GB2312" w:hAnsi="仿宋_GB2312" w:eastAsia="仿宋_GB2312" w:cs="仿宋_GB2312"/>
          <w:b w:val="0"/>
          <w:bCs w:val="0"/>
          <w:sz w:val="32"/>
          <w:szCs w:val="32"/>
        </w:rPr>
        <w:t>园配套设施建设项目，主要内容为园区主干道、园区次干道，建设道路总长约8767米，约投资3千万元。建设内容包括土石方工程、道路工程、照明工程、强弱电工程、给排水工程等配套设施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已</w:t>
      </w:r>
      <w:r>
        <w:rPr>
          <w:rFonts w:hint="eastAsia" w:ascii="仿宋_GB2312" w:hAnsi="仿宋_GB2312" w:eastAsia="仿宋_GB2312" w:cs="仿宋_GB2312"/>
          <w:b w:val="0"/>
          <w:bCs w:val="0"/>
          <w:sz w:val="32"/>
          <w:szCs w:val="32"/>
          <w:lang w:eastAsia="zh-CN"/>
        </w:rPr>
        <w:t>投入使用。</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民居建设项目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此项目</w:t>
      </w:r>
      <w:r>
        <w:rPr>
          <w:rFonts w:hint="eastAsia" w:ascii="仿宋_GB2312" w:hAnsi="仿宋_GB2312" w:eastAsia="仿宋_GB2312" w:cs="仿宋_GB2312"/>
          <w:sz w:val="32"/>
          <w:szCs w:val="32"/>
        </w:rPr>
        <w:t>将采用传统夯土建筑形式，建筑面积5.6万平方米，按照规划将建筑类型分为3种户型，由村民自建政府补助的形式，一期建设70栋，每栋政府补助5.3万元，共计371万元。</w:t>
      </w:r>
      <w:r>
        <w:rPr>
          <w:rFonts w:hint="eastAsia" w:ascii="仿宋_GB2312" w:hAnsi="仿宋_GB2312" w:eastAsia="仿宋_GB2312" w:cs="仿宋_GB2312"/>
          <w:sz w:val="32"/>
          <w:szCs w:val="32"/>
          <w:lang w:eastAsia="zh-CN"/>
        </w:rPr>
        <w:t>目前所有人员已经分配入住，正在进行小型创作。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（二）新建项目进展情况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创业园藏香传习中心</w:t>
      </w:r>
      <w:r>
        <w:rPr>
          <w:rFonts w:hint="eastAsia" w:ascii="仿宋_GB2312" w:hAnsi="仿宋_GB2312" w:eastAsia="仿宋_GB2312" w:cs="仿宋_GB2312"/>
          <w:b/>
          <w:bCs/>
          <w:sz w:val="32"/>
          <w:szCs w:val="32"/>
          <w:lang w:eastAsia="zh-CN"/>
        </w:rPr>
        <w:t>（浙江</w:t>
      </w:r>
      <w:r>
        <w:rPr>
          <w:rFonts w:hint="eastAsia" w:ascii="仿宋_GB2312" w:hAnsi="仿宋_GB2312" w:eastAsia="仿宋_GB2312" w:cs="仿宋_GB2312"/>
          <w:b/>
          <w:bCs/>
          <w:sz w:val="32"/>
          <w:szCs w:val="32"/>
        </w:rPr>
        <w:t>援建一期</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建筑主体工程774㎡，计划投资373万。</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eastAsia="zh-CN"/>
        </w:rPr>
        <w:t>竣工验收。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创业园综合生活服务楼</w:t>
      </w:r>
      <w:r>
        <w:rPr>
          <w:rFonts w:hint="eastAsia" w:ascii="仿宋_GB2312" w:hAnsi="仿宋_GB2312" w:eastAsia="仿宋_GB2312" w:cs="仿宋_GB2312"/>
          <w:b/>
          <w:bCs/>
          <w:sz w:val="32"/>
          <w:szCs w:val="32"/>
          <w:lang w:eastAsia="zh-CN"/>
        </w:rPr>
        <w:t>（浙江</w:t>
      </w:r>
      <w:r>
        <w:rPr>
          <w:rFonts w:hint="eastAsia" w:ascii="仿宋_GB2312" w:hAnsi="仿宋_GB2312" w:eastAsia="仿宋_GB2312" w:cs="仿宋_GB2312"/>
          <w:b/>
          <w:bCs/>
          <w:sz w:val="32"/>
          <w:szCs w:val="32"/>
        </w:rPr>
        <w:t>援建一期</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总建筑面积：3195平</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米，计划投资1100万，中标价为：9770251.31元。</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eastAsia="zh-CN"/>
        </w:rPr>
        <w:t>竣工验收。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sz w:val="32"/>
          <w:szCs w:val="32"/>
        </w:rPr>
        <w:t>创业园桥、栈道、观景台</w:t>
      </w:r>
      <w:r>
        <w:rPr>
          <w:rFonts w:hint="eastAsia" w:ascii="仿宋_GB2312" w:hAnsi="仿宋_GB2312" w:eastAsia="仿宋_GB2312" w:cs="仿宋_GB2312"/>
          <w:b/>
          <w:bCs/>
          <w:sz w:val="32"/>
          <w:szCs w:val="32"/>
          <w:lang w:eastAsia="zh-CN"/>
        </w:rPr>
        <w:t>（浙江</w:t>
      </w:r>
      <w:r>
        <w:rPr>
          <w:rFonts w:hint="eastAsia" w:ascii="仿宋_GB2312" w:hAnsi="仿宋_GB2312" w:eastAsia="仿宋_GB2312" w:cs="仿宋_GB2312"/>
          <w:b/>
          <w:bCs/>
          <w:sz w:val="32"/>
          <w:szCs w:val="32"/>
        </w:rPr>
        <w:t>援建二期</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立项资金：820万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中标价为：6319190.8元</w:t>
      </w:r>
      <w:r>
        <w:rPr>
          <w:rFonts w:hint="eastAsia" w:ascii="仿宋_GB2312" w:hAnsi="仿宋_GB2312" w:eastAsia="仿宋_GB2312" w:cs="仿宋_GB2312"/>
          <w:i w:val="0"/>
          <w:color w:val="000000"/>
          <w:kern w:val="0"/>
          <w:sz w:val="32"/>
          <w:szCs w:val="32"/>
          <w:u w:val="none"/>
          <w:lang w:val="en-US" w:eastAsia="zh-CN" w:bidi="ar"/>
        </w:rPr>
        <w:t>。</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eastAsia="zh-CN"/>
        </w:rPr>
        <w:t>竣工，</w:t>
      </w:r>
      <w:r>
        <w:rPr>
          <w:rFonts w:hint="eastAsia" w:ascii="仿宋_GB2312" w:hAnsi="仿宋_GB2312" w:eastAsia="仿宋_GB2312" w:cs="仿宋_GB2312"/>
          <w:sz w:val="32"/>
          <w:szCs w:val="32"/>
          <w:lang w:val="en-US" w:eastAsia="zh-CN"/>
        </w:rPr>
        <w:t>正在组织</w:t>
      </w:r>
      <w:r>
        <w:rPr>
          <w:rFonts w:hint="eastAsia" w:ascii="仿宋_GB2312" w:hAnsi="仿宋_GB2312" w:eastAsia="仿宋_GB2312" w:cs="仿宋_GB2312"/>
          <w:sz w:val="32"/>
          <w:szCs w:val="32"/>
          <w:lang w:eastAsia="zh-CN"/>
        </w:rPr>
        <w:t>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创业园基础设施建设项目</w:t>
      </w:r>
      <w:r>
        <w:rPr>
          <w:rFonts w:hint="eastAsia" w:ascii="仿宋_GB2312" w:hAnsi="仿宋_GB2312" w:eastAsia="仿宋_GB2312" w:cs="仿宋_GB2312"/>
          <w:b/>
          <w:bCs/>
          <w:sz w:val="32"/>
          <w:szCs w:val="32"/>
          <w:lang w:eastAsia="zh-CN"/>
        </w:rPr>
        <w:t>（浙江</w:t>
      </w:r>
      <w:r>
        <w:rPr>
          <w:rFonts w:hint="eastAsia" w:ascii="仿宋_GB2312" w:hAnsi="仿宋_GB2312" w:eastAsia="仿宋_GB2312" w:cs="仿宋_GB2312"/>
          <w:b/>
          <w:bCs/>
          <w:sz w:val="32"/>
          <w:szCs w:val="32"/>
        </w:rPr>
        <w:t>援建二期</w:t>
      </w:r>
      <w:r>
        <w:rPr>
          <w:rFonts w:hint="eastAsia" w:ascii="仿宋_GB2312" w:hAnsi="仿宋_GB2312" w:eastAsia="仿宋_GB2312" w:cs="仿宋_GB2312"/>
          <w:b/>
          <w:bCs/>
          <w:sz w:val="32"/>
          <w:szCs w:val="32"/>
          <w:lang w:eastAsia="zh-CN"/>
        </w:rPr>
        <w:t>建设</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立项资金：1600万元。</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eastAsia="zh-CN"/>
        </w:rPr>
        <w:t>竣工，</w:t>
      </w:r>
      <w:r>
        <w:rPr>
          <w:rFonts w:hint="eastAsia" w:ascii="仿宋_GB2312" w:hAnsi="仿宋_GB2312" w:eastAsia="仿宋_GB2312" w:cs="仿宋_GB2312"/>
          <w:sz w:val="32"/>
          <w:szCs w:val="32"/>
          <w:lang w:val="en-US" w:eastAsia="zh-CN"/>
        </w:rPr>
        <w:t>正在组织</w:t>
      </w:r>
      <w:r>
        <w:rPr>
          <w:rFonts w:hint="eastAsia" w:ascii="仿宋_GB2312" w:hAnsi="仿宋_GB2312" w:eastAsia="仿宋_GB2312" w:cs="仿宋_GB2312"/>
          <w:sz w:val="32"/>
          <w:szCs w:val="32"/>
          <w:lang w:eastAsia="zh-CN"/>
        </w:rPr>
        <w:t>验收。</w:t>
      </w:r>
    </w:p>
    <w:p>
      <w:pPr>
        <w:keepNext w:val="0"/>
        <w:keepLines w:val="0"/>
        <w:pageBreakBefore w:val="0"/>
        <w:widowControl w:val="0"/>
        <w:kinsoku/>
        <w:wordWrap/>
        <w:overflowPunct/>
        <w:topLinePunct w:val="0"/>
        <w:autoSpaceDE/>
        <w:autoSpaceDN/>
        <w:bidi w:val="0"/>
        <w:adjustRightInd/>
        <w:snapToGrid/>
        <w:spacing w:line="580" w:lineRule="atLeas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eastAsia="zh-CN"/>
        </w:rPr>
        <w:t>学习党的政策</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开展以</w:t>
      </w:r>
      <w:r>
        <w:rPr>
          <w:rFonts w:hint="eastAsia" w:ascii="仿宋_GB2312" w:hAnsi="仿宋_GB2312" w:eastAsia="仿宋_GB2312" w:cs="仿宋_GB2312"/>
          <w:sz w:val="32"/>
          <w:szCs w:val="32"/>
          <w:lang w:eastAsia="zh-CN"/>
        </w:rPr>
        <w:t>“大学习、大讨论、大调研”活动，围绕本单位所需调研的课题，以“文旅融合发展”为课题进行大讨论。其次为提高本单位党员的思想意识，组织每位工作人员以讲课形式为其</w:t>
      </w:r>
      <w:r>
        <w:rPr>
          <w:rFonts w:hint="eastAsia" w:ascii="仿宋_GB2312" w:hAnsi="仿宋_GB2312" w:eastAsia="仿宋_GB2312" w:cs="仿宋_GB2312"/>
          <w:sz w:val="32"/>
          <w:szCs w:val="32"/>
          <w:lang w:val="en-US" w:eastAsia="zh-CN"/>
        </w:rPr>
        <w:t>10天一次的</w:t>
      </w:r>
      <w:r>
        <w:rPr>
          <w:rFonts w:hint="eastAsia" w:ascii="仿宋_GB2312" w:hAnsi="仿宋_GB2312" w:eastAsia="仿宋_GB2312" w:cs="仿宋_GB2312"/>
          <w:sz w:val="32"/>
          <w:szCs w:val="32"/>
          <w:lang w:eastAsia="zh-CN"/>
        </w:rPr>
        <w:t>学习党章、党规、党的十九大精神、习近平总书记到四川视察时提出的系列重要讲话及彭清华书记在全川党员领导干部学习班开班仪式上的讲话精神和学习民族团结法规政策等。</w:t>
      </w:r>
    </w:p>
    <w:p>
      <w:pPr>
        <w:keepNext w:val="0"/>
        <w:keepLines w:val="0"/>
        <w:pageBreakBefore w:val="0"/>
        <w:widowControl w:val="0"/>
        <w:kinsoku/>
        <w:wordWrap/>
        <w:overflowPunct/>
        <w:topLinePunct w:val="0"/>
        <w:autoSpaceDE/>
        <w:autoSpaceDN/>
        <w:bidi w:val="0"/>
        <w:adjustRightInd/>
        <w:snapToGrid/>
        <w:spacing w:line="580" w:lineRule="atLeas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开展群众工作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b w:val="0"/>
          <w:bCs w:val="0"/>
          <w:sz w:val="32"/>
          <w:szCs w:val="32"/>
          <w:lang w:eastAsia="zh-CN"/>
        </w:rPr>
        <w:t>深入开展“两联一进”及</w:t>
      </w:r>
      <w:r>
        <w:rPr>
          <w:rFonts w:hint="eastAsia" w:ascii="仿宋" w:hAnsi="仿宋" w:eastAsia="仿宋" w:cs="仿宋"/>
          <w:sz w:val="32"/>
          <w:szCs w:val="32"/>
          <w:lang w:eastAsia="zh-CN"/>
        </w:rPr>
        <w:t>“秋季战役”</w:t>
      </w:r>
      <w:r>
        <w:rPr>
          <w:rFonts w:hint="eastAsia" w:ascii="仿宋_GB2312" w:hAnsi="仿宋_GB2312" w:eastAsia="仿宋_GB2312" w:cs="仿宋_GB2312"/>
          <w:b w:val="0"/>
          <w:bCs w:val="0"/>
          <w:sz w:val="32"/>
          <w:szCs w:val="32"/>
          <w:lang w:eastAsia="zh-CN"/>
        </w:rPr>
        <w:t>群众工作，一是</w:t>
      </w:r>
      <w:r>
        <w:rPr>
          <w:rFonts w:hint="eastAsia" w:ascii="仿宋" w:hAnsi="仿宋" w:eastAsia="仿宋" w:cs="仿宋"/>
          <w:sz w:val="32"/>
          <w:szCs w:val="32"/>
        </w:rPr>
        <w:t>深入到</w:t>
      </w:r>
      <w:r>
        <w:rPr>
          <w:rFonts w:hint="eastAsia" w:ascii="仿宋" w:hAnsi="仿宋" w:eastAsia="仿宋" w:cs="仿宋"/>
          <w:sz w:val="32"/>
          <w:szCs w:val="32"/>
          <w:lang w:eastAsia="zh-CN"/>
        </w:rPr>
        <w:t>布康木达村</w:t>
      </w:r>
      <w:r>
        <w:rPr>
          <w:rFonts w:hint="eastAsia" w:ascii="仿宋" w:hAnsi="仿宋" w:eastAsia="仿宋" w:cs="仿宋"/>
          <w:sz w:val="32"/>
          <w:szCs w:val="32"/>
        </w:rPr>
        <w:t>采取“六个必讲，六个必问”扎实推进走村入户工作。</w:t>
      </w:r>
      <w:r>
        <w:rPr>
          <w:rFonts w:hint="eastAsia" w:ascii="仿宋" w:hAnsi="仿宋" w:eastAsia="仿宋" w:cs="仿宋"/>
          <w:sz w:val="32"/>
          <w:szCs w:val="32"/>
          <w:lang w:eastAsia="zh-CN"/>
        </w:rPr>
        <w:t>二是中壤塘文化旅游景区管理处工作组采</w:t>
      </w:r>
      <w:r>
        <w:rPr>
          <w:rFonts w:hint="eastAsia" w:ascii="仿宋" w:hAnsi="仿宋" w:eastAsia="仿宋" w:cs="仿宋"/>
          <w:sz w:val="32"/>
          <w:szCs w:val="32"/>
        </w:rPr>
        <w:t>用“</w:t>
      </w:r>
      <w:r>
        <w:rPr>
          <w:rFonts w:hint="eastAsia" w:ascii="仿宋" w:hAnsi="仿宋" w:eastAsia="仿宋" w:cs="仿宋"/>
          <w:b w:val="0"/>
          <w:bCs w:val="0"/>
          <w:sz w:val="32"/>
          <w:szCs w:val="32"/>
        </w:rPr>
        <w:t>一看、二听、三核、四动员、五记录”</w:t>
      </w:r>
      <w:r>
        <w:rPr>
          <w:rFonts w:hint="eastAsia" w:ascii="仿宋" w:hAnsi="仿宋" w:eastAsia="仿宋" w:cs="仿宋"/>
          <w:sz w:val="32"/>
          <w:szCs w:val="32"/>
        </w:rPr>
        <w:t>工作</w:t>
      </w:r>
      <w:r>
        <w:rPr>
          <w:rFonts w:hint="eastAsia" w:ascii="仿宋" w:hAnsi="仿宋" w:eastAsia="仿宋" w:cs="仿宋"/>
          <w:sz w:val="32"/>
          <w:szCs w:val="32"/>
          <w:lang w:eastAsia="zh-CN"/>
        </w:rPr>
        <w:t>为方针。</w:t>
      </w:r>
      <w:r>
        <w:rPr>
          <w:rFonts w:hint="eastAsia" w:ascii="仿宋" w:hAnsi="仿宋" w:eastAsia="仿宋" w:cs="仿宋"/>
          <w:b/>
          <w:sz w:val="32"/>
          <w:szCs w:val="32"/>
        </w:rPr>
        <w:t>一看：</w:t>
      </w:r>
      <w:r>
        <w:rPr>
          <w:rFonts w:hint="eastAsia" w:ascii="仿宋" w:hAnsi="仿宋" w:eastAsia="仿宋" w:cs="仿宋"/>
          <w:sz w:val="32"/>
          <w:szCs w:val="32"/>
        </w:rPr>
        <w:t>农户房前屋后环境卫生和房屋用电安全情况。</w:t>
      </w:r>
      <w:r>
        <w:rPr>
          <w:rFonts w:hint="eastAsia" w:ascii="仿宋" w:hAnsi="仿宋" w:eastAsia="仿宋" w:cs="仿宋"/>
          <w:b/>
          <w:sz w:val="32"/>
          <w:szCs w:val="32"/>
        </w:rPr>
        <w:t>二听：</w:t>
      </w:r>
      <w:r>
        <w:rPr>
          <w:rFonts w:hint="eastAsia" w:ascii="仿宋" w:hAnsi="仿宋" w:eastAsia="仿宋" w:cs="仿宋"/>
          <w:b/>
          <w:sz w:val="32"/>
          <w:szCs w:val="32"/>
          <w:lang w:eastAsia="zh-CN"/>
        </w:rPr>
        <w:t>一</w:t>
      </w:r>
      <w:r>
        <w:rPr>
          <w:rFonts w:hint="eastAsia" w:ascii="仿宋" w:hAnsi="仿宋" w:eastAsia="仿宋" w:cs="仿宋"/>
          <w:sz w:val="32"/>
          <w:szCs w:val="32"/>
        </w:rPr>
        <w:t>听是今年村两委班子三年任期将满，工作组入户提前掌握群众对村两委班子评价，目前掌握情况对村两委班子工作十分肯定。二听是听取走访村民存在的困难和请求解决的问题。</w:t>
      </w:r>
      <w:r>
        <w:rPr>
          <w:rFonts w:hint="eastAsia" w:ascii="仿宋" w:hAnsi="仿宋" w:eastAsia="仿宋" w:cs="仿宋"/>
          <w:sz w:val="32"/>
          <w:szCs w:val="32"/>
          <w:lang w:eastAsia="zh-CN"/>
        </w:rPr>
        <w:t>其中工作人员聆听老百姓困苦，并对老人送去慰问金（私人支出）</w:t>
      </w:r>
      <w:r>
        <w:rPr>
          <w:rFonts w:hint="eastAsia" w:ascii="仿宋" w:hAnsi="仿宋" w:eastAsia="仿宋" w:cs="仿宋"/>
          <w:b/>
          <w:sz w:val="32"/>
          <w:szCs w:val="32"/>
        </w:rPr>
        <w:t>三核：</w:t>
      </w:r>
      <w:r>
        <w:rPr>
          <w:rFonts w:hint="eastAsia" w:ascii="仿宋" w:hAnsi="仿宋" w:eastAsia="仿宋" w:cs="仿宋"/>
          <w:sz w:val="32"/>
          <w:szCs w:val="32"/>
        </w:rPr>
        <w:t>一是是核实本季度贫困户收入。二是核实家中7-13周岁儿童及入学情况。</w:t>
      </w:r>
      <w:r>
        <w:rPr>
          <w:rFonts w:hint="eastAsia" w:ascii="仿宋" w:hAnsi="仿宋" w:eastAsia="仿宋" w:cs="仿宋"/>
          <w:sz w:val="32"/>
          <w:szCs w:val="32"/>
          <w:lang w:eastAsia="zh-CN"/>
        </w:rPr>
        <w:t>在开展工作中发现两名年满</w:t>
      </w:r>
      <w:r>
        <w:rPr>
          <w:rFonts w:hint="eastAsia" w:ascii="仿宋" w:hAnsi="仿宋" w:eastAsia="仿宋" w:cs="仿宋"/>
          <w:sz w:val="32"/>
          <w:szCs w:val="32"/>
          <w:lang w:val="en-US" w:eastAsia="zh-CN"/>
        </w:rPr>
        <w:t>18周岁辍学生，工作组积极与辍学生探讨未来规划劝其返校上学，并对辍学生捐赠文具用品及衣物（私人捐助）。</w:t>
      </w:r>
      <w:r>
        <w:rPr>
          <w:rFonts w:hint="eastAsia" w:ascii="仿宋" w:hAnsi="仿宋" w:eastAsia="仿宋" w:cs="仿宋"/>
          <w:sz w:val="32"/>
          <w:szCs w:val="32"/>
        </w:rPr>
        <w:t>三是核实所有贫困户人在户不在情况。四是入户了解报驾校人员、入党人员，核实重点人员情况。</w:t>
      </w:r>
      <w:r>
        <w:rPr>
          <w:rFonts w:hint="eastAsia" w:ascii="仿宋" w:hAnsi="仿宋" w:eastAsia="仿宋" w:cs="仿宋"/>
          <w:b/>
          <w:sz w:val="32"/>
          <w:szCs w:val="32"/>
        </w:rPr>
        <w:t>四动员：</w:t>
      </w:r>
      <w:r>
        <w:rPr>
          <w:rFonts w:hint="eastAsia" w:ascii="仿宋" w:hAnsi="仿宋" w:eastAsia="仿宋" w:cs="仿宋"/>
          <w:sz w:val="32"/>
          <w:szCs w:val="32"/>
        </w:rPr>
        <w:t>一是动员到</w:t>
      </w:r>
      <w:bookmarkStart w:id="74" w:name="_GoBack"/>
      <w:bookmarkEnd w:id="74"/>
      <w:r>
        <w:rPr>
          <w:rFonts w:hint="eastAsia" w:ascii="仿宋" w:hAnsi="仿宋" w:eastAsia="仿宋" w:cs="仿宋"/>
          <w:sz w:val="32"/>
          <w:szCs w:val="32"/>
          <w:lang w:eastAsia="zh-CN"/>
        </w:rPr>
        <w:t>创业园区务工</w:t>
      </w:r>
      <w:r>
        <w:rPr>
          <w:rFonts w:hint="eastAsia" w:ascii="仿宋" w:hAnsi="仿宋" w:eastAsia="仿宋" w:cs="仿宋"/>
          <w:sz w:val="32"/>
          <w:szCs w:val="32"/>
        </w:rPr>
        <w:t>，增加</w:t>
      </w:r>
      <w:r>
        <w:rPr>
          <w:rFonts w:hint="eastAsia" w:ascii="仿宋" w:hAnsi="仿宋" w:eastAsia="仿宋" w:cs="仿宋"/>
          <w:sz w:val="32"/>
          <w:szCs w:val="32"/>
          <w:lang w:eastAsia="zh-CN"/>
        </w:rPr>
        <w:t>农牧民</w:t>
      </w:r>
      <w:r>
        <w:rPr>
          <w:rFonts w:hint="eastAsia" w:ascii="仿宋" w:hAnsi="仿宋" w:eastAsia="仿宋" w:cs="仿宋"/>
          <w:sz w:val="32"/>
          <w:szCs w:val="32"/>
        </w:rPr>
        <w:t>群众</w:t>
      </w:r>
      <w:r>
        <w:rPr>
          <w:rFonts w:hint="eastAsia" w:ascii="仿宋" w:hAnsi="仿宋" w:eastAsia="仿宋" w:cs="仿宋"/>
          <w:sz w:val="32"/>
          <w:szCs w:val="32"/>
          <w:lang w:eastAsia="zh-CN"/>
        </w:rPr>
        <w:t>收入</w:t>
      </w:r>
      <w:r>
        <w:rPr>
          <w:rFonts w:hint="eastAsia" w:ascii="仿宋" w:hAnsi="仿宋" w:eastAsia="仿宋" w:cs="仿宋"/>
          <w:sz w:val="32"/>
          <w:szCs w:val="32"/>
        </w:rPr>
        <w:t>。工作组</w:t>
      </w:r>
      <w:r>
        <w:rPr>
          <w:rFonts w:hint="eastAsia" w:ascii="仿宋" w:hAnsi="仿宋" w:eastAsia="仿宋" w:cs="仿宋"/>
          <w:sz w:val="32"/>
          <w:szCs w:val="32"/>
          <w:lang w:eastAsia="zh-CN"/>
        </w:rPr>
        <w:t>走村入户时积极宣传走出家门务工致富</w:t>
      </w:r>
      <w:r>
        <w:rPr>
          <w:rFonts w:hint="eastAsia" w:ascii="仿宋" w:hAnsi="仿宋" w:eastAsia="仿宋" w:cs="仿宋"/>
          <w:sz w:val="32"/>
          <w:szCs w:val="32"/>
        </w:rPr>
        <w:t>。二是动员适龄儿童入学。</w:t>
      </w:r>
      <w:r>
        <w:rPr>
          <w:rFonts w:hint="eastAsia" w:ascii="仿宋" w:hAnsi="仿宋" w:eastAsia="仿宋" w:cs="仿宋"/>
          <w:b/>
          <w:sz w:val="32"/>
          <w:szCs w:val="32"/>
        </w:rPr>
        <w:t>五记录：</w:t>
      </w:r>
      <w:r>
        <w:rPr>
          <w:rFonts w:hint="eastAsia" w:ascii="仿宋" w:hAnsi="仿宋" w:eastAsia="仿宋" w:cs="仿宋"/>
          <w:sz w:val="32"/>
          <w:szCs w:val="32"/>
        </w:rPr>
        <w:t>工作组通过入户调查，记录好农户基本情况，记录有无未办理残疾证人员，记录未成年僧人，记录群众反映的诉求。</w:t>
      </w:r>
      <w:r>
        <w:rPr>
          <w:rFonts w:hint="eastAsia" w:ascii="仿宋" w:hAnsi="仿宋" w:eastAsia="仿宋" w:cs="仿宋"/>
          <w:sz w:val="32"/>
          <w:szCs w:val="32"/>
          <w:lang w:eastAsia="zh-CN"/>
        </w:rPr>
        <w:t>三是</w:t>
      </w:r>
      <w:r>
        <w:rPr>
          <w:rFonts w:hint="eastAsia" w:ascii="仿宋" w:hAnsi="仿宋" w:eastAsia="仿宋" w:cs="仿宋"/>
          <w:sz w:val="32"/>
          <w:szCs w:val="32"/>
        </w:rPr>
        <w:t>针对</w:t>
      </w:r>
      <w:r>
        <w:rPr>
          <w:rFonts w:hint="eastAsia" w:ascii="仿宋" w:hAnsi="仿宋" w:eastAsia="仿宋" w:cs="仿宋"/>
          <w:sz w:val="32"/>
          <w:szCs w:val="32"/>
          <w:lang w:eastAsia="zh-CN"/>
        </w:rPr>
        <w:t>布康木达村</w:t>
      </w:r>
      <w:r>
        <w:rPr>
          <w:rFonts w:hint="eastAsia" w:ascii="仿宋" w:hAnsi="仿宋" w:eastAsia="仿宋" w:cs="仿宋"/>
          <w:sz w:val="32"/>
          <w:szCs w:val="32"/>
        </w:rPr>
        <w:t>实际情况，</w:t>
      </w:r>
      <w:r>
        <w:rPr>
          <w:rFonts w:hint="eastAsia" w:ascii="仿宋" w:hAnsi="仿宋" w:eastAsia="仿宋" w:cs="仿宋"/>
          <w:sz w:val="32"/>
          <w:szCs w:val="32"/>
          <w:lang w:eastAsia="zh-CN"/>
        </w:rPr>
        <w:t>我处</w:t>
      </w:r>
      <w:r>
        <w:rPr>
          <w:rFonts w:hint="eastAsia" w:ascii="仿宋" w:hAnsi="仿宋" w:eastAsia="仿宋" w:cs="仿宋"/>
          <w:sz w:val="32"/>
          <w:szCs w:val="32"/>
        </w:rPr>
        <w:t>对</w:t>
      </w:r>
      <w:r>
        <w:rPr>
          <w:rFonts w:hint="eastAsia" w:ascii="仿宋" w:hAnsi="仿宋" w:eastAsia="仿宋" w:cs="仿宋"/>
          <w:sz w:val="32"/>
          <w:szCs w:val="32"/>
          <w:lang w:eastAsia="zh-CN"/>
        </w:rPr>
        <w:t>布康木达村</w:t>
      </w:r>
      <w:r>
        <w:rPr>
          <w:rFonts w:hint="eastAsia" w:ascii="仿宋" w:hAnsi="仿宋" w:eastAsia="仿宋" w:cs="仿宋"/>
          <w:sz w:val="32"/>
          <w:szCs w:val="32"/>
        </w:rPr>
        <w:t>工作开展</w:t>
      </w:r>
      <w:r>
        <w:rPr>
          <w:rFonts w:hint="eastAsia" w:ascii="仿宋" w:hAnsi="仿宋" w:eastAsia="仿宋" w:cs="仿宋"/>
          <w:sz w:val="32"/>
          <w:szCs w:val="32"/>
          <w:lang w:eastAsia="zh-CN"/>
        </w:rPr>
        <w:t>情况进行</w:t>
      </w:r>
      <w:r>
        <w:rPr>
          <w:rFonts w:hint="eastAsia" w:ascii="仿宋" w:hAnsi="仿宋" w:eastAsia="仿宋" w:cs="仿宋"/>
          <w:sz w:val="32"/>
          <w:szCs w:val="32"/>
        </w:rPr>
        <w:t>一一梳理，并对</w:t>
      </w:r>
      <w:r>
        <w:rPr>
          <w:rFonts w:hint="eastAsia" w:ascii="仿宋" w:hAnsi="仿宋" w:eastAsia="仿宋" w:cs="仿宋"/>
          <w:sz w:val="32"/>
          <w:szCs w:val="32"/>
          <w:lang w:eastAsia="zh-CN"/>
        </w:rPr>
        <w:t>本单位</w:t>
      </w:r>
      <w:r>
        <w:rPr>
          <w:rFonts w:hint="eastAsia" w:ascii="仿宋" w:hAnsi="仿宋" w:eastAsia="仿宋" w:cs="仿宋"/>
          <w:sz w:val="32"/>
          <w:szCs w:val="32"/>
        </w:rPr>
        <w:t>本</w:t>
      </w:r>
      <w:r>
        <w:rPr>
          <w:rFonts w:hint="eastAsia" w:ascii="仿宋" w:hAnsi="仿宋" w:eastAsia="仿宋" w:cs="仿宋"/>
          <w:sz w:val="32"/>
          <w:szCs w:val="32"/>
          <w:lang w:eastAsia="zh-CN"/>
        </w:rPr>
        <w:t>年</w:t>
      </w:r>
      <w:r>
        <w:rPr>
          <w:rFonts w:hint="eastAsia" w:ascii="仿宋" w:hAnsi="仿宋" w:eastAsia="仿宋" w:cs="仿宋"/>
          <w:sz w:val="32"/>
          <w:szCs w:val="32"/>
        </w:rPr>
        <w:t>开展工作进行明确</w:t>
      </w:r>
      <w:r>
        <w:rPr>
          <w:rFonts w:hint="eastAsia" w:ascii="仿宋" w:hAnsi="仿宋" w:eastAsia="仿宋" w:cs="仿宋"/>
          <w:sz w:val="32"/>
          <w:szCs w:val="32"/>
          <w:lang w:eastAsia="zh-CN"/>
        </w:rPr>
        <w:t>分工</w:t>
      </w:r>
      <w:r>
        <w:rPr>
          <w:rFonts w:hint="eastAsia" w:ascii="仿宋" w:hAnsi="仿宋" w:eastAsia="仿宋" w:cs="仿宋"/>
          <w:sz w:val="32"/>
          <w:szCs w:val="32"/>
        </w:rPr>
        <w:t>，压实责任，确保每项工作顺利有序开展。</w:t>
      </w:r>
      <w:bookmarkStart w:id="20" w:name="_Toc15396601"/>
      <w:bookmarkStart w:id="21" w:name="_Toc1537720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26"/>
          <w:b w:val="0"/>
          <w:bCs w:val="0"/>
        </w:rPr>
      </w:pPr>
      <w:r>
        <w:rPr>
          <w:rFonts w:hint="eastAsia" w:ascii="仿宋" w:hAnsi="仿宋" w:eastAsia="仿宋" w:cs="仿宋"/>
          <w:sz w:val="32"/>
          <w:szCs w:val="32"/>
          <w:lang w:val="en-US" w:eastAsia="zh-CN"/>
        </w:rPr>
        <w:t xml:space="preserve"> </w:t>
      </w:r>
      <w:r>
        <w:rPr>
          <w:rStyle w:val="26"/>
          <w:rFonts w:hint="eastAsia" w:ascii="黑体" w:hAnsi="黑体" w:eastAsia="黑体"/>
          <w:b w:val="0"/>
          <w:bCs w:val="0"/>
        </w:rPr>
        <w:t>二、机构设置</w:t>
      </w:r>
      <w:bookmarkEnd w:id="20"/>
      <w:bookmarkEnd w:id="21"/>
    </w:p>
    <w:p>
      <w:pPr>
        <w:ind w:firstLine="800" w:firstLineChars="250"/>
        <w:rPr>
          <w:rFonts w:ascii="仿宋" w:hAnsi="仿宋" w:eastAsia="仿宋"/>
          <w:sz w:val="32"/>
          <w:szCs w:val="32"/>
        </w:rPr>
      </w:pPr>
      <w:r>
        <w:rPr>
          <w:rFonts w:hint="eastAsia" w:ascii="仿宋" w:hAnsi="仿宋" w:eastAsia="仿宋" w:cs="仿宋"/>
          <w:sz w:val="32"/>
          <w:szCs w:val="32"/>
          <w:lang w:eastAsia="zh-CN"/>
        </w:rPr>
        <w:t>壤塘县中壤塘文化旅游景区管理处</w:t>
      </w:r>
      <w:r>
        <w:rPr>
          <w:rFonts w:hint="eastAsia" w:ascii="仿宋" w:hAnsi="仿宋" w:eastAsia="仿宋"/>
          <w:sz w:val="32"/>
          <w:szCs w:val="32"/>
        </w:rPr>
        <w:t>下属二级单位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jc w:val="center"/>
        <w:rPr>
          <w:rStyle w:val="25"/>
          <w:rFonts w:hint="eastAsia" w:ascii="黑体" w:hAnsi="黑体" w:eastAsia="黑体"/>
          <w:b w:val="0"/>
          <w:bCs w:val="0"/>
        </w:rPr>
      </w:pPr>
      <w:bookmarkStart w:id="22" w:name="_Toc15377204"/>
      <w:bookmarkStart w:id="23" w:name="_Toc15396602"/>
      <w:r>
        <w:rPr>
          <w:rStyle w:val="25"/>
          <w:rFonts w:hint="eastAsia" w:ascii="黑体" w:hAnsi="黑体" w:eastAsia="黑体"/>
          <w:b w:val="0"/>
          <w:bCs w:val="0"/>
        </w:rPr>
        <w:t>2019年度部门决算情况说明</w:t>
      </w:r>
      <w:bookmarkEnd w:id="22"/>
      <w:bookmarkEnd w:id="23"/>
    </w:p>
    <w:p>
      <w:pPr>
        <w:jc w:val="center"/>
        <w:rPr>
          <w:rStyle w:val="25"/>
          <w:rFonts w:hint="eastAsia" w:ascii="黑体" w:hAnsi="黑体" w:eastAsia="黑体"/>
          <w:b w:val="0"/>
          <w:bCs w:val="0"/>
        </w:rPr>
      </w:pPr>
    </w:p>
    <w:p>
      <w:pPr>
        <w:jc w:val="center"/>
        <w:rPr>
          <w:rStyle w:val="25"/>
          <w:rFonts w:hint="eastAsia" w:ascii="黑体" w:hAnsi="黑体" w:eastAsia="黑体"/>
          <w:b w:val="0"/>
          <w:bCs w:val="0"/>
          <w:lang w:eastAsia="zh-CN"/>
        </w:rPr>
      </w:pPr>
    </w:p>
    <w:p>
      <w:pPr>
        <w:pStyle w:val="24"/>
        <w:numPr>
          <w:ilvl w:val="0"/>
          <w:numId w:val="2"/>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000000"/>
          <w:sz w:val="32"/>
          <w:szCs w:val="32"/>
        </w:rPr>
        <w:t>2019年度收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3729.33</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3729.35万元</w:t>
      </w:r>
      <w:r>
        <w:rPr>
          <w:rFonts w:hint="eastAsia" w:ascii="仿宋" w:hAnsi="仿宋" w:eastAsia="仿宋"/>
          <w:color w:val="000000"/>
          <w:sz w:val="32"/>
          <w:szCs w:val="32"/>
        </w:rPr>
        <w:t>。与2018年相比，收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1010.73</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1010.7万元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收入总计</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27.10</w:t>
      </w:r>
      <w:r>
        <w:rPr>
          <w:rFonts w:ascii="仿宋" w:hAnsi="仿宋" w:eastAsia="仿宋"/>
          <w:color w:val="000000"/>
          <w:sz w:val="32"/>
          <w:szCs w:val="32"/>
        </w:rPr>
        <w:t>%</w:t>
      </w:r>
      <w:r>
        <w:rPr>
          <w:rFonts w:hint="eastAsia" w:ascii="仿宋" w:hAnsi="仿宋" w:eastAsia="仿宋"/>
          <w:color w:val="000000"/>
          <w:sz w:val="32"/>
          <w:szCs w:val="32"/>
          <w:lang w:eastAsia="zh-CN"/>
        </w:rPr>
        <w:t>、支出总计下降</w:t>
      </w:r>
      <w:r>
        <w:rPr>
          <w:rFonts w:hint="eastAsia" w:ascii="仿宋" w:hAnsi="仿宋" w:eastAsia="仿宋"/>
          <w:color w:val="000000"/>
          <w:sz w:val="32"/>
          <w:szCs w:val="32"/>
          <w:lang w:val="en-US" w:eastAsia="zh-CN"/>
        </w:rPr>
        <w:t>27.10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auto"/>
          <w:sz w:val="32"/>
          <w:szCs w:val="32"/>
          <w:lang w:val="en-US" w:eastAsia="zh-CN"/>
        </w:rPr>
        <w:t>2018年我单位新项目较多财政下达项目资金较19年相对减少。</w:t>
      </w:r>
    </w:p>
    <w:p>
      <w:pPr>
        <w:spacing w:line="600" w:lineRule="exact"/>
        <w:ind w:firstLine="1890" w:firstLineChars="9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72576" behindDoc="1" locked="0" layoutInCell="1" allowOverlap="1">
            <wp:simplePos x="0" y="0"/>
            <wp:positionH relativeFrom="column">
              <wp:posOffset>356870</wp:posOffset>
            </wp:positionH>
            <wp:positionV relativeFrom="paragraph">
              <wp:posOffset>185420</wp:posOffset>
            </wp:positionV>
            <wp:extent cx="5181600" cy="3382010"/>
            <wp:effectExtent l="4445" t="4445" r="14605" b="23495"/>
            <wp:wrapThrough wrapText="bothSides">
              <wp:wrapPolygon>
                <wp:start x="-19" y="-28"/>
                <wp:lineTo x="-19" y="21507"/>
                <wp:lineTo x="21581" y="21507"/>
                <wp:lineTo x="21581" y="-28"/>
                <wp:lineTo x="-19" y="-28"/>
              </wp:wrapPolygon>
            </wp:wrapThrough>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pStyle w:val="24"/>
        <w:numPr>
          <w:ilvl w:val="0"/>
          <w:numId w:val="2"/>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572.16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572.16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jc w:val="center"/>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59264" behindDoc="1" locked="0" layoutInCell="1" allowOverlap="1">
            <wp:simplePos x="0" y="0"/>
            <wp:positionH relativeFrom="column">
              <wp:posOffset>-100330</wp:posOffset>
            </wp:positionH>
            <wp:positionV relativeFrom="paragraph">
              <wp:posOffset>133985</wp:posOffset>
            </wp:positionV>
            <wp:extent cx="5457190" cy="2200275"/>
            <wp:effectExtent l="4445" t="4445" r="5715" b="62230"/>
            <wp:wrapThrough wrapText="bothSides">
              <wp:wrapPolygon>
                <wp:start x="-18" y="-44"/>
                <wp:lineTo x="-18" y="21463"/>
                <wp:lineTo x="21547" y="21463"/>
                <wp:lineTo x="21547" y="-44"/>
                <wp:lineTo x="-18" y="-44"/>
              </wp:wrapPolygon>
            </wp:wrapThrough>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w:t>
      </w:r>
    </w:p>
    <w:p>
      <w:pPr>
        <w:pStyle w:val="24"/>
        <w:numPr>
          <w:ilvl w:val="0"/>
          <w:numId w:val="2"/>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3246.28</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211.69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6.52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3034.59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93.48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60288" behindDoc="1" locked="0" layoutInCell="1" allowOverlap="1">
            <wp:simplePos x="0" y="0"/>
            <wp:positionH relativeFrom="column">
              <wp:posOffset>299720</wp:posOffset>
            </wp:positionH>
            <wp:positionV relativeFrom="paragraph">
              <wp:posOffset>71120</wp:posOffset>
            </wp:positionV>
            <wp:extent cx="5267325" cy="2228850"/>
            <wp:effectExtent l="5080" t="4445" r="4445" b="14605"/>
            <wp:wrapThrough wrapText="bothSides">
              <wp:wrapPolygon>
                <wp:start x="-21" y="-43"/>
                <wp:lineTo x="-21" y="21557"/>
                <wp:lineTo x="21540" y="21557"/>
                <wp:lineTo x="21540" y="-43"/>
                <wp:lineTo x="-21" y="-43"/>
              </wp:wrapPolygon>
            </wp:wrapThrough>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420" w:firstLineChars="200"/>
        <w:rPr>
          <w:rFonts w:hint="eastAsia" w:ascii="仿宋" w:hAnsi="仿宋" w:eastAsia="仿宋"/>
          <w:color w:val="000000" w:themeColor="text1"/>
          <w:sz w:val="32"/>
          <w:szCs w:val="32"/>
          <w:lang w:val="en-US" w:eastAsia="zh-CN"/>
          <w14:textFill>
            <w14:solidFill>
              <w14:schemeClr w14:val="tx1"/>
            </w14:solidFill>
          </w14:textFill>
        </w:rPr>
      </w:pPr>
      <w:bookmarkStart w:id="32" w:name="_Toc15396607"/>
      <w:bookmarkStart w:id="33" w:name="_Toc15377209"/>
      <w:r>
        <w:drawing>
          <wp:anchor distT="0" distB="0" distL="114300" distR="114300" simplePos="0" relativeHeight="251681792" behindDoc="1" locked="0" layoutInCell="1" allowOverlap="1">
            <wp:simplePos x="0" y="0"/>
            <wp:positionH relativeFrom="column">
              <wp:posOffset>252095</wp:posOffset>
            </wp:positionH>
            <wp:positionV relativeFrom="paragraph">
              <wp:posOffset>2176145</wp:posOffset>
            </wp:positionV>
            <wp:extent cx="5286375" cy="2819400"/>
            <wp:effectExtent l="4445" t="4445" r="5080" b="14605"/>
            <wp:wrapThrough wrapText="bothSides">
              <wp:wrapPolygon>
                <wp:start x="-18" y="-34"/>
                <wp:lineTo x="-18" y="21566"/>
                <wp:lineTo x="21543" y="21566"/>
                <wp:lineTo x="21543" y="-34"/>
                <wp:lineTo x="-18" y="-34"/>
              </wp:wrapPolygon>
            </wp:wrapThrough>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9年财政拨款收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3729.28</w:t>
      </w:r>
      <w:r>
        <w:rPr>
          <w:rFonts w:hint="eastAsia" w:ascii="仿宋" w:hAnsi="仿宋" w:eastAsia="仿宋"/>
          <w:color w:val="000000"/>
          <w:sz w:val="32"/>
          <w:szCs w:val="32"/>
        </w:rPr>
        <w:t>万元、支总计</w:t>
      </w:r>
      <w:r>
        <w:rPr>
          <w:rFonts w:hint="eastAsia" w:ascii="仿宋" w:hAnsi="仿宋" w:eastAsia="仿宋"/>
          <w:color w:val="000000"/>
          <w:sz w:val="32"/>
          <w:szCs w:val="32"/>
          <w:lang w:val="en-US" w:eastAsia="zh-CN"/>
        </w:rPr>
        <w:t>3729.29</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1010.77</w:t>
      </w:r>
      <w:r>
        <w:rPr>
          <w:rFonts w:hint="eastAsia" w:ascii="仿宋" w:hAnsi="仿宋" w:eastAsia="仿宋"/>
          <w:color w:val="000000"/>
          <w:sz w:val="32"/>
          <w:szCs w:val="32"/>
        </w:rPr>
        <w:t>万元、支</w:t>
      </w:r>
      <w:r>
        <w:rPr>
          <w:rFonts w:hint="eastAsia" w:ascii="仿宋" w:hAnsi="仿宋" w:eastAsia="仿宋"/>
          <w:color w:val="000000"/>
          <w:sz w:val="32"/>
          <w:szCs w:val="32"/>
          <w:lang w:eastAsia="zh-CN"/>
        </w:rPr>
        <w:t>总计</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1010.77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收入总计</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27.10</w:t>
      </w:r>
      <w:r>
        <w:rPr>
          <w:rFonts w:ascii="仿宋" w:hAnsi="仿宋" w:eastAsia="仿宋"/>
          <w:color w:val="000000"/>
          <w:sz w:val="32"/>
          <w:szCs w:val="32"/>
        </w:rPr>
        <w:t>%</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27.10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themeColor="text1"/>
          <w:sz w:val="32"/>
          <w:szCs w:val="32"/>
          <w:lang w:val="en-US" w:eastAsia="zh-CN"/>
          <w14:textFill>
            <w14:solidFill>
              <w14:schemeClr w14:val="tx1"/>
            </w14:solidFill>
          </w14:textFill>
        </w:rPr>
        <w:t>19年我单位正在实施18年续建项目。财政拨款收入减少。</w:t>
      </w:r>
    </w:p>
    <w:p>
      <w:pPr>
        <w:spacing w:line="600" w:lineRule="exact"/>
        <w:jc w:val="both"/>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3246.28</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87.05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924.49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28.48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outlineLvl w:val="2"/>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1" locked="0" layoutInCell="1" allowOverlap="1">
            <wp:simplePos x="0" y="0"/>
            <wp:positionH relativeFrom="column">
              <wp:posOffset>90170</wp:posOffset>
            </wp:positionH>
            <wp:positionV relativeFrom="paragraph">
              <wp:posOffset>13970</wp:posOffset>
            </wp:positionV>
            <wp:extent cx="5523230" cy="3446145"/>
            <wp:effectExtent l="4445" t="4445" r="15875" b="16510"/>
            <wp:wrapThrough wrapText="bothSides">
              <wp:wrapPolygon>
                <wp:start x="-17" y="-28"/>
                <wp:lineTo x="-17" y="21465"/>
                <wp:lineTo x="21513" y="21465"/>
                <wp:lineTo x="21513" y="-28"/>
                <wp:lineTo x="-17" y="-28"/>
              </wp:wrapPolygon>
            </wp:wrapThrough>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3246.28</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1759.92</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54.21</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22.63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0.70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7.95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0.24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农林水支出</w:t>
      </w:r>
      <w:r>
        <w:rPr>
          <w:rFonts w:hint="eastAsia" w:ascii="仿宋" w:hAnsi="仿宋" w:eastAsia="仿宋"/>
          <w:b/>
          <w:color w:val="000000" w:themeColor="text1"/>
          <w:sz w:val="32"/>
          <w:szCs w:val="32"/>
          <w:lang w:val="en-US" w:eastAsia="zh-CN"/>
          <w14:textFill>
            <w14:solidFill>
              <w14:schemeClr w14:val="tx1"/>
            </w14:solidFill>
          </w14:textFill>
        </w:rPr>
        <w:t>(类)</w:t>
      </w:r>
      <w:r>
        <w:rPr>
          <w:rFonts w:hint="eastAsia" w:ascii="仿宋" w:hAnsi="仿宋" w:eastAsia="仿宋"/>
          <w:color w:val="000000" w:themeColor="text1"/>
          <w:sz w:val="32"/>
          <w:szCs w:val="32"/>
          <w:lang w:val="en-US" w:eastAsia="zh-CN"/>
          <w14:textFill>
            <w14:solidFill>
              <w14:schemeClr w14:val="tx1"/>
            </w14:solidFill>
          </w14:textFill>
        </w:rPr>
        <w:t>支出1439.52万元，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44.34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16.26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drawing>
          <wp:anchor distT="0" distB="0" distL="114300" distR="114300" simplePos="0" relativeHeight="251663360" behindDoc="1" locked="0" layoutInCell="1" allowOverlap="1">
            <wp:simplePos x="0" y="0"/>
            <wp:positionH relativeFrom="column">
              <wp:posOffset>191770</wp:posOffset>
            </wp:positionH>
            <wp:positionV relativeFrom="paragraph">
              <wp:posOffset>242570</wp:posOffset>
            </wp:positionV>
            <wp:extent cx="4780915" cy="3096260"/>
            <wp:effectExtent l="4445" t="4445" r="15240" b="23495"/>
            <wp:wrapThrough wrapText="bothSides">
              <wp:wrapPolygon>
                <wp:start x="-20" y="-31"/>
                <wp:lineTo x="-20" y="21498"/>
                <wp:lineTo x="21497" y="21498"/>
                <wp:lineTo x="21497" y="-31"/>
                <wp:lineTo x="-20" y="-31"/>
              </wp:wrapPolygon>
            </wp:wrapThrough>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3246.28</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1</w:t>
      </w:r>
      <w:r>
        <w:rPr>
          <w:rStyle w:val="15"/>
          <w:rFonts w:hint="eastAsia" w:ascii="仿宋" w:hAnsi="仿宋" w:eastAsia="仿宋"/>
          <w:bCs/>
          <w:color w:val="000000"/>
          <w:sz w:val="32"/>
          <w:szCs w:val="32"/>
          <w:lang w:eastAsia="zh-CN"/>
        </w:rPr>
        <w:t>.</w:t>
      </w:r>
      <w:r>
        <w:rPr>
          <w:rFonts w:hint="eastAsia" w:ascii="仿宋" w:hAnsi="仿宋" w:eastAsia="仿宋"/>
          <w:b/>
          <w:bCs/>
          <w:color w:val="000000" w:themeColor="text1"/>
          <w:sz w:val="32"/>
          <w:szCs w:val="32"/>
          <w14:textFill>
            <w14:solidFill>
              <w14:schemeClr w14:val="tx1"/>
            </w14:solidFill>
          </w14:textFill>
        </w:rPr>
        <w:t>文化旅游体育与传媒（</w:t>
      </w:r>
      <w:r>
        <w:rPr>
          <w:rFonts w:hint="eastAsia" w:ascii="仿宋" w:hAnsi="仿宋" w:eastAsia="仿宋"/>
          <w:b/>
          <w:bCs/>
          <w:color w:val="000000" w:themeColor="text1"/>
          <w:sz w:val="32"/>
          <w:szCs w:val="32"/>
          <w:lang w:val="en-US" w:eastAsia="zh-CN"/>
          <w14:textFill>
            <w14:solidFill>
              <w14:schemeClr w14:val="tx1"/>
            </w14:solidFill>
          </w14:textFill>
        </w:rPr>
        <w:t>207</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文化和旅游</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旅游行业业务管理</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14</w:t>
      </w:r>
      <w:r>
        <w:rPr>
          <w:rStyle w:val="15"/>
          <w:rFonts w:hint="eastAsia"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164.85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lang w:eastAsia="zh-CN"/>
        </w:rPr>
        <w:t>.</w:t>
      </w:r>
      <w:r>
        <w:rPr>
          <w:rFonts w:hint="eastAsia" w:ascii="仿宋" w:hAnsi="仿宋" w:eastAsia="仿宋"/>
          <w:b/>
          <w:bCs/>
          <w:color w:val="000000" w:themeColor="text1"/>
          <w:sz w:val="32"/>
          <w:szCs w:val="32"/>
          <w14:textFill>
            <w14:solidFill>
              <w14:schemeClr w14:val="tx1"/>
            </w14:solidFill>
          </w14:textFill>
        </w:rPr>
        <w:t>文化旅游体育与传媒（</w:t>
      </w:r>
      <w:r>
        <w:rPr>
          <w:rFonts w:hint="eastAsia" w:ascii="仿宋" w:hAnsi="仿宋" w:eastAsia="仿宋"/>
          <w:b/>
          <w:bCs/>
          <w:color w:val="000000" w:themeColor="text1"/>
          <w:sz w:val="32"/>
          <w:szCs w:val="32"/>
          <w:lang w:val="en-US" w:eastAsia="zh-CN"/>
          <w14:textFill>
            <w14:solidFill>
              <w14:schemeClr w14:val="tx1"/>
            </w14:solidFill>
          </w14:textFill>
        </w:rPr>
        <w:t>207</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文化和旅游</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其他文化和旅游支出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19</w:t>
      </w:r>
      <w:r>
        <w:rPr>
          <w:rStyle w:val="15"/>
          <w:rFonts w:hint="eastAsia"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1595.07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社会保障和就业支出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）行政事业单位离退休（</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）机关事业单位基本养老保险缴费支出（</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社会保障和就业支出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208</w:t>
      </w:r>
      <w:r>
        <w:rPr>
          <w:rStyle w:val="15"/>
          <w:rFonts w:hint="eastAsia" w:ascii="仿宋" w:hAnsi="仿宋" w:eastAsia="仿宋"/>
          <w:bCs/>
          <w:color w:val="000000"/>
          <w:sz w:val="32"/>
          <w:szCs w:val="32"/>
        </w:rPr>
        <w:t>）行政事业单位离退休（</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 机关事业单位职业年金缴费支出（</w:t>
      </w:r>
      <w:r>
        <w:rPr>
          <w:rStyle w:val="15"/>
          <w:rFonts w:hint="eastAsia" w:ascii="仿宋" w:hAnsi="仿宋" w:eastAsia="仿宋"/>
          <w:bCs/>
          <w:color w:val="000000"/>
          <w:sz w:val="32"/>
          <w:szCs w:val="32"/>
          <w:lang w:val="en-US" w:eastAsia="zh-CN"/>
        </w:rPr>
        <w:t>06</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7.15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5.</w:t>
      </w:r>
      <w:r>
        <w:rPr>
          <w:rFonts w:hint="eastAsia" w:ascii="仿宋" w:hAnsi="仿宋" w:eastAsia="仿宋"/>
          <w:b/>
          <w:bCs/>
          <w:color w:val="000000" w:themeColor="text1"/>
          <w:sz w:val="32"/>
          <w:szCs w:val="32"/>
          <w14:textFill>
            <w14:solidFill>
              <w14:schemeClr w14:val="tx1"/>
            </w14:solidFill>
          </w14:textFill>
        </w:rPr>
        <w:t>卫生健康</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w:t>
      </w:r>
      <w:r>
        <w:rPr>
          <w:rStyle w:val="15"/>
          <w:rFonts w:hint="eastAsia" w:ascii="仿宋" w:hAnsi="仿宋" w:eastAsia="仿宋"/>
          <w:bCs/>
          <w:color w:val="000000"/>
          <w:sz w:val="32"/>
          <w:szCs w:val="32"/>
        </w:rPr>
        <w:t>）行政事业单位医疗（</w:t>
      </w:r>
      <w:r>
        <w:rPr>
          <w:rStyle w:val="15"/>
          <w:rFonts w:hint="eastAsia" w:ascii="仿宋" w:hAnsi="仿宋" w:eastAsia="仿宋"/>
          <w:bCs/>
          <w:color w:val="000000"/>
          <w:sz w:val="32"/>
          <w:szCs w:val="32"/>
          <w:lang w:val="en-US" w:eastAsia="zh-CN"/>
        </w:rPr>
        <w:t>11</w:t>
      </w:r>
      <w:r>
        <w:rPr>
          <w:rStyle w:val="15"/>
          <w:rFonts w:hint="eastAsia" w:ascii="仿宋" w:hAnsi="仿宋" w:eastAsia="仿宋"/>
          <w:bCs/>
          <w:color w:val="000000"/>
          <w:sz w:val="32"/>
          <w:szCs w:val="32"/>
        </w:rPr>
        <w:t>）事业单位医疗（</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7.95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lang w:val="en-US" w:eastAsia="zh-CN"/>
        </w:rPr>
        <w:t>6.</w:t>
      </w:r>
      <w:r>
        <w:rPr>
          <w:rStyle w:val="15"/>
          <w:rFonts w:hint="eastAsia" w:ascii="仿宋" w:hAnsi="仿宋" w:eastAsia="仿宋"/>
          <w:bCs/>
          <w:color w:val="000000"/>
          <w:sz w:val="32"/>
          <w:szCs w:val="32"/>
        </w:rPr>
        <w:t>农林水支出（</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）扶贫（</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）农村基础设施建设（</w:t>
      </w:r>
      <w:r>
        <w:rPr>
          <w:rStyle w:val="15"/>
          <w:rFonts w:hint="eastAsia" w:ascii="仿宋" w:hAnsi="仿宋" w:eastAsia="仿宋"/>
          <w:bCs/>
          <w:color w:val="000000"/>
          <w:sz w:val="32"/>
          <w:szCs w:val="32"/>
          <w:lang w:val="en-US" w:eastAsia="zh-CN"/>
        </w:rPr>
        <w:t>04</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70.04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7</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农林水支出（</w:t>
      </w:r>
      <w:r>
        <w:rPr>
          <w:rStyle w:val="15"/>
          <w:rFonts w:hint="eastAsia" w:ascii="仿宋" w:hAnsi="仿宋" w:eastAsia="仿宋"/>
          <w:bCs/>
          <w:color w:val="000000"/>
          <w:sz w:val="32"/>
          <w:szCs w:val="32"/>
          <w:lang w:val="en-US" w:eastAsia="zh-CN"/>
        </w:rPr>
        <w:t>213</w:t>
      </w:r>
      <w:r>
        <w:rPr>
          <w:rStyle w:val="15"/>
          <w:rFonts w:hint="eastAsia" w:ascii="仿宋" w:hAnsi="仿宋" w:eastAsia="仿宋"/>
          <w:bCs/>
          <w:color w:val="000000"/>
          <w:sz w:val="32"/>
          <w:szCs w:val="32"/>
        </w:rPr>
        <w:t>）扶贫（</w:t>
      </w:r>
      <w:r>
        <w:rPr>
          <w:rStyle w:val="15"/>
          <w:rFonts w:hint="eastAsia" w:ascii="仿宋" w:hAnsi="仿宋" w:eastAsia="仿宋"/>
          <w:bCs/>
          <w:color w:val="000000"/>
          <w:sz w:val="32"/>
          <w:szCs w:val="32"/>
          <w:lang w:val="en-US" w:eastAsia="zh-CN"/>
        </w:rPr>
        <w:t>05</w:t>
      </w:r>
      <w:r>
        <w:rPr>
          <w:rStyle w:val="15"/>
          <w:rFonts w:hint="eastAsia" w:ascii="仿宋" w:hAnsi="仿宋" w:eastAsia="仿宋"/>
          <w:bCs/>
          <w:color w:val="000000"/>
          <w:sz w:val="32"/>
          <w:szCs w:val="32"/>
        </w:rPr>
        <w:t>）社会发展（</w:t>
      </w:r>
      <w:r>
        <w:rPr>
          <w:rStyle w:val="15"/>
          <w:rFonts w:hint="eastAsia" w:ascii="仿宋" w:hAnsi="仿宋" w:eastAsia="仿宋"/>
          <w:bCs/>
          <w:color w:val="000000"/>
          <w:sz w:val="32"/>
          <w:szCs w:val="32"/>
          <w:lang w:val="en-US" w:eastAsia="zh-CN"/>
        </w:rPr>
        <w:t>06</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1368.48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lang w:eastAsia="zh-CN"/>
        </w:rPr>
        <w:t>住房保障支出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221</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住房改革支出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01</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16.26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3624.27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194.41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28.28</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themeColor="text1"/>
          <w:sz w:val="32"/>
          <w:szCs w:val="32"/>
          <w:lang w:eastAsia="zh-CN"/>
          <w14:textFill>
            <w14:solidFill>
              <w14:schemeClr w14:val="tx1"/>
            </w14:solidFill>
          </w14:textFill>
        </w:rPr>
        <w:t>我单位无公务用车编制</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1" locked="0" layoutInCell="1" allowOverlap="1">
            <wp:simplePos x="0" y="0"/>
            <wp:positionH relativeFrom="column">
              <wp:posOffset>848995</wp:posOffset>
            </wp:positionH>
            <wp:positionV relativeFrom="paragraph">
              <wp:posOffset>1299845</wp:posOffset>
            </wp:positionV>
            <wp:extent cx="4572000" cy="2143125"/>
            <wp:effectExtent l="4445" t="4445" r="14605" b="81280"/>
            <wp:wrapThrough wrapText="bothSides">
              <wp:wrapPolygon>
                <wp:start x="-21" y="-45"/>
                <wp:lineTo x="-21" y="21459"/>
                <wp:lineTo x="21579" y="21459"/>
                <wp:lineTo x="21579" y="-45"/>
                <wp:lineTo x="-21" y="-45"/>
              </wp:wrapPolygon>
            </wp:wrapThrough>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（图7：“三公”经费财政拨款支出结构）</w:t>
      </w:r>
    </w:p>
    <w:p>
      <w:pPr>
        <w:numPr>
          <w:ilvl w:val="0"/>
          <w:numId w:val="3"/>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lang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firstLineChars="200"/>
        <w:outlineLvl w:val="1"/>
        <w:rPr>
          <w:rStyle w:val="26"/>
          <w:rFonts w:ascii="黑体" w:hAnsi="黑体" w:eastAsia="黑体"/>
        </w:rPr>
      </w:pPr>
      <w:bookmarkStart w:id="46" w:name="_Toc15396610"/>
      <w:bookmarkStart w:id="47" w:name="_Toc1537721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4"/>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壤塘县中壤塘文化旅游景区管理处</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壤塘县中壤塘文化旅游景区管理处</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壤塘县中壤塘文化旅游景区管理处</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浙江援建壤塘县（浙川）文化扶贫产业园建设项目（二期）资金</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eastAsia="zh-CN"/>
        </w:rPr>
        <w:t>这这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both"/>
        <w:rPr>
          <w:rFonts w:hint="default" w:ascii="Times New Roman" w:hAnsi="Times New Roman" w:cs="Times New Roman"/>
          <w:i w:val="0"/>
          <w:caps w:val="0"/>
          <w:color w:val="333333"/>
          <w:spacing w:val="0"/>
          <w:sz w:val="21"/>
          <w:szCs w:val="21"/>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 w:hAnsi="仿宋" w:eastAsia="仿宋" w:cs="仿宋"/>
          <w:i w:val="0"/>
          <w:caps w:val="0"/>
          <w:color w:val="000000"/>
          <w:spacing w:val="0"/>
          <w:sz w:val="32"/>
          <w:szCs w:val="32"/>
          <w:shd w:val="clear" w:fill="FFFFFF"/>
        </w:rPr>
        <w:t>通过加强预算收支管理，不断建立健全内部管理制度，梳理内部管理流程，部门整体支出管理情况得到提升</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个项目支出绩效评价，从评价情况来看</w:t>
      </w:r>
      <w:r>
        <w:rPr>
          <w:rFonts w:hint="eastAsia" w:ascii="仿宋" w:hAnsi="仿宋" w:eastAsia="仿宋" w:cs="仿宋"/>
          <w:i w:val="0"/>
          <w:caps w:val="0"/>
          <w:color w:val="000000"/>
          <w:spacing w:val="0"/>
          <w:sz w:val="32"/>
          <w:szCs w:val="32"/>
          <w:shd w:val="clear" w:fill="FFFFFF"/>
        </w:rPr>
        <w:t>预算决策、管理、执行等日益规范，能较好地满足工作需要，取得了良好经济效益和社会效益。</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浙江援建壤塘县（浙川）文化扶贫产业园建设项目（二期）资金</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（该资金包含：壤塘（浙川)文化扶贫产业园建设项目（壤巴拉非遗传习创业园园区基础设施建设)、壤塘（浙川)文化扶贫产业园建设项目（壤巴拉非遗传习创业园桥、栈道、观景台)项目</w:t>
      </w:r>
      <w:r>
        <w:rPr>
          <w:rFonts w:hint="eastAsia" w:ascii="仿宋_GB2312" w:hAnsi="仿宋_GB2312" w:eastAsia="仿宋_GB2312" w:cs="仿宋_GB2312"/>
          <w:sz w:val="32"/>
          <w:szCs w:val="32"/>
        </w:rPr>
        <w:t>全年预算数</w:t>
      </w:r>
      <w:r>
        <w:rPr>
          <w:rFonts w:hint="eastAsia" w:ascii="仿宋_GB2312" w:hAnsi="仿宋_GB2312" w:eastAsia="仿宋_GB2312" w:cs="仿宋_GB2312"/>
          <w:sz w:val="32"/>
          <w:szCs w:val="32"/>
          <w:lang w:val="en-US" w:eastAsia="zh-CN"/>
        </w:rPr>
        <w:t>1500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1368.48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sz w:val="32"/>
          <w:szCs w:val="32"/>
          <w:lang w:val="en-US" w:eastAsia="zh-CN"/>
        </w:rPr>
        <w:t>壤塘（浙川)文化扶贫产业园建设项目（壤巴拉非遗传习创业园园区基础设施建设)项目</w:t>
      </w:r>
      <w:r>
        <w:rPr>
          <w:rFonts w:hint="eastAsia" w:ascii="仿宋_GB2312" w:hAnsi="仿宋_GB2312" w:eastAsia="仿宋_GB2312" w:cs="仿宋_GB2312"/>
          <w:i w:val="0"/>
          <w:color w:val="000000"/>
          <w:kern w:val="0"/>
          <w:sz w:val="32"/>
          <w:szCs w:val="32"/>
          <w:u w:val="none"/>
          <w:lang w:val="en-US" w:eastAsia="zh-CN" w:bidi="ar"/>
        </w:rPr>
        <w:t>于7月20日进场施工，</w:t>
      </w:r>
      <w:r>
        <w:rPr>
          <w:rFonts w:hint="eastAsia" w:ascii="仿宋_GB2312" w:hAnsi="仿宋_GB2312" w:eastAsia="仿宋_GB2312" w:cs="仿宋_GB2312"/>
          <w:sz w:val="32"/>
          <w:szCs w:val="32"/>
          <w:lang w:val="en-US" w:eastAsia="zh-CN"/>
        </w:rPr>
        <w:t>现已完成散水、排水沟、挡土墙、组团路、停车场等工程正在实施场坪、入户路、中心广场回填等。计划年内完成除中心广场以外所有工程的80%。壤塘（浙川)文化扶贫产业园建设项目（壤巴拉非遗传习创业园桥、栈道、观景台)项目</w:t>
      </w:r>
      <w:r>
        <w:rPr>
          <w:rFonts w:hint="eastAsia" w:ascii="仿宋_GB2312" w:hAnsi="仿宋_GB2312" w:eastAsia="仿宋_GB2312" w:cs="仿宋_GB2312"/>
          <w:i w:val="0"/>
          <w:color w:val="000000"/>
          <w:kern w:val="0"/>
          <w:sz w:val="32"/>
          <w:szCs w:val="32"/>
          <w:u w:val="none"/>
          <w:lang w:val="en-US" w:eastAsia="zh-CN" w:bidi="ar"/>
        </w:rPr>
        <w:t>于8月1日进场施工，栈道主体已完工，正在实施桥基桩和第三观景平台。</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项目绩效目标完成情况表</w:t>
            </w:r>
            <w:r>
              <w:rPr>
                <w:rFonts w:hint="eastAsia" w:ascii="宋体" w:hAnsi="宋体" w:cs="宋体"/>
                <w:color w:val="000000"/>
                <w:kern w:val="0"/>
                <w:sz w:val="24"/>
              </w:rPr>
              <w:br w:type="textWrapping"/>
            </w:r>
            <w:r>
              <w:rPr>
                <w:rFonts w:hint="eastAsia" w:ascii="宋体" w:hAnsi="宋体" w:cs="宋体"/>
                <w:color w:val="000000"/>
                <w:kern w:val="0"/>
                <w:sz w:val="24"/>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eastAsia="zh-CN"/>
              </w:rPr>
              <w:t>浙江援建壤塘县（浙川）文化扶贫产业园建设项目（二期）资金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壤塘县中壤塘文化旅游景区管理处</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1500</w:t>
            </w:r>
            <w:r>
              <w:rPr>
                <w:rFonts w:hint="eastAsia" w:ascii="宋体" w:hAnsi="宋体" w:cs="宋体"/>
                <w:color w:val="000000"/>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1368.47</w:t>
            </w:r>
            <w:r>
              <w:rPr>
                <w:rFonts w:hint="eastAsia" w:ascii="宋体" w:hAnsi="宋体" w:cs="宋体"/>
                <w:color w:val="000000"/>
                <w:kern w:val="0"/>
                <w:sz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1500</w:t>
            </w:r>
            <w:r>
              <w:rPr>
                <w:rFonts w:hint="eastAsia" w:ascii="宋体" w:hAnsi="宋体" w:cs="宋体"/>
                <w:color w:val="000000"/>
                <w:sz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1368.47</w:t>
            </w:r>
            <w:r>
              <w:rPr>
                <w:rFonts w:hint="eastAsia" w:ascii="宋体" w:hAnsi="宋体" w:cs="宋体"/>
                <w:color w:val="000000"/>
                <w:kern w:val="0"/>
                <w:sz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壤塘（浙川)文化扶贫产业园建设项目（壤巴拉非遗传习创业园园区基础设施建设)项目现已完成散水、排水沟、挡土墙、组团路、停车场等工程正在实施场坪、入户路、中心广场。壤塘（浙川)文化扶贫产业园建设项目（壤巴拉非遗传习创业园桥、栈道、观景台)栈道主体完工，实施桥基桩。</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壤塘（浙川)文化扶贫产业园建设项目（壤巴拉非遗传习创业园园区基础设施建设)项目现已完成散水、排水沟、挡土墙、组团路、停车场等工程正在实施场坪、入户路、中心广场回填等。计划年内完成除中心广场以外所有工程的80%。壤塘（浙川)文化扶贫产业园建设项目（壤巴拉非遗传习创业园桥、栈道、观景台)栈道主体已完工，正在实施桥基桩和第三观景平台。</w:t>
            </w:r>
          </w:p>
          <w:p>
            <w:pPr>
              <w:widowControl/>
              <w:jc w:val="both"/>
              <w:textAlignment w:val="center"/>
              <w:rPr>
                <w:rFonts w:hint="eastAsia" w:ascii="宋体" w:hAnsi="宋体" w:eastAsia="宋体" w:cs="宋体"/>
                <w:color w:val="000000"/>
                <w:sz w:val="24"/>
                <w:lang w:eastAsia="zh-CN"/>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新建项目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壤塘（浙川)文化扶贫产业园建设项目（壤巴拉非遗传习创业园园区基础设施建设)项目现已完成散水、排水沟、挡土墙、组团路、停车场等工程正在实施场坪、入户路、中心广场回填等。计划年内完成除中心广场以外所有工程的80%。壤塘（浙川)文化扶贫产业园建设项目（壤巴拉非遗传习创业园桥、栈道、观景台)栈道主体已完工，正在实施桥基桩和第三观景平台。</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壤塘（浙川)文化扶贫产业园建设项目（壤巴拉非遗传习创业园园区基础设施建设)项目现已完成散水、排水沟、挡土墙、组团路、停车场等工程正在实施场坪、入户路、中心广场回填等。计划年内完成除中心广场以外所有工程的80%。壤塘（浙川)文化扶贫产业园建设项目（壤巴拉非遗传习创业园桥、栈道、观景台)栈道主体已完工，正在实施桥基桩和第三观景平台。</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抽样选点质量检测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对主体的混凝土强度，抹灰硬度，钢筋密度和大小进行了，场平等抽查，是否符合设计图纸的相关要求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通过对抽样选点的项目情况，符合相关质量要求、技术要求、政策要求。</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aps w:val="0"/>
                <w:color w:val="000000"/>
                <w:spacing w:val="0"/>
                <w:sz w:val="24"/>
                <w:szCs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w:t>
            </w:r>
          </w:p>
        </w:tc>
      </w:tr>
    </w:tbl>
    <w:p>
      <w:pPr>
        <w:tabs>
          <w:tab w:val="left" w:pos="312"/>
        </w:tabs>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eastAsia="仿宋_GB2312"/>
          <w:color w:val="000000"/>
          <w:sz w:val="32"/>
          <w:szCs w:val="32"/>
          <w:lang w:eastAsia="zh-CN"/>
        </w:rPr>
        <w:t>壤塘县中壤塘文化旅游景区管理处</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浙江援建壤塘县（浙川）文化扶贫产业园建设项目（二期）资金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w:t>
      </w:r>
      <w:r>
        <w:rPr>
          <w:rFonts w:hint="eastAsia" w:ascii="仿宋_GB2312" w:hAnsi="仿宋_GB2312" w:eastAsia="仿宋_GB2312" w:cs="仿宋_GB2312"/>
          <w:sz w:val="32"/>
          <w:szCs w:val="32"/>
        </w:rPr>
        <w:t>开展了绩效评价，</w:t>
      </w:r>
      <w:r>
        <w:rPr>
          <w:rFonts w:hint="eastAsia" w:ascii="仿宋_GB2312" w:hAnsi="仿宋_GB2312" w:eastAsia="仿宋_GB2312" w:cs="仿宋_GB2312"/>
          <w:sz w:val="32"/>
          <w:szCs w:val="32"/>
          <w:lang w:eastAsia="zh-CN"/>
        </w:rPr>
        <w:t>浙江援建壤塘县（浙川）文化扶贫产业园建设项目（二期）资金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w:t>
      </w:r>
      <w:r>
        <w:rPr>
          <w:rFonts w:hint="eastAsia" w:ascii="仿宋_GB2312" w:hAnsi="仿宋_GB2312" w:eastAsia="仿宋_GB2312" w:cs="仿宋_GB2312"/>
          <w:sz w:val="32"/>
          <w:szCs w:val="32"/>
        </w:rPr>
        <w:t>项目2019年绩效评价报告》见附件（附件2）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201</w:t>
      </w:r>
      <w:r>
        <w:rPr>
          <w:rFonts w:hint="eastAsia" w:ascii="仿宋_GB2312" w:eastAsia="仿宋_GB2312"/>
          <w:color w:val="000000"/>
          <w:sz w:val="32"/>
          <w:szCs w:val="32"/>
        </w:rPr>
        <w:t>）：</w:t>
      </w:r>
      <w:r>
        <w:rPr>
          <w:rFonts w:hint="eastAsia" w:ascii="仿宋_GB2312" w:eastAsia="仿宋_GB2312"/>
          <w:color w:val="000000"/>
          <w:sz w:val="32"/>
          <w:szCs w:val="32"/>
          <w:lang w:eastAsia="zh-CN"/>
        </w:rPr>
        <w:t>反应政府提供一般公共服务的支出</w:t>
      </w:r>
      <w:r>
        <w:rPr>
          <w:rFonts w:hint="eastAsia" w:ascii="仿宋_GB2312" w:eastAsia="仿宋_GB2312"/>
          <w:color w:val="000000"/>
          <w:sz w:val="32"/>
          <w:szCs w:val="32"/>
        </w:rPr>
        <w:t>。</w:t>
      </w:r>
    </w:p>
    <w:p>
      <w:pPr>
        <w:ind w:firstLine="640" w:firstLineChars="200"/>
        <w:rPr>
          <w:rFonts w:hint="default" w:ascii="仿宋_GB2312" w:eastAsia="仿宋_GB2312"/>
          <w:sz w:val="32"/>
          <w:szCs w:val="32"/>
        </w:rPr>
      </w:pPr>
      <w:r>
        <w:rPr>
          <w:rFonts w:ascii="仿宋_GB2312" w:eastAsia="仿宋_GB2312"/>
          <w:color w:val="000000"/>
          <w:sz w:val="32"/>
          <w:szCs w:val="32"/>
        </w:rPr>
        <w:t>10.</w:t>
      </w:r>
      <w:r>
        <w:rPr>
          <w:rFonts w:hint="default" w:ascii="仿宋_GB2312" w:eastAsia="仿宋_GB2312"/>
          <w:sz w:val="32"/>
          <w:szCs w:val="32"/>
        </w:rPr>
        <w:t>文化体育与传媒（207）文化</w:t>
      </w:r>
      <w:r>
        <w:rPr>
          <w:rFonts w:hint="eastAsia" w:ascii="仿宋_GB2312" w:eastAsia="仿宋_GB2312"/>
          <w:sz w:val="32"/>
          <w:szCs w:val="32"/>
          <w:lang w:eastAsia="zh-CN"/>
        </w:rPr>
        <w:t>和旅游</w:t>
      </w:r>
      <w:r>
        <w:rPr>
          <w:rFonts w:hint="default" w:ascii="仿宋_GB2312" w:eastAsia="仿宋_GB2312"/>
          <w:sz w:val="32"/>
          <w:szCs w:val="32"/>
        </w:rPr>
        <w:t>（01）旅游行业业务管理（14）：指用于图书馆（站）文化免费开放方面的支出。 </w:t>
      </w:r>
      <w:r>
        <w:rPr>
          <w:rFonts w:hint="default" w:ascii="仿宋_GB2312" w:eastAsia="仿宋_GB2312"/>
          <w:sz w:val="32"/>
          <w:szCs w:val="32"/>
        </w:rPr>
        <w:br w:type="textWrapping"/>
      </w:r>
      <w:r>
        <w:rPr>
          <w:rFonts w:hint="eastAsia" w:ascii="仿宋_GB2312" w:eastAsia="仿宋_GB2312"/>
          <w:sz w:val="32"/>
          <w:szCs w:val="32"/>
          <w:lang w:val="en-US" w:eastAsia="zh-CN"/>
        </w:rPr>
        <w:t xml:space="preserve">    </w:t>
      </w:r>
      <w:r>
        <w:rPr>
          <w:rFonts w:ascii="仿宋_GB2312" w:eastAsia="仿宋_GB2312"/>
          <w:color w:val="000000"/>
          <w:sz w:val="32"/>
          <w:szCs w:val="32"/>
        </w:rPr>
        <w:t>11.</w:t>
      </w:r>
      <w:r>
        <w:rPr>
          <w:rFonts w:hint="default" w:ascii="仿宋_GB2312" w:eastAsia="仿宋_GB2312"/>
          <w:sz w:val="32"/>
          <w:szCs w:val="32"/>
        </w:rPr>
        <w:t>社会保障和就业（208）行政事业单位离退休（05）机关事业单位基本养老保险（05）机关事业单位职业年金（06）：指机关事业单位实施养老保险制度由单位缴纳的基本养老保险费支出和职业年金支出。 </w:t>
      </w:r>
    </w:p>
    <w:p>
      <w:pPr>
        <w:ind w:firstLine="640" w:firstLineChars="200"/>
        <w:rPr>
          <w:rFonts w:hint="eastAsia" w:ascii="仿宋_GB2312" w:eastAsia="仿宋_GB2312"/>
          <w:sz w:val="32"/>
          <w:szCs w:val="32"/>
          <w:lang w:eastAsia="zh-CN"/>
        </w:rPr>
      </w:pPr>
      <w:r>
        <w:rPr>
          <w:rFonts w:ascii="仿宋_GB2312" w:eastAsia="仿宋_GB2312"/>
          <w:color w:val="000000"/>
          <w:sz w:val="32"/>
          <w:szCs w:val="32"/>
        </w:rPr>
        <w:t>12.</w:t>
      </w:r>
      <w:r>
        <w:rPr>
          <w:rFonts w:hint="default" w:ascii="仿宋_GB2312" w:eastAsia="仿宋_GB2312"/>
          <w:sz w:val="32"/>
          <w:szCs w:val="32"/>
        </w:rPr>
        <w:t>农林水（213）扶贫（05）农村基础设施建设（04）：指用于农村贫困地区生产生活条件改善方面的支出；</w:t>
      </w:r>
      <w:r>
        <w:rPr>
          <w:rFonts w:hint="eastAsia" w:ascii="仿宋_GB2312" w:eastAsia="仿宋_GB2312"/>
          <w:sz w:val="32"/>
          <w:szCs w:val="32"/>
          <w:lang w:eastAsia="zh-CN"/>
        </w:rPr>
        <w:t>社会发展</w:t>
      </w:r>
      <w:r>
        <w:rPr>
          <w:rFonts w:hint="default" w:ascii="仿宋_GB2312" w:eastAsia="仿宋_GB2312"/>
          <w:sz w:val="32"/>
          <w:szCs w:val="32"/>
        </w:rPr>
        <w:t>（</w:t>
      </w:r>
      <w:r>
        <w:rPr>
          <w:rFonts w:hint="eastAsia" w:ascii="仿宋_GB2312" w:eastAsia="仿宋_GB2312"/>
          <w:sz w:val="32"/>
          <w:szCs w:val="32"/>
          <w:lang w:val="en-US" w:eastAsia="zh-CN"/>
        </w:rPr>
        <w:t>06</w:t>
      </w:r>
      <w:r>
        <w:rPr>
          <w:rFonts w:hint="default" w:ascii="仿宋_GB2312" w:eastAsia="仿宋_GB2312"/>
          <w:sz w:val="32"/>
          <w:szCs w:val="32"/>
        </w:rPr>
        <w:t>）</w:t>
      </w:r>
      <w:r>
        <w:rPr>
          <w:rFonts w:hint="eastAsia" w:ascii="仿宋_GB2312" w:eastAsia="仿宋_GB2312"/>
          <w:sz w:val="32"/>
          <w:szCs w:val="32"/>
          <w:lang w:eastAsia="zh-CN"/>
        </w:rPr>
        <w:t>。</w:t>
      </w:r>
    </w:p>
    <w:p>
      <w:pPr>
        <w:pStyle w:val="23"/>
        <w:numPr>
          <w:ilvl w:val="0"/>
          <w:numId w:val="0"/>
        </w:numPr>
        <w:spacing w:line="560" w:lineRule="exact"/>
        <w:ind w:firstLine="640" w:firstLineChars="200"/>
        <w:rPr>
          <w:rFonts w:ascii="仿宋" w:hAnsi="仿宋" w:eastAsia="仿宋"/>
          <w:b/>
          <w:color w:val="000000"/>
          <w:sz w:val="32"/>
          <w:szCs w:val="32"/>
        </w:rPr>
      </w:pPr>
      <w:r>
        <w:rPr>
          <w:rFonts w:ascii="仿宋_GB2312" w:eastAsia="仿宋_GB2312"/>
          <w:color w:val="000000"/>
          <w:sz w:val="32"/>
          <w:szCs w:val="32"/>
        </w:rPr>
        <w:t>13.</w:t>
      </w:r>
      <w:r>
        <w:rPr>
          <w:rFonts w:hint="default" w:ascii="仿宋_GB2312" w:eastAsia="仿宋_GB2312"/>
          <w:sz w:val="32"/>
          <w:szCs w:val="32"/>
        </w:rPr>
        <w:t>住房保障支出（221）住房改革支出（02）住房公积金（01）：指反映行政事业单位按人力资源和社会保障部、财政部规定的基本工资和津贴补贴以及规定比例为职工缴纳的住房公积金。 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eastAsia="zh-CN"/>
        </w:rPr>
        <w:t>壤塘县中壤塘文化旅游景区管理处</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_GB2312"/>
          <w:sz w:val="32"/>
          <w:szCs w:val="32"/>
          <w:lang w:eastAsia="zh-CN"/>
        </w:rPr>
        <w:t>壤塘县中壤塘文化旅游景区管理处</w:t>
      </w:r>
      <w:r>
        <w:rPr>
          <w:rFonts w:hint="default" w:ascii="仿宋" w:hAnsi="仿宋" w:eastAsia="仿宋" w:cs="仿宋_GB2312"/>
          <w:sz w:val="32"/>
          <w:szCs w:val="32"/>
        </w:rPr>
        <w:t>属一级预算单位，下设</w:t>
      </w:r>
      <w:r>
        <w:rPr>
          <w:rFonts w:ascii="仿宋" w:hAnsi="仿宋" w:eastAsia="仿宋" w:cs="仿宋_GB2312"/>
          <w:sz w:val="32"/>
          <w:szCs w:val="32"/>
        </w:rPr>
        <w:t>办公室</w:t>
      </w:r>
      <w:r>
        <w:rPr>
          <w:rFonts w:hint="eastAsia" w:ascii="仿宋" w:hAnsi="仿宋" w:eastAsia="仿宋" w:cs="仿宋_GB2312"/>
          <w:sz w:val="32"/>
          <w:szCs w:val="32"/>
          <w:lang w:eastAsia="zh-CN"/>
        </w:rPr>
        <w:t>、</w:t>
      </w:r>
      <w:r>
        <w:rPr>
          <w:rFonts w:ascii="仿宋" w:hAnsi="仿宋" w:eastAsia="仿宋" w:cs="仿宋_GB2312"/>
          <w:sz w:val="32"/>
          <w:szCs w:val="32"/>
        </w:rPr>
        <w:t>规划建设股</w:t>
      </w:r>
      <w:r>
        <w:rPr>
          <w:rFonts w:hint="eastAsia" w:ascii="仿宋" w:hAnsi="仿宋" w:eastAsia="仿宋" w:cs="仿宋_GB2312"/>
          <w:sz w:val="32"/>
          <w:szCs w:val="32"/>
          <w:lang w:eastAsia="zh-CN"/>
        </w:rPr>
        <w:t>、</w:t>
      </w:r>
      <w:r>
        <w:rPr>
          <w:rFonts w:ascii="仿宋" w:hAnsi="仿宋" w:eastAsia="仿宋" w:cs="仿宋_GB2312"/>
          <w:sz w:val="32"/>
          <w:szCs w:val="32"/>
        </w:rPr>
        <w:t>管理运营股</w:t>
      </w:r>
      <w:r>
        <w:rPr>
          <w:rFonts w:hint="eastAsia" w:ascii="仿宋" w:hAnsi="仿宋" w:eastAsia="仿宋" w:cs="仿宋_GB2312"/>
          <w:sz w:val="32"/>
          <w:szCs w:val="32"/>
          <w:lang w:eastAsia="zh-CN"/>
        </w:rPr>
        <w:t>、</w:t>
      </w:r>
      <w:r>
        <w:rPr>
          <w:rFonts w:ascii="仿宋" w:hAnsi="仿宋" w:eastAsia="仿宋" w:cs="仿宋_GB2312"/>
          <w:sz w:val="32"/>
          <w:szCs w:val="32"/>
        </w:rPr>
        <w:t>则曲河水利风景区管理股</w:t>
      </w:r>
      <w:r>
        <w:rPr>
          <w:rFonts w:hint="eastAsia" w:ascii="仿宋" w:hAnsi="仿宋" w:eastAsia="仿宋" w:cs="仿宋_GB2312"/>
          <w:sz w:val="32"/>
          <w:szCs w:val="32"/>
          <w:lang w:eastAsia="zh-CN"/>
        </w:rPr>
        <w:t>四个股室。</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)依照相关法律和行政法规,对区域内(上壤塘海子山、中壤塘三座寺庙及茸木达棒托寺石刻大藏经等)所辖景区资源实行统一管理、统一规划、统一开发和统一保护。</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)宣传贯彻国家风景名胜、民族宗教、文物、林业、国土、环境保护等有关法律、法规和方针政策。</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)依法保护景区资源和生态环境,维护景区的自然风貌和人文景观,有效开发和合理利用景区资源。</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)编制景区总体规划和详细规划并组织实施,按照总体规划对景区新建、扩建和改建项目进行审核,对建设活动进行监督、检查。</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)负责建设、维护、管理景区基础设施和公共设施,管</w:t>
      </w:r>
      <w:r>
        <w:rPr>
          <w:rFonts w:hint="eastAsia" w:ascii="仿宋" w:hAnsi="仿宋" w:eastAsia="仿宋" w:cs="仿宋"/>
          <w:kern w:val="0"/>
          <w:sz w:val="32"/>
          <w:szCs w:val="32"/>
        </w:rPr>
        <w:br w:type="textWrapping"/>
      </w:r>
      <w:r>
        <w:rPr>
          <w:rFonts w:hint="eastAsia" w:ascii="仿宋" w:hAnsi="仿宋" w:eastAsia="仿宋" w:cs="仿宋"/>
          <w:kern w:val="0"/>
          <w:sz w:val="32"/>
          <w:szCs w:val="32"/>
        </w:rPr>
        <w:t>理景区旅游经营活动,增强景区自我发展能力。</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)制定景区各项管理制度,负责景区的游人安全、环境</w:t>
      </w:r>
      <w:r>
        <w:rPr>
          <w:rFonts w:hint="eastAsia" w:ascii="仿宋" w:hAnsi="仿宋" w:eastAsia="仿宋" w:cs="仿宋"/>
          <w:kern w:val="0"/>
          <w:sz w:val="32"/>
          <w:szCs w:val="32"/>
        </w:rPr>
        <w:br w:type="textWrapping"/>
      </w:r>
      <w:r>
        <w:rPr>
          <w:rFonts w:hint="eastAsia" w:ascii="仿宋" w:hAnsi="仿宋" w:eastAsia="仿宋" w:cs="仿宋"/>
          <w:kern w:val="0"/>
          <w:sz w:val="32"/>
          <w:szCs w:val="32"/>
        </w:rPr>
        <w:t>卫生、社会治安、安全生产和护林防火等管理工作。</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)负责招商引资,统一对外宣传,扩大景区知名度。</w:t>
      </w:r>
    </w:p>
    <w:p>
      <w:pPr>
        <w:numPr>
          <w:ilvl w:val="0"/>
          <w:numId w:val="0"/>
        </w:num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)负责景区内经营性项目的审批和管理,根据景区规划和需要,对景区的村寨实施托管,统筹协调并处理辖区内村寨利益。</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)承办县委、县人民政府交办</w:t>
      </w:r>
      <w:r>
        <w:rPr>
          <w:rFonts w:hint="eastAsia" w:ascii="仿宋" w:hAnsi="仿宋" w:eastAsia="仿宋" w:cs="仿宋"/>
          <w:kern w:val="0"/>
          <w:sz w:val="32"/>
          <w:szCs w:val="32"/>
          <w:lang w:eastAsia="zh-CN"/>
        </w:rPr>
        <w:t>的其他</w:t>
      </w:r>
      <w:r>
        <w:rPr>
          <w:rFonts w:hint="eastAsia" w:ascii="仿宋" w:hAnsi="仿宋" w:eastAsia="仿宋" w:cs="仿宋"/>
          <w:kern w:val="0"/>
          <w:sz w:val="32"/>
          <w:szCs w:val="32"/>
        </w:rPr>
        <w:t>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hint="default" w:ascii="仿宋" w:hAnsi="仿宋" w:eastAsia="仿宋" w:cs="仿宋"/>
          <w:kern w:val="0"/>
          <w:sz w:val="32"/>
          <w:szCs w:val="32"/>
        </w:rPr>
      </w:pPr>
      <w:r>
        <w:rPr>
          <w:rFonts w:hint="eastAsia" w:ascii="仿宋" w:hAnsi="仿宋" w:eastAsia="仿宋" w:cs="仿宋"/>
          <w:kern w:val="0"/>
          <w:sz w:val="32"/>
          <w:szCs w:val="32"/>
          <w:lang w:eastAsia="zh-CN"/>
        </w:rPr>
        <w:t>壤塘县中壤塘文化旅游景区管理处</w:t>
      </w:r>
      <w:r>
        <w:rPr>
          <w:rFonts w:hint="eastAsia" w:ascii="仿宋" w:hAnsi="仿宋" w:eastAsia="仿宋" w:cs="仿宋"/>
          <w:kern w:val="0"/>
          <w:sz w:val="32"/>
          <w:szCs w:val="32"/>
        </w:rPr>
        <w:t>下属二级单位</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个，其中行政单位</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个，参照公务员法管理的事业单位</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个，其他事业单位</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个。201</w:t>
      </w:r>
      <w:r>
        <w:rPr>
          <w:rFonts w:hint="eastAsia" w:ascii="仿宋" w:hAnsi="仿宋" w:eastAsia="仿宋" w:cs="仿宋"/>
          <w:kern w:val="0"/>
          <w:sz w:val="32"/>
          <w:szCs w:val="32"/>
          <w:lang w:val="en-US" w:eastAsia="zh-CN"/>
        </w:rPr>
        <w:t>9</w:t>
      </w:r>
      <w:r>
        <w:rPr>
          <w:rFonts w:hint="default" w:ascii="仿宋" w:hAnsi="仿宋" w:eastAsia="仿宋" w:cs="仿宋"/>
          <w:kern w:val="0"/>
          <w:sz w:val="32"/>
          <w:szCs w:val="32"/>
        </w:rPr>
        <w:t>年编制总人数为</w:t>
      </w:r>
      <w:r>
        <w:rPr>
          <w:rFonts w:hint="eastAsia" w:ascii="仿宋" w:hAnsi="仿宋" w:eastAsia="仿宋" w:cs="仿宋"/>
          <w:kern w:val="0"/>
          <w:sz w:val="32"/>
          <w:szCs w:val="32"/>
          <w:lang w:val="en-US" w:eastAsia="zh-CN"/>
        </w:rPr>
        <w:t>13</w:t>
      </w:r>
      <w:r>
        <w:rPr>
          <w:rFonts w:hint="default" w:ascii="仿宋" w:hAnsi="仿宋" w:eastAsia="仿宋" w:cs="仿宋"/>
          <w:kern w:val="0"/>
          <w:sz w:val="32"/>
          <w:szCs w:val="32"/>
        </w:rPr>
        <w:t>人，</w:t>
      </w:r>
      <w:r>
        <w:rPr>
          <w:rFonts w:hint="eastAsia" w:ascii="仿宋" w:hAnsi="仿宋" w:eastAsia="仿宋" w:cs="仿宋"/>
          <w:kern w:val="0"/>
          <w:sz w:val="32"/>
          <w:szCs w:val="32"/>
          <w:lang w:eastAsia="zh-CN"/>
        </w:rPr>
        <w:t>其中在职</w:t>
      </w:r>
      <w:r>
        <w:rPr>
          <w:rFonts w:hint="default" w:ascii="仿宋" w:hAnsi="仿宋" w:eastAsia="仿宋" w:cs="仿宋"/>
          <w:kern w:val="0"/>
          <w:sz w:val="32"/>
          <w:szCs w:val="32"/>
        </w:rPr>
        <w:t>事业编制</w:t>
      </w:r>
      <w:r>
        <w:rPr>
          <w:rFonts w:hint="eastAsia" w:ascii="仿宋" w:hAnsi="仿宋" w:eastAsia="仿宋" w:cs="仿宋"/>
          <w:kern w:val="0"/>
          <w:sz w:val="32"/>
          <w:szCs w:val="32"/>
          <w:lang w:val="en-US" w:eastAsia="zh-CN"/>
        </w:rPr>
        <w:t>12</w:t>
      </w:r>
      <w:r>
        <w:rPr>
          <w:rFonts w:hint="default" w:ascii="仿宋" w:hAnsi="仿宋" w:eastAsia="仿宋" w:cs="仿宋"/>
          <w:kern w:val="0"/>
          <w:sz w:val="32"/>
          <w:szCs w:val="32"/>
        </w:rPr>
        <w:t>人</w:t>
      </w:r>
      <w:r>
        <w:rPr>
          <w:rFonts w:hint="eastAsia" w:ascii="仿宋" w:hAnsi="仿宋" w:eastAsia="仿宋" w:cs="仿宋"/>
          <w:kern w:val="0"/>
          <w:sz w:val="32"/>
          <w:szCs w:val="32"/>
          <w:lang w:eastAsia="zh-CN"/>
        </w:rPr>
        <w:t>，事业工勤</w:t>
      </w:r>
      <w:r>
        <w:rPr>
          <w:rFonts w:hint="eastAsia" w:ascii="仿宋" w:hAnsi="仿宋" w:eastAsia="仿宋" w:cs="仿宋"/>
          <w:kern w:val="0"/>
          <w:sz w:val="32"/>
          <w:szCs w:val="32"/>
          <w:lang w:val="en-US" w:eastAsia="zh-CN"/>
        </w:rPr>
        <w:t>1人</w:t>
      </w:r>
      <w:r>
        <w:rPr>
          <w:rFonts w:hint="default" w:ascii="仿宋" w:hAnsi="仿宋" w:eastAsia="仿宋" w:cs="仿宋"/>
          <w:kern w:val="0"/>
          <w:sz w:val="32"/>
          <w:szCs w:val="32"/>
        </w:rPr>
        <w:t>。年末实有公共预算拨款开支人数在职</w:t>
      </w:r>
      <w:r>
        <w:rPr>
          <w:rFonts w:hint="eastAsia" w:ascii="仿宋" w:hAnsi="仿宋" w:eastAsia="仿宋" w:cs="仿宋"/>
          <w:kern w:val="0"/>
          <w:sz w:val="32"/>
          <w:szCs w:val="32"/>
          <w:lang w:val="en-US" w:eastAsia="zh-CN"/>
        </w:rPr>
        <w:t>13</w:t>
      </w:r>
      <w:r>
        <w:rPr>
          <w:rFonts w:hint="default" w:ascii="仿宋" w:hAnsi="仿宋" w:eastAsia="仿宋" w:cs="仿宋"/>
          <w:kern w:val="0"/>
          <w:sz w:val="32"/>
          <w:szCs w:val="32"/>
        </w:rPr>
        <w:t>人，</w:t>
      </w:r>
      <w:r>
        <w:rPr>
          <w:rFonts w:hint="eastAsia" w:ascii="仿宋" w:hAnsi="仿宋" w:eastAsia="仿宋" w:cs="仿宋"/>
          <w:kern w:val="0"/>
          <w:sz w:val="32"/>
          <w:szCs w:val="32"/>
          <w:lang w:eastAsia="zh-CN"/>
        </w:rPr>
        <w:t>其中在职</w:t>
      </w:r>
      <w:r>
        <w:rPr>
          <w:rFonts w:hint="default" w:ascii="仿宋" w:hAnsi="仿宋" w:eastAsia="仿宋" w:cs="仿宋"/>
          <w:kern w:val="0"/>
          <w:sz w:val="32"/>
          <w:szCs w:val="32"/>
        </w:rPr>
        <w:t>事业编制</w:t>
      </w:r>
      <w:r>
        <w:rPr>
          <w:rFonts w:hint="eastAsia" w:ascii="仿宋" w:hAnsi="仿宋" w:eastAsia="仿宋" w:cs="仿宋"/>
          <w:kern w:val="0"/>
          <w:sz w:val="32"/>
          <w:szCs w:val="32"/>
          <w:lang w:val="en-US" w:eastAsia="zh-CN"/>
        </w:rPr>
        <w:t>13</w:t>
      </w:r>
      <w:r>
        <w:rPr>
          <w:rFonts w:hint="default" w:ascii="仿宋" w:hAnsi="仿宋" w:eastAsia="仿宋" w:cs="仿宋"/>
          <w:kern w:val="0"/>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default"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default" w:ascii="仿宋" w:hAnsi="仿宋" w:eastAsia="仿宋" w:cs="仿宋"/>
          <w:kern w:val="0"/>
          <w:sz w:val="32"/>
          <w:szCs w:val="32"/>
        </w:rPr>
        <w:t>年本单位财政拨款收入</w:t>
      </w:r>
      <w:r>
        <w:rPr>
          <w:rFonts w:hint="eastAsia" w:ascii="仿宋" w:hAnsi="仿宋" w:eastAsia="仿宋" w:cs="仿宋"/>
          <w:kern w:val="0"/>
          <w:sz w:val="32"/>
          <w:szCs w:val="32"/>
          <w:lang w:val="en-US" w:eastAsia="zh-CN"/>
        </w:rPr>
        <w:t>3729.33</w:t>
      </w:r>
      <w:r>
        <w:rPr>
          <w:rFonts w:hint="eastAsia" w:ascii="仿宋" w:hAnsi="仿宋" w:eastAsia="仿宋" w:cs="仿宋"/>
          <w:kern w:val="0"/>
          <w:sz w:val="32"/>
          <w:szCs w:val="32"/>
        </w:rPr>
        <w:t>万</w:t>
      </w:r>
      <w:r>
        <w:rPr>
          <w:rFonts w:hint="default" w:ascii="仿宋" w:hAnsi="仿宋" w:eastAsia="仿宋" w:cs="仿宋"/>
          <w:kern w:val="0"/>
          <w:sz w:val="32"/>
          <w:szCs w:val="32"/>
        </w:rPr>
        <w:t>元，年初结转资金</w:t>
      </w:r>
      <w:r>
        <w:rPr>
          <w:rFonts w:hint="eastAsia" w:ascii="仿宋" w:hAnsi="仿宋" w:eastAsia="仿宋" w:cs="仿宋"/>
          <w:kern w:val="0"/>
          <w:sz w:val="32"/>
          <w:szCs w:val="32"/>
          <w:lang w:val="en-US" w:eastAsia="zh-CN"/>
        </w:rPr>
        <w:t>3157.17</w:t>
      </w:r>
      <w:r>
        <w:rPr>
          <w:rFonts w:hint="eastAsia" w:ascii="仿宋" w:hAnsi="仿宋" w:eastAsia="仿宋" w:cs="仿宋"/>
          <w:kern w:val="0"/>
          <w:sz w:val="32"/>
          <w:szCs w:val="32"/>
        </w:rPr>
        <w:t>万</w:t>
      </w:r>
      <w:r>
        <w:rPr>
          <w:rFonts w:hint="default" w:ascii="仿宋" w:hAnsi="仿宋" w:eastAsia="仿宋" w:cs="仿宋"/>
          <w:kern w:val="0"/>
          <w:sz w:val="32"/>
          <w:szCs w:val="32"/>
        </w:rPr>
        <w:t>元。</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numPr>
          <w:ilvl w:val="0"/>
          <w:numId w:val="0"/>
        </w:numPr>
        <w:spacing w:line="580" w:lineRule="exact"/>
        <w:ind w:firstLine="640" w:firstLineChars="200"/>
        <w:rPr>
          <w:rFonts w:hint="eastAsia" w:ascii="仿宋" w:hAnsi="仿宋" w:eastAsia="仿宋" w:cs="仿宋"/>
          <w:kern w:val="0"/>
          <w:sz w:val="32"/>
          <w:szCs w:val="32"/>
          <w:lang w:val="en-US" w:eastAsia="zh-CN"/>
        </w:rPr>
      </w:pPr>
      <w:r>
        <w:rPr>
          <w:rFonts w:hint="default"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default" w:ascii="仿宋" w:hAnsi="仿宋" w:eastAsia="仿宋" w:cs="仿宋"/>
          <w:kern w:val="0"/>
          <w:sz w:val="32"/>
          <w:szCs w:val="32"/>
        </w:rPr>
        <w:t>年本单位本年实际支出</w:t>
      </w:r>
      <w:r>
        <w:rPr>
          <w:rFonts w:hint="eastAsia" w:ascii="仿宋" w:hAnsi="仿宋" w:eastAsia="仿宋" w:cs="仿宋"/>
          <w:kern w:val="0"/>
          <w:sz w:val="32"/>
          <w:szCs w:val="32"/>
          <w:lang w:val="en-US" w:eastAsia="zh-CN"/>
        </w:rPr>
        <w:t>3729.35</w:t>
      </w:r>
      <w:r>
        <w:rPr>
          <w:rFonts w:hint="eastAsia" w:ascii="仿宋" w:hAnsi="仿宋" w:eastAsia="仿宋" w:cs="仿宋"/>
          <w:kern w:val="0"/>
          <w:sz w:val="32"/>
          <w:szCs w:val="32"/>
        </w:rPr>
        <w:t>万</w:t>
      </w:r>
      <w:r>
        <w:rPr>
          <w:rFonts w:hint="default" w:ascii="仿宋" w:hAnsi="仿宋" w:eastAsia="仿宋" w:cs="仿宋"/>
          <w:kern w:val="0"/>
          <w:sz w:val="32"/>
          <w:szCs w:val="32"/>
        </w:rPr>
        <w:t>元；年末</w:t>
      </w:r>
      <w:r>
        <w:rPr>
          <w:rFonts w:hint="eastAsia" w:ascii="仿宋" w:hAnsi="仿宋" w:eastAsia="仿宋" w:cs="仿宋"/>
          <w:kern w:val="0"/>
          <w:sz w:val="32"/>
          <w:szCs w:val="32"/>
        </w:rPr>
        <w:t>结转结余</w:t>
      </w:r>
      <w:r>
        <w:rPr>
          <w:rFonts w:hint="eastAsia" w:ascii="仿宋" w:hAnsi="仿宋" w:eastAsia="仿宋" w:cs="仿宋"/>
          <w:kern w:val="0"/>
          <w:sz w:val="32"/>
          <w:szCs w:val="32"/>
          <w:lang w:val="en-US" w:eastAsia="zh-CN"/>
        </w:rPr>
        <w:t>483.06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480" w:lineRule="exact"/>
        <w:ind w:firstLine="720"/>
        <w:jc w:val="left"/>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lang w:val="zh-CN"/>
        </w:rPr>
        <w:t>年，我单位按照“扩面增量、整体推进，深化完善，构建体系”的总体目标，严格按照《预算法》、《阿坝州州级预算绩效目标管理办法》、《预算编制通知》等文件要求，完整编制部门整体绩效目标，合理量化项目绩效目标，按时完成基础库、项目库报送工作</w:t>
      </w:r>
      <w:bookmarkStart w:id="59" w:name="_Hlk20657734"/>
      <w:r>
        <w:rPr>
          <w:rFonts w:hint="eastAsia" w:ascii="仿宋_GB2312" w:eastAsia="仿宋_GB2312"/>
          <w:color w:val="000000"/>
          <w:kern w:val="0"/>
          <w:sz w:val="32"/>
          <w:szCs w:val="32"/>
          <w:lang w:val="zh-CN"/>
        </w:rPr>
        <w:t>。</w:t>
      </w:r>
    </w:p>
    <w:bookmarkEnd w:id="59"/>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zh-CN"/>
        </w:rPr>
        <w:t>通过对预算编制、预算执行、综合管理、整体效益等方面进行全面分析评价，201</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lang w:val="zh-CN"/>
        </w:rPr>
        <w:t>年部门</w:t>
      </w:r>
      <w:r>
        <w:rPr>
          <w:rFonts w:ascii="仿宋_GB2312" w:eastAsia="仿宋_GB2312"/>
          <w:color w:val="000000"/>
          <w:kern w:val="0"/>
          <w:sz w:val="32"/>
          <w:szCs w:val="32"/>
          <w:lang w:val="zh-CN"/>
        </w:rPr>
        <w:t>整体支出绩效</w:t>
      </w:r>
      <w:r>
        <w:rPr>
          <w:rFonts w:hint="eastAsia" w:ascii="仿宋_GB2312" w:eastAsia="仿宋_GB2312"/>
          <w:color w:val="000000"/>
          <w:kern w:val="0"/>
          <w:sz w:val="32"/>
          <w:szCs w:val="32"/>
          <w:lang w:val="zh-CN"/>
        </w:rPr>
        <w:t>自评得分为90分。将针对评价总结的问题进行整改。</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宋体" w:eastAsia="方正小标宋简体"/>
          <w:color w:val="000000"/>
          <w:kern w:val="0"/>
          <w:sz w:val="44"/>
          <w:szCs w:val="44"/>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壤塘县（浙川）文化扶贫产业园建设项目（二期）资金</w:t>
      </w:r>
      <w:r>
        <w:rPr>
          <w:rFonts w:hint="eastAsia" w:ascii="方正小标宋简体" w:hAnsi="宋体" w:eastAsia="方正小标宋简体"/>
          <w:color w:val="000000"/>
          <w:kern w:val="0"/>
          <w:sz w:val="44"/>
          <w:szCs w:val="44"/>
        </w:rPr>
        <w:t>项目2019年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1、项目名称：壤塘县（浙川）文化扶贫产业园建设项目（二期）资金项目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hint="eastAsia" w:ascii="仿宋_GB2312" w:hAnsi="仿宋_GB2312" w:eastAsia="仿宋_GB2312" w:cs="仿宋_GB2312"/>
          <w:sz w:val="32"/>
          <w:szCs w:val="32"/>
          <w:lang w:val="en-US" w:eastAsia="zh-CN"/>
        </w:rPr>
        <w:t>壤塘（浙川)文化扶贫产业园建设项目（壤巴拉非遗传习创业园园区基础设施建设)：</w:t>
      </w:r>
      <w:r>
        <w:rPr>
          <w:rFonts w:hint="eastAsia" w:ascii="仿宋_GB2312" w:hAnsi="宋体" w:eastAsia="仿宋_GB2312"/>
          <w:sz w:val="32"/>
          <w:szCs w:val="32"/>
          <w:lang w:val="en-US" w:eastAsia="zh-CN"/>
        </w:rPr>
        <w:t>壤发改行审﹝2019﹞90号、</w:t>
      </w:r>
      <w:r>
        <w:rPr>
          <w:rFonts w:hint="eastAsia" w:ascii="仿宋_GB2312" w:hAnsi="仿宋_GB2312" w:eastAsia="仿宋_GB2312" w:cs="仿宋_GB2312"/>
          <w:sz w:val="32"/>
          <w:szCs w:val="32"/>
          <w:lang w:val="en-US" w:eastAsia="zh-CN"/>
        </w:rPr>
        <w:t>壤塘（浙川)文化扶贫产业园建设项目（壤巴拉非遗传习创业园桥、栈道、观景台)：</w:t>
      </w:r>
      <w:r>
        <w:rPr>
          <w:rFonts w:hint="eastAsia" w:ascii="仿宋_GB2312" w:hAnsi="宋体" w:eastAsia="仿宋_GB2312"/>
          <w:sz w:val="32"/>
          <w:szCs w:val="32"/>
          <w:lang w:val="en-US" w:eastAsia="zh-CN"/>
        </w:rPr>
        <w:t>壤发改行审﹝2019﹞89号</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ind w:firstLine="630"/>
        <w:rPr>
          <w:rFonts w:hint="eastAsia" w:ascii="仿宋_GB2312" w:hAnsi="宋体" w:eastAsia="仿宋_GB2312" w:cs="仿宋_GB2312"/>
          <w:sz w:val="32"/>
          <w:szCs w:val="32"/>
          <w:lang w:eastAsia="zh-CN"/>
        </w:rPr>
      </w:pPr>
      <w:r>
        <w:rPr>
          <w:rFonts w:hint="eastAsia" w:ascii="仿宋_GB2312" w:hAnsi="仿宋_GB2312" w:eastAsia="仿宋_GB2312" w:cs="仿宋_GB2312"/>
          <w:sz w:val="32"/>
          <w:szCs w:val="32"/>
          <w:lang w:val="en-US" w:eastAsia="zh-CN"/>
        </w:rPr>
        <w:t>壤塘（浙川)文化扶贫产业园建设项目（壤巴拉非遗传习创业园园区基础设施建设)：</w:t>
      </w:r>
      <w:r>
        <w:rPr>
          <w:rFonts w:hint="eastAsia" w:ascii="仿宋" w:hAnsi="仿宋" w:eastAsia="仿宋" w:cs="仿宋"/>
          <w:sz w:val="32"/>
          <w:szCs w:val="32"/>
          <w:lang w:eastAsia="zh-CN"/>
        </w:rPr>
        <w:t>新建文化广场</w:t>
      </w:r>
      <w:r>
        <w:rPr>
          <w:rFonts w:hint="eastAsia" w:ascii="仿宋" w:hAnsi="仿宋" w:eastAsia="仿宋" w:cs="仿宋"/>
          <w:sz w:val="32"/>
          <w:szCs w:val="32"/>
          <w:lang w:val="en-US" w:eastAsia="zh-CN"/>
        </w:rPr>
        <w:t>3400平方米、微景观以及导视系统、智能化系统、亮化、标识牌、挡墙、护坡、给排水等附属设施建设</w:t>
      </w:r>
      <w:r>
        <w:rPr>
          <w:rFonts w:hint="eastAsia" w:ascii="仿宋" w:hAnsi="仿宋" w:eastAsia="仿宋" w:cs="仿宋"/>
          <w:sz w:val="32"/>
          <w:szCs w:val="32"/>
        </w:rPr>
        <w:t>。</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p>
    <w:p>
      <w:pPr>
        <w:adjustRightInd w:val="0"/>
        <w:snapToGrid w:val="0"/>
        <w:spacing w:line="600" w:lineRule="exact"/>
        <w:ind w:firstLine="7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壤塘（浙川)文化扶贫产业园建设项目（壤巴拉非遗传习创业园桥、栈道、观景台):桥329</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、栈道623.67</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、观景台3个551.59</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、栏杆等。</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2．项目绩效目标</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（1）社会效益。</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有利于保护非物质文化遗产、传承民族文化</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非物质文化遗产是珍贵的、具有重要价值的文化信息资源，也是历史的真实见证。随着全球化趋势的加强和现代化进程的加快，我国的文化生态发生了巨大变化，非物质文化遗产受到越来越大的冲击。</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唐卡是我国藏地独特的绘画艺术，在其上千年的传承历史中，发展成为极具雪域特色和审美价值的艺术形式，在世界绘画艺术殿堂中占有重要的地位。许多国际著名的艺术博物馆都收藏有唐卡的传世之作，唐卡本身也被联合国教科文组织认定为世界非物质文化遗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本项目的建设将为民族文化的传承提供物质及硬件设施的保障，有利于保护非物质文化遗产、传承民族文化。</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（2）经济效益。</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有利于带动当地居民增收实现脱贫致富</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民族文化的传承与展示将围绕旅产生经济、社会、生态效益于一体的现代朝阳效益。以“行、游、住、吃、购、娱”为主要内容的延伸对经济社会的加快发展有着巨大的带动和促进作用。据专家分析，同时，旅游业在第三产业中被认为的发展最迅速，效益最明显的行业。依托于旅游可以发展带动各种类型不同的制造业和服务性行业，发展旅游可谓“一业兴，百业旺”。</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建设可大大改善壤塘县的旅游环境，有利于做大壤塘县旅游市场；促进旅游资源优势转化为产业优势；促进旅游服务业发展，包括：食、住、行、游、娱、购六大要素；增加当地居民的就业机会，对提高当地居民收入具有明显作用。同时本项目的建设将带动一部分贫困居民通过学习，表演来增加个人收入。实现个人脱困。</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我单位对</w:t>
      </w:r>
      <w:r>
        <w:rPr>
          <w:rFonts w:hint="eastAsia" w:ascii="仿宋_GB2312" w:hAnsi="仿宋_GB2312" w:eastAsia="仿宋_GB2312" w:cs="仿宋_GB2312"/>
          <w:sz w:val="32"/>
          <w:szCs w:val="32"/>
          <w:lang w:eastAsia="zh-CN"/>
        </w:rPr>
        <w:t>浙江援建壤塘县（浙川）文化扶贫产业园建设项目（二期）资金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（该资金包含：壤塘（浙川)文化扶贫产业园建设项目（壤巴拉非遗传习创业园园区基础设施建设)、壤塘（浙川)文化扶贫产业园建设项目（壤巴拉非遗传习创业园桥、栈道、观景台)进行抽查</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我单位作为业主方将监理方与施工方召集到壤巴拉非遗创业园，并约请质监部门到现场，对</w:t>
      </w:r>
      <w:r>
        <w:rPr>
          <w:rFonts w:hint="eastAsia" w:ascii="仿宋_GB2312" w:hAnsi="仿宋_GB2312" w:eastAsia="仿宋_GB2312" w:cs="仿宋_GB2312"/>
          <w:sz w:val="32"/>
          <w:szCs w:val="32"/>
          <w:lang w:eastAsia="zh-CN"/>
        </w:rPr>
        <w:t>浙江援建壤塘县（浙川）文化扶贫产业园建设项目（二期）资金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（该资金包含：壤塘（浙川)文化扶贫产业园建设项目（壤巴·拉非遗传习创业园园区基础设施建设)、壤塘（浙川)文化扶贫产业园建设项目（壤巴拉非遗传习创业园桥、栈道、观景台)</w:t>
      </w:r>
      <w:r>
        <w:rPr>
          <w:rFonts w:hint="eastAsia" w:ascii="仿宋" w:hAnsi="仿宋" w:eastAsia="仿宋" w:cs="仿宋_GB2312"/>
          <w:sz w:val="32"/>
          <w:szCs w:val="32"/>
          <w:lang w:val="en-US" w:eastAsia="zh-CN"/>
        </w:rPr>
        <w:t>的混凝土强度，抹灰硬度，钢筋密度和大小进行了抽查，是否符合设计图纸的相关要求</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 w:eastAsia="仿宋_GB2312"/>
          <w:sz w:val="32"/>
          <w:szCs w:val="32"/>
          <w:lang w:val="zh-CN"/>
        </w:rPr>
        <w:t>项目资金的申报：由县级主管部门匹配项目资金（资金来源）。确定实施项目后，在对实施项目进行勘察，编制方案、概算资金，依法办理环境评审、用地预审、选址意见等相关前期手续，办理立项申请</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楷体_GB2312" w:hAnsi="宋体" w:eastAsia="楷体_GB2312"/>
          <w:sz w:val="32"/>
          <w:szCs w:val="32"/>
          <w:lang w:val="en-US" w:eastAsia="zh-CN"/>
        </w:rPr>
        <w:t>:1500万元，</w:t>
      </w:r>
      <w:r>
        <w:rPr>
          <w:rFonts w:hint="eastAsia" w:ascii="仿宋_GB2312" w:hAnsi="宋体" w:eastAsia="仿宋_GB2312"/>
          <w:sz w:val="32"/>
          <w:szCs w:val="32"/>
          <w:lang w:val="en-US" w:eastAsia="zh-CN"/>
        </w:rPr>
        <w:t>其中</w:t>
      </w:r>
      <w:r>
        <w:rPr>
          <w:rFonts w:hint="eastAsia" w:ascii="仿宋_GB2312" w:hAnsi="宋体" w:eastAsia="仿宋_GB2312"/>
          <w:sz w:val="32"/>
          <w:szCs w:val="32"/>
          <w:lang w:val="zh-CN"/>
        </w:rPr>
        <w:t>浙江援建资金</w:t>
      </w:r>
      <w:r>
        <w:rPr>
          <w:rFonts w:hint="eastAsia" w:ascii="仿宋_GB2312" w:hAnsi="宋体" w:eastAsia="仿宋_GB2312"/>
          <w:sz w:val="32"/>
          <w:szCs w:val="32"/>
          <w:lang w:val="en-US" w:eastAsia="zh-CN"/>
        </w:rPr>
        <w:t>1500万元</w:t>
      </w:r>
      <w:r>
        <w:rPr>
          <w:rFonts w:hint="eastAsia" w:ascii="仿宋_GB2312" w:hAnsi="宋体" w:eastAsia="仿宋_GB2312"/>
          <w:sz w:val="32"/>
          <w:szCs w:val="32"/>
          <w:lang w:val="zh-CN"/>
        </w:rPr>
        <w:t>、项目单位自筹</w:t>
      </w:r>
      <w:r>
        <w:rPr>
          <w:rFonts w:hint="eastAsia" w:ascii="仿宋_GB2312" w:hAnsi="宋体" w:eastAsia="仿宋_GB2312"/>
          <w:sz w:val="32"/>
          <w:szCs w:val="32"/>
          <w:lang w:val="en-US" w:eastAsia="zh-CN"/>
        </w:rPr>
        <w:t>0元</w:t>
      </w:r>
      <w:r>
        <w:rPr>
          <w:rFonts w:hint="eastAsia" w:ascii="仿宋_GB2312" w:hAnsi="宋体" w:eastAsia="仿宋_GB2312"/>
          <w:sz w:val="32"/>
          <w:szCs w:val="32"/>
          <w:lang w:val="zh-CN"/>
        </w:rPr>
        <w:t>、其他渠道资金</w:t>
      </w:r>
      <w:r>
        <w:rPr>
          <w:rFonts w:hint="eastAsia" w:ascii="仿宋_GB2312" w:hAnsi="宋体" w:eastAsia="仿宋_GB2312"/>
          <w:sz w:val="32"/>
          <w:szCs w:val="32"/>
          <w:lang w:val="en-US" w:eastAsia="zh-CN"/>
        </w:rPr>
        <w:t>0元</w:t>
      </w:r>
      <w:r>
        <w:rPr>
          <w:rFonts w:hint="eastAsia" w:ascii="楷体_GB2312" w:hAnsi="宋体" w:eastAsia="楷体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楷体_GB2312" w:hAnsi="宋体" w:eastAsia="楷体_GB2312"/>
          <w:sz w:val="32"/>
          <w:szCs w:val="32"/>
          <w:lang w:val="en-US" w:eastAsia="zh-CN"/>
        </w:rPr>
        <w:t>1500万元</w:t>
      </w:r>
      <w:r>
        <w:rPr>
          <w:rFonts w:hint="eastAsia" w:ascii="楷体_GB2312" w:hAnsi="宋体" w:eastAsia="楷体_GB2312"/>
          <w:sz w:val="32"/>
          <w:szCs w:val="32"/>
          <w:lang w:val="zh-CN"/>
        </w:rPr>
        <w:t>。</w:t>
      </w:r>
    </w:p>
    <w:p>
      <w:pPr>
        <w:spacing w:line="580" w:lineRule="exact"/>
        <w:ind w:firstLine="640" w:firstLineChars="200"/>
        <w:rPr>
          <w:rFonts w:hint="eastAsia" w:ascii="楷体_GB2312" w:hAnsi="宋体" w:eastAsia="楷体_GB2312"/>
          <w:sz w:val="32"/>
          <w:szCs w:val="32"/>
          <w:lang w:val="zh-CN"/>
        </w:rPr>
      </w:pPr>
      <w:r>
        <w:rPr>
          <w:rFonts w:hint="eastAsia" w:ascii="楷体_GB2312" w:hAnsi="宋体" w:eastAsia="楷体_GB2312"/>
          <w:sz w:val="32"/>
          <w:szCs w:val="32"/>
          <w:lang w:val="zh-CN"/>
        </w:rPr>
        <w:t>3．资金使用</w:t>
      </w:r>
      <w:r>
        <w:rPr>
          <w:rFonts w:hint="eastAsia" w:ascii="楷体_GB2312" w:hAnsi="宋体" w:eastAsia="楷体_GB2312" w:cs="Times New Roman"/>
          <w:sz w:val="32"/>
          <w:szCs w:val="32"/>
          <w:lang w:val="zh-CN"/>
        </w:rPr>
        <w:t>：</w:t>
      </w:r>
      <w:r>
        <w:rPr>
          <w:rFonts w:hint="eastAsia" w:ascii="仿宋_GB2312" w:hAnsi="仿宋_GB2312" w:eastAsia="仿宋_GB2312" w:cs="仿宋_GB2312"/>
          <w:sz w:val="32"/>
          <w:szCs w:val="32"/>
          <w:lang w:val="en-US" w:eastAsia="zh-CN"/>
        </w:rPr>
        <w:t>一是</w:t>
      </w:r>
      <w:r>
        <w:rPr>
          <w:rFonts w:hint="eastAsia" w:ascii="仿宋_GB2312" w:eastAsia="仿宋_GB2312"/>
          <w:sz w:val="32"/>
          <w:szCs w:val="32"/>
        </w:rPr>
        <w:t>施工期间降雨量较多，</w:t>
      </w:r>
      <w:r>
        <w:rPr>
          <w:rFonts w:hint="eastAsia" w:ascii="仿宋_GB2312" w:eastAsia="仿宋_GB2312"/>
          <w:sz w:val="32"/>
          <w:szCs w:val="32"/>
          <w:lang w:eastAsia="zh-CN"/>
        </w:rPr>
        <w:t>工程多为露天作业，桥、栈道、观景台项目，因河面涨水，多次冲毁桥桩及河道围堰。二是由于今年雨水较多，进壤路段交通主干道多处跨方，导致施工原材料无法按时进场。故造成施工进度滞后。所以实际支付额度</w:t>
      </w:r>
      <w:r>
        <w:rPr>
          <w:rFonts w:hint="eastAsia" w:ascii="楷体_GB2312" w:hAnsi="宋体" w:eastAsia="楷体_GB2312" w:cs="Times New Roman"/>
          <w:sz w:val="32"/>
          <w:szCs w:val="32"/>
          <w:lang w:val="en-US" w:eastAsia="zh-CN"/>
        </w:rPr>
        <w:t>1368.47</w:t>
      </w:r>
      <w:r>
        <w:rPr>
          <w:rFonts w:hint="eastAsia" w:ascii="楷体_GB2312" w:hAnsi="宋体" w:eastAsia="楷体_GB2312" w:cs="Times New Roman"/>
          <w:sz w:val="32"/>
          <w:szCs w:val="32"/>
          <w:lang w:val="zh-CN"/>
        </w:rPr>
        <w:t>万元，</w:t>
      </w:r>
      <w:r>
        <w:rPr>
          <w:rFonts w:hint="eastAsia" w:ascii="仿宋_GB2312" w:eastAsia="仿宋_GB2312"/>
          <w:color w:val="000000"/>
          <w:kern w:val="0"/>
          <w:sz w:val="32"/>
          <w:szCs w:val="32"/>
          <w:lang w:val="zh-CN"/>
        </w:rPr>
        <w:t>项目资金</w:t>
      </w:r>
      <w:r>
        <w:rPr>
          <w:rFonts w:hint="eastAsia" w:ascii="仿宋" w:hAnsi="仿宋" w:eastAsia="仿宋" w:cs="仿宋_GB2312"/>
          <w:sz w:val="32"/>
          <w:szCs w:val="32"/>
          <w:lang w:val="en-US" w:eastAsia="zh-CN"/>
        </w:rPr>
        <w:t>支付进度与施工进度相符，</w:t>
      </w:r>
      <w:r>
        <w:rPr>
          <w:rFonts w:hint="eastAsia" w:ascii="仿宋_GB2312" w:eastAsia="仿宋_GB2312"/>
          <w:color w:val="000000"/>
          <w:kern w:val="0"/>
          <w:sz w:val="32"/>
          <w:szCs w:val="32"/>
          <w:lang w:val="zh-CN"/>
        </w:rPr>
        <w:t>进度按照合同规定的进度拨付，支付合法合规。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20" w:lineRule="exact"/>
        <w:ind w:firstLine="720"/>
        <w:rPr>
          <w:rFonts w:ascii="仿宋_GB2312" w:hAnsi="宋体" w:eastAsia="仿宋_GB2312"/>
          <w:sz w:val="32"/>
          <w:szCs w:val="32"/>
          <w:lang w:val="zh-CN"/>
        </w:rPr>
      </w:pPr>
      <w:r>
        <w:rPr>
          <w:rFonts w:hint="eastAsia" w:ascii="仿宋_GB2312" w:hAnsi="仿宋" w:eastAsia="仿宋_GB2312"/>
          <w:sz w:val="32"/>
          <w:szCs w:val="32"/>
        </w:rPr>
        <w:t>财务管理制度健全。按照省、州、县要求和财政专项资金管理办法，严格遵循专款专用、独立核算的管理原则。专项项目的申报严格按照州、县财政资金管理的要求进行，专项资金财政拨款到位后及时进行了项目开展和资金投入。我单位目前对专项资金的管理按照项目支出涉及的经济科目规定，根据财务管理办法的相关制度执行，专项资金使用情况进行公开，有力保证了项目资金的实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line="58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_GB2312" w:eastAsia="仿宋_GB2312"/>
          <w:color w:val="000000"/>
          <w:kern w:val="0"/>
          <w:sz w:val="32"/>
          <w:szCs w:val="32"/>
          <w:lang w:val="zh-CN"/>
        </w:rPr>
        <w:t>成立了项目领导小组、配备了监理，单位安排有专人负责，定期会有质检部门对工程进行质量检测。</w:t>
      </w:r>
    </w:p>
    <w:p>
      <w:pPr>
        <w:spacing w:line="58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按照相关规定对本项目进行公开招投标，并招监理进行监管，</w:t>
      </w:r>
      <w:r>
        <w:rPr>
          <w:rFonts w:hint="eastAsia" w:ascii="仿宋" w:hAnsi="仿宋" w:eastAsia="仿宋" w:cs="仿宋_GB2312"/>
          <w:sz w:val="32"/>
          <w:szCs w:val="32"/>
          <w:lang w:val="en-US" w:eastAsia="zh-CN"/>
        </w:rPr>
        <w:t>在该项目已支出资金中支付范围仅包括前期费用（造价咨询服务费、施工图纸咨询费、可行性研究报告咨询费、前期工程费用）、工程进度款、监理费，支付范围合规合法，与预算相符。</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监管手段</w:t>
      </w:r>
      <w:r>
        <w:rPr>
          <w:rFonts w:hint="eastAsia" w:ascii="仿宋_GB2312" w:hAnsi="宋体" w:eastAsia="仿宋_GB2312"/>
          <w:sz w:val="32"/>
          <w:szCs w:val="32"/>
          <w:lang w:val="en-US" w:eastAsia="zh-CN"/>
        </w:rPr>
        <w:t>:实行监理进行现场监管，单位派专人在现场每日进行监管；</w:t>
      </w:r>
      <w:r>
        <w:rPr>
          <w:rFonts w:hint="eastAsia" w:ascii="仿宋_GB2312" w:hAnsi="宋体" w:eastAsia="仿宋_GB2312"/>
          <w:sz w:val="32"/>
          <w:szCs w:val="32"/>
          <w:lang w:val="zh-CN"/>
        </w:rPr>
        <w:t>监管程序：每日进行监管，并做好相关记录，对财政资金情况按照相关法律规定进行监管。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hint="eastAsia" w:ascii="楷体_GB2312" w:hAnsi="宋体" w:eastAsia="楷体_GB2312" w:cs="Times New Roman"/>
          <w:b/>
          <w:sz w:val="32"/>
          <w:szCs w:val="32"/>
          <w:lang w:val="zh-CN"/>
        </w:rPr>
      </w:pPr>
      <w:r>
        <w:rPr>
          <w:rFonts w:hint="eastAsia" w:ascii="楷体_GB2312" w:hAnsi="宋体" w:eastAsia="楷体_GB2312" w:cs="Times New Roman"/>
          <w:b/>
          <w:sz w:val="32"/>
          <w:szCs w:val="32"/>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壤塘（浙川)文化扶贫产业园建设项目（壤巴拉非遗传习创业园园区基础设施建设)项目现已完成散水、排水沟、挡土墙、组团路、停车场等工程正在实施场坪、入户路、中心广场回填等。已完工。壤塘（浙川)文化扶贫产业园建设项目（壤巴拉非遗传习创业园桥、栈道、观景台)，现已完工，正在组织验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（1）社会效益。</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有利于保护非物质文化遗产、传承民族文化</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非物质文化遗产是珍贵的、具有重要价值的文化信息资源，也是历史的真实见证。随着全球化趋势的加强和现代化进程的加快，我国的文化生态发生了巨大变化，非物质文化遗产受到越来越大的冲击。</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唐卡是我国藏地独特的绘画艺术，在其上千年的传承历史中，发展成为极具雪域特色和审美价值的艺术形式，在世界绘画艺术殿堂中占有重要的地位。许多国际著名的艺术博物馆都收藏有唐卡的传世之作，唐卡本身也被联合国教科文组织认定为世界非物质文化遗产。</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本项目的建设将为民族文化的传承提供物质及硬件设施的保障，有利于保护非物质文化遗产、传承民族文化。</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（2）经济效益。</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有利于带动当地居民增收实现脱贫致富</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民族文化的传承与展示将围绕旅产生经济、社会、生态效益于一体的现代朝阳效益。以“行、游、住、吃、购、娱”为主要内容的延伸对经济社会的加快发展有着巨大的带动和促进作用。据专家分析，同时，旅游业在第三产业中被认为的发展最迅速，效益最明显的行业。依托于旅游可以发展带动各种类型不同的制造业和服务性行业，发展旅游可谓“一业兴，百业旺”。</w:t>
      </w:r>
    </w:p>
    <w:p>
      <w:pPr>
        <w:spacing w:line="58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建设可大大改善壤塘县的旅游环境，有利于做大壤塘县旅游市场；促进旅游资源优势转化为产业优势；促进旅游服务业发展，包括：食、住、行、游、娱、购六大要素；增加当地居民的就业机会，对提高当地居民收入具有明显作用。同时本项目的建设将带动一部分贫困居民通过学习，表演来增加个人收入。实现个人脱困。</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 w:eastAsia="仿宋_GB2312"/>
          <w:sz w:val="32"/>
          <w:szCs w:val="32"/>
          <w:lang w:eastAsia="zh-CN"/>
        </w:rPr>
        <w:t>由于</w:t>
      </w:r>
      <w:r>
        <w:rPr>
          <w:rFonts w:hint="eastAsia" w:ascii="仿宋_GB2312" w:hAnsi="仿宋" w:eastAsia="仿宋_GB2312"/>
          <w:sz w:val="32"/>
          <w:szCs w:val="32"/>
        </w:rPr>
        <w:t>规模不一，单一的绩效评价指标体系会影响对项目评价的全面性和重点性。</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 w:eastAsia="仿宋_GB2312"/>
          <w:sz w:val="32"/>
          <w:szCs w:val="32"/>
        </w:rPr>
        <w:t>建全项目管理制度，制定项目用款计划、预期绩效目标，并对项目绩效实施实时监控，有效防止专项资金挤占、挪用现象发生，加大财政集中扶持力度，充分发挥资金使用效益</w:t>
      </w:r>
      <w:r>
        <w:rPr>
          <w:rFonts w:hint="eastAsia" w:ascii="仿宋_GB2312" w:hAnsi="宋体" w:eastAsia="仿宋_GB2312"/>
          <w:sz w:val="32"/>
          <w:szCs w:val="32"/>
          <w:lang w:val="zh-CN"/>
        </w:rPr>
        <w:t>。</w:t>
      </w:r>
    </w:p>
    <w:p>
      <w:pPr>
        <w:spacing w:line="580" w:lineRule="exact"/>
        <w:ind w:firstLine="640"/>
        <w:rPr>
          <w:rFonts w:ascii="仿宋_GB2312" w:hAnsi="仿宋_GB2312" w:eastAsia="仿宋_GB2312" w:cs="仿宋_GB2312"/>
          <w:sz w:val="32"/>
          <w:szCs w:val="32"/>
        </w:rPr>
      </w:pPr>
    </w:p>
    <w:p>
      <w:pPr>
        <w:spacing w:line="600" w:lineRule="exact"/>
        <w:jc w:val="both"/>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60"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0"/>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2"/>
    </w:p>
    <w:p>
      <w:pPr>
        <w:pStyle w:val="3"/>
        <w:rPr>
          <w:rFonts w:ascii="仿宋" w:hAnsi="仿宋" w:eastAsia="仿宋"/>
          <w:color w:val="000000"/>
        </w:rPr>
      </w:pPr>
      <w:bookmarkStart w:id="63"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3"/>
    </w:p>
    <w:p>
      <w:pPr>
        <w:pStyle w:val="3"/>
        <w:rPr>
          <w:rFonts w:ascii="仿宋" w:hAnsi="仿宋" w:eastAsia="仿宋"/>
          <w:b w:val="0"/>
          <w:color w:val="000000"/>
        </w:rPr>
      </w:pPr>
      <w:bookmarkStart w:id="64"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4"/>
    </w:p>
    <w:p>
      <w:pPr>
        <w:pStyle w:val="3"/>
        <w:rPr>
          <w:rStyle w:val="26"/>
          <w:rFonts w:ascii="仿宋" w:hAnsi="仿宋" w:eastAsia="仿宋"/>
          <w:b w:val="0"/>
          <w:bCs w:val="0"/>
        </w:rPr>
      </w:pPr>
      <w:bookmarkStart w:id="65"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5"/>
      <w:bookmarkStart w:id="66"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14:textFill>
            <w14:solidFill>
              <w14:schemeClr w14:val="tx1"/>
            </w14:solidFill>
          </w14:textFill>
        </w:rPr>
      </w:pPr>
      <w:bookmarkStart w:id="73"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3"/>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D54BD"/>
    <w:multiLevelType w:val="singleLevel"/>
    <w:tmpl w:val="CBDD54BD"/>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876A9C3"/>
    <w:multiLevelType w:val="singleLevel"/>
    <w:tmpl w:val="F876A9C3"/>
    <w:lvl w:ilvl="0" w:tentative="0">
      <w:start w:val="2"/>
      <w:numFmt w:val="chineseCounting"/>
      <w:suff w:val="nothing"/>
      <w:lvlText w:val="（%1）"/>
      <w:lvlJc w:val="left"/>
      <w:rPr>
        <w:rFonts w:hint="eastAsia"/>
      </w:rPr>
    </w:lvl>
  </w:abstractNum>
  <w:abstractNum w:abstractNumId="4">
    <w:nsid w:val="FA7C35C9"/>
    <w:multiLevelType w:val="singleLevel"/>
    <w:tmpl w:val="FA7C35C9"/>
    <w:lvl w:ilvl="0" w:tentative="0">
      <w:start w:val="1"/>
      <w:numFmt w:val="decimal"/>
      <w:lvlText w:val="%1."/>
      <w:lvlJc w:val="left"/>
      <w:pPr>
        <w:tabs>
          <w:tab w:val="left" w:pos="312"/>
        </w:tabs>
      </w:pPr>
    </w:lvl>
  </w:abstractNum>
  <w:abstractNum w:abstractNumId="5">
    <w:nsid w:val="0B5D4B8B"/>
    <w:multiLevelType w:val="singleLevel"/>
    <w:tmpl w:val="0B5D4B8B"/>
    <w:lvl w:ilvl="0" w:tentative="0">
      <w:start w:val="1"/>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03B3"/>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63F0E"/>
    <w:rsid w:val="038B3DEF"/>
    <w:rsid w:val="07005C5A"/>
    <w:rsid w:val="09783895"/>
    <w:rsid w:val="0E396E51"/>
    <w:rsid w:val="10C055FF"/>
    <w:rsid w:val="11552894"/>
    <w:rsid w:val="152A0B7B"/>
    <w:rsid w:val="16BB723D"/>
    <w:rsid w:val="19283D8A"/>
    <w:rsid w:val="1B3B0D5F"/>
    <w:rsid w:val="20B735FA"/>
    <w:rsid w:val="216876E5"/>
    <w:rsid w:val="21FE42AA"/>
    <w:rsid w:val="240371BF"/>
    <w:rsid w:val="251051AB"/>
    <w:rsid w:val="2510580D"/>
    <w:rsid w:val="292955A4"/>
    <w:rsid w:val="29FD04D3"/>
    <w:rsid w:val="2E3920F2"/>
    <w:rsid w:val="31817313"/>
    <w:rsid w:val="319F7F4E"/>
    <w:rsid w:val="32E66379"/>
    <w:rsid w:val="32ED215E"/>
    <w:rsid w:val="346801A6"/>
    <w:rsid w:val="44BF3749"/>
    <w:rsid w:val="499534C0"/>
    <w:rsid w:val="4ECE2238"/>
    <w:rsid w:val="4F7A0F78"/>
    <w:rsid w:val="532D3DD9"/>
    <w:rsid w:val="54EA196E"/>
    <w:rsid w:val="5800380A"/>
    <w:rsid w:val="587633A2"/>
    <w:rsid w:val="58C87628"/>
    <w:rsid w:val="5A20559D"/>
    <w:rsid w:val="5B300F10"/>
    <w:rsid w:val="5C8728D2"/>
    <w:rsid w:val="5F112DD2"/>
    <w:rsid w:val="5F294D42"/>
    <w:rsid w:val="5F663956"/>
    <w:rsid w:val="60AB5F0E"/>
    <w:rsid w:val="634C59C9"/>
    <w:rsid w:val="63A73F5B"/>
    <w:rsid w:val="6B9B062B"/>
    <w:rsid w:val="6D941B1B"/>
    <w:rsid w:val="6DB4162B"/>
    <w:rsid w:val="72734D90"/>
    <w:rsid w:val="767B387A"/>
    <w:rsid w:val="76B52366"/>
    <w:rsid w:val="79075180"/>
    <w:rsid w:val="7AE61C30"/>
    <w:rsid w:val="7C434A70"/>
    <w:rsid w:val="7EBD5679"/>
    <w:rsid w:val="7FC03E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18&#20915;&#31639;&#20844;&#2432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qd1596\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1\AppData\Local\Temp\wps.qd1596\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8&#20915;&#31639;&#20844;&#24320;&#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qd1596\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qd1596\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1\AppData\Local\Temp\wps.qd1596\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收入、支出总计</a:t>
            </a:r>
            <a:endParaRPr altLang="zh-CN"/>
          </a:p>
        </c:rich>
      </c:tx>
      <c:layout/>
      <c:overlay val="0"/>
      <c:spPr>
        <a:noFill/>
        <a:ln>
          <a:noFill/>
        </a:ln>
        <a:effectLst/>
      </c:spPr>
    </c:title>
    <c:autoTitleDeleted val="0"/>
    <c:plotArea>
      <c:layout/>
      <c:barChart>
        <c:barDir val="col"/>
        <c:grouping val="clustered"/>
        <c:varyColors val="0"/>
        <c:ser>
          <c:idx val="0"/>
          <c:order val="0"/>
          <c:tx>
            <c:strRef>
              <c:f>'[2018决算公开表.xls]Z01 收入支出决算总表(财决公开1表)'!$J$10</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'[2018决算公开表.xls]Z01 收入支出决算总表(财决公开1表)'!$K$9:$L$9</c:f>
              <c:strCache>
                <c:ptCount val="2"/>
                <c:pt idx="0">
                  <c:v>收入</c:v>
                </c:pt>
                <c:pt idx="1">
                  <c:v>支出</c:v>
                </c:pt>
              </c:strCache>
            </c:strRef>
          </c:cat>
          <c:val>
            <c:numRef>
              <c:f>'[2018决算公开表.xls]Z01 收入支出决算总表(财决公开1表)'!$K$10:$L$10</c:f>
              <c:numCache>
                <c:formatCode>General</c:formatCode>
                <c:ptCount val="2"/>
                <c:pt idx="0">
                  <c:v>4740.06</c:v>
                </c:pt>
                <c:pt idx="1">
                  <c:v>4740.05</c:v>
                </c:pt>
              </c:numCache>
            </c:numRef>
          </c:val>
        </c:ser>
        <c:ser>
          <c:idx val="1"/>
          <c:order val="1"/>
          <c:tx>
            <c:strRef>
              <c:f>'[2018决算公开表.xls]Z01 收入支出决算总表(财决公开1表)'!$J$11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'[2018决算公开表.xls]Z01 收入支出决算总表(财决公开1表)'!$K$9:$L$9</c:f>
              <c:strCache>
                <c:ptCount val="2"/>
                <c:pt idx="0">
                  <c:v>收入</c:v>
                </c:pt>
                <c:pt idx="1">
                  <c:v>支出</c:v>
                </c:pt>
              </c:strCache>
            </c:strRef>
          </c:cat>
          <c:val>
            <c:numRef>
              <c:f>'[2018决算公开表.xls]Z01 收入支出决算总表(财决公开1表)'!$K$11:$L$11</c:f>
              <c:numCache>
                <c:formatCode>General</c:formatCode>
                <c:ptCount val="2"/>
                <c:pt idx="0">
                  <c:v>3729.33</c:v>
                </c:pt>
                <c:pt idx="1">
                  <c:v>3729.35</c:v>
                </c:pt>
              </c:numCache>
            </c:numRef>
          </c:val>
        </c:ser>
        <c:dLbls>
          <c:showLegendKey val="0"/>
          <c:showVal val="1"/>
          <c:showCatName val="0"/>
          <c:showSerName val="0"/>
          <c:showPercent val="0"/>
          <c:showBubbleSize val="0"/>
        </c:dLbls>
        <c:gapWidth val="219"/>
        <c:overlap val="-27"/>
        <c:axId val="709229411"/>
        <c:axId val="636392776"/>
      </c:barChart>
      <c:catAx>
        <c:axId val="709229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92776"/>
        <c:crosses val="autoZero"/>
        <c:auto val="1"/>
        <c:lblAlgn val="ctr"/>
        <c:lblOffset val="100"/>
        <c:noMultiLvlLbl val="0"/>
      </c:catAx>
      <c:valAx>
        <c:axId val="63639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2294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年总收入</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[Workbook1.xlsx]Sheet1!$A$1:$A$2</c:f>
              <c:strCache>
                <c:ptCount val="2"/>
                <c:pt idx="0">
                  <c:v>2019年本年合计</c:v>
                </c:pt>
                <c:pt idx="1">
                  <c:v>一般公共预算财政拨款收入</c:v>
                </c:pt>
              </c:strCache>
            </c:strRef>
          </c:cat>
          <c:val>
            <c:numRef>
              <c:f>[Workbook1.xlsx]Sheet1!$B$1:$B$2</c:f>
              <c:numCache>
                <c:formatCode>General</c:formatCode>
                <c:ptCount val="2"/>
                <c:pt idx="0">
                  <c:v>572.16</c:v>
                </c:pt>
                <c:pt idx="1">
                  <c:v>573.16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21319444444444"/>
          <c:y val="0.91550925925925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年支出</a:t>
            </a:r>
            <a:endParaRPr altLang="en-US"/>
          </a:p>
        </c:rich>
      </c:tx>
      <c:layout>
        <c:manualLayout>
          <c:xMode val="edge"/>
          <c:yMode val="edge"/>
          <c:x val="0.402777777777778"/>
          <c:y val="0.0085470085470085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[Workbook1.xlsx]Sheet1!$A$1:$A$2</c:f>
              <c:strCache>
                <c:ptCount val="2"/>
                <c:pt idx="0">
                  <c:v>基本支出6.25％</c:v>
                </c:pt>
                <c:pt idx="1">
                  <c:v>项目支出93.48％</c:v>
                </c:pt>
              </c:strCache>
            </c:strRef>
          </c:cat>
          <c:val>
            <c:numRef>
              <c:f>[Workbook1.xlsx]Sheet1!$B$1:$B$2</c:f>
              <c:numCache>
                <c:formatCode>General</c:formatCode>
                <c:ptCount val="2"/>
                <c:pt idx="0">
                  <c:v>211.69</c:v>
                </c:pt>
                <c:pt idx="1">
                  <c:v>3034.59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a:t>
            </a:r>
          </a:p>
        </c:rich>
      </c:tx>
      <c:layout/>
      <c:overlay val="0"/>
      <c:spPr>
        <a:noFill/>
        <a:ln>
          <a:noFill/>
        </a:ln>
        <a:effectLst/>
      </c:spPr>
    </c:title>
    <c:autoTitleDeleted val="0"/>
    <c:plotArea>
      <c:layout/>
      <c:barChart>
        <c:barDir val="col"/>
        <c:grouping val="clustered"/>
        <c:varyColors val="0"/>
        <c:ser>
          <c:idx val="0"/>
          <c:order val="0"/>
          <c:tx>
            <c:strRef>
              <c:f>'[2018决算公开表.xls]Z04 财政拨款收入支出决算总表(财决公开04表)'!$L$12</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'[2018决算公开表.xls]Z04 财政拨款收入支出决算总表(财决公开04表)'!$M$11:$N$11</c:f>
              <c:strCache>
                <c:ptCount val="2"/>
                <c:pt idx="0">
                  <c:v>收入</c:v>
                </c:pt>
                <c:pt idx="1">
                  <c:v>支出</c:v>
                </c:pt>
              </c:strCache>
            </c:strRef>
          </c:cat>
          <c:val>
            <c:numRef>
              <c:f>'[2018决算公开表.xls]Z04 财政拨款收入支出决算总表(财决公开04表)'!$M$12:$N$12</c:f>
              <c:numCache>
                <c:formatCode>#,##0.00</c:formatCode>
                <c:ptCount val="2"/>
                <c:pt idx="0">
                  <c:v>4740</c:v>
                </c:pt>
                <c:pt idx="1">
                  <c:v>4739.99</c:v>
                </c:pt>
              </c:numCache>
            </c:numRef>
          </c:val>
        </c:ser>
        <c:ser>
          <c:idx val="1"/>
          <c:order val="1"/>
          <c:tx>
            <c:strRef>
              <c:f>'[2018决算公开表.xls]Z04 财政拨款收入支出决算总表(财决公开04表)'!$L$13</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'[2018决算公开表.xls]Z04 财政拨款收入支出决算总表(财决公开04表)'!$M$11:$N$11</c:f>
              <c:strCache>
                <c:ptCount val="2"/>
                <c:pt idx="0">
                  <c:v>收入</c:v>
                </c:pt>
                <c:pt idx="1">
                  <c:v>支出</c:v>
                </c:pt>
              </c:strCache>
            </c:strRef>
          </c:cat>
          <c:val>
            <c:numRef>
              <c:f>'[2018决算公开表.xls]Z04 财政拨款收入支出决算总表(财决公开04表)'!$M$13:$N$13</c:f>
              <c:numCache>
                <c:formatCode>#,##0.00</c:formatCode>
                <c:ptCount val="2"/>
                <c:pt idx="0">
                  <c:v>3729.28</c:v>
                </c:pt>
                <c:pt idx="1">
                  <c:v>3729.29</c:v>
                </c:pt>
              </c:numCache>
            </c:numRef>
          </c:val>
        </c:ser>
        <c:dLbls>
          <c:showLegendKey val="0"/>
          <c:showVal val="1"/>
          <c:showCatName val="0"/>
          <c:showSerName val="0"/>
          <c:showPercent val="0"/>
          <c:showBubbleSize val="0"/>
        </c:dLbls>
        <c:gapWidth val="219"/>
        <c:overlap val="-27"/>
        <c:axId val="538795761"/>
        <c:axId val="457277224"/>
      </c:barChart>
      <c:catAx>
        <c:axId val="5387957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7277224"/>
        <c:crosses val="autoZero"/>
        <c:auto val="1"/>
        <c:lblAlgn val="ctr"/>
        <c:lblOffset val="100"/>
        <c:noMultiLvlLbl val="0"/>
      </c:catAx>
      <c:valAx>
        <c:axId val="457277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87957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[Workbook1.xlsx]Sheet1!$A$1:$A$2</c:f>
              <c:strCache>
                <c:ptCount val="2"/>
                <c:pt idx="0">
                  <c:v>2018年</c:v>
                </c:pt>
                <c:pt idx="1">
                  <c:v>2019年</c:v>
                </c:pt>
              </c:strCache>
            </c:strRef>
          </c:cat>
          <c:val>
            <c:numRef>
              <c:f>[Workbook1.xlsx]Sheet1!$B$1:$B$2</c:f>
              <c:numCache>
                <c:formatCode>General</c:formatCode>
                <c:ptCount val="2"/>
                <c:pt idx="0">
                  <c:v>2321.79</c:v>
                </c:pt>
                <c:pt idx="1">
                  <c:v>3246.28</c:v>
                </c:pt>
              </c:numCache>
            </c:numRef>
          </c:val>
        </c:ser>
        <c:dLbls>
          <c:showLegendKey val="0"/>
          <c:showVal val="1"/>
          <c:showCatName val="0"/>
          <c:showSerName val="0"/>
          <c:showPercent val="0"/>
          <c:showBubbleSize val="0"/>
        </c:dLbls>
        <c:gapWidth val="219"/>
        <c:overlap val="-27"/>
        <c:axId val="733665638"/>
        <c:axId val="649089062"/>
      </c:barChart>
      <c:catAx>
        <c:axId val="73366563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089062"/>
        <c:crosses val="autoZero"/>
        <c:auto val="1"/>
        <c:lblAlgn val="ctr"/>
        <c:lblOffset val="100"/>
        <c:noMultiLvlLbl val="0"/>
      </c:catAx>
      <c:valAx>
        <c:axId val="6490890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6656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[Workbook1.xlsx]Sheet1!$A$1:$A$5</c:f>
              <c:strCache>
                <c:ptCount val="5"/>
                <c:pt idx="0">
                  <c:v>文化旅游体育与传媒（类）54.21％</c:v>
                </c:pt>
                <c:pt idx="1">
                  <c:v>社会保障和就业（类）0.70％</c:v>
                </c:pt>
                <c:pt idx="2">
                  <c:v>卫生健康支出0.24％</c:v>
                </c:pt>
                <c:pt idx="3">
                  <c:v>农林水支出(类)44.34％</c:v>
                </c:pt>
                <c:pt idx="4">
                  <c:v>住房保障支出0.5％</c:v>
                </c:pt>
              </c:strCache>
            </c:strRef>
          </c:cat>
          <c:val>
            <c:numRef>
              <c:f>[Workbook1.xlsx]Sheet1!$B$1:$B$5</c:f>
              <c:numCache>
                <c:formatCode>General</c:formatCode>
                <c:ptCount val="5"/>
                <c:pt idx="0">
                  <c:v>1759.92</c:v>
                </c:pt>
                <c:pt idx="1">
                  <c:v>22.63</c:v>
                </c:pt>
                <c:pt idx="2">
                  <c:v>7.95</c:v>
                </c:pt>
                <c:pt idx="3">
                  <c:v>1439.52</c:v>
                </c:pt>
                <c:pt idx="4">
                  <c:v>16.26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endParaRPr altLang="en-US"/>
          </a:p>
        </c:rich>
      </c:tx>
      <c:layout/>
      <c:overlay val="0"/>
      <c:spPr>
        <a:noFill/>
        <a:ln>
          <a:noFill/>
        </a:ln>
        <a:effectLst/>
      </c:spPr>
    </c:title>
    <c:autoTitleDeleted val="0"/>
    <c:plotArea>
      <c:layout>
        <c:manualLayout>
          <c:layoutTarget val="inner"/>
          <c:xMode val="edge"/>
          <c:yMode val="edge"/>
          <c:x val="0.342430555555556"/>
          <c:y val="0.176388888888889"/>
          <c:w val="0.323472222222222"/>
          <c:h val="0.5391203703703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[Workbook1.xlsx]Sheet1!$A$1:$A$3</c:f>
              <c:strCache>
                <c:ptCount val="3"/>
                <c:pt idx="0">
                  <c:v>因公出国（境）0％</c:v>
                </c:pt>
                <c:pt idx="1">
                  <c:v>公务用车购置及运行维护费支出决算0％</c:v>
                </c:pt>
                <c:pt idx="2">
                  <c:v>公务接待费支出决算0％</c:v>
                </c:pt>
              </c:strCache>
            </c:strRef>
          </c:cat>
          <c:val>
            <c:numRef>
              <c:f>[Workbook1.xlsx]Sheet1!$B$1:$B$3</c:f>
              <c:numCache>
                <c:formatCode>General</c:formatCode>
                <c:ptCount val="3"/>
                <c:pt idx="0">
                  <c:v>100</c:v>
                </c:pt>
                <c:pt idx="1">
                  <c:v>100</c:v>
                </c:pt>
                <c:pt idx="2">
                  <c:v>100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10</TotalTime>
  <ScaleCrop>false</ScaleCrop>
  <LinksUpToDate>false</LinksUpToDate>
  <CharactersWithSpaces>8587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2020-10-22T02:54:00Z</cp:lastPrinted>
  <dcterms:modified xsi:type="dcterms:W3CDTF">2021-02-27T03:03:06Z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