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E08B93">
      <w:pPr>
        <w:rPr>
          <w:rFonts w:ascii="Times New Roman" w:hAnsi="Times New Roman"/>
        </w:rPr>
      </w:pPr>
      <w:bookmarkStart w:id="62" w:name="_GoBack"/>
      <w:bookmarkEnd w:id="62"/>
      <w:bookmarkStart w:id="0" w:name="_Toc15377425"/>
      <w:bookmarkStart w:id="1" w:name="_Toc15306267"/>
      <w:bookmarkStart w:id="2" w:name="_Toc15378441"/>
      <w:bookmarkStart w:id="3" w:name="_Toc15396475"/>
      <w:bookmarkStart w:id="4" w:name="_Toc15396597"/>
      <w:bookmarkStart w:id="5" w:name="_Toc15377193"/>
    </w:p>
    <w:bookmarkEnd w:id="0"/>
    <w:bookmarkEnd w:id="1"/>
    <w:bookmarkEnd w:id="2"/>
    <w:bookmarkEnd w:id="3"/>
    <w:bookmarkEnd w:id="4"/>
    <w:bookmarkEnd w:id="5"/>
    <w:p w14:paraId="117C6828">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4B4ABA87">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61118F82">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w:t>
      </w:r>
    </w:p>
    <w:p w14:paraId="70F66F28">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w:t>
      </w:r>
      <w:r>
        <w:rPr>
          <w:rFonts w:hint="eastAsia" w:ascii="Times New Roman" w:eastAsia="方正小标宋简体" w:cs="Times New Roman"/>
          <w:color w:val="auto"/>
          <w:kern w:val="2"/>
          <w:sz w:val="44"/>
          <w:szCs w:val="44"/>
          <w:highlight w:val="none"/>
          <w:lang w:val="en-US" w:eastAsia="zh-CN" w:bidi="ar-SA"/>
        </w:rPr>
        <w:t>壤塘县医疗保障局</w:t>
      </w:r>
    </w:p>
    <w:p w14:paraId="6503E273">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p>
    <w:p w14:paraId="1FE2098D">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04C482FF">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B40AC9F">
      <w:pPr>
        <w:widowControl/>
        <w:jc w:val="center"/>
        <w:rPr>
          <w:rFonts w:ascii="Times New Roman" w:hAnsi="Times New Roman" w:eastAsia="黑体" w:cstheme="minorBidi"/>
          <w:color w:val="auto"/>
          <w:sz w:val="28"/>
          <w:szCs w:val="28"/>
          <w:highlight w:val="none"/>
        </w:rPr>
      </w:pPr>
    </w:p>
    <w:p w14:paraId="1636E7F5">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default" w:ascii="Times New Roman" w:hAnsi="Times New Roman" w:eastAsia="仿宋_GB2312" w:cs="仿宋_GB2312"/>
          <w:color w:val="auto"/>
          <w:sz w:val="32"/>
          <w:szCs w:val="32"/>
          <w:highlight w:val="none"/>
          <w:lang w:val="en-US" w:eastAsia="zh-CN"/>
        </w:rPr>
        <w:t>23</w:t>
      </w:r>
      <w:r>
        <w:rPr>
          <w:rFonts w:hint="eastAsia" w:ascii="Times New Roman" w:hAnsi="Times New Roman" w:eastAsia="仿宋_GB2312" w:cs="仿宋_GB2312"/>
          <w:color w:val="auto"/>
          <w:sz w:val="32"/>
          <w:szCs w:val="32"/>
          <w:highlight w:val="none"/>
        </w:rPr>
        <w:t>日</w:t>
      </w:r>
    </w:p>
    <w:p w14:paraId="64A24A15">
      <w:pPr>
        <w:rPr>
          <w:rFonts w:ascii="Times New Roman" w:hAnsi="Times New Roman"/>
          <w:color w:val="auto"/>
          <w:highlight w:val="none"/>
        </w:rPr>
      </w:pPr>
    </w:p>
    <w:p w14:paraId="32F3CDA0">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268907A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1D299667">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41E404F5">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16739BE7">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05EA1D1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6DAD075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1F0DC7F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6FE3E66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72AD1D5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782F9FE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A2004A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0AFA9747">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36E3490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7F0B27D0">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636A3F2F">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5562731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27AE619E">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4EC8678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3727251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61236F7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6A57941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9CE29C0">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686089D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669058D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1F840AB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489899E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5721464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3D88312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17C1E70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34979FB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p>
    <w:p w14:paraId="357D8A4A">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2FA314B6">
      <w:pPr>
        <w:pStyle w:val="3"/>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14:paraId="00DB9FAC">
      <w:pPr>
        <w:pStyle w:val="4"/>
        <w:keepNext/>
        <w:keepLines/>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一、部门职责</w:t>
      </w:r>
    </w:p>
    <w:p w14:paraId="0A2CF68A">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贯彻落实医疗保险、生育保险、医疗救助等医疗保障法律法规</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监督强化全县医疗保障基金运行管理。承担医疗保障筹资和待遇支付政策落实的责任。负责药品、医用耗材、医疗服务项目、医疗服务设施收费等政策监督管理。推进医疗保障基金支付方式改革，监督管理全县医疗保障定点医药机构。完善统一的城乡居民基本医疗保险和大病保险制度，不断提高医疗保障水平，建立健全覆盖全民、城乡统筹的多层次医疗保障体系，确保医疗保障资金合理使用、安全可控，推进医疗、医保、医药“三医联动”改革，更好地保障人民群众就医需求、减轻医药费用负担。</w:t>
      </w:r>
    </w:p>
    <w:p w14:paraId="5072B887">
      <w:pPr>
        <w:pStyle w:val="4"/>
        <w:keepNext/>
        <w:keepLines/>
        <w:pageBreakBefore w:val="0"/>
        <w:widowControl w:val="0"/>
        <w:kinsoku/>
        <w:wordWrap/>
        <w:overflowPunct/>
        <w:topLinePunct w:val="0"/>
        <w:autoSpaceDE/>
        <w:autoSpaceDN/>
        <w:bidi w:val="0"/>
        <w:adjustRightInd/>
        <w:snapToGrid/>
        <w:spacing w:line="600" w:lineRule="exact"/>
        <w:textAlignment w:val="auto"/>
        <w:rPr>
          <w:rStyle w:val="30"/>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8"/>
      <w:bookmarkEnd w:id="9"/>
    </w:p>
    <w:p w14:paraId="0C4A6CCF">
      <w:pPr>
        <w:pStyle w:val="36"/>
        <w:spacing w:before="0" w:line="360" w:lineRule="auto"/>
        <w:ind w:firstLine="627" w:firstLineChars="196"/>
        <w:rPr>
          <w:rFonts w:hAnsi="黑体" w:cs="Times New Roman"/>
          <w:kern w:val="2"/>
          <w:sz w:val="32"/>
          <w:szCs w:val="32"/>
        </w:rPr>
      </w:pPr>
      <w:r>
        <w:rPr>
          <w:rFonts w:hint="eastAsia" w:hAnsi="黑体"/>
          <w:kern w:val="2"/>
          <w:sz w:val="32"/>
          <w:szCs w:val="32"/>
          <w:lang w:eastAsia="zh-CN"/>
        </w:rPr>
        <w:t>壤塘县医疗保障局</w:t>
      </w:r>
      <w:r>
        <w:rPr>
          <w:rFonts w:hint="eastAsia" w:hAnsi="黑体"/>
          <w:kern w:val="2"/>
          <w:sz w:val="32"/>
          <w:szCs w:val="32"/>
        </w:rPr>
        <w:t>属一级预算单位，下属二级预算单位</w:t>
      </w:r>
      <w:r>
        <w:rPr>
          <w:rFonts w:hint="eastAsia" w:hAnsi="黑体"/>
          <w:kern w:val="2"/>
          <w:sz w:val="32"/>
          <w:szCs w:val="32"/>
          <w:lang w:val="en-US" w:eastAsia="zh-CN"/>
        </w:rPr>
        <w:t>2</w:t>
      </w:r>
      <w:r>
        <w:rPr>
          <w:rFonts w:hint="eastAsia" w:hAnsi="黑体"/>
          <w:kern w:val="2"/>
          <w:sz w:val="32"/>
          <w:szCs w:val="32"/>
        </w:rPr>
        <w:t>个，其中：行政单位</w:t>
      </w:r>
      <w:r>
        <w:rPr>
          <w:rFonts w:hint="eastAsia" w:hAnsi="黑体" w:cs="Times New Roman"/>
          <w:kern w:val="2"/>
          <w:sz w:val="32"/>
          <w:szCs w:val="32"/>
          <w:lang w:val="en-US" w:eastAsia="zh-CN"/>
        </w:rPr>
        <w:t>1</w:t>
      </w:r>
      <w:r>
        <w:rPr>
          <w:rFonts w:hint="eastAsia" w:hAnsi="黑体"/>
          <w:kern w:val="2"/>
          <w:sz w:val="32"/>
          <w:szCs w:val="32"/>
        </w:rPr>
        <w:t>个；参照公务员法管理的事业单位</w:t>
      </w:r>
      <w:r>
        <w:rPr>
          <w:rFonts w:hint="eastAsia" w:hAnsi="黑体" w:cs="Times New Roman"/>
          <w:kern w:val="2"/>
          <w:sz w:val="32"/>
          <w:szCs w:val="32"/>
          <w:lang w:val="en-US" w:eastAsia="zh-CN"/>
        </w:rPr>
        <w:t>0</w:t>
      </w:r>
      <w:r>
        <w:rPr>
          <w:rFonts w:hint="eastAsia" w:hAnsi="黑体"/>
          <w:kern w:val="2"/>
          <w:sz w:val="32"/>
          <w:szCs w:val="32"/>
        </w:rPr>
        <w:t>个；其他事业单位</w:t>
      </w:r>
      <w:r>
        <w:rPr>
          <w:rFonts w:hint="eastAsia" w:hAnsi="黑体" w:cs="Times New Roman"/>
          <w:kern w:val="2"/>
          <w:sz w:val="32"/>
          <w:szCs w:val="32"/>
          <w:lang w:val="en-US" w:eastAsia="zh-CN"/>
        </w:rPr>
        <w:t>1</w:t>
      </w:r>
      <w:r>
        <w:rPr>
          <w:rFonts w:hint="eastAsia" w:hAnsi="黑体"/>
          <w:kern w:val="2"/>
          <w:sz w:val="32"/>
          <w:szCs w:val="32"/>
        </w:rPr>
        <w:t>个。</w:t>
      </w:r>
    </w:p>
    <w:p w14:paraId="40F1186D">
      <w:pPr>
        <w:ind w:firstLine="800" w:firstLineChars="250"/>
        <w:rPr>
          <w:rFonts w:hint="eastAsia" w:ascii="Times New Roman" w:hAnsi="Times New Roman" w:eastAsia="仿宋_GB2312" w:cs="仿宋_GB2312"/>
          <w:color w:val="auto"/>
          <w:sz w:val="32"/>
          <w:szCs w:val="32"/>
          <w:highlight w:val="none"/>
        </w:rPr>
      </w:pPr>
    </w:p>
    <w:p w14:paraId="764AE3A0">
      <w:pPr>
        <w:pStyle w:val="15"/>
        <w:rPr>
          <w:rFonts w:hint="eastAsia"/>
        </w:rPr>
      </w:pPr>
    </w:p>
    <w:p w14:paraId="182D3329">
      <w:pPr>
        <w:pStyle w:val="3"/>
        <w:jc w:val="center"/>
        <w:rPr>
          <w:rFonts w:hint="eastAsia" w:ascii="Times New Roman" w:hAnsi="Times New Roman" w:eastAsia="方正小标宋简体" w:cs="方正小标宋简体"/>
          <w:b w:val="0"/>
          <w:color w:val="auto"/>
          <w:highlight w:val="none"/>
        </w:rPr>
      </w:pPr>
      <w:bookmarkStart w:id="10" w:name="_Toc15396602"/>
      <w:bookmarkStart w:id="1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57F05046">
      <w:pPr>
        <w:rPr>
          <w:rFonts w:ascii="Times New Roman" w:hAnsi="Times New Roman"/>
          <w:color w:val="auto"/>
          <w:highlight w:val="none"/>
        </w:rPr>
      </w:pPr>
    </w:p>
    <w:p w14:paraId="7CE593B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2"/>
      <w:bookmarkEnd w:id="13"/>
    </w:p>
    <w:p w14:paraId="2E97D31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552.35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43.69</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8.59</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本年新录用</w:t>
      </w:r>
      <w:r>
        <w:rPr>
          <w:rFonts w:hint="eastAsia" w:eastAsia="仿宋_GB2312" w:cs="仿宋_GB2312"/>
          <w:color w:val="auto"/>
          <w:sz w:val="32"/>
          <w:szCs w:val="32"/>
          <w:highlight w:val="none"/>
          <w:lang w:val="en-US" w:eastAsia="zh-CN"/>
        </w:rPr>
        <w:t>3名参公人员。</w:t>
      </w:r>
    </w:p>
    <w:p w14:paraId="4BD60EE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505001D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885690" cy="2912745"/>
            <wp:effectExtent l="4445" t="4445" r="5715" b="1651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6E27F6D">
      <w:pPr>
        <w:pStyle w:val="2"/>
        <w:rPr>
          <w:rFonts w:hint="eastAsia"/>
          <w:lang w:eastAsia="zh-CN"/>
        </w:rPr>
      </w:pPr>
    </w:p>
    <w:p w14:paraId="624AAF7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Times New Roman" w:hAnsi="Times New Roman" w:eastAsia="黑体"/>
          <w:color w:val="auto"/>
          <w:sz w:val="32"/>
          <w:szCs w:val="32"/>
          <w:highlight w:val="none"/>
          <w:lang w:eastAsia="zh-CN"/>
        </w:rPr>
        <w:t>二、收入决算情况说明</w:t>
      </w:r>
      <w:bookmarkEnd w:id="14"/>
      <w:bookmarkEnd w:id="15"/>
    </w:p>
    <w:p w14:paraId="6D7FFF6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552.35</w:t>
      </w:r>
      <w:r>
        <w:rPr>
          <w:rFonts w:hint="eastAsia" w:ascii="Times New Roman" w:hAnsi="Times New Roman" w:eastAsia="仿宋_GB2312" w:cs="仿宋_GB2312"/>
          <w:color w:val="auto"/>
          <w:sz w:val="32"/>
          <w:szCs w:val="32"/>
          <w:highlight w:val="none"/>
          <w:lang w:eastAsia="zh-CN"/>
        </w:rPr>
        <w:t>万元，</w:t>
      </w:r>
      <w:r>
        <w:rPr>
          <w:rFonts w:hint="eastAsia" w:eastAsia="仿宋_GB2312" w:cs="仿宋_GB2312"/>
          <w:color w:val="auto"/>
          <w:sz w:val="32"/>
          <w:szCs w:val="32"/>
          <w:highlight w:val="none"/>
          <w:lang w:eastAsia="zh-CN"/>
        </w:rPr>
        <w:t>全部为</w:t>
      </w:r>
      <w:r>
        <w:rPr>
          <w:rFonts w:hint="eastAsia" w:ascii="Times New Roman" w:hAnsi="Times New Roman" w:eastAsia="仿宋_GB2312" w:cs="仿宋_GB2312"/>
          <w:color w:val="auto"/>
          <w:sz w:val="32"/>
          <w:szCs w:val="32"/>
          <w:highlight w:val="none"/>
          <w:lang w:eastAsia="zh-CN"/>
        </w:rPr>
        <w:t>一般公共预算财政拨款收入</w:t>
      </w:r>
      <w:r>
        <w:rPr>
          <w:rFonts w:hint="eastAsia" w:eastAsia="仿宋_GB2312" w:cs="仿宋_GB2312"/>
          <w:color w:val="auto"/>
          <w:sz w:val="32"/>
          <w:szCs w:val="32"/>
          <w:highlight w:val="none"/>
          <w:lang w:val="en-US" w:eastAsia="zh-CN"/>
        </w:rPr>
        <w:t>552.35</w:t>
      </w:r>
      <w:r>
        <w:rPr>
          <w:rFonts w:hint="eastAsia" w:ascii="Times New Roman" w:hAnsi="Times New Roman" w:eastAsia="仿宋_GB2312" w:cs="仿宋_GB2312"/>
          <w:color w:val="auto"/>
          <w:sz w:val="32"/>
          <w:szCs w:val="32"/>
          <w:highlight w:val="none"/>
          <w:lang w:eastAsia="zh-CN"/>
        </w:rPr>
        <w:t>万元</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（图2：收入决算结构图）（饼状图）</w:t>
      </w:r>
    </w:p>
    <w:p w14:paraId="52C35E3F">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647565" cy="2836545"/>
            <wp:effectExtent l="4445" t="4445" r="15240" b="1651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A4568D6">
      <w:pPr>
        <w:pStyle w:val="2"/>
        <w:rPr>
          <w:rFonts w:hint="eastAsia"/>
          <w:lang w:eastAsia="zh-CN"/>
        </w:rPr>
      </w:pPr>
    </w:p>
    <w:p w14:paraId="35EF688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77207"/>
      <w:bookmarkStart w:id="17"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6"/>
      <w:bookmarkEnd w:id="17"/>
    </w:p>
    <w:p w14:paraId="682C062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552.35</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512.33</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92.75</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40.02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7.25</w:t>
      </w:r>
      <w:r>
        <w:rPr>
          <w:rFonts w:hint="eastAsia" w:ascii="Times New Roman" w:hAnsi="Times New Roman" w:eastAsia="仿宋_GB2312" w:cs="仿宋_GB2312"/>
          <w:color w:val="auto"/>
          <w:sz w:val="32"/>
          <w:szCs w:val="32"/>
          <w:highlight w:val="none"/>
          <w:lang w:eastAsia="zh-CN"/>
        </w:rPr>
        <w:t>%。</w:t>
      </w:r>
    </w:p>
    <w:p w14:paraId="40EB6E8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4BF3F38D">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751705" cy="2893695"/>
            <wp:effectExtent l="4445" t="4445" r="6350" b="1651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5C7BDAB">
      <w:pPr>
        <w:pStyle w:val="2"/>
        <w:rPr>
          <w:rFonts w:hint="eastAsia"/>
          <w:lang w:eastAsia="zh-CN"/>
        </w:rPr>
      </w:pPr>
    </w:p>
    <w:p w14:paraId="4585FB1A">
      <w:pPr>
        <w:spacing w:line="600" w:lineRule="exact"/>
        <w:ind w:firstLine="640" w:firstLineChars="200"/>
        <w:outlineLvl w:val="1"/>
        <w:rPr>
          <w:rStyle w:val="30"/>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8"/>
      <w:bookmarkEnd w:id="19"/>
    </w:p>
    <w:p w14:paraId="250606D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552.35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43.69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8.59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本年新录用3名参公人员。</w:t>
      </w:r>
    </w:p>
    <w:p w14:paraId="7E7F5B1D">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4E6D07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561401C">
      <w:pPr>
        <w:pStyle w:val="15"/>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590415" cy="2741930"/>
            <wp:effectExtent l="4445" t="4445" r="15240" b="1587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9115373">
      <w:pPr>
        <w:pStyle w:val="15"/>
        <w:rPr>
          <w:rFonts w:hint="eastAsia" w:ascii="Times New Roman" w:hAnsi="Times New Roman" w:eastAsia="仿宋_GB2312" w:cs="仿宋_GB2312"/>
          <w:color w:val="auto"/>
          <w:kern w:val="2"/>
          <w:sz w:val="32"/>
          <w:szCs w:val="32"/>
          <w:highlight w:val="none"/>
          <w:lang w:val="en-US" w:eastAsia="zh-CN" w:bidi="ar-SA"/>
        </w:rPr>
      </w:pPr>
    </w:p>
    <w:p w14:paraId="45FAFB0A">
      <w:pPr>
        <w:pStyle w:val="10"/>
        <w:rPr>
          <w:rFonts w:hint="eastAsia"/>
          <w:lang w:val="en-US" w:eastAsia="zh-CN"/>
        </w:rPr>
      </w:pPr>
    </w:p>
    <w:p w14:paraId="23CE60E6">
      <w:pPr>
        <w:spacing w:line="600" w:lineRule="exact"/>
        <w:ind w:firstLine="640" w:firstLineChars="200"/>
        <w:outlineLvl w:val="1"/>
        <w:rPr>
          <w:rStyle w:val="30"/>
          <w:rFonts w:ascii="Times New Roman" w:hAnsi="Times New Roman" w:eastAsia="黑体"/>
          <w:b w:val="0"/>
          <w:color w:val="auto"/>
          <w:highlight w:val="none"/>
        </w:rPr>
      </w:pPr>
      <w:bookmarkStart w:id="20" w:name="_Toc15377209"/>
      <w:bookmarkStart w:id="2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0"/>
      <w:bookmarkEnd w:id="21"/>
    </w:p>
    <w:p w14:paraId="588D84C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3007F82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552.35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43.69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8.59</w:t>
      </w:r>
      <w:r>
        <w:rPr>
          <w:rFonts w:hint="eastAsia" w:ascii="Times New Roman" w:hAnsi="Times New Roman" w:eastAsia="仿宋_GB2312" w:cs="仿宋_GB2312"/>
          <w:color w:val="auto"/>
          <w:kern w:val="2"/>
          <w:sz w:val="32"/>
          <w:szCs w:val="32"/>
          <w:highlight w:val="none"/>
          <w:lang w:val="en-US" w:eastAsia="zh-CN" w:bidi="ar-SA"/>
        </w:rPr>
        <w:t>%。主要变动原因是</w:t>
      </w:r>
      <w:bookmarkStart w:id="23" w:name="_Toc15377211"/>
      <w:r>
        <w:rPr>
          <w:rFonts w:hint="eastAsia" w:eastAsia="仿宋_GB2312" w:cs="仿宋_GB2312"/>
          <w:color w:val="auto"/>
          <w:kern w:val="2"/>
          <w:sz w:val="32"/>
          <w:szCs w:val="32"/>
          <w:highlight w:val="none"/>
          <w:lang w:val="en-US" w:eastAsia="zh-CN" w:bidi="ar-SA"/>
        </w:rPr>
        <w:t>本年新录用3名参公人员。</w:t>
      </w:r>
    </w:p>
    <w:p w14:paraId="6839812E">
      <w:pPr>
        <w:pStyle w:val="2"/>
        <w:rPr>
          <w:rFonts w:hint="eastAsia"/>
          <w:lang w:val="en-US" w:eastAsia="zh-CN"/>
        </w:rPr>
      </w:pPr>
    </w:p>
    <w:p w14:paraId="6CB17A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9342138">
      <w:p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0288" behindDoc="0" locked="0" layoutInCell="1" allowOverlap="1">
            <wp:simplePos x="0" y="0"/>
            <wp:positionH relativeFrom="column">
              <wp:posOffset>258445</wp:posOffset>
            </wp:positionH>
            <wp:positionV relativeFrom="paragraph">
              <wp:posOffset>855980</wp:posOffset>
            </wp:positionV>
            <wp:extent cx="4286250" cy="2093595"/>
            <wp:effectExtent l="4445" t="4445" r="14605" b="16510"/>
            <wp:wrapTopAndBottom/>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2F0CD85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768AEEA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14A1293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552.35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75.87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13.74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437.83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79.27</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38.65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6.99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9B4BE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3B239CE6">
      <w:pPr>
        <w:pStyle w:val="15"/>
        <w:rPr>
          <w:rFonts w:hint="eastAsia" w:ascii="Times New Roman" w:hAnsi="Times New Roman" w:eastAsia="仿宋_GB2312" w:cs="仿宋_GB2312"/>
          <w:color w:val="auto"/>
          <w:kern w:val="2"/>
          <w:sz w:val="32"/>
          <w:szCs w:val="32"/>
          <w:highlight w:val="none"/>
          <w:lang w:val="en-US" w:eastAsia="zh-CN" w:bidi="ar-SA"/>
        </w:rPr>
      </w:pPr>
      <w:r>
        <w:rPr>
          <w:rFonts w:hint="eastAsia"/>
          <w:lang w:val="en-US" w:eastAsia="zh-CN"/>
        </w:rPr>
        <w:drawing>
          <wp:inline distT="0" distB="0" distL="114300" distR="114300">
            <wp:extent cx="4628515" cy="2473960"/>
            <wp:effectExtent l="4445" t="4445" r="15240" b="1714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3D608C9">
      <w:pPr>
        <w:pStyle w:val="10"/>
        <w:rPr>
          <w:rFonts w:hint="eastAsia"/>
          <w:lang w:val="en-US" w:eastAsia="zh-CN"/>
        </w:rPr>
      </w:pPr>
    </w:p>
    <w:p w14:paraId="4B5D0B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7AAF40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48CFC7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213"/>
      <w:bookmarkStart w:id="26" w:name="_Toc15378460"/>
      <w:bookmarkStart w:id="2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552.35</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126.31</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770634A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机关事业养老保险缴费支出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50.58</w:t>
      </w:r>
      <w:r>
        <w:rPr>
          <w:rFonts w:hint="eastAsia" w:ascii="Times New Roman" w:hAnsi="Times New Roman" w:eastAsia="仿宋_GB2312" w:cs="仿宋_GB2312"/>
          <w:color w:val="auto"/>
          <w:kern w:val="2"/>
          <w:sz w:val="32"/>
          <w:szCs w:val="32"/>
          <w:highlight w:val="none"/>
          <w:lang w:val="en-US" w:eastAsia="zh-CN" w:bidi="ar-SA"/>
        </w:rPr>
        <w:t>万元，</w:t>
      </w:r>
      <w:r>
        <w:rPr>
          <w:rStyle w:val="19"/>
          <w:rFonts w:hint="default" w:ascii="Times New Roman" w:hAnsi="Times New Roman" w:eastAsia="仿宋" w:cs="Times New Roman"/>
          <w:b w:val="0"/>
          <w:bCs/>
          <w:color w:val="auto"/>
          <w:sz w:val="32"/>
          <w:szCs w:val="32"/>
          <w:highlight w:val="none"/>
        </w:rPr>
        <w:t>完成预算</w:t>
      </w:r>
      <w:r>
        <w:rPr>
          <w:rStyle w:val="19"/>
          <w:rFonts w:hint="default" w:ascii="Times New Roman" w:hAnsi="Times New Roman" w:eastAsia="仿宋" w:cs="Times New Roman"/>
          <w:b w:val="0"/>
          <w:bCs/>
          <w:color w:val="auto"/>
          <w:sz w:val="32"/>
          <w:szCs w:val="32"/>
          <w:highlight w:val="none"/>
          <w:lang w:val="en-US" w:eastAsia="zh-CN"/>
        </w:rPr>
        <w:t>100</w:t>
      </w:r>
      <w:r>
        <w:rPr>
          <w:rStyle w:val="19"/>
          <w:rFonts w:hint="default" w:ascii="Times New Roman" w:hAnsi="Times New Roman" w:eastAsia="仿宋" w:cs="Times New Roman"/>
          <w:b w:val="0"/>
          <w:bCs/>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Fonts w:hint="eastAsia" w:eastAsia="仿宋_GB2312" w:cs="仿宋_GB2312"/>
          <w:color w:val="auto"/>
          <w:kern w:val="2"/>
          <w:sz w:val="32"/>
          <w:szCs w:val="32"/>
          <w:highlight w:val="none"/>
          <w:lang w:val="en-US" w:eastAsia="zh-CN" w:bidi="ar-SA"/>
        </w:rPr>
        <w:t>。</w:t>
      </w:r>
    </w:p>
    <w:p w14:paraId="1524B4B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机关事业职业年金缴费支出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2080506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25.29</w:t>
      </w:r>
      <w:r>
        <w:rPr>
          <w:rFonts w:hint="eastAsia" w:ascii="Times New Roman" w:hAnsi="Times New Roman" w:eastAsia="仿宋_GB2312" w:cs="仿宋_GB2312"/>
          <w:color w:val="auto"/>
          <w:kern w:val="2"/>
          <w:sz w:val="32"/>
          <w:szCs w:val="32"/>
          <w:highlight w:val="none"/>
          <w:lang w:val="en-US" w:eastAsia="zh-CN" w:bidi="ar-SA"/>
        </w:rPr>
        <w:t>万元，</w:t>
      </w:r>
      <w:r>
        <w:rPr>
          <w:rStyle w:val="19"/>
          <w:rFonts w:hint="default" w:ascii="Times New Roman" w:hAnsi="Times New Roman" w:eastAsia="仿宋" w:cs="Times New Roman"/>
          <w:b w:val="0"/>
          <w:bCs/>
          <w:color w:val="auto"/>
          <w:sz w:val="32"/>
          <w:szCs w:val="32"/>
          <w:highlight w:val="none"/>
        </w:rPr>
        <w:t>完成预算</w:t>
      </w:r>
      <w:r>
        <w:rPr>
          <w:rStyle w:val="19"/>
          <w:rFonts w:hint="default" w:ascii="Times New Roman" w:hAnsi="Times New Roman" w:eastAsia="仿宋" w:cs="Times New Roman"/>
          <w:b w:val="0"/>
          <w:bCs/>
          <w:color w:val="auto"/>
          <w:sz w:val="32"/>
          <w:szCs w:val="32"/>
          <w:highlight w:val="none"/>
          <w:lang w:val="en-US" w:eastAsia="zh-CN"/>
        </w:rPr>
        <w:t>100</w:t>
      </w:r>
      <w:r>
        <w:rPr>
          <w:rStyle w:val="19"/>
          <w:rFonts w:hint="default" w:ascii="Times New Roman" w:hAnsi="Times New Roman" w:eastAsia="仿宋" w:cs="Times New Roman"/>
          <w:b w:val="0"/>
          <w:bCs/>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9"/>
          <w:rFonts w:hint="default" w:ascii="Times New Roman" w:hAnsi="Times New Roman" w:eastAsia="仿宋" w:cs="Times New Roman"/>
          <w:b w:val="0"/>
          <w:bCs/>
          <w:color w:val="auto"/>
          <w:sz w:val="32"/>
          <w:szCs w:val="32"/>
          <w:highlight w:val="none"/>
        </w:rPr>
        <w:t>。</w:t>
      </w:r>
    </w:p>
    <w:p w14:paraId="6B1BB79A">
      <w:pPr>
        <w:spacing w:line="600" w:lineRule="exact"/>
        <w:ind w:firstLine="640"/>
        <w:rPr>
          <w:rStyle w:val="19"/>
          <w:rFonts w:hint="default" w:ascii="Times New Roman" w:hAnsi="Times New Roman" w:eastAsia="仿宋" w:cs="Times New Roman"/>
          <w:b w:val="0"/>
          <w:bCs/>
          <w:color w:val="auto"/>
          <w:sz w:val="32"/>
          <w:szCs w:val="32"/>
          <w:highlight w:val="none"/>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行政单位医疗（2101101）：</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16.28</w:t>
      </w:r>
      <w:r>
        <w:rPr>
          <w:rFonts w:hint="eastAsia" w:ascii="Times New Roman" w:hAnsi="Times New Roman" w:eastAsia="仿宋_GB2312" w:cs="仿宋_GB2312"/>
          <w:color w:val="auto"/>
          <w:kern w:val="2"/>
          <w:sz w:val="32"/>
          <w:szCs w:val="32"/>
          <w:highlight w:val="none"/>
          <w:lang w:val="en-US" w:eastAsia="zh-CN" w:bidi="ar-SA"/>
        </w:rPr>
        <w:t>万元，</w:t>
      </w:r>
      <w:r>
        <w:rPr>
          <w:rStyle w:val="19"/>
          <w:rFonts w:hint="default" w:ascii="Times New Roman" w:hAnsi="Times New Roman" w:eastAsia="仿宋" w:cs="Times New Roman"/>
          <w:b w:val="0"/>
          <w:bCs/>
          <w:color w:val="auto"/>
          <w:sz w:val="32"/>
          <w:szCs w:val="32"/>
          <w:highlight w:val="none"/>
        </w:rPr>
        <w:t>完成预算</w:t>
      </w:r>
      <w:r>
        <w:rPr>
          <w:rStyle w:val="19"/>
          <w:rFonts w:hint="default" w:ascii="Times New Roman" w:hAnsi="Times New Roman" w:eastAsia="仿宋" w:cs="Times New Roman"/>
          <w:b w:val="0"/>
          <w:bCs/>
          <w:color w:val="auto"/>
          <w:sz w:val="32"/>
          <w:szCs w:val="32"/>
          <w:highlight w:val="none"/>
          <w:lang w:val="en-US" w:eastAsia="zh-CN"/>
        </w:rPr>
        <w:t>100</w:t>
      </w:r>
      <w:r>
        <w:rPr>
          <w:rStyle w:val="19"/>
          <w:rFonts w:hint="default" w:ascii="Times New Roman" w:hAnsi="Times New Roman" w:eastAsia="仿宋" w:cs="Times New Roman"/>
          <w:b w:val="0"/>
          <w:bCs/>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9"/>
          <w:rFonts w:hint="default" w:ascii="Times New Roman" w:hAnsi="Times New Roman" w:eastAsia="仿宋" w:cs="Times New Roman"/>
          <w:b w:val="0"/>
          <w:bCs/>
          <w:color w:val="auto"/>
          <w:sz w:val="32"/>
          <w:szCs w:val="32"/>
          <w:highlight w:val="none"/>
        </w:rPr>
        <w:t>。</w:t>
      </w:r>
    </w:p>
    <w:p w14:paraId="2A88DD59">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事业单位医疗（2101102）：</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5.50</w:t>
      </w:r>
      <w:r>
        <w:rPr>
          <w:rFonts w:hint="eastAsia" w:ascii="Times New Roman" w:hAnsi="Times New Roman" w:eastAsia="仿宋_GB2312" w:cs="仿宋_GB2312"/>
          <w:color w:val="auto"/>
          <w:kern w:val="2"/>
          <w:sz w:val="32"/>
          <w:szCs w:val="32"/>
          <w:highlight w:val="none"/>
          <w:lang w:val="en-US" w:eastAsia="zh-CN" w:bidi="ar-SA"/>
        </w:rPr>
        <w:t>万元，</w:t>
      </w:r>
      <w:r>
        <w:rPr>
          <w:rStyle w:val="19"/>
          <w:rFonts w:hint="default" w:ascii="Times New Roman" w:hAnsi="Times New Roman" w:eastAsia="仿宋" w:cs="Times New Roman"/>
          <w:b w:val="0"/>
          <w:bCs/>
          <w:color w:val="auto"/>
          <w:sz w:val="32"/>
          <w:szCs w:val="32"/>
          <w:highlight w:val="none"/>
        </w:rPr>
        <w:t>完成预算</w:t>
      </w:r>
      <w:r>
        <w:rPr>
          <w:rStyle w:val="19"/>
          <w:rFonts w:hint="default" w:ascii="Times New Roman" w:hAnsi="Times New Roman" w:eastAsia="仿宋" w:cs="Times New Roman"/>
          <w:b w:val="0"/>
          <w:bCs/>
          <w:color w:val="auto"/>
          <w:sz w:val="32"/>
          <w:szCs w:val="32"/>
          <w:highlight w:val="none"/>
          <w:lang w:val="en-US" w:eastAsia="zh-CN"/>
        </w:rPr>
        <w:t>100</w:t>
      </w:r>
      <w:r>
        <w:rPr>
          <w:rStyle w:val="19"/>
          <w:rFonts w:hint="default" w:ascii="Times New Roman" w:hAnsi="Times New Roman" w:eastAsia="仿宋" w:cs="Times New Roman"/>
          <w:b w:val="0"/>
          <w:bCs/>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9"/>
          <w:rFonts w:hint="default" w:ascii="Times New Roman" w:hAnsi="Times New Roman" w:eastAsia="仿宋" w:cs="Times New Roman"/>
          <w:b w:val="0"/>
          <w:bCs/>
          <w:color w:val="auto"/>
          <w:sz w:val="32"/>
          <w:szCs w:val="32"/>
          <w:highlight w:val="none"/>
        </w:rPr>
        <w:t>。</w:t>
      </w:r>
    </w:p>
    <w:p w14:paraId="1CECFCC6">
      <w:pPr>
        <w:spacing w:line="600" w:lineRule="exact"/>
        <w:ind w:firstLine="640"/>
        <w:rPr>
          <w:rStyle w:val="19"/>
          <w:rFonts w:hint="default" w:ascii="Times New Roman" w:hAnsi="Times New Roman" w:eastAsia="仿宋" w:cs="Times New Roman"/>
          <w:b w:val="0"/>
          <w:bCs/>
          <w:color w:val="auto"/>
          <w:sz w:val="32"/>
          <w:szCs w:val="32"/>
          <w:highlight w:val="none"/>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公务员医疗补助（2101103）：</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3.13</w:t>
      </w:r>
      <w:r>
        <w:rPr>
          <w:rFonts w:hint="eastAsia" w:ascii="Times New Roman" w:hAnsi="Times New Roman" w:eastAsia="仿宋_GB2312" w:cs="仿宋_GB2312"/>
          <w:color w:val="auto"/>
          <w:kern w:val="2"/>
          <w:sz w:val="32"/>
          <w:szCs w:val="32"/>
          <w:highlight w:val="none"/>
          <w:lang w:val="en-US" w:eastAsia="zh-CN" w:bidi="ar-SA"/>
        </w:rPr>
        <w:t>万元，</w:t>
      </w:r>
      <w:r>
        <w:rPr>
          <w:rStyle w:val="19"/>
          <w:rFonts w:hint="default" w:ascii="Times New Roman" w:hAnsi="Times New Roman" w:eastAsia="仿宋" w:cs="Times New Roman"/>
          <w:b w:val="0"/>
          <w:bCs/>
          <w:color w:val="auto"/>
          <w:sz w:val="32"/>
          <w:szCs w:val="32"/>
          <w:highlight w:val="none"/>
        </w:rPr>
        <w:t>完成预算</w:t>
      </w:r>
      <w:r>
        <w:rPr>
          <w:rStyle w:val="19"/>
          <w:rFonts w:hint="default" w:ascii="Times New Roman" w:hAnsi="Times New Roman" w:eastAsia="仿宋" w:cs="Times New Roman"/>
          <w:b w:val="0"/>
          <w:bCs/>
          <w:color w:val="auto"/>
          <w:sz w:val="32"/>
          <w:szCs w:val="32"/>
          <w:highlight w:val="none"/>
          <w:lang w:val="en-US" w:eastAsia="zh-CN"/>
        </w:rPr>
        <w:t>100</w:t>
      </w:r>
      <w:r>
        <w:rPr>
          <w:rStyle w:val="19"/>
          <w:rFonts w:hint="default" w:ascii="Times New Roman" w:hAnsi="Times New Roman" w:eastAsia="仿宋" w:cs="Times New Roman"/>
          <w:b w:val="0"/>
          <w:bCs/>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9"/>
          <w:rFonts w:hint="default" w:ascii="Times New Roman" w:hAnsi="Times New Roman" w:eastAsia="仿宋" w:cs="Times New Roman"/>
          <w:b w:val="0"/>
          <w:bCs/>
          <w:color w:val="auto"/>
          <w:sz w:val="32"/>
          <w:szCs w:val="32"/>
          <w:highlight w:val="none"/>
        </w:rPr>
        <w:t>。</w:t>
      </w:r>
    </w:p>
    <w:p w14:paraId="78601AD5">
      <w:pPr>
        <w:spacing w:line="600" w:lineRule="exact"/>
        <w:ind w:firstLine="640"/>
        <w:rPr>
          <w:rStyle w:val="19"/>
          <w:rFonts w:hint="default" w:ascii="Times New Roman" w:hAnsi="Times New Roman" w:eastAsia="仿宋" w:cs="Times New Roman"/>
          <w:b w:val="0"/>
          <w:bCs/>
          <w:color w:val="auto"/>
          <w:sz w:val="32"/>
          <w:szCs w:val="32"/>
          <w:highlight w:val="none"/>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其他行政事业单位医疗支出（2101199）：</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0.90</w:t>
      </w:r>
      <w:r>
        <w:rPr>
          <w:rFonts w:hint="eastAsia" w:ascii="Times New Roman" w:hAnsi="Times New Roman" w:eastAsia="仿宋_GB2312" w:cs="仿宋_GB2312"/>
          <w:color w:val="auto"/>
          <w:kern w:val="2"/>
          <w:sz w:val="32"/>
          <w:szCs w:val="32"/>
          <w:highlight w:val="none"/>
          <w:lang w:val="en-US" w:eastAsia="zh-CN" w:bidi="ar-SA"/>
        </w:rPr>
        <w:t>万元，</w:t>
      </w:r>
      <w:r>
        <w:rPr>
          <w:rStyle w:val="19"/>
          <w:rFonts w:hint="default" w:ascii="Times New Roman" w:hAnsi="Times New Roman" w:eastAsia="仿宋" w:cs="Times New Roman"/>
          <w:b w:val="0"/>
          <w:bCs/>
          <w:color w:val="auto"/>
          <w:sz w:val="32"/>
          <w:szCs w:val="32"/>
          <w:highlight w:val="none"/>
        </w:rPr>
        <w:t>完成预算</w:t>
      </w:r>
      <w:r>
        <w:rPr>
          <w:rStyle w:val="19"/>
          <w:rFonts w:hint="default" w:ascii="Times New Roman" w:hAnsi="Times New Roman" w:eastAsia="仿宋" w:cs="Times New Roman"/>
          <w:b w:val="0"/>
          <w:bCs/>
          <w:color w:val="auto"/>
          <w:sz w:val="32"/>
          <w:szCs w:val="32"/>
          <w:highlight w:val="none"/>
          <w:lang w:val="en-US" w:eastAsia="zh-CN"/>
        </w:rPr>
        <w:t>100</w:t>
      </w:r>
      <w:r>
        <w:rPr>
          <w:rStyle w:val="19"/>
          <w:rFonts w:hint="default" w:ascii="Times New Roman" w:hAnsi="Times New Roman" w:eastAsia="仿宋" w:cs="Times New Roman"/>
          <w:b w:val="0"/>
          <w:bCs/>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9"/>
          <w:rFonts w:hint="default" w:ascii="Times New Roman" w:hAnsi="Times New Roman" w:eastAsia="仿宋" w:cs="Times New Roman"/>
          <w:b w:val="0"/>
          <w:bCs/>
          <w:color w:val="auto"/>
          <w:sz w:val="32"/>
          <w:szCs w:val="32"/>
          <w:highlight w:val="none"/>
        </w:rPr>
        <w:t>。</w:t>
      </w:r>
    </w:p>
    <w:p w14:paraId="4F5E7B90">
      <w:pPr>
        <w:spacing w:line="600" w:lineRule="exact"/>
        <w:ind w:firstLine="640"/>
        <w:rPr>
          <w:rStyle w:val="19"/>
          <w:rFonts w:hint="default" w:ascii="Times New Roman" w:hAnsi="Times New Roman" w:eastAsia="仿宋" w:cs="Times New Roman"/>
          <w:b w:val="0"/>
          <w:bCs/>
          <w:color w:val="auto"/>
          <w:sz w:val="32"/>
          <w:szCs w:val="32"/>
          <w:highlight w:val="none"/>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医疗保障管理事务</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21015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行政运行（2101501）：</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279.28</w:t>
      </w:r>
      <w:r>
        <w:rPr>
          <w:rFonts w:hint="eastAsia" w:ascii="Times New Roman" w:hAnsi="Times New Roman" w:eastAsia="仿宋_GB2312" w:cs="仿宋_GB2312"/>
          <w:color w:val="auto"/>
          <w:kern w:val="2"/>
          <w:sz w:val="32"/>
          <w:szCs w:val="32"/>
          <w:highlight w:val="none"/>
          <w:lang w:val="en-US" w:eastAsia="zh-CN" w:bidi="ar-SA"/>
        </w:rPr>
        <w:t>万元，</w:t>
      </w:r>
      <w:r>
        <w:rPr>
          <w:rStyle w:val="19"/>
          <w:rFonts w:hint="default" w:ascii="Times New Roman" w:hAnsi="Times New Roman" w:eastAsia="仿宋" w:cs="Times New Roman"/>
          <w:b w:val="0"/>
          <w:bCs/>
          <w:color w:val="auto"/>
          <w:sz w:val="32"/>
          <w:szCs w:val="32"/>
          <w:highlight w:val="none"/>
        </w:rPr>
        <w:t>完成预算</w:t>
      </w:r>
      <w:r>
        <w:rPr>
          <w:rStyle w:val="19"/>
          <w:rFonts w:hint="default" w:ascii="Times New Roman" w:hAnsi="Times New Roman" w:eastAsia="仿宋" w:cs="Times New Roman"/>
          <w:b w:val="0"/>
          <w:bCs/>
          <w:color w:val="auto"/>
          <w:sz w:val="32"/>
          <w:szCs w:val="32"/>
          <w:highlight w:val="none"/>
          <w:lang w:val="en-US" w:eastAsia="zh-CN"/>
        </w:rPr>
        <w:t>100</w:t>
      </w:r>
      <w:r>
        <w:rPr>
          <w:rStyle w:val="19"/>
          <w:rFonts w:hint="default" w:ascii="Times New Roman" w:hAnsi="Times New Roman" w:eastAsia="仿宋" w:cs="Times New Roman"/>
          <w:b w:val="0"/>
          <w:bCs/>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9"/>
          <w:rFonts w:hint="default" w:ascii="Times New Roman" w:hAnsi="Times New Roman" w:eastAsia="仿宋" w:cs="Times New Roman"/>
          <w:b w:val="0"/>
          <w:bCs/>
          <w:color w:val="auto"/>
          <w:sz w:val="32"/>
          <w:szCs w:val="32"/>
          <w:highlight w:val="none"/>
        </w:rPr>
        <w:t>。</w:t>
      </w:r>
    </w:p>
    <w:p w14:paraId="6946C017">
      <w:pPr>
        <w:spacing w:line="600" w:lineRule="exact"/>
        <w:ind w:firstLine="640"/>
        <w:rPr>
          <w:rStyle w:val="19"/>
          <w:rFonts w:hint="default" w:ascii="Times New Roman" w:hAnsi="Times New Roman" w:eastAsia="仿宋" w:cs="Times New Roman"/>
          <w:b w:val="0"/>
          <w:bCs/>
          <w:color w:val="auto"/>
          <w:sz w:val="32"/>
          <w:szCs w:val="32"/>
          <w:highlight w:val="none"/>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医疗保障管理事务</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21015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一般行政管理事务（2101502）：</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3.97</w:t>
      </w:r>
      <w:r>
        <w:rPr>
          <w:rFonts w:hint="eastAsia" w:ascii="Times New Roman" w:hAnsi="Times New Roman" w:eastAsia="仿宋_GB2312" w:cs="仿宋_GB2312"/>
          <w:color w:val="auto"/>
          <w:kern w:val="2"/>
          <w:sz w:val="32"/>
          <w:szCs w:val="32"/>
          <w:highlight w:val="none"/>
          <w:lang w:val="en-US" w:eastAsia="zh-CN" w:bidi="ar-SA"/>
        </w:rPr>
        <w:t>万元，</w:t>
      </w:r>
      <w:r>
        <w:rPr>
          <w:rStyle w:val="19"/>
          <w:rFonts w:hint="default" w:ascii="Times New Roman" w:hAnsi="Times New Roman" w:eastAsia="仿宋" w:cs="Times New Roman"/>
          <w:b w:val="0"/>
          <w:bCs/>
          <w:color w:val="auto"/>
          <w:sz w:val="32"/>
          <w:szCs w:val="32"/>
          <w:highlight w:val="none"/>
        </w:rPr>
        <w:t>完成预算</w:t>
      </w:r>
      <w:r>
        <w:rPr>
          <w:rStyle w:val="19"/>
          <w:rFonts w:hint="default" w:ascii="Times New Roman" w:hAnsi="Times New Roman" w:eastAsia="仿宋" w:cs="Times New Roman"/>
          <w:b w:val="0"/>
          <w:bCs/>
          <w:color w:val="auto"/>
          <w:sz w:val="32"/>
          <w:szCs w:val="32"/>
          <w:highlight w:val="none"/>
          <w:lang w:val="en-US" w:eastAsia="zh-CN"/>
        </w:rPr>
        <w:t>100</w:t>
      </w:r>
      <w:r>
        <w:rPr>
          <w:rStyle w:val="19"/>
          <w:rFonts w:hint="default" w:ascii="Times New Roman" w:hAnsi="Times New Roman" w:eastAsia="仿宋" w:cs="Times New Roman"/>
          <w:b w:val="0"/>
          <w:bCs/>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9"/>
          <w:rFonts w:hint="default" w:ascii="Times New Roman" w:hAnsi="Times New Roman" w:eastAsia="仿宋" w:cs="Times New Roman"/>
          <w:b w:val="0"/>
          <w:bCs/>
          <w:color w:val="auto"/>
          <w:sz w:val="32"/>
          <w:szCs w:val="32"/>
          <w:highlight w:val="none"/>
        </w:rPr>
        <w:t>。</w:t>
      </w:r>
    </w:p>
    <w:p w14:paraId="58B5E4CF">
      <w:pPr>
        <w:spacing w:line="600" w:lineRule="exact"/>
        <w:ind w:firstLine="640"/>
        <w:rPr>
          <w:rStyle w:val="19"/>
          <w:rFonts w:hint="default" w:ascii="Times New Roman" w:hAnsi="Times New Roman" w:eastAsia="仿宋" w:cs="Times New Roman"/>
          <w:b w:val="0"/>
          <w:bCs/>
          <w:color w:val="auto"/>
          <w:sz w:val="32"/>
          <w:szCs w:val="32"/>
          <w:highlight w:val="none"/>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医疗保障管理事务</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21015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行政运行（2101550）：</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92.72</w:t>
      </w:r>
      <w:r>
        <w:rPr>
          <w:rFonts w:hint="eastAsia" w:ascii="Times New Roman" w:hAnsi="Times New Roman" w:eastAsia="仿宋_GB2312" w:cs="仿宋_GB2312"/>
          <w:color w:val="auto"/>
          <w:kern w:val="2"/>
          <w:sz w:val="32"/>
          <w:szCs w:val="32"/>
          <w:highlight w:val="none"/>
          <w:lang w:val="en-US" w:eastAsia="zh-CN" w:bidi="ar-SA"/>
        </w:rPr>
        <w:t>万元，</w:t>
      </w:r>
      <w:r>
        <w:rPr>
          <w:rStyle w:val="19"/>
          <w:rFonts w:hint="default" w:ascii="Times New Roman" w:hAnsi="Times New Roman" w:eastAsia="仿宋" w:cs="Times New Roman"/>
          <w:b w:val="0"/>
          <w:bCs/>
          <w:color w:val="auto"/>
          <w:sz w:val="32"/>
          <w:szCs w:val="32"/>
          <w:highlight w:val="none"/>
        </w:rPr>
        <w:t>完成预算</w:t>
      </w:r>
      <w:r>
        <w:rPr>
          <w:rStyle w:val="19"/>
          <w:rFonts w:hint="default" w:ascii="Times New Roman" w:hAnsi="Times New Roman" w:eastAsia="仿宋" w:cs="Times New Roman"/>
          <w:b w:val="0"/>
          <w:bCs/>
          <w:color w:val="auto"/>
          <w:sz w:val="32"/>
          <w:szCs w:val="32"/>
          <w:highlight w:val="none"/>
          <w:lang w:val="en-US" w:eastAsia="zh-CN"/>
        </w:rPr>
        <w:t>100</w:t>
      </w:r>
      <w:r>
        <w:rPr>
          <w:rStyle w:val="19"/>
          <w:rFonts w:hint="default" w:ascii="Times New Roman" w:hAnsi="Times New Roman" w:eastAsia="仿宋" w:cs="Times New Roman"/>
          <w:b w:val="0"/>
          <w:bCs/>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9"/>
          <w:rFonts w:hint="default" w:ascii="Times New Roman" w:hAnsi="Times New Roman" w:eastAsia="仿宋" w:cs="Times New Roman"/>
          <w:b w:val="0"/>
          <w:bCs/>
          <w:color w:val="auto"/>
          <w:sz w:val="32"/>
          <w:szCs w:val="32"/>
          <w:highlight w:val="none"/>
        </w:rPr>
        <w:t>。</w:t>
      </w:r>
    </w:p>
    <w:p w14:paraId="3D9F6BAE">
      <w:pPr>
        <w:spacing w:line="600" w:lineRule="exact"/>
        <w:ind w:firstLine="640"/>
        <w:rPr>
          <w:rStyle w:val="19"/>
          <w:rFonts w:hint="default" w:ascii="Times New Roman" w:hAnsi="Times New Roman" w:eastAsia="仿宋" w:cs="Times New Roman"/>
          <w:b w:val="0"/>
          <w:bCs/>
          <w:color w:val="auto"/>
          <w:sz w:val="32"/>
          <w:szCs w:val="32"/>
          <w:highlight w:val="none"/>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医疗保障管理事务</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21015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其他医疗保障管理事务支出（2101599）：</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36.04</w:t>
      </w:r>
      <w:r>
        <w:rPr>
          <w:rFonts w:hint="eastAsia" w:ascii="Times New Roman" w:hAnsi="Times New Roman" w:eastAsia="仿宋_GB2312" w:cs="仿宋_GB2312"/>
          <w:color w:val="auto"/>
          <w:kern w:val="2"/>
          <w:sz w:val="32"/>
          <w:szCs w:val="32"/>
          <w:highlight w:val="none"/>
          <w:lang w:val="en-US" w:eastAsia="zh-CN" w:bidi="ar-SA"/>
        </w:rPr>
        <w:t>万元，</w:t>
      </w:r>
      <w:r>
        <w:rPr>
          <w:rStyle w:val="19"/>
          <w:rFonts w:hint="default" w:ascii="Times New Roman" w:hAnsi="Times New Roman" w:eastAsia="仿宋" w:cs="Times New Roman"/>
          <w:b w:val="0"/>
          <w:bCs/>
          <w:color w:val="auto"/>
          <w:sz w:val="32"/>
          <w:szCs w:val="32"/>
          <w:highlight w:val="none"/>
        </w:rPr>
        <w:t>完成预算</w:t>
      </w:r>
      <w:r>
        <w:rPr>
          <w:rStyle w:val="19"/>
          <w:rFonts w:hint="default" w:ascii="Times New Roman" w:hAnsi="Times New Roman" w:eastAsia="仿宋" w:cs="Times New Roman"/>
          <w:b w:val="0"/>
          <w:bCs/>
          <w:color w:val="auto"/>
          <w:sz w:val="32"/>
          <w:szCs w:val="32"/>
          <w:highlight w:val="none"/>
          <w:lang w:val="en-US" w:eastAsia="zh-CN"/>
        </w:rPr>
        <w:t>100</w:t>
      </w:r>
      <w:r>
        <w:rPr>
          <w:rStyle w:val="19"/>
          <w:rFonts w:hint="default" w:ascii="Times New Roman" w:hAnsi="Times New Roman" w:eastAsia="仿宋" w:cs="Times New Roman"/>
          <w:b w:val="0"/>
          <w:bCs/>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9"/>
          <w:rFonts w:hint="default" w:ascii="Times New Roman" w:hAnsi="Times New Roman" w:eastAsia="仿宋" w:cs="Times New Roman"/>
          <w:b w:val="0"/>
          <w:bCs/>
          <w:color w:val="auto"/>
          <w:sz w:val="32"/>
          <w:szCs w:val="32"/>
          <w:highlight w:val="none"/>
        </w:rPr>
        <w:t>。</w:t>
      </w:r>
    </w:p>
    <w:p w14:paraId="482327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住房保障支出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住房改革支出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22102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住房公积金（2210201）：</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38.65</w:t>
      </w:r>
      <w:r>
        <w:rPr>
          <w:rFonts w:hint="eastAsia" w:ascii="Times New Roman" w:hAnsi="Times New Roman" w:eastAsia="仿宋_GB2312" w:cs="仿宋_GB2312"/>
          <w:color w:val="auto"/>
          <w:kern w:val="2"/>
          <w:sz w:val="32"/>
          <w:szCs w:val="32"/>
          <w:highlight w:val="none"/>
          <w:lang w:val="en-US" w:eastAsia="zh-CN" w:bidi="ar-SA"/>
        </w:rPr>
        <w:t>万元，</w:t>
      </w:r>
      <w:r>
        <w:rPr>
          <w:rStyle w:val="19"/>
          <w:rFonts w:hint="default" w:ascii="Times New Roman" w:hAnsi="Times New Roman" w:eastAsia="仿宋" w:cs="Times New Roman"/>
          <w:b w:val="0"/>
          <w:bCs/>
          <w:color w:val="auto"/>
          <w:sz w:val="32"/>
          <w:szCs w:val="32"/>
          <w:highlight w:val="none"/>
        </w:rPr>
        <w:t>完成预算</w:t>
      </w:r>
      <w:r>
        <w:rPr>
          <w:rStyle w:val="19"/>
          <w:rFonts w:hint="default" w:ascii="Times New Roman" w:hAnsi="Times New Roman" w:eastAsia="仿宋" w:cs="Times New Roman"/>
          <w:b w:val="0"/>
          <w:bCs/>
          <w:color w:val="auto"/>
          <w:sz w:val="32"/>
          <w:szCs w:val="32"/>
          <w:highlight w:val="none"/>
          <w:lang w:val="en-US" w:eastAsia="zh-CN"/>
        </w:rPr>
        <w:t>100</w:t>
      </w:r>
      <w:r>
        <w:rPr>
          <w:rStyle w:val="19"/>
          <w:rFonts w:hint="default" w:ascii="Times New Roman" w:hAnsi="Times New Roman" w:eastAsia="仿宋" w:cs="Times New Roman"/>
          <w:b w:val="0"/>
          <w:bCs/>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9"/>
          <w:rFonts w:hint="default" w:ascii="Times New Roman" w:hAnsi="Times New Roman" w:eastAsia="仿宋" w:cs="Times New Roman"/>
          <w:b w:val="0"/>
          <w:bCs/>
          <w:color w:val="auto"/>
          <w:sz w:val="32"/>
          <w:szCs w:val="32"/>
          <w:highlight w:val="none"/>
        </w:rPr>
        <w:t>。</w:t>
      </w:r>
    </w:p>
    <w:p w14:paraId="6ADD936F">
      <w:pPr>
        <w:pStyle w:val="15"/>
        <w:rPr>
          <w:rFonts w:hint="eastAsia"/>
          <w:lang w:val="en-US" w:eastAsia="zh-CN"/>
        </w:rPr>
      </w:pPr>
    </w:p>
    <w:p w14:paraId="5D13336E">
      <w:pPr>
        <w:tabs>
          <w:tab w:val="right" w:pos="8306"/>
        </w:tabs>
        <w:spacing w:line="600" w:lineRule="exact"/>
        <w:ind w:firstLine="640"/>
        <w:outlineLvl w:val="1"/>
        <w:rPr>
          <w:rStyle w:val="30"/>
          <w:rFonts w:ascii="Times New Roman" w:hAnsi="Times New Roman"/>
          <w:color w:val="auto"/>
          <w:highlight w:val="none"/>
        </w:rPr>
      </w:pPr>
      <w:bookmarkStart w:id="28" w:name="_Toc15396608"/>
      <w:bookmarkStart w:id="2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8"/>
      <w:bookmarkEnd w:id="29"/>
      <w:r>
        <w:rPr>
          <w:rStyle w:val="30"/>
          <w:rFonts w:ascii="Times New Roman" w:hAnsi="Times New Roman" w:eastAsia="黑体"/>
          <w:b w:val="0"/>
          <w:color w:val="auto"/>
          <w:highlight w:val="none"/>
        </w:rPr>
        <w:tab/>
      </w:r>
    </w:p>
    <w:p w14:paraId="5DA5DB2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512.33</w:t>
      </w:r>
      <w:r>
        <w:rPr>
          <w:rFonts w:hint="eastAsia" w:ascii="Times New Roman" w:hAnsi="Times New Roman" w:eastAsia="仿宋_GB2312" w:cs="仿宋_GB2312"/>
          <w:color w:val="auto"/>
          <w:kern w:val="2"/>
          <w:sz w:val="32"/>
          <w:szCs w:val="32"/>
          <w:highlight w:val="none"/>
          <w:lang w:val="en-US" w:eastAsia="zh-CN" w:bidi="ar-SA"/>
        </w:rPr>
        <w:t>万元，其中：人员经费</w:t>
      </w:r>
      <w:r>
        <w:rPr>
          <w:rFonts w:hint="eastAsia" w:eastAsia="仿宋_GB2312" w:cs="仿宋_GB2312"/>
          <w:color w:val="auto"/>
          <w:kern w:val="2"/>
          <w:sz w:val="32"/>
          <w:szCs w:val="32"/>
          <w:highlight w:val="none"/>
          <w:lang w:val="en-US" w:eastAsia="zh-CN" w:bidi="ar-SA"/>
        </w:rPr>
        <w:t>488.34</w:t>
      </w:r>
      <w:r>
        <w:rPr>
          <w:rFonts w:hint="eastAsia" w:ascii="Times New Roman" w:hAnsi="Times New Roman" w:eastAsia="仿宋_GB2312" w:cs="仿宋_GB2312"/>
          <w:color w:val="auto"/>
          <w:kern w:val="2"/>
          <w:sz w:val="32"/>
          <w:szCs w:val="32"/>
          <w:highlight w:val="none"/>
          <w:lang w:val="en-US" w:eastAsia="zh-CN" w:bidi="ar-SA"/>
        </w:rPr>
        <w:t>万元，主要包括：基本工资</w:t>
      </w:r>
      <w:r>
        <w:rPr>
          <w:rFonts w:hint="eastAsia" w:eastAsia="仿宋_GB2312" w:cs="仿宋_GB2312"/>
          <w:color w:val="auto"/>
          <w:kern w:val="2"/>
          <w:sz w:val="32"/>
          <w:szCs w:val="32"/>
          <w:highlight w:val="none"/>
          <w:lang w:val="en-US" w:eastAsia="zh-CN" w:bidi="ar-SA"/>
        </w:rPr>
        <w:t>99.02万元</w:t>
      </w:r>
      <w:r>
        <w:rPr>
          <w:rFonts w:hint="eastAsia" w:ascii="Times New Roman" w:hAnsi="Times New Roman" w:eastAsia="仿宋_GB2312" w:cs="仿宋_GB2312"/>
          <w:color w:val="auto"/>
          <w:kern w:val="2"/>
          <w:sz w:val="32"/>
          <w:szCs w:val="32"/>
          <w:highlight w:val="none"/>
          <w:lang w:val="en-US" w:eastAsia="zh-CN" w:bidi="ar-SA"/>
        </w:rPr>
        <w:t>、津贴补贴</w:t>
      </w:r>
      <w:r>
        <w:rPr>
          <w:rFonts w:hint="eastAsia" w:eastAsia="仿宋_GB2312" w:cs="仿宋_GB2312"/>
          <w:color w:val="auto"/>
          <w:kern w:val="2"/>
          <w:sz w:val="32"/>
          <w:szCs w:val="32"/>
          <w:highlight w:val="none"/>
          <w:lang w:val="en-US" w:eastAsia="zh-CN" w:bidi="ar-SA"/>
        </w:rPr>
        <w:t>126.51万元</w:t>
      </w:r>
      <w:r>
        <w:rPr>
          <w:rFonts w:hint="eastAsia" w:ascii="Times New Roman" w:hAnsi="Times New Roman" w:eastAsia="仿宋_GB2312" w:cs="仿宋_GB2312"/>
          <w:color w:val="auto"/>
          <w:kern w:val="2"/>
          <w:sz w:val="32"/>
          <w:szCs w:val="32"/>
          <w:highlight w:val="none"/>
          <w:lang w:val="en-US" w:eastAsia="zh-CN" w:bidi="ar-SA"/>
        </w:rPr>
        <w:t>、奖金</w:t>
      </w:r>
      <w:r>
        <w:rPr>
          <w:rFonts w:hint="eastAsia" w:eastAsia="仿宋_GB2312" w:cs="仿宋_GB2312"/>
          <w:color w:val="auto"/>
          <w:kern w:val="2"/>
          <w:sz w:val="32"/>
          <w:szCs w:val="32"/>
          <w:highlight w:val="none"/>
          <w:lang w:val="en-US" w:eastAsia="zh-CN" w:bidi="ar-SA"/>
        </w:rPr>
        <w:t>97.68万元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绩效工资15.29万元、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w:t>
      </w:r>
      <w:r>
        <w:rPr>
          <w:rFonts w:hint="eastAsia" w:eastAsia="仿宋_GB2312" w:cs="仿宋_GB2312"/>
          <w:color w:val="auto"/>
          <w:kern w:val="2"/>
          <w:sz w:val="32"/>
          <w:szCs w:val="32"/>
          <w:highlight w:val="none"/>
          <w:lang w:val="en-US" w:eastAsia="zh-CN" w:bidi="ar-SA"/>
        </w:rPr>
        <w:t>50.58万元</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eastAsia="仿宋_GB2312" w:cs="仿宋_GB2312"/>
          <w:color w:val="auto"/>
          <w:kern w:val="2"/>
          <w:sz w:val="32"/>
          <w:szCs w:val="32"/>
          <w:highlight w:val="none"/>
          <w:lang w:val="en-US" w:eastAsia="zh-CN" w:bidi="ar-SA"/>
        </w:rPr>
        <w:t>25.29万元、</w:t>
      </w:r>
      <w:r>
        <w:rPr>
          <w:rFonts w:hint="eastAsia" w:ascii="Times New Roman" w:hAnsi="Times New Roman" w:eastAsia="仿宋_GB2312" w:cs="仿宋_GB2312"/>
          <w:color w:val="auto"/>
          <w:kern w:val="2"/>
          <w:sz w:val="32"/>
          <w:szCs w:val="32"/>
          <w:highlight w:val="none"/>
          <w:lang w:val="en-US" w:eastAsia="zh-CN" w:bidi="ar-SA"/>
        </w:rPr>
        <w:t>职工基本医疗保险缴费</w:t>
      </w:r>
      <w:r>
        <w:rPr>
          <w:rFonts w:hint="eastAsia" w:eastAsia="仿宋_GB2312" w:cs="仿宋_GB2312"/>
          <w:color w:val="auto"/>
          <w:kern w:val="2"/>
          <w:sz w:val="32"/>
          <w:szCs w:val="32"/>
          <w:highlight w:val="none"/>
          <w:lang w:val="en-US" w:eastAsia="zh-CN" w:bidi="ar-SA"/>
        </w:rPr>
        <w:t>21.78万元、公务员医疗补助缴费3.13万元、</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2.11万元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对个人和家庭的补助8.31万元、</w:t>
      </w:r>
      <w:r>
        <w:rPr>
          <w:rFonts w:hint="eastAsia" w:ascii="Times New Roman" w:hAnsi="Times New Roman" w:eastAsia="仿宋_GB2312" w:cs="仿宋_GB2312"/>
          <w:color w:val="auto"/>
          <w:kern w:val="2"/>
          <w:sz w:val="32"/>
          <w:szCs w:val="32"/>
          <w:highlight w:val="none"/>
          <w:lang w:val="en-US" w:eastAsia="zh-CN" w:bidi="ar-SA"/>
        </w:rPr>
        <w:t>生活补助</w:t>
      </w:r>
      <w:r>
        <w:rPr>
          <w:rFonts w:hint="eastAsia" w:eastAsia="仿宋_GB2312" w:cs="仿宋_GB2312"/>
          <w:color w:val="auto"/>
          <w:kern w:val="2"/>
          <w:sz w:val="32"/>
          <w:szCs w:val="32"/>
          <w:highlight w:val="none"/>
          <w:lang w:val="en-US" w:eastAsia="zh-CN" w:bidi="ar-SA"/>
        </w:rPr>
        <w:t>5.55万元</w:t>
      </w:r>
      <w:r>
        <w:rPr>
          <w:rFonts w:hint="eastAsia" w:ascii="Times New Roman" w:hAnsi="Times New Roman" w:eastAsia="仿宋_GB2312" w:cs="仿宋_GB2312"/>
          <w:color w:val="auto"/>
          <w:kern w:val="2"/>
          <w:sz w:val="32"/>
          <w:szCs w:val="32"/>
          <w:highlight w:val="none"/>
          <w:lang w:val="en-US" w:eastAsia="zh-CN" w:bidi="ar-SA"/>
        </w:rPr>
        <w:t>、医疗费补助</w:t>
      </w:r>
      <w:r>
        <w:rPr>
          <w:rFonts w:hint="eastAsia" w:eastAsia="仿宋_GB2312" w:cs="仿宋_GB2312"/>
          <w:color w:val="auto"/>
          <w:kern w:val="2"/>
          <w:sz w:val="32"/>
          <w:szCs w:val="32"/>
          <w:highlight w:val="none"/>
          <w:lang w:val="en-US" w:eastAsia="zh-CN" w:bidi="ar-SA"/>
        </w:rPr>
        <w:t>2.73万元</w:t>
      </w:r>
      <w:r>
        <w:rPr>
          <w:rFonts w:hint="eastAsia" w:ascii="Times New Roman" w:hAnsi="Times New Roman" w:eastAsia="仿宋_GB2312" w:cs="仿宋_GB2312"/>
          <w:color w:val="auto"/>
          <w:kern w:val="2"/>
          <w:sz w:val="32"/>
          <w:szCs w:val="32"/>
          <w:highlight w:val="none"/>
          <w:lang w:val="en-US" w:eastAsia="zh-CN" w:bidi="ar-SA"/>
        </w:rPr>
        <w:t>、奖励金</w:t>
      </w:r>
      <w:r>
        <w:rPr>
          <w:rFonts w:hint="eastAsia" w:eastAsia="仿宋_GB2312" w:cs="仿宋_GB2312"/>
          <w:color w:val="auto"/>
          <w:kern w:val="2"/>
          <w:sz w:val="32"/>
          <w:szCs w:val="32"/>
          <w:highlight w:val="none"/>
          <w:lang w:val="en-US" w:eastAsia="zh-CN" w:bidi="ar-SA"/>
        </w:rPr>
        <w:t>0.03万元</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38.65万元</w:t>
      </w:r>
      <w:r>
        <w:rPr>
          <w:rFonts w:hint="eastAsia" w:ascii="Times New Roman" w:hAnsi="Times New Roman" w:eastAsia="仿宋_GB2312" w:cs="仿宋_GB2312"/>
          <w:color w:val="auto"/>
          <w:kern w:val="2"/>
          <w:sz w:val="32"/>
          <w:szCs w:val="32"/>
          <w:highlight w:val="none"/>
          <w:lang w:val="en-US" w:eastAsia="zh-CN" w:bidi="ar-SA"/>
        </w:rPr>
        <w:t>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23.99</w:t>
      </w:r>
      <w:r>
        <w:rPr>
          <w:rFonts w:hint="eastAsia" w:ascii="Times New Roman" w:hAnsi="Times New Roman" w:eastAsia="仿宋_GB2312" w:cs="仿宋_GB2312"/>
          <w:color w:val="auto"/>
          <w:kern w:val="2"/>
          <w:sz w:val="32"/>
          <w:szCs w:val="32"/>
          <w:highlight w:val="none"/>
          <w:lang w:val="en-US" w:eastAsia="zh-CN" w:bidi="ar-SA"/>
        </w:rPr>
        <w:t>万元，主要包括：办公费</w:t>
      </w:r>
      <w:r>
        <w:rPr>
          <w:rFonts w:hint="eastAsia" w:eastAsia="仿宋_GB2312" w:cs="仿宋_GB2312"/>
          <w:color w:val="auto"/>
          <w:kern w:val="2"/>
          <w:sz w:val="32"/>
          <w:szCs w:val="32"/>
          <w:highlight w:val="none"/>
          <w:lang w:val="en-US" w:eastAsia="zh-CN" w:bidi="ar-SA"/>
        </w:rPr>
        <w:t>8.89万元</w:t>
      </w:r>
      <w:r>
        <w:rPr>
          <w:rFonts w:hint="eastAsia" w:ascii="Times New Roman" w:hAnsi="Times New Roman" w:eastAsia="仿宋_GB2312" w:cs="仿宋_GB2312"/>
          <w:color w:val="auto"/>
          <w:kern w:val="2"/>
          <w:sz w:val="32"/>
          <w:szCs w:val="32"/>
          <w:highlight w:val="none"/>
          <w:lang w:val="en-US" w:eastAsia="zh-CN" w:bidi="ar-SA"/>
        </w:rPr>
        <w:t>、印刷费</w:t>
      </w:r>
      <w:r>
        <w:rPr>
          <w:rFonts w:hint="eastAsia" w:eastAsia="仿宋_GB2312" w:cs="仿宋_GB2312"/>
          <w:color w:val="auto"/>
          <w:kern w:val="2"/>
          <w:sz w:val="32"/>
          <w:szCs w:val="32"/>
          <w:highlight w:val="none"/>
          <w:lang w:val="en-US" w:eastAsia="zh-CN" w:bidi="ar-SA"/>
        </w:rPr>
        <w:t>0.57万元</w:t>
      </w:r>
      <w:r>
        <w:rPr>
          <w:rFonts w:hint="eastAsia" w:ascii="Times New Roman" w:hAnsi="Times New Roman" w:eastAsia="仿宋_GB2312" w:cs="仿宋_GB2312"/>
          <w:color w:val="auto"/>
          <w:kern w:val="2"/>
          <w:sz w:val="32"/>
          <w:szCs w:val="32"/>
          <w:highlight w:val="none"/>
          <w:lang w:val="en-US" w:eastAsia="zh-CN" w:bidi="ar-SA"/>
        </w:rPr>
        <w:t>、水费</w:t>
      </w:r>
      <w:r>
        <w:rPr>
          <w:rFonts w:hint="eastAsia" w:eastAsia="仿宋_GB2312" w:cs="仿宋_GB2312"/>
          <w:color w:val="auto"/>
          <w:kern w:val="2"/>
          <w:sz w:val="32"/>
          <w:szCs w:val="32"/>
          <w:highlight w:val="none"/>
          <w:lang w:val="en-US" w:eastAsia="zh-CN" w:bidi="ar-SA"/>
        </w:rPr>
        <w:t>0.03万元</w:t>
      </w:r>
      <w:r>
        <w:rPr>
          <w:rFonts w:hint="eastAsia" w:ascii="Times New Roman" w:hAnsi="Times New Roman" w:eastAsia="仿宋_GB2312" w:cs="仿宋_GB2312"/>
          <w:color w:val="auto"/>
          <w:kern w:val="2"/>
          <w:sz w:val="32"/>
          <w:szCs w:val="32"/>
          <w:highlight w:val="none"/>
          <w:lang w:val="en-US" w:eastAsia="zh-CN" w:bidi="ar-SA"/>
        </w:rPr>
        <w:t>、电费</w:t>
      </w:r>
      <w:r>
        <w:rPr>
          <w:rFonts w:hint="eastAsia" w:eastAsia="仿宋_GB2312" w:cs="仿宋_GB2312"/>
          <w:color w:val="auto"/>
          <w:kern w:val="2"/>
          <w:sz w:val="32"/>
          <w:szCs w:val="32"/>
          <w:highlight w:val="none"/>
          <w:lang w:val="en-US" w:eastAsia="zh-CN" w:bidi="ar-SA"/>
        </w:rPr>
        <w:t>0.61万元</w:t>
      </w:r>
      <w:r>
        <w:rPr>
          <w:rFonts w:hint="eastAsia" w:ascii="Times New Roman" w:hAnsi="Times New Roman" w:eastAsia="仿宋_GB2312" w:cs="仿宋_GB2312"/>
          <w:color w:val="auto"/>
          <w:kern w:val="2"/>
          <w:sz w:val="32"/>
          <w:szCs w:val="32"/>
          <w:highlight w:val="none"/>
          <w:lang w:val="en-US" w:eastAsia="zh-CN" w:bidi="ar-SA"/>
        </w:rPr>
        <w:t>、邮电费</w:t>
      </w:r>
      <w:r>
        <w:rPr>
          <w:rFonts w:hint="eastAsia" w:eastAsia="仿宋_GB2312" w:cs="仿宋_GB2312"/>
          <w:color w:val="auto"/>
          <w:kern w:val="2"/>
          <w:sz w:val="32"/>
          <w:szCs w:val="32"/>
          <w:highlight w:val="none"/>
          <w:lang w:val="en-US" w:eastAsia="zh-CN" w:bidi="ar-SA"/>
        </w:rPr>
        <w:t>0.53万元</w:t>
      </w:r>
      <w:r>
        <w:rPr>
          <w:rFonts w:hint="eastAsia" w:ascii="Times New Roman" w:hAnsi="Times New Roman" w:eastAsia="仿宋_GB2312" w:cs="仿宋_GB2312"/>
          <w:color w:val="auto"/>
          <w:kern w:val="2"/>
          <w:sz w:val="32"/>
          <w:szCs w:val="32"/>
          <w:highlight w:val="none"/>
          <w:lang w:val="en-US" w:eastAsia="zh-CN" w:bidi="ar-SA"/>
        </w:rPr>
        <w:t>、取暖费</w:t>
      </w:r>
      <w:r>
        <w:rPr>
          <w:rFonts w:hint="eastAsia" w:eastAsia="仿宋_GB2312" w:cs="仿宋_GB2312"/>
          <w:color w:val="auto"/>
          <w:kern w:val="2"/>
          <w:sz w:val="32"/>
          <w:szCs w:val="32"/>
          <w:highlight w:val="none"/>
          <w:lang w:val="en-US" w:eastAsia="zh-CN" w:bidi="ar-SA"/>
        </w:rPr>
        <w:t>0.66万元</w:t>
      </w:r>
      <w:r>
        <w:rPr>
          <w:rFonts w:hint="eastAsia" w:ascii="Times New Roman" w:hAnsi="Times New Roman" w:eastAsia="仿宋_GB2312" w:cs="仿宋_GB2312"/>
          <w:color w:val="auto"/>
          <w:kern w:val="2"/>
          <w:sz w:val="32"/>
          <w:szCs w:val="32"/>
          <w:highlight w:val="none"/>
          <w:lang w:val="en-US" w:eastAsia="zh-CN" w:bidi="ar-SA"/>
        </w:rPr>
        <w:t>、物业管理费</w:t>
      </w:r>
      <w:r>
        <w:rPr>
          <w:rFonts w:hint="eastAsia" w:eastAsia="仿宋_GB2312" w:cs="仿宋_GB2312"/>
          <w:color w:val="auto"/>
          <w:kern w:val="2"/>
          <w:sz w:val="32"/>
          <w:szCs w:val="32"/>
          <w:highlight w:val="none"/>
          <w:lang w:val="en-US" w:eastAsia="zh-CN" w:bidi="ar-SA"/>
        </w:rPr>
        <w:t>0.72万元</w:t>
      </w:r>
      <w:r>
        <w:rPr>
          <w:rFonts w:hint="eastAsia" w:ascii="Times New Roman" w:hAnsi="Times New Roman" w:eastAsia="仿宋_GB2312" w:cs="仿宋_GB2312"/>
          <w:color w:val="auto"/>
          <w:kern w:val="2"/>
          <w:sz w:val="32"/>
          <w:szCs w:val="32"/>
          <w:highlight w:val="none"/>
          <w:lang w:val="en-US" w:eastAsia="zh-CN" w:bidi="ar-SA"/>
        </w:rPr>
        <w:t>、差旅费</w:t>
      </w:r>
      <w:r>
        <w:rPr>
          <w:rFonts w:hint="eastAsia" w:eastAsia="仿宋_GB2312" w:cs="仿宋_GB2312"/>
          <w:color w:val="auto"/>
          <w:kern w:val="2"/>
          <w:sz w:val="32"/>
          <w:szCs w:val="32"/>
          <w:highlight w:val="none"/>
          <w:lang w:val="en-US" w:eastAsia="zh-CN" w:bidi="ar-SA"/>
        </w:rPr>
        <w:t>2.88万元</w:t>
      </w:r>
      <w:r>
        <w:rPr>
          <w:rFonts w:hint="eastAsia" w:ascii="Times New Roman" w:hAnsi="Times New Roman" w:eastAsia="仿宋_GB2312" w:cs="仿宋_GB2312"/>
          <w:color w:val="auto"/>
          <w:kern w:val="2"/>
          <w:sz w:val="32"/>
          <w:szCs w:val="32"/>
          <w:highlight w:val="none"/>
          <w:lang w:val="en-US" w:eastAsia="zh-CN" w:bidi="ar-SA"/>
        </w:rPr>
        <w:t>、劳务费</w:t>
      </w:r>
      <w:r>
        <w:rPr>
          <w:rFonts w:hint="eastAsia" w:eastAsia="仿宋_GB2312" w:cs="仿宋_GB2312"/>
          <w:color w:val="auto"/>
          <w:kern w:val="2"/>
          <w:sz w:val="32"/>
          <w:szCs w:val="32"/>
          <w:highlight w:val="none"/>
          <w:lang w:val="en-US" w:eastAsia="zh-CN" w:bidi="ar-SA"/>
        </w:rPr>
        <w:t>0.45万元</w:t>
      </w:r>
      <w:r>
        <w:rPr>
          <w:rFonts w:hint="eastAsia" w:ascii="Times New Roman" w:hAnsi="Times New Roman" w:eastAsia="仿宋_GB2312" w:cs="仿宋_GB2312"/>
          <w:color w:val="auto"/>
          <w:kern w:val="2"/>
          <w:sz w:val="32"/>
          <w:szCs w:val="32"/>
          <w:highlight w:val="none"/>
          <w:lang w:val="en-US" w:eastAsia="zh-CN" w:bidi="ar-SA"/>
        </w:rPr>
        <w:t>、公务用车运行维护费</w:t>
      </w:r>
      <w:r>
        <w:rPr>
          <w:rFonts w:hint="eastAsia" w:eastAsia="仿宋_GB2312" w:cs="仿宋_GB2312"/>
          <w:color w:val="auto"/>
          <w:kern w:val="2"/>
          <w:sz w:val="32"/>
          <w:szCs w:val="32"/>
          <w:highlight w:val="none"/>
          <w:lang w:val="en-US" w:eastAsia="zh-CN" w:bidi="ar-SA"/>
        </w:rPr>
        <w:t>4.00万元</w:t>
      </w:r>
      <w:r>
        <w:rPr>
          <w:rFonts w:hint="eastAsia" w:ascii="Times New Roman" w:hAnsi="Times New Roman" w:eastAsia="仿宋_GB2312" w:cs="仿宋_GB2312"/>
          <w:color w:val="auto"/>
          <w:kern w:val="2"/>
          <w:sz w:val="32"/>
          <w:szCs w:val="32"/>
          <w:highlight w:val="none"/>
          <w:lang w:val="en-US" w:eastAsia="zh-CN" w:bidi="ar-SA"/>
        </w:rPr>
        <w:t>、其他商品和服务支出</w:t>
      </w:r>
      <w:r>
        <w:rPr>
          <w:rFonts w:hint="eastAsia" w:eastAsia="仿宋_GB2312" w:cs="仿宋_GB2312"/>
          <w:color w:val="auto"/>
          <w:kern w:val="2"/>
          <w:sz w:val="32"/>
          <w:szCs w:val="32"/>
          <w:highlight w:val="none"/>
          <w:lang w:val="en-US" w:eastAsia="zh-CN" w:bidi="ar-SA"/>
        </w:rPr>
        <w:t>4.66万元</w:t>
      </w:r>
      <w:r>
        <w:rPr>
          <w:rFonts w:hint="eastAsia" w:ascii="Times New Roman" w:hAnsi="Times New Roman" w:eastAsia="仿宋_GB2312" w:cs="仿宋_GB2312"/>
          <w:color w:val="auto"/>
          <w:kern w:val="2"/>
          <w:sz w:val="32"/>
          <w:szCs w:val="32"/>
          <w:highlight w:val="none"/>
          <w:lang w:val="en-US" w:eastAsia="zh-CN" w:bidi="ar-SA"/>
        </w:rPr>
        <w:t>。</w:t>
      </w:r>
    </w:p>
    <w:p w14:paraId="74562F7C">
      <w:pPr>
        <w:spacing w:line="600" w:lineRule="exact"/>
        <w:ind w:firstLine="640"/>
        <w:rPr>
          <w:rFonts w:hint="eastAsia" w:ascii="仿宋" w:hAnsi="仿宋" w:eastAsia="仿宋"/>
          <w:b/>
          <w:color w:val="auto"/>
          <w:sz w:val="32"/>
          <w:szCs w:val="32"/>
          <w:highlight w:val="none"/>
        </w:rPr>
      </w:pPr>
      <w:r>
        <w:rPr>
          <w:rFonts w:hint="eastAsia" w:ascii="仿宋" w:hAnsi="仿宋" w:eastAsia="仿宋"/>
          <w:b/>
          <w:color w:val="auto"/>
          <w:sz w:val="32"/>
          <w:szCs w:val="32"/>
          <w:highlight w:val="none"/>
        </w:rPr>
        <w:t>（注：数据来源于</w:t>
      </w:r>
      <w:r>
        <w:rPr>
          <w:rFonts w:hint="eastAsia" w:ascii="仿宋" w:hAnsi="仿宋" w:eastAsia="仿宋"/>
          <w:b/>
          <w:color w:val="auto"/>
          <w:sz w:val="32"/>
          <w:szCs w:val="32"/>
          <w:highlight w:val="none"/>
          <w:lang w:eastAsia="zh-CN"/>
        </w:rPr>
        <w:t>财决</w:t>
      </w:r>
      <w:r>
        <w:rPr>
          <w:rFonts w:hint="eastAsia" w:ascii="仿宋" w:hAnsi="仿宋" w:eastAsia="仿宋"/>
          <w:b/>
          <w:color w:val="auto"/>
          <w:sz w:val="32"/>
          <w:szCs w:val="32"/>
          <w:highlight w:val="none"/>
          <w:lang w:val="en-US" w:eastAsia="zh-CN"/>
        </w:rPr>
        <w:t>08表</w:t>
      </w:r>
      <w:r>
        <w:rPr>
          <w:rFonts w:hint="eastAsia" w:ascii="仿宋" w:hAnsi="仿宋" w:eastAsia="仿宋"/>
          <w:b/>
          <w:color w:val="auto"/>
          <w:sz w:val="32"/>
          <w:szCs w:val="32"/>
          <w:highlight w:val="none"/>
        </w:rPr>
        <w:t>，</w:t>
      </w:r>
      <w:r>
        <w:rPr>
          <w:rFonts w:hint="eastAsia" w:ascii="仿宋" w:hAnsi="仿宋" w:eastAsia="仿宋"/>
          <w:b/>
          <w:color w:val="auto"/>
          <w:sz w:val="32"/>
          <w:szCs w:val="32"/>
          <w:highlight w:val="none"/>
          <w:lang w:eastAsia="zh-CN"/>
        </w:rPr>
        <w:t>仅罗列</w:t>
      </w:r>
      <w:r>
        <w:rPr>
          <w:rFonts w:hint="eastAsia" w:ascii="仿宋" w:hAnsi="仿宋" w:eastAsia="仿宋"/>
          <w:b/>
          <w:color w:val="auto"/>
          <w:sz w:val="32"/>
          <w:szCs w:val="32"/>
          <w:highlight w:val="none"/>
        </w:rPr>
        <w:t>本部门实际支出</w:t>
      </w:r>
      <w:r>
        <w:rPr>
          <w:rFonts w:hint="eastAsia" w:ascii="仿宋" w:hAnsi="仿宋" w:eastAsia="仿宋"/>
          <w:b/>
          <w:color w:val="auto"/>
          <w:sz w:val="32"/>
          <w:szCs w:val="32"/>
          <w:highlight w:val="none"/>
          <w:lang w:eastAsia="zh-CN"/>
        </w:rPr>
        <w:t>涉及的</w:t>
      </w:r>
      <w:r>
        <w:rPr>
          <w:rFonts w:hint="eastAsia" w:ascii="仿宋" w:hAnsi="仿宋" w:eastAsia="仿宋"/>
          <w:b/>
          <w:color w:val="auto"/>
          <w:sz w:val="32"/>
          <w:szCs w:val="32"/>
          <w:highlight w:val="none"/>
        </w:rPr>
        <w:t>经济分类科目。）</w:t>
      </w:r>
    </w:p>
    <w:p w14:paraId="22558D73">
      <w:pPr>
        <w:pStyle w:val="2"/>
        <w:rPr>
          <w:rFonts w:hint="eastAsia"/>
          <w:lang w:val="en-US" w:eastAsia="zh-CN"/>
        </w:rPr>
      </w:pPr>
    </w:p>
    <w:p w14:paraId="1344BC30">
      <w:pPr>
        <w:spacing w:line="600" w:lineRule="exact"/>
        <w:ind w:firstLine="640"/>
        <w:outlineLvl w:val="1"/>
        <w:rPr>
          <w:rStyle w:val="30"/>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0"/>
      <w:bookmarkEnd w:id="31"/>
    </w:p>
    <w:p w14:paraId="293D9B0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272DDE6D">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4.00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%，与预算数持平</w:t>
      </w:r>
      <w:r>
        <w:rPr>
          <w:rFonts w:hint="eastAsia" w:eastAsia="仿宋_GB2312" w:cs="仿宋_GB2312"/>
          <w:color w:val="auto"/>
          <w:kern w:val="2"/>
          <w:sz w:val="32"/>
          <w:szCs w:val="32"/>
          <w:highlight w:val="none"/>
          <w:lang w:val="en-US" w:eastAsia="zh-CN" w:bidi="ar-SA"/>
        </w:rPr>
        <w:t>。</w:t>
      </w:r>
    </w:p>
    <w:p w14:paraId="20D3258D">
      <w:pPr>
        <w:pStyle w:val="15"/>
        <w:rPr>
          <w:rFonts w:hint="eastAsia"/>
          <w:lang w:val="en-US" w:eastAsia="zh-CN"/>
        </w:rPr>
      </w:pPr>
    </w:p>
    <w:p w14:paraId="1F54D6B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39B48C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万元；公务用车购置及运行维护费支出决算</w:t>
      </w:r>
      <w:r>
        <w:rPr>
          <w:rFonts w:hint="eastAsia" w:eastAsia="仿宋_GB2312" w:cs="仿宋_GB2312"/>
          <w:color w:val="auto"/>
          <w:kern w:val="2"/>
          <w:sz w:val="32"/>
          <w:szCs w:val="32"/>
          <w:highlight w:val="none"/>
          <w:lang w:val="en-US" w:eastAsia="zh-CN" w:bidi="ar-SA"/>
        </w:rPr>
        <w:t>4.00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万元。具体情况如下：</w:t>
      </w:r>
    </w:p>
    <w:p w14:paraId="5B2352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54E4CB75">
      <w:pPr>
        <w:pStyle w:val="15"/>
        <w:rPr>
          <w:rFonts w:hint="eastAsia"/>
          <w:lang w:val="en-US" w:eastAsia="zh-CN"/>
        </w:rPr>
      </w:pPr>
      <w:r>
        <w:rPr>
          <w:rFonts w:hint="eastAsia"/>
          <w:lang w:val="en-US" w:eastAsia="zh-CN"/>
        </w:rPr>
        <w:drawing>
          <wp:inline distT="0" distB="0" distL="114300" distR="114300">
            <wp:extent cx="4876800" cy="2588260"/>
            <wp:effectExtent l="4445" t="4445" r="14605" b="17145"/>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084FB8A">
      <w:pPr>
        <w:pStyle w:val="10"/>
        <w:rPr>
          <w:rFonts w:hint="eastAsia"/>
          <w:lang w:val="en-US" w:eastAsia="zh-CN"/>
        </w:rPr>
      </w:pPr>
    </w:p>
    <w:p w14:paraId="704CB6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w:t>
      </w:r>
    </w:p>
    <w:p w14:paraId="27B6CB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4.00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p>
    <w:p w14:paraId="68AFB11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61EAF4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工作</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6E1E72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p>
    <w:p w14:paraId="211B6A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77218"/>
      <w:bookmarkStart w:id="35" w:name="_Toc15396610"/>
    </w:p>
    <w:p w14:paraId="1A7C26BA">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4"/>
      <w:bookmarkEnd w:id="35"/>
    </w:p>
    <w:p w14:paraId="55F3D3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23985354">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6" w:name="_Toc15377219"/>
      <w:bookmarkStart w:id="37"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6"/>
      <w:bookmarkEnd w:id="37"/>
    </w:p>
    <w:p w14:paraId="1652806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294F7203">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38" w:name="_Toc15377221"/>
      <w:bookmarkStart w:id="39"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8"/>
      <w:bookmarkEnd w:id="39"/>
    </w:p>
    <w:p w14:paraId="70B884E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595F8631">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壤塘县医保局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19.42</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3.64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23.07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5CA9EC3">
      <w:pPr>
        <w:spacing w:line="600" w:lineRule="exact"/>
        <w:ind w:firstLine="640"/>
        <w:rPr>
          <w:rFonts w:hint="eastAsia"/>
          <w:lang w:val="en-US" w:eastAsia="zh-CN"/>
        </w:rPr>
      </w:pPr>
      <w:r>
        <w:rPr>
          <w:rFonts w:hint="eastAsia" w:ascii="仿宋" w:hAnsi="仿宋" w:eastAsia="仿宋"/>
          <w:b/>
          <w:color w:val="auto"/>
          <w:sz w:val="32"/>
          <w:szCs w:val="32"/>
          <w:highlight w:val="none"/>
        </w:rPr>
        <w:t>（注：数据来源于财决附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w:t>
      </w:r>
      <w:r>
        <w:rPr>
          <w:rFonts w:hint="eastAsia" w:ascii="仿宋" w:hAnsi="仿宋" w:eastAsia="仿宋"/>
          <w:b/>
          <w:color w:val="auto"/>
          <w:sz w:val="32"/>
          <w:szCs w:val="32"/>
          <w:highlight w:val="none"/>
          <w:lang w:eastAsia="zh-CN"/>
        </w:rPr>
        <w:t>）</w:t>
      </w:r>
    </w:p>
    <w:p w14:paraId="4803362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523575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w:t>
      </w:r>
    </w:p>
    <w:p w14:paraId="5EEB827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3C90BE49">
      <w:pPr>
        <w:spacing w:line="600" w:lineRule="exact"/>
        <w:ind w:firstLine="640" w:firstLineChars="200"/>
        <w:outlineLvl w:val="2"/>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壤塘县医疗保障局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辆，其中：其他用车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辆，主要是用于</w:t>
      </w:r>
      <w:r>
        <w:rPr>
          <w:rFonts w:hint="eastAsia" w:eastAsia="仿宋_GB2312" w:cs="仿宋_GB2312"/>
          <w:color w:val="auto"/>
          <w:kern w:val="2"/>
          <w:sz w:val="32"/>
          <w:szCs w:val="32"/>
          <w:highlight w:val="none"/>
          <w:lang w:val="en-US" w:eastAsia="zh-CN" w:bidi="ar-SA"/>
        </w:rPr>
        <w:t>本单位日常公务出行。</w:t>
      </w:r>
    </w:p>
    <w:p w14:paraId="3563424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C83DD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根据预算绩效管理要求，在2025年度，组织对</w:t>
      </w:r>
      <w:r>
        <w:rPr>
          <w:rFonts w:hint="eastAsia" w:eastAsia="仿宋_GB2312" w:cs="仿宋_GB2312"/>
          <w:color w:val="auto"/>
          <w:kern w:val="2"/>
          <w:sz w:val="32"/>
          <w:szCs w:val="32"/>
          <w:highlight w:val="none"/>
          <w:lang w:val="en-US" w:eastAsia="zh-CN" w:bidi="ar-SA"/>
        </w:rPr>
        <w:t>城乡居民医保工作经费</w:t>
      </w:r>
      <w:r>
        <w:rPr>
          <w:rFonts w:hint="eastAsia" w:ascii="Times New Roman" w:hAnsi="Times New Roman" w:eastAsia="仿宋_GB2312" w:cs="仿宋_GB2312"/>
          <w:color w:val="auto"/>
          <w:kern w:val="2"/>
          <w:sz w:val="32"/>
          <w:szCs w:val="32"/>
          <w:highlight w:val="none"/>
          <w:lang w:val="en-US" w:eastAsia="zh-CN" w:bidi="ar-SA"/>
        </w:rPr>
        <w:t>项目等</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41.99</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0BD5EE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壤塘县医疗保障局</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部门预算（含部门预算项目）绩效自评报告等专项预算项目绩效自评报告，其中，</w:t>
      </w:r>
      <w:r>
        <w:rPr>
          <w:rFonts w:hint="eastAsia" w:eastAsia="仿宋_GB2312" w:cs="仿宋_GB2312"/>
          <w:color w:val="auto"/>
          <w:kern w:val="2"/>
          <w:sz w:val="32"/>
          <w:szCs w:val="32"/>
          <w:highlight w:val="none"/>
          <w:lang w:val="en-US" w:eastAsia="zh-CN" w:bidi="ar-SA"/>
        </w:rPr>
        <w:t>壤塘县医疗保障局</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91</w:t>
      </w:r>
      <w:r>
        <w:rPr>
          <w:rFonts w:hint="eastAsia" w:ascii="Times New Roman" w:hAnsi="Times New Roman" w:eastAsia="仿宋_GB2312" w:cs="仿宋_GB2312"/>
          <w:color w:val="auto"/>
          <w:kern w:val="2"/>
          <w:sz w:val="32"/>
          <w:szCs w:val="32"/>
          <w:highlight w:val="none"/>
          <w:lang w:val="en-US" w:eastAsia="zh-CN" w:bidi="ar-SA"/>
        </w:rPr>
        <w:t>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1FAC142C">
      <w:pPr>
        <w:pStyle w:val="2"/>
        <w:rPr>
          <w:rFonts w:hint="eastAsia"/>
          <w:lang w:val="en-US" w:eastAsia="zh-CN"/>
        </w:rPr>
      </w:pPr>
    </w:p>
    <w:p w14:paraId="309B2CF3">
      <w:pPr>
        <w:pStyle w:val="15"/>
        <w:rPr>
          <w:rFonts w:hint="eastAsia"/>
          <w:lang w:val="en-US" w:eastAsia="zh-CN"/>
        </w:rPr>
      </w:pPr>
    </w:p>
    <w:p w14:paraId="56110992">
      <w:pPr>
        <w:numPr>
          <w:ilvl w:val="0"/>
          <w:numId w:val="0"/>
        </w:numPr>
        <w:spacing w:line="600" w:lineRule="exact"/>
        <w:jc w:val="center"/>
        <w:outlineLvl w:val="0"/>
        <w:rPr>
          <w:rFonts w:ascii="Times New Roman" w:hAnsi="Times New Roman"/>
          <w:b/>
          <w:color w:val="auto"/>
          <w:sz w:val="44"/>
          <w:szCs w:val="44"/>
          <w:highlight w:val="none"/>
        </w:rPr>
      </w:pPr>
      <w:bookmarkStart w:id="43" w:name="_Toc15396613"/>
      <w:bookmarkStart w:id="4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045CD2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1EC75A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6D7A56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496065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6D58E5F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6E17EE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129F0B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25232B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0C31FA4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机关事业养老保险缴费支出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2080505</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用于人员养老保险方面的支出。</w:t>
      </w:r>
    </w:p>
    <w:p w14:paraId="2B7D78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机关事业职业年金缴费支出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2080506）：</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用于职业年金方面的支出。</w:t>
      </w:r>
    </w:p>
    <w:p w14:paraId="7E299D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21011</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用于行政事业人员医疗方面的支出。</w:t>
      </w:r>
    </w:p>
    <w:p w14:paraId="490B28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医疗保障管理事务</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21015</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用于医疗保障管理方面的支出。</w:t>
      </w:r>
    </w:p>
    <w:p w14:paraId="57896B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住房保障支出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住房改革支出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22102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住房公积金（2210201）</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用于住房公积金方面的支出。</w:t>
      </w:r>
    </w:p>
    <w:p w14:paraId="76F390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7AFD94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4ABF3E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5DC8E9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1FBA6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6F76138">
      <w:pPr>
        <w:spacing w:line="600" w:lineRule="exact"/>
        <w:jc w:val="center"/>
        <w:rPr>
          <w:rStyle w:val="29"/>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14:paraId="49C34535">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4FA3194B">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2CB75793">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r>
        <w:rPr>
          <w:rFonts w:hint="eastAsia" w:eastAsia="方正小标宋简体" w:cs="Times New Roman"/>
          <w:b w:val="0"/>
          <w:bCs/>
          <w:sz w:val="44"/>
          <w:szCs w:val="44"/>
          <w:highlight w:val="none"/>
          <w:shd w:val="clear" w:color="auto" w:fill="FFFFFF"/>
          <w:lang w:eastAsia="zh-CN"/>
        </w:rPr>
        <w:t>壤塘县医疗保障局</w:t>
      </w:r>
      <w:r>
        <w:rPr>
          <w:rFonts w:hint="eastAsia" w:eastAsia="方正小标宋简体" w:cs="Times New Roman"/>
          <w:b w:val="0"/>
          <w:bCs/>
          <w:sz w:val="44"/>
          <w:szCs w:val="44"/>
          <w:highlight w:val="none"/>
          <w:shd w:val="clear" w:color="auto" w:fill="FFFFFF"/>
          <w:lang w:val="en-US" w:eastAsia="zh-CN"/>
        </w:rPr>
        <w:t>2025年</w:t>
      </w:r>
    </w:p>
    <w:p w14:paraId="0F3D22E9">
      <w:pPr>
        <w:keepNext w:val="0"/>
        <w:keepLines w:val="0"/>
        <w:pageBreakBefore w:val="0"/>
        <w:widowControl/>
        <w:kinsoku/>
        <w:wordWrap/>
        <w:overflowPunct/>
        <w:topLinePunct w:val="0"/>
        <w:autoSpaceDE/>
        <w:autoSpaceDN/>
        <w:bidi w:val="0"/>
        <w:adjustRightInd/>
        <w:snapToGrid/>
        <w:spacing w:line="700" w:lineRule="exact"/>
        <w:contextualSpacing/>
        <w:jc w:val="center"/>
        <w:textAlignment w:val="auto"/>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_GBK" w:cs="Times New Roman"/>
          <w:b w:val="0"/>
          <w:bCs/>
          <w:sz w:val="44"/>
          <w:szCs w:val="44"/>
          <w:shd w:val="clear" w:color="auto" w:fill="FFFFFF"/>
        </w:rPr>
        <w:t>整体支出绩效评价</w:t>
      </w:r>
      <w:r>
        <w:rPr>
          <w:rFonts w:hint="default" w:ascii="Times New Roman" w:hAnsi="Times New Roman" w:eastAsia="方正小标宋_GBK" w:cs="Times New Roman"/>
          <w:b w:val="0"/>
          <w:bCs/>
          <w:sz w:val="44"/>
          <w:szCs w:val="44"/>
          <w:shd w:val="clear" w:color="auto" w:fill="FFFFFF"/>
          <w:lang w:eastAsia="zh-CN"/>
        </w:rPr>
        <w:t>自评</w:t>
      </w:r>
      <w:r>
        <w:rPr>
          <w:rFonts w:hint="default" w:ascii="Times New Roman" w:hAnsi="Times New Roman" w:eastAsia="方正小标宋_GBK" w:cs="Times New Roman"/>
          <w:b w:val="0"/>
          <w:bCs/>
          <w:sz w:val="44"/>
          <w:szCs w:val="44"/>
          <w:shd w:val="clear" w:color="auto" w:fill="FFFFFF"/>
        </w:rPr>
        <w:t>报告</w:t>
      </w:r>
    </w:p>
    <w:p w14:paraId="736E9E81">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14:paraId="0635E04D">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66004CD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628174B5">
      <w:pPr>
        <w:keepNext w:val="0"/>
        <w:keepLines w:val="0"/>
        <w:pageBreakBefore w:val="0"/>
        <w:kinsoku/>
        <w:wordWrap/>
        <w:overflowPunct/>
        <w:topLinePunct w:val="0"/>
        <w:autoSpaceDE/>
        <w:autoSpaceDN/>
        <w:bidi w:val="0"/>
        <w:spacing w:line="560" w:lineRule="exact"/>
        <w:ind w:firstLine="643" w:firstLineChars="200"/>
        <w:jc w:val="both"/>
        <w:rPr>
          <w:rFonts w:hint="eastAsia" w:ascii="Times New Roman" w:hAnsi="Times New Roman" w:eastAsia="仿宋_GB2312" w:cs="Times New Roman"/>
          <w:szCs w:val="32"/>
          <w:lang w:eastAsia="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default" w:ascii="Times New Roman" w:hAnsi="Times New Roman" w:eastAsia="仿宋_GB2312" w:cs="Times New Roman"/>
          <w:color w:val="000000"/>
          <w:sz w:val="32"/>
          <w:szCs w:val="32"/>
          <w:highlight w:val="none"/>
        </w:rPr>
        <w:t>壤塘县</w:t>
      </w:r>
      <w:r>
        <w:rPr>
          <w:rFonts w:hint="eastAsia" w:ascii="Times New Roman" w:hAnsi="Times New Roman" w:eastAsia="仿宋_GB2312" w:cs="Times New Roman"/>
          <w:color w:val="000000"/>
          <w:sz w:val="32"/>
          <w:szCs w:val="32"/>
          <w:highlight w:val="none"/>
          <w:lang w:eastAsia="zh-CN"/>
        </w:rPr>
        <w:t>医疗保障局</w:t>
      </w:r>
      <w:r>
        <w:rPr>
          <w:rFonts w:hint="default" w:ascii="Times New Roman" w:hAnsi="Times New Roman" w:eastAsia="仿宋_GB2312" w:cs="Times New Roman"/>
          <w:color w:val="000000"/>
          <w:sz w:val="32"/>
          <w:szCs w:val="32"/>
          <w:highlight w:val="none"/>
        </w:rPr>
        <w:t>属行政机构一级预算单位。</w:t>
      </w:r>
      <w:r>
        <w:rPr>
          <w:rFonts w:hint="default" w:ascii="Times New Roman" w:hAnsi="Times New Roman" w:eastAsia="方正仿宋_GBK" w:cs="Times New Roman"/>
          <w:color w:val="auto"/>
          <w:sz w:val="32"/>
          <w:szCs w:val="32"/>
          <w:lang w:eastAsia="zh-CN"/>
        </w:rPr>
        <w:t>壤塘县医疗保障局</w:t>
      </w:r>
      <w:r>
        <w:rPr>
          <w:rFonts w:hint="default" w:ascii="Times New Roman" w:hAnsi="Times New Roman" w:eastAsia="方正仿宋_GBK" w:cs="Times New Roman"/>
          <w:color w:val="auto"/>
          <w:sz w:val="32"/>
          <w:szCs w:val="32"/>
          <w:lang w:val="en-US" w:eastAsia="zh-CN"/>
        </w:rPr>
        <w:t>下设行政股室1个，中心2个（事业中心1个，参公中心1个）。</w:t>
      </w:r>
      <w:r>
        <w:rPr>
          <w:rFonts w:hint="default" w:ascii="Times New Roman" w:hAnsi="Times New Roman" w:eastAsia="仿宋_GB2312" w:cs="Times New Roman"/>
          <w:color w:val="000000"/>
          <w:sz w:val="32"/>
          <w:szCs w:val="32"/>
          <w:highlight w:val="none"/>
        </w:rPr>
        <w:t>机构组成：办公室、</w:t>
      </w:r>
      <w:r>
        <w:rPr>
          <w:rFonts w:hint="eastAsia" w:ascii="Times New Roman" w:hAnsi="Times New Roman" w:eastAsia="仿宋_GB2312" w:cs="Times New Roman"/>
          <w:color w:val="000000"/>
          <w:sz w:val="32"/>
          <w:szCs w:val="32"/>
          <w:highlight w:val="none"/>
          <w:lang w:eastAsia="zh-CN"/>
        </w:rPr>
        <w:t>基金监管股、稽核股、统筹股、审核股、财务股。</w:t>
      </w:r>
    </w:p>
    <w:p w14:paraId="1DA665CB">
      <w:pPr>
        <w:keepNext w:val="0"/>
        <w:keepLines w:val="0"/>
        <w:pageBreakBefore w:val="0"/>
        <w:kinsoku/>
        <w:wordWrap/>
        <w:overflowPunct/>
        <w:topLinePunct w:val="0"/>
        <w:autoSpaceDE/>
        <w:autoSpaceDN/>
        <w:bidi w:val="0"/>
        <w:spacing w:line="560" w:lineRule="exact"/>
        <w:ind w:firstLine="643" w:firstLineChars="200"/>
        <w:jc w:val="both"/>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p>
    <w:p w14:paraId="2D85C1DE">
      <w:pPr>
        <w:keepNext w:val="0"/>
        <w:keepLines w:val="0"/>
        <w:pageBreakBefore w:val="0"/>
        <w:kinsoku/>
        <w:wordWrap/>
        <w:overflowPunct/>
        <w:topLinePunct w:val="0"/>
        <w:autoSpaceDE/>
        <w:autoSpaceDN/>
        <w:bidi w:val="0"/>
        <w:spacing w:line="560" w:lineRule="exact"/>
        <w:ind w:firstLine="640" w:firstLineChars="200"/>
        <w:jc w:val="both"/>
        <w:rPr>
          <w:rFonts w:hint="eastAsia"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1.贯彻落实医疗保险、生育保险、医疗救助等医疗保障法律法规，执行医疗保障地方性法规、政府规章的具体办法</w:t>
      </w:r>
      <w:r>
        <w:rPr>
          <w:rFonts w:hint="eastAsia" w:eastAsia="方正仿宋_GBK" w:cs="Times New Roman"/>
          <w:color w:val="auto"/>
          <w:sz w:val="32"/>
          <w:szCs w:val="32"/>
          <w:lang w:val="en-US" w:eastAsia="zh-CN"/>
        </w:rPr>
        <w:t>。</w:t>
      </w:r>
    </w:p>
    <w:p w14:paraId="6D339E5A">
      <w:pPr>
        <w:keepNext w:val="0"/>
        <w:keepLines w:val="0"/>
        <w:pageBreakBefore w:val="0"/>
        <w:kinsoku/>
        <w:wordWrap/>
        <w:overflowPunct/>
        <w:topLinePunct w:val="0"/>
        <w:autoSpaceDE/>
        <w:autoSpaceDN/>
        <w:bidi w:val="0"/>
        <w:spacing w:line="56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 xml:space="preserve">2.组织实施医疗保障基金监督管理制度，建立健全医疗保障基金安全防控机制，监督强化全县医疗保障基金运行管理。 </w:t>
      </w:r>
    </w:p>
    <w:p w14:paraId="481D6566">
      <w:pPr>
        <w:keepNext w:val="0"/>
        <w:keepLines w:val="0"/>
        <w:pageBreakBefore w:val="0"/>
        <w:kinsoku/>
        <w:wordWrap/>
        <w:overflowPunct/>
        <w:topLinePunct w:val="0"/>
        <w:autoSpaceDE/>
        <w:autoSpaceDN/>
        <w:bidi w:val="0"/>
        <w:spacing w:line="56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 xml:space="preserve">3.承担医疗保障筹资和待遇支付政策落实的责任。 </w:t>
      </w:r>
    </w:p>
    <w:p w14:paraId="45B1E0B9">
      <w:pPr>
        <w:widowControl/>
        <w:adjustRightInd w:val="0"/>
        <w:snapToGrid w:val="0"/>
        <w:spacing w:line="578" w:lineRule="exact"/>
        <w:ind w:firstLine="640" w:firstLineChars="200"/>
        <w:contextualSpacing/>
        <w:jc w:val="left"/>
        <w:rPr>
          <w:rFonts w:eastAsia="楷体_GB2312"/>
          <w:b/>
          <w:bCs/>
          <w:color w:val="000000"/>
          <w:kern w:val="0"/>
          <w:szCs w:val="32"/>
          <w:shd w:val="clear" w:color="auto" w:fill="FFFFFF"/>
          <w:lang w:val="zh-CN"/>
        </w:rPr>
      </w:pPr>
      <w:r>
        <w:rPr>
          <w:rFonts w:hint="default" w:ascii="Times New Roman" w:hAnsi="Times New Roman" w:eastAsia="方正仿宋_GBK" w:cs="Times New Roman"/>
          <w:color w:val="auto"/>
          <w:sz w:val="32"/>
          <w:szCs w:val="32"/>
          <w:lang w:val="en-US" w:eastAsia="zh-CN"/>
        </w:rPr>
        <w:t>4.贯彻落实全州城乡统一的药品、医用耗材、医疗服务项目、医疗服务设施等医疗保障目录和支付标准并监督管理；监督管理全县特殊医用材料、特殊检查和治疗、医院制剂等相关目录和支付标准并实施</w:t>
      </w:r>
      <w:r>
        <w:rPr>
          <w:rFonts w:hint="eastAsia" w:eastAsia="方正仿宋_GBK" w:cs="Times New Roman"/>
          <w:color w:val="auto"/>
          <w:sz w:val="32"/>
          <w:szCs w:val="32"/>
          <w:lang w:val="en-US" w:eastAsia="zh-CN"/>
        </w:rPr>
        <w:t>。</w:t>
      </w:r>
    </w:p>
    <w:p w14:paraId="0A51D0BC">
      <w:pPr>
        <w:ind w:firstLine="422" w:firstLineChars="200"/>
        <w:rPr>
          <w:rFonts w:hint="default" w:ascii="Times New Roman" w:hAnsi="Times New Roman" w:eastAsia="楷体_GB2312" w:cs="Times New Roman"/>
          <w:b/>
          <w:bCs/>
          <w:color w:val="000000"/>
          <w:kern w:val="0"/>
          <w:szCs w:val="32"/>
          <w:highlight w:val="none"/>
          <w:shd w:val="clear" w:color="auto" w:fill="FFFFFF"/>
          <w:lang w:val="zh-CN"/>
        </w:rPr>
      </w:pPr>
    </w:p>
    <w:p w14:paraId="2AAE0D3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eastAsia="仿宋_GB2312" w:cs="仿宋_GB2312"/>
          <w:color w:val="auto"/>
          <w:kern w:val="2"/>
          <w:sz w:val="32"/>
          <w:szCs w:val="32"/>
          <w:highlight w:val="none"/>
          <w:lang w:val="en-US" w:eastAsia="zh-CN" w:bidi="ar-SA"/>
        </w:rPr>
        <w:t>壤塘县医疗保障局</w:t>
      </w:r>
      <w:r>
        <w:rPr>
          <w:rFonts w:hint="default" w:ascii="Times New Roman" w:hAnsi="Times New Roman" w:eastAsia="仿宋_GB2312" w:cs="Times New Roman"/>
          <w:sz w:val="32"/>
          <w:szCs w:val="32"/>
          <w:lang w:val="en-US" w:eastAsia="zh-CN"/>
        </w:rPr>
        <w:t>及下属单位年末实有</w:t>
      </w:r>
      <w:r>
        <w:rPr>
          <w:rFonts w:hint="eastAsia" w:eastAsia="仿宋_GB2312" w:cs="Times New Roman"/>
          <w:sz w:val="32"/>
          <w:szCs w:val="32"/>
          <w:lang w:val="en-US" w:eastAsia="zh-CN"/>
        </w:rPr>
        <w:t>20人，其中行政人员3人、行政工勤1人、参公人员11人、事业人员5人</w:t>
      </w:r>
      <w:r>
        <w:rPr>
          <w:rFonts w:hint="eastAsia" w:ascii="Times New Roman" w:hAnsi="Times New Roman" w:eastAsia="仿宋_GB2312" w:cs="Times New Roman"/>
          <w:sz w:val="32"/>
          <w:szCs w:val="32"/>
          <w:lang w:val="en-US" w:eastAsia="zh-CN"/>
        </w:rPr>
        <w:t>。</w:t>
      </w:r>
    </w:p>
    <w:p w14:paraId="5DB7B0D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5A449E41">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方正仿宋_GBK" w:cs="Times New Roman"/>
          <w:color w:val="auto"/>
          <w:kern w:val="2"/>
          <w:sz w:val="32"/>
          <w:szCs w:val="32"/>
          <w:lang w:val="en-US" w:eastAsia="zh-CN" w:bidi="ar-SA"/>
        </w:rPr>
        <w:t>2025</w:t>
      </w:r>
      <w:r>
        <w:rPr>
          <w:rFonts w:hint="default" w:ascii="Times New Roman" w:hAnsi="Times New Roman" w:eastAsia="方正仿宋_GBK" w:cs="Times New Roman"/>
          <w:color w:val="auto"/>
          <w:kern w:val="2"/>
          <w:sz w:val="32"/>
          <w:szCs w:val="32"/>
          <w:lang w:val="en-US" w:eastAsia="zh-CN" w:bidi="ar-SA"/>
        </w:rPr>
        <w:t>年财政下达壤塘县医疗保障局年初预算收入</w:t>
      </w:r>
      <w:r>
        <w:rPr>
          <w:rFonts w:hint="eastAsia" w:ascii="Times New Roman" w:hAnsi="Times New Roman" w:eastAsia="方正仿宋_GBK" w:cs="Times New Roman"/>
          <w:color w:val="auto"/>
          <w:kern w:val="2"/>
          <w:sz w:val="32"/>
          <w:szCs w:val="32"/>
          <w:lang w:val="en-US" w:eastAsia="zh-CN" w:bidi="ar-SA"/>
        </w:rPr>
        <w:t>437.31</w:t>
      </w:r>
      <w:r>
        <w:rPr>
          <w:rFonts w:hint="default" w:ascii="Times New Roman" w:hAnsi="Times New Roman" w:eastAsia="方正仿宋_GBK" w:cs="Times New Roman"/>
          <w:color w:val="auto"/>
          <w:kern w:val="2"/>
          <w:sz w:val="32"/>
          <w:szCs w:val="32"/>
          <w:lang w:val="en-US" w:eastAsia="zh-CN" w:bidi="ar-SA"/>
        </w:rPr>
        <w:t>万元，执行期中追加收入</w:t>
      </w:r>
      <w:r>
        <w:rPr>
          <w:rFonts w:hint="eastAsia" w:ascii="Times New Roman" w:hAnsi="Times New Roman" w:eastAsia="方正仿宋_GBK" w:cs="Times New Roman"/>
          <w:color w:val="auto"/>
          <w:kern w:val="2"/>
          <w:sz w:val="32"/>
          <w:szCs w:val="32"/>
          <w:lang w:val="en-US" w:eastAsia="zh-CN" w:bidi="ar-SA"/>
        </w:rPr>
        <w:t>115.04</w:t>
      </w:r>
      <w:r>
        <w:rPr>
          <w:rFonts w:hint="default" w:ascii="Times New Roman" w:hAnsi="Times New Roman" w:eastAsia="方正仿宋_GBK" w:cs="Times New Roman"/>
          <w:color w:val="auto"/>
          <w:kern w:val="2"/>
          <w:sz w:val="32"/>
          <w:szCs w:val="32"/>
          <w:lang w:val="en-US" w:eastAsia="zh-CN" w:bidi="ar-SA"/>
        </w:rPr>
        <w:t>万元，全年实际收入</w:t>
      </w:r>
      <w:r>
        <w:rPr>
          <w:rFonts w:hint="eastAsia" w:ascii="Times New Roman" w:hAnsi="Times New Roman" w:eastAsia="方正仿宋_GBK" w:cs="Times New Roman"/>
          <w:color w:val="auto"/>
          <w:kern w:val="2"/>
          <w:sz w:val="32"/>
          <w:szCs w:val="32"/>
          <w:lang w:val="en-US" w:eastAsia="zh-CN" w:bidi="ar-SA"/>
        </w:rPr>
        <w:t>552.35</w:t>
      </w:r>
      <w:r>
        <w:rPr>
          <w:rFonts w:hint="default" w:ascii="Times New Roman" w:hAnsi="Times New Roman" w:eastAsia="方正仿宋_GBK" w:cs="Times New Roman"/>
          <w:color w:val="auto"/>
          <w:kern w:val="2"/>
          <w:sz w:val="32"/>
          <w:szCs w:val="32"/>
          <w:lang w:val="en-US" w:eastAsia="zh-CN" w:bidi="ar-SA"/>
        </w:rPr>
        <w:t>，本年度无财政应返还额度</w:t>
      </w:r>
      <w:r>
        <w:rPr>
          <w:szCs w:val="32"/>
        </w:rPr>
        <w:t>。</w:t>
      </w:r>
    </w:p>
    <w:p w14:paraId="1FD71BD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方正仿宋_GBK" w:cs="Times New Roman"/>
          <w:color w:val="auto"/>
          <w:kern w:val="2"/>
          <w:sz w:val="32"/>
          <w:szCs w:val="32"/>
          <w:lang w:val="en-US" w:eastAsia="zh-CN" w:bidi="ar-SA"/>
        </w:rPr>
        <w:t>2025</w:t>
      </w:r>
      <w:r>
        <w:rPr>
          <w:rFonts w:hint="default" w:ascii="Times New Roman" w:hAnsi="Times New Roman" w:eastAsia="方正仿宋_GBK" w:cs="Times New Roman"/>
          <w:color w:val="auto"/>
          <w:kern w:val="2"/>
          <w:sz w:val="32"/>
          <w:szCs w:val="32"/>
          <w:lang w:val="en-US" w:eastAsia="zh-CN" w:bidi="ar-SA"/>
        </w:rPr>
        <w:t>年壤塘县医疗保障局共计预算支出</w:t>
      </w:r>
      <w:r>
        <w:rPr>
          <w:rFonts w:hint="eastAsia" w:ascii="Times New Roman" w:hAnsi="Times New Roman" w:eastAsia="方正仿宋_GBK" w:cs="Times New Roman"/>
          <w:color w:val="auto"/>
          <w:kern w:val="2"/>
          <w:sz w:val="32"/>
          <w:szCs w:val="32"/>
          <w:lang w:val="en-US" w:eastAsia="zh-CN" w:bidi="ar-SA"/>
        </w:rPr>
        <w:t>552.35</w:t>
      </w:r>
      <w:r>
        <w:rPr>
          <w:rFonts w:hint="default" w:ascii="Times New Roman" w:hAnsi="Times New Roman" w:eastAsia="方正仿宋_GBK" w:cs="Times New Roman"/>
          <w:color w:val="auto"/>
          <w:kern w:val="2"/>
          <w:sz w:val="32"/>
          <w:szCs w:val="32"/>
          <w:lang w:val="en-US" w:eastAsia="zh-CN" w:bidi="ar-SA"/>
        </w:rPr>
        <w:t>万元，基本支出</w:t>
      </w:r>
      <w:r>
        <w:rPr>
          <w:rFonts w:hint="eastAsia" w:ascii="Times New Roman" w:hAnsi="Times New Roman" w:eastAsia="方正仿宋_GBK" w:cs="Times New Roman"/>
          <w:color w:val="auto"/>
          <w:kern w:val="2"/>
          <w:sz w:val="32"/>
          <w:szCs w:val="32"/>
          <w:lang w:val="en-US" w:eastAsia="zh-CN" w:bidi="ar-SA"/>
        </w:rPr>
        <w:t>512.33</w:t>
      </w:r>
      <w:r>
        <w:rPr>
          <w:rFonts w:hint="default" w:ascii="Times New Roman" w:hAnsi="Times New Roman" w:eastAsia="方正仿宋_GBK" w:cs="Times New Roman"/>
          <w:color w:val="auto"/>
          <w:kern w:val="2"/>
          <w:sz w:val="32"/>
          <w:szCs w:val="32"/>
          <w:lang w:val="en-US" w:eastAsia="zh-CN" w:bidi="ar-SA"/>
        </w:rPr>
        <w:t>万元，项目支出</w:t>
      </w:r>
      <w:r>
        <w:rPr>
          <w:rFonts w:hint="eastAsia" w:ascii="Times New Roman" w:hAnsi="Times New Roman" w:eastAsia="方正仿宋_GBK" w:cs="Times New Roman"/>
          <w:color w:val="auto"/>
          <w:kern w:val="2"/>
          <w:sz w:val="32"/>
          <w:szCs w:val="32"/>
          <w:lang w:val="en-US" w:eastAsia="zh-CN" w:bidi="ar-SA"/>
        </w:rPr>
        <w:t>40.02</w:t>
      </w:r>
      <w:r>
        <w:rPr>
          <w:rFonts w:hint="default" w:ascii="Times New Roman" w:hAnsi="Times New Roman" w:eastAsia="方正仿宋_GBK" w:cs="Times New Roman"/>
          <w:color w:val="auto"/>
          <w:kern w:val="2"/>
          <w:sz w:val="32"/>
          <w:szCs w:val="32"/>
          <w:lang w:val="en-US" w:eastAsia="zh-CN" w:bidi="ar-SA"/>
        </w:rPr>
        <w:t>万</w:t>
      </w:r>
      <w:r>
        <w:rPr>
          <w:rFonts w:hint="eastAsia" w:ascii="Times New Roman" w:hAnsi="Times New Roman" w:eastAsia="方正仿宋_GBK" w:cs="Times New Roman"/>
          <w:color w:val="auto"/>
          <w:kern w:val="2"/>
          <w:sz w:val="32"/>
          <w:szCs w:val="32"/>
          <w:lang w:val="en-US" w:eastAsia="zh-CN" w:bidi="ar-SA"/>
        </w:rPr>
        <w:t>元。</w:t>
      </w:r>
    </w:p>
    <w:p w14:paraId="2899F7DB">
      <w:pPr>
        <w:widowControl/>
        <w:adjustRightInd w:val="0"/>
        <w:snapToGrid w:val="0"/>
        <w:spacing w:line="578" w:lineRule="exact"/>
        <w:ind w:firstLine="643" w:firstLineChars="200"/>
        <w:contextualSpacing/>
        <w:jc w:val="left"/>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方正仿宋_GBK" w:cs="Times New Roman"/>
          <w:color w:val="auto"/>
          <w:kern w:val="2"/>
          <w:sz w:val="32"/>
          <w:szCs w:val="32"/>
          <w:lang w:val="en-US" w:eastAsia="zh-CN" w:bidi="ar-SA"/>
        </w:rPr>
        <w:t>2025</w:t>
      </w:r>
      <w:r>
        <w:rPr>
          <w:rFonts w:hint="default" w:ascii="Times New Roman" w:hAnsi="Times New Roman" w:eastAsia="方正仿宋_GBK" w:cs="Times New Roman"/>
          <w:color w:val="auto"/>
          <w:kern w:val="2"/>
          <w:sz w:val="32"/>
          <w:szCs w:val="32"/>
          <w:lang w:val="en-US" w:eastAsia="zh-CN" w:bidi="ar-SA"/>
        </w:rPr>
        <w:t>年壤塘县医疗保障局</w:t>
      </w:r>
      <w:r>
        <w:rPr>
          <w:rFonts w:hint="eastAsia" w:eastAsia="方正仿宋_GBK" w:cs="Times New Roman"/>
          <w:color w:val="auto"/>
          <w:kern w:val="2"/>
          <w:sz w:val="32"/>
          <w:szCs w:val="32"/>
          <w:lang w:val="en-US" w:eastAsia="zh-CN" w:bidi="ar-SA"/>
        </w:rPr>
        <w:t>结转结余为0万元</w:t>
      </w:r>
      <w:r>
        <w:rPr>
          <w:rFonts w:hint="default" w:ascii="Times New Roman" w:hAnsi="Times New Roman" w:eastAsia="方正仿宋_GBK" w:cs="Times New Roman"/>
          <w:color w:val="auto"/>
          <w:kern w:val="2"/>
          <w:sz w:val="32"/>
          <w:szCs w:val="32"/>
          <w:lang w:val="en-US" w:eastAsia="zh-CN" w:bidi="ar-SA"/>
        </w:rPr>
        <w:t>。</w:t>
      </w:r>
    </w:p>
    <w:p w14:paraId="04000ED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064C45E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14:paraId="50BC24E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Times New Roman"/>
          <w:color w:val="000000"/>
          <w:kern w:val="0"/>
          <w:sz w:val="32"/>
          <w:szCs w:val="32"/>
          <w:shd w:val="clear" w:color="auto" w:fill="FFFFFF"/>
          <w:lang w:val="zh-CN" w:eastAsia="zh-CN"/>
        </w:rPr>
        <w:t>1.履职效能。</w:t>
      </w:r>
      <w:r>
        <w:rPr>
          <w:rFonts w:hint="eastAsia" w:ascii="Times New Roman" w:hAnsi="Times New Roman" w:eastAsia="仿宋_GB2312" w:cs="仿宋_GB2312"/>
          <w:color w:val="auto"/>
          <w:kern w:val="2"/>
          <w:sz w:val="32"/>
          <w:szCs w:val="32"/>
          <w:highlight w:val="none"/>
          <w:lang w:val="zh-CN" w:eastAsia="zh-CN" w:bidi="ar-SA"/>
        </w:rPr>
        <w:t>选定医保参保扩面履职效果、医保基金监管履职效果、医保政策宣传履职效果，主要围绕年度城乡居民医保参保人数目标完成情况；医保基金监管成效；医保政策宣传情况进行评分。我单位在</w:t>
      </w:r>
      <w:r>
        <w:rPr>
          <w:rFonts w:hint="eastAsia" w:ascii="Times New Roman" w:hAnsi="Times New Roman"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zh-CN" w:eastAsia="zh-CN" w:bidi="ar-SA"/>
        </w:rPr>
        <w:t>城乡居民医保参保</w:t>
      </w:r>
      <w:r>
        <w:rPr>
          <w:rFonts w:hint="eastAsia" w:ascii="Times New Roman" w:hAnsi="Times New Roman" w:eastAsia="仿宋_GB2312" w:cs="仿宋_GB2312"/>
          <w:color w:val="auto"/>
          <w:kern w:val="2"/>
          <w:sz w:val="32"/>
          <w:szCs w:val="32"/>
          <w:highlight w:val="none"/>
          <w:lang w:val="en-US" w:eastAsia="zh-CN" w:bidi="ar-SA"/>
        </w:rPr>
        <w:t>39878人，发现违规案</w:t>
      </w:r>
      <w:r>
        <w:rPr>
          <w:rFonts w:hint="eastAsia" w:eastAsia="仿宋_GB2312" w:cs="仿宋_GB2312"/>
          <w:color w:val="auto"/>
          <w:kern w:val="2"/>
          <w:sz w:val="32"/>
          <w:szCs w:val="32"/>
          <w:highlight w:val="none"/>
          <w:lang w:val="en-US" w:eastAsia="zh-CN" w:bidi="ar-SA"/>
        </w:rPr>
        <w:t>例</w:t>
      </w:r>
      <w:r>
        <w:rPr>
          <w:rFonts w:hint="eastAsia" w:ascii="Times New Roman" w:hAnsi="Times New Roman" w:eastAsia="仿宋_GB2312" w:cs="仿宋_GB2312"/>
          <w:color w:val="auto"/>
          <w:kern w:val="2"/>
          <w:sz w:val="32"/>
          <w:szCs w:val="32"/>
          <w:highlight w:val="none"/>
          <w:lang w:val="en-US" w:eastAsia="zh-CN" w:bidi="ar-SA"/>
        </w:rPr>
        <w:t>10余件，医保政策宣传不少5次。</w:t>
      </w:r>
    </w:p>
    <w:p w14:paraId="228C6CE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楷体_GB2312" w:cs="Times New Roman"/>
          <w:color w:val="000000"/>
          <w:kern w:val="0"/>
          <w:sz w:val="32"/>
          <w:szCs w:val="32"/>
          <w:shd w:val="clear" w:color="auto" w:fill="FFFFFF"/>
          <w:lang w:val="zh-CN" w:eastAsia="zh-CN"/>
        </w:rPr>
        <w:t>2.预算管理。</w:t>
      </w:r>
      <w:r>
        <w:rPr>
          <w:rFonts w:hint="eastAsia" w:ascii="Times New Roman" w:hAnsi="Times New Roman" w:eastAsia="仿宋_GB2312" w:cs="仿宋_GB2312"/>
          <w:color w:val="auto"/>
          <w:kern w:val="2"/>
          <w:sz w:val="32"/>
          <w:szCs w:val="32"/>
          <w:highlight w:val="none"/>
          <w:lang w:val="zh-CN" w:eastAsia="zh-CN" w:bidi="ar-SA"/>
        </w:rPr>
        <w:t>围绕预算编制质量、单位收入统筹、支出执行管理、预算年终结余、严控一般性支出、预决算公开进行绩效分析。</w:t>
      </w:r>
    </w:p>
    <w:p w14:paraId="2A7B3F4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楷体_GB2312" w:cs="Times New Roman"/>
          <w:color w:val="000000"/>
          <w:kern w:val="0"/>
          <w:sz w:val="32"/>
          <w:szCs w:val="32"/>
          <w:shd w:val="clear" w:color="auto" w:fill="FFFFFF"/>
          <w:lang w:val="zh-CN" w:eastAsia="zh-CN"/>
        </w:rPr>
        <w:t>3.财务管理。</w:t>
      </w:r>
      <w:r>
        <w:rPr>
          <w:rFonts w:hint="eastAsia" w:ascii="Times New Roman" w:hAnsi="Times New Roman" w:eastAsia="仿宋_GB2312" w:cs="仿宋_GB2312"/>
          <w:color w:val="auto"/>
          <w:kern w:val="2"/>
          <w:sz w:val="32"/>
          <w:szCs w:val="32"/>
          <w:highlight w:val="none"/>
          <w:lang w:val="zh-CN" w:eastAsia="zh-CN" w:bidi="ar-SA"/>
        </w:rPr>
        <w:t>我单位财务管理工作严格遵循《政府会计制度》《行政单位财务规则》等相关规定，围绕财务管理制度建设、财务岗位设置、资金使用规范三个维度开展绩效分析：</w:t>
      </w:r>
    </w:p>
    <w:p w14:paraId="6FB4DFB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财务管理制度：已建立健全预算管理、收支管理、资产管理、政府采购等配套财务制度，制度体系完整、权责清晰，覆盖了财务活动全流程，为财务管理工作提供了坚实的制度保障。</w:t>
      </w:r>
    </w:p>
    <w:p w14:paraId="204C12A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财务岗位设置：按照不相容岗位分离原则，合理设置会计、出纳等关键岗位，明确岗位职责与权限，岗位分工清晰、制约有效，有效防范了财务岗位风险。</w:t>
      </w:r>
    </w:p>
    <w:p w14:paraId="67BF15A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资金使用规范：严格执行国库集中支付制度和预算资金使用管理规定，资金拨付、使用、报销全流程审核到位，无截留、挤占、挪用资金等违规行为，资金使用合规率100%，资金使用效益得到有效保障。</w:t>
      </w:r>
    </w:p>
    <w:p w14:paraId="5C90DDF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整体来看，本单位财务管理工作规范有序，制度执行到位，有效保障了单位各项工作的顺利开展。</w:t>
      </w:r>
    </w:p>
    <w:p w14:paraId="58C51FB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楷体_GB2312" w:cs="Times New Roman"/>
          <w:color w:val="000000"/>
          <w:kern w:val="0"/>
          <w:sz w:val="32"/>
          <w:szCs w:val="32"/>
          <w:shd w:val="clear" w:color="auto" w:fill="FFFFFF"/>
          <w:lang w:val="zh-CN" w:eastAsia="zh-CN"/>
        </w:rPr>
      </w:pPr>
      <w:r>
        <w:rPr>
          <w:rFonts w:hint="eastAsia" w:ascii="Times New Roman" w:hAnsi="Times New Roman" w:eastAsia="楷体_GB2312" w:cs="Times New Roman"/>
          <w:color w:val="000000"/>
          <w:kern w:val="0"/>
          <w:sz w:val="32"/>
          <w:szCs w:val="32"/>
          <w:shd w:val="clear" w:color="auto" w:fill="FFFFFF"/>
          <w:lang w:val="en-US" w:eastAsia="zh-CN"/>
        </w:rPr>
        <w:t>4.</w:t>
      </w:r>
      <w:r>
        <w:rPr>
          <w:rFonts w:hint="eastAsia" w:ascii="Times New Roman" w:hAnsi="Times New Roman" w:eastAsia="楷体_GB2312" w:cs="Times New Roman"/>
          <w:color w:val="000000"/>
          <w:kern w:val="0"/>
          <w:sz w:val="32"/>
          <w:szCs w:val="32"/>
          <w:shd w:val="clear" w:color="auto" w:fill="FFFFFF"/>
          <w:lang w:val="zh-CN" w:eastAsia="zh-CN"/>
        </w:rPr>
        <w:t>资产管理。</w:t>
      </w:r>
    </w:p>
    <w:p w14:paraId="0D7A01E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人均资产变化率：严格按照配置标准新增资产，严控超标准配置，资产规模增长与单位履职需求相匹配，人均资产变化率处于合理区间，未出现资产盲目扩张或闲置浪费的情况。</w:t>
      </w:r>
    </w:p>
    <w:p w14:paraId="3A51B88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资产利用率：定期开展资产盘点清查，建立资产台账，对在用资产进行动态管理，办公设备、专用设备等资产均按规定投入使用，资产利用率达到</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zh-CN" w:eastAsia="zh-CN" w:bidi="ar-SA"/>
        </w:rPr>
        <w:t>%，未发现长期闲置资产。</w:t>
      </w:r>
    </w:p>
    <w:p w14:paraId="07798C3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资产盘活率：我单位暂无闲置的资产进行盘活，但我单位会坚持对存量闲置资产进行全面梳理，通过内部调剂、共享共用，减少了重复配置，提升了资产使用效益</w:t>
      </w:r>
    </w:p>
    <w:p w14:paraId="46D03F6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下一步，我们将继续强化资产动态管理，持续提升资产使用效率，进一步优化资产配置结构。</w:t>
      </w:r>
    </w:p>
    <w:p w14:paraId="6F83AE0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楷体_GB2312" w:cs="Times New Roman"/>
          <w:color w:val="000000"/>
          <w:kern w:val="0"/>
          <w:sz w:val="32"/>
          <w:szCs w:val="32"/>
          <w:shd w:val="clear" w:color="auto" w:fill="FFFFFF"/>
          <w:lang w:val="zh-CN" w:eastAsia="zh-CN"/>
        </w:rPr>
        <w:t>5.采购管理。</w:t>
      </w:r>
      <w:r>
        <w:rPr>
          <w:rFonts w:hint="eastAsia" w:ascii="Times New Roman" w:hAnsi="Times New Roman" w:eastAsia="仿宋_GB2312" w:cs="仿宋_GB2312"/>
          <w:color w:val="auto"/>
          <w:kern w:val="2"/>
          <w:sz w:val="32"/>
          <w:szCs w:val="32"/>
          <w:highlight w:val="none"/>
          <w:lang w:val="zh-CN" w:eastAsia="zh-CN" w:bidi="ar-SA"/>
        </w:rPr>
        <w:t>我单位在</w:t>
      </w:r>
      <w:r>
        <w:rPr>
          <w:rFonts w:hint="eastAsia" w:ascii="Times New Roman" w:hAnsi="Times New Roman" w:eastAsia="仿宋_GB2312" w:cs="仿宋_GB2312"/>
          <w:color w:val="auto"/>
          <w:kern w:val="2"/>
          <w:sz w:val="32"/>
          <w:szCs w:val="32"/>
          <w:highlight w:val="none"/>
          <w:lang w:val="en-US" w:eastAsia="zh-CN" w:bidi="ar-SA"/>
        </w:rPr>
        <w:t>2025年度暂无采购。</w:t>
      </w:r>
    </w:p>
    <w:p w14:paraId="7F83A98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2025年度，我单位阶段性（含一次性）项目共</w:t>
      </w:r>
      <w:r>
        <w:rPr>
          <w:rFonts w:hint="eastAsia" w:ascii="Times New Roman" w:hAnsi="Times New Roman"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40.02</w:t>
      </w:r>
      <w:r>
        <w:rPr>
          <w:rFonts w:hint="eastAsia" w:ascii="Times New Roman" w:hAnsi="Times New Roman" w:eastAsia="仿宋_GB2312" w:cs="仿宋_GB2312"/>
          <w:color w:val="auto"/>
          <w:kern w:val="2"/>
          <w:sz w:val="32"/>
          <w:szCs w:val="32"/>
          <w:highlight w:val="none"/>
          <w:lang w:val="zh-CN" w:eastAsia="zh-CN" w:bidi="ar-SA"/>
        </w:rPr>
        <w:t>万元，1—12月预算执行总体进度为</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zh-CN" w:eastAsia="zh-CN" w:bidi="ar-SA"/>
        </w:rPr>
        <w:t>%。</w:t>
      </w:r>
    </w:p>
    <w:p w14:paraId="79A8231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楷体_GB2312" w:cs="Times New Roman"/>
          <w:color w:val="000000"/>
          <w:kern w:val="0"/>
          <w:sz w:val="32"/>
          <w:szCs w:val="32"/>
          <w:shd w:val="clear" w:color="auto" w:fill="FFFFFF"/>
          <w:lang w:val="zh-CN" w:eastAsia="zh-CN"/>
        </w:rPr>
        <w:t>1.项目决策。</w:t>
      </w:r>
      <w:r>
        <w:rPr>
          <w:rFonts w:hint="eastAsia" w:ascii="Times New Roman" w:hAnsi="Times New Roman" w:eastAsia="仿宋_GB2312" w:cs="仿宋_GB2312"/>
          <w:color w:val="auto"/>
          <w:kern w:val="2"/>
          <w:sz w:val="32"/>
          <w:szCs w:val="32"/>
          <w:highlight w:val="none"/>
          <w:lang w:val="zh-CN" w:eastAsia="zh-CN" w:bidi="ar-SA"/>
        </w:rPr>
        <w:t>决策程序：所有项目均严格履行集体决策、项目论证、预算评审等程序，依据部门职责、年度重点工作任务及财政预算管理要求编制项目预算，决策流程合规、依据充分，未出现违规立项、重复申报等问题。</w:t>
      </w:r>
    </w:p>
    <w:p w14:paraId="0809F62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目标设置：项目绩效目标均细化为产出指标、效益指标、满意度指标等二级、三级指标，指标设置贴合项目实际，可量化、可考核，与部门履职目标高度匹配，无脱离实际、目标模糊的情况。</w:t>
      </w:r>
    </w:p>
    <w:p w14:paraId="228F2F4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项目入库：所有项目均纳入财政预算管理一体化系统项目库管理，入库前均完成可行性研究、绩效目标审核，入库资料完整规范，实现项目全生命周期管理。</w:t>
      </w:r>
    </w:p>
    <w:p w14:paraId="47B2021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楷体_GB2312" w:cs="Times New Roman"/>
          <w:color w:val="000000"/>
          <w:kern w:val="0"/>
          <w:sz w:val="32"/>
          <w:szCs w:val="32"/>
          <w:shd w:val="clear" w:color="auto" w:fill="FFFFFF"/>
          <w:lang w:val="zh-CN" w:eastAsia="zh-CN"/>
        </w:rPr>
        <w:t>2.项目执行。</w:t>
      </w:r>
      <w:r>
        <w:rPr>
          <w:rFonts w:hint="eastAsia" w:ascii="Times New Roman" w:hAnsi="Times New Roman" w:eastAsia="仿宋_GB2312" w:cs="仿宋_GB2312"/>
          <w:color w:val="auto"/>
          <w:kern w:val="2"/>
          <w:sz w:val="32"/>
          <w:szCs w:val="32"/>
          <w:highlight w:val="none"/>
          <w:lang w:val="zh-CN" w:eastAsia="zh-CN" w:bidi="ar-SA"/>
        </w:rPr>
        <w:t>资金执行</w:t>
      </w:r>
      <w:r>
        <w:rPr>
          <w:rFonts w:hint="eastAsia" w:eastAsia="仿宋_GB2312" w:cs="仿宋_GB2312"/>
          <w:color w:val="auto"/>
          <w:kern w:val="2"/>
          <w:sz w:val="32"/>
          <w:szCs w:val="32"/>
          <w:highlight w:val="none"/>
          <w:lang w:val="zh-CN" w:eastAsia="zh-CN" w:bidi="ar-SA"/>
        </w:rPr>
        <w:t>进度</w:t>
      </w:r>
      <w:r>
        <w:rPr>
          <w:rFonts w:hint="eastAsia" w:ascii="Times New Roman" w:hAnsi="Times New Roman" w:eastAsia="仿宋_GB2312" w:cs="仿宋_GB2312"/>
          <w:color w:val="auto"/>
          <w:kern w:val="2"/>
          <w:sz w:val="32"/>
          <w:szCs w:val="32"/>
          <w:highlight w:val="none"/>
          <w:lang w:val="zh-CN" w:eastAsia="zh-CN" w:bidi="ar-SA"/>
        </w:rPr>
        <w:t>：项目资金拨付与项目实施进度基本匹配，资金使用严格执行国库集中支付制度，无截留、挤占、挪用资金的情况。</w:t>
      </w:r>
    </w:p>
    <w:p w14:paraId="4AE4317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项目调整：本年度无重大项目预算调整事项，确需调整的项目，均按规定履行预算调整审批程序，调整依据充分、流程合规，未出现擅自变更项目用途、调整项目内容的情况。</w:t>
      </w:r>
    </w:p>
    <w:p w14:paraId="35C6FEF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执行结果：大部分项目按计划完成年度实施任务，预算执行率整体处于合理区间。少数项目因不可抗力等因素，执行进度未达预期，已制定后续推进方案，确保项目尽快落地见效。</w:t>
      </w:r>
    </w:p>
    <w:p w14:paraId="45A974A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楷体_GB2312" w:cs="Times New Roman"/>
          <w:color w:val="000000"/>
          <w:kern w:val="0"/>
          <w:sz w:val="32"/>
          <w:szCs w:val="32"/>
          <w:shd w:val="clear" w:color="auto" w:fill="FFFFFF"/>
          <w:lang w:val="zh-CN" w:eastAsia="zh-CN"/>
        </w:rPr>
        <w:t>3.目标实现。</w:t>
      </w:r>
      <w:r>
        <w:rPr>
          <w:rFonts w:hint="eastAsia" w:ascii="Times New Roman" w:hAnsi="Times New Roman" w:eastAsia="仿宋_GB2312" w:cs="仿宋_GB2312"/>
          <w:color w:val="auto"/>
          <w:kern w:val="2"/>
          <w:sz w:val="32"/>
          <w:szCs w:val="32"/>
          <w:highlight w:val="none"/>
          <w:lang w:val="zh-CN" w:eastAsia="zh-CN" w:bidi="ar-SA"/>
        </w:rPr>
        <w:t>目标完成：项目整体绩效目标</w:t>
      </w:r>
      <w:r>
        <w:rPr>
          <w:rFonts w:hint="eastAsia" w:eastAsia="仿宋_GB2312" w:cs="仿宋_GB2312"/>
          <w:color w:val="auto"/>
          <w:kern w:val="2"/>
          <w:sz w:val="32"/>
          <w:szCs w:val="32"/>
          <w:highlight w:val="none"/>
          <w:lang w:val="zh-CN" w:eastAsia="zh-CN" w:bidi="ar-SA"/>
        </w:rPr>
        <w:t>完成大</w:t>
      </w:r>
      <w:r>
        <w:rPr>
          <w:rFonts w:hint="eastAsia" w:ascii="Times New Roman" w:hAnsi="Times New Roman" w:eastAsia="仿宋_GB2312" w:cs="仿宋_GB2312"/>
          <w:color w:val="auto"/>
          <w:kern w:val="2"/>
          <w:sz w:val="32"/>
          <w:szCs w:val="32"/>
          <w:highlight w:val="none"/>
          <w:lang w:val="zh-CN" w:eastAsia="zh-CN" w:bidi="ar-SA"/>
        </w:rPr>
        <w:t>部分项目超额完成年度既定目标，有效支撑了部门年度重点工作落实。</w:t>
      </w:r>
    </w:p>
    <w:p w14:paraId="038F8F8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目标偏离：少数项目存在目标偏离情况，已对偏离原因进行梳理，后续将优化指标设置，提升目标合理性。</w:t>
      </w:r>
    </w:p>
    <w:p w14:paraId="496F3C6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实现效果：项目实施有效保障</w:t>
      </w:r>
      <w:r>
        <w:rPr>
          <w:rFonts w:hint="eastAsia" w:eastAsia="仿宋_GB2312" w:cs="仿宋_GB2312"/>
          <w:color w:val="auto"/>
          <w:kern w:val="2"/>
          <w:sz w:val="32"/>
          <w:szCs w:val="32"/>
          <w:highlight w:val="none"/>
          <w:lang w:val="zh-CN" w:eastAsia="zh-CN" w:bidi="ar-SA"/>
        </w:rPr>
        <w:t>了</w:t>
      </w:r>
      <w:r>
        <w:rPr>
          <w:rFonts w:hint="eastAsia" w:ascii="Times New Roman" w:hAnsi="Times New Roman" w:eastAsia="仿宋_GB2312" w:cs="仿宋_GB2312"/>
          <w:color w:val="auto"/>
          <w:kern w:val="2"/>
          <w:sz w:val="32"/>
          <w:szCs w:val="32"/>
          <w:highlight w:val="none"/>
          <w:lang w:val="zh-CN" w:eastAsia="zh-CN" w:bidi="ar-SA"/>
        </w:rPr>
        <w:t>部门履职、提升公共服务水平，在业务运转、民生保障、政策落实等方面取得了良好的社会效益，未出现重大负面效果或不良影响。</w:t>
      </w:r>
    </w:p>
    <w:p w14:paraId="4E61B16D">
      <w:pPr>
        <w:numPr>
          <w:ilvl w:val="0"/>
          <w:numId w:val="1"/>
        </w:numPr>
        <w:snapToGrid w:val="0"/>
        <w:spacing w:line="578" w:lineRule="exact"/>
        <w:ind w:firstLine="643" w:firstLineChars="200"/>
        <w:jc w:val="left"/>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eastAsia" w:eastAsia="楷体_GB2312" w:cs="Times New Roman"/>
          <w:b/>
          <w:bCs/>
          <w:color w:val="000000"/>
          <w:kern w:val="0"/>
          <w:sz w:val="32"/>
          <w:szCs w:val="32"/>
          <w:highlight w:val="none"/>
          <w:shd w:val="clear" w:color="auto" w:fill="FFFFFF"/>
          <w:lang w:val="zh-CN" w:eastAsia="zh-CN"/>
        </w:rPr>
        <w:t>绩效评价结果应用</w:t>
      </w:r>
      <w:r>
        <w:rPr>
          <w:rFonts w:hint="default" w:ascii="Times New Roman" w:hAnsi="Times New Roman" w:eastAsia="楷体_GB2312" w:cs="Times New Roman"/>
          <w:b/>
          <w:bCs/>
          <w:color w:val="000000"/>
          <w:kern w:val="0"/>
          <w:sz w:val="32"/>
          <w:szCs w:val="32"/>
          <w:highlight w:val="none"/>
          <w:shd w:val="clear" w:color="auto" w:fill="FFFFFF"/>
          <w:lang w:val="zh-CN" w:eastAsia="zh-CN"/>
        </w:rPr>
        <w:t>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14:paraId="1E0754A2">
      <w:pPr>
        <w:numPr>
          <w:ilvl w:val="0"/>
          <w:numId w:val="0"/>
        </w:numPr>
        <w:snapToGrid w:val="0"/>
        <w:spacing w:line="578" w:lineRule="exact"/>
        <w:ind w:firstLine="640" w:firstLineChars="200"/>
        <w:jc w:val="left"/>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Times New Roman"/>
          <w:sz w:val="32"/>
          <w:szCs w:val="32"/>
          <w:u w:val="none"/>
          <w:lang w:val="zh-CN" w:eastAsia="zh-CN" w:bidi="ar"/>
        </w:rPr>
        <w:t>本年度已将预算绩效自评结果应用于预算管理和业务改进全过程。本单位严格按照预算信息公开相关要求，将年度预算绩效自评结果随部门决算同步向社会公开，主动接受社会公众监督。公开过程严格遵守保密管理规定，确保公开内容真实、完整、合规，保障了财政资金使用的透明度。针对绩效自评发现的问题，逐项明确整改措施，切实发挥绩效评价的纠偏改进作用。</w:t>
      </w:r>
    </w:p>
    <w:p w14:paraId="08D37D4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506EE96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rPr>
          <w:rFonts w:hint="eastAsia" w:ascii="Times New Roman" w:hAnsi="Times New Roman" w:eastAsia="仿宋_GB2312" w:cs="Times New Roman"/>
          <w:sz w:val="32"/>
          <w:szCs w:val="32"/>
          <w:u w:val="none"/>
          <w:lang w:val="zh-CN"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仿宋_GB2312" w:cs="Times New Roman"/>
          <w:sz w:val="32"/>
          <w:szCs w:val="32"/>
          <w:u w:val="none"/>
          <w:lang w:val="zh-CN" w:eastAsia="zh-CN" w:bidi="ar"/>
        </w:rPr>
        <w:t xml:space="preserve">经综合评价，2025年度部门预算绩效自评总得分为 </w:t>
      </w:r>
      <w:r>
        <w:rPr>
          <w:rFonts w:hint="eastAsia" w:ascii="Times New Roman" w:hAnsi="Times New Roman" w:eastAsia="仿宋_GB2312" w:cs="Times New Roman"/>
          <w:sz w:val="32"/>
          <w:szCs w:val="32"/>
          <w:u w:val="none"/>
          <w:lang w:val="en-US" w:eastAsia="zh-CN" w:bidi="ar"/>
        </w:rPr>
        <w:t>87.64</w:t>
      </w:r>
      <w:r>
        <w:rPr>
          <w:rFonts w:hint="eastAsia" w:ascii="Times New Roman" w:hAnsi="Times New Roman" w:eastAsia="仿宋_GB2312" w:cs="Times New Roman"/>
          <w:sz w:val="32"/>
          <w:szCs w:val="32"/>
          <w:u w:val="none"/>
          <w:lang w:val="zh-CN" w:eastAsia="zh-CN" w:bidi="ar"/>
        </w:rPr>
        <w:t>分（满分100分）。本年度部门预算绩效管理工作总体推进有序，预算编制与执行基本规范，各项目资金使用总体安全合规，有效保障了部门履职需要，在业务运转、民生保障、政策落实等方面取得了良好的社会效益，未出现重大负面效果或不良影响。</w:t>
      </w:r>
    </w:p>
    <w:p w14:paraId="34764470">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14:paraId="5F42CA0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Times New Roman"/>
          <w:sz w:val="32"/>
          <w:szCs w:val="32"/>
          <w:u w:val="none"/>
          <w:lang w:val="zh-CN" w:eastAsia="zh-CN" w:bidi="ar"/>
        </w:rPr>
      </w:pPr>
      <w:r>
        <w:rPr>
          <w:rFonts w:hint="eastAsia" w:ascii="Times New Roman" w:hAnsi="Times New Roman" w:eastAsia="仿宋_GB2312" w:cs="Times New Roman"/>
          <w:sz w:val="32"/>
          <w:szCs w:val="32"/>
          <w:u w:val="none"/>
          <w:lang w:val="zh-CN" w:eastAsia="zh-CN" w:bidi="ar"/>
        </w:rPr>
        <w:t>绩效目标管理有待优化：少数项目存在目标偏离、指标设置不够科学合理的情况，部分绩效指标与项目实际工作结合不够紧密，可量化、可考核性有待提升。</w:t>
      </w:r>
    </w:p>
    <w:p w14:paraId="7166403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Times New Roman"/>
          <w:sz w:val="32"/>
          <w:szCs w:val="32"/>
          <w:u w:val="none"/>
          <w:lang w:val="zh-CN" w:eastAsia="zh-CN" w:bidi="ar"/>
        </w:rPr>
      </w:pPr>
      <w:r>
        <w:rPr>
          <w:rFonts w:hint="eastAsia" w:ascii="Times New Roman" w:hAnsi="Times New Roman" w:eastAsia="仿宋_GB2312" w:cs="Times New Roman"/>
          <w:sz w:val="32"/>
          <w:szCs w:val="32"/>
          <w:u w:val="none"/>
          <w:lang w:val="zh-CN" w:eastAsia="zh-CN" w:bidi="ar"/>
        </w:rPr>
        <w:t>预算执行与绩效管理衔接不够紧密：个别项目预算执行进度与绩效目标实现进度匹配度不高，资金使用效率仍有提升空间。</w:t>
      </w:r>
    </w:p>
    <w:p w14:paraId="6CFF3FC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Times New Roman"/>
          <w:sz w:val="32"/>
          <w:szCs w:val="32"/>
          <w:u w:val="none"/>
          <w:lang w:val="zh-CN" w:eastAsia="zh-CN" w:bidi="ar"/>
        </w:rPr>
      </w:pPr>
      <w:r>
        <w:rPr>
          <w:rFonts w:hint="eastAsia" w:eastAsia="仿宋_GB2312" w:cs="Times New Roman"/>
          <w:sz w:val="32"/>
          <w:szCs w:val="32"/>
          <w:u w:val="none"/>
          <w:lang w:val="zh-CN" w:eastAsia="zh-CN" w:bidi="ar"/>
        </w:rPr>
        <w:t>绩效评价结果应用</w:t>
      </w:r>
      <w:r>
        <w:rPr>
          <w:rFonts w:hint="eastAsia" w:ascii="Times New Roman" w:hAnsi="Times New Roman" w:eastAsia="仿宋_GB2312" w:cs="Times New Roman"/>
          <w:sz w:val="32"/>
          <w:szCs w:val="32"/>
          <w:u w:val="none"/>
          <w:lang w:val="zh-CN" w:eastAsia="zh-CN" w:bidi="ar"/>
        </w:rPr>
        <w:t>不够深入：绩效评价结果与后续预算安排、政策调整的联动机制不够完善，评价结果在改进管理、优化资源配置方面的应用有待加强。</w:t>
      </w:r>
    </w:p>
    <w:p w14:paraId="100837B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Times New Roman"/>
          <w:sz w:val="32"/>
          <w:szCs w:val="32"/>
          <w:u w:val="none"/>
          <w:lang w:val="zh-CN" w:eastAsia="zh-CN" w:bidi="ar"/>
        </w:rPr>
      </w:pPr>
      <w:r>
        <w:rPr>
          <w:rFonts w:hint="eastAsia" w:ascii="Times New Roman" w:hAnsi="Times New Roman" w:eastAsia="仿宋_GB2312" w:cs="Times New Roman"/>
          <w:sz w:val="32"/>
          <w:szCs w:val="32"/>
          <w:u w:val="none"/>
          <w:lang w:val="zh-CN" w:eastAsia="zh-CN" w:bidi="ar"/>
        </w:rPr>
        <w:t>绩效管理基础工作仍需夯实：绩效自评工作的精细化程度不足，部分项目绩效资料归集不够及时、完整，绩效监控和过程管理的规范性有待提升。</w:t>
      </w:r>
    </w:p>
    <w:p w14:paraId="1D63F444">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改进建议。</w:t>
      </w:r>
      <w:bookmarkStart w:id="47" w:name="_Hlk110546638"/>
    </w:p>
    <w:p w14:paraId="7E02872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Times New Roman"/>
          <w:sz w:val="32"/>
          <w:szCs w:val="32"/>
          <w:u w:val="none"/>
          <w:lang w:val="zh-CN" w:eastAsia="zh-CN" w:bidi="ar"/>
        </w:rPr>
      </w:pPr>
      <w:r>
        <w:rPr>
          <w:rFonts w:hint="eastAsia" w:ascii="Times New Roman" w:hAnsi="Times New Roman" w:eastAsia="仿宋_GB2312" w:cs="Times New Roman"/>
          <w:sz w:val="32"/>
          <w:szCs w:val="32"/>
          <w:u w:val="none"/>
          <w:lang w:val="en-US" w:eastAsia="zh-CN" w:bidi="ar"/>
        </w:rPr>
        <w:t>1.</w:t>
      </w:r>
      <w:r>
        <w:rPr>
          <w:rFonts w:hint="eastAsia" w:ascii="Times New Roman" w:hAnsi="Times New Roman" w:eastAsia="仿宋_GB2312" w:cs="Times New Roman"/>
          <w:sz w:val="32"/>
          <w:szCs w:val="32"/>
          <w:u w:val="none"/>
          <w:lang w:val="zh-CN" w:eastAsia="zh-CN" w:bidi="ar"/>
        </w:rPr>
        <w:t>优化绩效目标设置，提升指标科学性。</w:t>
      </w:r>
    </w:p>
    <w:p w14:paraId="6B7A094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Times New Roman"/>
          <w:sz w:val="32"/>
          <w:szCs w:val="32"/>
          <w:u w:val="none"/>
          <w:lang w:val="zh-CN" w:eastAsia="zh-CN" w:bidi="ar"/>
        </w:rPr>
      </w:pPr>
      <w:r>
        <w:rPr>
          <w:rFonts w:hint="eastAsia" w:ascii="Times New Roman" w:hAnsi="Times New Roman" w:eastAsia="仿宋_GB2312" w:cs="Times New Roman"/>
          <w:sz w:val="32"/>
          <w:szCs w:val="32"/>
          <w:u w:val="none"/>
          <w:lang w:val="zh-CN" w:eastAsia="zh-CN" w:bidi="ar"/>
        </w:rPr>
        <w:t>针对目标偏离问题，结合部门职能和年度重点工作，科学设定绩效目标与指标，增强指标的可量化、可考核性；对不合理的指标及时调整优化，确保绩效目标与项目实施内容高度匹配。</w:t>
      </w:r>
    </w:p>
    <w:p w14:paraId="2620087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Times New Roman"/>
          <w:sz w:val="32"/>
          <w:szCs w:val="32"/>
          <w:u w:val="none"/>
          <w:lang w:val="zh-CN" w:eastAsia="zh-CN" w:bidi="ar"/>
        </w:rPr>
      </w:pPr>
      <w:r>
        <w:rPr>
          <w:rFonts w:hint="eastAsia" w:ascii="Times New Roman" w:hAnsi="Times New Roman" w:eastAsia="仿宋_GB2312" w:cs="Times New Roman"/>
          <w:sz w:val="32"/>
          <w:szCs w:val="32"/>
          <w:u w:val="none"/>
          <w:lang w:val="en-US" w:eastAsia="zh-CN" w:bidi="ar"/>
        </w:rPr>
        <w:t>2.</w:t>
      </w:r>
      <w:r>
        <w:rPr>
          <w:rFonts w:hint="eastAsia" w:ascii="Times New Roman" w:hAnsi="Times New Roman" w:eastAsia="仿宋_GB2312" w:cs="Times New Roman"/>
          <w:sz w:val="32"/>
          <w:szCs w:val="32"/>
          <w:u w:val="none"/>
          <w:lang w:val="zh-CN" w:eastAsia="zh-CN" w:bidi="ar"/>
        </w:rPr>
        <w:t>强化预算执行与绩效管理联动，提高资金使用效益。</w:t>
      </w:r>
    </w:p>
    <w:p w14:paraId="454E9C0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Times New Roman"/>
          <w:sz w:val="32"/>
          <w:szCs w:val="32"/>
          <w:u w:val="none"/>
          <w:lang w:val="zh-CN" w:eastAsia="zh-CN" w:bidi="ar"/>
        </w:rPr>
      </w:pPr>
      <w:r>
        <w:rPr>
          <w:rFonts w:hint="eastAsia" w:ascii="Times New Roman" w:hAnsi="Times New Roman" w:eastAsia="仿宋_GB2312" w:cs="Times New Roman"/>
          <w:sz w:val="32"/>
          <w:szCs w:val="32"/>
          <w:u w:val="none"/>
          <w:lang w:val="zh-CN" w:eastAsia="zh-CN" w:bidi="ar"/>
        </w:rPr>
        <w:t>建立预算执行与绩效目标实现情况的定期跟踪机制，对执行进度偏慢、绩效偏差较大的项目及时预警并督促整改；加强项目资金使用全过程管控，推动预算安排与实际需求精准对接，提升资金使用效率。</w:t>
      </w:r>
    </w:p>
    <w:p w14:paraId="40E3A2D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Times New Roman"/>
          <w:sz w:val="32"/>
          <w:szCs w:val="32"/>
          <w:u w:val="none"/>
          <w:lang w:val="zh-CN" w:eastAsia="zh-CN" w:bidi="ar"/>
        </w:rPr>
      </w:pPr>
      <w:r>
        <w:rPr>
          <w:rFonts w:hint="eastAsia" w:ascii="Times New Roman" w:hAnsi="Times New Roman" w:eastAsia="仿宋_GB2312" w:cs="Times New Roman"/>
          <w:sz w:val="32"/>
          <w:szCs w:val="32"/>
          <w:u w:val="none"/>
          <w:lang w:val="en-US" w:eastAsia="zh-CN" w:bidi="ar"/>
        </w:rPr>
        <w:t>3.</w:t>
      </w:r>
      <w:r>
        <w:rPr>
          <w:rFonts w:hint="eastAsia" w:ascii="Times New Roman" w:hAnsi="Times New Roman" w:eastAsia="仿宋_GB2312" w:cs="Times New Roman"/>
          <w:sz w:val="32"/>
          <w:szCs w:val="32"/>
          <w:u w:val="none"/>
          <w:lang w:val="zh-CN" w:eastAsia="zh-CN" w:bidi="ar"/>
        </w:rPr>
        <w:t>健全</w:t>
      </w:r>
      <w:r>
        <w:rPr>
          <w:rFonts w:hint="eastAsia" w:eastAsia="仿宋_GB2312" w:cs="Times New Roman"/>
          <w:sz w:val="32"/>
          <w:szCs w:val="32"/>
          <w:u w:val="none"/>
          <w:lang w:val="zh-CN" w:eastAsia="zh-CN" w:bidi="ar"/>
        </w:rPr>
        <w:t>绩效评价结果应用</w:t>
      </w:r>
      <w:r>
        <w:rPr>
          <w:rFonts w:hint="eastAsia" w:ascii="Times New Roman" w:hAnsi="Times New Roman" w:eastAsia="仿宋_GB2312" w:cs="Times New Roman"/>
          <w:sz w:val="32"/>
          <w:szCs w:val="32"/>
          <w:u w:val="none"/>
          <w:lang w:val="zh-CN" w:eastAsia="zh-CN" w:bidi="ar"/>
        </w:rPr>
        <w:t>机制，发挥评价导向作用。</w:t>
      </w:r>
    </w:p>
    <w:p w14:paraId="2834847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Times New Roman"/>
          <w:sz w:val="32"/>
          <w:szCs w:val="32"/>
          <w:u w:val="none"/>
          <w:lang w:val="zh-CN" w:eastAsia="zh-CN" w:bidi="ar"/>
        </w:rPr>
      </w:pPr>
      <w:r>
        <w:rPr>
          <w:rFonts w:hint="eastAsia" w:ascii="Times New Roman" w:hAnsi="Times New Roman" w:eastAsia="仿宋_GB2312" w:cs="Times New Roman"/>
          <w:sz w:val="32"/>
          <w:szCs w:val="32"/>
          <w:u w:val="none"/>
          <w:lang w:val="zh-CN" w:eastAsia="zh-CN" w:bidi="ar"/>
        </w:rPr>
        <w:t>完善绩效评价结果反馈与整改闭环管理，将绩效自评结果作为下一年度预算安排、政策调整和项目优化的重要依据；对绩效评价结果较差的项目，严格控制后续预算安排，切实强化</w:t>
      </w:r>
      <w:r>
        <w:rPr>
          <w:rFonts w:hint="eastAsia" w:eastAsia="仿宋_GB2312" w:cs="Times New Roman"/>
          <w:sz w:val="32"/>
          <w:szCs w:val="32"/>
          <w:u w:val="none"/>
          <w:lang w:val="zh-CN" w:eastAsia="zh-CN" w:bidi="ar"/>
        </w:rPr>
        <w:t>绩效评价结果的</w:t>
      </w:r>
      <w:r>
        <w:rPr>
          <w:rFonts w:hint="eastAsia" w:ascii="Times New Roman" w:hAnsi="Times New Roman" w:eastAsia="仿宋_GB2312" w:cs="Times New Roman"/>
          <w:sz w:val="32"/>
          <w:szCs w:val="32"/>
          <w:u w:val="none"/>
          <w:lang w:val="zh-CN" w:eastAsia="zh-CN" w:bidi="ar"/>
        </w:rPr>
        <w:t>约束和激励作用。</w:t>
      </w:r>
    </w:p>
    <w:p w14:paraId="4331EDB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Times New Roman"/>
          <w:sz w:val="32"/>
          <w:szCs w:val="32"/>
          <w:u w:val="none"/>
          <w:lang w:val="en" w:eastAsia="zh-CN" w:bidi="ar"/>
        </w:rPr>
      </w:pPr>
    </w:p>
    <w:bookmarkEnd w:id="47"/>
    <w:p w14:paraId="68ABC5DD">
      <w:pPr>
        <w:pStyle w:val="15"/>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5DF71DD6">
      <w:pPr>
        <w:pStyle w:val="15"/>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cs="宋体"/>
          <w:color w:val="FF0000"/>
          <w:kern w:val="0"/>
          <w:sz w:val="32"/>
          <w:szCs w:val="32"/>
          <w:highlight w:val="yellow"/>
          <w:shd w:val="clear" w:color="auto" w:fill="FFFFFF"/>
          <w:lang w:val="zh-CN"/>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29E12CB5">
      <w:r>
        <w:drawing>
          <wp:inline distT="0" distB="0" distL="114300" distR="114300">
            <wp:extent cx="5266690" cy="8314055"/>
            <wp:effectExtent l="0" t="0" r="10160" b="1079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6"/>
                    <a:stretch>
                      <a:fillRect/>
                    </a:stretch>
                  </pic:blipFill>
                  <pic:spPr>
                    <a:xfrm>
                      <a:off x="0" y="0"/>
                      <a:ext cx="5266690" cy="8314055"/>
                    </a:xfrm>
                    <a:prstGeom prst="rect">
                      <a:avLst/>
                    </a:prstGeom>
                    <a:noFill/>
                    <a:ln>
                      <a:noFill/>
                    </a:ln>
                  </pic:spPr>
                </pic:pic>
              </a:graphicData>
            </a:graphic>
          </wp:inline>
        </w:drawing>
      </w:r>
    </w:p>
    <w:p w14:paraId="080F3827"/>
    <w:p w14:paraId="62A24438">
      <w:r>
        <w:drawing>
          <wp:inline distT="0" distB="0" distL="114300" distR="114300">
            <wp:extent cx="5266690" cy="7883525"/>
            <wp:effectExtent l="0" t="0" r="10160" b="317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7"/>
                    <a:stretch>
                      <a:fillRect/>
                    </a:stretch>
                  </pic:blipFill>
                  <pic:spPr>
                    <a:xfrm>
                      <a:off x="0" y="0"/>
                      <a:ext cx="5266690" cy="7883525"/>
                    </a:xfrm>
                    <a:prstGeom prst="rect">
                      <a:avLst/>
                    </a:prstGeom>
                    <a:noFill/>
                    <a:ln>
                      <a:noFill/>
                    </a:ln>
                  </pic:spPr>
                </pic:pic>
              </a:graphicData>
            </a:graphic>
          </wp:inline>
        </w:drawing>
      </w:r>
    </w:p>
    <w:p w14:paraId="5EBE22C4">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60D04084">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0FAE84FB">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2778B88A">
      <w:pPr>
        <w:pStyle w:val="12"/>
        <w:keepNext w:val="0"/>
        <w:keepLines w:val="0"/>
        <w:widowControl/>
        <w:suppressLineNumbers w:val="0"/>
        <w:spacing w:before="0" w:beforeAutospacing="0" w:after="0" w:afterAutospacing="0"/>
        <w:ind w:left="0" w:right="0" w:firstLine="0"/>
        <w:jc w:val="center"/>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城乡居民医保工作经费</w:t>
      </w:r>
    </w:p>
    <w:p w14:paraId="0E6407FD">
      <w:pPr>
        <w:pStyle w:val="12"/>
        <w:keepNext w:val="0"/>
        <w:keepLines w:val="0"/>
        <w:widowControl/>
        <w:suppressLineNumbers w:val="0"/>
        <w:spacing w:before="0" w:beforeAutospacing="0" w:after="0" w:afterAutospacing="0"/>
        <w:ind w:left="0" w:right="0" w:firstLine="0"/>
        <w:jc w:val="center"/>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绩效自评报告</w:t>
      </w:r>
    </w:p>
    <w:p w14:paraId="51176428">
      <w:pPr>
        <w:pStyle w:val="35"/>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14:paraId="58F5BB5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一、项目概况</w:t>
      </w:r>
    </w:p>
    <w:p w14:paraId="3653FFE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default" w:ascii="Times New Roman" w:hAnsi="Times New Roman" w:eastAsia="仿宋_GB2312" w:cs="Times New Roman"/>
          <w:b w:val="0"/>
          <w:bCs w:val="0"/>
          <w:kern w:val="0"/>
          <w:position w:val="0"/>
          <w:sz w:val="32"/>
          <w:szCs w:val="32"/>
          <w:highlight w:val="none"/>
          <w:lang w:val="en-US" w:eastAsia="zh-CN" w:bidi="ar-SA"/>
        </w:rPr>
        <w:t>城乡居民基本医疗保险是国家保障居民医疗需求、减轻群众就医负担的重要民生工程，加强医保政策宣传、提升参保扩面成效，是推动医保制度平稳运行、实现全民医保的关键支撑。本项目为壤塘县医疗保障局城乡居民医保工作经费项目，立项依据城乡居民医保工作年度重点任务及财政资金管理相关规定，主要用于城乡居民医保政策宣传、参保扩面推进、经办服务优化等工作支出。</w:t>
      </w:r>
    </w:p>
    <w:p w14:paraId="05101945">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Times New Roman"/>
          <w:b/>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default" w:ascii="Times New Roman" w:hAnsi="Times New Roman" w:eastAsia="仿宋_GB2312" w:cs="Times New Roman"/>
          <w:color w:val="auto"/>
          <w:kern w:val="0"/>
          <w:sz w:val="32"/>
          <w:szCs w:val="32"/>
          <w:highlight w:val="none"/>
          <w:u w:val="none"/>
          <w:shd w:val="clear" w:color="auto" w:fill="FFFFFF"/>
          <w:lang w:val="en-US" w:eastAsia="zh-CN"/>
        </w:rPr>
        <w:t>为规范项目资金管理，我单位严格执行财政资金管理相关规定，保障资金专款专用、高效使用。项目实施目的为：加强城乡医保工作重要性宣传，提升群众对医保工作重要性的认识，推动参保扩面提质、政策知晓率提升，夯实医保工作群众基础。主要工作任务包括开展医保政策宣传、推进参保扩面、提升群众参保意识、优化医保经办服务等。项目资金支持方向为城乡居民医保政策宣传、参保组织动员、工作开展等相关支出，助力医保民生保障工作高质量推进。</w:t>
      </w:r>
    </w:p>
    <w:p w14:paraId="4F5954B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r>
        <w:rPr>
          <w:rFonts w:hint="default" w:ascii="Times New Roman" w:hAnsi="Times New Roman" w:eastAsia="仿宋_GB2312" w:cs="Times New Roman"/>
          <w:b w:val="0"/>
          <w:bCs w:val="0"/>
          <w:kern w:val="0"/>
          <w:position w:val="0"/>
          <w:sz w:val="32"/>
          <w:szCs w:val="32"/>
          <w:highlight w:val="none"/>
          <w:lang w:val="zh-CN" w:eastAsia="zh-CN" w:bidi="ar-SA"/>
        </w:rPr>
        <w:t>2025年度本项目资金总额预算为1.99万元，全部为本年财政拨款，无其他资金来源。资金分配严格遵循“专款专用、统筹使用、保障重点”的原则，优先保障医保政策宣传、参保扩面推进等核心工作需求，资金全部用于城乡居民医保工作相关支出，未发生截留、挤占、挪用等情况，资金分配与项目任务高度匹配。</w:t>
      </w:r>
    </w:p>
    <w:p w14:paraId="79914E0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楷体_GB2312" w:cs="Times New Roman"/>
          <w:b/>
          <w:color w:val="auto"/>
          <w:sz w:val="32"/>
          <w:szCs w:val="32"/>
          <w:highlight w:val="none"/>
          <w:u w:val="none"/>
          <w:lang w:val="zh-CN" w:eastAsia="zh-CN"/>
        </w:rPr>
        <w:t>（四）项目绩效目标设置。</w:t>
      </w:r>
      <w:r>
        <w:rPr>
          <w:rFonts w:hint="default" w:ascii="Times New Roman" w:hAnsi="Times New Roman" w:eastAsia="仿宋_GB2312" w:cs="Times New Roman"/>
          <w:b w:val="0"/>
          <w:bCs w:val="0"/>
          <w:kern w:val="0"/>
          <w:position w:val="0"/>
          <w:sz w:val="32"/>
          <w:szCs w:val="32"/>
          <w:highlight w:val="none"/>
          <w:lang w:val="zh-CN" w:eastAsia="zh-CN" w:bidi="ar-SA"/>
        </w:rPr>
        <w:t>项目总体目标为：加强城乡医保工作重要性宣传，提升群众对医保工作重要性的认识，推动城乡居民医保参保扩面、政策知晓率等工作目标完成，保障医保民生工作平稳推进。</w:t>
      </w:r>
    </w:p>
    <w:p w14:paraId="4CF0305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仿宋_GB2312" w:cs="Times New Roman"/>
          <w:b w:val="0"/>
          <w:bCs w:val="0"/>
          <w:kern w:val="0"/>
          <w:position w:val="0"/>
          <w:sz w:val="32"/>
          <w:szCs w:val="32"/>
          <w:highlight w:val="none"/>
          <w:lang w:val="zh-CN" w:eastAsia="zh-CN" w:bidi="ar-SA"/>
        </w:rPr>
        <w:t>具体绩效目标设置如下：产出指标：2025年参保人数≥3万人；县内医保宣传工作覆盖率≥96%；城乡医保工作宣传时间≤1年；医保工作经费≤11.97万元。效益指标：群众参保意识提升、政策知晓率≥96%；降低医保推行阻力，提升医保参保率≥96%。满意度指标：服务对象满意度≥96%。</w:t>
      </w:r>
    </w:p>
    <w:p w14:paraId="534D247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仿宋_GB2312" w:cs="Times New Roman"/>
          <w:b w:val="0"/>
          <w:bCs w:val="0"/>
          <w:kern w:val="0"/>
          <w:position w:val="0"/>
          <w:sz w:val="32"/>
          <w:szCs w:val="32"/>
          <w:highlight w:val="none"/>
          <w:lang w:val="zh-CN" w:eastAsia="zh-CN" w:bidi="ar-SA"/>
        </w:rPr>
        <w:t>本次自评工作由壤塘县医疗保障局组织实施，对照绩效目标，对项目资金使用、任务完成情况开展全面自查，自评过程规范、数据真实可靠。</w:t>
      </w:r>
    </w:p>
    <w:p w14:paraId="08198EE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二、评价实施</w:t>
      </w:r>
    </w:p>
    <w:p w14:paraId="0CF40A5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楷体_GB2312" w:cs="Times New Roman"/>
          <w:b/>
          <w:color w:val="auto"/>
          <w:sz w:val="32"/>
          <w:szCs w:val="32"/>
          <w:highlight w:val="none"/>
          <w:u w:val="none"/>
          <w:lang w:val="zh-CN"/>
        </w:rPr>
        <w:t>（一）评价目的。</w:t>
      </w:r>
      <w:r>
        <w:rPr>
          <w:rFonts w:hint="default" w:ascii="Times New Roman" w:hAnsi="Times New Roman" w:eastAsia="仿宋_GB2312" w:cs="Times New Roman"/>
          <w:b w:val="0"/>
          <w:bCs w:val="0"/>
          <w:kern w:val="0"/>
          <w:position w:val="0"/>
          <w:sz w:val="32"/>
          <w:szCs w:val="32"/>
          <w:highlight w:val="none"/>
          <w:lang w:val="zh-CN" w:eastAsia="zh-CN" w:bidi="ar-SA"/>
        </w:rPr>
        <w:t>通过本次绩效自评，全面掌握2025年度城乡居民医保工作经费项目资金使用、任务完成及绩效目标实现情况，分析项目实施过程中的成效与不足，规范资金管理、优化工作流程，提升项目资金使用效益，为后续医保工作经费预算安排及工作开展提供参考依据。</w:t>
      </w:r>
    </w:p>
    <w:p w14:paraId="3B839C37">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default" w:ascii="Times New Roman" w:hAnsi="Times New Roman" w:eastAsia="仿宋_GB2312" w:cs="Times New Roman"/>
          <w:b w:val="0"/>
          <w:bCs w:val="0"/>
          <w:kern w:val="0"/>
          <w:position w:val="0"/>
          <w:sz w:val="32"/>
          <w:szCs w:val="32"/>
          <w:highlight w:val="none"/>
          <w:lang w:val="zh-CN" w:eastAsia="zh-CN" w:bidi="ar-SA"/>
        </w:rPr>
        <w:t>本次评价围绕绩效评价指标体系，对资金支出使用全过程及其实施效果进行综合评价，重点关注：资金预算执行情况、项目产出目标完成情况、效益指标实现情况、群众满意度情况，以及资金使用合规性、管理规范性等方面，全面评估项目实施成效。</w:t>
      </w:r>
    </w:p>
    <w:p w14:paraId="577622F4">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楷体_GB2312" w:cs="Times New Roman"/>
          <w:b/>
          <w:color w:val="auto"/>
          <w:sz w:val="32"/>
          <w:szCs w:val="32"/>
          <w:highlight w:val="none"/>
          <w:u w:val="none"/>
          <w:lang w:val="zh-CN"/>
        </w:rPr>
        <w:t>（三）评价选点。</w:t>
      </w:r>
      <w:r>
        <w:rPr>
          <w:rFonts w:hint="default" w:ascii="Times New Roman" w:hAnsi="Times New Roman" w:eastAsia="仿宋_GB2312" w:cs="Times New Roman"/>
          <w:b w:val="0"/>
          <w:bCs w:val="0"/>
          <w:kern w:val="0"/>
          <w:position w:val="0"/>
          <w:sz w:val="32"/>
          <w:szCs w:val="32"/>
          <w:highlight w:val="none"/>
          <w:lang w:val="zh-CN" w:eastAsia="zh-CN" w:bidi="ar-SA"/>
        </w:rPr>
        <w:t>本次自评项目为县级医保工作经费项目，无跨市县资金分配情况，不涉及市县点位抽样，以壤塘县全域医保工作开展情况为评价范围，覆盖项目实施的工作环节。</w:t>
      </w:r>
    </w:p>
    <w:p w14:paraId="27C3E969">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楷体_GB2312" w:cs="Times New Roman"/>
          <w:b/>
          <w:color w:val="auto"/>
          <w:sz w:val="32"/>
          <w:szCs w:val="32"/>
          <w:highlight w:val="none"/>
          <w:u w:val="none"/>
          <w:lang w:val="zh-CN"/>
        </w:rPr>
        <w:t>（四）评价方法。</w:t>
      </w:r>
      <w:r>
        <w:rPr>
          <w:rFonts w:hint="default" w:ascii="Times New Roman" w:hAnsi="Times New Roman" w:eastAsia="仿宋_GB2312" w:cs="Times New Roman"/>
          <w:szCs w:val="32"/>
        </w:rPr>
        <w:t>本</w:t>
      </w:r>
      <w:r>
        <w:rPr>
          <w:rFonts w:hint="default" w:ascii="Times New Roman" w:hAnsi="Times New Roman" w:eastAsia="仿宋_GB2312" w:cs="Times New Roman"/>
          <w:b w:val="0"/>
          <w:bCs w:val="0"/>
          <w:kern w:val="0"/>
          <w:position w:val="0"/>
          <w:sz w:val="32"/>
          <w:szCs w:val="32"/>
          <w:highlight w:val="none"/>
          <w:lang w:val="zh-CN" w:eastAsia="zh-CN" w:bidi="ar-SA"/>
        </w:rPr>
        <w:t>次自评采用多种方法开展评价：</w:t>
      </w:r>
    </w:p>
    <w:p w14:paraId="3E6B18CA">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仿宋_GB2312" w:cs="Times New Roman"/>
          <w:b w:val="0"/>
          <w:bCs w:val="0"/>
          <w:kern w:val="0"/>
          <w:position w:val="0"/>
          <w:sz w:val="32"/>
          <w:szCs w:val="32"/>
          <w:highlight w:val="none"/>
          <w:lang w:val="zh-CN" w:eastAsia="zh-CN" w:bidi="ar-SA"/>
        </w:rPr>
        <w:t>案卷研究法：查阅项目</w:t>
      </w:r>
      <w:r>
        <w:rPr>
          <w:rFonts w:hint="eastAsia" w:ascii="Times New Roman" w:hAnsi="Times New Roman" w:eastAsia="仿宋_GB2312" w:cs="Times New Roman"/>
          <w:b w:val="0"/>
          <w:bCs w:val="0"/>
          <w:kern w:val="0"/>
          <w:position w:val="0"/>
          <w:sz w:val="32"/>
          <w:szCs w:val="32"/>
          <w:highlight w:val="none"/>
          <w:lang w:val="zh-CN" w:eastAsia="zh-CN" w:bidi="ar-SA"/>
        </w:rPr>
        <w:t>相关</w:t>
      </w:r>
      <w:r>
        <w:rPr>
          <w:rFonts w:hint="default" w:ascii="Times New Roman" w:hAnsi="Times New Roman" w:eastAsia="仿宋_GB2312" w:cs="Times New Roman"/>
          <w:b w:val="0"/>
          <w:bCs w:val="0"/>
          <w:kern w:val="0"/>
          <w:position w:val="0"/>
          <w:sz w:val="32"/>
          <w:szCs w:val="32"/>
          <w:highlight w:val="none"/>
          <w:lang w:val="zh-CN" w:eastAsia="zh-CN" w:bidi="ar-SA"/>
        </w:rPr>
        <w:t>资料，核对资金使用及任务完成情况。</w:t>
      </w:r>
    </w:p>
    <w:p w14:paraId="7D7ACEC1">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仿宋_GB2312" w:cs="Times New Roman"/>
          <w:b w:val="0"/>
          <w:bCs w:val="0"/>
          <w:kern w:val="0"/>
          <w:position w:val="0"/>
          <w:sz w:val="32"/>
          <w:szCs w:val="32"/>
          <w:highlight w:val="none"/>
          <w:lang w:val="zh-CN" w:eastAsia="zh-CN" w:bidi="ar-SA"/>
        </w:rPr>
        <w:t>实地勘察法：结合医保宣传、参保扩面工作实际，对乡镇、社区医保宣传开展情况、参保组织动员情况进行实地了解，核实工作成效。</w:t>
      </w:r>
    </w:p>
    <w:p w14:paraId="7CAA0CE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楷体_GB2312" w:cs="Times New Roman"/>
          <w:b/>
          <w:color w:val="auto"/>
          <w:sz w:val="32"/>
          <w:szCs w:val="32"/>
          <w:highlight w:val="none"/>
          <w:u w:val="none"/>
          <w:lang w:val="zh-CN"/>
        </w:rPr>
        <w:t>（五）评价组织。</w:t>
      </w:r>
      <w:r>
        <w:rPr>
          <w:rFonts w:hint="eastAsia" w:ascii="Times New Roman" w:hAnsi="Times New Roman" w:eastAsia="仿宋_GB2312" w:cs="Times New Roman"/>
          <w:b w:val="0"/>
          <w:bCs w:val="0"/>
          <w:kern w:val="0"/>
          <w:position w:val="0"/>
          <w:sz w:val="32"/>
          <w:szCs w:val="32"/>
          <w:highlight w:val="none"/>
          <w:lang w:val="zh-CN" w:eastAsia="zh-CN" w:bidi="ar-SA"/>
        </w:rPr>
        <w:t>本</w:t>
      </w:r>
      <w:r>
        <w:rPr>
          <w:rFonts w:hint="default" w:ascii="Times New Roman" w:hAnsi="Times New Roman" w:eastAsia="仿宋_GB2312" w:cs="Times New Roman"/>
          <w:b w:val="0"/>
          <w:bCs w:val="0"/>
          <w:kern w:val="0"/>
          <w:position w:val="0"/>
          <w:sz w:val="32"/>
          <w:szCs w:val="32"/>
          <w:highlight w:val="none"/>
          <w:lang w:val="zh-CN" w:eastAsia="zh-CN" w:bidi="ar-SA"/>
        </w:rPr>
        <w:t>次评价由壤塘县医疗保障局牵头组织，财务股工作人员</w:t>
      </w:r>
      <w:r>
        <w:rPr>
          <w:rFonts w:hint="eastAsia" w:ascii="Times New Roman" w:hAnsi="Times New Roman" w:eastAsia="仿宋_GB2312" w:cs="Times New Roman"/>
          <w:b w:val="0"/>
          <w:bCs w:val="0"/>
          <w:kern w:val="0"/>
          <w:position w:val="0"/>
          <w:sz w:val="32"/>
          <w:szCs w:val="32"/>
          <w:highlight w:val="none"/>
          <w:lang w:val="zh-CN" w:eastAsia="zh-CN" w:bidi="ar-SA"/>
        </w:rPr>
        <w:t>实施，</w:t>
      </w:r>
      <w:r>
        <w:rPr>
          <w:rFonts w:hint="default" w:ascii="Times New Roman" w:hAnsi="Times New Roman" w:eastAsia="仿宋_GB2312" w:cs="Times New Roman"/>
          <w:b w:val="0"/>
          <w:bCs w:val="0"/>
          <w:kern w:val="0"/>
          <w:position w:val="0"/>
          <w:sz w:val="32"/>
          <w:szCs w:val="32"/>
          <w:highlight w:val="none"/>
          <w:lang w:val="zh-CN" w:eastAsia="zh-CN" w:bidi="ar-SA"/>
        </w:rPr>
        <w:t>确保自评工作规范有序开展。</w:t>
      </w:r>
    </w:p>
    <w:p w14:paraId="2826DD19">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cs="Times New Roman"/>
          <w:color w:val="auto"/>
          <w:sz w:val="32"/>
          <w:szCs w:val="32"/>
          <w:highlight w:val="none"/>
          <w:u w:val="none"/>
          <w:lang w:val="zh-CN"/>
        </w:rPr>
        <w:tab/>
      </w:r>
    </w:p>
    <w:p w14:paraId="3746C38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color w:val="auto"/>
          <w:sz w:val="32"/>
          <w:szCs w:val="32"/>
          <w:highlight w:val="none"/>
          <w:u w:val="none"/>
          <w:lang w:val="zh-CN" w:eastAsia="zh-CN"/>
        </w:rPr>
        <w:t>绩效分析。</w:t>
      </w:r>
    </w:p>
    <w:p w14:paraId="0217C8D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1.</w:t>
      </w:r>
      <w:r>
        <w:rPr>
          <w:rFonts w:hint="default" w:ascii="Times New Roman" w:hAnsi="Times New Roman" w:eastAsia="仿宋_GB2312" w:cs="Times New Roman"/>
          <w:b w:val="0"/>
          <w:bCs w:val="0"/>
          <w:kern w:val="0"/>
          <w:position w:val="0"/>
          <w:sz w:val="32"/>
          <w:szCs w:val="32"/>
          <w:highlight w:val="none"/>
          <w:lang w:val="zh-CN" w:eastAsia="zh-CN" w:bidi="ar-SA"/>
        </w:rPr>
        <w:t>项目决策。项目决策程序规范，立项依据充分，符合城乡居民医保工作年度重点任务及财政资金管理要求，资金投向聚焦医保政策宣传、参保扩面等核心民生工作，与部门职能、群众医保需求高度契合，决策科学合理。</w:t>
      </w:r>
    </w:p>
    <w:p w14:paraId="66E6CE2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2.</w:t>
      </w:r>
      <w:r>
        <w:rPr>
          <w:rFonts w:hint="default" w:ascii="Times New Roman" w:hAnsi="Times New Roman" w:eastAsia="仿宋_GB2312" w:cs="Times New Roman"/>
          <w:b w:val="0"/>
          <w:bCs w:val="0"/>
          <w:kern w:val="0"/>
          <w:position w:val="0"/>
          <w:sz w:val="32"/>
          <w:szCs w:val="32"/>
          <w:highlight w:val="none"/>
          <w:lang w:val="zh-CN" w:eastAsia="zh-CN" w:bidi="ar-SA"/>
        </w:rPr>
        <w:t>项目管理。项目资金管理制度健全，严格执行财政资金管理办法，资金分配管理规范，实行专款专用、专账核算，无违规使用情况；绩效监管到位，定期跟踪项目进度及资金使用情况，及时掌握工作推进动态，保障项目有序实施。</w:t>
      </w:r>
    </w:p>
    <w:p w14:paraId="69A1057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3.项目实施。</w:t>
      </w:r>
      <w:r>
        <w:rPr>
          <w:rFonts w:hint="default" w:ascii="Times New Roman" w:hAnsi="Times New Roman" w:eastAsia="仿宋_GB2312" w:cs="Times New Roman"/>
          <w:b w:val="0"/>
          <w:bCs w:val="0"/>
          <w:kern w:val="0"/>
          <w:position w:val="0"/>
          <w:sz w:val="32"/>
          <w:szCs w:val="32"/>
          <w:highlight w:val="none"/>
          <w:lang w:val="zh-CN" w:eastAsia="zh-CN" w:bidi="ar-SA"/>
        </w:rPr>
        <w:t>项目预算安排1.99万元，全年实际执行1.98万元，资金执行率99.26%，预算执行情况良好；资金使用合规，全部用于城乡居民医保工作相关支出，未发生截留、挤占、挪用等问题，资金使用效益较高。</w:t>
      </w:r>
    </w:p>
    <w:p w14:paraId="2A54EF3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4.项目结果。项目目标完成情况良好，年度各项绩效指标均按计划推进完成，工作任务按时保质落实，项目实施时效符合要求，有效推动了城乡居民医保参保扩面、政策宣传等工作开展。</w:t>
      </w:r>
    </w:p>
    <w:p w14:paraId="53A4990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color w:val="auto"/>
          <w:sz w:val="32"/>
          <w:szCs w:val="32"/>
          <w:highlight w:val="none"/>
          <w:u w:val="none"/>
          <w:lang w:val="zh-CN" w:eastAsia="zh-CN"/>
        </w:rPr>
        <w:t>绩效分析。</w:t>
      </w:r>
      <w:r>
        <w:rPr>
          <w:rFonts w:hint="default" w:ascii="Times New Roman" w:hAnsi="Times New Roman" w:eastAsia="仿宋_GB2312" w:cs="Times New Roman"/>
          <w:b w:val="0"/>
          <w:bCs w:val="0"/>
          <w:kern w:val="0"/>
          <w:position w:val="0"/>
          <w:sz w:val="32"/>
          <w:szCs w:val="32"/>
          <w:highlight w:val="none"/>
          <w:lang w:val="zh-CN" w:eastAsia="zh-CN" w:bidi="ar-SA"/>
        </w:rPr>
        <w:t>本项目属于民生保障类专项，围绕以下方面开展绩效分析：</w:t>
      </w:r>
    </w:p>
    <w:p w14:paraId="3DBEEC1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仿宋_GB2312" w:cs="Times New Roman"/>
          <w:b w:val="0"/>
          <w:bCs w:val="0"/>
          <w:kern w:val="0"/>
          <w:position w:val="0"/>
          <w:sz w:val="32"/>
          <w:szCs w:val="32"/>
          <w:highlight w:val="none"/>
          <w:lang w:val="zh-CN" w:eastAsia="zh-CN" w:bidi="ar-SA"/>
        </w:rPr>
        <w:t>区域均衡性：医保宣传、参保扩面工作覆盖全县所有乡镇、社区，无明显区域不均衡情况，保障了不同区域群众的医保权益，推动医保服务均等化发展。</w:t>
      </w:r>
    </w:p>
    <w:p w14:paraId="2E1002E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仿宋_GB2312" w:cs="Times New Roman"/>
          <w:b w:val="0"/>
          <w:bCs w:val="0"/>
          <w:kern w:val="0"/>
          <w:position w:val="0"/>
          <w:sz w:val="32"/>
          <w:szCs w:val="32"/>
          <w:highlight w:val="none"/>
          <w:lang w:val="zh-CN" w:eastAsia="zh-CN" w:bidi="ar-SA"/>
        </w:rPr>
        <w:t>对象精准性：工作开展聚焦城乡居民参保重点人群、困难群体，针对性开展政策宣传、参保动员，精准提升群众参保意识，参保扩面成效显著。</w:t>
      </w:r>
    </w:p>
    <w:p w14:paraId="0724A77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仿宋_GB2312" w:cs="Times New Roman"/>
          <w:b w:val="0"/>
          <w:bCs w:val="0"/>
          <w:kern w:val="0"/>
          <w:position w:val="0"/>
          <w:sz w:val="32"/>
          <w:szCs w:val="32"/>
          <w:highlight w:val="none"/>
          <w:lang w:val="zh-CN" w:eastAsia="zh-CN" w:bidi="ar-SA"/>
        </w:rPr>
        <w:t>标准合理性：项目资金使用标准、工作推进标准均符合医保工作相关规定及财政资金管理要求，宣传覆盖率、参保率、满意度等绩效目标设定合理，与当地实际情况相匹配。</w:t>
      </w:r>
    </w:p>
    <w:p w14:paraId="682EFF0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仿宋_GB2312" w:cs="Times New Roman"/>
          <w:b w:val="0"/>
          <w:bCs w:val="0"/>
          <w:kern w:val="0"/>
          <w:position w:val="0"/>
          <w:sz w:val="32"/>
          <w:szCs w:val="32"/>
          <w:highlight w:val="none"/>
          <w:lang w:val="zh-CN" w:eastAsia="zh-CN" w:bidi="ar-SA"/>
        </w:rPr>
        <w:t>群众满意度：服务对象满意度达96%，群众对医保政策宣传、经办服务等工作认可度较高，项目实施有效提升了群众的医保获得感。</w:t>
      </w:r>
    </w:p>
    <w:p w14:paraId="1C91213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color w:val="auto"/>
          <w:sz w:val="32"/>
          <w:szCs w:val="32"/>
          <w:highlight w:val="none"/>
          <w:u w:val="none"/>
          <w:lang w:val="zh-CN" w:eastAsia="zh-CN"/>
        </w:rPr>
        <w:t>绩效分析。</w:t>
      </w:r>
      <w:r>
        <w:rPr>
          <w:rFonts w:hint="default" w:ascii="Times New Roman" w:hAnsi="Times New Roman" w:eastAsia="仿宋_GB2312" w:cs="Times New Roman"/>
          <w:b w:val="0"/>
          <w:bCs w:val="0"/>
          <w:kern w:val="0"/>
          <w:position w:val="0"/>
          <w:sz w:val="32"/>
          <w:szCs w:val="32"/>
          <w:highlight w:val="none"/>
          <w:lang w:val="zh-CN" w:eastAsia="zh-CN" w:bidi="ar-SA"/>
        </w:rPr>
        <w:t>参保人数指标：年度目标≥3万人，实际完成3.98万人，超额完成目标，参保扩面成效显著，有效扩大了城乡居民医保覆盖范围。</w:t>
      </w:r>
    </w:p>
    <w:p w14:paraId="1CB816E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仿宋_GB2312" w:cs="Times New Roman"/>
          <w:b w:val="0"/>
          <w:bCs w:val="0"/>
          <w:kern w:val="0"/>
          <w:position w:val="0"/>
          <w:sz w:val="32"/>
          <w:szCs w:val="32"/>
          <w:highlight w:val="none"/>
          <w:lang w:val="zh-CN" w:eastAsia="zh-CN" w:bidi="ar-SA"/>
        </w:rPr>
        <w:t>医保宣传覆盖率指标：年度目标≥96%，实际完成96%，达到预期目标，医保政策宣传实现县域全覆盖，群众对医保政策的知晓度明显提升。</w:t>
      </w:r>
    </w:p>
    <w:p w14:paraId="7D4FA82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zh-CN" w:eastAsia="zh-CN" w:bidi="ar-SA"/>
        </w:rPr>
      </w:pPr>
      <w:r>
        <w:rPr>
          <w:rFonts w:hint="default" w:ascii="Times New Roman" w:hAnsi="Times New Roman" w:eastAsia="仿宋_GB2312" w:cs="Times New Roman"/>
          <w:b w:val="0"/>
          <w:bCs w:val="0"/>
          <w:kern w:val="0"/>
          <w:position w:val="0"/>
          <w:sz w:val="32"/>
          <w:szCs w:val="32"/>
          <w:highlight w:val="none"/>
          <w:lang w:val="zh-CN" w:eastAsia="zh-CN" w:bidi="ar-SA"/>
        </w:rPr>
        <w:t>医保工作宣传时效指标：年度目标≤1年，实际用时1年，按时完成年度宣传工作任务，宣传工作有序推进，未出现延误情况。</w:t>
      </w:r>
    </w:p>
    <w:p w14:paraId="5F041CA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zh-CN" w:eastAsia="zh-CN" w:bidi="ar-SA"/>
        </w:rPr>
        <w:t>群众参保意识及参保率指标：年度目标≥96%，实际完成96%，达到预期目标，群众参保积极性明显提升，医保推行阻力有效降低，参保率稳定在较高水平。</w:t>
      </w:r>
    </w:p>
    <w:p w14:paraId="344C130A">
      <w:pPr>
        <w:pStyle w:val="6"/>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14:paraId="1F0C6B27">
      <w:pPr>
        <w:pStyle w:val="6"/>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cs="Times New Roman"/>
          <w:b w:val="0"/>
          <w:bCs w:val="0"/>
          <w:kern w:val="2"/>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2</w:t>
      </w:r>
      <w:r>
        <w:rPr>
          <w:rFonts w:hint="default" w:ascii="Times New Roman" w:hAnsi="Times New Roman" w:eastAsia="仿宋_GB2312" w:cs="Times New Roman"/>
          <w:b w:val="0"/>
          <w:bCs w:val="0"/>
          <w:kern w:val="0"/>
          <w:position w:val="0"/>
          <w:sz w:val="32"/>
          <w:szCs w:val="32"/>
          <w:highlight w:val="none"/>
          <w:lang w:val="en-US" w:eastAsia="zh-CN" w:bidi="ar-SA"/>
        </w:rPr>
        <w:t>025年度壤塘县城乡居民医保工作经费项目绩效自评总分为</w:t>
      </w:r>
      <w:r>
        <w:rPr>
          <w:rFonts w:hint="default" w:ascii="Times New Roman" w:eastAsia="仿宋_GB2312" w:cs="Times New Roman"/>
          <w:b w:val="0"/>
          <w:bCs w:val="0"/>
          <w:kern w:val="0"/>
          <w:position w:val="0"/>
          <w:sz w:val="32"/>
          <w:szCs w:val="32"/>
          <w:highlight w:val="none"/>
          <w:lang w:val="en-US" w:eastAsia="zh-CN" w:bidi="ar-SA"/>
        </w:rPr>
        <w:t>91</w:t>
      </w:r>
      <w:r>
        <w:rPr>
          <w:rFonts w:hint="default" w:ascii="Times New Roman" w:hAnsi="Times New Roman" w:eastAsia="仿宋_GB2312" w:cs="Times New Roman"/>
          <w:b w:val="0"/>
          <w:bCs w:val="0"/>
          <w:kern w:val="0"/>
          <w:position w:val="0"/>
          <w:sz w:val="32"/>
          <w:szCs w:val="32"/>
          <w:highlight w:val="none"/>
          <w:lang w:val="en-US" w:eastAsia="zh-CN" w:bidi="ar-SA"/>
        </w:rPr>
        <w:t>分，项目实施总体情况良好。项目资金管理规范，预算执行率达99.26%，资金使用合规高效；各项绩效目标均按计划完成，参保人数、宣传覆盖率、群众知晓率、满意度等指标</w:t>
      </w:r>
      <w:r>
        <w:rPr>
          <w:rFonts w:hint="eastAsia" w:ascii="Times New Roman" w:eastAsia="仿宋_GB2312" w:cs="Times New Roman"/>
          <w:b w:val="0"/>
          <w:bCs w:val="0"/>
          <w:kern w:val="0"/>
          <w:position w:val="0"/>
          <w:sz w:val="32"/>
          <w:szCs w:val="32"/>
          <w:highlight w:val="none"/>
          <w:lang w:val="en-US" w:eastAsia="zh-CN" w:bidi="ar-SA"/>
        </w:rPr>
        <w:t>都</w:t>
      </w:r>
      <w:r>
        <w:rPr>
          <w:rFonts w:hint="default" w:ascii="Times New Roman" w:hAnsi="Times New Roman" w:eastAsia="仿宋_GB2312" w:cs="Times New Roman"/>
          <w:b w:val="0"/>
          <w:bCs w:val="0"/>
          <w:kern w:val="0"/>
          <w:position w:val="0"/>
          <w:sz w:val="32"/>
          <w:szCs w:val="32"/>
          <w:highlight w:val="none"/>
          <w:lang w:val="en-US" w:eastAsia="zh-CN" w:bidi="ar-SA"/>
        </w:rPr>
        <w:t>达到预期目标，有效推动了城乡居民医保参保扩面、政策宣传等工作开展，夯实了医保民生保障基础，取得了良好的社会效益。</w:t>
      </w:r>
    </w:p>
    <w:p w14:paraId="6C4288D4">
      <w:pPr>
        <w:pStyle w:val="6"/>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五、存在主要问题</w:t>
      </w:r>
    </w:p>
    <w:p w14:paraId="6612EFB4">
      <w:pPr>
        <w:pStyle w:val="6"/>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1.</w:t>
      </w:r>
      <w:r>
        <w:rPr>
          <w:rFonts w:hint="default" w:ascii="Times New Roman" w:hAnsi="Times New Roman" w:eastAsia="仿宋_GB2312" w:cs="Times New Roman"/>
          <w:b w:val="0"/>
          <w:bCs w:val="0"/>
          <w:kern w:val="0"/>
          <w:position w:val="0"/>
          <w:sz w:val="32"/>
          <w:szCs w:val="32"/>
          <w:highlight w:val="none"/>
          <w:lang w:val="en-US" w:eastAsia="zh-CN" w:bidi="ar-SA"/>
        </w:rPr>
        <w:t>医保政策宣传的深度和针对性仍有不足，部分偏远乡镇、重点人群的政策知晓率提升空间较大，宣传方式有待进一步创新优化。</w:t>
      </w:r>
    </w:p>
    <w:p w14:paraId="29963F13">
      <w:pPr>
        <w:pStyle w:val="6"/>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2.</w:t>
      </w:r>
      <w:r>
        <w:rPr>
          <w:rFonts w:hint="default" w:ascii="Times New Roman" w:hAnsi="Times New Roman" w:eastAsia="仿宋_GB2312" w:cs="Times New Roman"/>
          <w:b w:val="0"/>
          <w:bCs w:val="0"/>
          <w:kern w:val="0"/>
          <w:position w:val="0"/>
          <w:sz w:val="32"/>
          <w:szCs w:val="32"/>
          <w:highlight w:val="none"/>
          <w:lang w:val="en-US" w:eastAsia="zh-CN" w:bidi="ar-SA"/>
        </w:rPr>
        <w:t>参保扩面工作的长效机制仍需完善，部分群众参保主动性不强，后续续保、断缴问题仍需持续关注，参保稳定性有待进一步提升。</w:t>
      </w:r>
    </w:p>
    <w:p w14:paraId="55C61F7D">
      <w:pPr>
        <w:pStyle w:val="6"/>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0318844E">
      <w:pPr>
        <w:tabs>
          <w:tab w:val="left" w:pos="1911"/>
        </w:tabs>
        <w:jc w:val="left"/>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 xml:space="preserve"> </w:t>
      </w:r>
      <w:r>
        <w:rPr>
          <w:rFonts w:hint="default" w:ascii="Times New Roman" w:hAnsi="Times New Roman" w:cs="Times New Roman"/>
          <w:b w:val="0"/>
          <w:bCs w:val="0"/>
          <w:kern w:val="0"/>
          <w:position w:val="0"/>
          <w:sz w:val="32"/>
          <w:szCs w:val="32"/>
          <w:highlight w:val="none"/>
          <w:lang w:val="en-US" w:eastAsia="zh-CN" w:bidi="ar-SA"/>
        </w:rPr>
        <w:t xml:space="preserve">   </w:t>
      </w:r>
      <w:r>
        <w:rPr>
          <w:rFonts w:hint="eastAsia" w:cs="Times New Roman"/>
          <w:b w:val="0"/>
          <w:bCs w:val="0"/>
          <w:kern w:val="0"/>
          <w:position w:val="0"/>
          <w:sz w:val="32"/>
          <w:szCs w:val="32"/>
          <w:highlight w:val="none"/>
          <w:lang w:val="en-US" w:eastAsia="zh-CN" w:bidi="ar-SA"/>
        </w:rPr>
        <w:t>1.</w:t>
      </w:r>
      <w:r>
        <w:rPr>
          <w:rFonts w:hint="default" w:ascii="Times New Roman" w:hAnsi="Times New Roman" w:eastAsia="仿宋_GB2312" w:cs="Times New Roman"/>
          <w:b w:val="0"/>
          <w:bCs w:val="0"/>
          <w:kern w:val="0"/>
          <w:position w:val="0"/>
          <w:sz w:val="32"/>
          <w:szCs w:val="32"/>
          <w:highlight w:val="none"/>
          <w:lang w:val="en-US" w:eastAsia="zh-CN" w:bidi="ar-SA"/>
        </w:rPr>
        <w:t>优化医保政策宣传方式，提升宣传针对性与实效性：针对偏远乡镇、重点人群，采用通俗易懂的方式开展精准宣传，结合新媒体平台、入户宣讲等多种形式，提升政策宣传的覆盖面和穿透力，进一步提高群众政策知晓率和参保积极性。</w:t>
      </w:r>
    </w:p>
    <w:p w14:paraId="0D57E605">
      <w:pPr>
        <w:keepNext w:val="0"/>
        <w:keepLines w:val="0"/>
        <w:pageBreakBefore w:val="0"/>
        <w:widowControl w:val="0"/>
        <w:tabs>
          <w:tab w:val="left" w:pos="1911"/>
        </w:tabs>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cs="Times New Roman"/>
          <w:b w:val="0"/>
          <w:bCs w:val="0"/>
          <w:kern w:val="0"/>
          <w:position w:val="0"/>
          <w:sz w:val="32"/>
          <w:szCs w:val="32"/>
          <w:highlight w:val="none"/>
          <w:lang w:val="en-US" w:eastAsia="zh-CN" w:bidi="ar-SA"/>
        </w:rPr>
        <w:t>2.</w:t>
      </w:r>
      <w:r>
        <w:rPr>
          <w:rFonts w:hint="default" w:ascii="Times New Roman" w:hAnsi="Times New Roman" w:eastAsia="仿宋_GB2312" w:cs="Times New Roman"/>
          <w:b w:val="0"/>
          <w:bCs w:val="0"/>
          <w:kern w:val="0"/>
          <w:position w:val="0"/>
          <w:sz w:val="32"/>
          <w:szCs w:val="32"/>
          <w:highlight w:val="none"/>
          <w:lang w:val="en-US" w:eastAsia="zh-CN" w:bidi="ar-SA"/>
        </w:rPr>
        <w:t>健全参保扩面长效机制，提升参保稳定性：建立参保数据动态管理机制，定期梳理未参保、断缴人员信息，针对性开展参保动员和续保提醒工作，加强与乡镇、社区的联动协作，推动参保扩面从“数量提升”向“质量提升”转变，保障医保参保率长期稳定。</w:t>
      </w:r>
    </w:p>
    <w:p w14:paraId="5A388CC5">
      <w:pPr>
        <w:keepNext w:val="0"/>
        <w:keepLines w:val="0"/>
        <w:pageBreakBefore w:val="0"/>
        <w:widowControl w:val="0"/>
        <w:tabs>
          <w:tab w:val="left" w:pos="1911"/>
        </w:tabs>
        <w:kinsoku/>
        <w:wordWrap/>
        <w:overflowPunct/>
        <w:topLinePunct w:val="0"/>
        <w:autoSpaceDE/>
        <w:autoSpaceDN/>
        <w:bidi w:val="0"/>
        <w:adjustRightInd/>
        <w:snapToGrid/>
        <w:ind w:firstLine="640" w:firstLineChars="200"/>
        <w:jc w:val="left"/>
        <w:textAlignment w:val="auto"/>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r>
        <w:rPr>
          <w:rFonts w:hint="eastAsia" w:cs="Times New Roman"/>
          <w:b w:val="0"/>
          <w:bCs w:val="0"/>
          <w:kern w:val="0"/>
          <w:position w:val="0"/>
          <w:sz w:val="32"/>
          <w:szCs w:val="32"/>
          <w:highlight w:val="none"/>
          <w:lang w:val="en-US" w:eastAsia="zh-CN" w:bidi="ar-SA"/>
        </w:rPr>
        <w:t>3.</w:t>
      </w:r>
      <w:r>
        <w:rPr>
          <w:rFonts w:hint="default" w:ascii="Times New Roman" w:hAnsi="Times New Roman" w:eastAsia="仿宋_GB2312" w:cs="Times New Roman"/>
          <w:b w:val="0"/>
          <w:bCs w:val="0"/>
          <w:kern w:val="0"/>
          <w:position w:val="0"/>
          <w:sz w:val="32"/>
          <w:szCs w:val="32"/>
          <w:highlight w:val="none"/>
          <w:lang w:val="en-US" w:eastAsia="zh-CN" w:bidi="ar-SA"/>
        </w:rPr>
        <w:t>加强资金精细化管理，提升资金使用效益：进一步优化项目资金使用计划，加强对宣传、参保动员等工作资金投入的绩效跟踪，建立资金使用效益评估机制，合理调整资金分配结构，优先保障重点工作需求，提高资金使用的精准性和效益性。</w:t>
      </w:r>
    </w:p>
    <w:p w14:paraId="0B9BF1D4">
      <w:pPr>
        <w:pStyle w:val="15"/>
        <w:keepNext w:val="0"/>
        <w:keepLines w:val="0"/>
        <w:pageBreakBefore w:val="0"/>
        <w:widowControl w:val="0"/>
        <w:kinsoku/>
        <w:wordWrap/>
        <w:overflowPunct/>
        <w:topLinePunct w:val="0"/>
        <w:autoSpaceDE/>
        <w:autoSpaceDN/>
        <w:bidi w:val="0"/>
        <w:adjustRightInd/>
        <w:snapToGrid/>
        <w:spacing w:after="0" w:line="20" w:lineRule="exact"/>
        <w:ind w:left="0" w:leftChars="0" w:firstLine="0" w:firstLineChars="0"/>
        <w:textAlignment w:val="auto"/>
        <w:rPr>
          <w:rFonts w:hint="default" w:ascii="Times New Roman" w:hAnsi="Times New Roman" w:eastAsia="黑体" w:cs="Times New Roman"/>
          <w:sz w:val="24"/>
          <w:szCs w:val="24"/>
          <w:highlight w:val="none"/>
          <w:lang w:val="en-US" w:eastAsia="zh-CN"/>
        </w:rPr>
      </w:pPr>
    </w:p>
    <w:p w14:paraId="4AA40EC4">
      <w:pPr>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bidi="ar-SA"/>
        </w:rPr>
      </w:pPr>
    </w:p>
    <w:p w14:paraId="3DD42F63">
      <w:pPr>
        <w:keepNext w:val="0"/>
        <w:keepLines w:val="0"/>
        <w:widowControl/>
        <w:suppressLineNumbers w:val="0"/>
        <w:spacing w:before="0" w:beforeAutospacing="0" w:after="0" w:afterAutospacing="0"/>
        <w:ind w:left="0" w:right="0" w:firstLine="0"/>
        <w:jc w:val="center"/>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医疗服务与保障能力补助资金</w:t>
      </w:r>
    </w:p>
    <w:p w14:paraId="13FFED4C">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绩效自评报告</w:t>
      </w:r>
    </w:p>
    <w:p w14:paraId="21C2F005">
      <w:pPr>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eastAsia="宋体" w:cs="Times New Roman"/>
          <w:color w:val="auto"/>
          <w:kern w:val="2"/>
          <w:sz w:val="32"/>
          <w:szCs w:val="32"/>
          <w:highlight w:val="none"/>
          <w:lang w:val="zh-CN" w:eastAsia="zh-CN" w:bidi="ar-SA"/>
        </w:rPr>
      </w:pPr>
    </w:p>
    <w:p w14:paraId="79EF17EB">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4067C37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default" w:ascii="Times New Roman" w:hAnsi="Times New Roman" w:eastAsia="仿宋_GB2312" w:cs="Times New Roman"/>
          <w:color w:val="auto"/>
          <w:kern w:val="0"/>
          <w:sz w:val="32"/>
          <w:szCs w:val="32"/>
          <w:highlight w:val="none"/>
          <w:u w:val="none"/>
          <w:shd w:val="clear" w:color="auto" w:fill="FFFFFF"/>
          <w:lang w:val="en-US" w:eastAsia="zh-CN"/>
        </w:rPr>
        <w:t>为全面提升壤塘县医疗保障服务水平，强化医保经办服务能力建设，规范医疗结算管理，优化医保服务供给，根据上级医疗保障工作部署及相关资金管理政策文件，设立医疗服务与保障能力补助资金项目。项目立项及资金申报依据医疗保障服务能力提升相关政策要求，主要用于提升我县医疗服务与保障能力的补助建设支出，涵盖医保经办服务、医疗结算、政策宣传、能力建设等相关工作。主管部门为壤塘县医疗保障局，主要职能是贯彻落实医疗保障法律法规政策，负责全县医疗保障基金监管、待遇保障、医药服务管理、经办服务体系建设等工作，推动医疗保障事业高质量发展，保障群众基本医疗需求。</w:t>
      </w:r>
    </w:p>
    <w:p w14:paraId="254E7F2B">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Times New Roman"/>
          <w:b/>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default" w:ascii="Times New Roman" w:hAnsi="Times New Roman" w:eastAsia="仿宋_GB2312" w:cs="Times New Roman"/>
          <w:color w:val="auto"/>
          <w:kern w:val="0"/>
          <w:sz w:val="32"/>
          <w:szCs w:val="32"/>
          <w:highlight w:val="none"/>
          <w:u w:val="none"/>
          <w:shd w:val="clear" w:color="auto" w:fill="FFFFFF"/>
          <w:lang w:val="en-US" w:eastAsia="zh-CN"/>
        </w:rPr>
        <w:t>项目资金严格按照财政资金及医疗保障补助资金管理相关规定执行，确保资金专款专用、规范高效使用。本项目实施目的是通过补助资金支持，全面提升我县医疗服务与保障能力，优化医保经办服务流程，提高医疗结算效率，提升群众医保政策知晓率和满意度，推动医保工作提质增效。主要工作任务包括推进医疗服务能力提升建设、开展医保政策宣传、提升经办服务水平等。项目支持方向为医疗服务与保障能力提升相关的经办服务、业务建设、政策宣传、能力培训等支出。</w:t>
      </w:r>
    </w:p>
    <w:p w14:paraId="3BD6B37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本项目2025年度全年预算数为24.00万元，全部为财政拨款资金，无其他资金来源。项目资金分配严格按照财政资金及医疗保障补助资金管理规定执行，结合我县医疗保障工作实际需求、能力提升建设任务、业务开展情况等因素，统筹安排资金使用，确保资金全部用于医疗服务与保障能力提升相关支出，无截留、挤占、挪用资金情况。</w:t>
      </w:r>
    </w:p>
    <w:p w14:paraId="3AF8ED34">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r>
        <w:rPr>
          <w:rFonts w:hint="default" w:ascii="Times New Roman" w:hAnsi="Times New Roman" w:eastAsia="仿宋_GB2312" w:cs="Times New Roman"/>
          <w:color w:val="auto"/>
          <w:kern w:val="0"/>
          <w:sz w:val="32"/>
          <w:szCs w:val="32"/>
          <w:highlight w:val="none"/>
          <w:u w:val="none"/>
          <w:shd w:val="clear" w:color="auto" w:fill="FFFFFF"/>
          <w:lang w:val="zh-CN" w:eastAsia="zh-CN"/>
        </w:rPr>
        <w:t>项目整体目标：规范使用医疗服务与保障能力补助资金，确保预算执行率达到预期标准，全面提升我县医疗服务与保障能力，优化医保经办服务，提高群众医保获得感和满意度，推动医保工作高质量发展。</w:t>
      </w:r>
    </w:p>
    <w:p w14:paraId="11ADDD6D">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具体绩效目标：2025年度预算执行率达到</w:t>
      </w:r>
      <w:r>
        <w:rPr>
          <w:rFonts w:hint="eastAsia" w:ascii="Times New Roman" w:hAnsi="Times New Roman" w:eastAsia="仿宋_GB2312" w:cs="Times New Roman"/>
          <w:color w:val="auto"/>
          <w:kern w:val="0"/>
          <w:sz w:val="32"/>
          <w:szCs w:val="32"/>
          <w:highlight w:val="none"/>
          <w:u w:val="none"/>
          <w:shd w:val="clear" w:color="auto" w:fill="FFFFFF"/>
          <w:lang w:val="en-US" w:eastAsia="zh-CN"/>
        </w:rPr>
        <w:t>100</w:t>
      </w:r>
      <w:r>
        <w:rPr>
          <w:rFonts w:hint="default" w:ascii="Times New Roman" w:hAnsi="Times New Roman" w:eastAsia="仿宋_GB2312" w:cs="Times New Roman"/>
          <w:color w:val="auto"/>
          <w:kern w:val="0"/>
          <w:sz w:val="32"/>
          <w:szCs w:val="32"/>
          <w:highlight w:val="none"/>
          <w:u w:val="none"/>
          <w:shd w:val="clear" w:color="auto" w:fill="FFFFFF"/>
          <w:lang w:val="zh-CN" w:eastAsia="zh-CN"/>
        </w:rPr>
        <w:t>%；医疗结算人数≥3000人；医疗工作开展成果完成率≥96%；医疗工作开展时间≤12个月；能力提升建设成本≤24万元；群众政策知晓率≥96%；医疗工作成果的保持度≥95%；群众对医保工作满意度≥95%。</w:t>
      </w:r>
    </w:p>
    <w:p w14:paraId="6C57EB26">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自评工作开展情况：按照绩效自评工作要求，对照项目绩效目标及各项指标，逐项梳理项目实施、资金使用、目标完成、工作成效等情况，开展全面绩效自评，确保自评结果真实、准确、客观。</w:t>
      </w:r>
    </w:p>
    <w:p w14:paraId="69AE7FF0">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14:paraId="10EB640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color w:val="auto"/>
          <w:sz w:val="32"/>
          <w:szCs w:val="32"/>
          <w:highlight w:val="none"/>
          <w:u w:val="none"/>
          <w:lang w:val="zh-CN"/>
        </w:rPr>
        <w:t>（一）评价目的。</w:t>
      </w:r>
      <w:r>
        <w:rPr>
          <w:rFonts w:hint="default" w:ascii="Times New Roman" w:hAnsi="Times New Roman" w:eastAsia="仿宋_GB2312" w:cs="Times New Roman"/>
          <w:sz w:val="32"/>
          <w:szCs w:val="32"/>
        </w:rPr>
        <w:t>本次绩效自评旨在全面评价2025年度医疗服务与保障能力补助资金项目的预算执行、资金使用、目标完成及实施效果，总结项目实施成效，查找存在的问题，提出针对性改进措施，进一步规范项目资金管理，提升资金使用效益，优化后续医疗服务与保障能力提升项目实施及绩效管理工作。</w:t>
      </w:r>
    </w:p>
    <w:p w14:paraId="0017C17E">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default" w:ascii="Times New Roman" w:hAnsi="Times New Roman" w:eastAsia="仿宋_GB2312" w:cs="Times New Roman"/>
          <w:sz w:val="32"/>
          <w:szCs w:val="32"/>
        </w:rPr>
        <w:t>按照项目绩效评价指标体系，围绕资金支出使用全过程，重点评价预算执行率、资金使用合规性、绩效目标完成情况、医疗服务与保障能力提升成效、群众政策知晓率及满意度等内容，对项目实施效果进行综合评价和判断。</w:t>
      </w:r>
    </w:p>
    <w:p w14:paraId="6615F3D2">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color w:val="auto"/>
          <w:sz w:val="32"/>
          <w:szCs w:val="32"/>
          <w:highlight w:val="none"/>
          <w:u w:val="none"/>
          <w:lang w:val="zh-CN"/>
        </w:rPr>
        <w:t>（三）评价选点。</w:t>
      </w:r>
      <w:r>
        <w:rPr>
          <w:rFonts w:hint="default" w:ascii="Times New Roman" w:hAnsi="Times New Roman" w:eastAsia="仿宋_GB2312" w:cs="Times New Roman"/>
          <w:sz w:val="32"/>
          <w:szCs w:val="32"/>
          <w:lang w:val="zh-CN" w:eastAsia="zh-CN"/>
        </w:rPr>
        <w:t>本项目为县级医疗保障服务能力提升专项经费，无跨市县点位分配，不涉及实地踏勘选点。</w:t>
      </w:r>
    </w:p>
    <w:p w14:paraId="478A2C4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color w:val="auto"/>
          <w:sz w:val="32"/>
          <w:szCs w:val="32"/>
          <w:highlight w:val="none"/>
          <w:u w:val="none"/>
          <w:lang w:val="zh-CN"/>
        </w:rPr>
        <w:t>（四）评价方法。</w:t>
      </w:r>
      <w:r>
        <w:rPr>
          <w:rFonts w:hint="default" w:ascii="Times New Roman" w:hAnsi="Times New Roman" w:eastAsia="仿宋_GB2312" w:cs="Times New Roman"/>
          <w:sz w:val="32"/>
          <w:szCs w:val="32"/>
        </w:rPr>
        <w:t>本次评价采用案卷研究法、单位自评法开展绩效自评工作，通过查阅项目文件等资料，结合项目实际实施情况，对照绩效评价指标体系进行逐项分析评价。</w:t>
      </w:r>
    </w:p>
    <w:p w14:paraId="3FF9155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Cs/>
          <w:sz w:val="32"/>
          <w:szCs w:val="32"/>
          <w:lang w:eastAsia="zh-CN"/>
        </w:rPr>
      </w:pPr>
      <w:r>
        <w:rPr>
          <w:rFonts w:hint="default" w:ascii="Times New Roman" w:hAnsi="Times New Roman" w:eastAsia="楷体_GB2312" w:cs="Times New Roman"/>
          <w:b/>
          <w:color w:val="auto"/>
          <w:sz w:val="32"/>
          <w:szCs w:val="32"/>
          <w:highlight w:val="none"/>
          <w:u w:val="none"/>
          <w:lang w:val="zh-CN"/>
        </w:rPr>
        <w:t>（五）评价组织。</w:t>
      </w:r>
      <w:r>
        <w:rPr>
          <w:rFonts w:hint="eastAsia" w:ascii="Times New Roman" w:hAnsi="Times New Roman" w:eastAsia="仿宋_GB2312" w:cs="Times New Roman"/>
          <w:sz w:val="32"/>
          <w:szCs w:val="32"/>
          <w:lang w:val="zh-CN"/>
        </w:rPr>
        <w:t>本</w:t>
      </w:r>
      <w:r>
        <w:rPr>
          <w:rFonts w:hint="default" w:ascii="Times New Roman" w:hAnsi="Times New Roman" w:eastAsia="仿宋_GB2312" w:cs="Times New Roman"/>
          <w:sz w:val="32"/>
          <w:szCs w:val="32"/>
        </w:rPr>
        <w:t>次评价由壤塘县医疗保障局牵头组织，财务股工作人员</w:t>
      </w:r>
      <w:r>
        <w:rPr>
          <w:rFonts w:hint="eastAsia" w:ascii="Times New Roman" w:hAnsi="Times New Roman" w:eastAsia="仿宋_GB2312" w:cs="Times New Roman"/>
          <w:sz w:val="32"/>
          <w:szCs w:val="32"/>
          <w:lang w:eastAsia="zh-CN"/>
        </w:rPr>
        <w:t>实施，</w:t>
      </w:r>
      <w:r>
        <w:rPr>
          <w:rFonts w:hint="default" w:ascii="Times New Roman" w:hAnsi="Times New Roman" w:eastAsia="仿宋_GB2312" w:cs="Times New Roman"/>
          <w:sz w:val="32"/>
          <w:szCs w:val="32"/>
        </w:rPr>
        <w:t>确保自评工作规范有序开展。</w:t>
      </w:r>
    </w:p>
    <w:p w14:paraId="2E014CE6">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eastAsia="仿宋_GB2312" w:cs="Times New Roman"/>
          <w:color w:val="auto"/>
          <w:sz w:val="32"/>
          <w:szCs w:val="32"/>
          <w:highlight w:val="none"/>
          <w:u w:val="none"/>
          <w:lang w:val="zh-CN"/>
        </w:rPr>
        <w:tab/>
      </w:r>
    </w:p>
    <w:p w14:paraId="31AAF20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6D12C9A6">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lang w:val="en-US" w:eastAsia="zh-CN"/>
        </w:rPr>
        <w:t>1.</w:t>
      </w:r>
      <w:r>
        <w:rPr>
          <w:rFonts w:hint="default" w:ascii="Times New Roman" w:hAnsi="Times New Roman" w:eastAsia="楷体_GB2312" w:cs="Times New Roman"/>
          <w:color w:val="auto"/>
          <w:sz w:val="32"/>
          <w:szCs w:val="32"/>
          <w:lang w:eastAsia="zh-CN"/>
        </w:rPr>
        <w:t>项目决策。</w:t>
      </w:r>
      <w:r>
        <w:rPr>
          <w:rFonts w:hint="default" w:ascii="Times New Roman" w:hAnsi="Times New Roman" w:eastAsia="仿宋_GB2312" w:cs="Times New Roman"/>
          <w:color w:val="auto"/>
          <w:sz w:val="32"/>
          <w:szCs w:val="32"/>
          <w:lang w:eastAsia="zh-CN"/>
        </w:rPr>
        <w:t>本项目决策程序规范，依据上级医疗保障政策文件及我县工作实际立项申报，规划论证充分，资金投向符合医疗服务与保障能力提升的政策导向及我县医保工作实际需求，主要用于医疗结算、能力建设、政策宣传等相关支出，资金投向合理合规，有效服务于提升医保服务能力、保障群众医疗需求的目标。</w:t>
      </w:r>
    </w:p>
    <w:p w14:paraId="2762171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lang w:val="en-US" w:eastAsia="zh-CN"/>
        </w:rPr>
        <w:t>2.</w:t>
      </w:r>
      <w:r>
        <w:rPr>
          <w:rFonts w:hint="default" w:ascii="Times New Roman" w:hAnsi="Times New Roman" w:eastAsia="楷体_GB2312" w:cs="Times New Roman"/>
          <w:color w:val="auto"/>
          <w:sz w:val="32"/>
          <w:szCs w:val="32"/>
          <w:lang w:eastAsia="zh-CN"/>
        </w:rPr>
        <w:t>项目管理。</w:t>
      </w:r>
      <w:r>
        <w:rPr>
          <w:rFonts w:hint="default" w:ascii="Times New Roman" w:hAnsi="Times New Roman" w:eastAsia="仿宋_GB2312" w:cs="Times New Roman"/>
          <w:color w:val="auto"/>
          <w:sz w:val="32"/>
          <w:szCs w:val="32"/>
          <w:lang w:eastAsia="zh-CN"/>
        </w:rPr>
        <w:t>项目资金严格按照财政资金及医疗保障补助资金管理办法执行，分配管理规范，预算编制科学合理，资金拨付及时，绩效监管到位，定期对资金使用及绩效目标完成情况进行跟踪监控，确保资金安全规范使用，无违规使用情况。</w:t>
      </w:r>
    </w:p>
    <w:p w14:paraId="271315D5">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3.项目实施。</w:t>
      </w:r>
      <w:r>
        <w:rPr>
          <w:rFonts w:hint="default" w:ascii="Times New Roman" w:hAnsi="Times New Roman" w:eastAsia="仿宋_GB2312" w:cs="Times New Roman"/>
          <w:color w:val="auto"/>
          <w:sz w:val="32"/>
          <w:szCs w:val="32"/>
          <w:lang w:eastAsia="zh-CN"/>
        </w:rPr>
        <w:t>项目预算执行情况良好，2025年度预算执行数为23.95万元，预算执行率达99.78%，接近预期目标，资金全部按规定用途使用，无截留、挤占、挪用资金情况，资金使用合规高效。</w:t>
      </w:r>
    </w:p>
    <w:p w14:paraId="1C5671C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项目结果。项目各项绩效目标均已完成，全年各项指标实际值均达到年度指标值，完成时效符合要求，医疗结算、医保服务、政策宣传等工作按计划顺利开展，医疗服务与保障能力得到有效提升，项目实施成效显著。</w:t>
      </w:r>
    </w:p>
    <w:p w14:paraId="47335155">
      <w:pPr>
        <w:keepNext w:val="0"/>
        <w:keepLines w:val="0"/>
        <w:pageBreakBefore w:val="0"/>
        <w:widowControl w:val="0"/>
        <w:kinsoku/>
        <w:wordWrap/>
        <w:overflowPunct/>
        <w:topLinePunct w:val="0"/>
        <w:autoSpaceDE/>
        <w:autoSpaceDN/>
        <w:bidi w:val="0"/>
        <w:adjustRightInd/>
        <w:snapToGrid/>
        <w:spacing w:line="578" w:lineRule="exact"/>
        <w:ind w:left="0" w:leftChars="0" w:firstLine="643"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default" w:ascii="Times New Roman" w:hAnsi="Times New Roman" w:eastAsia="仿宋_GB2312" w:cs="Times New Roman"/>
          <w:color w:val="auto"/>
          <w:sz w:val="32"/>
          <w:szCs w:val="32"/>
          <w:lang w:val="zh-CN" w:eastAsia="zh-CN"/>
        </w:rPr>
        <w:t>本项目属于民生保障类专项经费，围绕区域均衡性、对象精准性、标准合理性、群众满意度开展分析：</w:t>
      </w:r>
    </w:p>
    <w:p w14:paraId="0069BCC5">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区域均衡性：项目资金全部用于壤塘县医疗服务与保障能力提升建设，重点覆盖全县医保经办服务、医疗结算等工作，服务覆盖全县群众，区域内医保服务资源配置均衡，有效保障了不同区域群众的医保服务需求。</w:t>
      </w:r>
    </w:p>
    <w:p w14:paraId="755A6615">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对象精准性：项目资金主要用于提升医保经办服务能力、优化医疗结算流程、开展医保政策宣传等工作，服务对象精准覆盖全县参保群众，有效解决群众医保服务中的痛点难点问题，提升服务精准度。</w:t>
      </w:r>
    </w:p>
    <w:p w14:paraId="778BAF45">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标准合理性：资金使用标准符合预算安排及医疗保障补助资金管理规定，支出金额控制在预算范围内，23.95万元的实际支出未超过24万元的预算上限，标准执行规范合理，无超标准支出情况。</w:t>
      </w:r>
    </w:p>
    <w:p w14:paraId="12A1050F">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群众满意度：通过优化医保经办服务、加强政策宣传、提升服务能力，群众对医保工作的满意度达到95%，达到年度指标值（≥95%），群众医保获得感和满意度显著提升。</w:t>
      </w:r>
    </w:p>
    <w:p w14:paraId="6BB553F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default" w:ascii="Times New Roman" w:hAnsi="Times New Roman" w:eastAsia="仿宋_GB2312" w:cs="Times New Roman"/>
          <w:color w:val="auto"/>
          <w:sz w:val="32"/>
          <w:szCs w:val="32"/>
          <w:lang w:val="zh-CN" w:eastAsia="zh-CN"/>
        </w:rPr>
        <w:t>本项目设置了产出、效益、满意度等多维度个性指标，具体执行完成情况如下：</w:t>
      </w:r>
    </w:p>
    <w:p w14:paraId="73EAF5FD">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zh-CN" w:eastAsia="zh-CN"/>
        </w:rPr>
      </w:pP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zh-CN" w:eastAsia="zh-CN"/>
        </w:rPr>
        <w:t>产出指标</w:t>
      </w:r>
      <w:r>
        <w:rPr>
          <w:rFonts w:hint="eastAsia" w:ascii="Times New Roman" w:hAnsi="Times New Roman" w:eastAsia="仿宋_GB2312" w:cs="Times New Roman"/>
          <w:color w:val="auto"/>
          <w:sz w:val="32"/>
          <w:szCs w:val="32"/>
          <w:lang w:val="zh-CN" w:eastAsia="zh-CN"/>
        </w:rPr>
        <w:t>。</w:t>
      </w:r>
      <w:r>
        <w:rPr>
          <w:rFonts w:hint="default" w:ascii="Times New Roman" w:hAnsi="Times New Roman" w:eastAsia="仿宋_GB2312" w:cs="Times New Roman"/>
          <w:color w:val="auto"/>
          <w:sz w:val="32"/>
          <w:szCs w:val="32"/>
          <w:lang w:val="zh-CN" w:eastAsia="zh-CN"/>
        </w:rPr>
        <w:t>数量指标：医疗结算人数为2.7万人，远超年度指标值（≥3000人），得分</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zh-CN" w:eastAsia="zh-CN"/>
        </w:rPr>
        <w:t>分。质量指标：医疗工作开展成果完成率为96%，达到年度指标值（≥96%），得分</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zh-CN" w:eastAsia="zh-CN"/>
        </w:rPr>
        <w:t>分。时效指标：医疗工作开展时间为12个月，符合年度指标值（≤12个月），得分</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zh-CN" w:eastAsia="zh-CN"/>
        </w:rPr>
        <w:t>分。成本指标：能力提升建设成本为23.95万元，控制在年度指标值（≤24万元）以内，得分</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zh-CN" w:eastAsia="zh-CN"/>
        </w:rPr>
        <w:t>分。</w:t>
      </w:r>
    </w:p>
    <w:p w14:paraId="50DA35F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zh-CN" w:eastAsia="zh-CN"/>
        </w:rPr>
      </w:pP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zh-CN" w:eastAsia="zh-CN"/>
        </w:rPr>
        <w:t>效益指标</w:t>
      </w:r>
      <w:r>
        <w:rPr>
          <w:rFonts w:hint="eastAsia" w:ascii="Times New Roman" w:hAnsi="Times New Roman" w:eastAsia="仿宋_GB2312" w:cs="Times New Roman"/>
          <w:color w:val="auto"/>
          <w:sz w:val="32"/>
          <w:szCs w:val="32"/>
          <w:lang w:val="zh-CN" w:eastAsia="zh-CN"/>
        </w:rPr>
        <w:t>。</w:t>
      </w:r>
      <w:r>
        <w:rPr>
          <w:rFonts w:hint="default" w:ascii="Times New Roman" w:hAnsi="Times New Roman" w:eastAsia="仿宋_GB2312" w:cs="Times New Roman"/>
          <w:color w:val="auto"/>
          <w:sz w:val="32"/>
          <w:szCs w:val="32"/>
          <w:lang w:val="zh-CN" w:eastAsia="zh-CN"/>
        </w:rPr>
        <w:t>社会效益指标：群众政策知晓率为96%，达到年度指标值（≥96%），得分</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zh-CN" w:eastAsia="zh-CN"/>
        </w:rPr>
        <w:t>分。可持续影响指标：医疗工作成果的保持度为95%，达到年度指标值（≥95%），得分</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zh-CN" w:eastAsia="zh-CN"/>
        </w:rPr>
        <w:t>分。</w:t>
      </w:r>
    </w:p>
    <w:p w14:paraId="542E9F44">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zh-CN" w:eastAsia="zh-CN"/>
        </w:rPr>
      </w:pP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zh-CN" w:eastAsia="zh-CN"/>
        </w:rPr>
        <w:t>服务对象满意度指标：群众对医保工作满意度为95%，达到年度指标值（≥95%），得分</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zh-CN" w:eastAsia="zh-CN"/>
        </w:rPr>
        <w:t>分。</w:t>
      </w:r>
    </w:p>
    <w:p w14:paraId="4C1652A4">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en-US" w:bidi="ar-SA"/>
        </w:rPr>
      </w:pPr>
      <w:r>
        <w:rPr>
          <w:rFonts w:hint="default" w:ascii="Times New Roman" w:hAnsi="Times New Roman" w:eastAsia="黑体" w:cs="Times New Roman"/>
          <w:color w:val="auto"/>
          <w:kern w:val="0"/>
          <w:position w:val="3"/>
          <w:sz w:val="32"/>
          <w:szCs w:val="32"/>
          <w:highlight w:val="none"/>
          <w:u w:val="none"/>
          <w:lang w:val="en-US" w:eastAsia="zh-CN" w:bidi="ar-SA"/>
        </w:rPr>
        <w:t>四</w:t>
      </w:r>
      <w:r>
        <w:rPr>
          <w:rFonts w:hint="default" w:ascii="Times New Roman" w:hAnsi="Times New Roman" w:eastAsia="黑体" w:cs="Times New Roman"/>
          <w:color w:val="auto"/>
          <w:kern w:val="0"/>
          <w:position w:val="3"/>
          <w:sz w:val="32"/>
          <w:szCs w:val="32"/>
          <w:highlight w:val="none"/>
          <w:u w:val="none"/>
          <w:lang w:val="en-US" w:eastAsia="en-US" w:bidi="ar-SA"/>
        </w:rPr>
        <w:t>、评价结论</w:t>
      </w:r>
    </w:p>
    <w:p w14:paraId="7868F54E">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本项目2025年度绩效自评总分为</w:t>
      </w:r>
      <w:r>
        <w:rPr>
          <w:rFonts w:hint="default" w:ascii="Times New Roman" w:hAnsi="Times New Roman" w:eastAsia="仿宋_GB2312" w:cs="Times New Roman"/>
          <w:b w:val="0"/>
          <w:bCs w:val="0"/>
          <w:kern w:val="0"/>
          <w:position w:val="0"/>
          <w:sz w:val="32"/>
          <w:szCs w:val="32"/>
          <w:highlight w:val="none"/>
          <w:lang w:val="en-US" w:eastAsia="zh-CN" w:bidi="ar-SA"/>
        </w:rPr>
        <w:t>92</w:t>
      </w:r>
      <w:r>
        <w:rPr>
          <w:rFonts w:hint="eastAsia" w:ascii="Times New Roman" w:hAnsi="Times New Roman" w:eastAsia="仿宋_GB2312" w:cs="Times New Roman"/>
          <w:b w:val="0"/>
          <w:bCs w:val="0"/>
          <w:kern w:val="0"/>
          <w:position w:val="0"/>
          <w:sz w:val="32"/>
          <w:szCs w:val="32"/>
          <w:highlight w:val="none"/>
          <w:lang w:val="en-US" w:eastAsia="zh-CN" w:bidi="ar-SA"/>
        </w:rPr>
        <w:t>分，各项指标均已完成，预算执行率达99.78%，项目实施情况良好。项目资金使用合规、高效，有效推动了我县医疗服务与保障能力提升，医疗结算效率显著提高，医保政策知晓率和群众满意度稳步提升，达到了项目设立的预期目标，实施成效显著。</w:t>
      </w:r>
    </w:p>
    <w:p w14:paraId="1CD0FFA7">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zh-CN" w:bidi="ar-SA"/>
        </w:rPr>
      </w:pPr>
      <w:r>
        <w:rPr>
          <w:rFonts w:hint="default" w:ascii="Times New Roman" w:hAnsi="Times New Roman" w:eastAsia="黑体" w:cs="Times New Roman"/>
          <w:color w:val="auto"/>
          <w:kern w:val="0"/>
          <w:position w:val="3"/>
          <w:sz w:val="32"/>
          <w:szCs w:val="32"/>
          <w:highlight w:val="none"/>
          <w:u w:val="none"/>
          <w:lang w:val="en-US" w:eastAsia="zh-CN" w:bidi="ar-SA"/>
        </w:rPr>
        <w:t>五、存在主要问题</w:t>
      </w:r>
    </w:p>
    <w:p w14:paraId="1618322D">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本项目整体实施情况良好，但仍存在部分细节问题：一是预算执行率未达到100%，存在少量资金结余，预算编制的精准性仍有提升空间；二是医疗服务能力提升建设的长效机制有待进一步完善，部分工作成果的可持续性仍需加强；三是医保政策宣传的深度和广度仍有拓展空间，群众政策知晓率可进一步提升。</w:t>
      </w:r>
    </w:p>
    <w:p w14:paraId="5503DDC6">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4036B5DB">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1.提升预算编制精准性：结合往年预算执行情况及当年医疗服务与保障能力提升工作实际需求，进一步细化预算编制，合理测算资金需求，减少资金结余，提高预算执行率，确保资金全部发挥使用效益。</w:t>
      </w:r>
    </w:p>
    <w:p w14:paraId="24E20775">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2.完善能力提升长效机制：建立医疗服务与保障能力提升工作长效机制，加强医保经办服务队伍建设，完善业务培训和考核机制，强化工作成果的巩固和应用，提升工作成果的可持续性。</w:t>
      </w:r>
    </w:p>
    <w:p w14:paraId="303C47C2">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3.深化医保政策宣传工作：丰富医保政策宣传形式，拓宽宣传渠道，结合群众需求开展精准化、常态化政策宣传，进一步提高群众医保政策知晓率，提升群众医保获得感和满意度。</w:t>
      </w:r>
    </w:p>
    <w:p w14:paraId="4D0F8A8B">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eastAsia" w:ascii="Times New Roman" w:hAnsi="Times New Roman" w:eastAsia="仿宋_GB2312" w:cs="Times New Roman"/>
          <w:b w:val="0"/>
          <w:bCs w:val="0"/>
          <w:kern w:val="0"/>
          <w:position w:val="0"/>
          <w:sz w:val="32"/>
          <w:szCs w:val="32"/>
          <w:highlight w:val="none"/>
          <w:lang w:val="en-US" w:eastAsia="zh-CN" w:bidi="ar-SA"/>
        </w:rPr>
        <w:t>4.强化资金使用全过程监管：加强对项目资金使用的动态跟踪管理，定期梳理资金使用进度，及时分析预算执行偏差原因，确保资金按计划高效使用，充分发挥补助资金对医疗服务与保障能力提升的支撑作用，推动我县医疗保障事业持续高质量发展。</w:t>
      </w:r>
    </w:p>
    <w:p w14:paraId="02F8486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FD278EC">
      <w:pPr>
        <w:keepNext w:val="0"/>
        <w:keepLines w:val="0"/>
        <w:widowControl/>
        <w:suppressLineNumbers w:val="0"/>
        <w:spacing w:before="0" w:beforeAutospacing="0" w:after="0" w:afterAutospacing="0"/>
        <w:ind w:left="0" w:right="0" w:firstLine="0"/>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第二批</w:t>
      </w:r>
      <w:r>
        <w:rPr>
          <w:rFonts w:hint="default" w:ascii="Times New Roman" w:hAnsi="Times New Roman" w:eastAsia="方正小标宋简体" w:cs="Times New Roman"/>
          <w:color w:val="auto"/>
          <w:kern w:val="2"/>
          <w:sz w:val="44"/>
          <w:szCs w:val="44"/>
          <w:highlight w:val="none"/>
          <w:lang w:val="en-US" w:eastAsia="zh-CN" w:bidi="ar-SA"/>
        </w:rPr>
        <w:t>医疗服务与保障能力补助资金</w:t>
      </w:r>
    </w:p>
    <w:p w14:paraId="6CF75C8D">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绩效自评报告</w:t>
      </w:r>
    </w:p>
    <w:p w14:paraId="5A5E6B41">
      <w:pPr>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eastAsia="宋体" w:cs="Times New Roman"/>
          <w:color w:val="auto"/>
          <w:kern w:val="2"/>
          <w:sz w:val="32"/>
          <w:szCs w:val="32"/>
          <w:highlight w:val="none"/>
          <w:lang w:val="zh-CN" w:eastAsia="zh-CN" w:bidi="ar-SA"/>
        </w:rPr>
      </w:pPr>
    </w:p>
    <w:p w14:paraId="1B8F67CD">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240C28D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default" w:ascii="Times New Roman" w:hAnsi="Times New Roman" w:eastAsia="仿宋_GB2312" w:cs="Times New Roman"/>
          <w:color w:val="auto"/>
          <w:kern w:val="0"/>
          <w:sz w:val="32"/>
          <w:szCs w:val="32"/>
          <w:highlight w:val="none"/>
          <w:u w:val="none"/>
          <w:shd w:val="clear" w:color="auto" w:fill="FFFFFF"/>
          <w:lang w:val="en-US" w:eastAsia="zh-CN"/>
        </w:rPr>
        <w:t>为持续提升壤塘县医疗保障服务水平，补齐医保经办服务短板，强化医疗结算管理与服务能力建设，根据上级医疗保障工作部署及相关资金管理政策文件，设立第二批医疗服务与保障能力补助资金项目。项目立项及资金申报依据医疗保障服务能力提升相关政策要求，主要用于提升我县医疗服务与保障能力的补助建设支出，涵盖医保经办服务优化、医疗结算业务开展、医保政策宣传、经办人员能力提升等相关工作。主管部门为壤塘县医疗保障局，主要职能是贯彻落实医疗保障法律法规政策，负责全县医疗保障基金监管、待遇保障、医药服务管理、经办服务体系建设等工作，推动医疗保障事业高质量发展，保障群众基本医疗需求。</w:t>
      </w:r>
    </w:p>
    <w:p w14:paraId="3332EA53">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Times New Roman"/>
          <w:b/>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default" w:ascii="Times New Roman" w:hAnsi="Times New Roman" w:eastAsia="仿宋_GB2312" w:cs="Times New Roman"/>
          <w:color w:val="auto"/>
          <w:kern w:val="0"/>
          <w:sz w:val="32"/>
          <w:szCs w:val="32"/>
          <w:highlight w:val="none"/>
          <w:u w:val="none"/>
          <w:shd w:val="clear" w:color="auto" w:fill="FFFFFF"/>
          <w:lang w:val="en-US" w:eastAsia="zh-CN"/>
        </w:rPr>
        <w:t>项目资金严格按照财政资金及医疗保障补助资金管理相关规定执行，确保资金专款专用、规范高效使用。本项目实施目的是通过第二批补助资金支持，进一步完善我县医保经办服务体系，优化医疗结算流程，提升医保服务质效，提高群众医保政策知晓率和满意度，推动医保工作提质增效。主要工作任务包括推进医保服务能力提升建设、开展医保政策宣传培训、优化经办服务流程等。项目支持方向为医疗服务与保障能力提升相关的经办服务、业务建设、政策宣传、能力培训等支出。</w:t>
      </w:r>
    </w:p>
    <w:p w14:paraId="6AE4F06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本项目2025年度全年预算数为14.00万元，全部为财政拨款资金，无其他资金来源。项目资金分配严格按照财政资金及医疗保障补助资金管理规定执行，结合我县医疗保障工作实际需求、能力提升建设任务、业务开展情况等因素，统筹安排资金使用，确保资金全部用于医疗服务与保障能力提升相关支出，无截留、挤占、挪用资金情况。</w:t>
      </w:r>
    </w:p>
    <w:p w14:paraId="40376B5F">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r>
        <w:rPr>
          <w:rFonts w:hint="default" w:ascii="Times New Roman" w:hAnsi="Times New Roman" w:eastAsia="仿宋_GB2312" w:cs="Times New Roman"/>
          <w:color w:val="auto"/>
          <w:kern w:val="0"/>
          <w:sz w:val="32"/>
          <w:szCs w:val="32"/>
          <w:highlight w:val="none"/>
          <w:u w:val="none"/>
          <w:shd w:val="clear" w:color="auto" w:fill="FFFFFF"/>
          <w:lang w:val="zh-CN" w:eastAsia="zh-CN"/>
        </w:rPr>
        <w:t>项目整体目标：规范使用第二批医疗服务与保障能力补助资金，确保预算执行率稳步提升，全面提升我县医疗服务与保障能力，优化医保经办服务，提高群众医保获得感和满意度，推动医保工作高质量发展。</w:t>
      </w:r>
    </w:p>
    <w:p w14:paraId="572A0EC0">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具体绩效目标：2025年度预算执行率达到100%；医疗结算人数≥3000人；医疗工作开展成果完成率≥96%；医疗工作开展时间≤12个月；能力提升建设成本≤14万元；群众政策知晓率≥96%；医疗工作成果的保持度≥95%；群众对医保工作满意度≥95%。</w:t>
      </w:r>
    </w:p>
    <w:p w14:paraId="47A783DD">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自评工作开展情况：按照绩效自评工作要求，对照项目绩效目标及各项指标，逐项梳理项目实施、资金使用、目标完成、工作成效等情况，开展全面绩效自评，确保自评结果真实、准确、客观。</w:t>
      </w:r>
    </w:p>
    <w:p w14:paraId="6E3337F9">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14:paraId="538D32C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color w:val="auto"/>
          <w:sz w:val="32"/>
          <w:szCs w:val="32"/>
          <w:highlight w:val="none"/>
          <w:u w:val="none"/>
          <w:lang w:val="zh-CN"/>
        </w:rPr>
        <w:t>（一）评价目的。</w:t>
      </w:r>
      <w:r>
        <w:rPr>
          <w:rFonts w:hint="default" w:ascii="Times New Roman" w:hAnsi="Times New Roman" w:eastAsia="仿宋_GB2312" w:cs="Times New Roman"/>
          <w:sz w:val="32"/>
          <w:szCs w:val="32"/>
        </w:rPr>
        <w:t>本次绩效自评旨在全面评价2025年度第二批医疗服务与保障能力补助资金项目的预算执行、资金使用、目标完成及实施效果，总结项目实施成效，查找存在的问题，提出针对性改进措施，进一步规范项目资金管理，提升资金使用效益，优化后续医疗服务与保障能力提升项目实施及绩效管理工作。</w:t>
      </w:r>
    </w:p>
    <w:p w14:paraId="75778B87">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default" w:ascii="Times New Roman" w:hAnsi="Times New Roman" w:eastAsia="仿宋_GB2312" w:cs="Times New Roman"/>
          <w:sz w:val="32"/>
          <w:szCs w:val="32"/>
        </w:rPr>
        <w:t>按照项目绩效评价指标体系，围绕资金支出使用全过程，重点评价预算执行率、资金使用合规性、绩效目标完成情况、医疗服务与保障能力提升成效、群众政策知晓率及满意度等内容，对项目实施效果进行综合评价和判断。</w:t>
      </w:r>
    </w:p>
    <w:p w14:paraId="20421E2C">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color w:val="auto"/>
          <w:sz w:val="32"/>
          <w:szCs w:val="32"/>
          <w:highlight w:val="none"/>
          <w:u w:val="none"/>
          <w:lang w:val="zh-CN"/>
        </w:rPr>
        <w:t>（三）评价选点。</w:t>
      </w:r>
      <w:r>
        <w:rPr>
          <w:rFonts w:hint="default" w:ascii="Times New Roman" w:hAnsi="Times New Roman" w:eastAsia="仿宋_GB2312" w:cs="Times New Roman"/>
          <w:sz w:val="32"/>
          <w:szCs w:val="32"/>
          <w:lang w:val="zh-CN" w:eastAsia="zh-CN"/>
        </w:rPr>
        <w:t>本项目为县级医疗保障服务能力提升专项经费，无跨市县点位分配，不涉及实地踏勘选点。</w:t>
      </w:r>
    </w:p>
    <w:p w14:paraId="461BC70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color w:val="auto"/>
          <w:sz w:val="32"/>
          <w:szCs w:val="32"/>
          <w:highlight w:val="none"/>
          <w:u w:val="none"/>
          <w:lang w:val="zh-CN"/>
        </w:rPr>
        <w:t>（四）评价方法。</w:t>
      </w:r>
      <w:r>
        <w:rPr>
          <w:rFonts w:hint="default" w:ascii="Times New Roman" w:hAnsi="Times New Roman" w:eastAsia="仿宋_GB2312" w:cs="Times New Roman"/>
          <w:sz w:val="32"/>
          <w:szCs w:val="32"/>
        </w:rPr>
        <w:t>本次评价采用案卷研究法、单位自评法开展绩效自评工作，通过查阅项目文件等资料，结合项目实际实施情况，对照绩效评价指标体系进行逐项分析评价。</w:t>
      </w:r>
    </w:p>
    <w:p w14:paraId="3E867D3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Cs/>
          <w:sz w:val="32"/>
          <w:szCs w:val="32"/>
          <w:lang w:eastAsia="zh-CN"/>
        </w:rPr>
      </w:pPr>
      <w:r>
        <w:rPr>
          <w:rFonts w:hint="default" w:ascii="Times New Roman" w:hAnsi="Times New Roman" w:eastAsia="楷体_GB2312" w:cs="Times New Roman"/>
          <w:b/>
          <w:color w:val="auto"/>
          <w:sz w:val="32"/>
          <w:szCs w:val="32"/>
          <w:highlight w:val="none"/>
          <w:u w:val="none"/>
          <w:lang w:val="zh-CN"/>
        </w:rPr>
        <w:t>（五）评价组织。</w:t>
      </w:r>
      <w:r>
        <w:rPr>
          <w:rFonts w:hint="eastAsia" w:ascii="Times New Roman" w:hAnsi="Times New Roman" w:eastAsia="仿宋_GB2312" w:cs="Times New Roman"/>
          <w:sz w:val="32"/>
          <w:szCs w:val="32"/>
          <w:lang w:val="zh-CN"/>
        </w:rPr>
        <w:t>本</w:t>
      </w:r>
      <w:r>
        <w:rPr>
          <w:rFonts w:hint="default" w:ascii="Times New Roman" w:hAnsi="Times New Roman" w:eastAsia="仿宋_GB2312" w:cs="Times New Roman"/>
          <w:sz w:val="32"/>
          <w:szCs w:val="32"/>
        </w:rPr>
        <w:t>次评价由壤塘县医疗保障局牵头组织，财务股工作人员</w:t>
      </w:r>
      <w:r>
        <w:rPr>
          <w:rFonts w:hint="eastAsia" w:ascii="Times New Roman" w:hAnsi="Times New Roman" w:eastAsia="仿宋_GB2312" w:cs="Times New Roman"/>
          <w:sz w:val="32"/>
          <w:szCs w:val="32"/>
          <w:lang w:eastAsia="zh-CN"/>
        </w:rPr>
        <w:t>实施，</w:t>
      </w:r>
      <w:r>
        <w:rPr>
          <w:rFonts w:hint="default" w:ascii="Times New Roman" w:hAnsi="Times New Roman" w:eastAsia="仿宋_GB2312" w:cs="Times New Roman"/>
          <w:sz w:val="32"/>
          <w:szCs w:val="32"/>
        </w:rPr>
        <w:t>确保自评工作规范有序开展。</w:t>
      </w:r>
    </w:p>
    <w:p w14:paraId="19466B6D">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eastAsia="仿宋_GB2312" w:cs="Times New Roman"/>
          <w:color w:val="auto"/>
          <w:sz w:val="32"/>
          <w:szCs w:val="32"/>
          <w:highlight w:val="none"/>
          <w:u w:val="none"/>
          <w:lang w:val="zh-CN"/>
        </w:rPr>
        <w:tab/>
      </w:r>
    </w:p>
    <w:p w14:paraId="43DDD0E7">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2DC14DB5">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lang w:val="en-US" w:eastAsia="zh-CN"/>
        </w:rPr>
        <w:t>1.</w:t>
      </w:r>
      <w:r>
        <w:rPr>
          <w:rFonts w:hint="default" w:ascii="Times New Roman" w:hAnsi="Times New Roman" w:eastAsia="楷体_GB2312" w:cs="Times New Roman"/>
          <w:color w:val="auto"/>
          <w:sz w:val="32"/>
          <w:szCs w:val="32"/>
          <w:lang w:eastAsia="zh-CN"/>
        </w:rPr>
        <w:t>项目决策。</w:t>
      </w:r>
      <w:r>
        <w:rPr>
          <w:rFonts w:hint="default" w:ascii="Times New Roman" w:hAnsi="Times New Roman" w:eastAsia="仿宋_GB2312" w:cs="Times New Roman"/>
          <w:color w:val="auto"/>
          <w:sz w:val="32"/>
          <w:szCs w:val="32"/>
          <w:lang w:eastAsia="zh-CN"/>
        </w:rPr>
        <w:t>本项目决策程序规范，依据上级医疗保障政策文件及我县工作实际立项申报，规划论证充分，资金投向符合医疗服务与保障能力提升的政策导向及我县医保工作实际需求，主要用于医疗结算、能力建设、政策宣传等相关支出，资金投向合理合规，有效服务于提升医保服务能力、保障群众医疗需求的目标。</w:t>
      </w:r>
    </w:p>
    <w:p w14:paraId="34A8B226">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lang w:val="en-US" w:eastAsia="zh-CN"/>
        </w:rPr>
        <w:t>2.</w:t>
      </w:r>
      <w:r>
        <w:rPr>
          <w:rFonts w:hint="default" w:ascii="Times New Roman" w:hAnsi="Times New Roman" w:eastAsia="楷体_GB2312" w:cs="Times New Roman"/>
          <w:color w:val="auto"/>
          <w:sz w:val="32"/>
          <w:szCs w:val="32"/>
          <w:lang w:eastAsia="zh-CN"/>
        </w:rPr>
        <w:t>项目管理。</w:t>
      </w:r>
      <w:r>
        <w:rPr>
          <w:rFonts w:hint="default" w:ascii="Times New Roman" w:hAnsi="Times New Roman" w:eastAsia="仿宋_GB2312" w:cs="Times New Roman"/>
          <w:color w:val="auto"/>
          <w:sz w:val="32"/>
          <w:szCs w:val="32"/>
          <w:lang w:eastAsia="zh-CN"/>
        </w:rPr>
        <w:t>项目资金严格按照财政资金及医疗保障补助资金管理办法执行，分配管理规范，预算编制科学合理，资金拨付及时，绩效监管到位，定期对资金使用及绩效目标完成情况进行跟踪监控，确保资金安全规范使用，无违规使用情况。</w:t>
      </w:r>
    </w:p>
    <w:p w14:paraId="3CAA32B4">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3.项目实施。</w:t>
      </w:r>
      <w:r>
        <w:rPr>
          <w:rFonts w:hint="default" w:ascii="Times New Roman" w:hAnsi="Times New Roman" w:eastAsia="仿宋_GB2312" w:cs="Times New Roman"/>
          <w:color w:val="auto"/>
          <w:sz w:val="32"/>
          <w:szCs w:val="32"/>
          <w:lang w:eastAsia="zh-CN"/>
        </w:rPr>
        <w:t>项目预算执行情况为2025年度预算执行数为12.10万元，预算执行率达86.41%，资金全部按规定用途使用，无截留、挤占、挪用资金情况，资金使用合规高效，但预算执行进度未达预期。</w:t>
      </w:r>
    </w:p>
    <w:p w14:paraId="16EC8E0F">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项目结果。项目除预算执行率外，其余各项绩效目标均已完成，全年各项业务指标实际值均达到年度指标值，完成时效符合要求，医疗结算、医保服务、政策宣传等工作按计划顺利开展，医疗服务与保障能力得到有效提升，项目实施成效总体良好。</w:t>
      </w:r>
    </w:p>
    <w:p w14:paraId="0EC49494">
      <w:pPr>
        <w:keepNext w:val="0"/>
        <w:keepLines w:val="0"/>
        <w:pageBreakBefore w:val="0"/>
        <w:widowControl w:val="0"/>
        <w:kinsoku/>
        <w:wordWrap/>
        <w:overflowPunct/>
        <w:topLinePunct w:val="0"/>
        <w:autoSpaceDE/>
        <w:autoSpaceDN/>
        <w:bidi w:val="0"/>
        <w:adjustRightInd/>
        <w:snapToGrid/>
        <w:spacing w:line="578" w:lineRule="exact"/>
        <w:ind w:left="0" w:leftChars="0" w:firstLine="643"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default" w:ascii="Times New Roman" w:hAnsi="Times New Roman" w:eastAsia="仿宋_GB2312" w:cs="Times New Roman"/>
          <w:color w:val="auto"/>
          <w:sz w:val="32"/>
          <w:szCs w:val="32"/>
          <w:lang w:val="zh-CN" w:eastAsia="zh-CN"/>
        </w:rPr>
        <w:t>本项目属于民生保障类专项经费，围绕区域均衡性、对象精准性、标准合理性、群众满意度开展分析：</w:t>
      </w:r>
    </w:p>
    <w:p w14:paraId="17976642">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区域均衡性：项目资金全部用于壤塘县医疗服务与保障能力提升建设，重点覆盖全县医保经办服务、医疗结算等工作，服务覆盖全县群众，区域内医保服务资源配置均衡，有效保障了不同区域群众的医保服务需求。</w:t>
      </w:r>
    </w:p>
    <w:p w14:paraId="5506283E">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对象精准性：项目资金主要用于提升医保经办服务能力、优化医疗结算流程、开展医保政策宣传等工作，服务对象精准覆盖全县参保群众，有效解决群众医保服务中的痛点难点问题，提升服务精准度。</w:t>
      </w:r>
    </w:p>
    <w:p w14:paraId="664C37C8">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标准合理性：资金使用标准符合预算安排及医疗保障补助资金管理规定，支出金额控制在预算范围内，12.10万元的实际支出未超过14万元的预算上限，标准执行规范合理，无超标准支出情况。</w:t>
      </w:r>
    </w:p>
    <w:p w14:paraId="75133A84">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群众满意度：通过优化医保经办服务、加强政策宣传、提升服务能力，群众对医保工作的满意度达到95%，达到年度指标值（≥95%），群众医保获得感和满意度显著提升。</w:t>
      </w:r>
    </w:p>
    <w:p w14:paraId="40CA05E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default" w:ascii="Times New Roman" w:hAnsi="Times New Roman" w:eastAsia="仿宋_GB2312" w:cs="Times New Roman"/>
          <w:color w:val="auto"/>
          <w:sz w:val="32"/>
          <w:szCs w:val="32"/>
          <w:lang w:val="zh-CN" w:eastAsia="zh-CN"/>
        </w:rPr>
        <w:t>本项目设置了产出、效益、满意度等多维度个性指标，具体执行完成情况如下：</w:t>
      </w:r>
    </w:p>
    <w:p w14:paraId="31FCAAC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zh-CN" w:eastAsia="zh-CN"/>
        </w:rPr>
      </w:pP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zh-CN" w:eastAsia="zh-CN"/>
        </w:rPr>
        <w:t>产出指标</w:t>
      </w:r>
      <w:r>
        <w:rPr>
          <w:rFonts w:hint="eastAsia" w:ascii="Times New Roman" w:hAnsi="Times New Roman" w:eastAsia="仿宋_GB2312" w:cs="Times New Roman"/>
          <w:color w:val="auto"/>
          <w:sz w:val="32"/>
          <w:szCs w:val="32"/>
          <w:lang w:val="zh-CN" w:eastAsia="zh-CN"/>
        </w:rPr>
        <w:t>。</w:t>
      </w:r>
      <w:r>
        <w:rPr>
          <w:rFonts w:hint="default" w:ascii="Times New Roman" w:hAnsi="Times New Roman" w:eastAsia="仿宋_GB2312" w:cs="Times New Roman"/>
          <w:color w:val="auto"/>
          <w:sz w:val="32"/>
          <w:szCs w:val="32"/>
          <w:lang w:val="zh-CN" w:eastAsia="zh-CN"/>
        </w:rPr>
        <w:t>数量指标：医疗结算人数为2.7万人，远超年度指标值（≥3000人），得分</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zh-CN" w:eastAsia="zh-CN"/>
        </w:rPr>
        <w:t>分。质量指标：医疗工作开展成果完成率为96%，达到年度指标值（≥96%），得分</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zh-CN" w:eastAsia="zh-CN"/>
        </w:rPr>
        <w:t>分。时效指标：医疗工作开展时间为12个月，符合年度指标值（≤12个月），得分</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zh-CN" w:eastAsia="zh-CN"/>
        </w:rPr>
        <w:t>分。成本指标：能力提升建设成本为</w:t>
      </w:r>
      <w:r>
        <w:rPr>
          <w:rFonts w:hint="eastAsia" w:ascii="Times New Roman" w:hAnsi="Times New Roman" w:eastAsia="仿宋_GB2312" w:cs="Times New Roman"/>
          <w:color w:val="auto"/>
          <w:sz w:val="32"/>
          <w:szCs w:val="32"/>
          <w:lang w:val="en-US" w:eastAsia="zh-CN"/>
        </w:rPr>
        <w:t>12.10</w:t>
      </w:r>
      <w:r>
        <w:rPr>
          <w:rFonts w:hint="default" w:ascii="Times New Roman" w:hAnsi="Times New Roman" w:eastAsia="仿宋_GB2312" w:cs="Times New Roman"/>
          <w:color w:val="auto"/>
          <w:sz w:val="32"/>
          <w:szCs w:val="32"/>
          <w:lang w:val="zh-CN" w:eastAsia="zh-CN"/>
        </w:rPr>
        <w:t>万元，控制在年度指标值（≤</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zh-CN" w:eastAsia="zh-CN"/>
        </w:rPr>
        <w:t>4万元）以内，得分</w:t>
      </w:r>
      <w:r>
        <w:rPr>
          <w:rFonts w:hint="default" w:ascii="Times New Roman" w:hAnsi="Times New Roman" w:eastAsia="仿宋_GB2312" w:cs="Times New Roman"/>
          <w:color w:val="auto"/>
          <w:sz w:val="32"/>
          <w:szCs w:val="32"/>
          <w:lang w:val="en-US" w:eastAsia="zh-CN"/>
        </w:rPr>
        <w:t>18</w:t>
      </w:r>
      <w:r>
        <w:rPr>
          <w:rFonts w:hint="default" w:ascii="Times New Roman" w:hAnsi="Times New Roman" w:eastAsia="仿宋_GB2312" w:cs="Times New Roman"/>
          <w:color w:val="auto"/>
          <w:sz w:val="32"/>
          <w:szCs w:val="32"/>
          <w:lang w:val="zh-CN" w:eastAsia="zh-CN"/>
        </w:rPr>
        <w:t>分。</w:t>
      </w:r>
    </w:p>
    <w:p w14:paraId="7BFA444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zh-CN" w:eastAsia="zh-CN"/>
        </w:rPr>
      </w:pP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zh-CN" w:eastAsia="zh-CN"/>
        </w:rPr>
        <w:t>效益指标</w:t>
      </w:r>
      <w:r>
        <w:rPr>
          <w:rFonts w:hint="eastAsia" w:ascii="Times New Roman" w:hAnsi="Times New Roman" w:eastAsia="仿宋_GB2312" w:cs="Times New Roman"/>
          <w:color w:val="auto"/>
          <w:sz w:val="32"/>
          <w:szCs w:val="32"/>
          <w:lang w:val="zh-CN" w:eastAsia="zh-CN"/>
        </w:rPr>
        <w:t>。</w:t>
      </w:r>
      <w:r>
        <w:rPr>
          <w:rFonts w:hint="default" w:ascii="Times New Roman" w:hAnsi="Times New Roman" w:eastAsia="仿宋_GB2312" w:cs="Times New Roman"/>
          <w:color w:val="auto"/>
          <w:sz w:val="32"/>
          <w:szCs w:val="32"/>
          <w:lang w:val="zh-CN" w:eastAsia="zh-CN"/>
        </w:rPr>
        <w:t>社会效益指标：群众政策知晓率为96%，达到年度指标值（≥96%），得分</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zh-CN" w:eastAsia="zh-CN"/>
        </w:rPr>
        <w:t>分。可持续影响指标：医疗工作成果的保持度为95%，达到年度指标值（≥95%），得分</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zh-CN" w:eastAsia="zh-CN"/>
        </w:rPr>
        <w:t>分。</w:t>
      </w:r>
    </w:p>
    <w:p w14:paraId="494D0F15">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zh-CN" w:eastAsia="zh-CN"/>
        </w:rPr>
      </w:pP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zh-CN" w:eastAsia="zh-CN"/>
        </w:rPr>
        <w:t>服务对象满意度指标：群众对医保工作满意度为95%，达到年度指标值（≥95%），得分</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zh-CN" w:eastAsia="zh-CN"/>
        </w:rPr>
        <w:t>分。</w:t>
      </w:r>
    </w:p>
    <w:p w14:paraId="52A26F0B">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en-US" w:bidi="ar-SA"/>
        </w:rPr>
      </w:pPr>
      <w:r>
        <w:rPr>
          <w:rFonts w:hint="default" w:ascii="Times New Roman" w:hAnsi="Times New Roman" w:eastAsia="黑体" w:cs="Times New Roman"/>
          <w:color w:val="auto"/>
          <w:kern w:val="0"/>
          <w:position w:val="3"/>
          <w:sz w:val="32"/>
          <w:szCs w:val="32"/>
          <w:highlight w:val="none"/>
          <w:u w:val="none"/>
          <w:lang w:val="en-US" w:eastAsia="zh-CN" w:bidi="ar-SA"/>
        </w:rPr>
        <w:t>四</w:t>
      </w:r>
      <w:r>
        <w:rPr>
          <w:rFonts w:hint="default" w:ascii="Times New Roman" w:hAnsi="Times New Roman" w:eastAsia="黑体" w:cs="Times New Roman"/>
          <w:color w:val="auto"/>
          <w:kern w:val="0"/>
          <w:position w:val="3"/>
          <w:sz w:val="32"/>
          <w:szCs w:val="32"/>
          <w:highlight w:val="none"/>
          <w:u w:val="none"/>
          <w:lang w:val="en-US" w:eastAsia="en-US" w:bidi="ar-SA"/>
        </w:rPr>
        <w:t>、评价结论</w:t>
      </w:r>
    </w:p>
    <w:p w14:paraId="25A6411C">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本项目2025年度绩效自评总分为</w:t>
      </w:r>
      <w:r>
        <w:rPr>
          <w:rFonts w:hint="default" w:ascii="Times New Roman" w:hAnsi="Times New Roman" w:eastAsia="仿宋_GB2312" w:cs="Times New Roman"/>
          <w:b w:val="0"/>
          <w:bCs w:val="0"/>
          <w:kern w:val="0"/>
          <w:position w:val="0"/>
          <w:sz w:val="32"/>
          <w:szCs w:val="32"/>
          <w:highlight w:val="none"/>
          <w:lang w:val="en-US" w:eastAsia="zh-CN" w:bidi="ar-SA"/>
        </w:rPr>
        <w:t>90</w:t>
      </w:r>
      <w:r>
        <w:rPr>
          <w:rFonts w:hint="eastAsia" w:ascii="Times New Roman" w:hAnsi="Times New Roman" w:eastAsia="仿宋_GB2312" w:cs="Times New Roman"/>
          <w:b w:val="0"/>
          <w:bCs w:val="0"/>
          <w:kern w:val="0"/>
          <w:position w:val="0"/>
          <w:sz w:val="32"/>
          <w:szCs w:val="32"/>
          <w:highlight w:val="none"/>
          <w:lang w:val="en-US" w:eastAsia="zh-CN" w:bidi="ar-SA"/>
        </w:rPr>
        <w:t>分，除预算执行率指标外，其余各项指标均已完成，项目实施情况总体良好。项目资金使用合规、高效，有效推动了我县医疗服务与保障能力提升，医疗结算效率显著提高，医保政策知晓率和群众满意度稳步提升，达到了项目设立的预期目标，实施成效总体显著。</w:t>
      </w:r>
    </w:p>
    <w:p w14:paraId="39D93A31">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zh-CN" w:bidi="ar-SA"/>
        </w:rPr>
      </w:pPr>
      <w:r>
        <w:rPr>
          <w:rFonts w:hint="default" w:ascii="Times New Roman" w:hAnsi="Times New Roman" w:eastAsia="黑体" w:cs="Times New Roman"/>
          <w:color w:val="auto"/>
          <w:kern w:val="0"/>
          <w:position w:val="3"/>
          <w:sz w:val="32"/>
          <w:szCs w:val="32"/>
          <w:highlight w:val="none"/>
          <w:u w:val="none"/>
          <w:lang w:val="en-US" w:eastAsia="zh-CN" w:bidi="ar-SA"/>
        </w:rPr>
        <w:t>五、存在主要问题</w:t>
      </w:r>
    </w:p>
    <w:p w14:paraId="451A009A">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本项目整体实施情况良好，但仍存在部分问题：一是预算执行率偏低，仅为86.41%，存在较大金额资金结余，预算编制的精准性和预算执行的主动性有待提升；二是项目资金使用进度与工作推进节奏衔接不够紧密，部分工作推进滞后导致资金未能及时支出；三是资金使用全过程的动态监管力度有待加强，对预算执行进度的跟踪分析不够及时。</w:t>
      </w:r>
    </w:p>
    <w:p w14:paraId="5CBFA039">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27155A7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1.提升预算编制精准性与执行主动性：结合预算执行情况及当年医疗服务与保障能力提升工作实际需求，进一步细化预算编制，合理测算资金需求，制定详细的资金使用计划，明确工作推进节点，主动加快预算执行进度，减少资金结余，提高资金使用效益。</w:t>
      </w:r>
    </w:p>
    <w:p w14:paraId="01674D5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2.加强工作推进与资金使用的衔接：建立工作任务与资金使用联动机制，根据年度工作目标分解阶段性任务，合理安排工作推进节奏，确保资金支出与工作进度同步推进，避免出现资金闲置或进度滞后的情况。</w:t>
      </w:r>
    </w:p>
    <w:p w14:paraId="70FA351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3.强化资金使用全过程动态监管：建立预算执行动态跟踪机制，定期梳理资金使用进度，及时分析预算执行偏差原因，针对执行进度滞后的情况制定整改措施，确保资金按计划高效使用，充分发挥补助资金对医疗服务与保障能力提升的支撑作用，推动我县医疗保障事业持续高质量发展。</w:t>
      </w:r>
    </w:p>
    <w:p w14:paraId="01EB101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2124B06">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bookmarkStart w:id="48" w:name="_Toc15396618"/>
      <w:r>
        <w:rPr>
          <w:rFonts w:hint="eastAsia" w:ascii="Times New Roman" w:hAnsi="Times New Roman" w:eastAsia="方正小标宋简体" w:cs="Times New Roman"/>
          <w:color w:val="auto"/>
          <w:kern w:val="2"/>
          <w:sz w:val="44"/>
          <w:szCs w:val="44"/>
          <w:highlight w:val="none"/>
          <w:lang w:val="en-US" w:eastAsia="zh-CN" w:bidi="ar-SA"/>
        </w:rPr>
        <w:t>奖励工作经费</w:t>
      </w:r>
      <w:r>
        <w:rPr>
          <w:rFonts w:hint="default" w:ascii="Times New Roman" w:hAnsi="Times New Roman" w:eastAsia="方正小标宋简体" w:cs="Times New Roman"/>
          <w:color w:val="auto"/>
          <w:kern w:val="2"/>
          <w:sz w:val="44"/>
          <w:szCs w:val="44"/>
          <w:highlight w:val="none"/>
          <w:lang w:val="en-US" w:eastAsia="zh-CN" w:bidi="ar-SA"/>
        </w:rPr>
        <w:t>绩效自评报告</w:t>
      </w:r>
    </w:p>
    <w:p w14:paraId="32988B92">
      <w:pPr>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eastAsia="宋体" w:cs="Times New Roman"/>
          <w:color w:val="auto"/>
          <w:kern w:val="2"/>
          <w:sz w:val="32"/>
          <w:szCs w:val="32"/>
          <w:highlight w:val="none"/>
          <w:lang w:val="zh-CN" w:eastAsia="zh-CN" w:bidi="ar-SA"/>
        </w:rPr>
      </w:pPr>
    </w:p>
    <w:p w14:paraId="1C01FAF1">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5B2B1E1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default" w:ascii="Times New Roman" w:hAnsi="Times New Roman" w:eastAsia="仿宋_GB2312" w:cs="Times New Roman"/>
          <w:color w:val="auto"/>
          <w:kern w:val="0"/>
          <w:sz w:val="32"/>
          <w:szCs w:val="32"/>
          <w:highlight w:val="none"/>
          <w:u w:val="none"/>
          <w:shd w:val="clear" w:color="auto" w:fill="FFFFFF"/>
          <w:lang w:val="en-US" w:eastAsia="zh-CN"/>
        </w:rPr>
        <w:t>为进一步鼓励和调动县级行业部门向上争取项目和资金的积极性，根据相关奖励办法，设立奖励工作经费项目。项目立项及资金申报依据相关工作激励政策文件，主要用于对单位完成任务兑现的奖励工作经费支出。主管部门为壤塘县医疗保障局，主要职能是贯彻落实医疗保障法律法规政策，负责全县医疗保障基金监管、待遇保障、医药服务管理等工作，推动医疗保障事业高质量发展。</w:t>
      </w:r>
    </w:p>
    <w:p w14:paraId="16769E7F">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Times New Roman"/>
          <w:b/>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default" w:ascii="Times New Roman" w:hAnsi="Times New Roman" w:eastAsia="仿宋_GB2312" w:cs="Times New Roman"/>
          <w:color w:val="auto"/>
          <w:kern w:val="0"/>
          <w:sz w:val="32"/>
          <w:szCs w:val="32"/>
          <w:highlight w:val="none"/>
          <w:u w:val="none"/>
          <w:shd w:val="clear" w:color="auto" w:fill="FFFFFF"/>
          <w:lang w:val="en-US" w:eastAsia="zh-CN"/>
        </w:rPr>
        <w:t>项目资金严格按照财政资金管理相关规定执行，确保资金使用合规、高效。本项目实施目的是充分发挥激励导向作用，调动单位向上争取项目和资金的主动性，推动各项医保工作提质增效。主要工作任务是按规定兑现奖励工作经费，保障激励政策落地落实，支持方向为单位向上争取项目和资金工作相关的奖励性支出。</w:t>
      </w:r>
    </w:p>
    <w:p w14:paraId="089C125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本项目2025年度全年预算数为2万元，其中本年财政拨款2万元，无其他资金来源。项目资金分配严格按照预算管理相关规定执行，结合工作完成情况、任务兑现要求等因素，统筹安排资金使用，确保资金全部用于本项目相关支出，无截留、挤占、挪用情况。</w:t>
      </w:r>
    </w:p>
    <w:p w14:paraId="1F0BCDA0">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r>
        <w:rPr>
          <w:rFonts w:hint="default" w:ascii="Times New Roman" w:hAnsi="Times New Roman" w:eastAsia="仿宋_GB2312" w:cs="Times New Roman"/>
          <w:color w:val="auto"/>
          <w:kern w:val="0"/>
          <w:sz w:val="32"/>
          <w:szCs w:val="32"/>
          <w:highlight w:val="none"/>
          <w:u w:val="none"/>
          <w:shd w:val="clear" w:color="auto" w:fill="FFFFFF"/>
          <w:lang w:val="zh-CN" w:eastAsia="zh-CN"/>
        </w:rPr>
        <w:t>项目整体目标：规范使用奖励工作经费，确保预算执行率达到预期标准，有效发挥激励作用，推动医保各项工作顺利开展，提升医保工作质效。</w:t>
      </w:r>
    </w:p>
    <w:p w14:paraId="3530B978">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具体绩效目标：2025年度预算执行率达到</w:t>
      </w:r>
      <w:r>
        <w:rPr>
          <w:rFonts w:hint="eastAsia" w:ascii="Times New Roman" w:hAnsi="Times New Roman" w:eastAsia="仿宋_GB2312" w:cs="Times New Roman"/>
          <w:color w:val="auto"/>
          <w:kern w:val="0"/>
          <w:sz w:val="32"/>
          <w:szCs w:val="32"/>
          <w:highlight w:val="none"/>
          <w:u w:val="none"/>
          <w:shd w:val="clear" w:color="auto" w:fill="FFFFFF"/>
          <w:lang w:val="en-US" w:eastAsia="zh-CN"/>
        </w:rPr>
        <w:t>100</w:t>
      </w:r>
      <w:r>
        <w:rPr>
          <w:rFonts w:hint="default" w:ascii="Times New Roman" w:hAnsi="Times New Roman" w:eastAsia="仿宋_GB2312" w:cs="Times New Roman"/>
          <w:color w:val="auto"/>
          <w:kern w:val="0"/>
          <w:sz w:val="32"/>
          <w:szCs w:val="32"/>
          <w:highlight w:val="none"/>
          <w:u w:val="none"/>
          <w:shd w:val="clear" w:color="auto" w:fill="FFFFFF"/>
          <w:lang w:val="zh-CN" w:eastAsia="zh-CN"/>
        </w:rPr>
        <w:t>%；</w:t>
      </w:r>
      <w:r>
        <w:rPr>
          <w:rFonts w:hint="eastAsia" w:ascii="Times New Roman" w:hAnsi="Times New Roman" w:eastAsia="仿宋_GB2312" w:cs="Times New Roman"/>
          <w:color w:val="auto"/>
          <w:kern w:val="0"/>
          <w:sz w:val="32"/>
          <w:szCs w:val="32"/>
          <w:highlight w:val="none"/>
          <w:u w:val="none"/>
          <w:shd w:val="clear" w:color="auto" w:fill="FFFFFF"/>
          <w:lang w:val="zh-CN" w:eastAsia="zh-CN"/>
        </w:rPr>
        <w:t>该</w:t>
      </w:r>
      <w:r>
        <w:rPr>
          <w:rFonts w:hint="default" w:ascii="Times New Roman" w:hAnsi="Times New Roman" w:eastAsia="仿宋_GB2312" w:cs="Times New Roman"/>
          <w:color w:val="auto"/>
          <w:kern w:val="0"/>
          <w:sz w:val="32"/>
          <w:szCs w:val="32"/>
          <w:highlight w:val="none"/>
          <w:u w:val="none"/>
          <w:shd w:val="clear" w:color="auto" w:fill="FFFFFF"/>
          <w:lang w:val="zh-CN" w:eastAsia="zh-CN"/>
        </w:rPr>
        <w:t>保障金属</w:t>
      </w:r>
      <w:r>
        <w:rPr>
          <w:rFonts w:hint="eastAsia" w:ascii="Times New Roman" w:hAnsi="Times New Roman" w:eastAsia="仿宋_GB2312" w:cs="Times New Roman"/>
          <w:color w:val="auto"/>
          <w:kern w:val="0"/>
          <w:sz w:val="32"/>
          <w:szCs w:val="32"/>
          <w:highlight w:val="none"/>
          <w:u w:val="none"/>
          <w:shd w:val="clear" w:color="auto" w:fill="FFFFFF"/>
          <w:lang w:val="zh-CN" w:eastAsia="zh-CN"/>
        </w:rPr>
        <w:t>于上年</w:t>
      </w:r>
      <w:r>
        <w:rPr>
          <w:rFonts w:hint="eastAsia" w:ascii="Times New Roman" w:hAnsi="Times New Roman" w:eastAsia="仿宋_GB2312" w:cs="Times New Roman"/>
          <w:color w:val="auto"/>
          <w:kern w:val="0"/>
          <w:sz w:val="32"/>
          <w:szCs w:val="32"/>
          <w:highlight w:val="none"/>
          <w:u w:val="none"/>
          <w:shd w:val="clear" w:color="auto" w:fill="FFFFFF"/>
          <w:lang w:val="en-US" w:eastAsia="zh-CN"/>
        </w:rPr>
        <w:t>1个</w:t>
      </w:r>
      <w:r>
        <w:rPr>
          <w:rFonts w:hint="default" w:ascii="Times New Roman" w:hAnsi="Times New Roman" w:eastAsia="仿宋_GB2312" w:cs="Times New Roman"/>
          <w:color w:val="auto"/>
          <w:kern w:val="0"/>
          <w:sz w:val="32"/>
          <w:szCs w:val="32"/>
          <w:highlight w:val="none"/>
          <w:u w:val="none"/>
          <w:shd w:val="clear" w:color="auto" w:fill="FFFFFF"/>
          <w:lang w:val="zh-CN" w:eastAsia="zh-CN"/>
        </w:rPr>
        <w:t>项目</w:t>
      </w:r>
      <w:r>
        <w:rPr>
          <w:rFonts w:hint="eastAsia" w:ascii="Times New Roman" w:hAnsi="Times New Roman" w:eastAsia="仿宋_GB2312" w:cs="Times New Roman"/>
          <w:color w:val="auto"/>
          <w:kern w:val="0"/>
          <w:sz w:val="32"/>
          <w:szCs w:val="32"/>
          <w:highlight w:val="none"/>
          <w:u w:val="none"/>
          <w:shd w:val="clear" w:color="auto" w:fill="FFFFFF"/>
          <w:lang w:val="zh-CN" w:eastAsia="zh-CN"/>
        </w:rPr>
        <w:t>的奖励金</w:t>
      </w:r>
      <w:r>
        <w:rPr>
          <w:rFonts w:hint="default" w:ascii="Times New Roman" w:hAnsi="Times New Roman" w:eastAsia="仿宋_GB2312" w:cs="Times New Roman"/>
          <w:color w:val="auto"/>
          <w:kern w:val="0"/>
          <w:sz w:val="32"/>
          <w:szCs w:val="32"/>
          <w:highlight w:val="none"/>
          <w:u w:val="none"/>
          <w:shd w:val="clear" w:color="auto" w:fill="FFFFFF"/>
          <w:lang w:val="zh-CN" w:eastAsia="zh-CN"/>
        </w:rPr>
        <w:t>；按文件要求合规合理完成率≥99%；医保工作在1年内开展完成；医保工作所需费用控制在≤2万元以内；居民参保率≥90%；向上争取项目和资金激励政策执行率≥98%；服务对象满意度≥99%。</w:t>
      </w:r>
    </w:p>
    <w:p w14:paraId="31E65AD2">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自评工作开展情况：按照绩效自评工作要求，对照项目绩效目标及各项指标，逐项梳理项目实施、资金使用、目标完成等情况，开展全面绩效自评，确保自评结果真实、准确、客观。</w:t>
      </w:r>
    </w:p>
    <w:p w14:paraId="3BDBC777">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14:paraId="65C8BFE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color w:val="auto"/>
          <w:sz w:val="32"/>
          <w:szCs w:val="32"/>
          <w:highlight w:val="none"/>
          <w:u w:val="none"/>
          <w:lang w:val="zh-CN"/>
        </w:rPr>
        <w:t>（一）评价目的。</w:t>
      </w:r>
      <w:r>
        <w:rPr>
          <w:rFonts w:hint="default" w:ascii="Times New Roman" w:hAnsi="Times New Roman" w:eastAsia="仿宋_GB2312" w:cs="Times New Roman"/>
          <w:sz w:val="32"/>
          <w:szCs w:val="32"/>
        </w:rPr>
        <w:t>本次绩效自评旨在全面评价2025年度奖励工作经费项目的预算执行、资金使用、目标完成及实施效果，总结项目实施成效，查找存在的问题，提出针对性改进措施，进一步规范项目资金管理，提升资金使用效益，优化后续项目实施及绩效管理工作。</w:t>
      </w:r>
    </w:p>
    <w:p w14:paraId="091DA5B6">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default" w:ascii="Times New Roman" w:hAnsi="Times New Roman" w:eastAsia="仿宋_GB2312" w:cs="Times New Roman"/>
          <w:sz w:val="32"/>
          <w:szCs w:val="32"/>
        </w:rPr>
        <w:t>按照项目绩效评价指标体系，围绕资金支出使用全过程，重点评价预算执行率、资金使用合规性、绩效目标完成情况、激励作用发挥、医保工作推进成效等内容，对项目实施效果进行综合评价和判断。</w:t>
      </w:r>
    </w:p>
    <w:p w14:paraId="20308927">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color w:val="auto"/>
          <w:sz w:val="32"/>
          <w:szCs w:val="32"/>
          <w:highlight w:val="none"/>
          <w:u w:val="none"/>
          <w:lang w:val="zh-CN"/>
        </w:rPr>
        <w:t>（三）评价选点。</w:t>
      </w:r>
      <w:r>
        <w:rPr>
          <w:rFonts w:hint="default" w:ascii="Times New Roman" w:hAnsi="Times New Roman" w:eastAsia="仿宋_GB2312" w:cs="Times New Roman"/>
          <w:sz w:val="32"/>
          <w:szCs w:val="32"/>
          <w:lang w:val="zh-CN" w:eastAsia="zh-CN"/>
        </w:rPr>
        <w:t>本项目为县级医疗保障局行政运转类专项经费，无市县点位分配，不涉及实地踏勘选点。</w:t>
      </w:r>
    </w:p>
    <w:p w14:paraId="06A00BF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color w:val="auto"/>
          <w:sz w:val="32"/>
          <w:szCs w:val="32"/>
          <w:highlight w:val="none"/>
          <w:u w:val="none"/>
          <w:lang w:val="zh-CN"/>
        </w:rPr>
        <w:t>（四）评价方法。</w:t>
      </w:r>
      <w:r>
        <w:rPr>
          <w:rFonts w:hint="default" w:ascii="Times New Roman" w:hAnsi="Times New Roman" w:eastAsia="仿宋_GB2312" w:cs="Times New Roman"/>
          <w:sz w:val="32"/>
          <w:szCs w:val="32"/>
        </w:rPr>
        <w:t>本次评价采用案卷研究法、单位自评法开展绩效自评工作，通过查阅项目文件等资料，结合项目实际实施情况，对照绩效评价指标体系进行逐项分析评价。</w:t>
      </w:r>
    </w:p>
    <w:p w14:paraId="32ABA9D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Cs/>
          <w:sz w:val="32"/>
          <w:szCs w:val="32"/>
          <w:lang w:eastAsia="zh-CN"/>
        </w:rPr>
      </w:pPr>
      <w:r>
        <w:rPr>
          <w:rFonts w:hint="default" w:ascii="Times New Roman" w:hAnsi="Times New Roman" w:eastAsia="楷体_GB2312" w:cs="Times New Roman"/>
          <w:b/>
          <w:color w:val="auto"/>
          <w:sz w:val="32"/>
          <w:szCs w:val="32"/>
          <w:highlight w:val="none"/>
          <w:u w:val="none"/>
          <w:lang w:val="zh-CN"/>
        </w:rPr>
        <w:t>（五）评价组织。</w:t>
      </w:r>
      <w:r>
        <w:rPr>
          <w:rFonts w:hint="eastAsia" w:ascii="Times New Roman" w:hAnsi="Times New Roman" w:eastAsia="仿宋_GB2312" w:cs="Times New Roman"/>
          <w:sz w:val="32"/>
          <w:szCs w:val="32"/>
          <w:lang w:val="zh-CN"/>
        </w:rPr>
        <w:t>本</w:t>
      </w:r>
      <w:r>
        <w:rPr>
          <w:rFonts w:hint="default" w:ascii="Times New Roman" w:hAnsi="Times New Roman" w:eastAsia="仿宋_GB2312" w:cs="Times New Roman"/>
          <w:sz w:val="32"/>
          <w:szCs w:val="32"/>
        </w:rPr>
        <w:t>次评价由壤塘县医疗保障局牵头组织，财务股工作人员</w:t>
      </w:r>
      <w:r>
        <w:rPr>
          <w:rFonts w:hint="eastAsia" w:ascii="Times New Roman" w:hAnsi="Times New Roman" w:eastAsia="仿宋_GB2312" w:cs="Times New Roman"/>
          <w:sz w:val="32"/>
          <w:szCs w:val="32"/>
          <w:lang w:eastAsia="zh-CN"/>
        </w:rPr>
        <w:t>实施，</w:t>
      </w:r>
      <w:r>
        <w:rPr>
          <w:rFonts w:hint="default" w:ascii="Times New Roman" w:hAnsi="Times New Roman" w:eastAsia="仿宋_GB2312" w:cs="Times New Roman"/>
          <w:sz w:val="32"/>
          <w:szCs w:val="32"/>
        </w:rPr>
        <w:t>确保自评工作规范有序开展。</w:t>
      </w:r>
    </w:p>
    <w:p w14:paraId="2B5A213A">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eastAsia="仿宋_GB2312" w:cs="Times New Roman"/>
          <w:color w:val="auto"/>
          <w:sz w:val="32"/>
          <w:szCs w:val="32"/>
          <w:highlight w:val="none"/>
          <w:u w:val="none"/>
          <w:lang w:val="zh-CN"/>
        </w:rPr>
        <w:tab/>
      </w:r>
    </w:p>
    <w:p w14:paraId="0803174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31B2072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lang w:val="en-US" w:eastAsia="zh-CN"/>
        </w:rPr>
        <w:t>1.</w:t>
      </w:r>
      <w:r>
        <w:rPr>
          <w:rFonts w:hint="default" w:ascii="Times New Roman" w:hAnsi="Times New Roman" w:eastAsia="楷体_GB2312" w:cs="Times New Roman"/>
          <w:color w:val="auto"/>
          <w:sz w:val="32"/>
          <w:szCs w:val="32"/>
          <w:lang w:eastAsia="zh-CN"/>
        </w:rPr>
        <w:t>项目决策。</w:t>
      </w:r>
      <w:r>
        <w:rPr>
          <w:rFonts w:hint="default" w:ascii="Times New Roman" w:hAnsi="Times New Roman" w:eastAsia="仿宋_GB2312" w:cs="Times New Roman"/>
          <w:color w:val="auto"/>
          <w:sz w:val="32"/>
          <w:szCs w:val="32"/>
          <w:lang w:eastAsia="zh-CN"/>
        </w:rPr>
        <w:t>本项目决策程序规范，依据相关奖励政策文件立项申报，规划论证充分，资金投向符合政策导向及单位工作实际需求，主要用于奖励工作经费支出，资金投向合理合规，有效服务于调动工作积极性、推动医保工作开展的目标。</w:t>
      </w:r>
    </w:p>
    <w:p w14:paraId="7980410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lang w:val="en-US" w:eastAsia="zh-CN"/>
        </w:rPr>
        <w:t>2.</w:t>
      </w:r>
      <w:r>
        <w:rPr>
          <w:rFonts w:hint="default" w:ascii="Times New Roman" w:hAnsi="Times New Roman" w:eastAsia="楷体_GB2312" w:cs="Times New Roman"/>
          <w:color w:val="auto"/>
          <w:sz w:val="32"/>
          <w:szCs w:val="32"/>
          <w:lang w:eastAsia="zh-CN"/>
        </w:rPr>
        <w:t>项目管理。</w:t>
      </w:r>
      <w:r>
        <w:rPr>
          <w:rFonts w:hint="default" w:ascii="Times New Roman" w:hAnsi="Times New Roman" w:eastAsia="仿宋_GB2312" w:cs="Times New Roman"/>
          <w:color w:val="auto"/>
          <w:sz w:val="32"/>
          <w:szCs w:val="32"/>
          <w:lang w:eastAsia="zh-CN"/>
        </w:rPr>
        <w:t>项目资金严格按照财政资金管理办法执行，分配管理规范，预算编制科学合理，资金拨付及时，绩效监管到位，定期对资金使用及绩效目标完成情况进行跟踪监控，确保资金安全规范使用，无违规使用情况。</w:t>
      </w:r>
    </w:p>
    <w:p w14:paraId="48415F8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3.项目实施。</w:t>
      </w:r>
      <w:r>
        <w:rPr>
          <w:rFonts w:hint="default" w:ascii="Times New Roman" w:hAnsi="Times New Roman" w:eastAsia="仿宋_GB2312" w:cs="Times New Roman"/>
          <w:color w:val="auto"/>
          <w:sz w:val="32"/>
          <w:szCs w:val="32"/>
          <w:lang w:eastAsia="zh-CN"/>
        </w:rPr>
        <w:t>项目预算执行情况良好，2025年度预算执行数为1.99万元，预算执行率达99.71%，接近预期目标，资金全部按规定用途使用，无截留、挤占、挪用资金情况，资金使用合规高效。</w:t>
      </w:r>
    </w:p>
    <w:p w14:paraId="0EF3194F">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4.项目结果。本项目属于行政运转类专项经费，围绕用途合规性、程序合规性、标准合规性开展分析：</w:t>
      </w:r>
    </w:p>
    <w:p w14:paraId="1CE9A36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用途合规性：项目资金全部用于规定的奖励工作经费支出，用途符合项目设立初衷及相关政策规定，未发生超范围、超标准使用资金的情况。</w:t>
      </w:r>
    </w:p>
    <w:p w14:paraId="410FFAF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程序合规性：项目从预算申报、资金拨付到资金使用，均严格按照财政资金管理及单位财务管理制度规定的程序执行，审批流程规范，手续齐全。</w:t>
      </w:r>
    </w:p>
    <w:p w14:paraId="6190142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标准合规性：资金使用标准符合预算安排及相关规定，支出金额控制在预算范围内，未超标准支出，1.99万元的实际支出未超过2万元的预算上限，标准执行规范。</w:t>
      </w:r>
    </w:p>
    <w:p w14:paraId="46D5392C">
      <w:pPr>
        <w:keepNext w:val="0"/>
        <w:keepLines w:val="0"/>
        <w:pageBreakBefore w:val="0"/>
        <w:widowControl w:val="0"/>
        <w:kinsoku/>
        <w:wordWrap/>
        <w:overflowPunct/>
        <w:topLinePunct w:val="0"/>
        <w:autoSpaceDE/>
        <w:autoSpaceDN/>
        <w:bidi w:val="0"/>
        <w:adjustRightInd/>
        <w:snapToGrid/>
        <w:spacing w:line="578" w:lineRule="exact"/>
        <w:ind w:left="0" w:leftChars="0" w:firstLine="643"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default" w:ascii="Times New Roman" w:hAnsi="Times New Roman" w:eastAsia="仿宋_GB2312" w:cs="Times New Roman"/>
          <w:color w:val="auto"/>
          <w:sz w:val="32"/>
          <w:szCs w:val="32"/>
          <w:lang w:val="zh-CN" w:eastAsia="zh-CN"/>
        </w:rPr>
        <w:t>本项目属于民生保障类专项，围绕以下方面开展绩效分析：</w:t>
      </w:r>
    </w:p>
    <w:p w14:paraId="3588566A">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区域均衡性：医保宣传、参保扩面工作覆盖全县所有乡镇、社区，无明显区域不均衡情况，保障了不同区域群众的医保权益，推动医保服务均等化发展。</w:t>
      </w:r>
    </w:p>
    <w:p w14:paraId="09DB9FCE">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对象精准性：工作开展聚焦城乡居民参保重点人群、困难群体，针对性开展政策宣传、参保动员，精准提升群众参保意识，参保扩面成效显著。</w:t>
      </w:r>
    </w:p>
    <w:p w14:paraId="1081DBD3">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标准合理性：项目资金使用标准、工作推进标准均符合医保工作相关规定及财政资金管理要求，宣传覆盖率、参保率、满意度等绩效目标设定合理，与当地实际情况相匹配。</w:t>
      </w:r>
    </w:p>
    <w:p w14:paraId="04061B10">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群众满意度：通过调查显示，服务对象满意度达96%，群众对医保政策宣传、经办服务等工作认可度较高，项目实施有效提升了群众的医保获得感。</w:t>
      </w:r>
    </w:p>
    <w:p w14:paraId="250DEBC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default" w:ascii="Times New Roman" w:hAnsi="Times New Roman" w:eastAsia="仿宋_GB2312" w:cs="Times New Roman"/>
          <w:color w:val="auto"/>
          <w:sz w:val="32"/>
          <w:szCs w:val="32"/>
          <w:lang w:val="zh-CN" w:eastAsia="zh-CN"/>
        </w:rPr>
        <w:t>本项目设置了部分个性指标，具体执行完成情况如下：</w:t>
      </w:r>
    </w:p>
    <w:p w14:paraId="297029B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数量指标：该保障金属</w:t>
      </w:r>
      <w:r>
        <w:rPr>
          <w:rFonts w:hint="eastAsia" w:ascii="Times New Roman" w:hAnsi="Times New Roman" w:eastAsia="仿宋_GB2312" w:cs="Times New Roman"/>
          <w:color w:val="auto"/>
          <w:sz w:val="32"/>
          <w:szCs w:val="32"/>
          <w:lang w:val="zh-CN" w:eastAsia="zh-CN"/>
        </w:rPr>
        <w:t>于</w:t>
      </w:r>
      <w:r>
        <w:rPr>
          <w:rFonts w:hint="default" w:ascii="Times New Roman" w:hAnsi="Times New Roman" w:eastAsia="仿宋_GB2312" w:cs="Times New Roman"/>
          <w:color w:val="auto"/>
          <w:sz w:val="32"/>
          <w:szCs w:val="32"/>
          <w:lang w:val="zh-CN" w:eastAsia="zh-CN"/>
        </w:rPr>
        <w:t>上年1个</w:t>
      </w:r>
      <w:r>
        <w:rPr>
          <w:rFonts w:hint="eastAsia" w:ascii="Times New Roman" w:hAnsi="Times New Roman" w:eastAsia="仿宋_GB2312" w:cs="Times New Roman"/>
          <w:color w:val="auto"/>
          <w:sz w:val="32"/>
          <w:szCs w:val="32"/>
          <w:lang w:val="zh-CN" w:eastAsia="zh-CN"/>
        </w:rPr>
        <w:t>项目的奖励金</w:t>
      </w:r>
      <w:r>
        <w:rPr>
          <w:rFonts w:hint="default" w:ascii="Times New Roman" w:hAnsi="Times New Roman" w:eastAsia="仿宋_GB2312" w:cs="Times New Roman"/>
          <w:color w:val="auto"/>
          <w:sz w:val="32"/>
          <w:szCs w:val="32"/>
          <w:lang w:val="zh-CN" w:eastAsia="zh-CN"/>
        </w:rPr>
        <w:t>，达到年度指标值（等于1个），得分</w:t>
      </w:r>
      <w:r>
        <w:rPr>
          <w:rFonts w:hint="eastAsia" w:ascii="Times New Roman" w:hAnsi="Times New Roman" w:eastAsia="仿宋_GB2312" w:cs="Times New Roman"/>
          <w:color w:val="auto"/>
          <w:sz w:val="32"/>
          <w:szCs w:val="32"/>
          <w:lang w:val="en-US" w:eastAsia="zh-CN"/>
        </w:rPr>
        <w:t>18</w:t>
      </w:r>
      <w:r>
        <w:rPr>
          <w:rFonts w:hint="default" w:ascii="Times New Roman" w:hAnsi="Times New Roman" w:eastAsia="仿宋_GB2312" w:cs="Times New Roman"/>
          <w:color w:val="auto"/>
          <w:sz w:val="32"/>
          <w:szCs w:val="32"/>
          <w:lang w:val="zh-CN" w:eastAsia="zh-CN"/>
        </w:rPr>
        <w:t>分。</w:t>
      </w:r>
    </w:p>
    <w:p w14:paraId="3B28662F">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质量指标：按文件要求合规合理完成率为99%，达到年度指标值（≥99%），得分</w:t>
      </w:r>
      <w:r>
        <w:rPr>
          <w:rFonts w:hint="eastAsia" w:ascii="Times New Roman" w:hAnsi="Times New Roman" w:eastAsia="仿宋_GB2312" w:cs="Times New Roman"/>
          <w:color w:val="auto"/>
          <w:sz w:val="32"/>
          <w:szCs w:val="32"/>
          <w:lang w:val="en-US" w:eastAsia="zh-CN"/>
        </w:rPr>
        <w:t>18</w:t>
      </w:r>
      <w:r>
        <w:rPr>
          <w:rFonts w:hint="default" w:ascii="Times New Roman" w:hAnsi="Times New Roman" w:eastAsia="仿宋_GB2312" w:cs="Times New Roman"/>
          <w:color w:val="auto"/>
          <w:sz w:val="32"/>
          <w:szCs w:val="32"/>
          <w:lang w:val="zh-CN" w:eastAsia="zh-CN"/>
        </w:rPr>
        <w:t>分。</w:t>
      </w:r>
    </w:p>
    <w:p w14:paraId="04E9F26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时效指标：医保工作开展时间为1年，符合年度指标值（≤1年），得分</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zh-CN" w:eastAsia="zh-CN"/>
        </w:rPr>
        <w:t>分。</w:t>
      </w:r>
    </w:p>
    <w:p w14:paraId="13ADAEB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成本指标：医保工作所需费用为1.99万元，控制在年度指标值（≤2万元）以内，得分</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zh-CN" w:eastAsia="zh-CN"/>
        </w:rPr>
        <w:t>分。</w:t>
      </w:r>
    </w:p>
    <w:p w14:paraId="55D1244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社会效益指标：居民参保率为90%，达到年度指标值（≥90%），得分</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zh-CN" w:eastAsia="zh-CN"/>
        </w:rPr>
        <w:t>分。</w:t>
      </w:r>
    </w:p>
    <w:p w14:paraId="68A22F66">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可持续影响指标：向上争取项目和资金激励政策执行率为98%，达到年度指标值（≥98%），得分</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zh-CN" w:eastAsia="zh-CN"/>
        </w:rPr>
        <w:t>分。</w:t>
      </w:r>
    </w:p>
    <w:p w14:paraId="5A3B33F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服务对象满意度指标：项目实施促进各项工作顺利开展，服务对象满意度为99%，达到年度指标值（≥99%），得分</w:t>
      </w:r>
      <w:r>
        <w:rPr>
          <w:rFonts w:hint="eastAsia"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lang w:val="zh-CN" w:eastAsia="zh-CN"/>
        </w:rPr>
        <w:t>分。</w:t>
      </w:r>
    </w:p>
    <w:p w14:paraId="2E039C52">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en-US" w:bidi="ar-SA"/>
        </w:rPr>
      </w:pPr>
      <w:r>
        <w:rPr>
          <w:rFonts w:hint="default" w:ascii="Times New Roman" w:hAnsi="Times New Roman" w:eastAsia="黑体" w:cs="Times New Roman"/>
          <w:color w:val="auto"/>
          <w:kern w:val="0"/>
          <w:position w:val="3"/>
          <w:sz w:val="32"/>
          <w:szCs w:val="32"/>
          <w:highlight w:val="none"/>
          <w:u w:val="none"/>
          <w:lang w:val="en-US" w:eastAsia="zh-CN" w:bidi="ar-SA"/>
        </w:rPr>
        <w:t>四</w:t>
      </w:r>
      <w:r>
        <w:rPr>
          <w:rFonts w:hint="default" w:ascii="Times New Roman" w:hAnsi="Times New Roman" w:eastAsia="黑体" w:cs="Times New Roman"/>
          <w:color w:val="auto"/>
          <w:kern w:val="0"/>
          <w:position w:val="3"/>
          <w:sz w:val="32"/>
          <w:szCs w:val="32"/>
          <w:highlight w:val="none"/>
          <w:u w:val="none"/>
          <w:lang w:val="en-US" w:eastAsia="en-US" w:bidi="ar-SA"/>
        </w:rPr>
        <w:t>、评价结论</w:t>
      </w:r>
    </w:p>
    <w:p w14:paraId="53801B75">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本项目2025年度绩效自评总分为89分，各项指标均已完成，预算执行率达99.71%，项目实施情况良好。项目资金使用合规、高效，有效发挥了激励导向作用，调动了单位向上争取项目和资金的积极性，推动了各项医保工作任务的顺利完成，达到了项目设立的预期目标，实施成效显著。</w:t>
      </w:r>
    </w:p>
    <w:p w14:paraId="16D0A9F4">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zh-CN" w:bidi="ar-SA"/>
        </w:rPr>
      </w:pPr>
      <w:r>
        <w:rPr>
          <w:rFonts w:hint="default" w:ascii="Times New Roman" w:hAnsi="Times New Roman" w:eastAsia="黑体" w:cs="Times New Roman"/>
          <w:color w:val="auto"/>
          <w:kern w:val="0"/>
          <w:position w:val="3"/>
          <w:sz w:val="32"/>
          <w:szCs w:val="32"/>
          <w:highlight w:val="none"/>
          <w:u w:val="none"/>
          <w:lang w:val="en-US" w:eastAsia="zh-CN" w:bidi="ar-SA"/>
        </w:rPr>
        <w:t>五、存在主要问题</w:t>
      </w:r>
    </w:p>
    <w:p w14:paraId="3DA877EE">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本项目整体实施情况良好，但仍存在部分细节问题：一是预算执行率未达到100%，存在少量资金结余，预算编制的精准性仍有提升空间；二是项目绩效指标设置的精细化程度有待进一步优化，部分指标的量化考核维度可进一步细化。</w:t>
      </w:r>
    </w:p>
    <w:p w14:paraId="60D5F343">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19EE7965">
      <w:pPr>
        <w:keepNext w:val="0"/>
        <w:keepLines w:val="0"/>
        <w:pageBreakBefore w:val="0"/>
        <w:widowControl w:val="0"/>
        <w:tabs>
          <w:tab w:val="left" w:pos="1911"/>
        </w:tabs>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1.提升预算编制精准性：结合预算执行情况及当年工作实际需求，进一步细化预算编制，合理测算资金需求，减少资金结余，提高预算执行率，确保资金全部发挥使用效益。</w:t>
      </w:r>
    </w:p>
    <w:p w14:paraId="0F26FA82">
      <w:pPr>
        <w:keepNext w:val="0"/>
        <w:keepLines w:val="0"/>
        <w:pageBreakBefore w:val="0"/>
        <w:widowControl w:val="0"/>
        <w:tabs>
          <w:tab w:val="left" w:pos="1911"/>
        </w:tabs>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2.优化绩效指标设置：结合医保工作发展实际，进一步细化完善项目绩效指标体系，提升绩效管理精细化水平。</w:t>
      </w:r>
    </w:p>
    <w:p w14:paraId="64AD7B0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3.强化资金使用全过程监管：加强对项目资金使用的动态跟踪管理，定期梳理资金使用进度，及时分析预算执行偏差原因，确保资金按计划高效使用，充分发挥奖励工作经费的激励作用，推动医保事业持续高质量发展。</w:t>
      </w:r>
    </w:p>
    <w:p w14:paraId="7F6582E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 w:val="0"/>
          <w:bCs w:val="0"/>
          <w:kern w:val="0"/>
          <w:position w:val="0"/>
          <w:sz w:val="32"/>
          <w:szCs w:val="32"/>
          <w:highlight w:val="none"/>
          <w:lang w:val="en-US" w:eastAsia="zh-CN" w:bidi="ar-SA"/>
        </w:rPr>
      </w:pPr>
    </w:p>
    <w:p w14:paraId="38844D8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 w:val="0"/>
          <w:bCs w:val="0"/>
          <w:kern w:val="0"/>
          <w:position w:val="0"/>
          <w:sz w:val="32"/>
          <w:szCs w:val="32"/>
          <w:highlight w:val="none"/>
          <w:lang w:val="en-US" w:eastAsia="zh-CN" w:bidi="ar-SA"/>
        </w:rPr>
      </w:pPr>
    </w:p>
    <w:p w14:paraId="55D3895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 w:val="0"/>
          <w:bCs w:val="0"/>
          <w:kern w:val="0"/>
          <w:position w:val="0"/>
          <w:sz w:val="32"/>
          <w:szCs w:val="32"/>
          <w:highlight w:val="none"/>
          <w:lang w:val="en-US" w:eastAsia="zh-CN" w:bidi="ar-SA"/>
        </w:rPr>
      </w:pPr>
    </w:p>
    <w:p w14:paraId="5B6DE20E">
      <w:pPr>
        <w:keepNext w:val="0"/>
        <w:keepLines w:val="0"/>
        <w:pageBreakBefore w:val="0"/>
        <w:widowControl w:val="0"/>
        <w:kinsoku/>
        <w:wordWrap/>
        <w:overflowPunct/>
        <w:topLinePunct w:val="0"/>
        <w:autoSpaceDE/>
        <w:autoSpaceDN/>
        <w:bidi w:val="0"/>
        <w:spacing w:line="578" w:lineRule="exact"/>
        <w:ind w:firstLine="640"/>
        <w:jc w:val="center"/>
        <w:textAlignment w:val="auto"/>
        <w:outlineLvl w:val="9"/>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5"/>
      <w:bookmarkEnd w:id="48"/>
      <w:bookmarkStart w:id="49" w:name="_Toc15396619"/>
    </w:p>
    <w:p w14:paraId="7CB273B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671EB8A">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9"/>
    </w:p>
    <w:p w14:paraId="3ADB07C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0"/>
      <w:r>
        <w:rPr>
          <w:rFonts w:hint="eastAsia" w:ascii="Times New Roman" w:hAnsi="Times New Roman" w:eastAsia="仿宋_GB2312" w:cs="仿宋_GB2312"/>
          <w:color w:val="auto"/>
          <w:sz w:val="32"/>
          <w:szCs w:val="32"/>
          <w:highlight w:val="none"/>
        </w:rPr>
        <w:t>二、收入决算表</w:t>
      </w:r>
      <w:bookmarkEnd w:id="50"/>
    </w:p>
    <w:p w14:paraId="12E9DC8A">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1"/>
      <w:r>
        <w:rPr>
          <w:rFonts w:hint="eastAsia" w:ascii="Times New Roman" w:hAnsi="Times New Roman" w:eastAsia="仿宋_GB2312" w:cs="仿宋_GB2312"/>
          <w:color w:val="auto"/>
          <w:sz w:val="32"/>
          <w:szCs w:val="32"/>
          <w:highlight w:val="none"/>
        </w:rPr>
        <w:t>三、支出决算表</w:t>
      </w:r>
      <w:bookmarkEnd w:id="51"/>
    </w:p>
    <w:p w14:paraId="0319A47A">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2"/>
      <w:r>
        <w:rPr>
          <w:rFonts w:hint="eastAsia" w:ascii="Times New Roman" w:hAnsi="Times New Roman" w:eastAsia="仿宋_GB2312" w:cs="仿宋_GB2312"/>
          <w:color w:val="auto"/>
          <w:sz w:val="32"/>
          <w:szCs w:val="32"/>
          <w:highlight w:val="none"/>
        </w:rPr>
        <w:t>四、财政拨款收入支出决算总表</w:t>
      </w:r>
      <w:bookmarkEnd w:id="52"/>
    </w:p>
    <w:p w14:paraId="06938871">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3"/>
      <w:r>
        <w:rPr>
          <w:rFonts w:hint="eastAsia" w:ascii="Times New Roman" w:hAnsi="Times New Roman" w:eastAsia="仿宋_GB2312" w:cs="仿宋_GB2312"/>
          <w:color w:val="auto"/>
          <w:sz w:val="32"/>
          <w:szCs w:val="32"/>
          <w:highlight w:val="none"/>
        </w:rPr>
        <w:t>五、财政拨款支出决算明细表</w:t>
      </w:r>
      <w:bookmarkEnd w:id="53"/>
      <w:bookmarkStart w:id="54" w:name="_Toc15396624"/>
    </w:p>
    <w:p w14:paraId="20336EB5">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4"/>
    </w:p>
    <w:p w14:paraId="2A8F60D4">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5"/>
      <w:r>
        <w:rPr>
          <w:rFonts w:hint="eastAsia" w:ascii="Times New Roman" w:hAnsi="Times New Roman" w:eastAsia="仿宋_GB2312" w:cs="仿宋_GB2312"/>
          <w:color w:val="auto"/>
          <w:sz w:val="32"/>
          <w:szCs w:val="32"/>
          <w:highlight w:val="none"/>
        </w:rPr>
        <w:t>七、一般公共预算财政拨款支出决算明细表</w:t>
      </w:r>
      <w:bookmarkEnd w:id="55"/>
    </w:p>
    <w:p w14:paraId="4E17CCB1">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6"/>
      <w:r>
        <w:rPr>
          <w:rFonts w:hint="eastAsia" w:ascii="Times New Roman" w:hAnsi="Times New Roman" w:eastAsia="仿宋_GB2312" w:cs="仿宋_GB2312"/>
          <w:color w:val="auto"/>
          <w:sz w:val="32"/>
          <w:szCs w:val="32"/>
          <w:highlight w:val="none"/>
        </w:rPr>
        <w:t>八、一般公共预算财政拨款基本支出决算表</w:t>
      </w:r>
      <w:bookmarkEnd w:id="56"/>
    </w:p>
    <w:p w14:paraId="5723DD65">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7"/>
      <w:r>
        <w:rPr>
          <w:rFonts w:hint="eastAsia" w:ascii="Times New Roman" w:hAnsi="Times New Roman" w:eastAsia="仿宋_GB2312" w:cs="仿宋_GB2312"/>
          <w:color w:val="auto"/>
          <w:sz w:val="32"/>
          <w:szCs w:val="32"/>
          <w:highlight w:val="none"/>
        </w:rPr>
        <w:t>九、一般公共预算财政拨款项目支出决算表</w:t>
      </w:r>
      <w:bookmarkEnd w:id="57"/>
    </w:p>
    <w:p w14:paraId="59E200F0">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8"/>
      <w:r>
        <w:rPr>
          <w:rFonts w:hint="eastAsia" w:ascii="Times New Roman" w:hAnsi="Times New Roman" w:eastAsia="仿宋_GB2312" w:cs="仿宋_GB2312"/>
          <w:color w:val="auto"/>
          <w:sz w:val="32"/>
          <w:szCs w:val="32"/>
          <w:highlight w:val="none"/>
        </w:rPr>
        <w:t>十、</w:t>
      </w:r>
      <w:bookmarkEnd w:id="58"/>
      <w:r>
        <w:rPr>
          <w:rFonts w:hint="eastAsia" w:ascii="Times New Roman" w:hAnsi="Times New Roman" w:eastAsia="仿宋_GB2312" w:cs="仿宋_GB2312"/>
          <w:color w:val="auto"/>
          <w:sz w:val="32"/>
          <w:szCs w:val="32"/>
          <w:highlight w:val="none"/>
        </w:rPr>
        <w:t>政府性基金预算财政拨款收入支出决算表</w:t>
      </w:r>
    </w:p>
    <w:p w14:paraId="0037D3F9">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9"/>
      <w:r>
        <w:rPr>
          <w:rFonts w:hint="eastAsia" w:ascii="Times New Roman" w:hAnsi="Times New Roman" w:eastAsia="仿宋_GB2312" w:cs="仿宋_GB2312"/>
          <w:color w:val="auto"/>
          <w:sz w:val="32"/>
          <w:szCs w:val="32"/>
          <w:highlight w:val="none"/>
        </w:rPr>
        <w:t>十一、</w:t>
      </w:r>
      <w:bookmarkEnd w:id="5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408A4B15">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30"/>
      <w:r>
        <w:rPr>
          <w:rFonts w:hint="eastAsia" w:ascii="Times New Roman" w:hAnsi="Times New Roman" w:eastAsia="仿宋_GB2312" w:cs="仿宋_GB2312"/>
          <w:color w:val="auto"/>
          <w:sz w:val="32"/>
          <w:szCs w:val="32"/>
          <w:highlight w:val="none"/>
        </w:rPr>
        <w:t>十二、</w:t>
      </w:r>
      <w:bookmarkEnd w:id="60"/>
      <w:r>
        <w:rPr>
          <w:rFonts w:hint="eastAsia" w:ascii="Times New Roman" w:hAnsi="Times New Roman" w:eastAsia="仿宋_GB2312" w:cs="仿宋_GB2312"/>
          <w:color w:val="auto"/>
          <w:sz w:val="32"/>
          <w:szCs w:val="32"/>
          <w:highlight w:val="none"/>
          <w:lang w:eastAsia="zh-CN"/>
        </w:rPr>
        <w:t>国有资本经营预算财政拨款支出决算表</w:t>
      </w:r>
    </w:p>
    <w:p w14:paraId="6C94350A">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1" w:name="_Toc15396631"/>
      <w:r>
        <w:rPr>
          <w:rFonts w:hint="eastAsia" w:ascii="Times New Roman" w:hAnsi="Times New Roman" w:eastAsia="仿宋_GB2312" w:cs="仿宋_GB2312"/>
          <w:color w:val="auto"/>
          <w:sz w:val="32"/>
          <w:szCs w:val="32"/>
          <w:highlight w:val="none"/>
        </w:rPr>
        <w:t>十三、</w:t>
      </w:r>
      <w:bookmarkEnd w:id="61"/>
      <w:r>
        <w:rPr>
          <w:rFonts w:hint="eastAsia" w:ascii="Times New Roman" w:hAnsi="Times New Roman" w:eastAsia="仿宋_GB2312" w:cs="仿宋_GB2312"/>
          <w:color w:val="auto"/>
          <w:sz w:val="32"/>
          <w:szCs w:val="32"/>
          <w:highlight w:val="none"/>
          <w:lang w:eastAsia="zh-CN"/>
        </w:rPr>
        <w:t>财政拨款“三公”经费支出决算表</w:t>
      </w:r>
    </w:p>
    <w:p w14:paraId="56AEB074">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86FD5">
    <w:pPr>
      <w:pStyle w:val="10"/>
      <w:jc w:val="center"/>
    </w:pPr>
  </w:p>
  <w:p w14:paraId="622EB537">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D1A78">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333E9">
    <w:pPr>
      <w:pStyle w:val="10"/>
      <w:jc w:val="center"/>
    </w:pPr>
  </w:p>
  <w:p w14:paraId="3525C8FD">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FFA95">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3A2C37">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53A2C37">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5C1DA">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B7CD8E"/>
    <w:multiLevelType w:val="singleLevel"/>
    <w:tmpl w:val="16B7CD8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D155CEE"/>
    <w:rsid w:val="1DB2D796"/>
    <w:rsid w:val="1E740ACF"/>
    <w:rsid w:val="1FF35744"/>
    <w:rsid w:val="1FF6BC77"/>
    <w:rsid w:val="21962A9E"/>
    <w:rsid w:val="21AE7C77"/>
    <w:rsid w:val="22BC3C41"/>
    <w:rsid w:val="23860B96"/>
    <w:rsid w:val="240371BF"/>
    <w:rsid w:val="260F557C"/>
    <w:rsid w:val="281408E2"/>
    <w:rsid w:val="29FD04D3"/>
    <w:rsid w:val="2BFF7BC6"/>
    <w:rsid w:val="2C8A61B5"/>
    <w:rsid w:val="2D2E01CF"/>
    <w:rsid w:val="2DEF3D16"/>
    <w:rsid w:val="2DF04E50"/>
    <w:rsid w:val="2E9545B0"/>
    <w:rsid w:val="2F040D46"/>
    <w:rsid w:val="2FAE5751"/>
    <w:rsid w:val="2FB1A395"/>
    <w:rsid w:val="2FBE6E5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AFB042D"/>
    <w:rsid w:val="3B7EF35A"/>
    <w:rsid w:val="3B9FDB6C"/>
    <w:rsid w:val="3BF5BC2F"/>
    <w:rsid w:val="3CEBA265"/>
    <w:rsid w:val="3D98207C"/>
    <w:rsid w:val="3D9B0D99"/>
    <w:rsid w:val="3DEE7CF3"/>
    <w:rsid w:val="3DF02244"/>
    <w:rsid w:val="3DF97B88"/>
    <w:rsid w:val="3E78745D"/>
    <w:rsid w:val="3F764D28"/>
    <w:rsid w:val="3FD7520A"/>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3083A92"/>
    <w:rsid w:val="537E6D0A"/>
    <w:rsid w:val="53AF27A2"/>
    <w:rsid w:val="53F74C96"/>
    <w:rsid w:val="56E47B74"/>
    <w:rsid w:val="57BD3DD4"/>
    <w:rsid w:val="59F7F7E9"/>
    <w:rsid w:val="5AF92295"/>
    <w:rsid w:val="5BDD79E6"/>
    <w:rsid w:val="5BF561CA"/>
    <w:rsid w:val="5BFF5DFC"/>
    <w:rsid w:val="5CD71FC4"/>
    <w:rsid w:val="5CED050F"/>
    <w:rsid w:val="5D1F11B5"/>
    <w:rsid w:val="5DAE1B18"/>
    <w:rsid w:val="5DE7D9E5"/>
    <w:rsid w:val="5ECEC941"/>
    <w:rsid w:val="5F493CB7"/>
    <w:rsid w:val="5FBF9FF3"/>
    <w:rsid w:val="5FCD4E2C"/>
    <w:rsid w:val="5FD15F49"/>
    <w:rsid w:val="5FEF394A"/>
    <w:rsid w:val="5FF67715"/>
    <w:rsid w:val="5FF9DE1D"/>
    <w:rsid w:val="62BF3928"/>
    <w:rsid w:val="647F5392"/>
    <w:rsid w:val="65BF6B3F"/>
    <w:rsid w:val="664B1D71"/>
    <w:rsid w:val="67AA3209"/>
    <w:rsid w:val="67DE8BDF"/>
    <w:rsid w:val="681C4F0D"/>
    <w:rsid w:val="68B99668"/>
    <w:rsid w:val="69046D0F"/>
    <w:rsid w:val="698D0931"/>
    <w:rsid w:val="6A993CED"/>
    <w:rsid w:val="6B053271"/>
    <w:rsid w:val="6BCE6674"/>
    <w:rsid w:val="6C4A05C8"/>
    <w:rsid w:val="6C8742B8"/>
    <w:rsid w:val="6C8A170F"/>
    <w:rsid w:val="6CB54609"/>
    <w:rsid w:val="6CC354EE"/>
    <w:rsid w:val="6DBF5E93"/>
    <w:rsid w:val="6DFF077E"/>
    <w:rsid w:val="6E7E3605"/>
    <w:rsid w:val="6E7FDCC7"/>
    <w:rsid w:val="6E9B7CD4"/>
    <w:rsid w:val="6ED6A62E"/>
    <w:rsid w:val="6EE00B15"/>
    <w:rsid w:val="6F544B20"/>
    <w:rsid w:val="6F6D94CC"/>
    <w:rsid w:val="6F6FB3EB"/>
    <w:rsid w:val="6F784160"/>
    <w:rsid w:val="6F8731EA"/>
    <w:rsid w:val="6FB7A4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EEF35"/>
    <w:rsid w:val="76FF5125"/>
    <w:rsid w:val="776F6FFA"/>
    <w:rsid w:val="778769C8"/>
    <w:rsid w:val="77DC22F5"/>
    <w:rsid w:val="79086DAD"/>
    <w:rsid w:val="79974F09"/>
    <w:rsid w:val="79D7FD79"/>
    <w:rsid w:val="79EE5BA4"/>
    <w:rsid w:val="7A894339"/>
    <w:rsid w:val="7AFF7572"/>
    <w:rsid w:val="7B6C7DFB"/>
    <w:rsid w:val="7BBFBED0"/>
    <w:rsid w:val="7BC3E394"/>
    <w:rsid w:val="7BF9FE5D"/>
    <w:rsid w:val="7C1F3737"/>
    <w:rsid w:val="7C7E7D2E"/>
    <w:rsid w:val="7CBFC87B"/>
    <w:rsid w:val="7CFE0F48"/>
    <w:rsid w:val="7D7EC23E"/>
    <w:rsid w:val="7D916348"/>
    <w:rsid w:val="7E8ADEBF"/>
    <w:rsid w:val="7EEF11D3"/>
    <w:rsid w:val="7F0971A6"/>
    <w:rsid w:val="7F3F679B"/>
    <w:rsid w:val="7F4FC4EF"/>
    <w:rsid w:val="7F5E4D54"/>
    <w:rsid w:val="7F6E0135"/>
    <w:rsid w:val="7F76D448"/>
    <w:rsid w:val="7FA30C79"/>
    <w:rsid w:val="7FAF8ABF"/>
    <w:rsid w:val="7FB7269E"/>
    <w:rsid w:val="7FC96657"/>
    <w:rsid w:val="7FDA9588"/>
    <w:rsid w:val="7FDF220F"/>
    <w:rsid w:val="7FEDC5F7"/>
    <w:rsid w:val="7FEDD9DE"/>
    <w:rsid w:val="7FF5890D"/>
    <w:rsid w:val="7FF74CF8"/>
    <w:rsid w:val="7FF773AA"/>
    <w:rsid w:val="7FF93490"/>
    <w:rsid w:val="7FFFA8DF"/>
    <w:rsid w:val="99E7904B"/>
    <w:rsid w:val="99FF2014"/>
    <w:rsid w:val="9D68182E"/>
    <w:rsid w:val="A39F0606"/>
    <w:rsid w:val="A6D89A32"/>
    <w:rsid w:val="A6DD0D7F"/>
    <w:rsid w:val="AABAAE36"/>
    <w:rsid w:val="ADC6F725"/>
    <w:rsid w:val="AF8771E7"/>
    <w:rsid w:val="B6C7C691"/>
    <w:rsid w:val="B7CF06AB"/>
    <w:rsid w:val="B7CFA926"/>
    <w:rsid w:val="B7F8786B"/>
    <w:rsid w:val="BABB6AA1"/>
    <w:rsid w:val="BB2F4199"/>
    <w:rsid w:val="BD079C78"/>
    <w:rsid w:val="BD733540"/>
    <w:rsid w:val="BF3735D5"/>
    <w:rsid w:val="BF723039"/>
    <w:rsid w:val="BF7F09AC"/>
    <w:rsid w:val="BFB7A729"/>
    <w:rsid w:val="BFBF8B90"/>
    <w:rsid w:val="BFD475C3"/>
    <w:rsid w:val="BFDE5EA6"/>
    <w:rsid w:val="BFF5F899"/>
    <w:rsid w:val="C4FF5534"/>
    <w:rsid w:val="CF6FC6F3"/>
    <w:rsid w:val="CFD3D3D7"/>
    <w:rsid w:val="CFDF1009"/>
    <w:rsid w:val="D3DF4F34"/>
    <w:rsid w:val="D68F933A"/>
    <w:rsid w:val="D7D7B16A"/>
    <w:rsid w:val="D8D6DB89"/>
    <w:rsid w:val="DAFFA1D7"/>
    <w:rsid w:val="DB6F4CAB"/>
    <w:rsid w:val="DB777682"/>
    <w:rsid w:val="DD1FB521"/>
    <w:rsid w:val="DEFBFEAE"/>
    <w:rsid w:val="DF1F3B80"/>
    <w:rsid w:val="DF6E956A"/>
    <w:rsid w:val="DF6F9789"/>
    <w:rsid w:val="DFFFA9E8"/>
    <w:rsid w:val="E5E7A318"/>
    <w:rsid w:val="E5F4E9DC"/>
    <w:rsid w:val="E70FE695"/>
    <w:rsid w:val="ECFED1BC"/>
    <w:rsid w:val="ED1D69BB"/>
    <w:rsid w:val="ED7FD312"/>
    <w:rsid w:val="EF53993F"/>
    <w:rsid w:val="EF6FD633"/>
    <w:rsid w:val="EFBFB2F4"/>
    <w:rsid w:val="EFBFFA21"/>
    <w:rsid w:val="F1FF552A"/>
    <w:rsid w:val="F2BEBCB8"/>
    <w:rsid w:val="F36FB518"/>
    <w:rsid w:val="F3DE1A04"/>
    <w:rsid w:val="F3F722E5"/>
    <w:rsid w:val="F772CAE2"/>
    <w:rsid w:val="FA5F1E70"/>
    <w:rsid w:val="FA5FDB97"/>
    <w:rsid w:val="FB6F8950"/>
    <w:rsid w:val="FB7F486A"/>
    <w:rsid w:val="FBFF00A2"/>
    <w:rsid w:val="FBFF5B2E"/>
    <w:rsid w:val="FD7FFE2B"/>
    <w:rsid w:val="FDEE196B"/>
    <w:rsid w:val="FDFB000A"/>
    <w:rsid w:val="FDFE6575"/>
    <w:rsid w:val="FEDFDDC2"/>
    <w:rsid w:val="FEED32F6"/>
    <w:rsid w:val="FEF6C57A"/>
    <w:rsid w:val="FEF781DD"/>
    <w:rsid w:val="FF3F7E3F"/>
    <w:rsid w:val="FF578112"/>
    <w:rsid w:val="FFBA12D7"/>
    <w:rsid w:val="FFDFFAEE"/>
    <w:rsid w:val="FFE7016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qFormat/>
    <w:uiPriority w:val="0"/>
    <w:pPr>
      <w:spacing w:after="120"/>
      <w:ind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next w:val="12"/>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15"/>
    <w:semiHidden/>
    <w:qFormat/>
    <w:uiPriority w:val="0"/>
    <w:pPr>
      <w:snapToGrid w:val="0"/>
      <w:jc w:val="left"/>
    </w:pPr>
    <w:rPr>
      <w:sz w:val="18"/>
      <w:szCs w:val="18"/>
    </w:rPr>
  </w:style>
  <w:style w:type="paragraph" w:styleId="15">
    <w:name w:val="Body Text First Indent 2"/>
    <w:basedOn w:val="7"/>
    <w:unhideWhenUsed/>
    <w:qFormat/>
    <w:uiPriority w:val="99"/>
    <w:pPr>
      <w:ind w:firstLine="420" w:firstLineChars="200"/>
    </w:p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9"/>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正文文本1"/>
    <w:basedOn w:val="1"/>
    <w:qFormat/>
    <w:uiPriority w:val="99"/>
    <w:pPr>
      <w:spacing w:before="93"/>
    </w:pPr>
    <w:rPr>
      <w:rFonts w:ascii="仿宋_GB2312" w:hAnsi="仿宋_GB2312" w:eastAsia="仿宋_GB2312" w:cs="仿宋_GB2312"/>
      <w:kern w:val="0"/>
      <w:sz w:val="30"/>
      <w:szCs w:val="30"/>
    </w:rPr>
  </w:style>
  <w:style w:type="paragraph" w:customStyle="1" w:styleId="37">
    <w:name w:val="列出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65136506402513"/>
          <c:y val="0.158733531661708"/>
          <c:w val="0.908721913505678"/>
          <c:h val="0.639481512962176"/>
        </c:manualLayout>
      </c:layout>
      <c:barChart>
        <c:barDir val="col"/>
        <c:grouping val="clustered"/>
        <c:varyColors val="0"/>
        <c:ser>
          <c:idx val="0"/>
          <c:order val="0"/>
          <c:tx>
            <c:strRef>
              <c:f>Sheet1!$B$1</c:f>
              <c:strCache>
                <c:ptCount val="1"/>
                <c:pt idx="0">
                  <c:v>收入决算数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508.66</c:v>
                </c:pt>
                <c:pt idx="1">
                  <c:v>552.35</c:v>
                </c:pt>
              </c:numCache>
            </c:numRef>
          </c:val>
        </c:ser>
        <c:ser>
          <c:idx val="1"/>
          <c:order val="1"/>
          <c:tx>
            <c:strRef>
              <c:f>Sheet1!$C$1</c:f>
              <c:strCache>
                <c:ptCount val="1"/>
                <c:pt idx="0">
                  <c:v>支出决算数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Sheet1!$C$2:$C$3</c:f>
              <c:numCache>
                <c:formatCode>General</c:formatCode>
                <c:ptCount val="2"/>
                <c:pt idx="0">
                  <c:v>508.66</c:v>
                </c:pt>
                <c:pt idx="1">
                  <c:v>552.35</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46"/>
        <c:overlap val="-28"/>
        <c:axId val="607103231"/>
        <c:axId val="178989708"/>
      </c:barChart>
      <c:catAx>
        <c:axId val="60710323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8989708"/>
        <c:crosses val="autoZero"/>
        <c:auto val="1"/>
        <c:lblAlgn val="ctr"/>
        <c:lblOffset val="100"/>
        <c:noMultiLvlLbl val="0"/>
      </c:catAx>
      <c:valAx>
        <c:axId val="17898970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7103231"/>
        <c:crosses val="autoZero"/>
        <c:crossBetween val="between"/>
      </c:valAx>
      <c:spPr>
        <a:noFill/>
        <a:ln>
          <a:noFill/>
        </a:ln>
        <a:effectLst/>
      </c:spPr>
    </c:plotArea>
    <c:legend>
      <c:legendPos val="b"/>
      <c:legendEntry>
        <c:idx val="2"/>
        <c:delete val="1"/>
      </c:legendEntry>
      <c:layout>
        <c:manualLayout>
          <c:xMode val="edge"/>
          <c:yMode val="edge"/>
          <c:x val="0.346943706209229"/>
          <c:y val="0.89736506587335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adcc448-9c69-406d-8c4c-a748447444b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收入合计</c:v>
                </c:pt>
              </c:strCache>
            </c:strRef>
          </c:tx>
          <c:spPr/>
          <c:explosion val="0"/>
          <c:dPt>
            <c:idx val="0"/>
            <c:bubble3D val="0"/>
            <c:spPr>
              <a:solidFill>
                <a:schemeClr val="accent1"/>
              </a:solidFill>
              <a:ln>
                <a:solidFill>
                  <a:schemeClr val="bg1"/>
                </a:solidFill>
              </a:ln>
              <a:effectLst/>
            </c:spPr>
          </c:dPt>
          <c:dLbls>
            <c:delete val="1"/>
          </c:dLbls>
          <c:cat>
            <c:strRef>
              <c:f>Sheet1!$A$2</c:f>
              <c:strCache>
                <c:ptCount val="1"/>
                <c:pt idx="0">
                  <c:v>一般公共预算财政拨款收入</c:v>
                </c:pt>
              </c:strCache>
            </c:strRef>
          </c:cat>
          <c:val>
            <c:numRef>
              <c:f>Sheet1!$B$2</c:f>
              <c:numCache>
                <c:formatCode>General</c:formatCode>
                <c:ptCount val="1"/>
                <c:pt idx="0">
                  <c:v>552.35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46b4ba4-2a13-48e0-af61-d9ba9152af7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512.33</c:v>
                </c:pt>
                <c:pt idx="1">
                  <c:v>40.02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4a3778b-e871-4c91-bd59-38cbf848bc3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财政拨款收入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508.66</c:v>
                </c:pt>
                <c:pt idx="1">
                  <c:v>552.35</c:v>
                </c:pt>
              </c:numCache>
            </c:numRef>
          </c:val>
        </c:ser>
        <c:ser>
          <c:idx val="1"/>
          <c:order val="1"/>
          <c:tx>
            <c:strRef>
              <c:f>Sheet1!$C$1</c:f>
              <c:strCache>
                <c:ptCount val="1"/>
                <c:pt idx="0">
                  <c:v>财政拨款支出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Sheet1!$C$2:$C$3</c:f>
              <c:numCache>
                <c:formatCode>General</c:formatCode>
                <c:ptCount val="2"/>
                <c:pt idx="0">
                  <c:v>508.66</c:v>
                </c:pt>
                <c:pt idx="1">
                  <c:v>552.35</c:v>
                </c:pt>
              </c:numCache>
            </c:numRef>
          </c:val>
        </c:ser>
        <c:dLbls>
          <c:showLegendKey val="0"/>
          <c:showVal val="1"/>
          <c:showCatName val="0"/>
          <c:showSerName val="0"/>
          <c:showPercent val="0"/>
          <c:showBubbleSize val="0"/>
        </c:dLbls>
        <c:gapWidth val="246"/>
        <c:overlap val="-28"/>
        <c:axId val="451304586"/>
        <c:axId val="382605125"/>
      </c:barChart>
      <c:catAx>
        <c:axId val="45130458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605125"/>
        <c:crosses val="autoZero"/>
        <c:auto val="1"/>
        <c:lblAlgn val="ctr"/>
        <c:lblOffset val="100"/>
        <c:noMultiLvlLbl val="0"/>
      </c:catAx>
      <c:valAx>
        <c:axId val="38260512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1304586"/>
        <c:crosses val="autoZero"/>
        <c:crossBetween val="between"/>
      </c:valAx>
      <c:spPr>
        <a:noFill/>
        <a:ln>
          <a:noFill/>
        </a:ln>
        <a:effectLst/>
      </c:spPr>
    </c:plotArea>
    <c:legend>
      <c:legendPos val="b"/>
      <c:layout>
        <c:manualLayout>
          <c:xMode val="edge"/>
          <c:yMode val="edge"/>
          <c:x val="0.285947379155619"/>
          <c:y val="0.9068514241724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2df4bf3-b192-4c0e-82cf-d5e2829b9bd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508.66</c:v>
                </c:pt>
                <c:pt idx="1">
                  <c:v>552.35</c:v>
                </c:pt>
              </c:numCache>
            </c:numRef>
          </c:val>
        </c:ser>
        <c:dLbls>
          <c:showLegendKey val="0"/>
          <c:showVal val="1"/>
          <c:showCatName val="0"/>
          <c:showSerName val="0"/>
          <c:showPercent val="0"/>
          <c:showBubbleSize val="0"/>
        </c:dLbls>
        <c:gapWidth val="246"/>
        <c:overlap val="-28"/>
        <c:axId val="290616263"/>
        <c:axId val="320274496"/>
        <c:extLst>
          <c:ext xmlns:c15="http://schemas.microsoft.com/office/drawing/2012/chart" uri="{02D57815-91ED-43cb-92C2-25804820EDAC}">
            <c15:filteredBarSeries>
              <c15:ser>
                <c:idx val="1"/>
                <c:order val="1"/>
                <c:tx>
                  <c:strRef>
                    <c:extLst>
                      <c:ext uri="{02D57815-91ED-43cb-92C2-25804820EDAC}">
                        <c15:formulaRef>
                          <c15:sqref>Sheet1!#REF!</c15:sqref>
                        </c15:formulaRef>
                      </c:ext>
                    </c:extLst>
                    <c:strCache>
                      <c:ptCount val="1"/>
                      <c:pt idx="0">
                        <c:v/>
                      </c:pt>
                    </c:strCache>
                  </c:strRef>
                </c:tx>
                <c:spPr>
                  <a:solidFill>
                    <a:schemeClr val="accent2"/>
                  </a:solidFill>
                  <a:ln>
                    <a:noFill/>
                  </a:ln>
                  <a:effectLst/>
                </c:spPr>
                <c:invertIfNegative val="0"/>
                <c:dLbls>
                  <c:delete val="1"/>
                </c:dLbls>
                <c:cat>
                  <c:strRef>
                    <c:extLst>
                      <c:ext uri="{02D57815-91ED-43cb-92C2-25804820EDAC}">
                        <c15:fullRef>
                          <c15:sqref/>
                        </c15:fullRef>
                        <c15:formulaRef>
                          <c15:sqref>Sheet1!$A$2:$A$3</c15:sqref>
                        </c15:formulaRef>
                      </c:ext>
                    </c:extLst>
                    <c:strCache>
                      <c:ptCount val="2"/>
                      <c:pt idx="0">
                        <c:v>2024年</c:v>
                      </c:pt>
                      <c:pt idx="1">
                        <c:v>2025年</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Lbl>
                    <c:idx val="0"/>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Sheet1!$A$2:$A$3</c15:sqref>
                        </c15:formulaRef>
                      </c:ext>
                    </c:extLst>
                    <c:strCache>
                      <c:ptCount val="2"/>
                      <c:pt idx="0">
                        <c:v>2024年</c:v>
                      </c:pt>
                      <c:pt idx="1">
                        <c:v>2025年</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29061626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0274496"/>
        <c:crosses val="autoZero"/>
        <c:auto val="1"/>
        <c:lblAlgn val="ctr"/>
        <c:lblOffset val="100"/>
        <c:noMultiLvlLbl val="0"/>
      </c:catAx>
      <c:valAx>
        <c:axId val="32027449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6162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efc7ceb-fef9-4788-ba77-17b17af1c54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社会保障和就业支出</c:v>
                </c:pt>
                <c:pt idx="1">
                  <c:v>卫生健康支出</c:v>
                </c:pt>
                <c:pt idx="2">
                  <c:v>住房保障支出</c:v>
                </c:pt>
              </c:strCache>
            </c:strRef>
          </c:cat>
          <c:val>
            <c:numRef>
              <c:f>Sheet1!$B$2:$B$4</c:f>
              <c:numCache>
                <c:formatCode>General</c:formatCode>
                <c:ptCount val="3"/>
                <c:pt idx="0">
                  <c:v>75.87</c:v>
                </c:pt>
                <c:pt idx="1">
                  <c:v>437.83</c:v>
                </c:pt>
                <c:pt idx="2">
                  <c:v>38.65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32cbfdd-33cc-4552-9224-323b9460a30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财政拨款“三公”经费支出</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公务用车购置及运行维护费支出</c:v>
                </c:pt>
              </c:strCache>
            </c:strRef>
          </c:cat>
          <c:val>
            <c:numRef>
              <c:f>Sheet1!$B$2</c:f>
              <c:numCache>
                <c:formatCode>General</c:formatCode>
                <c:ptCount val="1"/>
                <c:pt idx="0">
                  <c:v>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2b4abc8-bde6-4bf7-b3c5-c7618287dd4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50</Pages>
  <Words>1299</Words>
  <Characters>7410</Characters>
  <Lines>61</Lines>
  <Paragraphs>17</Paragraphs>
  <TotalTime>26</TotalTime>
  <ScaleCrop>false</ScaleCrop>
  <LinksUpToDate>false</LinksUpToDate>
  <CharactersWithSpaces>8692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2020-08-10T17:49:00Z</dcterms:created>
  <dc:creator>曹颖</dc:creator>
  <cp:lastModifiedBy>User</cp:lastModifiedBy>
  <cp:lastPrinted>2026-08-05T09:27:00Z</cp:lastPrinted>
  <dcterms:modified xsi:type="dcterms:W3CDTF">2026-10-23T16:24:56Z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9C20405CF3C44461A8C3AE6B975882EC_13</vt:lpwstr>
  </property>
</Properties>
</file>