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0" w:name="_Toc15396597"/>
      <w:bookmarkStart w:id="1" w:name="_Toc15377193"/>
      <w:bookmarkStart w:id="2" w:name="_Toc15378441"/>
      <w:bookmarkStart w:id="3" w:name="_Toc15396475"/>
      <w:bookmarkStart w:id="4" w:name="_Toc1537742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0"/>
      <w:bookmarkEnd w:id="1"/>
      <w:bookmarkEnd w:id="2"/>
      <w:bookmarkEnd w:id="3"/>
      <w:bookmarkEnd w:id="4"/>
    </w:p>
    <w:p>
      <w:pPr>
        <w:adjustRightInd w:val="0"/>
        <w:snapToGrid w:val="0"/>
        <w:spacing w:line="360" w:lineRule="auto"/>
        <w:jc w:val="center"/>
        <w:outlineLvl w:val="0"/>
        <w:rPr>
          <w:rFonts w:ascii="方正小标宋简体" w:hAnsi="宋体" w:eastAsia="方正小标宋简体"/>
          <w:color w:val="000000"/>
          <w:sz w:val="72"/>
          <w:szCs w:val="72"/>
        </w:rPr>
      </w:pPr>
      <w:bookmarkStart w:id="5" w:name="_Toc15396476"/>
      <w:bookmarkStart w:id="6" w:name="_Toc15377426"/>
      <w:bookmarkStart w:id="7" w:name="_Toc15378442"/>
      <w:bookmarkStart w:id="8" w:name="_Toc15396598"/>
      <w:bookmarkStart w:id="9" w:name="_Toc15377194"/>
      <w:r>
        <w:rPr>
          <w:rFonts w:hint="eastAsia" w:ascii="方正小标宋简体" w:hAnsi="宋体" w:eastAsia="方正小标宋简体"/>
          <w:color w:val="000000"/>
          <w:sz w:val="72"/>
          <w:szCs w:val="72"/>
        </w:rPr>
        <w:t>四川省</w:t>
      </w:r>
      <w:bookmarkStart w:id="10" w:name="_Toc15306268"/>
      <w:r>
        <w:rPr>
          <w:rFonts w:hint="eastAsia" w:ascii="方正小标宋简体" w:hAnsi="宋体" w:eastAsia="方正小标宋简体"/>
          <w:color w:val="000000"/>
          <w:sz w:val="72"/>
          <w:szCs w:val="72"/>
          <w:lang w:eastAsia="zh-CN"/>
        </w:rPr>
        <w:t>阿坝州壤塘县医疗保障局</w:t>
      </w:r>
      <w:r>
        <w:rPr>
          <w:rFonts w:hint="eastAsia" w:ascii="方正小标宋简体" w:hAnsi="宋体" w:eastAsia="方正小标宋简体"/>
          <w:color w:val="000000"/>
          <w:sz w:val="72"/>
          <w:szCs w:val="72"/>
        </w:rPr>
        <w:t>部门决算</w:t>
      </w:r>
      <w:bookmarkEnd w:id="5"/>
      <w:bookmarkEnd w:id="6"/>
      <w:bookmarkEnd w:id="7"/>
      <w:bookmarkEnd w:id="8"/>
      <w:bookmarkEnd w:id="9"/>
      <w:bookmarkEnd w:id="10"/>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7"/>
      </w:pPr>
      <w:r>
        <w:rPr>
          <w:rFonts w:hint="eastAsia"/>
        </w:rPr>
        <w:t>公开时间：2019年</w:t>
      </w:r>
      <w:r>
        <w:rPr>
          <w:rFonts w:hint="eastAsia"/>
          <w:lang w:val="en-US" w:eastAsia="zh-CN"/>
        </w:rPr>
        <w:t>10</w:t>
      </w:r>
      <w:r>
        <w:rPr>
          <w:rFonts w:hint="eastAsia"/>
        </w:rPr>
        <w:t>月</w:t>
      </w:r>
      <w:r>
        <w:rPr>
          <w:rFonts w:hint="eastAsia"/>
          <w:lang w:val="en-US" w:eastAsia="zh-CN"/>
        </w:rPr>
        <w:t>25</w:t>
      </w:r>
      <w:r>
        <w:rPr>
          <w:rFonts w:hint="eastAsia"/>
        </w:rPr>
        <w:t>日</w:t>
      </w:r>
    </w:p>
    <w:p/>
    <w:p>
      <w:pPr>
        <w:pStyle w:val="7"/>
        <w:rPr>
          <w:rFonts w:cstheme="minorBidi"/>
        </w:rPr>
      </w:pPr>
      <w:r>
        <w:fldChar w:fldCharType="begin"/>
      </w:r>
      <w:r>
        <w:instrText xml:space="preserve"> HYPERLINK \l "_Toc15396599" </w:instrText>
      </w:r>
      <w:r>
        <w:fldChar w:fldCharType="separate"/>
      </w:r>
      <w:r>
        <w:rPr>
          <w:rStyle w:val="13"/>
          <w:rFonts w:hint="eastAsia"/>
        </w:rPr>
        <w:t>第一部分部门概况</w:t>
      </w:r>
      <w:r>
        <w:tab/>
      </w:r>
      <w:r>
        <w:rPr>
          <w:rFonts w:hint="eastAsia"/>
        </w:rPr>
        <w:t>4</w:t>
      </w:r>
      <w:r>
        <w:rPr>
          <w:rFonts w:hint="eastAsia"/>
        </w:rPr>
        <w:fldChar w:fldCharType="end"/>
      </w:r>
    </w:p>
    <w:p>
      <w:pPr>
        <w:pStyle w:val="8"/>
        <w:rPr>
          <w:rFonts w:ascii="仿宋" w:hAnsi="仿宋" w:eastAsia="仿宋" w:cstheme="minorBidi"/>
          <w:sz w:val="28"/>
          <w:szCs w:val="28"/>
        </w:rPr>
      </w:pPr>
      <w:r>
        <w:fldChar w:fldCharType="begin"/>
      </w:r>
      <w:r>
        <w:instrText xml:space="preserve"> HYPERLINK \l "_Toc15396600" </w:instrText>
      </w:r>
      <w:r>
        <w:fldChar w:fldCharType="separate"/>
      </w:r>
      <w:r>
        <w:rPr>
          <w:rStyle w:val="13"/>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"_Toc15396601" </w:instrText>
      </w:r>
      <w:r>
        <w:fldChar w:fldCharType="separate"/>
      </w:r>
      <w:r>
        <w:rPr>
          <w:rStyle w:val="13"/>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7"/>
      </w:pPr>
      <w:r>
        <w:fldChar w:fldCharType="begin"/>
      </w:r>
      <w:r>
        <w:instrText xml:space="preserve"> HYPERLINK \l "_Toc15396602" </w:instrText>
      </w:r>
      <w:r>
        <w:fldChar w:fldCharType="separate"/>
      </w:r>
      <w:r>
        <w:rPr>
          <w:rStyle w:val="13"/>
          <w:rFonts w:hint="eastAsia"/>
        </w:rPr>
        <w:t>第二部分</w:t>
      </w:r>
      <w:r>
        <w:rPr>
          <w:rStyle w:val="13"/>
        </w:rPr>
        <w:t xml:space="preserve"> 2018</w:t>
      </w:r>
      <w:r>
        <w:rPr>
          <w:rStyle w:val="13"/>
          <w:rFonts w:hint="eastAsia"/>
        </w:rPr>
        <w:t>年度部门决算情况说明</w:t>
      </w:r>
      <w:r>
        <w:tab/>
      </w:r>
      <w:r>
        <w:fldChar w:fldCharType="begin"/>
      </w:r>
      <w:r>
        <w:instrText xml:space="preserve"> PAGEREF _Toc15396602 \h </w:instrText>
      </w:r>
      <w:r>
        <w:fldChar w:fldCharType="separate"/>
      </w:r>
      <w:r>
        <w:t>8</w:t>
      </w:r>
      <w:r>
        <w:fldChar w:fldCharType="end"/>
      </w:r>
      <w:r>
        <w:fldChar w:fldCharType="end"/>
      </w:r>
    </w:p>
    <w:p>
      <w:pPr>
        <w:pStyle w:val="8"/>
        <w:rPr>
          <w:rFonts w:ascii="仿宋" w:hAnsi="仿宋" w:eastAsia="仿宋" w:cstheme="minorBidi"/>
          <w:sz w:val="28"/>
          <w:szCs w:val="28"/>
        </w:rPr>
      </w:pPr>
      <w:r>
        <w:fldChar w:fldCharType="begin"/>
      </w:r>
      <w:r>
        <w:instrText xml:space="preserve"> HYPERLINK \l "_Toc15396603" </w:instrText>
      </w:r>
      <w:r>
        <w:fldChar w:fldCharType="separate"/>
      </w:r>
      <w:r>
        <w:rPr>
          <w:rStyle w:val="13"/>
          <w:rFonts w:hint="eastAsia" w:ascii="仿宋" w:hAnsi="仿宋" w:eastAsia="仿宋" w:cstheme="majorBidi"/>
          <w:bCs/>
          <w:sz w:val="28"/>
          <w:szCs w:val="28"/>
        </w:rPr>
        <w:t>一、</w:t>
      </w:r>
      <w:r>
        <w:rPr>
          <w:rStyle w:val="13"/>
          <w:rFonts w:hint="eastAsia" w:ascii="仿宋" w:hAnsi="仿宋" w:eastAsia="仿宋"/>
          <w:sz w:val="28"/>
          <w:szCs w:val="28"/>
        </w:rPr>
        <w:t>收</w:t>
      </w:r>
      <w:r>
        <w:rPr>
          <w:rStyle w:val="13"/>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"_Toc15396604" </w:instrText>
      </w:r>
      <w:r>
        <w:fldChar w:fldCharType="separate"/>
      </w:r>
      <w:r>
        <w:rPr>
          <w:rStyle w:val="13"/>
          <w:rFonts w:hint="eastAsia" w:ascii="仿宋" w:hAnsi="仿宋" w:eastAsia="仿宋" w:cstheme="majorBidi"/>
          <w:bCs/>
          <w:sz w:val="28"/>
          <w:szCs w:val="28"/>
        </w:rPr>
        <w:t>二、</w:t>
      </w:r>
      <w:r>
        <w:rPr>
          <w:rStyle w:val="13"/>
          <w:rFonts w:hint="eastAsia" w:ascii="仿宋" w:hAnsi="仿宋" w:eastAsia="仿宋"/>
          <w:sz w:val="28"/>
          <w:szCs w:val="28"/>
        </w:rPr>
        <w:t>收</w:t>
      </w:r>
      <w:r>
        <w:rPr>
          <w:rStyle w:val="13"/>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"_Toc15396605" </w:instrText>
      </w:r>
      <w:r>
        <w:fldChar w:fldCharType="separate"/>
      </w:r>
      <w:r>
        <w:rPr>
          <w:rStyle w:val="13"/>
          <w:rFonts w:hint="eastAsia" w:ascii="仿宋" w:hAnsi="仿宋" w:eastAsia="仿宋" w:cstheme="majorBidi"/>
          <w:bCs/>
          <w:sz w:val="28"/>
          <w:szCs w:val="28"/>
        </w:rPr>
        <w:t>三、</w:t>
      </w:r>
      <w:r>
        <w:rPr>
          <w:rStyle w:val="13"/>
          <w:rFonts w:hint="eastAsia" w:ascii="仿宋" w:hAnsi="仿宋" w:eastAsia="仿宋"/>
          <w:sz w:val="28"/>
          <w:szCs w:val="28"/>
        </w:rPr>
        <w:t>支</w:t>
      </w:r>
      <w:r>
        <w:rPr>
          <w:rStyle w:val="13"/>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"_Toc15396606" </w:instrText>
      </w:r>
      <w:r>
        <w:fldChar w:fldCharType="separate"/>
      </w:r>
      <w:r>
        <w:rPr>
          <w:rStyle w:val="13"/>
          <w:rFonts w:hint="eastAsia" w:ascii="仿宋" w:hAnsi="仿宋" w:eastAsia="仿宋"/>
          <w:sz w:val="28"/>
          <w:szCs w:val="28"/>
        </w:rPr>
        <w:t>四、财</w:t>
      </w:r>
      <w:r>
        <w:rPr>
          <w:rStyle w:val="13"/>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"_Toc15396607" </w:instrText>
      </w:r>
      <w:r>
        <w:fldChar w:fldCharType="separate"/>
      </w:r>
      <w:r>
        <w:rPr>
          <w:rStyle w:val="13"/>
          <w:rFonts w:hint="eastAsia" w:ascii="仿宋" w:hAnsi="仿宋" w:eastAsia="仿宋"/>
          <w:sz w:val="28"/>
          <w:szCs w:val="28"/>
        </w:rPr>
        <w:t>五、一</w:t>
      </w:r>
      <w:r>
        <w:rPr>
          <w:rStyle w:val="13"/>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"_Toc15396608" </w:instrText>
      </w:r>
      <w:r>
        <w:fldChar w:fldCharType="separate"/>
      </w:r>
      <w:r>
        <w:rPr>
          <w:rStyle w:val="13"/>
          <w:rFonts w:hint="eastAsia" w:ascii="仿宋" w:hAnsi="仿宋" w:eastAsia="仿宋"/>
          <w:sz w:val="28"/>
          <w:szCs w:val="28"/>
        </w:rPr>
        <w:t>六、一</w:t>
      </w:r>
      <w:r>
        <w:rPr>
          <w:rStyle w:val="13"/>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"_Toc15396609" </w:instrText>
      </w:r>
      <w:r>
        <w:fldChar w:fldCharType="separate"/>
      </w:r>
      <w:r>
        <w:rPr>
          <w:rStyle w:val="13"/>
          <w:rFonts w:hint="eastAsia" w:ascii="仿宋" w:hAnsi="仿宋" w:eastAsia="仿宋"/>
          <w:sz w:val="28"/>
          <w:szCs w:val="28"/>
        </w:rPr>
        <w:t>七、</w:t>
      </w:r>
      <w:r>
        <w:rPr>
          <w:rStyle w:val="13"/>
          <w:rFonts w:ascii="仿宋" w:hAnsi="仿宋" w:eastAsia="仿宋"/>
          <w:sz w:val="28"/>
          <w:szCs w:val="28"/>
        </w:rPr>
        <w:t>“</w:t>
      </w:r>
      <w:r>
        <w:rPr>
          <w:rStyle w:val="13"/>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"_Toc15396610" </w:instrText>
      </w:r>
      <w:r>
        <w:fldChar w:fldCharType="separate"/>
      </w:r>
      <w:r>
        <w:rPr>
          <w:rStyle w:val="13"/>
          <w:rFonts w:hint="eastAsia" w:ascii="仿宋" w:hAnsi="仿宋" w:eastAsia="仿宋"/>
          <w:sz w:val="28"/>
          <w:szCs w:val="28"/>
        </w:rPr>
        <w:t>八、</w:t>
      </w:r>
      <w:r>
        <w:rPr>
          <w:rStyle w:val="13"/>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8"/>
      </w:pPr>
      <w:r>
        <w:fldChar w:fldCharType="begin"/>
      </w:r>
      <w:r>
        <w:instrText xml:space="preserve"> HYPERLINK \l "_Toc15396611" </w:instrText>
      </w:r>
      <w:r>
        <w:fldChar w:fldCharType="separate"/>
      </w:r>
      <w:r>
        <w:rPr>
          <w:rStyle w:val="13"/>
          <w:rFonts w:hint="eastAsia" w:ascii="仿宋" w:hAnsi="仿宋" w:eastAsia="仿宋" w:cstheme="majorBidi"/>
          <w:bCs/>
          <w:sz w:val="28"/>
          <w:szCs w:val="28"/>
        </w:rPr>
        <w:t>九、</w:t>
      </w:r>
      <w:r>
        <w:rPr>
          <w:rStyle w:val="13"/>
          <w:rFonts w:hint="eastAsia" w:ascii="仿宋" w:hAnsi="仿宋" w:eastAsia="仿宋"/>
          <w:sz w:val="28"/>
          <w:szCs w:val="28"/>
        </w:rPr>
        <w:t xml:space="preserve"> 国</w:t>
      </w:r>
      <w:r>
        <w:rPr>
          <w:rStyle w:val="13"/>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rPr>
          <w:color w:val="000000" w:themeColor="text1"/>
          <w14:textFill>
            <w14:solidFill>
              <w14:schemeClr w14:val="tx1"/>
            </w14:solidFill>
          </w14:textFill>
        </w:rPr>
      </w:pPr>
      <w:r>
        <w:rPr>
          <w:rFonts w:hint="eastAsia"/>
        </w:rPr>
        <w:t xml:space="preserve">    </w:t>
      </w:r>
      <w:r>
        <w:rPr>
          <w:rStyle w:val="13"/>
          <w:rFonts w:hint="eastAsia" w:ascii="仿宋" w:hAnsi="仿宋" w:eastAsia="仿宋" w:cstheme="majorBidi"/>
          <w:bCs/>
          <w:color w:val="000000" w:themeColor="text1"/>
          <w:sz w:val="28"/>
          <w:szCs w:val="28"/>
          <w:u w:val="none"/>
          <w14:textFill>
            <w14:solidFill>
              <w14:schemeClr w14:val="tx1"/>
            </w14:solidFill>
          </w14:textFill>
        </w:rPr>
        <w:t>十、预算绩效情况说明</w:t>
      </w:r>
      <w:r>
        <w:rPr>
          <w:rStyle w:val="13"/>
          <w:rFonts w:ascii="仿宋" w:hAnsi="仿宋" w:eastAsia="仿宋" w:cstheme="majorBidi"/>
          <w:bCs/>
          <w:color w:val="000000" w:themeColor="text1"/>
          <w:sz w:val="28"/>
          <w:szCs w:val="28"/>
          <w:u w:val="none"/>
          <w14:textFill>
            <w14:solidFill>
              <w14:schemeClr w14:val="tx1"/>
            </w14:solidFill>
          </w14:textFill>
        </w:rPr>
        <w:t>…………………………………………</w:t>
      </w:r>
      <w:r>
        <w:rPr>
          <w:rStyle w:val="13"/>
          <w:rFonts w:hint="eastAsia" w:ascii="仿宋" w:hAnsi="仿宋" w:eastAsia="仿宋" w:cstheme="majorBidi"/>
          <w:bCs/>
          <w:color w:val="000000" w:themeColor="text1"/>
          <w:sz w:val="28"/>
          <w:szCs w:val="28"/>
          <w:u w:val="none"/>
          <w14:textFill>
            <w14:solidFill>
              <w14:schemeClr w14:val="tx1"/>
            </w14:solidFill>
          </w14:textFill>
        </w:rPr>
        <w:t xml:space="preserve">  13</w:t>
      </w:r>
    </w:p>
    <w:p>
      <w:pPr>
        <w:pStyle w:val="8"/>
        <w:rPr>
          <w:rFonts w:ascii="仿宋" w:hAnsi="仿宋" w:eastAsia="仿宋" w:cstheme="minorBidi"/>
          <w:sz w:val="28"/>
          <w:szCs w:val="28"/>
        </w:rPr>
      </w:pPr>
      <w:r>
        <w:fldChar w:fldCharType="begin"/>
      </w:r>
      <w:r>
        <w:instrText xml:space="preserve"> HYPERLINK \l "_Toc15396612" </w:instrText>
      </w:r>
      <w:r>
        <w:fldChar w:fldCharType="separate"/>
      </w:r>
      <w:r>
        <w:rPr>
          <w:rStyle w:val="13"/>
          <w:rFonts w:hint="eastAsia" w:ascii="仿宋" w:hAnsi="仿宋" w:eastAsia="仿宋"/>
          <w:sz w:val="28"/>
          <w:szCs w:val="28"/>
        </w:rPr>
        <w:t>十</w:t>
      </w:r>
      <w:r>
        <w:rPr>
          <w:rStyle w:val="13"/>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7"/>
        <w:rPr>
          <w:rFonts w:cstheme="minorBidi"/>
        </w:rPr>
      </w:pPr>
      <w:r>
        <w:fldChar w:fldCharType="begin"/>
      </w:r>
      <w:r>
        <w:instrText xml:space="preserve"> HYPERLINK \l "_Toc15396613" </w:instrText>
      </w:r>
      <w:r>
        <w:fldChar w:fldCharType="separate"/>
      </w:r>
      <w:r>
        <w:rPr>
          <w:rStyle w:val="13"/>
          <w:rFonts w:hint="eastAsia"/>
          <w:bCs/>
          <w:kern w:val="44"/>
        </w:rPr>
        <w:t>第三部分</w:t>
      </w:r>
      <w:r>
        <w:rPr>
          <w:rStyle w:val="13"/>
          <w:rFonts w:hint="eastAsia"/>
        </w:rPr>
        <w:t xml:space="preserve"> 名</w:t>
      </w:r>
      <w:r>
        <w:rPr>
          <w:rStyle w:val="13"/>
          <w:rFonts w:hint="eastAsia"/>
          <w:bCs/>
          <w:kern w:val="44"/>
        </w:rPr>
        <w:t>词解释</w:t>
      </w:r>
      <w:r>
        <w:tab/>
      </w:r>
      <w:r>
        <w:fldChar w:fldCharType="begin"/>
      </w:r>
      <w:r>
        <w:instrText xml:space="preserve"> PAGEREF _Toc15396613 \h </w:instrText>
      </w:r>
      <w:r>
        <w:fldChar w:fldCharType="separate"/>
      </w:r>
      <w:r>
        <w:t>14</w:t>
      </w:r>
      <w:r>
        <w:fldChar w:fldCharType="end"/>
      </w:r>
      <w:r>
        <w:fldChar w:fldCharType="end"/>
      </w:r>
    </w:p>
    <w:p>
      <w:pPr>
        <w:pStyle w:val="7"/>
        <w:rPr>
          <w:rFonts w:cstheme="minorBidi"/>
        </w:rPr>
      </w:pPr>
      <w:r>
        <w:fldChar w:fldCharType="begin"/>
      </w:r>
      <w:r>
        <w:instrText xml:space="preserve"> HYPERLINK \l "_Toc15396614" </w:instrText>
      </w:r>
      <w:r>
        <w:fldChar w:fldCharType="separate"/>
      </w:r>
      <w:r>
        <w:rPr>
          <w:rStyle w:val="13"/>
          <w:rFonts w:hint="eastAsia"/>
        </w:rPr>
        <w:t>第</w:t>
      </w:r>
      <w:r>
        <w:rPr>
          <w:rStyle w:val="13"/>
          <w:rFonts w:hint="eastAsia"/>
          <w:bCs/>
          <w:kern w:val="44"/>
        </w:rPr>
        <w:t>四部分附件</w:t>
      </w:r>
      <w:r>
        <w:tab/>
      </w:r>
      <w:r>
        <w:fldChar w:fldCharType="begin"/>
      </w:r>
      <w:r>
        <w:instrText xml:space="preserve"> PAGEREF _Toc15396614 \h </w:instrText>
      </w:r>
      <w:r>
        <w:fldChar w:fldCharType="separate"/>
      </w:r>
      <w:r>
        <w:t>17</w:t>
      </w:r>
      <w:r>
        <w:fldChar w:fldCharType="end"/>
      </w:r>
      <w:r>
        <w:fldChar w:fldCharType="end"/>
      </w:r>
    </w:p>
    <w:p>
      <w:pPr>
        <w:pStyle w:val="8"/>
        <w:rPr>
          <w:rFonts w:ascii="仿宋" w:hAnsi="仿宋" w:eastAsia="仿宋" w:cstheme="minorBidi"/>
          <w:sz w:val="28"/>
          <w:szCs w:val="28"/>
        </w:rPr>
      </w:pPr>
      <w:r>
        <w:fldChar w:fldCharType="begin"/>
      </w:r>
      <w:r>
        <w:instrText xml:space="preserve"> HYPERLINK \l "_Toc15396615" </w:instrText>
      </w:r>
      <w:r>
        <w:fldChar w:fldCharType="separate"/>
      </w:r>
      <w:r>
        <w:rPr>
          <w:rStyle w:val="13"/>
          <w:rFonts w:hint="eastAsia" w:ascii="仿宋" w:hAnsi="仿宋" w:eastAsia="仿宋"/>
          <w:kern w:val="44"/>
          <w:sz w:val="28"/>
          <w:szCs w:val="28"/>
        </w:rPr>
        <w:t>附件</w:t>
      </w:r>
      <w:r>
        <w:rPr>
          <w:rStyle w:val="13"/>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17</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fldChar w:fldCharType="begin"/>
      </w:r>
      <w:r>
        <w:instrText xml:space="preserve"> HYPERLINK \l "_Toc15396617" </w:instrText>
      </w:r>
      <w:r>
        <w:fldChar w:fldCharType="separate"/>
      </w:r>
      <w:r>
        <w:rPr>
          <w:rFonts w:ascii="仿宋" w:hAnsi="仿宋" w:eastAsia="仿宋"/>
          <w:sz w:val="28"/>
          <w:szCs w:val="28"/>
        </w:rPr>
        <w:fldChar w:fldCharType="end"/>
      </w:r>
    </w:p>
    <w:p>
      <w:pPr>
        <w:pStyle w:val="7"/>
        <w:rPr>
          <w:rFonts w:cstheme="minorBidi"/>
        </w:rPr>
      </w:pPr>
      <w:r>
        <w:fldChar w:fldCharType="begin"/>
      </w:r>
      <w:r>
        <w:instrText xml:space="preserve"> HYPERLINK \l "_Toc15396618" </w:instrText>
      </w:r>
      <w:r>
        <w:fldChar w:fldCharType="separate"/>
      </w:r>
      <w:r>
        <w:rPr>
          <w:rStyle w:val="13"/>
          <w:rFonts w:hint="eastAsia"/>
        </w:rPr>
        <w:t>第</w:t>
      </w:r>
      <w:r>
        <w:rPr>
          <w:rStyle w:val="13"/>
          <w:rFonts w:hint="eastAsia"/>
          <w:bCs/>
          <w:kern w:val="44"/>
        </w:rPr>
        <w:t>五部分附表</w:t>
      </w:r>
      <w:r>
        <w:tab/>
      </w:r>
      <w:r>
        <w:fldChar w:fldCharType="begin"/>
      </w:r>
      <w:r>
        <w:instrText xml:space="preserve"> PAGEREF _Toc15396618 \h </w:instrText>
      </w:r>
      <w:r>
        <w:fldChar w:fldCharType="separate"/>
      </w:r>
      <w:r>
        <w:t>21</w:t>
      </w:r>
      <w:r>
        <w:fldChar w:fldCharType="end"/>
      </w:r>
      <w:r>
        <w:fldChar w:fldCharType="end"/>
      </w:r>
    </w:p>
    <w:p>
      <w:pPr>
        <w:pStyle w:val="8"/>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3"/>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3"/>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3"/>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3"/>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3"/>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3"/>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3"/>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3"/>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3"/>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3"/>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3"/>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8"/>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3"/>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1" w:name="_Toc15377196"/>
      <w:bookmarkStart w:id="12" w:name="_Toc15396599"/>
      <w:r>
        <w:rPr>
          <w:rFonts w:ascii="黑体" w:hAnsi="黑体" w:eastAsia="黑体"/>
          <w:b/>
        </w:rPr>
        <w:br w:type="page"/>
      </w:r>
    </w:p>
    <w:p>
      <w:pPr>
        <w:pStyle w:val="2"/>
        <w:jc w:val="center"/>
        <w:rPr>
          <w:rStyle w:val="14"/>
          <w:rFonts w:ascii="黑体" w:hAnsi="黑体" w:eastAsia="黑体"/>
          <w:b/>
          <w:bCs w:val="0"/>
        </w:rPr>
      </w:pPr>
      <w:bookmarkStart w:id="74" w:name="_GoBack"/>
      <w:bookmarkEnd w:id="74"/>
      <w:r>
        <w:rPr>
          <w:rFonts w:hint="eastAsia" w:ascii="黑体" w:hAnsi="黑体" w:eastAsia="黑体"/>
          <w:b w:val="0"/>
        </w:rPr>
        <w:t xml:space="preserve">第一部分 </w:t>
      </w:r>
      <w:r>
        <w:rPr>
          <w:rStyle w:val="14"/>
          <w:rFonts w:hint="eastAsia" w:ascii="黑体" w:hAnsi="黑体" w:eastAsia="黑体"/>
          <w:b w:val="0"/>
          <w:bCs w:val="0"/>
        </w:rPr>
        <w:t>部门概况</w:t>
      </w:r>
      <w:bookmarkEnd w:id="11"/>
      <w:bookmarkEnd w:id="12"/>
    </w:p>
    <w:p>
      <w:pPr>
        <w:widowControl/>
        <w:jc w:val="left"/>
        <w:rPr>
          <w:rFonts w:ascii="黑体" w:eastAsia="黑体"/>
          <w:color w:val="000000"/>
          <w:sz w:val="32"/>
          <w:szCs w:val="32"/>
        </w:rPr>
      </w:pPr>
    </w:p>
    <w:p>
      <w:pPr>
        <w:pStyle w:val="3"/>
        <w:numPr>
          <w:ilvl w:val="0"/>
          <w:numId w:val="1"/>
        </w:numPr>
        <w:rPr>
          <w:rStyle w:val="15"/>
          <w:rFonts w:hint="eastAsia" w:ascii="黑体" w:hAnsi="黑体" w:eastAsia="黑体"/>
          <w:b w:val="0"/>
          <w:bCs w:val="0"/>
        </w:rPr>
      </w:pPr>
      <w:bookmarkStart w:id="13" w:name="_Toc15396600"/>
      <w:bookmarkStart w:id="14" w:name="_Toc15377197"/>
      <w:r>
        <w:rPr>
          <w:rFonts w:hint="eastAsia" w:ascii="黑体" w:hAnsi="黑体" w:eastAsia="黑体"/>
          <w:b w:val="0"/>
          <w:color w:val="000000"/>
        </w:rPr>
        <w:t>基</w:t>
      </w:r>
      <w:r>
        <w:rPr>
          <w:rStyle w:val="15"/>
          <w:rFonts w:hint="eastAsia" w:ascii="黑体" w:hAnsi="黑体" w:eastAsia="黑体"/>
          <w:b w:val="0"/>
          <w:bCs w:val="0"/>
        </w:rPr>
        <w:t>本职能及主要工作</w:t>
      </w:r>
      <w:bookmarkEnd w:id="13"/>
      <w:bookmarkEnd w:id="14"/>
      <w:bookmarkStart w:id="15" w:name="_Toc15378445"/>
      <w:bookmarkStart w:id="16" w:name="_Toc15377198"/>
    </w:p>
    <w:p>
      <w:pPr>
        <w:pStyle w:val="3"/>
        <w:numPr>
          <w:numId w:val="0"/>
        </w:numPr>
        <w:rPr>
          <w:rFonts w:hint="eastAsia" w:ascii="仿宋" w:hAnsi="仿宋" w:eastAsia="仿宋"/>
          <w:bCs/>
          <w:color w:val="000000"/>
          <w:sz w:val="32"/>
          <w:szCs w:val="32"/>
        </w:rPr>
      </w:pPr>
      <w:r>
        <w:rPr>
          <w:rFonts w:hint="eastAsia" w:ascii="仿宋" w:hAnsi="仿宋" w:eastAsia="仿宋"/>
          <w:bCs/>
          <w:color w:val="000000"/>
          <w:sz w:val="32"/>
          <w:szCs w:val="32"/>
        </w:rPr>
        <w:t>（一）主要职能。</w:t>
      </w:r>
      <w:bookmarkEnd w:id="15"/>
      <w:bookmarkEnd w:id="16"/>
    </w:p>
    <w:p>
      <w:pPr>
        <w:pStyle w:val="4"/>
        <w:adjustRightInd w:val="0"/>
        <w:snapToGrid w:val="0"/>
        <w:spacing w:before="93" w:line="600" w:lineRule="exact"/>
        <w:ind w:firstLine="672" w:firstLineChars="210"/>
        <w:outlineLvl w:val="2"/>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1.</w:t>
      </w:r>
      <w:r>
        <w:rPr>
          <w:rFonts w:hint="eastAsia" w:ascii="仿宋" w:hAnsi="仿宋" w:eastAsia="仿宋" w:cs="仿宋"/>
          <w:i w:val="0"/>
          <w:caps w:val="0"/>
          <w:color w:val="333333"/>
          <w:spacing w:val="0"/>
          <w:sz w:val="32"/>
          <w:szCs w:val="32"/>
          <w:shd w:val="clear" w:fill="FFFFFF"/>
        </w:rPr>
        <w:t>贯彻落实医疗保险、生育保险、医疗救助等医疗保障法律法规，拟订执行医疗保障地方性法规、政府规章的具体办法，拟订全县医疗保障事业发展规划、政策和标准，并组织实施和监督检查。</w:t>
      </w:r>
    </w:p>
    <w:p>
      <w:pPr>
        <w:pStyle w:val="4"/>
        <w:adjustRightInd w:val="0"/>
        <w:snapToGrid w:val="0"/>
        <w:spacing w:before="93" w:line="600" w:lineRule="exact"/>
        <w:ind w:firstLine="672" w:firstLineChars="210"/>
        <w:outlineLvl w:val="2"/>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w:t>
      </w:r>
      <w:r>
        <w:rPr>
          <w:rFonts w:hint="eastAsia" w:ascii="仿宋" w:hAnsi="仿宋" w:eastAsia="仿宋" w:cs="仿宋"/>
          <w:i w:val="0"/>
          <w:caps w:val="0"/>
          <w:color w:val="333333"/>
          <w:spacing w:val="0"/>
          <w:sz w:val="32"/>
          <w:szCs w:val="32"/>
          <w:shd w:val="clear" w:fill="FFFFFF"/>
        </w:rPr>
        <w:t>组织拟订并实施医疗保障基金监督管理制度，建立健全医疗保障基金安全防控机制，监督强化全县医疗保障基金运行管理。</w:t>
      </w:r>
    </w:p>
    <w:p>
      <w:pPr>
        <w:pStyle w:val="4"/>
        <w:adjustRightInd w:val="0"/>
        <w:snapToGrid w:val="0"/>
        <w:spacing w:before="93" w:line="600" w:lineRule="exact"/>
        <w:ind w:left="638" w:leftChars="304" w:firstLine="28" w:firstLineChars="9"/>
        <w:outlineLvl w:val="2"/>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rPr>
        <w:t>承担医疗保障筹资和待遇支付政策落实的责任。</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贯彻落实全州城乡统一的药品、医用耗材、医疗服务项目、医疗服务设施等医疗保障目录和支付标准并监督管理；监督管理全县特殊医用材料、特殊检查和治疗、医院制剂等相关目录和支付标准并实施。</w:t>
      </w:r>
    </w:p>
    <w:p>
      <w:pPr>
        <w:ind w:firstLine="640" w:firstLineChars="200"/>
        <w:rPr>
          <w:rFonts w:hint="eastAsia" w:ascii="仿宋" w:hAnsi="仿宋" w:eastAsia="仿宋" w:cs="仿宋"/>
          <w:i w:val="0"/>
          <w:caps w:val="0"/>
          <w:color w:val="333333"/>
          <w:spacing w:val="0"/>
          <w:sz w:val="32"/>
          <w:szCs w:val="32"/>
          <w:shd w:val="clear" w:fill="FFFFFF"/>
        </w:rPr>
      </w:pPr>
      <w:r>
        <w:rPr>
          <w:rFonts w:hint="eastAsia" w:ascii="仿宋" w:hAnsi="仿宋" w:eastAsia="仿宋" w:cs="仿宋"/>
          <w:sz w:val="32"/>
          <w:szCs w:val="32"/>
          <w:lang w:val="en-US" w:eastAsia="zh-CN"/>
        </w:rPr>
        <w:t>5.</w:t>
      </w:r>
      <w:r>
        <w:rPr>
          <w:rFonts w:hint="eastAsia" w:ascii="仿宋" w:hAnsi="仿宋" w:eastAsia="仿宋" w:cs="仿宋"/>
          <w:sz w:val="32"/>
          <w:szCs w:val="32"/>
        </w:rPr>
        <w:t>负责药品、医用耗材、医疗服务项目、医疗服务设施收费等政策监督管理，建立医保支付医药服务价格合理确定和动态调整机制，推动建立市场主导的社会医药服务价格形成机制，建立价格信息监测和信息发布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贯彻落实药品、医用耗材的招标采购政策并监督实施。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推进医疗保障基金支付方式改革，拟订全县定点医药机构协议和支付管理办法并组织实施，指导全县医疗保障定点机构管理。建立健全医疗保障信用评价体系和信息披露制度，监督管理定点医药机构医疗服务行为和医疗费用，依法查处医疗保障领域违法违规行为。承担全县医疗保障经办服务管理，并组织实施异地就医管理和费用结算，负责全县医疗保障关系转移接续经办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负责规划实施全县医疗保障信息化建设。组织开展医疗保障大数据管理和应用。</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负责职责范围内的安全生产和职业健康、生态环境保护、公共机构节能减排、审批服务便民化等工作。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完成县委和县政府交办的其他任务。</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11.</w:t>
      </w:r>
      <w:r>
        <w:rPr>
          <w:rFonts w:hint="eastAsia" w:ascii="仿宋" w:hAnsi="仿宋" w:eastAsia="仿宋" w:cs="仿宋"/>
          <w:sz w:val="32"/>
          <w:szCs w:val="32"/>
        </w:rPr>
        <w:t>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12.</w:t>
      </w:r>
      <w:r>
        <w:rPr>
          <w:rFonts w:hint="eastAsia" w:ascii="仿宋" w:hAnsi="仿宋" w:eastAsia="仿宋" w:cs="仿宋"/>
          <w:sz w:val="32"/>
          <w:szCs w:val="32"/>
        </w:rPr>
        <w:t>与县卫生健康局的有关职责分工。两部门在医疗、医保、医药等方面加强制度、政策衔接，建立沟通协商机制，协同推进改革，提高医疗资源使用效率和医疗保障水平。</w:t>
      </w:r>
    </w:p>
    <w:p>
      <w:pPr>
        <w:pStyle w:val="4"/>
        <w:adjustRightInd w:val="0"/>
        <w:snapToGrid w:val="0"/>
        <w:spacing w:before="93" w:line="600" w:lineRule="exact"/>
        <w:ind w:firstLine="320" w:firstLineChars="100"/>
        <w:outlineLvl w:val="2"/>
        <w:rPr>
          <w:rFonts w:hint="eastAsia" w:ascii="仿宋" w:hAnsi="仿宋" w:eastAsia="仿宋"/>
          <w:bCs/>
          <w:color w:val="000000"/>
          <w:sz w:val="32"/>
          <w:szCs w:val="32"/>
        </w:rPr>
      </w:pPr>
      <w:bookmarkStart w:id="17" w:name="_Toc15377199"/>
      <w:bookmarkStart w:id="18" w:name="_Toc15378446"/>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7"/>
      <w:bookmarkEnd w:id="18"/>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宣传方面：制作了2000份城镇职工医疗保险宣传资料，走进全县机关事业单位进行宣传，在南木达、上杜柯、上寨方向制作了3条城乡居民医疗保险宣传标语。3月底在都江堰市、成都市和全县12乡镇开展了异地就医集中宣传活动。10月底对各医疗机构进行了医疗保险反欺诈骗保专项行动的宣传。</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统筹方面：全面完成我县建卡贫困户人口参加医疗保险的系统数据录入及人员增减工作。将10155名建卡贫困户人口全部录入医保系统。同时做好城镇职工、自主择业军人、灵活就业人员参保登记、转移接续、个人帐户划转等日常工作。</w:t>
      </w:r>
    </w:p>
    <w:p>
      <w:pPr>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医疗监管方面：2018年我局在发挥职能的基础上加强对医疗机构的监督管理力度，坚持创新体制机制，强化过程管理，关口前移，点面结合，制定多项措施规范定点医疗机构的服务行为，进一步强化了对定点医疗机构的监管控制。加强多层次、多形式培训，帮助医务人员及时、全面、准确掌握医疗保险政策，依规提供医疗服务。共召开定点医疗机构座谈会2次，违规约谈10余人次，查处各类违规5起。 </w:t>
      </w:r>
      <w:r>
        <w:rPr>
          <w:rFonts w:hint="eastAsia" w:ascii="仿宋_GB2312" w:hAnsi="宋体" w:eastAsia="仿宋_GB2312" w:cs="宋体"/>
          <w:color w:val="000000"/>
          <w:sz w:val="32"/>
          <w:szCs w:val="32"/>
        </w:rPr>
        <w:t>10月1日</w:t>
      </w:r>
      <w:r>
        <w:rPr>
          <w:rFonts w:hint="eastAsia" w:ascii="仿宋_GB2312" w:hAnsi="宋体" w:eastAsia="仿宋_GB2312" w:cs="宋体"/>
          <w:color w:val="000000"/>
          <w:kern w:val="0"/>
          <w:sz w:val="32"/>
          <w:szCs w:val="32"/>
        </w:rPr>
        <w:t>上线医疗保险智能审核监控系统，对我县13家医疗机构进行全面实时监控。强化参保人员持卡就医的责任意识。</w:t>
      </w:r>
    </w:p>
    <w:p>
      <w:pPr>
        <w:spacing w:line="560" w:lineRule="exact"/>
        <w:ind w:firstLine="640" w:firstLineChars="200"/>
        <w:rPr>
          <w:rFonts w:hint="eastAsia" w:ascii="仿宋_GB2312" w:eastAsia="仿宋_GB2312"/>
          <w:sz w:val="32"/>
          <w:szCs w:val="32"/>
        </w:rPr>
      </w:pPr>
      <w:r>
        <w:rPr>
          <w:rFonts w:hint="eastAsia" w:ascii="仿宋_GB2312" w:hAnsi="宋体" w:eastAsia="仿宋_GB2312" w:cs="宋体"/>
          <w:color w:val="000000"/>
          <w:kern w:val="0"/>
          <w:sz w:val="32"/>
          <w:szCs w:val="32"/>
        </w:rPr>
        <w:t>异地就医方面：按照四川省异地就医即时结算工作安</w:t>
      </w:r>
      <w:r>
        <w:rPr>
          <w:rFonts w:hint="eastAsia" w:ascii="仿宋_GB2312" w:eastAsia="仿宋_GB2312"/>
          <w:sz w:val="32"/>
          <w:szCs w:val="32"/>
        </w:rPr>
        <w:t>排，现已开通四川省普通门诊接入省平台即时结算医院710家。定点刷卡药店1345家，开通全省异地门诊特殊疾病联网结算医院93家。4月底我县人民医院完成异地就医住院即时结算国家平台接入测试，9月27日完成全省特殊病和普通门诊异地刷卡测试。医药公司第一门市接入全省普通门诊刷卡药店。我局对长期居住在异地的退休人员和转入异地就医人员均进行了登记备案。使广大参保人员实现了出院即时结算，极大的减轻参保患者的费用负担。</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医保扶贫方面：2018年是我局的医疗扶贫工作依然扎实开展，我局经办人员认真学习业务知识，积极探索，为广大参保人员提供了基本医疗保险一站式报销服务。大病保险报销496人次，报销费用204.49万元。全年共为建卡贫困人口2184人次报销基本医疗保险费775.48万元。其中县域内1480人次住院，住院总费用549.65万元，其中合规费用为452.07万元，基本医疗保险报销442.47万元(含倾斜支付78.92万元）。合规费用报销比例达97.88%。大病补充商业保险154人次，报销费用58.71万元。</w:t>
      </w:r>
    </w:p>
    <w:p>
      <w:pPr>
        <w:pStyle w:val="3"/>
        <w:rPr>
          <w:rStyle w:val="15"/>
          <w:b w:val="0"/>
          <w:bCs w:val="0"/>
        </w:rPr>
      </w:pPr>
      <w:bookmarkStart w:id="19" w:name="_Toc15377200"/>
      <w:bookmarkStart w:id="20" w:name="_Toc15396601"/>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19"/>
      <w:bookmarkEnd w:id="20"/>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lang w:eastAsia="zh-CN"/>
        </w:rPr>
        <w:t>壤塘县医疗保障局属一级行政单位，没有</w:t>
      </w:r>
      <w:r>
        <w:rPr>
          <w:rFonts w:hint="eastAsia" w:ascii="仿宋" w:hAnsi="仿宋" w:eastAsia="仿宋"/>
          <w:sz w:val="32"/>
          <w:szCs w:val="32"/>
        </w:rPr>
        <w:t>下属二级单位</w:t>
      </w:r>
      <w:r>
        <w:rPr>
          <w:rFonts w:hint="eastAsia" w:ascii="仿宋" w:hAnsi="仿宋" w:eastAsia="仿宋"/>
          <w:sz w:val="32"/>
          <w:szCs w:val="32"/>
          <w:lang w:eastAsia="zh-CN"/>
        </w:rPr>
        <w:t>。</w:t>
      </w:r>
      <w:r>
        <w:rPr>
          <w:rFonts w:hint="eastAsia" w:ascii="仿宋" w:hAnsi="仿宋" w:eastAsia="仿宋"/>
          <w:sz w:val="32"/>
          <w:szCs w:val="32"/>
        </w:rPr>
        <w:t>人员情况：总编制</w:t>
      </w:r>
      <w:r>
        <w:rPr>
          <w:rFonts w:hint="eastAsia" w:ascii="仿宋" w:hAnsi="仿宋" w:eastAsia="仿宋"/>
          <w:sz w:val="32"/>
          <w:szCs w:val="32"/>
          <w:lang w:val="en-US" w:eastAsia="zh-CN"/>
        </w:rPr>
        <w:t>20</w:t>
      </w:r>
      <w:r>
        <w:rPr>
          <w:rFonts w:hint="eastAsia" w:ascii="仿宋" w:hAnsi="仿宋" w:eastAsia="仿宋"/>
          <w:sz w:val="32"/>
          <w:szCs w:val="32"/>
        </w:rPr>
        <w:t>名,事业编制1</w:t>
      </w:r>
      <w:r>
        <w:rPr>
          <w:rFonts w:hint="eastAsia" w:ascii="仿宋" w:hAnsi="仿宋" w:eastAsia="仿宋"/>
          <w:sz w:val="32"/>
          <w:szCs w:val="32"/>
          <w:lang w:val="en-US" w:eastAsia="zh-CN"/>
        </w:rPr>
        <w:t>6</w:t>
      </w:r>
      <w:r>
        <w:rPr>
          <w:rFonts w:hint="eastAsia" w:ascii="仿宋" w:hAnsi="仿宋" w:eastAsia="仿宋"/>
          <w:sz w:val="32"/>
          <w:szCs w:val="32"/>
        </w:rPr>
        <w:t>名</w:t>
      </w:r>
      <w:r>
        <w:rPr>
          <w:rFonts w:hint="eastAsia" w:ascii="仿宋" w:hAnsi="仿宋" w:eastAsia="仿宋"/>
          <w:sz w:val="32"/>
          <w:szCs w:val="32"/>
          <w:lang w:eastAsia="zh-CN"/>
        </w:rPr>
        <w:t>，行政编制</w:t>
      </w:r>
      <w:r>
        <w:rPr>
          <w:rFonts w:hint="eastAsia" w:ascii="仿宋" w:hAnsi="仿宋" w:eastAsia="仿宋"/>
          <w:sz w:val="32"/>
          <w:szCs w:val="32"/>
          <w:lang w:val="en-US" w:eastAsia="zh-CN"/>
        </w:rPr>
        <w:t>4人</w:t>
      </w:r>
      <w:r>
        <w:rPr>
          <w:rFonts w:hint="eastAsia" w:ascii="仿宋" w:hAnsi="仿宋" w:eastAsia="仿宋"/>
          <w:sz w:val="32"/>
          <w:szCs w:val="32"/>
        </w:rPr>
        <w:t>。截止201</w:t>
      </w:r>
      <w:r>
        <w:rPr>
          <w:rFonts w:hint="eastAsia" w:ascii="仿宋" w:hAnsi="仿宋" w:eastAsia="仿宋"/>
          <w:sz w:val="32"/>
          <w:szCs w:val="32"/>
          <w:lang w:val="en-US" w:eastAsia="zh-CN"/>
        </w:rPr>
        <w:t>8</w:t>
      </w:r>
      <w:r>
        <w:rPr>
          <w:rFonts w:hint="eastAsia" w:ascii="仿宋" w:hAnsi="仿宋" w:eastAsia="仿宋"/>
          <w:sz w:val="32"/>
          <w:szCs w:val="32"/>
        </w:rPr>
        <w:t>年12月底，在职人员总数</w:t>
      </w:r>
      <w:r>
        <w:rPr>
          <w:rFonts w:hint="eastAsia" w:ascii="仿宋" w:hAnsi="仿宋" w:eastAsia="仿宋"/>
          <w:sz w:val="32"/>
          <w:szCs w:val="32"/>
          <w:lang w:val="en-US" w:eastAsia="zh-CN"/>
        </w:rPr>
        <w:t>19</w:t>
      </w:r>
      <w:r>
        <w:rPr>
          <w:rFonts w:hint="eastAsia" w:ascii="仿宋" w:hAnsi="仿宋" w:eastAsia="仿宋"/>
          <w:sz w:val="32"/>
          <w:szCs w:val="32"/>
        </w:rPr>
        <w:t>名；退休人员</w:t>
      </w:r>
      <w:r>
        <w:rPr>
          <w:rFonts w:hint="eastAsia" w:ascii="仿宋" w:hAnsi="仿宋" w:eastAsia="仿宋"/>
          <w:sz w:val="32"/>
          <w:szCs w:val="32"/>
          <w:lang w:val="en-US" w:eastAsia="zh-CN"/>
        </w:rPr>
        <w:t>2</w:t>
      </w:r>
      <w:r>
        <w:rPr>
          <w:rFonts w:hint="eastAsia" w:ascii="仿宋" w:hAnsi="仿宋" w:eastAsia="仿宋"/>
          <w:sz w:val="32"/>
          <w:szCs w:val="32"/>
        </w:rPr>
        <w:t>人。</w:t>
      </w:r>
    </w:p>
    <w:p>
      <w:pPr>
        <w:widowControl/>
        <w:ind w:firstLine="630" w:firstLineChars="300"/>
        <w:jc w:val="left"/>
        <w:rPr>
          <w:rStyle w:val="14"/>
          <w:rFonts w:ascii="黑体" w:hAnsi="黑体" w:eastAsia="黑体"/>
          <w:b w:val="0"/>
          <w:bCs w:val="0"/>
        </w:rPr>
      </w:pPr>
      <w:bookmarkStart w:id="21" w:name="_Toc15396602"/>
      <w:bookmarkStart w:id="22" w:name="_Toc15377204"/>
      <w:r>
        <w:rPr>
          <w:rFonts w:hint="eastAsia" w:ascii="黑体" w:hAnsi="黑体" w:eastAsia="黑体"/>
          <w:b w:val="0"/>
          <w:color w:val="000000"/>
        </w:rPr>
        <w:t>第二部分</w:t>
      </w:r>
      <w:r>
        <w:rPr>
          <w:rStyle w:val="14"/>
          <w:rFonts w:hint="eastAsia" w:ascii="黑体" w:hAnsi="黑体" w:eastAsia="黑体"/>
          <w:b w:val="0"/>
          <w:bCs w:val="0"/>
        </w:rPr>
        <w:t>2018年度部门决算情况说明</w:t>
      </w:r>
      <w:bookmarkEnd w:id="21"/>
      <w:bookmarkEnd w:id="22"/>
    </w:p>
    <w:p/>
    <w:p>
      <w:pPr>
        <w:pStyle w:val="16"/>
        <w:numPr>
          <w:ilvl w:val="0"/>
          <w:numId w:val="2"/>
        </w:numPr>
        <w:spacing w:line="600" w:lineRule="exact"/>
        <w:ind w:firstLineChars="0"/>
        <w:outlineLvl w:val="1"/>
        <w:rPr>
          <w:rStyle w:val="15"/>
          <w:rFonts w:ascii="黑体" w:hAnsi="黑体" w:eastAsia="黑体"/>
          <w:b w:val="0"/>
        </w:rPr>
      </w:pPr>
      <w:bookmarkStart w:id="23" w:name="_Toc15396603"/>
      <w:bookmarkStart w:id="24" w:name="_Toc15377205"/>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23"/>
      <w:bookmarkEnd w:id="24"/>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2018年度收、支总计</w:t>
      </w:r>
      <w:r>
        <w:rPr>
          <w:rFonts w:hint="eastAsia" w:ascii="仿宋" w:hAnsi="仿宋" w:eastAsia="仿宋"/>
          <w:color w:val="000000"/>
          <w:sz w:val="32"/>
          <w:szCs w:val="32"/>
          <w:lang w:val="en-US" w:eastAsia="zh-CN"/>
        </w:rPr>
        <w:t>616.88</w:t>
      </w:r>
      <w:r>
        <w:rPr>
          <w:rFonts w:hint="eastAsia" w:ascii="仿宋" w:hAnsi="仿宋" w:eastAsia="仿宋"/>
          <w:color w:val="000000"/>
          <w:sz w:val="32"/>
          <w:szCs w:val="32"/>
        </w:rPr>
        <w:t>万元。与2017年</w:t>
      </w:r>
      <w:r>
        <w:rPr>
          <w:rFonts w:hint="eastAsia" w:ascii="仿宋" w:hAnsi="仿宋" w:eastAsia="仿宋"/>
          <w:color w:val="000000"/>
          <w:sz w:val="32"/>
          <w:szCs w:val="32"/>
          <w:lang w:val="en-US" w:eastAsia="zh-CN"/>
        </w:rPr>
        <w:t>302.96万元</w:t>
      </w:r>
      <w:r>
        <w:rPr>
          <w:rFonts w:hint="eastAsia" w:ascii="仿宋" w:hAnsi="仿宋" w:eastAsia="仿宋"/>
          <w:color w:val="000000"/>
          <w:sz w:val="32"/>
          <w:szCs w:val="32"/>
        </w:rPr>
        <w:t>相比，收、支总计各增加</w:t>
      </w:r>
      <w:r>
        <w:rPr>
          <w:rFonts w:hint="eastAsia" w:ascii="仿宋" w:hAnsi="仿宋" w:eastAsia="仿宋"/>
          <w:color w:val="000000"/>
          <w:sz w:val="32"/>
          <w:szCs w:val="32"/>
          <w:lang w:val="en-US" w:eastAsia="zh-CN"/>
        </w:rPr>
        <w:t>121.13万元、192.79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分别</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79.96</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127.27%</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2018年初由以前壤塘县原新型农村合作医疗办公室与原壤塘县医疗保险管理局合并成了新壤塘县医疗保险管理局，职工人数由10人增加到19人。</w:t>
      </w:r>
    </w:p>
    <w:p>
      <w:pPr>
        <w:rPr>
          <w:rFonts w:hint="eastAsia" w:eastAsiaTheme="minorEastAsia"/>
          <w:lang w:eastAsia="zh-CN"/>
        </w:rPr>
      </w:pPr>
    </w:p>
    <w:p>
      <w:pPr>
        <w:rPr>
          <w:rFonts w:hint="eastAsia" w:eastAsiaTheme="minorEastAsia"/>
          <w:lang w:eastAsia="zh-CN"/>
        </w:rPr>
      </w:pPr>
      <w:r>
        <w:rPr>
          <w:rFonts w:hint="eastAsia" w:eastAsiaTheme="minorEastAsia"/>
          <w:lang w:eastAsia="zh-CN"/>
        </w:rPr>
        <w:drawing>
          <wp:inline distT="0" distB="0" distL="114300" distR="114300">
            <wp:extent cx="4394835" cy="2640965"/>
            <wp:effectExtent l="4445" t="4445" r="20320" b="2159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r>
        <w:rPr>
          <w:rFonts w:hint="eastAsia" w:ascii="仿宋" w:hAnsi="仿宋" w:eastAsia="仿宋"/>
          <w:color w:val="000000" w:themeColor="text1"/>
          <w:sz w:val="32"/>
          <w:szCs w:val="32"/>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）（柱状图）</w:t>
      </w:r>
    </w:p>
    <w:p>
      <w:pPr>
        <w:pStyle w:val="16"/>
        <w:numPr>
          <w:ilvl w:val="0"/>
          <w:numId w:val="2"/>
        </w:numPr>
        <w:spacing w:line="600" w:lineRule="exact"/>
        <w:ind w:firstLineChars="0"/>
        <w:outlineLvl w:val="1"/>
        <w:rPr>
          <w:rStyle w:val="15"/>
          <w:rFonts w:ascii="黑体" w:hAnsi="黑体" w:eastAsia="黑体"/>
          <w:b w:val="0"/>
        </w:rPr>
      </w:pPr>
      <w:bookmarkStart w:id="25" w:name="_Toc15377206"/>
      <w:bookmarkStart w:id="26" w:name="_Toc15396604"/>
      <w:r>
        <w:rPr>
          <w:rFonts w:hint="eastAsia" w:ascii="黑体" w:hAnsi="黑体" w:eastAsia="黑体"/>
          <w:color w:val="000000"/>
          <w:sz w:val="32"/>
          <w:szCs w:val="32"/>
        </w:rPr>
        <w:t>收</w:t>
      </w:r>
      <w:r>
        <w:rPr>
          <w:rStyle w:val="15"/>
          <w:rFonts w:hint="eastAsia" w:ascii="黑体" w:hAnsi="黑体" w:eastAsia="黑体"/>
          <w:b w:val="0"/>
        </w:rPr>
        <w:t>入决算情况说明</w:t>
      </w:r>
      <w:bookmarkEnd w:id="25"/>
      <w:bookmarkEnd w:id="26"/>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color w:val="000000"/>
          <w:sz w:val="32"/>
          <w:szCs w:val="32"/>
          <w:lang w:val="en-US" w:eastAsia="zh-CN"/>
        </w:rPr>
        <w:t>272.61</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272.61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ascii="仿宋" w:hAnsi="仿宋" w:eastAsia="仿宋"/>
          <w:color w:val="000000"/>
          <w:sz w:val="32"/>
          <w:szCs w:val="32"/>
        </w:rPr>
        <w:t>%</w:t>
      </w:r>
      <w:r>
        <w:rPr>
          <w:rFonts w:hint="eastAsia" w:ascii="仿宋" w:hAnsi="仿宋" w:eastAsia="仿宋"/>
          <w:color w:val="000000"/>
          <w:sz w:val="32"/>
          <w:szCs w:val="32"/>
        </w:rPr>
        <w:t>。</w:t>
      </w:r>
    </w:p>
    <w:p>
      <w:pPr>
        <w:rPr>
          <w:rFonts w:ascii="仿宋" w:hAnsi="仿宋" w:eastAsia="仿宋"/>
          <w:sz w:val="32"/>
          <w:szCs w:val="32"/>
        </w:rPr>
      </w:pPr>
      <w:r>
        <w:rPr>
          <w:rFonts w:ascii="仿宋" w:hAnsi="仿宋" w:eastAsia="仿宋"/>
          <w:sz w:val="32"/>
          <w:szCs w:val="32"/>
        </w:rPr>
        <w:drawing>
          <wp:inline distT="0" distB="0" distL="114300" distR="114300">
            <wp:extent cx="3555365" cy="2706370"/>
            <wp:effectExtent l="4445" t="4445" r="21590" b="1333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rPr>
          <w:rFonts w:ascii="仿宋" w:hAnsi="仿宋" w:eastAsia="仿宋"/>
          <w:sz w:val="32"/>
          <w:szCs w:val="32"/>
        </w:rPr>
      </w:pPr>
      <w:r>
        <w:rPr>
          <w:rFonts w:hint="eastAsia" w:ascii="仿宋" w:hAnsi="仿宋" w:eastAsia="仿宋"/>
          <w:color w:val="000000" w:themeColor="text1"/>
          <w:sz w:val="32"/>
          <w:szCs w:val="32"/>
          <w14:textFill>
            <w14:solidFill>
              <w14:schemeClr w14:val="tx1"/>
            </w14:solidFill>
          </w14:textFill>
        </w:rPr>
        <w:t>（图2：收入决算结构图）（饼状图）</w:t>
      </w:r>
    </w:p>
    <w:p>
      <w:pPr>
        <w:pStyle w:val="16"/>
        <w:numPr>
          <w:ilvl w:val="0"/>
          <w:numId w:val="2"/>
        </w:numPr>
        <w:spacing w:line="600" w:lineRule="exact"/>
        <w:ind w:firstLineChars="0"/>
        <w:outlineLvl w:val="1"/>
        <w:rPr>
          <w:rStyle w:val="15"/>
          <w:rFonts w:ascii="黑体" w:hAnsi="黑体" w:eastAsia="黑体"/>
          <w:b w:val="0"/>
        </w:rPr>
      </w:pPr>
      <w:bookmarkStart w:id="27" w:name="_Toc15396605"/>
      <w:bookmarkStart w:id="28" w:name="_Toc15377207"/>
      <w:r>
        <w:rPr>
          <w:rFonts w:hint="eastAsia" w:ascii="黑体" w:hAnsi="黑体" w:eastAsia="黑体"/>
          <w:color w:val="000000"/>
          <w:sz w:val="32"/>
          <w:szCs w:val="32"/>
        </w:rPr>
        <w:t>支</w:t>
      </w:r>
      <w:r>
        <w:rPr>
          <w:rStyle w:val="15"/>
          <w:rFonts w:hint="eastAsia" w:ascii="黑体" w:hAnsi="黑体" w:eastAsia="黑体"/>
          <w:b w:val="0"/>
        </w:rPr>
        <w:t>出决算情况说明</w:t>
      </w:r>
      <w:bookmarkEnd w:id="27"/>
      <w:bookmarkEnd w:id="28"/>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color w:val="000000"/>
          <w:sz w:val="32"/>
          <w:szCs w:val="32"/>
          <w:lang w:val="en-US" w:eastAsia="zh-CN"/>
        </w:rPr>
        <w:t>344.27</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344.27</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3776980" cy="2479675"/>
            <wp:effectExtent l="4445" t="4445" r="9525" b="1143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15"/>
          <w:rFonts w:ascii="黑体" w:hAnsi="黑体" w:eastAsia="黑体"/>
          <w:b w:val="0"/>
        </w:rPr>
      </w:pPr>
      <w:bookmarkStart w:id="29" w:name="_Toc15377208"/>
      <w:bookmarkStart w:id="30" w:name="_Toc15396606"/>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29"/>
      <w:bookmarkEnd w:id="30"/>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8年财政拨款收、支总计</w:t>
      </w:r>
      <w:r>
        <w:rPr>
          <w:rFonts w:hint="eastAsia" w:ascii="仿宋" w:hAnsi="仿宋" w:eastAsia="仿宋"/>
          <w:color w:val="000000"/>
          <w:sz w:val="32"/>
          <w:szCs w:val="32"/>
          <w:lang w:val="en-US" w:eastAsia="zh-CN"/>
        </w:rPr>
        <w:t>616.88</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rPr>
        <w:t>7年</w:t>
      </w:r>
      <w:r>
        <w:rPr>
          <w:rFonts w:hint="eastAsia" w:ascii="仿宋" w:hAnsi="仿宋" w:eastAsia="仿宋"/>
          <w:color w:val="000000"/>
          <w:sz w:val="32"/>
          <w:szCs w:val="32"/>
          <w:lang w:val="en-US" w:eastAsia="zh-CN"/>
        </w:rPr>
        <w:t>302.96万元</w:t>
      </w:r>
      <w:r>
        <w:rPr>
          <w:rFonts w:hint="eastAsia" w:ascii="仿宋" w:hAnsi="仿宋" w:eastAsia="仿宋"/>
          <w:color w:val="000000"/>
          <w:sz w:val="32"/>
          <w:szCs w:val="32"/>
        </w:rPr>
        <w:t>相比，财政拨款收、支总计各增加</w:t>
      </w:r>
      <w:r>
        <w:rPr>
          <w:rFonts w:hint="eastAsia" w:ascii="仿宋" w:hAnsi="仿宋" w:eastAsia="仿宋"/>
          <w:color w:val="000000"/>
          <w:sz w:val="32"/>
          <w:szCs w:val="32"/>
          <w:lang w:val="en-US" w:eastAsia="zh-CN"/>
        </w:rPr>
        <w:t>121.13万元、192.79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分别</w:t>
      </w:r>
      <w:r>
        <w:rPr>
          <w:rFonts w:hint="eastAsia" w:ascii="仿宋" w:hAnsi="仿宋" w:eastAsia="仿宋"/>
          <w:color w:val="000000"/>
          <w:sz w:val="32"/>
          <w:szCs w:val="32"/>
        </w:rPr>
        <w:t>增长</w:t>
      </w:r>
      <w:r>
        <w:rPr>
          <w:rFonts w:hint="eastAsia" w:ascii="仿宋" w:hAnsi="仿宋" w:eastAsia="仿宋"/>
          <w:color w:val="000000"/>
          <w:sz w:val="32"/>
          <w:szCs w:val="32"/>
          <w:lang w:val="en-US" w:eastAsia="zh-CN"/>
        </w:rPr>
        <w:t>79.96</w:t>
      </w:r>
      <w:r>
        <w:rPr>
          <w:rFonts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127.27%</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2018年初由以前壤塘县原新型农村合作医疗办公室与原壤塘县医疗保险管理局合并成了新壤塘县医疗保险管理局，职工人数由10人增加到19人。</w:t>
      </w:r>
    </w:p>
    <w:p>
      <w:pPr>
        <w:rPr>
          <w:rFonts w:hint="eastAsia" w:ascii="仿宋" w:hAnsi="仿宋" w:eastAsia="仿宋"/>
          <w:sz w:val="32"/>
          <w:szCs w:val="32"/>
          <w:lang w:eastAsia="zh-CN"/>
        </w:rPr>
      </w:pPr>
    </w:p>
    <w:p>
      <w:pPr>
        <w:rPr>
          <w:rFonts w:hint="eastAsia" w:eastAsiaTheme="minorEastAsia"/>
          <w:lang w:eastAsia="zh-CN"/>
        </w:rPr>
      </w:pPr>
      <w:r>
        <w:rPr>
          <w:rFonts w:hint="eastAsia" w:eastAsiaTheme="minorEastAsia"/>
          <w:lang w:eastAsia="zh-CN"/>
        </w:rPr>
        <w:drawing>
          <wp:inline distT="0" distB="0" distL="114300" distR="114300">
            <wp:extent cx="4394835" cy="2640965"/>
            <wp:effectExtent l="0" t="0" r="5715" b="698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000000" w:themeColor="text1"/>
          <w:sz w:val="32"/>
          <w:szCs w:val="32"/>
          <w:lang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outlineLvl w:val="1"/>
        <w:rPr>
          <w:rStyle w:val="15"/>
          <w:rFonts w:ascii="黑体" w:hAnsi="黑体" w:eastAsia="黑体"/>
          <w:b w:val="0"/>
        </w:rPr>
      </w:pPr>
      <w:bookmarkStart w:id="31" w:name="_Toc15396607"/>
      <w:bookmarkStart w:id="32"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31"/>
      <w:bookmarkEnd w:id="32"/>
    </w:p>
    <w:p>
      <w:pPr>
        <w:spacing w:line="600" w:lineRule="exact"/>
        <w:ind w:firstLine="643" w:firstLineChars="200"/>
        <w:outlineLvl w:val="2"/>
        <w:rPr>
          <w:rFonts w:ascii="仿宋" w:hAnsi="仿宋" w:eastAsia="仿宋"/>
          <w:b/>
          <w:color w:val="000000"/>
          <w:sz w:val="32"/>
          <w:szCs w:val="32"/>
        </w:rPr>
      </w:pPr>
      <w:bookmarkStart w:id="33" w:name="_Toc15377210"/>
      <w:r>
        <w:rPr>
          <w:rFonts w:hint="eastAsia" w:ascii="仿宋" w:hAnsi="仿宋" w:eastAsia="仿宋"/>
          <w:b/>
          <w:color w:val="000000"/>
          <w:sz w:val="32"/>
          <w:szCs w:val="32"/>
        </w:rPr>
        <w:t>（一）一般公共预算财政拨款支出决算总体情况</w:t>
      </w:r>
      <w:bookmarkEnd w:id="33"/>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color w:val="000000"/>
          <w:sz w:val="32"/>
          <w:szCs w:val="32"/>
          <w:lang w:val="en-US" w:eastAsia="zh-CN"/>
        </w:rPr>
        <w:t>344.26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w:t>
      </w:r>
      <w:r>
        <w:rPr>
          <w:rFonts w:hint="eastAsia" w:ascii="仿宋" w:hAnsi="仿宋" w:eastAsia="仿宋"/>
          <w:color w:val="000000"/>
          <w:sz w:val="32"/>
          <w:szCs w:val="32"/>
          <w:lang w:val="en-US" w:eastAsia="zh-CN"/>
        </w:rPr>
        <w:t>151.48万元</w:t>
      </w:r>
      <w:r>
        <w:rPr>
          <w:rFonts w:hint="eastAsia" w:ascii="仿宋" w:hAnsi="仿宋" w:eastAsia="仿宋"/>
          <w:color w:val="000000"/>
          <w:sz w:val="32"/>
          <w:szCs w:val="32"/>
        </w:rPr>
        <w:t>相比，一般公共预算财政拨款增加</w:t>
      </w:r>
      <w:r>
        <w:rPr>
          <w:rFonts w:hint="eastAsia" w:ascii="仿宋" w:hAnsi="仿宋" w:eastAsia="仿宋"/>
          <w:color w:val="000000"/>
          <w:sz w:val="32"/>
          <w:szCs w:val="32"/>
          <w:lang w:eastAsia="zh-CN"/>
        </w:rPr>
        <w:t>了</w:t>
      </w:r>
      <w:r>
        <w:rPr>
          <w:rFonts w:hint="eastAsia" w:ascii="仿宋" w:hAnsi="仿宋" w:eastAsia="仿宋"/>
          <w:color w:val="000000"/>
          <w:sz w:val="32"/>
          <w:szCs w:val="32"/>
          <w:lang w:val="en-US" w:eastAsia="zh-CN"/>
        </w:rPr>
        <w:t>192.79</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127.27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2018年初由以前壤塘县原新型农村合作医疗办公室与原壤塘县医疗保险管理局合并成了新壤塘县医疗保险管理局，职工人数由10人增加到19人。</w:t>
      </w:r>
    </w:p>
    <w:p>
      <w:pPr>
        <w:rPr>
          <w:rFonts w:hint="eastAsia" w:eastAsiaTheme="minorEastAsia"/>
          <w:lang w:eastAsia="zh-CN"/>
        </w:rPr>
      </w:pPr>
      <w:r>
        <w:rPr>
          <w:rFonts w:hint="eastAsia" w:eastAsiaTheme="minorEastAsia"/>
          <w:lang w:eastAsia="zh-CN"/>
        </w:rPr>
        <w:drawing>
          <wp:inline distT="0" distB="0" distL="114300" distR="114300">
            <wp:extent cx="4956810" cy="2334260"/>
            <wp:effectExtent l="5080" t="4445" r="10160" b="2349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r>
        <w:rPr>
          <w:rFonts w:hint="eastAsia" w:ascii="仿宋" w:hAnsi="仿宋" w:eastAsia="仿宋"/>
          <w:color w:val="000000" w:themeColor="text1"/>
          <w:sz w:val="32"/>
          <w:szCs w:val="32"/>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34" w:name="_Toc15377211"/>
      <w:r>
        <w:rPr>
          <w:rFonts w:hint="eastAsia" w:ascii="仿宋" w:hAnsi="仿宋" w:eastAsia="仿宋"/>
          <w:b/>
          <w:color w:val="000000"/>
          <w:sz w:val="32"/>
          <w:szCs w:val="32"/>
        </w:rPr>
        <w:t>（二）一般公共预算财政拨款支出决算结构情况</w:t>
      </w:r>
      <w:bookmarkEnd w:id="34"/>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themeColor="text1"/>
          <w:sz w:val="32"/>
          <w:szCs w:val="32"/>
          <w:lang w:val="en-US" w:eastAsia="zh-CN"/>
          <w14:textFill>
            <w14:solidFill>
              <w14:schemeClr w14:val="tx1"/>
            </w14:solidFill>
          </w14:textFill>
        </w:rPr>
        <w:t>344.26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一般公共服务支出</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万元，占</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%；教育支出</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万元，占</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%；科学技术支出</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万元，占</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%；社会保障和就业支出</w:t>
      </w:r>
      <w:r>
        <w:rPr>
          <w:rFonts w:hint="eastAsia" w:ascii="仿宋" w:hAnsi="仿宋" w:eastAsia="仿宋" w:cs="仿宋"/>
          <w:b w:val="0"/>
          <w:bCs/>
          <w:color w:val="000000" w:themeColor="text1"/>
          <w:sz w:val="32"/>
          <w:szCs w:val="32"/>
          <w:lang w:val="en-US" w:eastAsia="zh-CN"/>
          <w14:textFill>
            <w14:solidFill>
              <w14:schemeClr w14:val="tx1"/>
            </w14:solidFill>
          </w14:textFill>
        </w:rPr>
        <w:t>309.18</w:t>
      </w:r>
      <w:r>
        <w:rPr>
          <w:rFonts w:hint="eastAsia" w:ascii="仿宋" w:hAnsi="仿宋" w:eastAsia="仿宋" w:cs="仿宋"/>
          <w:b w:val="0"/>
          <w:bCs/>
          <w:color w:val="000000" w:themeColor="text1"/>
          <w:sz w:val="32"/>
          <w:szCs w:val="32"/>
          <w14:textFill>
            <w14:solidFill>
              <w14:schemeClr w14:val="tx1"/>
            </w14:solidFill>
          </w14:textFill>
        </w:rPr>
        <w:t>万元，占</w:t>
      </w:r>
      <w:r>
        <w:rPr>
          <w:rFonts w:hint="eastAsia" w:ascii="仿宋" w:hAnsi="仿宋" w:eastAsia="仿宋" w:cs="仿宋"/>
          <w:b w:val="0"/>
          <w:bCs/>
          <w:color w:val="000000" w:themeColor="text1"/>
          <w:sz w:val="32"/>
          <w:szCs w:val="32"/>
          <w:lang w:val="en-US" w:eastAsia="zh-CN"/>
          <w14:textFill>
            <w14:solidFill>
              <w14:schemeClr w14:val="tx1"/>
            </w14:solidFill>
          </w14:textFill>
        </w:rPr>
        <w:t>89.81</w:t>
      </w:r>
      <w:r>
        <w:rPr>
          <w:rFonts w:hint="eastAsia" w:ascii="仿宋" w:hAnsi="仿宋" w:eastAsia="仿宋" w:cs="仿宋"/>
          <w:b w:val="0"/>
          <w:bCs/>
          <w:color w:val="000000" w:themeColor="text1"/>
          <w:sz w:val="32"/>
          <w:szCs w:val="32"/>
          <w14:textFill>
            <w14:solidFill>
              <w14:schemeClr w14:val="tx1"/>
            </w14:solidFill>
          </w14:textFill>
        </w:rPr>
        <w:t>%；医疗卫生支出</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万元，占</w:t>
      </w:r>
      <w:r>
        <w:rPr>
          <w:rFonts w:hint="eastAsia" w:ascii="仿宋" w:hAnsi="仿宋" w:eastAsia="仿宋" w:cs="仿宋"/>
          <w:b w:val="0"/>
          <w:bCs/>
          <w:color w:val="000000" w:themeColor="text1"/>
          <w:sz w:val="32"/>
          <w:szCs w:val="32"/>
          <w:lang w:val="en-US" w:eastAsia="zh-CN"/>
          <w14:textFill>
            <w14:solidFill>
              <w14:schemeClr w14:val="tx1"/>
            </w14:solidFill>
          </w14:textFill>
        </w:rPr>
        <w:t>0</w:t>
      </w:r>
      <w:r>
        <w:rPr>
          <w:rFonts w:hint="eastAsia" w:ascii="仿宋" w:hAnsi="仿宋" w:eastAsia="仿宋" w:cs="仿宋"/>
          <w:b w:val="0"/>
          <w:bCs/>
          <w:color w:val="000000" w:themeColor="text1"/>
          <w:sz w:val="32"/>
          <w:szCs w:val="32"/>
          <w14:textFill>
            <w14:solidFill>
              <w14:schemeClr w14:val="tx1"/>
            </w14:solidFill>
          </w14:textFill>
        </w:rPr>
        <w:t>%；住房保障支出</w:t>
      </w:r>
      <w:r>
        <w:rPr>
          <w:rFonts w:hint="eastAsia" w:ascii="仿宋" w:hAnsi="仿宋" w:eastAsia="仿宋" w:cs="仿宋"/>
          <w:b w:val="0"/>
          <w:bCs/>
          <w:color w:val="000000" w:themeColor="text1"/>
          <w:sz w:val="32"/>
          <w:szCs w:val="32"/>
          <w:lang w:val="en-US" w:eastAsia="zh-CN"/>
          <w14:textFill>
            <w14:solidFill>
              <w14:schemeClr w14:val="tx1"/>
            </w14:solidFill>
          </w14:textFill>
        </w:rPr>
        <w:t>23.38</w:t>
      </w:r>
      <w:r>
        <w:rPr>
          <w:rFonts w:hint="eastAsia" w:ascii="仿宋" w:hAnsi="仿宋" w:eastAsia="仿宋" w:cs="仿宋"/>
          <w:b w:val="0"/>
          <w:bCs/>
          <w:color w:val="000000" w:themeColor="text1"/>
          <w:sz w:val="32"/>
          <w:szCs w:val="32"/>
          <w14:textFill>
            <w14:solidFill>
              <w14:schemeClr w14:val="tx1"/>
            </w14:solidFill>
          </w14:textFill>
        </w:rPr>
        <w:t>万元，占</w:t>
      </w:r>
      <w:r>
        <w:rPr>
          <w:rFonts w:hint="eastAsia" w:ascii="仿宋" w:hAnsi="仿宋" w:eastAsia="仿宋" w:cs="仿宋"/>
          <w:b w:val="0"/>
          <w:bCs/>
          <w:color w:val="000000" w:themeColor="text1"/>
          <w:sz w:val="32"/>
          <w:szCs w:val="32"/>
          <w:lang w:val="en-US" w:eastAsia="zh-CN"/>
          <w14:textFill>
            <w14:solidFill>
              <w14:schemeClr w14:val="tx1"/>
            </w14:solidFill>
          </w14:textFill>
        </w:rPr>
        <w:t>10.19</w:t>
      </w:r>
      <w:r>
        <w:rPr>
          <w:rFonts w:hint="eastAsia" w:ascii="仿宋" w:hAnsi="仿宋" w:eastAsia="仿宋" w:cs="仿宋"/>
          <w:b w:val="0"/>
          <w:bCs/>
          <w:color w:val="000000" w:themeColor="text1"/>
          <w:sz w:val="32"/>
          <w:szCs w:val="32"/>
          <w14:textFill>
            <w14:solidFill>
              <w14:schemeClr w14:val="tx1"/>
            </w14:solidFill>
          </w14:textFill>
        </w:rPr>
        <w:t>%。</w:t>
      </w:r>
    </w:p>
    <w:p>
      <w:pPr>
        <w:rPr>
          <w:rFonts w:ascii="仿宋" w:hAnsi="仿宋" w:eastAsia="仿宋"/>
          <w:color w:val="000000"/>
          <w:sz w:val="32"/>
          <w:szCs w:val="32"/>
        </w:rPr>
      </w:pPr>
      <w:r>
        <w:rPr>
          <w:rFonts w:hint="eastAsia" w:ascii="仿宋" w:hAnsi="仿宋" w:eastAsia="仿宋"/>
          <w:sz w:val="32"/>
          <w:szCs w:val="32"/>
          <w:lang w:eastAsia="zh-CN"/>
        </w:rPr>
        <w:drawing>
          <wp:inline distT="0" distB="0" distL="114300" distR="114300">
            <wp:extent cx="5011420" cy="1935480"/>
            <wp:effectExtent l="4445" t="4445" r="13335" b="222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5" w:name="_Toc15377212"/>
      <w:r>
        <w:rPr>
          <w:rFonts w:hint="eastAsia" w:ascii="仿宋" w:hAnsi="仿宋" w:eastAsia="仿宋"/>
          <w:b/>
          <w:color w:val="000000"/>
          <w:sz w:val="32"/>
          <w:szCs w:val="32"/>
        </w:rPr>
        <w:t>（三）一般公共预算财政拨款支出决算具体情况</w:t>
      </w:r>
      <w:bookmarkEnd w:id="35"/>
    </w:p>
    <w:p>
      <w:pPr>
        <w:spacing w:line="600" w:lineRule="exact"/>
        <w:ind w:firstLine="643" w:firstLineChars="200"/>
        <w:outlineLvl w:val="2"/>
        <w:rPr>
          <w:rFonts w:ascii="仿宋" w:hAnsi="仿宋" w:eastAsia="仿宋"/>
          <w:color w:val="FF0000"/>
          <w:sz w:val="32"/>
          <w:szCs w:val="32"/>
        </w:rPr>
      </w:pPr>
      <w:bookmarkStart w:id="36" w:name="_Toc15377213"/>
      <w:bookmarkStart w:id="37" w:name="_Toc15377444"/>
      <w:bookmarkStart w:id="38" w:name="_Toc15378460"/>
      <w:r>
        <w:rPr>
          <w:rFonts w:hint="eastAsia" w:ascii="仿宋" w:hAnsi="仿宋" w:eastAsia="仿宋"/>
          <w:b/>
          <w:color w:val="000000" w:themeColor="text1"/>
          <w:sz w:val="32"/>
          <w:szCs w:val="32"/>
          <w14:textFill>
            <w14:solidFill>
              <w14:schemeClr w14:val="tx1"/>
            </w14:solidFill>
          </w14:textFill>
        </w:rPr>
        <w:t>2018年般公共预算支出决算数为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344.26万元</w:t>
      </w:r>
      <w:r>
        <w:rPr>
          <w:rFonts w:hint="eastAsia" w:ascii="仿宋" w:hAnsi="仿宋" w:eastAsia="仿宋"/>
          <w:color w:val="000000" w:themeColor="text1"/>
          <w:sz w:val="32"/>
          <w:szCs w:val="32"/>
          <w14:textFill>
            <w14:solidFill>
              <w14:schemeClr w14:val="tx1"/>
            </w14:solidFill>
          </w14:textFill>
        </w:rPr>
        <w:t>，</w:t>
      </w:r>
      <w:r>
        <w:rPr>
          <w:rStyle w:val="12"/>
          <w:rFonts w:hint="eastAsia" w:ascii="仿宋" w:hAnsi="仿宋" w:eastAsia="仿宋"/>
          <w:bCs/>
          <w:color w:val="000000" w:themeColor="text1"/>
          <w:sz w:val="32"/>
          <w:szCs w:val="32"/>
          <w14:textFill>
            <w14:solidFill>
              <w14:schemeClr w14:val="tx1"/>
            </w14:solidFill>
          </w14:textFill>
        </w:rPr>
        <w:t>完成</w:t>
      </w:r>
      <w:r>
        <w:rPr>
          <w:rStyle w:val="12"/>
          <w:rFonts w:hint="eastAsia" w:ascii="仿宋" w:hAnsi="仿宋" w:eastAsia="仿宋"/>
          <w:bCs/>
          <w:color w:val="000000"/>
          <w:sz w:val="32"/>
          <w:szCs w:val="32"/>
        </w:rPr>
        <w:t>预算</w:t>
      </w:r>
      <w:r>
        <w:rPr>
          <w:rStyle w:val="12"/>
          <w:rFonts w:hint="eastAsia" w:ascii="仿宋" w:hAnsi="仿宋" w:eastAsia="仿宋"/>
          <w:bCs/>
          <w:color w:val="000000"/>
          <w:sz w:val="32"/>
          <w:szCs w:val="32"/>
          <w:lang w:val="en-US" w:eastAsia="zh-CN"/>
        </w:rPr>
        <w:t>100</w:t>
      </w:r>
      <w:r>
        <w:rPr>
          <w:rStyle w:val="12"/>
          <w:rFonts w:ascii="仿宋" w:hAnsi="仿宋" w:eastAsia="仿宋"/>
          <w:bCs/>
          <w:color w:val="000000"/>
          <w:sz w:val="32"/>
          <w:szCs w:val="32"/>
        </w:rPr>
        <w:t>%</w:t>
      </w:r>
      <w:r>
        <w:rPr>
          <w:rStyle w:val="12"/>
          <w:rFonts w:hint="eastAsia" w:ascii="仿宋" w:hAnsi="仿宋" w:eastAsia="仿宋"/>
          <w:bCs/>
          <w:color w:val="000000"/>
          <w:sz w:val="32"/>
          <w:szCs w:val="32"/>
        </w:rPr>
        <w:t>。其中：</w:t>
      </w:r>
      <w:bookmarkEnd w:id="36"/>
      <w:bookmarkEnd w:id="37"/>
      <w:bookmarkEnd w:id="38"/>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1.社会保障和就业支出</w:t>
      </w:r>
      <w:r>
        <w:rPr>
          <w:rFonts w:hint="eastAsia" w:ascii="仿宋" w:hAnsi="仿宋" w:eastAsia="仿宋"/>
          <w:sz w:val="32"/>
          <w:szCs w:val="32"/>
          <w:lang w:val="en-US" w:eastAsia="zh-CN"/>
        </w:rPr>
        <w:t>309.18</w:t>
      </w:r>
      <w:r>
        <w:rPr>
          <w:rFonts w:hint="eastAsia" w:ascii="仿宋" w:hAnsi="仿宋" w:eastAsia="仿宋"/>
          <w:sz w:val="32"/>
          <w:szCs w:val="32"/>
        </w:rPr>
        <w:t>万元；其中：（208010</w:t>
      </w:r>
      <w:r>
        <w:rPr>
          <w:rFonts w:hint="eastAsia" w:ascii="仿宋" w:hAnsi="仿宋" w:eastAsia="仿宋"/>
          <w:sz w:val="32"/>
          <w:szCs w:val="32"/>
          <w:lang w:val="en-US" w:eastAsia="zh-CN"/>
        </w:rPr>
        <w:t>9</w:t>
      </w:r>
      <w:r>
        <w:rPr>
          <w:rFonts w:hint="eastAsia" w:ascii="仿宋" w:hAnsi="仿宋" w:eastAsia="仿宋"/>
          <w:sz w:val="32"/>
          <w:szCs w:val="32"/>
        </w:rPr>
        <w:t>社会保险</w:t>
      </w:r>
      <w:r>
        <w:rPr>
          <w:rFonts w:hint="eastAsia" w:ascii="仿宋" w:hAnsi="仿宋" w:eastAsia="仿宋"/>
          <w:sz w:val="32"/>
          <w:szCs w:val="32"/>
          <w:lang w:eastAsia="zh-CN"/>
        </w:rPr>
        <w:t>经办机构</w:t>
      </w:r>
      <w:r>
        <w:rPr>
          <w:rFonts w:hint="eastAsia" w:ascii="仿宋" w:hAnsi="仿宋" w:eastAsia="仿宋"/>
          <w:sz w:val="32"/>
          <w:szCs w:val="32"/>
        </w:rPr>
        <w:t>）: 支出决算为</w:t>
      </w:r>
      <w:r>
        <w:rPr>
          <w:rFonts w:hint="eastAsia" w:ascii="仿宋" w:hAnsi="仿宋" w:eastAsia="仿宋"/>
          <w:sz w:val="32"/>
          <w:szCs w:val="32"/>
          <w:lang w:val="en-US" w:eastAsia="zh-CN"/>
        </w:rPr>
        <w:t>260.23</w:t>
      </w:r>
      <w:r>
        <w:rPr>
          <w:rFonts w:hint="eastAsia" w:ascii="仿宋" w:hAnsi="仿宋" w:eastAsia="仿宋"/>
          <w:sz w:val="32"/>
          <w:szCs w:val="32"/>
        </w:rPr>
        <w:t>万元，完成预算100%；（2080505机关事业单位基本养老保险缴费支出）：支出决算为</w:t>
      </w:r>
      <w:r>
        <w:rPr>
          <w:rFonts w:hint="eastAsia" w:ascii="仿宋" w:hAnsi="仿宋" w:eastAsia="仿宋"/>
          <w:sz w:val="32"/>
          <w:szCs w:val="32"/>
          <w:lang w:val="en-US" w:eastAsia="zh-CN"/>
        </w:rPr>
        <w:t>34.96</w:t>
      </w:r>
      <w:r>
        <w:rPr>
          <w:rFonts w:hint="eastAsia" w:ascii="仿宋" w:hAnsi="仿宋" w:eastAsia="仿宋"/>
          <w:sz w:val="32"/>
          <w:szCs w:val="32"/>
        </w:rPr>
        <w:t>万元，完成预算100%；（2080506机关事业单位职业年金缴费支出）：支出决算为</w:t>
      </w:r>
      <w:r>
        <w:rPr>
          <w:rFonts w:hint="eastAsia" w:ascii="仿宋" w:hAnsi="仿宋" w:eastAsia="仿宋"/>
          <w:sz w:val="32"/>
          <w:szCs w:val="32"/>
          <w:lang w:val="en-US" w:eastAsia="zh-CN"/>
        </w:rPr>
        <w:t>13.99</w:t>
      </w:r>
      <w:r>
        <w:rPr>
          <w:rFonts w:hint="eastAsia" w:ascii="仿宋" w:hAnsi="仿宋" w:eastAsia="仿宋"/>
          <w:sz w:val="32"/>
          <w:szCs w:val="32"/>
        </w:rPr>
        <w:t>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2.医疗卫生与计划生育支出</w:t>
      </w:r>
      <w:r>
        <w:rPr>
          <w:rFonts w:hint="eastAsia" w:ascii="仿宋" w:hAnsi="仿宋" w:eastAsia="仿宋"/>
          <w:sz w:val="32"/>
          <w:szCs w:val="32"/>
          <w:lang w:val="en-US" w:eastAsia="zh-CN"/>
        </w:rPr>
        <w:t>11.70</w:t>
      </w:r>
      <w:r>
        <w:rPr>
          <w:rFonts w:hint="eastAsia" w:ascii="仿宋" w:hAnsi="仿宋" w:eastAsia="仿宋"/>
          <w:sz w:val="32"/>
          <w:szCs w:val="32"/>
        </w:rPr>
        <w:t>万元；其中；（210</w:t>
      </w:r>
      <w:r>
        <w:rPr>
          <w:rFonts w:hint="eastAsia" w:ascii="仿宋" w:hAnsi="仿宋" w:eastAsia="仿宋"/>
          <w:sz w:val="32"/>
          <w:szCs w:val="32"/>
          <w:lang w:val="en-US" w:eastAsia="zh-CN"/>
        </w:rPr>
        <w:t>1102</w:t>
      </w:r>
      <w:r>
        <w:rPr>
          <w:rFonts w:hint="eastAsia" w:ascii="仿宋" w:hAnsi="仿宋" w:eastAsia="仿宋"/>
          <w:sz w:val="32"/>
          <w:szCs w:val="32"/>
          <w:lang w:eastAsia="zh-CN"/>
        </w:rPr>
        <w:t>事业单位医疗</w:t>
      </w:r>
      <w:r>
        <w:rPr>
          <w:rFonts w:hint="eastAsia" w:ascii="仿宋" w:hAnsi="仿宋" w:eastAsia="仿宋"/>
          <w:sz w:val="32"/>
          <w:szCs w:val="32"/>
        </w:rPr>
        <w:t>）:支出决算为</w:t>
      </w:r>
      <w:r>
        <w:rPr>
          <w:rFonts w:hint="eastAsia" w:ascii="仿宋" w:hAnsi="仿宋" w:eastAsia="仿宋"/>
          <w:sz w:val="32"/>
          <w:szCs w:val="32"/>
          <w:lang w:val="en-US" w:eastAsia="zh-CN"/>
        </w:rPr>
        <w:t>11.70</w:t>
      </w:r>
      <w:r>
        <w:rPr>
          <w:rFonts w:hint="eastAsia" w:ascii="仿宋" w:hAnsi="仿宋" w:eastAsia="仿宋"/>
          <w:sz w:val="32"/>
          <w:szCs w:val="32"/>
        </w:rPr>
        <w:t>万元，完成预算100%；</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3.住房保障支出支出</w:t>
      </w:r>
      <w:r>
        <w:rPr>
          <w:rFonts w:hint="eastAsia" w:ascii="仿宋" w:hAnsi="仿宋" w:eastAsia="仿宋"/>
          <w:sz w:val="32"/>
          <w:szCs w:val="32"/>
          <w:lang w:val="en-US" w:eastAsia="zh-CN"/>
        </w:rPr>
        <w:t>23.38</w:t>
      </w:r>
      <w:r>
        <w:rPr>
          <w:rFonts w:hint="eastAsia" w:ascii="仿宋" w:hAnsi="仿宋" w:eastAsia="仿宋"/>
          <w:sz w:val="32"/>
          <w:szCs w:val="32"/>
        </w:rPr>
        <w:t>万元；其中；（2210201住房公积金）:支出决算为</w:t>
      </w:r>
      <w:r>
        <w:rPr>
          <w:rFonts w:hint="eastAsia" w:ascii="仿宋" w:hAnsi="仿宋" w:eastAsia="仿宋"/>
          <w:sz w:val="32"/>
          <w:szCs w:val="32"/>
          <w:lang w:val="en-US" w:eastAsia="zh-CN"/>
        </w:rPr>
        <w:t>23.38</w:t>
      </w:r>
      <w:r>
        <w:rPr>
          <w:rFonts w:hint="eastAsia" w:ascii="仿宋" w:hAnsi="仿宋" w:eastAsia="仿宋"/>
          <w:sz w:val="32"/>
          <w:szCs w:val="32"/>
        </w:rPr>
        <w:t>万元，完成预算100%。</w:t>
      </w:r>
    </w:p>
    <w:p>
      <w:pPr>
        <w:tabs>
          <w:tab w:val="right" w:pos="8306"/>
        </w:tabs>
        <w:spacing w:line="600" w:lineRule="exact"/>
        <w:ind w:firstLine="640"/>
        <w:outlineLvl w:val="1"/>
        <w:rPr>
          <w:rStyle w:val="15"/>
        </w:rPr>
      </w:pPr>
      <w:bookmarkStart w:id="39" w:name="_Toc15396608"/>
      <w:bookmarkStart w:id="40"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39"/>
      <w:bookmarkEnd w:id="40"/>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color w:val="000000"/>
          <w:sz w:val="32"/>
          <w:szCs w:val="32"/>
          <w:lang w:val="en-US" w:eastAsia="zh-CN"/>
        </w:rPr>
        <w:t>344.26</w:t>
      </w:r>
      <w:r>
        <w:rPr>
          <w:rFonts w:hint="eastAsia" w:ascii="仿宋" w:hAnsi="仿宋" w:eastAsia="仿宋"/>
          <w:color w:val="000000"/>
          <w:sz w:val="32"/>
          <w:szCs w:val="32"/>
        </w:rPr>
        <w:t>万元，其中：人员经费</w:t>
      </w:r>
      <w:r>
        <w:rPr>
          <w:rFonts w:hint="eastAsia" w:ascii="仿宋" w:hAnsi="仿宋" w:eastAsia="仿宋"/>
          <w:color w:val="000000"/>
          <w:sz w:val="32"/>
          <w:szCs w:val="32"/>
          <w:lang w:val="en-US" w:eastAsia="zh-CN"/>
        </w:rPr>
        <w:t>319.57</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color w:val="000000"/>
          <w:sz w:val="32"/>
          <w:szCs w:val="32"/>
          <w:lang w:val="en-US" w:eastAsia="zh-CN"/>
        </w:rPr>
        <w:t>24.69</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firstLineChars="200"/>
        <w:outlineLvl w:val="1"/>
        <w:rPr>
          <w:rStyle w:val="15"/>
          <w:rFonts w:ascii="黑体" w:hAnsi="黑体" w:eastAsia="黑体"/>
          <w:b w:val="0"/>
        </w:rPr>
      </w:pPr>
      <w:bookmarkStart w:id="41" w:name="_Toc15396609"/>
      <w:bookmarkStart w:id="42" w:name="_Toc15377215"/>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41"/>
      <w:bookmarkEnd w:id="42"/>
    </w:p>
    <w:p>
      <w:pPr>
        <w:spacing w:line="600" w:lineRule="exact"/>
        <w:ind w:firstLine="640"/>
        <w:outlineLvl w:val="2"/>
        <w:rPr>
          <w:rFonts w:ascii="仿宋" w:hAnsi="仿宋" w:eastAsia="仿宋"/>
          <w:b/>
          <w:color w:val="000000"/>
          <w:sz w:val="32"/>
          <w:szCs w:val="32"/>
        </w:rPr>
      </w:pPr>
      <w:bookmarkStart w:id="43" w:name="_Toc15377216"/>
      <w:r>
        <w:rPr>
          <w:rFonts w:hint="eastAsia" w:ascii="仿宋" w:hAnsi="仿宋" w:eastAsia="仿宋"/>
          <w:b/>
          <w:color w:val="000000"/>
          <w:sz w:val="32"/>
          <w:szCs w:val="32"/>
        </w:rPr>
        <w:t>（一）“三公”经费财政拨款支出决算总体情况说明</w:t>
      </w:r>
      <w:bookmarkEnd w:id="43"/>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lang w:val="en-US" w:eastAsia="zh-CN"/>
        </w:rPr>
        <w:t>,</w:t>
      </w:r>
      <w:r>
        <w:rPr>
          <w:rFonts w:hint="eastAsia" w:ascii="仿宋" w:hAnsi="仿宋" w:eastAsia="仿宋"/>
          <w:sz w:val="32"/>
          <w:szCs w:val="32"/>
        </w:rPr>
        <w:t>是本年无公务接待费，本年无因公出国（境）费，</w:t>
      </w:r>
      <w:r>
        <w:rPr>
          <w:rFonts w:hint="eastAsia" w:ascii="仿宋" w:hAnsi="仿宋" w:eastAsia="仿宋"/>
          <w:sz w:val="32"/>
          <w:szCs w:val="32"/>
          <w:lang w:eastAsia="zh-CN"/>
        </w:rPr>
        <w:t>无</w:t>
      </w:r>
      <w:r>
        <w:rPr>
          <w:rFonts w:hint="eastAsia" w:ascii="仿宋" w:hAnsi="仿宋" w:eastAsia="仿宋"/>
          <w:sz w:val="32"/>
          <w:szCs w:val="32"/>
        </w:rPr>
        <w:t>公务车购置及运行维护费支出。</w:t>
      </w:r>
    </w:p>
    <w:p>
      <w:pPr>
        <w:spacing w:line="600" w:lineRule="exact"/>
        <w:ind w:firstLine="643" w:firstLineChars="200"/>
        <w:outlineLvl w:val="2"/>
        <w:rPr>
          <w:rFonts w:ascii="仿宋" w:hAnsi="仿宋" w:eastAsia="仿宋"/>
          <w:b/>
          <w:color w:val="000000"/>
          <w:sz w:val="32"/>
          <w:szCs w:val="32"/>
        </w:rPr>
      </w:pPr>
      <w:bookmarkStart w:id="44" w:name="_Toc15377217"/>
      <w:r>
        <w:rPr>
          <w:rFonts w:hint="eastAsia" w:ascii="仿宋" w:hAnsi="仿宋" w:eastAsia="仿宋"/>
          <w:b/>
          <w:color w:val="000000"/>
          <w:sz w:val="32"/>
          <w:szCs w:val="32"/>
        </w:rPr>
        <w:t>（二）“三公”经费财政拨款支出决算具体情况说明</w:t>
      </w:r>
      <w:bookmarkEnd w:id="44"/>
    </w:p>
    <w:p>
      <w:pPr>
        <w:spacing w:line="600" w:lineRule="exact"/>
        <w:ind w:firstLine="640"/>
        <w:rPr>
          <w:rFonts w:ascii="FangSong_GB2312" w:eastAsia="FangSong_GB2312"/>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Style w:val="15"/>
          <w:rFonts w:ascii="黑体" w:hAnsi="黑体" w:eastAsia="黑体"/>
        </w:rPr>
      </w:pPr>
      <w:bookmarkStart w:id="45" w:name="_Toc15377218"/>
      <w:bookmarkStart w:id="46" w:name="_Toc15396610"/>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45"/>
      <w:bookmarkEnd w:id="46"/>
    </w:p>
    <w:p>
      <w:pPr>
        <w:spacing w:line="600" w:lineRule="exact"/>
        <w:ind w:firstLine="640"/>
        <w:rPr>
          <w:rFonts w:ascii="FangSong_GB2312" w:eastAsia="FangSong_GB2312"/>
          <w:color w:val="000000"/>
          <w:sz w:val="32"/>
          <w:szCs w:val="32"/>
        </w:rPr>
      </w:pPr>
      <w:r>
        <w:rPr>
          <w:rFonts w:ascii="FangSong_GB2312" w:eastAsia="FangSong_GB2312"/>
          <w:color w:val="000000"/>
          <w:sz w:val="32"/>
          <w:szCs w:val="32"/>
        </w:rPr>
        <w:t>201</w:t>
      </w:r>
      <w:r>
        <w:rPr>
          <w:rFonts w:hint="eastAsia" w:ascii="FangSong_GB2312" w:eastAsia="FangSong_GB2312"/>
          <w:color w:val="000000"/>
          <w:sz w:val="32"/>
          <w:szCs w:val="32"/>
        </w:rPr>
        <w:t>8年政府性基金预算拨款支出</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w:t>
      </w:r>
    </w:p>
    <w:p>
      <w:pPr>
        <w:numPr>
          <w:ilvl w:val="0"/>
          <w:numId w:val="0"/>
        </w:numPr>
        <w:spacing w:line="600" w:lineRule="exact"/>
        <w:ind w:firstLine="640" w:firstLineChars="200"/>
        <w:outlineLvl w:val="1"/>
        <w:rPr>
          <w:rStyle w:val="15"/>
          <w:rFonts w:ascii="黑体" w:hAnsi="黑体" w:eastAsia="黑体"/>
          <w:b w:val="0"/>
        </w:rPr>
      </w:pPr>
      <w:bookmarkStart w:id="47" w:name="_Toc15377219"/>
      <w:bookmarkStart w:id="48" w:name="_Toc15396611"/>
      <w:r>
        <w:rPr>
          <w:rStyle w:val="15"/>
          <w:rFonts w:hint="eastAsia" w:ascii="黑体" w:hAnsi="黑体" w:eastAsia="黑体"/>
          <w:b w:val="0"/>
          <w:lang w:eastAsia="zh-CN"/>
        </w:rPr>
        <w:t>九、</w:t>
      </w:r>
      <w:r>
        <w:rPr>
          <w:rStyle w:val="15"/>
          <w:rFonts w:hint="eastAsia" w:ascii="黑体" w:hAnsi="黑体" w:eastAsia="黑体"/>
          <w:b w:val="0"/>
        </w:rPr>
        <w:t>国有资本经营预算支出决算情况说明</w:t>
      </w:r>
      <w:bookmarkEnd w:id="47"/>
      <w:bookmarkEnd w:id="48"/>
    </w:p>
    <w:p>
      <w:pPr>
        <w:spacing w:line="600" w:lineRule="exact"/>
        <w:ind w:firstLine="640"/>
        <w:rPr>
          <w:rFonts w:ascii="FangSong_GB2312" w:eastAsia="FangSong_GB2312"/>
          <w:color w:val="000000"/>
          <w:sz w:val="32"/>
          <w:szCs w:val="32"/>
        </w:rPr>
      </w:pPr>
      <w:r>
        <w:rPr>
          <w:rFonts w:ascii="FangSong_GB2312" w:eastAsia="FangSong_GB2312"/>
          <w:color w:val="000000"/>
          <w:sz w:val="32"/>
          <w:szCs w:val="32"/>
        </w:rPr>
        <w:t>201</w:t>
      </w:r>
      <w:r>
        <w:rPr>
          <w:rFonts w:hint="eastAsia" w:ascii="FangSong_GB2312" w:eastAsia="FangSong_GB2312"/>
          <w:color w:val="000000"/>
          <w:sz w:val="32"/>
          <w:szCs w:val="32"/>
        </w:rPr>
        <w:t>8年国有资本经营预算拨款支出</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万元。</w:t>
      </w:r>
    </w:p>
    <w:p>
      <w:pPr>
        <w:pStyle w:val="16"/>
        <w:numPr>
          <w:ilvl w:val="0"/>
          <w:numId w:val="3"/>
        </w:numPr>
        <w:spacing w:line="580" w:lineRule="exact"/>
        <w:ind w:firstLineChars="0"/>
        <w:rPr>
          <w:rStyle w:val="15"/>
          <w:rFonts w:ascii="黑体" w:hAnsi="黑体" w:eastAsia="黑体"/>
          <w:b w:val="0"/>
        </w:rPr>
      </w:pPr>
      <w:r>
        <w:rPr>
          <w:rStyle w:val="15"/>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KaiTi_GB2312"/>
          <w:b/>
          <w:bCs/>
          <w:sz w:val="32"/>
          <w:szCs w:val="32"/>
        </w:rPr>
      </w:pPr>
      <w:r>
        <w:rPr>
          <w:rFonts w:hint="eastAsia" w:ascii="仿宋" w:hAnsi="仿宋" w:eastAsia="仿宋" w:cs="KaiTi_GB2312"/>
          <w:b/>
          <w:bCs/>
          <w:sz w:val="32"/>
          <w:szCs w:val="32"/>
        </w:rPr>
        <w:t>预算绩效管理工作开展情况。</w:t>
      </w:r>
    </w:p>
    <w:p>
      <w:pPr>
        <w:spacing w:line="580" w:lineRule="exact"/>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lang w:eastAsia="zh-CN"/>
        </w:rPr>
        <w:t>本单位</w:t>
      </w:r>
      <w:r>
        <w:rPr>
          <w:rFonts w:hint="eastAsia" w:ascii="FangSong_GB2312" w:hAnsi="FangSong_GB2312" w:eastAsia="FangSong_GB2312" w:cs="FangSong_GB2312"/>
          <w:sz w:val="32"/>
          <w:szCs w:val="32"/>
          <w:lang w:val="en-US" w:eastAsia="zh-CN"/>
        </w:rPr>
        <w:t>2018年无纳入的预算绩效管理项目。</w:t>
      </w:r>
    </w:p>
    <w:p>
      <w:pPr>
        <w:spacing w:line="600" w:lineRule="exact"/>
        <w:ind w:firstLine="640" w:firstLineChars="200"/>
        <w:outlineLvl w:val="1"/>
        <w:rPr>
          <w:rStyle w:val="15"/>
          <w:rFonts w:ascii="黑体" w:hAnsi="黑体" w:eastAsia="黑体"/>
        </w:rPr>
      </w:pPr>
      <w:bookmarkStart w:id="49" w:name="_Toc15396612"/>
      <w:bookmarkStart w:id="50" w:name="_Toc15377221"/>
      <w:r>
        <w:rPr>
          <w:rFonts w:hint="eastAsia" w:ascii="黑体" w:hAnsi="黑体" w:eastAsia="黑体"/>
          <w:color w:val="000000"/>
          <w:sz w:val="32"/>
          <w:szCs w:val="32"/>
        </w:rPr>
        <w:t>十</w:t>
      </w:r>
      <w:r>
        <w:rPr>
          <w:rStyle w:val="15"/>
          <w:rFonts w:hint="eastAsia" w:ascii="黑体" w:hAnsi="黑体" w:eastAsia="黑体"/>
        </w:rPr>
        <w:t>一、</w:t>
      </w:r>
      <w:r>
        <w:rPr>
          <w:rStyle w:val="15"/>
          <w:rFonts w:hint="eastAsia" w:ascii="黑体" w:hAnsi="黑体" w:eastAsia="黑体"/>
          <w:b w:val="0"/>
        </w:rPr>
        <w:t>其他重要事项的情况说明</w:t>
      </w:r>
      <w:bookmarkEnd w:id="49"/>
      <w:bookmarkEnd w:id="50"/>
    </w:p>
    <w:p>
      <w:pPr>
        <w:spacing w:line="600" w:lineRule="exact"/>
        <w:ind w:firstLine="643" w:firstLineChars="200"/>
        <w:outlineLvl w:val="2"/>
        <w:rPr>
          <w:rFonts w:ascii="仿宋" w:hAnsi="仿宋" w:eastAsia="仿宋"/>
          <w:color w:val="000000"/>
          <w:sz w:val="32"/>
          <w:szCs w:val="32"/>
        </w:rPr>
      </w:pPr>
      <w:bookmarkStart w:id="51" w:name="_Toc15377222"/>
      <w:r>
        <w:rPr>
          <w:rFonts w:hint="eastAsia" w:ascii="仿宋" w:hAnsi="仿宋" w:eastAsia="仿宋"/>
          <w:b/>
          <w:color w:val="000000"/>
          <w:sz w:val="32"/>
          <w:szCs w:val="32"/>
        </w:rPr>
        <w:t>（一）机关运行经费支出情况</w:t>
      </w:r>
      <w:bookmarkEnd w:id="51"/>
    </w:p>
    <w:p>
      <w:pPr>
        <w:spacing w:line="600" w:lineRule="exact"/>
        <w:ind w:firstLine="640" w:firstLineChars="200"/>
        <w:rPr>
          <w:rFonts w:hint="eastAsia" w:ascii="仿宋" w:hAnsi="仿宋" w:eastAsia="仿宋"/>
          <w:color w:val="000000"/>
          <w:sz w:val="32"/>
          <w:szCs w:val="32"/>
          <w:lang w:val="en-US" w:eastAsia="zh-CN"/>
        </w:rPr>
      </w:pPr>
      <w:r>
        <w:rPr>
          <w:rFonts w:ascii="FangSong_GB2312" w:eastAsia="FangSong_GB2312"/>
          <w:color w:val="000000"/>
          <w:sz w:val="32"/>
          <w:szCs w:val="32"/>
        </w:rPr>
        <w:t>201</w:t>
      </w:r>
      <w:r>
        <w:rPr>
          <w:rFonts w:hint="eastAsia" w:ascii="FangSong_GB2312" w:eastAsia="FangSong_GB2312"/>
          <w:color w:val="000000"/>
          <w:sz w:val="32"/>
          <w:szCs w:val="32"/>
        </w:rPr>
        <w:t>8年，</w:t>
      </w:r>
      <w:r>
        <w:rPr>
          <w:rFonts w:hint="eastAsia" w:ascii="FangSong_GB2312" w:eastAsia="FangSong_GB2312"/>
          <w:color w:val="000000"/>
          <w:sz w:val="32"/>
          <w:szCs w:val="32"/>
          <w:lang w:eastAsia="zh-CN"/>
        </w:rPr>
        <w:t>本单位</w:t>
      </w:r>
      <w:r>
        <w:rPr>
          <w:rFonts w:hint="eastAsia" w:ascii="FangSong_GB2312" w:eastAsia="FangSong_GB2312"/>
          <w:color w:val="000000"/>
          <w:sz w:val="32"/>
          <w:szCs w:val="32"/>
        </w:rPr>
        <w:t>机关运行经费支出</w:t>
      </w:r>
      <w:r>
        <w:rPr>
          <w:rFonts w:hint="eastAsia" w:ascii="FangSong_GB2312" w:eastAsia="FangSong_GB2312"/>
          <w:color w:val="000000"/>
          <w:sz w:val="32"/>
          <w:szCs w:val="32"/>
          <w:lang w:val="en-US" w:eastAsia="zh-CN"/>
        </w:rPr>
        <w:t>24.68</w:t>
      </w:r>
      <w:r>
        <w:rPr>
          <w:rFonts w:hint="eastAsia" w:ascii="FangSong_GB2312" w:eastAsia="FangSong_GB2312"/>
          <w:color w:val="000000"/>
          <w:sz w:val="32"/>
          <w:szCs w:val="32"/>
        </w:rPr>
        <w:t>万元，比</w:t>
      </w:r>
      <w:r>
        <w:rPr>
          <w:rFonts w:ascii="FangSong_GB2312" w:eastAsia="FangSong_GB2312"/>
          <w:color w:val="000000"/>
          <w:sz w:val="32"/>
          <w:szCs w:val="32"/>
        </w:rPr>
        <w:t>201</w:t>
      </w:r>
      <w:r>
        <w:rPr>
          <w:rFonts w:hint="eastAsia" w:ascii="FangSong_GB2312" w:eastAsia="FangSong_GB2312"/>
          <w:color w:val="000000"/>
          <w:sz w:val="32"/>
          <w:szCs w:val="32"/>
        </w:rPr>
        <w:t>7年</w:t>
      </w:r>
      <w:r>
        <w:rPr>
          <w:rFonts w:hint="eastAsia" w:ascii="FangSong_GB2312" w:eastAsia="FangSong_GB2312"/>
          <w:color w:val="000000"/>
          <w:sz w:val="32"/>
          <w:szCs w:val="32"/>
          <w:lang w:val="en-US" w:eastAsia="zh-CN"/>
        </w:rPr>
        <w:t>11.17万元</w:t>
      </w:r>
      <w:r>
        <w:rPr>
          <w:rFonts w:hint="eastAsia" w:ascii="FangSong_GB2312" w:eastAsia="FangSong_GB2312"/>
          <w:color w:val="000000"/>
          <w:sz w:val="32"/>
          <w:szCs w:val="32"/>
        </w:rPr>
        <w:t>增加</w:t>
      </w:r>
      <w:r>
        <w:rPr>
          <w:rFonts w:hint="eastAsia" w:ascii="FangSong_GB2312" w:eastAsia="FangSong_GB2312"/>
          <w:color w:val="000000"/>
          <w:sz w:val="32"/>
          <w:szCs w:val="32"/>
          <w:lang w:eastAsia="zh-CN"/>
        </w:rPr>
        <w:t>了</w:t>
      </w:r>
      <w:r>
        <w:rPr>
          <w:rFonts w:hint="eastAsia" w:ascii="FangSong_GB2312" w:eastAsia="FangSong_GB2312"/>
          <w:color w:val="000000"/>
          <w:sz w:val="32"/>
          <w:szCs w:val="32"/>
          <w:lang w:val="en-US" w:eastAsia="zh-CN"/>
        </w:rPr>
        <w:t>13.51</w:t>
      </w:r>
      <w:r>
        <w:rPr>
          <w:rFonts w:hint="eastAsia" w:ascii="FangSong_GB2312" w:eastAsia="FangSong_GB2312"/>
          <w:color w:val="000000"/>
          <w:sz w:val="32"/>
          <w:szCs w:val="32"/>
        </w:rPr>
        <w:t>万元，增长</w:t>
      </w:r>
      <w:r>
        <w:rPr>
          <w:rFonts w:hint="eastAsia" w:ascii="FangSong_GB2312" w:eastAsia="FangSong_GB2312"/>
          <w:color w:val="000000"/>
          <w:sz w:val="32"/>
          <w:szCs w:val="32"/>
          <w:lang w:eastAsia="zh-CN"/>
        </w:rPr>
        <w:t>了</w:t>
      </w:r>
      <w:r>
        <w:rPr>
          <w:rFonts w:hint="eastAsia" w:ascii="FangSong_GB2312" w:eastAsia="FangSong_GB2312"/>
          <w:color w:val="000000"/>
          <w:sz w:val="32"/>
          <w:szCs w:val="32"/>
          <w:lang w:val="en-US" w:eastAsia="zh-CN"/>
        </w:rPr>
        <w:t>120.95</w:t>
      </w:r>
      <w:r>
        <w:rPr>
          <w:rFonts w:ascii="FangSong_GB2312" w:eastAsia="FangSong_GB2312"/>
          <w:color w:val="000000"/>
          <w:sz w:val="32"/>
          <w:szCs w:val="32"/>
        </w:rPr>
        <w:t>%</w:t>
      </w:r>
      <w:r>
        <w:rPr>
          <w:rFonts w:hint="eastAsia" w:ascii="FangSong_GB2312" w:eastAsia="FangSong_GB2312"/>
          <w:color w:val="000000"/>
          <w:sz w:val="32"/>
          <w:szCs w:val="32"/>
          <w:lang w:eastAsia="zh-CN"/>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2018年初由以前壤塘县原新型农村合作医疗办公室与原壤塘县医疗保险管理局合并成了新壤塘县医疗保险管理局，职工人数由10人增加到19人。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2" w:name="_Toc15377223"/>
      <w:r>
        <w:rPr>
          <w:rFonts w:hint="eastAsia" w:ascii="仿宋" w:hAnsi="仿宋" w:eastAsia="仿宋"/>
          <w:b/>
          <w:color w:val="000000"/>
          <w:sz w:val="32"/>
          <w:szCs w:val="32"/>
        </w:rPr>
        <w:t>（二）政府采购支出情况</w:t>
      </w:r>
      <w:bookmarkEnd w:id="52"/>
    </w:p>
    <w:p>
      <w:pPr>
        <w:spacing w:line="600" w:lineRule="exact"/>
        <w:ind w:firstLine="640" w:firstLineChars="200"/>
        <w:rPr>
          <w:rFonts w:hint="eastAsia" w:ascii="FangSong_GB2312" w:eastAsia="FangSong_GB2312"/>
          <w:color w:val="000000"/>
          <w:sz w:val="32"/>
          <w:szCs w:val="32"/>
          <w:lang w:eastAsia="zh-CN"/>
        </w:rPr>
      </w:pPr>
      <w:r>
        <w:rPr>
          <w:rFonts w:ascii="FangSong_GB2312" w:eastAsia="FangSong_GB2312"/>
          <w:color w:val="000000"/>
          <w:sz w:val="32"/>
          <w:szCs w:val="32"/>
        </w:rPr>
        <w:t>201</w:t>
      </w:r>
      <w:r>
        <w:rPr>
          <w:rFonts w:hint="eastAsia" w:ascii="FangSong_GB2312" w:eastAsia="FangSong_GB2312"/>
          <w:color w:val="000000"/>
          <w:sz w:val="32"/>
          <w:szCs w:val="32"/>
        </w:rPr>
        <w:t>8年，</w:t>
      </w:r>
      <w:r>
        <w:rPr>
          <w:rFonts w:hint="eastAsia" w:ascii="FangSong_GB2312" w:eastAsia="FangSong_GB2312"/>
          <w:color w:val="000000"/>
          <w:sz w:val="32"/>
          <w:szCs w:val="32"/>
          <w:lang w:eastAsia="zh-CN"/>
        </w:rPr>
        <w:t>本单位没有政府采购支出。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4"/>
      <w:r>
        <w:rPr>
          <w:rFonts w:hint="eastAsia" w:ascii="仿宋" w:hAnsi="仿宋" w:eastAsia="仿宋"/>
          <w:b/>
          <w:color w:val="000000"/>
          <w:sz w:val="32"/>
          <w:szCs w:val="32"/>
        </w:rPr>
        <w:t>（三）国有资产占有使用情况</w:t>
      </w:r>
      <w:bookmarkEnd w:id="53"/>
    </w:p>
    <w:p>
      <w:pPr>
        <w:autoSpaceDE w:val="0"/>
        <w:autoSpaceDN w:val="0"/>
        <w:adjustRightInd w:val="0"/>
        <w:spacing w:line="600" w:lineRule="exact"/>
        <w:ind w:firstLine="640" w:firstLineChars="200"/>
        <w:jc w:val="left"/>
        <w:rPr>
          <w:rFonts w:ascii="FangSong_GB2312" w:eastAsia="FangSong_GB2312"/>
          <w:color w:val="000000"/>
          <w:sz w:val="32"/>
          <w:szCs w:val="32"/>
        </w:rPr>
      </w:pPr>
      <w:r>
        <w:rPr>
          <w:rFonts w:hint="eastAsia" w:ascii="FangSong_GB2312" w:eastAsia="FangSong_GB2312"/>
          <w:color w:val="000000"/>
          <w:sz w:val="32"/>
          <w:szCs w:val="32"/>
        </w:rPr>
        <w:t>截至</w:t>
      </w:r>
      <w:r>
        <w:rPr>
          <w:rFonts w:ascii="FangSong_GB2312" w:eastAsia="FangSong_GB2312"/>
          <w:color w:val="000000"/>
          <w:sz w:val="32"/>
          <w:szCs w:val="32"/>
        </w:rPr>
        <w:t>201</w:t>
      </w:r>
      <w:r>
        <w:rPr>
          <w:rFonts w:hint="eastAsia" w:ascii="FangSong_GB2312" w:eastAsia="FangSong_GB2312"/>
          <w:color w:val="000000"/>
          <w:sz w:val="32"/>
          <w:szCs w:val="32"/>
        </w:rPr>
        <w:t>8年</w:t>
      </w:r>
      <w:r>
        <w:rPr>
          <w:rFonts w:ascii="FangSong_GB2312" w:eastAsia="FangSong_GB2312"/>
          <w:color w:val="000000"/>
          <w:sz w:val="32"/>
          <w:szCs w:val="32"/>
        </w:rPr>
        <w:t>12</w:t>
      </w:r>
      <w:r>
        <w:rPr>
          <w:rFonts w:hint="eastAsia" w:ascii="FangSong_GB2312" w:eastAsia="FangSong_GB2312"/>
          <w:color w:val="000000"/>
          <w:sz w:val="32"/>
          <w:szCs w:val="32"/>
        </w:rPr>
        <w:t>月</w:t>
      </w:r>
      <w:r>
        <w:rPr>
          <w:rFonts w:ascii="FangSong_GB2312" w:eastAsia="FangSong_GB2312"/>
          <w:color w:val="000000"/>
          <w:sz w:val="32"/>
          <w:szCs w:val="32"/>
        </w:rPr>
        <w:t>31</w:t>
      </w:r>
      <w:r>
        <w:rPr>
          <w:rFonts w:hint="eastAsia" w:ascii="FangSong_GB2312" w:eastAsia="FangSong_GB2312"/>
          <w:color w:val="000000"/>
          <w:sz w:val="32"/>
          <w:szCs w:val="32"/>
        </w:rPr>
        <w:t>日，</w:t>
      </w:r>
      <w:r>
        <w:rPr>
          <w:rFonts w:hint="eastAsia" w:ascii="FangSong_GB2312" w:eastAsia="FangSong_GB2312"/>
          <w:color w:val="000000"/>
          <w:sz w:val="32"/>
          <w:szCs w:val="32"/>
          <w:lang w:eastAsia="zh-CN"/>
        </w:rPr>
        <w:t>本单位</w:t>
      </w:r>
      <w:r>
        <w:rPr>
          <w:rFonts w:hint="eastAsia" w:ascii="FangSong_GB2312" w:eastAsia="FangSong_GB2312"/>
          <w:color w:val="000000"/>
          <w:sz w:val="32"/>
          <w:szCs w:val="32"/>
        </w:rPr>
        <w:t>共有车辆</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辆，其中：部级领导干部用车</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辆、一般公务用车</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辆、一般执法执勤用车</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辆、特种专业技术用车</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辆、其他用车</w:t>
      </w:r>
      <w:r>
        <w:rPr>
          <w:rFonts w:hint="eastAsia" w:ascii="FangSong_GB2312" w:eastAsia="FangSong_GB2312"/>
          <w:color w:val="000000"/>
          <w:sz w:val="32"/>
          <w:szCs w:val="32"/>
          <w:lang w:val="en-US" w:eastAsia="zh-CN"/>
        </w:rPr>
        <w:t>0</w:t>
      </w:r>
      <w:r>
        <w:rPr>
          <w:rFonts w:hint="eastAsia" w:ascii="FangSong_GB2312" w:eastAsia="FangSong_GB2312"/>
          <w:color w:val="000000"/>
          <w:sz w:val="32"/>
          <w:szCs w:val="32"/>
        </w:rPr>
        <w:t>辆，。</w:t>
      </w:r>
    </w:p>
    <w:p>
      <w:pPr>
        <w:widowControl/>
        <w:ind w:firstLine="1767" w:firstLineChars="400"/>
        <w:jc w:val="left"/>
        <w:rPr>
          <w:rStyle w:val="14"/>
          <w:rFonts w:ascii="黑体" w:hAnsi="黑体" w:eastAsia="黑体"/>
          <w:b w:val="0"/>
        </w:rPr>
      </w:pPr>
      <w:bookmarkStart w:id="54" w:name="_Toc15396613"/>
      <w:bookmarkStart w:id="55" w:name="_Toc15377225"/>
      <w:r>
        <w:rPr>
          <w:rFonts w:hint="eastAsia" w:ascii="黑体" w:hAnsi="黑体" w:eastAsia="黑体"/>
          <w:b/>
          <w:color w:val="000000"/>
          <w:sz w:val="44"/>
          <w:szCs w:val="44"/>
          <w:lang w:eastAsia="zh-CN"/>
        </w:rPr>
        <w:t>第三部分</w:t>
      </w:r>
      <w:r>
        <w:rPr>
          <w:rFonts w:hint="eastAsia" w:ascii="黑体" w:hAnsi="黑体" w:eastAsia="黑体"/>
          <w:b/>
          <w:color w:val="000000"/>
          <w:sz w:val="44"/>
          <w:szCs w:val="44"/>
          <w:lang w:eastAsia="zh-CN"/>
        </w:rPr>
        <w:tab/>
      </w:r>
      <w:r>
        <w:rPr>
          <w:rFonts w:hint="eastAsia" w:ascii="黑体" w:hAnsi="黑体" w:eastAsia="黑体"/>
          <w:b/>
          <w:color w:val="000000"/>
          <w:sz w:val="44"/>
          <w:szCs w:val="44"/>
        </w:rPr>
        <w:t>名</w:t>
      </w:r>
      <w:r>
        <w:rPr>
          <w:rStyle w:val="14"/>
          <w:rFonts w:hint="eastAsia" w:ascii="黑体" w:hAnsi="黑体" w:eastAsia="黑体"/>
          <w:b w:val="0"/>
        </w:rPr>
        <w:t>词解释</w:t>
      </w:r>
      <w:bookmarkEnd w:id="54"/>
      <w:bookmarkEnd w:id="55"/>
    </w:p>
    <w:p>
      <w:pPr>
        <w:pStyle w:val="17"/>
        <w:spacing w:line="560" w:lineRule="exact"/>
        <w:ind w:firstLine="640" w:firstLineChars="200"/>
        <w:rPr>
          <w:rFonts w:ascii="FangSong_GB2312" w:eastAsia="FangSong_GB2312"/>
          <w:sz w:val="32"/>
          <w:szCs w:val="32"/>
        </w:rPr>
      </w:pPr>
      <w:r>
        <w:rPr>
          <w:rFonts w:ascii="FangSong_GB2312" w:eastAsia="FangSong_GB2312"/>
          <w:sz w:val="32"/>
          <w:szCs w:val="32"/>
        </w:rPr>
        <w:t>1.</w:t>
      </w:r>
      <w:r>
        <w:rPr>
          <w:rFonts w:hint="eastAsia" w:ascii="FangSong_GB2312" w:eastAsia="FangSong_GB2312"/>
          <w:sz w:val="32"/>
          <w:szCs w:val="32"/>
        </w:rPr>
        <w:t>财政拨款收入：指单位从同级财政部门取得的财政预算资金。</w:t>
      </w:r>
    </w:p>
    <w:p>
      <w:pPr>
        <w:pStyle w:val="17"/>
        <w:spacing w:line="560" w:lineRule="exact"/>
        <w:ind w:firstLine="640" w:firstLineChars="200"/>
        <w:rPr>
          <w:rFonts w:ascii="FangSong_GB2312" w:eastAsia="FangSong_GB2312"/>
          <w:sz w:val="32"/>
          <w:szCs w:val="32"/>
        </w:rPr>
      </w:pPr>
      <w:r>
        <w:rPr>
          <w:rFonts w:ascii="FangSong_GB2312" w:eastAsia="FangSong_GB2312"/>
          <w:sz w:val="32"/>
          <w:szCs w:val="32"/>
        </w:rPr>
        <w:t>2.</w:t>
      </w:r>
      <w:r>
        <w:rPr>
          <w:rFonts w:hint="eastAsia" w:ascii="FangSong_GB2312" w:eastAsia="FangSong_GB2312"/>
          <w:sz w:val="32"/>
          <w:szCs w:val="32"/>
        </w:rPr>
        <w:t>事业收入：指事业单位开展专业业务活动及辅助活动取得的收入。</w:t>
      </w:r>
    </w:p>
    <w:p>
      <w:pPr>
        <w:pStyle w:val="17"/>
        <w:spacing w:line="560" w:lineRule="exact"/>
        <w:ind w:firstLine="640" w:firstLineChars="200"/>
        <w:rPr>
          <w:rFonts w:hint="eastAsia" w:ascii="FangSong_GB2312" w:eastAsia="FangSong_GB2312"/>
          <w:sz w:val="32"/>
          <w:szCs w:val="32"/>
        </w:rPr>
      </w:pPr>
      <w:r>
        <w:rPr>
          <w:rFonts w:ascii="FangSong_GB2312" w:eastAsia="FangSong_GB2312"/>
          <w:sz w:val="32"/>
          <w:szCs w:val="32"/>
        </w:rPr>
        <w:t>3.</w:t>
      </w:r>
      <w:r>
        <w:rPr>
          <w:rFonts w:hint="eastAsia" w:ascii="FangSong_GB2312" w:eastAsia="FangSong_GB2312"/>
          <w:sz w:val="32"/>
          <w:szCs w:val="32"/>
        </w:rPr>
        <w:t>经营收入：指事业单位在专业业务活动及其辅助活动之外开展非独立核算经营活动取得的收入。</w:t>
      </w:r>
    </w:p>
    <w:p>
      <w:pPr>
        <w:pStyle w:val="17"/>
        <w:spacing w:line="560" w:lineRule="exact"/>
        <w:ind w:firstLine="640" w:firstLineChars="200"/>
        <w:rPr>
          <w:rFonts w:ascii="FangSong_GB2312" w:eastAsia="FangSong_GB2312"/>
          <w:sz w:val="32"/>
          <w:szCs w:val="32"/>
        </w:rPr>
      </w:pPr>
      <w:r>
        <w:rPr>
          <w:rFonts w:ascii="FangSong_GB2312" w:eastAsia="FangSong_GB2312"/>
          <w:sz w:val="32"/>
          <w:szCs w:val="32"/>
        </w:rPr>
        <w:t>4.</w:t>
      </w:r>
      <w:r>
        <w:rPr>
          <w:rFonts w:hint="eastAsia" w:ascii="FangSong_GB2312" w:eastAsia="FangSong_GB2312"/>
          <w:sz w:val="32"/>
          <w:szCs w:val="32"/>
        </w:rPr>
        <w:t>其他收入：指单位取得的除上述收入以外的各项收入。主要是。</w:t>
      </w:r>
    </w:p>
    <w:p>
      <w:pPr>
        <w:pStyle w:val="17"/>
        <w:spacing w:line="560" w:lineRule="exact"/>
        <w:ind w:firstLine="640" w:firstLineChars="200"/>
        <w:rPr>
          <w:rFonts w:ascii="FangSong_GB2312" w:eastAsia="FangSong_GB2312"/>
          <w:sz w:val="32"/>
          <w:szCs w:val="32"/>
        </w:rPr>
      </w:pPr>
      <w:r>
        <w:rPr>
          <w:rFonts w:ascii="FangSong_GB2312" w:eastAsia="FangSong_GB2312"/>
          <w:sz w:val="32"/>
          <w:szCs w:val="32"/>
        </w:rPr>
        <w:t>5.</w:t>
      </w:r>
      <w:r>
        <w:rPr>
          <w:rFonts w:hint="eastAsia" w:ascii="FangSong_GB2312" w:eastAsia="FangSong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7"/>
        <w:spacing w:line="560" w:lineRule="exact"/>
        <w:ind w:firstLine="640" w:firstLineChars="200"/>
        <w:rPr>
          <w:rFonts w:ascii="FangSong_GB2312" w:eastAsia="FangSong_GB2312"/>
          <w:sz w:val="32"/>
          <w:szCs w:val="32"/>
        </w:rPr>
      </w:pPr>
      <w:r>
        <w:rPr>
          <w:rFonts w:ascii="FangSong_GB2312" w:eastAsia="FangSong_GB2312"/>
          <w:sz w:val="32"/>
          <w:szCs w:val="32"/>
        </w:rPr>
        <w:t>6.</w:t>
      </w:r>
      <w:r>
        <w:rPr>
          <w:rFonts w:hint="eastAsia" w:ascii="FangSong_GB2312" w:eastAsia="FangSong_GB2312"/>
          <w:sz w:val="32"/>
          <w:szCs w:val="32"/>
        </w:rPr>
        <w:t>年初结转和结余：指以前年度尚未完成、结转到本年按有关规定继续使用的资金。</w:t>
      </w:r>
    </w:p>
    <w:p>
      <w:pPr>
        <w:pStyle w:val="17"/>
        <w:spacing w:line="560" w:lineRule="exact"/>
        <w:ind w:firstLine="640" w:firstLineChars="200"/>
        <w:rPr>
          <w:rFonts w:ascii="FangSong_GB2312" w:eastAsia="FangSong_GB2312"/>
          <w:sz w:val="32"/>
          <w:szCs w:val="32"/>
        </w:rPr>
      </w:pPr>
      <w:r>
        <w:rPr>
          <w:rFonts w:ascii="FangSong_GB2312" w:eastAsia="FangSong_GB2312"/>
          <w:sz w:val="32"/>
          <w:szCs w:val="32"/>
        </w:rPr>
        <w:t>7.</w:t>
      </w:r>
      <w:r>
        <w:rPr>
          <w:rFonts w:hint="eastAsia" w:ascii="FangSong_GB2312" w:eastAsia="FangSong_GB2312"/>
          <w:sz w:val="32"/>
          <w:szCs w:val="32"/>
        </w:rPr>
        <w:t>结余分配：指事业单位按照事业单位会计制度的规定从非财政补助结余中分配的事业基金和职工福利基金等。</w:t>
      </w:r>
    </w:p>
    <w:p>
      <w:pPr>
        <w:pStyle w:val="17"/>
        <w:spacing w:line="560" w:lineRule="exact"/>
        <w:ind w:firstLine="640" w:firstLineChars="200"/>
        <w:rPr>
          <w:rFonts w:hint="eastAsia" w:ascii="FangSong_GB2312" w:eastAsia="FangSong_GB2312"/>
          <w:sz w:val="32"/>
          <w:szCs w:val="32"/>
        </w:rPr>
      </w:pPr>
      <w:r>
        <w:rPr>
          <w:rFonts w:ascii="FangSong_GB2312" w:eastAsia="FangSong_GB2312"/>
          <w:sz w:val="32"/>
          <w:szCs w:val="32"/>
        </w:rPr>
        <w:t>8</w:t>
      </w:r>
      <w:r>
        <w:rPr>
          <w:rFonts w:hint="eastAsia" w:ascii="FangSong_GB2312" w:eastAsia="FangSong_GB2312"/>
          <w:sz w:val="32"/>
          <w:szCs w:val="32"/>
        </w:rPr>
        <w:t>、年末结转和结余：指单位按有关规定结转到下年或以后年度继续使用的资金。</w:t>
      </w:r>
    </w:p>
    <w:p>
      <w:pPr>
        <w:pStyle w:val="17"/>
        <w:spacing w:line="560" w:lineRule="exact"/>
        <w:ind w:firstLine="640" w:firstLineChars="200"/>
        <w:rPr>
          <w:rFonts w:hint="eastAsia" w:ascii="宋体" w:hAnsi="宋体" w:eastAsia="宋体" w:cs="宋体"/>
          <w:i w:val="0"/>
          <w:caps w:val="0"/>
          <w:color w:val="333333"/>
          <w:spacing w:val="0"/>
          <w:sz w:val="32"/>
          <w:szCs w:val="32"/>
        </w:rPr>
      </w:pPr>
      <w:r>
        <w:rPr>
          <w:rFonts w:hint="eastAsia" w:hAnsi="仿宋" w:cs="仿宋"/>
          <w:i w:val="0"/>
          <w:caps w:val="0"/>
          <w:color w:val="333333"/>
          <w:spacing w:val="0"/>
          <w:sz w:val="32"/>
          <w:szCs w:val="32"/>
          <w:shd w:val="clear" w:fill="FFFFFF"/>
          <w:lang w:val="en-US" w:eastAsia="zh-CN"/>
        </w:rPr>
        <w:t>9</w:t>
      </w:r>
      <w:r>
        <w:rPr>
          <w:rFonts w:ascii="仿宋" w:hAnsi="仿宋" w:eastAsia="仿宋" w:cs="仿宋"/>
          <w:i w:val="0"/>
          <w:caps w:val="0"/>
          <w:color w:val="333333"/>
          <w:spacing w:val="0"/>
          <w:sz w:val="32"/>
          <w:szCs w:val="32"/>
          <w:shd w:val="clear" w:fill="FFFFFF"/>
        </w:rPr>
        <w:t>.社会保障和就业</w:t>
      </w:r>
      <w:r>
        <w:rPr>
          <w:rFonts w:hint="eastAsia" w:ascii="仿宋" w:hAnsi="仿宋" w:eastAsia="仿宋" w:cs="仿宋"/>
          <w:i w:val="0"/>
          <w:caps w:val="0"/>
          <w:color w:val="333333"/>
          <w:spacing w:val="0"/>
          <w:sz w:val="32"/>
          <w:szCs w:val="32"/>
          <w:shd w:val="clear" w:fill="FFFFFF"/>
        </w:rPr>
        <w:t>（类）人力资源和社会保障管理事务 （款）社会保险业务管理事务（项）:指单位的人员机构运转基本支出。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宋体" w:hAnsi="宋体" w:eastAsia="宋体" w:cs="宋体"/>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val="en-US" w:eastAsia="zh-CN"/>
        </w:rPr>
        <w:t>10.</w:t>
      </w:r>
      <w:r>
        <w:rPr>
          <w:rFonts w:hint="eastAsia" w:ascii="仿宋" w:hAnsi="仿宋" w:eastAsia="仿宋" w:cs="仿宋"/>
          <w:i w:val="0"/>
          <w:caps w:val="0"/>
          <w:color w:val="333333"/>
          <w:spacing w:val="0"/>
          <w:sz w:val="32"/>
          <w:szCs w:val="32"/>
          <w:shd w:val="clear" w:fill="FFFFFF"/>
        </w:rPr>
        <w:t>社会保障和就业支出（类）行政事业单位离退休（款）：反映单位离退休方面的支出。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11.</w:t>
      </w:r>
      <w:r>
        <w:rPr>
          <w:rFonts w:hint="eastAsia" w:ascii="仿宋" w:hAnsi="仿宋" w:eastAsia="仿宋" w:cs="仿宋"/>
          <w:i w:val="0"/>
          <w:caps w:val="0"/>
          <w:color w:val="333333"/>
          <w:spacing w:val="0"/>
          <w:sz w:val="32"/>
          <w:szCs w:val="32"/>
          <w:shd w:val="clear" w:fill="FFFFFF"/>
        </w:rPr>
        <w:t>机关事业单位基本养老保险缴费支出（项）：指本单位按照规定标准为职工缴纳的养老保险支出。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宋体" w:hAnsi="宋体" w:eastAsia="宋体" w:cs="宋体"/>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val="en-US" w:eastAsia="zh-CN"/>
        </w:rPr>
        <w:t>12.</w:t>
      </w:r>
      <w:r>
        <w:rPr>
          <w:rFonts w:hint="eastAsia" w:ascii="仿宋" w:hAnsi="仿宋" w:eastAsia="仿宋" w:cs="仿宋"/>
          <w:i w:val="0"/>
          <w:caps w:val="0"/>
          <w:color w:val="333333"/>
          <w:spacing w:val="0"/>
          <w:sz w:val="32"/>
          <w:szCs w:val="32"/>
          <w:shd w:val="clear" w:fill="FFFFFF"/>
        </w:rPr>
        <w:t>社会保障和就业支出（类）其他社会保障和就业支出（款）其他社会保障和就业支出（项）反映单位按规定为职工缴纳的工伤、生育、失业保障的支出。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宋体" w:hAnsi="宋体" w:eastAsia="宋体" w:cs="宋体"/>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val="en-US" w:eastAsia="zh-CN"/>
        </w:rPr>
        <w:t>13.</w:t>
      </w:r>
      <w:r>
        <w:rPr>
          <w:rFonts w:hint="eastAsia" w:ascii="仿宋" w:hAnsi="仿宋" w:eastAsia="仿宋" w:cs="仿宋"/>
          <w:i w:val="0"/>
          <w:caps w:val="0"/>
          <w:color w:val="333333"/>
          <w:spacing w:val="0"/>
          <w:sz w:val="32"/>
          <w:szCs w:val="32"/>
          <w:shd w:val="clear" w:fill="FFFFFF"/>
        </w:rPr>
        <w:t>医疗卫生与计划生育（类）行政事业单位医疗（款）行政单位医疗（项）:指本单位按照规定标准为职工缴纳的基本医疗保险等支出。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rPr>
          <w:rFonts w:hint="eastAsia" w:ascii="宋体" w:hAnsi="宋体" w:eastAsia="宋体" w:cs="宋体"/>
          <w:i w:val="0"/>
          <w:caps w:val="0"/>
          <w:color w:val="333333"/>
          <w:spacing w:val="0"/>
          <w:sz w:val="32"/>
          <w:szCs w:val="32"/>
        </w:rPr>
      </w:pPr>
      <w:r>
        <w:rPr>
          <w:rFonts w:hint="eastAsia" w:ascii="仿宋" w:hAnsi="仿宋" w:eastAsia="仿宋" w:cs="仿宋"/>
          <w:i w:val="0"/>
          <w:caps w:val="0"/>
          <w:color w:val="333333"/>
          <w:spacing w:val="0"/>
          <w:sz w:val="32"/>
          <w:szCs w:val="32"/>
          <w:shd w:val="clear" w:fill="FFFFFF"/>
          <w:lang w:val="en-US" w:eastAsia="zh-CN"/>
        </w:rPr>
        <w:t>14.</w:t>
      </w:r>
      <w:r>
        <w:rPr>
          <w:rFonts w:hint="eastAsia" w:ascii="仿宋" w:hAnsi="仿宋" w:eastAsia="仿宋" w:cs="仿宋"/>
          <w:i w:val="0"/>
          <w:caps w:val="0"/>
          <w:color w:val="333333"/>
          <w:spacing w:val="0"/>
          <w:sz w:val="32"/>
          <w:szCs w:val="32"/>
          <w:shd w:val="clear" w:fill="FFFFFF"/>
        </w:rPr>
        <w:t>住房保障（类）住房改革支出(款)住房公积金（项）:指按照《住房公积金管理条例》的规定，由单位及其在职职工缴存的长期住房储金。</w:t>
      </w:r>
    </w:p>
    <w:p>
      <w:pPr>
        <w:ind w:firstLine="640" w:firstLineChars="200"/>
        <w:rPr>
          <w:rFonts w:ascii="FangSong_GB2312" w:eastAsia="FangSong_GB2312"/>
          <w:color w:val="000000"/>
          <w:sz w:val="32"/>
          <w:szCs w:val="32"/>
        </w:rPr>
      </w:pPr>
      <w:r>
        <w:rPr>
          <w:rFonts w:hint="eastAsia" w:ascii="FangSong_GB2312" w:eastAsia="FangSong_GB2312"/>
          <w:color w:val="000000"/>
          <w:sz w:val="32"/>
          <w:szCs w:val="32"/>
          <w:lang w:val="en-US" w:eastAsia="zh-CN"/>
        </w:rPr>
        <w:t>15.</w:t>
      </w:r>
      <w:r>
        <w:rPr>
          <w:rFonts w:hint="eastAsia" w:ascii="FangSong_GB2312" w:eastAsia="FangSong_GB2312"/>
          <w:color w:val="000000"/>
          <w:sz w:val="32"/>
          <w:szCs w:val="32"/>
        </w:rPr>
        <w:t>基本支出：指为保障机构正常运转、完成日常工作任务而发生的人员支出和公用支出。</w:t>
      </w:r>
    </w:p>
    <w:p>
      <w:pPr>
        <w:ind w:firstLine="640" w:firstLineChars="200"/>
        <w:rPr>
          <w:rFonts w:ascii="FangSong_GB2312" w:eastAsia="FangSong_GB2312"/>
          <w:color w:val="000000"/>
          <w:sz w:val="32"/>
          <w:szCs w:val="32"/>
        </w:rPr>
      </w:pPr>
      <w:r>
        <w:rPr>
          <w:rFonts w:hint="eastAsia" w:ascii="FangSong_GB2312" w:eastAsia="FangSong_GB2312"/>
          <w:color w:val="000000"/>
          <w:sz w:val="32"/>
          <w:szCs w:val="32"/>
          <w:lang w:val="en-US" w:eastAsia="zh-CN"/>
        </w:rPr>
        <w:t>16.</w:t>
      </w:r>
      <w:r>
        <w:rPr>
          <w:rFonts w:hint="eastAsia" w:ascii="FangSong_GB2312" w:eastAsia="FangSong_GB2312"/>
          <w:color w:val="000000"/>
          <w:sz w:val="32"/>
          <w:szCs w:val="32"/>
        </w:rPr>
        <w:t>项目支出：指在基本支出之外为完成特定行政任务和事业发展目标所发生的支出。</w:t>
      </w:r>
    </w:p>
    <w:p>
      <w:pPr>
        <w:ind w:firstLine="640" w:firstLineChars="200"/>
        <w:rPr>
          <w:rFonts w:ascii="FangSong_GB2312" w:eastAsia="FangSong_GB2312"/>
          <w:color w:val="000000"/>
          <w:sz w:val="32"/>
          <w:szCs w:val="32"/>
        </w:rPr>
      </w:pPr>
      <w:r>
        <w:rPr>
          <w:rFonts w:hint="eastAsia" w:ascii="FangSong_GB2312" w:eastAsia="FangSong_GB2312"/>
          <w:color w:val="000000"/>
          <w:sz w:val="32"/>
          <w:szCs w:val="32"/>
          <w:lang w:val="en-US" w:eastAsia="zh-CN"/>
        </w:rPr>
        <w:t>17.</w:t>
      </w:r>
      <w:r>
        <w:rPr>
          <w:rFonts w:hint="eastAsia" w:ascii="FangSong_GB2312" w:eastAsia="FangSong_GB2312"/>
          <w:color w:val="000000"/>
          <w:sz w:val="32"/>
          <w:szCs w:val="32"/>
        </w:rPr>
        <w:t>经营支出：指事业单位在专业业务活动及其辅助活动之外开展非独立核算经营活动发生的支出。</w:t>
      </w:r>
    </w:p>
    <w:p>
      <w:pPr>
        <w:pStyle w:val="17"/>
        <w:spacing w:line="560" w:lineRule="exact"/>
        <w:ind w:firstLine="640" w:firstLineChars="200"/>
        <w:rPr>
          <w:rFonts w:ascii="FangSong_GB2312" w:eastAsia="FangSong_GB2312"/>
          <w:sz w:val="32"/>
          <w:szCs w:val="32"/>
        </w:rPr>
      </w:pPr>
      <w:r>
        <w:rPr>
          <w:rFonts w:hint="eastAsia" w:ascii="FangSong_GB2312" w:eastAsia="FangSong_GB2312"/>
          <w:sz w:val="32"/>
          <w:szCs w:val="32"/>
          <w:lang w:val="en-US" w:eastAsia="zh-CN"/>
        </w:rPr>
        <w:t>18.</w:t>
      </w:r>
      <w:r>
        <w:rPr>
          <w:rFonts w:hint="eastAsia" w:ascii="FangSong_GB2312" w:eastAsia="FangSong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hint="eastAsia" w:ascii="FangSong_GB2312" w:eastAsia="FangSong_GB2312"/>
          <w:sz w:val="32"/>
          <w:szCs w:val="32"/>
        </w:rPr>
      </w:pPr>
      <w:r>
        <w:rPr>
          <w:rFonts w:hint="eastAsia" w:ascii="FangSong_GB2312" w:eastAsia="FangSong_GB2312"/>
          <w:sz w:val="32"/>
          <w:szCs w:val="32"/>
          <w:lang w:val="en-US" w:eastAsia="zh-CN"/>
        </w:rPr>
        <w:t>19.</w:t>
      </w:r>
      <w:r>
        <w:rPr>
          <w:rFonts w:hint="eastAsia" w:ascii="FangSong_GB2312" w:eastAsia="FangSong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2640" w:firstLineChars="600"/>
        <w:jc w:val="both"/>
        <w:outlineLvl w:val="0"/>
        <w:rPr>
          <w:rStyle w:val="14"/>
          <w:rFonts w:ascii="黑体" w:hAnsi="黑体" w:eastAsia="黑体"/>
          <w:b w:val="0"/>
        </w:rPr>
      </w:pPr>
      <w:bookmarkStart w:id="56" w:name="_Toc15396614"/>
      <w:bookmarkStart w:id="57" w:name="_Toc15377226"/>
      <w:r>
        <w:rPr>
          <w:rFonts w:hint="eastAsia" w:ascii="黑体" w:hAnsi="黑体" w:eastAsia="黑体"/>
          <w:color w:val="000000"/>
          <w:sz w:val="44"/>
          <w:szCs w:val="44"/>
        </w:rPr>
        <w:t>第</w:t>
      </w:r>
      <w:r>
        <w:rPr>
          <w:rStyle w:val="14"/>
          <w:rFonts w:hint="eastAsia" w:ascii="黑体" w:hAnsi="黑体" w:eastAsia="黑体"/>
          <w:b w:val="0"/>
        </w:rPr>
        <w:t>四部分 附件</w:t>
      </w:r>
      <w:bookmarkEnd w:id="56"/>
    </w:p>
    <w:p>
      <w:pPr>
        <w:spacing w:line="600" w:lineRule="exact"/>
        <w:jc w:val="center"/>
        <w:outlineLvl w:val="0"/>
        <w:rPr>
          <w:rStyle w:val="14"/>
        </w:rPr>
      </w:pPr>
    </w:p>
    <w:p>
      <w:pPr>
        <w:pStyle w:val="3"/>
        <w:rPr>
          <w:rStyle w:val="14"/>
          <w:rFonts w:ascii="仿宋" w:hAnsi="仿宋" w:eastAsia="仿宋"/>
          <w:b w:val="0"/>
          <w:bCs w:val="0"/>
          <w:sz w:val="32"/>
          <w:szCs w:val="32"/>
        </w:rPr>
      </w:pPr>
      <w:bookmarkStart w:id="58" w:name="_Toc15396615"/>
      <w:r>
        <w:rPr>
          <w:rStyle w:val="14"/>
          <w:rFonts w:hint="eastAsia" w:ascii="仿宋" w:hAnsi="仿宋" w:eastAsia="仿宋"/>
          <w:b w:val="0"/>
          <w:bCs w:val="0"/>
          <w:sz w:val="32"/>
          <w:szCs w:val="32"/>
        </w:rPr>
        <w:t>附件1</w:t>
      </w:r>
      <w:bookmarkEnd w:id="58"/>
    </w:p>
    <w:p>
      <w:pPr>
        <w:spacing w:line="600" w:lineRule="exact"/>
        <w:jc w:val="center"/>
        <w:outlineLvl w:val="0"/>
        <w:rPr>
          <w:rFonts w:hint="eastAsia" w:ascii="黑体" w:hAnsi="黑体" w:eastAsia="黑体" w:cs="方正小标宋简体"/>
          <w:sz w:val="36"/>
          <w:szCs w:val="36"/>
        </w:rPr>
      </w:pPr>
      <w:bookmarkStart w:id="59" w:name="_Toc15396616"/>
      <w:r>
        <w:rPr>
          <w:rFonts w:hint="eastAsia" w:ascii="黑体" w:hAnsi="黑体" w:eastAsia="黑体" w:cs="方正小标宋简体"/>
          <w:sz w:val="36"/>
          <w:szCs w:val="36"/>
          <w:lang w:eastAsia="zh-CN"/>
        </w:rPr>
        <w:t>壤塘县医疗保障局</w:t>
      </w:r>
      <w:r>
        <w:rPr>
          <w:rFonts w:hint="eastAsia" w:ascii="黑体" w:hAnsi="黑体" w:eastAsia="黑体" w:cs="方正小标宋简体"/>
          <w:sz w:val="36"/>
          <w:szCs w:val="36"/>
        </w:rPr>
        <w:t>2018年部门整体支出绩效评价</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报告</w:t>
      </w:r>
      <w:bookmarkEnd w:id="59"/>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FangSong_GB2312"/>
          <w:sz w:val="32"/>
          <w:szCs w:val="32"/>
        </w:rPr>
      </w:pPr>
      <w:r>
        <w:rPr>
          <w:rFonts w:ascii="仿宋" w:hAnsi="仿宋" w:eastAsia="仿宋" w:cs="FangSong_GB2312"/>
          <w:sz w:val="32"/>
          <w:szCs w:val="32"/>
        </w:rPr>
        <w:t>（一）机构组成。</w:t>
      </w:r>
    </w:p>
    <w:p>
      <w:pPr>
        <w:spacing w:line="5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壤塘县医疗保</w:t>
      </w:r>
      <w:r>
        <w:rPr>
          <w:rFonts w:hint="eastAsia" w:ascii="仿宋" w:hAnsi="仿宋" w:eastAsia="仿宋" w:cs="仿宋"/>
          <w:sz w:val="32"/>
          <w:szCs w:val="32"/>
          <w:lang w:eastAsia="zh-CN"/>
        </w:rPr>
        <w:t>障</w:t>
      </w:r>
      <w:r>
        <w:rPr>
          <w:rFonts w:hint="eastAsia" w:ascii="仿宋" w:hAnsi="仿宋" w:eastAsia="仿宋" w:cs="仿宋"/>
          <w:sz w:val="32"/>
          <w:szCs w:val="32"/>
        </w:rPr>
        <w:t>局单位属一级预算单位，其中：参照公务员法管理的事业单位1个；其他事业单位1个。</w:t>
      </w:r>
    </w:p>
    <w:p>
      <w:pPr>
        <w:numPr>
          <w:ilvl w:val="0"/>
          <w:numId w:val="4"/>
        </w:numPr>
        <w:spacing w:line="580" w:lineRule="exact"/>
        <w:ind w:left="0" w:leftChars="0" w:firstLine="640" w:firstLineChars="200"/>
        <w:rPr>
          <w:rFonts w:ascii="仿宋" w:hAnsi="仿宋" w:eastAsia="仿宋" w:cs="FangSong_GB2312"/>
          <w:sz w:val="32"/>
          <w:szCs w:val="32"/>
        </w:rPr>
      </w:pPr>
      <w:r>
        <w:rPr>
          <w:rFonts w:ascii="仿宋" w:hAnsi="仿宋" w:eastAsia="仿宋" w:cs="FangSong_GB2312"/>
          <w:sz w:val="32"/>
          <w:szCs w:val="32"/>
        </w:rPr>
        <w:t>机构职能。</w:t>
      </w:r>
    </w:p>
    <w:p>
      <w:pPr>
        <w:rPr>
          <w:rFonts w:hint="eastAsia" w:ascii="仿宋" w:hAnsi="仿宋" w:eastAsia="仿宋" w:cs="仿宋"/>
          <w:sz w:val="32"/>
          <w:szCs w:val="32"/>
        </w:rPr>
      </w:pPr>
      <w:r>
        <w:rPr>
          <w:rFonts w:hint="eastAsia" w:ascii="仿宋" w:hAnsi="仿宋" w:eastAsia="仿宋" w:cs="仿宋"/>
          <w:sz w:val="32"/>
          <w:szCs w:val="32"/>
        </w:rPr>
        <w:t>制定本县职工和居民医疗保险工作计划并组织实施；负责承办本县机关事业单位、州级驻本县单位的医疗保险登记、变更、职工和居民参保以及医疗保险转移事项；制定各参保单位的基金收缴计划，定期核定参保单位的职工人数、收缴金额等；负责参保职工和居民医疗保险基金的核算、管理和使用，及时审查、结算参保职工和居民医疗保险费、门诊费；负责对参保职工建立个人账户及个人账户的结算、转移、核拨异地工作人员和州外的退休人员的个人账户资金提供个人账户的查询服务；负责各定点机构的管理、费用结算工作；负责医疗保险政策的宣传、咨询工作，做好参保职工与参保单位和居民、医疗机构的协调工作。 </w:t>
      </w:r>
    </w:p>
    <w:p>
      <w:pPr>
        <w:numPr>
          <w:ilvl w:val="0"/>
          <w:numId w:val="4"/>
        </w:numPr>
        <w:spacing w:line="580" w:lineRule="exact"/>
        <w:ind w:left="0" w:leftChars="0" w:firstLine="640" w:firstLineChars="200"/>
        <w:rPr>
          <w:rFonts w:ascii="仿宋" w:hAnsi="仿宋" w:eastAsia="仿宋" w:cs="FangSong_GB2312"/>
          <w:sz w:val="32"/>
          <w:szCs w:val="32"/>
        </w:rPr>
      </w:pPr>
      <w:r>
        <w:rPr>
          <w:rFonts w:ascii="仿宋" w:hAnsi="仿宋" w:eastAsia="仿宋" w:cs="FangSong_GB2312"/>
          <w:sz w:val="32"/>
          <w:szCs w:val="32"/>
        </w:rPr>
        <w:t>人员概况。</w:t>
      </w:r>
    </w:p>
    <w:p>
      <w:pPr>
        <w:numPr>
          <w:ilvl w:val="0"/>
          <w:numId w:val="0"/>
        </w:numPr>
        <w:spacing w:line="580" w:lineRule="exact"/>
        <w:rPr>
          <w:rFonts w:hint="default" w:ascii="仿宋" w:hAnsi="仿宋" w:eastAsia="仿宋" w:cs="FangSong_GB2312"/>
          <w:sz w:val="32"/>
          <w:szCs w:val="32"/>
          <w:lang w:val="en-US" w:eastAsia="zh-CN"/>
        </w:rPr>
      </w:pPr>
      <w:r>
        <w:rPr>
          <w:rFonts w:hint="eastAsia" w:ascii="仿宋" w:hAnsi="仿宋" w:eastAsia="仿宋" w:cs="仿宋"/>
          <w:sz w:val="32"/>
          <w:szCs w:val="32"/>
          <w:lang w:eastAsia="zh-CN"/>
        </w:rPr>
        <w:t>　　单位</w:t>
      </w:r>
      <w:r>
        <w:rPr>
          <w:rFonts w:hint="eastAsia" w:ascii="仿宋" w:hAnsi="仿宋" w:eastAsia="仿宋" w:cs="仿宋"/>
          <w:sz w:val="32"/>
          <w:szCs w:val="32"/>
        </w:rPr>
        <w:t>参照公务员法管理的事业</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9人，</w:t>
      </w:r>
      <w:r>
        <w:rPr>
          <w:rFonts w:hint="eastAsia" w:ascii="仿宋" w:hAnsi="仿宋" w:eastAsia="仿宋" w:cs="仿宋"/>
          <w:sz w:val="32"/>
          <w:szCs w:val="32"/>
        </w:rPr>
        <w:t>其他事业</w:t>
      </w:r>
      <w:r>
        <w:rPr>
          <w:rFonts w:hint="eastAsia" w:ascii="仿宋" w:hAnsi="仿宋" w:eastAsia="仿宋" w:cs="仿宋"/>
          <w:sz w:val="32"/>
          <w:szCs w:val="32"/>
          <w:lang w:eastAsia="zh-CN"/>
        </w:rPr>
        <w:t>人员</w:t>
      </w:r>
      <w:r>
        <w:rPr>
          <w:rFonts w:hint="eastAsia" w:ascii="仿宋" w:hAnsi="仿宋" w:eastAsia="仿宋" w:cs="仿宋"/>
          <w:sz w:val="32"/>
          <w:szCs w:val="32"/>
          <w:lang w:val="en-US" w:eastAsia="zh-CN"/>
        </w:rPr>
        <w:t>10人。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FangSong_GB2312"/>
          <w:sz w:val="32"/>
          <w:szCs w:val="32"/>
        </w:rPr>
      </w:pPr>
      <w:r>
        <w:rPr>
          <w:rFonts w:ascii="仿宋" w:hAnsi="仿宋" w:eastAsia="仿宋" w:cs="FangSong_GB2312"/>
          <w:sz w:val="32"/>
          <w:szCs w:val="32"/>
        </w:rPr>
        <w:t>（一）部门财政资金收入情况。</w:t>
      </w:r>
    </w:p>
    <w:p>
      <w:pPr>
        <w:snapToGrid w:val="0"/>
        <w:spacing w:line="576" w:lineRule="exact"/>
        <w:ind w:firstLine="640" w:firstLineChars="200"/>
        <w:rPr>
          <w:rFonts w:ascii="仿宋_GB2312" w:hAnsi="仿宋" w:eastAsia="仿宋_GB2312"/>
          <w:sz w:val="32"/>
          <w:szCs w:val="32"/>
        </w:rPr>
      </w:pPr>
      <w:r>
        <w:rPr>
          <w:rFonts w:hint="eastAsia" w:ascii="仿宋_GB2312" w:hAnsi="宋体" w:eastAsia="仿宋_GB2312" w:cs="宋体"/>
          <w:color w:val="000000"/>
          <w:kern w:val="0"/>
          <w:sz w:val="32"/>
          <w:szCs w:val="32"/>
          <w:shd w:val="clear" w:color="auto" w:fill="FFFFFF"/>
        </w:rPr>
        <w:t>2018年</w:t>
      </w:r>
      <w:r>
        <w:rPr>
          <w:rFonts w:hint="eastAsia" w:ascii="仿宋_GB2312" w:hAnsi="黑体" w:eastAsia="仿宋_GB2312"/>
          <w:color w:val="000000"/>
          <w:sz w:val="32"/>
          <w:szCs w:val="32"/>
        </w:rPr>
        <w:t>单位财政资金收入共计</w:t>
      </w:r>
      <w:r>
        <w:rPr>
          <w:rFonts w:hint="eastAsia" w:ascii="仿宋_GB2312" w:hAnsi="黑体" w:eastAsia="仿宋_GB2312"/>
          <w:color w:val="000000"/>
          <w:sz w:val="32"/>
          <w:szCs w:val="32"/>
          <w:lang w:val="en-US" w:eastAsia="zh-CN"/>
        </w:rPr>
        <w:t>272.61</w:t>
      </w:r>
      <w:r>
        <w:rPr>
          <w:rFonts w:hint="eastAsia" w:ascii="仿宋_GB2312" w:hAnsi="黑体" w:eastAsia="仿宋_GB2312"/>
          <w:color w:val="000000"/>
          <w:sz w:val="32"/>
          <w:szCs w:val="32"/>
        </w:rPr>
        <w:t>万元，</w:t>
      </w:r>
      <w:r>
        <w:rPr>
          <w:rFonts w:hint="eastAsia" w:ascii="仿宋_GB2312" w:hAnsi="仿宋" w:eastAsia="仿宋_GB2312"/>
          <w:sz w:val="32"/>
          <w:szCs w:val="32"/>
        </w:rPr>
        <w:t>均为一般公共预算财政拨款收入，单位无上级补助收入、事业收入、经营收入等其他性质的经费收入。</w:t>
      </w:r>
    </w:p>
    <w:p>
      <w:pPr>
        <w:numPr>
          <w:ilvl w:val="0"/>
          <w:numId w:val="5"/>
        </w:numPr>
        <w:tabs>
          <w:tab w:val="left" w:pos="658"/>
        </w:tabs>
        <w:spacing w:line="580" w:lineRule="exact"/>
        <w:ind w:left="640" w:leftChars="0" w:firstLine="0" w:firstLineChars="0"/>
        <w:rPr>
          <w:rFonts w:ascii="仿宋" w:hAnsi="仿宋" w:eastAsia="仿宋" w:cs="FangSong_GB2312"/>
          <w:sz w:val="32"/>
          <w:szCs w:val="32"/>
        </w:rPr>
      </w:pPr>
      <w:r>
        <w:rPr>
          <w:rFonts w:ascii="仿宋" w:hAnsi="仿宋" w:eastAsia="仿宋" w:cs="FangSong_GB2312"/>
          <w:sz w:val="32"/>
          <w:szCs w:val="32"/>
        </w:rPr>
        <w:t>部门财政资金支出情况。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zh-CN"/>
        </w:rPr>
        <w:t>201</w:t>
      </w:r>
      <w:r>
        <w:rPr>
          <w:rFonts w:hint="eastAsia" w:ascii="仿宋" w:hAnsi="仿宋" w:eastAsia="仿宋" w:cs="仿宋"/>
          <w:sz w:val="32"/>
          <w:szCs w:val="32"/>
        </w:rPr>
        <w:t>8</w:t>
      </w:r>
      <w:r>
        <w:rPr>
          <w:rFonts w:hint="eastAsia" w:ascii="仿宋" w:hAnsi="仿宋" w:eastAsia="仿宋" w:cs="仿宋"/>
          <w:sz w:val="32"/>
          <w:szCs w:val="32"/>
          <w:lang w:val="zh-CN"/>
        </w:rPr>
        <w:t>年单位财政资金支出决算数为</w:t>
      </w:r>
      <w:r>
        <w:rPr>
          <w:rFonts w:hint="eastAsia" w:ascii="仿宋" w:hAnsi="仿宋" w:eastAsia="仿宋" w:cs="仿宋"/>
          <w:sz w:val="32"/>
          <w:szCs w:val="32"/>
          <w:lang w:val="en-US" w:eastAsia="zh-CN"/>
        </w:rPr>
        <w:t>344.26</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lang w:val="en-US" w:eastAsia="zh-CN"/>
        </w:rPr>
        <w:t>272.61万元是本年财政拨款收入，71.65万元是年初结余结转，</w:t>
      </w:r>
      <w:r>
        <w:rPr>
          <w:rFonts w:hint="eastAsia" w:ascii="仿宋" w:hAnsi="仿宋" w:eastAsia="仿宋" w:cs="仿宋"/>
          <w:sz w:val="32"/>
          <w:szCs w:val="32"/>
        </w:rPr>
        <w:t>均为财政补助支出，其中：社会保障和就业支出</w:t>
      </w:r>
      <w:r>
        <w:rPr>
          <w:rFonts w:hint="eastAsia" w:ascii="仿宋" w:hAnsi="仿宋" w:eastAsia="仿宋" w:cs="仿宋"/>
          <w:sz w:val="32"/>
          <w:szCs w:val="32"/>
          <w:lang w:val="en-US" w:eastAsia="zh-CN"/>
        </w:rPr>
        <w:t>309.18</w:t>
      </w:r>
      <w:r>
        <w:rPr>
          <w:rFonts w:hint="eastAsia" w:ascii="仿宋" w:hAnsi="仿宋" w:eastAsia="仿宋" w:cs="仿宋"/>
          <w:sz w:val="32"/>
          <w:szCs w:val="32"/>
        </w:rPr>
        <w:t>万元，主要用于本单位人员工资、照规定标准为职工缴纳的机关事业单位养老保险和职业年金、保障日常运转以及为完成特定行政工作任务和事业发展目标而安排的年度项目支出；医疗卫生与计划生育支出1</w:t>
      </w:r>
      <w:r>
        <w:rPr>
          <w:rFonts w:hint="eastAsia" w:ascii="仿宋" w:hAnsi="仿宋" w:eastAsia="仿宋" w:cs="仿宋"/>
          <w:sz w:val="32"/>
          <w:szCs w:val="32"/>
          <w:lang w:val="en-US" w:eastAsia="zh-CN"/>
        </w:rPr>
        <w:t>1.70</w:t>
      </w:r>
      <w:r>
        <w:rPr>
          <w:rFonts w:hint="eastAsia" w:ascii="仿宋" w:hAnsi="仿宋" w:eastAsia="仿宋" w:cs="仿宋"/>
          <w:sz w:val="32"/>
          <w:szCs w:val="32"/>
        </w:rPr>
        <w:t>万元，主要用于事业单位按照规定标准为职工缴纳的基本医疗保险及公务员医疗补助等支出；住房保障支出</w:t>
      </w:r>
      <w:r>
        <w:rPr>
          <w:rFonts w:hint="eastAsia" w:ascii="仿宋" w:hAnsi="仿宋" w:eastAsia="仿宋" w:cs="仿宋"/>
          <w:sz w:val="32"/>
          <w:szCs w:val="32"/>
          <w:lang w:val="en-US" w:eastAsia="zh-CN"/>
        </w:rPr>
        <w:t>23.38</w:t>
      </w:r>
      <w:r>
        <w:rPr>
          <w:rFonts w:hint="eastAsia" w:ascii="仿宋" w:hAnsi="仿宋" w:eastAsia="仿宋" w:cs="仿宋"/>
          <w:sz w:val="32"/>
          <w:szCs w:val="32"/>
        </w:rPr>
        <w:t>万元，用于机关事业单位按照规定标准为职工缴纳住房公积金等支出。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FangSong_GB2312"/>
          <w:sz w:val="32"/>
          <w:szCs w:val="32"/>
        </w:rPr>
      </w:pPr>
      <w:r>
        <w:rPr>
          <w:rFonts w:ascii="仿宋" w:hAnsi="仿宋" w:eastAsia="仿宋" w:cs="FangSong_GB2312"/>
          <w:sz w:val="32"/>
          <w:szCs w:val="32"/>
        </w:rPr>
        <w:t>（一）部门预算管理。</w:t>
      </w:r>
    </w:p>
    <w:p>
      <w:pPr>
        <w:spacing w:line="580" w:lineRule="exact"/>
        <w:ind w:firstLine="640" w:firstLineChars="200"/>
        <w:rPr>
          <w:rFonts w:ascii="仿宋" w:hAnsi="仿宋" w:eastAsia="仿宋" w:cs="FangSong_GB2312"/>
          <w:sz w:val="32"/>
          <w:szCs w:val="32"/>
        </w:rPr>
      </w:pPr>
      <w:r>
        <w:rPr>
          <w:rFonts w:ascii="仿宋" w:hAnsi="仿宋" w:eastAsia="仿宋" w:cs="FangSong_GB2312"/>
          <w:sz w:val="32"/>
          <w:szCs w:val="32"/>
        </w:rPr>
        <w:t>部门绩效目标制定、目标完成、预算编制准确、支出控制、预算动态调整、执行进度、预算完成情况</w:t>
      </w:r>
      <w:r>
        <w:rPr>
          <w:rFonts w:hint="eastAsia" w:ascii="仿宋" w:hAnsi="仿宋" w:eastAsia="仿宋" w:cs="FangSong_GB2312"/>
          <w:sz w:val="32"/>
          <w:szCs w:val="32"/>
          <w:lang w:eastAsia="zh-CN"/>
        </w:rPr>
        <w:t>良好，没有</w:t>
      </w:r>
      <w:r>
        <w:rPr>
          <w:rFonts w:ascii="仿宋" w:hAnsi="仿宋" w:eastAsia="仿宋" w:cs="FangSong_GB2312"/>
          <w:sz w:val="32"/>
          <w:szCs w:val="32"/>
        </w:rPr>
        <w:t>违规记录等情况。</w:t>
      </w:r>
    </w:p>
    <w:p>
      <w:pPr>
        <w:spacing w:line="580" w:lineRule="exact"/>
        <w:ind w:firstLine="640" w:firstLineChars="200"/>
        <w:rPr>
          <w:rFonts w:ascii="仿宋" w:hAnsi="仿宋" w:eastAsia="仿宋" w:cs="FangSong_GB2312"/>
          <w:sz w:val="32"/>
          <w:szCs w:val="32"/>
        </w:rPr>
      </w:pPr>
      <w:r>
        <w:rPr>
          <w:rFonts w:ascii="仿宋" w:hAnsi="仿宋" w:eastAsia="仿宋" w:cs="FangSong_GB2312"/>
          <w:sz w:val="32"/>
          <w:szCs w:val="32"/>
        </w:rPr>
        <w:t>（二）专项预算管理。</w:t>
      </w:r>
    </w:p>
    <w:p>
      <w:pPr>
        <w:spacing w:line="580" w:lineRule="exact"/>
        <w:ind w:firstLine="640" w:firstLineChars="200"/>
        <w:rPr>
          <w:rFonts w:ascii="仿宋" w:hAnsi="仿宋" w:eastAsia="仿宋" w:cs="FangSong_GB2312"/>
          <w:sz w:val="32"/>
          <w:szCs w:val="32"/>
        </w:rPr>
      </w:pPr>
      <w:r>
        <w:rPr>
          <w:rFonts w:hint="eastAsia" w:ascii="仿宋" w:hAnsi="仿宋" w:eastAsia="仿宋" w:cs="FangSong_GB2312"/>
          <w:sz w:val="32"/>
          <w:szCs w:val="32"/>
          <w:lang w:eastAsia="zh-CN"/>
        </w:rPr>
        <w:t>无</w:t>
      </w:r>
      <w:r>
        <w:rPr>
          <w:rFonts w:ascii="仿宋" w:hAnsi="仿宋" w:eastAsia="仿宋" w:cs="FangSong_GB2312"/>
          <w:sz w:val="32"/>
          <w:szCs w:val="32"/>
        </w:rPr>
        <w:t>专项预算管理</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FangSong_GB2312"/>
          <w:sz w:val="32"/>
          <w:szCs w:val="32"/>
        </w:rPr>
      </w:pPr>
      <w:r>
        <w:rPr>
          <w:rFonts w:ascii="仿宋" w:hAnsi="仿宋" w:eastAsia="仿宋" w:cs="FangSong_GB2312"/>
          <w:sz w:val="32"/>
          <w:szCs w:val="32"/>
        </w:rPr>
        <w:t>（一）评价结论。</w:t>
      </w:r>
    </w:p>
    <w:p>
      <w:pPr>
        <w:pStyle w:val="18"/>
        <w:spacing w:line="576" w:lineRule="exact"/>
        <w:ind w:firstLine="640" w:firstLineChars="200"/>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我局2018年部门整体支出情况良好，从预算到执行和收入、支出管理均严格按照相关要求进行，全年收支平衡，有效保障了单位正常运转，圆满完成了单位目标任务。单位对照2018年县级部门整体支出绩效评价体系自评得分9</w:t>
      </w:r>
      <w:r>
        <w:rPr>
          <w:rFonts w:hint="eastAsia" w:ascii="仿宋_GB2312" w:eastAsia="仿宋_GB2312"/>
          <w:color w:val="000000"/>
          <w:sz w:val="32"/>
          <w:szCs w:val="32"/>
          <w:shd w:val="clear" w:color="auto" w:fill="FFFFFF"/>
          <w:lang w:val="en-US" w:eastAsia="zh-CN"/>
        </w:rPr>
        <w:t>8</w:t>
      </w:r>
      <w:r>
        <w:rPr>
          <w:rFonts w:hint="eastAsia" w:ascii="仿宋_GB2312" w:eastAsia="仿宋_GB2312"/>
          <w:color w:val="000000"/>
          <w:sz w:val="32"/>
          <w:szCs w:val="32"/>
          <w:shd w:val="clear" w:color="auto" w:fill="FFFFFF"/>
        </w:rPr>
        <w:t>分。</w:t>
      </w:r>
    </w:p>
    <w:tbl>
      <w:tblPr>
        <w:tblStyle w:val="10"/>
        <w:tblW w:w="10140" w:type="dxa"/>
        <w:tblInd w:w="-639" w:type="dxa"/>
        <w:tblLayout w:type="fixed"/>
        <w:tblCellMar>
          <w:top w:w="0" w:type="dxa"/>
          <w:left w:w="0" w:type="dxa"/>
          <w:bottom w:w="0" w:type="dxa"/>
          <w:right w:w="0" w:type="dxa"/>
        </w:tblCellMar>
      </w:tblPr>
      <w:tblGrid>
        <w:gridCol w:w="1207"/>
        <w:gridCol w:w="1281"/>
        <w:gridCol w:w="1415"/>
        <w:gridCol w:w="2399"/>
        <w:gridCol w:w="724"/>
        <w:gridCol w:w="715"/>
        <w:gridCol w:w="2399"/>
      </w:tblGrid>
      <w:tr>
        <w:tblPrEx>
          <w:tblLayout w:type="fixed"/>
          <w:tblCellMar>
            <w:top w:w="0" w:type="dxa"/>
            <w:left w:w="0" w:type="dxa"/>
            <w:bottom w:w="0" w:type="dxa"/>
            <w:right w:w="0" w:type="dxa"/>
          </w:tblCellMar>
        </w:tblPrEx>
        <w:trPr>
          <w:trHeight w:val="624" w:hRule="atLeast"/>
        </w:trPr>
        <w:tc>
          <w:tcPr>
            <w:tcW w:w="10140" w:type="dxa"/>
            <w:gridSpan w:val="7"/>
            <w:tcBorders>
              <w:top w:val="nil"/>
              <w:left w:val="nil"/>
              <w:bottom w:val="single" w:color="000000" w:sz="4" w:space="0"/>
              <w:right w:val="nil"/>
            </w:tcBorders>
            <w:noWrap/>
            <w:tcMar>
              <w:top w:w="15" w:type="dxa"/>
              <w:left w:w="15" w:type="dxa"/>
              <w:right w:w="15" w:type="dxa"/>
            </w:tcMar>
            <w:vAlign w:val="center"/>
          </w:tcPr>
          <w:p>
            <w:pPr>
              <w:widowControl/>
              <w:jc w:val="center"/>
              <w:textAlignment w:val="center"/>
              <w:rPr>
                <w:rFonts w:ascii="宋体" w:hAnsi="宋体" w:cs="宋体"/>
                <w:b/>
                <w:color w:val="000000"/>
                <w:sz w:val="28"/>
                <w:szCs w:val="28"/>
              </w:rPr>
            </w:pPr>
            <w:r>
              <w:rPr>
                <w:rFonts w:hint="eastAsia" w:ascii="宋体" w:hAnsi="宋体" w:cs="宋体"/>
                <w:b/>
                <w:color w:val="000000"/>
                <w:kern w:val="0"/>
                <w:sz w:val="28"/>
                <w:szCs w:val="28"/>
              </w:rPr>
              <w:t>2018年县级部门整体支出绩效评价指标体系</w:t>
            </w:r>
          </w:p>
        </w:tc>
      </w:tr>
      <w:tr>
        <w:tblPrEx>
          <w:tblLayout w:type="fixed"/>
          <w:tblCellMar>
            <w:top w:w="0" w:type="dxa"/>
            <w:left w:w="0" w:type="dxa"/>
            <w:bottom w:w="0" w:type="dxa"/>
            <w:right w:w="0" w:type="dxa"/>
          </w:tblCellMar>
        </w:tblPrEx>
        <w:trPr>
          <w:trHeight w:val="634" w:hRule="atLeast"/>
        </w:trPr>
        <w:tc>
          <w:tcPr>
            <w:tcW w:w="12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一级指标</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二级指标</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三级指标</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指标解释</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扣分</w:t>
            </w: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扣分理由</w:t>
            </w: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计分标准（备注）</w:t>
            </w:r>
          </w:p>
        </w:tc>
      </w:tr>
      <w:tr>
        <w:tblPrEx>
          <w:tblLayout w:type="fixed"/>
          <w:tblCellMar>
            <w:top w:w="0" w:type="dxa"/>
            <w:left w:w="0" w:type="dxa"/>
            <w:bottom w:w="0" w:type="dxa"/>
            <w:right w:w="0" w:type="dxa"/>
          </w:tblCellMar>
        </w:tblPrEx>
        <w:trPr>
          <w:trHeight w:val="938" w:hRule="atLeast"/>
        </w:trPr>
        <w:tc>
          <w:tcPr>
            <w:tcW w:w="120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预算编制（10分）</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报送时效（1分）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基础信息更新（1分）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部门是否按照县级部门预算编制通知和有关要求，按时完成基础库、项目库报送工作</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超过规定5个工作日扣0.5分，10个工作日扣1分，以此类推，直至扣完</w:t>
            </w:r>
          </w:p>
        </w:tc>
      </w:tr>
      <w:tr>
        <w:tblPrEx>
          <w:tblLayout w:type="fixed"/>
          <w:tblCellMar>
            <w:top w:w="0" w:type="dxa"/>
            <w:left w:w="0" w:type="dxa"/>
            <w:bottom w:w="0" w:type="dxa"/>
            <w:right w:w="0" w:type="dxa"/>
          </w:tblCellMar>
        </w:tblPrEx>
        <w:trPr>
          <w:trHeight w:val="938" w:hRule="atLeast"/>
        </w:trPr>
        <w:tc>
          <w:tcPr>
            <w:tcW w:w="12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编制质量（2分）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预算编制准确（1分）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（预算资金总来源-中期评估调整取消资金-预算结余注销资金）÷预算资金总来源*指标分值</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其中：预算资金总来源是指县级年初预算与执行中追加预算（不含当年专款）总和</w:t>
            </w:r>
          </w:p>
        </w:tc>
      </w:tr>
      <w:tr>
        <w:tblPrEx>
          <w:tblLayout w:type="fixed"/>
          <w:tblCellMar>
            <w:top w:w="0" w:type="dxa"/>
            <w:left w:w="0" w:type="dxa"/>
            <w:bottom w:w="0" w:type="dxa"/>
            <w:right w:w="0" w:type="dxa"/>
          </w:tblCellMar>
        </w:tblPrEx>
        <w:trPr>
          <w:trHeight w:val="938" w:hRule="atLeast"/>
        </w:trPr>
        <w:tc>
          <w:tcPr>
            <w:tcW w:w="12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部门预算审查（1分）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根据县人大财经委对预算草案审查结果进行考核</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对财经委审查后提出并确需修改的问题，每个问题扣0.02分，直至扣完</w:t>
            </w:r>
          </w:p>
        </w:tc>
      </w:tr>
      <w:tr>
        <w:tblPrEx>
          <w:tblLayout w:type="fixed"/>
          <w:tblCellMar>
            <w:top w:w="0" w:type="dxa"/>
            <w:left w:w="0" w:type="dxa"/>
            <w:bottom w:w="0" w:type="dxa"/>
            <w:right w:w="0" w:type="dxa"/>
          </w:tblCellMar>
        </w:tblPrEx>
        <w:trPr>
          <w:trHeight w:val="938" w:hRule="atLeast"/>
        </w:trPr>
        <w:tc>
          <w:tcPr>
            <w:tcW w:w="12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绩效目标（5分）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部门整体绩效目标（2分）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部门整体绩效目标编制完整、合理</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hint="eastAsia" w:ascii="宋体" w:hAnsi="宋体" w:cs="宋体" w:eastAsiaTheme="minorEastAsia"/>
                <w:color w:val="000000"/>
                <w:sz w:val="16"/>
                <w:szCs w:val="16"/>
                <w:lang w:val="en-US" w:eastAsia="zh-CN"/>
              </w:rPr>
            </w:pPr>
            <w:r>
              <w:rPr>
                <w:rFonts w:hint="eastAsia" w:ascii="宋体" w:hAnsi="宋体" w:cs="宋体"/>
                <w:color w:val="000000"/>
                <w:sz w:val="16"/>
                <w:szCs w:val="16"/>
                <w:lang w:val="en-US" w:eastAsia="zh-CN"/>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绩效目标编制不够全面细致</w:t>
            </w: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部门整体绩效目标能完整、合理反映部门年度职责履行情况的得分，否则不得分</w:t>
            </w:r>
          </w:p>
        </w:tc>
      </w:tr>
      <w:tr>
        <w:tblPrEx>
          <w:tblLayout w:type="fixed"/>
          <w:tblCellMar>
            <w:top w:w="0" w:type="dxa"/>
            <w:left w:w="0" w:type="dxa"/>
            <w:bottom w:w="0" w:type="dxa"/>
            <w:right w:w="0" w:type="dxa"/>
          </w:tblCellMar>
        </w:tblPrEx>
        <w:trPr>
          <w:trHeight w:val="938" w:hRule="atLeast"/>
        </w:trPr>
        <w:tc>
          <w:tcPr>
            <w:tcW w:w="120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重点项目绩效目标（3分）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项目绩效目标编制明确、量化</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项目支出绩效目标编制不明确和量化的发现一个扣0.5分，直至扣完</w:t>
            </w:r>
          </w:p>
        </w:tc>
      </w:tr>
      <w:tr>
        <w:tblPrEx>
          <w:tblLayout w:type="fixed"/>
          <w:tblCellMar>
            <w:top w:w="0" w:type="dxa"/>
            <w:left w:w="0" w:type="dxa"/>
            <w:bottom w:w="0" w:type="dxa"/>
            <w:right w:w="0" w:type="dxa"/>
          </w:tblCellMar>
        </w:tblPrEx>
        <w:trPr>
          <w:trHeight w:val="634"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预算执行（20分）</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执行进度（10分）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财力专项预算分配时限（4分）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按规定及时分配财力专项预算</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按《预算法》规定时限完成分配的考核得分，否则不得分</w:t>
            </w:r>
          </w:p>
        </w:tc>
      </w:tr>
      <w:tr>
        <w:tblPrEx>
          <w:tblLayout w:type="fixed"/>
          <w:tblCellMar>
            <w:top w:w="0" w:type="dxa"/>
            <w:left w:w="0" w:type="dxa"/>
            <w:bottom w:w="0" w:type="dxa"/>
            <w:right w:w="0" w:type="dxa"/>
          </w:tblCellMar>
        </w:tblPrEx>
        <w:trPr>
          <w:trHeight w:val="634"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部门预算执行进度（6分）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部门按要求严格预算执行管理</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部门预算实际列支数÷部门预算总额*指标分值</w:t>
            </w:r>
          </w:p>
        </w:tc>
      </w:tr>
      <w:tr>
        <w:tblPrEx>
          <w:tblLayout w:type="fixed"/>
          <w:tblCellMar>
            <w:top w:w="0" w:type="dxa"/>
            <w:left w:w="0" w:type="dxa"/>
            <w:bottom w:w="0" w:type="dxa"/>
            <w:right w:w="0" w:type="dxa"/>
          </w:tblCellMar>
        </w:tblPrEx>
        <w:trPr>
          <w:trHeight w:val="938"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预算调整（4分）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执行中期评估（4分）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部门中期评估调整取消资金÷(中期评估调整取消资金+预算结余注销资金）*指标分值</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当中期评估调整取消资金与结余注销资金之和为零时，得满分</w:t>
            </w:r>
          </w:p>
        </w:tc>
      </w:tr>
      <w:tr>
        <w:tblPrEx>
          <w:tblLayout w:type="fixed"/>
          <w:tblCellMar>
            <w:top w:w="0" w:type="dxa"/>
            <w:left w:w="0" w:type="dxa"/>
            <w:bottom w:w="0" w:type="dxa"/>
            <w:right w:w="0" w:type="dxa"/>
          </w:tblCellMar>
        </w:tblPrEx>
        <w:trPr>
          <w:trHeight w:val="1023" w:hRule="atLeast"/>
        </w:trPr>
        <w:tc>
          <w:tcPr>
            <w:tcW w:w="1207"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行政成本（6分）</w:t>
            </w:r>
          </w:p>
        </w:tc>
        <w:tc>
          <w:tcPr>
            <w:tcW w:w="1415"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三公经费（6分）</w:t>
            </w:r>
          </w:p>
        </w:tc>
        <w:tc>
          <w:tcPr>
            <w:tcW w:w="239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严格执行“三公经费”预算</w:t>
            </w:r>
          </w:p>
        </w:tc>
        <w:tc>
          <w:tcPr>
            <w:tcW w:w="724"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部门“三公”经费决算数一项超预算扣1分，两项超预算扣2分，以此类推，直至扣完</w:t>
            </w:r>
          </w:p>
        </w:tc>
      </w:tr>
      <w:tr>
        <w:tblPrEx>
          <w:tblLayout w:type="fixed"/>
          <w:tblCellMar>
            <w:top w:w="0" w:type="dxa"/>
            <w:left w:w="0" w:type="dxa"/>
            <w:bottom w:w="0" w:type="dxa"/>
            <w:right w:w="0" w:type="dxa"/>
          </w:tblCellMar>
        </w:tblPrEx>
        <w:trPr>
          <w:trHeight w:val="634" w:hRule="atLeast"/>
        </w:trPr>
        <w:tc>
          <w:tcPr>
            <w:tcW w:w="1207" w:type="dxa"/>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综合管理（40分）</w:t>
            </w:r>
          </w:p>
        </w:tc>
        <w:tc>
          <w:tcPr>
            <w:tcW w:w="1281"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政府采购实施计划（4分）</w:t>
            </w:r>
          </w:p>
        </w:tc>
        <w:tc>
          <w:tcPr>
            <w:tcW w:w="1415"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政府采购实施计划编制（2）</w:t>
            </w:r>
          </w:p>
        </w:tc>
        <w:tc>
          <w:tcPr>
            <w:tcW w:w="239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实施计划与政府采购预算的一致性</w:t>
            </w:r>
          </w:p>
        </w:tc>
        <w:tc>
          <w:tcPr>
            <w:tcW w:w="724"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auto"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（1-调整或细化资金/政府采购预算资金）*分值</w:t>
            </w:r>
          </w:p>
        </w:tc>
      </w:tr>
      <w:tr>
        <w:tblPrEx>
          <w:tblLayout w:type="fixed"/>
          <w:tblCellMar>
            <w:top w:w="0" w:type="dxa"/>
            <w:left w:w="0" w:type="dxa"/>
            <w:bottom w:w="0" w:type="dxa"/>
            <w:right w:w="0" w:type="dxa"/>
          </w:tblCellMar>
        </w:tblPrEx>
        <w:trPr>
          <w:trHeight w:val="938" w:hRule="atLeast"/>
        </w:trPr>
        <w:tc>
          <w:tcPr>
            <w:tcW w:w="1207"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政府采购实施计划的执行（2）</w:t>
            </w:r>
          </w:p>
        </w:tc>
        <w:tc>
          <w:tcPr>
            <w:tcW w:w="239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执行的实施计划与备案的实施计划的一致性</w:t>
            </w:r>
          </w:p>
        </w:tc>
        <w:tc>
          <w:tcPr>
            <w:tcW w:w="724"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auto"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（1-实施计划备案后的调整或细化资金/实施计划备案后的资金）*分值</w:t>
            </w:r>
          </w:p>
        </w:tc>
      </w:tr>
      <w:tr>
        <w:tblPrEx>
          <w:tblLayout w:type="fixed"/>
          <w:tblCellMar>
            <w:top w:w="0" w:type="dxa"/>
            <w:left w:w="0" w:type="dxa"/>
            <w:bottom w:w="0" w:type="dxa"/>
            <w:right w:w="0" w:type="dxa"/>
          </w:tblCellMar>
        </w:tblPrEx>
        <w:trPr>
          <w:trHeight w:val="1547"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资产管理（6分）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资产管理信息系统建设情况（2分）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考核部门和单位将国有资产纳入资产信息系统管理情况</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①未将所属单位国有资产纳入系统管理，每少一个单位扣1分。②未将资产变动情况及时录入系统，每次扣0.5分。③未落实人员负责管理系统，扣1分。</w:t>
            </w:r>
          </w:p>
        </w:tc>
      </w:tr>
      <w:tr>
        <w:tblPrEx>
          <w:tblLayout w:type="fixed"/>
          <w:tblCellMar>
            <w:top w:w="0" w:type="dxa"/>
            <w:left w:w="0" w:type="dxa"/>
            <w:bottom w:w="0" w:type="dxa"/>
            <w:right w:w="0" w:type="dxa"/>
          </w:tblCellMar>
        </w:tblPrEx>
        <w:trPr>
          <w:trHeight w:val="2461"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行政事业单位资产清查开展情况（2分）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考核行政事业单位按要求及时、准确、全面开展资产清查工作情况</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eastAsia" w:ascii="宋体" w:hAnsi="宋体" w:cs="宋体" w:eastAsiaTheme="minorEastAsia"/>
                <w:color w:val="000000"/>
                <w:sz w:val="16"/>
                <w:szCs w:val="16"/>
                <w:lang w:val="en-US" w:eastAsia="zh-CN"/>
              </w:rPr>
            </w:pPr>
            <w:r>
              <w:rPr>
                <w:rFonts w:hint="eastAsia" w:ascii="宋体" w:hAnsi="宋体" w:cs="宋体"/>
                <w:color w:val="000000"/>
                <w:sz w:val="16"/>
                <w:szCs w:val="16"/>
                <w:lang w:val="en-US" w:eastAsia="zh-CN"/>
              </w:rPr>
              <w:t>1</w:t>
            </w: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r>
              <w:rPr>
                <w:rFonts w:hint="eastAsia" w:ascii="宋体" w:hAnsi="宋体" w:cs="宋体"/>
                <w:color w:val="000000"/>
                <w:kern w:val="0"/>
                <w:sz w:val="16"/>
                <w:szCs w:val="16"/>
              </w:rPr>
              <w:t>未在规定时间内完成资产清查任务扣1分</w:t>
            </w: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①未在规定时间内完成资产清查任务扣1分。②资产清查结果与财政组织复核的结果误差超过10%的扣1分。③未及时按批复的清查结果进行账务调整扣1分。④未及时更新资产管理信息系统，导致系统资产数据与上报财政的资产清查结果不一致扣1分。</w:t>
            </w:r>
          </w:p>
        </w:tc>
      </w:tr>
      <w:tr>
        <w:tblPrEx>
          <w:tblLayout w:type="fixed"/>
          <w:tblCellMar>
            <w:top w:w="0" w:type="dxa"/>
            <w:left w:w="0" w:type="dxa"/>
            <w:bottom w:w="0" w:type="dxa"/>
            <w:right w:w="0" w:type="dxa"/>
          </w:tblCellMar>
        </w:tblPrEx>
        <w:trPr>
          <w:trHeight w:val="1852"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行政事业单位资产报表上报情况（2分）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考核行政事业单位上报国有资产报表数据的真实性、准确性、全面性</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①未落实专人负责资产报表，未及时上报资产报表扣1分。②报表填报不规范，内容不完整，数据不真实，扣1分。③未提交分析报告，对资产变动情况未作分析说明，扣1分。</w:t>
            </w:r>
          </w:p>
        </w:tc>
      </w:tr>
      <w:tr>
        <w:tblPrEx>
          <w:tblLayout w:type="fixed"/>
          <w:tblCellMar>
            <w:top w:w="0" w:type="dxa"/>
            <w:left w:w="0" w:type="dxa"/>
            <w:bottom w:w="0" w:type="dxa"/>
            <w:right w:w="0" w:type="dxa"/>
          </w:tblCellMar>
        </w:tblPrEx>
        <w:trPr>
          <w:trHeight w:val="1547"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tcBorders>
              <w:top w:val="single" w:color="auto"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内控制度管理（4分）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内部控制度健全完整（4分）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考核部门内部控制制度的设置和执行情况</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内部控制制度健全完整并执行良好的得分，否则不得分。在本年度内因内控制度不健全或执行不到位，造成单位出现廉政风险或发生重大责任事故的不得分。</w:t>
            </w:r>
          </w:p>
        </w:tc>
      </w:tr>
      <w:tr>
        <w:tblPrEx>
          <w:tblLayout w:type="fixed"/>
          <w:tblCellMar>
            <w:top w:w="0" w:type="dxa"/>
            <w:left w:w="0" w:type="dxa"/>
            <w:bottom w:w="0" w:type="dxa"/>
            <w:right w:w="0" w:type="dxa"/>
          </w:tblCellMar>
        </w:tblPrEx>
        <w:trPr>
          <w:trHeight w:val="1547"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信息公开（10分）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预算公开（4分）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除涉密信息外，各部门要在财政部门批复后二十日内向社会公开本部门预算（含所有财政资金安排的“三公”经费、机关运行经费的安排、使用情况等）</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按县财政通知要求公开预算，未按要求公开的，发现一处扣0.5分，直至扣完</w:t>
            </w:r>
          </w:p>
        </w:tc>
      </w:tr>
      <w:tr>
        <w:tblPrEx>
          <w:tblLayout w:type="fixed"/>
          <w:tblCellMar>
            <w:top w:w="0" w:type="dxa"/>
            <w:left w:w="0" w:type="dxa"/>
            <w:bottom w:w="0" w:type="dxa"/>
            <w:right w:w="0" w:type="dxa"/>
          </w:tblCellMar>
        </w:tblPrEx>
        <w:trPr>
          <w:trHeight w:val="1547"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决算公开（4分）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除涉密信息外，各部门要在财政部门批复二十日内向社会公开本部门决算（含所有财政资金安排的“三公”经费、机关运行经费的安排、使用情况等）</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未按要求公开的，发现一处问题0.5分，直至扣完</w:t>
            </w:r>
          </w:p>
        </w:tc>
      </w:tr>
      <w:tr>
        <w:tblPrEx>
          <w:tblLayout w:type="fixed"/>
          <w:tblCellMar>
            <w:top w:w="0" w:type="dxa"/>
            <w:left w:w="0" w:type="dxa"/>
            <w:bottom w:w="0" w:type="dxa"/>
            <w:right w:w="0" w:type="dxa"/>
          </w:tblCellMar>
        </w:tblPrEx>
        <w:trPr>
          <w:trHeight w:val="938"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绩效信息公开（2分）</w:t>
            </w:r>
          </w:p>
        </w:tc>
        <w:tc>
          <w:tcPr>
            <w:tcW w:w="2399"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按要求公开部门整体支出绩效自评报告及其他按要求应公开的绩效信息</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未按要求公开的，发现一处问题0.5分，直至扣完</w:t>
            </w:r>
          </w:p>
        </w:tc>
      </w:tr>
      <w:tr>
        <w:tblPrEx>
          <w:tblLayout w:type="fixed"/>
          <w:tblCellMar>
            <w:top w:w="0" w:type="dxa"/>
            <w:left w:w="0" w:type="dxa"/>
            <w:bottom w:w="0" w:type="dxa"/>
            <w:right w:w="0" w:type="dxa"/>
          </w:tblCellMar>
        </w:tblPrEx>
        <w:trPr>
          <w:trHeight w:val="1547"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绩效评价（10分）</w:t>
            </w:r>
          </w:p>
        </w:tc>
        <w:tc>
          <w:tcPr>
            <w:tcW w:w="141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评价项目覆盖率（2分）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部门实施绩效评价项目数量占部门管理专项预算项目数量的比重，部门申报绩效目标项目数量的比重，用以反映和考核部门实施绩效评价项目资金覆盖情况</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评价覆盖率=实施绩效评价项目数量/部门管理专项预算项目数量×100%</w:t>
            </w:r>
          </w:p>
        </w:tc>
      </w:tr>
      <w:tr>
        <w:tblPrEx>
          <w:tblLayout w:type="fixed"/>
          <w:tblCellMar>
            <w:top w:w="0" w:type="dxa"/>
            <w:left w:w="0" w:type="dxa"/>
            <w:bottom w:w="0" w:type="dxa"/>
            <w:right w:w="0" w:type="dxa"/>
          </w:tblCellMar>
        </w:tblPrEx>
        <w:trPr>
          <w:trHeight w:val="634"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评价层次（2分）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部门（单位）是否对单位内部股室开展整体绩效评价</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对单位内部实施评价的得分，否则不得分</w:t>
            </w:r>
          </w:p>
        </w:tc>
      </w:tr>
      <w:tr>
        <w:tblPrEx>
          <w:tblLayout w:type="fixed"/>
          <w:tblCellMar>
            <w:top w:w="0" w:type="dxa"/>
            <w:left w:w="0" w:type="dxa"/>
            <w:bottom w:w="0" w:type="dxa"/>
            <w:right w:w="0" w:type="dxa"/>
          </w:tblCellMar>
        </w:tblPrEx>
        <w:trPr>
          <w:trHeight w:val="708"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评价结果报告（2分）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部门是否按要求向财政部门报告自评报告等相关绩效信息</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cs="宋体" w:eastAsiaTheme="minorEastAsia"/>
                <w:color w:val="000000"/>
                <w:sz w:val="16"/>
                <w:szCs w:val="16"/>
                <w:lang w:val="en-US" w:eastAsia="zh-CN"/>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未按要求报送的，发现一处扣0.5分，直至扣完。</w:t>
            </w:r>
          </w:p>
        </w:tc>
      </w:tr>
      <w:tr>
        <w:tblPrEx>
          <w:tblLayout w:type="fixed"/>
          <w:tblCellMar>
            <w:top w:w="0" w:type="dxa"/>
            <w:left w:w="0" w:type="dxa"/>
            <w:bottom w:w="0" w:type="dxa"/>
            <w:right w:w="0" w:type="dxa"/>
          </w:tblCellMar>
        </w:tblPrEx>
        <w:trPr>
          <w:trHeight w:val="938"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整改完成率（4分）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部门是否按要求针对绩效评价发现问题制定整改措施，并整改落实到位</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完成率=应制定整改措施的项目数量/部门实际制定整改措施项目数量×100%。</w:t>
            </w:r>
          </w:p>
        </w:tc>
      </w:tr>
      <w:tr>
        <w:tblPrEx>
          <w:tblLayout w:type="fixed"/>
          <w:tblCellMar>
            <w:top w:w="0" w:type="dxa"/>
            <w:left w:w="0" w:type="dxa"/>
            <w:bottom w:w="0" w:type="dxa"/>
            <w:right w:w="0" w:type="dxa"/>
          </w:tblCellMar>
        </w:tblPrEx>
        <w:trPr>
          <w:trHeight w:val="1852"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依法接受财政监督（6分）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是否按要求开展自查自纠（2分）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根据相关自查自纠报告、报表报送时效和质量进行考核</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未在规定时间内报送自查自纠相关材料（包括：纸质和电子版）的，扣0.5分；报告内容不完整，扣1分；报表质量差（如：数据、逻辑、勾稽关系错误）等扣0.5分；直至扣完</w:t>
            </w:r>
          </w:p>
        </w:tc>
      </w:tr>
      <w:tr>
        <w:tblPrEx>
          <w:tblLayout w:type="fixed"/>
          <w:tblCellMar>
            <w:top w:w="0" w:type="dxa"/>
            <w:left w:w="0" w:type="dxa"/>
            <w:bottom w:w="0" w:type="dxa"/>
            <w:right w:w="0" w:type="dxa"/>
          </w:tblCellMar>
        </w:tblPrEx>
        <w:trPr>
          <w:trHeight w:val="634"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重点检查发现违规违纪问题（2分）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根据检查组提供的工作底稿、检查报告等资料进行考核</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专项检查发现的违纪违规问题，每个问题扣0.5分，直至扣完</w:t>
            </w:r>
          </w:p>
        </w:tc>
      </w:tr>
      <w:tr>
        <w:tblPrEx>
          <w:tblLayout w:type="fixed"/>
          <w:tblCellMar>
            <w:top w:w="0" w:type="dxa"/>
            <w:left w:w="0" w:type="dxa"/>
            <w:bottom w:w="0" w:type="dxa"/>
            <w:right w:w="0" w:type="dxa"/>
          </w:tblCellMar>
        </w:tblPrEx>
        <w:trPr>
          <w:trHeight w:val="938" w:hRule="atLeast"/>
        </w:trPr>
        <w:tc>
          <w:tcPr>
            <w:tcW w:w="120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存在问题整改是否到位（2分）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根据相关整改报告、凭证依据等相关证明材料进行考核</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未在规定时间内完成整改，并提供相关证明材料的，每个问题0.5分，直至扣完</w:t>
            </w:r>
          </w:p>
        </w:tc>
      </w:tr>
      <w:tr>
        <w:tblPrEx>
          <w:tblLayout w:type="fixed"/>
          <w:tblCellMar>
            <w:top w:w="0" w:type="dxa"/>
            <w:left w:w="0" w:type="dxa"/>
            <w:bottom w:w="0" w:type="dxa"/>
            <w:right w:w="0" w:type="dxa"/>
          </w:tblCellMar>
        </w:tblPrEx>
        <w:trPr>
          <w:trHeight w:val="634" w:hRule="atLeast"/>
        </w:trPr>
        <w:tc>
          <w:tcPr>
            <w:tcW w:w="120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整体效益（30分）</w:t>
            </w:r>
          </w:p>
        </w:tc>
        <w:tc>
          <w:tcPr>
            <w:tcW w:w="12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部门整体绩效（30分）</w:t>
            </w:r>
          </w:p>
        </w:tc>
        <w:tc>
          <w:tcPr>
            <w:tcW w:w="14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重点项目绩效评价结果（10分）</w:t>
            </w:r>
          </w:p>
        </w:tc>
        <w:tc>
          <w:tcPr>
            <w:tcW w:w="23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部门实施重大项目的经济、社会效益</w:t>
            </w:r>
          </w:p>
        </w:tc>
        <w:tc>
          <w:tcPr>
            <w:tcW w:w="72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ascii="宋体" w:hAnsi="宋体" w:cs="宋体"/>
                <w:color w:val="000000"/>
                <w:sz w:val="16"/>
                <w:szCs w:val="16"/>
              </w:rPr>
            </w:pPr>
          </w:p>
        </w:tc>
        <w:tc>
          <w:tcPr>
            <w:tcW w:w="23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根据县财政组织实施项目绩效评价结果换算</w:t>
            </w:r>
          </w:p>
        </w:tc>
      </w:tr>
      <w:tr>
        <w:tblPrEx>
          <w:tblLayout w:type="fixed"/>
          <w:tblCellMar>
            <w:top w:w="0" w:type="dxa"/>
            <w:left w:w="0" w:type="dxa"/>
            <w:bottom w:w="0" w:type="dxa"/>
            <w:right w:w="0" w:type="dxa"/>
          </w:tblCellMar>
        </w:tblPrEx>
        <w:trPr>
          <w:trHeight w:val="435"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部门职能完成情况特性指标（20分）</w:t>
            </w:r>
          </w:p>
        </w:tc>
        <w:tc>
          <w:tcPr>
            <w:tcW w:w="23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根据部门职能职责、州级主管部门和县委县政府安排的各项专项工作任务及其他年度重点工作任务等，汇总梳理形成能够量化衡量且全面反映部门职能工作完成情况的若干指标。</w:t>
            </w: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71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239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sz w:val="16"/>
                <w:szCs w:val="16"/>
              </w:rPr>
            </w:pPr>
            <w:r>
              <w:rPr>
                <w:rFonts w:hint="eastAsia" w:ascii="宋体" w:hAnsi="宋体" w:cs="宋体"/>
                <w:color w:val="000000"/>
                <w:kern w:val="0"/>
                <w:sz w:val="16"/>
                <w:szCs w:val="16"/>
              </w:rPr>
              <w:t>部门和评价组根据部门实际设置</w:t>
            </w:r>
          </w:p>
        </w:tc>
      </w:tr>
      <w:tr>
        <w:tblPrEx>
          <w:tblLayout w:type="fixed"/>
          <w:tblCellMar>
            <w:top w:w="0" w:type="dxa"/>
            <w:left w:w="0" w:type="dxa"/>
            <w:bottom w:w="0" w:type="dxa"/>
            <w:right w:w="0" w:type="dxa"/>
          </w:tblCellMar>
        </w:tblPrEx>
        <w:trPr>
          <w:trHeight w:val="1418" w:hRule="atLeast"/>
        </w:trPr>
        <w:tc>
          <w:tcPr>
            <w:tcW w:w="120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6"/>
                <w:szCs w:val="16"/>
              </w:rPr>
            </w:pPr>
          </w:p>
        </w:tc>
        <w:tc>
          <w:tcPr>
            <w:tcW w:w="12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color w:val="000000"/>
                <w:sz w:val="16"/>
                <w:szCs w:val="16"/>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6"/>
                <w:szCs w:val="16"/>
              </w:rPr>
            </w:pPr>
          </w:p>
        </w:tc>
        <w:tc>
          <w:tcPr>
            <w:tcW w:w="23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cs="宋体"/>
                <w:color w:val="000000"/>
                <w:sz w:val="16"/>
                <w:szCs w:val="16"/>
              </w:rPr>
            </w:p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71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ascii="宋体" w:hAnsi="宋体" w:cs="宋体"/>
                <w:color w:val="000000"/>
                <w:sz w:val="16"/>
                <w:szCs w:val="16"/>
              </w:rPr>
            </w:pPr>
          </w:p>
        </w:tc>
        <w:tc>
          <w:tcPr>
            <w:tcW w:w="239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宋体" w:hAnsi="宋体" w:cs="宋体"/>
                <w:color w:val="000000"/>
                <w:sz w:val="16"/>
                <w:szCs w:val="16"/>
              </w:rPr>
            </w:pPr>
          </w:p>
        </w:tc>
      </w:tr>
      <w:tr>
        <w:tblPrEx>
          <w:tblLayout w:type="fixed"/>
          <w:tblCellMar>
            <w:top w:w="0" w:type="dxa"/>
            <w:left w:w="0" w:type="dxa"/>
            <w:bottom w:w="0" w:type="dxa"/>
            <w:right w:w="0" w:type="dxa"/>
          </w:tblCellMar>
        </w:tblPrEx>
        <w:trPr>
          <w:trHeight w:val="634" w:hRule="atLeast"/>
        </w:trPr>
        <w:tc>
          <w:tcPr>
            <w:tcW w:w="10140" w:type="dxa"/>
            <w:gridSpan w:val="7"/>
            <w:tcBorders>
              <w:top w:val="single" w:color="000000" w:sz="4" w:space="0"/>
              <w:left w:val="nil"/>
              <w:bottom w:val="nil"/>
              <w:right w:val="nil"/>
            </w:tcBorders>
            <w:tcMar>
              <w:top w:w="15" w:type="dxa"/>
              <w:left w:w="15" w:type="dxa"/>
              <w:right w:w="15" w:type="dxa"/>
            </w:tcMar>
            <w:vAlign w:val="center"/>
          </w:tcPr>
          <w:p>
            <w:pPr>
              <w:widowControl/>
              <w:jc w:val="left"/>
              <w:textAlignment w:val="center"/>
              <w:rPr>
                <w:rFonts w:ascii="宋体" w:hAnsi="宋体" w:cs="宋体"/>
                <w:b/>
                <w:color w:val="000000"/>
                <w:sz w:val="20"/>
                <w:szCs w:val="20"/>
              </w:rPr>
            </w:pPr>
          </w:p>
        </w:tc>
      </w:tr>
    </w:tbl>
    <w:p>
      <w:pPr>
        <w:widowControl/>
        <w:numPr>
          <w:ilvl w:val="0"/>
          <w:numId w:val="6"/>
        </w:numPr>
        <w:ind w:firstLine="2640" w:firstLineChars="600"/>
        <w:jc w:val="left"/>
        <w:rPr>
          <w:rStyle w:val="14"/>
          <w:rFonts w:hint="eastAsia" w:ascii="黑体" w:hAnsi="黑体" w:eastAsia="黑体"/>
          <w:b w:val="0"/>
        </w:rPr>
      </w:pPr>
      <w:bookmarkStart w:id="60" w:name="_Toc15396618"/>
      <w:r>
        <w:rPr>
          <w:rStyle w:val="14"/>
          <w:rFonts w:hint="eastAsia" w:ascii="黑体" w:hAnsi="黑体" w:eastAsia="黑体"/>
          <w:b w:val="0"/>
        </w:rPr>
        <w:t>附表</w:t>
      </w:r>
      <w:bookmarkEnd w:id="57"/>
      <w:bookmarkEnd w:id="60"/>
      <w:bookmarkStart w:id="61" w:name="_Toc15396619"/>
    </w:p>
    <w:p>
      <w:pPr>
        <w:widowControl/>
        <w:numPr>
          <w:ilvl w:val="0"/>
          <w:numId w:val="7"/>
        </w:numPr>
        <w:jc w:val="left"/>
        <w:rPr>
          <w:rStyle w:val="15"/>
          <w:rFonts w:hint="eastAsia" w:ascii="仿宋" w:hAnsi="仿宋" w:eastAsia="仿宋"/>
          <w:b w:val="0"/>
          <w:bCs w:val="0"/>
          <w:sz w:val="32"/>
          <w:szCs w:val="32"/>
        </w:rPr>
      </w:pPr>
      <w:r>
        <w:rPr>
          <w:rFonts w:hint="eastAsia" w:ascii="仿宋" w:hAnsi="仿宋" w:eastAsia="仿宋"/>
          <w:b w:val="0"/>
          <w:color w:val="000000"/>
          <w:sz w:val="32"/>
          <w:szCs w:val="32"/>
        </w:rPr>
        <w:t>收</w:t>
      </w:r>
      <w:r>
        <w:rPr>
          <w:rStyle w:val="15"/>
          <w:rFonts w:hint="eastAsia" w:ascii="仿宋" w:hAnsi="仿宋" w:eastAsia="仿宋"/>
          <w:b w:val="0"/>
          <w:bCs w:val="0"/>
          <w:sz w:val="32"/>
          <w:szCs w:val="32"/>
        </w:rPr>
        <w:t>入支出决算总表</w:t>
      </w:r>
      <w:bookmarkEnd w:id="61"/>
      <w:bookmarkStart w:id="62" w:name="_Toc15396620"/>
    </w:p>
    <w:p>
      <w:pPr>
        <w:widowControl/>
        <w:numPr>
          <w:numId w:val="0"/>
        </w:num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b w:val="0"/>
          <w:color w:val="000000"/>
          <w:sz w:val="32"/>
          <w:szCs w:val="32"/>
        </w:rPr>
        <w:t>二、收</w:t>
      </w:r>
      <w:r>
        <w:rPr>
          <w:rStyle w:val="15"/>
          <w:rFonts w:hint="eastAsia" w:ascii="仿宋" w:hAnsi="仿宋" w:eastAsia="仿宋"/>
          <w:b w:val="0"/>
          <w:bCs w:val="0"/>
          <w:sz w:val="32"/>
          <w:szCs w:val="32"/>
        </w:rPr>
        <w:t>入总表</w:t>
      </w:r>
      <w:bookmarkEnd w:id="62"/>
      <w:bookmarkStart w:id="63" w:name="_Toc15396621"/>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三、</w:t>
      </w:r>
      <w:r>
        <w:rPr>
          <w:rFonts w:hint="eastAsia" w:ascii="仿宋" w:hAnsi="仿宋" w:eastAsia="仿宋"/>
          <w:b w:val="0"/>
          <w:color w:val="000000"/>
          <w:sz w:val="32"/>
          <w:szCs w:val="32"/>
        </w:rPr>
        <w:t>支</w:t>
      </w:r>
      <w:r>
        <w:rPr>
          <w:rStyle w:val="15"/>
          <w:rFonts w:hint="eastAsia" w:ascii="仿宋" w:hAnsi="仿宋" w:eastAsia="仿宋"/>
          <w:b w:val="0"/>
          <w:bCs w:val="0"/>
          <w:sz w:val="32"/>
          <w:szCs w:val="32"/>
        </w:rPr>
        <w:t>出总表</w:t>
      </w:r>
      <w:bookmarkEnd w:id="63"/>
      <w:bookmarkStart w:id="64" w:name="_Toc15396622"/>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四、</w:t>
      </w:r>
      <w:r>
        <w:rPr>
          <w:rFonts w:hint="eastAsia" w:ascii="仿宋" w:hAnsi="仿宋" w:eastAsia="仿宋"/>
          <w:b w:val="0"/>
          <w:color w:val="000000"/>
          <w:sz w:val="32"/>
          <w:szCs w:val="32"/>
        </w:rPr>
        <w:t>财</w:t>
      </w:r>
      <w:r>
        <w:rPr>
          <w:rStyle w:val="15"/>
          <w:rFonts w:hint="eastAsia" w:ascii="仿宋" w:hAnsi="仿宋" w:eastAsia="仿宋"/>
          <w:b w:val="0"/>
          <w:bCs w:val="0"/>
          <w:sz w:val="32"/>
          <w:szCs w:val="32"/>
        </w:rPr>
        <w:t>政拨款收入支出决算总表</w:t>
      </w:r>
      <w:bookmarkEnd w:id="64"/>
      <w:bookmarkStart w:id="65" w:name="_Toc15396623"/>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五、</w:t>
      </w:r>
      <w:r>
        <w:rPr>
          <w:rFonts w:hint="eastAsia" w:ascii="仿宋" w:hAnsi="仿宋" w:eastAsia="仿宋"/>
          <w:b w:val="0"/>
          <w:color w:val="000000"/>
          <w:sz w:val="32"/>
          <w:szCs w:val="32"/>
        </w:rPr>
        <w:t>财</w:t>
      </w:r>
      <w:r>
        <w:rPr>
          <w:rStyle w:val="15"/>
          <w:rFonts w:hint="eastAsia" w:ascii="仿宋" w:hAnsi="仿宋" w:eastAsia="仿宋"/>
          <w:b w:val="0"/>
          <w:bCs w:val="0"/>
          <w:sz w:val="32"/>
          <w:szCs w:val="32"/>
        </w:rPr>
        <w:t>政拨款支出决算明细表（政府经济分类科目）</w:t>
      </w:r>
      <w:bookmarkEnd w:id="65"/>
      <w:bookmarkStart w:id="66" w:name="_Toc15396624"/>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六、</w:t>
      </w:r>
      <w:r>
        <w:rPr>
          <w:rFonts w:hint="eastAsia" w:ascii="仿宋" w:hAnsi="仿宋" w:eastAsia="仿宋"/>
          <w:b w:val="0"/>
          <w:color w:val="000000"/>
          <w:sz w:val="32"/>
          <w:szCs w:val="32"/>
        </w:rPr>
        <w:t>一</w:t>
      </w:r>
      <w:r>
        <w:rPr>
          <w:rStyle w:val="15"/>
          <w:rFonts w:hint="eastAsia" w:ascii="仿宋" w:hAnsi="仿宋" w:eastAsia="仿宋"/>
          <w:b w:val="0"/>
          <w:bCs w:val="0"/>
          <w:sz w:val="32"/>
          <w:szCs w:val="32"/>
        </w:rPr>
        <w:t>般公共预算财政拨款支出决算表</w:t>
      </w:r>
      <w:bookmarkEnd w:id="66"/>
      <w:bookmarkStart w:id="67" w:name="_Toc15396625"/>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七、</w:t>
      </w:r>
      <w:r>
        <w:rPr>
          <w:rFonts w:hint="eastAsia" w:ascii="仿宋" w:hAnsi="仿宋" w:eastAsia="仿宋"/>
          <w:b w:val="0"/>
          <w:color w:val="000000"/>
          <w:sz w:val="32"/>
          <w:szCs w:val="32"/>
        </w:rPr>
        <w:t>一</w:t>
      </w:r>
      <w:r>
        <w:rPr>
          <w:rStyle w:val="15"/>
          <w:rFonts w:hint="eastAsia" w:ascii="仿宋" w:hAnsi="仿宋" w:eastAsia="仿宋"/>
          <w:b w:val="0"/>
          <w:bCs w:val="0"/>
          <w:sz w:val="32"/>
          <w:szCs w:val="32"/>
        </w:rPr>
        <w:t>般公共预算财政拨款支出决算明细表</w:t>
      </w:r>
      <w:bookmarkEnd w:id="67"/>
      <w:bookmarkStart w:id="68" w:name="_Toc15396626"/>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八、</w:t>
      </w:r>
      <w:r>
        <w:rPr>
          <w:rFonts w:hint="eastAsia" w:ascii="仿宋" w:hAnsi="仿宋" w:eastAsia="仿宋"/>
          <w:b w:val="0"/>
          <w:color w:val="000000"/>
          <w:sz w:val="32"/>
          <w:szCs w:val="32"/>
        </w:rPr>
        <w:t>一</w:t>
      </w:r>
      <w:r>
        <w:rPr>
          <w:rStyle w:val="15"/>
          <w:rFonts w:hint="eastAsia" w:ascii="仿宋" w:hAnsi="仿宋" w:eastAsia="仿宋"/>
          <w:b w:val="0"/>
          <w:bCs w:val="0"/>
          <w:sz w:val="32"/>
          <w:szCs w:val="32"/>
        </w:rPr>
        <w:t>般公共预算财政拨款基本支出决算表</w:t>
      </w:r>
      <w:bookmarkEnd w:id="68"/>
      <w:bookmarkStart w:id="69" w:name="_Toc15396627"/>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九、</w:t>
      </w:r>
      <w:r>
        <w:rPr>
          <w:rFonts w:hint="eastAsia" w:ascii="仿宋" w:hAnsi="仿宋" w:eastAsia="仿宋"/>
          <w:b w:val="0"/>
          <w:color w:val="000000"/>
          <w:sz w:val="32"/>
          <w:szCs w:val="32"/>
        </w:rPr>
        <w:t>一</w:t>
      </w:r>
      <w:r>
        <w:rPr>
          <w:rStyle w:val="15"/>
          <w:rFonts w:hint="eastAsia" w:ascii="仿宋" w:hAnsi="仿宋" w:eastAsia="仿宋"/>
          <w:b w:val="0"/>
          <w:bCs w:val="0"/>
          <w:sz w:val="32"/>
          <w:szCs w:val="32"/>
        </w:rPr>
        <w:t>般公共预算财政拨款项目支出决算表</w:t>
      </w:r>
      <w:bookmarkEnd w:id="69"/>
      <w:bookmarkStart w:id="70" w:name="_Toc15396628"/>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十、</w:t>
      </w:r>
      <w:r>
        <w:rPr>
          <w:rFonts w:hint="eastAsia" w:ascii="仿宋" w:hAnsi="仿宋" w:eastAsia="仿宋"/>
          <w:b w:val="0"/>
          <w:color w:val="000000"/>
          <w:sz w:val="32"/>
          <w:szCs w:val="32"/>
        </w:rPr>
        <w:t>一</w:t>
      </w:r>
      <w:r>
        <w:rPr>
          <w:rStyle w:val="15"/>
          <w:rFonts w:hint="eastAsia" w:ascii="仿宋" w:hAnsi="仿宋" w:eastAsia="仿宋"/>
          <w:b w:val="0"/>
          <w:bCs w:val="0"/>
          <w:sz w:val="32"/>
          <w:szCs w:val="32"/>
        </w:rPr>
        <w:t>般公共预算财政拨款“三公”经费支出决算表</w:t>
      </w:r>
      <w:bookmarkEnd w:id="70"/>
      <w:bookmarkStart w:id="71" w:name="_Toc15396629"/>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十一、</w:t>
      </w:r>
      <w:r>
        <w:rPr>
          <w:rFonts w:hint="eastAsia" w:ascii="仿宋" w:hAnsi="仿宋" w:eastAsia="仿宋"/>
          <w:b w:val="0"/>
          <w:color w:val="000000"/>
          <w:sz w:val="32"/>
          <w:szCs w:val="32"/>
        </w:rPr>
        <w:t>政</w:t>
      </w:r>
      <w:r>
        <w:rPr>
          <w:rStyle w:val="15"/>
          <w:rFonts w:hint="eastAsia" w:ascii="仿宋" w:hAnsi="仿宋" w:eastAsia="仿宋"/>
          <w:b w:val="0"/>
          <w:bCs w:val="0"/>
          <w:sz w:val="32"/>
          <w:szCs w:val="32"/>
        </w:rPr>
        <w:t>府性基金预算财政拨款收入支出决算表</w:t>
      </w:r>
      <w:bookmarkEnd w:id="71"/>
      <w:bookmarkStart w:id="72" w:name="_Toc15396630"/>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十二、</w:t>
      </w:r>
      <w:r>
        <w:rPr>
          <w:rFonts w:hint="eastAsia" w:ascii="仿宋" w:hAnsi="仿宋" w:eastAsia="仿宋"/>
          <w:b w:val="0"/>
          <w:color w:val="000000"/>
          <w:sz w:val="32"/>
          <w:szCs w:val="32"/>
        </w:rPr>
        <w:t>政</w:t>
      </w:r>
      <w:r>
        <w:rPr>
          <w:rStyle w:val="15"/>
          <w:rFonts w:hint="eastAsia" w:ascii="仿宋" w:hAnsi="仿宋" w:eastAsia="仿宋"/>
          <w:b w:val="0"/>
          <w:bCs w:val="0"/>
          <w:sz w:val="32"/>
          <w:szCs w:val="32"/>
        </w:rPr>
        <w:t>府性基金预算财政拨款“三公”经费支出决算表</w:t>
      </w:r>
      <w:bookmarkEnd w:id="72"/>
      <w:bookmarkStart w:id="73" w:name="_Toc15396631"/>
    </w:p>
    <w:p>
      <w:pPr>
        <w:widowControl/>
        <w:numPr>
          <w:numId w:val="0"/>
        </w:numPr>
        <w:jc w:val="left"/>
        <w:rPr>
          <w:rFonts w:ascii="仿宋" w:hAnsi="仿宋" w:eastAsia="仿宋"/>
          <w:color w:val="000000" w:themeColor="text1"/>
          <w:sz w:val="32"/>
          <w:szCs w:val="32"/>
          <w14:textFill>
            <w14:solidFill>
              <w14:schemeClr w14:val="tx1"/>
            </w14:solidFill>
          </w14:textFill>
        </w:rPr>
      </w:pPr>
      <w:r>
        <w:rPr>
          <w:rStyle w:val="15"/>
          <w:rFonts w:hint="eastAsia" w:ascii="仿宋" w:hAnsi="仿宋" w:eastAsia="仿宋"/>
          <w:b w:val="0"/>
          <w:bCs w:val="0"/>
          <w:sz w:val="32"/>
          <w:szCs w:val="32"/>
        </w:rPr>
        <w:t>十三、</w:t>
      </w:r>
      <w:r>
        <w:rPr>
          <w:rFonts w:hint="eastAsia" w:ascii="仿宋" w:hAnsi="仿宋" w:eastAsia="仿宋"/>
          <w:b w:val="0"/>
          <w:color w:val="000000"/>
          <w:sz w:val="32"/>
          <w:szCs w:val="32"/>
        </w:rPr>
        <w:t>国</w:t>
      </w:r>
      <w:r>
        <w:rPr>
          <w:rStyle w:val="15"/>
          <w:rFonts w:hint="eastAsia" w:ascii="仿宋" w:hAnsi="仿宋" w:eastAsia="仿宋"/>
          <w:b w:val="0"/>
          <w:bCs w:val="0"/>
          <w:sz w:val="32"/>
          <w:szCs w:val="32"/>
        </w:rPr>
        <w:t>有资本经营预算支出决算表</w:t>
      </w:r>
      <w:bookmarkEnd w:id="73"/>
    </w:p>
    <w:p>
      <w:pPr>
        <w:rPr>
          <w:rFonts w:hint="eastAsia" w:ascii="仿宋" w:hAnsi="仿宋" w:eastAsia="仿宋"/>
          <w:sz w:val="32"/>
          <w:szCs w:val="32"/>
          <w:lang w:eastAsia="zh-CN"/>
        </w:rPr>
      </w:pPr>
    </w:p>
    <w:p>
      <w:pPr>
        <w:spacing w:line="600" w:lineRule="exact"/>
        <w:jc w:val="center"/>
        <w:outlineLvl w:val="0"/>
        <w:rPr>
          <w:rFonts w:hint="eastAsia" w:ascii="仿宋" w:hAnsi="仿宋" w:eastAsia="仿宋"/>
          <w:b/>
          <w:color w:val="00000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KaiTi_GB2312">
    <w:altName w:val="楷体"/>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variable"/>
    <w:sig w:usb0="00000287" w:usb1="00000000" w:usb2="00000000" w:usb3="00000000" w:csb0="2000009F" w:csb1="DFD70000"/>
  </w:font>
  <w:font w:name="Wide Latin">
    <w:panose1 w:val="020A0A070505050204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698AD"/>
    <w:multiLevelType w:val="singleLevel"/>
    <w:tmpl w:val="8BD698AD"/>
    <w:lvl w:ilvl="0" w:tentative="0">
      <w:start w:val="2"/>
      <w:numFmt w:val="chineseCounting"/>
      <w:suff w:val="nothing"/>
      <w:lvlText w:val="（%1）"/>
      <w:lvlJc w:val="left"/>
      <w:pPr>
        <w:ind w:left="640" w:leftChars="0" w:firstLine="0" w:firstLineChars="0"/>
      </w:pPr>
      <w:rPr>
        <w:rFonts w:hint="eastAsia"/>
      </w:rPr>
    </w:lvl>
  </w:abstractNum>
  <w:abstractNum w:abstractNumId="1">
    <w:nsid w:val="9B76B6F9"/>
    <w:multiLevelType w:val="singleLevel"/>
    <w:tmpl w:val="9B76B6F9"/>
    <w:lvl w:ilvl="0" w:tentative="0">
      <w:start w:val="5"/>
      <w:numFmt w:val="chineseCounting"/>
      <w:suff w:val="space"/>
      <w:lvlText w:val="第%1部分"/>
      <w:lvlJc w:val="left"/>
      <w:rPr>
        <w:rFonts w:hint="eastAsia"/>
      </w:rPr>
    </w:lvl>
  </w:abstractNum>
  <w:abstractNum w:abstractNumId="2">
    <w:nsid w:val="B3B0B280"/>
    <w:multiLevelType w:val="singleLevel"/>
    <w:tmpl w:val="B3B0B280"/>
    <w:lvl w:ilvl="0" w:tentative="0">
      <w:start w:val="1"/>
      <w:numFmt w:val="chineseCounting"/>
      <w:suff w:val="nothing"/>
      <w:lvlText w:val="%1、"/>
      <w:lvlJc w:val="left"/>
      <w:rPr>
        <w:rFonts w:hint="eastAsia"/>
      </w:rPr>
    </w:lvl>
  </w:abstractNum>
  <w:abstractNum w:abstractNumId="3">
    <w:nsid w:val="E1398C65"/>
    <w:multiLevelType w:val="singleLevel"/>
    <w:tmpl w:val="E1398C65"/>
    <w:lvl w:ilvl="0" w:tentative="0">
      <w:start w:val="1"/>
      <w:numFmt w:val="chineseCounting"/>
      <w:suff w:val="nothing"/>
      <w:lvlText w:val="%1、"/>
      <w:lvlJc w:val="left"/>
      <w:rPr>
        <w:rFonts w:hint="eastAsia"/>
      </w:rPr>
    </w:lvl>
  </w:abstractNum>
  <w:abstractNum w:abstractNumId="4">
    <w:nsid w:val="EC0BEF30"/>
    <w:multiLevelType w:val="singleLevel"/>
    <w:tmpl w:val="EC0BEF30"/>
    <w:lvl w:ilvl="0" w:tentative="0">
      <w:start w:val="1"/>
      <w:numFmt w:val="chineseCounting"/>
      <w:suff w:val="nothing"/>
      <w:lvlText w:val="（%1）"/>
      <w:lvlJc w:val="left"/>
      <w:rPr>
        <w:rFonts w:hint="eastAsia" w:ascii="KaiTi_GB2312" w:hAnsi="KaiTi_GB2312" w:eastAsia="KaiTi_GB2312" w:cs="KaiTi_GB2312"/>
        <w:b/>
        <w:bCs/>
        <w:sz w:val="32"/>
        <w:szCs w:val="32"/>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133"/>
    <w:rsid w:val="016A5D7C"/>
    <w:rsid w:val="0A077C7C"/>
    <w:rsid w:val="14796249"/>
    <w:rsid w:val="15F42552"/>
    <w:rsid w:val="19B36097"/>
    <w:rsid w:val="2E10166B"/>
    <w:rsid w:val="2EF053D1"/>
    <w:rsid w:val="464A3F5A"/>
    <w:rsid w:val="49722DDA"/>
    <w:rsid w:val="4C29138E"/>
    <w:rsid w:val="600C5563"/>
    <w:rsid w:val="67C85D3C"/>
    <w:rsid w:val="68990B7A"/>
    <w:rsid w:val="69A76840"/>
    <w:rsid w:val="69B15B20"/>
    <w:rsid w:val="6C533133"/>
    <w:rsid w:val="6D6A53FB"/>
    <w:rsid w:val="6EE519B5"/>
    <w:rsid w:val="712513D1"/>
    <w:rsid w:val="782E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w:basedOn w:val="1"/>
    <w:qFormat/>
    <w:uiPriority w:val="99"/>
    <w:pPr>
      <w:spacing w:beforeLines="30"/>
    </w:pPr>
    <w:rPr>
      <w:rFonts w:ascii="FangSong_GB2312" w:eastAsia="FangSong_GB2312"/>
      <w:kern w:val="0"/>
      <w:sz w:val="30"/>
    </w:rPr>
  </w:style>
  <w:style w:type="paragraph" w:styleId="5">
    <w:name w:val="footer"/>
    <w:basedOn w:val="1"/>
    <w:qFormat/>
    <w:uiPriority w:val="99"/>
    <w:pPr>
      <w:tabs>
        <w:tab w:val="center" w:pos="4153"/>
        <w:tab w:val="right" w:pos="8306"/>
      </w:tabs>
      <w:snapToGrid w:val="0"/>
      <w:jc w:val="left"/>
    </w:pPr>
    <w:rPr>
      <w:rFonts w:ascii="Calibri" w:hAnsi="Calibri"/>
      <w:kern w:val="0"/>
      <w:sz w:val="18"/>
      <w:szCs w:val="18"/>
    </w:rPr>
  </w:style>
  <w:style w:type="paragraph" w:styleId="6">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7">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8">
    <w:name w:val="toc 2"/>
    <w:basedOn w:val="1"/>
    <w:next w:val="1"/>
    <w:unhideWhenUsed/>
    <w:qFormat/>
    <w:uiPriority w:val="39"/>
    <w:pPr>
      <w:tabs>
        <w:tab w:val="right" w:leader="dot" w:pos="8296"/>
      </w:tabs>
      <w:ind w:left="420" w:leftChars="200"/>
    </w:p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99"/>
    <w:rPr>
      <w:b/>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标题 1 Char"/>
    <w:basedOn w:val="11"/>
    <w:link w:val="2"/>
    <w:qFormat/>
    <w:uiPriority w:val="9"/>
    <w:rPr>
      <w:b/>
      <w:bCs/>
      <w:kern w:val="44"/>
      <w:sz w:val="44"/>
      <w:szCs w:val="44"/>
    </w:rPr>
  </w:style>
  <w:style w:type="character" w:customStyle="1" w:styleId="15">
    <w:name w:val="标题 2 Char"/>
    <w:basedOn w:val="11"/>
    <w:link w:val="3"/>
    <w:qFormat/>
    <w:uiPriority w:val="9"/>
    <w:rPr>
      <w:rFonts w:asciiTheme="majorHAnsi" w:hAnsiTheme="majorHAnsi" w:eastAsiaTheme="majorEastAsia" w:cstheme="majorBidi"/>
      <w:b/>
      <w:bCs/>
      <w:sz w:val="32"/>
      <w:szCs w:val="32"/>
    </w:rPr>
  </w:style>
  <w:style w:type="paragraph" w:styleId="16">
    <w:name w:val="List Paragraph"/>
    <w:basedOn w:val="1"/>
    <w:qFormat/>
    <w:uiPriority w:val="34"/>
    <w:pPr>
      <w:ind w:firstLine="420" w:firstLineChars="200"/>
    </w:p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6.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收、支决算总计变动情况图</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2017年</c:v>
                </c:pt>
                <c:pt idx="1">
                  <c:v>2018年</c:v>
                </c:pt>
              </c:strCache>
            </c:strRef>
          </c:cat>
          <c:val>
            <c:numRef>
              <c:f>Sheet1!$B$2:$B$5</c:f>
              <c:numCache>
                <c:formatCode>General</c:formatCode>
                <c:ptCount val="4"/>
                <c:pt idx="0">
                  <c:v>302.96</c:v>
                </c:pt>
                <c:pt idx="1">
                  <c:v>616.88</c:v>
                </c:pt>
              </c:numCache>
            </c:numRef>
          </c:val>
        </c:ser>
        <c:ser>
          <c:idx val="1"/>
          <c:order val="1"/>
          <c:tx>
            <c:strRef>
              <c:f>Sheet1!$C$1</c:f>
              <c:strCache>
                <c:ptCount val="1"/>
                <c:pt idx="0">
                  <c:v/>
                </c:pt>
              </c:strCache>
            </c:strRef>
          </c:tx>
          <c:spPr>
            <a:solidFill>
              <a:schemeClr val="accent4">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2017年</c:v>
                </c:pt>
                <c:pt idx="1">
                  <c:v>2018年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6">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2017年</c:v>
                </c:pt>
                <c:pt idx="1">
                  <c:v>2018年</c:v>
                </c:pt>
              </c:strCache>
            </c:strRef>
          </c:cat>
          <c:val>
            <c:numRef>
              <c:f>Sheet1!$D$2:$D$5</c:f>
              <c:numCache>
                <c:formatCode>General</c:formatCode>
                <c:ptCount val="4"/>
              </c:numCache>
            </c:numRef>
          </c:val>
        </c:ser>
        <c:dLbls>
          <c:showLegendKey val="0"/>
          <c:showVal val="1"/>
          <c:showCatName val="0"/>
          <c:showSerName val="0"/>
          <c:showPercent val="0"/>
          <c:showBubbleSize val="0"/>
        </c:dLbls>
        <c:gapWidth val="65"/>
        <c:overlap val="0"/>
        <c:axId val="529142122"/>
        <c:axId val="705396081"/>
      </c:barChart>
      <c:catAx>
        <c:axId val="529142122"/>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705396081"/>
        <c:crosses val="autoZero"/>
        <c:auto val="1"/>
        <c:lblAlgn val="ctr"/>
        <c:lblOffset val="100"/>
        <c:noMultiLvlLbl val="0"/>
      </c:catAx>
      <c:valAx>
        <c:axId val="705396081"/>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52914212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a:t>2018</a:t>
            </a:r>
            <a:r>
              <a:rPr lang="zh-CN" altLang="en-US"/>
              <a:t>部门决算收入结构图</a:t>
            </a:r>
            <a:endParaRPr lang="en-US"/>
          </a:p>
        </c:rich>
      </c:tx>
      <c:layout/>
      <c:overlay val="0"/>
    </c:title>
    <c:autoTitleDeleted val="0"/>
    <c:plotArea>
      <c:layout/>
      <c:pieChart>
        <c:varyColors val="1"/>
        <c:ser>
          <c:idx val="0"/>
          <c:order val="0"/>
          <c:explosion val="0"/>
          <c:dPt>
            <c:idx val="0"/>
            <c:bubble3D val="0"/>
          </c:dPt>
          <c:dPt>
            <c:idx val="1"/>
            <c:bubble3D val="0"/>
          </c:dPt>
          <c:dPt>
            <c:idx val="2"/>
            <c:bubble3D val="0"/>
          </c:dPt>
          <c:dPt>
            <c:idx val="3"/>
            <c:bubble3D val="0"/>
          </c:dPt>
          <c:dPt>
            <c:idx val="4"/>
            <c:bubble3D val="0"/>
          </c:dPt>
          <c:dPt>
            <c:idx val="5"/>
            <c:bubble3D val="0"/>
          </c:dPt>
          <c:dPt>
            <c:idx val="6"/>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Sheet1!$A$1:$G$1</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Sheet1!$A$2:$G$2</c:f>
              <c:numCache>
                <c:formatCode>General</c:formatCode>
                <c:ptCount val="7"/>
                <c:pt idx="0">
                  <c:v>151.48</c:v>
                </c:pt>
                <c:pt idx="1">
                  <c:v>0</c:v>
                </c:pt>
                <c:pt idx="2">
                  <c:v>0</c:v>
                </c:pt>
                <c:pt idx="3">
                  <c:v>0</c:v>
                </c:pt>
                <c:pt idx="4">
                  <c:v>0</c:v>
                </c:pt>
                <c:pt idx="5">
                  <c:v>0</c:v>
                </c:pt>
                <c:pt idx="6">
                  <c:v>0</c:v>
                </c:pt>
              </c:numCache>
            </c:numRef>
          </c:val>
        </c:ser>
        <c:dLbls>
          <c:showLegendKey val="1"/>
          <c:showVal val="1"/>
          <c:showCatName val="1"/>
          <c:showSerName val="1"/>
          <c:showPercent val="1"/>
          <c:showBubbleSize val="1"/>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spc="0" baseline="0">
              <a:solidFill>
                <a:schemeClr val="tx1">
                  <a:lumMod val="65000"/>
                  <a:lumOff val="35000"/>
                </a:schemeClr>
              </a:solidFill>
              <a:latin typeface="黑体" panose="02010609060101010101" charset="-122"/>
              <a:ea typeface="黑体" panose="02010609060101010101" charset="-122"/>
              <a:cs typeface="黑体" panose="02010609060101010101" charset="-122"/>
              <a:sym typeface="黑体" panose="02010609060101010101" charset="-122"/>
            </a:defRPr>
          </a:pPr>
        </a:p>
      </c:txPr>
    </c:title>
    <c:autoTitleDeleted val="0"/>
    <c:plotArea>
      <c:layout/>
      <c:pieChart>
        <c:varyColors val="1"/>
        <c:ser>
          <c:idx val="0"/>
          <c:order val="0"/>
          <c:tx>
            <c:strRef>
              <c:f>Sheet1!$B$1</c:f>
              <c:strCache>
                <c:ptCount val="1"/>
                <c:pt idx="0">
                  <c:v>2018年支出决算结构图</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344.27</c:v>
                </c:pt>
                <c:pt idx="1">
                  <c:v>0</c:v>
                </c:pt>
                <c:pt idx="2">
                  <c:v>0</c:v>
                </c:pt>
                <c:pt idx="3">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ea"/>
                <a:ea typeface="+mn-ea"/>
                <a:cs typeface="+mn-ea"/>
                <a:sym typeface="+mn-ea"/>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ea"/>
                <a:ea typeface="+mn-ea"/>
                <a:cs typeface="+mn-ea"/>
                <a:sym typeface="+mn-ea"/>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ea"/>
                <a:ea typeface="+mn-ea"/>
                <a:cs typeface="+mn-ea"/>
                <a:sym typeface="+mn-ea"/>
              </a:defRPr>
            </a:pPr>
          </a:p>
        </c:txPr>
      </c:legendEntry>
      <c:legendEntry>
        <c:idx val="3"/>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ea"/>
                <a:ea typeface="+mn-ea"/>
                <a:cs typeface="+mn-ea"/>
                <a:sym typeface="+mn-ea"/>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ea"/>
              <a:ea typeface="+mn-ea"/>
              <a:cs typeface="+mn-ea"/>
              <a:sym typeface="+mn-ea"/>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收、支决算总计变动情况图</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2017年</c:v>
                </c:pt>
                <c:pt idx="1">
                  <c:v>2018年</c:v>
                </c:pt>
              </c:strCache>
            </c:strRef>
          </c:cat>
          <c:val>
            <c:numRef>
              <c:f>Sheet1!$B$2:$B$5</c:f>
              <c:numCache>
                <c:formatCode>General</c:formatCode>
                <c:ptCount val="4"/>
                <c:pt idx="0">
                  <c:v>302.96</c:v>
                </c:pt>
                <c:pt idx="1">
                  <c:v>616.88</c:v>
                </c:pt>
              </c:numCache>
            </c:numRef>
          </c:val>
        </c:ser>
        <c:ser>
          <c:idx val="1"/>
          <c:order val="1"/>
          <c:tx>
            <c:strRef>
              <c:f>Sheet1!$C$1</c:f>
              <c:strCache>
                <c:ptCount val="1"/>
                <c:pt idx="0">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2017年</c:v>
                </c:pt>
                <c:pt idx="1">
                  <c:v>2018年</c:v>
                </c:pt>
              </c:strCache>
            </c:strRef>
          </c:cat>
          <c:val>
            <c:numRef>
              <c:f>Sheet1!$C$2:$C$5</c:f>
              <c:numCache>
                <c:formatCode>General</c:formatCode>
                <c:ptCount val="4"/>
              </c:numCache>
            </c:numRef>
          </c:val>
        </c:ser>
        <c:ser>
          <c:idx val="2"/>
          <c:order val="2"/>
          <c:tx>
            <c:strRef>
              <c:f>Sheet1!$D$1</c:f>
              <c:strCache>
                <c:ptCount val="1"/>
                <c:pt idx="0">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lumMod val="8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Sheet1!$A$2:$A$5</c:f>
              <c:strCache>
                <c:ptCount val="4"/>
                <c:pt idx="0">
                  <c:v>2017年</c:v>
                </c:pt>
                <c:pt idx="1">
                  <c:v>2018年</c:v>
                </c:pt>
              </c:strCache>
            </c:strRef>
          </c:cat>
          <c:val>
            <c:numRef>
              <c:f>Sheet1!$D$2:$D$5</c:f>
              <c:numCache>
                <c:formatCode>General</c:formatCode>
                <c:ptCount val="4"/>
              </c:numCache>
            </c:numRef>
          </c:val>
        </c:ser>
        <c:dLbls>
          <c:showLegendKey val="0"/>
          <c:showVal val="1"/>
          <c:showCatName val="0"/>
          <c:showSerName val="0"/>
          <c:showPercent val="0"/>
          <c:showBubbleSize val="0"/>
        </c:dLbls>
        <c:gapWidth val="100"/>
        <c:overlap val="-24"/>
        <c:axId val="529142122"/>
        <c:axId val="705396081"/>
      </c:barChart>
      <c:catAx>
        <c:axId val="529142122"/>
        <c:scaling>
          <c:orientation val="minMax"/>
        </c:scaling>
        <c:delete val="0"/>
        <c:axPos val="b"/>
        <c:majorTickMark val="none"/>
        <c:minorTickMark val="none"/>
        <c:tickLblPos val="nextTo"/>
        <c:spPr>
          <a:noFill/>
          <a:ln w="12700" cap="flat" cmpd="sng" algn="ctr">
            <a:solidFill>
              <a:schemeClr val="lt1">
                <a:lumMod val="95000"/>
                <a:alpha val="54000"/>
              </a:schemeClr>
            </a:solidFill>
            <a:round/>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705396081"/>
        <c:crosses val="autoZero"/>
        <c:auto val="1"/>
        <c:lblAlgn val="ctr"/>
        <c:lblOffset val="100"/>
        <c:noMultiLvlLbl val="0"/>
      </c:catAx>
      <c:valAx>
        <c:axId val="705396081"/>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crossAx val="529142122"/>
        <c:crosses val="autoZero"/>
        <c:crossBetween val="between"/>
      </c:valAx>
      <c:spPr>
        <a:noFill/>
        <a:ln>
          <a:noFill/>
        </a:ln>
        <a:effectLst/>
      </c:spPr>
    </c:plotArea>
    <c:legend>
      <c:legendPos val="b"/>
      <c:legendEntry>
        <c:idx val="0"/>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lt1">
                  <a:lumMod val="85000"/>
                </a:schemeClr>
              </a:solidFill>
              <a:latin typeface="+mn-lt"/>
              <a:ea typeface="+mn-ea"/>
              <a:cs typeface="+mn-cs"/>
            </a:defRPr>
          </a:pPr>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一般公共预算财政拨款支出决算变动情况</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2017年</c:v>
                </c:pt>
                <c:pt idx="1">
                  <c:v>2018年</c:v>
                </c:pt>
              </c:strCache>
            </c:strRef>
          </c:cat>
          <c:val>
            <c:numRef>
              <c:f>Sheet1!$B$2:$B$5</c:f>
              <c:numCache>
                <c:formatCode>General</c:formatCode>
                <c:ptCount val="4"/>
                <c:pt idx="0">
                  <c:v>344.26</c:v>
                </c:pt>
                <c:pt idx="1">
                  <c:v>151.48</c:v>
                </c:pt>
              </c:numCache>
            </c:numRef>
          </c:val>
        </c:ser>
        <c:ser>
          <c:idx val="1"/>
          <c:order val="1"/>
          <c:tx>
            <c:strRef>
              <c:f>Sheet1!$C$1</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2017年</c:v>
                </c:pt>
                <c:pt idx="1">
                  <c:v>2018年</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dk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Sheet1!$A$2:$A$5</c:f>
              <c:strCache>
                <c:ptCount val="4"/>
                <c:pt idx="0">
                  <c:v>2017年</c:v>
                </c:pt>
                <c:pt idx="1">
                  <c:v>2018年</c:v>
                </c:pt>
              </c:strCache>
            </c:strRef>
          </c:cat>
          <c:val>
            <c:numRef>
              <c:f>Sheet1!$D$2:$D$5</c:f>
              <c:numCache>
                <c:formatCode>General</c:formatCode>
                <c:ptCount val="4"/>
              </c:numCache>
            </c:numRef>
          </c:val>
        </c:ser>
        <c:dLbls>
          <c:showLegendKey val="0"/>
          <c:showVal val="0"/>
          <c:showCatName val="0"/>
          <c:showSerName val="0"/>
          <c:showPercent val="0"/>
          <c:showBubbleSize val="0"/>
        </c:dLbls>
        <c:gapWidth val="75"/>
        <c:overlap val="0"/>
        <c:axId val="879456694"/>
        <c:axId val="464719012"/>
      </c:barChart>
      <c:catAx>
        <c:axId val="879456694"/>
        <c:scaling>
          <c:orientation val="minMax"/>
        </c:scaling>
        <c:delete val="0"/>
        <c:axPos val="b"/>
        <c:majorTickMark val="none"/>
        <c:minorTickMark val="none"/>
        <c:tickLblPos val="nextTo"/>
        <c:spPr>
          <a:noFill/>
          <a:ln w="9525" cap="flat" cmpd="sng" algn="ctr">
            <a:solidFill>
              <a:schemeClr val="dk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dk1">
                    <a:lumMod val="65000"/>
                    <a:lumOff val="35000"/>
                  </a:schemeClr>
                </a:solidFill>
                <a:latin typeface="+mn-lt"/>
                <a:ea typeface="+mn-ea"/>
                <a:cs typeface="+mn-cs"/>
              </a:defRPr>
            </a:pPr>
          </a:p>
        </c:txPr>
        <c:crossAx val="464719012"/>
        <c:crosses val="autoZero"/>
        <c:auto val="1"/>
        <c:lblAlgn val="ctr"/>
        <c:lblOffset val="100"/>
        <c:noMultiLvlLbl val="0"/>
      </c:catAx>
      <c:valAx>
        <c:axId val="464719012"/>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crossAx val="879456694"/>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社会保障与就业支出</c:v>
                </c:pt>
                <c:pt idx="1">
                  <c:v>医疗卫生支出</c:v>
                </c:pt>
                <c:pt idx="2">
                  <c:v>住房保障支出</c:v>
                </c:pt>
                <c:pt idx="3">
                  <c:v>农林水支出</c:v>
                </c:pt>
              </c:strCache>
            </c:strRef>
          </c:cat>
          <c:val>
            <c:numRef>
              <c:f>Sheet1!$B$2:$B$5</c:f>
              <c:numCache>
                <c:formatCode>General</c:formatCode>
                <c:ptCount val="4"/>
                <c:pt idx="0">
                  <c:v>89.81</c:v>
                </c:pt>
                <c:pt idx="2">
                  <c:v>10.19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2019-10-21T10:36:00Z</dcterms:created>
  <dc:creator>希望的田野</dc:creator>
  <cp:lastModifiedBy>希望的田野</cp:lastModifiedBy>
  <cp:lastPrinted>2019-10-22T07:02:54Z</cp:lastPrinted>
  <dcterms:modified xsi:type="dcterms:W3CDTF">2019-10-22T07:06:40Z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