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imes New Roman" w:eastAsia="方正小标宋简体" w:cs="Times New Roman"/>
          <w:color w:val="auto"/>
          <w:kern w:val="2"/>
          <w:sz w:val="44"/>
          <w:szCs w:val="44"/>
          <w:highlight w:val="none"/>
          <w:lang w:val="en-US" w:eastAsia="zh-CN" w:bidi="ar-SA"/>
        </w:rPr>
      </w:pPr>
      <w:bookmarkStart w:id="0" w:name="_Toc15377425"/>
      <w:bookmarkStart w:id="1" w:name="_Toc15377193"/>
      <w:bookmarkStart w:id="2" w:name="_Toc15396475"/>
      <w:bookmarkStart w:id="3" w:name="_Toc15306267"/>
      <w:bookmarkStart w:id="4" w:name="_Toc15378441"/>
      <w:bookmarkStart w:id="5" w:name="_Toc15396597"/>
      <w:r>
        <w:rPr>
          <w:rFonts w:hint="eastAsia" w:ascii="Times New Roman" w:eastAsia="方正小标宋简体" w:cs="Times New Roman"/>
          <w:color w:val="auto"/>
          <w:kern w:val="2"/>
          <w:sz w:val="44"/>
          <w:szCs w:val="44"/>
          <w:highlight w:val="none"/>
          <w:lang w:val="en-US" w:eastAsia="zh-CN" w:bidi="ar-SA"/>
        </w:rPr>
        <w:t xml:space="preserve"> </w:t>
      </w:r>
    </w:p>
    <w:p>
      <w:pPr>
        <w:pStyle w:val="2"/>
        <w:jc w:val="center"/>
        <w:rPr>
          <w:rFonts w:hint="eastAsia" w:ascii="Times New Roman" w:eastAsia="方正小标宋简体" w:cs="Times New Roman"/>
          <w:color w:val="auto"/>
          <w:kern w:val="2"/>
          <w:sz w:val="44"/>
          <w:szCs w:val="44"/>
          <w:highlight w:val="none"/>
          <w:lang w:val="en-US" w:eastAsia="zh-CN" w:bidi="ar-SA"/>
        </w:rPr>
      </w:pPr>
    </w:p>
    <w:p>
      <w:pPr>
        <w:pStyle w:val="2"/>
        <w:jc w:val="center"/>
        <w:rPr>
          <w:rFonts w:hint="eastAsia" w:ascii="Times New Roman" w:eastAsia="方正小标宋简体" w:cs="Times New Roman"/>
          <w:color w:val="auto"/>
          <w:kern w:val="2"/>
          <w:sz w:val="44"/>
          <w:szCs w:val="44"/>
          <w:highlight w:val="none"/>
          <w:lang w:val="en-US" w:eastAsia="zh-CN" w:bidi="ar-SA"/>
        </w:rPr>
      </w:pPr>
    </w:p>
    <w:p>
      <w:pPr>
        <w:pStyle w:val="2"/>
        <w:jc w:val="center"/>
        <w:rPr>
          <w:rFonts w:hint="eastAsia" w:asci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南木达中小学校</w:t>
      </w: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widowControl/>
        <w:jc w:val="both"/>
        <w:rPr>
          <w:rFonts w:hint="eastAsia" w:ascii="方正小标宋简体" w:hAnsi="宋体" w:eastAsia="方正小标宋简体" w:cs="Times New Roman"/>
          <w:color w:val="auto"/>
          <w:kern w:val="2"/>
          <w:sz w:val="40"/>
          <w:szCs w:val="40"/>
          <w:highlight w:val="none"/>
          <w:lang w:val="en-US" w:eastAsia="zh-CN" w:bidi="ar-SA"/>
        </w:rPr>
      </w:pPr>
    </w:p>
    <w:p>
      <w:pPr>
        <w:rPr>
          <w:rFonts w:ascii="Times New Roman" w:hAnsi="Times New Roman"/>
        </w:rPr>
      </w:pPr>
    </w:p>
    <w:bookmarkEnd w:id="0"/>
    <w:bookmarkEnd w:id="1"/>
    <w:bookmarkEnd w:id="2"/>
    <w:bookmarkEnd w:id="3"/>
    <w:bookmarkEnd w:id="4"/>
    <w:bookmarkEnd w:id="5"/>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rPr>
          <w:rFonts w:hint="eastAsia" w:ascii="Times New Roman" w:hAnsi="Times New Roman" w:eastAsia="黑体"/>
          <w:color w:val="auto"/>
          <w:sz w:val="48"/>
          <w:szCs w:val="48"/>
          <w:highlight w:val="none"/>
        </w:rPr>
      </w:pPr>
      <w:r>
        <w:rPr>
          <w:rFonts w:hint="eastAsia" w:ascii="Times New Roman" w:hAnsi="Times New Roman" w:eastAsia="方正小标宋简体" w:cs="Times New Roman"/>
          <w:color w:val="auto"/>
          <w:kern w:val="2"/>
          <w:sz w:val="44"/>
          <w:szCs w:val="44"/>
          <w:highlight w:val="none"/>
          <w:lang w:val="en-US" w:eastAsia="zh-CN" w:bidi="ar-SA"/>
        </w:rPr>
        <w:br w:type="page"/>
      </w:r>
    </w:p>
    <w:p>
      <w:pPr>
        <w:widowControl/>
        <w:jc w:val="center"/>
      </w:pPr>
      <w:r>
        <w:rPr>
          <w:rFonts w:hint="eastAsia" w:ascii="Times New Roman" w:hAnsi="Times New Roman" w:eastAsia="黑体"/>
          <w:color w:val="auto"/>
          <w:sz w:val="48"/>
          <w:szCs w:val="48"/>
          <w:highlight w:val="none"/>
        </w:rPr>
        <w:t>目录</w:t>
      </w:r>
    </w:p>
    <w:p>
      <w:pPr>
        <w:widowControl/>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82512730"/>
        <w15:color w:val="DBDBDB"/>
        <w:docPartObj>
          <w:docPartGallery w:val="Table of Contents"/>
          <w:docPartUnique/>
        </w:docPartObj>
      </w:sdtPr>
      <w:sdtEndPr>
        <w:rPr>
          <w:rFonts w:hint="eastAsia" w:ascii="Times New Roman" w:hAnsi="Times New Roman" w:eastAsia="仿宋_GB2312" w:cs="仿宋_GB2312"/>
          <w:color w:val="auto"/>
          <w:kern w:val="2"/>
          <w:sz w:val="21"/>
          <w:szCs w:val="32"/>
          <w:highlight w:val="none"/>
          <w:lang w:val="en-US" w:eastAsia="zh-CN" w:bidi="ar-SA"/>
        </w:rPr>
      </w:sdtEndPr>
      <w:sdtContent>
        <w:p>
          <w:pPr>
            <w:spacing w:before="0" w:beforeLines="0" w:after="0" w:afterLines="0" w:line="240" w:lineRule="auto"/>
            <w:ind w:left="0" w:leftChars="0" w:right="0" w:rightChars="0" w:firstLine="0" w:firstLineChars="0"/>
            <w:jc w:val="left"/>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TOC \o "1-2" \h \u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_Toc1162149980 </w:instrText>
          </w:r>
          <w:r>
            <w:rPr>
              <w:rFonts w:hint="eastAsia" w:ascii="Times New Roman" w:hAnsi="Times New Roman" w:eastAsia="仿宋_GB2312" w:cs="仿宋_GB2312"/>
              <w:szCs w:val="32"/>
              <w:highlight w:val="none"/>
            </w:rPr>
            <w:fldChar w:fldCharType="separate"/>
          </w:r>
          <w:r>
            <w:rPr>
              <w:rFonts w:hint="eastAsia"/>
            </w:rPr>
            <w:t>第一部分 部门概况</w:t>
          </w:r>
          <w:r>
            <w:tab/>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_Toc671840434 </w:instrText>
          </w:r>
          <w:r>
            <w:rPr>
              <w:rFonts w:hint="eastAsia" w:ascii="Times New Roman" w:hAnsi="Times New Roman" w:eastAsia="仿宋_GB2312" w:cs="仿宋_GB2312"/>
              <w:szCs w:val="32"/>
              <w:highlight w:val="none"/>
            </w:rPr>
            <w:fldChar w:fldCharType="separate"/>
          </w:r>
          <w:r>
            <w:rPr>
              <w:rFonts w:hint="eastAsia"/>
            </w:rPr>
            <w:t>一、</w:t>
          </w:r>
          <w:r>
            <w:rPr>
              <w:rFonts w:hint="eastAsia"/>
              <w:lang w:eastAsia="zh-CN"/>
            </w:rPr>
            <w:t>部门职责</w:t>
          </w:r>
          <w:r>
            <w:tab/>
          </w:r>
          <w:r>
            <w:fldChar w:fldCharType="begin"/>
          </w:r>
          <w:r>
            <w:instrText xml:space="preserve"> PAGEREF _Toc671840434 \h </w:instrText>
          </w:r>
          <w:r>
            <w:fldChar w:fldCharType="separate"/>
          </w:r>
          <w:r>
            <w:t>3</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_Toc289305259 </w:instrText>
          </w:r>
          <w:r>
            <w:rPr>
              <w:rFonts w:hint="eastAsia" w:ascii="Times New Roman" w:hAnsi="Times New Roman" w:eastAsia="仿宋_GB2312" w:cs="仿宋_GB2312"/>
              <w:szCs w:val="32"/>
              <w:highlight w:val="none"/>
            </w:rPr>
            <w:fldChar w:fldCharType="separate"/>
          </w:r>
          <w:r>
            <w:rPr>
              <w:rFonts w:hint="eastAsia"/>
              <w:lang w:eastAsia="zh-CN"/>
            </w:rPr>
            <w:t>二、</w:t>
          </w:r>
          <w:r>
            <w:rPr>
              <w:rFonts w:hint="eastAsia"/>
            </w:rPr>
            <w:t>机构设置</w:t>
          </w:r>
          <w:r>
            <w:tab/>
          </w:r>
          <w:r>
            <w:fldChar w:fldCharType="begin"/>
          </w:r>
          <w:r>
            <w:instrText xml:space="preserve"> PAGEREF _Toc289305259 \h </w:instrText>
          </w:r>
          <w:r>
            <w:fldChar w:fldCharType="separate"/>
          </w:r>
          <w:r>
            <w:t>13</w:t>
          </w:r>
          <w:r>
            <w:fldChar w:fldCharType="end"/>
          </w:r>
          <w:r>
            <w:rPr>
              <w:rFonts w:hint="eastAsia" w:ascii="Times New Roman" w:hAnsi="Times New Roman" w:eastAsia="仿宋_GB2312" w:cs="仿宋_GB2312"/>
              <w:color w:val="auto"/>
              <w:szCs w:val="32"/>
              <w:highlight w:val="none"/>
            </w:rPr>
            <w:fldChar w:fldCharType="end"/>
          </w:r>
        </w:p>
        <w:p>
          <w:pPr>
            <w:pStyle w:val="12"/>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_Toc58522797 </w:instrText>
          </w:r>
          <w:r>
            <w:rPr>
              <w:rFonts w:hint="eastAsia" w:ascii="Times New Roman" w:hAnsi="Times New Roman" w:eastAsia="仿宋_GB2312" w:cs="仿宋_GB2312"/>
              <w:szCs w:val="32"/>
              <w:highlight w:val="none"/>
            </w:rPr>
            <w:fldChar w:fldCharType="separate"/>
          </w:r>
          <w:r>
            <w:rPr>
              <w:rFonts w:hint="eastAsia"/>
            </w:rPr>
            <w:t>第二部分</w:t>
          </w:r>
          <w:r>
            <w:rPr>
              <w:rFonts w:hint="eastAsia"/>
              <w:lang w:val="en-US" w:eastAsia="zh-CN"/>
            </w:rPr>
            <w:t xml:space="preserve"> 2025年度</w:t>
          </w:r>
          <w:r>
            <w:rPr>
              <w:rFonts w:hint="eastAsia"/>
            </w:rPr>
            <w:t>部门决算情况说明</w:t>
          </w:r>
          <w:r>
            <w:tab/>
          </w:r>
          <w:r>
            <w:fldChar w:fldCharType="begin"/>
          </w:r>
          <w:r>
            <w:instrText xml:space="preserve"> PAGEREF _Toc58522797 \h </w:instrText>
          </w:r>
          <w:r>
            <w:fldChar w:fldCharType="separate"/>
          </w:r>
          <w:r>
            <w:t>14</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_Toc1598690324 </w:instrText>
          </w:r>
          <w:r>
            <w:rPr>
              <w:rFonts w:hint="eastAsia" w:ascii="Times New Roman" w:hAnsi="Times New Roman" w:eastAsia="仿宋_GB2312" w:cs="仿宋_GB2312"/>
              <w:szCs w:val="32"/>
              <w:highlight w:val="none"/>
            </w:rPr>
            <w:fldChar w:fldCharType="separate"/>
          </w:r>
          <w:r>
            <w:rPr>
              <w:rFonts w:hint="eastAsia"/>
            </w:rPr>
            <w:t>一、收入支出决算总体情况说明</w:t>
          </w:r>
          <w:r>
            <w:tab/>
          </w:r>
          <w:r>
            <w:fldChar w:fldCharType="begin"/>
          </w:r>
          <w:r>
            <w:instrText xml:space="preserve"> PAGEREF _Toc1598690324 \h </w:instrText>
          </w:r>
          <w:r>
            <w:fldChar w:fldCharType="separate"/>
          </w:r>
          <w:r>
            <w:t>14</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_Toc613544163 </w:instrText>
          </w:r>
          <w:r>
            <w:rPr>
              <w:rFonts w:hint="eastAsia" w:ascii="Times New Roman" w:hAnsi="Times New Roman" w:eastAsia="仿宋_GB2312" w:cs="仿宋_GB2312"/>
              <w:szCs w:val="32"/>
              <w:highlight w:val="none"/>
            </w:rPr>
            <w:fldChar w:fldCharType="separate"/>
          </w:r>
          <w:r>
            <w:rPr>
              <w:rFonts w:hint="eastAsia"/>
            </w:rPr>
            <w:t>二、收入决算情况说明</w:t>
          </w:r>
          <w:r>
            <w:tab/>
          </w:r>
          <w:r>
            <w:fldChar w:fldCharType="begin"/>
          </w:r>
          <w:r>
            <w:instrText xml:space="preserve"> PAGEREF _Toc613544163 \h </w:instrText>
          </w:r>
          <w:r>
            <w:fldChar w:fldCharType="separate"/>
          </w:r>
          <w:r>
            <w:t>14</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_Toc849078135 </w:instrText>
          </w:r>
          <w:r>
            <w:rPr>
              <w:rFonts w:hint="eastAsia" w:ascii="Times New Roman" w:hAnsi="Times New Roman" w:eastAsia="仿宋_GB2312" w:cs="仿宋_GB2312"/>
              <w:szCs w:val="32"/>
              <w:highlight w:val="none"/>
            </w:rPr>
            <w:fldChar w:fldCharType="separate"/>
          </w:r>
          <w:r>
            <w:rPr>
              <w:rFonts w:hint="eastAsia"/>
            </w:rPr>
            <w:t>三、支出决算情况说明</w:t>
          </w:r>
          <w:r>
            <w:tab/>
          </w:r>
          <w:r>
            <w:fldChar w:fldCharType="begin"/>
          </w:r>
          <w:r>
            <w:instrText xml:space="preserve"> PAGEREF _Toc849078135 \h </w:instrText>
          </w:r>
          <w:r>
            <w:fldChar w:fldCharType="separate"/>
          </w:r>
          <w:r>
            <w:t>15</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_Toc1041535344 </w:instrText>
          </w:r>
          <w:r>
            <w:rPr>
              <w:rFonts w:hint="eastAsia" w:ascii="Times New Roman" w:hAnsi="Times New Roman" w:eastAsia="仿宋_GB2312" w:cs="仿宋_GB2312"/>
              <w:szCs w:val="32"/>
              <w:highlight w:val="none"/>
            </w:rPr>
            <w:fldChar w:fldCharType="separate"/>
          </w:r>
          <w:r>
            <w:rPr>
              <w:rFonts w:hint="eastAsia"/>
            </w:rPr>
            <w:t>四、财政拨款收入支出决算总体情况说明</w:t>
          </w:r>
          <w:r>
            <w:tab/>
          </w:r>
          <w:r>
            <w:fldChar w:fldCharType="begin"/>
          </w:r>
          <w:r>
            <w:instrText xml:space="preserve"> PAGEREF _Toc1041535344 \h </w:instrText>
          </w:r>
          <w:r>
            <w:fldChar w:fldCharType="separate"/>
          </w:r>
          <w:r>
            <w:t>15</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_Toc393736771 </w:instrText>
          </w:r>
          <w:r>
            <w:rPr>
              <w:rFonts w:hint="eastAsia" w:ascii="Times New Roman" w:hAnsi="Times New Roman" w:eastAsia="仿宋_GB2312" w:cs="仿宋_GB2312"/>
              <w:szCs w:val="32"/>
              <w:highlight w:val="none"/>
            </w:rPr>
            <w:fldChar w:fldCharType="separate"/>
          </w:r>
          <w:r>
            <w:rPr>
              <w:rFonts w:hint="eastAsia"/>
            </w:rPr>
            <w:t>五、一般公共预算财政拨款支出决算情况说明</w:t>
          </w:r>
          <w:r>
            <w:tab/>
          </w:r>
          <w:r>
            <w:fldChar w:fldCharType="begin"/>
          </w:r>
          <w:r>
            <w:instrText xml:space="preserve"> PAGEREF _Toc393736771 \h </w:instrText>
          </w:r>
          <w:r>
            <w:fldChar w:fldCharType="separate"/>
          </w:r>
          <w:r>
            <w:t>16</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_Toc1856379047 </w:instrText>
          </w:r>
          <w:r>
            <w:rPr>
              <w:rFonts w:hint="eastAsia" w:ascii="Times New Roman" w:hAnsi="Times New Roman" w:eastAsia="仿宋_GB2312" w:cs="仿宋_GB2312"/>
              <w:szCs w:val="32"/>
              <w:highlight w:val="none"/>
            </w:rPr>
            <w:fldChar w:fldCharType="separate"/>
          </w:r>
          <w:r>
            <w:rPr>
              <w:rFonts w:hint="eastAsia"/>
            </w:rPr>
            <w:t>六、一般公共预算财政拨款基本支出决算情况说明</w:t>
          </w:r>
          <w:r>
            <w:tab/>
          </w:r>
          <w:r>
            <w:fldChar w:fldCharType="begin"/>
          </w:r>
          <w:r>
            <w:instrText xml:space="preserve"> PAGEREF _Toc1856379047 \h </w:instrText>
          </w:r>
          <w:r>
            <w:fldChar w:fldCharType="separate"/>
          </w:r>
          <w:r>
            <w:t>18</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_Toc1230756711 </w:instrText>
          </w:r>
          <w:r>
            <w:rPr>
              <w:rFonts w:hint="eastAsia" w:ascii="Times New Roman" w:hAnsi="Times New Roman" w:eastAsia="仿宋_GB2312" w:cs="仿宋_GB2312"/>
              <w:szCs w:val="32"/>
              <w:highlight w:val="none"/>
            </w:rPr>
            <w:fldChar w:fldCharType="separate"/>
          </w:r>
          <w:r>
            <w:rPr>
              <w:rFonts w:hint="eastAsia"/>
            </w:rPr>
            <w:t>七、财政拨款</w:t>
          </w:r>
          <w:r>
            <w:rPr>
              <w:rFonts w:hint="eastAsia"/>
              <w:lang w:eastAsia="zh-CN"/>
            </w:rPr>
            <w:t>“</w:t>
          </w:r>
          <w:r>
            <w:rPr>
              <w:rFonts w:hint="eastAsia"/>
            </w:rPr>
            <w:t>三公”经费支出决算情况说明</w:t>
          </w:r>
          <w:r>
            <w:tab/>
          </w:r>
          <w:r>
            <w:fldChar w:fldCharType="begin"/>
          </w:r>
          <w:r>
            <w:instrText xml:space="preserve"> PAGEREF _Toc1230756711 \h </w:instrText>
          </w:r>
          <w:r>
            <w:fldChar w:fldCharType="separate"/>
          </w:r>
          <w:r>
            <w:t>19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_Toc474567965 </w:instrText>
          </w:r>
          <w:r>
            <w:rPr>
              <w:rFonts w:hint="eastAsia" w:ascii="Times New Roman" w:hAnsi="Times New Roman" w:eastAsia="仿宋_GB2312" w:cs="仿宋_GB2312"/>
              <w:szCs w:val="32"/>
              <w:highlight w:val="none"/>
            </w:rPr>
            <w:fldChar w:fldCharType="separate"/>
          </w:r>
          <w:r>
            <w:rPr>
              <w:rFonts w:hint="eastAsia"/>
              <w:lang w:eastAsia="zh-CN"/>
            </w:rPr>
            <w:t>八、</w:t>
          </w:r>
          <w:r>
            <w:rPr>
              <w:rFonts w:hint="eastAsia"/>
            </w:rPr>
            <w:t>政府性基金预算支出决算情况说明</w:t>
          </w:r>
          <w:r>
            <w:tab/>
          </w:r>
          <w:r>
            <w:fldChar w:fldCharType="begin"/>
          </w:r>
          <w:r>
            <w:instrText xml:space="preserve"> PAGEREF _Toc474567965 \h </w:instrText>
          </w:r>
          <w:r>
            <w:fldChar w:fldCharType="separate"/>
          </w:r>
          <w:r>
            <w:t>20</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_Toc53254849 </w:instrText>
          </w:r>
          <w:r>
            <w:rPr>
              <w:rFonts w:hint="eastAsia" w:ascii="Times New Roman" w:hAnsi="Times New Roman" w:eastAsia="仿宋_GB2312" w:cs="仿宋_GB2312"/>
              <w:szCs w:val="32"/>
              <w:highlight w:val="none"/>
            </w:rPr>
            <w:fldChar w:fldCharType="separate"/>
          </w:r>
          <w:r>
            <w:rPr>
              <w:rFonts w:hint="eastAsia"/>
            </w:rPr>
            <w:t>九、</w:t>
          </w:r>
          <w:r>
            <w:rPr>
              <w:rFonts w:hint="eastAsia"/>
              <w:lang w:eastAsia="zh-CN"/>
            </w:rPr>
            <w:t>国</w:t>
          </w:r>
          <w:r>
            <w:rPr>
              <w:rFonts w:hint="eastAsia"/>
            </w:rPr>
            <w:t>有资本经营预算支出决算情况说明</w:t>
          </w:r>
          <w:r>
            <w:tab/>
          </w:r>
          <w:r>
            <w:fldChar w:fldCharType="begin"/>
          </w:r>
          <w:r>
            <w:instrText xml:space="preserve"> PAGEREF _Toc53254849 \h </w:instrText>
          </w:r>
          <w:r>
            <w:fldChar w:fldCharType="separate"/>
          </w:r>
          <w:r>
            <w:t>20</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_Toc1093361462 </w:instrText>
          </w:r>
          <w:r>
            <w:rPr>
              <w:rFonts w:hint="eastAsia" w:ascii="Times New Roman" w:hAnsi="Times New Roman" w:eastAsia="仿宋_GB2312" w:cs="仿宋_GB2312"/>
              <w:szCs w:val="32"/>
              <w:highlight w:val="none"/>
            </w:rPr>
            <w:fldChar w:fldCharType="separate"/>
          </w:r>
          <w:r>
            <w:rPr>
              <w:rFonts w:hint="eastAsia"/>
              <w:lang w:eastAsia="zh-CN"/>
            </w:rPr>
            <w:t>十</w:t>
          </w:r>
          <w:r>
            <w:rPr>
              <w:rFonts w:hint="eastAsia"/>
            </w:rPr>
            <w:t>、其他重要事项的情况说明</w:t>
          </w:r>
          <w:r>
            <w:tab/>
          </w:r>
          <w:r>
            <w:fldChar w:fldCharType="begin"/>
          </w:r>
          <w:r>
            <w:instrText xml:space="preserve"> PAGEREF _Toc1093361462 \h </w:instrText>
          </w:r>
          <w:r>
            <w:fldChar w:fldCharType="separate"/>
          </w:r>
          <w:r>
            <w:t>21</w:t>
          </w:r>
          <w:r>
            <w:fldChar w:fldCharType="end"/>
          </w:r>
          <w:r>
            <w:rPr>
              <w:rFonts w:hint="eastAsia" w:ascii="Times New Roman" w:hAnsi="Times New Roman" w:eastAsia="仿宋_GB2312" w:cs="仿宋_GB2312"/>
              <w:color w:val="auto"/>
              <w:szCs w:val="32"/>
              <w:highlight w:val="none"/>
            </w:rPr>
            <w:fldChar w:fldCharType="end"/>
          </w:r>
        </w:p>
        <w:p>
          <w:pPr>
            <w:pStyle w:val="12"/>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_Toc66642390 </w:instrText>
          </w:r>
          <w:r>
            <w:rPr>
              <w:rFonts w:hint="eastAsia" w:ascii="Times New Roman" w:hAnsi="Times New Roman" w:eastAsia="仿宋_GB2312" w:cs="仿宋_GB2312"/>
              <w:szCs w:val="32"/>
              <w:highlight w:val="none"/>
            </w:rPr>
            <w:fldChar w:fldCharType="separate"/>
          </w:r>
          <w:r>
            <w:rPr>
              <w:rFonts w:hint="eastAsia"/>
              <w:lang w:eastAsia="zh-CN"/>
            </w:rPr>
            <w:t>第三部分</w:t>
          </w:r>
          <w:r>
            <w:rPr>
              <w:rFonts w:hint="eastAsia"/>
              <w:lang w:val="en-US" w:eastAsia="zh-CN"/>
            </w:rPr>
            <w:t xml:space="preserve"> </w:t>
          </w:r>
          <w:r>
            <w:rPr>
              <w:rFonts w:hint="eastAsia"/>
            </w:rPr>
            <w:t>名词解释</w:t>
          </w:r>
          <w:r>
            <w:tab/>
          </w:r>
          <w:r>
            <w:fldChar w:fldCharType="begin"/>
          </w:r>
          <w:r>
            <w:instrText xml:space="preserve"> PAGEREF _Toc66642390 \h </w:instrText>
          </w:r>
          <w:r>
            <w:fldChar w:fldCharType="separate"/>
          </w:r>
          <w:r>
            <w:t>22</w:t>
          </w:r>
          <w:r>
            <w:fldChar w:fldCharType="end"/>
          </w:r>
          <w:r>
            <w:rPr>
              <w:rFonts w:hint="eastAsia" w:ascii="Times New Roman" w:hAnsi="Times New Roman" w:eastAsia="仿宋_GB2312" w:cs="仿宋_GB2312"/>
              <w:color w:val="auto"/>
              <w:szCs w:val="32"/>
              <w:highlight w:val="none"/>
            </w:rPr>
            <w:fldChar w:fldCharType="end"/>
          </w:r>
        </w:p>
        <w:p>
          <w:pPr>
            <w:pStyle w:val="12"/>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_Toc925170971 </w:instrText>
          </w:r>
          <w:r>
            <w:rPr>
              <w:rFonts w:hint="eastAsia" w:ascii="Times New Roman" w:hAnsi="Times New Roman" w:eastAsia="仿宋_GB2312" w:cs="仿宋_GB2312"/>
              <w:szCs w:val="32"/>
              <w:highlight w:val="none"/>
            </w:rPr>
            <w:fldChar w:fldCharType="separate"/>
          </w:r>
          <w:r>
            <w:rPr>
              <w:rFonts w:hint="eastAsia"/>
              <w:lang w:eastAsia="zh-CN"/>
            </w:rPr>
            <w:t>第四部分</w:t>
          </w:r>
          <w:r>
            <w:rPr>
              <w:rFonts w:hint="eastAsia"/>
              <w:lang w:val="en-US" w:eastAsia="zh-CN"/>
            </w:rPr>
            <w:t xml:space="preserve"> </w:t>
          </w:r>
          <w:r>
            <w:rPr>
              <w:rFonts w:hint="eastAsia"/>
            </w:rPr>
            <w:t>附件</w:t>
          </w:r>
          <w:r>
            <w:tab/>
          </w:r>
          <w:r>
            <w:fldChar w:fldCharType="begin"/>
          </w:r>
          <w:r>
            <w:instrText xml:space="preserve"> PAGEREF _Toc925170971 \h </w:instrText>
          </w:r>
          <w:r>
            <w:fldChar w:fldCharType="separate"/>
          </w:r>
          <w:r>
            <w:t>25</w:t>
          </w:r>
          <w:r>
            <w:fldChar w:fldCharType="end"/>
          </w:r>
          <w:r>
            <w:rPr>
              <w:rFonts w:hint="eastAsia" w:ascii="Times New Roman" w:hAnsi="Times New Roman" w:eastAsia="仿宋_GB2312" w:cs="仿宋_GB2312"/>
              <w:color w:val="auto"/>
              <w:szCs w:val="32"/>
              <w:highlight w:val="none"/>
            </w:rPr>
            <w:fldChar w:fldCharType="end"/>
          </w:r>
        </w:p>
        <w:p>
          <w:pPr>
            <w:pStyle w:val="12"/>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_Toc1306472321 </w:instrText>
          </w:r>
          <w:r>
            <w:rPr>
              <w:rFonts w:hint="eastAsia" w:ascii="Times New Roman" w:hAnsi="Times New Roman" w:eastAsia="仿宋_GB2312" w:cs="仿宋_GB2312"/>
              <w:szCs w:val="32"/>
              <w:highlight w:val="none"/>
            </w:rPr>
            <w:fldChar w:fldCharType="separate"/>
          </w:r>
          <w:r>
            <w:rPr>
              <w:rFonts w:hint="eastAsia"/>
            </w:rPr>
            <w:t>第五部分 附表</w:t>
          </w:r>
          <w:r>
            <w:tab/>
          </w:r>
          <w:r>
            <w:fldChar w:fldCharType="begin"/>
          </w:r>
          <w:r>
            <w:instrText xml:space="preserve"> PAGEREF _Toc1306472321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_Toc1539027616 </w:instrText>
          </w:r>
          <w:r>
            <w:rPr>
              <w:rFonts w:hint="eastAsia" w:ascii="Times New Roman" w:hAnsi="Times New Roman" w:eastAsia="仿宋_GB2312" w:cs="仿宋_GB2312"/>
              <w:szCs w:val="32"/>
              <w:highlight w:val="none"/>
            </w:rPr>
            <w:fldChar w:fldCharType="separate"/>
          </w:r>
          <w:r>
            <w:rPr>
              <w:rFonts w:hint="eastAsia"/>
            </w:rPr>
            <w:t>一、收入支出决算总表</w:t>
          </w:r>
          <w:r>
            <w:tab/>
          </w:r>
          <w:r>
            <w:fldChar w:fldCharType="begin"/>
          </w:r>
          <w:r>
            <w:instrText xml:space="preserve"> PAGEREF _Toc1539027616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_Toc491753774 </w:instrText>
          </w:r>
          <w:r>
            <w:rPr>
              <w:rFonts w:hint="eastAsia" w:ascii="Times New Roman" w:hAnsi="Times New Roman" w:eastAsia="仿宋_GB2312" w:cs="仿宋_GB2312"/>
              <w:szCs w:val="32"/>
              <w:highlight w:val="none"/>
            </w:rPr>
            <w:fldChar w:fldCharType="separate"/>
          </w:r>
          <w:r>
            <w:rPr>
              <w:rFonts w:hint="eastAsia"/>
            </w:rPr>
            <w:t>二、收入决算表</w:t>
          </w:r>
          <w:r>
            <w:tab/>
          </w:r>
          <w:r>
            <w:fldChar w:fldCharType="begin"/>
          </w:r>
          <w:r>
            <w:instrText xml:space="preserve"> PAGEREF _Toc491753774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_Toc1012992450 </w:instrText>
          </w:r>
          <w:r>
            <w:rPr>
              <w:rFonts w:hint="eastAsia" w:ascii="Times New Roman" w:hAnsi="Times New Roman" w:eastAsia="仿宋_GB2312" w:cs="仿宋_GB2312"/>
              <w:szCs w:val="32"/>
              <w:highlight w:val="none"/>
            </w:rPr>
            <w:fldChar w:fldCharType="separate"/>
          </w:r>
          <w:r>
            <w:rPr>
              <w:rFonts w:hint="eastAsia"/>
            </w:rPr>
            <w:t>三、支出决算表</w:t>
          </w:r>
          <w:r>
            <w:tab/>
          </w:r>
          <w:r>
            <w:fldChar w:fldCharType="begin"/>
          </w:r>
          <w:r>
            <w:instrText xml:space="preserve"> PAGEREF _Toc1012992450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_Toc1341693054 </w:instrText>
          </w:r>
          <w:r>
            <w:rPr>
              <w:rFonts w:hint="eastAsia" w:ascii="Times New Roman" w:hAnsi="Times New Roman" w:eastAsia="仿宋_GB2312" w:cs="仿宋_GB2312"/>
              <w:szCs w:val="32"/>
              <w:highlight w:val="none"/>
            </w:rPr>
            <w:fldChar w:fldCharType="separate"/>
          </w:r>
          <w:r>
            <w:rPr>
              <w:rFonts w:hint="eastAsia"/>
            </w:rPr>
            <w:t>四、财政拨款收入支出决算总表</w:t>
          </w:r>
          <w:r>
            <w:tab/>
          </w:r>
          <w:r>
            <w:fldChar w:fldCharType="begin"/>
          </w:r>
          <w:r>
            <w:instrText xml:space="preserve"> PAGEREF _Toc1341693054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_Toc99875538 </w:instrText>
          </w:r>
          <w:r>
            <w:rPr>
              <w:rFonts w:hint="eastAsia" w:ascii="Times New Roman" w:hAnsi="Times New Roman" w:eastAsia="仿宋_GB2312" w:cs="仿宋_GB2312"/>
              <w:szCs w:val="32"/>
              <w:highlight w:val="none"/>
            </w:rPr>
            <w:fldChar w:fldCharType="separate"/>
          </w:r>
          <w:r>
            <w:rPr>
              <w:rFonts w:hint="eastAsia"/>
            </w:rPr>
            <w:t>五、财政拨款支出决算明细表</w:t>
          </w:r>
          <w:r>
            <w:tab/>
          </w:r>
          <w:r>
            <w:fldChar w:fldCharType="begin"/>
          </w:r>
          <w:r>
            <w:instrText xml:space="preserve"> PAGEREF _Toc99875538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_Toc88068783 </w:instrText>
          </w:r>
          <w:r>
            <w:rPr>
              <w:rFonts w:hint="eastAsia" w:ascii="Times New Roman" w:hAnsi="Times New Roman" w:eastAsia="仿宋_GB2312" w:cs="仿宋_GB2312"/>
              <w:szCs w:val="32"/>
              <w:highlight w:val="none"/>
            </w:rPr>
            <w:fldChar w:fldCharType="separate"/>
          </w:r>
          <w:r>
            <w:rPr>
              <w:rFonts w:hint="eastAsia"/>
            </w:rPr>
            <w:t>六、一般公共预算财政拨款支出决算表</w:t>
          </w:r>
          <w:r>
            <w:tab/>
          </w:r>
          <w:r>
            <w:fldChar w:fldCharType="begin"/>
          </w:r>
          <w:r>
            <w:instrText xml:space="preserve"> PAGEREF _Toc88068783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_Toc1346034309 </w:instrText>
          </w:r>
          <w:r>
            <w:rPr>
              <w:rFonts w:hint="eastAsia" w:ascii="Times New Roman" w:hAnsi="Times New Roman" w:eastAsia="仿宋_GB2312" w:cs="仿宋_GB2312"/>
              <w:szCs w:val="32"/>
              <w:highlight w:val="none"/>
            </w:rPr>
            <w:fldChar w:fldCharType="separate"/>
          </w:r>
          <w:r>
            <w:rPr>
              <w:rFonts w:hint="eastAsia"/>
            </w:rPr>
            <w:t>七、一般公共预算财政拨款支出决算明细表</w:t>
          </w:r>
          <w:r>
            <w:tab/>
          </w:r>
          <w:r>
            <w:fldChar w:fldCharType="begin"/>
          </w:r>
          <w:r>
            <w:instrText xml:space="preserve"> PAGEREF _Toc1346034309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_Toc1410564229 </w:instrText>
          </w:r>
          <w:r>
            <w:rPr>
              <w:rFonts w:hint="eastAsia" w:ascii="Times New Roman" w:hAnsi="Times New Roman" w:eastAsia="仿宋_GB2312" w:cs="仿宋_GB2312"/>
              <w:szCs w:val="32"/>
              <w:highlight w:val="none"/>
            </w:rPr>
            <w:fldChar w:fldCharType="separate"/>
          </w:r>
          <w:r>
            <w:rPr>
              <w:rFonts w:hint="eastAsia"/>
            </w:rPr>
            <w:t>八、一般公共预算财政拨款基本支出决算</w:t>
          </w:r>
          <w:r>
            <w:rPr>
              <w:rFonts w:hint="eastAsia"/>
              <w:lang w:eastAsia="zh-CN"/>
            </w:rPr>
            <w:t>明细</w:t>
          </w:r>
          <w:r>
            <w:rPr>
              <w:rFonts w:hint="eastAsia"/>
            </w:rPr>
            <w:t>表</w:t>
          </w:r>
          <w:r>
            <w:tab/>
          </w:r>
          <w:r>
            <w:fldChar w:fldCharType="begin"/>
          </w:r>
          <w:r>
            <w:instrText xml:space="preserve"> PAGEREF _Toc1410564229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_Toc1305200010 </w:instrText>
          </w:r>
          <w:r>
            <w:rPr>
              <w:rFonts w:hint="eastAsia" w:ascii="Times New Roman" w:hAnsi="Times New Roman" w:eastAsia="仿宋_GB2312" w:cs="仿宋_GB2312"/>
              <w:szCs w:val="32"/>
              <w:highlight w:val="none"/>
            </w:rPr>
            <w:fldChar w:fldCharType="separate"/>
          </w:r>
          <w:r>
            <w:rPr>
              <w:rFonts w:hint="eastAsia"/>
            </w:rPr>
            <w:t>九、一般公共预算财政拨款项目支出决算表</w:t>
          </w:r>
          <w:r>
            <w:tab/>
          </w:r>
          <w:r>
            <w:fldChar w:fldCharType="begin"/>
          </w:r>
          <w:r>
            <w:instrText xml:space="preserve"> PAGEREF _Toc1305200010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_Toc912878720 </w:instrText>
          </w:r>
          <w:r>
            <w:rPr>
              <w:rFonts w:hint="eastAsia" w:ascii="Times New Roman" w:hAnsi="Times New Roman" w:eastAsia="仿宋_GB2312" w:cs="仿宋_GB2312"/>
              <w:szCs w:val="32"/>
              <w:highlight w:val="none"/>
            </w:rPr>
            <w:fldChar w:fldCharType="separate"/>
          </w:r>
          <w:r>
            <w:rPr>
              <w:rFonts w:hint="eastAsia"/>
            </w:rPr>
            <w:t>十、政府性基金预算财政拨款收入支出决算表</w:t>
          </w:r>
          <w:r>
            <w:tab/>
          </w:r>
          <w:r>
            <w:fldChar w:fldCharType="begin"/>
          </w:r>
          <w:r>
            <w:instrText xml:space="preserve"> PAGEREF _Toc912878720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_Toc1233981353 </w:instrText>
          </w:r>
          <w:r>
            <w:rPr>
              <w:rFonts w:hint="eastAsia" w:ascii="Times New Roman" w:hAnsi="Times New Roman" w:eastAsia="仿宋_GB2312" w:cs="仿宋_GB2312"/>
              <w:szCs w:val="32"/>
              <w:highlight w:val="none"/>
            </w:rPr>
            <w:fldChar w:fldCharType="separate"/>
          </w:r>
          <w:r>
            <w:rPr>
              <w:rFonts w:hint="eastAsia"/>
            </w:rPr>
            <w:t>十一、国有资本经营预算财政拨款收入支出决算表</w:t>
          </w:r>
          <w:r>
            <w:tab/>
          </w:r>
          <w:r>
            <w:fldChar w:fldCharType="begin"/>
          </w:r>
          <w:r>
            <w:instrText xml:space="preserve"> PAGEREF _Toc1233981353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_Toc2008979460 </w:instrText>
          </w:r>
          <w:r>
            <w:rPr>
              <w:rFonts w:hint="eastAsia" w:ascii="Times New Roman" w:hAnsi="Times New Roman" w:eastAsia="仿宋_GB2312" w:cs="仿宋_GB2312"/>
              <w:szCs w:val="32"/>
              <w:highlight w:val="none"/>
            </w:rPr>
            <w:fldChar w:fldCharType="separate"/>
          </w:r>
          <w:r>
            <w:rPr>
              <w:rFonts w:hint="eastAsia"/>
            </w:rPr>
            <w:t>十二、</w:t>
          </w:r>
          <w:r>
            <w:rPr>
              <w:rFonts w:hint="eastAsia"/>
              <w:lang w:val="en-US" w:eastAsia="zh-CN"/>
            </w:rPr>
            <w:t>国有资本经营预算财政拨款支出决算表</w:t>
          </w:r>
          <w:r>
            <w:tab/>
          </w:r>
          <w:r>
            <w:fldChar w:fldCharType="begin"/>
          </w:r>
          <w:r>
            <w:instrText xml:space="preserve"> PAGEREF _Toc2008979460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pStyle w:val="14"/>
            <w:tabs>
              <w:tab w:val="right" w:leader="dot" w:pos="8306"/>
              <w:tab w:val="clear" w:pos="8296"/>
            </w:tabs>
          </w:pPr>
          <w:r>
            <w:rPr>
              <w:rFonts w:hint="eastAsia" w:ascii="Times New Roman" w:hAnsi="Times New Roman" w:eastAsia="仿宋_GB2312" w:cs="仿宋_GB2312"/>
              <w:color w:val="auto"/>
              <w:szCs w:val="32"/>
              <w:highlight w:val="none"/>
            </w:rPr>
            <w:fldChar w:fldCharType="begin"/>
          </w:r>
          <w:r>
            <w:rPr>
              <w:rFonts w:hint="eastAsia" w:ascii="Times New Roman" w:hAnsi="Times New Roman" w:eastAsia="仿宋_GB2312" w:cs="仿宋_GB2312"/>
              <w:szCs w:val="32"/>
              <w:highlight w:val="none"/>
            </w:rPr>
            <w:instrText xml:space="preserve"> HYPERLINK \l _Toc2000406723 </w:instrText>
          </w:r>
          <w:r>
            <w:rPr>
              <w:rFonts w:hint="eastAsia" w:ascii="Times New Roman" w:hAnsi="Times New Roman" w:eastAsia="仿宋_GB2312" w:cs="仿宋_GB2312"/>
              <w:szCs w:val="32"/>
              <w:highlight w:val="none"/>
            </w:rPr>
            <w:fldChar w:fldCharType="separate"/>
          </w:r>
          <w:r>
            <w:rPr>
              <w:rFonts w:hint="eastAsia"/>
            </w:rPr>
            <w:t>十三、财政拨款“三公”经费支出决算表</w:t>
          </w:r>
          <w:r>
            <w:tab/>
          </w:r>
          <w:r>
            <w:fldChar w:fldCharType="begin"/>
          </w:r>
          <w:r>
            <w:instrText xml:space="preserve"> PAGEREF _Toc2000406723 \h </w:instrText>
          </w:r>
          <w:r>
            <w:fldChar w:fldCharType="separate"/>
          </w:r>
          <w:r>
            <w:t>79</w:t>
          </w:r>
          <w:r>
            <w:fldChar w:fldCharType="end"/>
          </w:r>
          <w:r>
            <w:rPr>
              <w:rFonts w:hint="eastAsia" w:ascii="Times New Roman" w:hAnsi="Times New Roman" w:eastAsia="仿宋_GB2312" w:cs="仿宋_GB2312"/>
              <w:color w:val="auto"/>
              <w:szCs w:val="32"/>
              <w:highlight w:val="none"/>
            </w:rPr>
            <w:fldChar w:fldCharType="end"/>
          </w:r>
        </w:p>
        <w:p>
          <w:pPr>
            <w:rPr>
              <w:rFonts w:hint="eastAsia" w:ascii="Times New Roman" w:hAnsi="Times New Roman" w:eastAsia="仿宋_GB2312" w:cs="仿宋_GB2312"/>
              <w:color w:val="auto"/>
              <w:kern w:val="2"/>
              <w:sz w:val="21"/>
              <w:szCs w:val="32"/>
              <w:highlight w:val="none"/>
              <w:lang w:val="en-US" w:eastAsia="zh-CN" w:bidi="ar-SA"/>
            </w:rPr>
          </w:pPr>
          <w:r>
            <w:rPr>
              <w:rFonts w:hint="eastAsia" w:ascii="Times New Roman" w:hAnsi="Times New Roman" w:eastAsia="仿宋_GB2312" w:cs="仿宋_GB2312"/>
              <w:color w:val="auto"/>
              <w:szCs w:val="32"/>
              <w:highlight w:val="none"/>
            </w:rPr>
            <w:fldChar w:fldCharType="end"/>
          </w:r>
        </w:p>
      </w:sdtContent>
    </w:sdt>
    <w:p>
      <w:pPr>
        <w:pStyle w:val="3"/>
        <w:bidi w:val="0"/>
        <w:rPr>
          <w:rFonts w:hint="eastAsia"/>
        </w:rPr>
      </w:pPr>
      <w:bookmarkStart w:id="6" w:name="_Toc1162149980"/>
      <w:r>
        <w:rPr>
          <w:rFonts w:hint="eastAsia"/>
        </w:rPr>
        <w:t>第一部分 部门概况</w:t>
      </w:r>
      <w:bookmarkEnd w:id="6"/>
    </w:p>
    <w:p>
      <w:pPr>
        <w:pStyle w:val="4"/>
        <w:bidi w:val="0"/>
        <w:rPr>
          <w:rFonts w:hint="eastAsia"/>
          <w:lang w:eastAsia="zh-CN"/>
        </w:rPr>
      </w:pPr>
      <w:bookmarkStart w:id="7" w:name="_Toc671840434"/>
      <w:r>
        <w:rPr>
          <w:rFonts w:hint="eastAsia"/>
        </w:rPr>
        <w:t>一、</w:t>
      </w:r>
      <w:r>
        <w:rPr>
          <w:rFonts w:hint="eastAsia"/>
          <w:lang w:eastAsia="zh-CN"/>
        </w:rPr>
        <w:t>部门职责</w:t>
      </w:r>
      <w:bookmarkEnd w:id="7"/>
    </w:p>
    <w:p>
      <w:pPr>
        <w:pStyle w:val="2"/>
        <w:adjustRightInd w:val="0"/>
        <w:snapToGrid w:val="0"/>
        <w:spacing w:before="93" w:line="600" w:lineRule="exact"/>
        <w:ind w:firstLine="672" w:firstLineChars="210"/>
        <w:outlineLvl w:val="2"/>
        <w:rPr>
          <w:rFonts w:ascii="仿宋" w:hAnsi="仿宋" w:eastAsia="仿宋"/>
          <w:bCs/>
          <w:color w:val="000000"/>
          <w:sz w:val="32"/>
          <w:szCs w:val="32"/>
        </w:rPr>
      </w:pPr>
      <w:bookmarkStart w:id="8" w:name="_Toc85903005"/>
      <w:bookmarkStart w:id="9" w:name="_Toc1976557416"/>
      <w:bookmarkStart w:id="10" w:name="_Toc21974"/>
      <w:r>
        <w:rPr>
          <w:rFonts w:hint="eastAsia" w:ascii="仿宋" w:hAnsi="仿宋" w:eastAsia="仿宋"/>
          <w:bCs/>
          <w:color w:val="000000"/>
          <w:sz w:val="32"/>
          <w:szCs w:val="32"/>
        </w:rPr>
        <w:t>（一）主要职能。</w:t>
      </w:r>
      <w:bookmarkEnd w:id="8"/>
      <w:bookmarkEnd w:id="9"/>
      <w:bookmarkEnd w:id="10"/>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校长</w:t>
      </w:r>
      <w:r>
        <w:fldChar w:fldCharType="begin"/>
      </w:r>
      <w:r>
        <w:instrText xml:space="preserve"> HYPERLINK "https://www.baidu.com/s?wd=%E5%B2%97%E4%BD%8D%E8%81%8C%E8%B4%A3&amp;tn=44039180_cpr&amp;fenlei=mv6quAkxTZn0IZRqIHckPjm4nH00T1d-ujKWnj6LPvw-nyN9nH030ZwV5Hcvrjm3rH6sPfKWUMw85HfYnjn4nH6sgvPsT6KdThsqpZwYTjCEQLGCpyw9Uz4Bmy-bIi4WUvYETgN-TLwGUv3En1c1rj0kn1Ts"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岗位职责</w:t>
      </w:r>
      <w:r>
        <w:rPr>
          <w:rFonts w:hint="eastAsia" w:ascii="仿宋" w:hAnsi="仿宋" w:eastAsia="仿宋"/>
          <w:color w:val="000000"/>
          <w:sz w:val="32"/>
          <w:szCs w:val="32"/>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1、执行学校</w:t>
      </w:r>
      <w:r>
        <w:rPr>
          <w:rFonts w:hint="eastAsia" w:ascii="仿宋" w:hAnsi="仿宋" w:eastAsia="仿宋"/>
          <w:color w:val="000000"/>
          <w:sz w:val="32"/>
          <w:szCs w:val="32"/>
          <w:lang w:eastAsia="zh-CN"/>
        </w:rPr>
        <w:t>校委会</w:t>
      </w:r>
      <w:r>
        <w:rPr>
          <w:rFonts w:hint="eastAsia" w:ascii="仿宋" w:hAnsi="仿宋" w:eastAsia="仿宋"/>
          <w:color w:val="000000"/>
          <w:sz w:val="32"/>
          <w:szCs w:val="32"/>
        </w:rPr>
        <w:t>或者其他形式决策机构的决定；</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2、实施发展规划，拟订年度工作计划、</w:t>
      </w:r>
      <w:r>
        <w:fldChar w:fldCharType="begin"/>
      </w:r>
      <w:r>
        <w:instrText xml:space="preserve"> HYPERLINK "https://www.baidu.com/s?wd=%E8%B4%A2%E5%8A%A1%E9%A2%84%E7%AE%97&amp;tn=44039180_cpr&amp;fenlei=mv6quAkxTZn0IZRqIHckPjm4nH00T1d-ujKWnj6LPvw-nyN9nH030ZwV5Hcvrjm3rH6sPfKWUMw85HfYnjn4nH6sgvPsT6KdThsqpZwYTjCEQLGCpyw9Uz4Bmy-bIi4WUvYETgN-TLwGUv3En1c1rj0kn1Ts"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财务预算</w:t>
      </w:r>
      <w:r>
        <w:rPr>
          <w:rFonts w:hint="eastAsia" w:ascii="仿宋" w:hAnsi="仿宋" w:eastAsia="仿宋"/>
          <w:color w:val="000000"/>
          <w:sz w:val="32"/>
          <w:szCs w:val="32"/>
        </w:rPr>
        <w:fldChar w:fldCharType="end"/>
      </w:r>
      <w:r>
        <w:rPr>
          <w:rFonts w:hint="eastAsia" w:ascii="仿宋" w:hAnsi="仿宋" w:eastAsia="仿宋"/>
          <w:color w:val="000000"/>
          <w:sz w:val="32"/>
          <w:szCs w:val="32"/>
        </w:rPr>
        <w:t>和学校规章制度；</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3、聘任和解聘学校工作人员，实施奖惩；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4、组织教育教学、科学研究活动，保证教育教学质量；</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5、负责学校日常管理工作；</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6、 学校董事会或者其他形式决策机构的其他授权。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7、坚持依法办学，遵守学校章程，维护学校利益。</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8、合理配置学校“人、财、物、信息”资源，有效行使学校</w:t>
      </w:r>
      <w:r>
        <w:fldChar w:fldCharType="begin"/>
      </w:r>
      <w:r>
        <w:instrText xml:space="preserve"> HYPERLINK "https://www.baidu.com/s?wd=%E9%87%8D%E5%A4%A7%E4%BA%8B%E9%A1%B9&amp;tn=44039180_cpr&amp;fenlei=mv6quAkxTZn0IZRqIHckPjm4nH00T1d-ujKWnj6LPvw-nyN9nH030ZwV5Hcvrjm3rH6sPfKWUMw85HfYnjn4nH6sgvPsT6KdThsqpZwYTjCEQLGCpyw9Uz4Bmy-bIi4WUvYETgN-TLwGUv3En1c1rj0kn1Ts"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重大事项</w:t>
      </w:r>
      <w:r>
        <w:rPr>
          <w:rFonts w:hint="eastAsia" w:ascii="仿宋" w:hAnsi="仿宋" w:eastAsia="仿宋"/>
          <w:color w:val="000000"/>
          <w:sz w:val="32"/>
          <w:szCs w:val="32"/>
        </w:rPr>
        <w:fldChar w:fldCharType="end"/>
      </w:r>
      <w:r>
        <w:rPr>
          <w:rFonts w:hint="eastAsia" w:ascii="仿宋" w:hAnsi="仿宋" w:eastAsia="仿宋"/>
          <w:color w:val="000000"/>
          <w:sz w:val="32"/>
          <w:szCs w:val="32"/>
        </w:rPr>
        <w:t>和重大改革措施的决策权。</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9、及时向上级</w:t>
      </w:r>
      <w:r>
        <w:fldChar w:fldCharType="begin"/>
      </w:r>
      <w: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教育行政部门</w:t>
      </w:r>
      <w:r>
        <w:rPr>
          <w:rFonts w:hint="eastAsia" w:ascii="仿宋" w:hAnsi="仿宋" w:eastAsia="仿宋"/>
          <w:color w:val="000000"/>
          <w:sz w:val="32"/>
          <w:szCs w:val="32"/>
        </w:rPr>
        <w:fldChar w:fldCharType="end"/>
      </w:r>
      <w:r>
        <w:rPr>
          <w:rFonts w:hint="eastAsia" w:ascii="仿宋" w:hAnsi="仿宋" w:eastAsia="仿宋"/>
          <w:color w:val="000000"/>
          <w:sz w:val="32"/>
          <w:szCs w:val="32"/>
        </w:rPr>
        <w:t>和学校决策机构汇报学校工作。</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10、维护教职工利益，保障教职工合法权益，以教职工和学生的人生幸福和</w:t>
      </w:r>
      <w:r>
        <w:fldChar w:fldCharType="begin"/>
      </w:r>
      <w:r>
        <w:instrText xml:space="preserve"> HYPERLINK "https://www.baidu.com/s?wd=%E7%94%9F%E5%91%BD%E8%B4%A8%E9%87%8F&amp;tn=44039180_cpr&amp;fenlei=mv6quAkxTZn0IZRqIHckPjm4nH00T1d-ujKWnj6LPvw-nyN9nH030ZwV5Hcvrjm3rH6sPfKWUMw85HfYnjn4nH6sgvPsT6KdThsqpZwYTjCEQLGCpyw9Uz4Bmy-bIi4WUvYETgN-TLwGUv3En1c1rj0kn1Ts"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生命质量</w:t>
      </w:r>
      <w:r>
        <w:rPr>
          <w:rFonts w:hint="eastAsia" w:ascii="仿宋" w:hAnsi="仿宋" w:eastAsia="仿宋"/>
          <w:color w:val="000000"/>
          <w:sz w:val="32"/>
          <w:szCs w:val="32"/>
        </w:rPr>
        <w:fldChar w:fldCharType="end"/>
      </w:r>
      <w:r>
        <w:rPr>
          <w:rFonts w:hint="eastAsia" w:ascii="仿宋" w:hAnsi="仿宋" w:eastAsia="仿宋"/>
          <w:color w:val="000000"/>
          <w:sz w:val="32"/>
          <w:szCs w:val="32"/>
        </w:rPr>
        <w:t>作为关注焦点，建立信任，消除焦虑。</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11、尊重教职工的主人翁地位和民主管理、民主监督的权利，团结和依靠教职工办好学校。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学校法定代表人职责</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1、法定代表人由校长担任，并在章程中载明。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2、法定代表人代表学校签署文件和合同。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3、法定代表人的职务行为，必须根据学校董事会或其他形式决策机构的决议，否则由此引起的法律后果由其自行承担。</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4、法定代表人应当带头遵守学校章程，成为</w:t>
      </w:r>
      <w:r>
        <w:fldChar w:fldCharType="begin"/>
      </w:r>
      <w:r>
        <w:instrText xml:space="preserve"> HYPERLINK "https://www.baidu.com/s?wd=%E9%81%B5%E7%BA%AA%E5%AE%88%E6%B3%95&amp;tn=44039180_cpr&amp;fenlei=mv6quAkxTZn0IZRqIHckPjm4nH00T1d-ujKWnj6LPvw-nyN9nH030ZwV5Hcvrjm3rH6sPfKWUMw85HfYnjn4nH6sgvPsT6KdThsqpZwYTjCEQLGCpyw9Uz4Bmy-bIi4WUvYETgN-TLwGUv3En1c1rj0kn1Ts"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遵纪守法</w:t>
      </w:r>
      <w:r>
        <w:rPr>
          <w:rFonts w:hint="eastAsia" w:ascii="仿宋" w:hAnsi="仿宋" w:eastAsia="仿宋"/>
          <w:color w:val="000000"/>
          <w:sz w:val="32"/>
          <w:szCs w:val="32"/>
        </w:rPr>
        <w:fldChar w:fldCharType="end"/>
      </w:r>
      <w:r>
        <w:rPr>
          <w:rFonts w:hint="eastAsia" w:ascii="仿宋" w:hAnsi="仿宋" w:eastAsia="仿宋"/>
          <w:color w:val="000000"/>
          <w:sz w:val="32"/>
          <w:szCs w:val="32"/>
        </w:rPr>
        <w:t xml:space="preserve">的表率。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5、法定代表</w:t>
      </w:r>
      <w:r>
        <w:rPr>
          <w:rFonts w:hint="eastAsia" w:ascii="仿宋" w:hAnsi="仿宋" w:eastAsia="仿宋"/>
          <w:color w:val="000000"/>
          <w:sz w:val="32"/>
          <w:szCs w:val="32"/>
          <w:lang w:eastAsia="zh-CN"/>
        </w:rPr>
        <w:t>人</w:t>
      </w:r>
      <w:r>
        <w:rPr>
          <w:rFonts w:hint="eastAsia" w:ascii="仿宋" w:hAnsi="仿宋" w:eastAsia="仿宋"/>
          <w:color w:val="000000"/>
          <w:sz w:val="32"/>
          <w:szCs w:val="32"/>
        </w:rPr>
        <w:t>是学校安全工作的第一责任人。法定代表人在其分工范围内必须采取切实有效措施，确保师生的身心健康。</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6、法定代表人必须代表学校自觉接受</w:t>
      </w:r>
      <w:r>
        <w:fldChar w:fldCharType="begin"/>
      </w:r>
      <w: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教育行政部门</w:t>
      </w:r>
      <w:r>
        <w:rPr>
          <w:rFonts w:hint="eastAsia" w:ascii="仿宋" w:hAnsi="仿宋" w:eastAsia="仿宋"/>
          <w:color w:val="000000"/>
          <w:sz w:val="32"/>
          <w:szCs w:val="32"/>
        </w:rPr>
        <w:fldChar w:fldCharType="end"/>
      </w:r>
      <w:r>
        <w:rPr>
          <w:rFonts w:hint="eastAsia" w:ascii="仿宋" w:hAnsi="仿宋" w:eastAsia="仿宋"/>
          <w:color w:val="000000"/>
          <w:sz w:val="32"/>
          <w:szCs w:val="32"/>
        </w:rPr>
        <w:t xml:space="preserve">的监督管理，主动汇报学校各项工作情况。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门卫保安</w:t>
      </w:r>
      <w:r>
        <w:fldChar w:fldCharType="begin"/>
      </w:r>
      <w:r>
        <w:instrText xml:space="preserve"> HYPERLINK "https://www.baidu.com/s?wd=%E5%B7%A5%E4%BD%9C%E8%81%8C%E8%B4%A3&amp;tn=44039180_cpr&amp;fenlei=mv6quAkxTZn0IZRqIHckPjm4nH00T1d-ujKWnj6LPvw-nyN9nH030ZwV5Hcvrjm3rH6sPfKWUMw85HfYnjn4nH6sgvPsT6KdThsqpZwYTjCEQLGCpyw9Uz4Bmy-bIi4WUvYETgN-TLwGUv3En1c1rj0kn1Ts"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工作职责</w:t>
      </w:r>
      <w:r>
        <w:rPr>
          <w:rFonts w:hint="eastAsia" w:ascii="仿宋" w:hAnsi="仿宋" w:eastAsia="仿宋"/>
          <w:color w:val="000000"/>
          <w:sz w:val="32"/>
          <w:szCs w:val="32"/>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1、实行二十四小时值班制度，按时到岗在位，不擅自离岗。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2、上下班做好交接，防止工作疏漏。</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3、严格外来人员登记制度，不随便允许外来人员入校。</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4、严格学生出入校管理，在校期间学生离校必须凭班主任签单方可同意离校。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5、晚间值班必须按时巡查，检查门窗、电器的关闭情况，早上按时开启有关设施。</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6、保持仪表端正，着装上岗。</w:t>
      </w:r>
    </w:p>
    <w:p>
      <w:pPr>
        <w:pStyle w:val="2"/>
        <w:adjustRightInd w:val="0"/>
        <w:snapToGrid w:val="0"/>
        <w:spacing w:before="93" w:line="600" w:lineRule="exact"/>
        <w:ind w:firstLine="672" w:firstLineChars="210"/>
        <w:rPr>
          <w:rFonts w:ascii="仿宋" w:hAnsi="仿宋" w:eastAsia="仿宋"/>
          <w:color w:val="000000"/>
          <w:kern w:val="2"/>
          <w:sz w:val="32"/>
          <w:szCs w:val="32"/>
        </w:rPr>
      </w:pPr>
      <w:r>
        <w:rPr>
          <w:rFonts w:hint="eastAsia" w:ascii="仿宋" w:hAnsi="仿宋" w:eastAsia="仿宋"/>
          <w:color w:val="000000"/>
          <w:sz w:val="32"/>
          <w:szCs w:val="32"/>
        </w:rPr>
        <w:t>7、接待热情、待人有礼。</w:t>
      </w:r>
    </w:p>
    <w:p>
      <w:pPr>
        <w:ind w:firstLine="640" w:firstLineChars="200"/>
        <w:rPr>
          <w:rFonts w:ascii="仿宋" w:hAnsi="仿宋" w:eastAsia="仿宋"/>
          <w:color w:val="000000"/>
          <w:sz w:val="32"/>
          <w:szCs w:val="32"/>
        </w:rPr>
      </w:pPr>
      <w:r>
        <w:rPr>
          <w:rFonts w:ascii="仿宋" w:hAnsi="仿宋" w:eastAsia="仿宋"/>
          <w:color w:val="000000"/>
          <w:sz w:val="32"/>
          <w:szCs w:val="32"/>
        </w:rPr>
        <w:t>教师岗位职责</w:t>
      </w:r>
    </w:p>
    <w:p>
      <w:pPr>
        <w:ind w:firstLine="640" w:firstLineChars="200"/>
        <w:rPr>
          <w:rFonts w:ascii="仿宋" w:hAnsi="仿宋" w:eastAsia="仿宋"/>
          <w:color w:val="000000"/>
          <w:sz w:val="32"/>
          <w:szCs w:val="32"/>
        </w:rPr>
      </w:pPr>
      <w:r>
        <w:rPr>
          <w:rFonts w:ascii="仿宋" w:hAnsi="仿宋" w:eastAsia="仿宋"/>
          <w:color w:val="000000"/>
          <w:sz w:val="32"/>
          <w:szCs w:val="32"/>
        </w:rPr>
        <w:t>教师职业道德要求</w:t>
      </w:r>
    </w:p>
    <w:p>
      <w:pPr>
        <w:ind w:firstLine="640" w:firstLineChars="200"/>
        <w:rPr>
          <w:rFonts w:ascii="仿宋" w:hAnsi="仿宋" w:eastAsia="仿宋"/>
          <w:color w:val="000000"/>
          <w:sz w:val="32"/>
          <w:szCs w:val="32"/>
        </w:rPr>
      </w:pPr>
      <w:r>
        <w:rPr>
          <w:rFonts w:ascii="仿宋" w:hAnsi="仿宋" w:eastAsia="仿宋"/>
          <w:color w:val="000000"/>
          <w:sz w:val="32"/>
          <w:szCs w:val="32"/>
        </w:rPr>
        <w:t>—、依法执教。自觉遵守《</w:t>
      </w:r>
      <w:r>
        <w:rPr>
          <w:rFonts w:hint="eastAsia" w:ascii="仿宋" w:hAnsi="仿宋" w:eastAsia="仿宋"/>
          <w:color w:val="000000"/>
          <w:sz w:val="32"/>
          <w:szCs w:val="32"/>
          <w:lang w:eastAsia="zh-CN"/>
        </w:rPr>
        <w:t>中华人民共和国</w:t>
      </w:r>
      <w:r>
        <w:rPr>
          <w:rFonts w:ascii="仿宋" w:hAnsi="仿宋" w:eastAsia="仿宋"/>
          <w:color w:val="000000"/>
          <w:sz w:val="32"/>
          <w:szCs w:val="32"/>
        </w:rPr>
        <w:t>教师法》等法律法规，在教育教学中同党和国家的方针政策保持一致、不得有违背党和国家方针、政策的言行。</w:t>
      </w:r>
    </w:p>
    <w:p>
      <w:pPr>
        <w:ind w:firstLine="640" w:firstLineChars="200"/>
        <w:rPr>
          <w:rFonts w:ascii="仿宋" w:hAnsi="仿宋" w:eastAsia="仿宋"/>
          <w:color w:val="000000"/>
          <w:sz w:val="32"/>
          <w:szCs w:val="32"/>
        </w:rPr>
      </w:pPr>
      <w:r>
        <w:rPr>
          <w:rFonts w:ascii="仿宋" w:hAnsi="仿宋" w:eastAsia="仿宋"/>
          <w:color w:val="000000"/>
          <w:sz w:val="32"/>
          <w:szCs w:val="32"/>
        </w:rPr>
        <w:t>二、爱岗敬业。热爱教育，热爱学校。尽心尽责、教书育人。注意培养学生具有良好的思想品德。认真备课上课，认真批改作业，不敷衍塞责，不传播有害学生身心健康的思想。</w:t>
      </w:r>
    </w:p>
    <w:p>
      <w:pPr>
        <w:ind w:firstLine="640" w:firstLineChars="200"/>
        <w:rPr>
          <w:rFonts w:ascii="仿宋" w:hAnsi="仿宋" w:eastAsia="仿宋"/>
          <w:color w:val="000000"/>
          <w:sz w:val="32"/>
          <w:szCs w:val="32"/>
        </w:rPr>
      </w:pPr>
      <w:r>
        <w:rPr>
          <w:rFonts w:ascii="仿宋" w:hAnsi="仿宋" w:eastAsia="仿宋"/>
          <w:color w:val="000000"/>
          <w:sz w:val="32"/>
          <w:szCs w:val="32"/>
        </w:rPr>
        <w:t>三、热爱学生。关心爱护全体学生，尊重学生的人格，平等公正对待学生。对学生严格要求、耐心教导，不讽刺、挖苦、歧视学生，不体罚或变相体罚学生，保护学生合法权益，促进学生全面、主动、健康发展。</w:t>
      </w:r>
    </w:p>
    <w:p>
      <w:pPr>
        <w:ind w:firstLine="640" w:firstLineChars="200"/>
        <w:rPr>
          <w:rFonts w:ascii="仿宋" w:hAnsi="仿宋" w:eastAsia="仿宋"/>
          <w:color w:val="000000"/>
          <w:sz w:val="32"/>
          <w:szCs w:val="32"/>
        </w:rPr>
      </w:pPr>
      <w:r>
        <w:rPr>
          <w:rFonts w:ascii="仿宋" w:hAnsi="仿宋" w:eastAsia="仿宋"/>
          <w:color w:val="000000"/>
          <w:sz w:val="32"/>
          <w:szCs w:val="32"/>
        </w:rPr>
        <w:t>四、严谨治学。树立优良学风，刻苦钻研业务，不断学习新知识，探索教育教学规律、改进教育教学方法，提高教育教学和科研水平。</w:t>
      </w:r>
    </w:p>
    <w:p>
      <w:pPr>
        <w:ind w:firstLine="640" w:firstLineChars="200"/>
        <w:rPr>
          <w:rFonts w:ascii="仿宋" w:hAnsi="仿宋" w:eastAsia="仿宋"/>
          <w:color w:val="000000"/>
          <w:sz w:val="32"/>
          <w:szCs w:val="32"/>
        </w:rPr>
      </w:pPr>
      <w:r>
        <w:rPr>
          <w:rFonts w:ascii="仿宋" w:hAnsi="仿宋" w:eastAsia="仿宋"/>
          <w:color w:val="000000"/>
          <w:sz w:val="32"/>
          <w:szCs w:val="32"/>
        </w:rPr>
        <w:t>五、团结协作。谦虚谨慎、尊重同志，互相学习、相互帮助，维护其他教师在学生中的威信。关心集体，维护学校荣誉，共创文明校风。</w:t>
      </w:r>
    </w:p>
    <w:p>
      <w:pPr>
        <w:ind w:firstLine="640" w:firstLineChars="200"/>
        <w:rPr>
          <w:rFonts w:ascii="仿宋" w:hAnsi="仿宋" w:eastAsia="仿宋"/>
          <w:color w:val="000000"/>
          <w:sz w:val="32"/>
          <w:szCs w:val="32"/>
        </w:rPr>
      </w:pPr>
      <w:r>
        <w:rPr>
          <w:rFonts w:ascii="仿宋" w:hAnsi="仿宋" w:eastAsia="仿宋"/>
          <w:color w:val="000000"/>
          <w:sz w:val="32"/>
          <w:szCs w:val="32"/>
        </w:rPr>
        <w:t>六、尊重家长。主动与学生家长联系，认真听取意见和建议，取得支持和配合。积极宣传科学的教育思想和方法，不训斥、不指责学生家长。</w:t>
      </w:r>
    </w:p>
    <w:p>
      <w:pPr>
        <w:ind w:firstLine="640" w:firstLineChars="200"/>
        <w:rPr>
          <w:rFonts w:ascii="仿宋" w:hAnsi="仿宋" w:eastAsia="仿宋"/>
          <w:color w:val="000000"/>
          <w:sz w:val="32"/>
          <w:szCs w:val="32"/>
        </w:rPr>
      </w:pPr>
      <w:r>
        <w:rPr>
          <w:rFonts w:ascii="仿宋" w:hAnsi="仿宋" w:eastAsia="仿宋"/>
          <w:color w:val="000000"/>
          <w:sz w:val="32"/>
          <w:szCs w:val="32"/>
        </w:rPr>
        <w:t>七、廉洁从教。坚守高尚情操，发扬奉献精神，自觉抵制社会不良风气影响，不得</w:t>
      </w:r>
      <w:r>
        <w:rPr>
          <w:rFonts w:hint="eastAsia" w:ascii="仿宋" w:hAnsi="仿宋" w:eastAsia="仿宋"/>
          <w:color w:val="000000"/>
          <w:sz w:val="32"/>
          <w:szCs w:val="32"/>
          <w:lang w:eastAsia="zh-CN"/>
        </w:rPr>
        <w:t>利</w:t>
      </w:r>
      <w:r>
        <w:rPr>
          <w:rFonts w:ascii="仿宋" w:hAnsi="仿宋" w:eastAsia="仿宋"/>
          <w:color w:val="000000"/>
          <w:sz w:val="32"/>
          <w:szCs w:val="32"/>
        </w:rPr>
        <w:t>用职责之便谋取私利。</w:t>
      </w:r>
    </w:p>
    <w:p>
      <w:pPr>
        <w:ind w:firstLine="640" w:firstLineChars="200"/>
        <w:rPr>
          <w:rFonts w:ascii="仿宋" w:hAnsi="仿宋" w:eastAsia="仿宋"/>
          <w:color w:val="000000"/>
          <w:sz w:val="32"/>
          <w:szCs w:val="32"/>
        </w:rPr>
      </w:pPr>
      <w:r>
        <w:rPr>
          <w:rFonts w:ascii="仿宋" w:hAnsi="仿宋" w:eastAsia="仿宋"/>
          <w:color w:val="000000"/>
          <w:sz w:val="32"/>
          <w:szCs w:val="32"/>
        </w:rPr>
        <w:t>八、为人师表。模范遵守社会公德，衣着整洁得体，语言规范健康。举止文明礼貌，严于律己，作风正派，以身作</w:t>
      </w:r>
      <w:r>
        <w:rPr>
          <w:rFonts w:hint="eastAsia" w:ascii="仿宋" w:hAnsi="仿宋" w:eastAsia="仿宋"/>
          <w:color w:val="000000"/>
          <w:sz w:val="32"/>
          <w:szCs w:val="32"/>
          <w:lang w:eastAsia="zh-CN"/>
        </w:rPr>
        <w:t>则</w:t>
      </w:r>
      <w:r>
        <w:rPr>
          <w:rFonts w:ascii="仿宋" w:hAnsi="仿宋" w:eastAsia="仿宋"/>
          <w:color w:val="000000"/>
          <w:sz w:val="32"/>
          <w:szCs w:val="32"/>
        </w:rPr>
        <w:t>，注重身教。</w:t>
      </w:r>
    </w:p>
    <w:p>
      <w:pPr>
        <w:ind w:firstLine="640" w:firstLineChars="200"/>
        <w:rPr>
          <w:rFonts w:ascii="仿宋" w:hAnsi="仿宋" w:eastAsia="仿宋"/>
          <w:color w:val="000000"/>
          <w:sz w:val="32"/>
          <w:szCs w:val="32"/>
        </w:rPr>
      </w:pPr>
      <w:r>
        <w:rPr>
          <w:rFonts w:ascii="仿宋" w:hAnsi="仿宋" w:eastAsia="仿宋"/>
          <w:color w:val="000000"/>
          <w:sz w:val="32"/>
          <w:szCs w:val="32"/>
        </w:rPr>
        <w:t>班主任职责</w:t>
      </w:r>
    </w:p>
    <w:p>
      <w:pPr>
        <w:ind w:firstLine="640" w:firstLineChars="200"/>
        <w:rPr>
          <w:rFonts w:ascii="仿宋" w:hAnsi="仿宋" w:eastAsia="仿宋"/>
          <w:color w:val="000000"/>
          <w:sz w:val="32"/>
          <w:szCs w:val="32"/>
        </w:rPr>
      </w:pPr>
      <w:r>
        <w:rPr>
          <w:rFonts w:ascii="仿宋" w:hAnsi="仿宋" w:eastAsia="仿宋"/>
          <w:color w:val="000000"/>
          <w:sz w:val="32"/>
          <w:szCs w:val="32"/>
        </w:rPr>
        <w:t>班主任是一个班级学生的组织者和</w:t>
      </w:r>
      <w:r>
        <w:fldChar w:fldCharType="begin"/>
      </w:r>
      <w:r>
        <w:instrText xml:space="preserve"> HYPERLINK "http://www.5ykj.com/Article/" \t "_blank" </w:instrText>
      </w:r>
      <w:r>
        <w:fldChar w:fldCharType="separate"/>
      </w:r>
      <w:r>
        <w:rPr>
          <w:rFonts w:ascii="仿宋" w:hAnsi="仿宋" w:eastAsia="仿宋"/>
          <w:color w:val="000000"/>
          <w:sz w:val="32"/>
          <w:szCs w:val="32"/>
        </w:rPr>
        <w:t>领导</w:t>
      </w:r>
      <w:r>
        <w:rPr>
          <w:rFonts w:ascii="仿宋" w:hAnsi="仿宋" w:eastAsia="仿宋"/>
          <w:color w:val="000000"/>
          <w:sz w:val="32"/>
          <w:szCs w:val="32"/>
        </w:rPr>
        <w:fldChar w:fldCharType="end"/>
      </w:r>
      <w:r>
        <w:rPr>
          <w:rFonts w:ascii="仿宋" w:hAnsi="仿宋" w:eastAsia="仿宋"/>
          <w:color w:val="000000"/>
          <w:sz w:val="32"/>
          <w:szCs w:val="32"/>
        </w:rPr>
        <w:t>者，是学校对学生进行思想政治教育工作的骨干力量，是联系各科教学的纽带，是沟通学校、家庭、社会的桥梁。上级部门和学校对学生的各种要求，都要通过班主任去贯彻落实。班主任首先要“为人师表”，热爱学生，班主任工作必须做到：</w:t>
      </w:r>
    </w:p>
    <w:p>
      <w:pPr>
        <w:ind w:firstLine="640" w:firstLineChars="200"/>
        <w:rPr>
          <w:rFonts w:ascii="仿宋" w:hAnsi="仿宋" w:eastAsia="仿宋"/>
          <w:color w:val="000000"/>
          <w:sz w:val="32"/>
          <w:szCs w:val="32"/>
        </w:rPr>
      </w:pPr>
      <w:r>
        <w:rPr>
          <w:rFonts w:ascii="仿宋" w:hAnsi="仿宋" w:eastAsia="仿宋"/>
          <w:color w:val="000000"/>
          <w:sz w:val="32"/>
          <w:szCs w:val="32"/>
        </w:rPr>
        <w:t>1、努力贯彻党的教育方针，提高学生的思想政治觉悟，学习质量和健康水平，为培养一个勤奋学习、遵纪守法、朝气蓬勃、团结向上的班集体而积极工作。</w:t>
      </w:r>
    </w:p>
    <w:p>
      <w:pPr>
        <w:ind w:firstLine="640" w:firstLineChars="200"/>
        <w:rPr>
          <w:rFonts w:ascii="仿宋" w:hAnsi="仿宋" w:eastAsia="仿宋"/>
          <w:color w:val="000000"/>
          <w:sz w:val="32"/>
          <w:szCs w:val="32"/>
        </w:rPr>
      </w:pPr>
      <w:r>
        <w:rPr>
          <w:rFonts w:ascii="仿宋" w:hAnsi="仿宋" w:eastAsia="仿宋"/>
          <w:color w:val="000000"/>
          <w:sz w:val="32"/>
          <w:szCs w:val="32"/>
        </w:rPr>
        <w:t>2、教育督促学生遵守《小学生守则》和学校的各种规章制度，</w:t>
      </w:r>
      <w:r>
        <w:rPr>
          <w:rFonts w:hint="eastAsia" w:ascii="仿宋" w:hAnsi="仿宋" w:eastAsia="仿宋"/>
          <w:color w:val="000000"/>
          <w:sz w:val="32"/>
          <w:szCs w:val="32"/>
          <w:lang w:eastAsia="zh-CN"/>
        </w:rPr>
        <w:t>遵守</w:t>
      </w:r>
      <w:r>
        <w:rPr>
          <w:rFonts w:ascii="仿宋" w:hAnsi="仿宋" w:eastAsia="仿宋"/>
          <w:color w:val="000000"/>
          <w:sz w:val="32"/>
          <w:szCs w:val="32"/>
        </w:rPr>
        <w:t>政府的政策法令和社会的公共秩序，处理日常班务工作和本班学生中的偶发事件。对学生的教育应做到“动之以情、晓之以理、导之以行、持之以恒”。讲究教育艺术，注重教育效果，严禁体罚或侮辱学生人格。</w:t>
      </w:r>
    </w:p>
    <w:p>
      <w:pPr>
        <w:ind w:firstLine="640" w:firstLineChars="200"/>
        <w:rPr>
          <w:rFonts w:ascii="仿宋" w:hAnsi="仿宋" w:eastAsia="仿宋"/>
          <w:color w:val="000000"/>
          <w:sz w:val="32"/>
          <w:szCs w:val="32"/>
        </w:rPr>
      </w:pPr>
      <w:r>
        <w:rPr>
          <w:rFonts w:ascii="仿宋" w:hAnsi="仿宋" w:eastAsia="仿宋"/>
          <w:color w:val="000000"/>
          <w:sz w:val="32"/>
          <w:szCs w:val="32"/>
        </w:rPr>
        <w:t>3、及时和学校有关方面取得联系，定期向学校</w:t>
      </w:r>
      <w:r>
        <w:fldChar w:fldCharType="begin"/>
      </w:r>
      <w:r>
        <w:instrText xml:space="preserve"> HYPERLINK "http://www.5ykj.com/Article/" \t "_blank" </w:instrText>
      </w:r>
      <w:r>
        <w:fldChar w:fldCharType="separate"/>
      </w:r>
      <w:r>
        <w:rPr>
          <w:rFonts w:ascii="仿宋" w:hAnsi="仿宋" w:eastAsia="仿宋"/>
          <w:color w:val="000000"/>
          <w:sz w:val="32"/>
          <w:szCs w:val="32"/>
        </w:rPr>
        <w:t>领导</w:t>
      </w:r>
      <w:r>
        <w:rPr>
          <w:rFonts w:ascii="仿宋" w:hAnsi="仿宋" w:eastAsia="仿宋"/>
          <w:color w:val="000000"/>
          <w:sz w:val="32"/>
          <w:szCs w:val="32"/>
        </w:rPr>
        <w:fldChar w:fldCharType="end"/>
      </w:r>
      <w:r>
        <w:rPr>
          <w:rFonts w:ascii="仿宋" w:hAnsi="仿宋" w:eastAsia="仿宋"/>
          <w:color w:val="000000"/>
          <w:sz w:val="32"/>
          <w:szCs w:val="32"/>
        </w:rPr>
        <w:t>或教导处</w:t>
      </w:r>
      <w:r>
        <w:fldChar w:fldCharType="begin"/>
      </w:r>
      <w:r>
        <w:instrText xml:space="preserve"> HYPERLINK "http://www.5ykj.com/Article/" \t "_blank" </w:instrText>
      </w:r>
      <w:r>
        <w:fldChar w:fldCharType="separate"/>
      </w:r>
      <w:r>
        <w:rPr>
          <w:rFonts w:ascii="仿宋" w:hAnsi="仿宋" w:eastAsia="仿宋"/>
          <w:color w:val="000000"/>
          <w:sz w:val="32"/>
          <w:szCs w:val="32"/>
        </w:rPr>
        <w:t>汇报</w:t>
      </w:r>
      <w:r>
        <w:rPr>
          <w:rFonts w:ascii="仿宋" w:hAnsi="仿宋" w:eastAsia="仿宋"/>
          <w:color w:val="000000"/>
          <w:sz w:val="32"/>
          <w:szCs w:val="32"/>
        </w:rPr>
        <w:fldChar w:fldCharType="end"/>
      </w:r>
      <w:r>
        <w:rPr>
          <w:rFonts w:ascii="仿宋" w:hAnsi="仿宋" w:eastAsia="仿宋"/>
          <w:color w:val="000000"/>
          <w:sz w:val="32"/>
          <w:szCs w:val="32"/>
        </w:rPr>
        <w:t>班务工作，做到上传下达。步调一致。经常与任</w:t>
      </w:r>
      <w:r>
        <w:rPr>
          <w:rFonts w:hint="eastAsia" w:ascii="仿宋" w:hAnsi="仿宋" w:eastAsia="仿宋"/>
          <w:color w:val="000000"/>
          <w:sz w:val="32"/>
          <w:szCs w:val="32"/>
          <w:lang w:eastAsia="zh-CN"/>
        </w:rPr>
        <w:t>课</w:t>
      </w:r>
      <w:r>
        <w:rPr>
          <w:rFonts w:ascii="仿宋" w:hAnsi="仿宋" w:eastAsia="仿宋"/>
          <w:color w:val="000000"/>
          <w:sz w:val="32"/>
          <w:szCs w:val="32"/>
        </w:rPr>
        <w:t>教师互通情报，了解研究学生的思想、学习情况。教育学生明确学习目的，端正学习态度，改进学习方法，不断提高各门功课的学习</w:t>
      </w:r>
      <w:r>
        <w:fldChar w:fldCharType="begin"/>
      </w:r>
      <w:r>
        <w:instrText xml:space="preserve"> HYPERLINK "http://home.5ykj.com/mnkc/" \t "_blank" </w:instrText>
      </w:r>
      <w:r>
        <w:fldChar w:fldCharType="separate"/>
      </w:r>
      <w:r>
        <w:rPr>
          <w:rFonts w:ascii="仿宋" w:hAnsi="仿宋" w:eastAsia="仿宋"/>
          <w:color w:val="000000"/>
          <w:sz w:val="32"/>
          <w:szCs w:val="32"/>
        </w:rPr>
        <w:t>成绩</w:t>
      </w:r>
      <w:r>
        <w:rPr>
          <w:rFonts w:ascii="仿宋" w:hAnsi="仿宋" w:eastAsia="仿宋"/>
          <w:color w:val="000000"/>
          <w:sz w:val="32"/>
          <w:szCs w:val="32"/>
        </w:rPr>
        <w:fldChar w:fldCharType="end"/>
      </w:r>
      <w:r>
        <w:rPr>
          <w:rFonts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4、关心学生的身心健康。组织和</w:t>
      </w:r>
      <w:r>
        <w:fldChar w:fldCharType="begin"/>
      </w:r>
      <w:r>
        <w:instrText xml:space="preserve"> HYPERLINK "http://zw.5ykj.com/" \t "_blank" </w:instrText>
      </w:r>
      <w:r>
        <w:fldChar w:fldCharType="separate"/>
      </w:r>
      <w:r>
        <w:rPr>
          <w:rFonts w:ascii="仿宋" w:hAnsi="仿宋" w:eastAsia="仿宋"/>
          <w:color w:val="000000"/>
          <w:sz w:val="32"/>
          <w:szCs w:val="32"/>
        </w:rPr>
        <w:t>指导</w:t>
      </w:r>
      <w:r>
        <w:rPr>
          <w:rFonts w:ascii="仿宋" w:hAnsi="仿宋" w:eastAsia="仿宋"/>
          <w:color w:val="000000"/>
          <w:sz w:val="32"/>
          <w:szCs w:val="32"/>
        </w:rPr>
        <w:fldChar w:fldCharType="end"/>
      </w:r>
      <w:r>
        <w:rPr>
          <w:rFonts w:ascii="仿宋" w:hAnsi="仿宋" w:eastAsia="仿宋"/>
          <w:color w:val="000000"/>
          <w:sz w:val="32"/>
          <w:szCs w:val="32"/>
        </w:rPr>
        <w:t>学生开展体育、文娱、卫生等活动。教育学生积极参加体育锻炼；自觉搞好环境卫生和个人卫生，养成良好习惯，并对学生生活给予应有的</w:t>
      </w:r>
      <w:r>
        <w:fldChar w:fldCharType="begin"/>
      </w:r>
      <w:r>
        <w:instrText xml:space="preserve"> HYPERLINK "http://zw.5ykj.com/" \t "_blank" </w:instrText>
      </w:r>
      <w:r>
        <w:fldChar w:fldCharType="separate"/>
      </w:r>
      <w:r>
        <w:rPr>
          <w:rFonts w:ascii="仿宋" w:hAnsi="仿宋" w:eastAsia="仿宋"/>
          <w:color w:val="000000"/>
          <w:sz w:val="32"/>
          <w:szCs w:val="32"/>
        </w:rPr>
        <w:t>指导</w:t>
      </w:r>
      <w:r>
        <w:rPr>
          <w:rFonts w:ascii="仿宋" w:hAnsi="仿宋" w:eastAsia="仿宋"/>
          <w:color w:val="000000"/>
          <w:sz w:val="32"/>
          <w:szCs w:val="32"/>
        </w:rPr>
        <w:fldChar w:fldCharType="end"/>
      </w:r>
      <w:r>
        <w:rPr>
          <w:rFonts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5、注重班集体的精神文明建设和第二课堂的开辟。制定班务工作</w:t>
      </w:r>
      <w:r>
        <w:fldChar w:fldCharType="begin"/>
      </w:r>
      <w:r>
        <w:instrText xml:space="preserve"> HYPERLINK "http://www.5ykj.com/Article/" \t "_blank" </w:instrText>
      </w:r>
      <w:r>
        <w:fldChar w:fldCharType="separate"/>
      </w:r>
      <w:r>
        <w:rPr>
          <w:rFonts w:ascii="仿宋" w:hAnsi="仿宋" w:eastAsia="仿宋"/>
          <w:color w:val="000000"/>
          <w:sz w:val="32"/>
          <w:szCs w:val="32"/>
        </w:rPr>
        <w:t>计划</w:t>
      </w:r>
      <w:r>
        <w:rPr>
          <w:rFonts w:ascii="仿宋" w:hAnsi="仿宋" w:eastAsia="仿宋"/>
          <w:color w:val="000000"/>
          <w:sz w:val="32"/>
          <w:szCs w:val="32"/>
        </w:rPr>
        <w:fldChar w:fldCharType="end"/>
      </w:r>
      <w:r>
        <w:rPr>
          <w:rFonts w:ascii="仿宋" w:hAnsi="仿宋" w:eastAsia="仿宋"/>
          <w:color w:val="000000"/>
          <w:sz w:val="32"/>
          <w:szCs w:val="32"/>
        </w:rPr>
        <w:t>，组织、领导班委会，指导少先队，积极开展创“三好”，争做“四有新人”和“五爱”教育等活动。做文明学生，建文明班级。</w:t>
      </w:r>
    </w:p>
    <w:p>
      <w:pPr>
        <w:ind w:firstLine="640" w:firstLineChars="200"/>
        <w:rPr>
          <w:rFonts w:ascii="仿宋" w:hAnsi="仿宋" w:eastAsia="仿宋"/>
          <w:color w:val="000000"/>
          <w:sz w:val="32"/>
          <w:szCs w:val="32"/>
        </w:rPr>
      </w:pPr>
      <w:r>
        <w:rPr>
          <w:rFonts w:ascii="仿宋" w:hAnsi="仿宋" w:eastAsia="仿宋"/>
          <w:color w:val="000000"/>
          <w:sz w:val="32"/>
          <w:szCs w:val="32"/>
        </w:rPr>
        <w:t>6、指导学生的课外活动，配合有关科任教师开展课外科技活动。</w:t>
      </w:r>
    </w:p>
    <w:p>
      <w:pPr>
        <w:ind w:firstLine="640" w:firstLineChars="200"/>
        <w:rPr>
          <w:rFonts w:ascii="仿宋" w:hAnsi="仿宋" w:eastAsia="仿宋"/>
          <w:color w:val="000000"/>
          <w:sz w:val="32"/>
          <w:szCs w:val="32"/>
        </w:rPr>
      </w:pPr>
      <w:r>
        <w:rPr>
          <w:rFonts w:ascii="仿宋" w:hAnsi="仿宋" w:eastAsia="仿宋"/>
          <w:color w:val="000000"/>
          <w:sz w:val="32"/>
          <w:szCs w:val="32"/>
        </w:rPr>
        <w:t>7、重视家访工作，采取多种形式，经常与家长交换学生的学习思想等各方面情况，以便有的放矢，有针对性地对学生进行教育。</w:t>
      </w:r>
    </w:p>
    <w:p>
      <w:pPr>
        <w:ind w:firstLine="640" w:firstLineChars="200"/>
        <w:rPr>
          <w:rFonts w:ascii="仿宋" w:hAnsi="仿宋" w:eastAsia="仿宋"/>
          <w:color w:val="000000"/>
          <w:sz w:val="32"/>
          <w:szCs w:val="32"/>
        </w:rPr>
      </w:pPr>
      <w:r>
        <w:rPr>
          <w:rFonts w:ascii="仿宋" w:hAnsi="仿宋" w:eastAsia="仿宋"/>
          <w:color w:val="000000"/>
          <w:sz w:val="32"/>
          <w:szCs w:val="32"/>
        </w:rPr>
        <w:t>8、负责本班公共财物的管理，赔偿工作，安全工作，教育学生节约电、煤，并遵守纪律。</w:t>
      </w:r>
    </w:p>
    <w:p>
      <w:pPr>
        <w:ind w:firstLine="640" w:firstLineChars="200"/>
        <w:rPr>
          <w:rFonts w:ascii="仿宋" w:hAnsi="仿宋" w:eastAsia="仿宋"/>
          <w:color w:val="000000"/>
          <w:sz w:val="32"/>
          <w:szCs w:val="32"/>
        </w:rPr>
      </w:pPr>
      <w:r>
        <w:rPr>
          <w:rFonts w:ascii="仿宋" w:hAnsi="仿宋" w:eastAsia="仿宋"/>
          <w:color w:val="000000"/>
          <w:sz w:val="32"/>
          <w:szCs w:val="32"/>
        </w:rPr>
        <w:t>9、全面客观地、认真负责地做好学生的操行评语和</w:t>
      </w:r>
      <w:r>
        <w:fldChar w:fldCharType="begin"/>
      </w:r>
      <w:r>
        <w:instrText xml:space="preserve"> HYPERLINK "http://home.5ykj.com/mnkc/" \t "_blank" </w:instrText>
      </w:r>
      <w:r>
        <w:fldChar w:fldCharType="separate"/>
      </w:r>
      <w:r>
        <w:rPr>
          <w:rFonts w:ascii="仿宋" w:hAnsi="仿宋" w:eastAsia="仿宋"/>
          <w:color w:val="000000"/>
          <w:sz w:val="32"/>
          <w:szCs w:val="32"/>
        </w:rPr>
        <w:t>成绩</w:t>
      </w:r>
      <w:r>
        <w:rPr>
          <w:rFonts w:ascii="仿宋" w:hAnsi="仿宋" w:eastAsia="仿宋"/>
          <w:color w:val="000000"/>
          <w:sz w:val="32"/>
          <w:szCs w:val="32"/>
        </w:rPr>
        <w:fldChar w:fldCharType="end"/>
      </w:r>
      <w:r>
        <w:rPr>
          <w:rFonts w:ascii="仿宋" w:hAnsi="仿宋" w:eastAsia="仿宋"/>
          <w:color w:val="000000"/>
          <w:sz w:val="32"/>
          <w:szCs w:val="32"/>
        </w:rPr>
        <w:t>填写工作。及时、准确地建立和填写好学生档案。并妥善保管</w:t>
      </w:r>
      <w:r>
        <w:rPr>
          <w:rFonts w:hint="eastAsia"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任课教师职责</w:t>
      </w:r>
    </w:p>
    <w:p>
      <w:pPr>
        <w:ind w:firstLine="640" w:firstLineChars="200"/>
        <w:rPr>
          <w:rFonts w:ascii="仿宋" w:hAnsi="仿宋" w:eastAsia="仿宋"/>
          <w:color w:val="000000"/>
          <w:sz w:val="32"/>
          <w:szCs w:val="32"/>
        </w:rPr>
      </w:pPr>
      <w:r>
        <w:rPr>
          <w:rFonts w:ascii="仿宋" w:hAnsi="仿宋" w:eastAsia="仿宋"/>
          <w:color w:val="000000"/>
          <w:sz w:val="32"/>
          <w:szCs w:val="32"/>
        </w:rPr>
        <w:t>教师的根本任务是把学生教好。对教师的基本要求是:以身作则，努力学习，爱护学生，教好功课。</w:t>
      </w:r>
    </w:p>
    <w:p>
      <w:pPr>
        <w:ind w:firstLine="640" w:firstLineChars="200"/>
        <w:rPr>
          <w:rFonts w:ascii="仿宋" w:hAnsi="仿宋" w:eastAsia="仿宋"/>
          <w:color w:val="000000"/>
          <w:sz w:val="32"/>
          <w:szCs w:val="32"/>
        </w:rPr>
      </w:pPr>
      <w:r>
        <w:rPr>
          <w:rFonts w:ascii="仿宋" w:hAnsi="仿宋" w:eastAsia="仿宋"/>
          <w:color w:val="000000"/>
          <w:sz w:val="32"/>
          <w:szCs w:val="32"/>
        </w:rPr>
        <w:t>1、认真备课、上课</w:t>
      </w:r>
    </w:p>
    <w:p>
      <w:pPr>
        <w:ind w:firstLine="640" w:firstLineChars="200"/>
        <w:rPr>
          <w:rFonts w:ascii="仿宋" w:hAnsi="仿宋" w:eastAsia="仿宋"/>
          <w:color w:val="000000"/>
          <w:sz w:val="32"/>
          <w:szCs w:val="32"/>
        </w:rPr>
      </w:pPr>
      <w:r>
        <w:rPr>
          <w:rFonts w:ascii="仿宋" w:hAnsi="仿宋" w:eastAsia="仿宋"/>
          <w:color w:val="000000"/>
          <w:sz w:val="32"/>
          <w:szCs w:val="32"/>
        </w:rPr>
        <w:t>(1)要熟悉教学大纲，教科书，了解学生的知识基础，备好课。</w:t>
      </w:r>
    </w:p>
    <w:p>
      <w:pPr>
        <w:ind w:firstLine="640" w:firstLineChars="200"/>
        <w:rPr>
          <w:rFonts w:ascii="仿宋" w:hAnsi="仿宋" w:eastAsia="仿宋"/>
          <w:color w:val="000000"/>
          <w:sz w:val="32"/>
          <w:szCs w:val="32"/>
        </w:rPr>
      </w:pPr>
      <w:r>
        <w:rPr>
          <w:rFonts w:ascii="仿宋" w:hAnsi="仿宋" w:eastAsia="仿宋"/>
          <w:color w:val="000000"/>
          <w:sz w:val="32"/>
          <w:szCs w:val="32"/>
        </w:rPr>
        <w:t>(2)加强对学生的学习目的教育，调动学生学习积极性，搞好课堂纪律。</w:t>
      </w:r>
    </w:p>
    <w:p>
      <w:pPr>
        <w:ind w:firstLine="640" w:firstLineChars="200"/>
        <w:rPr>
          <w:rFonts w:ascii="仿宋" w:hAnsi="仿宋" w:eastAsia="仿宋"/>
          <w:color w:val="000000"/>
          <w:sz w:val="32"/>
          <w:szCs w:val="32"/>
        </w:rPr>
      </w:pPr>
      <w:r>
        <w:rPr>
          <w:rFonts w:ascii="仿宋" w:hAnsi="仿宋" w:eastAsia="仿宋"/>
          <w:color w:val="000000"/>
          <w:sz w:val="32"/>
          <w:szCs w:val="32"/>
        </w:rPr>
        <w:t>(3)认真组织好课堂教学，不断改进教学方法，充分利用45分钟，保质、保量地完成课程标准规定应传授的知识和应培养的能力。</w:t>
      </w:r>
    </w:p>
    <w:p>
      <w:pPr>
        <w:ind w:firstLine="640" w:firstLineChars="200"/>
        <w:rPr>
          <w:rFonts w:ascii="仿宋" w:hAnsi="仿宋" w:eastAsia="仿宋"/>
          <w:color w:val="000000"/>
          <w:sz w:val="32"/>
          <w:szCs w:val="32"/>
        </w:rPr>
      </w:pPr>
      <w:r>
        <w:rPr>
          <w:rFonts w:ascii="仿宋" w:hAnsi="仿宋" w:eastAsia="仿宋"/>
          <w:color w:val="000000"/>
          <w:sz w:val="32"/>
          <w:szCs w:val="32"/>
        </w:rPr>
        <w:t>(4)结合教材，有机地对学生进行思想教育，注意学生的卫生习惯，保护学生视力。</w:t>
      </w:r>
    </w:p>
    <w:p>
      <w:pPr>
        <w:ind w:firstLine="640" w:firstLineChars="200"/>
        <w:rPr>
          <w:rFonts w:ascii="仿宋" w:hAnsi="仿宋" w:eastAsia="仿宋"/>
          <w:color w:val="000000"/>
          <w:sz w:val="32"/>
          <w:szCs w:val="32"/>
        </w:rPr>
      </w:pPr>
      <w:r>
        <w:rPr>
          <w:rFonts w:ascii="仿宋" w:hAnsi="仿宋" w:eastAsia="仿宋"/>
          <w:color w:val="000000"/>
          <w:sz w:val="32"/>
          <w:szCs w:val="32"/>
        </w:rPr>
        <w:t>(5)指导学生改进学习方法，培养良好的学习习惯。</w:t>
      </w:r>
    </w:p>
    <w:p>
      <w:pPr>
        <w:ind w:firstLine="640" w:firstLineChars="200"/>
        <w:rPr>
          <w:rFonts w:ascii="仿宋" w:hAnsi="仿宋" w:eastAsia="仿宋"/>
          <w:color w:val="000000"/>
          <w:sz w:val="32"/>
          <w:szCs w:val="32"/>
        </w:rPr>
      </w:pPr>
      <w:r>
        <w:rPr>
          <w:rFonts w:ascii="仿宋" w:hAnsi="仿宋" w:eastAsia="仿宋"/>
          <w:color w:val="000000"/>
          <w:sz w:val="32"/>
          <w:szCs w:val="32"/>
        </w:rPr>
        <w:t>(6)搞好测验、</w:t>
      </w:r>
      <w:r>
        <w:fldChar w:fldCharType="begin"/>
      </w:r>
      <w:r>
        <w:instrText xml:space="preserve"> HYPERLINK "http://home.5ykj.com/mnkc/" \t "_blank" </w:instrText>
      </w:r>
      <w:r>
        <w:fldChar w:fldCharType="separate"/>
      </w:r>
      <w:r>
        <w:rPr>
          <w:rFonts w:ascii="仿宋" w:hAnsi="仿宋" w:eastAsia="仿宋"/>
          <w:color w:val="000000"/>
          <w:sz w:val="32"/>
          <w:szCs w:val="32"/>
        </w:rPr>
        <w:t>考试</w:t>
      </w:r>
      <w:r>
        <w:rPr>
          <w:rFonts w:ascii="仿宋" w:hAnsi="仿宋" w:eastAsia="仿宋"/>
          <w:color w:val="000000"/>
          <w:sz w:val="32"/>
          <w:szCs w:val="32"/>
        </w:rPr>
        <w:fldChar w:fldCharType="end"/>
      </w:r>
      <w:r>
        <w:rPr>
          <w:rFonts w:ascii="仿宋" w:hAnsi="仿宋" w:eastAsia="仿宋"/>
          <w:color w:val="000000"/>
          <w:sz w:val="32"/>
          <w:szCs w:val="32"/>
        </w:rPr>
        <w:t>，做到份量恰当，命题确切，要求严格。</w:t>
      </w:r>
    </w:p>
    <w:p>
      <w:pPr>
        <w:ind w:firstLine="640" w:firstLineChars="200"/>
        <w:rPr>
          <w:rFonts w:ascii="仿宋" w:hAnsi="仿宋" w:eastAsia="仿宋"/>
          <w:color w:val="000000"/>
          <w:sz w:val="32"/>
          <w:szCs w:val="32"/>
        </w:rPr>
      </w:pPr>
      <w:r>
        <w:rPr>
          <w:rFonts w:ascii="仿宋" w:hAnsi="仿宋" w:eastAsia="仿宋"/>
          <w:color w:val="000000"/>
          <w:sz w:val="32"/>
          <w:szCs w:val="32"/>
        </w:rPr>
        <w:t>2、认真批改、</w:t>
      </w:r>
      <w:r>
        <w:fldChar w:fldCharType="begin"/>
      </w:r>
      <w:r>
        <w:instrText xml:space="preserve"> HYPERLINK "http://zw.5ykj.com/" \t "_blank" </w:instrText>
      </w:r>
      <w:r>
        <w:fldChar w:fldCharType="separate"/>
      </w:r>
      <w:r>
        <w:rPr>
          <w:rFonts w:ascii="仿宋" w:hAnsi="仿宋" w:eastAsia="仿宋"/>
          <w:color w:val="000000"/>
          <w:sz w:val="32"/>
          <w:szCs w:val="32"/>
        </w:rPr>
        <w:t>辅导</w:t>
      </w:r>
      <w:r>
        <w:rPr>
          <w:rFonts w:ascii="仿宋" w:hAnsi="仿宋" w:eastAsia="仿宋"/>
          <w:color w:val="000000"/>
          <w:sz w:val="32"/>
          <w:szCs w:val="32"/>
        </w:rPr>
        <w:fldChar w:fldCharType="end"/>
      </w:r>
    </w:p>
    <w:p>
      <w:pPr>
        <w:ind w:firstLine="640" w:firstLineChars="200"/>
        <w:rPr>
          <w:rFonts w:ascii="仿宋" w:hAnsi="仿宋" w:eastAsia="仿宋"/>
          <w:color w:val="000000"/>
          <w:sz w:val="32"/>
          <w:szCs w:val="32"/>
        </w:rPr>
      </w:pPr>
      <w:r>
        <w:rPr>
          <w:rFonts w:ascii="仿宋" w:hAnsi="仿宋" w:eastAsia="仿宋"/>
          <w:color w:val="000000"/>
          <w:sz w:val="32"/>
          <w:szCs w:val="32"/>
        </w:rPr>
        <w:t>(1)根据教学要求和学生实际，精心布置作业，并及时收发。批改要讲求实效，搞好讲评，引导学生及时订正错误，扎扎实实地学好每项知识。</w:t>
      </w:r>
    </w:p>
    <w:p>
      <w:pPr>
        <w:ind w:firstLine="640" w:firstLineChars="200"/>
        <w:rPr>
          <w:rFonts w:ascii="仿宋" w:hAnsi="仿宋" w:eastAsia="仿宋"/>
          <w:color w:val="000000"/>
          <w:sz w:val="32"/>
          <w:szCs w:val="32"/>
        </w:rPr>
      </w:pPr>
      <w:r>
        <w:rPr>
          <w:rFonts w:ascii="仿宋" w:hAnsi="仿宋" w:eastAsia="仿宋"/>
          <w:color w:val="000000"/>
          <w:sz w:val="32"/>
          <w:szCs w:val="32"/>
        </w:rPr>
        <w:t>(2)要因材施教。对中下学生要热情</w:t>
      </w:r>
      <w:r>
        <w:fldChar w:fldCharType="begin"/>
      </w:r>
      <w:r>
        <w:instrText xml:space="preserve"> HYPERLINK "http://zw.5ykj.com/" \t "_blank" </w:instrText>
      </w:r>
      <w:r>
        <w:fldChar w:fldCharType="separate"/>
      </w:r>
      <w:r>
        <w:rPr>
          <w:rFonts w:ascii="仿宋" w:hAnsi="仿宋" w:eastAsia="仿宋"/>
          <w:color w:val="000000"/>
          <w:sz w:val="32"/>
          <w:szCs w:val="32"/>
        </w:rPr>
        <w:t>辅导</w:t>
      </w:r>
      <w:r>
        <w:rPr>
          <w:rFonts w:ascii="仿宋" w:hAnsi="仿宋" w:eastAsia="仿宋"/>
          <w:color w:val="000000"/>
          <w:sz w:val="32"/>
          <w:szCs w:val="32"/>
        </w:rPr>
        <w:fldChar w:fldCharType="end"/>
      </w:r>
      <w:r>
        <w:rPr>
          <w:rFonts w:ascii="仿宋" w:hAnsi="仿宋" w:eastAsia="仿宋"/>
          <w:color w:val="000000"/>
          <w:sz w:val="32"/>
          <w:szCs w:val="32"/>
        </w:rPr>
        <w:t>，尽量帮助他们跟上班级。对成绩优秀的学生，要帮助他们进一步学好，发挥其特长。</w:t>
      </w:r>
    </w:p>
    <w:p>
      <w:pPr>
        <w:ind w:firstLine="640" w:firstLineChars="200"/>
        <w:rPr>
          <w:rFonts w:ascii="仿宋" w:hAnsi="仿宋" w:eastAsia="仿宋"/>
          <w:color w:val="000000"/>
          <w:sz w:val="32"/>
          <w:szCs w:val="32"/>
        </w:rPr>
      </w:pPr>
      <w:r>
        <w:rPr>
          <w:rFonts w:ascii="仿宋" w:hAnsi="仿宋" w:eastAsia="仿宋"/>
          <w:color w:val="000000"/>
          <w:sz w:val="32"/>
          <w:szCs w:val="32"/>
        </w:rPr>
        <w:t>(3)积极创造条件，开展多样化的课外活动，提高学生学习兴趣，开拓知识眼界，培养有关技能技巧。</w:t>
      </w:r>
    </w:p>
    <w:p>
      <w:pPr>
        <w:ind w:firstLine="640" w:firstLineChars="200"/>
        <w:rPr>
          <w:rFonts w:ascii="仿宋" w:hAnsi="仿宋" w:eastAsia="仿宋"/>
          <w:color w:val="000000"/>
          <w:sz w:val="32"/>
          <w:szCs w:val="32"/>
        </w:rPr>
      </w:pPr>
      <w:r>
        <w:rPr>
          <w:rFonts w:ascii="仿宋" w:hAnsi="仿宋" w:eastAsia="仿宋"/>
          <w:color w:val="000000"/>
          <w:sz w:val="32"/>
          <w:szCs w:val="32"/>
        </w:rPr>
        <w:t>3、体育、音乐、美术教师，还应组织和辅导学生开展课外体育、文娱、美术活动，搞好运动队训练和竞赛工作，搞好文艺队、美工组的工作。</w:t>
      </w:r>
    </w:p>
    <w:p>
      <w:pPr>
        <w:ind w:firstLine="640" w:firstLineChars="200"/>
        <w:rPr>
          <w:rFonts w:ascii="仿宋" w:hAnsi="仿宋" w:eastAsia="仿宋"/>
          <w:color w:val="000000"/>
          <w:sz w:val="32"/>
          <w:szCs w:val="32"/>
        </w:rPr>
      </w:pPr>
      <w:r>
        <w:rPr>
          <w:rFonts w:ascii="仿宋" w:hAnsi="仿宋" w:eastAsia="仿宋"/>
          <w:color w:val="000000"/>
          <w:sz w:val="32"/>
          <w:szCs w:val="32"/>
        </w:rPr>
        <w:t>图书保管员职责</w:t>
      </w:r>
    </w:p>
    <w:p>
      <w:pPr>
        <w:ind w:firstLine="640" w:firstLineChars="200"/>
        <w:rPr>
          <w:rFonts w:ascii="仿宋" w:hAnsi="仿宋" w:eastAsia="仿宋"/>
          <w:color w:val="000000"/>
          <w:sz w:val="32"/>
          <w:szCs w:val="32"/>
        </w:rPr>
      </w:pPr>
      <w:r>
        <w:rPr>
          <w:rFonts w:ascii="仿宋" w:hAnsi="仿宋" w:eastAsia="仿宋"/>
          <w:color w:val="000000"/>
          <w:sz w:val="32"/>
          <w:szCs w:val="32"/>
        </w:rPr>
        <w:t>1、严格执行图书馆、阅览室的规章制度。</w:t>
      </w:r>
    </w:p>
    <w:p>
      <w:pPr>
        <w:ind w:firstLine="640" w:firstLineChars="200"/>
        <w:rPr>
          <w:rFonts w:ascii="仿宋" w:hAnsi="仿宋" w:eastAsia="仿宋"/>
          <w:color w:val="000000"/>
          <w:sz w:val="32"/>
          <w:szCs w:val="32"/>
        </w:rPr>
      </w:pPr>
      <w:r>
        <w:rPr>
          <w:rFonts w:ascii="仿宋" w:hAnsi="仿宋" w:eastAsia="仿宋"/>
          <w:color w:val="000000"/>
          <w:sz w:val="32"/>
          <w:szCs w:val="32"/>
        </w:rPr>
        <w:t>2、掌握新书出版信息，添购书籍、充实书库。</w:t>
      </w:r>
    </w:p>
    <w:p>
      <w:pPr>
        <w:ind w:firstLine="640" w:firstLineChars="200"/>
        <w:rPr>
          <w:rFonts w:ascii="仿宋" w:hAnsi="仿宋" w:eastAsia="仿宋"/>
          <w:color w:val="000000"/>
          <w:sz w:val="32"/>
          <w:szCs w:val="32"/>
        </w:rPr>
      </w:pPr>
      <w:r>
        <w:rPr>
          <w:rFonts w:ascii="仿宋" w:hAnsi="仿宋" w:eastAsia="仿宋"/>
          <w:color w:val="000000"/>
          <w:sz w:val="32"/>
          <w:szCs w:val="32"/>
        </w:rPr>
        <w:t>3、新书买到后，及时进行分类编目，尽快介绍出借。</w:t>
      </w:r>
    </w:p>
    <w:p>
      <w:pPr>
        <w:ind w:firstLine="640" w:firstLineChars="200"/>
        <w:rPr>
          <w:rFonts w:ascii="仿宋" w:hAnsi="仿宋" w:eastAsia="仿宋"/>
          <w:color w:val="000000"/>
          <w:sz w:val="32"/>
          <w:szCs w:val="32"/>
        </w:rPr>
      </w:pPr>
      <w:r>
        <w:rPr>
          <w:rFonts w:ascii="仿宋" w:hAnsi="仿宋" w:eastAsia="仿宋"/>
          <w:color w:val="000000"/>
          <w:sz w:val="32"/>
          <w:szCs w:val="32"/>
        </w:rPr>
        <w:t>4、做好师生借书工作，管好学生阅览室和教师资料室。</w:t>
      </w:r>
    </w:p>
    <w:p>
      <w:pPr>
        <w:ind w:firstLine="640" w:firstLineChars="200"/>
        <w:rPr>
          <w:rFonts w:ascii="仿宋" w:hAnsi="仿宋" w:eastAsia="仿宋"/>
          <w:color w:val="000000"/>
          <w:sz w:val="32"/>
          <w:szCs w:val="32"/>
        </w:rPr>
      </w:pPr>
      <w:r>
        <w:rPr>
          <w:rFonts w:ascii="仿宋" w:hAnsi="仿宋" w:eastAsia="仿宋"/>
          <w:color w:val="000000"/>
          <w:sz w:val="32"/>
          <w:szCs w:val="32"/>
        </w:rPr>
        <w:t>5、及时做好书报订阅收发工作，月底、年底做好报纸杂志装订保管工作。</w:t>
      </w:r>
    </w:p>
    <w:p>
      <w:pPr>
        <w:ind w:firstLine="640" w:firstLineChars="200"/>
        <w:rPr>
          <w:rFonts w:ascii="仿宋" w:hAnsi="仿宋" w:eastAsia="仿宋"/>
          <w:color w:val="000000"/>
          <w:sz w:val="32"/>
          <w:szCs w:val="32"/>
        </w:rPr>
      </w:pPr>
      <w:r>
        <w:rPr>
          <w:rFonts w:ascii="仿宋" w:hAnsi="仿宋" w:eastAsia="仿宋"/>
          <w:color w:val="000000"/>
          <w:sz w:val="32"/>
          <w:szCs w:val="32"/>
        </w:rPr>
        <w:t>6、经常做好书籍，报刊的介绍工作。</w:t>
      </w:r>
    </w:p>
    <w:p>
      <w:pPr>
        <w:ind w:firstLine="640" w:firstLineChars="200"/>
        <w:rPr>
          <w:rFonts w:ascii="仿宋" w:hAnsi="仿宋" w:eastAsia="仿宋"/>
          <w:color w:val="000000"/>
          <w:sz w:val="32"/>
          <w:szCs w:val="32"/>
        </w:rPr>
      </w:pPr>
      <w:r>
        <w:rPr>
          <w:rFonts w:ascii="仿宋" w:hAnsi="仿宋" w:eastAsia="仿宋"/>
          <w:color w:val="000000"/>
          <w:sz w:val="32"/>
          <w:szCs w:val="32"/>
        </w:rPr>
        <w:t>7、有关教学上的参考资料，及时送到各教研组。</w:t>
      </w:r>
    </w:p>
    <w:p>
      <w:pPr>
        <w:ind w:firstLine="640" w:firstLineChars="200"/>
        <w:rPr>
          <w:rFonts w:ascii="仿宋" w:hAnsi="仿宋" w:eastAsia="仿宋"/>
          <w:color w:val="000000"/>
          <w:sz w:val="32"/>
          <w:szCs w:val="32"/>
        </w:rPr>
      </w:pPr>
      <w:r>
        <w:rPr>
          <w:rFonts w:ascii="仿宋" w:hAnsi="仿宋" w:eastAsia="仿宋"/>
          <w:color w:val="000000"/>
          <w:sz w:val="32"/>
          <w:szCs w:val="32"/>
        </w:rPr>
        <w:t>8、进行爱护书籍的宣传教育，做好图书的防潮、防虫蛀的工作和图书修补工作。</w:t>
      </w:r>
    </w:p>
    <w:p>
      <w:pPr>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rPr>
        <w:t>9、保持图书馆阅览室的清洁卫生和良好的纪律秩序。</w:t>
      </w:r>
    </w:p>
    <w:p>
      <w:pPr>
        <w:ind w:firstLine="640" w:firstLineChars="200"/>
        <w:rPr>
          <w:rFonts w:ascii="仿宋" w:hAnsi="仿宋" w:eastAsia="仿宋"/>
          <w:color w:val="000000"/>
          <w:sz w:val="32"/>
          <w:szCs w:val="32"/>
        </w:rPr>
      </w:pPr>
      <w:r>
        <w:rPr>
          <w:rFonts w:ascii="仿宋" w:hAnsi="仿宋" w:eastAsia="仿宋"/>
          <w:color w:val="000000"/>
          <w:sz w:val="32"/>
          <w:szCs w:val="32"/>
        </w:rPr>
        <w:t>值周员职责</w:t>
      </w:r>
    </w:p>
    <w:p>
      <w:pPr>
        <w:ind w:firstLine="640" w:firstLineChars="200"/>
        <w:rPr>
          <w:rFonts w:ascii="仿宋" w:hAnsi="仿宋" w:eastAsia="仿宋"/>
          <w:color w:val="000000"/>
          <w:sz w:val="32"/>
          <w:szCs w:val="32"/>
        </w:rPr>
      </w:pPr>
      <w:r>
        <w:rPr>
          <w:rFonts w:ascii="仿宋" w:hAnsi="仿宋" w:eastAsia="仿宋"/>
          <w:color w:val="000000"/>
          <w:sz w:val="32"/>
          <w:szCs w:val="32"/>
        </w:rPr>
        <w:t>l、值周员必须提前到校，认真履行其职责。</w:t>
      </w:r>
    </w:p>
    <w:p>
      <w:pPr>
        <w:ind w:firstLine="640" w:firstLineChars="200"/>
        <w:rPr>
          <w:rFonts w:ascii="仿宋" w:hAnsi="仿宋" w:eastAsia="仿宋"/>
          <w:color w:val="000000"/>
          <w:sz w:val="32"/>
          <w:szCs w:val="32"/>
        </w:rPr>
      </w:pPr>
      <w:r>
        <w:rPr>
          <w:rFonts w:ascii="仿宋" w:hAnsi="仿宋" w:eastAsia="仿宋"/>
          <w:color w:val="000000"/>
          <w:sz w:val="32"/>
          <w:szCs w:val="32"/>
        </w:rPr>
        <w:t>2、负责组织好升降国旗仪式。</w:t>
      </w:r>
    </w:p>
    <w:p>
      <w:pPr>
        <w:ind w:firstLine="640" w:firstLineChars="200"/>
        <w:rPr>
          <w:rFonts w:ascii="仿宋" w:hAnsi="仿宋" w:eastAsia="仿宋"/>
          <w:color w:val="000000"/>
          <w:sz w:val="32"/>
          <w:szCs w:val="32"/>
        </w:rPr>
      </w:pPr>
      <w:r>
        <w:rPr>
          <w:rFonts w:ascii="仿宋" w:hAnsi="仿宋" w:eastAsia="仿宋"/>
          <w:color w:val="000000"/>
          <w:sz w:val="32"/>
          <w:szCs w:val="32"/>
        </w:rPr>
        <w:t>3、掌握当天的作息时间。</w:t>
      </w:r>
    </w:p>
    <w:p>
      <w:pPr>
        <w:ind w:firstLine="640" w:firstLineChars="200"/>
        <w:rPr>
          <w:rFonts w:ascii="仿宋" w:hAnsi="仿宋" w:eastAsia="仿宋"/>
          <w:color w:val="000000"/>
          <w:sz w:val="32"/>
          <w:szCs w:val="32"/>
        </w:rPr>
      </w:pPr>
      <w:r>
        <w:rPr>
          <w:rFonts w:ascii="仿宋" w:hAnsi="仿宋" w:eastAsia="仿宋"/>
          <w:color w:val="000000"/>
          <w:sz w:val="32"/>
          <w:szCs w:val="32"/>
        </w:rPr>
        <w:t>4、认真详细的填写好学校日志，检查教室日志的填写情况。</w:t>
      </w:r>
    </w:p>
    <w:p>
      <w:pPr>
        <w:ind w:firstLine="640" w:firstLineChars="200"/>
        <w:rPr>
          <w:rFonts w:ascii="仿宋" w:hAnsi="仿宋" w:eastAsia="仿宋"/>
          <w:color w:val="000000"/>
          <w:sz w:val="32"/>
          <w:szCs w:val="32"/>
        </w:rPr>
      </w:pPr>
      <w:r>
        <w:rPr>
          <w:rFonts w:ascii="仿宋" w:hAnsi="仿宋" w:eastAsia="仿宋"/>
          <w:color w:val="000000"/>
          <w:sz w:val="32"/>
          <w:szCs w:val="32"/>
        </w:rPr>
        <w:t>5、负责处理好学校偶发事件。</w:t>
      </w:r>
    </w:p>
    <w:p>
      <w:pPr>
        <w:ind w:firstLine="640" w:firstLineChars="200"/>
        <w:rPr>
          <w:rFonts w:ascii="仿宋" w:hAnsi="仿宋" w:eastAsia="仿宋"/>
          <w:color w:val="000000"/>
          <w:sz w:val="32"/>
          <w:szCs w:val="32"/>
        </w:rPr>
      </w:pPr>
      <w:r>
        <w:rPr>
          <w:rFonts w:ascii="仿宋" w:hAnsi="仿宋" w:eastAsia="仿宋"/>
          <w:color w:val="000000"/>
          <w:sz w:val="32"/>
          <w:szCs w:val="32"/>
        </w:rPr>
        <w:t>6、接待当天来宾或不定期来访家长。</w:t>
      </w:r>
    </w:p>
    <w:p>
      <w:pPr>
        <w:ind w:firstLine="640" w:firstLineChars="200"/>
        <w:rPr>
          <w:rFonts w:ascii="仿宋" w:hAnsi="仿宋" w:eastAsia="仿宋"/>
          <w:color w:val="000000"/>
          <w:sz w:val="32"/>
          <w:szCs w:val="32"/>
        </w:rPr>
      </w:pPr>
      <w:r>
        <w:rPr>
          <w:rFonts w:ascii="仿宋" w:hAnsi="仿宋" w:eastAsia="仿宋"/>
          <w:color w:val="000000"/>
          <w:sz w:val="32"/>
          <w:szCs w:val="32"/>
        </w:rPr>
        <w:t>7、检查督促校舍、门窗封锁、开关校门，注意安全。</w:t>
      </w:r>
    </w:p>
    <w:p>
      <w:pPr>
        <w:ind w:firstLine="640" w:firstLineChars="200"/>
        <w:rPr>
          <w:rFonts w:ascii="仿宋" w:hAnsi="仿宋" w:eastAsia="仿宋"/>
          <w:color w:val="000000"/>
          <w:sz w:val="32"/>
          <w:szCs w:val="32"/>
        </w:rPr>
      </w:pPr>
      <w:r>
        <w:rPr>
          <w:rFonts w:ascii="仿宋" w:hAnsi="仿宋" w:eastAsia="仿宋"/>
          <w:color w:val="000000"/>
          <w:sz w:val="32"/>
          <w:szCs w:val="32"/>
        </w:rPr>
        <w:t>8、负责检查各班环境卫生和个人卫生。</w:t>
      </w:r>
    </w:p>
    <w:p>
      <w:pPr>
        <w:ind w:firstLine="640" w:firstLineChars="200"/>
        <w:rPr>
          <w:rFonts w:ascii="仿宋" w:hAnsi="仿宋" w:eastAsia="仿宋"/>
          <w:color w:val="000000"/>
          <w:sz w:val="32"/>
          <w:szCs w:val="32"/>
        </w:rPr>
      </w:pPr>
      <w:r>
        <w:rPr>
          <w:rFonts w:ascii="仿宋" w:hAnsi="仿宋" w:eastAsia="仿宋"/>
          <w:color w:val="000000"/>
          <w:sz w:val="32"/>
          <w:szCs w:val="32"/>
        </w:rPr>
        <w:t>9、组织当天中午、下午学生放学。</w:t>
      </w:r>
    </w:p>
    <w:p>
      <w:pPr>
        <w:ind w:firstLine="640" w:firstLineChars="200"/>
        <w:rPr>
          <w:rFonts w:ascii="仿宋" w:hAnsi="仿宋" w:eastAsia="仿宋"/>
          <w:color w:val="000000"/>
          <w:sz w:val="32"/>
          <w:szCs w:val="32"/>
        </w:rPr>
      </w:pPr>
      <w:r>
        <w:rPr>
          <w:rFonts w:ascii="仿宋" w:hAnsi="仿宋" w:eastAsia="仿宋"/>
          <w:color w:val="000000"/>
          <w:sz w:val="32"/>
          <w:szCs w:val="32"/>
        </w:rPr>
        <w:t>10、值周教师全权负责好学校—切财产安全，因不住校，失职等损失的财产，由值周人员全部按价赔偿。</w:t>
      </w:r>
    </w:p>
    <w:p>
      <w:pPr>
        <w:ind w:firstLine="640" w:firstLineChars="200"/>
        <w:rPr>
          <w:rFonts w:ascii="仿宋" w:hAnsi="仿宋" w:eastAsia="仿宋"/>
          <w:color w:val="000000"/>
          <w:sz w:val="32"/>
          <w:szCs w:val="32"/>
        </w:rPr>
      </w:pPr>
      <w:r>
        <w:rPr>
          <w:rFonts w:ascii="仿宋" w:hAnsi="仿宋" w:eastAsia="仿宋"/>
          <w:color w:val="000000"/>
          <w:sz w:val="32"/>
          <w:szCs w:val="32"/>
        </w:rPr>
        <w:t>1l、掌握各班学习、纪律、课间操等情况，</w:t>
      </w:r>
      <w:r>
        <w:rPr>
          <w:rFonts w:ascii="仿宋" w:eastAsia="仿宋"/>
          <w:color w:val="000000"/>
          <w:sz w:val="32"/>
          <w:szCs w:val="32"/>
        </w:rPr>
        <w:t> </w:t>
      </w:r>
      <w:r>
        <w:rPr>
          <w:rFonts w:ascii="仿宋" w:hAnsi="仿宋" w:eastAsia="仿宋"/>
          <w:color w:val="000000"/>
          <w:sz w:val="32"/>
          <w:szCs w:val="32"/>
        </w:rPr>
        <w:t xml:space="preserve"> 向领导汇报特殊情况和典型事件。</w:t>
      </w:r>
    </w:p>
    <w:p>
      <w:pPr>
        <w:snapToGrid w:val="0"/>
        <w:spacing w:line="520" w:lineRule="exact"/>
        <w:ind w:firstLine="640" w:firstLineChars="200"/>
        <w:rPr>
          <w:rFonts w:ascii="仿宋" w:hAnsi="仿宋" w:eastAsia="仿宋"/>
          <w:sz w:val="32"/>
          <w:szCs w:val="32"/>
        </w:rPr>
      </w:pPr>
      <w:r>
        <w:rPr>
          <w:rFonts w:ascii="仿宋" w:hAnsi="仿宋" w:eastAsia="仿宋"/>
          <w:color w:val="000000"/>
          <w:sz w:val="32"/>
          <w:szCs w:val="32"/>
        </w:rPr>
        <w:t>12、交清或接清责任和手续。</w:t>
      </w:r>
    </w:p>
    <w:p>
      <w:pPr>
        <w:pStyle w:val="2"/>
        <w:adjustRightInd w:val="0"/>
        <w:snapToGrid w:val="0"/>
        <w:spacing w:before="93" w:line="600" w:lineRule="exact"/>
        <w:ind w:firstLine="672" w:firstLineChars="210"/>
        <w:outlineLvl w:val="2"/>
        <w:rPr>
          <w:rFonts w:ascii="仿宋" w:hAnsi="仿宋" w:eastAsia="仿宋"/>
          <w:bCs/>
          <w:color w:val="000000"/>
          <w:sz w:val="32"/>
          <w:szCs w:val="32"/>
        </w:rPr>
      </w:pPr>
      <w:bookmarkStart w:id="11" w:name="_Toc425304354"/>
      <w:bookmarkStart w:id="12" w:name="_Toc85903006"/>
      <w:bookmarkStart w:id="13" w:name="_Toc5838"/>
      <w:r>
        <w:rPr>
          <w:rFonts w:hint="eastAsia" w:ascii="仿宋" w:hAnsi="仿宋" w:eastAsia="仿宋"/>
          <w:bCs/>
          <w:color w:val="000000"/>
          <w:sz w:val="32"/>
          <w:szCs w:val="32"/>
        </w:rPr>
        <w:t>（二）</w:t>
      </w:r>
      <w:r>
        <w:rPr>
          <w:rFonts w:hint="eastAsia" w:ascii="仿宋" w:hAnsi="仿宋" w:eastAsia="仿宋"/>
          <w:bCs/>
          <w:color w:val="000000"/>
          <w:sz w:val="32"/>
          <w:szCs w:val="32"/>
          <w:lang w:val="en-US" w:eastAsia="zh-CN"/>
        </w:rPr>
        <w:t>本年度</w:t>
      </w:r>
      <w:r>
        <w:rPr>
          <w:rFonts w:hint="eastAsia" w:ascii="仿宋" w:hAnsi="仿宋" w:eastAsia="仿宋"/>
          <w:bCs/>
          <w:color w:val="000000"/>
          <w:sz w:val="32"/>
          <w:szCs w:val="32"/>
        </w:rPr>
        <w:t>重点工作完成情况。</w:t>
      </w:r>
      <w:bookmarkEnd w:id="11"/>
      <w:bookmarkEnd w:id="12"/>
      <w:bookmarkEnd w:id="13"/>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一、指导思想</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以“以人为本，狠抓常规，规范发展，提高质量”为工作思路，牢固树立和全面落实科学发展观，重点抓好教师师德、学校德育、教学质量、三方面工作，使他们相辅相成，努力做到“教师发展，学生发展，学校发展”，真正办</w:t>
      </w:r>
      <w:r>
        <w:rPr>
          <w:rFonts w:hint="eastAsia" w:ascii="仿宋" w:hAnsi="仿宋" w:eastAsia="仿宋"/>
          <w:color w:val="000000"/>
          <w:sz w:val="32"/>
          <w:szCs w:val="32"/>
          <w:lang w:eastAsia="zh-CN"/>
        </w:rPr>
        <w:t>好</w:t>
      </w:r>
      <w:r>
        <w:rPr>
          <w:rFonts w:hint="eastAsia" w:ascii="仿宋" w:hAnsi="仿宋" w:eastAsia="仿宋"/>
          <w:color w:val="000000"/>
          <w:sz w:val="32"/>
          <w:szCs w:val="32"/>
        </w:rPr>
        <w:t>一所群众满意的优秀学校。</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工作目标</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1、实施师表形象工程，继续弘扬勤思、敬业、奉献、争先的精神，努力建设一支师德高尚、业务精良的教师队伍。学年末拟评选2-3名师德标兵。</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2、加强校本教研，发挥中心教研组的指导和骨干教师的引领作用，促进教师业务水平的再提高。</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3、开展德育教育活动，陶冶学生情操，激发学习兴趣。结合国庆节开展红歌会活动让每一位学生都能唱红歌，都会唱红歌，掀起爱国爱党的新高潮。</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4、把安全工作放在首位，牢固树立“安全无小事，责任重于泰山”的思想，加强师生的安全知识教育。杜绝事故隐患，确保师生安全。本学期拟搞应急演练和安全知识讲座各一次。</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5、巩固幼教成果，使幼教工作上档次。</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一、学校管理工作：</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1.宗旨：加强师德</w:t>
      </w:r>
      <w:r>
        <w:rPr>
          <w:rFonts w:hint="eastAsia" w:ascii="仿宋" w:hAnsi="仿宋" w:eastAsia="仿宋"/>
          <w:color w:val="000000"/>
          <w:sz w:val="32"/>
          <w:szCs w:val="32"/>
          <w:lang w:eastAsia="zh-CN"/>
        </w:rPr>
        <w:t>师风</w:t>
      </w:r>
      <w:r>
        <w:rPr>
          <w:rFonts w:hint="eastAsia" w:ascii="仿宋" w:hAnsi="仿宋" w:eastAsia="仿宋"/>
          <w:color w:val="000000"/>
          <w:sz w:val="32"/>
          <w:szCs w:val="32"/>
        </w:rPr>
        <w:t>建设、以人为本、依法治校、师生共进、和谐发展</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2.思路：以人为本、全员参与、集思广益、众志成城</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3.以教育局考核评估为依据完善学校的考核考评方案，在教师民主参与的基础</w:t>
      </w:r>
      <w:r>
        <w:rPr>
          <w:rFonts w:hint="eastAsia" w:ascii="仿宋" w:hAnsi="仿宋" w:eastAsia="仿宋"/>
          <w:color w:val="000000"/>
          <w:sz w:val="32"/>
          <w:szCs w:val="32"/>
          <w:lang w:eastAsia="zh-CN"/>
        </w:rPr>
        <w:t>上</w:t>
      </w:r>
      <w:r>
        <w:rPr>
          <w:rFonts w:hint="eastAsia" w:ascii="仿宋" w:hAnsi="仿宋" w:eastAsia="仿宋"/>
          <w:color w:val="000000"/>
          <w:sz w:val="32"/>
          <w:szCs w:val="32"/>
        </w:rPr>
        <w:t>不断激发教师的工作热情，激发全体教职工的使命感、责任感、危机感。</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4.学校领导班子从思想上高度重视学校管理达标工作，以精细化、制度化为切入点，不断加强日常管理，使各种管理行为规范。</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二、学校教师队伍建设：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1、干部队伍建设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加强班子建设。领导班子成员要严以律己，既要扎实工作，又要开拓创新。更要讲究实效。既要关心教职工生活，又要身先士卒，更要讲原则。要成为教师的合作者服务者，使领导与教师之间做到思想上“合心”，工作上“合力”，行动上“合拍”</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2、教师队伍建设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是加强教师队伍的政治管理、师德建设，开展师德系列活动。学高为师，德高为范。通过政治学习等形式加强师德学习，使教师团队有一种艰苦奋斗的创业精神、团结拼搏的协作精神、严谨求实的科研精神、不断进步的进取精神、不求索取的奉献精神。</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二是加强业务理论学习，增强读书学习的自觉性和主动性，把提高教师素质作为校本研训的重要内容。号召每位教师读一本好书，写好心得体会。通过网络等多种途径提高自身的文化素质。</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三是加强教育理论的学习，因为没有教育理论作基石，教师的专业发展是走不远；如果不学习就缺乏应有的教育理论素养，教师就没有审视教育现象所需要的分析工具，教师就不能从教育现象中捕捉到有价值的东西，只能从教育现象到教育现象，而不能站在理论的高度去分析、审视教育现象。要求每位教师结合自己制定的学习计划写好学习笔记，学校将定期检查。</w:t>
      </w:r>
    </w:p>
    <w:p>
      <w:pPr>
        <w:rPr>
          <w:rFonts w:hint="eastAsia"/>
        </w:rPr>
      </w:pPr>
      <w:r>
        <w:rPr>
          <w:rFonts w:hint="eastAsia" w:ascii="仿宋" w:hAnsi="仿宋" w:eastAsia="仿宋"/>
          <w:color w:val="000000"/>
          <w:sz w:val="32"/>
          <w:szCs w:val="32"/>
        </w:rPr>
        <w:t>3.加强班主任培训工作。学校最少每月进行一次培训活动把培训工作落到实处。</w:t>
      </w:r>
    </w:p>
    <w:p>
      <w:pPr>
        <w:pStyle w:val="4"/>
        <w:bidi w:val="0"/>
        <w:rPr>
          <w:rFonts w:hint="eastAsia"/>
        </w:rPr>
      </w:pPr>
      <w:bookmarkStart w:id="14" w:name="_Toc289305259"/>
      <w:r>
        <w:rPr>
          <w:rFonts w:hint="eastAsia"/>
          <w:lang w:eastAsia="zh-CN"/>
        </w:rPr>
        <w:t>二、</w:t>
      </w:r>
      <w:r>
        <w:rPr>
          <w:rFonts w:hint="eastAsia"/>
        </w:rPr>
        <w:t>机构设置</w:t>
      </w:r>
      <w:bookmarkEnd w:id="14"/>
    </w:p>
    <w:p>
      <w:pPr>
        <w:ind w:firstLine="800" w:firstLineChars="250"/>
        <w:rPr>
          <w:rFonts w:ascii="仿宋" w:hAnsi="仿宋" w:eastAsia="仿宋"/>
          <w:sz w:val="32"/>
          <w:szCs w:val="32"/>
        </w:rPr>
      </w:pPr>
      <w:r>
        <w:rPr>
          <w:rFonts w:hint="eastAsia" w:ascii="仿宋" w:hAnsi="仿宋" w:eastAsia="仿宋"/>
          <w:sz w:val="32"/>
          <w:szCs w:val="32"/>
        </w:rPr>
        <w:t>四川省阿坝州壤塘县</w:t>
      </w:r>
      <w:r>
        <w:rPr>
          <w:rFonts w:hint="eastAsia" w:ascii="仿宋" w:hAnsi="仿宋" w:eastAsia="仿宋"/>
          <w:sz w:val="32"/>
          <w:szCs w:val="32"/>
          <w:lang w:eastAsia="zh-CN"/>
        </w:rPr>
        <w:t>南木达中小学校</w:t>
      </w:r>
      <w:r>
        <w:rPr>
          <w:rFonts w:hint="eastAsia" w:ascii="仿宋" w:hAnsi="仿宋" w:eastAsia="仿宋"/>
          <w:sz w:val="32"/>
          <w:szCs w:val="32"/>
        </w:rPr>
        <w:t>下属二级单位</w:t>
      </w:r>
      <w:r>
        <w:rPr>
          <w:rFonts w:hint="eastAsia" w:ascii="仿宋" w:hAnsi="仿宋" w:eastAsia="仿宋"/>
          <w:sz w:val="32"/>
          <w:szCs w:val="32"/>
          <w:lang w:val="en-US" w:eastAsia="zh-CN"/>
        </w:rPr>
        <w:t>0</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p>
    <w:p>
      <w:pPr>
        <w:pStyle w:val="2"/>
        <w:adjustRightInd w:val="0"/>
        <w:snapToGrid w:val="0"/>
        <w:spacing w:before="93" w:line="600" w:lineRule="exact"/>
        <w:ind w:firstLine="672" w:firstLineChars="210"/>
        <w:rPr>
          <w:rFonts w:hint="eastAsia" w:ascii="仿宋" w:hAnsi="仿宋" w:eastAsia="仿宋"/>
          <w:color w:val="auto"/>
          <w:sz w:val="32"/>
          <w:szCs w:val="32"/>
          <w:highlight w:val="none"/>
          <w:lang w:eastAsia="zh-CN"/>
        </w:rPr>
      </w:pPr>
      <w:r>
        <w:rPr>
          <w:rFonts w:hint="eastAsia" w:ascii="仿宋" w:hAnsi="仿宋" w:eastAsia="仿宋"/>
          <w:color w:val="000000"/>
          <w:sz w:val="32"/>
          <w:szCs w:val="32"/>
        </w:rPr>
        <w:t>纳入四川省阿坝州壤塘县</w:t>
      </w:r>
      <w:r>
        <w:rPr>
          <w:rFonts w:hint="eastAsia" w:ascii="仿宋" w:hAnsi="仿宋" w:eastAsia="仿宋"/>
          <w:color w:val="000000"/>
          <w:sz w:val="32"/>
          <w:szCs w:val="32"/>
          <w:lang w:eastAsia="zh-CN"/>
        </w:rPr>
        <w:t>南木达中小学校2025年</w:t>
      </w:r>
      <w:r>
        <w:rPr>
          <w:rFonts w:hint="eastAsia" w:ascii="仿宋" w:hAnsi="仿宋" w:eastAsia="仿宋"/>
          <w:color w:val="000000"/>
          <w:sz w:val="32"/>
          <w:szCs w:val="32"/>
        </w:rPr>
        <w:t>度部门决算编制范围的二级预算单位</w:t>
      </w:r>
      <w:r>
        <w:rPr>
          <w:rFonts w:hint="eastAsia" w:ascii="仿宋" w:hAnsi="仿宋" w:eastAsia="仿宋"/>
          <w:color w:val="000000"/>
          <w:sz w:val="32"/>
          <w:szCs w:val="32"/>
          <w:lang w:eastAsia="zh-CN"/>
        </w:rPr>
        <w:t>无。</w:t>
      </w:r>
    </w:p>
    <w:p>
      <w:pPr>
        <w:numPr>
          <w:ilvl w:val="0"/>
          <w:numId w:val="0"/>
        </w:numPr>
        <w:rPr>
          <w:rFonts w:hint="eastAsia"/>
        </w:rPr>
      </w:pPr>
    </w:p>
    <w:p>
      <w:pPr>
        <w:pStyle w:val="3"/>
        <w:bidi w:val="0"/>
        <w:rPr>
          <w:rFonts w:hint="eastAsia"/>
        </w:rPr>
      </w:pPr>
      <w:bookmarkStart w:id="15" w:name="_Toc58522797"/>
      <w:r>
        <w:rPr>
          <w:rFonts w:hint="eastAsia"/>
        </w:rPr>
        <w:t>第二部分</w:t>
      </w:r>
      <w:r>
        <w:rPr>
          <w:rFonts w:hint="eastAsia"/>
          <w:lang w:val="en-US" w:eastAsia="zh-CN"/>
        </w:rPr>
        <w:t xml:space="preserve"> 2025年度</w:t>
      </w:r>
      <w:r>
        <w:rPr>
          <w:rFonts w:hint="eastAsia"/>
        </w:rPr>
        <w:t>部门决算情况说明</w:t>
      </w:r>
      <w:bookmarkEnd w:id="15"/>
    </w:p>
    <w:p>
      <w:pPr>
        <w:pStyle w:val="4"/>
        <w:bidi w:val="0"/>
        <w:rPr>
          <w:rFonts w:hint="eastAsia"/>
        </w:rPr>
      </w:pPr>
      <w:bookmarkStart w:id="16" w:name="_Toc1598690324"/>
      <w:r>
        <w:rPr>
          <w:rFonts w:hint="eastAsia"/>
        </w:rPr>
        <w:t>一、收入支出决算总体情况说明</w:t>
      </w:r>
      <w:bookmarkEnd w:id="16"/>
    </w:p>
    <w:p>
      <w:pPr>
        <w:keepNext w:val="0"/>
        <w:keepLines w:val="0"/>
        <w:widowControl/>
        <w:suppressLineNumbers w:val="0"/>
        <w:jc w:val="left"/>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2,763.93</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相比，收、支总计各增加</w:t>
      </w:r>
      <w:r>
        <w:rPr>
          <w:rFonts w:hint="eastAsia" w:ascii="仿宋" w:hAnsi="仿宋" w:eastAsia="仿宋"/>
          <w:color w:val="auto"/>
          <w:sz w:val="32"/>
          <w:szCs w:val="32"/>
          <w:highlight w:val="none"/>
          <w:lang w:val="en-US" w:eastAsia="zh-CN"/>
        </w:rPr>
        <w:t>622.97</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29.1</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r>
        <w:rPr>
          <w:rFonts w:hint="eastAsia" w:ascii="仿宋" w:hAnsi="仿宋" w:eastAsia="仿宋"/>
          <w:color w:val="auto"/>
          <w:sz w:val="32"/>
          <w:szCs w:val="32"/>
          <w:highlight w:val="none"/>
          <w:lang w:eastAsia="zh-CN"/>
        </w:rPr>
        <w:t>。</w:t>
      </w:r>
    </w:p>
    <w:p>
      <w:pPr>
        <w:pStyle w:val="2"/>
        <w:jc w:val="center"/>
      </w:pPr>
      <w:r>
        <w:drawing>
          <wp:inline distT="0" distB="0" distL="114300" distR="114300">
            <wp:extent cx="5140325" cy="2143760"/>
            <wp:effectExtent l="4445" t="4445" r="17780" b="23495"/>
            <wp:docPr id="1325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600" w:lineRule="exact"/>
        <w:ind w:firstLine="640" w:firstLineChars="200"/>
        <w:jc w:val="center"/>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4"/>
        <w:bidi w:val="0"/>
        <w:rPr>
          <w:rFonts w:hint="eastAsia"/>
        </w:rPr>
      </w:pPr>
      <w:bookmarkStart w:id="17" w:name="_Toc613544163"/>
      <w:r>
        <w:rPr>
          <w:rFonts w:hint="eastAsia"/>
        </w:rPr>
        <w:t>二、收入决算情况说明</w:t>
      </w:r>
      <w:bookmarkEnd w:id="17"/>
    </w:p>
    <w:p>
      <w:pPr>
        <w:keepNext w:val="0"/>
        <w:keepLines w:val="0"/>
        <w:widowControl/>
        <w:suppressLineNumbers w:val="0"/>
        <w:jc w:val="left"/>
        <w:rPr>
          <w:rFonts w:ascii="仿宋" w:hAnsi="仿宋" w:eastAsia="仿宋"/>
          <w:color w:val="auto"/>
          <w:sz w:val="32"/>
          <w:szCs w:val="32"/>
          <w:highlight w:val="none"/>
        </w:rPr>
      </w:pPr>
      <w:bookmarkStart w:id="18" w:name="_Toc2230"/>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2,763.93万元，其中：一般公共预算财政拨款收入2,762.93万元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99.96</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8"/>
    </w:p>
    <w:p>
      <w:pPr>
        <w:jc w:val="center"/>
      </w:pPr>
      <w:r>
        <w:drawing>
          <wp:inline distT="0" distB="0" distL="114300" distR="114300">
            <wp:extent cx="3961130" cy="2225040"/>
            <wp:effectExtent l="4445" t="4445" r="15875" b="18415"/>
            <wp:docPr id="1325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19" w:name="_Toc23273"/>
    </w:p>
    <w:p>
      <w:pPr>
        <w:pStyle w:val="2"/>
        <w:jc w:val="center"/>
      </w:pPr>
      <w:r>
        <w:rPr>
          <w:rFonts w:hint="eastAsia" w:ascii="仿宋" w:hAnsi="仿宋" w:eastAsia="仿宋"/>
          <w:color w:val="auto"/>
          <w:sz w:val="32"/>
          <w:szCs w:val="32"/>
          <w:highlight w:val="none"/>
        </w:rPr>
        <w:t>（图2：收入决算结构图）（饼状图）</w:t>
      </w:r>
    </w:p>
    <w:bookmarkEnd w:id="19"/>
    <w:p>
      <w:pPr>
        <w:pStyle w:val="4"/>
        <w:bidi w:val="0"/>
        <w:rPr>
          <w:rFonts w:hint="eastAsia" w:ascii="Times New Roman" w:hAnsi="Times New Roman" w:eastAsia="仿宋_GB2312" w:cs="仿宋_GB2312"/>
          <w:color w:val="auto"/>
          <w:szCs w:val="32"/>
          <w:highlight w:val="none"/>
        </w:rPr>
      </w:pPr>
      <w:bookmarkStart w:id="20" w:name="_Toc849078135"/>
      <w:r>
        <w:rPr>
          <w:rFonts w:hint="eastAsia"/>
        </w:rPr>
        <w:t>三、支出决算情况说明</w:t>
      </w:r>
      <w:bookmarkEnd w:id="20"/>
    </w:p>
    <w:p>
      <w:pPr>
        <w:keepNext w:val="0"/>
        <w:keepLines w:val="0"/>
        <w:widowControl/>
        <w:suppressLineNumbers w:val="0"/>
        <w:jc w:val="left"/>
        <w:rPr>
          <w:rFonts w:hint="eastAsia" w:ascii="仿宋" w:hAnsi="仿宋" w:eastAsia="仿宋"/>
          <w:color w:val="auto"/>
          <w:sz w:val="32"/>
          <w:szCs w:val="32"/>
          <w:highlight w:val="none"/>
          <w:lang w:val="en-US" w:eastAsia="zh-CN"/>
        </w:rPr>
      </w:pPr>
      <w:bookmarkStart w:id="21" w:name="_Toc6096"/>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w:t>
      </w:r>
      <w:r>
        <w:rPr>
          <w:rFonts w:hint="eastAsia" w:ascii="仿宋" w:hAnsi="仿宋" w:eastAsia="仿宋"/>
          <w:color w:val="auto"/>
          <w:sz w:val="32"/>
          <w:szCs w:val="32"/>
          <w:highlight w:val="none"/>
          <w:lang w:val="en-US" w:eastAsia="zh-CN"/>
        </w:rPr>
        <w:t>支出合计2763.93万元，其中：基本支出2286.39万元，占82.7%；项目支出477.54万元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17.3</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bookmarkEnd w:id="21"/>
    </w:p>
    <w:p>
      <w:pPr>
        <w:jc w:val="center"/>
      </w:pPr>
      <w:r>
        <w:drawing>
          <wp:inline distT="0" distB="0" distL="114300" distR="114300">
            <wp:extent cx="3910330" cy="2217420"/>
            <wp:effectExtent l="5080" t="4445" r="8890" b="6985"/>
            <wp:docPr id="1325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
        <w:jc w:val="center"/>
        <w:rPr>
          <w:rFonts w:hint="eastAsia"/>
        </w:rPr>
      </w:pPr>
      <w:r>
        <w:rPr>
          <w:rFonts w:hint="eastAsia" w:ascii="仿宋" w:hAnsi="仿宋" w:eastAsia="仿宋"/>
          <w:color w:val="auto"/>
          <w:sz w:val="32"/>
          <w:szCs w:val="32"/>
          <w:highlight w:val="none"/>
        </w:rPr>
        <w:t>（图3：支出决算结构图）（饼状图）</w:t>
      </w:r>
    </w:p>
    <w:p>
      <w:pPr>
        <w:pStyle w:val="4"/>
        <w:bidi w:val="0"/>
        <w:rPr>
          <w:rFonts w:hint="eastAsia" w:ascii="Times New Roman" w:hAnsi="Times New Roman" w:eastAsia="仿宋_GB2312" w:cs="仿宋_GB2312"/>
          <w:color w:val="auto"/>
          <w:szCs w:val="32"/>
          <w:highlight w:val="none"/>
        </w:rPr>
      </w:pPr>
      <w:bookmarkStart w:id="22" w:name="_Toc1041535344"/>
      <w:r>
        <w:rPr>
          <w:rFonts w:hint="eastAsia"/>
        </w:rPr>
        <w:t>四、财政拨款收入支出决算总体情况说明</w:t>
      </w:r>
      <w:bookmarkEnd w:id="22"/>
    </w:p>
    <w:p>
      <w:pPr>
        <w:spacing w:line="600" w:lineRule="exact"/>
        <w:ind w:firstLine="640"/>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2140.96</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622.97</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29.1</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pStyle w:val="2"/>
        <w:jc w:val="center"/>
      </w:pPr>
      <w:r>
        <w:drawing>
          <wp:inline distT="0" distB="0" distL="114300" distR="114300">
            <wp:extent cx="4531995" cy="2465070"/>
            <wp:effectExtent l="4445" t="4445" r="16510" b="6985"/>
            <wp:docPr id="1325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jc w:val="center"/>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4"/>
        <w:bidi w:val="0"/>
        <w:rPr>
          <w:rFonts w:hint="eastAsia" w:ascii="Times New Roman" w:hAnsi="Times New Roman" w:eastAsia="仿宋_GB2312" w:cs="仿宋_GB2312"/>
          <w:color w:val="auto"/>
          <w:szCs w:val="32"/>
          <w:highlight w:val="none"/>
        </w:rPr>
      </w:pPr>
      <w:bookmarkStart w:id="23" w:name="_Toc393736771"/>
      <w:r>
        <w:rPr>
          <w:rFonts w:hint="eastAsia"/>
        </w:rPr>
        <w:t>五、一般公共预算财政拨款支出决算情况说明</w:t>
      </w:r>
      <w:bookmarkEnd w:id="23"/>
    </w:p>
    <w:p>
      <w:pPr>
        <w:spacing w:line="600" w:lineRule="exact"/>
        <w:ind w:firstLine="640" w:firstLineChars="200"/>
        <w:outlineLvl w:val="2"/>
        <w:rPr>
          <w:rFonts w:ascii="仿宋" w:hAnsi="仿宋" w:eastAsia="仿宋"/>
          <w:b w:val="0"/>
          <w:bCs/>
          <w:color w:val="auto"/>
          <w:sz w:val="32"/>
          <w:szCs w:val="32"/>
          <w:highlight w:val="none"/>
        </w:rPr>
      </w:pPr>
      <w:bookmarkStart w:id="24" w:name="_Toc618509885"/>
      <w:r>
        <w:rPr>
          <w:rFonts w:hint="eastAsia" w:ascii="仿宋" w:hAnsi="仿宋" w:eastAsia="仿宋"/>
          <w:b w:val="0"/>
          <w:bCs/>
          <w:color w:val="auto"/>
          <w:sz w:val="32"/>
          <w:szCs w:val="32"/>
          <w:highlight w:val="none"/>
        </w:rPr>
        <w:t>（一）一般公共预算财政拨款支出决算总体情况</w:t>
      </w:r>
      <w:bookmarkEnd w:id="24"/>
    </w:p>
    <w:p>
      <w:pPr>
        <w:keepNext w:val="0"/>
        <w:keepLines w:val="0"/>
        <w:widowControl/>
        <w:suppressLineNumbers w:val="0"/>
        <w:jc w:val="left"/>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2,762.93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99.96</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623.47</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29.14</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pStyle w:val="2"/>
        <w:jc w:val="center"/>
      </w:pPr>
      <w:r>
        <w:drawing>
          <wp:inline distT="0" distB="0" distL="114300" distR="114300">
            <wp:extent cx="5271135" cy="1882140"/>
            <wp:effectExtent l="4445" t="4445" r="20320" b="18415"/>
            <wp:docPr id="1325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pPr>
        <w:spacing w:line="600" w:lineRule="exact"/>
        <w:ind w:firstLine="642" w:firstLineChars="200"/>
        <w:outlineLvl w:val="2"/>
        <w:rPr>
          <w:rFonts w:ascii="仿宋" w:hAnsi="仿宋" w:eastAsia="仿宋"/>
          <w:b/>
          <w:color w:val="auto"/>
          <w:sz w:val="32"/>
          <w:szCs w:val="32"/>
          <w:highlight w:val="none"/>
        </w:rPr>
      </w:pPr>
      <w:bookmarkStart w:id="25" w:name="_Toc1185241328"/>
      <w:r>
        <w:rPr>
          <w:rFonts w:hint="eastAsia" w:ascii="仿宋" w:hAnsi="仿宋" w:eastAsia="仿宋"/>
          <w:b/>
          <w:color w:val="auto"/>
          <w:sz w:val="32"/>
          <w:szCs w:val="32"/>
          <w:highlight w:val="none"/>
        </w:rPr>
        <w:t>（二）一般公共预算财政拨款支出决算结构情况</w:t>
      </w:r>
      <w:bookmarkEnd w:id="25"/>
    </w:p>
    <w:p>
      <w:pPr>
        <w:keepNext w:val="0"/>
        <w:keepLines w:val="0"/>
        <w:widowControl/>
        <w:suppressLineNumbers w:val="0"/>
        <w:jc w:val="left"/>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2763.96</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29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cs="Times New Roman"/>
          <w:color w:val="auto"/>
          <w:sz w:val="32"/>
          <w:szCs w:val="32"/>
          <w:highlight w:val="none"/>
          <w:lang w:val="en-US" w:eastAsia="zh-CN"/>
        </w:rPr>
        <w:t>2164.05万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78.3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s="Times New Roman"/>
          <w:color w:val="auto"/>
          <w:sz w:val="32"/>
          <w:szCs w:val="32"/>
          <w:highlight w:val="none"/>
          <w:lang w:val="en-US" w:eastAsia="zh-CN"/>
        </w:rPr>
        <w:t>295.84万元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10.7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s="Times New Roman"/>
          <w:color w:val="auto"/>
          <w:sz w:val="32"/>
          <w:szCs w:val="32"/>
          <w:highlight w:val="none"/>
          <w:lang w:val="en-US" w:eastAsia="zh-CN"/>
        </w:rPr>
        <w:t>113.06万元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4.09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s="Times New Roman"/>
          <w:color w:val="auto"/>
          <w:sz w:val="32"/>
          <w:szCs w:val="32"/>
          <w:highlight w:val="none"/>
          <w:lang w:val="en-US" w:eastAsia="zh-CN"/>
        </w:rPr>
        <w:t>160.97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5.82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s="Times New Roman"/>
          <w:b/>
          <w:bCs/>
          <w:color w:val="auto"/>
          <w:sz w:val="32"/>
          <w:szCs w:val="32"/>
          <w:highlight w:val="none"/>
          <w:lang w:eastAsia="zh-CN"/>
        </w:rPr>
        <w:t>其他</w:t>
      </w:r>
      <w:r>
        <w:rPr>
          <w:rFonts w:hint="eastAsia" w:ascii="仿宋" w:hAnsi="仿宋" w:eastAsia="仿宋"/>
          <w:b/>
          <w:bCs/>
          <w:color w:val="auto"/>
          <w:sz w:val="32"/>
          <w:szCs w:val="32"/>
          <w:highlight w:val="none"/>
        </w:rPr>
        <w:t>支出</w:t>
      </w:r>
      <w:r>
        <w:rPr>
          <w:rFonts w:hint="eastAsia" w:ascii="仿宋" w:hAnsi="仿宋" w:eastAsia="仿宋" w:cs="Times New Roman"/>
          <w:color w:val="auto"/>
          <w:sz w:val="32"/>
          <w:szCs w:val="32"/>
          <w:highlight w:val="none"/>
          <w:lang w:val="en-US" w:eastAsia="zh-CN"/>
        </w:rPr>
        <w:t>1万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0.04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pStyle w:val="2"/>
        <w:jc w:val="center"/>
      </w:pPr>
      <w:r>
        <w:drawing>
          <wp:inline distT="0" distB="0" distL="114300" distR="114300">
            <wp:extent cx="3167380" cy="1907540"/>
            <wp:effectExtent l="4445" t="4445" r="9525" b="12065"/>
            <wp:docPr id="132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2" w:firstLineChars="200"/>
        <w:outlineLvl w:val="2"/>
        <w:rPr>
          <w:rFonts w:ascii="仿宋" w:hAnsi="仿宋" w:eastAsia="仿宋"/>
          <w:b/>
          <w:color w:val="auto"/>
          <w:sz w:val="32"/>
          <w:szCs w:val="32"/>
          <w:highlight w:val="none"/>
        </w:rPr>
      </w:pPr>
      <w:bookmarkStart w:id="26" w:name="_Toc352714732"/>
      <w:r>
        <w:rPr>
          <w:rFonts w:hint="eastAsia" w:ascii="仿宋" w:hAnsi="仿宋" w:eastAsia="仿宋"/>
          <w:b/>
          <w:color w:val="auto"/>
          <w:sz w:val="32"/>
          <w:szCs w:val="32"/>
          <w:highlight w:val="none"/>
        </w:rPr>
        <w:t>（三）一般公共预算财政拨款支出决算具体情况</w:t>
      </w:r>
      <w:bookmarkEnd w:id="26"/>
    </w:p>
    <w:p>
      <w:pPr>
        <w:spacing w:line="600" w:lineRule="exact"/>
        <w:ind w:firstLine="642" w:firstLineChars="200"/>
        <w:outlineLvl w:val="2"/>
        <w:rPr>
          <w:rFonts w:ascii="仿宋" w:hAnsi="仿宋" w:eastAsia="仿宋"/>
          <w:color w:val="auto"/>
          <w:sz w:val="32"/>
          <w:szCs w:val="32"/>
          <w:highlight w:val="none"/>
        </w:rPr>
      </w:pPr>
      <w:bookmarkStart w:id="27" w:name="_Toc288068732"/>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2763.96</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bookmarkEnd w:id="27"/>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1</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教育（</w:t>
      </w:r>
      <w:r>
        <w:rPr>
          <w:rStyle w:val="17"/>
          <w:rFonts w:hint="eastAsia" w:ascii="仿宋" w:hAnsi="仿宋" w:eastAsia="仿宋"/>
          <w:bCs/>
          <w:color w:val="000000"/>
          <w:sz w:val="32"/>
          <w:szCs w:val="32"/>
          <w:highlight w:val="none"/>
          <w:lang w:val="en-US" w:eastAsia="zh-CN"/>
        </w:rPr>
        <w:t>205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普通教育（</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lang w:eastAsia="zh-CN"/>
        </w:rPr>
        <w:t>）学前教育（</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lang w:eastAsia="zh-CN"/>
        </w:rPr>
        <w:t>）小学教育</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）其他普通教育支出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99</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2164.05</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社会保障和就业（</w:t>
      </w:r>
      <w:r>
        <w:rPr>
          <w:rStyle w:val="17"/>
          <w:rFonts w:hint="eastAsia" w:ascii="仿宋" w:hAnsi="仿宋" w:eastAsia="仿宋"/>
          <w:bCs/>
          <w:color w:val="000000"/>
          <w:sz w:val="32"/>
          <w:szCs w:val="32"/>
          <w:highlight w:val="none"/>
          <w:lang w:val="en-US" w:eastAsia="zh-CN"/>
        </w:rPr>
        <w:t>208</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行政事业单位养老支出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机关事业单位基本养老保险缴费支出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295.84</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Fonts w:hint="eastAsia" w:ascii="仿宋" w:hAnsi="仿宋" w:eastAsia="仿宋"/>
          <w:b/>
          <w:bCs/>
          <w:color w:val="000000"/>
          <w:sz w:val="32"/>
          <w:szCs w:val="32"/>
          <w:highlight w:val="none"/>
        </w:rPr>
        <w:t>卫生健康</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210</w:t>
      </w:r>
      <w:r>
        <w:rPr>
          <w:rStyle w:val="17"/>
          <w:rFonts w:hint="eastAsia" w:ascii="仿宋" w:hAnsi="仿宋" w:eastAsia="仿宋"/>
          <w:bCs/>
          <w:color w:val="000000"/>
          <w:sz w:val="32"/>
          <w:szCs w:val="32"/>
          <w:highlight w:val="none"/>
        </w:rPr>
        <w:t>） 重大公共卫生服务</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09</w:t>
      </w: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11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事业单位医疗</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113.06</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4</w:t>
      </w:r>
      <w:r>
        <w:rPr>
          <w:rStyle w:val="17"/>
          <w:rFonts w:ascii="仿宋" w:hAnsi="仿宋" w:eastAsia="仿宋"/>
          <w:bCs/>
          <w:color w:val="000000"/>
          <w:sz w:val="32"/>
          <w:szCs w:val="32"/>
          <w:highlight w:val="none"/>
        </w:rPr>
        <w:t>.</w:t>
      </w:r>
      <w:r>
        <w:rPr>
          <w:rFonts w:hint="eastAsia" w:ascii="仿宋" w:hAnsi="仿宋" w:eastAsia="仿宋"/>
          <w:b/>
          <w:bCs/>
          <w:color w:val="000000"/>
          <w:sz w:val="32"/>
          <w:szCs w:val="32"/>
          <w:highlight w:val="none"/>
          <w:lang w:eastAsia="zh-CN"/>
        </w:rPr>
        <w:t>住房保障支出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221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住房改革支出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住房公积金</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rPr>
        <w:t>） 购房补贴</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03</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160.97</w:t>
      </w:r>
      <w:r>
        <w:rPr>
          <w:rStyle w:val="17"/>
          <w:rFonts w:hint="eastAsia" w:ascii="仿宋" w:hAnsi="仿宋" w:eastAsia="仿宋"/>
          <w:b w:val="0"/>
          <w:bCs/>
          <w:color w:val="000000"/>
          <w:sz w:val="32"/>
          <w:szCs w:val="32"/>
          <w:highlight w:val="none"/>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5</w:t>
      </w:r>
      <w:r>
        <w:rPr>
          <w:rStyle w:val="17"/>
          <w:rFonts w:ascii="仿宋" w:hAnsi="仿宋" w:eastAsia="仿宋"/>
          <w:bCs/>
          <w:color w:val="000000"/>
          <w:sz w:val="32"/>
          <w:szCs w:val="32"/>
          <w:highlight w:val="none"/>
        </w:rPr>
        <w:t>.</w:t>
      </w:r>
      <w:r>
        <w:rPr>
          <w:rStyle w:val="17"/>
          <w:rFonts w:hint="eastAsia" w:ascii="仿宋" w:hAnsi="仿宋" w:eastAsia="仿宋"/>
          <w:bCs/>
          <w:color w:val="000000"/>
          <w:sz w:val="32"/>
          <w:szCs w:val="32"/>
          <w:highlight w:val="none"/>
        </w:rPr>
        <w:t>其他支出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229</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rPr>
        <w:t>彩票公益金安排的支出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60</w:t>
      </w:r>
      <w:r>
        <w:rPr>
          <w:rStyle w:val="17"/>
          <w:rFonts w:hint="eastAsia" w:ascii="仿宋" w:hAnsi="仿宋" w:eastAsia="仿宋"/>
          <w:bCs/>
          <w:color w:val="000000"/>
          <w:sz w:val="32"/>
          <w:szCs w:val="32"/>
          <w:highlight w:val="none"/>
          <w:lang w:eastAsia="zh-CN"/>
        </w:rPr>
        <w:t>）用于教育事业的彩票公益金支出（</w:t>
      </w:r>
      <w:r>
        <w:rPr>
          <w:rStyle w:val="17"/>
          <w:rFonts w:hint="eastAsia" w:ascii="仿宋" w:hAnsi="仿宋" w:eastAsia="仿宋"/>
          <w:bCs/>
          <w:color w:val="000000"/>
          <w:sz w:val="32"/>
          <w:szCs w:val="32"/>
          <w:highlight w:val="none"/>
          <w:lang w:val="en-US" w:eastAsia="zh-CN"/>
        </w:rPr>
        <w:t>04）</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1</w:t>
      </w:r>
      <w:r>
        <w:rPr>
          <w:rStyle w:val="17"/>
          <w:rFonts w:hint="eastAsia" w:ascii="仿宋" w:hAnsi="仿宋" w:eastAsia="仿宋"/>
          <w:b w:val="0"/>
          <w:bCs/>
          <w:color w:val="000000"/>
          <w:sz w:val="32"/>
          <w:szCs w:val="32"/>
          <w:highlight w:val="none"/>
          <w:lang w:val="en-US" w:eastAsia="zh-CN"/>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default" w:ascii="仿宋" w:hAnsi="仿宋" w:eastAsia="仿宋" w:cs="Times New Roman"/>
          <w:bCs/>
          <w:color w:val="000000"/>
          <w:kern w:val="2"/>
          <w:sz w:val="32"/>
          <w:szCs w:val="32"/>
          <w:highlight w:val="none"/>
          <w:lang w:val="en-US" w:eastAsia="zh-CN" w:bidi="ar-SA"/>
        </w:rPr>
      </w:pPr>
      <w:r>
        <w:rPr>
          <w:rStyle w:val="17"/>
          <w:rFonts w:hint="eastAsia" w:ascii="仿宋" w:hAnsi="仿宋" w:eastAsia="仿宋" w:cs="Times New Roman"/>
          <w:bCs/>
          <w:color w:val="000000"/>
          <w:kern w:val="2"/>
          <w:sz w:val="32"/>
          <w:szCs w:val="32"/>
          <w:highlight w:val="none"/>
          <w:lang w:val="en-US" w:eastAsia="zh-CN" w:bidi="ar-SA"/>
        </w:rPr>
        <w:t>6.</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w:t>
      </w:r>
      <w:r>
        <w:rPr>
          <w:rStyle w:val="17"/>
          <w:rFonts w:hint="eastAsia" w:ascii="仿宋" w:hAnsi="仿宋" w:eastAsia="仿宋" w:cs="Times New Roman"/>
          <w:bCs/>
          <w:color w:val="auto"/>
          <w:sz w:val="32"/>
          <w:szCs w:val="32"/>
          <w:highlight w:val="none"/>
        </w:rPr>
        <w:t>组织事务（32）其他组织事务支出（99）</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29</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1-1表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w:t>
      </w:r>
      <w:r>
        <w:rPr>
          <w:rFonts w:hint="eastAsia" w:ascii="仿宋" w:hAnsi="仿宋" w:eastAsia="仿宋"/>
          <w:b/>
          <w:color w:val="auto"/>
          <w:sz w:val="32"/>
          <w:szCs w:val="32"/>
          <w:highlight w:val="none"/>
        </w:rPr>
        <w:t>全部功能分类科目</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至项级。上述“预算”口径为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数。增减变动原因为决算数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和</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比较，与预算数持平可以不写原因。）</w:t>
      </w:r>
    </w:p>
    <w:p>
      <w:pPr>
        <w:pStyle w:val="4"/>
        <w:bidi w:val="0"/>
        <w:rPr>
          <w:rFonts w:hint="eastAsia"/>
        </w:rPr>
      </w:pPr>
      <w:bookmarkStart w:id="28" w:name="_Toc1856379047"/>
      <w:r>
        <w:rPr>
          <w:rFonts w:hint="eastAsia"/>
        </w:rPr>
        <w:t>六、一般公共预算财政拨款基本支出决算情况说明</w:t>
      </w:r>
      <w:bookmarkEnd w:id="28"/>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2763.96</w:t>
      </w:r>
      <w:r>
        <w:rPr>
          <w:rFonts w:hint="eastAsia" w:ascii="仿宋" w:hAnsi="仿宋" w:eastAsia="仿宋"/>
          <w:color w:val="auto"/>
          <w:sz w:val="32"/>
          <w:szCs w:val="32"/>
          <w:highlight w:val="none"/>
        </w:rPr>
        <w:t>万元，其中：</w:t>
      </w:r>
    </w:p>
    <w:p>
      <w:pPr>
        <w:spacing w:line="600" w:lineRule="exact"/>
        <w:ind w:firstLine="645"/>
        <w:rPr>
          <w:rFonts w:hint="eastAsia"/>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2260.1</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26.28</w:t>
      </w:r>
      <w:r>
        <w:rPr>
          <w:rFonts w:hint="eastAsia" w:ascii="仿宋" w:hAnsi="仿宋" w:eastAsia="仿宋"/>
          <w:color w:val="auto"/>
          <w:sz w:val="32"/>
          <w:szCs w:val="32"/>
          <w:highlight w:val="none"/>
        </w:rPr>
        <w:t>万元，主要包括：办公费、印刷费、咨询费、手续费、水费、电费、邮电费、取暖费、物业管理费、差旅费、维修（护）费、会议费、培训费、公务接待费、劳务费、工会经费、福利费、税金及附加费用、其他商品和服务支出、办公设备购置、专用设备购置、信息网络及软件购置更新、其他资本性支出等。</w:t>
      </w:r>
    </w:p>
    <w:p>
      <w:pPr>
        <w:pStyle w:val="4"/>
        <w:bidi w:val="0"/>
        <w:rPr>
          <w:rFonts w:hint="eastAsia" w:ascii="Times New Roman" w:hAnsi="Times New Roman" w:eastAsia="仿宋_GB2312" w:cs="仿宋_GB2312"/>
          <w:color w:val="auto"/>
          <w:szCs w:val="32"/>
          <w:highlight w:val="none"/>
        </w:rPr>
      </w:pPr>
      <w:bookmarkStart w:id="29" w:name="_Toc1230756711"/>
      <w:r>
        <w:rPr>
          <w:rFonts w:hint="eastAsia"/>
        </w:rPr>
        <w:t>七、财政拨款</w:t>
      </w:r>
      <w:r>
        <w:rPr>
          <w:rFonts w:hint="eastAsia"/>
          <w:lang w:eastAsia="zh-CN"/>
        </w:rPr>
        <w:t>“</w:t>
      </w:r>
      <w:r>
        <w:rPr>
          <w:rFonts w:hint="eastAsia"/>
        </w:rPr>
        <w:t>三公”经费支出决算情况说明</w:t>
      </w:r>
      <w:bookmarkEnd w:id="29"/>
    </w:p>
    <w:p>
      <w:pPr>
        <w:spacing w:line="600" w:lineRule="exact"/>
        <w:ind w:firstLine="640"/>
        <w:outlineLvl w:val="2"/>
        <w:rPr>
          <w:rFonts w:ascii="仿宋" w:hAnsi="仿宋" w:eastAsia="仿宋"/>
          <w:b/>
          <w:color w:val="auto"/>
          <w:sz w:val="32"/>
          <w:szCs w:val="32"/>
          <w:highlight w:val="none"/>
        </w:rPr>
      </w:pPr>
      <w:bookmarkStart w:id="30" w:name="_Toc1284971250"/>
      <w:r>
        <w:rPr>
          <w:rFonts w:hint="eastAsia" w:ascii="仿宋" w:hAnsi="仿宋" w:eastAsia="仿宋"/>
          <w:b/>
          <w:color w:val="auto"/>
          <w:sz w:val="32"/>
          <w:szCs w:val="32"/>
          <w:highlight w:val="none"/>
        </w:rPr>
        <w:t>（一）“三公”经费财政拨款支出决算总体情况说明</w:t>
      </w:r>
      <w:bookmarkEnd w:id="30"/>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0万元，增长0%。本学校无此项内容</w:t>
      </w:r>
      <w:r>
        <w:rPr>
          <w:rFonts w:hint="eastAsia" w:ascii="仿宋" w:hAnsi="仿宋" w:eastAsia="仿宋"/>
          <w:color w:val="auto"/>
          <w:sz w:val="32"/>
          <w:szCs w:val="32"/>
          <w:highlight w:val="none"/>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1"/>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上年度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numPr>
          <w:ilvl w:val="0"/>
          <w:numId w:val="1"/>
        </w:numPr>
        <w:spacing w:line="600" w:lineRule="exact"/>
        <w:ind w:firstLine="640"/>
        <w:rPr>
          <w:rFonts w:hint="eastAsia"/>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bidi w:val="0"/>
        <w:rPr>
          <w:rFonts w:hint="eastAsia" w:ascii="Times New Roman" w:hAnsi="Times New Roman" w:eastAsia="仿宋_GB2312" w:cs="仿宋_GB2312"/>
          <w:color w:val="auto"/>
          <w:szCs w:val="32"/>
          <w:highlight w:val="none"/>
        </w:rPr>
      </w:pPr>
      <w:bookmarkStart w:id="31" w:name="_Toc474567965"/>
      <w:r>
        <w:rPr>
          <w:rFonts w:hint="eastAsia"/>
          <w:lang w:eastAsia="zh-CN"/>
        </w:rPr>
        <w:t>八、</w:t>
      </w:r>
      <w:r>
        <w:rPr>
          <w:rFonts w:hint="eastAsia"/>
        </w:rPr>
        <w:t>政府性基金预算支出决算情况说明</w:t>
      </w:r>
      <w:bookmarkEnd w:id="31"/>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1</w:t>
      </w:r>
      <w:r>
        <w:rPr>
          <w:rFonts w:hint="eastAsia" w:ascii="仿宋_GB2312" w:eastAsia="仿宋_GB2312"/>
          <w:color w:val="auto"/>
          <w:sz w:val="32"/>
          <w:szCs w:val="32"/>
          <w:highlight w:val="none"/>
        </w:rPr>
        <w:t>万元。</w:t>
      </w:r>
      <w:r>
        <w:rPr>
          <w:rFonts w:hint="eastAsia" w:ascii="仿宋_GB2312" w:eastAsia="仿宋_GB2312" w:cs="Times New Roman"/>
          <w:color w:val="auto"/>
          <w:sz w:val="32"/>
          <w:szCs w:val="32"/>
          <w:highlight w:val="none"/>
          <w:lang w:eastAsia="zh-CN"/>
        </w:rPr>
        <w:t>用于教育事业的彩票公益金支出</w:t>
      </w:r>
      <w:r>
        <w:rPr>
          <w:rFonts w:hint="eastAsia" w:ascii="仿宋_GB2312" w:eastAsia="仿宋_GB2312" w:cs="Times New Roman"/>
          <w:color w:val="auto"/>
          <w:sz w:val="32"/>
          <w:szCs w:val="32"/>
          <w:highlight w:val="none"/>
        </w:rPr>
        <w:t>。</w:t>
      </w:r>
    </w:p>
    <w:p>
      <w:pPr>
        <w:pStyle w:val="4"/>
        <w:bidi w:val="0"/>
        <w:rPr>
          <w:rFonts w:hint="eastAsia"/>
        </w:rPr>
      </w:pPr>
      <w:bookmarkStart w:id="32" w:name="_Toc53254849"/>
      <w:r>
        <w:rPr>
          <w:rFonts w:hint="eastAsia"/>
        </w:rPr>
        <w:t>九、</w:t>
      </w:r>
      <w:r>
        <w:rPr>
          <w:rFonts w:hint="eastAsia"/>
          <w:lang w:eastAsia="zh-CN"/>
        </w:rPr>
        <w:t>国</w:t>
      </w:r>
      <w:r>
        <w:rPr>
          <w:rFonts w:hint="eastAsia"/>
        </w:rPr>
        <w:t>有资本经营预算支出决算情况说明</w:t>
      </w:r>
      <w:bookmarkEnd w:id="32"/>
    </w:p>
    <w:p>
      <w:pPr>
        <w:spacing w:line="580" w:lineRule="exact"/>
        <w:ind w:firstLine="640" w:firstLineChars="200"/>
        <w:jc w:val="left"/>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p>
    <w:p>
      <w:pPr>
        <w:pStyle w:val="4"/>
        <w:bidi w:val="0"/>
        <w:rPr>
          <w:rFonts w:hint="eastAsia"/>
        </w:rPr>
      </w:pPr>
      <w:bookmarkStart w:id="33" w:name="_Toc1093361462"/>
      <w:r>
        <w:rPr>
          <w:rFonts w:hint="eastAsia"/>
          <w:lang w:eastAsia="zh-CN"/>
        </w:rPr>
        <w:t>十</w:t>
      </w:r>
      <w:r>
        <w:rPr>
          <w:rFonts w:hint="eastAsia"/>
        </w:rPr>
        <w:t>、其他重要事项的情况说明</w:t>
      </w:r>
      <w:bookmarkEnd w:id="33"/>
    </w:p>
    <w:p>
      <w:pPr>
        <w:spacing w:line="600" w:lineRule="exact"/>
        <w:ind w:firstLine="642" w:firstLineChars="200"/>
        <w:outlineLvl w:val="2"/>
        <w:rPr>
          <w:rFonts w:ascii="仿宋" w:hAnsi="仿宋" w:eastAsia="仿宋"/>
          <w:color w:val="auto"/>
          <w:sz w:val="32"/>
          <w:szCs w:val="32"/>
          <w:highlight w:val="none"/>
        </w:rPr>
      </w:pPr>
      <w:bookmarkStart w:id="34" w:name="_Toc889573534"/>
      <w:r>
        <w:rPr>
          <w:rFonts w:hint="eastAsia" w:ascii="仿宋" w:hAnsi="仿宋" w:eastAsia="仿宋"/>
          <w:b/>
          <w:color w:val="auto"/>
          <w:sz w:val="32"/>
          <w:szCs w:val="32"/>
          <w:highlight w:val="none"/>
        </w:rPr>
        <w:t>（一）机关运行经费支出情况</w:t>
      </w:r>
      <w:bookmarkEnd w:id="34"/>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，阿坝州壤塘县南木达中小学校机关运行经费支出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决算数持平。主要原因是</w:t>
      </w:r>
      <w:r>
        <w:rPr>
          <w:rFonts w:hint="eastAsia" w:ascii="仿宋" w:hAnsi="仿宋" w:eastAsia="仿宋"/>
          <w:color w:val="auto"/>
          <w:sz w:val="32"/>
          <w:szCs w:val="32"/>
          <w:highlight w:val="none"/>
          <w:lang w:val="en-US" w:eastAsia="zh-CN"/>
        </w:rPr>
        <w:t>本学校无此项内容。</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35" w:name="_Toc491148900"/>
      <w:r>
        <w:rPr>
          <w:rFonts w:hint="eastAsia" w:ascii="仿宋" w:hAnsi="仿宋" w:eastAsia="仿宋"/>
          <w:b/>
          <w:color w:val="auto"/>
          <w:sz w:val="32"/>
          <w:szCs w:val="32"/>
          <w:highlight w:val="none"/>
        </w:rPr>
        <w:t>（二）政府采购支出情况</w:t>
      </w:r>
      <w:bookmarkEnd w:id="35"/>
    </w:p>
    <w:p>
      <w:pPr>
        <w:keepNext w:val="0"/>
        <w:keepLines w:val="0"/>
        <w:widowControl/>
        <w:suppressLineNumbers w:val="0"/>
        <w:jc w:val="left"/>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，阿坝州壤塘县南木达中小学校政府采购支出总额</w:t>
      </w:r>
      <w:r>
        <w:rPr>
          <w:rFonts w:hint="eastAsia" w:ascii="仿宋_GB2312" w:eastAsia="仿宋_GB2312"/>
          <w:color w:val="auto"/>
          <w:sz w:val="32"/>
          <w:szCs w:val="32"/>
          <w:highlight w:val="none"/>
          <w:lang w:val="en-US" w:eastAsia="zh-CN"/>
        </w:rPr>
        <w:t>49.58</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49.58</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36" w:name="_Toc1245916698"/>
      <w:r>
        <w:rPr>
          <w:rFonts w:hint="eastAsia" w:ascii="仿宋" w:hAnsi="仿宋" w:eastAsia="仿宋"/>
          <w:b/>
          <w:color w:val="auto"/>
          <w:sz w:val="32"/>
          <w:szCs w:val="32"/>
          <w:highlight w:val="none"/>
        </w:rPr>
        <w:t>（三）国有资产占有使用情况</w:t>
      </w:r>
      <w:bookmarkEnd w:id="36"/>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日，阿坝州壤塘县南木达中小学校共有车辆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rPr>
          <w:rFonts w:hint="eastAsia"/>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pStyle w:val="3"/>
        <w:bidi w:val="0"/>
        <w:rPr>
          <w:rFonts w:hint="eastAsia"/>
        </w:rPr>
      </w:pPr>
      <w:bookmarkStart w:id="37" w:name="_Toc66642390"/>
      <w:r>
        <w:rPr>
          <w:rFonts w:hint="eastAsia"/>
          <w:lang w:eastAsia="zh-CN"/>
        </w:rPr>
        <w:t>第三部分</w:t>
      </w:r>
      <w:r>
        <w:rPr>
          <w:rFonts w:hint="eastAsia"/>
          <w:lang w:val="en-US" w:eastAsia="zh-CN"/>
        </w:rPr>
        <w:t xml:space="preserve"> </w:t>
      </w:r>
      <w:r>
        <w:rPr>
          <w:rFonts w:hint="eastAsia"/>
        </w:rPr>
        <w:t>名词解释</w:t>
      </w:r>
      <w:bookmarkEnd w:id="37"/>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4.其他收入：指单位取得的除上述收入以外的各项收入。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5.使用非财政拨款结余：指事业单位使用以前年度积累的非财政拨款结余弥补当年收支差额的金额。</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9、教育（205类）教育管理事务（01款）行政运行（01项）：指反映行政单位的基本支出。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10、教育（205类）普通教育（02款）学前教育（01项）：指反映各部门举办的学前教育支出。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11、教育（205类）普通教育（02款）小学教育（02项）：指反映各部门举办的小学教育支出。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12、教育（205类）普通教育（02款）初中教育（03项）：指反映各部门举办的初中教育支出。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12、教育（205类）普通教育（02款）高中教育（04项）：指反映各部门举办的高中教育支出。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13、教育（205类）普通教育（02款）高等教育（05项）：指反映各部门举办的普通本科（包括研究生）教育支出。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14、教育（205类）其他普通教育（02款）其他普通教育支出（99项）：指反映各部其他用于普通教育方面的支出。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15、教育（205类） 职业教育（03款） 中等职业教育（02项）：指反映各部（不含人力资源社会保障部门）举办的中等职业教育支出。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16、教育（205类） 成人教育（04款）成人初等教育（01项）：指反映各部门举办各类成人初等教育的支出。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17、教育（205类）教育费附加安排的支出（09款）其他教育费附加安排的支出（99项）：指反映其他用于教育附加方面的支出。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18、教育（205类）其他教育支出（99款）其他教育支出（99项）：指反映其他用于教育方面的支出。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19、文化旅游体育与传媒支出（207类） 文化和旅游支出（99款） 宣传文化发展专项支出（02项）：指反映按照国家有关政策支持宣传文化单位发展的专项支出。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20、社会保障和就业（208类）行政事业单位养老支出（05款）  机关事业单位基本养老保险缴费支出（05项）：指反映机关事业单位实施养老保险制度由单位缴纳的基本养老保险费支出。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21、社会保障和就业（208类）行政事业单位养老支出（05款） 机关事业单位职业年金缴费支出（06项）：指反映机关事业单位实施养老保险制度由单位实际缴纳的职业年金支出。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22、医疗卫生与计划生育（210类）行政事业单位医疗（11款）行政单位医疗（01项）：指反映财政部门集中安排的行政单位（包括实行公务员管理的事业单位）基本医疗保险缴费经费，未参加医疗保险的事业单位的公费医疗经费，按国家规定享受离</w:t>
      </w:r>
      <w:r>
        <w:rPr>
          <w:rFonts w:hint="eastAsia" w:ascii="仿宋_GB2312" w:eastAsia="仿宋_GB2312" w:cs="Times New Roman"/>
          <w:color w:val="auto"/>
          <w:kern w:val="2"/>
          <w:sz w:val="32"/>
          <w:szCs w:val="32"/>
          <w:highlight w:val="none"/>
          <w:lang w:val="en-US" w:eastAsia="zh-CN" w:bidi="ar-SA"/>
        </w:rPr>
        <w:t>退</w:t>
      </w:r>
      <w:bookmarkStart w:id="53" w:name="_GoBack"/>
      <w:bookmarkEnd w:id="53"/>
      <w:r>
        <w:rPr>
          <w:rFonts w:hint="eastAsia" w:ascii="仿宋_GB2312" w:hAnsi="Times New Roman" w:eastAsia="仿宋_GB2312" w:cs="Times New Roman"/>
          <w:color w:val="auto"/>
          <w:kern w:val="2"/>
          <w:sz w:val="32"/>
          <w:szCs w:val="32"/>
          <w:highlight w:val="none"/>
          <w:lang w:val="en-US" w:eastAsia="zh-CN" w:bidi="ar-SA"/>
        </w:rPr>
        <w:t>休人员待遇的医疗经费。</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23、住房保障（221类）住房改革支出（02款）住房公积金（01项）：指反映行政事业单位按人力资源和社会保障部、财政部规定的基本工资和津贴补贴以及规定比例为职工缴纳的住房公积金。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numPr>
          <w:ilvl w:val="0"/>
          <w:numId w:val="0"/>
        </w:numPr>
        <w:rPr>
          <w:rFonts w:hint="eastAsia"/>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pPr>
        <w:pStyle w:val="3"/>
        <w:bidi w:val="0"/>
        <w:rPr>
          <w:rFonts w:hint="eastAsia" w:ascii="Times New Roman" w:hAnsi="Times New Roman" w:eastAsia="黑体" w:cs="黑体"/>
          <w:color w:val="auto"/>
          <w:szCs w:val="32"/>
          <w:highlight w:val="none"/>
        </w:rPr>
      </w:pPr>
      <w:bookmarkStart w:id="38" w:name="_Toc925170971"/>
      <w:r>
        <w:rPr>
          <w:rFonts w:hint="eastAsia"/>
          <w:lang w:eastAsia="zh-CN"/>
        </w:rPr>
        <w:t>第四部分</w:t>
      </w:r>
      <w:r>
        <w:rPr>
          <w:rFonts w:hint="eastAsia"/>
          <w:lang w:val="en-US" w:eastAsia="zh-CN"/>
        </w:rPr>
        <w:t xml:space="preserve"> </w:t>
      </w:r>
      <w:r>
        <w:rPr>
          <w:rFonts w:hint="eastAsia"/>
        </w:rPr>
        <w:t>附件</w:t>
      </w:r>
      <w:bookmarkEnd w:id="38"/>
    </w:p>
    <w:p>
      <w:pPr>
        <w:rPr>
          <w:rFonts w:hint="eastAsia"/>
        </w:rPr>
      </w:pPr>
    </w:p>
    <w:tbl>
      <w:tblPr>
        <w:tblStyle w:val="15"/>
        <w:tblW w:w="89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6"/>
        <w:gridCol w:w="1068"/>
        <w:gridCol w:w="781"/>
        <w:gridCol w:w="1206"/>
        <w:gridCol w:w="521"/>
        <w:gridCol w:w="756"/>
        <w:gridCol w:w="489"/>
        <w:gridCol w:w="846"/>
        <w:gridCol w:w="505"/>
        <w:gridCol w:w="456"/>
        <w:gridCol w:w="16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3894"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905"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5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51323022T000006165070-义务教育公用经费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2023年起义务教育阶段学生县级公用经费补助标准，小学每生每年20元补助资金。义务教育阶段学生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义务教育阶段初中生j学生县级公用经费补助标准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义务教育阶段小学学生县级公用经费补助标准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1257</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义务教育阶段政策知晓率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接受义务教育阶段县级公用经费补助学生满意度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义务教育阶段全年资金总量（小学）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20160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义务教育阶段全年资金总量（初中)</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9560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51323022T000007356109-2022年城乡义务教育中省补助经费高海拔取暖费补助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51323023T000007629414-乡村教师生活补助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对于增强农村教师职业吸引力、鼓励城镇优秀教师到农村薄弱学 校任教、提高农村教育质量、保障农村学生接受优质教育、促进义务教育均衡发展和保障教育公平具有重大的现实意义。</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乡村教师生活补贴覆盖面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2025年年底前完成农村教师生活补助发放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提升农村教师生活水平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享受农村教师生活补助的教师满意度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对农村教师发放生活补助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51323023T000007662378-学前教育县级保教费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2013年起学前教育学生县级补助保教费，补助标准每生每年490元补助资金。学前保教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172970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51323023T000007663474-学前教育县级公用经费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2020年起学前阶段幼儿县级补助公用经费，补助标准每生每年500元资金。学前阶段县级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学前教育补助公用经费人数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学前教育公用经费发放时效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211800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51323023T000009579836-重大传染病防控补助资金（包虫病防治）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51323023T000009740699-中央和省级教育补助资金支持学前教育发展资金（“一村一幼”辅导员劳务报酬）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51323023T000009743263-第二批教育补助资金（城乡义务教育补助资金-农村教师生活补助））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51323023T000009840711-中央专项彩票公益金支持乡村学校少年宫资金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51323023T000009922690-公共卫生特别服务岗补助资金（校医）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12.13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12.13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51323024R000010440308-聘用人员经费（新）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260.84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260.84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70.41%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260.84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260.84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183.66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70.41%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51323024R000010441273-其他人员支出（新）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187.89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197.23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197.23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187.89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197.23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197.23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96.36</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156.27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156.27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226.88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320.88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226.88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320.88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51323024T000009962103-义务教育补助经费（高海拔取暖补助）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51323024T000012014592-非义务教育在校学生取暖费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全面落实相关经费保障，提高群众对教育认可度.  </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49420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29.52</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40.56%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29.52</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40.56%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276.45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276.45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51323025T000012409102-新疆西藏等地区特殊补助（辅导员提标补助）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51323025T000012539403-支持学前教育发展补助（高海拔取暖费）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51323025T000012671859-义务教育阶段学生县级公用经费补助（南木达教学点）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按时完成相关资金支付</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义教公用经费补助项目完成时间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51323025T000012671874-义务教育阶段学生县级公用经费补助（南木达传习所）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按时完成相关资金支付</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义教公用经费补助项目完成时间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39680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51323025T000012671911-非义务教育在校学生取暖费（南木达传习所）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按时完成相关相关费用发放，确保相关费用。</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年底前完成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51323025T000012988067-新疆西藏等地区教育特殊补助三区三州（控辍保学维修改造））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51323025T000013058533-南木达中小学校校园文化建设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51323025T000013064675-阿斯玛幼儿园房屋租金项目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51323025T000013088323-南木达中小学校民族团结进步示范学校建设项目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51323025T000013676855-城乡义务教育补助经费（公用经费）南木达教学点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51323025T000013676879-城乡义务教育补助经费（高海拔取暖费）南木达教育基地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51323025T000013682325-第三批“天府英才”工程专项资金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51323025T000013772434-城乡义务教育补助经费（公用）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147.84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147.84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51323025T000013877157-控辍保学“两基地一校区”学生节日慰问品资金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13.29</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51323025T000013903460-十五年免费教育经费补助资金（学前教育免除保教费）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36.24</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51323026T000014447041-壤塘县中小学生“走出阿坝看世界”研学活动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51323026T000014789390-中央和省级财政城乡义务教育补助经费公用经费（南木达教学点）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51323026T000014790086-城乡义务教育补助经费（综合奖补）-南木达教学点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92.31%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92.31%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51323026T000014790152-农村生活补助（第三、四批资金）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51323026T000014926237-义务教育在校学生取暖费（南木达教学点）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893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51323026T000015202281-全州教育发展质量提升奖励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20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66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壤塘县南木达中小学校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3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4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3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8931"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8931"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8931"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8931"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pPr>
        <w:numPr>
          <w:ilvl w:val="0"/>
          <w:numId w:val="0"/>
        </w:numPr>
        <w:ind w:leftChars="0"/>
        <w:rPr>
          <w:rFonts w:hint="eastAsia"/>
        </w:rPr>
      </w:pPr>
    </w:p>
    <w:p>
      <w:pPr>
        <w:pStyle w:val="3"/>
        <w:bidi w:val="0"/>
        <w:rPr>
          <w:rFonts w:hint="eastAsia" w:ascii="Times New Roman" w:hAnsi="Times New Roman" w:eastAsia="黑体" w:cs="黑体"/>
          <w:color w:val="auto"/>
          <w:szCs w:val="32"/>
          <w:highlight w:val="none"/>
        </w:rPr>
      </w:pPr>
      <w:bookmarkStart w:id="39" w:name="_Toc1306472321"/>
      <w:r>
        <w:rPr>
          <w:rFonts w:hint="eastAsia"/>
        </w:rPr>
        <w:t>第五部分 附表</w:t>
      </w:r>
      <w:bookmarkEnd w:id="39"/>
    </w:p>
    <w:p>
      <w:pPr>
        <w:pStyle w:val="4"/>
        <w:bidi w:val="0"/>
        <w:rPr>
          <w:rFonts w:hint="eastAsia"/>
        </w:rPr>
      </w:pPr>
      <w:bookmarkStart w:id="40" w:name="_Toc1539027616"/>
      <w:r>
        <w:rPr>
          <w:rFonts w:hint="eastAsia"/>
        </w:rPr>
        <w:t>一、收入支出决算总表</w:t>
      </w:r>
      <w:bookmarkEnd w:id="40"/>
    </w:p>
    <w:p>
      <w:pPr>
        <w:pStyle w:val="4"/>
        <w:bidi w:val="0"/>
        <w:rPr>
          <w:rFonts w:hint="eastAsia"/>
        </w:rPr>
      </w:pPr>
      <w:bookmarkStart w:id="41" w:name="_Toc491753774"/>
      <w:r>
        <w:rPr>
          <w:rFonts w:hint="eastAsia"/>
        </w:rPr>
        <w:t>二、收入决算表</w:t>
      </w:r>
      <w:bookmarkEnd w:id="41"/>
    </w:p>
    <w:p>
      <w:pPr>
        <w:pStyle w:val="4"/>
        <w:bidi w:val="0"/>
        <w:rPr>
          <w:rFonts w:hint="eastAsia"/>
        </w:rPr>
      </w:pPr>
      <w:bookmarkStart w:id="42" w:name="_Toc1012992450"/>
      <w:r>
        <w:rPr>
          <w:rFonts w:hint="eastAsia"/>
        </w:rPr>
        <w:t>三、支出决算表</w:t>
      </w:r>
      <w:bookmarkEnd w:id="42"/>
    </w:p>
    <w:p>
      <w:pPr>
        <w:pStyle w:val="4"/>
        <w:bidi w:val="0"/>
        <w:rPr>
          <w:rFonts w:hint="eastAsia"/>
        </w:rPr>
      </w:pPr>
      <w:bookmarkStart w:id="43" w:name="_Toc1341693054"/>
      <w:r>
        <w:rPr>
          <w:rFonts w:hint="eastAsia"/>
        </w:rPr>
        <w:t>四、财政拨款收入支出决算总表</w:t>
      </w:r>
      <w:bookmarkEnd w:id="43"/>
    </w:p>
    <w:p>
      <w:pPr>
        <w:pStyle w:val="4"/>
        <w:bidi w:val="0"/>
        <w:rPr>
          <w:rFonts w:hint="eastAsia"/>
        </w:rPr>
      </w:pPr>
      <w:bookmarkStart w:id="44" w:name="_Toc99875538"/>
      <w:r>
        <w:rPr>
          <w:rFonts w:hint="eastAsia"/>
        </w:rPr>
        <w:t>五、财政拨款支出决算明细表</w:t>
      </w:r>
      <w:bookmarkEnd w:id="44"/>
    </w:p>
    <w:p>
      <w:pPr>
        <w:pStyle w:val="4"/>
        <w:bidi w:val="0"/>
        <w:rPr>
          <w:rFonts w:hint="eastAsia"/>
        </w:rPr>
      </w:pPr>
      <w:bookmarkStart w:id="45" w:name="_Toc88068783"/>
      <w:r>
        <w:rPr>
          <w:rFonts w:hint="eastAsia"/>
        </w:rPr>
        <w:t>六、一般公共预算财政拨款支出决算表</w:t>
      </w:r>
      <w:bookmarkEnd w:id="45"/>
    </w:p>
    <w:p>
      <w:pPr>
        <w:pStyle w:val="4"/>
        <w:bidi w:val="0"/>
        <w:rPr>
          <w:rFonts w:hint="eastAsia"/>
        </w:rPr>
      </w:pPr>
      <w:bookmarkStart w:id="46" w:name="_Toc1346034309"/>
      <w:r>
        <w:rPr>
          <w:rFonts w:hint="eastAsia"/>
        </w:rPr>
        <w:t>七、一般公共预算财政拨款支出决算明细表</w:t>
      </w:r>
      <w:bookmarkEnd w:id="46"/>
    </w:p>
    <w:p>
      <w:pPr>
        <w:pStyle w:val="4"/>
        <w:bidi w:val="0"/>
        <w:rPr>
          <w:rFonts w:hint="eastAsia"/>
        </w:rPr>
      </w:pPr>
      <w:bookmarkStart w:id="47" w:name="_Toc1410564229"/>
      <w:r>
        <w:rPr>
          <w:rFonts w:hint="eastAsia"/>
        </w:rPr>
        <w:t>八、一般公共预算财政拨款基本支出决算</w:t>
      </w:r>
      <w:r>
        <w:rPr>
          <w:rFonts w:hint="eastAsia"/>
          <w:lang w:eastAsia="zh-CN"/>
        </w:rPr>
        <w:t>明细</w:t>
      </w:r>
      <w:r>
        <w:rPr>
          <w:rFonts w:hint="eastAsia"/>
        </w:rPr>
        <w:t>表</w:t>
      </w:r>
      <w:bookmarkEnd w:id="47"/>
    </w:p>
    <w:p>
      <w:pPr>
        <w:pStyle w:val="4"/>
        <w:bidi w:val="0"/>
        <w:rPr>
          <w:rFonts w:hint="eastAsia"/>
        </w:rPr>
      </w:pPr>
      <w:bookmarkStart w:id="48" w:name="_Toc1305200010"/>
      <w:r>
        <w:rPr>
          <w:rFonts w:hint="eastAsia"/>
        </w:rPr>
        <w:t>九、一般公共预算财政拨款项目支出决算表</w:t>
      </w:r>
      <w:bookmarkEnd w:id="48"/>
    </w:p>
    <w:p>
      <w:pPr>
        <w:pStyle w:val="4"/>
        <w:bidi w:val="0"/>
        <w:rPr>
          <w:rFonts w:hint="eastAsia"/>
        </w:rPr>
      </w:pPr>
      <w:bookmarkStart w:id="49" w:name="_Toc912878720"/>
      <w:r>
        <w:rPr>
          <w:rFonts w:hint="eastAsia"/>
        </w:rPr>
        <w:t>十、政府性基金预算财政拨款收入支出决算表</w:t>
      </w:r>
      <w:bookmarkEnd w:id="49"/>
    </w:p>
    <w:p>
      <w:pPr>
        <w:pStyle w:val="4"/>
        <w:bidi w:val="0"/>
        <w:rPr>
          <w:rFonts w:hint="eastAsia"/>
        </w:rPr>
      </w:pPr>
      <w:bookmarkStart w:id="50" w:name="_Toc1233981353"/>
      <w:r>
        <w:rPr>
          <w:rFonts w:hint="eastAsia"/>
        </w:rPr>
        <w:t>十一、国有资本经营预算财政拨款收入支出决算表</w:t>
      </w:r>
      <w:bookmarkEnd w:id="50"/>
    </w:p>
    <w:p>
      <w:pPr>
        <w:pStyle w:val="4"/>
        <w:bidi w:val="0"/>
        <w:rPr>
          <w:rFonts w:hint="eastAsia"/>
        </w:rPr>
      </w:pPr>
      <w:bookmarkStart w:id="51" w:name="_Toc2008979460"/>
      <w:r>
        <w:rPr>
          <w:rFonts w:hint="eastAsia"/>
        </w:rPr>
        <w:t>十二、</w:t>
      </w:r>
      <w:r>
        <w:rPr>
          <w:rFonts w:hint="eastAsia"/>
          <w:lang w:val="en-US" w:eastAsia="zh-CN"/>
        </w:rPr>
        <w:t>国有资本经营预算财政拨款支出决算表</w:t>
      </w:r>
      <w:bookmarkEnd w:id="51"/>
    </w:p>
    <w:p>
      <w:pPr>
        <w:pStyle w:val="4"/>
        <w:bidi w:val="0"/>
        <w:rPr>
          <w:rFonts w:hint="eastAsia"/>
          <w:lang w:eastAsia="zh-CN"/>
        </w:rPr>
      </w:pPr>
      <w:bookmarkStart w:id="52" w:name="_Toc2000406723"/>
      <w:r>
        <w:rPr>
          <w:rFonts w:hint="eastAsia"/>
        </w:rPr>
        <w:t>十三、财政拨款“三公”经费支出决算表</w:t>
      </w:r>
      <w:bookmarkEnd w:id="52"/>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simhei">
    <w:altName w:val="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81BCD"/>
    <w:multiLevelType w:val="singleLevel"/>
    <w:tmpl w:val="B2281BCD"/>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26548"/>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ECFEFAA"/>
    <w:rsid w:val="CF6FC6F3"/>
    <w:rsid w:val="CFD3D3D7"/>
    <w:rsid w:val="CFDF1009"/>
    <w:rsid w:val="D7667D26"/>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BEA3AE"/>
    <w:rsid w:val="FA5F1E70"/>
    <w:rsid w:val="FA5FDB97"/>
    <w:rsid w:val="FB7F486A"/>
    <w:rsid w:val="FBFF5B2E"/>
    <w:rsid w:val="FD7FFE2B"/>
    <w:rsid w:val="FDEE196B"/>
    <w:rsid w:val="FDFE6575"/>
    <w:rsid w:val="FEDFDDC2"/>
    <w:rsid w:val="FEED32F6"/>
    <w:rsid w:val="FEF781DD"/>
    <w:rsid w:val="FF3F7E3F"/>
    <w:rsid w:val="FFBA12D7"/>
    <w:rsid w:val="FFC33AEF"/>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2756;&#22616;&#21439;&#36130;&#25919;&#23616;&#20851;&#20110;&#25209;&#22797;2025&#24180;&#37096;&#38376;&#20915;&#31639;&#21450;&#24320;&#23637;&#20915;&#31639;&#20844;&#24320;&#24037;&#20316;&#30340;&#36890;&#30693;/2020&#24180;&#37096;&#38376;&#20915;&#31639;&#25253;&#21578;&#22635;&#25968;&#23383;&#21450;&#30011;&#22270;&#34920;&#29992;&#27169;&#26495;&#27491;&#30830;&#65288;&#20915;&#31639;&#20844;&#24320;&#29992;&#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'[2020年部门决算报告填数字及画图表用模板正确（决算公开用）.xls]图表'!$A$27:$A$30</c:f>
              <c:strCache>
                <c:ptCount val="4"/>
                <c:pt idx="0">
                  <c:v>2025年决算收入</c:v>
                </c:pt>
                <c:pt idx="1">
                  <c:v>2024年决算收入</c:v>
                </c:pt>
                <c:pt idx="2">
                  <c:v>2025年决算支出</c:v>
                </c:pt>
                <c:pt idx="3">
                  <c:v>2024年决算支出</c:v>
                </c:pt>
              </c:strCache>
            </c:strRef>
          </c:cat>
          <c:val>
            <c:numRef>
              <c:f>'[2020年部门决算报告填数字及画图表用模板正确（决算公开用）.xls]图表'!$B$27:$B$30</c:f>
              <c:numCache>
                <c:formatCode>#,##0.00</c:formatCode>
                <c:ptCount val="4"/>
                <c:pt idx="0">
                  <c:v>2763.93</c:v>
                </c:pt>
                <c:pt idx="1" c:formatCode="General">
                  <c:v>2140.96</c:v>
                </c:pt>
                <c:pt idx="2">
                  <c:v>2763.93</c:v>
                </c:pt>
                <c:pt idx="3" c:formatCode="General">
                  <c:v>2140.96</c:v>
                </c:pt>
              </c:numCache>
            </c:numRef>
          </c:val>
        </c:ser>
        <c:dLbls>
          <c:showLegendKey val="0"/>
          <c:showVal val="0"/>
          <c:showCatName val="0"/>
          <c:showSerName val="0"/>
          <c:showPercent val="0"/>
          <c:showBubbleSize val="0"/>
        </c:dLbls>
        <c:gapWidth val="219"/>
        <c:overlap val="-27"/>
        <c:axId val="153630997"/>
        <c:axId val="516466519"/>
      </c:barChart>
      <c:catAx>
        <c:axId val="15363099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466519"/>
        <c:crosses val="autoZero"/>
        <c:auto val="1"/>
        <c:lblAlgn val="ctr"/>
        <c:lblOffset val="100"/>
        <c:noMultiLvlLbl val="0"/>
      </c:catAx>
      <c:valAx>
        <c:axId val="516466519"/>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63099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收入决算情况</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manualLayout>
          <c:layoutTarget val="inner"/>
          <c:xMode val="edge"/>
          <c:yMode val="edge"/>
          <c:x val="0.297654941373534"/>
          <c:y val="0.18603515625"/>
          <c:w val="0.399664991624791"/>
          <c:h val="0.5825195312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0"/>
              <c:layout>
                <c:manualLayout>
                  <c:x val="0.110552763819095"/>
                  <c:y val="-0.007324218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57286432160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065326633165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'[2020年部门决算报告填数字及画图表用模板正确（决算公开用）.xls]图表'!$A$9:$A$11</c:f>
              <c:strCache>
                <c:ptCount val="3"/>
                <c:pt idx="0">
                  <c:v>一般公共预算财政拨款收入</c:v>
                </c:pt>
                <c:pt idx="1">
                  <c:v>政府性基金预算财政拨款收入</c:v>
                </c:pt>
                <c:pt idx="2">
                  <c:v>其他收入</c:v>
                </c:pt>
              </c:strCache>
            </c:strRef>
          </c:cat>
          <c:val>
            <c:numRef>
              <c:f>'[2020年部门决算报告填数字及画图表用模板正确（决算公开用）.xls]图表'!$B$9:$B$11</c:f>
              <c:numCache>
                <c:formatCode>#,##0.00</c:formatCode>
                <c:ptCount val="3"/>
                <c:pt idx="0">
                  <c:v>2762.93</c:v>
                </c:pt>
                <c:pt idx="1" c:formatCode="General">
                  <c:v>1</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0480923372875922"/>
          <c:y val="0.81792237442922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支出决算结构图（单位：万元）</a:t>
            </a:r>
            <a:endParaRPr lang="en-US" alt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238772338772339"/>
          <c:y val="0.035275672850797"/>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0140383909359"/>
                  <c:y val="-0.09449215830286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7506358389267"/>
                  <c:y val="0.09215804939917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'[2020年部门决算报告填数字及画图表用模板正确（决算公开用）.xls]图表'!$A$48:$A$49</c:f>
              <c:strCache>
                <c:ptCount val="2"/>
                <c:pt idx="0">
                  <c:v>基本支出</c:v>
                </c:pt>
                <c:pt idx="1">
                  <c:v>项目支出</c:v>
                </c:pt>
              </c:strCache>
            </c:strRef>
          </c:cat>
          <c:val>
            <c:numRef>
              <c:f>'[2020年部门决算报告填数字及画图表用模板正确（决算公开用）.xls]图表'!$B$48:$B$49</c:f>
              <c:numCache>
                <c:formatCode>General</c:formatCode>
                <c:ptCount val="2"/>
                <c:pt idx="0">
                  <c:v>2286.39</c:v>
                </c:pt>
                <c:pt idx="1">
                  <c:v>477.54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360994560994561"/>
          <c:y val="0.162685441287403"/>
          <c:w val="0.305982905982906"/>
          <c:h val="0.0837314558712597"/>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财政拨款收、支决算总计变动情况（单位：万元）</a:t>
            </a:r>
            <a:endParaRPr sz="12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9731727347386"/>
          <c:y val="0.03881541115583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'[2020年部门决算报告填数字及画图表用模板正确（决算公开用）.xls]图表'!$A$3:$A$6</c:f>
              <c:strCache>
                <c:ptCount val="4"/>
                <c:pt idx="0">
                  <c:v>2024年一般公共预算财政拨款收入</c:v>
                </c:pt>
                <c:pt idx="1">
                  <c:v>2025年一般公共预算财政拨款收入</c:v>
                </c:pt>
                <c:pt idx="2">
                  <c:v>2024年一般公共预算财政拨款支出</c:v>
                </c:pt>
                <c:pt idx="3">
                  <c:v>2025年一般公共预算财政拨款支出</c:v>
                </c:pt>
              </c:strCache>
            </c:strRef>
          </c:cat>
          <c:val>
            <c:numRef>
              <c:f>'[2020年部门决算报告填数字及画图表用模板正确（决算公开用）.xls]图表'!$B$3:$B$6</c:f>
              <c:numCache>
                <c:formatCode>General</c:formatCode>
                <c:ptCount val="4"/>
                <c:pt idx="0">
                  <c:v>2140.96</c:v>
                </c:pt>
                <c:pt idx="1" c:formatCode="#,##0.00">
                  <c:v>2763.93</c:v>
                </c:pt>
                <c:pt idx="2">
                  <c:v>2140.96</c:v>
                </c:pt>
                <c:pt idx="3" c:formatCode="#,##0.00">
                  <c:v>2763.93</c:v>
                </c:pt>
              </c:numCache>
            </c:numRef>
          </c:val>
        </c:ser>
        <c:dLbls>
          <c:showLegendKey val="0"/>
          <c:showVal val="0"/>
          <c:showCatName val="0"/>
          <c:showSerName val="0"/>
          <c:showPercent val="0"/>
          <c:showBubbleSize val="0"/>
        </c:dLbls>
        <c:gapWidth val="150"/>
        <c:overlap val="0"/>
        <c:axId val="161892889"/>
        <c:axId val="771723063"/>
      </c:barChart>
      <c:catAx>
        <c:axId val="16189288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23063"/>
        <c:crosses val="autoZero"/>
        <c:auto val="1"/>
        <c:lblAlgn val="ctr"/>
        <c:lblOffset val="100"/>
        <c:noMultiLvlLbl val="0"/>
      </c:catAx>
      <c:valAx>
        <c:axId val="77172306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89288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922500213932261"/>
          <c:y val="0.0466497031382528"/>
        </c:manualLayout>
      </c:layout>
      <c:overlay val="0"/>
      <c:spPr>
        <a:noFill/>
        <a:ln>
          <a:noFill/>
        </a:ln>
        <a:effectLst/>
      </c:spPr>
    </c:title>
    <c:autoTitleDeleted val="0"/>
    <c:plotArea>
      <c:layout>
        <c:manualLayout>
          <c:layoutTarget val="inner"/>
          <c:xMode val="edge"/>
          <c:yMode val="edge"/>
          <c:x val="0.0743569039104856"/>
          <c:y val="0.215436810856658"/>
          <c:w val="0.901995616564771"/>
          <c:h val="0.64783715012722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'[2020年部门决算报告填数字及画图表用模板正确（决算公开用）.xls]图表'!$A$52:$A$53</c:f>
              <c:strCache>
                <c:ptCount val="2"/>
                <c:pt idx="0">
                  <c:v>2024年</c:v>
                </c:pt>
                <c:pt idx="1">
                  <c:v>2025年</c:v>
                </c:pt>
              </c:strCache>
            </c:strRef>
          </c:cat>
          <c:val>
            <c:numRef>
              <c:f>'[2020年部门决算报告填数字及画图表用模板正确（决算公开用）.xls]图表'!$B$52:$B$53</c:f>
              <c:numCache>
                <c:formatCode>General</c:formatCode>
                <c:ptCount val="2"/>
                <c:pt idx="0">
                  <c:v>2139.46</c:v>
                </c:pt>
                <c:pt idx="1" c:formatCode="#,##0.00">
                  <c:v>2762.93</c:v>
                </c:pt>
              </c:numCache>
            </c:numRef>
          </c:val>
        </c:ser>
        <c:dLbls>
          <c:showLegendKey val="0"/>
          <c:showVal val="0"/>
          <c:showCatName val="0"/>
          <c:showSerName val="0"/>
          <c:showPercent val="0"/>
          <c:showBubbleSize val="0"/>
        </c:dLbls>
        <c:gapWidth val="219"/>
        <c:overlap val="-27"/>
        <c:axId val="669574335"/>
        <c:axId val="792285021"/>
      </c:barChart>
      <c:catAx>
        <c:axId val="66957433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285021"/>
        <c:crosses val="autoZero"/>
        <c:auto val="1"/>
        <c:lblAlgn val="ctr"/>
        <c:lblOffset val="100"/>
        <c:noMultiLvlLbl val="0"/>
      </c:catAx>
      <c:valAx>
        <c:axId val="7922850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5743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382113821138"/>
          <c:y val="0.027230290456431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dLbl>
              <c:idx val="0"/>
              <c:layout>
                <c:manualLayout>
                  <c:x val="0.149271385418258"/>
                  <c:y val="0.03755717686971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141887829229995"/>
                  <c:y val="-0.0099856479426339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170539308436473"/>
                  <c:y val="-0.03864842386805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68292682926829"/>
                  <c:y val="-0.018020588778199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5388652162766"/>
                  <c:y val="-0.042948555624511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00045789042163123"/>
                  <c:y val="-0.0086827457920049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'[2020年部门决算报告填数字及画图表用模板正确（决算公开用）.xls]图表'!$A$19:$A$24</c:f>
              <c:strCache>
                <c:ptCount val="6"/>
                <c:pt idx="0">
                  <c:v>一般公共服务支出</c:v>
                </c:pt>
                <c:pt idx="1">
                  <c:v>教育支出</c:v>
                </c:pt>
                <c:pt idx="2">
                  <c:v>社会保障和就业支出</c:v>
                </c:pt>
                <c:pt idx="3">
                  <c:v>卫生健康支出</c:v>
                </c:pt>
                <c:pt idx="4">
                  <c:v>住房保障支出</c:v>
                </c:pt>
                <c:pt idx="5">
                  <c:v>其他支出</c:v>
                </c:pt>
              </c:strCache>
            </c:strRef>
          </c:cat>
          <c:val>
            <c:numRef>
              <c:f>'[2020年部门决算报告填数字及画图表用模板正确（决算公开用）.xls]图表'!$B$19:$B$24</c:f>
              <c:numCache>
                <c:formatCode>General</c:formatCode>
                <c:ptCount val="6"/>
                <c:pt idx="0">
                  <c:v>29</c:v>
                </c:pt>
                <c:pt idx="1">
                  <c:v>2164.05</c:v>
                </c:pt>
                <c:pt idx="2">
                  <c:v>295.84</c:v>
                </c:pt>
                <c:pt idx="3">
                  <c:v>113.06</c:v>
                </c:pt>
                <c:pt idx="4">
                  <c:v>160.97</c:v>
                </c:pt>
                <c:pt idx="5">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47</Pages>
  <Words>1299</Words>
  <Characters>7410</Characters>
  <Lines>61</Lines>
  <Paragraphs>17</Paragraphs>
  <TotalTime>11</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2026-08-05T01:27:00Z</cp:lastPrinted>
  <dcterms:modified xsi:type="dcterms:W3CDTF">2026-10-29T20:10:24Z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