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7425"/>
      <w:bookmarkStart w:id="1" w:name="_Toc15396597"/>
      <w:bookmarkStart w:id="2" w:name="_Toc15396475"/>
      <w:bookmarkStart w:id="3" w:name="_Toc15377193"/>
      <w:bookmarkStart w:id="4" w:name="_Toc15306267"/>
      <w:bookmarkStart w:id="5" w:name="_Toc15378441"/>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尕多乡中心校</w:t>
      </w: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br w:type="page"/>
      </w:r>
    </w:p>
    <w:p>
      <w:pPr>
        <w:pStyle w:val="2"/>
        <w:rPr>
          <w:rFonts w:hint="eastAsia"/>
        </w:rPr>
      </w:pPr>
    </w:p>
    <w:bookmarkEnd w:id="0"/>
    <w:bookmarkEnd w:id="1"/>
    <w:bookmarkEnd w:id="2"/>
    <w:bookmarkEnd w:id="3"/>
    <w:bookmarkEnd w:id="4"/>
    <w:bookmarkEnd w:id="5"/>
    <w:p>
      <w:pPr>
        <w:widowControl/>
        <w:jc w:val="center"/>
      </w:pPr>
      <w:r>
        <w:rPr>
          <w:rFonts w:hint="eastAsia" w:ascii="Times New Roman" w:hAnsi="Times New Roman" w:eastAsia="黑体"/>
          <w:color w:val="auto"/>
          <w:sz w:val="48"/>
          <w:szCs w:val="48"/>
          <w:highlight w:val="none"/>
        </w:rPr>
        <w:t>目录</w:t>
      </w:r>
    </w:p>
    <w:p>
      <w:pPr>
        <w:pStyle w:val="12"/>
        <w:rPr>
          <w:rFonts w:hint="eastAsia"/>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28 </w:t>
      </w:r>
      <w:r>
        <w:rPr>
          <w:rFonts w:hint="eastAsia" w:ascii="Times New Roman" w:hAnsi="Times New Roman" w:eastAsia="仿宋_GB2312" w:cs="仿宋_GB2312"/>
          <w:color w:val="auto"/>
          <w:sz w:val="32"/>
          <w:szCs w:val="32"/>
          <w:highlight w:val="none"/>
        </w:rPr>
        <w:t>日</w:t>
      </w:r>
    </w:p>
    <w:p>
      <w:pPr>
        <w:pStyle w:val="12"/>
        <w:tabs>
          <w:tab w:val="right" w:leader="dot" w:pos="8306"/>
          <w:tab w:val="clear" w:pos="8296"/>
        </w:tabs>
      </w:pPr>
      <w:r>
        <w:rPr>
          <w:rFonts w:ascii="仿宋" w:hAnsi="仿宋" w:eastAsia="仿宋"/>
          <w:bCs/>
          <w:color w:val="auto"/>
          <w:kern w:val="44"/>
          <w:sz w:val="24"/>
          <w:highlight w:val="none"/>
        </w:rPr>
        <w:fldChar w:fldCharType="begin"/>
      </w:r>
      <w:r>
        <w:rPr>
          <w:rFonts w:ascii="仿宋" w:hAnsi="仿宋" w:eastAsia="仿宋"/>
          <w:bCs/>
          <w:color w:val="auto"/>
          <w:kern w:val="44"/>
          <w:sz w:val="24"/>
          <w:highlight w:val="none"/>
        </w:rPr>
        <w:instrText xml:space="preserve">TOC \o "1-2" \h \u </w:instrText>
      </w:r>
      <w:r>
        <w:rPr>
          <w:rFonts w:ascii="仿宋" w:hAnsi="仿宋" w:eastAsia="仿宋"/>
          <w:bCs/>
          <w:color w:val="auto"/>
          <w:kern w:val="44"/>
          <w:sz w:val="24"/>
          <w:highlight w:val="none"/>
        </w:rPr>
        <w:fldChar w:fldCharType="separate"/>
      </w: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_Toc1368871635 </w:instrText>
      </w:r>
      <w:r>
        <w:rPr>
          <w:rFonts w:ascii="仿宋" w:hAnsi="仿宋" w:eastAsia="仿宋"/>
          <w:bCs/>
          <w:kern w:val="44"/>
          <w:highlight w:val="none"/>
        </w:rPr>
        <w:fldChar w:fldCharType="separate"/>
      </w:r>
      <w:r>
        <w:rPr>
          <w:rFonts w:hint="eastAsia"/>
        </w:rPr>
        <w:t>第一部分 部门概况</w:t>
      </w:r>
      <w:r>
        <w:tab/>
      </w:r>
      <w:r>
        <w:fldChar w:fldCharType="begin"/>
      </w:r>
      <w:r>
        <w:instrText xml:space="preserve"> PAGEREF _Toc1368871635 \h </w:instrText>
      </w:r>
      <w:r>
        <w:fldChar w:fldCharType="separate"/>
      </w:r>
      <w:r>
        <w:t>1</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_Toc1804284998 </w:instrText>
      </w:r>
      <w:r>
        <w:rPr>
          <w:rFonts w:ascii="仿宋" w:hAnsi="仿宋" w:eastAsia="仿宋"/>
          <w:bCs/>
          <w:kern w:val="44"/>
          <w:highlight w:val="none"/>
        </w:rPr>
        <w:fldChar w:fldCharType="separate"/>
      </w:r>
      <w:r>
        <w:rPr>
          <w:rFonts w:hint="eastAsia"/>
        </w:rPr>
        <w:t>一、</w:t>
      </w:r>
      <w:r>
        <w:rPr>
          <w:rFonts w:hint="eastAsia"/>
          <w:lang w:eastAsia="zh-CN"/>
        </w:rPr>
        <w:t>部门职责</w:t>
      </w:r>
      <w:r>
        <w:tab/>
      </w:r>
      <w:r>
        <w:fldChar w:fldCharType="begin"/>
      </w:r>
      <w:r>
        <w:instrText xml:space="preserve"> PAGEREF _Toc1804284998 \h </w:instrText>
      </w:r>
      <w:r>
        <w:fldChar w:fldCharType="separate"/>
      </w:r>
      <w:r>
        <w:t>1</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_Toc871127223 </w:instrText>
      </w:r>
      <w:r>
        <w:rPr>
          <w:rFonts w:ascii="仿宋" w:hAnsi="仿宋" w:eastAsia="仿宋"/>
          <w:bCs/>
          <w:kern w:val="44"/>
          <w:highlight w:val="none"/>
        </w:rPr>
        <w:fldChar w:fldCharType="separate"/>
      </w:r>
      <w:r>
        <w:rPr>
          <w:rFonts w:hint="eastAsia"/>
        </w:rPr>
        <w:t>二</w:t>
      </w:r>
      <w:r>
        <w:rPr>
          <w:rFonts w:hint="eastAsia"/>
          <w:lang w:eastAsia="zh-CN"/>
        </w:rPr>
        <w:t>、本年度</w:t>
      </w:r>
      <w:r>
        <w:rPr>
          <w:rFonts w:hint="eastAsia"/>
        </w:rPr>
        <w:t>重点工作完成情况。</w:t>
      </w:r>
      <w:r>
        <w:tab/>
      </w:r>
      <w:r>
        <w:fldChar w:fldCharType="begin"/>
      </w:r>
      <w:r>
        <w:instrText xml:space="preserve"> PAGEREF _Toc871127223 \h </w:instrText>
      </w:r>
      <w:r>
        <w:fldChar w:fldCharType="separate"/>
      </w:r>
      <w:r>
        <w:t>8</w:t>
      </w:r>
      <w:r>
        <w:fldChar w:fldCharType="end"/>
      </w:r>
      <w:r>
        <w:rPr>
          <w:rFonts w:ascii="仿宋" w:hAnsi="仿宋" w:eastAsia="仿宋"/>
          <w:bCs/>
          <w:color w:val="auto"/>
          <w:kern w:val="44"/>
          <w:highlight w:val="none"/>
        </w:rPr>
        <w:fldChar w:fldCharType="end"/>
      </w:r>
    </w:p>
    <w:p>
      <w:pPr>
        <w:pStyle w:val="12"/>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_Toc1936683348 </w:instrText>
      </w:r>
      <w:r>
        <w:rPr>
          <w:rFonts w:ascii="仿宋" w:hAnsi="仿宋" w:eastAsia="仿宋"/>
          <w:bCs/>
          <w:kern w:val="44"/>
          <w:highlight w:val="none"/>
        </w:rPr>
        <w:fldChar w:fldCharType="separate"/>
      </w:r>
      <w:r>
        <w:rPr>
          <w:rFonts w:hint="eastAsia"/>
        </w:rPr>
        <w:t>第二部分</w:t>
      </w:r>
      <w:r>
        <w:rPr>
          <w:rFonts w:hint="eastAsia"/>
          <w:lang w:val="en-US" w:eastAsia="zh-CN"/>
        </w:rPr>
        <w:t xml:space="preserve"> 2025年度</w:t>
      </w:r>
      <w:r>
        <w:rPr>
          <w:rFonts w:hint="eastAsia"/>
        </w:rPr>
        <w:t>部门决算情况说明</w:t>
      </w:r>
      <w:r>
        <w:tab/>
      </w:r>
      <w:r>
        <w:fldChar w:fldCharType="begin"/>
      </w:r>
      <w:r>
        <w:instrText xml:space="preserve"> PAGEREF _Toc1936683348 \h </w:instrText>
      </w:r>
      <w:r>
        <w:fldChar w:fldCharType="separate"/>
      </w:r>
      <w:r>
        <w:t>11</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_Toc1177157408 </w:instrText>
      </w:r>
      <w:r>
        <w:rPr>
          <w:rFonts w:ascii="仿宋" w:hAnsi="仿宋" w:eastAsia="仿宋"/>
          <w:bCs/>
          <w:kern w:val="44"/>
          <w:highlight w:val="none"/>
        </w:rPr>
        <w:fldChar w:fldCharType="separate"/>
      </w:r>
      <w:r>
        <w:rPr>
          <w:rFonts w:hint="eastAsia"/>
        </w:rPr>
        <w:t>一、收入支出决算总体情况说明</w:t>
      </w:r>
      <w:r>
        <w:tab/>
      </w:r>
      <w:r>
        <w:fldChar w:fldCharType="begin"/>
      </w:r>
      <w:r>
        <w:instrText xml:space="preserve"> PAGEREF _Toc1177157408 \h </w:instrText>
      </w:r>
      <w:r>
        <w:fldChar w:fldCharType="separate"/>
      </w:r>
      <w:r>
        <w:t>11</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_Toc709509408 </w:instrText>
      </w:r>
      <w:r>
        <w:rPr>
          <w:rFonts w:ascii="仿宋" w:hAnsi="仿宋" w:eastAsia="仿宋"/>
          <w:bCs/>
          <w:kern w:val="44"/>
          <w:highlight w:val="none"/>
        </w:rPr>
        <w:fldChar w:fldCharType="separate"/>
      </w:r>
      <w:r>
        <w:rPr>
          <w:rFonts w:hint="eastAsia"/>
        </w:rPr>
        <w:t>二、收入决算情况说明</w:t>
      </w:r>
      <w:r>
        <w:tab/>
      </w:r>
      <w:r>
        <w:fldChar w:fldCharType="begin"/>
      </w:r>
      <w:r>
        <w:instrText xml:space="preserve"> PAGEREF _Toc709509408 \h </w:instrText>
      </w:r>
      <w:r>
        <w:fldChar w:fldCharType="separate"/>
      </w:r>
      <w:r>
        <w:t>12</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_Toc1840128053 </w:instrText>
      </w:r>
      <w:r>
        <w:rPr>
          <w:rFonts w:ascii="仿宋" w:hAnsi="仿宋" w:eastAsia="仿宋"/>
          <w:bCs/>
          <w:kern w:val="44"/>
          <w:highlight w:val="none"/>
        </w:rPr>
        <w:fldChar w:fldCharType="separate"/>
      </w:r>
      <w:r>
        <w:rPr>
          <w:rFonts w:hint="eastAsia"/>
        </w:rPr>
        <w:t>三、支出决算情况说明</w:t>
      </w:r>
      <w:r>
        <w:tab/>
      </w:r>
      <w:r>
        <w:fldChar w:fldCharType="begin"/>
      </w:r>
      <w:r>
        <w:instrText xml:space="preserve"> PAGEREF _Toc1840128053 \h </w:instrText>
      </w:r>
      <w:r>
        <w:fldChar w:fldCharType="separate"/>
      </w:r>
      <w:r>
        <w:t>13</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_Toc1046151398 </w:instrText>
      </w:r>
      <w:r>
        <w:rPr>
          <w:rFonts w:ascii="仿宋" w:hAnsi="仿宋" w:eastAsia="仿宋"/>
          <w:bCs/>
          <w:kern w:val="44"/>
          <w:highlight w:val="none"/>
        </w:rPr>
        <w:fldChar w:fldCharType="separate"/>
      </w:r>
      <w:r>
        <w:rPr>
          <w:rFonts w:hint="eastAsia"/>
        </w:rPr>
        <w:t>四、财政拨款收入支出决算总体情况说明</w:t>
      </w:r>
      <w:r>
        <w:tab/>
      </w:r>
      <w:r>
        <w:fldChar w:fldCharType="begin"/>
      </w:r>
      <w:r>
        <w:instrText xml:space="preserve"> PAGEREF _Toc1046151398 \h </w:instrText>
      </w:r>
      <w:r>
        <w:fldChar w:fldCharType="separate"/>
      </w:r>
      <w:r>
        <w:t>13</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_Toc403281292 </w:instrText>
      </w:r>
      <w:r>
        <w:rPr>
          <w:rFonts w:ascii="仿宋" w:hAnsi="仿宋" w:eastAsia="仿宋"/>
          <w:bCs/>
          <w:kern w:val="44"/>
          <w:highlight w:val="none"/>
        </w:rPr>
        <w:fldChar w:fldCharType="separate"/>
      </w:r>
      <w:r>
        <w:rPr>
          <w:rFonts w:hint="eastAsia"/>
        </w:rPr>
        <w:t>五、一般公共预算财政拨款支出决算情况说明</w:t>
      </w:r>
      <w:r>
        <w:tab/>
      </w:r>
      <w:r>
        <w:fldChar w:fldCharType="begin"/>
      </w:r>
      <w:r>
        <w:instrText xml:space="preserve"> PAGEREF _Toc403281292 \h </w:instrText>
      </w:r>
      <w:r>
        <w:fldChar w:fldCharType="separate"/>
      </w:r>
      <w:r>
        <w:t>14</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_Toc1467530131 </w:instrText>
      </w:r>
      <w:r>
        <w:rPr>
          <w:rFonts w:ascii="仿宋" w:hAnsi="仿宋" w:eastAsia="仿宋"/>
          <w:bCs/>
          <w:kern w:val="44"/>
          <w:highlight w:val="none"/>
        </w:rPr>
        <w:fldChar w:fldCharType="separate"/>
      </w:r>
      <w:r>
        <w:rPr>
          <w:rFonts w:hint="eastAsia"/>
        </w:rPr>
        <w:t>六、一般公共预算财政拨款基本支出决算情况说明</w:t>
      </w:r>
      <w:r>
        <w:tab/>
      </w:r>
      <w:r>
        <w:fldChar w:fldCharType="begin"/>
      </w:r>
      <w:r>
        <w:instrText xml:space="preserve"> PAGEREF _Toc1467530131 \h </w:instrText>
      </w:r>
      <w:r>
        <w:fldChar w:fldCharType="separate"/>
      </w:r>
      <w:r>
        <w:t>17</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_Toc112094820 </w:instrText>
      </w:r>
      <w:r>
        <w:rPr>
          <w:rFonts w:ascii="仿宋" w:hAnsi="仿宋" w:eastAsia="仿宋"/>
          <w:bCs/>
          <w:kern w:val="44"/>
          <w:highlight w:val="none"/>
        </w:rPr>
        <w:fldChar w:fldCharType="separate"/>
      </w:r>
      <w:r>
        <w:rPr>
          <w:rFonts w:hint="eastAsia"/>
          <w:lang w:eastAsia="zh-CN"/>
        </w:rPr>
        <w:t>七、</w:t>
      </w:r>
      <w:r>
        <w:rPr>
          <w:rFonts w:hint="eastAsia"/>
        </w:rPr>
        <w:t>财政拨款</w:t>
      </w:r>
      <w:r>
        <w:rPr>
          <w:rFonts w:hint="eastAsia"/>
          <w:lang w:eastAsia="zh-CN"/>
        </w:rPr>
        <w:t>“</w:t>
      </w:r>
      <w:r>
        <w:rPr>
          <w:rFonts w:hint="eastAsia"/>
        </w:rPr>
        <w:t>三公”经费支出决算情况说明</w:t>
      </w:r>
      <w:r>
        <w:tab/>
      </w:r>
      <w:r>
        <w:fldChar w:fldCharType="begin"/>
      </w:r>
      <w:r>
        <w:instrText xml:space="preserve"> PAGEREF _Toc112094820 \h </w:instrText>
      </w:r>
      <w:r>
        <w:fldChar w:fldCharType="separate"/>
      </w:r>
      <w:r>
        <w:t>17</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_Toc2018105822 </w:instrText>
      </w:r>
      <w:r>
        <w:rPr>
          <w:rFonts w:ascii="仿宋" w:hAnsi="仿宋" w:eastAsia="仿宋"/>
          <w:bCs/>
          <w:kern w:val="44"/>
          <w:highlight w:val="none"/>
        </w:rPr>
        <w:fldChar w:fldCharType="separate"/>
      </w:r>
      <w:r>
        <w:rPr>
          <w:rFonts w:hint="eastAsia" w:ascii="仿宋" w:hAnsi="仿宋" w:eastAsia="仿宋"/>
          <w:szCs w:val="32"/>
          <w:highlight w:val="none"/>
        </w:rPr>
        <w:t>国内公务接待支出</w:t>
      </w:r>
      <w:r>
        <w:rPr>
          <w:rFonts w:hint="eastAsia" w:ascii="仿宋" w:hAnsi="仿宋" w:eastAsia="仿宋"/>
          <w:szCs w:val="32"/>
          <w:highlight w:val="none"/>
          <w:lang w:val="en-US" w:eastAsia="zh-CN"/>
        </w:rPr>
        <w:t>0</w:t>
      </w:r>
      <w:r>
        <w:rPr>
          <w:rFonts w:hint="eastAsia" w:ascii="仿宋_GB2312" w:eastAsia="仿宋_GB2312"/>
          <w:szCs w:val="32"/>
          <w:highlight w:val="none"/>
        </w:rPr>
        <w:t>万元，</w:t>
      </w:r>
      <w:r>
        <w:rPr>
          <w:rFonts w:hint="eastAsia" w:ascii="仿宋" w:hAnsi="仿宋" w:eastAsia="仿宋"/>
          <w:szCs w:val="32"/>
          <w:highlight w:val="none"/>
          <w:lang w:val="en-US" w:eastAsia="zh-CN"/>
        </w:rPr>
        <w:t>本学校无此项内容</w:t>
      </w:r>
      <w:r>
        <w:rPr>
          <w:rFonts w:hint="eastAsia" w:ascii="仿宋_GB2312" w:eastAsia="仿宋_GB2312"/>
          <w:szCs w:val="32"/>
          <w:highlight w:val="none"/>
        </w:rPr>
        <w:t>。</w:t>
      </w:r>
      <w:r>
        <w:tab/>
      </w:r>
      <w:r>
        <w:fldChar w:fldCharType="begin"/>
      </w:r>
      <w:r>
        <w:instrText xml:space="preserve"> PAGEREF _Toc2018105822 \h </w:instrText>
      </w:r>
      <w:r>
        <w:fldChar w:fldCharType="separate"/>
      </w:r>
      <w:r>
        <w:t>19</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_Toc1459895626 </w:instrText>
      </w:r>
      <w:r>
        <w:rPr>
          <w:rFonts w:ascii="仿宋" w:hAnsi="仿宋" w:eastAsia="仿宋"/>
          <w:bCs/>
          <w:kern w:val="44"/>
          <w:highlight w:val="none"/>
        </w:rPr>
        <w:fldChar w:fldCharType="separate"/>
      </w:r>
      <w:r>
        <w:rPr>
          <w:rFonts w:hint="eastAsia"/>
        </w:rPr>
        <w:t>八、政府性基金预算支出决算情况说明</w:t>
      </w:r>
      <w:r>
        <w:tab/>
      </w:r>
      <w:r>
        <w:fldChar w:fldCharType="begin"/>
      </w:r>
      <w:r>
        <w:instrText xml:space="preserve"> PAGEREF _Toc1459895626 \h </w:instrText>
      </w:r>
      <w:r>
        <w:fldChar w:fldCharType="separate"/>
      </w:r>
      <w:r>
        <w:t>19</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_Toc1185433622 </w:instrText>
      </w:r>
      <w:r>
        <w:rPr>
          <w:rFonts w:ascii="仿宋" w:hAnsi="仿宋" w:eastAsia="仿宋"/>
          <w:bCs/>
          <w:kern w:val="44"/>
          <w:highlight w:val="none"/>
        </w:rPr>
        <w:fldChar w:fldCharType="separate"/>
      </w:r>
      <w:r>
        <w:rPr>
          <w:rFonts w:hint="eastAsia"/>
        </w:rPr>
        <w:t>九、</w:t>
      </w:r>
      <w:r>
        <w:rPr>
          <w:rFonts w:hint="eastAsia"/>
          <w:lang w:eastAsia="zh-CN"/>
        </w:rPr>
        <w:t>国</w:t>
      </w:r>
      <w:r>
        <w:rPr>
          <w:rFonts w:hint="eastAsia"/>
        </w:rPr>
        <w:t>有资本经营预算支出决算情况说明</w:t>
      </w:r>
      <w:r>
        <w:tab/>
      </w:r>
      <w:r>
        <w:fldChar w:fldCharType="begin"/>
      </w:r>
      <w:r>
        <w:instrText xml:space="preserve"> PAGEREF _Toc1185433622 \h </w:instrText>
      </w:r>
      <w:r>
        <w:fldChar w:fldCharType="separate"/>
      </w:r>
      <w:r>
        <w:t>19</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_Toc2091202018 </w:instrText>
      </w:r>
      <w:r>
        <w:rPr>
          <w:rFonts w:ascii="仿宋" w:hAnsi="仿宋" w:eastAsia="仿宋"/>
          <w:bCs/>
          <w:kern w:val="44"/>
          <w:highlight w:val="none"/>
        </w:rPr>
        <w:fldChar w:fldCharType="separate"/>
      </w:r>
      <w:r>
        <w:rPr>
          <w:rFonts w:hint="eastAsia"/>
          <w:lang w:eastAsia="zh-CN"/>
        </w:rPr>
        <w:t>十</w:t>
      </w:r>
      <w:r>
        <w:rPr>
          <w:rFonts w:hint="eastAsia"/>
        </w:rPr>
        <w:t>、其他重要事项的情况说明</w:t>
      </w:r>
      <w:r>
        <w:tab/>
      </w:r>
      <w:r>
        <w:fldChar w:fldCharType="begin"/>
      </w:r>
      <w:r>
        <w:instrText xml:space="preserve"> PAGEREF _Toc2091202018 \h </w:instrText>
      </w:r>
      <w:r>
        <w:fldChar w:fldCharType="separate"/>
      </w:r>
      <w:r>
        <w:t>19</w:t>
      </w:r>
      <w:r>
        <w:fldChar w:fldCharType="end"/>
      </w:r>
      <w:r>
        <w:rPr>
          <w:rFonts w:ascii="仿宋" w:hAnsi="仿宋" w:eastAsia="仿宋"/>
          <w:bCs/>
          <w:color w:val="auto"/>
          <w:kern w:val="44"/>
          <w:highlight w:val="none"/>
        </w:rPr>
        <w:fldChar w:fldCharType="end"/>
      </w:r>
    </w:p>
    <w:p>
      <w:pPr>
        <w:pStyle w:val="12"/>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_Toc1862024891 </w:instrText>
      </w:r>
      <w:r>
        <w:rPr>
          <w:rFonts w:ascii="仿宋" w:hAnsi="仿宋" w:eastAsia="仿宋"/>
          <w:bCs/>
          <w:kern w:val="44"/>
          <w:highlight w:val="none"/>
        </w:rPr>
        <w:fldChar w:fldCharType="separate"/>
      </w:r>
      <w:r>
        <w:rPr>
          <w:rFonts w:hint="eastAsia"/>
          <w:lang w:eastAsia="zh-CN"/>
        </w:rPr>
        <w:t>第三部分</w:t>
      </w:r>
      <w:r>
        <w:rPr>
          <w:rFonts w:hint="eastAsia"/>
          <w:lang w:val="en-US" w:eastAsia="zh-CN"/>
        </w:rPr>
        <w:t xml:space="preserve"> </w:t>
      </w:r>
      <w:r>
        <w:rPr>
          <w:rFonts w:hint="eastAsia"/>
        </w:rPr>
        <w:t>名词解释</w:t>
      </w:r>
      <w:r>
        <w:tab/>
      </w:r>
      <w:r>
        <w:fldChar w:fldCharType="begin"/>
      </w:r>
      <w:r>
        <w:instrText xml:space="preserve"> PAGEREF _Toc1862024891 \h </w:instrText>
      </w:r>
      <w:r>
        <w:fldChar w:fldCharType="separate"/>
      </w:r>
      <w:r>
        <w:t>20</w:t>
      </w:r>
      <w:r>
        <w:fldChar w:fldCharType="end"/>
      </w:r>
      <w:r>
        <w:rPr>
          <w:rFonts w:ascii="仿宋" w:hAnsi="仿宋" w:eastAsia="仿宋"/>
          <w:bCs/>
          <w:color w:val="auto"/>
          <w:kern w:val="44"/>
          <w:highlight w:val="none"/>
        </w:rPr>
        <w:fldChar w:fldCharType="end"/>
      </w:r>
    </w:p>
    <w:p>
      <w:pPr>
        <w:pStyle w:val="12"/>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_Toc1382059998 </w:instrText>
      </w:r>
      <w:r>
        <w:rPr>
          <w:rFonts w:ascii="仿宋" w:hAnsi="仿宋" w:eastAsia="仿宋"/>
          <w:bCs/>
          <w:kern w:val="44"/>
          <w:highlight w:val="none"/>
        </w:rPr>
        <w:fldChar w:fldCharType="separate"/>
      </w:r>
      <w:r>
        <w:rPr>
          <w:rFonts w:hint="eastAsia"/>
        </w:rPr>
        <w:t>第四部分 附件</w:t>
      </w:r>
      <w:r>
        <w:tab/>
      </w:r>
      <w:r>
        <w:fldChar w:fldCharType="begin"/>
      </w:r>
      <w:r>
        <w:instrText xml:space="preserve"> PAGEREF _Toc1382059998 \h </w:instrText>
      </w:r>
      <w:r>
        <w:fldChar w:fldCharType="separate"/>
      </w:r>
      <w:r>
        <w:t>24</w:t>
      </w:r>
      <w:r>
        <w:fldChar w:fldCharType="end"/>
      </w:r>
      <w:r>
        <w:rPr>
          <w:rFonts w:ascii="仿宋" w:hAnsi="仿宋" w:eastAsia="仿宋"/>
          <w:bCs/>
          <w:color w:val="auto"/>
          <w:kern w:val="44"/>
          <w:highlight w:val="none"/>
        </w:rPr>
        <w:fldChar w:fldCharType="end"/>
      </w:r>
    </w:p>
    <w:p>
      <w:pPr>
        <w:pStyle w:val="12"/>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_Toc1230106527 </w:instrText>
      </w:r>
      <w:r>
        <w:rPr>
          <w:rFonts w:ascii="仿宋" w:hAnsi="仿宋" w:eastAsia="仿宋"/>
          <w:bCs/>
          <w:kern w:val="44"/>
          <w:highlight w:val="none"/>
        </w:rPr>
        <w:fldChar w:fldCharType="separate"/>
      </w:r>
      <w:r>
        <w:rPr>
          <w:rFonts w:hint="eastAsia"/>
        </w:rPr>
        <w:t>第五部分 附表</w:t>
      </w:r>
      <w:r>
        <w:tab/>
      </w:r>
      <w:r>
        <w:fldChar w:fldCharType="begin"/>
      </w:r>
      <w:r>
        <w:instrText xml:space="preserve"> PAGEREF _Toc1230106527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_Toc1686155190 </w:instrText>
      </w:r>
      <w:r>
        <w:rPr>
          <w:rFonts w:ascii="仿宋" w:hAnsi="仿宋" w:eastAsia="仿宋"/>
          <w:bCs/>
          <w:kern w:val="44"/>
          <w:highlight w:val="none"/>
        </w:rPr>
        <w:fldChar w:fldCharType="separate"/>
      </w:r>
      <w:r>
        <w:rPr>
          <w:rFonts w:hint="eastAsia"/>
        </w:rPr>
        <w:t>一、收入支出决算总表</w:t>
      </w:r>
      <w:r>
        <w:tab/>
      </w:r>
      <w:r>
        <w:fldChar w:fldCharType="begin"/>
      </w:r>
      <w:r>
        <w:instrText xml:space="preserve"> PAGEREF _Toc1686155190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_Toc2042694140 </w:instrText>
      </w:r>
      <w:r>
        <w:rPr>
          <w:rFonts w:ascii="仿宋" w:hAnsi="仿宋" w:eastAsia="仿宋"/>
          <w:bCs/>
          <w:kern w:val="44"/>
          <w:highlight w:val="none"/>
        </w:rPr>
        <w:fldChar w:fldCharType="separate"/>
      </w:r>
      <w:r>
        <w:rPr>
          <w:rFonts w:hint="eastAsia"/>
        </w:rPr>
        <w:t>二、收入决算表</w:t>
      </w:r>
      <w:r>
        <w:tab/>
      </w:r>
      <w:r>
        <w:fldChar w:fldCharType="begin"/>
      </w:r>
      <w:r>
        <w:instrText xml:space="preserve"> PAGEREF _Toc2042694140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_Toc202539748 </w:instrText>
      </w:r>
      <w:r>
        <w:rPr>
          <w:rFonts w:ascii="仿宋" w:hAnsi="仿宋" w:eastAsia="仿宋"/>
          <w:bCs/>
          <w:kern w:val="44"/>
          <w:highlight w:val="none"/>
        </w:rPr>
        <w:fldChar w:fldCharType="separate"/>
      </w:r>
      <w:r>
        <w:rPr>
          <w:rFonts w:hint="eastAsia"/>
        </w:rPr>
        <w:t>三、支出决算表</w:t>
      </w:r>
      <w:r>
        <w:tab/>
      </w:r>
      <w:r>
        <w:fldChar w:fldCharType="begin"/>
      </w:r>
      <w:r>
        <w:instrText xml:space="preserve"> PAGEREF _Toc202539748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_Toc1098949437 </w:instrText>
      </w:r>
      <w:r>
        <w:rPr>
          <w:rFonts w:ascii="仿宋" w:hAnsi="仿宋" w:eastAsia="仿宋"/>
          <w:bCs/>
          <w:kern w:val="44"/>
          <w:highlight w:val="none"/>
        </w:rPr>
        <w:fldChar w:fldCharType="separate"/>
      </w:r>
      <w:r>
        <w:rPr>
          <w:rFonts w:hint="eastAsia"/>
        </w:rPr>
        <w:t>四、财政拨款收入支出决算总表</w:t>
      </w:r>
      <w:r>
        <w:tab/>
      </w:r>
      <w:r>
        <w:fldChar w:fldCharType="begin"/>
      </w:r>
      <w:r>
        <w:instrText xml:space="preserve"> PAGEREF _Toc1098949437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_Toc1335876883 </w:instrText>
      </w:r>
      <w:r>
        <w:rPr>
          <w:rFonts w:ascii="仿宋" w:hAnsi="仿宋" w:eastAsia="仿宋"/>
          <w:bCs/>
          <w:kern w:val="44"/>
          <w:highlight w:val="none"/>
        </w:rPr>
        <w:fldChar w:fldCharType="separate"/>
      </w:r>
      <w:r>
        <w:rPr>
          <w:rFonts w:hint="eastAsia"/>
        </w:rPr>
        <w:t>五、财政拨款支出决算明细表</w:t>
      </w:r>
      <w:r>
        <w:tab/>
      </w:r>
      <w:r>
        <w:fldChar w:fldCharType="begin"/>
      </w:r>
      <w:r>
        <w:instrText xml:space="preserve"> PAGEREF _Toc1335876883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_Toc333375269 </w:instrText>
      </w:r>
      <w:r>
        <w:rPr>
          <w:rFonts w:ascii="仿宋" w:hAnsi="仿宋" w:eastAsia="仿宋"/>
          <w:bCs/>
          <w:kern w:val="44"/>
          <w:highlight w:val="none"/>
        </w:rPr>
        <w:fldChar w:fldCharType="separate"/>
      </w:r>
      <w:r>
        <w:rPr>
          <w:rFonts w:hint="eastAsia"/>
        </w:rPr>
        <w:t>六、一般公共预算财政拨款支出决算表</w:t>
      </w:r>
      <w:r>
        <w:tab/>
      </w:r>
      <w:r>
        <w:fldChar w:fldCharType="begin"/>
      </w:r>
      <w:r>
        <w:instrText xml:space="preserve"> PAGEREF _Toc333375269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_Toc2085763021 </w:instrText>
      </w:r>
      <w:r>
        <w:rPr>
          <w:rFonts w:ascii="仿宋" w:hAnsi="仿宋" w:eastAsia="仿宋"/>
          <w:bCs/>
          <w:kern w:val="44"/>
          <w:highlight w:val="none"/>
        </w:rPr>
        <w:fldChar w:fldCharType="separate"/>
      </w:r>
      <w:r>
        <w:rPr>
          <w:rFonts w:hint="eastAsia"/>
        </w:rPr>
        <w:t>七、一般公共预算财政拨款支出决算明细表</w:t>
      </w:r>
      <w:r>
        <w:tab/>
      </w:r>
      <w:r>
        <w:fldChar w:fldCharType="begin"/>
      </w:r>
      <w:r>
        <w:instrText xml:space="preserve"> PAGEREF _Toc2085763021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_Toc1517770931 </w:instrText>
      </w:r>
      <w:r>
        <w:rPr>
          <w:rFonts w:ascii="仿宋" w:hAnsi="仿宋" w:eastAsia="仿宋"/>
          <w:bCs/>
          <w:kern w:val="44"/>
          <w:highlight w:val="none"/>
        </w:rPr>
        <w:fldChar w:fldCharType="separate"/>
      </w:r>
      <w:r>
        <w:rPr>
          <w:rFonts w:hint="eastAsia"/>
        </w:rPr>
        <w:t>八、一般公共预算财政拨款基本支出决算</w:t>
      </w:r>
      <w:r>
        <w:rPr>
          <w:rFonts w:hint="eastAsia"/>
          <w:lang w:eastAsia="zh-CN"/>
        </w:rPr>
        <w:t>明细</w:t>
      </w:r>
      <w:r>
        <w:rPr>
          <w:rFonts w:hint="eastAsia"/>
        </w:rPr>
        <w:t>表</w:t>
      </w:r>
      <w:r>
        <w:tab/>
      </w:r>
      <w:r>
        <w:fldChar w:fldCharType="begin"/>
      </w:r>
      <w:r>
        <w:instrText xml:space="preserve"> PAGEREF _Toc1517770931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_Toc934082298 </w:instrText>
      </w:r>
      <w:r>
        <w:rPr>
          <w:rFonts w:ascii="仿宋" w:hAnsi="仿宋" w:eastAsia="仿宋"/>
          <w:bCs/>
          <w:kern w:val="44"/>
          <w:highlight w:val="none"/>
        </w:rPr>
        <w:fldChar w:fldCharType="separate"/>
      </w:r>
      <w:r>
        <w:rPr>
          <w:rFonts w:hint="eastAsia"/>
        </w:rPr>
        <w:t>九、一般公共预算财政拨款项目支出决算表</w:t>
      </w:r>
      <w:r>
        <w:tab/>
      </w:r>
      <w:r>
        <w:fldChar w:fldCharType="begin"/>
      </w:r>
      <w:r>
        <w:instrText xml:space="preserve"> PAGEREF _Toc934082298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_Toc1459534979 </w:instrText>
      </w:r>
      <w:r>
        <w:rPr>
          <w:rFonts w:ascii="仿宋" w:hAnsi="仿宋" w:eastAsia="仿宋"/>
          <w:bCs/>
          <w:kern w:val="44"/>
          <w:highlight w:val="none"/>
        </w:rPr>
        <w:fldChar w:fldCharType="separate"/>
      </w:r>
      <w:r>
        <w:rPr>
          <w:rFonts w:hint="eastAsia"/>
        </w:rPr>
        <w:t>十、政府性基金预算财政拨款收入支出决算表</w:t>
      </w:r>
      <w:r>
        <w:tab/>
      </w:r>
      <w:r>
        <w:fldChar w:fldCharType="begin"/>
      </w:r>
      <w:r>
        <w:instrText xml:space="preserve"> PAGEREF _Toc1459534979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_Toc1622924389 </w:instrText>
      </w:r>
      <w:r>
        <w:rPr>
          <w:rFonts w:ascii="仿宋" w:hAnsi="仿宋" w:eastAsia="仿宋"/>
          <w:bCs/>
          <w:kern w:val="44"/>
          <w:highlight w:val="none"/>
        </w:rPr>
        <w:fldChar w:fldCharType="separate"/>
      </w:r>
      <w:r>
        <w:rPr>
          <w:rFonts w:hint="eastAsia"/>
        </w:rPr>
        <w:t>十一、国有资本经营预算财政拨款收入支出决算表</w:t>
      </w:r>
      <w:r>
        <w:tab/>
      </w:r>
      <w:r>
        <w:fldChar w:fldCharType="begin"/>
      </w:r>
      <w:r>
        <w:instrText xml:space="preserve"> PAGEREF _Toc1622924389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_Toc155470285 </w:instrText>
      </w:r>
      <w:r>
        <w:rPr>
          <w:rFonts w:ascii="仿宋" w:hAnsi="仿宋" w:eastAsia="仿宋"/>
          <w:bCs/>
          <w:kern w:val="44"/>
          <w:highlight w:val="none"/>
        </w:rPr>
        <w:fldChar w:fldCharType="separate"/>
      </w:r>
      <w:r>
        <w:rPr>
          <w:rFonts w:hint="eastAsia"/>
        </w:rPr>
        <w:t>十二、</w:t>
      </w:r>
      <w:r>
        <w:rPr>
          <w:rFonts w:hint="eastAsia"/>
          <w:lang w:val="en-US" w:eastAsia="zh-CN"/>
        </w:rPr>
        <w:t>国有资本经营预算财政拨款支出决算表</w:t>
      </w:r>
      <w:r>
        <w:tab/>
      </w:r>
      <w:r>
        <w:fldChar w:fldCharType="begin"/>
      </w:r>
      <w:r>
        <w:instrText xml:space="preserve"> PAGEREF _Toc155470285 \h </w:instrText>
      </w:r>
      <w:r>
        <w:fldChar w:fldCharType="separate"/>
      </w:r>
      <w:r>
        <w:t>65</w:t>
      </w:r>
      <w: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_Toc1116336329 </w:instrText>
      </w:r>
      <w:r>
        <w:rPr>
          <w:rFonts w:ascii="仿宋" w:hAnsi="仿宋" w:eastAsia="仿宋"/>
          <w:bCs/>
          <w:kern w:val="44"/>
          <w:highlight w:val="none"/>
        </w:rPr>
        <w:fldChar w:fldCharType="separate"/>
      </w:r>
      <w:r>
        <w:rPr>
          <w:rFonts w:hint="eastAsia"/>
        </w:rPr>
        <w:t>十三、财政拨款“三公”经费支出决算表</w:t>
      </w:r>
      <w:r>
        <w:tab/>
      </w:r>
      <w:r>
        <w:fldChar w:fldCharType="begin"/>
      </w:r>
      <w:r>
        <w:instrText xml:space="preserve"> PAGEREF _Toc1116336329 \h </w:instrText>
      </w:r>
      <w:r>
        <w:fldChar w:fldCharType="separate"/>
      </w:r>
      <w:r>
        <w:t>65</w:t>
      </w:r>
      <w:r>
        <w:fldChar w:fldCharType="end"/>
      </w:r>
      <w:r>
        <w:rPr>
          <w:rFonts w:ascii="仿宋" w:hAnsi="仿宋" w:eastAsia="仿宋"/>
          <w:bCs/>
          <w:color w:val="auto"/>
          <w:kern w:val="44"/>
          <w:highlight w:val="none"/>
        </w:rPr>
        <w:fldChar w:fldCharType="end"/>
      </w:r>
    </w:p>
    <w:p>
      <w:pPr>
        <w:rPr>
          <w:rFonts w:ascii="Times New Roman" w:hAnsi="Times New Roman"/>
          <w:color w:val="auto"/>
          <w:highlight w:val="none"/>
        </w:rPr>
      </w:pPr>
      <w:r>
        <w:rPr>
          <w:rFonts w:ascii="仿宋" w:hAnsi="仿宋" w:eastAsia="仿宋"/>
          <w:bCs/>
          <w:color w:val="auto"/>
          <w:kern w:val="44"/>
          <w:highlight w:val="none"/>
        </w:rPr>
        <w:fldChar w:fldCharType="end"/>
      </w:r>
    </w:p>
    <w:p>
      <w:pPr>
        <w:pStyle w:val="2"/>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pStyle w:val="2"/>
      </w:pPr>
    </w:p>
    <w:p>
      <w:pPr>
        <w:pStyle w:val="3"/>
        <w:bidi w:val="0"/>
        <w:rPr>
          <w:rFonts w:hint="eastAsia"/>
        </w:rPr>
      </w:pPr>
      <w:bookmarkStart w:id="6" w:name="_Toc1368871635"/>
      <w:r>
        <w:rPr>
          <w:rFonts w:hint="eastAsia"/>
        </w:rPr>
        <w:t>第一部分 部门概况</w:t>
      </w:r>
      <w:bookmarkEnd w:id="6"/>
    </w:p>
    <w:p>
      <w:pPr>
        <w:pStyle w:val="4"/>
        <w:bidi w:val="0"/>
        <w:rPr>
          <w:rFonts w:hint="eastAsia"/>
          <w:lang w:eastAsia="zh-CN"/>
        </w:rPr>
      </w:pPr>
      <w:bookmarkStart w:id="7" w:name="_Toc1804284998"/>
      <w:r>
        <w:rPr>
          <w:rFonts w:hint="eastAsia"/>
        </w:rPr>
        <w:t>一、</w:t>
      </w:r>
      <w:r>
        <w:rPr>
          <w:rFonts w:hint="eastAsia"/>
          <w:lang w:eastAsia="zh-CN"/>
        </w:rPr>
        <w:t>部门职责</w:t>
      </w:r>
      <w:bookmarkEnd w:id="7"/>
    </w:p>
    <w:p>
      <w:pPr>
        <w:pStyle w:val="2"/>
        <w:adjustRightInd w:val="0"/>
        <w:snapToGrid w:val="0"/>
        <w:spacing w:before="93" w:line="600" w:lineRule="exact"/>
        <w:ind w:firstLine="672" w:firstLineChars="210"/>
        <w:outlineLvl w:val="2"/>
        <w:rPr>
          <w:rFonts w:ascii="仿宋" w:hAnsi="仿宋" w:eastAsia="仿宋"/>
          <w:bCs/>
          <w:color w:val="000000"/>
          <w:sz w:val="32"/>
          <w:szCs w:val="32"/>
          <w:highlight w:val="none"/>
        </w:rPr>
      </w:pPr>
      <w:bookmarkStart w:id="8" w:name="_Toc85902646"/>
      <w:bookmarkStart w:id="9" w:name="_Toc29334"/>
      <w:r>
        <w:rPr>
          <w:rFonts w:hint="eastAsia" w:ascii="仿宋" w:hAnsi="仿宋" w:eastAsia="仿宋"/>
          <w:bCs/>
          <w:color w:val="000000"/>
          <w:sz w:val="32"/>
          <w:szCs w:val="32"/>
          <w:highlight w:val="none"/>
        </w:rPr>
        <w:t>（一）主要职能。</w:t>
      </w:r>
      <w:bookmarkEnd w:id="8"/>
      <w:bookmarkEnd w:id="9"/>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校长</w:t>
      </w:r>
      <w:r>
        <w:rPr>
          <w:highlight w:val="none"/>
        </w:rPr>
        <w:fldChar w:fldCharType="begin"/>
      </w:r>
      <w:r>
        <w:rPr>
          <w:highlight w:val="none"/>
        </w:rPr>
        <w:instrText xml:space="preserve"> HYPERLINK "https://www.baidu.com/s?wd=%E5%B2%97%E4%BD%8D%E8%81%8C%E8%B4%A3&amp;tn=44039180_cpr&amp;fenlei=mv6quAkxTZn0IZRqIHckPjm4nH00T1d-ujKWnj6LPvw-nyN9nH030ZwV5Hcvrjm3rH6sPfKWUMw85HfYnjn4nH6sgvPsT6KdThsqpZwYTjCEQLGCpyw9Uz4Bmy-bIi4WUvYETgN-TLwGUv3En1c1rj0kn1Ts"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岗位职责</w:t>
      </w:r>
      <w:r>
        <w:rPr>
          <w:rFonts w:hint="eastAsia" w:ascii="仿宋" w:hAnsi="仿宋" w:eastAsia="仿宋"/>
          <w:color w:val="000000"/>
          <w:sz w:val="32"/>
          <w:szCs w:val="32"/>
          <w:highlight w:val="none"/>
        </w:rPr>
        <w:fldChar w:fldCharType="end"/>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1、执行学校</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或者其他形式决策机构的决定。</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2、实施发展规划，拟订年度工作计划、</w:t>
      </w:r>
      <w:r>
        <w:rPr>
          <w:highlight w:val="none"/>
        </w:rPr>
        <w:fldChar w:fldCharType="begin"/>
      </w:r>
      <w:r>
        <w:rPr>
          <w:highlight w:val="none"/>
        </w:rPr>
        <w:instrText xml:space="preserve"> HYPERLINK "https://www.baidu.com/s?wd=%E8%B4%A2%E5%8A%A1%E9%A2%84%E7%AE%97&amp;tn=44039180_cpr&amp;fenlei=mv6quAkxTZn0IZRqIHckPjm4nH00T1d-ujKWnj6LPvw-nyN9nH030ZwV5Hcvrjm3rH6sPfKWUMw85HfYnjn4nH6sgvPsT6KdThsqpZwYTjCEQLGCpyw9Uz4Bmy-bIi4WUvYETgN-TLwGUv3En1c1rj0kn1Ts"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财务预算</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和学校规章制度。</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3、聘任和解聘学校工作人员，实施奖惩；。</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4、组织教育教学、科学研究活动，保证教育教学质量。</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5、负责学校日常管理工作。</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6、 学校</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 xml:space="preserve">或者其他形式决策机构的其他授权。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7、坚持依法办学，遵守学校章程，维护学校利益。</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8、合理配置学校“人、财、物、信息”资源，有效行使学校</w:t>
      </w:r>
      <w:r>
        <w:rPr>
          <w:highlight w:val="none"/>
        </w:rPr>
        <w:fldChar w:fldCharType="begin"/>
      </w:r>
      <w:r>
        <w:rPr>
          <w:highlight w:val="none"/>
        </w:rPr>
        <w:instrText xml:space="preserve"> HYPERLINK "https://www.baidu.com/s?wd=%E9%87%8D%E5%A4%A7%E4%BA%8B%E9%A1%B9&amp;tn=44039180_cpr&amp;fenlei=mv6quAkxTZn0IZRqIHckPjm4nH00T1d-ujKWnj6LPvw-nyN9nH030ZwV5Hcvrjm3rH6sPfKWUMw85HfYnjn4nH6sgvPsT6KdThsqpZwYTjCEQLGCpyw9Uz4Bmy-bIi4WUvYETgN-TLwGUv3En1c1rj0kn1Ts"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重大事项</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和重大改革措施的决策权。</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9、及时向上级</w:t>
      </w:r>
      <w:r>
        <w:rPr>
          <w:highlight w:val="none"/>
        </w:rPr>
        <w:fldChar w:fldCharType="begin"/>
      </w:r>
      <w:r>
        <w:rPr>
          <w:highlight w:val="none"/>
        </w:rP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教育行政部门</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和学校决策机构汇报学校工作。</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10、维护教职工利益，保障教职工合法权益，以教职工和学生的人生幸福和</w:t>
      </w:r>
      <w:r>
        <w:rPr>
          <w:highlight w:val="none"/>
        </w:rPr>
        <w:fldChar w:fldCharType="begin"/>
      </w:r>
      <w:r>
        <w:rPr>
          <w:highlight w:val="none"/>
        </w:rPr>
        <w:instrText xml:space="preserve"> HYPERLINK "https://www.baidu.com/s?wd=%E7%94%9F%E5%91%BD%E8%B4%A8%E9%87%8F&amp;tn=44039180_cpr&amp;fenlei=mv6quAkxTZn0IZRqIHckPjm4nH00T1d-ujKWnj6LPvw-nyN9nH030ZwV5Hcvrjm3rH6sPfKWUMw85HfYnjn4nH6sgvPsT6KdThsqpZwYTjCEQLGCpyw9Uz4Bmy-bIi4WUvYETgN-TLwGUv3En1c1rj0kn1Ts"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生命质量</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作为关注焦点，建立信任，消除焦虑。</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 xml:space="preserve">11、尊重教职工的主人翁地位和民主管理、民主监督的权利，团结和依靠教职工办好学校。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学校法定代表人职责</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 xml:space="preserve">1、法定代表人由校长担任，并在章程中载明。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 xml:space="preserve">2、法定代表人代表学校签署文件和合同。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3、法定代表人的职务行为，必须根据学校董事会或其他形式决策机构的决议，否则由此引起的法律后果由其自行承担。</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4、法定代表人应当带头遵守学校章程，成为</w:t>
      </w:r>
      <w:r>
        <w:rPr>
          <w:highlight w:val="none"/>
        </w:rPr>
        <w:fldChar w:fldCharType="begin"/>
      </w:r>
      <w:r>
        <w:rPr>
          <w:highlight w:val="none"/>
        </w:rPr>
        <w:instrText xml:space="preserve"> HYPERLINK "https://www.baidu.com/s?wd=%E9%81%B5%E7%BA%AA%E5%AE%88%E6%B3%95&amp;tn=44039180_cpr&amp;fenlei=mv6quAkxTZn0IZRqIHckPjm4nH00T1d-ujKWnj6LPvw-nyN9nH030ZwV5Hcvrjm3rH6sPfKWUMw85HfYnjn4nH6sgvPsT6KdThsqpZwYTjCEQLGCpyw9Uz4Bmy-bIi4WUvYETgN-TLwGUv3En1c1rj0kn1Ts"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遵纪守法</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 xml:space="preserve">的表率。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5、法定代表</w:t>
      </w:r>
      <w:r>
        <w:rPr>
          <w:rFonts w:hint="eastAsia" w:ascii="仿宋" w:hAnsi="仿宋" w:eastAsia="仿宋"/>
          <w:color w:val="000000"/>
          <w:sz w:val="32"/>
          <w:szCs w:val="32"/>
          <w:highlight w:val="none"/>
          <w:lang w:eastAsia="zh-CN"/>
        </w:rPr>
        <w:t>人</w:t>
      </w:r>
      <w:r>
        <w:rPr>
          <w:rFonts w:hint="eastAsia" w:ascii="仿宋" w:hAnsi="仿宋" w:eastAsia="仿宋"/>
          <w:color w:val="000000"/>
          <w:sz w:val="32"/>
          <w:szCs w:val="32"/>
          <w:highlight w:val="none"/>
        </w:rPr>
        <w:t>是学校安全工作的第一责任人。法定代表人在其分工范围内必须采取切实有效措施，确保师生的身心健康。</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6、法定代表人必须代表学校自觉接受</w:t>
      </w:r>
      <w:r>
        <w:rPr>
          <w:highlight w:val="none"/>
        </w:rPr>
        <w:fldChar w:fldCharType="begin"/>
      </w:r>
      <w:r>
        <w:rPr>
          <w:highlight w:val="none"/>
        </w:rP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教育行政部门</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 xml:space="preserve">的监督管理，主动汇报学校各项工作情况。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门卫保安</w:t>
      </w:r>
      <w:r>
        <w:rPr>
          <w:highlight w:val="none"/>
        </w:rPr>
        <w:fldChar w:fldCharType="begin"/>
      </w:r>
      <w:r>
        <w:rPr>
          <w:highlight w:val="none"/>
        </w:rPr>
        <w:instrText xml:space="preserve"> HYPERLINK "https://www.baidu.com/s?wd=%E5%B7%A5%E4%BD%9C%E8%81%8C%E8%B4%A3&amp;tn=44039180_cpr&amp;fenlei=mv6quAkxTZn0IZRqIHckPjm4nH00T1d-ujKWnj6LPvw-nyN9nH030ZwV5Hcvrjm3rH6sPfKWUMw85HfYnjn4nH6sgvPsT6KdThsqpZwYTjCEQLGCpyw9Uz4Bmy-bIi4WUvYETgN-TLwGUv3En1c1rj0kn1Ts"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工作职责</w:t>
      </w:r>
      <w:r>
        <w:rPr>
          <w:rFonts w:hint="eastAsia" w:ascii="仿宋" w:hAnsi="仿宋" w:eastAsia="仿宋"/>
          <w:color w:val="000000"/>
          <w:sz w:val="32"/>
          <w:szCs w:val="32"/>
          <w:highlight w:val="none"/>
        </w:rPr>
        <w:fldChar w:fldCharType="end"/>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 xml:space="preserve">1、实行二十四小时值班制度，按时到岗在位，不擅自离岗。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2、上下班做好交接，防止工作疏漏。</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3、严格外来人员登记制度，不随便允许外来人员入校。</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 xml:space="preserve">4、严格学生出入校管理，在校期间学生离校必须凭班主任签单方可同意离校。 </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5、晚间值班必须按时巡查，检查门窗、电器的关闭情况，早上按时开启有关设施。</w:t>
      </w:r>
    </w:p>
    <w:p>
      <w:pPr>
        <w:pStyle w:val="2"/>
        <w:adjustRightInd w:val="0"/>
        <w:snapToGrid w:val="0"/>
        <w:spacing w:before="93" w:line="600" w:lineRule="exact"/>
        <w:ind w:firstLine="672" w:firstLineChars="21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6、保持仪表端正，着装上岗。</w:t>
      </w:r>
    </w:p>
    <w:p>
      <w:pPr>
        <w:pStyle w:val="2"/>
        <w:adjustRightInd w:val="0"/>
        <w:snapToGrid w:val="0"/>
        <w:spacing w:before="93" w:line="600" w:lineRule="exact"/>
        <w:ind w:firstLine="672" w:firstLineChars="210"/>
        <w:rPr>
          <w:rFonts w:ascii="仿宋" w:hAnsi="仿宋" w:eastAsia="仿宋"/>
          <w:color w:val="000000"/>
          <w:kern w:val="2"/>
          <w:sz w:val="32"/>
          <w:szCs w:val="32"/>
          <w:highlight w:val="none"/>
        </w:rPr>
      </w:pPr>
      <w:r>
        <w:rPr>
          <w:rFonts w:hint="eastAsia" w:ascii="仿宋" w:hAnsi="仿宋" w:eastAsia="仿宋"/>
          <w:color w:val="000000"/>
          <w:sz w:val="32"/>
          <w:szCs w:val="32"/>
          <w:highlight w:val="none"/>
        </w:rPr>
        <w:t>7、接待热情、待人有礼。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教师岗位职责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教师职业道德要求</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—、依法执教。学习和宣传马列主义、毛泽东思想和邓小平同志建设中国特色社会主义理论，拥护党的基本路线，全面贯彻</w:t>
      </w:r>
      <w:r>
        <w:rPr>
          <w:rFonts w:hint="eastAsia" w:ascii="仿宋" w:hAnsi="仿宋" w:eastAsia="仿宋"/>
          <w:color w:val="000000"/>
          <w:sz w:val="32"/>
          <w:szCs w:val="32"/>
          <w:highlight w:val="none"/>
          <w:lang w:eastAsia="zh-CN"/>
        </w:rPr>
        <w:t>党的</w:t>
      </w:r>
      <w:r>
        <w:rPr>
          <w:rFonts w:ascii="仿宋" w:hAnsi="仿宋" w:eastAsia="仿宋"/>
          <w:color w:val="000000"/>
          <w:sz w:val="32"/>
          <w:szCs w:val="32"/>
          <w:highlight w:val="none"/>
        </w:rPr>
        <w:t>教育方针，自觉遵守《</w:t>
      </w:r>
      <w:r>
        <w:rPr>
          <w:rFonts w:hint="eastAsia" w:ascii="仿宋" w:hAnsi="仿宋" w:eastAsia="仿宋"/>
          <w:color w:val="000000"/>
          <w:sz w:val="32"/>
          <w:szCs w:val="32"/>
          <w:highlight w:val="none"/>
          <w:lang w:eastAsia="zh-CN"/>
        </w:rPr>
        <w:t>中华人民共和国</w:t>
      </w:r>
      <w:r>
        <w:rPr>
          <w:rFonts w:ascii="仿宋" w:hAnsi="仿宋" w:eastAsia="仿宋"/>
          <w:color w:val="000000"/>
          <w:sz w:val="32"/>
          <w:szCs w:val="32"/>
          <w:highlight w:val="none"/>
        </w:rPr>
        <w:t>教师法》等法律法规，在教育教学中同党和国家的方针政策保持一致、不得有违背党和国家方针、政策的言行。</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二、爱岗敬业。热爱教育，热爱学校。尽心尽责、教书育人。注意培养学生具有良好的思想品德。认真备课上课，认真批改作业，不敷衍塞责，不传播有害学生身心健康的思想。</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三、热爱学生。关心爱护全体学生，尊重学生的人格，平等公正对待学生。对学生严格要求、耐心教导，不讽刺、挖苦、歧视学生，不体罚或变相体罚学生，保护学生合法权益，促进学生全面、主动、健康发展。</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四、严谨治学。树立优良学风，刻苦钻研业务，不断学习新知识，探索教育教学规律、改进教育教学方法，提高教育教学和科研水平。</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五、团结协作。谦虚谨慎、尊重同志，互相学习、相互帮助，维护其他教师在学生中的威信。关心集体，维护学校荣誉，共创文明校风。</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六、尊重家长。主动与学生家长联系，认真听取意见和建议，取得支持和配合。积极宣传科学的教育思想和方法，不训斥、不指责学生家长。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七、廉洁从教。坚守高尚情操，发扬奉献精神，自觉抵制社会不良风气影响，不得</w:t>
      </w:r>
      <w:r>
        <w:rPr>
          <w:rFonts w:hint="eastAsia" w:ascii="仿宋" w:hAnsi="仿宋" w:eastAsia="仿宋"/>
          <w:color w:val="000000"/>
          <w:sz w:val="32"/>
          <w:szCs w:val="32"/>
          <w:highlight w:val="none"/>
          <w:lang w:eastAsia="zh-CN"/>
        </w:rPr>
        <w:t>利</w:t>
      </w:r>
      <w:r>
        <w:rPr>
          <w:rFonts w:ascii="仿宋" w:hAnsi="仿宋" w:eastAsia="仿宋"/>
          <w:color w:val="000000"/>
          <w:sz w:val="32"/>
          <w:szCs w:val="32"/>
          <w:highlight w:val="none"/>
        </w:rPr>
        <w:t>用职责之便谋取私利。</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八、为人师表。模范遵守社会公德，衣着整洁得体，语言规范健康。举止文明礼貌，严于律己，作风正派，以身作</w:t>
      </w:r>
      <w:r>
        <w:rPr>
          <w:rFonts w:hint="eastAsia" w:ascii="仿宋" w:hAnsi="仿宋" w:eastAsia="仿宋"/>
          <w:color w:val="000000"/>
          <w:sz w:val="32"/>
          <w:szCs w:val="32"/>
          <w:highlight w:val="none"/>
          <w:lang w:eastAsia="zh-CN"/>
        </w:rPr>
        <w:t>则</w:t>
      </w:r>
      <w:r>
        <w:rPr>
          <w:rFonts w:ascii="仿宋" w:hAnsi="仿宋" w:eastAsia="仿宋"/>
          <w:color w:val="000000"/>
          <w:sz w:val="32"/>
          <w:szCs w:val="32"/>
          <w:highlight w:val="none"/>
        </w:rPr>
        <w:t>，注重身教。</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班主任职责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班主任是一个班级学生的组织者和</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领导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者，是学校对学生进行思想政治教育工作的骨干力量，是联系各科教学的纽带，是沟通学校、家庭、社会的桥梁。上级部门和学校对学生的各种要求，都要通过班主任去贯彻落实。班主任首先要“为人师表”，热爱学生，班主任工作必须做到：</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1、努力贯彻党的教育方针，提高学生的思想政治觉悟，学习质量和健康水平，为培养一个勤奋学习、遵纪守法、朝气蓬勃、团结向上的班集体而积极工作。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2、教育督促学生遵守《小学生守则》和学校的各种规章制度，</w:t>
      </w:r>
      <w:r>
        <w:rPr>
          <w:rFonts w:hint="eastAsia" w:ascii="仿宋" w:hAnsi="仿宋" w:eastAsia="仿宋"/>
          <w:color w:val="000000"/>
          <w:sz w:val="32"/>
          <w:szCs w:val="32"/>
          <w:highlight w:val="none"/>
          <w:lang w:eastAsia="zh-CN"/>
        </w:rPr>
        <w:t>遵守</w:t>
      </w:r>
      <w:r>
        <w:rPr>
          <w:rFonts w:ascii="仿宋" w:hAnsi="仿宋" w:eastAsia="仿宋"/>
          <w:color w:val="000000"/>
          <w:sz w:val="32"/>
          <w:szCs w:val="32"/>
          <w:highlight w:val="none"/>
        </w:rPr>
        <w:t>政府的政策法令和社会的公共秩序，处理日常班务工作和本班学生中的偶发事件。对学生的教育应做到“动之以情、晓之以理、导之以行、持之以恒”。讲究教育艺术，注重教育效果，严禁体罚或侮辱学生人格。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3、及时和学校有关方面取得联系，定期向学校</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领导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或教导处</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汇报</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班务工作，做到上传下达。步调一致。经常与任科</w:t>
      </w:r>
      <w:r>
        <w:rPr>
          <w:rFonts w:hint="eastAsia" w:ascii="仿宋" w:hAnsi="仿宋" w:eastAsia="仿宋"/>
          <w:color w:val="000000"/>
          <w:sz w:val="32"/>
          <w:szCs w:val="32"/>
          <w:highlight w:val="none"/>
          <w:lang w:eastAsia="zh-CN"/>
        </w:rPr>
        <w:t>课</w:t>
      </w:r>
      <w:r>
        <w:rPr>
          <w:rFonts w:ascii="仿宋" w:hAnsi="仿宋" w:eastAsia="仿宋"/>
          <w:color w:val="000000"/>
          <w:sz w:val="32"/>
          <w:szCs w:val="32"/>
          <w:highlight w:val="none"/>
        </w:rPr>
        <w:t>师互通情报，了解研究学生的思想、学习情况。教育学生明确学习目的，端正学习态度，改进学习方法，不断提高各门功课的学习</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成绩</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4、关心学生的身心健康。组织和</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指导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学生开展体育、文娱、卫生等活动。教育学生积极参加体育锻炼；自觉搞好环境卫生和个人卫生，养成良好习惯，并对学生生活给予应有的</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指导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5、注重班集体的精神文明建设和第二课堂的开辟。制定班务工作</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计划</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，组织、领导班委会，指导少先队，积极开展创“三好”，争做“四有新人”和“五爱”教育等活动。做文明学生，建文明班级。</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6、指导学生的课外活动，配合有关科任教师开展课外科技活动。</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7、重视家访工作，采取多种形式，经常与家长交换学生的学习思想等各方面情况，以便有的放矢，有针对性地对学生进行教育。</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8、负责本班公共财物的管理，赔偿工作，安全工作，教育学生节约电、煤，并遵守纪律。</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9、全面客观地、认真负责地做好学生的操行评语和</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成绩</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填写工作。及时、准确地建立和填写好学生档案。并妥善保管</w:t>
      </w:r>
      <w:r>
        <w:rPr>
          <w:rFonts w:hint="eastAsia"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任课教师职责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教师的根本任务是把学生教好。对教师的基本要求是:以身作则，努力学习，爱护学生，教好功课。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1、认真备课、上课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(1)要熟悉教学大纲，教科书，了解学生的知识基础，备好课。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(2)加强对学生的学习目的教育，调动学生学习积极性，搞好课堂纪律。</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(3)认真组织好课堂教学，不断改进教学方法，充分利用45分钟，保质、保量地完成课程标准规定应传授的知识和应培养的能力。</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(4)结合教材，有机地对学生进行思想教育，注意学生的卫生习惯，保护学生视力。</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(5)指导学生改进学习方法，培养良好的学习习惯。</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(6)搞好测验、</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考试</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，做到份量恰当，命题确切，要求严格。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2、认真批改、</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辅导</w:t>
      </w:r>
      <w:r>
        <w:rPr>
          <w:rFonts w:ascii="仿宋" w:hAnsi="仿宋" w:eastAsia="仿宋"/>
          <w:color w:val="000000"/>
          <w:sz w:val="32"/>
          <w:szCs w:val="32"/>
          <w:highlight w:val="none"/>
        </w:rPr>
        <w:fldChar w:fldCharType="end"/>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(1)根据教学要求和学生实际，精心布置作业，并及时收发。批改要讲求实效，搞好讲评，引导学生及时订正错误，扎扎实实地学好每项知识。</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(2)要因材施教。对中下学生要热情</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辅导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，尽量帮助他们跟上班级。对成绩优秀的学生，要帮助他们进一步学好，发挥其特长。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(3)积极创造条件，开展多样化的课外活动，提高学生学习兴趣，开拓知识眼界，培养有关技能技巧。</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3、体育、音乐、美术教师，还应组织和辅导学生开展课外体育、文娱、美术活动，搞好运动队训练和竞赛工作，搞好文艺队、美工组的工作。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图书保管员职责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1、严格执行图书馆、阅览室的规章制度。</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2、掌握新书出版信息，添购书籍、充实书库。</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3、新书买到后，及时进行分类编目，尽快介绍出借。</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4、做好师生借书工作，管好学生阅览室和教师资料室。</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5、及时做好书报订阅收发工作，月底、年底做好报纸杂志装订保管工作。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6、经常做好书籍，报刊的介绍工作。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7、有关教学上的参考资料，及时送到各教研组。</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8、进行爱护书籍的宣传教育，做好图书的防潮、防虫蛀的工作和图书修补工作。</w:t>
      </w:r>
    </w:p>
    <w:p>
      <w:pPr>
        <w:ind w:firstLine="640" w:firstLineChars="200"/>
        <w:rPr>
          <w:rFonts w:hint="eastAsia" w:ascii="仿宋" w:hAnsi="仿宋" w:eastAsia="仿宋"/>
          <w:color w:val="000000"/>
          <w:sz w:val="32"/>
          <w:szCs w:val="32"/>
          <w:highlight w:val="none"/>
          <w:lang w:eastAsia="zh-CN"/>
        </w:rPr>
      </w:pPr>
      <w:r>
        <w:rPr>
          <w:rFonts w:ascii="仿宋" w:hAnsi="仿宋" w:eastAsia="仿宋"/>
          <w:color w:val="000000"/>
          <w:sz w:val="32"/>
          <w:szCs w:val="32"/>
          <w:highlight w:val="none"/>
        </w:rPr>
        <w:t>9、保持图书馆阅览室的清洁卫生和良好的纪律秩序。</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值周员职责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l、值周员必须提前到校，认真履行其职责。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2、负责组织好升降国旗仪式。</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3、掌握当天的作息时间。</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4、认真详细的填写好学校日志，检查教室日志的填写情况。</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5、负责处理好学校偶发事件。</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6、接待当天来宾或不定期来访家长。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7、检查督促校舍、门窗封锁、开关校门，注意安全。</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8、负责检查各班环境卫生和个人卫生。</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9、组织当天中午、下午学生放学。</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10、值周教师全权负责好学校—切财产安全，因不住校，失职等损失的财产，由值周人员全部按价赔偿。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1l、掌握各班学习、纪律、课间操等情况，</w:t>
      </w:r>
      <w:r>
        <w:rPr>
          <w:rFonts w:ascii="仿宋" w:eastAsia="仿宋"/>
          <w:color w:val="000000"/>
          <w:sz w:val="32"/>
          <w:szCs w:val="32"/>
          <w:highlight w:val="none"/>
        </w:rPr>
        <w:t> </w:t>
      </w:r>
      <w:r>
        <w:rPr>
          <w:rFonts w:ascii="仿宋" w:hAnsi="仿宋" w:eastAsia="仿宋"/>
          <w:color w:val="000000"/>
          <w:sz w:val="32"/>
          <w:szCs w:val="32"/>
          <w:highlight w:val="none"/>
        </w:rPr>
        <w:t xml:space="preserve"> 向领导汇报特殊情况和典型事件。</w:t>
      </w:r>
    </w:p>
    <w:p>
      <w:pPr>
        <w:snapToGrid w:val="0"/>
        <w:spacing w:line="520" w:lineRule="exact"/>
        <w:ind w:firstLine="640" w:firstLineChars="200"/>
        <w:rPr>
          <w:rFonts w:ascii="仿宋" w:hAnsi="仿宋" w:eastAsia="仿宋"/>
          <w:sz w:val="32"/>
          <w:szCs w:val="32"/>
          <w:highlight w:val="none"/>
        </w:rPr>
      </w:pPr>
      <w:r>
        <w:rPr>
          <w:rFonts w:ascii="仿宋" w:hAnsi="仿宋" w:eastAsia="仿宋"/>
          <w:color w:val="000000"/>
          <w:sz w:val="32"/>
          <w:szCs w:val="32"/>
          <w:highlight w:val="none"/>
        </w:rPr>
        <w:t>12、交清或接清责任和手续。</w:t>
      </w:r>
    </w:p>
    <w:p>
      <w:pPr>
        <w:pStyle w:val="4"/>
        <w:bidi w:val="0"/>
      </w:pPr>
      <w:bookmarkStart w:id="10" w:name="_Toc85902647"/>
      <w:bookmarkStart w:id="11" w:name="_Toc871127223"/>
      <w:bookmarkStart w:id="12" w:name="_Toc18051"/>
      <w:r>
        <w:rPr>
          <w:rFonts w:hint="eastAsia"/>
        </w:rPr>
        <w:t>二</w:t>
      </w:r>
      <w:r>
        <w:rPr>
          <w:rFonts w:hint="eastAsia"/>
          <w:lang w:eastAsia="zh-CN"/>
        </w:rPr>
        <w:t>、本年度</w:t>
      </w:r>
      <w:r>
        <w:rPr>
          <w:rFonts w:hint="eastAsia"/>
        </w:rPr>
        <w:t>重点工作完成情况。</w:t>
      </w:r>
      <w:bookmarkEnd w:id="10"/>
      <w:bookmarkEnd w:id="11"/>
      <w:bookmarkEnd w:id="12"/>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一、指导思想</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以“以人为本，狠抓常规，规范发展，提高质量”为工作思路，牢固树立和全面落实科学发展观，重点抓好教师师德、学校德育、教学质量、三方面工作，使他们相辅相成，努力做到“教师发展，学生发展，学校发展”，真正办</w:t>
      </w:r>
      <w:r>
        <w:rPr>
          <w:rFonts w:hint="eastAsia" w:ascii="仿宋" w:hAnsi="仿宋" w:eastAsia="仿宋"/>
          <w:color w:val="000000"/>
          <w:sz w:val="32"/>
          <w:szCs w:val="32"/>
          <w:highlight w:val="none"/>
          <w:lang w:eastAsia="zh-CN"/>
        </w:rPr>
        <w:t>好</w:t>
      </w:r>
      <w:r>
        <w:rPr>
          <w:rFonts w:hint="eastAsia" w:ascii="仿宋" w:hAnsi="仿宋" w:eastAsia="仿宋"/>
          <w:color w:val="000000"/>
          <w:sz w:val="32"/>
          <w:szCs w:val="32"/>
          <w:highlight w:val="none"/>
        </w:rPr>
        <w:t>一所群众满意的优秀学校。</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工作目标</w:t>
      </w:r>
      <w:r>
        <w:rPr>
          <w:rFonts w:ascii="仿宋" w:eastAsia="仿宋"/>
          <w:color w:val="000000"/>
          <w:sz w:val="32"/>
          <w:szCs w:val="32"/>
          <w:highlight w:val="none"/>
        </w:rPr>
        <w:t> </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1、实施师表形象工程，继续弘扬勤思、敬业、奉献、争先的精神，努力建设一支师德高尚、业务精良的教师队伍。学年末拟评选2-3名师德标兵。</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2、加强校本教研，发挥中心教研组的指导和骨干教师的引领作用，促进教师业务水平的再提高。</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3、开展德育教育活动，陶冶学生情操，激发学习兴趣。结合国庆节开展红歌会活动让每一位学生都能唱红歌，都会唱红歌，掀起爱国爱党的新高潮。</w:t>
      </w:r>
      <w:r>
        <w:rPr>
          <w:rFonts w:ascii="仿宋" w:eastAsia="仿宋"/>
          <w:color w:val="000000"/>
          <w:sz w:val="32"/>
          <w:szCs w:val="32"/>
          <w:highlight w:val="none"/>
        </w:rPr>
        <w:t> </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4、把安全工作放在首位，牢固树立“安全无小事，责任重于泰山”的思想，加强师生的安全知识教育。杜绝事故隐患，确保师生安全。本学期拟搞应急演练和安全知识讲座各一次。</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5、巩固幼教成果，使幼教工作上档次。</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一、学校管理工作：</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1.宗旨：加强师德</w:t>
      </w:r>
      <w:r>
        <w:rPr>
          <w:rFonts w:hint="eastAsia" w:ascii="仿宋" w:hAnsi="仿宋" w:eastAsia="仿宋"/>
          <w:color w:val="000000"/>
          <w:sz w:val="32"/>
          <w:szCs w:val="32"/>
          <w:highlight w:val="none"/>
          <w:lang w:eastAsia="zh-CN"/>
        </w:rPr>
        <w:t>师风</w:t>
      </w:r>
      <w:r>
        <w:rPr>
          <w:rFonts w:hint="eastAsia" w:ascii="仿宋" w:hAnsi="仿宋" w:eastAsia="仿宋"/>
          <w:color w:val="000000"/>
          <w:sz w:val="32"/>
          <w:szCs w:val="32"/>
          <w:highlight w:val="none"/>
        </w:rPr>
        <w:t>建设、以人为本、依法治校、师生共进、和谐发展</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2.思路：以人为本、全员参与、集思广益、众志成城</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3.以教育局考核评估为依据完善学校的考核考评方案，在教师民主参与的基础不断激发教师的工作热情，激发全体教职工的使命感、责任感、危机感。</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4.学校领导班子从思想上高度重视学校管理达标工作，以精细化、制度化为切入点，不断加强日常管理，使各种管理行为规范。</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二、学校教师队伍建设：</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1、干部队伍建设</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加强班子建设。领导班子成员要严以律己，既要扎实工作，又要开拓创新。更要讲究实效。既要关心教职工生活，又要身先士卒，更要讲原则。要成为教师的合作者服务者，使领导与教师之间做到思想上“合心”，工作上“合力”，行动上“合拍”</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2、教师队伍建设</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一是加强教师队伍的政治管理、师德建设，开展师德系列活动。学高为师，德高为范。通过政治学习等形式加强师德学习，使教师团队有一种艰苦奋斗的创业精神、团结拼搏的协作精神、严谨求实的科研精神、不断进步的进取精神、不求索取的奉献精神。</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二是加强业务理论学习，增强读书学习的自觉性和主动性，把提高教师素质作为校本研训的重要内容。号召每位教师读一本好书，写好心得体会。通过网络等多种途径提高自身的文化素质。</w:t>
      </w:r>
    </w:p>
    <w:p>
      <w:pPr>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三是加强教育理论的学习，因为没有教育理论作基石，教师的专业发展是走不远；如果不学习就缺乏应有的教育理论素养，教师就没有审视教育现象所需要的分析工具，教师就不能从教育现象中捕捉到有价值的东西，只能从教育现象到教育现象，而不能站在理论的高度去分析、审视教育现象。要求每位教师结合自己制定的学习计划写好学习笔记，学校将定期检查。</w:t>
      </w:r>
    </w:p>
    <w:p>
      <w:pPr>
        <w:snapToGrid w:val="0"/>
        <w:spacing w:line="520" w:lineRule="exact"/>
        <w:ind w:firstLine="640" w:firstLineChars="200"/>
        <w:rPr>
          <w:rFonts w:hint="eastAsia"/>
        </w:rPr>
      </w:pPr>
      <w:r>
        <w:rPr>
          <w:rFonts w:hint="eastAsia" w:ascii="仿宋" w:hAnsi="仿宋" w:eastAsia="仿宋"/>
          <w:color w:val="000000"/>
          <w:sz w:val="32"/>
          <w:szCs w:val="32"/>
          <w:highlight w:val="none"/>
        </w:rPr>
        <w:t>3.加强班主任培训工作。学校最少每月进行一次培训活动把培训工作落到实处。</w:t>
      </w:r>
    </w:p>
    <w:p>
      <w:pPr>
        <w:pStyle w:val="14"/>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机构设置</w:t>
      </w:r>
    </w:p>
    <w:p>
      <w:pPr>
        <w:ind w:firstLine="800" w:firstLineChars="250"/>
        <w:rPr>
          <w:rFonts w:ascii="仿宋" w:hAnsi="仿宋" w:eastAsia="仿宋"/>
          <w:sz w:val="32"/>
          <w:szCs w:val="32"/>
          <w:highlight w:val="none"/>
        </w:rPr>
      </w:pPr>
      <w:r>
        <w:rPr>
          <w:rFonts w:hint="eastAsia" w:ascii="仿宋" w:hAnsi="仿宋" w:eastAsia="仿宋"/>
          <w:sz w:val="32"/>
          <w:szCs w:val="32"/>
          <w:highlight w:val="none"/>
        </w:rPr>
        <w:t>四川省阿坝州壤塘县尕多乡中心</w:t>
      </w:r>
      <w:r>
        <w:rPr>
          <w:rFonts w:hint="eastAsia" w:ascii="仿宋" w:hAnsi="仿宋" w:eastAsia="仿宋"/>
          <w:sz w:val="32"/>
          <w:szCs w:val="32"/>
          <w:highlight w:val="none"/>
          <w:lang w:eastAsia="zh-CN"/>
        </w:rPr>
        <w:t>校</w:t>
      </w:r>
      <w:r>
        <w:rPr>
          <w:rFonts w:hint="eastAsia" w:ascii="仿宋" w:hAnsi="仿宋" w:eastAsia="仿宋"/>
          <w:sz w:val="32"/>
          <w:szCs w:val="32"/>
          <w:highlight w:val="none"/>
        </w:rPr>
        <w:t>下属二级单位</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个，其中行政单位</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个，参照公务员法管理的事业单位</w:t>
      </w:r>
      <w:r>
        <w:rPr>
          <w:rFonts w:hint="eastAsia" w:ascii="仿宋" w:hAnsi="仿宋" w:eastAsia="仿宋"/>
          <w:bCs/>
          <w:sz w:val="32"/>
          <w:szCs w:val="32"/>
          <w:highlight w:val="none"/>
          <w:lang w:val="en-US" w:eastAsia="zh-CN"/>
        </w:rPr>
        <w:t>0</w:t>
      </w:r>
      <w:r>
        <w:rPr>
          <w:rFonts w:hint="eastAsia" w:ascii="仿宋" w:hAnsi="仿宋" w:eastAsia="仿宋"/>
          <w:sz w:val="32"/>
          <w:szCs w:val="32"/>
          <w:highlight w:val="none"/>
        </w:rPr>
        <w:t>个，其他事业单位</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个。</w:t>
      </w:r>
    </w:p>
    <w:p>
      <w:pPr>
        <w:pStyle w:val="2"/>
        <w:adjustRightInd w:val="0"/>
        <w:snapToGrid w:val="0"/>
        <w:spacing w:before="93" w:line="600" w:lineRule="exact"/>
        <w:ind w:firstLine="672" w:firstLineChars="210"/>
        <w:rPr>
          <w:rFonts w:ascii="仿宋" w:hAnsi="仿宋" w:eastAsia="仿宋"/>
          <w:color w:val="000000"/>
          <w:sz w:val="32"/>
          <w:szCs w:val="32"/>
          <w:highlight w:val="none"/>
        </w:rPr>
      </w:pPr>
      <w:r>
        <w:rPr>
          <w:rFonts w:hint="eastAsia" w:ascii="仿宋" w:hAnsi="仿宋" w:eastAsia="仿宋"/>
          <w:color w:val="000000"/>
          <w:sz w:val="32"/>
          <w:szCs w:val="32"/>
          <w:highlight w:val="none"/>
        </w:rPr>
        <w:t>纳入四川省阿坝州壤塘县尕多乡中心</w:t>
      </w:r>
      <w:r>
        <w:rPr>
          <w:rFonts w:hint="eastAsia" w:ascii="仿宋" w:hAnsi="仿宋" w:eastAsia="仿宋"/>
          <w:color w:val="000000"/>
          <w:sz w:val="32"/>
          <w:szCs w:val="32"/>
          <w:highlight w:val="none"/>
          <w:lang w:eastAsia="zh-CN"/>
        </w:rPr>
        <w:t>校</w:t>
      </w:r>
      <w:r>
        <w:rPr>
          <w:rFonts w:ascii="仿宋" w:hAnsi="仿宋" w:eastAsia="仿宋"/>
          <w:color w:val="000000"/>
          <w:sz w:val="32"/>
          <w:szCs w:val="32"/>
          <w:highlight w:val="none"/>
        </w:rPr>
        <w:t>202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年度部门决算编制范围的二级预算单位包括：</w:t>
      </w:r>
    </w:p>
    <w:p>
      <w:pPr>
        <w:numPr>
          <w:ilvl w:val="0"/>
          <w:numId w:val="0"/>
        </w:numPr>
        <w:rPr>
          <w:rFonts w:hint="eastAsia"/>
        </w:rPr>
      </w:pPr>
      <w:r>
        <w:rPr>
          <w:rFonts w:hint="eastAsia" w:ascii="仿宋" w:hAnsi="仿宋" w:eastAsia="仿宋"/>
          <w:color w:val="000000"/>
          <w:sz w:val="32"/>
          <w:szCs w:val="32"/>
          <w:highlight w:val="none"/>
          <w:lang w:eastAsia="zh-CN"/>
        </w:rPr>
        <w:t>无</w:t>
      </w:r>
    </w:p>
    <w:p>
      <w:pPr>
        <w:pStyle w:val="3"/>
        <w:bidi w:val="0"/>
        <w:rPr>
          <w:rFonts w:hint="eastAsia"/>
        </w:rPr>
      </w:pPr>
      <w:bookmarkStart w:id="13" w:name="_Toc1936683348"/>
      <w:r>
        <w:rPr>
          <w:rFonts w:hint="eastAsia"/>
        </w:rPr>
        <w:t>第二部分</w:t>
      </w:r>
      <w:r>
        <w:rPr>
          <w:rFonts w:hint="eastAsia"/>
          <w:lang w:val="en-US" w:eastAsia="zh-CN"/>
        </w:rPr>
        <w:t xml:space="preserve"> 2025年度</w:t>
      </w:r>
      <w:r>
        <w:rPr>
          <w:rFonts w:hint="eastAsia"/>
        </w:rPr>
        <w:t>部门决算情况说明</w:t>
      </w:r>
      <w:bookmarkEnd w:id="13"/>
    </w:p>
    <w:p>
      <w:pPr>
        <w:pStyle w:val="4"/>
        <w:bidi w:val="0"/>
        <w:rPr>
          <w:rFonts w:hint="eastAsia"/>
        </w:rPr>
      </w:pPr>
      <w:bookmarkStart w:id="14" w:name="_Toc1177157408"/>
      <w:r>
        <w:rPr>
          <w:rFonts w:hint="eastAsia"/>
        </w:rPr>
        <w:t>一、收入支出决算总体情况说明</w:t>
      </w:r>
      <w:bookmarkEnd w:id="14"/>
    </w:p>
    <w:p>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1528.47</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相比，收、支总计各增加</w:t>
      </w:r>
      <w:r>
        <w:rPr>
          <w:rFonts w:hint="eastAsia" w:ascii="仿宋" w:hAnsi="仿宋" w:eastAsia="仿宋"/>
          <w:color w:val="auto"/>
          <w:sz w:val="32"/>
          <w:szCs w:val="32"/>
          <w:highlight w:val="none"/>
          <w:lang w:val="en-US" w:eastAsia="zh-CN"/>
        </w:rPr>
        <w:t>48.35</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3.27</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r>
        <w:rPr>
          <w:rFonts w:hint="eastAsia" w:ascii="仿宋" w:hAnsi="仿宋" w:eastAsia="仿宋"/>
          <w:color w:val="auto"/>
          <w:sz w:val="32"/>
          <w:szCs w:val="32"/>
          <w:highlight w:val="none"/>
          <w:lang w:eastAsia="zh-CN"/>
        </w:rPr>
        <w:t>。</w:t>
      </w:r>
    </w:p>
    <w:p>
      <w:pPr>
        <w:rPr>
          <w:rFonts w:hint="eastAsia" w:ascii="Times New Roman" w:hAnsi="Times New Roman" w:eastAsia="仿宋_GB2312" w:cs="仿宋_GB2312"/>
          <w:color w:val="auto"/>
          <w:sz w:val="32"/>
          <w:szCs w:val="32"/>
          <w:highlight w:val="none"/>
        </w:rPr>
      </w:pPr>
      <w:r>
        <w:drawing>
          <wp:inline distT="0" distB="0" distL="114300" distR="114300">
            <wp:extent cx="5140325" cy="2334260"/>
            <wp:effectExtent l="5080" t="4445" r="17145" b="23495"/>
            <wp:docPr id="1327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
        <w:rPr>
          <w:rFonts w:hint="eastAsia"/>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4"/>
        <w:bidi w:val="0"/>
        <w:rPr>
          <w:rFonts w:hint="eastAsia"/>
        </w:rPr>
      </w:pPr>
      <w:bookmarkStart w:id="15" w:name="_Toc709509408"/>
      <w:r>
        <w:rPr>
          <w:rFonts w:hint="eastAsia"/>
        </w:rPr>
        <w:t>二、收入决算情况说明</w:t>
      </w:r>
      <w:bookmarkEnd w:id="15"/>
    </w:p>
    <w:p>
      <w:pPr>
        <w:ind w:firstLine="640" w:firstLineChars="200"/>
        <w:rPr>
          <w:rFonts w:hint="eastAsia" w:ascii="Times New Roman" w:hAnsi="Times New Roman" w:eastAsia="仿宋_GB2312" w:cs="仿宋_GB2312"/>
          <w:color w:val="auto"/>
          <w:sz w:val="32"/>
          <w:szCs w:val="32"/>
          <w:highlight w:val="none"/>
        </w:rPr>
      </w:pPr>
      <w:bookmarkStart w:id="16" w:name="_Toc8665"/>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1528.47</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1527.53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99.94</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0.94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6"/>
    </w:p>
    <w:p>
      <w:pPr>
        <w:spacing w:line="600" w:lineRule="exact"/>
        <w:ind w:firstLine="642" w:firstLineChars="200"/>
        <w:outlineLvl w:val="1"/>
        <w:rPr>
          <w:rFonts w:ascii="仿宋" w:hAnsi="仿宋" w:eastAsia="仿宋"/>
          <w:b/>
          <w:color w:val="auto"/>
          <w:sz w:val="32"/>
          <w:szCs w:val="32"/>
          <w:highlight w:val="none"/>
        </w:rPr>
      </w:pPr>
      <w:bookmarkStart w:id="17" w:name="_Toc920897655"/>
      <w:bookmarkStart w:id="18" w:name="_Toc290103683"/>
      <w:bookmarkStart w:id="19" w:name="_Toc6252"/>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01表</w:t>
      </w:r>
      <w:r>
        <w:rPr>
          <w:rFonts w:hint="eastAsia" w:ascii="仿宋" w:hAnsi="仿宋" w:eastAsia="仿宋"/>
          <w:b/>
          <w:color w:val="auto"/>
          <w:sz w:val="32"/>
          <w:szCs w:val="32"/>
          <w:highlight w:val="none"/>
          <w:lang w:eastAsia="zh-CN"/>
        </w:rPr>
        <w:t>，仅罗列本部门涉及的收入。</w:t>
      </w:r>
      <w:r>
        <w:rPr>
          <w:rFonts w:ascii="仿宋" w:hAnsi="仿宋" w:eastAsia="仿宋"/>
          <w:b/>
          <w:color w:val="auto"/>
          <w:sz w:val="32"/>
          <w:szCs w:val="32"/>
          <w:highlight w:val="none"/>
        </w:rPr>
        <w:t>）</w:t>
      </w:r>
      <w:bookmarkEnd w:id="17"/>
      <w:bookmarkEnd w:id="18"/>
      <w:bookmarkEnd w:id="19"/>
    </w:p>
    <w:p>
      <w:pPr>
        <w:pStyle w:val="2"/>
        <w:jc w:val="center"/>
      </w:pPr>
      <w:r>
        <w:drawing>
          <wp:inline distT="0" distB="0" distL="114300" distR="114300">
            <wp:extent cx="3850640" cy="1932940"/>
            <wp:effectExtent l="4445" t="5080" r="12065" b="5080"/>
            <wp:docPr id="132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jc w:val="center"/>
        <w:rPr>
          <w:rFonts w:hint="eastAsia"/>
        </w:rPr>
      </w:pPr>
      <w:r>
        <w:rPr>
          <w:rFonts w:hint="eastAsia" w:ascii="仿宋" w:hAnsi="仿宋" w:eastAsia="仿宋"/>
          <w:color w:val="auto"/>
          <w:sz w:val="32"/>
          <w:szCs w:val="32"/>
          <w:highlight w:val="none"/>
        </w:rPr>
        <w:t>（图2：收入决算结构图）（饼状图）</w:t>
      </w:r>
    </w:p>
    <w:p>
      <w:pPr>
        <w:pStyle w:val="4"/>
        <w:bidi w:val="0"/>
        <w:rPr>
          <w:rFonts w:hint="eastAsia"/>
        </w:rPr>
      </w:pPr>
      <w:bookmarkStart w:id="20" w:name="_Toc1840128053"/>
      <w:r>
        <w:rPr>
          <w:rFonts w:hint="eastAsia"/>
        </w:rPr>
        <w:t>三、支出决算情况说明</w:t>
      </w:r>
      <w:bookmarkEnd w:id="20"/>
    </w:p>
    <w:p>
      <w:pPr>
        <w:spacing w:line="600" w:lineRule="exact"/>
        <w:ind w:firstLine="640" w:firstLineChars="200"/>
        <w:outlineLvl w:val="1"/>
        <w:rPr>
          <w:rFonts w:ascii="仿宋" w:hAnsi="仿宋" w:eastAsia="仿宋"/>
          <w:color w:val="auto"/>
          <w:sz w:val="32"/>
          <w:szCs w:val="32"/>
          <w:highlight w:val="none"/>
        </w:rPr>
      </w:pPr>
      <w:bookmarkStart w:id="21" w:name="_Toc703289843"/>
      <w:bookmarkStart w:id="22" w:name="_Toc1096355419"/>
      <w:bookmarkStart w:id="23" w:name="_Toc30900"/>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1528.47</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1263.66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82.7</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264.81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17.3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21"/>
      <w:bookmarkEnd w:id="22"/>
      <w:bookmarkEnd w:id="23"/>
    </w:p>
    <w:p>
      <w:pPr>
        <w:rPr>
          <w:rFonts w:hint="eastAsia" w:ascii="Times New Roman" w:hAnsi="Times New Roman" w:eastAsia="仿宋_GB2312" w:cs="仿宋_GB2312"/>
          <w:color w:val="auto"/>
          <w:sz w:val="32"/>
          <w:szCs w:val="32"/>
          <w:highlight w:val="none"/>
        </w:rPr>
      </w:pPr>
      <w:bookmarkStart w:id="24" w:name="_Toc31643"/>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04</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，仅罗列本部门涉及的支出。</w:t>
      </w:r>
      <w:r>
        <w:rPr>
          <w:rFonts w:hint="eastAsia" w:ascii="仿宋" w:hAnsi="仿宋" w:eastAsia="仿宋"/>
          <w:b/>
          <w:color w:val="auto"/>
          <w:sz w:val="32"/>
          <w:szCs w:val="32"/>
          <w:highlight w:val="none"/>
        </w:rPr>
        <w:t>）</w:t>
      </w:r>
      <w:bookmarkEnd w:id="24"/>
    </w:p>
    <w:p>
      <w:pPr>
        <w:pStyle w:val="2"/>
        <w:jc w:val="center"/>
      </w:pPr>
      <w:r>
        <w:drawing>
          <wp:inline distT="0" distB="0" distL="114300" distR="114300">
            <wp:extent cx="3652520" cy="2359660"/>
            <wp:effectExtent l="4445" t="4445" r="19685" b="17145"/>
            <wp:docPr id="1327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
        <w:jc w:val="center"/>
        <w:rPr>
          <w:rFonts w:hint="eastAsia"/>
        </w:rPr>
      </w:pPr>
      <w:r>
        <w:rPr>
          <w:rFonts w:hint="eastAsia" w:ascii="仿宋" w:hAnsi="仿宋" w:eastAsia="仿宋"/>
          <w:color w:val="auto"/>
          <w:sz w:val="32"/>
          <w:szCs w:val="32"/>
          <w:highlight w:val="none"/>
        </w:rPr>
        <w:t>（图3：支出决算结构图）（饼状图）</w:t>
      </w:r>
    </w:p>
    <w:p>
      <w:pPr>
        <w:pStyle w:val="4"/>
        <w:bidi w:val="0"/>
        <w:rPr>
          <w:rFonts w:hint="eastAsia"/>
        </w:rPr>
      </w:pPr>
      <w:bookmarkStart w:id="25" w:name="_Toc1046151398"/>
      <w:r>
        <w:rPr>
          <w:rFonts w:hint="eastAsia"/>
        </w:rPr>
        <w:t>四、财政拨款收入支出决算总体情况说明</w:t>
      </w:r>
      <w:bookmarkEnd w:id="25"/>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1528.47</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48.35</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3.27</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01-1</w:t>
      </w:r>
      <w:r>
        <w:rPr>
          <w:rFonts w:hint="eastAsia" w:ascii="仿宋" w:hAnsi="仿宋" w:eastAsia="仿宋"/>
          <w:b/>
          <w:color w:val="auto"/>
          <w:sz w:val="32"/>
          <w:szCs w:val="32"/>
          <w:highlight w:val="none"/>
        </w:rPr>
        <w:t>表</w:t>
      </w:r>
      <w:r>
        <w:rPr>
          <w:rFonts w:ascii="仿宋" w:hAnsi="仿宋" w:eastAsia="仿宋"/>
          <w:b/>
          <w:color w:val="auto"/>
          <w:sz w:val="32"/>
          <w:szCs w:val="32"/>
          <w:highlight w:val="none"/>
        </w:rPr>
        <w:t>）</w:t>
      </w:r>
    </w:p>
    <w:p>
      <w:pPr>
        <w:pStyle w:val="2"/>
        <w:jc w:val="center"/>
      </w:pPr>
      <w:r>
        <w:drawing>
          <wp:inline distT="0" distB="0" distL="114300" distR="114300">
            <wp:extent cx="4531995" cy="2398395"/>
            <wp:effectExtent l="4445" t="4445" r="16510" b="16510"/>
            <wp:docPr id="1326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rPr>
          <w:rFonts w:hint="eastAsia"/>
        </w:rPr>
      </w:pPr>
      <w:r>
        <w:rPr>
          <w:rFonts w:hint="eastAsia" w:ascii="仿宋" w:hAnsi="仿宋" w:eastAsia="仿宋"/>
          <w:color w:val="auto"/>
          <w:sz w:val="32"/>
          <w:szCs w:val="32"/>
          <w:highlight w:val="none"/>
        </w:rPr>
        <w:t>（图4：财政拨款收、支决算总计变动情况）（柱状图）</w:t>
      </w:r>
    </w:p>
    <w:p>
      <w:pPr>
        <w:pStyle w:val="4"/>
        <w:bidi w:val="0"/>
        <w:rPr>
          <w:rFonts w:hint="eastAsia"/>
        </w:rPr>
      </w:pPr>
      <w:bookmarkStart w:id="26" w:name="_Toc403281292"/>
      <w:r>
        <w:rPr>
          <w:rFonts w:hint="eastAsia"/>
        </w:rPr>
        <w:t>五、一般公共预算财政拨款支出决算情况说明</w:t>
      </w:r>
      <w:bookmarkEnd w:id="26"/>
    </w:p>
    <w:p>
      <w:pPr>
        <w:spacing w:line="600" w:lineRule="exact"/>
        <w:ind w:firstLine="642"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1528.48</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99.94</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48.91</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3.31</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spacing w:line="600" w:lineRule="exact"/>
        <w:ind w:firstLine="420" w:firstLineChars="200"/>
        <w:rPr>
          <w:rFonts w:hint="eastAsia" w:ascii="仿宋" w:hAnsi="仿宋" w:eastAsia="仿宋"/>
          <w:color w:val="auto"/>
          <w:sz w:val="32"/>
          <w:szCs w:val="32"/>
          <w:highlight w:val="none"/>
        </w:rPr>
      </w:pPr>
      <w:r>
        <w:drawing>
          <wp:anchor distT="0" distB="0" distL="114300" distR="114300" simplePos="0" relativeHeight="251660288" behindDoc="0" locked="0" layoutInCell="1" allowOverlap="1">
            <wp:simplePos x="0" y="0"/>
            <wp:positionH relativeFrom="column">
              <wp:posOffset>150495</wp:posOffset>
            </wp:positionH>
            <wp:positionV relativeFrom="paragraph">
              <wp:posOffset>106045</wp:posOffset>
            </wp:positionV>
            <wp:extent cx="5271135" cy="1882140"/>
            <wp:effectExtent l="4445" t="4445" r="20320" b="18415"/>
            <wp:wrapTopAndBottom/>
            <wp:docPr id="1327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（图5：一般公共预算财政拨款支出决算变动情况）（柱状图）</w:t>
      </w:r>
    </w:p>
    <w:p>
      <w:pPr>
        <w:spacing w:line="600" w:lineRule="exact"/>
        <w:ind w:firstLine="642"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（二）一般公共预算财政拨款支出决算结构情况</w:t>
      </w:r>
    </w:p>
    <w:p>
      <w:pPr>
        <w:spacing w:line="600" w:lineRule="exact"/>
        <w:ind w:firstLine="640"/>
        <w:rPr>
          <w:rFonts w:hint="eastAsi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1528.48</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bCs/>
          <w:color w:val="auto"/>
          <w:sz w:val="32"/>
          <w:szCs w:val="32"/>
          <w:highlight w:val="none"/>
        </w:rPr>
        <w:t>一般公共服务支出</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29.61万元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1.94</w:t>
      </w:r>
      <w:r>
        <w:rPr>
          <w:rFonts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w:t>
      </w:r>
      <w:r>
        <w:rPr>
          <w:rFonts w:hint="eastAsia" w:ascii="仿宋" w:hAnsi="仿宋" w:eastAsia="仿宋"/>
          <w:b/>
          <w:color w:val="auto"/>
          <w:sz w:val="32"/>
          <w:szCs w:val="32"/>
          <w:highlight w:val="none"/>
        </w:rPr>
        <w:t>教育支出</w:t>
      </w:r>
      <w:r>
        <w:rPr>
          <w:rFonts w:hint="eastAsia" w:ascii="仿宋" w:hAnsi="仿宋" w:eastAsia="仿宋"/>
          <w:color w:val="auto"/>
          <w:sz w:val="32"/>
          <w:szCs w:val="32"/>
          <w:highlight w:val="none"/>
          <w:lang w:val="en-US" w:eastAsia="zh-CN"/>
        </w:rPr>
        <w:t>1190.65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77.9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158.31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10.36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61.49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4.02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87.48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5.72%</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lang w:eastAsia="zh-CN"/>
        </w:rPr>
        <w:t>其他</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0.94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注：数据来源于财决</w:t>
      </w:r>
      <w:r>
        <w:rPr>
          <w:rFonts w:hint="eastAsia" w:ascii="仿宋" w:hAnsi="仿宋" w:eastAsia="仿宋"/>
          <w:b/>
          <w:color w:val="auto"/>
          <w:sz w:val="32"/>
          <w:szCs w:val="32"/>
          <w:highlight w:val="none"/>
          <w:lang w:val="en-US" w:eastAsia="zh-CN"/>
        </w:rPr>
        <w:t>01-1表，仅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本部门涉及的全部</w:t>
      </w:r>
      <w:r>
        <w:rPr>
          <w:rFonts w:hint="eastAsia" w:ascii="仿宋" w:hAnsi="仿宋" w:eastAsia="仿宋"/>
          <w:b/>
          <w:color w:val="auto"/>
          <w:sz w:val="32"/>
          <w:szCs w:val="32"/>
          <w:highlight w:val="none"/>
        </w:rPr>
        <w:t>功能分类科目，至类级。）</w:t>
      </w:r>
    </w:p>
    <w:p>
      <w:pPr>
        <w:pStyle w:val="2"/>
        <w:jc w:val="center"/>
        <w:rPr>
          <w:rFonts w:ascii="仿宋" w:hAnsi="仿宋" w:eastAsia="仿宋"/>
          <w:color w:val="auto"/>
          <w:sz w:val="32"/>
          <w:szCs w:val="32"/>
          <w:highlight w:val="none"/>
        </w:rPr>
      </w:pPr>
      <w:r>
        <w:drawing>
          <wp:inline distT="0" distB="0" distL="114300" distR="114300">
            <wp:extent cx="3971925" cy="2778125"/>
            <wp:effectExtent l="4445" t="4445" r="5080" b="17780"/>
            <wp:docPr id="1327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spacing w:line="600" w:lineRule="exact"/>
        <w:ind w:firstLine="640" w:firstLineChars="200"/>
        <w:rPr>
          <w:rFonts w:ascii="仿宋" w:hAnsi="仿宋" w:eastAsia="仿宋"/>
          <w:color w:val="auto"/>
          <w:sz w:val="32"/>
          <w:szCs w:val="32"/>
          <w:highlight w:val="none"/>
        </w:rPr>
      </w:pPr>
    </w:p>
    <w:p>
      <w:pPr>
        <w:spacing w:line="600" w:lineRule="exact"/>
        <w:ind w:firstLine="642"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pPr>
        <w:spacing w:line="600" w:lineRule="exact"/>
        <w:ind w:firstLine="642" w:firstLineChars="200"/>
        <w:outlineLvl w:val="2"/>
        <w:rPr>
          <w:rStyle w:val="17"/>
          <w:rFonts w:hint="eastAsia" w:ascii="仿宋" w:hAnsi="仿宋" w:eastAsia="仿宋"/>
          <w:bCs/>
          <w:color w:val="auto"/>
          <w:sz w:val="32"/>
          <w:szCs w:val="32"/>
          <w:highlight w:val="none"/>
        </w:rPr>
      </w:pPr>
      <w:r>
        <w:rPr>
          <w:rFonts w:hint="eastAsia" w:ascii="仿宋" w:hAnsi="仿宋" w:eastAsia="仿宋"/>
          <w:b/>
          <w:color w:val="auto"/>
          <w:sz w:val="32"/>
          <w:szCs w:val="32"/>
          <w:highlight w:val="none"/>
          <w:lang w:eastAsia="zh-CN"/>
        </w:rPr>
        <w:t>2024</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1528.48</w:t>
      </w:r>
      <w:r>
        <w:rPr>
          <w:rFonts w:hint="eastAsia" w:ascii="仿宋" w:hAnsi="仿宋" w:eastAsia="仿宋"/>
          <w:color w:val="auto"/>
          <w:sz w:val="32"/>
          <w:szCs w:val="32"/>
          <w:highlight w:val="none"/>
        </w:rPr>
        <w:t>，</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1</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教育（</w:t>
      </w:r>
      <w:r>
        <w:rPr>
          <w:rStyle w:val="17"/>
          <w:rFonts w:hint="eastAsia" w:ascii="仿宋" w:hAnsi="仿宋" w:eastAsia="仿宋"/>
          <w:bCs/>
          <w:color w:val="000000"/>
          <w:sz w:val="32"/>
          <w:szCs w:val="32"/>
          <w:highlight w:val="none"/>
          <w:lang w:val="en-US" w:eastAsia="zh-CN"/>
        </w:rPr>
        <w:t>205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普通教育（</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lang w:eastAsia="zh-CN"/>
        </w:rPr>
        <w:t>）学前教育（</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lang w:eastAsia="zh-CN"/>
        </w:rPr>
        <w:t>）小学教育</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）其他普通教育支出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99</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1190.65</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社会保障和就业（</w:t>
      </w:r>
      <w:r>
        <w:rPr>
          <w:rStyle w:val="17"/>
          <w:rFonts w:hint="eastAsia" w:ascii="仿宋" w:hAnsi="仿宋" w:eastAsia="仿宋"/>
          <w:bCs/>
          <w:color w:val="000000"/>
          <w:sz w:val="32"/>
          <w:szCs w:val="32"/>
          <w:highlight w:val="none"/>
          <w:lang w:val="en-US" w:eastAsia="zh-CN"/>
        </w:rPr>
        <w:t>208</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行政事业单位养老支出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机关事业单位基本养老保险缴费支出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158.31</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Fonts w:hint="eastAsia" w:ascii="仿宋" w:hAnsi="仿宋" w:eastAsia="仿宋"/>
          <w:b/>
          <w:bCs/>
          <w:color w:val="000000"/>
          <w:sz w:val="32"/>
          <w:szCs w:val="32"/>
          <w:highlight w:val="none"/>
        </w:rPr>
        <w:t>卫生健康</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210</w:t>
      </w:r>
      <w:r>
        <w:rPr>
          <w:rStyle w:val="17"/>
          <w:rFonts w:hint="eastAsia" w:ascii="仿宋" w:hAnsi="仿宋" w:eastAsia="仿宋"/>
          <w:bCs/>
          <w:color w:val="000000"/>
          <w:sz w:val="32"/>
          <w:szCs w:val="32"/>
          <w:highlight w:val="none"/>
        </w:rPr>
        <w:t>） 重大公共卫生服务</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09</w:t>
      </w: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11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事业单位医疗</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61.49</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4</w:t>
      </w:r>
      <w:r>
        <w:rPr>
          <w:rStyle w:val="17"/>
          <w:rFonts w:ascii="仿宋" w:hAnsi="仿宋" w:eastAsia="仿宋"/>
          <w:bCs/>
          <w:color w:val="000000"/>
          <w:sz w:val="32"/>
          <w:szCs w:val="32"/>
          <w:highlight w:val="none"/>
        </w:rPr>
        <w:t>.</w:t>
      </w:r>
      <w:r>
        <w:rPr>
          <w:rFonts w:hint="eastAsia" w:ascii="仿宋" w:hAnsi="仿宋" w:eastAsia="仿宋"/>
          <w:b/>
          <w:bCs/>
          <w:color w:val="000000"/>
          <w:sz w:val="32"/>
          <w:szCs w:val="32"/>
          <w:highlight w:val="none"/>
          <w:lang w:eastAsia="zh-CN"/>
        </w:rPr>
        <w:t>住房保障支出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221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住房改革支出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住房公积金</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rPr>
        <w:t>） 购房补贴</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03</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87.48</w:t>
      </w:r>
      <w:r>
        <w:rPr>
          <w:rStyle w:val="17"/>
          <w:rFonts w:hint="eastAsia" w:ascii="仿宋" w:hAnsi="仿宋" w:eastAsia="仿宋"/>
          <w:b w:val="0"/>
          <w:bCs/>
          <w:color w:val="000000"/>
          <w:sz w:val="32"/>
          <w:szCs w:val="32"/>
          <w:highlight w:val="none"/>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5</w:t>
      </w:r>
      <w:r>
        <w:rPr>
          <w:rStyle w:val="17"/>
          <w:rFonts w:ascii="仿宋" w:hAnsi="仿宋" w:eastAsia="仿宋"/>
          <w:bCs/>
          <w:color w:val="000000"/>
          <w:sz w:val="32"/>
          <w:szCs w:val="32"/>
          <w:highlight w:val="none"/>
        </w:rPr>
        <w:t>.</w:t>
      </w:r>
      <w:r>
        <w:rPr>
          <w:rStyle w:val="17"/>
          <w:rFonts w:hint="eastAsia" w:ascii="仿宋" w:hAnsi="仿宋" w:eastAsia="仿宋"/>
          <w:bCs/>
          <w:color w:val="000000"/>
          <w:sz w:val="32"/>
          <w:szCs w:val="32"/>
          <w:highlight w:val="none"/>
        </w:rPr>
        <w:t>其他支出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229</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rPr>
        <w:t>彩票公益金安排的支出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60</w:t>
      </w:r>
      <w:r>
        <w:rPr>
          <w:rStyle w:val="17"/>
          <w:rFonts w:hint="eastAsia" w:ascii="仿宋" w:hAnsi="仿宋" w:eastAsia="仿宋"/>
          <w:bCs/>
          <w:color w:val="000000"/>
          <w:sz w:val="32"/>
          <w:szCs w:val="32"/>
          <w:highlight w:val="none"/>
          <w:lang w:eastAsia="zh-CN"/>
        </w:rPr>
        <w:t>）用于教育事业的彩票公益金支出（</w:t>
      </w:r>
      <w:r>
        <w:rPr>
          <w:rStyle w:val="17"/>
          <w:rFonts w:hint="eastAsia" w:ascii="仿宋" w:hAnsi="仿宋" w:eastAsia="仿宋"/>
          <w:bCs/>
          <w:color w:val="000000"/>
          <w:sz w:val="32"/>
          <w:szCs w:val="32"/>
          <w:highlight w:val="none"/>
          <w:lang w:val="en-US" w:eastAsia="zh-CN"/>
        </w:rPr>
        <w:t>04）</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0.94</w:t>
      </w:r>
      <w:r>
        <w:rPr>
          <w:rStyle w:val="17"/>
          <w:rFonts w:hint="eastAsia" w:ascii="仿宋" w:hAnsi="仿宋" w:eastAsia="仿宋"/>
          <w:b w:val="0"/>
          <w:bCs/>
          <w:color w:val="000000"/>
          <w:sz w:val="32"/>
          <w:szCs w:val="32"/>
          <w:highlight w:val="none"/>
          <w:lang w:val="en-US" w:eastAsia="zh-CN"/>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pStyle w:val="2"/>
        <w:ind w:firstLine="642" w:firstLineChars="200"/>
        <w:rPr>
          <w:rFonts w:hint="eastAsia"/>
        </w:rPr>
      </w:pPr>
      <w:r>
        <w:rPr>
          <w:rStyle w:val="17"/>
          <w:rFonts w:hint="eastAsia" w:ascii="仿宋" w:hAnsi="仿宋" w:eastAsia="仿宋"/>
          <w:bCs/>
          <w:color w:val="auto"/>
          <w:sz w:val="32"/>
          <w:szCs w:val="32"/>
          <w:highlight w:val="none"/>
          <w:lang w:val="en-US" w:eastAsia="zh-CN"/>
        </w:rPr>
        <w:t>6.</w:t>
      </w:r>
      <w:r>
        <w:rPr>
          <w:rStyle w:val="17"/>
          <w:rFonts w:hint="eastAsia" w:ascii="仿宋" w:hAnsi="仿宋" w:eastAsia="仿宋"/>
          <w:bCs/>
          <w:color w:val="auto"/>
          <w:sz w:val="32"/>
          <w:szCs w:val="32"/>
          <w:highlight w:val="none"/>
        </w:rPr>
        <w:t>一般公共服务（</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w:t>
      </w:r>
      <w:r>
        <w:rPr>
          <w:rStyle w:val="17"/>
          <w:rFonts w:hint="eastAsia" w:ascii="仿宋" w:hAnsi="仿宋" w:eastAsia="仿宋" w:cs="Times New Roman"/>
          <w:bCs/>
          <w:color w:val="auto"/>
          <w:sz w:val="32"/>
          <w:szCs w:val="32"/>
          <w:highlight w:val="none"/>
        </w:rPr>
        <w:t>组织事务（32）其他组织事务支出（99）</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29.61</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Fonts w:hint="eastAsia"/>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1-1表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w:t>
      </w:r>
      <w:r>
        <w:rPr>
          <w:rFonts w:hint="eastAsia" w:ascii="仿宋" w:hAnsi="仿宋" w:eastAsia="仿宋"/>
          <w:b/>
          <w:color w:val="auto"/>
          <w:sz w:val="32"/>
          <w:szCs w:val="32"/>
          <w:highlight w:val="none"/>
        </w:rPr>
        <w:t>全部功能分类科目</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至项级。上述“预算”口径为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数。增减变动原因为决算数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和</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比较，与预算数持平可以不写原因。）</w:t>
      </w:r>
    </w:p>
    <w:p>
      <w:pPr>
        <w:pStyle w:val="4"/>
        <w:bidi w:val="0"/>
        <w:rPr>
          <w:rFonts w:hint="eastAsia"/>
        </w:rPr>
      </w:pPr>
      <w:bookmarkStart w:id="27" w:name="_Toc1467530131"/>
      <w:r>
        <w:rPr>
          <w:rFonts w:hint="eastAsia"/>
        </w:rPr>
        <w:t>六、一般公共预算财政拨款基本支出决算情况说明</w:t>
      </w:r>
      <w:bookmarkEnd w:id="27"/>
    </w:p>
    <w:p>
      <w:pPr>
        <w:keepNext w:val="0"/>
        <w:keepLines w:val="0"/>
        <w:widowControl/>
        <w:suppressLineNumbers w:val="0"/>
        <w:ind w:firstLine="640" w:firstLineChars="200"/>
        <w:jc w:val="left"/>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1,263.66</w:t>
      </w:r>
      <w:r>
        <w:rPr>
          <w:rFonts w:hint="eastAsia" w:ascii="仿宋" w:hAnsi="仿宋" w:eastAsia="仿宋"/>
          <w:color w:val="auto"/>
          <w:sz w:val="32"/>
          <w:szCs w:val="32"/>
          <w:highlight w:val="none"/>
        </w:rPr>
        <w:t>万元，其中：</w:t>
      </w:r>
    </w:p>
    <w:p>
      <w:pPr>
        <w:keepNext w:val="0"/>
        <w:keepLines w:val="0"/>
        <w:widowControl/>
        <w:suppressLineNumbers w:val="0"/>
        <w:ind w:firstLine="640" w:firstLineChars="200"/>
        <w:jc w:val="left"/>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1,249.16</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14.51</w:t>
      </w:r>
      <w:r>
        <w:rPr>
          <w:rFonts w:hint="eastAsia" w:ascii="仿宋" w:hAnsi="仿宋" w:eastAsia="仿宋"/>
          <w:color w:val="auto"/>
          <w:sz w:val="32"/>
          <w:szCs w:val="32"/>
          <w:highlight w:val="none"/>
        </w:rPr>
        <w:t>万元，主要包括：办公费、印刷费、咨询费、手续费、水费、电费、邮电费、取暖费、物业管理费、差旅费、维修（护）费、会议费、培训费、公务接待费、劳务费、工会经费、福利费、税金及附加费用、其他商品和服务支出、办公设备购置、专用设备购置、信息网络及软件购置更新、其他资本性支出等。</w:t>
      </w:r>
    </w:p>
    <w:p>
      <w:pPr>
        <w:spacing w:line="600" w:lineRule="exact"/>
        <w:ind w:firstLine="645"/>
        <w:rPr>
          <w:rFonts w:hint="eastAsia"/>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7表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08-1表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pPr>
        <w:pStyle w:val="4"/>
        <w:bidi w:val="0"/>
        <w:rPr>
          <w:rFonts w:hint="eastAsia"/>
        </w:rPr>
      </w:pPr>
      <w:bookmarkStart w:id="28" w:name="_Toc112094820"/>
      <w:r>
        <w:rPr>
          <w:rFonts w:hint="eastAsia"/>
          <w:lang w:eastAsia="zh-CN"/>
        </w:rPr>
        <w:t>七、</w:t>
      </w:r>
      <w:r>
        <w:rPr>
          <w:rFonts w:hint="eastAsia"/>
        </w:rPr>
        <w:t>财政拨款</w:t>
      </w:r>
      <w:r>
        <w:rPr>
          <w:rFonts w:hint="eastAsia"/>
          <w:lang w:eastAsia="zh-CN"/>
        </w:rPr>
        <w:t>“</w:t>
      </w:r>
      <w:r>
        <w:rPr>
          <w:rFonts w:hint="eastAsia"/>
        </w:rPr>
        <w:t>三公”经费支出决算情况说明</w:t>
      </w:r>
      <w:bookmarkEnd w:id="28"/>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较上年度增加</w:t>
      </w:r>
      <w:r>
        <w:rPr>
          <w:rFonts w:hint="eastAsia" w:ascii="仿宋" w:hAnsi="仿宋" w:eastAsia="仿宋"/>
          <w:color w:val="auto"/>
          <w:sz w:val="32"/>
          <w:szCs w:val="32"/>
          <w:highlight w:val="none"/>
          <w:lang w:val="en-US" w:eastAsia="zh-CN"/>
        </w:rPr>
        <w:t>0万元，增长0%。本学校无此项内容</w:t>
      </w:r>
      <w:r>
        <w:rPr>
          <w:rFonts w:hint="eastAsia" w:ascii="仿宋" w:hAnsi="仿宋" w:eastAsia="仿宋"/>
          <w:color w:val="auto"/>
          <w:sz w:val="32"/>
          <w:szCs w:val="32"/>
          <w:highlight w:val="none"/>
        </w:rPr>
        <w:t>。</w:t>
      </w:r>
    </w:p>
    <w:p>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numPr>
          <w:ilvl w:val="0"/>
          <w:numId w:val="2"/>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spacing w:line="600" w:lineRule="exact"/>
        <w:ind w:firstLine="640"/>
        <w:outlineLvl w:val="1"/>
        <w:rPr>
          <w:rFonts w:hint="eastAsia"/>
        </w:rPr>
      </w:pPr>
      <w:bookmarkStart w:id="29" w:name="_Toc2018105822"/>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bookmarkEnd w:id="29"/>
    </w:p>
    <w:p>
      <w:pPr>
        <w:pStyle w:val="4"/>
        <w:bidi w:val="0"/>
        <w:rPr>
          <w:rFonts w:hint="eastAsia"/>
        </w:rPr>
      </w:pPr>
      <w:bookmarkStart w:id="30" w:name="_Toc1459895626"/>
      <w:r>
        <w:rPr>
          <w:rFonts w:hint="eastAsia"/>
        </w:rPr>
        <w:t>八、政府性基金预算支出决算情况说明</w:t>
      </w:r>
      <w:bookmarkEnd w:id="30"/>
    </w:p>
    <w:p>
      <w:pPr>
        <w:spacing w:line="600" w:lineRule="exact"/>
        <w:ind w:firstLine="64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0.94</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s="Times New Roman"/>
          <w:color w:val="auto"/>
          <w:sz w:val="32"/>
          <w:szCs w:val="32"/>
          <w:highlight w:val="none"/>
          <w:lang w:eastAsia="zh-CN"/>
        </w:rPr>
        <w:t>用于教育事业的彩票公益金支出</w:t>
      </w:r>
      <w:r>
        <w:rPr>
          <w:rFonts w:hint="eastAsia" w:ascii="仿宋_GB2312" w:eastAsia="仿宋_GB2312"/>
          <w:color w:val="auto"/>
          <w:sz w:val="32"/>
          <w:szCs w:val="32"/>
          <w:highlight w:val="none"/>
        </w:rPr>
        <w:t>。</w:t>
      </w:r>
    </w:p>
    <w:p>
      <w:pPr>
        <w:pStyle w:val="4"/>
        <w:bidi w:val="0"/>
        <w:rPr>
          <w:rFonts w:hint="eastAsia"/>
        </w:rPr>
      </w:pPr>
      <w:bookmarkStart w:id="31" w:name="_Toc1185433622"/>
      <w:r>
        <w:rPr>
          <w:rFonts w:hint="eastAsia"/>
        </w:rPr>
        <w:t>九、</w:t>
      </w:r>
      <w:r>
        <w:rPr>
          <w:rFonts w:hint="eastAsia"/>
          <w:lang w:eastAsia="zh-CN"/>
        </w:rPr>
        <w:t>国</w:t>
      </w:r>
      <w:r>
        <w:rPr>
          <w:rFonts w:hint="eastAsia"/>
        </w:rPr>
        <w:t>有资本经营预算支出决算情况说明</w:t>
      </w:r>
      <w:bookmarkEnd w:id="31"/>
    </w:p>
    <w:p>
      <w:pPr>
        <w:spacing w:line="600" w:lineRule="exact"/>
        <w:ind w:firstLine="64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4"/>
        <w:bidi w:val="0"/>
        <w:rPr>
          <w:rFonts w:hint="eastAsia" w:ascii="Times New Roman" w:hAnsi="Times New Roman" w:eastAsia="仿宋_GB2312" w:cs="仿宋_GB2312"/>
          <w:color w:val="auto"/>
          <w:szCs w:val="32"/>
          <w:highlight w:val="none"/>
        </w:rPr>
      </w:pPr>
      <w:bookmarkStart w:id="32" w:name="_Toc2091202018"/>
      <w:r>
        <w:rPr>
          <w:rFonts w:hint="eastAsia"/>
          <w:lang w:eastAsia="zh-CN"/>
        </w:rPr>
        <w:t>十</w:t>
      </w:r>
      <w:r>
        <w:rPr>
          <w:rFonts w:hint="eastAsia"/>
        </w:rPr>
        <w:t>、其他重要事项的情况说明</w:t>
      </w:r>
      <w:bookmarkEnd w:id="32"/>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ascii="仿宋_GB2312" w:eastAsia="仿宋_GB2312"/>
          <w:color w:val="auto"/>
          <w:sz w:val="32"/>
          <w:szCs w:val="32"/>
          <w:highlight w:val="none"/>
        </w:rPr>
        <w:t>阿坝州壤塘县尕多乡中心校</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决算数持平。主要原因是</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lang w:eastAsia="zh-CN"/>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ascii="仿宋_GB2312" w:eastAsia="仿宋_GB2312"/>
          <w:color w:val="auto"/>
          <w:sz w:val="32"/>
          <w:szCs w:val="32"/>
          <w:highlight w:val="none"/>
        </w:rPr>
        <w:t>阿坝州壤塘县尕多乡中心校</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ascii="仿宋_GB2312" w:eastAsia="仿宋_GB2312"/>
          <w:color w:val="auto"/>
          <w:sz w:val="32"/>
          <w:szCs w:val="32"/>
          <w:highlight w:val="none"/>
        </w:rPr>
        <w:t>阿坝州壤塘县尕多乡中心校</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rPr>
          <w:rFonts w:hint="eastAsia"/>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pPr>
        <w:pStyle w:val="3"/>
        <w:bidi w:val="0"/>
        <w:rPr>
          <w:rFonts w:hint="eastAsia" w:ascii="Times New Roman" w:hAnsi="Times New Roman" w:eastAsia="黑体" w:cs="黑体"/>
          <w:color w:val="auto"/>
          <w:szCs w:val="32"/>
          <w:highlight w:val="none"/>
        </w:rPr>
      </w:pPr>
      <w:bookmarkStart w:id="33" w:name="_Toc1862024891"/>
      <w:r>
        <w:rPr>
          <w:rFonts w:hint="eastAsia"/>
          <w:lang w:eastAsia="zh-CN"/>
        </w:rPr>
        <w:t>第三部分</w:t>
      </w:r>
      <w:r>
        <w:rPr>
          <w:rFonts w:hint="eastAsia"/>
          <w:lang w:val="en-US" w:eastAsia="zh-CN"/>
        </w:rPr>
        <w:t xml:space="preserve"> </w:t>
      </w:r>
      <w:r>
        <w:rPr>
          <w:rFonts w:hint="eastAsia"/>
        </w:rPr>
        <w:t>名词解释</w:t>
      </w:r>
      <w:bookmarkEnd w:id="33"/>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1.财政拨款收入：指单位从同级财政部门取得的财政预算资金。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4.其他收入：指单位取得的除上述收入以外的各项收入。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5.使用非财政拨款结余：指事业单位使用以前年度积累的非财政拨款结余弥补当年收支差额的金额。</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6.年初结转和结余：指以前年度尚未完成、结转到本年按有关规定继续使用的资金。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9、教育（205类）教育管理事务（01款）行政运行（01项）：指反映行政单位的基本支出。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10、教育（205类）普通教育（02款）学前教育（01项）：指反映各部门举办的学前教育支出。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11、教育（205类）普通教育（02款）小学教育（02项）：指反映各部门举办的小学教育支出。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12、教育（205类）普通教育（02款）初中教育（03项）：指反映各部门举办的初中教育支出。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12、教育（205类）普通教育（02款）高中教育（04项）：指反映各部门举办的高中教育支出。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13、教育（205类）普通教育（02款）高等教育（05项）：指反映各部门举办的普通本科（包括研究生）教育支出。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14、教育（205类）其他普通教育（02款）其他普通教育支出（99项）：指反映各部其他用于普通教育方面的支出。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15、教育（205类） 职业教育（03款） 中等职业教育（02项）：指反映各部（不含人力资源社会保障部门）举办的中等职业教育支出。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16、教育（205类） 成人教育（04款）成人初等教育（01项）：指反映各部门举办各类成人初等教育的支出。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17、教育（205类）教育费附加安排的支出（09款）其他教育费附加安排的支出（99项）：指反映其他用于教育附加方面的支出。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18、教育（205类）其他教育支出（99款）其他教育支出（99项）：指反映其他用于教育方面的支出。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19、文化旅游体育与传媒支出（207类） 文化和旅游支出（99款） 宣传文化发展专项支出（02项）：指反映按照国家有关政策支持宣传文化单位发展的专项支出。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20、社会保障和就业（208类）行政事业单位养老支出（05款）  机关事业单位基本养老保险缴费支出（05项）：指反映机关事业单位实施养老保险制度由单位缴纳的基本养老保险费支出。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21、社会保障和就业（208类）行政事业单位养老支出（05款） 机关事业单位职业年金缴费支出（06项）：指反映机关事业单位实施养老保险制度由单位实际缴纳的职业年金支出。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22、医疗卫生与计划生育（210类）行政事业单位医疗（11款）行政单位医疗（01项）：指反映财政部门集中安排的行政单位（包括实行公务员管理的事业单位）基本医疗保险缴费经费，未参加医疗保险的事业单位的公费医疗经费，按国家规定享受离</w:t>
      </w:r>
      <w:r>
        <w:rPr>
          <w:rFonts w:hint="eastAsia" w:ascii="仿宋_GB2312" w:eastAsia="仿宋_GB2312" w:cs="Times New Roman"/>
          <w:color w:val="auto"/>
          <w:kern w:val="2"/>
          <w:sz w:val="32"/>
          <w:szCs w:val="32"/>
          <w:highlight w:val="none"/>
          <w:lang w:val="en-US" w:eastAsia="zh-CN" w:bidi="ar-SA"/>
        </w:rPr>
        <w:t>退</w:t>
      </w:r>
      <w:bookmarkStart w:id="49" w:name="_GoBack"/>
      <w:bookmarkEnd w:id="49"/>
      <w:r>
        <w:rPr>
          <w:rFonts w:hint="eastAsia" w:ascii="仿宋_GB2312" w:hAnsi="Times New Roman" w:eastAsia="仿宋_GB2312" w:cs="Times New Roman"/>
          <w:color w:val="auto"/>
          <w:kern w:val="2"/>
          <w:sz w:val="32"/>
          <w:szCs w:val="32"/>
          <w:highlight w:val="none"/>
          <w:lang w:val="en-US" w:eastAsia="zh-CN" w:bidi="ar-SA"/>
        </w:rPr>
        <w:t>休人员待遇的医疗经费。</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23、住房保障（221类）住房改革支出（02款）住房公积金（01项）：指反映行政事业单位按人力资源和社会保障部、财政部规定的基本工资和津贴补贴以及规定比例为职工缴纳的住房公积金。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 xml:space="preserve">25.项目支出：指在基本支出之外为完成特定行政任务和事业发展目标所发生的支出。 </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numPr>
          <w:ilvl w:val="0"/>
          <w:numId w:val="3"/>
        </w:numPr>
        <w:ind w:left="630" w:leftChars="0" w:firstLineChars="0"/>
        <w:rPr>
          <w:rFonts w:hint="eastAsia"/>
        </w:rPr>
      </w:pPr>
      <w:r>
        <w:rPr>
          <w:rFonts w:hint="eastAsia" w:ascii="仿宋_GB2312"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
        <w:bidi w:val="0"/>
        <w:rPr>
          <w:rFonts w:hint="eastAsia"/>
        </w:rPr>
      </w:pPr>
      <w:bookmarkStart w:id="34" w:name="_Toc1382059998"/>
      <w:r>
        <w:rPr>
          <w:rFonts w:hint="eastAsia"/>
        </w:rPr>
        <w:t>第四部分 附件</w:t>
      </w:r>
      <w:bookmarkEnd w:id="34"/>
    </w:p>
    <w:tbl>
      <w:tblPr>
        <w:tblStyle w:val="15"/>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1178"/>
        <w:gridCol w:w="962"/>
        <w:gridCol w:w="1229"/>
        <w:gridCol w:w="521"/>
        <w:gridCol w:w="807"/>
        <w:gridCol w:w="514"/>
        <w:gridCol w:w="846"/>
        <w:gridCol w:w="505"/>
        <w:gridCol w:w="456"/>
        <w:gridCol w:w="22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104"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52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111"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23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51323022T000006165070-义务教育公用经费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2023年义务教育阶段学生县级公用经费补助标准，小学每生每年20元补助资金。义务教育阶段学生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义务教育阶段小学学生县级公用经费补助标准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586</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义务教育阶段政策知晓率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51323022T000007356109-2022年城乡义务教育中省补助经费高海拔取暖费补助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51323023T000007629414-乡村教师生活补助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对于增强农村教师职业吸引力、鼓励城镇优秀教师到农村薄弱学 校任教、提高农村教育质量、保障农村学生接受优质教育、促进义务教育均衡发展和保障教育公平具有重大的现实意义。</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乡村教师生活补贴覆盖面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2025年年底前完成农村教师生活补助发放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提升农村教师生活水平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提升农村教师工作积极性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享受农村教师生活补助的教师满意度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对农村教师发放生活补助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51323023T000007662378-学前教育县级保教费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2013年起学前教育学生县级补助保教费，补助标准每生每年490元补助资金。学前保教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8.09</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8.09</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8.09</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8.09</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497</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学前减免保教费全发资金总量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233530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51323023T000009396497-城乡义务教育补助经费（公用经费）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51.44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51.44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51323023T000009579836-重大传染病防控补助资金（包虫病防治）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51323023T000009740699-中央和省级教育补助资金支持学前教育发展资金（“一村一幼”辅导员劳务报酬）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51323023T000009743263-第二批教育补助资金（城乡义务教育补助资金-农村教师生活补助））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51323023T000009840711-中央专项彩票公益金支持乡村学校少年宫资金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94.13%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94.13%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7.71</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7.71</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390.32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371.56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390.32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371.56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51323024R000010440308-聘用人员经费（新）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250.93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250.93</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144.42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57.55%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250.93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250.93</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144.42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57.55%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105.54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105.54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105.54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105.54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52.77</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52.77</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48.16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51.87</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48.16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51.87</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91.49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87.48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87.48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91.49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87.48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87.48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128.02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131.32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128.02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131.32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29.22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29.22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51323024T000009962103-义务教育补助经费（高海拔取暖补助）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51323024T000012014592-非义务教育在校学生取暖费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全面落实相关经费保障，提高群众对教育认可度.  </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497</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33.36%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33.36%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97.08%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97.08%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55.21</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55.21</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51323025T000012409102-新疆西藏等地区特殊补助（辅导员提标补助）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51323025T000012539403-支持学前教育发展补助（高海拔取暖费）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51323025T000012671879-义务教育阶段学生县级公用经费补助（尕多教学点）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按时完成相关资金支付</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义教公用经费补助项目完成时间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义务教育阶段学生县级公用经费补助(初中)标准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义务教育阶段学生县级公用经费补助(小学)标准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51323025T000012988067-新疆西藏等地区教育特殊补助三区三州（控辍保学维修改造））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51323025T000013026493-控辍保学尕多乡中心校第二校区采购大功率发电机项目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51323025T000013651651-城乡义务教育补助经费（高海拔取暖费）--尕多教学点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51323025T000013677416-城乡义务教育补助经费（公用经费）-尕多教学点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15.14</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51323025T000013682325-第三批“天府英才”工程专项资金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51323025T000013877157-控辍保学“两基地一校区”学生节日慰问品资金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9.67</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51323025T000013903460-十五年免费教育经费补助资金（学前教育免除保教费）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56.18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56.18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51323026T000014447041-壤塘县中小学生“走出阿坝看世界”研学活动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24.61</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24.61</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51323026T000014789339-中央和省级财政城乡义务教育补助经费公用经费（尕多二校区）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51323026T000014790053-城乡义务教育补助经费（综合奖补）-尕多二校区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51323026T000014790152-农村生活补助（第三、四批资金）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9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51323026T000015202281-全州教育发展质量提升奖励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78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壤塘县尕多乡中心校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9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0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53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932"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932"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932"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932"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pPr>
        <w:rPr>
          <w:rFonts w:hint="eastAsia"/>
        </w:rPr>
      </w:pPr>
    </w:p>
    <w:p>
      <w:pPr>
        <w:pStyle w:val="3"/>
        <w:bidi w:val="0"/>
        <w:rPr>
          <w:rFonts w:hint="eastAsia"/>
        </w:rPr>
      </w:pPr>
      <w:bookmarkStart w:id="35" w:name="_Toc1230106527"/>
      <w:r>
        <w:rPr>
          <w:rFonts w:hint="eastAsia"/>
        </w:rPr>
        <w:t>第五部分 附表</w:t>
      </w:r>
      <w:bookmarkEnd w:id="35"/>
    </w:p>
    <w:p>
      <w:pPr>
        <w:pStyle w:val="4"/>
        <w:bidi w:val="0"/>
        <w:rPr>
          <w:rFonts w:hint="eastAsia"/>
        </w:rPr>
      </w:pPr>
      <w:bookmarkStart w:id="36" w:name="_Toc1686155190"/>
      <w:r>
        <w:rPr>
          <w:rFonts w:hint="eastAsia"/>
        </w:rPr>
        <w:t>一、收入支出决算总表</w:t>
      </w:r>
      <w:bookmarkEnd w:id="36"/>
    </w:p>
    <w:p>
      <w:pPr>
        <w:pStyle w:val="4"/>
        <w:bidi w:val="0"/>
        <w:rPr>
          <w:rFonts w:hint="eastAsia"/>
        </w:rPr>
      </w:pPr>
      <w:bookmarkStart w:id="37" w:name="_Toc2042694140"/>
      <w:r>
        <w:rPr>
          <w:rFonts w:hint="eastAsia"/>
        </w:rPr>
        <w:t>二、收入决算表</w:t>
      </w:r>
      <w:bookmarkEnd w:id="37"/>
    </w:p>
    <w:p>
      <w:pPr>
        <w:pStyle w:val="4"/>
        <w:bidi w:val="0"/>
        <w:rPr>
          <w:rFonts w:hint="eastAsia"/>
        </w:rPr>
      </w:pPr>
      <w:bookmarkStart w:id="38" w:name="_Toc202539748"/>
      <w:r>
        <w:rPr>
          <w:rFonts w:hint="eastAsia"/>
        </w:rPr>
        <w:t>三、支出决算表</w:t>
      </w:r>
      <w:bookmarkEnd w:id="38"/>
    </w:p>
    <w:p>
      <w:pPr>
        <w:pStyle w:val="4"/>
        <w:bidi w:val="0"/>
        <w:rPr>
          <w:rFonts w:hint="eastAsia"/>
        </w:rPr>
      </w:pPr>
      <w:bookmarkStart w:id="39" w:name="_Toc1098949437"/>
      <w:r>
        <w:rPr>
          <w:rFonts w:hint="eastAsia"/>
        </w:rPr>
        <w:t>四、财政拨款收入支出决算总表</w:t>
      </w:r>
      <w:bookmarkEnd w:id="39"/>
    </w:p>
    <w:p>
      <w:pPr>
        <w:pStyle w:val="4"/>
        <w:bidi w:val="0"/>
        <w:rPr>
          <w:rFonts w:hint="eastAsia"/>
        </w:rPr>
      </w:pPr>
      <w:bookmarkStart w:id="40" w:name="_Toc1335876883"/>
      <w:r>
        <w:rPr>
          <w:rFonts w:hint="eastAsia"/>
        </w:rPr>
        <w:t>五、财政拨款支出决算明细表</w:t>
      </w:r>
      <w:bookmarkEnd w:id="40"/>
    </w:p>
    <w:p>
      <w:pPr>
        <w:pStyle w:val="4"/>
        <w:bidi w:val="0"/>
        <w:rPr>
          <w:rFonts w:hint="eastAsia"/>
        </w:rPr>
      </w:pPr>
      <w:bookmarkStart w:id="41" w:name="_Toc333375269"/>
      <w:r>
        <w:rPr>
          <w:rFonts w:hint="eastAsia"/>
        </w:rPr>
        <w:t>六、一般公共预算财政拨款支出决算表</w:t>
      </w:r>
      <w:bookmarkEnd w:id="41"/>
    </w:p>
    <w:p>
      <w:pPr>
        <w:pStyle w:val="4"/>
        <w:bidi w:val="0"/>
        <w:rPr>
          <w:rFonts w:hint="eastAsia"/>
        </w:rPr>
      </w:pPr>
      <w:bookmarkStart w:id="42" w:name="_Toc2085763021"/>
      <w:r>
        <w:rPr>
          <w:rFonts w:hint="eastAsia"/>
        </w:rPr>
        <w:t>七、一般公共预算财政拨款支出决算明细表</w:t>
      </w:r>
      <w:bookmarkEnd w:id="42"/>
    </w:p>
    <w:p>
      <w:pPr>
        <w:pStyle w:val="4"/>
        <w:bidi w:val="0"/>
        <w:rPr>
          <w:rFonts w:hint="eastAsia"/>
        </w:rPr>
      </w:pPr>
      <w:bookmarkStart w:id="43" w:name="_Toc1517770931"/>
      <w:r>
        <w:rPr>
          <w:rFonts w:hint="eastAsia"/>
        </w:rPr>
        <w:t>八、一般公共预算财政拨款基本支出决算</w:t>
      </w:r>
      <w:r>
        <w:rPr>
          <w:rFonts w:hint="eastAsia"/>
          <w:lang w:eastAsia="zh-CN"/>
        </w:rPr>
        <w:t>明细</w:t>
      </w:r>
      <w:r>
        <w:rPr>
          <w:rFonts w:hint="eastAsia"/>
        </w:rPr>
        <w:t>表</w:t>
      </w:r>
      <w:bookmarkEnd w:id="43"/>
    </w:p>
    <w:p>
      <w:pPr>
        <w:pStyle w:val="4"/>
        <w:bidi w:val="0"/>
        <w:rPr>
          <w:rFonts w:hint="eastAsia"/>
        </w:rPr>
      </w:pPr>
      <w:bookmarkStart w:id="44" w:name="_Toc934082298"/>
      <w:r>
        <w:rPr>
          <w:rFonts w:hint="eastAsia"/>
        </w:rPr>
        <w:t>九、一般公共预算财政拨款项目支出决算表</w:t>
      </w:r>
      <w:bookmarkEnd w:id="44"/>
    </w:p>
    <w:p>
      <w:pPr>
        <w:pStyle w:val="4"/>
        <w:bidi w:val="0"/>
        <w:rPr>
          <w:rFonts w:hint="eastAsia"/>
        </w:rPr>
      </w:pPr>
      <w:bookmarkStart w:id="45" w:name="_Toc1459534979"/>
      <w:r>
        <w:rPr>
          <w:rFonts w:hint="eastAsia"/>
        </w:rPr>
        <w:t>十、政府性基金预算财政拨款收入支出决算表</w:t>
      </w:r>
      <w:bookmarkEnd w:id="45"/>
    </w:p>
    <w:p>
      <w:pPr>
        <w:pStyle w:val="4"/>
        <w:bidi w:val="0"/>
        <w:rPr>
          <w:rFonts w:hint="eastAsia"/>
        </w:rPr>
      </w:pPr>
      <w:bookmarkStart w:id="46" w:name="_Toc1622924389"/>
      <w:r>
        <w:rPr>
          <w:rFonts w:hint="eastAsia"/>
        </w:rPr>
        <w:t>十一、国有资本经营预算财政拨款收入支出决算表</w:t>
      </w:r>
      <w:bookmarkEnd w:id="46"/>
    </w:p>
    <w:p>
      <w:pPr>
        <w:pStyle w:val="4"/>
        <w:bidi w:val="0"/>
        <w:rPr>
          <w:rFonts w:hint="eastAsia"/>
        </w:rPr>
      </w:pPr>
      <w:bookmarkStart w:id="47" w:name="_Toc155470285"/>
      <w:r>
        <w:rPr>
          <w:rFonts w:hint="eastAsia"/>
        </w:rPr>
        <w:t>十二、</w:t>
      </w:r>
      <w:r>
        <w:rPr>
          <w:rFonts w:hint="eastAsia"/>
          <w:lang w:val="en-US" w:eastAsia="zh-CN"/>
        </w:rPr>
        <w:t>国有资本经营预算财政拨款支出决算表</w:t>
      </w:r>
      <w:bookmarkEnd w:id="47"/>
    </w:p>
    <w:p>
      <w:pPr>
        <w:pStyle w:val="4"/>
        <w:bidi w:val="0"/>
        <w:rPr>
          <w:rFonts w:hint="eastAsia"/>
        </w:rPr>
      </w:pPr>
      <w:bookmarkStart w:id="48" w:name="_Toc1116336329"/>
      <w:r>
        <w:rPr>
          <w:rFonts w:hint="eastAsia"/>
        </w:rPr>
        <w:t>十三、财政拨款“三公”经费支出决算表</w:t>
      </w:r>
      <w:bookmarkEnd w:id="48"/>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simhei">
    <w:altName w:val="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81BCD"/>
    <w:multiLevelType w:val="singleLevel"/>
    <w:tmpl w:val="B2281BCD"/>
    <w:lvl w:ilvl="0" w:tentative="0">
      <w:start w:val="3"/>
      <w:numFmt w:val="decimal"/>
      <w:lvlText w:val="%1."/>
      <w:lvlJc w:val="left"/>
      <w:pPr>
        <w:tabs>
          <w:tab w:val="left" w:pos="312"/>
        </w:tabs>
      </w:pPr>
    </w:lvl>
  </w:abstractNum>
  <w:abstractNum w:abstractNumId="1">
    <w:nsid w:val="B9FF6791"/>
    <w:multiLevelType w:val="singleLevel"/>
    <w:tmpl w:val="B9FF6791"/>
    <w:lvl w:ilvl="0" w:tentative="0">
      <w:start w:val="2"/>
      <w:numFmt w:val="chineseCounting"/>
      <w:suff w:val="nothing"/>
      <w:lvlText w:val="%1、"/>
      <w:lvlJc w:val="left"/>
      <w:rPr>
        <w:rFonts w:hint="eastAsia"/>
      </w:rPr>
    </w:lvl>
  </w:abstractNum>
  <w:abstractNum w:abstractNumId="2">
    <w:nsid w:val="FDDEFC4E"/>
    <w:multiLevelType w:val="singleLevel"/>
    <w:tmpl w:val="FDDEFC4E"/>
    <w:lvl w:ilvl="0" w:tentative="0">
      <w:start w:val="3"/>
      <w:numFmt w:val="chineseCounting"/>
      <w:suff w:val="space"/>
      <w:lvlText w:val="第%1部分"/>
      <w:lvlJc w:val="left"/>
      <w:pPr>
        <w:ind w:left="63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DDBF49"/>
    <w:rsid w:val="5AF92295"/>
    <w:rsid w:val="5BDD79E6"/>
    <w:rsid w:val="5BF561CA"/>
    <w:rsid w:val="5BFF5DFC"/>
    <w:rsid w:val="5CD71FC4"/>
    <w:rsid w:val="5D1F11B5"/>
    <w:rsid w:val="5DAE1B18"/>
    <w:rsid w:val="5DE7D9E5"/>
    <w:rsid w:val="5ECEC941"/>
    <w:rsid w:val="5F493CB7"/>
    <w:rsid w:val="5FBF9FF3"/>
    <w:rsid w:val="5FCD4E2C"/>
    <w:rsid w:val="5FD15F49"/>
    <w:rsid w:val="5FE48310"/>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BFF720"/>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DF7C4F"/>
    <w:rsid w:val="7C1F3737"/>
    <w:rsid w:val="7CBFC87B"/>
    <w:rsid w:val="7CFE0F48"/>
    <w:rsid w:val="7D7EC23E"/>
    <w:rsid w:val="7D916348"/>
    <w:rsid w:val="7DFD822F"/>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9EEEA120"/>
    <w:rsid w:val="A6DD0D7F"/>
    <w:rsid w:val="ABEF80B5"/>
    <w:rsid w:val="ADC6F725"/>
    <w:rsid w:val="B63FFA83"/>
    <w:rsid w:val="B7CF06AB"/>
    <w:rsid w:val="B7CFA926"/>
    <w:rsid w:val="B7F8786B"/>
    <w:rsid w:val="BABB6AA1"/>
    <w:rsid w:val="BB2F4199"/>
    <w:rsid w:val="BD079C78"/>
    <w:rsid w:val="BD733540"/>
    <w:rsid w:val="BF3735D5"/>
    <w:rsid w:val="BF7F09AC"/>
    <w:rsid w:val="BFD475C3"/>
    <w:rsid w:val="BFDE5EA6"/>
    <w:rsid w:val="CF6FC6F3"/>
    <w:rsid w:val="CFD3D3D7"/>
    <w:rsid w:val="CFDF1009"/>
    <w:rsid w:val="D7AE580A"/>
    <w:rsid w:val="D7D7B16A"/>
    <w:rsid w:val="D8D6DB89"/>
    <w:rsid w:val="DB6F4CAB"/>
    <w:rsid w:val="DB777682"/>
    <w:rsid w:val="DD1FB521"/>
    <w:rsid w:val="DEFBFEAE"/>
    <w:rsid w:val="DF1F3B80"/>
    <w:rsid w:val="DF6F9789"/>
    <w:rsid w:val="DFFFA9E8"/>
    <w:rsid w:val="E5F4E9DC"/>
    <w:rsid w:val="E70FE695"/>
    <w:rsid w:val="EAFD761B"/>
    <w:rsid w:val="ECFED1BC"/>
    <w:rsid w:val="ED1D69BB"/>
    <w:rsid w:val="ED7FD312"/>
    <w:rsid w:val="EF53993F"/>
    <w:rsid w:val="EF6FD633"/>
    <w:rsid w:val="EFBFB2F4"/>
    <w:rsid w:val="EFBFFA21"/>
    <w:rsid w:val="F2BEBCB8"/>
    <w:rsid w:val="F36FB518"/>
    <w:rsid w:val="F3DE1A04"/>
    <w:rsid w:val="F3F722E5"/>
    <w:rsid w:val="F8FC6941"/>
    <w:rsid w:val="FA5F1E70"/>
    <w:rsid w:val="FA5FDB97"/>
    <w:rsid w:val="FB7F486A"/>
    <w:rsid w:val="FBFF5B2E"/>
    <w:rsid w:val="FD3D2788"/>
    <w:rsid w:val="FD7FFE2B"/>
    <w:rsid w:val="FDEE196B"/>
    <w:rsid w:val="FDFE6575"/>
    <w:rsid w:val="FEDFDDC2"/>
    <w:rsid w:val="FEED32F6"/>
    <w:rsid w:val="FEF781DD"/>
    <w:rsid w:val="FF3F7E3F"/>
    <w:rsid w:val="FFB703E4"/>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'[2020年部门决算报告填数字及画图表用模板正确（决算公开用）.xls]图表'!$A$27:$A$30</c:f>
              <c:strCache>
                <c:ptCount val="4"/>
                <c:pt idx="0">
                  <c:v>2025年决算收入</c:v>
                </c:pt>
                <c:pt idx="1">
                  <c:v>2024年决算收入</c:v>
                </c:pt>
                <c:pt idx="2">
                  <c:v>2025年决算支出</c:v>
                </c:pt>
                <c:pt idx="3">
                  <c:v>2024年决算支出</c:v>
                </c:pt>
              </c:strCache>
            </c:strRef>
          </c:cat>
          <c:val>
            <c:numRef>
              <c:f>'[2020年部门决算报告填数字及画图表用模板正确（决算公开用）.xls]图表'!$B$27:$B$30</c:f>
              <c:numCache>
                <c:formatCode>#,##0.00</c:formatCode>
                <c:ptCount val="4"/>
                <c:pt idx="0">
                  <c:v>1528.47</c:v>
                </c:pt>
                <c:pt idx="1" c:formatCode="General">
                  <c:v>1480.12</c:v>
                </c:pt>
                <c:pt idx="2">
                  <c:v>1528.47</c:v>
                </c:pt>
                <c:pt idx="3" c:formatCode="General">
                  <c:v>1480.12</c:v>
                </c:pt>
              </c:numCache>
            </c:numRef>
          </c:val>
        </c:ser>
        <c:dLbls>
          <c:showLegendKey val="0"/>
          <c:showVal val="0"/>
          <c:showCatName val="0"/>
          <c:showSerName val="0"/>
          <c:showPercent val="0"/>
          <c:showBubbleSize val="0"/>
        </c:dLbls>
        <c:gapWidth val="219"/>
        <c:overlap val="-27"/>
        <c:axId val="806060057"/>
        <c:axId val="796381286"/>
      </c:barChart>
      <c:catAx>
        <c:axId val="80606005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381286"/>
        <c:crosses val="autoZero"/>
        <c:auto val="1"/>
        <c:lblAlgn val="ctr"/>
        <c:lblOffset val="100"/>
        <c:noMultiLvlLbl val="0"/>
      </c:catAx>
      <c:valAx>
        <c:axId val="79638128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0600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收入决算情况</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manualLayout>
          <c:layoutTarget val="inner"/>
          <c:xMode val="edge"/>
          <c:yMode val="edge"/>
          <c:x val="0.297654941373534"/>
          <c:y val="0.18603515625"/>
          <c:w val="0.399664991624791"/>
          <c:h val="0.5825195312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0"/>
              <c:layout>
                <c:manualLayout>
                  <c:x val="0.110552763819095"/>
                  <c:y val="-0.007324218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57286432160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065326633165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'[2020年部门决算报告填数字及画图表用模板正确（决算公开用）.xls]图表'!$A$9:$A$11</c:f>
              <c:strCache>
                <c:ptCount val="3"/>
                <c:pt idx="0">
                  <c:v>一般公共预算财政拨款收入</c:v>
                </c:pt>
                <c:pt idx="1">
                  <c:v>政府性基金预算财政拨款收入</c:v>
                </c:pt>
                <c:pt idx="2">
                  <c:v>其他收入</c:v>
                </c:pt>
              </c:strCache>
            </c:strRef>
          </c:cat>
          <c:val>
            <c:numRef>
              <c:f>'[2020年部门决算报告填数字及画图表用模板正确（决算公开用）.xls]图表'!$B$9:$B$11</c:f>
              <c:numCache>
                <c:formatCode>#,##0.00</c:formatCode>
                <c:ptCount val="3"/>
                <c:pt idx="0">
                  <c:v>1527.53</c:v>
                </c:pt>
                <c:pt idx="1" c:formatCode="General">
                  <c:v>0.94</c:v>
                </c:pt>
                <c:pt idx="2"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支出决算结构图（单位：万元）</a:t>
            </a:r>
            <a:endParaRPr lang="en-US" alt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238772338772339"/>
          <c:y val="0.035275672850797"/>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0140383909359"/>
                  <c:y val="-0.09449215830286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7506358389267"/>
                  <c:y val="0.09215804939917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'[2020年部门决算报告填数字及画图表用模板正确（决算公开用）.xls]图表'!$A$48:$A$49</c:f>
              <c:strCache>
                <c:ptCount val="2"/>
                <c:pt idx="0">
                  <c:v>基本支出</c:v>
                </c:pt>
                <c:pt idx="1">
                  <c:v>项目支出</c:v>
                </c:pt>
              </c:strCache>
            </c:strRef>
          </c:cat>
          <c:val>
            <c:numRef>
              <c:f>'[2020年部门决算报告填数字及画图表用模板正确（决算公开用）.xls]图表'!$B$48:$B$49</c:f>
              <c:numCache>
                <c:formatCode>#,##0.00</c:formatCode>
                <c:ptCount val="2"/>
                <c:pt idx="0">
                  <c:v>1263.66</c:v>
                </c:pt>
                <c:pt idx="1" c:formatCode="General">
                  <c:v>264.81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360994560994561"/>
          <c:y val="0.162685441287403"/>
          <c:w val="0.305982905982906"/>
          <c:h val="0.0837314558712597"/>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财政拨款收、支决算总计变动情况（单位：万元）</a:t>
            </a:r>
            <a:endParaRPr sz="12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9731727347386"/>
          <c:y val="0.03881541115583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'[2020年部门决算报告填数字及画图表用模板正确（决算公开用）.xls]图表'!$A$3:$A$6</c:f>
              <c:strCache>
                <c:ptCount val="4"/>
                <c:pt idx="0">
                  <c:v>2024年一般公共预算财政拨款收入</c:v>
                </c:pt>
                <c:pt idx="1">
                  <c:v>2025年一般公共预算财政拨款收入</c:v>
                </c:pt>
                <c:pt idx="2">
                  <c:v>2024年一般公共预算财政拨款支出</c:v>
                </c:pt>
                <c:pt idx="3">
                  <c:v>2025年一般公共预算财政拨款支出</c:v>
                </c:pt>
              </c:strCache>
            </c:strRef>
          </c:cat>
          <c:val>
            <c:numRef>
              <c:f>'[2020年部门决算报告填数字及画图表用模板正确（决算公开用）.xls]图表'!$B$3:$B$6</c:f>
              <c:numCache>
                <c:formatCode>General</c:formatCode>
                <c:ptCount val="4"/>
                <c:pt idx="0">
                  <c:v>1480.12</c:v>
                </c:pt>
                <c:pt idx="1" c:formatCode="#,##0.00">
                  <c:v>1528.47</c:v>
                </c:pt>
                <c:pt idx="2">
                  <c:v>1480.12</c:v>
                </c:pt>
                <c:pt idx="3" c:formatCode="#,##0.00">
                  <c:v>1528.47</c:v>
                </c:pt>
              </c:numCache>
            </c:numRef>
          </c:val>
        </c:ser>
        <c:dLbls>
          <c:showLegendKey val="0"/>
          <c:showVal val="0"/>
          <c:showCatName val="0"/>
          <c:showSerName val="0"/>
          <c:showPercent val="0"/>
          <c:showBubbleSize val="0"/>
        </c:dLbls>
        <c:gapWidth val="150"/>
        <c:overlap val="0"/>
        <c:axId val="891116839"/>
        <c:axId val="679754368"/>
      </c:barChart>
      <c:catAx>
        <c:axId val="89111683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754368"/>
        <c:crosses val="autoZero"/>
        <c:auto val="1"/>
        <c:lblAlgn val="ctr"/>
        <c:lblOffset val="100"/>
        <c:noMultiLvlLbl val="0"/>
      </c:catAx>
      <c:valAx>
        <c:axId val="6797543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1116839"/>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922500213932261"/>
          <c:y val="0.0466497031382528"/>
        </c:manualLayout>
      </c:layout>
      <c:overlay val="0"/>
      <c:spPr>
        <a:noFill/>
        <a:ln>
          <a:noFill/>
        </a:ln>
        <a:effectLst/>
      </c:spPr>
    </c:title>
    <c:autoTitleDeleted val="0"/>
    <c:plotArea>
      <c:layout>
        <c:manualLayout>
          <c:layoutTarget val="inner"/>
          <c:xMode val="edge"/>
          <c:yMode val="edge"/>
          <c:x val="0.0743569039104856"/>
          <c:y val="0.215436810856658"/>
          <c:w val="0.901995616564771"/>
          <c:h val="0.64783715012722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'[2020年部门决算报告填数字及画图表用模板正确（决算公开用）.xls]图表'!$A$52:$A$53</c:f>
              <c:strCache>
                <c:ptCount val="2"/>
                <c:pt idx="0">
                  <c:v>2024年</c:v>
                </c:pt>
                <c:pt idx="1">
                  <c:v>2025年</c:v>
                </c:pt>
              </c:strCache>
            </c:strRef>
          </c:cat>
          <c:val>
            <c:numRef>
              <c:f>'[2020年部门决算报告填数字及画图表用模板正确（决算公开用）.xls]图表'!$B$52:$B$53</c:f>
              <c:numCache>
                <c:formatCode>General</c:formatCode>
                <c:ptCount val="2"/>
                <c:pt idx="0">
                  <c:v>1478.62</c:v>
                </c:pt>
                <c:pt idx="1">
                  <c:v>1528.48</c:v>
                </c:pt>
              </c:numCache>
            </c:numRef>
          </c:val>
        </c:ser>
        <c:dLbls>
          <c:showLegendKey val="0"/>
          <c:showVal val="0"/>
          <c:showCatName val="0"/>
          <c:showSerName val="0"/>
          <c:showPercent val="0"/>
          <c:showBubbleSize val="0"/>
        </c:dLbls>
        <c:gapWidth val="219"/>
        <c:overlap val="-27"/>
        <c:axId val="90978924"/>
        <c:axId val="835157781"/>
      </c:barChart>
      <c:catAx>
        <c:axId val="909789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157781"/>
        <c:crosses val="autoZero"/>
        <c:auto val="1"/>
        <c:lblAlgn val="ctr"/>
        <c:lblOffset val="100"/>
        <c:noMultiLvlLbl val="0"/>
      </c:catAx>
      <c:valAx>
        <c:axId val="83515778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9789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1382113821138"/>
          <c:y val="0.027230290456431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Lbls>
            <c:dLbl>
              <c:idx val="0"/>
              <c:layout>
                <c:manualLayout>
                  <c:x val="0.149271385418258"/>
                  <c:y val="0.03755717686971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141887829229995"/>
                  <c:y val="-0.0099856479426339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170539308436473"/>
                  <c:y val="-0.03864842386805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68292682926829"/>
                  <c:y val="-0.018020588778199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5388652162766"/>
                  <c:y val="-0.042948555624511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0.00045789042163123"/>
                  <c:y val="-0.0086827457920049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'[2020年部门决算报告填数字及画图表用模板正确（决算公开用）.xls]图表'!$A$19:$A$24</c:f>
              <c:strCache>
                <c:ptCount val="6"/>
                <c:pt idx="0">
                  <c:v>一般公共服务支出</c:v>
                </c:pt>
                <c:pt idx="1">
                  <c:v>教育支出</c:v>
                </c:pt>
                <c:pt idx="2">
                  <c:v>社会保障和就业支出</c:v>
                </c:pt>
                <c:pt idx="3">
                  <c:v>卫生健康支出</c:v>
                </c:pt>
                <c:pt idx="4">
                  <c:v>住房保障支出</c:v>
                </c:pt>
                <c:pt idx="5">
                  <c:v>其他支出</c:v>
                </c:pt>
              </c:strCache>
            </c:strRef>
          </c:cat>
          <c:val>
            <c:numRef>
              <c:f>'[2020年部门决算报告填数字及画图表用模板正确（决算公开用）.xls]图表'!$B$19:$B$24</c:f>
              <c:numCache>
                <c:formatCode>General</c:formatCode>
                <c:ptCount val="6"/>
                <c:pt idx="0">
                  <c:v>29.61</c:v>
                </c:pt>
                <c:pt idx="1">
                  <c:v>1190.65</c:v>
                </c:pt>
                <c:pt idx="2">
                  <c:v>158.31</c:v>
                </c:pt>
                <c:pt idx="3">
                  <c:v>61.49</c:v>
                </c:pt>
                <c:pt idx="4">
                  <c:v>87.48</c:v>
                </c:pt>
                <c:pt idx="5">
                  <c:v>0.94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67</Pages>
  <Words>1299</Words>
  <Characters>7410</Characters>
  <Lines>61</Lines>
  <Paragraphs>17</Paragraphs>
  <TotalTime>5</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user</cp:lastModifiedBy>
  <cp:lastPrinted>2026-10-30T10:10:00Z</cp:lastPrinted>
  <dcterms:modified xsi:type="dcterms:W3CDTF">2026-10-29T19:57:44Z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