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jc w:val="center"/>
        <w:rPr>
          <w:rFonts w:hint="eastAsia" w:ascii="Times New Roman" w:hAnsi="Times New Roman" w:eastAsia="方正小标宋简体" w:cs="Times New Roman"/>
          <w:color w:val="auto"/>
          <w:kern w:val="2"/>
          <w:sz w:val="44"/>
          <w:szCs w:val="44"/>
          <w:highlight w:val="none"/>
          <w:lang w:val="en-US" w:eastAsia="zh-CN" w:bidi="ar-SA"/>
        </w:rPr>
      </w:pPr>
      <w:bookmarkStart w:id="0" w:name="_Toc15306267"/>
      <w:bookmarkStart w:id="1" w:name="_Toc15378441"/>
      <w:bookmarkStart w:id="2" w:name="_Toc15396475"/>
      <w:bookmarkStart w:id="3" w:name="_Toc15396597"/>
      <w:bookmarkStart w:id="4" w:name="_Toc15377425"/>
      <w:bookmarkStart w:id="5" w:name="_Toc15377193"/>
    </w:p>
    <w:p>
      <w:pPr>
        <w:pStyle w:val="2"/>
        <w:jc w:val="center"/>
        <w:rPr>
          <w:rFonts w:hint="eastAsia" w:ascii="Times New Roman" w:hAnsi="Times New Roman" w:eastAsia="方正小标宋简体" w:cs="Times New Roman"/>
          <w:color w:val="auto"/>
          <w:kern w:val="2"/>
          <w:sz w:val="44"/>
          <w:szCs w:val="44"/>
          <w:highlight w:val="none"/>
          <w:lang w:val="en-US" w:eastAsia="zh-CN" w:bidi="ar-SA"/>
        </w:rPr>
      </w:pPr>
    </w:p>
    <w:p>
      <w:pPr>
        <w:pStyle w:val="2"/>
        <w:jc w:val="center"/>
        <w:rPr>
          <w:rFonts w:hint="eastAsia" w:ascii="Times New Roman" w:hAnsi="Times New Roman" w:eastAsia="方正小标宋简体" w:cs="Times New Roman"/>
          <w:color w:val="auto"/>
          <w:kern w:val="2"/>
          <w:sz w:val="44"/>
          <w:szCs w:val="44"/>
          <w:highlight w:val="none"/>
          <w:lang w:val="en-US" w:eastAsia="zh-CN" w:bidi="ar-SA"/>
        </w:rPr>
      </w:pPr>
    </w:p>
    <w:p>
      <w:pPr>
        <w:pStyle w:val="2"/>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阿坝州壤塘县2025年度</w:t>
      </w:r>
    </w:p>
    <w:p>
      <w:pPr>
        <w:pStyle w:val="2"/>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方正小标宋简体" w:hAnsi="宋体" w:eastAsia="方正小标宋简体" w:cs="Times New Roman"/>
          <w:color w:val="auto"/>
          <w:kern w:val="2"/>
          <w:sz w:val="44"/>
          <w:szCs w:val="44"/>
          <w:highlight w:val="none"/>
          <w:lang w:val="en-US" w:eastAsia="zh-CN" w:bidi="ar-SA"/>
        </w:rPr>
        <w:t>上壤塘乡中心校</w:t>
      </w:r>
      <w:r>
        <w:rPr>
          <w:rFonts w:hint="eastAsia" w:ascii="Times New Roman" w:hAnsi="Times New Roman" w:eastAsia="方正小标宋简体" w:cs="Times New Roman"/>
          <w:color w:val="auto"/>
          <w:kern w:val="2"/>
          <w:sz w:val="44"/>
          <w:szCs w:val="44"/>
          <w:highlight w:val="none"/>
          <w:lang w:val="en-US" w:eastAsia="zh-CN" w:bidi="ar-SA"/>
        </w:rPr>
        <w:t>部门决算公开</w:t>
      </w:r>
    </w:p>
    <w:p>
      <w:pPr>
        <w:pStyle w:val="19"/>
        <w:rPr>
          <w:rFonts w:ascii="Times New Roman" w:hAnsi="Times New Roman"/>
        </w:rPr>
        <w:sectPr>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bookmarkEnd w:id="0"/>
    <w:bookmarkEnd w:id="1"/>
    <w:bookmarkEnd w:id="2"/>
    <w:bookmarkEnd w:id="3"/>
    <w:bookmarkEnd w:id="4"/>
    <w:bookmarkEnd w:id="5"/>
    <w:p>
      <w:pPr>
        <w:pStyle w:val="2"/>
        <w:jc w:val="both"/>
        <w:rPr>
          <w:rFonts w:hint="eastAsia" w:ascii="Times New Roman" w:hAnsi="Times New Roman" w:eastAsia="方正小标宋简体" w:cs="Times New Roman"/>
          <w:color w:val="auto"/>
          <w:kern w:val="2"/>
          <w:sz w:val="44"/>
          <w:szCs w:val="44"/>
          <w:highlight w:val="none"/>
          <w:lang w:val="en-US" w:eastAsia="zh-CN" w:bidi="ar-SA"/>
        </w:rPr>
      </w:pPr>
    </w:p>
    <w:p>
      <w:pPr>
        <w:widowControl/>
        <w:jc w:val="center"/>
        <w:rPr>
          <w:rFonts w:ascii="Times New Roman" w:hAnsi="Times New Roman" w:eastAsia="黑体" w:cstheme="minorBidi"/>
          <w:color w:val="auto"/>
          <w:sz w:val="28"/>
          <w:szCs w:val="28"/>
          <w:highlight w:val="none"/>
        </w:rPr>
      </w:pPr>
      <w:r>
        <w:rPr>
          <w:rFonts w:hint="eastAsia" w:ascii="Times New Roman" w:hAnsi="Times New Roman" w:eastAsia="黑体"/>
          <w:color w:val="auto"/>
          <w:sz w:val="48"/>
          <w:szCs w:val="48"/>
          <w:highlight w:val="none"/>
        </w:rPr>
        <w:t>目录</w:t>
      </w:r>
    </w:p>
    <w:p>
      <w:pPr>
        <w:pStyle w:val="12"/>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10 </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 28 </w:t>
      </w:r>
      <w:r>
        <w:rPr>
          <w:rFonts w:hint="eastAsia" w:ascii="Times New Roman" w:hAnsi="Times New Roman" w:eastAsia="仿宋_GB2312" w:cs="仿宋_GB2312"/>
          <w:color w:val="auto"/>
          <w:sz w:val="32"/>
          <w:szCs w:val="32"/>
          <w:highlight w:val="none"/>
        </w:rPr>
        <w:t>日</w:t>
      </w:r>
    </w:p>
    <w:p>
      <w:pPr>
        <w:pStyle w:val="12"/>
        <w:tabs>
          <w:tab w:val="right" w:leader="dot" w:pos="8306"/>
          <w:tab w:val="clear" w:pos="8296"/>
        </w:tabs>
      </w:pPr>
      <w:r>
        <w:rPr>
          <w:rFonts w:ascii="仿宋" w:hAnsi="仿宋" w:eastAsia="仿宋"/>
          <w:color w:val="auto"/>
          <w:sz w:val="24"/>
          <w:highlight w:val="none"/>
        </w:rPr>
        <w:fldChar w:fldCharType="begin"/>
      </w:r>
      <w:r>
        <w:rPr>
          <w:rFonts w:ascii="仿宋" w:hAnsi="仿宋" w:eastAsia="仿宋"/>
          <w:color w:val="auto"/>
          <w:sz w:val="24"/>
          <w:highlight w:val="none"/>
        </w:rPr>
        <w:instrText xml:space="preserve">TOC \o "1-2" \h \u </w:instrText>
      </w:r>
      <w:r>
        <w:rPr>
          <w:rFonts w:ascii="仿宋" w:hAnsi="仿宋" w:eastAsia="仿宋"/>
          <w:color w:val="auto"/>
          <w:sz w:val="24"/>
          <w:highlight w:val="none"/>
        </w:rPr>
        <w:fldChar w:fldCharType="separate"/>
      </w:r>
      <w:r>
        <w:rPr>
          <w:rFonts w:ascii="仿宋" w:hAnsi="仿宋" w:eastAsia="仿宋"/>
          <w:color w:val="auto"/>
          <w:highlight w:val="none"/>
        </w:rPr>
        <w:fldChar w:fldCharType="begin"/>
      </w:r>
      <w:r>
        <w:rPr>
          <w:rFonts w:ascii="仿宋" w:hAnsi="仿宋" w:eastAsia="仿宋"/>
          <w:highlight w:val="none"/>
        </w:rPr>
        <w:instrText xml:space="preserve"> HYPERLINK \l _Toc927952134 </w:instrText>
      </w:r>
      <w:r>
        <w:rPr>
          <w:rFonts w:ascii="仿宋" w:hAnsi="仿宋" w:eastAsia="仿宋"/>
          <w:highlight w:val="none"/>
        </w:rPr>
        <w:fldChar w:fldCharType="separate"/>
      </w:r>
      <w:r>
        <w:rPr>
          <w:rFonts w:hint="eastAsia"/>
        </w:rPr>
        <w:t>第一部分 部门概况</w:t>
      </w:r>
      <w:r>
        <w:tab/>
      </w:r>
      <w:r>
        <w:fldChar w:fldCharType="begin"/>
      </w:r>
      <w:r>
        <w:instrText xml:space="preserve"> PAGEREF _Toc927952134 \h </w:instrText>
      </w:r>
      <w:r>
        <w:fldChar w:fldCharType="separate"/>
      </w:r>
      <w:r>
        <w:t>1</w:t>
      </w:r>
      <w:r>
        <w:fldChar w:fldCharType="end"/>
      </w:r>
      <w:r>
        <w:rPr>
          <w:rFonts w:ascii="仿宋" w:hAnsi="仿宋" w:eastAsia="仿宋"/>
          <w:color w:val="auto"/>
          <w:highlight w:val="none"/>
        </w:rPr>
        <w:fldChar w:fldCharType="end"/>
      </w:r>
    </w:p>
    <w:p>
      <w:pPr>
        <w:pStyle w:val="14"/>
        <w:tabs>
          <w:tab w:val="right" w:leader="dot" w:pos="8306"/>
          <w:tab w:val="clear" w:pos="8296"/>
        </w:tabs>
      </w:pPr>
      <w:r>
        <w:rPr>
          <w:rFonts w:ascii="仿宋" w:hAnsi="仿宋" w:eastAsia="仿宋"/>
          <w:color w:val="auto"/>
          <w:highlight w:val="none"/>
        </w:rPr>
        <w:fldChar w:fldCharType="begin"/>
      </w:r>
      <w:r>
        <w:rPr>
          <w:rFonts w:ascii="仿宋" w:hAnsi="仿宋" w:eastAsia="仿宋"/>
          <w:highlight w:val="none"/>
        </w:rPr>
        <w:instrText xml:space="preserve"> HYPERLINK \l _Toc1101773166 </w:instrText>
      </w:r>
      <w:r>
        <w:rPr>
          <w:rFonts w:ascii="仿宋" w:hAnsi="仿宋" w:eastAsia="仿宋"/>
          <w:highlight w:val="none"/>
        </w:rPr>
        <w:fldChar w:fldCharType="separate"/>
      </w:r>
      <w:r>
        <w:rPr>
          <w:rFonts w:hint="eastAsia"/>
        </w:rPr>
        <w:t>一、</w:t>
      </w:r>
      <w:r>
        <w:rPr>
          <w:rFonts w:hint="eastAsia"/>
          <w:lang w:eastAsia="zh-CN"/>
        </w:rPr>
        <w:t>部门职责</w:t>
      </w:r>
      <w:r>
        <w:tab/>
      </w:r>
      <w:r>
        <w:fldChar w:fldCharType="begin"/>
      </w:r>
      <w:r>
        <w:instrText xml:space="preserve"> PAGEREF _Toc1101773166 \h </w:instrText>
      </w:r>
      <w:r>
        <w:fldChar w:fldCharType="separate"/>
      </w:r>
      <w:r>
        <w:t>1</w:t>
      </w:r>
      <w:r>
        <w:fldChar w:fldCharType="end"/>
      </w:r>
      <w:r>
        <w:rPr>
          <w:rFonts w:ascii="仿宋" w:hAnsi="仿宋" w:eastAsia="仿宋"/>
          <w:color w:val="auto"/>
          <w:highlight w:val="none"/>
        </w:rPr>
        <w:fldChar w:fldCharType="end"/>
      </w:r>
    </w:p>
    <w:p>
      <w:pPr>
        <w:pStyle w:val="14"/>
        <w:tabs>
          <w:tab w:val="right" w:leader="dot" w:pos="8306"/>
          <w:tab w:val="clear" w:pos="8296"/>
        </w:tabs>
      </w:pPr>
      <w:r>
        <w:rPr>
          <w:rFonts w:ascii="仿宋" w:hAnsi="仿宋" w:eastAsia="仿宋"/>
          <w:color w:val="auto"/>
          <w:highlight w:val="none"/>
        </w:rPr>
        <w:fldChar w:fldCharType="begin"/>
      </w:r>
      <w:r>
        <w:rPr>
          <w:rFonts w:ascii="仿宋" w:hAnsi="仿宋" w:eastAsia="仿宋"/>
          <w:highlight w:val="none"/>
        </w:rPr>
        <w:instrText xml:space="preserve"> HYPERLINK \l _Toc305039731 </w:instrText>
      </w:r>
      <w:r>
        <w:rPr>
          <w:rFonts w:ascii="仿宋" w:hAnsi="仿宋" w:eastAsia="仿宋"/>
          <w:highlight w:val="none"/>
        </w:rPr>
        <w:fldChar w:fldCharType="separate"/>
      </w:r>
      <w:r>
        <w:rPr>
          <w:rFonts w:hint="eastAsia"/>
          <w:lang w:eastAsia="zh-CN"/>
        </w:rPr>
        <w:t>二、</w:t>
      </w:r>
      <w:r>
        <w:rPr>
          <w:rFonts w:hint="eastAsia"/>
        </w:rPr>
        <w:t>机构设置</w:t>
      </w:r>
      <w:r>
        <w:tab/>
      </w:r>
      <w:r>
        <w:fldChar w:fldCharType="begin"/>
      </w:r>
      <w:r>
        <w:instrText xml:space="preserve"> PAGEREF _Toc305039731 \h </w:instrText>
      </w:r>
      <w:r>
        <w:fldChar w:fldCharType="separate"/>
      </w:r>
      <w:r>
        <w:t>11</w:t>
      </w:r>
      <w:r>
        <w:fldChar w:fldCharType="end"/>
      </w:r>
      <w:r>
        <w:rPr>
          <w:rFonts w:ascii="仿宋" w:hAnsi="仿宋" w:eastAsia="仿宋"/>
          <w:color w:val="auto"/>
          <w:highlight w:val="none"/>
        </w:rPr>
        <w:fldChar w:fldCharType="end"/>
      </w:r>
    </w:p>
    <w:p>
      <w:pPr>
        <w:pStyle w:val="12"/>
        <w:tabs>
          <w:tab w:val="right" w:leader="dot" w:pos="8306"/>
          <w:tab w:val="clear" w:pos="8296"/>
        </w:tabs>
      </w:pPr>
      <w:r>
        <w:rPr>
          <w:rFonts w:ascii="仿宋" w:hAnsi="仿宋" w:eastAsia="仿宋"/>
          <w:color w:val="auto"/>
          <w:highlight w:val="none"/>
        </w:rPr>
        <w:fldChar w:fldCharType="begin"/>
      </w:r>
      <w:r>
        <w:rPr>
          <w:rFonts w:ascii="仿宋" w:hAnsi="仿宋" w:eastAsia="仿宋"/>
          <w:highlight w:val="none"/>
        </w:rPr>
        <w:instrText xml:space="preserve"> HYPERLINK \l _Toc562925958 </w:instrText>
      </w:r>
      <w:r>
        <w:rPr>
          <w:rFonts w:ascii="仿宋" w:hAnsi="仿宋" w:eastAsia="仿宋"/>
          <w:highlight w:val="none"/>
        </w:rPr>
        <w:fldChar w:fldCharType="separate"/>
      </w:r>
      <w:r>
        <w:rPr>
          <w:rFonts w:hint="eastAsia"/>
        </w:rPr>
        <w:t>第二部分</w:t>
      </w:r>
      <w:r>
        <w:rPr>
          <w:rFonts w:hint="eastAsia"/>
          <w:lang w:val="en-US" w:eastAsia="zh-CN"/>
        </w:rPr>
        <w:t xml:space="preserve"> 2025年度</w:t>
      </w:r>
      <w:r>
        <w:rPr>
          <w:rFonts w:hint="eastAsia"/>
        </w:rPr>
        <w:t>部门决算情况说明</w:t>
      </w:r>
      <w:r>
        <w:tab/>
      </w:r>
      <w:r>
        <w:fldChar w:fldCharType="begin"/>
      </w:r>
      <w:r>
        <w:instrText xml:space="preserve"> PAGEREF _Toc562925958 \h </w:instrText>
      </w:r>
      <w:r>
        <w:fldChar w:fldCharType="separate"/>
      </w:r>
      <w:r>
        <w:t>11</w:t>
      </w:r>
      <w:r>
        <w:fldChar w:fldCharType="end"/>
      </w:r>
      <w:r>
        <w:rPr>
          <w:rFonts w:ascii="仿宋" w:hAnsi="仿宋" w:eastAsia="仿宋"/>
          <w:color w:val="auto"/>
          <w:highlight w:val="none"/>
        </w:rPr>
        <w:fldChar w:fldCharType="end"/>
      </w:r>
    </w:p>
    <w:p>
      <w:pPr>
        <w:pStyle w:val="14"/>
        <w:tabs>
          <w:tab w:val="right" w:leader="dot" w:pos="8306"/>
          <w:tab w:val="clear" w:pos="8296"/>
        </w:tabs>
      </w:pPr>
      <w:r>
        <w:rPr>
          <w:rFonts w:ascii="仿宋" w:hAnsi="仿宋" w:eastAsia="仿宋"/>
          <w:color w:val="auto"/>
          <w:highlight w:val="none"/>
        </w:rPr>
        <w:fldChar w:fldCharType="begin"/>
      </w:r>
      <w:r>
        <w:rPr>
          <w:rFonts w:ascii="仿宋" w:hAnsi="仿宋" w:eastAsia="仿宋"/>
          <w:highlight w:val="none"/>
        </w:rPr>
        <w:instrText xml:space="preserve"> HYPERLINK \l _Toc976915896 </w:instrText>
      </w:r>
      <w:r>
        <w:rPr>
          <w:rFonts w:ascii="仿宋" w:hAnsi="仿宋" w:eastAsia="仿宋"/>
          <w:highlight w:val="none"/>
        </w:rPr>
        <w:fldChar w:fldCharType="separate"/>
      </w:r>
      <w:r>
        <w:rPr>
          <w:rFonts w:hint="eastAsia"/>
        </w:rPr>
        <w:t>一、收入支出决算总体情况说明</w:t>
      </w:r>
      <w:r>
        <w:tab/>
      </w:r>
      <w:r>
        <w:fldChar w:fldCharType="begin"/>
      </w:r>
      <w:r>
        <w:instrText xml:space="preserve"> PAGEREF _Toc976915896 \h </w:instrText>
      </w:r>
      <w:r>
        <w:fldChar w:fldCharType="separate"/>
      </w:r>
      <w:r>
        <w:t>11</w:t>
      </w:r>
      <w:r>
        <w:fldChar w:fldCharType="end"/>
      </w:r>
      <w:r>
        <w:rPr>
          <w:rFonts w:ascii="仿宋" w:hAnsi="仿宋" w:eastAsia="仿宋"/>
          <w:color w:val="auto"/>
          <w:highlight w:val="none"/>
        </w:rPr>
        <w:fldChar w:fldCharType="end"/>
      </w:r>
    </w:p>
    <w:p>
      <w:pPr>
        <w:pStyle w:val="14"/>
        <w:tabs>
          <w:tab w:val="right" w:leader="dot" w:pos="8306"/>
          <w:tab w:val="clear" w:pos="8296"/>
        </w:tabs>
      </w:pPr>
      <w:r>
        <w:rPr>
          <w:rFonts w:ascii="仿宋" w:hAnsi="仿宋" w:eastAsia="仿宋"/>
          <w:color w:val="auto"/>
          <w:highlight w:val="none"/>
        </w:rPr>
        <w:fldChar w:fldCharType="begin"/>
      </w:r>
      <w:r>
        <w:rPr>
          <w:rFonts w:ascii="仿宋" w:hAnsi="仿宋" w:eastAsia="仿宋"/>
          <w:highlight w:val="none"/>
        </w:rPr>
        <w:instrText xml:space="preserve"> HYPERLINK \l _Toc1862930780 </w:instrText>
      </w:r>
      <w:r>
        <w:rPr>
          <w:rFonts w:ascii="仿宋" w:hAnsi="仿宋" w:eastAsia="仿宋"/>
          <w:highlight w:val="none"/>
        </w:rPr>
        <w:fldChar w:fldCharType="separate"/>
      </w:r>
      <w:r>
        <w:rPr>
          <w:rFonts w:hint="eastAsia"/>
        </w:rPr>
        <w:t>二、收入决算情况说明</w:t>
      </w:r>
      <w:r>
        <w:tab/>
      </w:r>
      <w:r>
        <w:fldChar w:fldCharType="begin"/>
      </w:r>
      <w:r>
        <w:instrText xml:space="preserve"> PAGEREF _Toc1862930780 \h </w:instrText>
      </w:r>
      <w:r>
        <w:fldChar w:fldCharType="separate"/>
      </w:r>
      <w:r>
        <w:t>12</w:t>
      </w:r>
      <w:r>
        <w:fldChar w:fldCharType="end"/>
      </w:r>
      <w:r>
        <w:rPr>
          <w:rFonts w:ascii="仿宋" w:hAnsi="仿宋" w:eastAsia="仿宋"/>
          <w:color w:val="auto"/>
          <w:highlight w:val="none"/>
        </w:rPr>
        <w:fldChar w:fldCharType="end"/>
      </w:r>
    </w:p>
    <w:p>
      <w:pPr>
        <w:pStyle w:val="14"/>
        <w:tabs>
          <w:tab w:val="right" w:leader="dot" w:pos="8306"/>
          <w:tab w:val="clear" w:pos="8296"/>
        </w:tabs>
      </w:pPr>
      <w:r>
        <w:rPr>
          <w:rFonts w:ascii="仿宋" w:hAnsi="仿宋" w:eastAsia="仿宋"/>
          <w:color w:val="auto"/>
          <w:highlight w:val="none"/>
        </w:rPr>
        <w:fldChar w:fldCharType="begin"/>
      </w:r>
      <w:r>
        <w:rPr>
          <w:rFonts w:ascii="仿宋" w:hAnsi="仿宋" w:eastAsia="仿宋"/>
          <w:highlight w:val="none"/>
        </w:rPr>
        <w:instrText xml:space="preserve"> HYPERLINK \l _Toc876977072 </w:instrText>
      </w:r>
      <w:r>
        <w:rPr>
          <w:rFonts w:ascii="仿宋" w:hAnsi="仿宋" w:eastAsia="仿宋"/>
          <w:highlight w:val="none"/>
        </w:rPr>
        <w:fldChar w:fldCharType="separate"/>
      </w:r>
      <w:r>
        <w:rPr>
          <w:rFonts w:hint="eastAsia"/>
        </w:rPr>
        <w:t>三、支出决算情况说明</w:t>
      </w:r>
      <w:r>
        <w:tab/>
      </w:r>
      <w:r>
        <w:fldChar w:fldCharType="begin"/>
      </w:r>
      <w:r>
        <w:instrText xml:space="preserve"> PAGEREF _Toc876977072 \h </w:instrText>
      </w:r>
      <w:r>
        <w:fldChar w:fldCharType="separate"/>
      </w:r>
      <w:r>
        <w:t>13</w:t>
      </w:r>
      <w:r>
        <w:fldChar w:fldCharType="end"/>
      </w:r>
      <w:r>
        <w:rPr>
          <w:rFonts w:ascii="仿宋" w:hAnsi="仿宋" w:eastAsia="仿宋"/>
          <w:color w:val="auto"/>
          <w:highlight w:val="none"/>
        </w:rPr>
        <w:fldChar w:fldCharType="end"/>
      </w:r>
    </w:p>
    <w:p>
      <w:pPr>
        <w:pStyle w:val="14"/>
        <w:tabs>
          <w:tab w:val="right" w:leader="dot" w:pos="8306"/>
          <w:tab w:val="clear" w:pos="8296"/>
        </w:tabs>
      </w:pPr>
      <w:r>
        <w:rPr>
          <w:rFonts w:ascii="仿宋" w:hAnsi="仿宋" w:eastAsia="仿宋"/>
          <w:color w:val="auto"/>
          <w:highlight w:val="none"/>
        </w:rPr>
        <w:fldChar w:fldCharType="begin"/>
      </w:r>
      <w:r>
        <w:rPr>
          <w:rFonts w:ascii="仿宋" w:hAnsi="仿宋" w:eastAsia="仿宋"/>
          <w:highlight w:val="none"/>
        </w:rPr>
        <w:instrText xml:space="preserve"> HYPERLINK \l _Toc8922519 </w:instrText>
      </w:r>
      <w:r>
        <w:rPr>
          <w:rFonts w:ascii="仿宋" w:hAnsi="仿宋" w:eastAsia="仿宋"/>
          <w:highlight w:val="none"/>
        </w:rPr>
        <w:fldChar w:fldCharType="separate"/>
      </w:r>
      <w:r>
        <w:rPr>
          <w:rFonts w:hint="eastAsia"/>
        </w:rPr>
        <w:t>四、财政拨款收入支出决算总体情况说明</w:t>
      </w:r>
      <w:r>
        <w:tab/>
      </w:r>
      <w:r>
        <w:fldChar w:fldCharType="begin"/>
      </w:r>
      <w:r>
        <w:instrText xml:space="preserve"> PAGEREF _Toc8922519 \h </w:instrText>
      </w:r>
      <w:r>
        <w:fldChar w:fldCharType="separate"/>
      </w:r>
      <w:r>
        <w:t>14</w:t>
      </w:r>
      <w:r>
        <w:fldChar w:fldCharType="end"/>
      </w:r>
      <w:r>
        <w:rPr>
          <w:rFonts w:ascii="仿宋" w:hAnsi="仿宋" w:eastAsia="仿宋"/>
          <w:color w:val="auto"/>
          <w:highlight w:val="none"/>
        </w:rPr>
        <w:fldChar w:fldCharType="end"/>
      </w:r>
    </w:p>
    <w:p>
      <w:pPr>
        <w:pStyle w:val="14"/>
        <w:tabs>
          <w:tab w:val="right" w:leader="dot" w:pos="8306"/>
          <w:tab w:val="clear" w:pos="8296"/>
        </w:tabs>
      </w:pPr>
      <w:r>
        <w:rPr>
          <w:rFonts w:ascii="仿宋" w:hAnsi="仿宋" w:eastAsia="仿宋"/>
          <w:color w:val="auto"/>
          <w:highlight w:val="none"/>
        </w:rPr>
        <w:fldChar w:fldCharType="begin"/>
      </w:r>
      <w:r>
        <w:rPr>
          <w:rFonts w:ascii="仿宋" w:hAnsi="仿宋" w:eastAsia="仿宋"/>
          <w:highlight w:val="none"/>
        </w:rPr>
        <w:instrText xml:space="preserve"> HYPERLINK \l _Toc1401156096 </w:instrText>
      </w:r>
      <w:r>
        <w:rPr>
          <w:rFonts w:ascii="仿宋" w:hAnsi="仿宋" w:eastAsia="仿宋"/>
          <w:highlight w:val="none"/>
        </w:rPr>
        <w:fldChar w:fldCharType="separate"/>
      </w:r>
      <w:r>
        <w:rPr>
          <w:rFonts w:hint="eastAsia"/>
        </w:rPr>
        <w:t>五、一般公共预算财政拨款支出决算情况说明</w:t>
      </w:r>
      <w:r>
        <w:tab/>
      </w:r>
      <w:r>
        <w:fldChar w:fldCharType="begin"/>
      </w:r>
      <w:r>
        <w:instrText xml:space="preserve"> PAGEREF _Toc1401156096 \h </w:instrText>
      </w:r>
      <w:r>
        <w:fldChar w:fldCharType="separate"/>
      </w:r>
      <w:r>
        <w:t>15</w:t>
      </w:r>
      <w:r>
        <w:fldChar w:fldCharType="end"/>
      </w:r>
      <w:r>
        <w:rPr>
          <w:rFonts w:ascii="仿宋" w:hAnsi="仿宋" w:eastAsia="仿宋"/>
          <w:color w:val="auto"/>
          <w:highlight w:val="none"/>
        </w:rPr>
        <w:fldChar w:fldCharType="end"/>
      </w:r>
    </w:p>
    <w:p>
      <w:pPr>
        <w:pStyle w:val="14"/>
        <w:tabs>
          <w:tab w:val="right" w:leader="dot" w:pos="8306"/>
          <w:tab w:val="clear" w:pos="8296"/>
        </w:tabs>
      </w:pPr>
      <w:r>
        <w:rPr>
          <w:rFonts w:ascii="仿宋" w:hAnsi="仿宋" w:eastAsia="仿宋"/>
          <w:color w:val="auto"/>
          <w:highlight w:val="none"/>
        </w:rPr>
        <w:fldChar w:fldCharType="begin"/>
      </w:r>
      <w:r>
        <w:rPr>
          <w:rFonts w:ascii="仿宋" w:hAnsi="仿宋" w:eastAsia="仿宋"/>
          <w:highlight w:val="none"/>
        </w:rPr>
        <w:instrText xml:space="preserve"> HYPERLINK \l _Toc2112093813 </w:instrText>
      </w:r>
      <w:r>
        <w:rPr>
          <w:rFonts w:ascii="仿宋" w:hAnsi="仿宋" w:eastAsia="仿宋"/>
          <w:highlight w:val="none"/>
        </w:rPr>
        <w:fldChar w:fldCharType="separate"/>
      </w:r>
      <w:r>
        <w:rPr>
          <w:rFonts w:hint="eastAsia"/>
        </w:rPr>
        <w:t>六、一般公共预算财政拨款基本支出决算情况说明</w:t>
      </w:r>
      <w:r>
        <w:tab/>
      </w:r>
      <w:r>
        <w:fldChar w:fldCharType="begin"/>
      </w:r>
      <w:r>
        <w:instrText xml:space="preserve"> PAGEREF _Toc2112093813 \h </w:instrText>
      </w:r>
      <w:r>
        <w:fldChar w:fldCharType="separate"/>
      </w:r>
      <w:r>
        <w:t>17</w:t>
      </w:r>
      <w:r>
        <w:fldChar w:fldCharType="end"/>
      </w:r>
      <w:r>
        <w:rPr>
          <w:rFonts w:ascii="仿宋" w:hAnsi="仿宋" w:eastAsia="仿宋"/>
          <w:color w:val="auto"/>
          <w:highlight w:val="none"/>
        </w:rPr>
        <w:fldChar w:fldCharType="end"/>
      </w:r>
    </w:p>
    <w:p>
      <w:pPr>
        <w:pStyle w:val="14"/>
        <w:tabs>
          <w:tab w:val="right" w:leader="dot" w:pos="8306"/>
          <w:tab w:val="clear" w:pos="8296"/>
        </w:tabs>
      </w:pPr>
      <w:r>
        <w:rPr>
          <w:rFonts w:ascii="仿宋" w:hAnsi="仿宋" w:eastAsia="仿宋"/>
          <w:color w:val="auto"/>
          <w:highlight w:val="none"/>
        </w:rPr>
        <w:fldChar w:fldCharType="begin"/>
      </w:r>
      <w:r>
        <w:rPr>
          <w:rFonts w:ascii="仿宋" w:hAnsi="仿宋" w:eastAsia="仿宋"/>
          <w:highlight w:val="none"/>
        </w:rPr>
        <w:instrText xml:space="preserve"> HYPERLINK \l _Toc1549257339 </w:instrText>
      </w:r>
      <w:r>
        <w:rPr>
          <w:rFonts w:ascii="仿宋" w:hAnsi="仿宋" w:eastAsia="仿宋"/>
          <w:highlight w:val="none"/>
        </w:rPr>
        <w:fldChar w:fldCharType="separate"/>
      </w:r>
      <w:r>
        <w:rPr>
          <w:rFonts w:hint="eastAsia"/>
        </w:rPr>
        <w:t>七、财政拨款</w:t>
      </w:r>
      <w:r>
        <w:rPr>
          <w:rFonts w:hint="eastAsia"/>
          <w:lang w:eastAsia="zh-CN"/>
        </w:rPr>
        <w:t>“</w:t>
      </w:r>
      <w:r>
        <w:rPr>
          <w:rFonts w:hint="eastAsia"/>
        </w:rPr>
        <w:t>三公”经费支出决算情况说明</w:t>
      </w:r>
      <w:r>
        <w:tab/>
      </w:r>
      <w:r>
        <w:fldChar w:fldCharType="begin"/>
      </w:r>
      <w:r>
        <w:instrText xml:space="preserve"> PAGEREF _Toc1549257339 \h </w:instrText>
      </w:r>
      <w:r>
        <w:fldChar w:fldCharType="separate"/>
      </w:r>
      <w:r>
        <w:t>18</w:t>
      </w:r>
      <w:r>
        <w:fldChar w:fldCharType="end"/>
      </w:r>
      <w:r>
        <w:rPr>
          <w:rFonts w:ascii="仿宋" w:hAnsi="仿宋" w:eastAsia="仿宋"/>
          <w:color w:val="auto"/>
          <w:highlight w:val="none"/>
        </w:rPr>
        <w:fldChar w:fldCharType="end"/>
      </w:r>
    </w:p>
    <w:p>
      <w:pPr>
        <w:pStyle w:val="14"/>
        <w:tabs>
          <w:tab w:val="right" w:leader="dot" w:pos="8306"/>
          <w:tab w:val="clear" w:pos="8296"/>
        </w:tabs>
      </w:pPr>
      <w:r>
        <w:rPr>
          <w:rFonts w:ascii="仿宋" w:hAnsi="仿宋" w:eastAsia="仿宋"/>
          <w:color w:val="auto"/>
          <w:highlight w:val="none"/>
        </w:rPr>
        <w:fldChar w:fldCharType="begin"/>
      </w:r>
      <w:r>
        <w:rPr>
          <w:rFonts w:ascii="仿宋" w:hAnsi="仿宋" w:eastAsia="仿宋"/>
          <w:highlight w:val="none"/>
        </w:rPr>
        <w:instrText xml:space="preserve"> HYPERLINK \l _Toc537998639 </w:instrText>
      </w:r>
      <w:r>
        <w:rPr>
          <w:rFonts w:ascii="仿宋" w:hAnsi="仿宋" w:eastAsia="仿宋"/>
          <w:highlight w:val="none"/>
        </w:rPr>
        <w:fldChar w:fldCharType="separate"/>
      </w:r>
      <w:r>
        <w:rPr>
          <w:rFonts w:hint="eastAsia"/>
        </w:rPr>
        <w:t>八、政府性基金预算支出决算情况说明</w:t>
      </w:r>
      <w:r>
        <w:tab/>
      </w:r>
      <w:r>
        <w:fldChar w:fldCharType="begin"/>
      </w:r>
      <w:r>
        <w:instrText xml:space="preserve"> PAGEREF _Toc537998639 \h </w:instrText>
      </w:r>
      <w:r>
        <w:fldChar w:fldCharType="separate"/>
      </w:r>
      <w:r>
        <w:t>19</w:t>
      </w:r>
      <w:r>
        <w:fldChar w:fldCharType="end"/>
      </w:r>
      <w:r>
        <w:rPr>
          <w:rFonts w:ascii="仿宋" w:hAnsi="仿宋" w:eastAsia="仿宋"/>
          <w:color w:val="auto"/>
          <w:highlight w:val="none"/>
        </w:rPr>
        <w:fldChar w:fldCharType="end"/>
      </w:r>
    </w:p>
    <w:p>
      <w:pPr>
        <w:pStyle w:val="14"/>
        <w:tabs>
          <w:tab w:val="right" w:leader="dot" w:pos="8306"/>
          <w:tab w:val="clear" w:pos="8296"/>
        </w:tabs>
      </w:pPr>
      <w:r>
        <w:rPr>
          <w:rFonts w:ascii="仿宋" w:hAnsi="仿宋" w:eastAsia="仿宋"/>
          <w:color w:val="auto"/>
          <w:highlight w:val="none"/>
        </w:rPr>
        <w:fldChar w:fldCharType="begin"/>
      </w:r>
      <w:r>
        <w:rPr>
          <w:rFonts w:ascii="仿宋" w:hAnsi="仿宋" w:eastAsia="仿宋"/>
          <w:highlight w:val="none"/>
        </w:rPr>
        <w:instrText xml:space="preserve"> HYPERLINK \l _Toc822721861 </w:instrText>
      </w:r>
      <w:r>
        <w:rPr>
          <w:rFonts w:ascii="仿宋" w:hAnsi="仿宋" w:eastAsia="仿宋"/>
          <w:highlight w:val="none"/>
        </w:rPr>
        <w:fldChar w:fldCharType="separate"/>
      </w:r>
      <w:r>
        <w:rPr>
          <w:rFonts w:hint="eastAsia"/>
        </w:rPr>
        <w:t>九、</w:t>
      </w:r>
      <w:r>
        <w:rPr>
          <w:rFonts w:hint="eastAsia"/>
          <w:lang w:eastAsia="zh-CN"/>
        </w:rPr>
        <w:t>国</w:t>
      </w:r>
      <w:r>
        <w:rPr>
          <w:rFonts w:hint="eastAsia"/>
        </w:rPr>
        <w:t>有资本经营预算支出决算情况说明</w:t>
      </w:r>
      <w:r>
        <w:tab/>
      </w:r>
      <w:r>
        <w:fldChar w:fldCharType="begin"/>
      </w:r>
      <w:r>
        <w:instrText xml:space="preserve"> PAGEREF _Toc822721861 \h </w:instrText>
      </w:r>
      <w:r>
        <w:fldChar w:fldCharType="separate"/>
      </w:r>
      <w:r>
        <w:t>19</w:t>
      </w:r>
      <w:r>
        <w:fldChar w:fldCharType="end"/>
      </w:r>
      <w:r>
        <w:rPr>
          <w:rFonts w:ascii="仿宋" w:hAnsi="仿宋" w:eastAsia="仿宋"/>
          <w:color w:val="auto"/>
          <w:highlight w:val="none"/>
        </w:rPr>
        <w:fldChar w:fldCharType="end"/>
      </w:r>
    </w:p>
    <w:p>
      <w:pPr>
        <w:pStyle w:val="14"/>
        <w:tabs>
          <w:tab w:val="right" w:leader="dot" w:pos="8306"/>
          <w:tab w:val="clear" w:pos="8296"/>
        </w:tabs>
      </w:pPr>
      <w:r>
        <w:rPr>
          <w:rFonts w:ascii="仿宋" w:hAnsi="仿宋" w:eastAsia="仿宋"/>
          <w:color w:val="auto"/>
          <w:highlight w:val="none"/>
        </w:rPr>
        <w:fldChar w:fldCharType="begin"/>
      </w:r>
      <w:r>
        <w:rPr>
          <w:rFonts w:ascii="仿宋" w:hAnsi="仿宋" w:eastAsia="仿宋"/>
          <w:highlight w:val="none"/>
        </w:rPr>
        <w:instrText xml:space="preserve"> HYPERLINK \l _Toc1709558891 </w:instrText>
      </w:r>
      <w:r>
        <w:rPr>
          <w:rFonts w:ascii="仿宋" w:hAnsi="仿宋" w:eastAsia="仿宋"/>
          <w:highlight w:val="none"/>
        </w:rPr>
        <w:fldChar w:fldCharType="separate"/>
      </w:r>
      <w:r>
        <w:rPr>
          <w:rFonts w:hint="eastAsia" w:ascii="Times New Roman" w:hAnsi="Times New Roman" w:eastAsia="仿宋_GB2312" w:cs="仿宋_GB2312"/>
          <w:szCs w:val="32"/>
        </w:rPr>
        <w:t xml:space="preserve">十、 </w:t>
      </w:r>
      <w:r>
        <w:rPr>
          <w:rFonts w:hint="eastAsia"/>
        </w:rPr>
        <w:t>其他重要事项的情况说明</w:t>
      </w:r>
      <w:r>
        <w:tab/>
      </w:r>
      <w:r>
        <w:fldChar w:fldCharType="begin"/>
      </w:r>
      <w:r>
        <w:instrText xml:space="preserve"> PAGEREF _Toc1709558891 \h </w:instrText>
      </w:r>
      <w:r>
        <w:fldChar w:fldCharType="separate"/>
      </w:r>
      <w:r>
        <w:t>20</w:t>
      </w:r>
      <w:r>
        <w:fldChar w:fldCharType="end"/>
      </w:r>
      <w:r>
        <w:rPr>
          <w:rFonts w:ascii="仿宋" w:hAnsi="仿宋" w:eastAsia="仿宋"/>
          <w:color w:val="auto"/>
          <w:highlight w:val="none"/>
        </w:rPr>
        <w:fldChar w:fldCharType="end"/>
      </w:r>
    </w:p>
    <w:p>
      <w:pPr>
        <w:pStyle w:val="12"/>
        <w:tabs>
          <w:tab w:val="right" w:leader="dot" w:pos="8306"/>
          <w:tab w:val="clear" w:pos="8296"/>
        </w:tabs>
      </w:pPr>
      <w:r>
        <w:rPr>
          <w:rFonts w:ascii="仿宋" w:hAnsi="仿宋" w:eastAsia="仿宋"/>
          <w:color w:val="auto"/>
          <w:highlight w:val="none"/>
        </w:rPr>
        <w:fldChar w:fldCharType="begin"/>
      </w:r>
      <w:r>
        <w:rPr>
          <w:rFonts w:ascii="仿宋" w:hAnsi="仿宋" w:eastAsia="仿宋"/>
          <w:highlight w:val="none"/>
        </w:rPr>
        <w:instrText xml:space="preserve"> HYPERLINK \l _Toc402468410 </w:instrText>
      </w:r>
      <w:r>
        <w:rPr>
          <w:rFonts w:ascii="仿宋" w:hAnsi="仿宋" w:eastAsia="仿宋"/>
          <w:highlight w:val="none"/>
        </w:rPr>
        <w:fldChar w:fldCharType="separate"/>
      </w:r>
      <w:r>
        <w:rPr>
          <w:rFonts w:hint="eastAsia"/>
        </w:rPr>
        <w:t>第三部分 名词解释</w:t>
      </w:r>
      <w:r>
        <w:tab/>
      </w:r>
      <w:r>
        <w:fldChar w:fldCharType="begin"/>
      </w:r>
      <w:r>
        <w:instrText xml:space="preserve"> PAGEREF _Toc402468410 \h </w:instrText>
      </w:r>
      <w:r>
        <w:fldChar w:fldCharType="separate"/>
      </w:r>
      <w:r>
        <w:t>21</w:t>
      </w:r>
      <w:r>
        <w:fldChar w:fldCharType="end"/>
      </w:r>
      <w:r>
        <w:rPr>
          <w:rFonts w:ascii="仿宋" w:hAnsi="仿宋" w:eastAsia="仿宋"/>
          <w:color w:val="auto"/>
          <w:highlight w:val="none"/>
        </w:rPr>
        <w:fldChar w:fldCharType="end"/>
      </w:r>
    </w:p>
    <w:p>
      <w:pPr>
        <w:pStyle w:val="12"/>
        <w:tabs>
          <w:tab w:val="right" w:leader="dot" w:pos="8306"/>
          <w:tab w:val="clear" w:pos="8296"/>
        </w:tabs>
      </w:pPr>
      <w:r>
        <w:rPr>
          <w:rFonts w:ascii="仿宋" w:hAnsi="仿宋" w:eastAsia="仿宋"/>
          <w:color w:val="auto"/>
          <w:highlight w:val="none"/>
        </w:rPr>
        <w:fldChar w:fldCharType="begin"/>
      </w:r>
      <w:r>
        <w:rPr>
          <w:rFonts w:ascii="仿宋" w:hAnsi="仿宋" w:eastAsia="仿宋"/>
          <w:highlight w:val="none"/>
        </w:rPr>
        <w:instrText xml:space="preserve"> HYPERLINK \l _Toc592647606 </w:instrText>
      </w:r>
      <w:r>
        <w:rPr>
          <w:rFonts w:ascii="仿宋" w:hAnsi="仿宋" w:eastAsia="仿宋"/>
          <w:highlight w:val="none"/>
        </w:rPr>
        <w:fldChar w:fldCharType="separate"/>
      </w:r>
      <w:r>
        <w:rPr>
          <w:rFonts w:hint="eastAsia"/>
        </w:rPr>
        <w:t>第四部分 附件</w:t>
      </w:r>
      <w:r>
        <w:tab/>
      </w:r>
      <w:r>
        <w:fldChar w:fldCharType="begin"/>
      </w:r>
      <w:r>
        <w:instrText xml:space="preserve"> PAGEREF _Toc592647606 \h </w:instrText>
      </w:r>
      <w:r>
        <w:fldChar w:fldCharType="separate"/>
      </w:r>
      <w:r>
        <w:t>24</w:t>
      </w:r>
      <w:r>
        <w:fldChar w:fldCharType="end"/>
      </w:r>
      <w:r>
        <w:rPr>
          <w:rFonts w:ascii="仿宋" w:hAnsi="仿宋" w:eastAsia="仿宋"/>
          <w:color w:val="auto"/>
          <w:highlight w:val="none"/>
        </w:rPr>
        <w:fldChar w:fldCharType="end"/>
      </w:r>
    </w:p>
    <w:p>
      <w:pPr>
        <w:pStyle w:val="12"/>
        <w:tabs>
          <w:tab w:val="right" w:leader="dot" w:pos="8306"/>
          <w:tab w:val="clear" w:pos="8296"/>
        </w:tabs>
      </w:pPr>
      <w:r>
        <w:rPr>
          <w:rFonts w:ascii="仿宋" w:hAnsi="仿宋" w:eastAsia="仿宋"/>
          <w:color w:val="auto"/>
          <w:highlight w:val="none"/>
        </w:rPr>
        <w:fldChar w:fldCharType="begin"/>
      </w:r>
      <w:r>
        <w:rPr>
          <w:rFonts w:ascii="仿宋" w:hAnsi="仿宋" w:eastAsia="仿宋"/>
          <w:highlight w:val="none"/>
        </w:rPr>
        <w:instrText xml:space="preserve"> HYPERLINK \l _Toc2030919599 </w:instrText>
      </w:r>
      <w:r>
        <w:rPr>
          <w:rFonts w:ascii="仿宋" w:hAnsi="仿宋" w:eastAsia="仿宋"/>
          <w:highlight w:val="none"/>
        </w:rPr>
        <w:fldChar w:fldCharType="separate"/>
      </w:r>
      <w:r>
        <w:rPr>
          <w:rFonts w:hint="eastAsia"/>
        </w:rPr>
        <w:t>第五部分 附表</w:t>
      </w:r>
      <w:r>
        <w:tab/>
      </w:r>
      <w:r>
        <w:fldChar w:fldCharType="begin"/>
      </w:r>
      <w:r>
        <w:instrText xml:space="preserve"> PAGEREF _Toc2030919599 \h </w:instrText>
      </w:r>
      <w:r>
        <w:fldChar w:fldCharType="separate"/>
      </w:r>
      <w:r>
        <w:t>66</w:t>
      </w:r>
      <w:r>
        <w:fldChar w:fldCharType="end"/>
      </w:r>
      <w:r>
        <w:rPr>
          <w:rFonts w:ascii="仿宋" w:hAnsi="仿宋" w:eastAsia="仿宋"/>
          <w:color w:val="auto"/>
          <w:highlight w:val="none"/>
        </w:rPr>
        <w:fldChar w:fldCharType="end"/>
      </w:r>
    </w:p>
    <w:p>
      <w:pPr>
        <w:pStyle w:val="14"/>
        <w:tabs>
          <w:tab w:val="right" w:leader="dot" w:pos="8306"/>
          <w:tab w:val="clear" w:pos="8296"/>
        </w:tabs>
      </w:pPr>
      <w:r>
        <w:rPr>
          <w:rFonts w:ascii="仿宋" w:hAnsi="仿宋" w:eastAsia="仿宋"/>
          <w:color w:val="auto"/>
          <w:highlight w:val="none"/>
        </w:rPr>
        <w:fldChar w:fldCharType="begin"/>
      </w:r>
      <w:r>
        <w:rPr>
          <w:rFonts w:ascii="仿宋" w:hAnsi="仿宋" w:eastAsia="仿宋"/>
          <w:highlight w:val="none"/>
        </w:rPr>
        <w:instrText xml:space="preserve"> HYPERLINK \l _Toc1478053934 </w:instrText>
      </w:r>
      <w:r>
        <w:rPr>
          <w:rFonts w:ascii="仿宋" w:hAnsi="仿宋" w:eastAsia="仿宋"/>
          <w:highlight w:val="none"/>
        </w:rPr>
        <w:fldChar w:fldCharType="separate"/>
      </w:r>
      <w:r>
        <w:rPr>
          <w:rFonts w:hint="eastAsia"/>
        </w:rPr>
        <w:t>一、收入支出决算总表</w:t>
      </w:r>
      <w:r>
        <w:tab/>
      </w:r>
      <w:r>
        <w:fldChar w:fldCharType="begin"/>
      </w:r>
      <w:r>
        <w:instrText xml:space="preserve"> PAGEREF _Toc1478053934 \h </w:instrText>
      </w:r>
      <w:r>
        <w:fldChar w:fldCharType="separate"/>
      </w:r>
      <w:r>
        <w:t>66</w:t>
      </w:r>
      <w:r>
        <w:fldChar w:fldCharType="end"/>
      </w:r>
      <w:r>
        <w:rPr>
          <w:rFonts w:ascii="仿宋" w:hAnsi="仿宋" w:eastAsia="仿宋"/>
          <w:color w:val="auto"/>
          <w:highlight w:val="none"/>
        </w:rPr>
        <w:fldChar w:fldCharType="end"/>
      </w:r>
    </w:p>
    <w:p>
      <w:pPr>
        <w:pStyle w:val="14"/>
        <w:tabs>
          <w:tab w:val="right" w:leader="dot" w:pos="8306"/>
          <w:tab w:val="clear" w:pos="8296"/>
        </w:tabs>
      </w:pPr>
      <w:r>
        <w:rPr>
          <w:rFonts w:ascii="仿宋" w:hAnsi="仿宋" w:eastAsia="仿宋"/>
          <w:color w:val="auto"/>
          <w:highlight w:val="none"/>
        </w:rPr>
        <w:fldChar w:fldCharType="begin"/>
      </w:r>
      <w:r>
        <w:rPr>
          <w:rFonts w:ascii="仿宋" w:hAnsi="仿宋" w:eastAsia="仿宋"/>
          <w:highlight w:val="none"/>
        </w:rPr>
        <w:instrText xml:space="preserve"> HYPERLINK \l _Toc1814639883 </w:instrText>
      </w:r>
      <w:r>
        <w:rPr>
          <w:rFonts w:ascii="仿宋" w:hAnsi="仿宋" w:eastAsia="仿宋"/>
          <w:highlight w:val="none"/>
        </w:rPr>
        <w:fldChar w:fldCharType="separate"/>
      </w:r>
      <w:r>
        <w:rPr>
          <w:rFonts w:hint="eastAsia"/>
        </w:rPr>
        <w:t>二、收入决算表</w:t>
      </w:r>
      <w:r>
        <w:tab/>
      </w:r>
      <w:r>
        <w:fldChar w:fldCharType="begin"/>
      </w:r>
      <w:r>
        <w:instrText xml:space="preserve"> PAGEREF _Toc1814639883 \h </w:instrText>
      </w:r>
      <w:r>
        <w:fldChar w:fldCharType="separate"/>
      </w:r>
      <w:r>
        <w:t>66</w:t>
      </w:r>
      <w:r>
        <w:fldChar w:fldCharType="end"/>
      </w:r>
      <w:r>
        <w:rPr>
          <w:rFonts w:ascii="仿宋" w:hAnsi="仿宋" w:eastAsia="仿宋"/>
          <w:color w:val="auto"/>
          <w:highlight w:val="none"/>
        </w:rPr>
        <w:fldChar w:fldCharType="end"/>
      </w:r>
    </w:p>
    <w:p>
      <w:pPr>
        <w:pStyle w:val="14"/>
        <w:tabs>
          <w:tab w:val="right" w:leader="dot" w:pos="8306"/>
          <w:tab w:val="clear" w:pos="8296"/>
        </w:tabs>
      </w:pPr>
      <w:r>
        <w:rPr>
          <w:rFonts w:ascii="仿宋" w:hAnsi="仿宋" w:eastAsia="仿宋"/>
          <w:color w:val="auto"/>
          <w:highlight w:val="none"/>
        </w:rPr>
        <w:fldChar w:fldCharType="begin"/>
      </w:r>
      <w:r>
        <w:rPr>
          <w:rFonts w:ascii="仿宋" w:hAnsi="仿宋" w:eastAsia="仿宋"/>
          <w:highlight w:val="none"/>
        </w:rPr>
        <w:instrText xml:space="preserve"> HYPERLINK \l _Toc2141735736 </w:instrText>
      </w:r>
      <w:r>
        <w:rPr>
          <w:rFonts w:ascii="仿宋" w:hAnsi="仿宋" w:eastAsia="仿宋"/>
          <w:highlight w:val="none"/>
        </w:rPr>
        <w:fldChar w:fldCharType="separate"/>
      </w:r>
      <w:r>
        <w:rPr>
          <w:rFonts w:hint="eastAsia"/>
        </w:rPr>
        <w:t>三、支出决算表</w:t>
      </w:r>
      <w:r>
        <w:tab/>
      </w:r>
      <w:r>
        <w:fldChar w:fldCharType="begin"/>
      </w:r>
      <w:r>
        <w:instrText xml:space="preserve"> PAGEREF _Toc2141735736 \h </w:instrText>
      </w:r>
      <w:r>
        <w:fldChar w:fldCharType="separate"/>
      </w:r>
      <w:r>
        <w:t>66</w:t>
      </w:r>
      <w:r>
        <w:fldChar w:fldCharType="end"/>
      </w:r>
      <w:r>
        <w:rPr>
          <w:rFonts w:ascii="仿宋" w:hAnsi="仿宋" w:eastAsia="仿宋"/>
          <w:color w:val="auto"/>
          <w:highlight w:val="none"/>
        </w:rPr>
        <w:fldChar w:fldCharType="end"/>
      </w:r>
    </w:p>
    <w:p>
      <w:pPr>
        <w:pStyle w:val="14"/>
        <w:tabs>
          <w:tab w:val="right" w:leader="dot" w:pos="8306"/>
          <w:tab w:val="clear" w:pos="8296"/>
        </w:tabs>
      </w:pPr>
      <w:r>
        <w:rPr>
          <w:rFonts w:ascii="仿宋" w:hAnsi="仿宋" w:eastAsia="仿宋"/>
          <w:color w:val="auto"/>
          <w:highlight w:val="none"/>
        </w:rPr>
        <w:fldChar w:fldCharType="begin"/>
      </w:r>
      <w:r>
        <w:rPr>
          <w:rFonts w:ascii="仿宋" w:hAnsi="仿宋" w:eastAsia="仿宋"/>
          <w:highlight w:val="none"/>
        </w:rPr>
        <w:instrText xml:space="preserve"> HYPERLINK \l _Toc7117816 </w:instrText>
      </w:r>
      <w:r>
        <w:rPr>
          <w:rFonts w:ascii="仿宋" w:hAnsi="仿宋" w:eastAsia="仿宋"/>
          <w:highlight w:val="none"/>
        </w:rPr>
        <w:fldChar w:fldCharType="separate"/>
      </w:r>
      <w:r>
        <w:rPr>
          <w:rFonts w:hint="eastAsia"/>
        </w:rPr>
        <w:t>四、财政拨款收入支出决算总表</w:t>
      </w:r>
      <w:r>
        <w:tab/>
      </w:r>
      <w:r>
        <w:fldChar w:fldCharType="begin"/>
      </w:r>
      <w:r>
        <w:instrText xml:space="preserve"> PAGEREF _Toc7117816 \h </w:instrText>
      </w:r>
      <w:r>
        <w:fldChar w:fldCharType="separate"/>
      </w:r>
      <w:r>
        <w:t>66</w:t>
      </w:r>
      <w:r>
        <w:fldChar w:fldCharType="end"/>
      </w:r>
      <w:r>
        <w:rPr>
          <w:rFonts w:ascii="仿宋" w:hAnsi="仿宋" w:eastAsia="仿宋"/>
          <w:color w:val="auto"/>
          <w:highlight w:val="none"/>
        </w:rPr>
        <w:fldChar w:fldCharType="end"/>
      </w:r>
    </w:p>
    <w:p>
      <w:pPr>
        <w:pStyle w:val="14"/>
        <w:tabs>
          <w:tab w:val="right" w:leader="dot" w:pos="8306"/>
          <w:tab w:val="clear" w:pos="8296"/>
        </w:tabs>
      </w:pPr>
      <w:r>
        <w:rPr>
          <w:rFonts w:ascii="仿宋" w:hAnsi="仿宋" w:eastAsia="仿宋"/>
          <w:color w:val="auto"/>
          <w:highlight w:val="none"/>
        </w:rPr>
        <w:fldChar w:fldCharType="begin"/>
      </w:r>
      <w:r>
        <w:rPr>
          <w:rFonts w:ascii="仿宋" w:hAnsi="仿宋" w:eastAsia="仿宋"/>
          <w:highlight w:val="none"/>
        </w:rPr>
        <w:instrText xml:space="preserve"> HYPERLINK \l _Toc303619188 </w:instrText>
      </w:r>
      <w:r>
        <w:rPr>
          <w:rFonts w:ascii="仿宋" w:hAnsi="仿宋" w:eastAsia="仿宋"/>
          <w:highlight w:val="none"/>
        </w:rPr>
        <w:fldChar w:fldCharType="separate"/>
      </w:r>
      <w:r>
        <w:rPr>
          <w:rFonts w:hint="eastAsia"/>
        </w:rPr>
        <w:t>五、财政拨款支出决算明细表</w:t>
      </w:r>
      <w:r>
        <w:tab/>
      </w:r>
      <w:r>
        <w:fldChar w:fldCharType="begin"/>
      </w:r>
      <w:r>
        <w:instrText xml:space="preserve"> PAGEREF _Toc303619188 \h </w:instrText>
      </w:r>
      <w:r>
        <w:fldChar w:fldCharType="separate"/>
      </w:r>
      <w:r>
        <w:t>66</w:t>
      </w:r>
      <w:r>
        <w:fldChar w:fldCharType="end"/>
      </w:r>
      <w:r>
        <w:rPr>
          <w:rFonts w:ascii="仿宋" w:hAnsi="仿宋" w:eastAsia="仿宋"/>
          <w:color w:val="auto"/>
          <w:highlight w:val="none"/>
        </w:rPr>
        <w:fldChar w:fldCharType="end"/>
      </w:r>
    </w:p>
    <w:p>
      <w:pPr>
        <w:pStyle w:val="14"/>
        <w:tabs>
          <w:tab w:val="right" w:leader="dot" w:pos="8306"/>
          <w:tab w:val="clear" w:pos="8296"/>
        </w:tabs>
      </w:pPr>
      <w:r>
        <w:rPr>
          <w:rFonts w:ascii="仿宋" w:hAnsi="仿宋" w:eastAsia="仿宋"/>
          <w:color w:val="auto"/>
          <w:highlight w:val="none"/>
        </w:rPr>
        <w:fldChar w:fldCharType="begin"/>
      </w:r>
      <w:r>
        <w:rPr>
          <w:rFonts w:ascii="仿宋" w:hAnsi="仿宋" w:eastAsia="仿宋"/>
          <w:highlight w:val="none"/>
        </w:rPr>
        <w:instrText xml:space="preserve"> HYPERLINK \l _Toc1928605222 </w:instrText>
      </w:r>
      <w:r>
        <w:rPr>
          <w:rFonts w:ascii="仿宋" w:hAnsi="仿宋" w:eastAsia="仿宋"/>
          <w:highlight w:val="none"/>
        </w:rPr>
        <w:fldChar w:fldCharType="separate"/>
      </w:r>
      <w:r>
        <w:rPr>
          <w:rFonts w:hint="eastAsia"/>
        </w:rPr>
        <w:t>六、一般公共预算财政拨款支出决算表</w:t>
      </w:r>
      <w:r>
        <w:tab/>
      </w:r>
      <w:r>
        <w:fldChar w:fldCharType="begin"/>
      </w:r>
      <w:r>
        <w:instrText xml:space="preserve"> PAGEREF _Toc1928605222 \h </w:instrText>
      </w:r>
      <w:r>
        <w:fldChar w:fldCharType="separate"/>
      </w:r>
      <w:r>
        <w:t>66</w:t>
      </w:r>
      <w:r>
        <w:fldChar w:fldCharType="end"/>
      </w:r>
      <w:r>
        <w:rPr>
          <w:rFonts w:ascii="仿宋" w:hAnsi="仿宋" w:eastAsia="仿宋"/>
          <w:color w:val="auto"/>
          <w:highlight w:val="none"/>
        </w:rPr>
        <w:fldChar w:fldCharType="end"/>
      </w:r>
    </w:p>
    <w:p>
      <w:pPr>
        <w:pStyle w:val="14"/>
        <w:tabs>
          <w:tab w:val="right" w:leader="dot" w:pos="8306"/>
          <w:tab w:val="clear" w:pos="8296"/>
        </w:tabs>
      </w:pPr>
      <w:r>
        <w:rPr>
          <w:rFonts w:ascii="仿宋" w:hAnsi="仿宋" w:eastAsia="仿宋"/>
          <w:color w:val="auto"/>
          <w:highlight w:val="none"/>
        </w:rPr>
        <w:fldChar w:fldCharType="begin"/>
      </w:r>
      <w:r>
        <w:rPr>
          <w:rFonts w:ascii="仿宋" w:hAnsi="仿宋" w:eastAsia="仿宋"/>
          <w:highlight w:val="none"/>
        </w:rPr>
        <w:instrText xml:space="preserve"> HYPERLINK \l _Toc1416962616 </w:instrText>
      </w:r>
      <w:r>
        <w:rPr>
          <w:rFonts w:ascii="仿宋" w:hAnsi="仿宋" w:eastAsia="仿宋"/>
          <w:highlight w:val="none"/>
        </w:rPr>
        <w:fldChar w:fldCharType="separate"/>
      </w:r>
      <w:r>
        <w:rPr>
          <w:rFonts w:hint="eastAsia"/>
        </w:rPr>
        <w:t>七、一般公共预算财政拨款支出决算明细表</w:t>
      </w:r>
      <w:r>
        <w:tab/>
      </w:r>
      <w:r>
        <w:fldChar w:fldCharType="begin"/>
      </w:r>
      <w:r>
        <w:instrText xml:space="preserve"> PAGEREF _Toc1416962616 \h </w:instrText>
      </w:r>
      <w:r>
        <w:fldChar w:fldCharType="separate"/>
      </w:r>
      <w:r>
        <w:t>66</w:t>
      </w:r>
      <w:r>
        <w:fldChar w:fldCharType="end"/>
      </w:r>
      <w:r>
        <w:rPr>
          <w:rFonts w:ascii="仿宋" w:hAnsi="仿宋" w:eastAsia="仿宋"/>
          <w:color w:val="auto"/>
          <w:highlight w:val="none"/>
        </w:rPr>
        <w:fldChar w:fldCharType="end"/>
      </w:r>
    </w:p>
    <w:p>
      <w:pPr>
        <w:pStyle w:val="14"/>
        <w:tabs>
          <w:tab w:val="right" w:leader="dot" w:pos="8306"/>
          <w:tab w:val="clear" w:pos="8296"/>
        </w:tabs>
      </w:pPr>
      <w:r>
        <w:rPr>
          <w:rFonts w:ascii="仿宋" w:hAnsi="仿宋" w:eastAsia="仿宋"/>
          <w:color w:val="auto"/>
          <w:highlight w:val="none"/>
        </w:rPr>
        <w:fldChar w:fldCharType="begin"/>
      </w:r>
      <w:r>
        <w:rPr>
          <w:rFonts w:ascii="仿宋" w:hAnsi="仿宋" w:eastAsia="仿宋"/>
          <w:highlight w:val="none"/>
        </w:rPr>
        <w:instrText xml:space="preserve"> HYPERLINK \l _Toc1579308260 </w:instrText>
      </w:r>
      <w:r>
        <w:rPr>
          <w:rFonts w:ascii="仿宋" w:hAnsi="仿宋" w:eastAsia="仿宋"/>
          <w:highlight w:val="none"/>
        </w:rPr>
        <w:fldChar w:fldCharType="separate"/>
      </w:r>
      <w:r>
        <w:rPr>
          <w:rFonts w:hint="eastAsia"/>
        </w:rPr>
        <w:t>八、一般公共预算财政拨款基本支出决算</w:t>
      </w:r>
      <w:r>
        <w:rPr>
          <w:rFonts w:hint="eastAsia"/>
          <w:lang w:eastAsia="zh-CN"/>
        </w:rPr>
        <w:t>明细</w:t>
      </w:r>
      <w:r>
        <w:rPr>
          <w:rFonts w:hint="eastAsia"/>
        </w:rPr>
        <w:t>表</w:t>
      </w:r>
      <w:r>
        <w:tab/>
      </w:r>
      <w:r>
        <w:fldChar w:fldCharType="begin"/>
      </w:r>
      <w:r>
        <w:instrText xml:space="preserve"> PAGEREF _Toc1579308260 \h </w:instrText>
      </w:r>
      <w:r>
        <w:fldChar w:fldCharType="separate"/>
      </w:r>
      <w:r>
        <w:t>66</w:t>
      </w:r>
      <w:r>
        <w:fldChar w:fldCharType="end"/>
      </w:r>
      <w:r>
        <w:rPr>
          <w:rFonts w:ascii="仿宋" w:hAnsi="仿宋" w:eastAsia="仿宋"/>
          <w:color w:val="auto"/>
          <w:highlight w:val="none"/>
        </w:rPr>
        <w:fldChar w:fldCharType="end"/>
      </w:r>
    </w:p>
    <w:p>
      <w:pPr>
        <w:pStyle w:val="14"/>
        <w:tabs>
          <w:tab w:val="right" w:leader="dot" w:pos="8306"/>
          <w:tab w:val="clear" w:pos="8296"/>
        </w:tabs>
      </w:pPr>
      <w:r>
        <w:rPr>
          <w:rFonts w:ascii="仿宋" w:hAnsi="仿宋" w:eastAsia="仿宋"/>
          <w:color w:val="auto"/>
          <w:highlight w:val="none"/>
        </w:rPr>
        <w:fldChar w:fldCharType="begin"/>
      </w:r>
      <w:r>
        <w:rPr>
          <w:rFonts w:ascii="仿宋" w:hAnsi="仿宋" w:eastAsia="仿宋"/>
          <w:highlight w:val="none"/>
        </w:rPr>
        <w:instrText xml:space="preserve"> HYPERLINK \l _Toc1592160915 </w:instrText>
      </w:r>
      <w:r>
        <w:rPr>
          <w:rFonts w:ascii="仿宋" w:hAnsi="仿宋" w:eastAsia="仿宋"/>
          <w:highlight w:val="none"/>
        </w:rPr>
        <w:fldChar w:fldCharType="separate"/>
      </w:r>
      <w:r>
        <w:rPr>
          <w:rFonts w:hint="eastAsia"/>
        </w:rPr>
        <w:t>九、一般公共预算财政拨款项目支出决算表</w:t>
      </w:r>
      <w:r>
        <w:tab/>
      </w:r>
      <w:r>
        <w:fldChar w:fldCharType="begin"/>
      </w:r>
      <w:r>
        <w:instrText xml:space="preserve"> PAGEREF _Toc1592160915 \h </w:instrText>
      </w:r>
      <w:r>
        <w:fldChar w:fldCharType="separate"/>
      </w:r>
      <w:r>
        <w:t>66</w:t>
      </w:r>
      <w:r>
        <w:fldChar w:fldCharType="end"/>
      </w:r>
      <w:r>
        <w:rPr>
          <w:rFonts w:ascii="仿宋" w:hAnsi="仿宋" w:eastAsia="仿宋"/>
          <w:color w:val="auto"/>
          <w:highlight w:val="none"/>
        </w:rPr>
        <w:fldChar w:fldCharType="end"/>
      </w:r>
    </w:p>
    <w:p>
      <w:pPr>
        <w:pStyle w:val="14"/>
        <w:tabs>
          <w:tab w:val="right" w:leader="dot" w:pos="8306"/>
          <w:tab w:val="clear" w:pos="8296"/>
        </w:tabs>
      </w:pPr>
      <w:r>
        <w:rPr>
          <w:rFonts w:ascii="仿宋" w:hAnsi="仿宋" w:eastAsia="仿宋"/>
          <w:color w:val="auto"/>
          <w:highlight w:val="none"/>
        </w:rPr>
        <w:fldChar w:fldCharType="begin"/>
      </w:r>
      <w:r>
        <w:rPr>
          <w:rFonts w:ascii="仿宋" w:hAnsi="仿宋" w:eastAsia="仿宋"/>
          <w:highlight w:val="none"/>
        </w:rPr>
        <w:instrText xml:space="preserve"> HYPERLINK \l _Toc37097532 </w:instrText>
      </w:r>
      <w:r>
        <w:rPr>
          <w:rFonts w:ascii="仿宋" w:hAnsi="仿宋" w:eastAsia="仿宋"/>
          <w:highlight w:val="none"/>
        </w:rPr>
        <w:fldChar w:fldCharType="separate"/>
      </w:r>
      <w:r>
        <w:rPr>
          <w:rFonts w:hint="eastAsia"/>
        </w:rPr>
        <w:t>十、政府性基金预算财政拨款收入支出决算表</w:t>
      </w:r>
      <w:r>
        <w:tab/>
      </w:r>
      <w:r>
        <w:fldChar w:fldCharType="begin"/>
      </w:r>
      <w:r>
        <w:instrText xml:space="preserve"> PAGEREF _Toc37097532 \h </w:instrText>
      </w:r>
      <w:r>
        <w:fldChar w:fldCharType="separate"/>
      </w:r>
      <w:r>
        <w:t>66</w:t>
      </w:r>
      <w:r>
        <w:fldChar w:fldCharType="end"/>
      </w:r>
      <w:r>
        <w:rPr>
          <w:rFonts w:ascii="仿宋" w:hAnsi="仿宋" w:eastAsia="仿宋"/>
          <w:color w:val="auto"/>
          <w:highlight w:val="none"/>
        </w:rPr>
        <w:fldChar w:fldCharType="end"/>
      </w:r>
    </w:p>
    <w:p>
      <w:pPr>
        <w:pStyle w:val="14"/>
        <w:tabs>
          <w:tab w:val="right" w:leader="dot" w:pos="8306"/>
          <w:tab w:val="clear" w:pos="8296"/>
        </w:tabs>
      </w:pPr>
      <w:r>
        <w:rPr>
          <w:rFonts w:ascii="仿宋" w:hAnsi="仿宋" w:eastAsia="仿宋"/>
          <w:color w:val="auto"/>
          <w:highlight w:val="none"/>
        </w:rPr>
        <w:fldChar w:fldCharType="begin"/>
      </w:r>
      <w:r>
        <w:rPr>
          <w:rFonts w:ascii="仿宋" w:hAnsi="仿宋" w:eastAsia="仿宋"/>
          <w:highlight w:val="none"/>
        </w:rPr>
        <w:instrText xml:space="preserve"> HYPERLINK \l _Toc1365558023 </w:instrText>
      </w:r>
      <w:r>
        <w:rPr>
          <w:rFonts w:ascii="仿宋" w:hAnsi="仿宋" w:eastAsia="仿宋"/>
          <w:highlight w:val="none"/>
        </w:rPr>
        <w:fldChar w:fldCharType="separate"/>
      </w:r>
      <w:r>
        <w:rPr>
          <w:rFonts w:hint="eastAsia"/>
        </w:rPr>
        <w:t>十一、国有资本经营预算财政拨款收入支出决算表</w:t>
      </w:r>
      <w:r>
        <w:tab/>
      </w:r>
      <w:r>
        <w:fldChar w:fldCharType="begin"/>
      </w:r>
      <w:r>
        <w:instrText xml:space="preserve"> PAGEREF _Toc1365558023 \h </w:instrText>
      </w:r>
      <w:r>
        <w:fldChar w:fldCharType="separate"/>
      </w:r>
      <w:r>
        <w:t>66</w:t>
      </w:r>
      <w:r>
        <w:fldChar w:fldCharType="end"/>
      </w:r>
      <w:r>
        <w:rPr>
          <w:rFonts w:ascii="仿宋" w:hAnsi="仿宋" w:eastAsia="仿宋"/>
          <w:color w:val="auto"/>
          <w:highlight w:val="none"/>
        </w:rPr>
        <w:fldChar w:fldCharType="end"/>
      </w:r>
    </w:p>
    <w:p>
      <w:pPr>
        <w:pStyle w:val="14"/>
        <w:tabs>
          <w:tab w:val="right" w:leader="dot" w:pos="8306"/>
          <w:tab w:val="clear" w:pos="8296"/>
        </w:tabs>
      </w:pPr>
      <w:r>
        <w:rPr>
          <w:rFonts w:ascii="仿宋" w:hAnsi="仿宋" w:eastAsia="仿宋"/>
          <w:color w:val="auto"/>
          <w:highlight w:val="none"/>
        </w:rPr>
        <w:fldChar w:fldCharType="begin"/>
      </w:r>
      <w:r>
        <w:rPr>
          <w:rFonts w:ascii="仿宋" w:hAnsi="仿宋" w:eastAsia="仿宋"/>
          <w:highlight w:val="none"/>
        </w:rPr>
        <w:instrText xml:space="preserve"> HYPERLINK \l _Toc372629402 </w:instrText>
      </w:r>
      <w:r>
        <w:rPr>
          <w:rFonts w:ascii="仿宋" w:hAnsi="仿宋" w:eastAsia="仿宋"/>
          <w:highlight w:val="none"/>
        </w:rPr>
        <w:fldChar w:fldCharType="separate"/>
      </w:r>
      <w:r>
        <w:rPr>
          <w:rFonts w:hint="eastAsia"/>
        </w:rPr>
        <w:t>十二、</w:t>
      </w:r>
      <w:r>
        <w:rPr>
          <w:rFonts w:hint="eastAsia"/>
          <w:lang w:val="en-US" w:eastAsia="zh-CN"/>
        </w:rPr>
        <w:t>国有资本经营预算财政拨款支出决算表</w:t>
      </w:r>
      <w:r>
        <w:tab/>
      </w:r>
      <w:r>
        <w:fldChar w:fldCharType="begin"/>
      </w:r>
      <w:r>
        <w:instrText xml:space="preserve"> PAGEREF _Toc372629402 \h </w:instrText>
      </w:r>
      <w:r>
        <w:fldChar w:fldCharType="separate"/>
      </w:r>
      <w:r>
        <w:t>66</w:t>
      </w:r>
      <w:r>
        <w:fldChar w:fldCharType="end"/>
      </w:r>
      <w:r>
        <w:rPr>
          <w:rFonts w:ascii="仿宋" w:hAnsi="仿宋" w:eastAsia="仿宋"/>
          <w:color w:val="auto"/>
          <w:highlight w:val="none"/>
        </w:rPr>
        <w:fldChar w:fldCharType="end"/>
      </w:r>
    </w:p>
    <w:p>
      <w:pPr>
        <w:pStyle w:val="14"/>
        <w:tabs>
          <w:tab w:val="right" w:leader="dot" w:pos="8306"/>
          <w:tab w:val="clear" w:pos="8296"/>
        </w:tabs>
      </w:pPr>
      <w:r>
        <w:rPr>
          <w:rFonts w:ascii="仿宋" w:hAnsi="仿宋" w:eastAsia="仿宋"/>
          <w:color w:val="auto"/>
          <w:highlight w:val="none"/>
        </w:rPr>
        <w:fldChar w:fldCharType="begin"/>
      </w:r>
      <w:r>
        <w:rPr>
          <w:rFonts w:ascii="仿宋" w:hAnsi="仿宋" w:eastAsia="仿宋"/>
          <w:highlight w:val="none"/>
        </w:rPr>
        <w:instrText xml:space="preserve"> HYPERLINK \l _Toc1138870698 </w:instrText>
      </w:r>
      <w:r>
        <w:rPr>
          <w:rFonts w:ascii="仿宋" w:hAnsi="仿宋" w:eastAsia="仿宋"/>
          <w:highlight w:val="none"/>
        </w:rPr>
        <w:fldChar w:fldCharType="separate"/>
      </w:r>
      <w:r>
        <w:rPr>
          <w:rFonts w:hint="eastAsia"/>
        </w:rPr>
        <w:t>十三、财政拨款“三公”经费支出决算表</w:t>
      </w:r>
      <w:r>
        <w:tab/>
      </w:r>
      <w:r>
        <w:fldChar w:fldCharType="begin"/>
      </w:r>
      <w:r>
        <w:instrText xml:space="preserve"> PAGEREF _Toc1138870698 \h </w:instrText>
      </w:r>
      <w:r>
        <w:fldChar w:fldCharType="separate"/>
      </w:r>
      <w:r>
        <w:t>66</w:t>
      </w:r>
      <w:r>
        <w:fldChar w:fldCharType="end"/>
      </w:r>
      <w:r>
        <w:rPr>
          <w:rFonts w:ascii="仿宋" w:hAnsi="仿宋" w:eastAsia="仿宋"/>
          <w:color w:val="auto"/>
          <w:highlight w:val="none"/>
        </w:rPr>
        <w:fldChar w:fldCharType="end"/>
      </w:r>
    </w:p>
    <w:p>
      <w:pPr>
        <w:rPr>
          <w:rFonts w:ascii="Times New Roman" w:hAnsi="Times New Roman"/>
          <w:color w:val="auto"/>
          <w:highlight w:val="none"/>
        </w:rPr>
      </w:pPr>
      <w:r>
        <w:rPr>
          <w:rFonts w:ascii="仿宋" w:hAnsi="仿宋" w:eastAsia="仿宋"/>
          <w:color w:val="auto"/>
          <w:highlight w:val="none"/>
        </w:rPr>
        <w:fldChar w:fldCharType="end"/>
      </w:r>
    </w:p>
    <w:p>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sectPr>
          <w:footerReference r:id="rId6" w:type="first"/>
          <w:footerReference r:id="rId5" w:type="default"/>
          <w:pgSz w:w="11906" w:h="16838"/>
          <w:pgMar w:top="1440" w:right="1800" w:bottom="1440" w:left="1800" w:header="851" w:footer="992" w:gutter="0"/>
          <w:pgNumType w:fmt="decimal" w:start="1"/>
          <w:cols w:space="425" w:num="1"/>
          <w:docGrid w:type="lines" w:linePitch="312" w:charSpace="0"/>
        </w:sectPr>
      </w:pPr>
    </w:p>
    <w:p>
      <w:pPr>
        <w:pStyle w:val="3"/>
        <w:bidi w:val="0"/>
        <w:rPr>
          <w:rFonts w:hint="eastAsia"/>
        </w:rPr>
      </w:pPr>
      <w:bookmarkStart w:id="6" w:name="_Toc927952134"/>
      <w:r>
        <w:rPr>
          <w:rFonts w:hint="eastAsia"/>
        </w:rPr>
        <w:t>第一部分 部门概况</w:t>
      </w:r>
      <w:bookmarkEnd w:id="6"/>
    </w:p>
    <w:p>
      <w:pPr>
        <w:pStyle w:val="4"/>
        <w:numPr>
          <w:ilvl w:val="0"/>
          <w:numId w:val="1"/>
        </w:numPr>
        <w:rPr>
          <w:rFonts w:hint="eastAsia" w:ascii="黑体" w:hAnsi="黑体" w:eastAsia="黑体"/>
          <w:b w:val="0"/>
          <w:color w:val="auto"/>
          <w:highlight w:val="none"/>
          <w:lang w:eastAsia="zh-CN"/>
        </w:rPr>
      </w:pPr>
      <w:bookmarkStart w:id="7" w:name="_Toc24981"/>
      <w:r>
        <w:rPr>
          <w:rFonts w:hint="eastAsia" w:ascii="黑体" w:hAnsi="黑体" w:eastAsia="黑体"/>
          <w:b w:val="0"/>
          <w:color w:val="auto"/>
          <w:highlight w:val="none"/>
          <w:lang w:eastAsia="zh-CN"/>
        </w:rPr>
        <w:t>部门职责</w:t>
      </w:r>
      <w:bookmarkEnd w:id="7"/>
    </w:p>
    <w:p>
      <w:pPr>
        <w:pStyle w:val="2"/>
        <w:adjustRightInd w:val="0"/>
        <w:snapToGrid w:val="0"/>
        <w:spacing w:before="93" w:line="600" w:lineRule="exact"/>
        <w:ind w:firstLine="672" w:firstLineChars="210"/>
        <w:outlineLvl w:val="2"/>
        <w:rPr>
          <w:rFonts w:ascii="仿宋" w:hAnsi="仿宋" w:eastAsia="仿宋"/>
          <w:bCs/>
          <w:color w:val="000000"/>
          <w:sz w:val="32"/>
          <w:szCs w:val="32"/>
          <w:highlight w:val="none"/>
        </w:rPr>
      </w:pPr>
      <w:r>
        <w:rPr>
          <w:rFonts w:hint="eastAsia" w:ascii="仿宋" w:hAnsi="仿宋" w:eastAsia="仿宋"/>
          <w:bCs/>
          <w:color w:val="000000"/>
          <w:sz w:val="32"/>
          <w:szCs w:val="32"/>
          <w:highlight w:val="none"/>
          <w:lang w:eastAsia="zh-CN"/>
        </w:rPr>
        <w:t>（</w:t>
      </w:r>
      <w:bookmarkStart w:id="47" w:name="_GoBack"/>
      <w:bookmarkEnd w:id="47"/>
      <w:r>
        <w:rPr>
          <w:rFonts w:hint="eastAsia" w:ascii="仿宋" w:hAnsi="仿宋" w:eastAsia="仿宋"/>
          <w:bCs/>
          <w:color w:val="000000"/>
          <w:sz w:val="32"/>
          <w:szCs w:val="32"/>
          <w:highlight w:val="none"/>
          <w:lang w:eastAsia="zh-CN"/>
        </w:rPr>
        <w:t>一</w:t>
      </w:r>
      <w:r>
        <w:rPr>
          <w:rFonts w:hint="eastAsia" w:ascii="仿宋" w:hAnsi="仿宋" w:eastAsia="仿宋"/>
          <w:bCs/>
          <w:color w:val="000000"/>
          <w:sz w:val="32"/>
          <w:szCs w:val="32"/>
          <w:highlight w:val="none"/>
        </w:rPr>
        <w:t>）主要职能。</w:t>
      </w:r>
    </w:p>
    <w:p>
      <w:pPr>
        <w:pStyle w:val="2"/>
        <w:adjustRightInd w:val="0"/>
        <w:snapToGrid w:val="0"/>
        <w:spacing w:before="93" w:line="600" w:lineRule="exact"/>
        <w:ind w:firstLine="672" w:firstLineChars="210"/>
        <w:rPr>
          <w:rFonts w:ascii="仿宋" w:hAnsi="仿宋" w:eastAsia="仿宋"/>
          <w:color w:val="000000"/>
          <w:kern w:val="2"/>
          <w:sz w:val="32"/>
          <w:szCs w:val="32"/>
          <w:highlight w:val="none"/>
        </w:rPr>
      </w:pPr>
      <w:bookmarkStart w:id="8" w:name="_Toc79163604"/>
      <w:bookmarkStart w:id="9" w:name="_Toc15378446"/>
      <w:bookmarkStart w:id="10" w:name="_Toc15377199"/>
      <w:r>
        <w:rPr>
          <w:rFonts w:hint="eastAsia" w:ascii="仿宋" w:hAnsi="仿宋" w:eastAsia="仿宋"/>
          <w:color w:val="000000"/>
          <w:sz w:val="32"/>
          <w:szCs w:val="32"/>
          <w:highlight w:val="none"/>
        </w:rPr>
        <w:t>校长</w:t>
      </w:r>
      <w:r>
        <w:rPr>
          <w:highlight w:val="none"/>
        </w:rPr>
        <w:fldChar w:fldCharType="begin"/>
      </w:r>
      <w:r>
        <w:rPr>
          <w:highlight w:val="none"/>
        </w:rPr>
        <w:instrText xml:space="preserve"> HYPERLINK "https://www.baidu.com/s?wd=%E5%B2%97%E4%BD%8D%E8%81%8C%E8%B4%A3&amp;tn=44039180_cpr&amp;fenlei=mv6quAkxTZn0IZRqIHckPjm4nH00T1d-ujKWnj6LPvw-nyN9nH030ZwV5Hcvrjm3rH6sPfKWUMw85HfYnjn4nH6sgvPsT6KdThsqpZwYTjCEQLGCpyw9Uz4Bmy-bIi4WUvYETgN-TLwGUv3En1c1rj0kn1Ts" \t "_blank" </w:instrText>
      </w:r>
      <w:r>
        <w:rPr>
          <w:highlight w:val="none"/>
        </w:rPr>
        <w:fldChar w:fldCharType="separate"/>
      </w:r>
      <w:r>
        <w:rPr>
          <w:rFonts w:hint="eastAsia" w:ascii="仿宋" w:hAnsi="仿宋" w:eastAsia="仿宋"/>
          <w:color w:val="000000"/>
          <w:sz w:val="32"/>
          <w:szCs w:val="32"/>
          <w:highlight w:val="none"/>
        </w:rPr>
        <w:t>岗位职责</w:t>
      </w:r>
      <w:r>
        <w:rPr>
          <w:rFonts w:hint="eastAsia" w:ascii="仿宋" w:hAnsi="仿宋" w:eastAsia="仿宋"/>
          <w:color w:val="000000"/>
          <w:sz w:val="32"/>
          <w:szCs w:val="32"/>
          <w:highlight w:val="none"/>
        </w:rPr>
        <w:fldChar w:fldCharType="end"/>
      </w:r>
      <w:r>
        <w:rPr>
          <w:rFonts w:hint="eastAsia" w:ascii="仿宋" w:hAnsi="仿宋" w:eastAsia="仿宋"/>
          <w:color w:val="000000"/>
          <w:sz w:val="32"/>
          <w:szCs w:val="32"/>
          <w:highlight w:val="none"/>
        </w:rPr>
        <w:br w:type="textWrapping"/>
      </w:r>
      <w:r>
        <w:rPr>
          <w:rFonts w:hint="eastAsia" w:ascii="仿宋" w:hAnsi="仿宋" w:eastAsia="仿宋"/>
          <w:color w:val="000000"/>
          <w:sz w:val="32"/>
          <w:szCs w:val="32"/>
          <w:highlight w:val="none"/>
        </w:rPr>
        <w:t>1、执行</w:t>
      </w:r>
      <w:r>
        <w:rPr>
          <w:rFonts w:hint="eastAsia" w:ascii="仿宋" w:hAnsi="仿宋" w:eastAsia="仿宋"/>
          <w:color w:val="000000"/>
          <w:sz w:val="32"/>
          <w:szCs w:val="32"/>
          <w:highlight w:val="none"/>
          <w:lang w:eastAsia="zh-CN"/>
        </w:rPr>
        <w:t>校委会</w:t>
      </w:r>
      <w:r>
        <w:rPr>
          <w:rFonts w:hint="eastAsia" w:ascii="仿宋" w:hAnsi="仿宋" w:eastAsia="仿宋"/>
          <w:color w:val="000000"/>
          <w:sz w:val="32"/>
          <w:szCs w:val="32"/>
          <w:highlight w:val="none"/>
        </w:rPr>
        <w:t>或者其他形式决策机构的决定</w:t>
      </w:r>
      <w:r>
        <w:rPr>
          <w:rFonts w:hint="eastAsia" w:ascii="仿宋" w:hAnsi="仿宋" w:eastAsia="仿宋"/>
          <w:color w:val="000000"/>
          <w:sz w:val="32"/>
          <w:szCs w:val="32"/>
          <w:highlight w:val="none"/>
          <w:lang w:eastAsia="zh-CN"/>
        </w:rPr>
        <w:t>。</w:t>
      </w:r>
      <w:r>
        <w:rPr>
          <w:rFonts w:hint="eastAsia" w:ascii="仿宋" w:hAnsi="仿宋" w:eastAsia="仿宋"/>
          <w:color w:val="000000"/>
          <w:sz w:val="32"/>
          <w:szCs w:val="32"/>
          <w:highlight w:val="none"/>
        </w:rPr>
        <w:br w:type="textWrapping"/>
      </w:r>
      <w:r>
        <w:rPr>
          <w:rFonts w:hint="eastAsia" w:ascii="仿宋" w:hAnsi="仿宋" w:eastAsia="仿宋"/>
          <w:color w:val="000000"/>
          <w:sz w:val="32"/>
          <w:szCs w:val="32"/>
          <w:highlight w:val="none"/>
        </w:rPr>
        <w:t>2、实施发展规划，拟订年度工作计划、</w:t>
      </w:r>
      <w:r>
        <w:rPr>
          <w:highlight w:val="none"/>
        </w:rPr>
        <w:fldChar w:fldCharType="begin"/>
      </w:r>
      <w:r>
        <w:rPr>
          <w:highlight w:val="none"/>
        </w:rPr>
        <w:instrText xml:space="preserve"> HYPERLINK "https://www.baidu.com/s?wd=%E8%B4%A2%E5%8A%A1%E9%A2%84%E7%AE%97&amp;tn=44039180_cpr&amp;fenlei=mv6quAkxTZn0IZRqIHckPjm4nH00T1d-ujKWnj6LPvw-nyN9nH030ZwV5Hcvrjm3rH6sPfKWUMw85HfYnjn4nH6sgvPsT6KdThsqpZwYTjCEQLGCpyw9Uz4Bmy-bIi4WUvYETgN-TLwGUv3En1c1rj0kn1Ts" \t "_blank" </w:instrText>
      </w:r>
      <w:r>
        <w:rPr>
          <w:highlight w:val="none"/>
        </w:rPr>
        <w:fldChar w:fldCharType="separate"/>
      </w:r>
      <w:r>
        <w:rPr>
          <w:rFonts w:hint="eastAsia" w:ascii="仿宋" w:hAnsi="仿宋" w:eastAsia="仿宋"/>
          <w:color w:val="000000"/>
          <w:sz w:val="32"/>
          <w:szCs w:val="32"/>
          <w:highlight w:val="none"/>
        </w:rPr>
        <w:t>财务预算</w:t>
      </w:r>
      <w:r>
        <w:rPr>
          <w:rFonts w:hint="eastAsia" w:ascii="仿宋" w:hAnsi="仿宋" w:eastAsia="仿宋"/>
          <w:color w:val="000000"/>
          <w:sz w:val="32"/>
          <w:szCs w:val="32"/>
          <w:highlight w:val="none"/>
        </w:rPr>
        <w:fldChar w:fldCharType="end"/>
      </w:r>
      <w:r>
        <w:rPr>
          <w:rFonts w:hint="eastAsia" w:ascii="仿宋" w:hAnsi="仿宋" w:eastAsia="仿宋"/>
          <w:color w:val="000000"/>
          <w:sz w:val="32"/>
          <w:szCs w:val="32"/>
          <w:highlight w:val="none"/>
        </w:rPr>
        <w:t>和学校规章制度</w:t>
      </w:r>
      <w:r>
        <w:rPr>
          <w:rFonts w:hint="eastAsia" w:ascii="仿宋" w:hAnsi="仿宋" w:eastAsia="仿宋"/>
          <w:color w:val="000000"/>
          <w:sz w:val="32"/>
          <w:szCs w:val="32"/>
          <w:highlight w:val="none"/>
          <w:lang w:eastAsia="zh-CN"/>
        </w:rPr>
        <w:t>。</w:t>
      </w:r>
      <w:r>
        <w:rPr>
          <w:rFonts w:hint="eastAsia" w:ascii="仿宋" w:hAnsi="仿宋" w:eastAsia="仿宋"/>
          <w:color w:val="000000"/>
          <w:sz w:val="32"/>
          <w:szCs w:val="32"/>
          <w:highlight w:val="none"/>
        </w:rPr>
        <w:br w:type="textWrapping"/>
      </w:r>
      <w:r>
        <w:rPr>
          <w:rFonts w:hint="eastAsia" w:ascii="仿宋" w:hAnsi="仿宋" w:eastAsia="仿宋"/>
          <w:color w:val="000000"/>
          <w:sz w:val="32"/>
          <w:szCs w:val="32"/>
          <w:highlight w:val="none"/>
        </w:rPr>
        <w:t>3、聘任和解聘学校工作人员，实施奖惩</w:t>
      </w:r>
      <w:r>
        <w:rPr>
          <w:rFonts w:hint="eastAsia" w:ascii="仿宋" w:hAnsi="仿宋" w:eastAsia="仿宋"/>
          <w:color w:val="000000"/>
          <w:sz w:val="32"/>
          <w:szCs w:val="32"/>
          <w:highlight w:val="none"/>
          <w:lang w:eastAsia="zh-CN"/>
        </w:rPr>
        <w:t>。</w:t>
      </w:r>
      <w:r>
        <w:rPr>
          <w:rFonts w:hint="eastAsia" w:ascii="仿宋" w:hAnsi="仿宋" w:eastAsia="仿宋"/>
          <w:color w:val="000000"/>
          <w:sz w:val="32"/>
          <w:szCs w:val="32"/>
          <w:highlight w:val="none"/>
        </w:rPr>
        <w:t xml:space="preserve"> </w:t>
      </w:r>
      <w:r>
        <w:rPr>
          <w:rFonts w:hint="eastAsia" w:ascii="仿宋" w:hAnsi="仿宋" w:eastAsia="仿宋"/>
          <w:color w:val="000000"/>
          <w:sz w:val="32"/>
          <w:szCs w:val="32"/>
          <w:highlight w:val="none"/>
        </w:rPr>
        <w:br w:type="textWrapping"/>
      </w:r>
      <w:r>
        <w:rPr>
          <w:rFonts w:hint="eastAsia" w:ascii="仿宋" w:hAnsi="仿宋" w:eastAsia="仿宋"/>
          <w:color w:val="000000"/>
          <w:sz w:val="32"/>
          <w:szCs w:val="32"/>
          <w:highlight w:val="none"/>
        </w:rPr>
        <w:t>4、组织教育教学、科学研究活动，保证教育教学质量</w:t>
      </w:r>
      <w:r>
        <w:rPr>
          <w:rFonts w:hint="eastAsia" w:ascii="仿宋" w:hAnsi="仿宋" w:eastAsia="仿宋"/>
          <w:color w:val="000000"/>
          <w:sz w:val="32"/>
          <w:szCs w:val="32"/>
          <w:highlight w:val="none"/>
          <w:lang w:eastAsia="zh-CN"/>
        </w:rPr>
        <w:t>。</w:t>
      </w:r>
      <w:r>
        <w:rPr>
          <w:rFonts w:hint="eastAsia" w:ascii="仿宋" w:hAnsi="仿宋" w:eastAsia="仿宋"/>
          <w:color w:val="000000"/>
          <w:sz w:val="32"/>
          <w:szCs w:val="32"/>
          <w:highlight w:val="none"/>
        </w:rPr>
        <w:br w:type="textWrapping"/>
      </w:r>
      <w:r>
        <w:rPr>
          <w:rFonts w:hint="eastAsia" w:ascii="仿宋" w:hAnsi="仿宋" w:eastAsia="仿宋"/>
          <w:color w:val="000000"/>
          <w:sz w:val="32"/>
          <w:szCs w:val="32"/>
          <w:highlight w:val="none"/>
        </w:rPr>
        <w:t>5、负责学校日常管理工作</w:t>
      </w:r>
      <w:r>
        <w:rPr>
          <w:rFonts w:hint="eastAsia" w:ascii="仿宋" w:hAnsi="仿宋" w:eastAsia="仿宋"/>
          <w:color w:val="000000"/>
          <w:sz w:val="32"/>
          <w:szCs w:val="32"/>
          <w:highlight w:val="none"/>
          <w:lang w:eastAsia="zh-CN"/>
        </w:rPr>
        <w:t>。</w:t>
      </w:r>
      <w:r>
        <w:rPr>
          <w:rFonts w:hint="eastAsia" w:ascii="仿宋" w:hAnsi="仿宋" w:eastAsia="仿宋"/>
          <w:color w:val="000000"/>
          <w:sz w:val="32"/>
          <w:szCs w:val="32"/>
          <w:highlight w:val="none"/>
        </w:rPr>
        <w:br w:type="textWrapping"/>
      </w:r>
      <w:r>
        <w:rPr>
          <w:rFonts w:hint="eastAsia" w:ascii="仿宋" w:hAnsi="仿宋" w:eastAsia="仿宋"/>
          <w:color w:val="000000"/>
          <w:sz w:val="32"/>
          <w:szCs w:val="32"/>
          <w:highlight w:val="none"/>
        </w:rPr>
        <w:t xml:space="preserve">6、 </w:t>
      </w:r>
      <w:r>
        <w:rPr>
          <w:rFonts w:hint="eastAsia" w:ascii="仿宋" w:hAnsi="仿宋" w:eastAsia="仿宋"/>
          <w:color w:val="000000"/>
          <w:sz w:val="32"/>
          <w:szCs w:val="32"/>
          <w:highlight w:val="none"/>
          <w:lang w:eastAsia="zh-CN"/>
        </w:rPr>
        <w:t>校委会</w:t>
      </w:r>
      <w:r>
        <w:rPr>
          <w:rFonts w:hint="eastAsia" w:ascii="仿宋" w:hAnsi="仿宋" w:eastAsia="仿宋"/>
          <w:color w:val="000000"/>
          <w:sz w:val="32"/>
          <w:szCs w:val="32"/>
          <w:highlight w:val="none"/>
        </w:rPr>
        <w:t xml:space="preserve">或者其他形式决策机构的其他授权。 </w:t>
      </w:r>
      <w:r>
        <w:rPr>
          <w:rFonts w:hint="eastAsia" w:ascii="仿宋" w:hAnsi="仿宋" w:eastAsia="仿宋"/>
          <w:color w:val="000000"/>
          <w:sz w:val="32"/>
          <w:szCs w:val="32"/>
          <w:highlight w:val="none"/>
        </w:rPr>
        <w:br w:type="textWrapping"/>
      </w:r>
      <w:r>
        <w:rPr>
          <w:rFonts w:hint="eastAsia" w:ascii="仿宋" w:hAnsi="仿宋" w:eastAsia="仿宋"/>
          <w:color w:val="000000"/>
          <w:sz w:val="32"/>
          <w:szCs w:val="32"/>
          <w:highlight w:val="none"/>
        </w:rPr>
        <w:t>7、坚持依法办学，遵守学校章程，维护学校利益。</w:t>
      </w:r>
      <w:r>
        <w:rPr>
          <w:rFonts w:hint="eastAsia" w:ascii="仿宋" w:hAnsi="仿宋" w:eastAsia="仿宋"/>
          <w:color w:val="000000"/>
          <w:sz w:val="32"/>
          <w:szCs w:val="32"/>
          <w:highlight w:val="none"/>
        </w:rPr>
        <w:br w:type="textWrapping"/>
      </w:r>
      <w:r>
        <w:rPr>
          <w:rFonts w:hint="eastAsia" w:ascii="仿宋" w:hAnsi="仿宋" w:eastAsia="仿宋"/>
          <w:color w:val="000000"/>
          <w:sz w:val="32"/>
          <w:szCs w:val="32"/>
          <w:highlight w:val="none"/>
        </w:rPr>
        <w:t>8、合理配置学校“人、财、物、信息”资源，有效行使学校</w:t>
      </w:r>
      <w:r>
        <w:rPr>
          <w:highlight w:val="none"/>
        </w:rPr>
        <w:fldChar w:fldCharType="begin"/>
      </w:r>
      <w:r>
        <w:rPr>
          <w:highlight w:val="none"/>
        </w:rPr>
        <w:instrText xml:space="preserve"> HYPERLINK "https://www.baidu.com/s?wd=%E9%87%8D%E5%A4%A7%E4%BA%8B%E9%A1%B9&amp;tn=44039180_cpr&amp;fenlei=mv6quAkxTZn0IZRqIHckPjm4nH00T1d-ujKWnj6LPvw-nyN9nH030ZwV5Hcvrjm3rH6sPfKWUMw85HfYnjn4nH6sgvPsT6KdThsqpZwYTjCEQLGCpyw9Uz4Bmy-bIi4WUvYETgN-TLwGUv3En1c1rj0kn1Ts" \t "_blank" </w:instrText>
      </w:r>
      <w:r>
        <w:rPr>
          <w:highlight w:val="none"/>
        </w:rPr>
        <w:fldChar w:fldCharType="separate"/>
      </w:r>
      <w:r>
        <w:rPr>
          <w:rFonts w:hint="eastAsia" w:ascii="仿宋" w:hAnsi="仿宋" w:eastAsia="仿宋"/>
          <w:color w:val="000000"/>
          <w:sz w:val="32"/>
          <w:szCs w:val="32"/>
          <w:highlight w:val="none"/>
        </w:rPr>
        <w:t>重大事项</w:t>
      </w:r>
      <w:r>
        <w:rPr>
          <w:rFonts w:hint="eastAsia" w:ascii="仿宋" w:hAnsi="仿宋" w:eastAsia="仿宋"/>
          <w:color w:val="000000"/>
          <w:sz w:val="32"/>
          <w:szCs w:val="32"/>
          <w:highlight w:val="none"/>
        </w:rPr>
        <w:fldChar w:fldCharType="end"/>
      </w:r>
      <w:r>
        <w:rPr>
          <w:rFonts w:hint="eastAsia" w:ascii="仿宋" w:hAnsi="仿宋" w:eastAsia="仿宋"/>
          <w:color w:val="000000"/>
          <w:sz w:val="32"/>
          <w:szCs w:val="32"/>
          <w:highlight w:val="none"/>
        </w:rPr>
        <w:t>和重大改革措施的决策权。</w:t>
      </w:r>
      <w:r>
        <w:rPr>
          <w:rFonts w:hint="eastAsia" w:ascii="仿宋" w:hAnsi="仿宋" w:eastAsia="仿宋"/>
          <w:color w:val="000000"/>
          <w:sz w:val="32"/>
          <w:szCs w:val="32"/>
          <w:highlight w:val="none"/>
        </w:rPr>
        <w:br w:type="textWrapping"/>
      </w:r>
      <w:r>
        <w:rPr>
          <w:rFonts w:hint="eastAsia" w:ascii="仿宋" w:hAnsi="仿宋" w:eastAsia="仿宋"/>
          <w:color w:val="000000"/>
          <w:sz w:val="32"/>
          <w:szCs w:val="32"/>
          <w:highlight w:val="none"/>
        </w:rPr>
        <w:t>9、及时向上级</w:t>
      </w:r>
      <w:r>
        <w:rPr>
          <w:highlight w:val="none"/>
        </w:rPr>
        <w:fldChar w:fldCharType="begin"/>
      </w:r>
      <w:r>
        <w:rPr>
          <w:highlight w:val="none"/>
        </w:rPr>
        <w:instrText xml:space="preserve"> HYPERLINK "https://www.baidu.com/s?wd=%E6%95%99%E8%82%B2%E8%A1%8C%E6%94%BF%E9%83%A8%E9%97%A8&amp;tn=44039180_cpr&amp;fenlei=mv6quAkxTZn0IZRqIHckPjm4nH00T1d-ujKWnj6LPvw-nyN9nH030ZwV5Hcvrjm3rH6sPfKWUMw85HfYnjn4nH6sgvPsT6KdThsqpZwYTjCEQLGCpyw9Uz4Bmy-bIi4WUvYETgN-TLwGUv3En1c1rj0kn1Ts" \t "_blank" </w:instrText>
      </w:r>
      <w:r>
        <w:rPr>
          <w:highlight w:val="none"/>
        </w:rPr>
        <w:fldChar w:fldCharType="separate"/>
      </w:r>
      <w:r>
        <w:rPr>
          <w:rFonts w:hint="eastAsia" w:ascii="仿宋" w:hAnsi="仿宋" w:eastAsia="仿宋"/>
          <w:color w:val="000000"/>
          <w:sz w:val="32"/>
          <w:szCs w:val="32"/>
          <w:highlight w:val="none"/>
        </w:rPr>
        <w:t>教育行政部门</w:t>
      </w:r>
      <w:r>
        <w:rPr>
          <w:rFonts w:hint="eastAsia" w:ascii="仿宋" w:hAnsi="仿宋" w:eastAsia="仿宋"/>
          <w:color w:val="000000"/>
          <w:sz w:val="32"/>
          <w:szCs w:val="32"/>
          <w:highlight w:val="none"/>
        </w:rPr>
        <w:fldChar w:fldCharType="end"/>
      </w:r>
      <w:r>
        <w:rPr>
          <w:rFonts w:hint="eastAsia" w:ascii="仿宋" w:hAnsi="仿宋" w:eastAsia="仿宋"/>
          <w:color w:val="000000"/>
          <w:sz w:val="32"/>
          <w:szCs w:val="32"/>
          <w:highlight w:val="none"/>
        </w:rPr>
        <w:t>和学校决策机构汇报学校工作。</w:t>
      </w:r>
      <w:r>
        <w:rPr>
          <w:rFonts w:hint="eastAsia" w:ascii="仿宋" w:hAnsi="仿宋" w:eastAsia="仿宋"/>
          <w:color w:val="000000"/>
          <w:sz w:val="32"/>
          <w:szCs w:val="32"/>
          <w:highlight w:val="none"/>
        </w:rPr>
        <w:br w:type="textWrapping"/>
      </w:r>
      <w:r>
        <w:rPr>
          <w:rFonts w:hint="eastAsia" w:ascii="仿宋" w:hAnsi="仿宋" w:eastAsia="仿宋"/>
          <w:color w:val="000000"/>
          <w:sz w:val="32"/>
          <w:szCs w:val="32"/>
          <w:highlight w:val="none"/>
        </w:rPr>
        <w:t>10、维护教职工利益，保障教职工合法权益，以教职工和学生的人生幸福和</w:t>
      </w:r>
      <w:r>
        <w:rPr>
          <w:highlight w:val="none"/>
        </w:rPr>
        <w:fldChar w:fldCharType="begin"/>
      </w:r>
      <w:r>
        <w:rPr>
          <w:highlight w:val="none"/>
        </w:rPr>
        <w:instrText xml:space="preserve"> HYPERLINK "https://www.baidu.com/s?wd=%E7%94%9F%E5%91%BD%E8%B4%A8%E9%87%8F&amp;tn=44039180_cpr&amp;fenlei=mv6quAkxTZn0IZRqIHckPjm4nH00T1d-ujKWnj6LPvw-nyN9nH030ZwV5Hcvrjm3rH6sPfKWUMw85HfYnjn4nH6sgvPsT6KdThsqpZwYTjCEQLGCpyw9Uz4Bmy-bIi4WUvYETgN-TLwGUv3En1c1rj0kn1Ts" \t "_blank" </w:instrText>
      </w:r>
      <w:r>
        <w:rPr>
          <w:highlight w:val="none"/>
        </w:rPr>
        <w:fldChar w:fldCharType="separate"/>
      </w:r>
      <w:r>
        <w:rPr>
          <w:rFonts w:hint="eastAsia" w:ascii="仿宋" w:hAnsi="仿宋" w:eastAsia="仿宋"/>
          <w:color w:val="000000"/>
          <w:sz w:val="32"/>
          <w:szCs w:val="32"/>
          <w:highlight w:val="none"/>
        </w:rPr>
        <w:t>生命质量</w:t>
      </w:r>
      <w:r>
        <w:rPr>
          <w:rFonts w:hint="eastAsia" w:ascii="仿宋" w:hAnsi="仿宋" w:eastAsia="仿宋"/>
          <w:color w:val="000000"/>
          <w:sz w:val="32"/>
          <w:szCs w:val="32"/>
          <w:highlight w:val="none"/>
        </w:rPr>
        <w:fldChar w:fldCharType="end"/>
      </w:r>
      <w:r>
        <w:rPr>
          <w:rFonts w:hint="eastAsia" w:ascii="仿宋" w:hAnsi="仿宋" w:eastAsia="仿宋"/>
          <w:color w:val="000000"/>
          <w:sz w:val="32"/>
          <w:szCs w:val="32"/>
          <w:highlight w:val="none"/>
        </w:rPr>
        <w:t>作为关注焦点，建立信任，消除焦虑。</w:t>
      </w:r>
      <w:r>
        <w:rPr>
          <w:rFonts w:hint="eastAsia" w:ascii="仿宋" w:hAnsi="仿宋" w:eastAsia="仿宋"/>
          <w:color w:val="000000"/>
          <w:sz w:val="32"/>
          <w:szCs w:val="32"/>
          <w:highlight w:val="none"/>
        </w:rPr>
        <w:br w:type="textWrapping"/>
      </w:r>
      <w:r>
        <w:rPr>
          <w:rFonts w:hint="eastAsia" w:ascii="仿宋" w:hAnsi="仿宋" w:eastAsia="仿宋"/>
          <w:color w:val="000000"/>
          <w:sz w:val="32"/>
          <w:szCs w:val="32"/>
          <w:highlight w:val="none"/>
        </w:rPr>
        <w:t xml:space="preserve">11、尊重教职工的主人翁地位和民主管理、民主监督的权利，团结和依靠教职工办好学校。 </w:t>
      </w:r>
      <w:r>
        <w:rPr>
          <w:rFonts w:hint="eastAsia" w:ascii="仿宋" w:hAnsi="仿宋" w:eastAsia="仿宋"/>
          <w:color w:val="000000"/>
          <w:sz w:val="32"/>
          <w:szCs w:val="32"/>
          <w:highlight w:val="none"/>
        </w:rPr>
        <w:br w:type="textWrapping"/>
      </w:r>
      <w:r>
        <w:rPr>
          <w:rFonts w:hint="eastAsia" w:ascii="仿宋" w:hAnsi="仿宋" w:eastAsia="仿宋"/>
          <w:color w:val="000000"/>
          <w:sz w:val="32"/>
          <w:szCs w:val="32"/>
          <w:highlight w:val="none"/>
        </w:rPr>
        <w:t xml:space="preserve">    学校法定代表人职责</w:t>
      </w:r>
      <w:r>
        <w:rPr>
          <w:rFonts w:hint="eastAsia" w:ascii="仿宋" w:hAnsi="仿宋" w:eastAsia="仿宋"/>
          <w:color w:val="000000"/>
          <w:sz w:val="32"/>
          <w:szCs w:val="32"/>
          <w:highlight w:val="none"/>
        </w:rPr>
        <w:br w:type="textWrapping"/>
      </w:r>
      <w:r>
        <w:rPr>
          <w:rFonts w:hint="eastAsia" w:ascii="仿宋" w:hAnsi="仿宋" w:eastAsia="仿宋"/>
          <w:color w:val="000000"/>
          <w:sz w:val="32"/>
          <w:szCs w:val="32"/>
          <w:highlight w:val="none"/>
        </w:rPr>
        <w:t>1、法定代表人由</w:t>
      </w:r>
      <w:r>
        <w:rPr>
          <w:rFonts w:hint="eastAsia" w:ascii="仿宋" w:hAnsi="仿宋" w:eastAsia="仿宋"/>
          <w:color w:val="000000"/>
          <w:sz w:val="32"/>
          <w:szCs w:val="32"/>
          <w:highlight w:val="none"/>
          <w:lang w:eastAsia="zh-CN"/>
        </w:rPr>
        <w:t>校长</w:t>
      </w:r>
      <w:r>
        <w:rPr>
          <w:rFonts w:hint="eastAsia" w:ascii="仿宋" w:hAnsi="仿宋" w:eastAsia="仿宋"/>
          <w:color w:val="000000"/>
          <w:sz w:val="32"/>
          <w:szCs w:val="32"/>
          <w:highlight w:val="none"/>
        </w:rPr>
        <w:t xml:space="preserve">担任，并在章程中载明。 </w:t>
      </w:r>
      <w:r>
        <w:rPr>
          <w:rFonts w:hint="eastAsia" w:ascii="仿宋" w:hAnsi="仿宋" w:eastAsia="仿宋"/>
          <w:color w:val="000000"/>
          <w:sz w:val="32"/>
          <w:szCs w:val="32"/>
          <w:highlight w:val="none"/>
        </w:rPr>
        <w:br w:type="textWrapping"/>
      </w:r>
      <w:r>
        <w:rPr>
          <w:rFonts w:hint="eastAsia" w:ascii="仿宋" w:hAnsi="仿宋" w:eastAsia="仿宋"/>
          <w:color w:val="000000"/>
          <w:sz w:val="32"/>
          <w:szCs w:val="32"/>
          <w:highlight w:val="none"/>
        </w:rPr>
        <w:t xml:space="preserve">2、法定代表人代表学校签署文件和合同。 </w:t>
      </w:r>
      <w:r>
        <w:rPr>
          <w:rFonts w:hint="eastAsia" w:ascii="仿宋" w:hAnsi="仿宋" w:eastAsia="仿宋"/>
          <w:color w:val="000000"/>
          <w:sz w:val="32"/>
          <w:szCs w:val="32"/>
          <w:highlight w:val="none"/>
        </w:rPr>
        <w:br w:type="textWrapping"/>
      </w:r>
      <w:r>
        <w:rPr>
          <w:rFonts w:hint="eastAsia" w:ascii="仿宋" w:hAnsi="仿宋" w:eastAsia="仿宋"/>
          <w:color w:val="000000"/>
          <w:sz w:val="32"/>
          <w:szCs w:val="32"/>
          <w:highlight w:val="none"/>
        </w:rPr>
        <w:t>3、法定代表人的职务行为，必须根据</w:t>
      </w:r>
      <w:r>
        <w:rPr>
          <w:rFonts w:hint="eastAsia" w:ascii="仿宋" w:hAnsi="仿宋" w:eastAsia="仿宋"/>
          <w:color w:val="000000"/>
          <w:sz w:val="32"/>
          <w:szCs w:val="32"/>
          <w:highlight w:val="none"/>
          <w:lang w:eastAsia="zh-CN"/>
        </w:rPr>
        <w:t>校委会</w:t>
      </w:r>
      <w:r>
        <w:rPr>
          <w:rFonts w:hint="eastAsia" w:ascii="仿宋" w:hAnsi="仿宋" w:eastAsia="仿宋"/>
          <w:color w:val="000000"/>
          <w:sz w:val="32"/>
          <w:szCs w:val="32"/>
          <w:highlight w:val="none"/>
        </w:rPr>
        <w:t>或其他形式决策机构的决议，否则由此引起的法律后果由其自行承担。</w:t>
      </w:r>
      <w:r>
        <w:rPr>
          <w:rFonts w:hint="eastAsia" w:ascii="仿宋" w:hAnsi="仿宋" w:eastAsia="仿宋"/>
          <w:color w:val="000000"/>
          <w:sz w:val="32"/>
          <w:szCs w:val="32"/>
          <w:highlight w:val="none"/>
        </w:rPr>
        <w:br w:type="textWrapping"/>
      </w:r>
      <w:r>
        <w:rPr>
          <w:rFonts w:hint="eastAsia" w:ascii="仿宋" w:hAnsi="仿宋" w:eastAsia="仿宋"/>
          <w:color w:val="000000"/>
          <w:sz w:val="32"/>
          <w:szCs w:val="32"/>
          <w:highlight w:val="none"/>
        </w:rPr>
        <w:t>4、法定代表人应当带头遵守学校章程，成为</w:t>
      </w:r>
      <w:r>
        <w:rPr>
          <w:highlight w:val="none"/>
        </w:rPr>
        <w:fldChar w:fldCharType="begin"/>
      </w:r>
      <w:r>
        <w:rPr>
          <w:highlight w:val="none"/>
        </w:rPr>
        <w:instrText xml:space="preserve"> HYPERLINK "https://www.baidu.com/s?wd=%E9%81%B5%E7%BA%AA%E5%AE%88%E6%B3%95&amp;tn=44039180_cpr&amp;fenlei=mv6quAkxTZn0IZRqIHckPjm4nH00T1d-ujKWnj6LPvw-nyN9nH030ZwV5Hcvrjm3rH6sPfKWUMw85HfYnjn4nH6sgvPsT6KdThsqpZwYTjCEQLGCpyw9Uz4Bmy-bIi4WUvYETgN-TLwGUv3En1c1rj0kn1Ts" \t "_blank" </w:instrText>
      </w:r>
      <w:r>
        <w:rPr>
          <w:highlight w:val="none"/>
        </w:rPr>
        <w:fldChar w:fldCharType="separate"/>
      </w:r>
      <w:r>
        <w:rPr>
          <w:rFonts w:hint="eastAsia" w:ascii="仿宋" w:hAnsi="仿宋" w:eastAsia="仿宋"/>
          <w:color w:val="000000"/>
          <w:sz w:val="32"/>
          <w:szCs w:val="32"/>
          <w:highlight w:val="none"/>
        </w:rPr>
        <w:t>遵纪守法</w:t>
      </w:r>
      <w:r>
        <w:rPr>
          <w:rFonts w:hint="eastAsia" w:ascii="仿宋" w:hAnsi="仿宋" w:eastAsia="仿宋"/>
          <w:color w:val="000000"/>
          <w:sz w:val="32"/>
          <w:szCs w:val="32"/>
          <w:highlight w:val="none"/>
        </w:rPr>
        <w:fldChar w:fldCharType="end"/>
      </w:r>
      <w:r>
        <w:rPr>
          <w:rFonts w:hint="eastAsia" w:ascii="仿宋" w:hAnsi="仿宋" w:eastAsia="仿宋"/>
          <w:color w:val="000000"/>
          <w:sz w:val="32"/>
          <w:szCs w:val="32"/>
          <w:highlight w:val="none"/>
        </w:rPr>
        <w:t xml:space="preserve">的表率。 </w:t>
      </w:r>
      <w:r>
        <w:rPr>
          <w:rFonts w:hint="eastAsia" w:ascii="仿宋" w:hAnsi="仿宋" w:eastAsia="仿宋"/>
          <w:color w:val="000000"/>
          <w:sz w:val="32"/>
          <w:szCs w:val="32"/>
          <w:highlight w:val="none"/>
        </w:rPr>
        <w:br w:type="textWrapping"/>
      </w:r>
      <w:r>
        <w:rPr>
          <w:rFonts w:hint="eastAsia" w:ascii="仿宋" w:hAnsi="仿宋" w:eastAsia="仿宋"/>
          <w:color w:val="000000"/>
          <w:sz w:val="32"/>
          <w:szCs w:val="32"/>
          <w:highlight w:val="none"/>
        </w:rPr>
        <w:t>5、法定代表</w:t>
      </w:r>
      <w:r>
        <w:rPr>
          <w:rFonts w:hint="eastAsia" w:ascii="仿宋" w:hAnsi="仿宋" w:eastAsia="仿宋"/>
          <w:color w:val="000000"/>
          <w:sz w:val="32"/>
          <w:szCs w:val="32"/>
          <w:highlight w:val="none"/>
          <w:lang w:eastAsia="zh-CN"/>
        </w:rPr>
        <w:t>人</w:t>
      </w:r>
      <w:r>
        <w:rPr>
          <w:rFonts w:hint="eastAsia" w:ascii="仿宋" w:hAnsi="仿宋" w:eastAsia="仿宋"/>
          <w:color w:val="000000"/>
          <w:sz w:val="32"/>
          <w:szCs w:val="32"/>
          <w:highlight w:val="none"/>
        </w:rPr>
        <w:t>是学校安全工作的第一责任人。法定代表人在其分工范围内必须采取切实有效措施，确保师生的身心健康。</w:t>
      </w:r>
      <w:r>
        <w:rPr>
          <w:rFonts w:hint="eastAsia" w:ascii="仿宋" w:hAnsi="仿宋" w:eastAsia="仿宋"/>
          <w:color w:val="000000"/>
          <w:sz w:val="32"/>
          <w:szCs w:val="32"/>
          <w:highlight w:val="none"/>
        </w:rPr>
        <w:br w:type="textWrapping"/>
      </w:r>
      <w:r>
        <w:rPr>
          <w:rFonts w:hint="eastAsia" w:ascii="仿宋" w:hAnsi="仿宋" w:eastAsia="仿宋"/>
          <w:color w:val="000000"/>
          <w:sz w:val="32"/>
          <w:szCs w:val="32"/>
          <w:highlight w:val="none"/>
        </w:rPr>
        <w:t>6、法定代表人必须代表学校自觉接受</w:t>
      </w:r>
      <w:r>
        <w:rPr>
          <w:highlight w:val="none"/>
        </w:rPr>
        <w:fldChar w:fldCharType="begin"/>
      </w:r>
      <w:r>
        <w:rPr>
          <w:highlight w:val="none"/>
        </w:rPr>
        <w:instrText xml:space="preserve"> HYPERLINK "https://www.baidu.com/s?wd=%E6%95%99%E8%82%B2%E8%A1%8C%E6%94%BF%E9%83%A8%E9%97%A8&amp;tn=44039180_cpr&amp;fenlei=mv6quAkxTZn0IZRqIHckPjm4nH00T1d-ujKWnj6LPvw-nyN9nH030ZwV5Hcvrjm3rH6sPfKWUMw85HfYnjn4nH6sgvPsT6KdThsqpZwYTjCEQLGCpyw9Uz4Bmy-bIi4WUvYETgN-TLwGUv3En1c1rj0kn1Ts" \t "_blank" </w:instrText>
      </w:r>
      <w:r>
        <w:rPr>
          <w:highlight w:val="none"/>
        </w:rPr>
        <w:fldChar w:fldCharType="separate"/>
      </w:r>
      <w:r>
        <w:rPr>
          <w:rFonts w:hint="eastAsia" w:ascii="仿宋" w:hAnsi="仿宋" w:eastAsia="仿宋"/>
          <w:color w:val="000000"/>
          <w:sz w:val="32"/>
          <w:szCs w:val="32"/>
          <w:highlight w:val="none"/>
        </w:rPr>
        <w:t>教育行政部门</w:t>
      </w:r>
      <w:r>
        <w:rPr>
          <w:rFonts w:hint="eastAsia" w:ascii="仿宋" w:hAnsi="仿宋" w:eastAsia="仿宋"/>
          <w:color w:val="000000"/>
          <w:sz w:val="32"/>
          <w:szCs w:val="32"/>
          <w:highlight w:val="none"/>
        </w:rPr>
        <w:fldChar w:fldCharType="end"/>
      </w:r>
      <w:r>
        <w:rPr>
          <w:rFonts w:hint="eastAsia" w:ascii="仿宋" w:hAnsi="仿宋" w:eastAsia="仿宋"/>
          <w:color w:val="000000"/>
          <w:sz w:val="32"/>
          <w:szCs w:val="32"/>
          <w:highlight w:val="none"/>
        </w:rPr>
        <w:t xml:space="preserve">的监督管理，主动汇报学校各项工作情况。 </w:t>
      </w:r>
      <w:r>
        <w:rPr>
          <w:rFonts w:hint="eastAsia" w:ascii="仿宋" w:hAnsi="仿宋" w:eastAsia="仿宋"/>
          <w:color w:val="000000"/>
          <w:sz w:val="32"/>
          <w:szCs w:val="32"/>
          <w:highlight w:val="none"/>
        </w:rPr>
        <w:br w:type="textWrapping"/>
      </w:r>
      <w:r>
        <w:rPr>
          <w:rFonts w:hint="eastAsia" w:ascii="仿宋" w:hAnsi="仿宋" w:eastAsia="仿宋"/>
          <w:color w:val="000000"/>
          <w:sz w:val="32"/>
          <w:szCs w:val="32"/>
          <w:highlight w:val="none"/>
        </w:rPr>
        <w:t xml:space="preserve">   门卫保安</w:t>
      </w:r>
      <w:r>
        <w:rPr>
          <w:highlight w:val="none"/>
        </w:rPr>
        <w:fldChar w:fldCharType="begin"/>
      </w:r>
      <w:r>
        <w:rPr>
          <w:highlight w:val="none"/>
        </w:rPr>
        <w:instrText xml:space="preserve"> HYPERLINK "https://www.baidu.com/s?wd=%E5%B7%A5%E4%BD%9C%E8%81%8C%E8%B4%A3&amp;tn=44039180_cpr&amp;fenlei=mv6quAkxTZn0IZRqIHckPjm4nH00T1d-ujKWnj6LPvw-nyN9nH030ZwV5Hcvrjm3rH6sPfKWUMw85HfYnjn4nH6sgvPsT6KdThsqpZwYTjCEQLGCpyw9Uz4Bmy-bIi4WUvYETgN-TLwGUv3En1c1rj0kn1Ts" \t "_blank" </w:instrText>
      </w:r>
      <w:r>
        <w:rPr>
          <w:highlight w:val="none"/>
        </w:rPr>
        <w:fldChar w:fldCharType="separate"/>
      </w:r>
      <w:r>
        <w:rPr>
          <w:rFonts w:hint="eastAsia" w:ascii="仿宋" w:hAnsi="仿宋" w:eastAsia="仿宋"/>
          <w:color w:val="000000"/>
          <w:sz w:val="32"/>
          <w:szCs w:val="32"/>
          <w:highlight w:val="none"/>
        </w:rPr>
        <w:t>工作职责</w:t>
      </w:r>
      <w:r>
        <w:rPr>
          <w:rFonts w:hint="eastAsia" w:ascii="仿宋" w:hAnsi="仿宋" w:eastAsia="仿宋"/>
          <w:color w:val="000000"/>
          <w:sz w:val="32"/>
          <w:szCs w:val="32"/>
          <w:highlight w:val="none"/>
        </w:rPr>
        <w:fldChar w:fldCharType="end"/>
      </w:r>
      <w:r>
        <w:rPr>
          <w:rFonts w:hint="eastAsia" w:ascii="仿宋" w:hAnsi="仿宋" w:eastAsia="仿宋"/>
          <w:color w:val="000000"/>
          <w:sz w:val="32"/>
          <w:szCs w:val="32"/>
          <w:highlight w:val="none"/>
        </w:rPr>
        <w:br w:type="textWrapping"/>
      </w:r>
      <w:r>
        <w:rPr>
          <w:rFonts w:hint="eastAsia" w:ascii="仿宋" w:hAnsi="仿宋" w:eastAsia="仿宋"/>
          <w:color w:val="000000"/>
          <w:sz w:val="32"/>
          <w:szCs w:val="32"/>
          <w:highlight w:val="none"/>
        </w:rPr>
        <w:t xml:space="preserve">1、实行二十四小时值班制度，按时到岗在位，不擅自离岗。 </w:t>
      </w:r>
      <w:r>
        <w:rPr>
          <w:rFonts w:hint="eastAsia" w:ascii="仿宋" w:hAnsi="仿宋" w:eastAsia="仿宋"/>
          <w:color w:val="000000"/>
          <w:sz w:val="32"/>
          <w:szCs w:val="32"/>
          <w:highlight w:val="none"/>
        </w:rPr>
        <w:br w:type="textWrapping"/>
      </w:r>
      <w:r>
        <w:rPr>
          <w:rFonts w:hint="eastAsia" w:ascii="仿宋" w:hAnsi="仿宋" w:eastAsia="仿宋"/>
          <w:color w:val="000000"/>
          <w:sz w:val="32"/>
          <w:szCs w:val="32"/>
          <w:highlight w:val="none"/>
        </w:rPr>
        <w:t>2、上下班做好交接，防止工作疏漏。</w:t>
      </w:r>
      <w:r>
        <w:rPr>
          <w:rFonts w:hint="eastAsia" w:ascii="仿宋" w:hAnsi="仿宋" w:eastAsia="仿宋"/>
          <w:color w:val="000000"/>
          <w:sz w:val="32"/>
          <w:szCs w:val="32"/>
          <w:highlight w:val="none"/>
        </w:rPr>
        <w:br w:type="textWrapping"/>
      </w:r>
      <w:r>
        <w:rPr>
          <w:rFonts w:hint="eastAsia" w:ascii="仿宋" w:hAnsi="仿宋" w:eastAsia="仿宋"/>
          <w:color w:val="000000"/>
          <w:sz w:val="32"/>
          <w:szCs w:val="32"/>
          <w:highlight w:val="none"/>
        </w:rPr>
        <w:t>3、严格外来人员登记制度，不随便允许外来人员入校。</w:t>
      </w:r>
      <w:r>
        <w:rPr>
          <w:rFonts w:hint="eastAsia" w:ascii="仿宋" w:hAnsi="仿宋" w:eastAsia="仿宋"/>
          <w:color w:val="000000"/>
          <w:sz w:val="32"/>
          <w:szCs w:val="32"/>
          <w:highlight w:val="none"/>
        </w:rPr>
        <w:br w:type="textWrapping"/>
      </w:r>
      <w:r>
        <w:rPr>
          <w:rFonts w:hint="eastAsia" w:ascii="仿宋" w:hAnsi="仿宋" w:eastAsia="仿宋"/>
          <w:color w:val="000000"/>
          <w:sz w:val="32"/>
          <w:szCs w:val="32"/>
          <w:highlight w:val="none"/>
        </w:rPr>
        <w:t xml:space="preserve">4、严格学生出入校管理，在校期间学生离校必须凭班主任签单方可同意离校。 </w:t>
      </w:r>
      <w:r>
        <w:rPr>
          <w:rFonts w:hint="eastAsia" w:ascii="仿宋" w:hAnsi="仿宋" w:eastAsia="仿宋"/>
          <w:color w:val="000000"/>
          <w:sz w:val="32"/>
          <w:szCs w:val="32"/>
          <w:highlight w:val="none"/>
        </w:rPr>
        <w:br w:type="textWrapping"/>
      </w:r>
      <w:r>
        <w:rPr>
          <w:rFonts w:hint="eastAsia" w:ascii="仿宋" w:hAnsi="仿宋" w:eastAsia="仿宋"/>
          <w:color w:val="000000"/>
          <w:sz w:val="32"/>
          <w:szCs w:val="32"/>
          <w:highlight w:val="none"/>
        </w:rPr>
        <w:t>5、晚间值班必须按时巡查，检查门窗、电器的关闭情况，早上按时开启有关设施。</w:t>
      </w:r>
      <w:r>
        <w:rPr>
          <w:rFonts w:hint="eastAsia" w:ascii="仿宋" w:hAnsi="仿宋" w:eastAsia="仿宋"/>
          <w:color w:val="000000"/>
          <w:sz w:val="32"/>
          <w:szCs w:val="32"/>
          <w:highlight w:val="none"/>
        </w:rPr>
        <w:br w:type="textWrapping"/>
      </w:r>
      <w:r>
        <w:rPr>
          <w:rFonts w:hint="eastAsia" w:ascii="仿宋" w:hAnsi="仿宋" w:eastAsia="仿宋"/>
          <w:color w:val="000000"/>
          <w:sz w:val="32"/>
          <w:szCs w:val="32"/>
          <w:highlight w:val="none"/>
        </w:rPr>
        <w:t>6、保持仪表端正，着装上岗。</w:t>
      </w:r>
      <w:r>
        <w:rPr>
          <w:rFonts w:hint="eastAsia" w:ascii="仿宋" w:hAnsi="仿宋" w:eastAsia="仿宋"/>
          <w:color w:val="000000"/>
          <w:sz w:val="32"/>
          <w:szCs w:val="32"/>
          <w:highlight w:val="none"/>
        </w:rPr>
        <w:br w:type="textWrapping"/>
      </w:r>
      <w:r>
        <w:rPr>
          <w:rFonts w:hint="eastAsia" w:ascii="仿宋" w:hAnsi="仿宋" w:eastAsia="仿宋"/>
          <w:color w:val="000000"/>
          <w:sz w:val="32"/>
          <w:szCs w:val="32"/>
          <w:highlight w:val="none"/>
        </w:rPr>
        <w:t>7、接待热情、待人有礼。</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教师岗位职责教师职业道德要求</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—、依法执教。学习和宣传马列主义、毛泽东思想和邓小平同志建设中国特色社会主义理论，拥护党的基本路线，全面贯彻</w:t>
      </w:r>
      <w:r>
        <w:rPr>
          <w:rFonts w:hint="eastAsia" w:ascii="仿宋" w:hAnsi="仿宋" w:eastAsia="仿宋"/>
          <w:color w:val="000000"/>
          <w:sz w:val="32"/>
          <w:szCs w:val="32"/>
          <w:highlight w:val="none"/>
          <w:lang w:eastAsia="zh-CN"/>
        </w:rPr>
        <w:t>党的</w:t>
      </w:r>
      <w:r>
        <w:rPr>
          <w:rFonts w:ascii="仿宋" w:hAnsi="仿宋" w:eastAsia="仿宋"/>
          <w:color w:val="000000"/>
          <w:sz w:val="32"/>
          <w:szCs w:val="32"/>
          <w:highlight w:val="none"/>
        </w:rPr>
        <w:t>教育方针，自觉遵守《</w:t>
      </w:r>
      <w:r>
        <w:rPr>
          <w:rFonts w:hint="eastAsia" w:ascii="仿宋" w:hAnsi="仿宋" w:eastAsia="仿宋"/>
          <w:color w:val="000000"/>
          <w:sz w:val="32"/>
          <w:szCs w:val="32"/>
          <w:highlight w:val="none"/>
          <w:lang w:eastAsia="zh-CN"/>
        </w:rPr>
        <w:t>中华人民共和国</w:t>
      </w:r>
      <w:r>
        <w:rPr>
          <w:rFonts w:ascii="仿宋" w:hAnsi="仿宋" w:eastAsia="仿宋"/>
          <w:color w:val="000000"/>
          <w:sz w:val="32"/>
          <w:szCs w:val="32"/>
          <w:highlight w:val="none"/>
        </w:rPr>
        <w:t>教师法》等法律法规，在教育教学中同党和国家的方针政策保持一致、不得有违背党和国家方针、政策的言行。</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二、爱岗敬业。热爱教育，热爱学校。尽心尽责、教书育人。注意培养学生具有良好的思想品德。认真备课上课，认真批改作业，不敷衍塞责，不传播有害学生身心健康的思想。</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三、热爱学生。关心爱护全体学生，尊重学生的人格，平等公正对待学生。对学生严格要求、耐心教导，不讽刺、挖苦、歧视学生，不体罚或变相体罚学生，保护学生合法权益，促进学生全面、主动、健康发展。</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四、严谨治学。树立优良学风，刻苦钻研业务，不断学习新知识，探索教育教学规律、改进教育教学方法，提高教育教学和科研水平。</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五、团结协作。谦虚谨慎、尊重同志，互相学习、相互帮助，维护其他教师在学生中的威信。关心集体，维护学校荣誉，共创文明校风。</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六、尊重家长。主动与学生家长联系，认真听取意见和建议，取得支持和配合。积极宣传科学的教育思想和方法，不训斥、不指责学生家长。</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七、廉洁从教。坚守高尚情操，发扬奉献精神，自觉抵制社会不良风气影响，不得</w:t>
      </w:r>
      <w:r>
        <w:rPr>
          <w:rFonts w:hint="eastAsia" w:ascii="仿宋" w:hAnsi="仿宋" w:eastAsia="仿宋"/>
          <w:color w:val="000000"/>
          <w:sz w:val="32"/>
          <w:szCs w:val="32"/>
          <w:highlight w:val="none"/>
          <w:lang w:eastAsia="zh-CN"/>
        </w:rPr>
        <w:t>利</w:t>
      </w:r>
      <w:r>
        <w:rPr>
          <w:rFonts w:ascii="仿宋" w:hAnsi="仿宋" w:eastAsia="仿宋"/>
          <w:color w:val="000000"/>
          <w:sz w:val="32"/>
          <w:szCs w:val="32"/>
          <w:highlight w:val="none"/>
        </w:rPr>
        <w:t>用职责之便谋取私利。</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八、为人师表。模范遵守社会公德，衣着整洁得体，语言规范健康。举止文明礼貌，严于律己，作风正派，以身作</w:t>
      </w:r>
      <w:r>
        <w:rPr>
          <w:rFonts w:hint="eastAsia" w:ascii="仿宋" w:hAnsi="仿宋" w:eastAsia="仿宋"/>
          <w:color w:val="000000"/>
          <w:sz w:val="32"/>
          <w:szCs w:val="32"/>
          <w:highlight w:val="none"/>
          <w:lang w:eastAsia="zh-CN"/>
        </w:rPr>
        <w:t>则</w:t>
      </w:r>
      <w:r>
        <w:rPr>
          <w:rFonts w:ascii="仿宋" w:hAnsi="仿宋" w:eastAsia="仿宋"/>
          <w:color w:val="000000"/>
          <w:sz w:val="32"/>
          <w:szCs w:val="32"/>
          <w:highlight w:val="none"/>
        </w:rPr>
        <w:t>，注重身教。</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班主任职责</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班主任是一个班级学生的组织者和</w:t>
      </w:r>
      <w:r>
        <w:rPr>
          <w:highlight w:val="none"/>
        </w:rPr>
        <w:fldChar w:fldCharType="begin"/>
      </w:r>
      <w:r>
        <w:rPr>
          <w:highlight w:val="none"/>
        </w:rPr>
        <w:instrText xml:space="preserve"> HYPERLINK "http://www.5ykj.com/Article/" \t "_blank" </w:instrText>
      </w:r>
      <w:r>
        <w:rPr>
          <w:highlight w:val="none"/>
        </w:rPr>
        <w:fldChar w:fldCharType="separate"/>
      </w:r>
      <w:r>
        <w:rPr>
          <w:rFonts w:ascii="仿宋" w:hAnsi="仿宋" w:eastAsia="仿宋"/>
          <w:color w:val="000000"/>
          <w:sz w:val="32"/>
          <w:szCs w:val="32"/>
          <w:highlight w:val="none"/>
        </w:rPr>
        <w:t>领导</w:t>
      </w:r>
      <w:r>
        <w:rPr>
          <w:rFonts w:ascii="仿宋" w:hAnsi="仿宋" w:eastAsia="仿宋"/>
          <w:color w:val="000000"/>
          <w:sz w:val="32"/>
          <w:szCs w:val="32"/>
          <w:highlight w:val="none"/>
        </w:rPr>
        <w:fldChar w:fldCharType="end"/>
      </w:r>
      <w:r>
        <w:rPr>
          <w:rFonts w:ascii="仿宋" w:hAnsi="仿宋" w:eastAsia="仿宋"/>
          <w:color w:val="000000"/>
          <w:sz w:val="32"/>
          <w:szCs w:val="32"/>
          <w:highlight w:val="none"/>
        </w:rPr>
        <w:t>者，是学校对学生进行思想政治教育工作的骨干力量，是联系各科教学的纽带，是沟通学校、家庭、社会的桥梁。上级部门和学校对学生的各种要求，都要通过班主任去贯彻落实。班主任首先要“为人师表”，热爱学生，班主任工作必须做到：</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1、努力贯彻党的教育方针，提高学生的思想政治觉悟，学习质量和健康水平，为培养一个勤奋学习、遵纪守法、朝气蓬勃、团结向上的班集体而积极工作。</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2、教育督促学生遵守《小学生守则》和学校的各种规章制度，</w:t>
      </w:r>
      <w:r>
        <w:rPr>
          <w:rFonts w:hint="eastAsia" w:ascii="仿宋" w:hAnsi="仿宋" w:eastAsia="仿宋"/>
          <w:color w:val="000000"/>
          <w:sz w:val="32"/>
          <w:szCs w:val="32"/>
          <w:highlight w:val="none"/>
          <w:lang w:eastAsia="zh-CN"/>
        </w:rPr>
        <w:t>遵守</w:t>
      </w:r>
      <w:r>
        <w:rPr>
          <w:rFonts w:hint="eastAsia" w:ascii="仿宋" w:hAnsi="仿宋" w:eastAsia="仿宋"/>
          <w:color w:val="000000"/>
          <w:sz w:val="32"/>
          <w:szCs w:val="32"/>
          <w:highlight w:val="none"/>
          <w:lang w:val="en-US" w:eastAsia="zh-CN"/>
        </w:rPr>
        <w:t>县委县</w:t>
      </w:r>
      <w:r>
        <w:rPr>
          <w:rFonts w:ascii="仿宋" w:hAnsi="仿宋" w:eastAsia="仿宋"/>
          <w:color w:val="000000"/>
          <w:sz w:val="32"/>
          <w:szCs w:val="32"/>
          <w:highlight w:val="none"/>
        </w:rPr>
        <w:t>政府的政策法令和社会的公共秩序，处理日常班务工作和本班学生中的偶发事件。对学生的教育应做到“动之以情、晓之以理、导之以行、持之以恒”。讲究教育艺术，注重教育效果，严禁体罚或侮辱学生人格。</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3、及时和学校有关方面取得联系，定期向学校</w:t>
      </w:r>
      <w:r>
        <w:rPr>
          <w:highlight w:val="none"/>
        </w:rPr>
        <w:fldChar w:fldCharType="begin"/>
      </w:r>
      <w:r>
        <w:rPr>
          <w:highlight w:val="none"/>
        </w:rPr>
        <w:instrText xml:space="preserve"> HYPERLINK "http://www.5ykj.com/Article/" \t "_blank" </w:instrText>
      </w:r>
      <w:r>
        <w:rPr>
          <w:highlight w:val="none"/>
        </w:rPr>
        <w:fldChar w:fldCharType="separate"/>
      </w:r>
      <w:r>
        <w:rPr>
          <w:rFonts w:ascii="仿宋" w:hAnsi="仿宋" w:eastAsia="仿宋"/>
          <w:color w:val="000000"/>
          <w:sz w:val="32"/>
          <w:szCs w:val="32"/>
          <w:highlight w:val="none"/>
        </w:rPr>
        <w:t>领导</w:t>
      </w:r>
      <w:r>
        <w:rPr>
          <w:rFonts w:ascii="仿宋" w:hAnsi="仿宋" w:eastAsia="仿宋"/>
          <w:color w:val="000000"/>
          <w:sz w:val="32"/>
          <w:szCs w:val="32"/>
          <w:highlight w:val="none"/>
        </w:rPr>
        <w:fldChar w:fldCharType="end"/>
      </w:r>
      <w:r>
        <w:rPr>
          <w:rFonts w:ascii="仿宋" w:hAnsi="仿宋" w:eastAsia="仿宋"/>
          <w:color w:val="000000"/>
          <w:sz w:val="32"/>
          <w:szCs w:val="32"/>
          <w:highlight w:val="none"/>
        </w:rPr>
        <w:t>或教导处</w:t>
      </w:r>
      <w:r>
        <w:rPr>
          <w:highlight w:val="none"/>
        </w:rPr>
        <w:fldChar w:fldCharType="begin"/>
      </w:r>
      <w:r>
        <w:rPr>
          <w:highlight w:val="none"/>
        </w:rPr>
        <w:instrText xml:space="preserve"> HYPERLINK "http://www.5ykj.com/Article/" \t "_blank" </w:instrText>
      </w:r>
      <w:r>
        <w:rPr>
          <w:highlight w:val="none"/>
        </w:rPr>
        <w:fldChar w:fldCharType="separate"/>
      </w:r>
      <w:r>
        <w:rPr>
          <w:rFonts w:ascii="仿宋" w:hAnsi="仿宋" w:eastAsia="仿宋"/>
          <w:color w:val="000000"/>
          <w:sz w:val="32"/>
          <w:szCs w:val="32"/>
          <w:highlight w:val="none"/>
        </w:rPr>
        <w:t>汇报</w:t>
      </w:r>
      <w:r>
        <w:rPr>
          <w:rFonts w:ascii="仿宋" w:hAnsi="仿宋" w:eastAsia="仿宋"/>
          <w:color w:val="000000"/>
          <w:sz w:val="32"/>
          <w:szCs w:val="32"/>
          <w:highlight w:val="none"/>
        </w:rPr>
        <w:fldChar w:fldCharType="end"/>
      </w:r>
      <w:r>
        <w:rPr>
          <w:rFonts w:ascii="仿宋" w:hAnsi="仿宋" w:eastAsia="仿宋"/>
          <w:color w:val="000000"/>
          <w:sz w:val="32"/>
          <w:szCs w:val="32"/>
          <w:highlight w:val="none"/>
        </w:rPr>
        <w:t>班务工作，做到上传下达。步调一致。经常与任</w:t>
      </w:r>
      <w:r>
        <w:rPr>
          <w:rFonts w:hint="eastAsia" w:ascii="仿宋" w:hAnsi="仿宋" w:eastAsia="仿宋"/>
          <w:color w:val="000000"/>
          <w:sz w:val="32"/>
          <w:szCs w:val="32"/>
          <w:highlight w:val="none"/>
          <w:lang w:eastAsia="zh-CN"/>
        </w:rPr>
        <w:t>课</w:t>
      </w:r>
      <w:r>
        <w:rPr>
          <w:rFonts w:ascii="仿宋" w:hAnsi="仿宋" w:eastAsia="仿宋"/>
          <w:color w:val="000000"/>
          <w:sz w:val="32"/>
          <w:szCs w:val="32"/>
          <w:highlight w:val="none"/>
        </w:rPr>
        <w:t>教师互通情报，了解研究学生的思想、学习情况。教育学生明确学习目的，端正学习态度，改进学习方法，不断提高各门功课的学习</w:t>
      </w:r>
      <w:r>
        <w:rPr>
          <w:highlight w:val="none"/>
        </w:rPr>
        <w:fldChar w:fldCharType="begin"/>
      </w:r>
      <w:r>
        <w:rPr>
          <w:highlight w:val="none"/>
        </w:rPr>
        <w:instrText xml:space="preserve"> HYPERLINK "http://home.5ykj.com/mnkc/" \t "_blank" </w:instrText>
      </w:r>
      <w:r>
        <w:rPr>
          <w:highlight w:val="none"/>
        </w:rPr>
        <w:fldChar w:fldCharType="separate"/>
      </w:r>
      <w:r>
        <w:rPr>
          <w:rFonts w:ascii="仿宋" w:hAnsi="仿宋" w:eastAsia="仿宋"/>
          <w:color w:val="000000"/>
          <w:sz w:val="32"/>
          <w:szCs w:val="32"/>
          <w:highlight w:val="none"/>
        </w:rPr>
        <w:t>成绩</w:t>
      </w:r>
      <w:r>
        <w:rPr>
          <w:rFonts w:ascii="仿宋" w:hAnsi="仿宋" w:eastAsia="仿宋"/>
          <w:color w:val="000000"/>
          <w:sz w:val="32"/>
          <w:szCs w:val="32"/>
          <w:highlight w:val="none"/>
        </w:rPr>
        <w:fldChar w:fldCharType="end"/>
      </w:r>
      <w:r>
        <w:rPr>
          <w:rFonts w:ascii="仿宋" w:hAnsi="仿宋" w:eastAsia="仿宋"/>
          <w:color w:val="000000"/>
          <w:sz w:val="32"/>
          <w:szCs w:val="32"/>
          <w:highlight w:val="none"/>
        </w:rPr>
        <w:t>。</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4、关心学生的身心健康。组织和</w:t>
      </w:r>
      <w:r>
        <w:rPr>
          <w:highlight w:val="none"/>
        </w:rPr>
        <w:fldChar w:fldCharType="begin"/>
      </w:r>
      <w:r>
        <w:rPr>
          <w:highlight w:val="none"/>
        </w:rPr>
        <w:instrText xml:space="preserve"> HYPERLINK "http://zw.5ykj.com/" \t "_blank" </w:instrText>
      </w:r>
      <w:r>
        <w:rPr>
          <w:highlight w:val="none"/>
        </w:rPr>
        <w:fldChar w:fldCharType="separate"/>
      </w:r>
      <w:r>
        <w:rPr>
          <w:rFonts w:ascii="仿宋" w:hAnsi="仿宋" w:eastAsia="仿宋"/>
          <w:color w:val="000000"/>
          <w:sz w:val="32"/>
          <w:szCs w:val="32"/>
          <w:highlight w:val="none"/>
        </w:rPr>
        <w:t>指导</w:t>
      </w:r>
      <w:r>
        <w:rPr>
          <w:rFonts w:ascii="仿宋" w:hAnsi="仿宋" w:eastAsia="仿宋"/>
          <w:color w:val="000000"/>
          <w:sz w:val="32"/>
          <w:szCs w:val="32"/>
          <w:highlight w:val="none"/>
        </w:rPr>
        <w:fldChar w:fldCharType="end"/>
      </w:r>
      <w:r>
        <w:rPr>
          <w:rFonts w:ascii="仿宋" w:hAnsi="仿宋" w:eastAsia="仿宋"/>
          <w:color w:val="000000"/>
          <w:sz w:val="32"/>
          <w:szCs w:val="32"/>
          <w:highlight w:val="none"/>
        </w:rPr>
        <w:t>学生开展体育、文娱、卫生等活动。教育学生积极参加体育锻炼；自觉搞好环境卫生和个人卫生，养成良好习惯，并对学生生活给予应有的</w:t>
      </w:r>
      <w:r>
        <w:rPr>
          <w:highlight w:val="none"/>
        </w:rPr>
        <w:fldChar w:fldCharType="begin"/>
      </w:r>
      <w:r>
        <w:rPr>
          <w:highlight w:val="none"/>
        </w:rPr>
        <w:instrText xml:space="preserve"> HYPERLINK "http://zw.5ykj.com/" \t "_blank" </w:instrText>
      </w:r>
      <w:r>
        <w:rPr>
          <w:highlight w:val="none"/>
        </w:rPr>
        <w:fldChar w:fldCharType="separate"/>
      </w:r>
      <w:r>
        <w:rPr>
          <w:rFonts w:ascii="仿宋" w:hAnsi="仿宋" w:eastAsia="仿宋"/>
          <w:color w:val="000000"/>
          <w:sz w:val="32"/>
          <w:szCs w:val="32"/>
          <w:highlight w:val="none"/>
        </w:rPr>
        <w:t>指导</w:t>
      </w:r>
      <w:r>
        <w:rPr>
          <w:rFonts w:ascii="仿宋" w:hAnsi="仿宋" w:eastAsia="仿宋"/>
          <w:color w:val="000000"/>
          <w:sz w:val="32"/>
          <w:szCs w:val="32"/>
          <w:highlight w:val="none"/>
        </w:rPr>
        <w:fldChar w:fldCharType="end"/>
      </w:r>
      <w:r>
        <w:rPr>
          <w:rFonts w:ascii="仿宋" w:hAnsi="仿宋" w:eastAsia="仿宋"/>
          <w:color w:val="000000"/>
          <w:sz w:val="32"/>
          <w:szCs w:val="32"/>
          <w:highlight w:val="none"/>
        </w:rPr>
        <w:t>。</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5、注重班集体的精神文明建设和第二课堂的开辟。制定班务工作</w:t>
      </w:r>
      <w:r>
        <w:rPr>
          <w:highlight w:val="none"/>
        </w:rPr>
        <w:fldChar w:fldCharType="begin"/>
      </w:r>
      <w:r>
        <w:rPr>
          <w:highlight w:val="none"/>
        </w:rPr>
        <w:instrText xml:space="preserve"> HYPERLINK "http://www.5ykj.com/Article/" \t "_blank" </w:instrText>
      </w:r>
      <w:r>
        <w:rPr>
          <w:highlight w:val="none"/>
        </w:rPr>
        <w:fldChar w:fldCharType="separate"/>
      </w:r>
      <w:r>
        <w:rPr>
          <w:rFonts w:ascii="仿宋" w:hAnsi="仿宋" w:eastAsia="仿宋"/>
          <w:color w:val="000000"/>
          <w:sz w:val="32"/>
          <w:szCs w:val="32"/>
          <w:highlight w:val="none"/>
        </w:rPr>
        <w:t>计划</w:t>
      </w:r>
      <w:r>
        <w:rPr>
          <w:rFonts w:ascii="仿宋" w:hAnsi="仿宋" w:eastAsia="仿宋"/>
          <w:color w:val="000000"/>
          <w:sz w:val="32"/>
          <w:szCs w:val="32"/>
          <w:highlight w:val="none"/>
        </w:rPr>
        <w:fldChar w:fldCharType="end"/>
      </w:r>
      <w:r>
        <w:rPr>
          <w:rFonts w:ascii="仿宋" w:hAnsi="仿宋" w:eastAsia="仿宋"/>
          <w:color w:val="000000"/>
          <w:sz w:val="32"/>
          <w:szCs w:val="32"/>
          <w:highlight w:val="none"/>
        </w:rPr>
        <w:t>，组织、领导班委会，指导少先队，积极开展创“三好”，争做“四有新人”和“五爱”教育等活动。做文明学生，建文明班级。</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6、指导学生的课外活动，配合有关科任教师开展课外科技活动。</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7、重视家访工作，采取多种形式，经常与家长交换学生的学习思想等各方面情况，以便有的放矢，有针对性地对学生进行教育。</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8、负责本班公共财物的管理，赔偿工作，安全工作，教育学生节约电、煤，并遵守纪律。</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9、全面客观地、认真负责地做好学生的操行评语和</w:t>
      </w:r>
      <w:r>
        <w:rPr>
          <w:highlight w:val="none"/>
        </w:rPr>
        <w:fldChar w:fldCharType="begin"/>
      </w:r>
      <w:r>
        <w:rPr>
          <w:highlight w:val="none"/>
        </w:rPr>
        <w:instrText xml:space="preserve"> HYPERLINK "http://home.5ykj.com/mnkc/" \t "_blank" </w:instrText>
      </w:r>
      <w:r>
        <w:rPr>
          <w:highlight w:val="none"/>
        </w:rPr>
        <w:fldChar w:fldCharType="separate"/>
      </w:r>
      <w:r>
        <w:rPr>
          <w:rFonts w:ascii="仿宋" w:hAnsi="仿宋" w:eastAsia="仿宋"/>
          <w:color w:val="000000"/>
          <w:sz w:val="32"/>
          <w:szCs w:val="32"/>
          <w:highlight w:val="none"/>
        </w:rPr>
        <w:t>成绩</w:t>
      </w:r>
      <w:r>
        <w:rPr>
          <w:rFonts w:ascii="仿宋" w:hAnsi="仿宋" w:eastAsia="仿宋"/>
          <w:color w:val="000000"/>
          <w:sz w:val="32"/>
          <w:szCs w:val="32"/>
          <w:highlight w:val="none"/>
        </w:rPr>
        <w:fldChar w:fldCharType="end"/>
      </w:r>
      <w:r>
        <w:rPr>
          <w:rFonts w:ascii="仿宋" w:hAnsi="仿宋" w:eastAsia="仿宋"/>
          <w:color w:val="000000"/>
          <w:sz w:val="32"/>
          <w:szCs w:val="32"/>
          <w:highlight w:val="none"/>
        </w:rPr>
        <w:t>填写工作。及时、准确地建立和填写好学生档案。并妥善保管</w:t>
      </w:r>
      <w:r>
        <w:rPr>
          <w:rFonts w:hint="eastAsia" w:ascii="仿宋" w:hAnsi="仿宋" w:eastAsia="仿宋"/>
          <w:color w:val="000000"/>
          <w:sz w:val="32"/>
          <w:szCs w:val="32"/>
          <w:highlight w:val="none"/>
        </w:rPr>
        <w:t>。</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任课教师职责</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教师的根本任务是把学生教好。对教师的基本要求是:以身作则，努力学习，爱护学生，教好功课。</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1、认真备课、上课</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(1)要熟悉教学大纲，教科书，了解学生的知识基础，备好课。</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(2)加强对学生的学习目的教育，调动学生学习积极性，搞好课堂纪律。</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(3)认真组织好课堂教学，不断改进教学方法，充分利用45分钟，保质、保量地完成课程标准规定应传授的知识和应培养的能力。</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(4)结合教材，有机地对学生进行思想教育，注意学生的卫生习惯，保护学生视力。</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(5)指导学生改进学习方法，培养良好的学习习惯。</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(6)搞好测验、</w:t>
      </w:r>
      <w:r>
        <w:rPr>
          <w:highlight w:val="none"/>
        </w:rPr>
        <w:fldChar w:fldCharType="begin"/>
      </w:r>
      <w:r>
        <w:rPr>
          <w:highlight w:val="none"/>
        </w:rPr>
        <w:instrText xml:space="preserve"> HYPERLINK "http://home.5ykj.com/mnkc/" \t "_blank" </w:instrText>
      </w:r>
      <w:r>
        <w:rPr>
          <w:highlight w:val="none"/>
        </w:rPr>
        <w:fldChar w:fldCharType="separate"/>
      </w:r>
      <w:r>
        <w:rPr>
          <w:rFonts w:ascii="仿宋" w:hAnsi="仿宋" w:eastAsia="仿宋"/>
          <w:color w:val="000000"/>
          <w:sz w:val="32"/>
          <w:szCs w:val="32"/>
          <w:highlight w:val="none"/>
        </w:rPr>
        <w:t>考试</w:t>
      </w:r>
      <w:r>
        <w:rPr>
          <w:rFonts w:ascii="仿宋" w:hAnsi="仿宋" w:eastAsia="仿宋"/>
          <w:color w:val="000000"/>
          <w:sz w:val="32"/>
          <w:szCs w:val="32"/>
          <w:highlight w:val="none"/>
        </w:rPr>
        <w:fldChar w:fldCharType="end"/>
      </w:r>
      <w:r>
        <w:rPr>
          <w:rFonts w:ascii="仿宋" w:hAnsi="仿宋" w:eastAsia="仿宋"/>
          <w:color w:val="000000"/>
          <w:sz w:val="32"/>
          <w:szCs w:val="32"/>
          <w:highlight w:val="none"/>
        </w:rPr>
        <w:t>，做到份量恰当，命题确切，要求严格。</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2、认真批改、</w:t>
      </w:r>
      <w:r>
        <w:rPr>
          <w:highlight w:val="none"/>
        </w:rPr>
        <w:fldChar w:fldCharType="begin"/>
      </w:r>
      <w:r>
        <w:rPr>
          <w:highlight w:val="none"/>
        </w:rPr>
        <w:instrText xml:space="preserve"> HYPERLINK "http://zw.5ykj.com/" \t "_blank" </w:instrText>
      </w:r>
      <w:r>
        <w:rPr>
          <w:highlight w:val="none"/>
        </w:rPr>
        <w:fldChar w:fldCharType="separate"/>
      </w:r>
      <w:r>
        <w:rPr>
          <w:rFonts w:ascii="仿宋" w:hAnsi="仿宋" w:eastAsia="仿宋"/>
          <w:color w:val="000000"/>
          <w:sz w:val="32"/>
          <w:szCs w:val="32"/>
          <w:highlight w:val="none"/>
        </w:rPr>
        <w:t>辅导</w:t>
      </w:r>
      <w:r>
        <w:rPr>
          <w:rFonts w:ascii="仿宋" w:hAnsi="仿宋" w:eastAsia="仿宋"/>
          <w:color w:val="000000"/>
          <w:sz w:val="32"/>
          <w:szCs w:val="32"/>
          <w:highlight w:val="none"/>
        </w:rPr>
        <w:fldChar w:fldCharType="end"/>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(1)根据教学要求和学生实际，精心布置作业，并及时收发。批改要讲求实效，搞好讲评，引导学生及时订正错误，扎扎实实地学好每项知识。</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(2)要因材施教。对中下学生要热情</w:t>
      </w:r>
      <w:r>
        <w:rPr>
          <w:highlight w:val="none"/>
        </w:rPr>
        <w:fldChar w:fldCharType="begin"/>
      </w:r>
      <w:r>
        <w:rPr>
          <w:highlight w:val="none"/>
        </w:rPr>
        <w:instrText xml:space="preserve"> HYPERLINK "http://zw.5ykj.com/" \t "_blank" </w:instrText>
      </w:r>
      <w:r>
        <w:rPr>
          <w:highlight w:val="none"/>
        </w:rPr>
        <w:fldChar w:fldCharType="separate"/>
      </w:r>
      <w:r>
        <w:rPr>
          <w:rFonts w:ascii="仿宋" w:hAnsi="仿宋" w:eastAsia="仿宋"/>
          <w:color w:val="000000"/>
          <w:sz w:val="32"/>
          <w:szCs w:val="32"/>
          <w:highlight w:val="none"/>
        </w:rPr>
        <w:t>辅导</w:t>
      </w:r>
      <w:r>
        <w:rPr>
          <w:rFonts w:ascii="仿宋" w:hAnsi="仿宋" w:eastAsia="仿宋"/>
          <w:color w:val="000000"/>
          <w:sz w:val="32"/>
          <w:szCs w:val="32"/>
          <w:highlight w:val="none"/>
        </w:rPr>
        <w:fldChar w:fldCharType="end"/>
      </w:r>
      <w:r>
        <w:rPr>
          <w:rFonts w:ascii="仿宋" w:hAnsi="仿宋" w:eastAsia="仿宋"/>
          <w:color w:val="000000"/>
          <w:sz w:val="32"/>
          <w:szCs w:val="32"/>
          <w:highlight w:val="none"/>
        </w:rPr>
        <w:t>，尽量帮助他们跟上班级。对成绩优秀的学生，要帮助他们进一步学好，发挥其特长。</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(3)积极创造条件，开展多样化的课外活动，提高学生学习兴趣，开拓知识眼界，培养有关技能技巧。</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3、体育、音乐、美术教师，还应组织和辅导学生开展课外体育、文娱、美术活动，搞好运动队训练和竞赛工作，搞好文艺队、美工组的工作。</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图书保管员职责</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1、严格执行图书馆、阅览室的规章制度。</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2、掌握新书出版信息，添购书籍、充实书库。</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3、新书买到后，及时进行分类编目，尽快介绍出借。</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4、做好师生借书工作，管好学生阅览室和教师资料室。</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5、及时做好书报订阅收发工作，月底、年底做好报纸杂志装订保管工作。</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6、经常做好书籍，报刊的介绍工作。</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7、有关教学上的参考资料，及时送到各教研组。</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8、进行爱护书籍的宣传教育，做好图书的防潮、防虫蛀的工作和图书修补工作。</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9、保持图书馆阅览室的清洁卫生和良好的纪律秩序。</w:t>
      </w:r>
      <w:r>
        <w:rPr>
          <w:rFonts w:ascii="仿宋" w:hAnsi="仿宋" w:eastAsia="仿宋"/>
          <w:color w:val="000000"/>
          <w:sz w:val="32"/>
          <w:szCs w:val="32"/>
          <w:highlight w:val="none"/>
        </w:rPr>
        <w:br w:type="textWrapping"/>
      </w:r>
      <w:r>
        <w:rPr>
          <w:rFonts w:ascii="仿宋" w:hAnsi="仿宋" w:eastAsia="仿宋"/>
          <w:color w:val="000000"/>
          <w:sz w:val="32"/>
          <w:szCs w:val="32"/>
          <w:highlight w:val="none"/>
        </w:rPr>
        <w:t>值周员职责</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l、值周员必须提前到校，认真履行其职责。</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2、负责组织好升降国旗仪式。</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3、掌握当天的作息时间。</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4、认真详细的填写好学校日志，检查教室日志的填写情况。</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5、负责处理好学校偶发事件。</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6、接待当天来宾或不定期来访家长。</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7、检查督促校舍、门窗封锁、开关校门，注意安全。</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8、负责检查各班环境卫生和个人卫生。</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9、组织当天中午、下午学生放学。</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10、值周教师全权负责好学校—切财产安全，因不住校，失职等损失的财产，由值周人员全部按价赔偿。</w:t>
      </w:r>
    </w:p>
    <w:p>
      <w:pPr>
        <w:ind w:firstLine="640" w:firstLineChars="200"/>
        <w:rPr>
          <w:rFonts w:ascii="仿宋" w:hAnsi="仿宋" w:eastAsia="仿宋"/>
          <w:color w:val="000000"/>
          <w:sz w:val="32"/>
          <w:szCs w:val="32"/>
          <w:highlight w:val="none"/>
        </w:rPr>
      </w:pPr>
      <w:r>
        <w:rPr>
          <w:rFonts w:ascii="仿宋" w:hAnsi="仿宋" w:eastAsia="仿宋"/>
          <w:color w:val="000000"/>
          <w:sz w:val="32"/>
          <w:szCs w:val="32"/>
          <w:highlight w:val="none"/>
        </w:rPr>
        <w:t>1l、掌握各班学习、纪律、课间操等情况，</w:t>
      </w:r>
      <w:r>
        <w:rPr>
          <w:rFonts w:ascii="仿宋" w:eastAsia="仿宋"/>
          <w:color w:val="000000"/>
          <w:sz w:val="32"/>
          <w:szCs w:val="32"/>
          <w:highlight w:val="none"/>
        </w:rPr>
        <w:t> </w:t>
      </w:r>
      <w:r>
        <w:rPr>
          <w:rFonts w:ascii="仿宋" w:hAnsi="仿宋" w:eastAsia="仿宋"/>
          <w:color w:val="000000"/>
          <w:sz w:val="32"/>
          <w:szCs w:val="32"/>
          <w:highlight w:val="none"/>
        </w:rPr>
        <w:t xml:space="preserve"> 向领导汇报特殊情况和典型事件。</w:t>
      </w:r>
    </w:p>
    <w:p>
      <w:pPr>
        <w:snapToGrid w:val="0"/>
        <w:spacing w:line="520" w:lineRule="exact"/>
        <w:ind w:firstLine="640" w:firstLineChars="200"/>
        <w:rPr>
          <w:rFonts w:ascii="仿宋" w:hAnsi="仿宋" w:eastAsia="仿宋"/>
          <w:sz w:val="32"/>
          <w:szCs w:val="32"/>
          <w:highlight w:val="none"/>
        </w:rPr>
      </w:pPr>
      <w:r>
        <w:rPr>
          <w:rFonts w:ascii="仿宋" w:hAnsi="仿宋" w:eastAsia="仿宋"/>
          <w:color w:val="000000"/>
          <w:sz w:val="32"/>
          <w:szCs w:val="32"/>
          <w:highlight w:val="none"/>
        </w:rPr>
        <w:t>12、交清或接清责任和手续。</w:t>
      </w:r>
    </w:p>
    <w:p>
      <w:pPr>
        <w:ind w:firstLine="640" w:firstLineChars="200"/>
        <w:rPr>
          <w:rFonts w:ascii="仿宋" w:hAnsi="仿宋" w:eastAsia="仿宋"/>
          <w:color w:val="000000"/>
          <w:sz w:val="32"/>
          <w:szCs w:val="32"/>
          <w:highlight w:val="none"/>
        </w:rPr>
      </w:pPr>
      <w:bookmarkStart w:id="11" w:name="_Toc85895388"/>
      <w:r>
        <w:rPr>
          <w:rFonts w:hint="eastAsia" w:ascii="仿宋" w:hAnsi="仿宋" w:eastAsia="仿宋"/>
          <w:color w:val="000000"/>
          <w:sz w:val="32"/>
          <w:szCs w:val="32"/>
          <w:highlight w:val="none"/>
        </w:rPr>
        <w:t>（二）</w:t>
      </w:r>
      <w:r>
        <w:rPr>
          <w:rFonts w:hint="eastAsia" w:ascii="仿宋" w:hAnsi="仿宋" w:eastAsia="仿宋"/>
          <w:color w:val="000000"/>
          <w:sz w:val="32"/>
          <w:szCs w:val="32"/>
          <w:highlight w:val="none"/>
          <w:lang w:eastAsia="zh-CN"/>
        </w:rPr>
        <w:t>202</w:t>
      </w:r>
      <w:r>
        <w:rPr>
          <w:rFonts w:hint="eastAsia" w:ascii="仿宋" w:hAnsi="仿宋" w:eastAsia="仿宋"/>
          <w:color w:val="000000"/>
          <w:sz w:val="32"/>
          <w:szCs w:val="32"/>
          <w:highlight w:val="none"/>
          <w:lang w:val="en-US" w:eastAsia="zh-CN"/>
        </w:rPr>
        <w:t>5</w:t>
      </w:r>
      <w:r>
        <w:rPr>
          <w:rFonts w:hint="eastAsia" w:ascii="仿宋" w:hAnsi="仿宋" w:eastAsia="仿宋"/>
          <w:color w:val="000000"/>
          <w:sz w:val="32"/>
          <w:szCs w:val="32"/>
          <w:highlight w:val="none"/>
        </w:rPr>
        <w:t>年重点工作完成情况。</w:t>
      </w:r>
      <w:bookmarkEnd w:id="11"/>
    </w:p>
    <w:bookmarkEnd w:id="8"/>
    <w:bookmarkEnd w:id="9"/>
    <w:bookmarkEnd w:id="10"/>
    <w:p>
      <w:pPr>
        <w:ind w:firstLine="640" w:firstLineChars="200"/>
        <w:rPr>
          <w:rFonts w:hint="eastAsia" w:ascii="仿宋" w:hAnsi="仿宋" w:eastAsia="仿宋"/>
          <w:color w:val="000000"/>
          <w:sz w:val="32"/>
          <w:szCs w:val="32"/>
          <w:highlight w:val="none"/>
        </w:rPr>
      </w:pPr>
      <w:r>
        <w:rPr>
          <w:rFonts w:ascii="仿宋" w:hAnsi="仿宋" w:eastAsia="仿宋"/>
          <w:color w:val="000000"/>
          <w:sz w:val="32"/>
          <w:szCs w:val="32"/>
          <w:highlight w:val="none"/>
        </w:rPr>
        <w:t>我校全面贯彻党的教育方针，深入实施素质教育，全面推进基础教育课程改革，坚持以育人为根本，遵循“以人为本，面向全体，培养特长，和谐发展”的办学思想，努力把学校办成一所现代化、高质量，学生向往、家长放心、社会声誉好的农村小学，以教学质量为核心，进一步提高了办学水平，完成了期提出的工作目标。</w:t>
      </w:r>
      <w:r>
        <w:rPr>
          <w:rFonts w:hint="eastAsia" w:ascii="仿宋" w:hAnsi="仿宋" w:eastAsia="仿宋"/>
          <w:color w:val="000000"/>
          <w:sz w:val="32"/>
          <w:szCs w:val="32"/>
          <w:highlight w:val="none"/>
        </w:rPr>
        <w:t>现将</w:t>
      </w:r>
      <w:r>
        <w:rPr>
          <w:rFonts w:hint="eastAsia" w:ascii="仿宋" w:hAnsi="仿宋" w:eastAsia="仿宋"/>
          <w:color w:val="000000"/>
          <w:sz w:val="32"/>
          <w:szCs w:val="32"/>
          <w:highlight w:val="none"/>
          <w:lang w:eastAsia="zh-CN"/>
        </w:rPr>
        <w:t>202</w:t>
      </w:r>
      <w:r>
        <w:rPr>
          <w:rFonts w:hint="eastAsia" w:ascii="仿宋" w:hAnsi="仿宋" w:eastAsia="仿宋"/>
          <w:color w:val="000000"/>
          <w:sz w:val="32"/>
          <w:szCs w:val="32"/>
          <w:highlight w:val="none"/>
          <w:lang w:val="en-US" w:eastAsia="zh-CN"/>
        </w:rPr>
        <w:t>5</w:t>
      </w:r>
      <w:r>
        <w:rPr>
          <w:rFonts w:hint="eastAsia" w:ascii="仿宋" w:hAnsi="仿宋" w:eastAsia="仿宋"/>
          <w:color w:val="000000"/>
          <w:sz w:val="32"/>
          <w:szCs w:val="32"/>
          <w:highlight w:val="none"/>
        </w:rPr>
        <w:t>年秋季学期学校工作总结如下：</w:t>
      </w:r>
      <w:r>
        <w:rPr>
          <w:rFonts w:ascii="仿宋" w:hAnsi="仿宋" w:eastAsia="仿宋"/>
          <w:color w:val="000000"/>
          <w:sz w:val="32"/>
          <w:szCs w:val="32"/>
          <w:highlight w:val="none"/>
        </w:rPr>
        <w:br w:type="textWrapping"/>
      </w:r>
      <w:r>
        <w:rPr>
          <w:rFonts w:ascii="仿宋" w:hAnsi="仿宋" w:eastAsia="仿宋"/>
          <w:color w:val="000000"/>
          <w:sz w:val="32"/>
          <w:szCs w:val="32"/>
          <w:highlight w:val="none"/>
        </w:rPr>
        <w:t>一、求真务实，加强教师队伍建设</w:t>
      </w:r>
      <w:r>
        <w:rPr>
          <w:rFonts w:ascii="仿宋" w:hAnsi="仿宋" w:eastAsia="仿宋"/>
          <w:color w:val="000000"/>
          <w:sz w:val="32"/>
          <w:szCs w:val="32"/>
          <w:highlight w:val="none"/>
        </w:rPr>
        <w:br w:type="textWrapping"/>
      </w:r>
      <w:r>
        <w:rPr>
          <w:rFonts w:hint="eastAsia" w:ascii="仿宋" w:hAnsi="仿宋" w:eastAsia="仿宋"/>
          <w:color w:val="000000"/>
          <w:sz w:val="32"/>
          <w:szCs w:val="32"/>
          <w:highlight w:val="none"/>
        </w:rPr>
        <w:t xml:space="preserve">    </w:t>
      </w:r>
      <w:r>
        <w:rPr>
          <w:rFonts w:ascii="仿宋" w:hAnsi="仿宋" w:eastAsia="仿宋"/>
          <w:color w:val="000000"/>
          <w:sz w:val="32"/>
          <w:szCs w:val="32"/>
          <w:highlight w:val="none"/>
        </w:rPr>
        <w:t>一所学校，能有新的发展和跨越关键在于全体教师。因此，我们求真务实，继续抓好教师队伍建设。</w:t>
      </w:r>
      <w:r>
        <w:rPr>
          <w:rFonts w:ascii="仿宋" w:hAnsi="仿宋" w:eastAsia="仿宋"/>
          <w:color w:val="000000"/>
          <w:sz w:val="32"/>
          <w:szCs w:val="32"/>
          <w:highlight w:val="none"/>
        </w:rPr>
        <w:br w:type="textWrapping"/>
      </w:r>
      <w:r>
        <w:rPr>
          <w:rFonts w:hint="eastAsia" w:ascii="仿宋" w:hAnsi="仿宋" w:eastAsia="仿宋"/>
          <w:color w:val="000000"/>
          <w:sz w:val="32"/>
          <w:szCs w:val="32"/>
          <w:highlight w:val="none"/>
        </w:rPr>
        <w:t xml:space="preserve">    1</w:t>
      </w:r>
      <w:r>
        <w:rPr>
          <w:rFonts w:ascii="仿宋" w:hAnsi="仿宋" w:eastAsia="仿宋"/>
          <w:color w:val="000000"/>
          <w:sz w:val="32"/>
          <w:szCs w:val="32"/>
          <w:highlight w:val="none"/>
        </w:rPr>
        <w:t>.重视教师培训及进修，不断提高教师的综合素质。在知识快速更新与教育观念快速变革的形势下，教师树立终身教育的观念至关重要。积极组织好教师继续教育。</w:t>
      </w:r>
      <w:r>
        <w:rPr>
          <w:rFonts w:ascii="仿宋" w:hAnsi="仿宋" w:eastAsia="仿宋"/>
          <w:color w:val="000000"/>
          <w:sz w:val="32"/>
          <w:szCs w:val="32"/>
          <w:highlight w:val="none"/>
        </w:rPr>
        <w:br w:type="textWrapping"/>
      </w:r>
      <w:r>
        <w:rPr>
          <w:rFonts w:hint="eastAsia" w:ascii="仿宋" w:hAnsi="仿宋" w:eastAsia="仿宋"/>
          <w:color w:val="000000"/>
          <w:sz w:val="32"/>
          <w:szCs w:val="32"/>
          <w:highlight w:val="none"/>
        </w:rPr>
        <w:t xml:space="preserve">    2</w:t>
      </w:r>
      <w:r>
        <w:rPr>
          <w:rFonts w:ascii="仿宋" w:hAnsi="仿宋" w:eastAsia="仿宋"/>
          <w:color w:val="000000"/>
          <w:sz w:val="32"/>
          <w:szCs w:val="32"/>
          <w:highlight w:val="none"/>
        </w:rPr>
        <w:t>.重视班主任队伍建设。学校工作的最后落脚点是教育培养好学生，而班主任这一角色又处在一个非常重要的位置上，因此，我们除了要求班主任做好常规工作外，还通过各种活动提升他们的育人能力。</w:t>
      </w:r>
      <w:r>
        <w:rPr>
          <w:rFonts w:ascii="仿宋" w:hAnsi="仿宋" w:eastAsia="仿宋"/>
          <w:color w:val="000000"/>
          <w:sz w:val="32"/>
          <w:szCs w:val="32"/>
          <w:highlight w:val="none"/>
        </w:rPr>
        <w:br w:type="textWrapping"/>
      </w:r>
      <w:r>
        <w:rPr>
          <w:rFonts w:ascii="仿宋" w:hAnsi="仿宋" w:eastAsia="仿宋"/>
          <w:color w:val="000000"/>
          <w:sz w:val="32"/>
          <w:szCs w:val="32"/>
          <w:highlight w:val="none"/>
        </w:rPr>
        <w:t>二、上下一心，全面提升教育质量</w:t>
      </w:r>
      <w:r>
        <w:rPr>
          <w:rFonts w:ascii="仿宋" w:hAnsi="仿宋" w:eastAsia="仿宋"/>
          <w:color w:val="000000"/>
          <w:sz w:val="32"/>
          <w:szCs w:val="32"/>
          <w:highlight w:val="none"/>
        </w:rPr>
        <w:br w:type="textWrapping"/>
      </w:r>
      <w:r>
        <w:rPr>
          <w:rFonts w:hint="eastAsia" w:ascii="仿宋" w:hAnsi="仿宋" w:eastAsia="仿宋"/>
          <w:color w:val="000000"/>
          <w:sz w:val="32"/>
          <w:szCs w:val="32"/>
          <w:highlight w:val="none"/>
        </w:rPr>
        <w:t xml:space="preserve">    </w:t>
      </w:r>
      <w:r>
        <w:rPr>
          <w:rFonts w:ascii="仿宋" w:hAnsi="仿宋" w:eastAsia="仿宋"/>
          <w:color w:val="000000"/>
          <w:sz w:val="32"/>
          <w:szCs w:val="32"/>
          <w:highlight w:val="none"/>
        </w:rPr>
        <w:t>全面实施素质教育，全面提高教育质量，既是学校工作的基本点也是最关键的部分。我校坚持以德育工作为核心，以强化教科研、推进课程改革为重点，全力以赴地抓好教育教学工作。</w:t>
      </w:r>
      <w:r>
        <w:rPr>
          <w:rFonts w:ascii="仿宋" w:hAnsi="仿宋" w:eastAsia="仿宋"/>
          <w:color w:val="000000"/>
          <w:sz w:val="32"/>
          <w:szCs w:val="32"/>
          <w:highlight w:val="none"/>
        </w:rPr>
        <w:br w:type="textWrapping"/>
      </w:r>
      <w:r>
        <w:rPr>
          <w:rFonts w:ascii="仿宋" w:hAnsi="仿宋" w:eastAsia="仿宋"/>
          <w:color w:val="000000"/>
          <w:sz w:val="32"/>
          <w:szCs w:val="32"/>
          <w:highlight w:val="none"/>
        </w:rPr>
        <w:t>(一)开展丰富多</w:t>
      </w:r>
      <w:r>
        <w:rPr>
          <w:rFonts w:hint="eastAsia" w:ascii="仿宋" w:hAnsi="仿宋" w:eastAsia="仿宋"/>
          <w:color w:val="000000"/>
          <w:sz w:val="32"/>
          <w:szCs w:val="32"/>
          <w:highlight w:val="none"/>
          <w:lang w:eastAsia="zh-CN"/>
        </w:rPr>
        <w:t>彩</w:t>
      </w:r>
      <w:r>
        <w:rPr>
          <w:rFonts w:ascii="仿宋" w:hAnsi="仿宋" w:eastAsia="仿宋"/>
          <w:color w:val="000000"/>
          <w:sz w:val="32"/>
          <w:szCs w:val="32"/>
          <w:highlight w:val="none"/>
        </w:rPr>
        <w:t>的活动，德育工作成效显著</w:t>
      </w:r>
      <w:r>
        <w:rPr>
          <w:rFonts w:ascii="仿宋" w:hAnsi="仿宋" w:eastAsia="仿宋"/>
          <w:color w:val="000000"/>
          <w:sz w:val="32"/>
          <w:szCs w:val="32"/>
          <w:highlight w:val="none"/>
        </w:rPr>
        <w:br w:type="textWrapping"/>
      </w:r>
      <w:r>
        <w:rPr>
          <w:rFonts w:hint="eastAsia" w:ascii="仿宋" w:hAnsi="仿宋" w:eastAsia="仿宋"/>
          <w:color w:val="000000"/>
          <w:sz w:val="32"/>
          <w:szCs w:val="32"/>
          <w:highlight w:val="none"/>
        </w:rPr>
        <w:t xml:space="preserve">    </w:t>
      </w:r>
      <w:r>
        <w:rPr>
          <w:rFonts w:ascii="仿宋" w:hAnsi="仿宋" w:eastAsia="仿宋"/>
          <w:color w:val="000000"/>
          <w:sz w:val="32"/>
          <w:szCs w:val="32"/>
          <w:highlight w:val="none"/>
        </w:rPr>
        <w:t>校内教育阵地是主渠道。集体晨会、国旗下讲话、班级晨会、班队活动、品德课、板报是德育教育的主阵地。学校各学科、各岗位渗透德育教育，每一位成员都是德育工作者。学校积极开展</w:t>
      </w:r>
      <w:r>
        <w:rPr>
          <w:rFonts w:hint="eastAsia" w:ascii="仿宋" w:hAnsi="仿宋" w:eastAsia="仿宋"/>
          <w:color w:val="000000"/>
          <w:sz w:val="32"/>
          <w:szCs w:val="32"/>
          <w:highlight w:val="none"/>
        </w:rPr>
        <w:t>了</w:t>
      </w:r>
      <w:r>
        <w:rPr>
          <w:rFonts w:ascii="仿宋" w:hAnsi="仿宋" w:eastAsia="仿宋"/>
          <w:color w:val="000000"/>
          <w:sz w:val="32"/>
          <w:szCs w:val="32"/>
          <w:highlight w:val="none"/>
        </w:rPr>
        <w:t>丰富多彩的少先队活动。</w:t>
      </w:r>
      <w:r>
        <w:rPr>
          <w:rFonts w:ascii="仿宋" w:hAnsi="仿宋" w:eastAsia="仿宋"/>
          <w:color w:val="000000"/>
          <w:sz w:val="32"/>
          <w:szCs w:val="32"/>
          <w:highlight w:val="none"/>
        </w:rPr>
        <w:br w:type="textWrapping"/>
      </w:r>
      <w:r>
        <w:rPr>
          <w:rFonts w:hint="eastAsia" w:ascii="仿宋" w:hAnsi="仿宋" w:eastAsia="仿宋"/>
          <w:color w:val="000000"/>
          <w:sz w:val="32"/>
          <w:szCs w:val="32"/>
          <w:highlight w:val="none"/>
        </w:rPr>
        <w:t xml:space="preserve">    </w:t>
      </w:r>
      <w:r>
        <w:rPr>
          <w:rFonts w:ascii="仿宋" w:hAnsi="仿宋" w:eastAsia="仿宋"/>
          <w:color w:val="000000"/>
          <w:sz w:val="32"/>
          <w:szCs w:val="32"/>
          <w:highlight w:val="none"/>
        </w:rPr>
        <w:t>1.加强学生的行为规范养成教育。</w:t>
      </w:r>
      <w:r>
        <w:rPr>
          <w:rFonts w:ascii="仿宋" w:hAnsi="仿宋" w:eastAsia="仿宋"/>
          <w:color w:val="000000"/>
          <w:sz w:val="32"/>
          <w:szCs w:val="32"/>
          <w:highlight w:val="none"/>
        </w:rPr>
        <w:br w:type="textWrapping"/>
      </w:r>
      <w:r>
        <w:rPr>
          <w:rFonts w:hint="eastAsia" w:ascii="仿宋" w:hAnsi="仿宋" w:eastAsia="仿宋"/>
          <w:color w:val="000000"/>
          <w:sz w:val="32"/>
          <w:szCs w:val="32"/>
          <w:highlight w:val="none"/>
        </w:rPr>
        <w:t xml:space="preserve">    ①</w:t>
      </w:r>
      <w:r>
        <w:rPr>
          <w:rFonts w:ascii="仿宋" w:hAnsi="仿宋" w:eastAsia="仿宋"/>
          <w:color w:val="000000"/>
          <w:sz w:val="32"/>
          <w:szCs w:val="32"/>
          <w:highlight w:val="none"/>
        </w:rPr>
        <w:t>组织好周一升旗仪式和国旗下讲话活动。</w:t>
      </w:r>
      <w:r>
        <w:rPr>
          <w:rFonts w:ascii="仿宋" w:hAnsi="仿宋" w:eastAsia="仿宋"/>
          <w:color w:val="000000"/>
          <w:sz w:val="32"/>
          <w:szCs w:val="32"/>
          <w:highlight w:val="none"/>
        </w:rPr>
        <w:br w:type="textWrapping"/>
      </w:r>
      <w:r>
        <w:rPr>
          <w:rFonts w:hint="eastAsia" w:ascii="仿宋" w:hAnsi="仿宋" w:eastAsia="仿宋"/>
          <w:color w:val="000000"/>
          <w:sz w:val="32"/>
          <w:szCs w:val="32"/>
          <w:highlight w:val="none"/>
        </w:rPr>
        <w:t xml:space="preserve">    ②</w:t>
      </w:r>
      <w:r>
        <w:rPr>
          <w:rFonts w:ascii="仿宋" w:hAnsi="仿宋" w:eastAsia="仿宋"/>
          <w:color w:val="000000"/>
          <w:sz w:val="32"/>
          <w:szCs w:val="32"/>
          <w:highlight w:val="none"/>
        </w:rPr>
        <w:t>营造书香校园，组织开展好推普周活动。</w:t>
      </w:r>
      <w:r>
        <w:rPr>
          <w:rFonts w:ascii="仿宋" w:hAnsi="仿宋" w:eastAsia="仿宋"/>
          <w:color w:val="000000"/>
          <w:sz w:val="32"/>
          <w:szCs w:val="32"/>
          <w:highlight w:val="none"/>
        </w:rPr>
        <w:br w:type="textWrapping"/>
      </w:r>
      <w:r>
        <w:rPr>
          <w:rFonts w:hint="eastAsia" w:ascii="仿宋" w:hAnsi="仿宋" w:eastAsia="仿宋"/>
          <w:color w:val="000000"/>
          <w:sz w:val="32"/>
          <w:szCs w:val="32"/>
          <w:highlight w:val="none"/>
        </w:rPr>
        <w:t xml:space="preserve">    ③</w:t>
      </w:r>
      <w:r>
        <w:rPr>
          <w:rFonts w:ascii="仿宋" w:hAnsi="仿宋" w:eastAsia="仿宋"/>
          <w:color w:val="000000"/>
          <w:sz w:val="32"/>
          <w:szCs w:val="32"/>
          <w:highlight w:val="none"/>
        </w:rPr>
        <w:t>强化未成年人的行为养成教育。</w:t>
      </w:r>
      <w:r>
        <w:rPr>
          <w:rFonts w:hint="eastAsia" w:ascii="仿宋" w:hAnsi="仿宋" w:eastAsia="仿宋"/>
          <w:color w:val="000000"/>
          <w:sz w:val="32"/>
          <w:szCs w:val="32"/>
          <w:highlight w:val="none"/>
        </w:rPr>
        <w:t xml:space="preserve">    </w:t>
      </w:r>
    </w:p>
    <w:p>
      <w:pPr>
        <w:ind w:firstLine="640" w:firstLineChars="200"/>
        <w:rPr>
          <w:rFonts w:hint="eastAsia" w:ascii="仿宋" w:hAnsi="仿宋" w:eastAsia="仿宋"/>
          <w:color w:val="000000"/>
          <w:sz w:val="32"/>
          <w:szCs w:val="32"/>
          <w:highlight w:val="none"/>
        </w:rPr>
      </w:pPr>
      <w:r>
        <w:rPr>
          <w:rFonts w:ascii="仿宋" w:hAnsi="仿宋" w:eastAsia="仿宋"/>
          <w:color w:val="000000"/>
          <w:sz w:val="32"/>
          <w:szCs w:val="32"/>
          <w:highlight w:val="none"/>
        </w:rPr>
        <w:t>2.加强法</w:t>
      </w:r>
      <w:r>
        <w:rPr>
          <w:rFonts w:hint="eastAsia" w:ascii="仿宋" w:hAnsi="仿宋" w:eastAsia="仿宋"/>
          <w:color w:val="000000"/>
          <w:sz w:val="32"/>
          <w:szCs w:val="32"/>
          <w:highlight w:val="none"/>
          <w:lang w:eastAsia="zh-CN"/>
        </w:rPr>
        <w:t>治</w:t>
      </w:r>
      <w:r>
        <w:rPr>
          <w:rFonts w:ascii="仿宋" w:hAnsi="仿宋" w:eastAsia="仿宋"/>
          <w:color w:val="000000"/>
          <w:sz w:val="32"/>
          <w:szCs w:val="32"/>
          <w:highlight w:val="none"/>
        </w:rPr>
        <w:t>、安全教育。</w:t>
      </w:r>
      <w:r>
        <w:rPr>
          <w:rFonts w:ascii="仿宋" w:hAnsi="仿宋" w:eastAsia="仿宋"/>
          <w:color w:val="000000"/>
          <w:sz w:val="32"/>
          <w:szCs w:val="32"/>
          <w:highlight w:val="none"/>
        </w:rPr>
        <w:br w:type="textWrapping"/>
      </w:r>
      <w:r>
        <w:rPr>
          <w:rFonts w:hint="eastAsia" w:ascii="仿宋" w:hAnsi="仿宋" w:eastAsia="仿宋"/>
          <w:color w:val="000000"/>
          <w:sz w:val="32"/>
          <w:szCs w:val="32"/>
          <w:highlight w:val="none"/>
        </w:rPr>
        <w:t xml:space="preserve">    </w:t>
      </w:r>
      <w:r>
        <w:rPr>
          <w:rFonts w:ascii="仿宋" w:hAnsi="仿宋" w:eastAsia="仿宋"/>
          <w:color w:val="000000"/>
          <w:sz w:val="32"/>
          <w:szCs w:val="32"/>
          <w:highlight w:val="none"/>
        </w:rPr>
        <w:t>开展法制宣传教育，实现师生违法犯罪率为零。组织全校学生收看法制教育专题片。每学期组织师生开展防震、消防应急疏散演练。</w:t>
      </w:r>
      <w:r>
        <w:rPr>
          <w:rFonts w:ascii="仿宋" w:hAnsi="仿宋" w:eastAsia="仿宋"/>
          <w:color w:val="000000"/>
          <w:sz w:val="32"/>
          <w:szCs w:val="32"/>
          <w:highlight w:val="none"/>
        </w:rPr>
        <w:br w:type="textWrapping"/>
      </w:r>
      <w:r>
        <w:rPr>
          <w:rFonts w:hint="eastAsia" w:ascii="仿宋" w:hAnsi="仿宋" w:eastAsia="仿宋"/>
          <w:color w:val="000000"/>
          <w:sz w:val="32"/>
          <w:szCs w:val="32"/>
          <w:highlight w:val="none"/>
        </w:rPr>
        <w:t xml:space="preserve">    </w:t>
      </w:r>
      <w:r>
        <w:rPr>
          <w:rFonts w:ascii="仿宋" w:hAnsi="仿宋" w:eastAsia="仿宋"/>
          <w:color w:val="000000"/>
          <w:sz w:val="32"/>
          <w:szCs w:val="32"/>
          <w:highlight w:val="none"/>
        </w:rPr>
        <w:t>3.加强环境教育。</w:t>
      </w:r>
      <w:r>
        <w:rPr>
          <w:rFonts w:ascii="仿宋" w:hAnsi="仿宋" w:eastAsia="仿宋"/>
          <w:color w:val="000000"/>
          <w:sz w:val="32"/>
          <w:szCs w:val="32"/>
          <w:highlight w:val="none"/>
        </w:rPr>
        <w:br w:type="textWrapping"/>
      </w:r>
      <w:r>
        <w:rPr>
          <w:rFonts w:hint="eastAsia" w:ascii="仿宋" w:hAnsi="仿宋" w:eastAsia="仿宋"/>
          <w:color w:val="000000"/>
          <w:sz w:val="32"/>
          <w:szCs w:val="32"/>
          <w:highlight w:val="none"/>
        </w:rPr>
        <w:t xml:space="preserve">    </w:t>
      </w:r>
      <w:r>
        <w:rPr>
          <w:rFonts w:ascii="仿宋" w:hAnsi="仿宋" w:eastAsia="仿宋"/>
          <w:color w:val="000000"/>
          <w:sz w:val="32"/>
          <w:szCs w:val="32"/>
          <w:highlight w:val="none"/>
        </w:rPr>
        <w:t>加强环境教育，提高师生环保意识，举办环保知识竞赛，开展环保主题活动。</w:t>
      </w:r>
      <w:r>
        <w:rPr>
          <w:rFonts w:ascii="仿宋" w:hAnsi="仿宋" w:eastAsia="仿宋"/>
          <w:color w:val="000000"/>
          <w:sz w:val="32"/>
          <w:szCs w:val="32"/>
          <w:highlight w:val="none"/>
        </w:rPr>
        <w:br w:type="textWrapping"/>
      </w:r>
      <w:r>
        <w:rPr>
          <w:rFonts w:ascii="仿宋" w:hAnsi="仿宋" w:eastAsia="仿宋"/>
          <w:color w:val="000000"/>
          <w:sz w:val="32"/>
          <w:szCs w:val="32"/>
          <w:highlight w:val="none"/>
        </w:rPr>
        <w:t>(二)抓住课堂教学主阵地，教学质量有所提高</w:t>
      </w:r>
      <w:r>
        <w:rPr>
          <w:rFonts w:ascii="仿宋" w:hAnsi="仿宋" w:eastAsia="仿宋"/>
          <w:color w:val="000000"/>
          <w:sz w:val="32"/>
          <w:szCs w:val="32"/>
          <w:highlight w:val="none"/>
        </w:rPr>
        <w:br w:type="textWrapping"/>
      </w:r>
      <w:r>
        <w:rPr>
          <w:rFonts w:hint="eastAsia" w:ascii="仿宋" w:hAnsi="仿宋" w:eastAsia="仿宋"/>
          <w:color w:val="000000"/>
          <w:sz w:val="32"/>
          <w:szCs w:val="32"/>
          <w:highlight w:val="none"/>
        </w:rPr>
        <w:t xml:space="preserve">    </w:t>
      </w:r>
      <w:r>
        <w:rPr>
          <w:rFonts w:ascii="仿宋" w:hAnsi="仿宋" w:eastAsia="仿宋"/>
          <w:color w:val="000000"/>
          <w:sz w:val="32"/>
          <w:szCs w:val="32"/>
          <w:highlight w:val="none"/>
        </w:rPr>
        <w:t>本学期，我校努力提高课堂教学效果，扎实推进素质教育进程，依靠科学搞好教学管理。</w:t>
      </w:r>
      <w:r>
        <w:rPr>
          <w:rFonts w:ascii="仿宋" w:hAnsi="仿宋" w:eastAsia="仿宋"/>
          <w:color w:val="000000"/>
          <w:sz w:val="32"/>
          <w:szCs w:val="32"/>
          <w:highlight w:val="none"/>
        </w:rPr>
        <w:br w:type="textWrapping"/>
      </w:r>
      <w:r>
        <w:rPr>
          <w:rFonts w:hint="eastAsia" w:ascii="仿宋" w:hAnsi="仿宋" w:eastAsia="仿宋"/>
          <w:color w:val="000000"/>
          <w:sz w:val="32"/>
          <w:szCs w:val="32"/>
          <w:highlight w:val="none"/>
        </w:rPr>
        <w:t xml:space="preserve">    </w:t>
      </w:r>
      <w:r>
        <w:rPr>
          <w:rFonts w:ascii="仿宋" w:hAnsi="仿宋" w:eastAsia="仿宋"/>
          <w:color w:val="000000"/>
          <w:sz w:val="32"/>
          <w:szCs w:val="32"/>
          <w:highlight w:val="none"/>
        </w:rPr>
        <w:t>1.以“新课程，新理念，新课堂”为主题，积极推进课程改革的实施。加强业务培训，提高业务素质。我校认真组织教师学习新课改的教学理念，教学策略和教学方法。以研促教，以教促研，帮助广大教师进一步转变了教育思想，更新了教育观念，形成了与新教育实验相适应的教育观、教学观、质量观与评价观等思想观念。</w:t>
      </w:r>
      <w:r>
        <w:rPr>
          <w:rFonts w:hint="eastAsia" w:ascii="仿宋" w:hAnsi="仿宋" w:eastAsia="仿宋"/>
          <w:color w:val="000000"/>
          <w:sz w:val="32"/>
          <w:szCs w:val="32"/>
          <w:highlight w:val="none"/>
        </w:rPr>
        <w:t xml:space="preserve">  </w:t>
      </w:r>
    </w:p>
    <w:p>
      <w:pPr>
        <w:rPr>
          <w:rFonts w:hint="eastAsia"/>
          <w:lang w:eastAsia="zh-CN"/>
        </w:rPr>
      </w:pPr>
      <w:r>
        <w:rPr>
          <w:rFonts w:ascii="仿宋" w:hAnsi="仿宋" w:eastAsia="仿宋"/>
          <w:color w:val="000000"/>
          <w:sz w:val="32"/>
          <w:szCs w:val="32"/>
          <w:highlight w:val="none"/>
        </w:rPr>
        <w:t>2.加强课堂教学研究，提高课堂教学水平，提高教学质量。</w:t>
      </w:r>
      <w:r>
        <w:rPr>
          <w:rFonts w:ascii="仿宋" w:hAnsi="仿宋" w:eastAsia="仿宋"/>
          <w:color w:val="000000"/>
          <w:sz w:val="32"/>
          <w:szCs w:val="32"/>
          <w:highlight w:val="none"/>
        </w:rPr>
        <w:br w:type="textWrapping"/>
      </w:r>
      <w:r>
        <w:rPr>
          <w:rFonts w:hint="eastAsia" w:ascii="仿宋" w:hAnsi="仿宋" w:eastAsia="仿宋"/>
          <w:color w:val="000000"/>
          <w:sz w:val="32"/>
          <w:szCs w:val="32"/>
          <w:highlight w:val="none"/>
        </w:rPr>
        <w:t xml:space="preserve">    </w:t>
      </w:r>
      <w:r>
        <w:rPr>
          <w:rFonts w:ascii="仿宋" w:hAnsi="仿宋" w:eastAsia="仿宋"/>
          <w:color w:val="000000"/>
          <w:sz w:val="32"/>
          <w:szCs w:val="32"/>
          <w:highlight w:val="none"/>
        </w:rPr>
        <w:t>教导处组织</w:t>
      </w:r>
      <w:r>
        <w:rPr>
          <w:rFonts w:hint="eastAsia" w:ascii="仿宋" w:hAnsi="仿宋" w:eastAsia="仿宋"/>
          <w:color w:val="000000"/>
          <w:sz w:val="32"/>
          <w:szCs w:val="32"/>
          <w:highlight w:val="none"/>
        </w:rPr>
        <w:t>各</w:t>
      </w:r>
      <w:r>
        <w:rPr>
          <w:rFonts w:ascii="仿宋" w:hAnsi="仿宋" w:eastAsia="仿宋"/>
          <w:color w:val="000000"/>
          <w:sz w:val="32"/>
          <w:szCs w:val="32"/>
          <w:highlight w:val="none"/>
        </w:rPr>
        <w:t>教研组在新老教师中开展“一帮一”结对子活动，通过结对子活动使新老教师互帮互学，取长补短，使新教师尽快适应教学，老教师再上新台阶，促进教师专业发展，共同提高教学质量。主要要求如下：</w:t>
      </w:r>
      <w:r>
        <w:rPr>
          <w:rFonts w:ascii="仿宋" w:hAnsi="仿宋" w:eastAsia="仿宋"/>
          <w:color w:val="000000"/>
          <w:sz w:val="32"/>
          <w:szCs w:val="32"/>
          <w:highlight w:val="none"/>
        </w:rPr>
        <w:br w:type="textWrapping"/>
      </w:r>
      <w:r>
        <w:rPr>
          <w:rFonts w:hint="eastAsia" w:ascii="仿宋" w:hAnsi="仿宋" w:eastAsia="仿宋"/>
          <w:color w:val="000000"/>
          <w:sz w:val="32"/>
          <w:szCs w:val="32"/>
          <w:highlight w:val="none"/>
        </w:rPr>
        <w:t xml:space="preserve">    </w:t>
      </w:r>
      <w:r>
        <w:rPr>
          <w:rFonts w:ascii="仿宋" w:hAnsi="仿宋" w:eastAsia="仿宋"/>
          <w:color w:val="000000"/>
          <w:sz w:val="32"/>
          <w:szCs w:val="32"/>
          <w:highlight w:val="none"/>
        </w:rPr>
        <w:t>①老教师定期检查指导新教师的备课教案、作业批改等教学常规工作;新老教师互相听课，并有具体的教学评议。</w:t>
      </w:r>
      <w:r>
        <w:rPr>
          <w:rFonts w:ascii="仿宋" w:hAnsi="仿宋" w:eastAsia="仿宋"/>
          <w:color w:val="000000"/>
          <w:sz w:val="32"/>
          <w:szCs w:val="32"/>
          <w:highlight w:val="none"/>
        </w:rPr>
        <w:br w:type="textWrapping"/>
      </w:r>
      <w:r>
        <w:rPr>
          <w:rFonts w:hint="eastAsia" w:ascii="仿宋" w:hAnsi="仿宋" w:eastAsia="仿宋"/>
          <w:color w:val="000000"/>
          <w:sz w:val="32"/>
          <w:szCs w:val="32"/>
          <w:highlight w:val="none"/>
        </w:rPr>
        <w:t xml:space="preserve">    </w:t>
      </w:r>
      <w:r>
        <w:rPr>
          <w:rFonts w:ascii="仿宋" w:hAnsi="仿宋" w:eastAsia="仿宋"/>
          <w:color w:val="000000"/>
          <w:sz w:val="32"/>
          <w:szCs w:val="32"/>
          <w:highlight w:val="none"/>
        </w:rPr>
        <w:t>②骨干教师要制定好结对指导计划，认真做好结对工作，新教师要撰写成长过程的心得体会</w:t>
      </w:r>
      <w:r>
        <w:rPr>
          <w:rFonts w:hint="eastAsia" w:ascii="仿宋" w:hAnsi="仿宋" w:eastAsia="仿宋"/>
          <w:color w:val="000000"/>
          <w:sz w:val="32"/>
          <w:szCs w:val="32"/>
          <w:highlight w:val="none"/>
        </w:rPr>
        <w:t>。</w:t>
      </w:r>
      <w:r>
        <w:rPr>
          <w:rFonts w:ascii="仿宋" w:hAnsi="仿宋" w:eastAsia="仿宋"/>
          <w:color w:val="000000"/>
          <w:sz w:val="32"/>
          <w:szCs w:val="32"/>
          <w:highlight w:val="none"/>
        </w:rPr>
        <w:br w:type="textWrapping"/>
      </w:r>
      <w:r>
        <w:rPr>
          <w:rFonts w:hint="eastAsia" w:ascii="仿宋" w:hAnsi="仿宋" w:eastAsia="仿宋"/>
          <w:color w:val="000000"/>
          <w:sz w:val="32"/>
          <w:szCs w:val="32"/>
          <w:highlight w:val="none"/>
        </w:rPr>
        <w:t xml:space="preserve">     3</w:t>
      </w:r>
      <w:r>
        <w:rPr>
          <w:rFonts w:ascii="仿宋" w:hAnsi="仿宋" w:eastAsia="仿宋"/>
          <w:color w:val="000000"/>
          <w:sz w:val="32"/>
          <w:szCs w:val="32"/>
          <w:highlight w:val="none"/>
        </w:rPr>
        <w:t>.继续抓好体育、卫生和艺术教育工作。保证学生每天一小时活动时间。学校开齐了音、体、美和健康教育课，保证了课时。其次，开展丰富多彩的实践活动。体育教学认真贯彻落实学生体质健康测试标准实施工作，引导鼓励学生开展锻炼活动，使学生的身心得到健康发展。卫生工作开展了系列宣传教育等活动，引导学生养成良好的卫生习惯。艺术教育工作做到了有计划地开展丰富多彩的活动，</w:t>
      </w:r>
      <w:r>
        <w:rPr>
          <w:rFonts w:hint="eastAsia" w:ascii="仿宋" w:hAnsi="仿宋" w:eastAsia="仿宋"/>
          <w:color w:val="000000"/>
          <w:sz w:val="32"/>
          <w:szCs w:val="32"/>
          <w:highlight w:val="none"/>
        </w:rPr>
        <w:t>舞蹈队、弹唱队</w:t>
      </w:r>
      <w:r>
        <w:rPr>
          <w:rFonts w:ascii="仿宋" w:hAnsi="仿宋" w:eastAsia="仿宋"/>
          <w:color w:val="000000"/>
          <w:sz w:val="32"/>
          <w:szCs w:val="32"/>
          <w:highlight w:val="none"/>
        </w:rPr>
        <w:t>活动有</w:t>
      </w:r>
      <w:r>
        <w:rPr>
          <w:rFonts w:hint="eastAsia" w:ascii="仿宋" w:hAnsi="仿宋" w:eastAsia="仿宋"/>
          <w:color w:val="000000"/>
          <w:sz w:val="32"/>
          <w:szCs w:val="32"/>
          <w:highlight w:val="none"/>
        </w:rPr>
        <w:t>所</w:t>
      </w:r>
      <w:r>
        <w:rPr>
          <w:rFonts w:ascii="仿宋" w:hAnsi="仿宋" w:eastAsia="仿宋"/>
          <w:color w:val="000000"/>
          <w:sz w:val="32"/>
          <w:szCs w:val="32"/>
          <w:highlight w:val="none"/>
        </w:rPr>
        <w:t>成效，提高了学生的审美能力。</w:t>
      </w:r>
      <w:r>
        <w:rPr>
          <w:rFonts w:ascii="仿宋" w:hAnsi="仿宋" w:eastAsia="仿宋"/>
          <w:color w:val="000000"/>
          <w:sz w:val="32"/>
          <w:szCs w:val="32"/>
          <w:highlight w:val="none"/>
        </w:rPr>
        <w:br w:type="textWrapping"/>
      </w:r>
      <w:r>
        <w:rPr>
          <w:rFonts w:ascii="仿宋" w:hAnsi="仿宋" w:eastAsia="仿宋"/>
          <w:color w:val="000000"/>
          <w:sz w:val="32"/>
          <w:szCs w:val="32"/>
          <w:highlight w:val="none"/>
        </w:rPr>
        <w:t>三、坚持预防为主，积极创建平安校园</w:t>
      </w:r>
      <w:r>
        <w:rPr>
          <w:rFonts w:ascii="仿宋" w:hAnsi="仿宋" w:eastAsia="仿宋"/>
          <w:color w:val="000000"/>
          <w:sz w:val="32"/>
          <w:szCs w:val="32"/>
          <w:highlight w:val="none"/>
        </w:rPr>
        <w:br w:type="textWrapping"/>
      </w:r>
      <w:r>
        <w:rPr>
          <w:rFonts w:hint="eastAsia" w:ascii="仿宋" w:hAnsi="仿宋" w:eastAsia="仿宋"/>
          <w:color w:val="000000"/>
          <w:sz w:val="32"/>
          <w:szCs w:val="32"/>
          <w:highlight w:val="none"/>
        </w:rPr>
        <w:t xml:space="preserve">    </w:t>
      </w:r>
      <w:r>
        <w:rPr>
          <w:rFonts w:ascii="仿宋" w:hAnsi="仿宋" w:eastAsia="仿宋"/>
          <w:color w:val="000000"/>
          <w:sz w:val="32"/>
          <w:szCs w:val="32"/>
          <w:highlight w:val="none"/>
        </w:rPr>
        <w:t>1.能够认真贯彻落实上级关于学校安全工作的一系列精神，坚持“安全第一，预防为主”的方针，围绕建设平安校园，进一步建立健全了学校安全工作的各项规章制度，深入细致地宣传贯彻有关学校安全工作的法律法规，抓好学校安全保卫工作目标责任制的落实，切实做到了层层有目标，人人有责任。</w:t>
      </w:r>
      <w:r>
        <w:rPr>
          <w:rFonts w:ascii="仿宋" w:hAnsi="仿宋" w:eastAsia="仿宋"/>
          <w:color w:val="000000"/>
          <w:sz w:val="32"/>
          <w:szCs w:val="32"/>
          <w:highlight w:val="none"/>
        </w:rPr>
        <w:br w:type="textWrapping"/>
      </w:r>
      <w:r>
        <w:rPr>
          <w:rFonts w:hint="eastAsia" w:ascii="仿宋" w:hAnsi="仿宋" w:eastAsia="仿宋"/>
          <w:color w:val="000000"/>
          <w:sz w:val="32"/>
          <w:szCs w:val="32"/>
          <w:highlight w:val="none"/>
        </w:rPr>
        <w:t xml:space="preserve">    2</w:t>
      </w:r>
      <w:r>
        <w:rPr>
          <w:rFonts w:ascii="仿宋" w:hAnsi="仿宋" w:eastAsia="仿宋"/>
          <w:color w:val="000000"/>
          <w:sz w:val="32"/>
          <w:szCs w:val="32"/>
          <w:highlight w:val="none"/>
        </w:rPr>
        <w:t>.充分利用班会、队会、板报、手抄报等形式，加强安全教育，进行安全知识和安全技能的培训，增强学生的安全防范意识;以防盗窃、防火灾、防食物中毒、防交通事故、防各种意外事故为重点，广泛开展了安全教育活动。</w:t>
      </w:r>
      <w:r>
        <w:rPr>
          <w:rFonts w:ascii="仿宋" w:hAnsi="仿宋" w:eastAsia="仿宋"/>
          <w:color w:val="000000"/>
          <w:sz w:val="32"/>
          <w:szCs w:val="32"/>
          <w:highlight w:val="none"/>
        </w:rPr>
        <w:br w:type="textWrapping"/>
      </w:r>
      <w:r>
        <w:rPr>
          <w:rFonts w:hint="eastAsia" w:ascii="仿宋" w:hAnsi="仿宋" w:eastAsia="仿宋"/>
          <w:color w:val="000000"/>
          <w:sz w:val="32"/>
          <w:szCs w:val="32"/>
          <w:highlight w:val="none"/>
        </w:rPr>
        <w:t xml:space="preserve">    </w:t>
      </w:r>
      <w:r>
        <w:rPr>
          <w:rFonts w:ascii="仿宋" w:hAnsi="仿宋" w:eastAsia="仿宋"/>
          <w:color w:val="000000"/>
          <w:sz w:val="32"/>
          <w:szCs w:val="32"/>
          <w:highlight w:val="none"/>
        </w:rPr>
        <w:t>3.加大了安全工作的检查和整改力度。本学期，学校安装</w:t>
      </w:r>
      <w:r>
        <w:rPr>
          <w:rFonts w:hint="eastAsia" w:ascii="仿宋" w:hAnsi="仿宋" w:eastAsia="仿宋"/>
          <w:color w:val="000000"/>
          <w:sz w:val="32"/>
          <w:szCs w:val="32"/>
          <w:highlight w:val="none"/>
        </w:rPr>
        <w:t>完善</w:t>
      </w:r>
      <w:r>
        <w:rPr>
          <w:rFonts w:ascii="仿宋" w:hAnsi="仿宋" w:eastAsia="仿宋"/>
          <w:color w:val="000000"/>
          <w:sz w:val="32"/>
          <w:szCs w:val="32"/>
          <w:highlight w:val="none"/>
        </w:rPr>
        <w:t>了报警系统及校园摄像安全系统。经常检查校舍、围墙等设施，认真做好记录，发现隐患及时报告并尽快排除。</w:t>
      </w:r>
      <w:r>
        <w:rPr>
          <w:rFonts w:ascii="仿宋" w:hAnsi="仿宋" w:eastAsia="仿宋"/>
          <w:color w:val="000000"/>
          <w:sz w:val="32"/>
          <w:szCs w:val="32"/>
          <w:highlight w:val="none"/>
        </w:rPr>
        <w:br w:type="textWrapping"/>
      </w:r>
      <w:r>
        <w:rPr>
          <w:rFonts w:hint="eastAsia" w:ascii="仿宋" w:hAnsi="仿宋" w:eastAsia="仿宋"/>
          <w:color w:val="000000"/>
          <w:sz w:val="32"/>
          <w:szCs w:val="32"/>
          <w:highlight w:val="none"/>
        </w:rPr>
        <w:t xml:space="preserve">    四</w:t>
      </w:r>
      <w:r>
        <w:rPr>
          <w:rFonts w:ascii="仿宋" w:hAnsi="仿宋" w:eastAsia="仿宋"/>
          <w:color w:val="000000"/>
          <w:sz w:val="32"/>
          <w:szCs w:val="32"/>
          <w:highlight w:val="none"/>
        </w:rPr>
        <w:t>、存在的问题</w:t>
      </w:r>
      <w:r>
        <w:rPr>
          <w:rFonts w:ascii="仿宋" w:hAnsi="仿宋" w:eastAsia="仿宋"/>
          <w:color w:val="000000"/>
          <w:sz w:val="32"/>
          <w:szCs w:val="32"/>
          <w:highlight w:val="none"/>
        </w:rPr>
        <w:br w:type="textWrapping"/>
      </w:r>
      <w:r>
        <w:rPr>
          <w:rFonts w:hint="eastAsia" w:ascii="仿宋" w:hAnsi="仿宋" w:eastAsia="仿宋"/>
          <w:color w:val="000000"/>
          <w:sz w:val="32"/>
          <w:szCs w:val="32"/>
          <w:highlight w:val="none"/>
        </w:rPr>
        <w:t xml:space="preserve">    </w:t>
      </w:r>
      <w:r>
        <w:rPr>
          <w:rFonts w:ascii="仿宋" w:hAnsi="仿宋" w:eastAsia="仿宋"/>
          <w:color w:val="000000"/>
          <w:sz w:val="32"/>
          <w:szCs w:val="32"/>
          <w:highlight w:val="none"/>
        </w:rPr>
        <w:t>本学期，在上级领导的指导和支持下，在全体师生的共同努力下，学校工作虽然取得了一些成绩，但我们也清醒地认识到，我们的工作距离上级的要求，还有一定的差距，主要有以下几点：</w:t>
      </w:r>
      <w:r>
        <w:rPr>
          <w:rFonts w:ascii="仿宋" w:hAnsi="仿宋" w:eastAsia="仿宋"/>
          <w:color w:val="000000"/>
          <w:sz w:val="32"/>
          <w:szCs w:val="32"/>
          <w:highlight w:val="none"/>
        </w:rPr>
        <w:br w:type="textWrapping"/>
      </w:r>
      <w:r>
        <w:rPr>
          <w:rFonts w:hint="eastAsia" w:ascii="仿宋" w:hAnsi="仿宋" w:eastAsia="仿宋"/>
          <w:color w:val="000000"/>
          <w:sz w:val="32"/>
          <w:szCs w:val="32"/>
          <w:highlight w:val="none"/>
        </w:rPr>
        <w:t xml:space="preserve">    </w:t>
      </w:r>
      <w:r>
        <w:rPr>
          <w:rFonts w:ascii="仿宋" w:hAnsi="仿宋" w:eastAsia="仿宋"/>
          <w:color w:val="000000"/>
          <w:sz w:val="32"/>
          <w:szCs w:val="32"/>
          <w:highlight w:val="none"/>
        </w:rPr>
        <w:t>1.学校的教育教学质量有待于进一步提高，教师整体水平需提高;</w:t>
      </w:r>
      <w:r>
        <w:rPr>
          <w:rFonts w:ascii="仿宋" w:hAnsi="仿宋" w:eastAsia="仿宋"/>
          <w:color w:val="000000"/>
          <w:sz w:val="32"/>
          <w:szCs w:val="32"/>
          <w:highlight w:val="none"/>
        </w:rPr>
        <w:br w:type="textWrapping"/>
      </w:r>
      <w:r>
        <w:rPr>
          <w:rFonts w:hint="eastAsia" w:ascii="仿宋" w:hAnsi="仿宋" w:eastAsia="仿宋"/>
          <w:color w:val="000000"/>
          <w:sz w:val="32"/>
          <w:szCs w:val="32"/>
          <w:highlight w:val="none"/>
        </w:rPr>
        <w:t xml:space="preserve">    </w:t>
      </w:r>
      <w:r>
        <w:rPr>
          <w:rFonts w:ascii="仿宋" w:hAnsi="仿宋" w:eastAsia="仿宋"/>
          <w:color w:val="000000"/>
          <w:sz w:val="32"/>
          <w:szCs w:val="32"/>
          <w:highlight w:val="none"/>
        </w:rPr>
        <w:t>2.教师业务素质以及基本功还需要进一步提高，课堂的效率还需要进一步提高;</w:t>
      </w:r>
      <w:r>
        <w:rPr>
          <w:rFonts w:ascii="仿宋" w:hAnsi="仿宋" w:eastAsia="仿宋"/>
          <w:color w:val="000000"/>
          <w:sz w:val="32"/>
          <w:szCs w:val="32"/>
          <w:highlight w:val="none"/>
        </w:rPr>
        <w:br w:type="textWrapping"/>
      </w:r>
      <w:r>
        <w:rPr>
          <w:rFonts w:hint="eastAsia" w:ascii="仿宋" w:hAnsi="仿宋" w:eastAsia="仿宋"/>
          <w:color w:val="000000"/>
          <w:sz w:val="32"/>
          <w:szCs w:val="32"/>
          <w:highlight w:val="none"/>
        </w:rPr>
        <w:t xml:space="preserve">    </w:t>
      </w:r>
      <w:r>
        <w:rPr>
          <w:rFonts w:ascii="仿宋" w:hAnsi="仿宋" w:eastAsia="仿宋"/>
          <w:color w:val="000000"/>
          <w:sz w:val="32"/>
          <w:szCs w:val="32"/>
          <w:highlight w:val="none"/>
        </w:rPr>
        <w:t>3.有待提高学校特色教育的工作;</w:t>
      </w:r>
      <w:r>
        <w:rPr>
          <w:rFonts w:ascii="仿宋" w:hAnsi="仿宋" w:eastAsia="仿宋"/>
          <w:color w:val="000000"/>
          <w:sz w:val="32"/>
          <w:szCs w:val="32"/>
          <w:highlight w:val="none"/>
        </w:rPr>
        <w:br w:type="textWrapping"/>
      </w:r>
      <w:r>
        <w:rPr>
          <w:rFonts w:hint="eastAsia" w:ascii="仿宋" w:hAnsi="仿宋" w:eastAsia="仿宋"/>
          <w:color w:val="000000"/>
          <w:sz w:val="32"/>
          <w:szCs w:val="32"/>
          <w:highlight w:val="none"/>
        </w:rPr>
        <w:t xml:space="preserve">    4</w:t>
      </w:r>
      <w:r>
        <w:rPr>
          <w:rFonts w:ascii="仿宋" w:hAnsi="仿宋" w:eastAsia="仿宋"/>
          <w:color w:val="000000"/>
          <w:sz w:val="32"/>
          <w:szCs w:val="32"/>
          <w:highlight w:val="none"/>
        </w:rPr>
        <w:t>.校本教研还需继续深入，扎实开展，教师的教科研意识需要进一步提高;</w:t>
      </w:r>
      <w:r>
        <w:rPr>
          <w:rFonts w:ascii="仿宋" w:hAnsi="仿宋" w:eastAsia="仿宋"/>
          <w:color w:val="000000"/>
          <w:sz w:val="32"/>
          <w:szCs w:val="32"/>
          <w:highlight w:val="none"/>
        </w:rPr>
        <w:br w:type="textWrapping"/>
      </w:r>
      <w:r>
        <w:rPr>
          <w:rFonts w:hint="eastAsia" w:ascii="仿宋" w:hAnsi="仿宋" w:eastAsia="仿宋"/>
          <w:color w:val="000000"/>
          <w:sz w:val="32"/>
          <w:szCs w:val="32"/>
          <w:highlight w:val="none"/>
        </w:rPr>
        <w:t xml:space="preserve">    5</w:t>
      </w:r>
      <w:r>
        <w:rPr>
          <w:rFonts w:ascii="仿宋" w:hAnsi="仿宋" w:eastAsia="仿宋"/>
          <w:color w:val="000000"/>
          <w:sz w:val="32"/>
          <w:szCs w:val="32"/>
          <w:highlight w:val="none"/>
        </w:rPr>
        <w:t>.学校的管理工作需要严格按照局文件精神，需要进一步科学化、制度化、精细化。</w:t>
      </w:r>
      <w:r>
        <w:rPr>
          <w:rFonts w:ascii="仿宋" w:hAnsi="仿宋" w:eastAsia="仿宋"/>
          <w:color w:val="000000"/>
          <w:sz w:val="32"/>
          <w:szCs w:val="32"/>
          <w:highlight w:val="none"/>
        </w:rPr>
        <w:br w:type="textWrapping"/>
      </w:r>
      <w:r>
        <w:rPr>
          <w:rFonts w:hint="eastAsia" w:ascii="仿宋" w:hAnsi="仿宋" w:eastAsia="仿宋"/>
          <w:color w:val="000000"/>
          <w:sz w:val="32"/>
          <w:szCs w:val="32"/>
          <w:highlight w:val="none"/>
        </w:rPr>
        <w:t xml:space="preserve">    </w:t>
      </w:r>
      <w:r>
        <w:rPr>
          <w:rFonts w:ascii="仿宋" w:hAnsi="仿宋" w:eastAsia="仿宋"/>
          <w:color w:val="000000"/>
          <w:sz w:val="32"/>
          <w:szCs w:val="32"/>
          <w:highlight w:val="none"/>
        </w:rPr>
        <w:t>今后，我们将进一步加强领导的自身建设，努力提高领导的管理水平，建立健全各项管理制度，加强学校日常管理。我们相信，在上级领导的正确领导和大力支持下，在学校全体师生的通力合作下，我们学校的明天会更美好!</w:t>
      </w:r>
    </w:p>
    <w:p>
      <w:pPr>
        <w:numPr>
          <w:ilvl w:val="0"/>
          <w:numId w:val="0"/>
        </w:numPr>
        <w:rPr>
          <w:rFonts w:hint="eastAsia"/>
        </w:rPr>
      </w:pPr>
    </w:p>
    <w:p>
      <w:pPr>
        <w:pStyle w:val="4"/>
        <w:bidi w:val="0"/>
        <w:rPr>
          <w:rFonts w:hint="eastAsia"/>
        </w:rPr>
      </w:pPr>
      <w:bookmarkStart w:id="12" w:name="_Toc305039731"/>
      <w:r>
        <w:rPr>
          <w:rFonts w:hint="eastAsia"/>
          <w:lang w:eastAsia="zh-CN"/>
        </w:rPr>
        <w:t>二、</w:t>
      </w:r>
      <w:r>
        <w:rPr>
          <w:rFonts w:hint="eastAsia"/>
        </w:rPr>
        <w:t>机构设置</w:t>
      </w:r>
      <w:bookmarkEnd w:id="12"/>
    </w:p>
    <w:p>
      <w:pPr>
        <w:ind w:firstLine="800" w:firstLineChars="25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四川省阿坝州壤塘县</w:t>
      </w:r>
      <w:r>
        <w:rPr>
          <w:rFonts w:hint="eastAsia" w:ascii="方正仿宋_GB2312" w:hAnsi="方正仿宋_GB2312" w:eastAsia="方正仿宋_GB2312" w:cs="方正仿宋_GB2312"/>
          <w:sz w:val="32"/>
          <w:szCs w:val="32"/>
          <w:lang w:eastAsia="zh-CN"/>
        </w:rPr>
        <w:t>上壤塘中心校</w:t>
      </w:r>
      <w:r>
        <w:rPr>
          <w:rFonts w:hint="eastAsia" w:ascii="方正仿宋_GB2312" w:hAnsi="方正仿宋_GB2312" w:eastAsia="方正仿宋_GB2312" w:cs="方正仿宋_GB2312"/>
          <w:sz w:val="32"/>
          <w:szCs w:val="32"/>
        </w:rPr>
        <w:t>下属二级单位</w:t>
      </w:r>
      <w:r>
        <w:rPr>
          <w:rFonts w:hint="eastAsia" w:ascii="方正仿宋_GB2312" w:hAnsi="方正仿宋_GB2312" w:eastAsia="方正仿宋_GB2312" w:cs="方正仿宋_GB2312"/>
          <w:sz w:val="32"/>
          <w:szCs w:val="32"/>
          <w:lang w:val="en-US" w:eastAsia="zh-CN"/>
        </w:rPr>
        <w:t>0</w:t>
      </w:r>
      <w:r>
        <w:rPr>
          <w:rFonts w:hint="eastAsia" w:ascii="方正仿宋_GB2312" w:hAnsi="方正仿宋_GB2312" w:eastAsia="方正仿宋_GB2312" w:cs="方正仿宋_GB2312"/>
          <w:sz w:val="32"/>
          <w:szCs w:val="32"/>
        </w:rPr>
        <w:t>个，其中行政单位</w:t>
      </w:r>
      <w:r>
        <w:rPr>
          <w:rFonts w:hint="eastAsia" w:ascii="方正仿宋_GB2312" w:hAnsi="方正仿宋_GB2312" w:eastAsia="方正仿宋_GB2312" w:cs="方正仿宋_GB2312"/>
          <w:sz w:val="32"/>
          <w:szCs w:val="32"/>
          <w:lang w:val="en-US" w:eastAsia="zh-CN"/>
        </w:rPr>
        <w:t>0</w:t>
      </w:r>
      <w:r>
        <w:rPr>
          <w:rFonts w:hint="eastAsia" w:ascii="方正仿宋_GB2312" w:hAnsi="方正仿宋_GB2312" w:eastAsia="方正仿宋_GB2312" w:cs="方正仿宋_GB2312"/>
          <w:sz w:val="32"/>
          <w:szCs w:val="32"/>
        </w:rPr>
        <w:t>个，参照公务员法管理的事业单位</w:t>
      </w:r>
      <w:r>
        <w:rPr>
          <w:rFonts w:hint="eastAsia" w:ascii="方正仿宋_GB2312" w:hAnsi="方正仿宋_GB2312" w:eastAsia="方正仿宋_GB2312" w:cs="方正仿宋_GB2312"/>
          <w:bCs/>
          <w:sz w:val="32"/>
          <w:szCs w:val="32"/>
          <w:lang w:val="en-US" w:eastAsia="zh-CN"/>
        </w:rPr>
        <w:t>0</w:t>
      </w:r>
      <w:r>
        <w:rPr>
          <w:rFonts w:hint="eastAsia" w:ascii="方正仿宋_GB2312" w:hAnsi="方正仿宋_GB2312" w:eastAsia="方正仿宋_GB2312" w:cs="方正仿宋_GB2312"/>
          <w:sz w:val="32"/>
          <w:szCs w:val="32"/>
        </w:rPr>
        <w:t>个，其他事业单位</w:t>
      </w:r>
      <w:r>
        <w:rPr>
          <w:rFonts w:hint="eastAsia" w:ascii="方正仿宋_GB2312" w:hAnsi="方正仿宋_GB2312" w:eastAsia="方正仿宋_GB2312" w:cs="方正仿宋_GB2312"/>
          <w:sz w:val="32"/>
          <w:szCs w:val="32"/>
          <w:lang w:val="en-US" w:eastAsia="zh-CN"/>
        </w:rPr>
        <w:t>0</w:t>
      </w:r>
      <w:r>
        <w:rPr>
          <w:rFonts w:hint="eastAsia" w:ascii="方正仿宋_GB2312" w:hAnsi="方正仿宋_GB2312" w:eastAsia="方正仿宋_GB2312" w:cs="方正仿宋_GB2312"/>
          <w:sz w:val="32"/>
          <w:szCs w:val="32"/>
        </w:rPr>
        <w:t>个。</w:t>
      </w:r>
    </w:p>
    <w:p>
      <w:pPr>
        <w:pStyle w:val="2"/>
        <w:adjustRightInd w:val="0"/>
        <w:snapToGrid w:val="0"/>
        <w:spacing w:before="93" w:line="600" w:lineRule="exact"/>
        <w:ind w:firstLine="672" w:firstLineChars="21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纳入</w:t>
      </w:r>
      <w:r>
        <w:rPr>
          <w:rFonts w:hint="eastAsia" w:ascii="方正仿宋_GB2312" w:hAnsi="方正仿宋_GB2312" w:eastAsia="方正仿宋_GB2312" w:cs="方正仿宋_GB2312"/>
          <w:sz w:val="32"/>
          <w:szCs w:val="32"/>
        </w:rPr>
        <w:t>四川省阿坝州壤塘县</w:t>
      </w:r>
      <w:r>
        <w:rPr>
          <w:rFonts w:hint="eastAsia" w:ascii="方正仿宋_GB2312" w:hAnsi="方正仿宋_GB2312" w:eastAsia="方正仿宋_GB2312" w:cs="方正仿宋_GB2312"/>
          <w:sz w:val="32"/>
          <w:szCs w:val="32"/>
          <w:lang w:eastAsia="zh-CN"/>
        </w:rPr>
        <w:t>上壤塘中心校</w:t>
      </w:r>
      <w:r>
        <w:rPr>
          <w:rFonts w:hint="eastAsia" w:ascii="方正仿宋_GB2312" w:hAnsi="方正仿宋_GB2312" w:eastAsia="方正仿宋_GB2312" w:cs="方正仿宋_GB2312"/>
          <w:color w:val="000000"/>
          <w:sz w:val="32"/>
          <w:szCs w:val="32"/>
        </w:rPr>
        <w:t>202</w:t>
      </w:r>
      <w:r>
        <w:rPr>
          <w:rFonts w:hint="eastAsia" w:ascii="方正仿宋_GB2312" w:hAnsi="方正仿宋_GB2312" w:eastAsia="方正仿宋_GB2312" w:cs="方正仿宋_GB2312"/>
          <w:color w:val="000000"/>
          <w:sz w:val="32"/>
          <w:szCs w:val="32"/>
          <w:lang w:val="en-US" w:eastAsia="zh-CN"/>
        </w:rPr>
        <w:t>5</w:t>
      </w:r>
      <w:r>
        <w:rPr>
          <w:rFonts w:hint="eastAsia" w:ascii="方正仿宋_GB2312" w:hAnsi="方正仿宋_GB2312" w:eastAsia="方正仿宋_GB2312" w:cs="方正仿宋_GB2312"/>
          <w:color w:val="000000"/>
          <w:sz w:val="32"/>
          <w:szCs w:val="32"/>
        </w:rPr>
        <w:t>年度部门决算编制范围的二级预算单位包括：</w:t>
      </w:r>
    </w:p>
    <w:p>
      <w:pPr>
        <w:numPr>
          <w:ilvl w:val="0"/>
          <w:numId w:val="0"/>
        </w:numPr>
        <w:ind w:leftChars="0"/>
        <w:rPr>
          <w:rFonts w:hint="eastAsia"/>
        </w:rPr>
      </w:pPr>
      <w:r>
        <w:rPr>
          <w:rFonts w:hint="eastAsia" w:ascii="仿宋" w:hAnsi="仿宋" w:eastAsia="仿宋"/>
          <w:color w:val="000000"/>
          <w:sz w:val="32"/>
          <w:szCs w:val="32"/>
          <w:lang w:val="en-US" w:eastAsia="zh-CN"/>
        </w:rPr>
        <w:t>无</w:t>
      </w:r>
    </w:p>
    <w:p>
      <w:pPr>
        <w:pStyle w:val="3"/>
        <w:bidi w:val="0"/>
        <w:rPr>
          <w:rFonts w:hint="eastAsia"/>
        </w:rPr>
      </w:pPr>
      <w:bookmarkStart w:id="13" w:name="_Toc562925958"/>
      <w:r>
        <w:rPr>
          <w:rFonts w:hint="eastAsia"/>
        </w:rPr>
        <w:t>第二部分</w:t>
      </w:r>
      <w:r>
        <w:rPr>
          <w:rFonts w:hint="eastAsia"/>
          <w:lang w:val="en-US" w:eastAsia="zh-CN"/>
        </w:rPr>
        <w:t xml:space="preserve"> 2025年度</w:t>
      </w:r>
      <w:r>
        <w:rPr>
          <w:rFonts w:hint="eastAsia"/>
        </w:rPr>
        <w:t>部门决算情况说明</w:t>
      </w:r>
      <w:bookmarkEnd w:id="13"/>
    </w:p>
    <w:p>
      <w:pPr>
        <w:pStyle w:val="4"/>
        <w:bidi w:val="0"/>
        <w:rPr>
          <w:rFonts w:hint="eastAsia"/>
        </w:rPr>
      </w:pPr>
      <w:bookmarkStart w:id="14" w:name="_Toc976915896"/>
      <w:r>
        <w:rPr>
          <w:rFonts w:hint="eastAsia"/>
        </w:rPr>
        <w:t>一、收入支出决算总体情况说明</w:t>
      </w:r>
      <w:bookmarkEnd w:id="14"/>
    </w:p>
    <w:p>
      <w:pPr>
        <w:ind w:firstLine="640" w:firstLineChars="200"/>
        <w:rPr>
          <w:rFonts w:hint="eastAsia" w:ascii="Times New Roman" w:hAnsi="Times New Roman" w:eastAsia="仿宋_GB2312" w:cs="仿宋_GB2312"/>
          <w:color w:val="auto"/>
          <w:sz w:val="32"/>
          <w:szCs w:val="32"/>
          <w:highlight w:val="none"/>
        </w:rPr>
      </w:pP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rPr>
        <w:t>年度收、支总计</w:t>
      </w:r>
      <w:r>
        <w:rPr>
          <w:rFonts w:hint="eastAsia" w:ascii="仿宋" w:hAnsi="仿宋" w:eastAsia="仿宋"/>
          <w:color w:val="auto"/>
          <w:sz w:val="32"/>
          <w:szCs w:val="32"/>
          <w:highlight w:val="none"/>
          <w:lang w:eastAsia="zh-CN"/>
        </w:rPr>
        <w:t>均为</w:t>
      </w:r>
      <w:r>
        <w:rPr>
          <w:rFonts w:hint="eastAsia" w:ascii="仿宋" w:hAnsi="仿宋" w:eastAsia="仿宋"/>
          <w:color w:val="auto"/>
          <w:sz w:val="32"/>
          <w:szCs w:val="32"/>
          <w:highlight w:val="none"/>
          <w:lang w:val="en-US" w:eastAsia="zh-CN"/>
        </w:rPr>
        <w:t>1052.09</w:t>
      </w:r>
      <w:r>
        <w:rPr>
          <w:rFonts w:hint="eastAsia" w:ascii="仿宋" w:hAnsi="仿宋" w:eastAsia="仿宋"/>
          <w:color w:val="auto"/>
          <w:sz w:val="32"/>
          <w:szCs w:val="32"/>
          <w:highlight w:val="none"/>
        </w:rPr>
        <w:t>万元。与</w:t>
      </w: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4</w:t>
      </w:r>
      <w:r>
        <w:rPr>
          <w:rFonts w:hint="eastAsia" w:ascii="仿宋" w:hAnsi="仿宋" w:eastAsia="仿宋"/>
          <w:color w:val="auto"/>
          <w:sz w:val="32"/>
          <w:szCs w:val="32"/>
          <w:highlight w:val="none"/>
        </w:rPr>
        <w:t>年</w:t>
      </w:r>
      <w:r>
        <w:rPr>
          <w:rFonts w:hint="eastAsia" w:ascii="仿宋" w:hAnsi="仿宋" w:eastAsia="仿宋"/>
          <w:color w:val="auto"/>
          <w:sz w:val="32"/>
          <w:szCs w:val="32"/>
          <w:highlight w:val="none"/>
          <w:lang w:eastAsia="zh-CN"/>
        </w:rPr>
        <w:t>度</w:t>
      </w:r>
      <w:r>
        <w:rPr>
          <w:rFonts w:hint="eastAsia" w:ascii="仿宋" w:hAnsi="仿宋" w:eastAsia="仿宋"/>
          <w:color w:val="auto"/>
          <w:sz w:val="32"/>
          <w:szCs w:val="32"/>
          <w:highlight w:val="none"/>
        </w:rPr>
        <w:t>相比，收、支总计各增加</w:t>
      </w:r>
      <w:r>
        <w:rPr>
          <w:rFonts w:hint="eastAsia" w:ascii="仿宋" w:hAnsi="仿宋" w:eastAsia="仿宋"/>
          <w:color w:val="auto"/>
          <w:sz w:val="32"/>
          <w:szCs w:val="32"/>
          <w:highlight w:val="none"/>
          <w:lang w:val="en-US" w:eastAsia="zh-CN"/>
        </w:rPr>
        <w:t>975.6</w:t>
      </w:r>
      <w:r>
        <w:rPr>
          <w:rFonts w:hint="eastAsia" w:ascii="仿宋" w:hAnsi="仿宋" w:eastAsia="仿宋"/>
          <w:color w:val="auto"/>
          <w:sz w:val="32"/>
          <w:szCs w:val="32"/>
          <w:highlight w:val="none"/>
        </w:rPr>
        <w:t>万元，增长</w:t>
      </w:r>
      <w:r>
        <w:rPr>
          <w:rFonts w:hint="eastAsia" w:ascii="仿宋" w:hAnsi="仿宋" w:eastAsia="仿宋"/>
          <w:color w:val="auto"/>
          <w:sz w:val="32"/>
          <w:szCs w:val="32"/>
          <w:highlight w:val="none"/>
          <w:lang w:val="en-US" w:eastAsia="zh-CN"/>
        </w:rPr>
        <w:t>7.84</w:t>
      </w:r>
      <w:r>
        <w:rPr>
          <w:rFonts w:ascii="仿宋" w:hAnsi="仿宋" w:eastAsia="仿宋"/>
          <w:color w:val="auto"/>
          <w:sz w:val="32"/>
          <w:szCs w:val="32"/>
          <w:highlight w:val="none"/>
        </w:rPr>
        <w:t>%</w:t>
      </w:r>
      <w:r>
        <w:rPr>
          <w:rFonts w:hint="eastAsia" w:ascii="仿宋" w:hAnsi="仿宋" w:eastAsia="仿宋"/>
          <w:color w:val="auto"/>
          <w:sz w:val="32"/>
          <w:szCs w:val="32"/>
          <w:highlight w:val="none"/>
        </w:rPr>
        <w:t>。主要变动原因是</w:t>
      </w:r>
      <w:r>
        <w:rPr>
          <w:rFonts w:hint="eastAsia" w:ascii="仿宋" w:hAnsi="仿宋" w:eastAsia="仿宋"/>
          <w:color w:val="auto"/>
          <w:sz w:val="32"/>
          <w:szCs w:val="32"/>
          <w:highlight w:val="none"/>
          <w:lang w:val="en-US" w:eastAsia="zh-CN"/>
        </w:rPr>
        <w:t>学校有新进教师、基本工资增加及基础绩效变动增加</w:t>
      </w:r>
      <w:r>
        <w:rPr>
          <w:rFonts w:hint="eastAsia" w:ascii="仿宋" w:hAnsi="仿宋" w:eastAsia="仿宋"/>
          <w:color w:val="auto"/>
          <w:sz w:val="32"/>
          <w:szCs w:val="32"/>
          <w:highlight w:val="none"/>
          <w:lang w:eastAsia="zh-CN"/>
        </w:rPr>
        <w:t>。</w:t>
      </w:r>
    </w:p>
    <w:p>
      <w:pPr>
        <w:pStyle w:val="2"/>
      </w:pPr>
      <w:r>
        <w:drawing>
          <wp:inline distT="0" distB="0" distL="114300" distR="114300">
            <wp:extent cx="5140325" cy="2334260"/>
            <wp:effectExtent l="5080" t="4445" r="17145" b="23495"/>
            <wp:docPr id="1327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pPr>
        <w:pStyle w:val="2"/>
        <w:jc w:val="center"/>
        <w:rPr>
          <w:rFonts w:hint="eastAsia"/>
        </w:rPr>
      </w:pPr>
      <w:r>
        <w:rPr>
          <w:rFonts w:hint="eastAsia" w:ascii="仿宋" w:hAnsi="仿宋" w:eastAsia="仿宋"/>
          <w:color w:val="auto"/>
          <w:sz w:val="32"/>
          <w:szCs w:val="32"/>
          <w:highlight w:val="none"/>
        </w:rPr>
        <w:t>（图</w:t>
      </w:r>
      <w:r>
        <w:rPr>
          <w:rFonts w:ascii="仿宋" w:hAnsi="仿宋" w:eastAsia="仿宋"/>
          <w:color w:val="auto"/>
          <w:sz w:val="32"/>
          <w:szCs w:val="32"/>
          <w:highlight w:val="none"/>
        </w:rPr>
        <w:t>1</w:t>
      </w:r>
      <w:r>
        <w:rPr>
          <w:rFonts w:hint="eastAsia" w:ascii="仿宋" w:hAnsi="仿宋" w:eastAsia="仿宋"/>
          <w:color w:val="auto"/>
          <w:sz w:val="32"/>
          <w:szCs w:val="32"/>
          <w:highlight w:val="none"/>
        </w:rPr>
        <w:t>：收、支决算总计变动情况图）（柱状图）</w:t>
      </w:r>
    </w:p>
    <w:p>
      <w:pPr>
        <w:pStyle w:val="4"/>
        <w:bidi w:val="0"/>
        <w:rPr>
          <w:rFonts w:hint="eastAsia" w:ascii="Times New Roman" w:hAnsi="Times New Roman" w:eastAsia="仿宋_GB2312" w:cs="仿宋_GB2312"/>
          <w:color w:val="auto"/>
          <w:szCs w:val="32"/>
          <w:highlight w:val="none"/>
        </w:rPr>
      </w:pPr>
      <w:bookmarkStart w:id="15" w:name="_Toc1862930780"/>
      <w:r>
        <w:rPr>
          <w:rFonts w:hint="eastAsia"/>
        </w:rPr>
        <w:t>二、收入决算情况说明</w:t>
      </w:r>
      <w:bookmarkEnd w:id="15"/>
    </w:p>
    <w:p>
      <w:pPr>
        <w:spacing w:line="600" w:lineRule="exact"/>
        <w:ind w:firstLine="640" w:firstLineChars="200"/>
        <w:outlineLvl w:val="1"/>
        <w:rPr>
          <w:rFonts w:ascii="仿宋" w:hAnsi="仿宋" w:eastAsia="仿宋"/>
          <w:color w:val="auto"/>
          <w:sz w:val="32"/>
          <w:szCs w:val="32"/>
          <w:highlight w:val="none"/>
        </w:rPr>
      </w:pPr>
      <w:bookmarkStart w:id="16" w:name="_Toc1338185807"/>
      <w:bookmarkStart w:id="17" w:name="_Toc30264"/>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rPr>
        <w:t>年</w:t>
      </w:r>
      <w:r>
        <w:rPr>
          <w:rFonts w:hint="eastAsia" w:ascii="仿宋" w:hAnsi="仿宋" w:eastAsia="仿宋"/>
          <w:color w:val="auto"/>
          <w:sz w:val="32"/>
          <w:szCs w:val="32"/>
          <w:highlight w:val="none"/>
          <w:lang w:eastAsia="zh-CN"/>
        </w:rPr>
        <w:t>度</w:t>
      </w:r>
      <w:r>
        <w:rPr>
          <w:rFonts w:hint="eastAsia" w:ascii="仿宋" w:hAnsi="仿宋" w:eastAsia="仿宋"/>
          <w:color w:val="auto"/>
          <w:sz w:val="32"/>
          <w:szCs w:val="32"/>
          <w:highlight w:val="none"/>
        </w:rPr>
        <w:t>本年收入合计</w:t>
      </w:r>
      <w:r>
        <w:rPr>
          <w:rFonts w:hint="eastAsia" w:ascii="仿宋" w:hAnsi="仿宋" w:eastAsia="仿宋"/>
          <w:color w:val="auto"/>
          <w:sz w:val="32"/>
          <w:szCs w:val="32"/>
          <w:highlight w:val="none"/>
          <w:lang w:val="en-US" w:eastAsia="zh-CN"/>
        </w:rPr>
        <w:t>1052.09</w:t>
      </w:r>
      <w:r>
        <w:rPr>
          <w:rFonts w:hint="eastAsia" w:ascii="仿宋" w:hAnsi="仿宋" w:eastAsia="仿宋"/>
          <w:color w:val="auto"/>
          <w:sz w:val="32"/>
          <w:szCs w:val="32"/>
          <w:highlight w:val="none"/>
        </w:rPr>
        <w:t>万元，其中：一般公共预算财政拨款收入</w:t>
      </w:r>
      <w:r>
        <w:rPr>
          <w:rFonts w:hint="eastAsia" w:ascii="仿宋" w:hAnsi="仿宋" w:eastAsia="仿宋"/>
          <w:color w:val="auto"/>
          <w:sz w:val="32"/>
          <w:szCs w:val="32"/>
          <w:highlight w:val="none"/>
          <w:lang w:val="en-US" w:eastAsia="zh-CN"/>
        </w:rPr>
        <w:t>1049.33</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99.91</w:t>
      </w:r>
      <w:r>
        <w:rPr>
          <w:rFonts w:ascii="仿宋" w:hAnsi="仿宋" w:eastAsia="仿宋"/>
          <w:color w:val="auto"/>
          <w:sz w:val="32"/>
          <w:szCs w:val="32"/>
          <w:highlight w:val="none"/>
        </w:rPr>
        <w:t>%</w:t>
      </w:r>
      <w:r>
        <w:rPr>
          <w:rFonts w:hint="eastAsia" w:ascii="仿宋" w:hAnsi="仿宋" w:eastAsia="仿宋"/>
          <w:color w:val="auto"/>
          <w:sz w:val="32"/>
          <w:szCs w:val="32"/>
          <w:highlight w:val="none"/>
        </w:rPr>
        <w:t>；政府性基金预算财政拨款收入</w:t>
      </w:r>
      <w:r>
        <w:rPr>
          <w:rFonts w:hint="eastAsia" w:ascii="仿宋" w:hAnsi="仿宋" w:eastAsia="仿宋"/>
          <w:color w:val="auto"/>
          <w:sz w:val="32"/>
          <w:szCs w:val="32"/>
          <w:highlight w:val="none"/>
          <w:lang w:val="en-US" w:eastAsia="zh-CN"/>
        </w:rPr>
        <w:t>0.96</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0.09</w:t>
      </w:r>
      <w:r>
        <w:rPr>
          <w:rFonts w:ascii="仿宋" w:hAnsi="仿宋" w:eastAsia="仿宋"/>
          <w:color w:val="auto"/>
          <w:sz w:val="32"/>
          <w:szCs w:val="32"/>
          <w:highlight w:val="none"/>
        </w:rPr>
        <w:t>%</w:t>
      </w:r>
      <w:r>
        <w:rPr>
          <w:rFonts w:hint="eastAsia" w:ascii="仿宋" w:hAnsi="仿宋" w:eastAsia="仿宋"/>
          <w:color w:val="auto"/>
          <w:sz w:val="32"/>
          <w:szCs w:val="32"/>
          <w:highlight w:val="none"/>
        </w:rPr>
        <w:t>；其他收入</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bookmarkEnd w:id="16"/>
      <w:bookmarkEnd w:id="17"/>
    </w:p>
    <w:p>
      <w:pPr>
        <w:rPr>
          <w:rFonts w:hint="eastAsia" w:ascii="Times New Roman" w:hAnsi="Times New Roman" w:eastAsia="仿宋_GB2312" w:cs="仿宋_GB2312"/>
          <w:color w:val="auto"/>
          <w:sz w:val="32"/>
          <w:szCs w:val="32"/>
          <w:highlight w:val="none"/>
        </w:rPr>
      </w:pPr>
      <w:bookmarkStart w:id="18" w:name="_Toc19368"/>
      <w:r>
        <w:rPr>
          <w:rFonts w:hint="eastAsia" w:ascii="仿宋" w:hAnsi="仿宋" w:eastAsia="仿宋"/>
          <w:b/>
          <w:color w:val="auto"/>
          <w:sz w:val="32"/>
          <w:szCs w:val="32"/>
          <w:highlight w:val="none"/>
        </w:rPr>
        <w:t>（注：数据来源于财决</w:t>
      </w:r>
      <w:r>
        <w:rPr>
          <w:rFonts w:ascii="仿宋" w:hAnsi="仿宋" w:eastAsia="仿宋"/>
          <w:b/>
          <w:color w:val="auto"/>
          <w:sz w:val="32"/>
          <w:szCs w:val="32"/>
          <w:highlight w:val="none"/>
        </w:rPr>
        <w:t>01表</w:t>
      </w:r>
      <w:r>
        <w:rPr>
          <w:rFonts w:hint="eastAsia" w:ascii="仿宋" w:hAnsi="仿宋" w:eastAsia="仿宋"/>
          <w:b/>
          <w:color w:val="auto"/>
          <w:sz w:val="32"/>
          <w:szCs w:val="32"/>
          <w:highlight w:val="none"/>
          <w:lang w:eastAsia="zh-CN"/>
        </w:rPr>
        <w:t>，仅罗列本部门涉及的收入。</w:t>
      </w:r>
      <w:r>
        <w:rPr>
          <w:rFonts w:ascii="仿宋" w:hAnsi="仿宋" w:eastAsia="仿宋"/>
          <w:b/>
          <w:color w:val="auto"/>
          <w:sz w:val="32"/>
          <w:szCs w:val="32"/>
          <w:highlight w:val="none"/>
        </w:rPr>
        <w:t>）</w:t>
      </w:r>
      <w:bookmarkEnd w:id="18"/>
    </w:p>
    <w:p>
      <w:pPr>
        <w:pStyle w:val="2"/>
        <w:jc w:val="center"/>
      </w:pPr>
      <w:r>
        <w:drawing>
          <wp:inline distT="0" distB="0" distL="114300" distR="114300">
            <wp:extent cx="4331970" cy="2578735"/>
            <wp:effectExtent l="4445" t="5080" r="6985" b="6985"/>
            <wp:docPr id="13277"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pPr>
        <w:spacing w:line="600" w:lineRule="exact"/>
        <w:ind w:firstLine="640" w:firstLineChars="200"/>
        <w:jc w:val="center"/>
        <w:rPr>
          <w:rFonts w:ascii="仿宋" w:hAnsi="仿宋" w:eastAsia="仿宋"/>
          <w:color w:val="auto"/>
          <w:sz w:val="32"/>
          <w:szCs w:val="32"/>
          <w:highlight w:val="none"/>
        </w:rPr>
      </w:pPr>
      <w:r>
        <w:rPr>
          <w:rFonts w:hint="eastAsia" w:ascii="仿宋" w:hAnsi="仿宋" w:eastAsia="仿宋"/>
          <w:color w:val="auto"/>
          <w:sz w:val="32"/>
          <w:szCs w:val="32"/>
          <w:highlight w:val="none"/>
        </w:rPr>
        <w:t>（图2：收入决算结构图）（饼状图）</w:t>
      </w:r>
    </w:p>
    <w:p>
      <w:pPr>
        <w:pStyle w:val="2"/>
        <w:jc w:val="center"/>
        <w:rPr>
          <w:rFonts w:hint="eastAsia"/>
        </w:rPr>
      </w:pPr>
    </w:p>
    <w:p>
      <w:pPr>
        <w:pStyle w:val="4"/>
        <w:bidi w:val="0"/>
        <w:rPr>
          <w:rFonts w:hint="eastAsia" w:ascii="Times New Roman" w:hAnsi="Times New Roman" w:eastAsia="仿宋_GB2312" w:cs="仿宋_GB2312"/>
          <w:color w:val="auto"/>
          <w:szCs w:val="32"/>
          <w:highlight w:val="none"/>
        </w:rPr>
      </w:pPr>
      <w:bookmarkStart w:id="19" w:name="_Toc876977072"/>
      <w:r>
        <w:rPr>
          <w:rFonts w:hint="eastAsia"/>
        </w:rPr>
        <w:t>三、支出决算情况说明</w:t>
      </w:r>
      <w:bookmarkEnd w:id="19"/>
    </w:p>
    <w:p>
      <w:pPr>
        <w:spacing w:line="600" w:lineRule="exact"/>
        <w:ind w:firstLine="640" w:firstLineChars="200"/>
        <w:outlineLvl w:val="1"/>
        <w:rPr>
          <w:rFonts w:ascii="仿宋" w:hAnsi="仿宋" w:eastAsia="仿宋"/>
          <w:color w:val="auto"/>
          <w:sz w:val="32"/>
          <w:szCs w:val="32"/>
          <w:highlight w:val="none"/>
        </w:rPr>
      </w:pPr>
      <w:bookmarkStart w:id="20" w:name="_Toc1872649991"/>
      <w:bookmarkStart w:id="21" w:name="_Toc625"/>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rPr>
        <w:t>年</w:t>
      </w:r>
      <w:r>
        <w:rPr>
          <w:rFonts w:hint="eastAsia" w:ascii="仿宋" w:hAnsi="仿宋" w:eastAsia="仿宋"/>
          <w:color w:val="auto"/>
          <w:sz w:val="32"/>
          <w:szCs w:val="32"/>
          <w:highlight w:val="none"/>
          <w:lang w:eastAsia="zh-CN"/>
        </w:rPr>
        <w:t>度</w:t>
      </w:r>
      <w:r>
        <w:rPr>
          <w:rFonts w:hint="eastAsia" w:ascii="仿宋" w:hAnsi="仿宋" w:eastAsia="仿宋"/>
          <w:color w:val="auto"/>
          <w:sz w:val="32"/>
          <w:szCs w:val="32"/>
          <w:highlight w:val="none"/>
        </w:rPr>
        <w:t>本年支出合计</w:t>
      </w:r>
      <w:r>
        <w:rPr>
          <w:rFonts w:hint="eastAsia" w:ascii="仿宋" w:hAnsi="仿宋" w:eastAsia="仿宋"/>
          <w:color w:val="auto"/>
          <w:sz w:val="32"/>
          <w:szCs w:val="32"/>
          <w:highlight w:val="none"/>
          <w:lang w:val="en-US" w:eastAsia="zh-CN"/>
        </w:rPr>
        <w:t>1052.09</w:t>
      </w:r>
      <w:r>
        <w:rPr>
          <w:rFonts w:hint="eastAsia" w:ascii="仿宋" w:hAnsi="仿宋" w:eastAsia="仿宋"/>
          <w:color w:val="auto"/>
          <w:sz w:val="32"/>
          <w:szCs w:val="32"/>
          <w:highlight w:val="none"/>
        </w:rPr>
        <w:t>万元，其中：基本支出</w:t>
      </w:r>
      <w:r>
        <w:rPr>
          <w:rFonts w:hint="eastAsia" w:ascii="仿宋" w:hAnsi="仿宋" w:eastAsia="仿宋"/>
          <w:color w:val="auto"/>
          <w:sz w:val="32"/>
          <w:szCs w:val="32"/>
          <w:highlight w:val="none"/>
          <w:lang w:val="en-US" w:eastAsia="zh-CN"/>
        </w:rPr>
        <w:t>863.27</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82.1</w:t>
      </w:r>
      <w:r>
        <w:rPr>
          <w:rFonts w:ascii="仿宋" w:hAnsi="仿宋" w:eastAsia="仿宋"/>
          <w:color w:val="auto"/>
          <w:sz w:val="32"/>
          <w:szCs w:val="32"/>
          <w:highlight w:val="none"/>
        </w:rPr>
        <w:t>%</w:t>
      </w:r>
      <w:r>
        <w:rPr>
          <w:rFonts w:hint="eastAsia" w:ascii="仿宋" w:hAnsi="仿宋" w:eastAsia="仿宋"/>
          <w:color w:val="auto"/>
          <w:sz w:val="32"/>
          <w:szCs w:val="32"/>
          <w:highlight w:val="none"/>
        </w:rPr>
        <w:t>；项目支出</w:t>
      </w:r>
      <w:r>
        <w:rPr>
          <w:rFonts w:hint="eastAsia" w:ascii="仿宋" w:hAnsi="仿宋" w:eastAsia="仿宋"/>
          <w:color w:val="auto"/>
          <w:sz w:val="32"/>
          <w:szCs w:val="32"/>
          <w:highlight w:val="none"/>
          <w:lang w:val="en-US" w:eastAsia="zh-CN"/>
        </w:rPr>
        <w:t>188.81</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17.9</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bookmarkEnd w:id="20"/>
      <w:bookmarkEnd w:id="21"/>
    </w:p>
    <w:p>
      <w:pPr>
        <w:spacing w:line="600" w:lineRule="exact"/>
        <w:outlineLvl w:val="1"/>
        <w:rPr>
          <w:rFonts w:hint="eastAsia" w:ascii="仿宋" w:hAnsi="仿宋" w:eastAsia="仿宋"/>
          <w:b/>
          <w:color w:val="auto"/>
          <w:sz w:val="32"/>
          <w:szCs w:val="32"/>
          <w:highlight w:val="none"/>
        </w:rPr>
      </w:pPr>
      <w:bookmarkStart w:id="22" w:name="_Toc1744050530"/>
      <w:bookmarkStart w:id="23" w:name="_Toc16873"/>
      <w:r>
        <w:rPr>
          <w:rFonts w:hint="eastAsia" w:ascii="仿宋" w:hAnsi="仿宋" w:eastAsia="仿宋"/>
          <w:b/>
          <w:color w:val="auto"/>
          <w:sz w:val="32"/>
          <w:szCs w:val="32"/>
          <w:highlight w:val="none"/>
        </w:rPr>
        <w:t>（注：数据来源于财决</w:t>
      </w:r>
      <w:r>
        <w:rPr>
          <w:rFonts w:ascii="仿宋" w:hAnsi="仿宋" w:eastAsia="仿宋"/>
          <w:b/>
          <w:color w:val="auto"/>
          <w:sz w:val="32"/>
          <w:szCs w:val="32"/>
          <w:highlight w:val="none"/>
        </w:rPr>
        <w:t>04</w:t>
      </w:r>
      <w:r>
        <w:rPr>
          <w:rFonts w:hint="eastAsia" w:ascii="仿宋" w:hAnsi="仿宋" w:eastAsia="仿宋"/>
          <w:b/>
          <w:color w:val="auto"/>
          <w:sz w:val="32"/>
          <w:szCs w:val="32"/>
          <w:highlight w:val="none"/>
        </w:rPr>
        <w:t>表</w:t>
      </w:r>
      <w:r>
        <w:rPr>
          <w:rFonts w:hint="eastAsia" w:ascii="仿宋" w:hAnsi="仿宋" w:eastAsia="仿宋"/>
          <w:b/>
          <w:color w:val="auto"/>
          <w:sz w:val="32"/>
          <w:szCs w:val="32"/>
          <w:highlight w:val="none"/>
          <w:lang w:eastAsia="zh-CN"/>
        </w:rPr>
        <w:t>，仅罗列本部门涉及的支出。</w:t>
      </w:r>
      <w:r>
        <w:rPr>
          <w:rFonts w:hint="eastAsia" w:ascii="仿宋" w:hAnsi="仿宋" w:eastAsia="仿宋"/>
          <w:b/>
          <w:color w:val="auto"/>
          <w:sz w:val="32"/>
          <w:szCs w:val="32"/>
          <w:highlight w:val="none"/>
        </w:rPr>
        <w:t>）</w:t>
      </w:r>
      <w:bookmarkEnd w:id="22"/>
      <w:bookmarkEnd w:id="23"/>
    </w:p>
    <w:p>
      <w:pPr>
        <w:pStyle w:val="2"/>
        <w:rPr>
          <w:rFonts w:hint="eastAsia"/>
        </w:rPr>
      </w:pPr>
    </w:p>
    <w:p>
      <w:pPr>
        <w:pStyle w:val="2"/>
      </w:pPr>
      <w:r>
        <w:drawing>
          <wp:inline distT="0" distB="0" distL="114300" distR="114300">
            <wp:extent cx="4669155" cy="2430145"/>
            <wp:effectExtent l="4445" t="4445" r="12700" b="22860"/>
            <wp:docPr id="13273"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pPr>
        <w:spacing w:line="600" w:lineRule="exact"/>
        <w:ind w:firstLine="640" w:firstLineChars="200"/>
        <w:rPr>
          <w:rFonts w:hint="eastAsia" w:ascii="仿宋" w:hAnsi="仿宋" w:eastAsia="仿宋"/>
          <w:color w:val="auto"/>
          <w:sz w:val="32"/>
          <w:szCs w:val="32"/>
          <w:highlight w:val="none"/>
        </w:rPr>
      </w:pPr>
      <w:r>
        <w:rPr>
          <w:rFonts w:hint="eastAsia" w:ascii="仿宋" w:hAnsi="仿宋" w:eastAsia="仿宋"/>
          <w:color w:val="auto"/>
          <w:sz w:val="32"/>
          <w:szCs w:val="32"/>
          <w:highlight w:val="none"/>
        </w:rPr>
        <w:t>（图3：支出决算结构图）（饼状图）</w:t>
      </w:r>
    </w:p>
    <w:p>
      <w:pPr>
        <w:pStyle w:val="2"/>
        <w:rPr>
          <w:rFonts w:hint="eastAsia"/>
        </w:rPr>
      </w:pPr>
    </w:p>
    <w:p>
      <w:pPr>
        <w:pStyle w:val="4"/>
        <w:bidi w:val="0"/>
        <w:rPr>
          <w:rFonts w:hint="eastAsia" w:ascii="Times New Roman" w:hAnsi="Times New Roman" w:eastAsia="仿宋_GB2312" w:cs="仿宋_GB2312"/>
          <w:color w:val="auto"/>
          <w:szCs w:val="32"/>
          <w:highlight w:val="none"/>
        </w:rPr>
      </w:pPr>
      <w:bookmarkStart w:id="24" w:name="_Toc8922519"/>
      <w:r>
        <w:rPr>
          <w:rFonts w:hint="eastAsia"/>
        </w:rPr>
        <w:t>四、财政拨款收入支出决算总体情况说明</w:t>
      </w:r>
      <w:bookmarkEnd w:id="24"/>
    </w:p>
    <w:p>
      <w:pPr>
        <w:spacing w:line="600" w:lineRule="exact"/>
        <w:ind w:firstLine="640"/>
        <w:rPr>
          <w:rFonts w:ascii="仿宋" w:hAnsi="仿宋" w:eastAsia="仿宋"/>
          <w:color w:val="auto"/>
          <w:sz w:val="32"/>
          <w:szCs w:val="32"/>
          <w:highlight w:val="none"/>
        </w:rPr>
      </w:pP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rPr>
        <w:t>年</w:t>
      </w:r>
      <w:r>
        <w:rPr>
          <w:rFonts w:hint="eastAsia" w:ascii="仿宋" w:hAnsi="仿宋" w:eastAsia="仿宋"/>
          <w:color w:val="auto"/>
          <w:sz w:val="32"/>
          <w:szCs w:val="32"/>
          <w:highlight w:val="none"/>
          <w:lang w:eastAsia="zh-CN"/>
        </w:rPr>
        <w:t>度</w:t>
      </w:r>
      <w:r>
        <w:rPr>
          <w:rFonts w:hint="eastAsia" w:ascii="仿宋" w:hAnsi="仿宋" w:eastAsia="仿宋"/>
          <w:color w:val="auto"/>
          <w:sz w:val="32"/>
          <w:szCs w:val="32"/>
          <w:highlight w:val="none"/>
        </w:rPr>
        <w:t>财政拨款收、支总计</w:t>
      </w:r>
      <w:r>
        <w:rPr>
          <w:rFonts w:hint="eastAsia" w:ascii="仿宋" w:hAnsi="仿宋" w:eastAsia="仿宋"/>
          <w:color w:val="auto"/>
          <w:sz w:val="32"/>
          <w:szCs w:val="32"/>
          <w:highlight w:val="none"/>
          <w:lang w:eastAsia="zh-CN"/>
        </w:rPr>
        <w:t>均为</w:t>
      </w:r>
      <w:r>
        <w:rPr>
          <w:rFonts w:hint="eastAsia" w:ascii="仿宋" w:hAnsi="仿宋" w:eastAsia="仿宋" w:cs="仿宋"/>
          <w:i w:val="0"/>
          <w:iCs w:val="0"/>
          <w:color w:val="000000"/>
          <w:kern w:val="0"/>
          <w:sz w:val="32"/>
          <w:szCs w:val="32"/>
          <w:u w:val="none"/>
          <w:lang w:val="en-US" w:eastAsia="zh-CN" w:bidi="ar"/>
        </w:rPr>
        <w:t>1050.29</w:t>
      </w:r>
      <w:r>
        <w:rPr>
          <w:rFonts w:hint="eastAsia" w:ascii="仿宋" w:hAnsi="仿宋" w:eastAsia="仿宋"/>
          <w:color w:val="auto"/>
          <w:sz w:val="32"/>
          <w:szCs w:val="32"/>
          <w:highlight w:val="none"/>
        </w:rPr>
        <w:t>万元。与</w:t>
      </w: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4</w:t>
      </w:r>
      <w:r>
        <w:rPr>
          <w:rFonts w:hint="eastAsia" w:ascii="仿宋" w:hAnsi="仿宋" w:eastAsia="仿宋"/>
          <w:color w:val="auto"/>
          <w:sz w:val="32"/>
          <w:szCs w:val="32"/>
          <w:highlight w:val="none"/>
        </w:rPr>
        <w:t>年</w:t>
      </w:r>
      <w:r>
        <w:rPr>
          <w:rFonts w:hint="eastAsia" w:ascii="仿宋" w:hAnsi="仿宋" w:eastAsia="仿宋"/>
          <w:color w:val="auto"/>
          <w:sz w:val="32"/>
          <w:szCs w:val="32"/>
          <w:highlight w:val="none"/>
          <w:lang w:eastAsia="zh-CN"/>
        </w:rPr>
        <w:t>度</w:t>
      </w:r>
      <w:r>
        <w:rPr>
          <w:rFonts w:hint="eastAsia" w:ascii="仿宋" w:hAnsi="仿宋" w:eastAsia="仿宋"/>
          <w:color w:val="auto"/>
          <w:sz w:val="32"/>
          <w:szCs w:val="32"/>
          <w:highlight w:val="none"/>
        </w:rPr>
        <w:t>相比，财政拨款收、支总计各增加</w:t>
      </w:r>
      <w:r>
        <w:rPr>
          <w:rFonts w:hint="eastAsia" w:ascii="仿宋" w:hAnsi="仿宋" w:eastAsia="仿宋"/>
          <w:color w:val="auto"/>
          <w:sz w:val="32"/>
          <w:szCs w:val="32"/>
          <w:highlight w:val="none"/>
          <w:lang w:val="en-US" w:eastAsia="zh-CN"/>
        </w:rPr>
        <w:t>76.49</w:t>
      </w:r>
      <w:r>
        <w:rPr>
          <w:rFonts w:hint="eastAsia" w:ascii="仿宋" w:hAnsi="仿宋" w:eastAsia="仿宋"/>
          <w:color w:val="auto"/>
          <w:sz w:val="32"/>
          <w:szCs w:val="32"/>
          <w:highlight w:val="none"/>
        </w:rPr>
        <w:t>万元，增长</w:t>
      </w:r>
      <w:r>
        <w:rPr>
          <w:rFonts w:hint="eastAsia" w:ascii="仿宋" w:hAnsi="仿宋" w:eastAsia="仿宋"/>
          <w:color w:val="auto"/>
          <w:sz w:val="32"/>
          <w:szCs w:val="32"/>
          <w:highlight w:val="none"/>
          <w:lang w:val="en-US" w:eastAsia="zh-CN"/>
        </w:rPr>
        <w:t>7.84</w:t>
      </w:r>
      <w:r>
        <w:rPr>
          <w:rFonts w:ascii="仿宋" w:hAnsi="仿宋" w:eastAsia="仿宋"/>
          <w:color w:val="auto"/>
          <w:sz w:val="32"/>
          <w:szCs w:val="32"/>
          <w:highlight w:val="none"/>
        </w:rPr>
        <w:t>%</w:t>
      </w:r>
      <w:r>
        <w:rPr>
          <w:rFonts w:hint="eastAsia" w:ascii="仿宋" w:hAnsi="仿宋" w:eastAsia="仿宋"/>
          <w:color w:val="auto"/>
          <w:sz w:val="32"/>
          <w:szCs w:val="32"/>
          <w:highlight w:val="none"/>
        </w:rPr>
        <w:t>。主要变动原因是</w:t>
      </w:r>
      <w:r>
        <w:rPr>
          <w:rFonts w:hint="eastAsia" w:ascii="仿宋" w:hAnsi="仿宋" w:eastAsia="仿宋"/>
          <w:color w:val="auto"/>
          <w:sz w:val="32"/>
          <w:szCs w:val="32"/>
          <w:highlight w:val="none"/>
          <w:lang w:val="en-US" w:eastAsia="zh-CN"/>
        </w:rPr>
        <w:t>学校有新进教师、基本工资增加及基础绩效变动增加。</w:t>
      </w:r>
    </w:p>
    <w:p>
      <w:pPr>
        <w:rPr>
          <w:rFonts w:hint="eastAsia" w:ascii="Times New Roman" w:hAnsi="Times New Roman" w:eastAsia="仿宋_GB2312" w:cs="仿宋_GB2312"/>
          <w:color w:val="auto"/>
          <w:sz w:val="32"/>
          <w:szCs w:val="32"/>
          <w:highlight w:val="none"/>
        </w:rPr>
      </w:pPr>
      <w:r>
        <w:rPr>
          <w:rFonts w:hint="eastAsia" w:ascii="仿宋" w:hAnsi="仿宋" w:eastAsia="仿宋"/>
          <w:b/>
          <w:color w:val="auto"/>
          <w:sz w:val="32"/>
          <w:szCs w:val="32"/>
          <w:highlight w:val="none"/>
        </w:rPr>
        <w:t>（注：数据来源于财决</w:t>
      </w:r>
      <w:r>
        <w:rPr>
          <w:rFonts w:ascii="仿宋" w:hAnsi="仿宋" w:eastAsia="仿宋"/>
          <w:b/>
          <w:color w:val="auto"/>
          <w:sz w:val="32"/>
          <w:szCs w:val="32"/>
          <w:highlight w:val="none"/>
        </w:rPr>
        <w:t>01-1</w:t>
      </w:r>
      <w:r>
        <w:rPr>
          <w:rFonts w:hint="eastAsia" w:ascii="仿宋" w:hAnsi="仿宋" w:eastAsia="仿宋"/>
          <w:b/>
          <w:color w:val="auto"/>
          <w:sz w:val="32"/>
          <w:szCs w:val="32"/>
          <w:highlight w:val="none"/>
        </w:rPr>
        <w:t>表</w:t>
      </w:r>
      <w:r>
        <w:rPr>
          <w:rFonts w:ascii="仿宋" w:hAnsi="仿宋" w:eastAsia="仿宋"/>
          <w:b/>
          <w:color w:val="auto"/>
          <w:sz w:val="32"/>
          <w:szCs w:val="32"/>
          <w:highlight w:val="none"/>
        </w:rPr>
        <w:t>）</w:t>
      </w:r>
    </w:p>
    <w:p>
      <w:pPr>
        <w:pStyle w:val="2"/>
      </w:pPr>
      <w:r>
        <w:drawing>
          <wp:inline distT="0" distB="0" distL="114300" distR="114300">
            <wp:extent cx="4032250" cy="2364740"/>
            <wp:effectExtent l="5080" t="4445" r="20320" b="12065"/>
            <wp:docPr id="13269"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pPr>
        <w:spacing w:line="600" w:lineRule="exact"/>
        <w:ind w:firstLine="640" w:firstLineChars="200"/>
        <w:rPr>
          <w:rFonts w:hint="eastAsia"/>
        </w:rPr>
      </w:pPr>
      <w:r>
        <w:rPr>
          <w:rFonts w:hint="eastAsia" w:ascii="仿宋" w:hAnsi="仿宋" w:eastAsia="仿宋"/>
          <w:color w:val="auto"/>
          <w:sz w:val="32"/>
          <w:szCs w:val="32"/>
          <w:highlight w:val="none"/>
        </w:rPr>
        <w:t>（图4：财政拨款收、支决算总计变动情况）（柱状图）</w:t>
      </w:r>
    </w:p>
    <w:p>
      <w:pPr>
        <w:pStyle w:val="4"/>
        <w:bidi w:val="0"/>
        <w:rPr>
          <w:rFonts w:hint="eastAsia"/>
        </w:rPr>
      </w:pPr>
      <w:bookmarkStart w:id="25" w:name="_Toc1401156096"/>
      <w:r>
        <w:rPr>
          <w:rFonts w:hint="eastAsia"/>
        </w:rPr>
        <w:t>五、一般公共预算财政拨款支出决算情况说明</w:t>
      </w:r>
      <w:bookmarkEnd w:id="25"/>
    </w:p>
    <w:p>
      <w:pPr>
        <w:spacing w:line="600" w:lineRule="exact"/>
        <w:ind w:firstLine="640" w:firstLineChars="200"/>
        <w:outlineLvl w:val="2"/>
        <w:rPr>
          <w:rFonts w:ascii="仿宋" w:hAnsi="仿宋" w:eastAsia="仿宋"/>
          <w:b w:val="0"/>
          <w:bCs/>
          <w:color w:val="auto"/>
          <w:sz w:val="32"/>
          <w:szCs w:val="32"/>
          <w:highlight w:val="none"/>
        </w:rPr>
      </w:pPr>
      <w:r>
        <w:rPr>
          <w:rFonts w:hint="eastAsia" w:ascii="仿宋" w:hAnsi="仿宋" w:eastAsia="仿宋"/>
          <w:b w:val="0"/>
          <w:bCs/>
          <w:color w:val="auto"/>
          <w:sz w:val="32"/>
          <w:szCs w:val="32"/>
          <w:highlight w:val="none"/>
        </w:rPr>
        <w:t>（一）一般公共预算财政拨款支出决算总体情况</w:t>
      </w:r>
    </w:p>
    <w:p>
      <w:pPr>
        <w:keepNext w:val="0"/>
        <w:keepLines w:val="0"/>
        <w:widowControl/>
        <w:suppressLineNumbers w:val="0"/>
        <w:jc w:val="left"/>
        <w:rPr>
          <w:rFonts w:ascii="仿宋" w:hAnsi="仿宋" w:eastAsia="仿宋"/>
          <w:color w:val="auto"/>
          <w:sz w:val="32"/>
          <w:szCs w:val="32"/>
          <w:highlight w:val="none"/>
        </w:rPr>
      </w:pP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rPr>
        <w:t>年</w:t>
      </w:r>
      <w:r>
        <w:rPr>
          <w:rFonts w:hint="eastAsia" w:ascii="仿宋" w:hAnsi="仿宋" w:eastAsia="仿宋"/>
          <w:color w:val="auto"/>
          <w:sz w:val="32"/>
          <w:szCs w:val="32"/>
          <w:highlight w:val="none"/>
          <w:lang w:eastAsia="zh-CN"/>
        </w:rPr>
        <w:t>度</w:t>
      </w:r>
      <w:r>
        <w:rPr>
          <w:rFonts w:hint="eastAsia" w:ascii="仿宋" w:hAnsi="仿宋" w:eastAsia="仿宋"/>
          <w:color w:val="auto"/>
          <w:sz w:val="32"/>
          <w:szCs w:val="32"/>
          <w:highlight w:val="none"/>
        </w:rPr>
        <w:t>一般公共预算财政拨款支出</w:t>
      </w:r>
      <w:r>
        <w:rPr>
          <w:rFonts w:hint="eastAsia" w:ascii="仿宋" w:hAnsi="仿宋" w:eastAsia="仿宋"/>
          <w:color w:val="auto"/>
          <w:sz w:val="32"/>
          <w:szCs w:val="32"/>
          <w:highlight w:val="none"/>
          <w:lang w:val="en-US" w:eastAsia="zh-CN"/>
        </w:rPr>
        <w:t>1,049.33</w:t>
      </w:r>
      <w:r>
        <w:rPr>
          <w:rFonts w:hint="eastAsia" w:ascii="仿宋" w:hAnsi="仿宋" w:eastAsia="仿宋"/>
          <w:color w:val="auto"/>
          <w:sz w:val="32"/>
          <w:szCs w:val="32"/>
          <w:highlight w:val="none"/>
        </w:rPr>
        <w:t>万元，占本年支出合计的</w:t>
      </w:r>
      <w:r>
        <w:rPr>
          <w:rFonts w:hint="eastAsia" w:ascii="仿宋" w:hAnsi="仿宋" w:eastAsia="仿宋"/>
          <w:color w:val="auto"/>
          <w:sz w:val="32"/>
          <w:szCs w:val="32"/>
          <w:highlight w:val="none"/>
          <w:lang w:val="en-US" w:eastAsia="zh-CN"/>
        </w:rPr>
        <w:t>99.91</w:t>
      </w:r>
      <w:r>
        <w:rPr>
          <w:rFonts w:ascii="仿宋" w:hAnsi="仿宋" w:eastAsia="仿宋"/>
          <w:color w:val="auto"/>
          <w:sz w:val="32"/>
          <w:szCs w:val="32"/>
          <w:highlight w:val="none"/>
        </w:rPr>
        <w:t>%</w:t>
      </w:r>
      <w:r>
        <w:rPr>
          <w:rFonts w:hint="eastAsia" w:ascii="仿宋" w:hAnsi="仿宋" w:eastAsia="仿宋"/>
          <w:color w:val="auto"/>
          <w:sz w:val="32"/>
          <w:szCs w:val="32"/>
          <w:highlight w:val="none"/>
        </w:rPr>
        <w:t>。与</w:t>
      </w: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4</w:t>
      </w:r>
      <w:r>
        <w:rPr>
          <w:rFonts w:hint="eastAsia" w:ascii="仿宋" w:hAnsi="仿宋" w:eastAsia="仿宋"/>
          <w:color w:val="auto"/>
          <w:sz w:val="32"/>
          <w:szCs w:val="32"/>
          <w:highlight w:val="none"/>
        </w:rPr>
        <w:t>年</w:t>
      </w:r>
      <w:r>
        <w:rPr>
          <w:rFonts w:hint="eastAsia" w:ascii="仿宋" w:hAnsi="仿宋" w:eastAsia="仿宋"/>
          <w:color w:val="auto"/>
          <w:sz w:val="32"/>
          <w:szCs w:val="32"/>
          <w:highlight w:val="none"/>
          <w:lang w:eastAsia="zh-CN"/>
        </w:rPr>
        <w:t>度</w:t>
      </w:r>
      <w:r>
        <w:rPr>
          <w:rFonts w:hint="eastAsia" w:ascii="仿宋" w:hAnsi="仿宋" w:eastAsia="仿宋"/>
          <w:color w:val="auto"/>
          <w:sz w:val="32"/>
          <w:szCs w:val="32"/>
          <w:highlight w:val="none"/>
        </w:rPr>
        <w:t>相比，一般公共预算财政拨款</w:t>
      </w:r>
      <w:r>
        <w:rPr>
          <w:rFonts w:hint="eastAsia" w:ascii="仿宋" w:hAnsi="仿宋" w:eastAsia="仿宋"/>
          <w:color w:val="auto"/>
          <w:sz w:val="32"/>
          <w:szCs w:val="32"/>
          <w:highlight w:val="none"/>
          <w:lang w:eastAsia="zh-CN"/>
        </w:rPr>
        <w:t>支出</w:t>
      </w:r>
      <w:r>
        <w:rPr>
          <w:rFonts w:hint="eastAsia" w:ascii="仿宋" w:hAnsi="仿宋" w:eastAsia="仿宋"/>
          <w:color w:val="auto"/>
          <w:sz w:val="32"/>
          <w:szCs w:val="32"/>
          <w:highlight w:val="none"/>
        </w:rPr>
        <w:t>增加</w:t>
      </w:r>
      <w:r>
        <w:rPr>
          <w:rFonts w:hint="eastAsia" w:ascii="仿宋" w:hAnsi="仿宋" w:eastAsia="仿宋"/>
          <w:color w:val="auto"/>
          <w:sz w:val="32"/>
          <w:szCs w:val="32"/>
          <w:highlight w:val="none"/>
          <w:lang w:val="en-US" w:eastAsia="zh-CN"/>
        </w:rPr>
        <w:t>77.01</w:t>
      </w:r>
      <w:r>
        <w:rPr>
          <w:rFonts w:hint="eastAsia" w:ascii="仿宋" w:hAnsi="仿宋" w:eastAsia="仿宋"/>
          <w:color w:val="auto"/>
          <w:sz w:val="32"/>
          <w:szCs w:val="32"/>
          <w:highlight w:val="none"/>
        </w:rPr>
        <w:t>万元，增长</w:t>
      </w:r>
      <w:r>
        <w:rPr>
          <w:rFonts w:hint="eastAsia" w:ascii="仿宋" w:hAnsi="仿宋" w:eastAsia="仿宋"/>
          <w:color w:val="auto"/>
          <w:sz w:val="32"/>
          <w:szCs w:val="32"/>
          <w:highlight w:val="none"/>
          <w:lang w:val="en-US" w:eastAsia="zh-CN"/>
        </w:rPr>
        <w:t>7.92</w:t>
      </w:r>
      <w:r>
        <w:rPr>
          <w:rFonts w:ascii="仿宋" w:hAnsi="仿宋" w:eastAsia="仿宋"/>
          <w:color w:val="auto"/>
          <w:sz w:val="32"/>
          <w:szCs w:val="32"/>
          <w:highlight w:val="none"/>
        </w:rPr>
        <w:t>%</w:t>
      </w:r>
      <w:r>
        <w:rPr>
          <w:rFonts w:hint="eastAsia" w:ascii="仿宋" w:hAnsi="仿宋" w:eastAsia="仿宋"/>
          <w:color w:val="auto"/>
          <w:sz w:val="32"/>
          <w:szCs w:val="32"/>
          <w:highlight w:val="none"/>
        </w:rPr>
        <w:t>。主要变动原因是</w:t>
      </w:r>
      <w:r>
        <w:rPr>
          <w:rFonts w:hint="eastAsia" w:ascii="仿宋" w:hAnsi="仿宋" w:eastAsia="仿宋"/>
          <w:color w:val="auto"/>
          <w:sz w:val="32"/>
          <w:szCs w:val="32"/>
          <w:highlight w:val="none"/>
          <w:lang w:val="en-US" w:eastAsia="zh-CN"/>
        </w:rPr>
        <w:t>学校有新进教师、基本工资增加及基础绩效变动增加。</w:t>
      </w:r>
    </w:p>
    <w:p>
      <w:pPr>
        <w:spacing w:line="600" w:lineRule="exact"/>
        <w:ind w:firstLine="420" w:firstLineChars="200"/>
        <w:rPr>
          <w:rFonts w:ascii="仿宋" w:hAnsi="仿宋" w:eastAsia="仿宋"/>
          <w:color w:val="auto"/>
          <w:sz w:val="32"/>
          <w:szCs w:val="32"/>
          <w:highlight w:val="none"/>
        </w:rPr>
      </w:pPr>
      <w:r>
        <w:drawing>
          <wp:anchor distT="0" distB="0" distL="114300" distR="114300" simplePos="0" relativeHeight="251660288" behindDoc="0" locked="0" layoutInCell="1" allowOverlap="1">
            <wp:simplePos x="0" y="0"/>
            <wp:positionH relativeFrom="column">
              <wp:posOffset>104140</wp:posOffset>
            </wp:positionH>
            <wp:positionV relativeFrom="paragraph">
              <wp:posOffset>235585</wp:posOffset>
            </wp:positionV>
            <wp:extent cx="5271135" cy="1882140"/>
            <wp:effectExtent l="4445" t="4445" r="20320" b="18415"/>
            <wp:wrapTopAndBottom/>
            <wp:docPr id="13274"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pPr>
        <w:spacing w:line="600" w:lineRule="exact"/>
        <w:rPr>
          <w:rFonts w:ascii="仿宋" w:hAnsi="仿宋" w:eastAsia="仿宋"/>
          <w:color w:val="auto"/>
          <w:sz w:val="32"/>
          <w:szCs w:val="32"/>
          <w:highlight w:val="none"/>
        </w:rPr>
      </w:pPr>
      <w:r>
        <w:rPr>
          <w:rFonts w:hint="eastAsia" w:ascii="仿宋" w:hAnsi="仿宋" w:eastAsia="仿宋"/>
          <w:color w:val="auto"/>
          <w:sz w:val="32"/>
          <w:szCs w:val="32"/>
          <w:highlight w:val="none"/>
        </w:rPr>
        <w:t>（图5：一般公共预算财政拨款支出决算变动情况）（柱状图）</w:t>
      </w:r>
    </w:p>
    <w:p>
      <w:pPr>
        <w:spacing w:line="600" w:lineRule="exact"/>
        <w:ind w:firstLine="640" w:firstLineChars="200"/>
        <w:rPr>
          <w:rFonts w:ascii="仿宋" w:hAnsi="仿宋" w:eastAsia="仿宋"/>
          <w:color w:val="auto"/>
          <w:sz w:val="32"/>
          <w:szCs w:val="32"/>
          <w:highlight w:val="none"/>
        </w:rPr>
      </w:pPr>
    </w:p>
    <w:p>
      <w:pPr>
        <w:spacing w:line="600" w:lineRule="exact"/>
        <w:ind w:firstLine="640" w:firstLineChars="200"/>
        <w:outlineLvl w:val="2"/>
        <w:rPr>
          <w:rFonts w:ascii="仿宋" w:hAnsi="仿宋" w:eastAsia="仿宋"/>
          <w:b/>
          <w:color w:val="auto"/>
          <w:sz w:val="32"/>
          <w:szCs w:val="32"/>
          <w:highlight w:val="none"/>
        </w:rPr>
      </w:pPr>
      <w:r>
        <w:rPr>
          <w:rFonts w:hint="eastAsia" w:ascii="仿宋" w:hAnsi="仿宋" w:eastAsia="仿宋"/>
          <w:b w:val="0"/>
          <w:bCs/>
          <w:color w:val="auto"/>
          <w:sz w:val="32"/>
          <w:szCs w:val="32"/>
          <w:highlight w:val="none"/>
        </w:rPr>
        <w:t>（二）一般公共预算财政拨款支出决算结构情况</w:t>
      </w:r>
    </w:p>
    <w:p>
      <w:pPr>
        <w:spacing w:line="600" w:lineRule="exact"/>
        <w:ind w:firstLine="640"/>
        <w:rPr>
          <w:rFonts w:hint="eastAsia" w:ascii="仿宋" w:hAnsi="仿宋" w:eastAsia="仿宋"/>
          <w:color w:val="auto"/>
          <w:sz w:val="32"/>
          <w:szCs w:val="32"/>
          <w:highlight w:val="none"/>
        </w:rPr>
      </w:pP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rPr>
        <w:t>年</w:t>
      </w:r>
      <w:r>
        <w:rPr>
          <w:rFonts w:hint="eastAsia" w:ascii="仿宋" w:hAnsi="仿宋" w:eastAsia="仿宋"/>
          <w:color w:val="auto"/>
          <w:sz w:val="32"/>
          <w:szCs w:val="32"/>
          <w:highlight w:val="none"/>
          <w:lang w:eastAsia="zh-CN"/>
        </w:rPr>
        <w:t>度</w:t>
      </w:r>
      <w:r>
        <w:rPr>
          <w:rFonts w:hint="eastAsia" w:ascii="仿宋" w:hAnsi="仿宋" w:eastAsia="仿宋"/>
          <w:color w:val="auto"/>
          <w:sz w:val="32"/>
          <w:szCs w:val="32"/>
          <w:highlight w:val="none"/>
        </w:rPr>
        <w:t>一般公共预算财政拨款支出</w:t>
      </w:r>
      <w:r>
        <w:rPr>
          <w:rFonts w:hint="eastAsia" w:ascii="仿宋" w:hAnsi="仿宋" w:eastAsia="仿宋"/>
          <w:color w:val="auto"/>
          <w:sz w:val="32"/>
          <w:szCs w:val="32"/>
          <w:highlight w:val="none"/>
          <w:lang w:val="en-US" w:eastAsia="zh-CN"/>
        </w:rPr>
        <w:t>1050.28</w:t>
      </w:r>
      <w:r>
        <w:rPr>
          <w:rFonts w:hint="eastAsia" w:ascii="仿宋" w:hAnsi="仿宋" w:eastAsia="仿宋"/>
          <w:color w:val="auto"/>
          <w:sz w:val="32"/>
          <w:szCs w:val="32"/>
          <w:highlight w:val="none"/>
        </w:rPr>
        <w:t>万元，主要用于以下方面</w:t>
      </w:r>
      <w:r>
        <w:rPr>
          <w:rFonts w:ascii="仿宋" w:hAnsi="仿宋" w:eastAsia="仿宋"/>
          <w:color w:val="auto"/>
          <w:sz w:val="32"/>
          <w:szCs w:val="32"/>
          <w:highlight w:val="none"/>
        </w:rPr>
        <w:t>:</w:t>
      </w:r>
      <w:r>
        <w:rPr>
          <w:rFonts w:hint="eastAsia" w:ascii="仿宋" w:hAnsi="仿宋" w:eastAsia="仿宋"/>
          <w:b/>
          <w:color w:val="auto"/>
          <w:sz w:val="32"/>
          <w:szCs w:val="32"/>
          <w:highlight w:val="none"/>
        </w:rPr>
        <w:t>教育支出</w:t>
      </w:r>
      <w:r>
        <w:rPr>
          <w:rFonts w:hint="eastAsia" w:ascii="仿宋" w:hAnsi="仿宋" w:eastAsia="仿宋"/>
          <w:color w:val="auto"/>
          <w:sz w:val="32"/>
          <w:szCs w:val="32"/>
          <w:highlight w:val="none"/>
          <w:lang w:val="en-US" w:eastAsia="zh-CN"/>
        </w:rPr>
        <w:t>829.33</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78.96</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r>
        <w:rPr>
          <w:rFonts w:hint="eastAsia" w:ascii="仿宋" w:hAnsi="仿宋" w:eastAsia="仿宋"/>
          <w:b/>
          <w:color w:val="auto"/>
          <w:sz w:val="32"/>
          <w:szCs w:val="32"/>
          <w:highlight w:val="none"/>
        </w:rPr>
        <w:t>社会保障和就业</w:t>
      </w:r>
      <w:r>
        <w:rPr>
          <w:rFonts w:hint="eastAsia" w:ascii="仿宋" w:hAnsi="仿宋" w:eastAsia="仿宋"/>
          <w:b/>
          <w:bCs/>
          <w:color w:val="auto"/>
          <w:sz w:val="32"/>
          <w:szCs w:val="32"/>
          <w:highlight w:val="none"/>
        </w:rPr>
        <w:t>支出</w:t>
      </w:r>
      <w:r>
        <w:rPr>
          <w:rFonts w:hint="eastAsia" w:ascii="仿宋" w:hAnsi="仿宋" w:eastAsia="仿宋"/>
          <w:color w:val="auto"/>
          <w:sz w:val="32"/>
          <w:szCs w:val="32"/>
          <w:highlight w:val="none"/>
          <w:lang w:val="en-US" w:eastAsia="zh-CN"/>
        </w:rPr>
        <w:t>112.94</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10.75</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r>
        <w:rPr>
          <w:rFonts w:hint="eastAsia" w:ascii="仿宋" w:hAnsi="仿宋" w:eastAsia="仿宋"/>
          <w:b/>
          <w:bCs/>
          <w:color w:val="auto"/>
          <w:sz w:val="32"/>
          <w:szCs w:val="32"/>
          <w:highlight w:val="none"/>
        </w:rPr>
        <w:t>卫生健康支出</w:t>
      </w:r>
      <w:r>
        <w:rPr>
          <w:rFonts w:hint="eastAsia" w:ascii="仿宋" w:hAnsi="仿宋" w:eastAsia="仿宋"/>
          <w:color w:val="auto"/>
          <w:sz w:val="32"/>
          <w:szCs w:val="32"/>
          <w:highlight w:val="none"/>
          <w:lang w:val="en-US" w:eastAsia="zh-CN"/>
        </w:rPr>
        <w:t>43.65</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4.16</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r>
        <w:rPr>
          <w:rFonts w:hint="eastAsia" w:ascii="仿宋" w:hAnsi="仿宋" w:eastAsia="仿宋"/>
          <w:b/>
          <w:bCs/>
          <w:color w:val="auto"/>
          <w:sz w:val="32"/>
          <w:szCs w:val="32"/>
          <w:highlight w:val="none"/>
        </w:rPr>
        <w:t>住房保障支出</w:t>
      </w:r>
      <w:r>
        <w:rPr>
          <w:rFonts w:hint="eastAsia" w:ascii="仿宋" w:hAnsi="仿宋" w:eastAsia="仿宋"/>
          <w:color w:val="auto"/>
          <w:sz w:val="32"/>
          <w:szCs w:val="32"/>
          <w:highlight w:val="none"/>
          <w:lang w:val="en-US" w:eastAsia="zh-CN"/>
        </w:rPr>
        <w:t>63.4</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6.04</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r>
        <w:rPr>
          <w:rFonts w:hint="eastAsia" w:ascii="仿宋" w:hAnsi="仿宋" w:eastAsia="仿宋"/>
          <w:b/>
          <w:bCs/>
          <w:color w:val="auto"/>
          <w:sz w:val="32"/>
          <w:szCs w:val="32"/>
          <w:highlight w:val="none"/>
          <w:lang w:eastAsia="zh-CN"/>
        </w:rPr>
        <w:t>其他</w:t>
      </w:r>
      <w:r>
        <w:rPr>
          <w:rFonts w:hint="eastAsia" w:ascii="仿宋" w:hAnsi="仿宋" w:eastAsia="仿宋"/>
          <w:b/>
          <w:bCs/>
          <w:color w:val="auto"/>
          <w:sz w:val="32"/>
          <w:szCs w:val="32"/>
          <w:highlight w:val="none"/>
        </w:rPr>
        <w:t>支出</w:t>
      </w:r>
      <w:r>
        <w:rPr>
          <w:rFonts w:hint="eastAsia" w:ascii="仿宋" w:hAnsi="仿宋" w:eastAsia="仿宋"/>
          <w:color w:val="auto"/>
          <w:sz w:val="32"/>
          <w:szCs w:val="32"/>
          <w:highlight w:val="none"/>
          <w:lang w:val="en-US" w:eastAsia="zh-CN"/>
        </w:rPr>
        <w:t>0.96</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0.09</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p>
    <w:p>
      <w:pPr>
        <w:spacing w:line="600" w:lineRule="exact"/>
        <w:ind w:firstLine="640"/>
        <w:rPr>
          <w:rFonts w:hint="eastAsia" w:ascii="仿宋" w:hAnsi="仿宋" w:eastAsia="仿宋"/>
          <w:b/>
          <w:color w:val="auto"/>
          <w:sz w:val="32"/>
          <w:szCs w:val="32"/>
          <w:highlight w:val="none"/>
        </w:rPr>
      </w:pPr>
      <w:r>
        <w:rPr>
          <w:rFonts w:hint="eastAsia" w:ascii="仿宋" w:hAnsi="仿宋" w:eastAsia="仿宋"/>
          <w:b/>
          <w:color w:val="auto"/>
          <w:sz w:val="32"/>
          <w:szCs w:val="32"/>
          <w:highlight w:val="none"/>
        </w:rPr>
        <w:t>（</w:t>
      </w:r>
      <w:r>
        <w:rPr>
          <w:rFonts w:hint="eastAsia" w:ascii="仿宋" w:hAnsi="仿宋" w:eastAsia="仿宋"/>
          <w:b/>
          <w:color w:val="auto"/>
          <w:sz w:val="32"/>
          <w:szCs w:val="32"/>
          <w:highlight w:val="none"/>
          <w:lang w:eastAsia="zh-CN"/>
        </w:rPr>
        <w:t>注：数据来源于财决</w:t>
      </w:r>
      <w:r>
        <w:rPr>
          <w:rFonts w:hint="eastAsia" w:ascii="仿宋" w:hAnsi="仿宋" w:eastAsia="仿宋"/>
          <w:b/>
          <w:color w:val="auto"/>
          <w:sz w:val="32"/>
          <w:szCs w:val="32"/>
          <w:highlight w:val="none"/>
          <w:lang w:val="en-US" w:eastAsia="zh-CN"/>
        </w:rPr>
        <w:t>01-1表，仅</w:t>
      </w:r>
      <w:r>
        <w:rPr>
          <w:rFonts w:hint="eastAsia" w:ascii="仿宋" w:hAnsi="仿宋" w:eastAsia="仿宋"/>
          <w:b/>
          <w:color w:val="auto"/>
          <w:sz w:val="32"/>
          <w:szCs w:val="32"/>
          <w:highlight w:val="none"/>
        </w:rPr>
        <w:t>罗列</w:t>
      </w:r>
      <w:r>
        <w:rPr>
          <w:rFonts w:hint="eastAsia" w:ascii="仿宋" w:hAnsi="仿宋" w:eastAsia="仿宋"/>
          <w:b/>
          <w:color w:val="auto"/>
          <w:sz w:val="32"/>
          <w:szCs w:val="32"/>
          <w:highlight w:val="none"/>
          <w:lang w:eastAsia="zh-CN"/>
        </w:rPr>
        <w:t>本部门涉及的全部</w:t>
      </w:r>
      <w:r>
        <w:rPr>
          <w:rFonts w:hint="eastAsia" w:ascii="仿宋" w:hAnsi="仿宋" w:eastAsia="仿宋"/>
          <w:b/>
          <w:color w:val="auto"/>
          <w:sz w:val="32"/>
          <w:szCs w:val="32"/>
          <w:highlight w:val="none"/>
        </w:rPr>
        <w:t>功能分类科目，至类级。）</w:t>
      </w:r>
    </w:p>
    <w:p>
      <w:pPr>
        <w:pStyle w:val="2"/>
        <w:jc w:val="center"/>
      </w:pPr>
      <w:r>
        <w:drawing>
          <wp:inline distT="0" distB="0" distL="114300" distR="114300">
            <wp:extent cx="3242310" cy="2862580"/>
            <wp:effectExtent l="4445" t="4445" r="10795" b="9525"/>
            <wp:docPr id="13275"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pPr>
        <w:spacing w:line="600" w:lineRule="exact"/>
        <w:ind w:firstLine="640" w:firstLineChars="200"/>
        <w:rPr>
          <w:rFonts w:ascii="仿宋" w:hAnsi="仿宋" w:eastAsia="仿宋"/>
          <w:color w:val="auto"/>
          <w:sz w:val="32"/>
          <w:szCs w:val="32"/>
          <w:highlight w:val="none"/>
        </w:rPr>
      </w:pPr>
      <w:r>
        <w:rPr>
          <w:rFonts w:hint="eastAsia" w:ascii="仿宋" w:hAnsi="仿宋" w:eastAsia="仿宋"/>
          <w:color w:val="auto"/>
          <w:sz w:val="32"/>
          <w:szCs w:val="32"/>
          <w:highlight w:val="none"/>
        </w:rPr>
        <w:t>（图6：一般公共预算财政拨款支出决算结构）（饼状图）</w:t>
      </w:r>
    </w:p>
    <w:p>
      <w:pPr>
        <w:spacing w:line="600" w:lineRule="exact"/>
        <w:ind w:firstLine="640" w:firstLineChars="200"/>
        <w:outlineLvl w:val="2"/>
        <w:rPr>
          <w:rFonts w:ascii="仿宋" w:hAnsi="仿宋" w:eastAsia="仿宋"/>
          <w:b w:val="0"/>
          <w:bCs/>
          <w:color w:val="auto"/>
          <w:sz w:val="32"/>
          <w:szCs w:val="32"/>
          <w:highlight w:val="none"/>
        </w:rPr>
      </w:pPr>
      <w:r>
        <w:rPr>
          <w:rFonts w:hint="eastAsia" w:ascii="仿宋" w:hAnsi="仿宋" w:eastAsia="仿宋"/>
          <w:b w:val="0"/>
          <w:bCs/>
          <w:color w:val="auto"/>
          <w:sz w:val="32"/>
          <w:szCs w:val="32"/>
          <w:highlight w:val="none"/>
        </w:rPr>
        <w:t>（三）一般公共预算财政拨款支出决算具体情况</w:t>
      </w:r>
    </w:p>
    <w:p>
      <w:pPr>
        <w:spacing w:line="600" w:lineRule="exact"/>
        <w:ind w:firstLine="642" w:firstLineChars="200"/>
        <w:outlineLvl w:val="2"/>
        <w:rPr>
          <w:rFonts w:ascii="仿宋" w:hAnsi="仿宋" w:eastAsia="仿宋"/>
          <w:color w:val="auto"/>
          <w:sz w:val="32"/>
          <w:szCs w:val="32"/>
          <w:highlight w:val="none"/>
        </w:rPr>
      </w:pPr>
      <w:r>
        <w:rPr>
          <w:rFonts w:hint="eastAsia" w:ascii="仿宋" w:hAnsi="仿宋" w:eastAsia="仿宋"/>
          <w:b/>
          <w:color w:val="auto"/>
          <w:sz w:val="32"/>
          <w:szCs w:val="32"/>
          <w:highlight w:val="none"/>
          <w:lang w:eastAsia="zh-CN"/>
        </w:rPr>
        <w:t>202</w:t>
      </w:r>
      <w:r>
        <w:rPr>
          <w:rFonts w:hint="eastAsia" w:ascii="仿宋" w:hAnsi="仿宋" w:eastAsia="仿宋"/>
          <w:b/>
          <w:color w:val="auto"/>
          <w:sz w:val="32"/>
          <w:szCs w:val="32"/>
          <w:highlight w:val="none"/>
          <w:lang w:val="en-US" w:eastAsia="zh-CN"/>
        </w:rPr>
        <w:t>5</w:t>
      </w:r>
      <w:r>
        <w:rPr>
          <w:rFonts w:hint="eastAsia" w:ascii="仿宋" w:hAnsi="仿宋" w:eastAsia="仿宋"/>
          <w:b/>
          <w:color w:val="auto"/>
          <w:sz w:val="32"/>
          <w:szCs w:val="32"/>
          <w:highlight w:val="none"/>
        </w:rPr>
        <w:t>年</w:t>
      </w:r>
      <w:r>
        <w:rPr>
          <w:rFonts w:hint="eastAsia" w:ascii="仿宋" w:hAnsi="仿宋" w:eastAsia="仿宋"/>
          <w:b/>
          <w:color w:val="auto"/>
          <w:sz w:val="32"/>
          <w:szCs w:val="32"/>
          <w:highlight w:val="none"/>
          <w:lang w:eastAsia="zh-CN"/>
        </w:rPr>
        <w:t>度一</w:t>
      </w:r>
      <w:r>
        <w:rPr>
          <w:rFonts w:hint="eastAsia" w:ascii="仿宋" w:hAnsi="仿宋" w:eastAsia="仿宋"/>
          <w:b/>
          <w:color w:val="auto"/>
          <w:sz w:val="32"/>
          <w:szCs w:val="32"/>
          <w:highlight w:val="none"/>
        </w:rPr>
        <w:t>般公共预算支出决算数为</w:t>
      </w:r>
      <w:r>
        <w:rPr>
          <w:rFonts w:hint="eastAsia" w:ascii="仿宋" w:hAnsi="仿宋" w:eastAsia="仿宋"/>
          <w:color w:val="auto"/>
          <w:sz w:val="32"/>
          <w:szCs w:val="32"/>
          <w:highlight w:val="none"/>
          <w:lang w:val="en-US" w:eastAsia="zh-CN"/>
        </w:rPr>
        <w:t>1050.28</w:t>
      </w:r>
      <w:r>
        <w:rPr>
          <w:rFonts w:hint="eastAsia" w:ascii="仿宋" w:hAnsi="仿宋" w:eastAsia="仿宋"/>
          <w:b/>
          <w:color w:val="auto"/>
          <w:sz w:val="32"/>
          <w:szCs w:val="32"/>
          <w:highlight w:val="none"/>
          <w:lang w:val="en-US" w:eastAsia="zh-CN"/>
        </w:rPr>
        <w:t>万元</w:t>
      </w:r>
      <w:r>
        <w:rPr>
          <w:rFonts w:hint="eastAsia" w:ascii="仿宋" w:hAnsi="仿宋" w:eastAsia="仿宋"/>
          <w:color w:val="auto"/>
          <w:sz w:val="32"/>
          <w:szCs w:val="32"/>
          <w:highlight w:val="none"/>
        </w:rPr>
        <w:t>，</w:t>
      </w:r>
      <w:r>
        <w:rPr>
          <w:rStyle w:val="17"/>
          <w:rFonts w:hint="eastAsia" w:ascii="仿宋" w:hAnsi="仿宋" w:eastAsia="仿宋"/>
          <w:bCs/>
          <w:color w:val="auto"/>
          <w:sz w:val="32"/>
          <w:szCs w:val="32"/>
          <w:highlight w:val="none"/>
        </w:rPr>
        <w:t>完成预算</w:t>
      </w:r>
      <w:r>
        <w:rPr>
          <w:rStyle w:val="17"/>
          <w:rFonts w:hint="eastAsia" w:ascii="仿宋" w:hAnsi="仿宋" w:eastAsia="仿宋"/>
          <w:bCs/>
          <w:color w:val="auto"/>
          <w:sz w:val="32"/>
          <w:szCs w:val="32"/>
          <w:highlight w:val="none"/>
          <w:lang w:val="en-US" w:eastAsia="zh-CN"/>
        </w:rPr>
        <w:t>100</w:t>
      </w:r>
      <w:r>
        <w:rPr>
          <w:rStyle w:val="17"/>
          <w:rFonts w:ascii="仿宋" w:hAnsi="仿宋" w:eastAsia="仿宋"/>
          <w:bCs/>
          <w:color w:val="auto"/>
          <w:sz w:val="32"/>
          <w:szCs w:val="32"/>
          <w:highlight w:val="none"/>
        </w:rPr>
        <w:t>%</w:t>
      </w:r>
      <w:r>
        <w:rPr>
          <w:rStyle w:val="17"/>
          <w:rFonts w:hint="eastAsia" w:ascii="仿宋" w:hAnsi="仿宋" w:eastAsia="仿宋"/>
          <w:bCs/>
          <w:color w:val="auto"/>
          <w:sz w:val="32"/>
          <w:szCs w:val="32"/>
          <w:highlight w:val="none"/>
        </w:rPr>
        <w:t>。其中：</w:t>
      </w:r>
    </w:p>
    <w:p>
      <w:pPr>
        <w:spacing w:line="600" w:lineRule="exact"/>
        <w:ind w:firstLine="642" w:firstLineChars="200"/>
        <w:rPr>
          <w:rFonts w:ascii="仿宋" w:hAnsi="仿宋" w:eastAsia="仿宋"/>
          <w:b/>
          <w:color w:val="auto"/>
          <w:sz w:val="32"/>
          <w:szCs w:val="32"/>
          <w:highlight w:val="none"/>
        </w:rPr>
      </w:pPr>
      <w:r>
        <w:rPr>
          <w:rStyle w:val="17"/>
          <w:rFonts w:hint="eastAsia" w:ascii="仿宋" w:hAnsi="仿宋" w:eastAsia="仿宋"/>
          <w:bCs/>
          <w:color w:val="auto"/>
          <w:sz w:val="32"/>
          <w:szCs w:val="32"/>
          <w:highlight w:val="none"/>
          <w:lang w:val="en-US" w:eastAsia="zh-CN"/>
        </w:rPr>
        <w:t>1</w:t>
      </w:r>
      <w:r>
        <w:rPr>
          <w:rStyle w:val="17"/>
          <w:rFonts w:ascii="仿宋" w:hAnsi="仿宋" w:eastAsia="仿宋"/>
          <w:bCs/>
          <w:color w:val="auto"/>
          <w:sz w:val="32"/>
          <w:szCs w:val="32"/>
          <w:highlight w:val="none"/>
        </w:rPr>
        <w:t>.</w:t>
      </w:r>
      <w:r>
        <w:rPr>
          <w:rStyle w:val="17"/>
          <w:rFonts w:hint="eastAsia" w:ascii="仿宋" w:hAnsi="仿宋" w:eastAsia="仿宋"/>
          <w:bCs/>
          <w:color w:val="000000"/>
          <w:sz w:val="32"/>
          <w:szCs w:val="32"/>
          <w:highlight w:val="none"/>
        </w:rPr>
        <w:t>教育（</w:t>
      </w:r>
      <w:r>
        <w:rPr>
          <w:rStyle w:val="17"/>
          <w:rFonts w:hint="eastAsia" w:ascii="仿宋" w:hAnsi="仿宋" w:eastAsia="仿宋"/>
          <w:bCs/>
          <w:color w:val="000000"/>
          <w:sz w:val="32"/>
          <w:szCs w:val="32"/>
          <w:highlight w:val="none"/>
          <w:lang w:val="en-US" w:eastAsia="zh-CN"/>
        </w:rPr>
        <w:t>205</w:t>
      </w:r>
      <w:r>
        <w:rPr>
          <w:rStyle w:val="17"/>
          <w:rFonts w:hint="eastAsia" w:ascii="仿宋" w:hAnsi="仿宋" w:eastAsia="仿宋"/>
          <w:bCs/>
          <w:color w:val="000000"/>
          <w:sz w:val="32"/>
          <w:szCs w:val="32"/>
          <w:highlight w:val="none"/>
        </w:rPr>
        <w:t>）</w:t>
      </w:r>
      <w:r>
        <w:rPr>
          <w:rStyle w:val="17"/>
          <w:rFonts w:hint="eastAsia" w:ascii="仿宋" w:hAnsi="仿宋" w:eastAsia="仿宋"/>
          <w:bCs/>
          <w:color w:val="000000"/>
          <w:sz w:val="32"/>
          <w:szCs w:val="32"/>
          <w:highlight w:val="none"/>
          <w:lang w:eastAsia="zh-CN"/>
        </w:rPr>
        <w:t>普通教育（</w:t>
      </w:r>
      <w:r>
        <w:rPr>
          <w:rStyle w:val="17"/>
          <w:rFonts w:hint="eastAsia" w:ascii="仿宋" w:hAnsi="仿宋" w:eastAsia="仿宋"/>
          <w:bCs/>
          <w:color w:val="000000"/>
          <w:sz w:val="32"/>
          <w:szCs w:val="32"/>
          <w:highlight w:val="none"/>
          <w:lang w:val="en-US" w:eastAsia="zh-CN"/>
        </w:rPr>
        <w:t>02</w:t>
      </w:r>
      <w:r>
        <w:rPr>
          <w:rStyle w:val="17"/>
          <w:rFonts w:hint="eastAsia" w:ascii="仿宋" w:hAnsi="仿宋" w:eastAsia="仿宋"/>
          <w:bCs/>
          <w:color w:val="000000"/>
          <w:sz w:val="32"/>
          <w:szCs w:val="32"/>
          <w:highlight w:val="none"/>
          <w:lang w:eastAsia="zh-CN"/>
        </w:rPr>
        <w:t>）学前教育（</w:t>
      </w:r>
      <w:r>
        <w:rPr>
          <w:rStyle w:val="17"/>
          <w:rFonts w:hint="eastAsia" w:ascii="仿宋" w:hAnsi="仿宋" w:eastAsia="仿宋"/>
          <w:bCs/>
          <w:color w:val="000000"/>
          <w:sz w:val="32"/>
          <w:szCs w:val="32"/>
          <w:highlight w:val="none"/>
          <w:lang w:val="en-US" w:eastAsia="zh-CN"/>
        </w:rPr>
        <w:t>01</w:t>
      </w:r>
      <w:r>
        <w:rPr>
          <w:rStyle w:val="17"/>
          <w:rFonts w:hint="eastAsia" w:ascii="仿宋" w:hAnsi="仿宋" w:eastAsia="仿宋"/>
          <w:bCs/>
          <w:color w:val="000000"/>
          <w:sz w:val="32"/>
          <w:szCs w:val="32"/>
          <w:highlight w:val="none"/>
          <w:lang w:eastAsia="zh-CN"/>
        </w:rPr>
        <w:t>）小学教育</w:t>
      </w:r>
      <w:r>
        <w:rPr>
          <w:rStyle w:val="17"/>
          <w:rFonts w:hint="eastAsia" w:ascii="仿宋" w:hAnsi="仿宋" w:eastAsia="仿宋"/>
          <w:bCs/>
          <w:color w:val="000000"/>
          <w:sz w:val="32"/>
          <w:szCs w:val="32"/>
          <w:highlight w:val="none"/>
        </w:rPr>
        <w:t>（</w:t>
      </w:r>
      <w:r>
        <w:rPr>
          <w:rStyle w:val="17"/>
          <w:rFonts w:hint="eastAsia" w:ascii="仿宋" w:hAnsi="仿宋" w:eastAsia="仿宋"/>
          <w:bCs/>
          <w:color w:val="000000"/>
          <w:sz w:val="32"/>
          <w:szCs w:val="32"/>
          <w:highlight w:val="none"/>
          <w:lang w:val="en-US" w:eastAsia="zh-CN"/>
        </w:rPr>
        <w:t>02</w:t>
      </w:r>
      <w:r>
        <w:rPr>
          <w:rStyle w:val="17"/>
          <w:rFonts w:hint="eastAsia" w:ascii="仿宋" w:hAnsi="仿宋" w:eastAsia="仿宋"/>
          <w:bCs/>
          <w:color w:val="000000"/>
          <w:sz w:val="32"/>
          <w:szCs w:val="32"/>
          <w:highlight w:val="none"/>
        </w:rPr>
        <w:t>）其他普通教育支出</w:t>
      </w:r>
      <w:r>
        <w:rPr>
          <w:rStyle w:val="17"/>
          <w:rFonts w:hint="eastAsia" w:ascii="仿宋" w:hAnsi="仿宋" w:eastAsia="仿宋"/>
          <w:bCs/>
          <w:color w:val="000000"/>
          <w:sz w:val="32"/>
          <w:szCs w:val="32"/>
          <w:highlight w:val="none"/>
          <w:lang w:eastAsia="zh-CN"/>
        </w:rPr>
        <w:t>（</w:t>
      </w:r>
      <w:r>
        <w:rPr>
          <w:rStyle w:val="17"/>
          <w:rFonts w:hint="eastAsia" w:ascii="仿宋" w:hAnsi="仿宋" w:eastAsia="仿宋"/>
          <w:bCs/>
          <w:color w:val="000000"/>
          <w:sz w:val="32"/>
          <w:szCs w:val="32"/>
          <w:highlight w:val="none"/>
          <w:lang w:val="en-US" w:eastAsia="zh-CN"/>
        </w:rPr>
        <w:t>99</w:t>
      </w:r>
      <w:r>
        <w:rPr>
          <w:rStyle w:val="17"/>
          <w:rFonts w:hint="eastAsia" w:ascii="仿宋" w:hAnsi="仿宋" w:eastAsia="仿宋"/>
          <w:bCs/>
          <w:color w:val="000000"/>
          <w:sz w:val="32"/>
          <w:szCs w:val="32"/>
          <w:highlight w:val="none"/>
          <w:lang w:eastAsia="zh-CN"/>
        </w:rPr>
        <w:t>）</w:t>
      </w:r>
      <w:r>
        <w:rPr>
          <w:rStyle w:val="17"/>
          <w:rFonts w:ascii="仿宋" w:hAnsi="仿宋" w:eastAsia="仿宋"/>
          <w:bCs/>
          <w:color w:val="auto"/>
          <w:sz w:val="32"/>
          <w:szCs w:val="32"/>
          <w:highlight w:val="none"/>
        </w:rPr>
        <w:t>:</w:t>
      </w:r>
      <w:r>
        <w:rPr>
          <w:rStyle w:val="17"/>
          <w:rFonts w:ascii="仿宋" w:hAnsi="仿宋" w:eastAsia="仿宋"/>
          <w:b w:val="0"/>
          <w:bCs/>
          <w:color w:val="auto"/>
          <w:sz w:val="32"/>
          <w:szCs w:val="32"/>
          <w:highlight w:val="none"/>
        </w:rPr>
        <w:t xml:space="preserve"> </w:t>
      </w:r>
      <w:r>
        <w:rPr>
          <w:rStyle w:val="17"/>
          <w:rFonts w:hint="eastAsia" w:ascii="仿宋" w:hAnsi="仿宋" w:eastAsia="仿宋"/>
          <w:b w:val="0"/>
          <w:bCs/>
          <w:color w:val="auto"/>
          <w:sz w:val="32"/>
          <w:szCs w:val="32"/>
          <w:highlight w:val="none"/>
        </w:rPr>
        <w:t>支出决算为</w:t>
      </w:r>
      <w:r>
        <w:rPr>
          <w:rFonts w:hint="eastAsia" w:ascii="仿宋" w:hAnsi="仿宋" w:eastAsia="仿宋" w:cs="Times New Roman"/>
          <w:color w:val="auto"/>
          <w:sz w:val="32"/>
          <w:szCs w:val="32"/>
          <w:highlight w:val="none"/>
          <w:lang w:val="en-US" w:eastAsia="zh-CN"/>
        </w:rPr>
        <w:t>829.33</w:t>
      </w:r>
      <w:r>
        <w:rPr>
          <w:rStyle w:val="17"/>
          <w:rFonts w:hint="eastAsia" w:ascii="仿宋" w:hAnsi="仿宋" w:eastAsia="仿宋"/>
          <w:b w:val="0"/>
          <w:bCs/>
          <w:color w:val="auto"/>
          <w:sz w:val="32"/>
          <w:szCs w:val="32"/>
          <w:highlight w:val="none"/>
        </w:rPr>
        <w:t>万元，完成预算</w:t>
      </w:r>
      <w:r>
        <w:rPr>
          <w:rFonts w:hint="eastAsia" w:ascii="仿宋" w:hAnsi="仿宋" w:eastAsia="仿宋"/>
          <w:b w:val="0"/>
          <w:bCs/>
          <w:color w:val="auto"/>
          <w:sz w:val="32"/>
          <w:szCs w:val="32"/>
          <w:highlight w:val="none"/>
          <w:lang w:val="en-US" w:eastAsia="zh-CN"/>
        </w:rPr>
        <w:t>100%</w:t>
      </w:r>
      <w:r>
        <w:rPr>
          <w:rStyle w:val="17"/>
          <w:rFonts w:hint="eastAsia" w:ascii="仿宋" w:hAnsi="仿宋" w:eastAsia="仿宋"/>
          <w:b w:val="0"/>
          <w:bCs/>
          <w:color w:val="auto"/>
          <w:sz w:val="32"/>
          <w:szCs w:val="32"/>
          <w:highlight w:val="none"/>
        </w:rPr>
        <w:t>，决算数等于预算数。</w:t>
      </w:r>
    </w:p>
    <w:p>
      <w:pPr>
        <w:spacing w:line="600" w:lineRule="exact"/>
        <w:ind w:firstLine="642" w:firstLineChars="200"/>
        <w:rPr>
          <w:rFonts w:ascii="仿宋" w:hAnsi="仿宋" w:eastAsia="仿宋"/>
          <w:b/>
          <w:color w:val="auto"/>
          <w:sz w:val="32"/>
          <w:szCs w:val="32"/>
          <w:highlight w:val="none"/>
        </w:rPr>
      </w:pPr>
      <w:r>
        <w:rPr>
          <w:rStyle w:val="17"/>
          <w:rFonts w:hint="eastAsia" w:ascii="仿宋" w:hAnsi="仿宋" w:eastAsia="仿宋"/>
          <w:bCs/>
          <w:color w:val="auto"/>
          <w:sz w:val="32"/>
          <w:szCs w:val="32"/>
          <w:highlight w:val="none"/>
          <w:lang w:val="en-US" w:eastAsia="zh-CN"/>
        </w:rPr>
        <w:t>2</w:t>
      </w:r>
      <w:r>
        <w:rPr>
          <w:rStyle w:val="17"/>
          <w:rFonts w:ascii="仿宋" w:hAnsi="仿宋" w:eastAsia="仿宋"/>
          <w:bCs/>
          <w:color w:val="auto"/>
          <w:sz w:val="32"/>
          <w:szCs w:val="32"/>
          <w:highlight w:val="none"/>
        </w:rPr>
        <w:t>.</w:t>
      </w:r>
      <w:r>
        <w:rPr>
          <w:rStyle w:val="17"/>
          <w:rFonts w:hint="eastAsia" w:ascii="仿宋" w:hAnsi="仿宋" w:eastAsia="仿宋"/>
          <w:bCs/>
          <w:color w:val="000000"/>
          <w:sz w:val="32"/>
          <w:szCs w:val="32"/>
          <w:highlight w:val="none"/>
        </w:rPr>
        <w:t>社会保障和就业（</w:t>
      </w:r>
      <w:r>
        <w:rPr>
          <w:rStyle w:val="17"/>
          <w:rFonts w:hint="eastAsia" w:ascii="仿宋" w:hAnsi="仿宋" w:eastAsia="仿宋"/>
          <w:bCs/>
          <w:color w:val="000000"/>
          <w:sz w:val="32"/>
          <w:szCs w:val="32"/>
          <w:highlight w:val="none"/>
          <w:lang w:val="en-US" w:eastAsia="zh-CN"/>
        </w:rPr>
        <w:t>208</w:t>
      </w:r>
      <w:r>
        <w:rPr>
          <w:rStyle w:val="17"/>
          <w:rFonts w:hint="eastAsia" w:ascii="仿宋" w:hAnsi="仿宋" w:eastAsia="仿宋"/>
          <w:bCs/>
          <w:color w:val="000000"/>
          <w:sz w:val="32"/>
          <w:szCs w:val="32"/>
          <w:highlight w:val="none"/>
        </w:rPr>
        <w:t>）</w:t>
      </w:r>
      <w:r>
        <w:rPr>
          <w:rStyle w:val="17"/>
          <w:rFonts w:hint="eastAsia" w:ascii="仿宋" w:hAnsi="仿宋" w:eastAsia="仿宋"/>
          <w:bCs/>
          <w:color w:val="000000"/>
          <w:sz w:val="32"/>
          <w:szCs w:val="32"/>
          <w:highlight w:val="none"/>
          <w:lang w:eastAsia="zh-CN"/>
        </w:rPr>
        <w:t>行政事业单位养老支出</w:t>
      </w:r>
      <w:r>
        <w:rPr>
          <w:rStyle w:val="17"/>
          <w:rFonts w:hint="eastAsia" w:ascii="仿宋" w:hAnsi="仿宋" w:eastAsia="仿宋"/>
          <w:bCs/>
          <w:color w:val="000000"/>
          <w:sz w:val="32"/>
          <w:szCs w:val="32"/>
          <w:highlight w:val="none"/>
        </w:rPr>
        <w:t>（</w:t>
      </w:r>
      <w:r>
        <w:rPr>
          <w:rStyle w:val="17"/>
          <w:rFonts w:hint="eastAsia" w:ascii="仿宋" w:hAnsi="仿宋" w:eastAsia="仿宋"/>
          <w:bCs/>
          <w:color w:val="000000"/>
          <w:sz w:val="32"/>
          <w:szCs w:val="32"/>
          <w:highlight w:val="none"/>
          <w:lang w:val="en-US" w:eastAsia="zh-CN"/>
        </w:rPr>
        <w:t>05</w:t>
      </w:r>
      <w:r>
        <w:rPr>
          <w:rStyle w:val="17"/>
          <w:rFonts w:hint="eastAsia" w:ascii="仿宋" w:hAnsi="仿宋" w:eastAsia="仿宋"/>
          <w:bCs/>
          <w:color w:val="000000"/>
          <w:sz w:val="32"/>
          <w:szCs w:val="32"/>
          <w:highlight w:val="none"/>
        </w:rPr>
        <w:t>）</w:t>
      </w:r>
      <w:r>
        <w:rPr>
          <w:rStyle w:val="17"/>
          <w:rFonts w:hint="eastAsia" w:ascii="仿宋" w:hAnsi="仿宋" w:eastAsia="仿宋"/>
          <w:bCs/>
          <w:color w:val="000000"/>
          <w:sz w:val="32"/>
          <w:szCs w:val="32"/>
          <w:highlight w:val="none"/>
          <w:lang w:eastAsia="zh-CN"/>
        </w:rPr>
        <w:t>机关事业单位基本养老保险缴费支出</w:t>
      </w:r>
      <w:r>
        <w:rPr>
          <w:rStyle w:val="17"/>
          <w:rFonts w:hint="eastAsia" w:ascii="仿宋" w:hAnsi="仿宋" w:eastAsia="仿宋"/>
          <w:bCs/>
          <w:color w:val="000000"/>
          <w:sz w:val="32"/>
          <w:szCs w:val="32"/>
          <w:highlight w:val="none"/>
        </w:rPr>
        <w:t>（</w:t>
      </w:r>
      <w:r>
        <w:rPr>
          <w:rStyle w:val="17"/>
          <w:rFonts w:hint="eastAsia" w:ascii="仿宋" w:hAnsi="仿宋" w:eastAsia="仿宋"/>
          <w:bCs/>
          <w:color w:val="000000"/>
          <w:sz w:val="32"/>
          <w:szCs w:val="32"/>
          <w:highlight w:val="none"/>
          <w:lang w:val="en-US" w:eastAsia="zh-CN"/>
        </w:rPr>
        <w:t>05</w:t>
      </w:r>
      <w:r>
        <w:rPr>
          <w:rStyle w:val="17"/>
          <w:rFonts w:hint="eastAsia" w:ascii="仿宋" w:hAnsi="仿宋" w:eastAsia="仿宋"/>
          <w:bCs/>
          <w:color w:val="000000"/>
          <w:sz w:val="32"/>
          <w:szCs w:val="32"/>
          <w:highlight w:val="none"/>
        </w:rPr>
        <w:t>）</w:t>
      </w:r>
      <w:r>
        <w:rPr>
          <w:rStyle w:val="17"/>
          <w:rFonts w:ascii="仿宋" w:hAnsi="仿宋" w:eastAsia="仿宋"/>
          <w:bCs/>
          <w:color w:val="auto"/>
          <w:sz w:val="32"/>
          <w:szCs w:val="32"/>
          <w:highlight w:val="none"/>
        </w:rPr>
        <w:t>:</w:t>
      </w:r>
      <w:r>
        <w:rPr>
          <w:rStyle w:val="17"/>
          <w:rFonts w:ascii="仿宋" w:hAnsi="仿宋" w:eastAsia="仿宋"/>
          <w:b w:val="0"/>
          <w:bCs/>
          <w:color w:val="auto"/>
          <w:sz w:val="32"/>
          <w:szCs w:val="32"/>
          <w:highlight w:val="none"/>
        </w:rPr>
        <w:t xml:space="preserve"> </w:t>
      </w:r>
      <w:r>
        <w:rPr>
          <w:rStyle w:val="17"/>
          <w:rFonts w:hint="eastAsia" w:ascii="仿宋" w:hAnsi="仿宋" w:eastAsia="仿宋"/>
          <w:b w:val="0"/>
          <w:bCs/>
          <w:color w:val="auto"/>
          <w:sz w:val="32"/>
          <w:szCs w:val="32"/>
          <w:highlight w:val="none"/>
        </w:rPr>
        <w:t>支出决算为</w:t>
      </w:r>
      <w:r>
        <w:rPr>
          <w:rFonts w:hint="eastAsia" w:ascii="仿宋" w:hAnsi="仿宋" w:eastAsia="仿宋" w:cs="Times New Roman"/>
          <w:color w:val="auto"/>
          <w:sz w:val="32"/>
          <w:szCs w:val="32"/>
          <w:highlight w:val="none"/>
          <w:lang w:val="en-US" w:eastAsia="zh-CN"/>
        </w:rPr>
        <w:t>112.94</w:t>
      </w:r>
      <w:r>
        <w:rPr>
          <w:rStyle w:val="17"/>
          <w:rFonts w:hint="eastAsia" w:ascii="仿宋" w:hAnsi="仿宋" w:eastAsia="仿宋"/>
          <w:b w:val="0"/>
          <w:bCs/>
          <w:color w:val="auto"/>
          <w:sz w:val="32"/>
          <w:szCs w:val="32"/>
          <w:highlight w:val="none"/>
        </w:rPr>
        <w:t>万元，完成预算</w:t>
      </w:r>
      <w:r>
        <w:rPr>
          <w:rFonts w:hint="eastAsia" w:ascii="仿宋" w:hAnsi="仿宋" w:eastAsia="仿宋"/>
          <w:b w:val="0"/>
          <w:bCs/>
          <w:color w:val="auto"/>
          <w:sz w:val="32"/>
          <w:szCs w:val="32"/>
          <w:highlight w:val="none"/>
          <w:lang w:val="en-US" w:eastAsia="zh-CN"/>
        </w:rPr>
        <w:t>100%</w:t>
      </w:r>
      <w:r>
        <w:rPr>
          <w:rStyle w:val="17"/>
          <w:rFonts w:hint="eastAsia" w:ascii="仿宋" w:hAnsi="仿宋" w:eastAsia="仿宋"/>
          <w:b w:val="0"/>
          <w:bCs/>
          <w:color w:val="auto"/>
          <w:sz w:val="32"/>
          <w:szCs w:val="32"/>
          <w:highlight w:val="none"/>
        </w:rPr>
        <w:t>，决算数等于预算数。</w:t>
      </w:r>
    </w:p>
    <w:p>
      <w:pPr>
        <w:spacing w:line="600" w:lineRule="exact"/>
        <w:ind w:firstLine="642" w:firstLineChars="200"/>
        <w:rPr>
          <w:rFonts w:ascii="仿宋" w:hAnsi="仿宋" w:eastAsia="仿宋"/>
          <w:b/>
          <w:color w:val="auto"/>
          <w:sz w:val="32"/>
          <w:szCs w:val="32"/>
          <w:highlight w:val="none"/>
        </w:rPr>
      </w:pPr>
      <w:r>
        <w:rPr>
          <w:rStyle w:val="17"/>
          <w:rFonts w:hint="eastAsia" w:ascii="仿宋" w:hAnsi="仿宋" w:eastAsia="仿宋"/>
          <w:bCs/>
          <w:color w:val="auto"/>
          <w:sz w:val="32"/>
          <w:szCs w:val="32"/>
          <w:highlight w:val="none"/>
          <w:lang w:val="en-US" w:eastAsia="zh-CN"/>
        </w:rPr>
        <w:t>3</w:t>
      </w:r>
      <w:r>
        <w:rPr>
          <w:rStyle w:val="17"/>
          <w:rFonts w:ascii="仿宋" w:hAnsi="仿宋" w:eastAsia="仿宋"/>
          <w:bCs/>
          <w:color w:val="auto"/>
          <w:sz w:val="32"/>
          <w:szCs w:val="32"/>
          <w:highlight w:val="none"/>
        </w:rPr>
        <w:t>.</w:t>
      </w:r>
      <w:r>
        <w:rPr>
          <w:rFonts w:hint="eastAsia" w:ascii="仿宋" w:hAnsi="仿宋" w:eastAsia="仿宋"/>
          <w:b/>
          <w:bCs/>
          <w:color w:val="000000"/>
          <w:sz w:val="32"/>
          <w:szCs w:val="32"/>
          <w:highlight w:val="none"/>
        </w:rPr>
        <w:t>卫生健康</w:t>
      </w:r>
      <w:r>
        <w:rPr>
          <w:rStyle w:val="17"/>
          <w:rFonts w:hint="eastAsia" w:ascii="仿宋" w:hAnsi="仿宋" w:eastAsia="仿宋"/>
          <w:bCs/>
          <w:color w:val="000000"/>
          <w:sz w:val="32"/>
          <w:szCs w:val="32"/>
          <w:highlight w:val="none"/>
        </w:rPr>
        <w:t>（</w:t>
      </w:r>
      <w:r>
        <w:rPr>
          <w:rStyle w:val="17"/>
          <w:rFonts w:hint="eastAsia" w:ascii="仿宋" w:hAnsi="仿宋" w:eastAsia="仿宋"/>
          <w:bCs/>
          <w:color w:val="000000"/>
          <w:sz w:val="32"/>
          <w:szCs w:val="32"/>
          <w:highlight w:val="none"/>
          <w:lang w:val="en-US" w:eastAsia="zh-CN"/>
        </w:rPr>
        <w:t>210</w:t>
      </w:r>
      <w:r>
        <w:rPr>
          <w:rStyle w:val="17"/>
          <w:rFonts w:hint="eastAsia" w:ascii="仿宋" w:hAnsi="仿宋" w:eastAsia="仿宋"/>
          <w:bCs/>
          <w:color w:val="000000"/>
          <w:sz w:val="32"/>
          <w:szCs w:val="32"/>
          <w:highlight w:val="none"/>
        </w:rPr>
        <w:t>） 重大公共卫生服务</w:t>
      </w:r>
      <w:r>
        <w:rPr>
          <w:rStyle w:val="17"/>
          <w:rFonts w:hint="eastAsia" w:ascii="仿宋" w:hAnsi="仿宋" w:eastAsia="仿宋"/>
          <w:bCs/>
          <w:color w:val="000000"/>
          <w:sz w:val="32"/>
          <w:szCs w:val="32"/>
          <w:highlight w:val="none"/>
          <w:lang w:eastAsia="zh-CN"/>
        </w:rPr>
        <w:t>（</w:t>
      </w:r>
      <w:r>
        <w:rPr>
          <w:rStyle w:val="17"/>
          <w:rFonts w:hint="eastAsia" w:ascii="仿宋" w:hAnsi="仿宋" w:eastAsia="仿宋"/>
          <w:bCs/>
          <w:color w:val="000000"/>
          <w:sz w:val="32"/>
          <w:szCs w:val="32"/>
          <w:highlight w:val="none"/>
          <w:lang w:val="en-US" w:eastAsia="zh-CN"/>
        </w:rPr>
        <w:t>09</w:t>
      </w:r>
      <w:r>
        <w:rPr>
          <w:rStyle w:val="17"/>
          <w:rFonts w:hint="eastAsia" w:ascii="仿宋" w:hAnsi="仿宋" w:eastAsia="仿宋"/>
          <w:bCs/>
          <w:color w:val="000000"/>
          <w:sz w:val="32"/>
          <w:szCs w:val="32"/>
          <w:highlight w:val="none"/>
          <w:lang w:eastAsia="zh-CN"/>
        </w:rPr>
        <w:t>）卫生健康支出</w:t>
      </w:r>
      <w:r>
        <w:rPr>
          <w:rStyle w:val="17"/>
          <w:rFonts w:hint="eastAsia" w:ascii="仿宋" w:hAnsi="仿宋" w:eastAsia="仿宋"/>
          <w:bCs/>
          <w:color w:val="000000"/>
          <w:sz w:val="32"/>
          <w:szCs w:val="32"/>
          <w:highlight w:val="none"/>
        </w:rPr>
        <w:t>（</w:t>
      </w:r>
      <w:r>
        <w:rPr>
          <w:rStyle w:val="17"/>
          <w:rFonts w:hint="eastAsia" w:ascii="仿宋" w:hAnsi="仿宋" w:eastAsia="仿宋"/>
          <w:bCs/>
          <w:color w:val="000000"/>
          <w:sz w:val="32"/>
          <w:szCs w:val="32"/>
          <w:highlight w:val="none"/>
          <w:lang w:val="en-US" w:eastAsia="zh-CN"/>
        </w:rPr>
        <w:t>11</w:t>
      </w:r>
      <w:r>
        <w:rPr>
          <w:rStyle w:val="17"/>
          <w:rFonts w:hint="eastAsia" w:ascii="仿宋" w:hAnsi="仿宋" w:eastAsia="仿宋"/>
          <w:bCs/>
          <w:color w:val="000000"/>
          <w:sz w:val="32"/>
          <w:szCs w:val="32"/>
          <w:highlight w:val="none"/>
        </w:rPr>
        <w:t>）</w:t>
      </w:r>
      <w:r>
        <w:rPr>
          <w:rStyle w:val="17"/>
          <w:rFonts w:hint="eastAsia" w:ascii="仿宋" w:hAnsi="仿宋" w:eastAsia="仿宋"/>
          <w:bCs/>
          <w:color w:val="000000"/>
          <w:sz w:val="32"/>
          <w:szCs w:val="32"/>
          <w:highlight w:val="none"/>
          <w:lang w:eastAsia="zh-CN"/>
        </w:rPr>
        <w:t>事业单位医疗</w:t>
      </w:r>
      <w:r>
        <w:rPr>
          <w:rStyle w:val="17"/>
          <w:rFonts w:hint="eastAsia" w:ascii="仿宋" w:hAnsi="仿宋" w:eastAsia="仿宋"/>
          <w:bCs/>
          <w:color w:val="000000"/>
          <w:sz w:val="32"/>
          <w:szCs w:val="32"/>
          <w:highlight w:val="none"/>
        </w:rPr>
        <w:t>（</w:t>
      </w:r>
      <w:r>
        <w:rPr>
          <w:rStyle w:val="17"/>
          <w:rFonts w:hint="eastAsia" w:ascii="仿宋" w:hAnsi="仿宋" w:eastAsia="仿宋"/>
          <w:bCs/>
          <w:color w:val="000000"/>
          <w:sz w:val="32"/>
          <w:szCs w:val="32"/>
          <w:highlight w:val="none"/>
          <w:lang w:val="en-US" w:eastAsia="zh-CN"/>
        </w:rPr>
        <w:t>02</w:t>
      </w:r>
      <w:r>
        <w:rPr>
          <w:rStyle w:val="17"/>
          <w:rFonts w:hint="eastAsia" w:ascii="仿宋" w:hAnsi="仿宋" w:eastAsia="仿宋"/>
          <w:bCs/>
          <w:color w:val="000000"/>
          <w:sz w:val="32"/>
          <w:szCs w:val="32"/>
          <w:highlight w:val="none"/>
        </w:rPr>
        <w:t>）</w:t>
      </w:r>
      <w:r>
        <w:rPr>
          <w:rStyle w:val="17"/>
          <w:rFonts w:ascii="仿宋" w:hAnsi="仿宋" w:eastAsia="仿宋"/>
          <w:bCs/>
          <w:color w:val="auto"/>
          <w:sz w:val="32"/>
          <w:szCs w:val="32"/>
          <w:highlight w:val="none"/>
        </w:rPr>
        <w:t>:</w:t>
      </w:r>
      <w:r>
        <w:rPr>
          <w:rStyle w:val="17"/>
          <w:rFonts w:hint="eastAsia" w:ascii="仿宋" w:hAnsi="仿宋" w:eastAsia="仿宋"/>
          <w:b w:val="0"/>
          <w:bCs/>
          <w:color w:val="auto"/>
          <w:sz w:val="32"/>
          <w:szCs w:val="32"/>
          <w:highlight w:val="none"/>
        </w:rPr>
        <w:t>支出决算为</w:t>
      </w:r>
      <w:r>
        <w:rPr>
          <w:rFonts w:hint="eastAsia" w:ascii="仿宋" w:hAnsi="仿宋" w:eastAsia="仿宋" w:cs="Times New Roman"/>
          <w:color w:val="auto"/>
          <w:sz w:val="32"/>
          <w:szCs w:val="32"/>
          <w:highlight w:val="none"/>
          <w:lang w:val="en-US" w:eastAsia="zh-CN"/>
        </w:rPr>
        <w:t>43.65</w:t>
      </w:r>
      <w:r>
        <w:rPr>
          <w:rStyle w:val="17"/>
          <w:rFonts w:hint="eastAsia" w:ascii="仿宋" w:hAnsi="仿宋" w:eastAsia="仿宋"/>
          <w:b w:val="0"/>
          <w:bCs/>
          <w:color w:val="auto"/>
          <w:sz w:val="32"/>
          <w:szCs w:val="32"/>
          <w:highlight w:val="none"/>
        </w:rPr>
        <w:t>万元，完成预算</w:t>
      </w:r>
      <w:r>
        <w:rPr>
          <w:rFonts w:hint="eastAsia" w:ascii="仿宋" w:hAnsi="仿宋" w:eastAsia="仿宋"/>
          <w:b w:val="0"/>
          <w:bCs/>
          <w:color w:val="auto"/>
          <w:sz w:val="32"/>
          <w:szCs w:val="32"/>
          <w:highlight w:val="none"/>
          <w:lang w:val="en-US" w:eastAsia="zh-CN"/>
        </w:rPr>
        <w:t>100%</w:t>
      </w:r>
      <w:r>
        <w:rPr>
          <w:rStyle w:val="17"/>
          <w:rFonts w:hint="eastAsia" w:ascii="仿宋" w:hAnsi="仿宋" w:eastAsia="仿宋"/>
          <w:b w:val="0"/>
          <w:bCs/>
          <w:color w:val="auto"/>
          <w:sz w:val="32"/>
          <w:szCs w:val="32"/>
          <w:highlight w:val="none"/>
        </w:rPr>
        <w:t>，决算数等于预算数。</w:t>
      </w:r>
    </w:p>
    <w:p>
      <w:pPr>
        <w:spacing w:line="600" w:lineRule="exact"/>
        <w:ind w:firstLine="642" w:firstLineChars="200"/>
        <w:rPr>
          <w:rStyle w:val="17"/>
          <w:rFonts w:hint="eastAsia" w:ascii="仿宋" w:hAnsi="仿宋" w:eastAsia="仿宋"/>
          <w:b w:val="0"/>
          <w:bCs/>
          <w:color w:val="000000"/>
          <w:sz w:val="32"/>
          <w:szCs w:val="32"/>
          <w:highlight w:val="none"/>
        </w:rPr>
      </w:pPr>
      <w:r>
        <w:rPr>
          <w:rStyle w:val="17"/>
          <w:rFonts w:hint="eastAsia" w:ascii="仿宋" w:hAnsi="仿宋" w:eastAsia="仿宋"/>
          <w:bCs/>
          <w:color w:val="000000"/>
          <w:sz w:val="32"/>
          <w:szCs w:val="32"/>
          <w:highlight w:val="none"/>
          <w:lang w:val="en-US" w:eastAsia="zh-CN"/>
        </w:rPr>
        <w:t>4</w:t>
      </w:r>
      <w:r>
        <w:rPr>
          <w:rStyle w:val="17"/>
          <w:rFonts w:ascii="仿宋" w:hAnsi="仿宋" w:eastAsia="仿宋"/>
          <w:bCs/>
          <w:color w:val="000000"/>
          <w:sz w:val="32"/>
          <w:szCs w:val="32"/>
          <w:highlight w:val="none"/>
        </w:rPr>
        <w:t>.</w:t>
      </w:r>
      <w:r>
        <w:rPr>
          <w:rFonts w:hint="eastAsia" w:ascii="仿宋" w:hAnsi="仿宋" w:eastAsia="仿宋"/>
          <w:b/>
          <w:bCs/>
          <w:color w:val="000000"/>
          <w:sz w:val="32"/>
          <w:szCs w:val="32"/>
          <w:highlight w:val="none"/>
          <w:lang w:eastAsia="zh-CN"/>
        </w:rPr>
        <w:t>住房保障支出</w:t>
      </w:r>
      <w:r>
        <w:rPr>
          <w:rStyle w:val="17"/>
          <w:rFonts w:hint="eastAsia" w:ascii="仿宋" w:hAnsi="仿宋" w:eastAsia="仿宋"/>
          <w:bCs/>
          <w:color w:val="000000"/>
          <w:sz w:val="32"/>
          <w:szCs w:val="32"/>
          <w:highlight w:val="none"/>
        </w:rPr>
        <w:t>（</w:t>
      </w:r>
      <w:r>
        <w:rPr>
          <w:rStyle w:val="17"/>
          <w:rFonts w:hint="eastAsia" w:ascii="仿宋" w:hAnsi="仿宋" w:eastAsia="仿宋"/>
          <w:bCs/>
          <w:color w:val="000000"/>
          <w:sz w:val="32"/>
          <w:szCs w:val="32"/>
          <w:highlight w:val="none"/>
          <w:lang w:val="en-US" w:eastAsia="zh-CN"/>
        </w:rPr>
        <w:t>221</w:t>
      </w:r>
      <w:r>
        <w:rPr>
          <w:rStyle w:val="17"/>
          <w:rFonts w:hint="eastAsia" w:ascii="仿宋" w:hAnsi="仿宋" w:eastAsia="仿宋"/>
          <w:bCs/>
          <w:color w:val="000000"/>
          <w:sz w:val="32"/>
          <w:szCs w:val="32"/>
          <w:highlight w:val="none"/>
        </w:rPr>
        <w:t>）</w:t>
      </w:r>
      <w:r>
        <w:rPr>
          <w:rStyle w:val="17"/>
          <w:rFonts w:hint="eastAsia" w:ascii="仿宋" w:hAnsi="仿宋" w:eastAsia="仿宋"/>
          <w:bCs/>
          <w:color w:val="000000"/>
          <w:sz w:val="32"/>
          <w:szCs w:val="32"/>
          <w:highlight w:val="none"/>
          <w:lang w:eastAsia="zh-CN"/>
        </w:rPr>
        <w:t>住房改革支出</w:t>
      </w:r>
      <w:r>
        <w:rPr>
          <w:rStyle w:val="17"/>
          <w:rFonts w:hint="eastAsia" w:ascii="仿宋" w:hAnsi="仿宋" w:eastAsia="仿宋"/>
          <w:bCs/>
          <w:color w:val="000000"/>
          <w:sz w:val="32"/>
          <w:szCs w:val="32"/>
          <w:highlight w:val="none"/>
        </w:rPr>
        <w:t>（</w:t>
      </w:r>
      <w:r>
        <w:rPr>
          <w:rStyle w:val="17"/>
          <w:rFonts w:hint="eastAsia" w:ascii="仿宋" w:hAnsi="仿宋" w:eastAsia="仿宋"/>
          <w:bCs/>
          <w:color w:val="000000"/>
          <w:sz w:val="32"/>
          <w:szCs w:val="32"/>
          <w:highlight w:val="none"/>
          <w:lang w:val="en-US" w:eastAsia="zh-CN"/>
        </w:rPr>
        <w:t>02</w:t>
      </w:r>
      <w:r>
        <w:rPr>
          <w:rStyle w:val="17"/>
          <w:rFonts w:hint="eastAsia" w:ascii="仿宋" w:hAnsi="仿宋" w:eastAsia="仿宋"/>
          <w:bCs/>
          <w:color w:val="000000"/>
          <w:sz w:val="32"/>
          <w:szCs w:val="32"/>
          <w:highlight w:val="none"/>
        </w:rPr>
        <w:t>）</w:t>
      </w:r>
      <w:r>
        <w:rPr>
          <w:rStyle w:val="17"/>
          <w:rFonts w:hint="eastAsia" w:ascii="仿宋" w:hAnsi="仿宋" w:eastAsia="仿宋"/>
          <w:bCs/>
          <w:color w:val="000000"/>
          <w:sz w:val="32"/>
          <w:szCs w:val="32"/>
          <w:highlight w:val="none"/>
          <w:lang w:eastAsia="zh-CN"/>
        </w:rPr>
        <w:t>住房公积金</w:t>
      </w:r>
      <w:r>
        <w:rPr>
          <w:rStyle w:val="17"/>
          <w:rFonts w:hint="eastAsia" w:ascii="仿宋" w:hAnsi="仿宋" w:eastAsia="仿宋"/>
          <w:bCs/>
          <w:color w:val="000000"/>
          <w:sz w:val="32"/>
          <w:szCs w:val="32"/>
          <w:highlight w:val="none"/>
        </w:rPr>
        <w:t>（</w:t>
      </w:r>
      <w:r>
        <w:rPr>
          <w:rStyle w:val="17"/>
          <w:rFonts w:hint="eastAsia" w:ascii="仿宋" w:hAnsi="仿宋" w:eastAsia="仿宋"/>
          <w:bCs/>
          <w:color w:val="000000"/>
          <w:sz w:val="32"/>
          <w:szCs w:val="32"/>
          <w:highlight w:val="none"/>
          <w:lang w:val="en-US" w:eastAsia="zh-CN"/>
        </w:rPr>
        <w:t>01</w:t>
      </w:r>
      <w:r>
        <w:rPr>
          <w:rStyle w:val="17"/>
          <w:rFonts w:hint="eastAsia" w:ascii="仿宋" w:hAnsi="仿宋" w:eastAsia="仿宋"/>
          <w:bCs/>
          <w:color w:val="000000"/>
          <w:sz w:val="32"/>
          <w:szCs w:val="32"/>
          <w:highlight w:val="none"/>
        </w:rPr>
        <w:t>） 购房补贴</w:t>
      </w:r>
      <w:r>
        <w:rPr>
          <w:rStyle w:val="17"/>
          <w:rFonts w:hint="eastAsia" w:ascii="仿宋" w:hAnsi="仿宋" w:eastAsia="仿宋"/>
          <w:bCs/>
          <w:color w:val="000000"/>
          <w:sz w:val="32"/>
          <w:szCs w:val="32"/>
          <w:highlight w:val="none"/>
          <w:lang w:eastAsia="zh-CN"/>
        </w:rPr>
        <w:t>（</w:t>
      </w:r>
      <w:r>
        <w:rPr>
          <w:rStyle w:val="17"/>
          <w:rFonts w:hint="eastAsia" w:ascii="仿宋" w:hAnsi="仿宋" w:eastAsia="仿宋"/>
          <w:bCs/>
          <w:color w:val="000000"/>
          <w:sz w:val="32"/>
          <w:szCs w:val="32"/>
          <w:highlight w:val="none"/>
          <w:lang w:val="en-US" w:eastAsia="zh-CN"/>
        </w:rPr>
        <w:t>03</w:t>
      </w:r>
      <w:r>
        <w:rPr>
          <w:rStyle w:val="17"/>
          <w:rFonts w:hint="eastAsia" w:ascii="仿宋" w:hAnsi="仿宋" w:eastAsia="仿宋"/>
          <w:bCs/>
          <w:color w:val="000000"/>
          <w:sz w:val="32"/>
          <w:szCs w:val="32"/>
          <w:highlight w:val="none"/>
          <w:lang w:eastAsia="zh-CN"/>
        </w:rPr>
        <w:t>）</w:t>
      </w:r>
      <w:r>
        <w:rPr>
          <w:rStyle w:val="17"/>
          <w:rFonts w:ascii="仿宋" w:hAnsi="仿宋" w:eastAsia="仿宋"/>
          <w:bCs/>
          <w:color w:val="000000"/>
          <w:sz w:val="32"/>
          <w:szCs w:val="32"/>
          <w:highlight w:val="none"/>
        </w:rPr>
        <w:t>:</w:t>
      </w:r>
      <w:r>
        <w:rPr>
          <w:rStyle w:val="17"/>
          <w:rFonts w:hint="eastAsia" w:ascii="仿宋" w:hAnsi="仿宋" w:eastAsia="仿宋"/>
          <w:b w:val="0"/>
          <w:bCs/>
          <w:color w:val="000000"/>
          <w:sz w:val="32"/>
          <w:szCs w:val="32"/>
          <w:highlight w:val="none"/>
        </w:rPr>
        <w:t>支出决算为</w:t>
      </w:r>
      <w:r>
        <w:rPr>
          <w:rFonts w:hint="eastAsia" w:ascii="仿宋" w:hAnsi="仿宋" w:eastAsia="仿宋" w:cs="Times New Roman"/>
          <w:color w:val="auto"/>
          <w:sz w:val="32"/>
          <w:szCs w:val="32"/>
          <w:highlight w:val="none"/>
          <w:lang w:val="en-US" w:eastAsia="zh-CN"/>
        </w:rPr>
        <w:t>63.4</w:t>
      </w:r>
      <w:r>
        <w:rPr>
          <w:rStyle w:val="17"/>
          <w:rFonts w:hint="eastAsia" w:ascii="仿宋" w:hAnsi="仿宋" w:eastAsia="仿宋"/>
          <w:b w:val="0"/>
          <w:bCs/>
          <w:color w:val="000000"/>
          <w:sz w:val="32"/>
          <w:szCs w:val="32"/>
          <w:highlight w:val="none"/>
        </w:rPr>
        <w:t>万元</w:t>
      </w:r>
      <w:r>
        <w:rPr>
          <w:rStyle w:val="17"/>
          <w:rFonts w:hint="eastAsia" w:ascii="仿宋" w:hAnsi="仿宋" w:eastAsia="仿宋"/>
          <w:b w:val="0"/>
          <w:bCs/>
          <w:color w:val="000000"/>
          <w:sz w:val="32"/>
          <w:szCs w:val="32"/>
          <w:highlight w:val="none"/>
          <w:lang w:eastAsia="zh-CN"/>
        </w:rPr>
        <w:t>，</w:t>
      </w:r>
      <w:r>
        <w:rPr>
          <w:rStyle w:val="17"/>
          <w:rFonts w:hint="eastAsia" w:ascii="仿宋" w:hAnsi="仿宋" w:eastAsia="仿宋"/>
          <w:b w:val="0"/>
          <w:bCs/>
          <w:color w:val="000000"/>
          <w:sz w:val="32"/>
          <w:szCs w:val="32"/>
          <w:highlight w:val="none"/>
        </w:rPr>
        <w:t>完成预算</w:t>
      </w:r>
      <w:r>
        <w:rPr>
          <w:rFonts w:hint="eastAsia" w:ascii="仿宋" w:hAnsi="仿宋" w:eastAsia="仿宋"/>
          <w:b w:val="0"/>
          <w:bCs/>
          <w:color w:val="auto"/>
          <w:sz w:val="32"/>
          <w:szCs w:val="32"/>
          <w:highlight w:val="none"/>
          <w:lang w:val="en-US" w:eastAsia="zh-CN"/>
        </w:rPr>
        <w:t>100%</w:t>
      </w:r>
      <w:r>
        <w:rPr>
          <w:rStyle w:val="17"/>
          <w:rFonts w:hint="eastAsia" w:ascii="仿宋" w:hAnsi="仿宋" w:eastAsia="仿宋"/>
          <w:b w:val="0"/>
          <w:bCs/>
          <w:color w:val="000000"/>
          <w:sz w:val="32"/>
          <w:szCs w:val="32"/>
          <w:highlight w:val="none"/>
        </w:rPr>
        <w:t>，决算数等于预算数。</w:t>
      </w:r>
    </w:p>
    <w:p>
      <w:pPr>
        <w:spacing w:line="600" w:lineRule="exact"/>
        <w:ind w:firstLine="642" w:firstLineChars="200"/>
        <w:rPr>
          <w:rStyle w:val="17"/>
          <w:rFonts w:hint="eastAsia" w:ascii="仿宋" w:hAnsi="仿宋" w:eastAsia="仿宋"/>
          <w:b w:val="0"/>
          <w:bCs/>
          <w:color w:val="000000"/>
          <w:sz w:val="32"/>
          <w:szCs w:val="32"/>
          <w:highlight w:val="none"/>
        </w:rPr>
      </w:pPr>
      <w:r>
        <w:rPr>
          <w:rStyle w:val="17"/>
          <w:rFonts w:hint="eastAsia" w:ascii="仿宋" w:hAnsi="仿宋" w:eastAsia="仿宋"/>
          <w:bCs/>
          <w:color w:val="000000"/>
          <w:sz w:val="32"/>
          <w:szCs w:val="32"/>
          <w:highlight w:val="none"/>
          <w:lang w:val="en-US" w:eastAsia="zh-CN"/>
        </w:rPr>
        <w:t>5</w:t>
      </w:r>
      <w:r>
        <w:rPr>
          <w:rStyle w:val="17"/>
          <w:rFonts w:ascii="仿宋" w:hAnsi="仿宋" w:eastAsia="仿宋"/>
          <w:bCs/>
          <w:color w:val="000000"/>
          <w:sz w:val="32"/>
          <w:szCs w:val="32"/>
          <w:highlight w:val="none"/>
        </w:rPr>
        <w:t>.</w:t>
      </w:r>
      <w:r>
        <w:rPr>
          <w:rStyle w:val="17"/>
          <w:rFonts w:hint="eastAsia" w:ascii="仿宋" w:hAnsi="仿宋" w:eastAsia="仿宋"/>
          <w:bCs/>
          <w:color w:val="000000"/>
          <w:sz w:val="32"/>
          <w:szCs w:val="32"/>
          <w:highlight w:val="none"/>
        </w:rPr>
        <w:t>其他支出</w:t>
      </w:r>
      <w:r>
        <w:rPr>
          <w:rStyle w:val="17"/>
          <w:rFonts w:hint="eastAsia" w:ascii="仿宋" w:hAnsi="仿宋" w:eastAsia="仿宋"/>
          <w:bCs/>
          <w:color w:val="000000"/>
          <w:sz w:val="32"/>
          <w:szCs w:val="32"/>
          <w:highlight w:val="none"/>
          <w:lang w:eastAsia="zh-CN"/>
        </w:rPr>
        <w:t>（</w:t>
      </w:r>
      <w:r>
        <w:rPr>
          <w:rStyle w:val="17"/>
          <w:rFonts w:hint="eastAsia" w:ascii="仿宋" w:hAnsi="仿宋" w:eastAsia="仿宋"/>
          <w:bCs/>
          <w:color w:val="000000"/>
          <w:sz w:val="32"/>
          <w:szCs w:val="32"/>
          <w:highlight w:val="none"/>
          <w:lang w:val="en-US" w:eastAsia="zh-CN"/>
        </w:rPr>
        <w:t>229</w:t>
      </w:r>
      <w:r>
        <w:rPr>
          <w:rStyle w:val="17"/>
          <w:rFonts w:hint="eastAsia" w:ascii="仿宋" w:hAnsi="仿宋" w:eastAsia="仿宋"/>
          <w:bCs/>
          <w:color w:val="000000"/>
          <w:sz w:val="32"/>
          <w:szCs w:val="32"/>
          <w:highlight w:val="none"/>
          <w:lang w:eastAsia="zh-CN"/>
        </w:rPr>
        <w:t>）</w:t>
      </w:r>
      <w:r>
        <w:rPr>
          <w:rStyle w:val="17"/>
          <w:rFonts w:hint="eastAsia" w:ascii="仿宋" w:hAnsi="仿宋" w:eastAsia="仿宋"/>
          <w:bCs/>
          <w:color w:val="000000"/>
          <w:sz w:val="32"/>
          <w:szCs w:val="32"/>
          <w:highlight w:val="none"/>
        </w:rPr>
        <w:t>彩票公益金安排的支出</w:t>
      </w:r>
      <w:r>
        <w:rPr>
          <w:rStyle w:val="17"/>
          <w:rFonts w:hint="eastAsia" w:ascii="仿宋" w:hAnsi="仿宋" w:eastAsia="仿宋"/>
          <w:bCs/>
          <w:color w:val="000000"/>
          <w:sz w:val="32"/>
          <w:szCs w:val="32"/>
          <w:highlight w:val="none"/>
          <w:lang w:eastAsia="zh-CN"/>
        </w:rPr>
        <w:t>（</w:t>
      </w:r>
      <w:r>
        <w:rPr>
          <w:rStyle w:val="17"/>
          <w:rFonts w:hint="eastAsia" w:ascii="仿宋" w:hAnsi="仿宋" w:eastAsia="仿宋"/>
          <w:bCs/>
          <w:color w:val="000000"/>
          <w:sz w:val="32"/>
          <w:szCs w:val="32"/>
          <w:highlight w:val="none"/>
          <w:lang w:val="en-US" w:eastAsia="zh-CN"/>
        </w:rPr>
        <w:t>60</w:t>
      </w:r>
      <w:r>
        <w:rPr>
          <w:rStyle w:val="17"/>
          <w:rFonts w:hint="eastAsia" w:ascii="仿宋" w:hAnsi="仿宋" w:eastAsia="仿宋"/>
          <w:bCs/>
          <w:color w:val="000000"/>
          <w:sz w:val="32"/>
          <w:szCs w:val="32"/>
          <w:highlight w:val="none"/>
          <w:lang w:eastAsia="zh-CN"/>
        </w:rPr>
        <w:t>）用于教育事业的彩票公益金支出（</w:t>
      </w:r>
      <w:r>
        <w:rPr>
          <w:rStyle w:val="17"/>
          <w:rFonts w:hint="eastAsia" w:ascii="仿宋" w:hAnsi="仿宋" w:eastAsia="仿宋"/>
          <w:bCs/>
          <w:color w:val="000000"/>
          <w:sz w:val="32"/>
          <w:szCs w:val="32"/>
          <w:highlight w:val="none"/>
          <w:lang w:val="en-US" w:eastAsia="zh-CN"/>
        </w:rPr>
        <w:t>04）</w:t>
      </w:r>
      <w:r>
        <w:rPr>
          <w:rStyle w:val="17"/>
          <w:rFonts w:ascii="仿宋" w:hAnsi="仿宋" w:eastAsia="仿宋"/>
          <w:bCs/>
          <w:color w:val="000000"/>
          <w:sz w:val="32"/>
          <w:szCs w:val="32"/>
          <w:highlight w:val="none"/>
        </w:rPr>
        <w:t>:</w:t>
      </w:r>
      <w:r>
        <w:rPr>
          <w:rStyle w:val="17"/>
          <w:rFonts w:hint="eastAsia" w:ascii="仿宋" w:hAnsi="仿宋" w:eastAsia="仿宋"/>
          <w:b w:val="0"/>
          <w:bCs/>
          <w:color w:val="000000"/>
          <w:sz w:val="32"/>
          <w:szCs w:val="32"/>
          <w:highlight w:val="none"/>
        </w:rPr>
        <w:t>支出决算为</w:t>
      </w:r>
      <w:r>
        <w:rPr>
          <w:rFonts w:hint="eastAsia" w:ascii="仿宋" w:hAnsi="仿宋" w:eastAsia="仿宋" w:cs="Times New Roman"/>
          <w:color w:val="auto"/>
          <w:sz w:val="32"/>
          <w:szCs w:val="32"/>
          <w:highlight w:val="none"/>
          <w:lang w:val="en-US" w:eastAsia="zh-CN"/>
        </w:rPr>
        <w:t>0.96</w:t>
      </w:r>
      <w:r>
        <w:rPr>
          <w:rStyle w:val="17"/>
          <w:rFonts w:hint="eastAsia" w:ascii="仿宋" w:hAnsi="仿宋" w:eastAsia="仿宋"/>
          <w:b w:val="0"/>
          <w:bCs/>
          <w:color w:val="000000"/>
          <w:sz w:val="32"/>
          <w:szCs w:val="32"/>
          <w:highlight w:val="none"/>
          <w:lang w:val="en-US" w:eastAsia="zh-CN"/>
        </w:rPr>
        <w:t>万元</w:t>
      </w:r>
      <w:r>
        <w:rPr>
          <w:rStyle w:val="17"/>
          <w:rFonts w:hint="eastAsia" w:ascii="仿宋" w:hAnsi="仿宋" w:eastAsia="仿宋"/>
          <w:b w:val="0"/>
          <w:bCs/>
          <w:color w:val="000000"/>
          <w:sz w:val="32"/>
          <w:szCs w:val="32"/>
          <w:highlight w:val="none"/>
          <w:lang w:eastAsia="zh-CN"/>
        </w:rPr>
        <w:t>，</w:t>
      </w:r>
      <w:r>
        <w:rPr>
          <w:rStyle w:val="17"/>
          <w:rFonts w:hint="eastAsia" w:ascii="仿宋" w:hAnsi="仿宋" w:eastAsia="仿宋"/>
          <w:b w:val="0"/>
          <w:bCs/>
          <w:color w:val="000000"/>
          <w:sz w:val="32"/>
          <w:szCs w:val="32"/>
          <w:highlight w:val="none"/>
        </w:rPr>
        <w:t>完成预算</w:t>
      </w:r>
      <w:r>
        <w:rPr>
          <w:rFonts w:hint="eastAsia" w:ascii="仿宋" w:hAnsi="仿宋" w:eastAsia="仿宋"/>
          <w:b w:val="0"/>
          <w:bCs/>
          <w:color w:val="auto"/>
          <w:sz w:val="32"/>
          <w:szCs w:val="32"/>
          <w:highlight w:val="none"/>
          <w:lang w:val="en-US" w:eastAsia="zh-CN"/>
        </w:rPr>
        <w:t>100%</w:t>
      </w:r>
      <w:r>
        <w:rPr>
          <w:rStyle w:val="17"/>
          <w:rFonts w:hint="eastAsia" w:ascii="仿宋" w:hAnsi="仿宋" w:eastAsia="仿宋"/>
          <w:b w:val="0"/>
          <w:bCs/>
          <w:color w:val="000000"/>
          <w:sz w:val="32"/>
          <w:szCs w:val="32"/>
          <w:highlight w:val="none"/>
        </w:rPr>
        <w:t>，决算数等于预算数。</w:t>
      </w:r>
    </w:p>
    <w:p>
      <w:pPr>
        <w:rPr>
          <w:rFonts w:hint="eastAsia" w:ascii="Times New Roman" w:hAnsi="Times New Roman" w:eastAsia="仿宋_GB2312" w:cs="仿宋_GB2312"/>
          <w:color w:val="auto"/>
          <w:sz w:val="32"/>
          <w:szCs w:val="32"/>
          <w:highlight w:val="none"/>
        </w:rPr>
      </w:pPr>
      <w:r>
        <w:rPr>
          <w:rFonts w:hint="eastAsia" w:ascii="仿宋" w:hAnsi="仿宋" w:eastAsia="仿宋"/>
          <w:b/>
          <w:color w:val="auto"/>
          <w:sz w:val="32"/>
          <w:szCs w:val="32"/>
          <w:highlight w:val="none"/>
        </w:rPr>
        <w:t>（注：数据来源于财决</w:t>
      </w:r>
      <w:r>
        <w:rPr>
          <w:rFonts w:ascii="仿宋" w:hAnsi="仿宋" w:eastAsia="仿宋"/>
          <w:b/>
          <w:color w:val="auto"/>
          <w:sz w:val="32"/>
          <w:szCs w:val="32"/>
          <w:highlight w:val="none"/>
        </w:rPr>
        <w:t>0</w:t>
      </w:r>
      <w:r>
        <w:rPr>
          <w:rFonts w:hint="eastAsia" w:ascii="仿宋" w:hAnsi="仿宋" w:eastAsia="仿宋"/>
          <w:b/>
          <w:color w:val="auto"/>
          <w:sz w:val="32"/>
          <w:szCs w:val="32"/>
          <w:highlight w:val="none"/>
        </w:rPr>
        <w:t>1-1表</w:t>
      </w:r>
      <w:r>
        <w:rPr>
          <w:rFonts w:hint="eastAsia" w:ascii="仿宋" w:hAnsi="仿宋" w:eastAsia="仿宋"/>
          <w:b/>
          <w:color w:val="auto"/>
          <w:sz w:val="32"/>
          <w:szCs w:val="32"/>
          <w:highlight w:val="none"/>
          <w:lang w:eastAsia="zh-CN"/>
        </w:rPr>
        <w:t>和财决</w:t>
      </w:r>
      <w:r>
        <w:rPr>
          <w:rFonts w:hint="eastAsia" w:ascii="仿宋" w:hAnsi="仿宋" w:eastAsia="仿宋"/>
          <w:b/>
          <w:color w:val="auto"/>
          <w:sz w:val="32"/>
          <w:szCs w:val="32"/>
          <w:highlight w:val="none"/>
          <w:lang w:val="en-US" w:eastAsia="zh-CN"/>
        </w:rPr>
        <w:t>08表</w:t>
      </w:r>
      <w:r>
        <w:rPr>
          <w:rFonts w:hint="eastAsia" w:ascii="仿宋" w:hAnsi="仿宋" w:eastAsia="仿宋"/>
          <w:b/>
          <w:color w:val="auto"/>
          <w:sz w:val="32"/>
          <w:szCs w:val="32"/>
          <w:highlight w:val="none"/>
        </w:rPr>
        <w:t>，</w:t>
      </w:r>
      <w:r>
        <w:rPr>
          <w:rFonts w:hint="eastAsia" w:ascii="仿宋" w:hAnsi="仿宋" w:eastAsia="仿宋"/>
          <w:b/>
          <w:color w:val="auto"/>
          <w:sz w:val="32"/>
          <w:szCs w:val="32"/>
          <w:highlight w:val="none"/>
          <w:lang w:eastAsia="zh-CN"/>
        </w:rPr>
        <w:t>仅</w:t>
      </w:r>
      <w:r>
        <w:rPr>
          <w:rFonts w:hint="eastAsia" w:ascii="仿宋" w:hAnsi="仿宋" w:eastAsia="仿宋"/>
          <w:b/>
          <w:color w:val="auto"/>
          <w:sz w:val="32"/>
          <w:szCs w:val="32"/>
          <w:highlight w:val="none"/>
        </w:rPr>
        <w:t>罗列</w:t>
      </w:r>
      <w:r>
        <w:rPr>
          <w:rFonts w:hint="eastAsia" w:ascii="仿宋" w:hAnsi="仿宋" w:eastAsia="仿宋"/>
          <w:b/>
          <w:color w:val="auto"/>
          <w:sz w:val="32"/>
          <w:szCs w:val="32"/>
          <w:highlight w:val="none"/>
          <w:lang w:eastAsia="zh-CN"/>
        </w:rPr>
        <w:t>本部门涉及的</w:t>
      </w:r>
      <w:r>
        <w:rPr>
          <w:rFonts w:hint="eastAsia" w:ascii="仿宋" w:hAnsi="仿宋" w:eastAsia="仿宋"/>
          <w:b/>
          <w:color w:val="auto"/>
          <w:sz w:val="32"/>
          <w:szCs w:val="32"/>
          <w:highlight w:val="none"/>
        </w:rPr>
        <w:t>全部功能分类科目</w:t>
      </w:r>
      <w:r>
        <w:rPr>
          <w:rFonts w:hint="eastAsia" w:ascii="仿宋" w:hAnsi="仿宋" w:eastAsia="仿宋"/>
          <w:b/>
          <w:color w:val="auto"/>
          <w:sz w:val="32"/>
          <w:szCs w:val="32"/>
          <w:highlight w:val="none"/>
          <w:lang w:eastAsia="zh-CN"/>
        </w:rPr>
        <w:t>，</w:t>
      </w:r>
      <w:r>
        <w:rPr>
          <w:rFonts w:hint="eastAsia" w:ascii="仿宋" w:hAnsi="仿宋" w:eastAsia="仿宋"/>
          <w:b/>
          <w:color w:val="auto"/>
          <w:sz w:val="32"/>
          <w:szCs w:val="32"/>
          <w:highlight w:val="none"/>
        </w:rPr>
        <w:t>至项级。上述“预算”口径为</w:t>
      </w:r>
      <w:r>
        <w:rPr>
          <w:rFonts w:hint="eastAsia" w:ascii="仿宋" w:hAnsi="仿宋" w:eastAsia="仿宋"/>
          <w:b/>
          <w:color w:val="auto"/>
          <w:sz w:val="32"/>
          <w:szCs w:val="32"/>
          <w:highlight w:val="none"/>
          <w:lang w:eastAsia="zh-CN"/>
        </w:rPr>
        <w:t>全年预算</w:t>
      </w:r>
      <w:r>
        <w:rPr>
          <w:rFonts w:hint="eastAsia" w:ascii="仿宋" w:hAnsi="仿宋" w:eastAsia="仿宋"/>
          <w:b/>
          <w:color w:val="auto"/>
          <w:sz w:val="32"/>
          <w:szCs w:val="32"/>
          <w:highlight w:val="none"/>
        </w:rPr>
        <w:t>数。增减变动原因为决算数</w:t>
      </w:r>
      <w:r>
        <w:rPr>
          <w:rFonts w:ascii="仿宋" w:hAnsi="仿宋" w:eastAsia="仿宋"/>
          <w:b/>
          <w:color w:val="auto"/>
          <w:sz w:val="32"/>
          <w:szCs w:val="32"/>
          <w:highlight w:val="none"/>
        </w:rPr>
        <w:t>&lt;</w:t>
      </w:r>
      <w:r>
        <w:rPr>
          <w:rFonts w:hint="eastAsia" w:ascii="仿宋" w:hAnsi="仿宋" w:eastAsia="仿宋"/>
          <w:b/>
          <w:color w:val="auto"/>
          <w:sz w:val="32"/>
          <w:szCs w:val="32"/>
          <w:highlight w:val="none"/>
        </w:rPr>
        <w:t>项级</w:t>
      </w:r>
      <w:r>
        <w:rPr>
          <w:rFonts w:ascii="仿宋" w:hAnsi="仿宋" w:eastAsia="仿宋"/>
          <w:b/>
          <w:color w:val="auto"/>
          <w:sz w:val="32"/>
          <w:szCs w:val="32"/>
          <w:highlight w:val="none"/>
        </w:rPr>
        <w:t>&gt;</w:t>
      </w:r>
      <w:r>
        <w:rPr>
          <w:rFonts w:hint="eastAsia" w:ascii="仿宋" w:hAnsi="仿宋" w:eastAsia="仿宋"/>
          <w:b/>
          <w:color w:val="auto"/>
          <w:sz w:val="32"/>
          <w:szCs w:val="32"/>
          <w:highlight w:val="none"/>
        </w:rPr>
        <w:t>和</w:t>
      </w:r>
      <w:r>
        <w:rPr>
          <w:rFonts w:hint="eastAsia" w:ascii="仿宋" w:hAnsi="仿宋" w:eastAsia="仿宋"/>
          <w:b/>
          <w:color w:val="auto"/>
          <w:sz w:val="32"/>
          <w:szCs w:val="32"/>
          <w:highlight w:val="none"/>
          <w:lang w:eastAsia="zh-CN"/>
        </w:rPr>
        <w:t>全年预算</w:t>
      </w:r>
      <w:r>
        <w:rPr>
          <w:rFonts w:hint="eastAsia" w:ascii="仿宋" w:hAnsi="仿宋" w:eastAsia="仿宋"/>
          <w:b/>
          <w:color w:val="auto"/>
          <w:sz w:val="32"/>
          <w:szCs w:val="32"/>
          <w:highlight w:val="none"/>
        </w:rPr>
        <w:t>数</w:t>
      </w:r>
      <w:r>
        <w:rPr>
          <w:rFonts w:ascii="仿宋" w:hAnsi="仿宋" w:eastAsia="仿宋"/>
          <w:b/>
          <w:color w:val="auto"/>
          <w:sz w:val="32"/>
          <w:szCs w:val="32"/>
          <w:highlight w:val="none"/>
        </w:rPr>
        <w:t>&lt;</w:t>
      </w:r>
      <w:r>
        <w:rPr>
          <w:rFonts w:hint="eastAsia" w:ascii="仿宋" w:hAnsi="仿宋" w:eastAsia="仿宋"/>
          <w:b/>
          <w:color w:val="auto"/>
          <w:sz w:val="32"/>
          <w:szCs w:val="32"/>
          <w:highlight w:val="none"/>
        </w:rPr>
        <w:t>项级</w:t>
      </w:r>
      <w:r>
        <w:rPr>
          <w:rFonts w:ascii="仿宋" w:hAnsi="仿宋" w:eastAsia="仿宋"/>
          <w:b/>
          <w:color w:val="auto"/>
          <w:sz w:val="32"/>
          <w:szCs w:val="32"/>
          <w:highlight w:val="none"/>
        </w:rPr>
        <w:t>&gt;</w:t>
      </w:r>
      <w:r>
        <w:rPr>
          <w:rFonts w:hint="eastAsia" w:ascii="仿宋" w:hAnsi="仿宋" w:eastAsia="仿宋"/>
          <w:b/>
          <w:color w:val="auto"/>
          <w:sz w:val="32"/>
          <w:szCs w:val="32"/>
          <w:highlight w:val="none"/>
        </w:rPr>
        <w:t>比较，与预算数持平可以不写原因。）</w:t>
      </w:r>
    </w:p>
    <w:p>
      <w:pPr>
        <w:pStyle w:val="2"/>
        <w:rPr>
          <w:rFonts w:hint="eastAsia"/>
        </w:rPr>
      </w:pPr>
    </w:p>
    <w:p>
      <w:pPr>
        <w:pStyle w:val="4"/>
        <w:bidi w:val="0"/>
        <w:rPr>
          <w:rFonts w:hint="eastAsia" w:ascii="Times New Roman" w:hAnsi="Times New Roman" w:eastAsia="仿宋_GB2312" w:cs="仿宋_GB2312"/>
          <w:color w:val="auto"/>
          <w:szCs w:val="32"/>
          <w:highlight w:val="none"/>
        </w:rPr>
      </w:pPr>
      <w:bookmarkStart w:id="26" w:name="_Toc2112093813"/>
      <w:r>
        <w:rPr>
          <w:rFonts w:hint="eastAsia"/>
        </w:rPr>
        <w:t>六、一般公共预算财政拨款基本支出决算情况说明</w:t>
      </w:r>
      <w:bookmarkEnd w:id="26"/>
    </w:p>
    <w:p>
      <w:pPr>
        <w:spacing w:line="600" w:lineRule="exact"/>
        <w:ind w:firstLine="645"/>
        <w:rPr>
          <w:rFonts w:ascii="仿宋" w:hAnsi="仿宋" w:eastAsia="仿宋"/>
          <w:color w:val="auto"/>
          <w:sz w:val="32"/>
          <w:szCs w:val="32"/>
          <w:highlight w:val="none"/>
        </w:rPr>
      </w:pP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rPr>
        <w:t>年</w:t>
      </w:r>
      <w:r>
        <w:rPr>
          <w:rFonts w:hint="eastAsia" w:ascii="仿宋" w:hAnsi="仿宋" w:eastAsia="仿宋"/>
          <w:color w:val="auto"/>
          <w:sz w:val="32"/>
          <w:szCs w:val="32"/>
          <w:highlight w:val="none"/>
          <w:lang w:eastAsia="zh-CN"/>
        </w:rPr>
        <w:t>度</w:t>
      </w:r>
      <w:r>
        <w:rPr>
          <w:rFonts w:hint="eastAsia" w:ascii="仿宋" w:hAnsi="仿宋" w:eastAsia="仿宋"/>
          <w:color w:val="auto"/>
          <w:sz w:val="32"/>
          <w:szCs w:val="32"/>
          <w:highlight w:val="none"/>
        </w:rPr>
        <w:t>一般公共预算财政拨款基本支出</w:t>
      </w:r>
      <w:r>
        <w:rPr>
          <w:rFonts w:hint="eastAsia" w:ascii="仿宋" w:hAnsi="仿宋" w:eastAsia="仿宋"/>
          <w:color w:val="auto"/>
          <w:sz w:val="32"/>
          <w:szCs w:val="32"/>
          <w:highlight w:val="none"/>
          <w:lang w:val="en-US" w:eastAsia="zh-CN"/>
        </w:rPr>
        <w:t>1050.28</w:t>
      </w:r>
      <w:r>
        <w:rPr>
          <w:rFonts w:hint="eastAsia" w:ascii="仿宋" w:hAnsi="仿宋" w:eastAsia="仿宋"/>
          <w:color w:val="auto"/>
          <w:sz w:val="32"/>
          <w:szCs w:val="32"/>
          <w:highlight w:val="none"/>
        </w:rPr>
        <w:t>万元，其中：</w:t>
      </w:r>
    </w:p>
    <w:p>
      <w:pPr>
        <w:spacing w:line="600" w:lineRule="exact"/>
        <w:ind w:firstLine="645"/>
        <w:rPr>
          <w:rFonts w:ascii="仿宋" w:hAnsi="仿宋" w:eastAsia="仿宋"/>
          <w:color w:val="auto"/>
          <w:sz w:val="32"/>
          <w:szCs w:val="32"/>
          <w:highlight w:val="none"/>
        </w:rPr>
      </w:pPr>
      <w:r>
        <w:rPr>
          <w:rFonts w:hint="eastAsia" w:ascii="仿宋" w:hAnsi="仿宋" w:eastAsia="仿宋"/>
          <w:color w:val="auto"/>
          <w:sz w:val="32"/>
          <w:szCs w:val="32"/>
          <w:highlight w:val="none"/>
        </w:rPr>
        <w:t>人员经费</w:t>
      </w:r>
      <w:r>
        <w:rPr>
          <w:rFonts w:hint="eastAsia" w:ascii="仿宋" w:hAnsi="仿宋" w:eastAsia="仿宋"/>
          <w:color w:val="auto"/>
          <w:sz w:val="32"/>
          <w:szCs w:val="32"/>
          <w:highlight w:val="none"/>
          <w:lang w:val="en-US" w:eastAsia="zh-CN"/>
        </w:rPr>
        <w:t>848.36</w:t>
      </w:r>
      <w:r>
        <w:rPr>
          <w:rFonts w:hint="eastAsia" w:ascii="仿宋" w:hAnsi="仿宋" w:eastAsia="仿宋"/>
          <w:color w:val="auto"/>
          <w:sz w:val="32"/>
          <w:szCs w:val="32"/>
          <w:highlight w:val="none"/>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ascii="仿宋" w:hAnsi="仿宋" w:eastAsia="仿宋"/>
          <w:color w:val="auto"/>
          <w:sz w:val="32"/>
          <w:szCs w:val="32"/>
          <w:highlight w:val="none"/>
        </w:rPr>
        <w:br w:type="textWrapping"/>
      </w:r>
      <w:r>
        <w:rPr>
          <w:rFonts w:hint="eastAsia" w:ascii="仿宋" w:hAnsi="仿宋" w:eastAsia="仿宋"/>
          <w:color w:val="auto"/>
          <w:sz w:val="32"/>
          <w:szCs w:val="32"/>
          <w:highlight w:val="none"/>
        </w:rPr>
        <w:t>　　公用经费</w:t>
      </w:r>
      <w:r>
        <w:rPr>
          <w:rFonts w:hint="eastAsia" w:ascii="仿宋" w:hAnsi="仿宋" w:eastAsia="仿宋"/>
          <w:color w:val="auto"/>
          <w:sz w:val="32"/>
          <w:szCs w:val="32"/>
          <w:highlight w:val="none"/>
          <w:lang w:val="en-US" w:eastAsia="zh-CN"/>
        </w:rPr>
        <w:t>14.91</w:t>
      </w:r>
      <w:r>
        <w:rPr>
          <w:rFonts w:hint="eastAsia" w:ascii="仿宋" w:hAnsi="仿宋" w:eastAsia="仿宋"/>
          <w:color w:val="auto"/>
          <w:sz w:val="32"/>
          <w:szCs w:val="32"/>
          <w:highlight w:val="none"/>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pPr>
        <w:rPr>
          <w:rFonts w:hint="eastAsia" w:ascii="Times New Roman" w:hAnsi="Times New Roman" w:eastAsia="仿宋_GB2312" w:cs="仿宋_GB2312"/>
          <w:color w:val="auto"/>
          <w:sz w:val="32"/>
          <w:szCs w:val="32"/>
          <w:highlight w:val="none"/>
        </w:rPr>
      </w:pPr>
      <w:r>
        <w:rPr>
          <w:rFonts w:hint="eastAsia" w:ascii="仿宋" w:hAnsi="仿宋" w:eastAsia="仿宋"/>
          <w:b/>
          <w:color w:val="auto"/>
          <w:sz w:val="32"/>
          <w:szCs w:val="32"/>
          <w:highlight w:val="none"/>
        </w:rPr>
        <w:t>（注：数据来源于财决</w:t>
      </w:r>
      <w:r>
        <w:rPr>
          <w:rFonts w:ascii="仿宋" w:hAnsi="仿宋" w:eastAsia="仿宋"/>
          <w:b/>
          <w:color w:val="auto"/>
          <w:sz w:val="32"/>
          <w:szCs w:val="32"/>
          <w:highlight w:val="none"/>
        </w:rPr>
        <w:t>0</w:t>
      </w:r>
      <w:r>
        <w:rPr>
          <w:rFonts w:hint="eastAsia" w:ascii="仿宋" w:hAnsi="仿宋" w:eastAsia="仿宋"/>
          <w:b/>
          <w:color w:val="auto"/>
          <w:sz w:val="32"/>
          <w:szCs w:val="32"/>
          <w:highlight w:val="none"/>
        </w:rPr>
        <w:t>7表</w:t>
      </w:r>
      <w:r>
        <w:rPr>
          <w:rFonts w:hint="eastAsia" w:ascii="仿宋" w:hAnsi="仿宋" w:eastAsia="仿宋"/>
          <w:b/>
          <w:color w:val="auto"/>
          <w:sz w:val="32"/>
          <w:szCs w:val="32"/>
          <w:highlight w:val="none"/>
          <w:lang w:eastAsia="zh-CN"/>
        </w:rPr>
        <w:t>和财决</w:t>
      </w:r>
      <w:r>
        <w:rPr>
          <w:rFonts w:hint="eastAsia" w:ascii="仿宋" w:hAnsi="仿宋" w:eastAsia="仿宋"/>
          <w:b/>
          <w:color w:val="auto"/>
          <w:sz w:val="32"/>
          <w:szCs w:val="32"/>
          <w:highlight w:val="none"/>
          <w:lang w:val="en-US" w:eastAsia="zh-CN"/>
        </w:rPr>
        <w:t>08-1表</w:t>
      </w:r>
      <w:r>
        <w:rPr>
          <w:rFonts w:hint="eastAsia" w:ascii="仿宋" w:hAnsi="仿宋" w:eastAsia="仿宋"/>
          <w:b/>
          <w:color w:val="auto"/>
          <w:sz w:val="32"/>
          <w:szCs w:val="32"/>
          <w:highlight w:val="none"/>
        </w:rPr>
        <w:t>，</w:t>
      </w:r>
      <w:r>
        <w:rPr>
          <w:rFonts w:hint="eastAsia" w:ascii="仿宋" w:hAnsi="仿宋" w:eastAsia="仿宋"/>
          <w:b/>
          <w:color w:val="auto"/>
          <w:sz w:val="32"/>
          <w:szCs w:val="32"/>
          <w:highlight w:val="none"/>
          <w:lang w:eastAsia="zh-CN"/>
        </w:rPr>
        <w:t>仅罗列</w:t>
      </w:r>
      <w:r>
        <w:rPr>
          <w:rFonts w:hint="eastAsia" w:ascii="仿宋" w:hAnsi="仿宋" w:eastAsia="仿宋"/>
          <w:b/>
          <w:color w:val="auto"/>
          <w:sz w:val="32"/>
          <w:szCs w:val="32"/>
          <w:highlight w:val="none"/>
        </w:rPr>
        <w:t>本部门实际支出</w:t>
      </w:r>
      <w:r>
        <w:rPr>
          <w:rFonts w:hint="eastAsia" w:ascii="仿宋" w:hAnsi="仿宋" w:eastAsia="仿宋"/>
          <w:b/>
          <w:color w:val="auto"/>
          <w:sz w:val="32"/>
          <w:szCs w:val="32"/>
          <w:highlight w:val="none"/>
          <w:lang w:eastAsia="zh-CN"/>
        </w:rPr>
        <w:t>涉及的</w:t>
      </w:r>
      <w:r>
        <w:rPr>
          <w:rFonts w:hint="eastAsia" w:ascii="仿宋" w:hAnsi="仿宋" w:eastAsia="仿宋"/>
          <w:b/>
          <w:color w:val="auto"/>
          <w:sz w:val="32"/>
          <w:szCs w:val="32"/>
          <w:highlight w:val="none"/>
        </w:rPr>
        <w:t>经济分类科目。）</w:t>
      </w:r>
    </w:p>
    <w:p>
      <w:pPr>
        <w:pStyle w:val="2"/>
        <w:rPr>
          <w:rFonts w:hint="eastAsia"/>
        </w:rPr>
      </w:pPr>
    </w:p>
    <w:p>
      <w:pPr>
        <w:pStyle w:val="4"/>
        <w:bidi w:val="0"/>
        <w:rPr>
          <w:rFonts w:hint="eastAsia" w:ascii="Times New Roman" w:hAnsi="Times New Roman" w:eastAsia="仿宋_GB2312" w:cs="仿宋_GB2312"/>
          <w:color w:val="auto"/>
          <w:szCs w:val="32"/>
          <w:highlight w:val="none"/>
        </w:rPr>
      </w:pPr>
      <w:bookmarkStart w:id="27" w:name="_Toc1549257339"/>
      <w:r>
        <w:rPr>
          <w:rFonts w:hint="eastAsia"/>
        </w:rPr>
        <w:t>七、财政拨款</w:t>
      </w:r>
      <w:r>
        <w:rPr>
          <w:rFonts w:hint="eastAsia"/>
          <w:lang w:eastAsia="zh-CN"/>
        </w:rPr>
        <w:t>“</w:t>
      </w:r>
      <w:r>
        <w:rPr>
          <w:rFonts w:hint="eastAsia"/>
        </w:rPr>
        <w:t>三公”经费支出决算情况说明</w:t>
      </w:r>
      <w:bookmarkEnd w:id="27"/>
    </w:p>
    <w:p>
      <w:pPr>
        <w:spacing w:line="600" w:lineRule="exact"/>
        <w:ind w:firstLine="640"/>
        <w:outlineLvl w:val="2"/>
        <w:rPr>
          <w:rFonts w:ascii="仿宋" w:hAnsi="仿宋" w:eastAsia="仿宋"/>
          <w:b/>
          <w:color w:val="auto"/>
          <w:sz w:val="32"/>
          <w:szCs w:val="32"/>
          <w:highlight w:val="none"/>
        </w:rPr>
      </w:pPr>
      <w:r>
        <w:rPr>
          <w:rFonts w:hint="eastAsia" w:ascii="仿宋" w:hAnsi="仿宋" w:eastAsia="仿宋"/>
          <w:b/>
          <w:color w:val="auto"/>
          <w:sz w:val="32"/>
          <w:szCs w:val="32"/>
          <w:highlight w:val="none"/>
        </w:rPr>
        <w:t>（一）“三公”经费财政拨款支出决算总体情况说明</w:t>
      </w:r>
    </w:p>
    <w:p>
      <w:pPr>
        <w:spacing w:line="600" w:lineRule="exact"/>
        <w:ind w:firstLine="640"/>
        <w:rPr>
          <w:rFonts w:ascii="仿宋" w:hAnsi="仿宋" w:eastAsia="仿宋"/>
          <w:color w:val="auto"/>
          <w:sz w:val="32"/>
          <w:szCs w:val="32"/>
          <w:highlight w:val="none"/>
        </w:rPr>
      </w:pP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rPr>
        <w:t>年</w:t>
      </w:r>
      <w:r>
        <w:rPr>
          <w:rFonts w:hint="eastAsia" w:ascii="仿宋" w:hAnsi="仿宋" w:eastAsia="仿宋"/>
          <w:color w:val="auto"/>
          <w:sz w:val="32"/>
          <w:szCs w:val="32"/>
          <w:highlight w:val="none"/>
          <w:lang w:eastAsia="zh-CN"/>
        </w:rPr>
        <w:t>度</w:t>
      </w:r>
      <w:r>
        <w:rPr>
          <w:rFonts w:hint="eastAsia" w:ascii="仿宋" w:hAnsi="仿宋" w:eastAsia="仿宋"/>
          <w:color w:val="auto"/>
          <w:sz w:val="32"/>
          <w:szCs w:val="32"/>
          <w:highlight w:val="none"/>
        </w:rPr>
        <w:t>“三公”经费财政拨款支出决算为</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万元，完成预算</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r>
        <w:rPr>
          <w:rFonts w:hint="eastAsia" w:ascii="仿宋" w:hAnsi="仿宋" w:eastAsia="仿宋"/>
          <w:color w:val="auto"/>
          <w:sz w:val="32"/>
          <w:szCs w:val="32"/>
          <w:highlight w:val="none"/>
          <w:lang w:eastAsia="zh-CN"/>
        </w:rPr>
        <w:t>较上年度增加</w:t>
      </w:r>
      <w:r>
        <w:rPr>
          <w:rFonts w:hint="eastAsia" w:ascii="仿宋" w:hAnsi="仿宋" w:eastAsia="仿宋"/>
          <w:color w:val="auto"/>
          <w:sz w:val="32"/>
          <w:szCs w:val="32"/>
          <w:highlight w:val="none"/>
          <w:lang w:val="en-US" w:eastAsia="zh-CN"/>
        </w:rPr>
        <w:t>0万元，增长0%。本学校无此项内容</w:t>
      </w:r>
      <w:r>
        <w:rPr>
          <w:rFonts w:hint="eastAsia" w:ascii="仿宋" w:hAnsi="仿宋" w:eastAsia="仿宋"/>
          <w:color w:val="auto"/>
          <w:sz w:val="32"/>
          <w:szCs w:val="32"/>
          <w:highlight w:val="none"/>
        </w:rPr>
        <w:t>。</w:t>
      </w:r>
    </w:p>
    <w:p>
      <w:pPr>
        <w:spacing w:line="600" w:lineRule="exact"/>
        <w:ind w:firstLine="640"/>
        <w:rPr>
          <w:rFonts w:ascii="仿宋" w:hAnsi="仿宋" w:eastAsia="仿宋"/>
          <w:b/>
          <w:color w:val="auto"/>
          <w:sz w:val="32"/>
          <w:szCs w:val="32"/>
          <w:highlight w:val="none"/>
        </w:rPr>
      </w:pPr>
      <w:r>
        <w:rPr>
          <w:rFonts w:hint="eastAsia" w:ascii="仿宋" w:hAnsi="仿宋" w:eastAsia="仿宋"/>
          <w:b/>
          <w:color w:val="auto"/>
          <w:sz w:val="32"/>
          <w:szCs w:val="32"/>
          <w:highlight w:val="none"/>
        </w:rPr>
        <w:t>（注：上述“预算”口径为</w:t>
      </w:r>
      <w:r>
        <w:rPr>
          <w:rFonts w:hint="eastAsia" w:ascii="仿宋" w:hAnsi="仿宋" w:eastAsia="仿宋"/>
          <w:b/>
          <w:color w:val="auto"/>
          <w:sz w:val="32"/>
          <w:szCs w:val="32"/>
          <w:highlight w:val="none"/>
          <w:lang w:eastAsia="zh-CN"/>
        </w:rPr>
        <w:t>全年预算</w:t>
      </w:r>
      <w:r>
        <w:rPr>
          <w:rFonts w:hint="eastAsia" w:ascii="仿宋" w:hAnsi="仿宋" w:eastAsia="仿宋"/>
          <w:b/>
          <w:color w:val="auto"/>
          <w:sz w:val="32"/>
          <w:szCs w:val="32"/>
          <w:highlight w:val="none"/>
        </w:rPr>
        <w:t>数，包括</w:t>
      </w:r>
      <w:r>
        <w:rPr>
          <w:rFonts w:hint="eastAsia" w:ascii="仿宋" w:hAnsi="仿宋" w:eastAsia="仿宋"/>
          <w:b/>
          <w:color w:val="auto"/>
          <w:sz w:val="32"/>
          <w:szCs w:val="32"/>
          <w:highlight w:val="none"/>
          <w:lang w:eastAsia="zh-CN"/>
        </w:rPr>
        <w:t>一般公共预算和</w:t>
      </w:r>
      <w:r>
        <w:rPr>
          <w:rFonts w:hint="eastAsia" w:ascii="仿宋" w:hAnsi="仿宋" w:eastAsia="仿宋"/>
          <w:b/>
          <w:color w:val="auto"/>
          <w:sz w:val="32"/>
          <w:szCs w:val="32"/>
          <w:highlight w:val="none"/>
        </w:rPr>
        <w:t>政府性基金</w:t>
      </w:r>
      <w:r>
        <w:rPr>
          <w:rFonts w:hint="eastAsia" w:ascii="仿宋" w:hAnsi="仿宋" w:eastAsia="仿宋"/>
          <w:b/>
          <w:color w:val="auto"/>
          <w:sz w:val="32"/>
          <w:szCs w:val="32"/>
          <w:highlight w:val="none"/>
          <w:lang w:eastAsia="zh-CN"/>
        </w:rPr>
        <w:t>预算财政拨款</w:t>
      </w:r>
      <w:r>
        <w:rPr>
          <w:rFonts w:hint="eastAsia" w:ascii="仿宋" w:hAnsi="仿宋" w:eastAsia="仿宋"/>
          <w:b/>
          <w:color w:val="auto"/>
          <w:sz w:val="32"/>
          <w:szCs w:val="32"/>
          <w:highlight w:val="none"/>
        </w:rPr>
        <w:t>支出决算情况。）</w:t>
      </w:r>
    </w:p>
    <w:p>
      <w:pPr>
        <w:spacing w:line="600" w:lineRule="exact"/>
        <w:ind w:firstLine="640"/>
        <w:outlineLvl w:val="2"/>
        <w:rPr>
          <w:rFonts w:ascii="仿宋" w:hAnsi="仿宋" w:eastAsia="仿宋"/>
          <w:b/>
          <w:color w:val="auto"/>
          <w:sz w:val="32"/>
          <w:szCs w:val="32"/>
          <w:highlight w:val="none"/>
        </w:rPr>
      </w:pPr>
      <w:r>
        <w:rPr>
          <w:rFonts w:hint="eastAsia" w:ascii="仿宋" w:hAnsi="仿宋" w:eastAsia="仿宋"/>
          <w:b/>
          <w:color w:val="auto"/>
          <w:sz w:val="32"/>
          <w:szCs w:val="32"/>
          <w:highlight w:val="none"/>
        </w:rPr>
        <w:t>（二）“三公”经费财政拨款支出决算具体情况说明</w:t>
      </w:r>
    </w:p>
    <w:p>
      <w:pPr>
        <w:spacing w:line="600" w:lineRule="exact"/>
        <w:ind w:firstLine="640"/>
        <w:rPr>
          <w:rFonts w:hint="eastAsia" w:ascii="仿宋" w:hAnsi="仿宋" w:eastAsia="仿宋"/>
          <w:color w:val="auto"/>
          <w:sz w:val="32"/>
          <w:szCs w:val="32"/>
          <w:highlight w:val="none"/>
        </w:rPr>
      </w:pP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rPr>
        <w:t>年</w:t>
      </w:r>
      <w:r>
        <w:rPr>
          <w:rFonts w:hint="eastAsia" w:ascii="仿宋" w:hAnsi="仿宋" w:eastAsia="仿宋"/>
          <w:color w:val="auto"/>
          <w:sz w:val="32"/>
          <w:szCs w:val="32"/>
          <w:highlight w:val="none"/>
          <w:lang w:eastAsia="zh-CN"/>
        </w:rPr>
        <w:t>度</w:t>
      </w:r>
      <w:r>
        <w:rPr>
          <w:rFonts w:hint="eastAsia" w:ascii="仿宋" w:hAnsi="仿宋" w:eastAsia="仿宋"/>
          <w:color w:val="auto"/>
          <w:sz w:val="32"/>
          <w:szCs w:val="32"/>
          <w:highlight w:val="none"/>
        </w:rPr>
        <w:t>“三公”经费财政拨款支出决算中，因公出国（境）费支出决算</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；公务用车购置及运行维护费支出决算</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；公务接待费支出决算</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。具体情况如下：</w:t>
      </w:r>
    </w:p>
    <w:p>
      <w:pPr>
        <w:spacing w:line="600" w:lineRule="exact"/>
        <w:ind w:firstLine="642" w:firstLineChars="200"/>
        <w:rPr>
          <w:rFonts w:ascii="仿宋_GB2312" w:eastAsia="仿宋_GB2312"/>
          <w:b/>
          <w:color w:val="auto"/>
          <w:sz w:val="32"/>
          <w:szCs w:val="32"/>
          <w:highlight w:val="none"/>
        </w:rPr>
      </w:pPr>
      <w:r>
        <w:rPr>
          <w:rFonts w:ascii="仿宋_GB2312" w:eastAsia="仿宋_GB2312"/>
          <w:b/>
          <w:color w:val="auto"/>
          <w:sz w:val="32"/>
          <w:szCs w:val="32"/>
          <w:highlight w:val="none"/>
        </w:rPr>
        <w:t>1.</w:t>
      </w:r>
      <w:r>
        <w:rPr>
          <w:rFonts w:hint="eastAsia" w:ascii="仿宋_GB2312" w:eastAsia="仿宋_GB2312"/>
          <w:b/>
          <w:color w:val="auto"/>
          <w:sz w:val="32"/>
          <w:szCs w:val="32"/>
          <w:highlight w:val="none"/>
        </w:rPr>
        <w:t>因公出国（境）经费支出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r>
        <w:rPr>
          <w:rStyle w:val="17"/>
          <w:rFonts w:hint="eastAsia" w:ascii="仿宋" w:hAnsi="仿宋" w:eastAsia="仿宋"/>
          <w:b w:val="0"/>
          <w:bCs/>
          <w:color w:val="auto"/>
          <w:sz w:val="32"/>
          <w:szCs w:val="32"/>
          <w:highlight w:val="none"/>
        </w:rPr>
        <w:t>完成预算</w:t>
      </w:r>
      <w:r>
        <w:rPr>
          <w:rStyle w:val="17"/>
          <w:rFonts w:hint="eastAsia" w:ascii="仿宋" w:hAnsi="仿宋" w:eastAsia="仿宋"/>
          <w:b w:val="0"/>
          <w:bCs/>
          <w:color w:val="auto"/>
          <w:sz w:val="32"/>
          <w:szCs w:val="32"/>
          <w:highlight w:val="none"/>
          <w:lang w:val="en-US" w:eastAsia="zh-CN"/>
        </w:rPr>
        <w:t>0</w:t>
      </w:r>
      <w:r>
        <w:rPr>
          <w:rStyle w:val="17"/>
          <w:rFonts w:ascii="仿宋" w:hAnsi="仿宋" w:eastAsia="仿宋"/>
          <w:b w:val="0"/>
          <w:bCs/>
          <w:color w:val="auto"/>
          <w:sz w:val="32"/>
          <w:szCs w:val="32"/>
          <w:highlight w:val="none"/>
        </w:rPr>
        <w:t>%</w:t>
      </w:r>
      <w:r>
        <w:rPr>
          <w:rStyle w:val="17"/>
          <w:rFonts w:hint="eastAsia" w:ascii="仿宋" w:hAnsi="仿宋" w:eastAsia="仿宋"/>
          <w:b w:val="0"/>
          <w:bCs/>
          <w:color w:val="auto"/>
          <w:sz w:val="32"/>
          <w:szCs w:val="32"/>
          <w:highlight w:val="none"/>
        </w:rPr>
        <w:t>。</w:t>
      </w:r>
      <w:r>
        <w:rPr>
          <w:rFonts w:hint="eastAsia" w:ascii="仿宋_GB2312" w:eastAsia="仿宋_GB2312"/>
          <w:color w:val="auto"/>
          <w:sz w:val="32"/>
          <w:szCs w:val="32"/>
          <w:highlight w:val="none"/>
        </w:rPr>
        <w:t>全年安排因公出国（境）团组</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次，出国（境）</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人。因公出国（境）支出决算比</w:t>
      </w:r>
      <w:r>
        <w:rPr>
          <w:rFonts w:hint="eastAsia" w:ascii="仿宋_GB2312" w:eastAsia="仿宋_GB2312"/>
          <w:color w:val="auto"/>
          <w:sz w:val="32"/>
          <w:szCs w:val="32"/>
          <w:highlight w:val="none"/>
          <w:lang w:eastAsia="zh-CN"/>
        </w:rPr>
        <w:t>上</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eastAsia="zh-CN"/>
        </w:rPr>
        <w:t>度</w:t>
      </w:r>
      <w:r>
        <w:rPr>
          <w:rFonts w:hint="eastAsia" w:ascii="仿宋_GB2312" w:eastAsia="仿宋_GB2312"/>
          <w:color w:val="auto"/>
          <w:sz w:val="32"/>
          <w:szCs w:val="32"/>
          <w:highlight w:val="none"/>
        </w:rPr>
        <w:t>增加</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万元，增长</w:t>
      </w:r>
      <w:r>
        <w:rPr>
          <w:rFonts w:hint="eastAsia" w:ascii="仿宋_GB2312" w:eastAsia="仿宋_GB2312"/>
          <w:color w:val="auto"/>
          <w:sz w:val="32"/>
          <w:szCs w:val="32"/>
          <w:highlight w:val="none"/>
          <w:lang w:val="en-US" w:eastAsia="zh-CN"/>
        </w:rPr>
        <w:t>0</w:t>
      </w:r>
      <w:r>
        <w:rPr>
          <w:rFonts w:ascii="仿宋_GB2312" w:eastAsia="仿宋_GB2312"/>
          <w:color w:val="auto"/>
          <w:sz w:val="32"/>
          <w:szCs w:val="32"/>
          <w:highlight w:val="none"/>
        </w:rPr>
        <w:t>%</w:t>
      </w:r>
      <w:r>
        <w:rPr>
          <w:rFonts w:hint="eastAsia" w:ascii="仿宋_GB2312" w:eastAsia="仿宋_GB2312"/>
          <w:color w:val="auto"/>
          <w:sz w:val="32"/>
          <w:szCs w:val="32"/>
          <w:highlight w:val="none"/>
        </w:rPr>
        <w:t>。</w:t>
      </w:r>
      <w:r>
        <w:rPr>
          <w:rFonts w:hint="eastAsia" w:ascii="仿宋" w:hAnsi="仿宋" w:eastAsia="仿宋"/>
          <w:color w:val="auto"/>
          <w:sz w:val="32"/>
          <w:szCs w:val="32"/>
          <w:highlight w:val="none"/>
          <w:lang w:val="en-US" w:eastAsia="zh-CN"/>
        </w:rPr>
        <w:t>本学校无此项内容</w:t>
      </w:r>
      <w:r>
        <w:rPr>
          <w:rFonts w:hint="eastAsia" w:ascii="仿宋_GB2312" w:eastAsia="仿宋_GB2312"/>
          <w:color w:val="auto"/>
          <w:sz w:val="32"/>
          <w:szCs w:val="32"/>
          <w:highlight w:val="none"/>
        </w:rPr>
        <w:t>。</w:t>
      </w:r>
    </w:p>
    <w:p>
      <w:pPr>
        <w:spacing w:line="600" w:lineRule="exact"/>
        <w:ind w:firstLine="640"/>
        <w:rPr>
          <w:rFonts w:ascii="仿宋_GB2312" w:eastAsia="仿宋_GB2312"/>
          <w:b/>
          <w:color w:val="auto"/>
          <w:sz w:val="32"/>
          <w:szCs w:val="32"/>
          <w:highlight w:val="none"/>
        </w:rPr>
      </w:pPr>
      <w:r>
        <w:rPr>
          <w:rFonts w:ascii="仿宋_GB2312" w:eastAsia="仿宋_GB2312"/>
          <w:b/>
          <w:color w:val="auto"/>
          <w:sz w:val="32"/>
          <w:szCs w:val="32"/>
          <w:highlight w:val="none"/>
        </w:rPr>
        <w:t>2.</w:t>
      </w:r>
      <w:r>
        <w:rPr>
          <w:rFonts w:hint="eastAsia" w:ascii="仿宋_GB2312" w:eastAsia="仿宋_GB2312"/>
          <w:b/>
          <w:color w:val="auto"/>
          <w:sz w:val="32"/>
          <w:szCs w:val="32"/>
          <w:highlight w:val="none"/>
        </w:rPr>
        <w:t>公务用车购置及运行维护费支出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r>
        <w:rPr>
          <w:rStyle w:val="17"/>
          <w:rFonts w:hint="eastAsia" w:ascii="仿宋" w:hAnsi="仿宋" w:eastAsia="仿宋"/>
          <w:b w:val="0"/>
          <w:bCs/>
          <w:color w:val="auto"/>
          <w:sz w:val="32"/>
          <w:szCs w:val="32"/>
          <w:highlight w:val="none"/>
        </w:rPr>
        <w:t>完成预算</w:t>
      </w:r>
      <w:r>
        <w:rPr>
          <w:rStyle w:val="17"/>
          <w:rFonts w:hint="eastAsia" w:ascii="仿宋" w:hAnsi="仿宋" w:eastAsia="仿宋"/>
          <w:b w:val="0"/>
          <w:bCs/>
          <w:color w:val="auto"/>
          <w:sz w:val="32"/>
          <w:szCs w:val="32"/>
          <w:highlight w:val="none"/>
          <w:lang w:val="en-US" w:eastAsia="zh-CN"/>
        </w:rPr>
        <w:t>0</w:t>
      </w:r>
      <w:r>
        <w:rPr>
          <w:rStyle w:val="17"/>
          <w:rFonts w:ascii="仿宋" w:hAnsi="仿宋" w:eastAsia="仿宋"/>
          <w:b w:val="0"/>
          <w:bCs/>
          <w:color w:val="auto"/>
          <w:sz w:val="32"/>
          <w:szCs w:val="32"/>
          <w:highlight w:val="none"/>
        </w:rPr>
        <w:t>%</w:t>
      </w:r>
      <w:r>
        <w:rPr>
          <w:rStyle w:val="17"/>
          <w:rFonts w:hint="eastAsia" w:ascii="仿宋" w:hAnsi="仿宋" w:eastAsia="仿宋"/>
          <w:b w:val="0"/>
          <w:bCs/>
          <w:color w:val="auto"/>
          <w:sz w:val="32"/>
          <w:szCs w:val="32"/>
          <w:highlight w:val="none"/>
        </w:rPr>
        <w:t>。</w:t>
      </w:r>
      <w:r>
        <w:rPr>
          <w:rFonts w:hint="eastAsia" w:ascii="仿宋_GB2312" w:eastAsia="仿宋_GB2312"/>
          <w:color w:val="auto"/>
          <w:sz w:val="32"/>
          <w:szCs w:val="32"/>
          <w:highlight w:val="none"/>
        </w:rPr>
        <w:t>公务用车购置及运行维护费支出决算比</w:t>
      </w:r>
      <w:r>
        <w:rPr>
          <w:rFonts w:hint="eastAsia" w:ascii="仿宋_GB2312" w:eastAsia="仿宋_GB2312"/>
          <w:color w:val="auto"/>
          <w:sz w:val="32"/>
          <w:szCs w:val="32"/>
          <w:highlight w:val="none"/>
          <w:lang w:eastAsia="zh-CN"/>
        </w:rPr>
        <w:t>上</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eastAsia="zh-CN"/>
        </w:rPr>
        <w:t>度</w:t>
      </w:r>
      <w:r>
        <w:rPr>
          <w:rFonts w:hint="eastAsia" w:ascii="仿宋_GB2312" w:eastAsia="仿宋_GB2312"/>
          <w:color w:val="auto"/>
          <w:sz w:val="32"/>
          <w:szCs w:val="32"/>
          <w:highlight w:val="none"/>
        </w:rPr>
        <w:t>增加</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万元，增长</w:t>
      </w:r>
      <w:r>
        <w:rPr>
          <w:rFonts w:hint="eastAsia" w:ascii="仿宋_GB2312" w:eastAsia="仿宋_GB2312"/>
          <w:color w:val="auto"/>
          <w:sz w:val="32"/>
          <w:szCs w:val="32"/>
          <w:highlight w:val="none"/>
          <w:lang w:val="en-US" w:eastAsia="zh-CN"/>
        </w:rPr>
        <w:t>0</w:t>
      </w:r>
      <w:r>
        <w:rPr>
          <w:rFonts w:ascii="仿宋_GB2312" w:eastAsia="仿宋_GB2312"/>
          <w:color w:val="auto"/>
          <w:sz w:val="32"/>
          <w:szCs w:val="32"/>
          <w:highlight w:val="none"/>
        </w:rPr>
        <w:t>%</w:t>
      </w:r>
      <w:r>
        <w:rPr>
          <w:rFonts w:hint="eastAsia" w:ascii="仿宋_GB2312" w:eastAsia="仿宋_GB2312"/>
          <w:color w:val="auto"/>
          <w:sz w:val="32"/>
          <w:szCs w:val="32"/>
          <w:highlight w:val="none"/>
        </w:rPr>
        <w:t>。</w:t>
      </w:r>
      <w:r>
        <w:rPr>
          <w:rFonts w:hint="eastAsia" w:ascii="仿宋" w:hAnsi="仿宋" w:eastAsia="仿宋"/>
          <w:color w:val="auto"/>
          <w:sz w:val="32"/>
          <w:szCs w:val="32"/>
          <w:highlight w:val="none"/>
          <w:lang w:val="en-US" w:eastAsia="zh-CN"/>
        </w:rPr>
        <w:t>本学校无此项内容。</w:t>
      </w:r>
    </w:p>
    <w:p>
      <w:pPr>
        <w:spacing w:line="600" w:lineRule="exact"/>
        <w:ind w:firstLine="640" w:firstLineChars="200"/>
        <w:rPr>
          <w:rFonts w:ascii="仿宋_GB2312" w:eastAsia="仿宋_GB2312"/>
          <w:b/>
          <w:color w:val="auto"/>
          <w:sz w:val="32"/>
          <w:szCs w:val="32"/>
          <w:highlight w:val="none"/>
        </w:rPr>
      </w:pPr>
      <w:r>
        <w:rPr>
          <w:rFonts w:hint="eastAsia" w:ascii="仿宋_GB2312" w:eastAsia="仿宋_GB2312"/>
          <w:color w:val="auto"/>
          <w:sz w:val="32"/>
          <w:szCs w:val="32"/>
          <w:highlight w:val="none"/>
        </w:rPr>
        <w:t>其中：</w:t>
      </w:r>
      <w:r>
        <w:rPr>
          <w:rFonts w:hint="eastAsia" w:ascii="仿宋_GB2312" w:eastAsia="仿宋_GB2312"/>
          <w:b/>
          <w:color w:val="auto"/>
          <w:sz w:val="32"/>
          <w:szCs w:val="32"/>
          <w:highlight w:val="none"/>
        </w:rPr>
        <w:t>公务用车购置支出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万元。全年按规定更新购置公务用车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辆，其中：轿车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辆、金额</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万元，越野车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辆、金额</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万元，载客汽车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辆、金额</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万元。截至</w:t>
      </w:r>
      <w:r>
        <w:rPr>
          <w:rFonts w:hint="eastAsia" w:ascii="仿宋_GB2312" w:eastAsia="仿宋_GB2312"/>
          <w:color w:val="auto"/>
          <w:sz w:val="32"/>
          <w:szCs w:val="32"/>
          <w:highlight w:val="none"/>
          <w:lang w:eastAsia="zh-CN"/>
        </w:rPr>
        <w:t>202</w:t>
      </w:r>
      <w:r>
        <w:rPr>
          <w:rFonts w:hint="eastAsia" w:ascii="仿宋_GB2312" w:eastAsia="仿宋_GB2312"/>
          <w:color w:val="auto"/>
          <w:sz w:val="32"/>
          <w:szCs w:val="32"/>
          <w:highlight w:val="none"/>
          <w:lang w:val="en-US" w:eastAsia="zh-CN"/>
        </w:rPr>
        <w:t>5</w:t>
      </w:r>
      <w:r>
        <w:rPr>
          <w:rFonts w:hint="eastAsia" w:ascii="仿宋_GB2312" w:eastAsia="仿宋_GB2312"/>
          <w:color w:val="auto"/>
          <w:sz w:val="32"/>
          <w:szCs w:val="32"/>
          <w:highlight w:val="none"/>
        </w:rPr>
        <w:t>年</w:t>
      </w:r>
      <w:r>
        <w:rPr>
          <w:rFonts w:ascii="仿宋_GB2312" w:eastAsia="仿宋_GB2312"/>
          <w:color w:val="auto"/>
          <w:sz w:val="32"/>
          <w:szCs w:val="32"/>
          <w:highlight w:val="none"/>
        </w:rPr>
        <w:t>12</w:t>
      </w:r>
      <w:r>
        <w:rPr>
          <w:rFonts w:hint="eastAsia" w:ascii="仿宋_GB2312" w:eastAsia="仿宋_GB2312"/>
          <w:color w:val="auto"/>
          <w:sz w:val="32"/>
          <w:szCs w:val="32"/>
          <w:highlight w:val="none"/>
        </w:rPr>
        <w:t>月</w:t>
      </w:r>
      <w:r>
        <w:rPr>
          <w:rFonts w:hint="eastAsia" w:ascii="仿宋_GB2312" w:eastAsia="仿宋_GB2312"/>
          <w:color w:val="auto"/>
          <w:sz w:val="32"/>
          <w:szCs w:val="32"/>
          <w:highlight w:val="none"/>
          <w:lang w:val="en-US" w:eastAsia="zh-CN"/>
        </w:rPr>
        <w:t>31日</w:t>
      </w:r>
      <w:r>
        <w:rPr>
          <w:rFonts w:hint="eastAsia" w:ascii="仿宋_GB2312" w:eastAsia="仿宋_GB2312"/>
          <w:color w:val="auto"/>
          <w:sz w:val="32"/>
          <w:szCs w:val="32"/>
          <w:highlight w:val="none"/>
        </w:rPr>
        <w:t>，单位共有公务用车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辆，其中：轿车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辆、越野车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辆、载客汽车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w:t>
      </w:r>
    </w:p>
    <w:p>
      <w:pPr>
        <w:spacing w:line="600" w:lineRule="exact"/>
        <w:ind w:firstLine="640"/>
        <w:rPr>
          <w:rFonts w:hint="eastAsia" w:ascii="仿宋_GB2312" w:eastAsia="仿宋_GB2312"/>
          <w:color w:val="auto"/>
          <w:sz w:val="32"/>
          <w:szCs w:val="32"/>
          <w:highlight w:val="none"/>
        </w:rPr>
      </w:pPr>
      <w:r>
        <w:rPr>
          <w:rFonts w:hint="eastAsia" w:ascii="仿宋_GB2312" w:eastAsia="仿宋_GB2312"/>
          <w:b/>
          <w:color w:val="auto"/>
          <w:sz w:val="32"/>
          <w:szCs w:val="32"/>
          <w:highlight w:val="none"/>
        </w:rPr>
        <w:t>公务用车运行维护费支出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p>
    <w:p>
      <w:pPr>
        <w:numPr>
          <w:ilvl w:val="0"/>
          <w:numId w:val="2"/>
        </w:numPr>
        <w:spacing w:line="600" w:lineRule="exact"/>
        <w:ind w:firstLine="640"/>
        <w:rPr>
          <w:rFonts w:hint="eastAsia" w:ascii="仿宋_GB2312" w:eastAsia="仿宋_GB2312"/>
          <w:color w:val="auto"/>
          <w:sz w:val="32"/>
          <w:szCs w:val="32"/>
          <w:highlight w:val="none"/>
        </w:rPr>
      </w:pPr>
      <w:r>
        <w:rPr>
          <w:rFonts w:hint="eastAsia" w:ascii="仿宋_GB2312" w:eastAsia="仿宋_GB2312"/>
          <w:b/>
          <w:color w:val="auto"/>
          <w:sz w:val="32"/>
          <w:szCs w:val="32"/>
          <w:highlight w:val="none"/>
        </w:rPr>
        <w:t>公务接待费支出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r>
        <w:rPr>
          <w:rStyle w:val="17"/>
          <w:rFonts w:hint="eastAsia" w:ascii="仿宋" w:hAnsi="仿宋" w:eastAsia="仿宋"/>
          <w:b w:val="0"/>
          <w:bCs/>
          <w:color w:val="auto"/>
          <w:sz w:val="32"/>
          <w:szCs w:val="32"/>
          <w:highlight w:val="none"/>
        </w:rPr>
        <w:t>完成预算</w:t>
      </w:r>
      <w:r>
        <w:rPr>
          <w:rStyle w:val="17"/>
          <w:rFonts w:hint="eastAsia" w:ascii="仿宋" w:hAnsi="仿宋" w:eastAsia="仿宋"/>
          <w:b w:val="0"/>
          <w:bCs/>
          <w:color w:val="auto"/>
          <w:sz w:val="32"/>
          <w:szCs w:val="32"/>
          <w:highlight w:val="none"/>
          <w:lang w:val="en-US" w:eastAsia="zh-CN"/>
        </w:rPr>
        <w:t>0</w:t>
      </w:r>
      <w:r>
        <w:rPr>
          <w:rStyle w:val="17"/>
          <w:rFonts w:ascii="仿宋" w:hAnsi="仿宋" w:eastAsia="仿宋"/>
          <w:b w:val="0"/>
          <w:bCs/>
          <w:color w:val="auto"/>
          <w:sz w:val="32"/>
          <w:szCs w:val="32"/>
          <w:highlight w:val="none"/>
        </w:rPr>
        <w:t>%</w:t>
      </w:r>
      <w:r>
        <w:rPr>
          <w:rStyle w:val="17"/>
          <w:rFonts w:hint="eastAsia" w:ascii="仿宋" w:hAnsi="仿宋" w:eastAsia="仿宋"/>
          <w:b w:val="0"/>
          <w:bCs/>
          <w:color w:val="auto"/>
          <w:sz w:val="32"/>
          <w:szCs w:val="32"/>
          <w:highlight w:val="none"/>
        </w:rPr>
        <w:t>。</w:t>
      </w:r>
      <w:r>
        <w:rPr>
          <w:rFonts w:hint="eastAsia" w:ascii="仿宋_GB2312" w:eastAsia="仿宋_GB2312"/>
          <w:color w:val="auto"/>
          <w:sz w:val="32"/>
          <w:szCs w:val="32"/>
          <w:highlight w:val="none"/>
        </w:rPr>
        <w:t>公务接待费支出决算比</w:t>
      </w:r>
      <w:r>
        <w:rPr>
          <w:rFonts w:hint="eastAsia" w:ascii="仿宋_GB2312" w:eastAsia="仿宋_GB2312"/>
          <w:color w:val="auto"/>
          <w:sz w:val="32"/>
          <w:szCs w:val="32"/>
          <w:highlight w:val="none"/>
          <w:lang w:eastAsia="zh-CN"/>
        </w:rPr>
        <w:t>上</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eastAsia="zh-CN"/>
        </w:rPr>
        <w:t>度</w:t>
      </w:r>
      <w:r>
        <w:rPr>
          <w:rFonts w:hint="eastAsia" w:ascii="仿宋_GB2312" w:eastAsia="仿宋_GB2312"/>
          <w:color w:val="auto"/>
          <w:sz w:val="32"/>
          <w:szCs w:val="32"/>
          <w:highlight w:val="none"/>
        </w:rPr>
        <w:t>增加</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万元，增长</w:t>
      </w:r>
      <w:r>
        <w:rPr>
          <w:rFonts w:hint="eastAsia" w:ascii="仿宋_GB2312" w:eastAsia="仿宋_GB2312"/>
          <w:color w:val="auto"/>
          <w:sz w:val="32"/>
          <w:szCs w:val="32"/>
          <w:highlight w:val="none"/>
          <w:lang w:val="en-US" w:eastAsia="zh-CN"/>
        </w:rPr>
        <w:t>0</w:t>
      </w:r>
      <w:r>
        <w:rPr>
          <w:rFonts w:ascii="仿宋_GB2312" w:eastAsia="仿宋_GB2312"/>
          <w:color w:val="auto"/>
          <w:sz w:val="32"/>
          <w:szCs w:val="32"/>
          <w:highlight w:val="none"/>
        </w:rPr>
        <w:t>%</w:t>
      </w:r>
      <w:r>
        <w:rPr>
          <w:rFonts w:hint="eastAsia" w:ascii="仿宋" w:hAnsi="仿宋" w:eastAsia="仿宋"/>
          <w:color w:val="auto"/>
          <w:sz w:val="32"/>
          <w:szCs w:val="32"/>
          <w:highlight w:val="none"/>
          <w:lang w:eastAsia="zh-CN"/>
        </w:rPr>
        <w:t>，</w:t>
      </w:r>
      <w:r>
        <w:rPr>
          <w:rFonts w:hint="eastAsia" w:ascii="仿宋" w:hAnsi="仿宋" w:eastAsia="仿宋"/>
          <w:color w:val="auto"/>
          <w:sz w:val="32"/>
          <w:szCs w:val="32"/>
          <w:highlight w:val="none"/>
          <w:lang w:val="en-US" w:eastAsia="zh-CN"/>
        </w:rPr>
        <w:t>本学校无此项内容</w:t>
      </w:r>
      <w:r>
        <w:rPr>
          <w:rFonts w:hint="eastAsia" w:ascii="仿宋_GB2312" w:eastAsia="仿宋_GB2312"/>
          <w:color w:val="auto"/>
          <w:sz w:val="32"/>
          <w:szCs w:val="32"/>
          <w:highlight w:val="none"/>
        </w:rPr>
        <w:t>。</w:t>
      </w:r>
    </w:p>
    <w:p>
      <w:pPr>
        <w:rPr>
          <w:rFonts w:hint="eastAsia" w:ascii="Times New Roman" w:hAnsi="Times New Roman" w:eastAsia="仿宋_GB2312" w:cs="仿宋_GB2312"/>
          <w:color w:val="auto"/>
          <w:sz w:val="32"/>
          <w:szCs w:val="32"/>
          <w:highlight w:val="none"/>
        </w:rPr>
      </w:pPr>
      <w:r>
        <w:rPr>
          <w:rFonts w:hint="eastAsia" w:ascii="仿宋" w:hAnsi="仿宋" w:eastAsia="仿宋"/>
          <w:b/>
          <w:color w:val="auto"/>
          <w:sz w:val="32"/>
          <w:szCs w:val="32"/>
          <w:highlight w:val="none"/>
        </w:rPr>
        <w:t>国内公务接待支出</w:t>
      </w:r>
      <w:r>
        <w:rPr>
          <w:rFonts w:hint="eastAsia" w:ascii="仿宋" w:hAnsi="仿宋" w:eastAsia="仿宋"/>
          <w:color w:val="auto"/>
          <w:sz w:val="32"/>
          <w:szCs w:val="32"/>
          <w:highlight w:val="none"/>
          <w:lang w:val="en-US" w:eastAsia="zh-CN"/>
        </w:rPr>
        <w:t>0</w:t>
      </w:r>
      <w:r>
        <w:rPr>
          <w:rFonts w:hint="eastAsia" w:ascii="仿宋_GB2312" w:eastAsia="仿宋_GB2312"/>
          <w:color w:val="auto"/>
          <w:sz w:val="32"/>
          <w:szCs w:val="32"/>
          <w:highlight w:val="none"/>
        </w:rPr>
        <w:t>万元，</w:t>
      </w:r>
      <w:r>
        <w:rPr>
          <w:rFonts w:hint="eastAsia" w:ascii="仿宋" w:hAnsi="仿宋" w:eastAsia="仿宋"/>
          <w:color w:val="auto"/>
          <w:sz w:val="32"/>
          <w:szCs w:val="32"/>
          <w:highlight w:val="none"/>
          <w:lang w:val="en-US" w:eastAsia="zh-CN"/>
        </w:rPr>
        <w:t>本学校无此项内容</w:t>
      </w:r>
      <w:r>
        <w:rPr>
          <w:rFonts w:hint="eastAsia" w:ascii="仿宋_GB2312" w:eastAsia="仿宋_GB2312"/>
          <w:color w:val="auto"/>
          <w:sz w:val="32"/>
          <w:szCs w:val="32"/>
          <w:highlight w:val="none"/>
        </w:rPr>
        <w:t>。</w:t>
      </w:r>
    </w:p>
    <w:p>
      <w:pPr>
        <w:pStyle w:val="2"/>
        <w:rPr>
          <w:rFonts w:hint="eastAsia"/>
        </w:rPr>
      </w:pPr>
    </w:p>
    <w:p>
      <w:pPr>
        <w:pStyle w:val="4"/>
        <w:bidi w:val="0"/>
        <w:rPr>
          <w:rFonts w:hint="eastAsia"/>
        </w:rPr>
      </w:pPr>
      <w:bookmarkStart w:id="28" w:name="_Toc537998639"/>
      <w:r>
        <w:rPr>
          <w:rFonts w:hint="eastAsia"/>
        </w:rPr>
        <w:t>八、政府性基金预算支出决算情况说明</w:t>
      </w:r>
      <w:bookmarkEnd w:id="28"/>
    </w:p>
    <w:p>
      <w:pPr>
        <w:spacing w:line="600" w:lineRule="exact"/>
        <w:ind w:firstLine="640"/>
        <w:rPr>
          <w:rFonts w:ascii="仿宋_GB2312" w:eastAsia="仿宋_GB2312"/>
          <w:color w:val="auto"/>
          <w:sz w:val="32"/>
          <w:szCs w:val="32"/>
          <w:highlight w:val="none"/>
        </w:rPr>
      </w:pPr>
      <w:r>
        <w:rPr>
          <w:rFonts w:hint="eastAsia" w:ascii="仿宋_GB2312" w:eastAsia="仿宋_GB2312"/>
          <w:color w:val="auto"/>
          <w:sz w:val="32"/>
          <w:szCs w:val="32"/>
          <w:highlight w:val="none"/>
          <w:lang w:eastAsia="zh-CN"/>
        </w:rPr>
        <w:t>202</w:t>
      </w:r>
      <w:r>
        <w:rPr>
          <w:rFonts w:hint="eastAsia" w:ascii="仿宋_GB2312" w:eastAsia="仿宋_GB2312"/>
          <w:color w:val="auto"/>
          <w:sz w:val="32"/>
          <w:szCs w:val="32"/>
          <w:highlight w:val="none"/>
          <w:lang w:val="en-US" w:eastAsia="zh-CN"/>
        </w:rPr>
        <w:t>5</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eastAsia="zh-CN"/>
        </w:rPr>
        <w:t>度</w:t>
      </w:r>
      <w:r>
        <w:rPr>
          <w:rFonts w:hint="eastAsia" w:ascii="仿宋_GB2312" w:eastAsia="仿宋_GB2312"/>
          <w:color w:val="auto"/>
          <w:sz w:val="32"/>
          <w:szCs w:val="32"/>
          <w:highlight w:val="none"/>
        </w:rPr>
        <w:t>政府性基金预算</w:t>
      </w:r>
      <w:r>
        <w:rPr>
          <w:rFonts w:hint="eastAsia" w:ascii="仿宋_GB2312" w:eastAsia="仿宋_GB2312"/>
          <w:color w:val="auto"/>
          <w:sz w:val="32"/>
          <w:szCs w:val="32"/>
          <w:highlight w:val="none"/>
          <w:lang w:eastAsia="zh-CN"/>
        </w:rPr>
        <w:t>财政</w:t>
      </w:r>
      <w:r>
        <w:rPr>
          <w:rFonts w:hint="eastAsia" w:ascii="仿宋_GB2312" w:eastAsia="仿宋_GB2312"/>
          <w:color w:val="auto"/>
          <w:sz w:val="32"/>
          <w:szCs w:val="32"/>
          <w:highlight w:val="none"/>
        </w:rPr>
        <w:t>拨款支出</w:t>
      </w:r>
      <w:r>
        <w:rPr>
          <w:rFonts w:hint="eastAsia" w:ascii="仿宋_GB2312" w:eastAsia="仿宋_GB2312"/>
          <w:color w:val="auto"/>
          <w:sz w:val="32"/>
          <w:szCs w:val="32"/>
          <w:highlight w:val="none"/>
          <w:lang w:val="en-US" w:eastAsia="zh-CN"/>
        </w:rPr>
        <w:t>0.96</w:t>
      </w:r>
      <w:r>
        <w:rPr>
          <w:rFonts w:hint="eastAsia" w:ascii="仿宋_GB2312" w:eastAsia="仿宋_GB2312"/>
          <w:color w:val="auto"/>
          <w:sz w:val="32"/>
          <w:szCs w:val="32"/>
          <w:highlight w:val="none"/>
        </w:rPr>
        <w:t>万元。</w:t>
      </w:r>
      <w:r>
        <w:rPr>
          <w:rFonts w:hint="eastAsia" w:ascii="仿宋_GB2312" w:eastAsia="仿宋_GB2312" w:cs="Times New Roman"/>
          <w:color w:val="auto"/>
          <w:sz w:val="32"/>
          <w:szCs w:val="32"/>
          <w:highlight w:val="none"/>
          <w:lang w:eastAsia="zh-CN"/>
        </w:rPr>
        <w:t>用于教育事业的彩票公益金支出</w:t>
      </w:r>
      <w:r>
        <w:rPr>
          <w:rFonts w:hint="eastAsia" w:ascii="仿宋_GB2312" w:eastAsia="仿宋_GB2312"/>
          <w:color w:val="auto"/>
          <w:sz w:val="32"/>
          <w:szCs w:val="32"/>
          <w:highlight w:val="none"/>
        </w:rPr>
        <w:t>。</w:t>
      </w:r>
    </w:p>
    <w:p>
      <w:pPr>
        <w:rPr>
          <w:rFonts w:hint="eastAsia" w:ascii="Times New Roman" w:hAnsi="Times New Roman" w:eastAsia="仿宋_GB2312" w:cs="仿宋_GB2312"/>
          <w:color w:val="auto"/>
          <w:sz w:val="32"/>
          <w:szCs w:val="32"/>
          <w:highlight w:val="none"/>
        </w:rPr>
      </w:pPr>
    </w:p>
    <w:p>
      <w:pPr>
        <w:pStyle w:val="4"/>
        <w:bidi w:val="0"/>
        <w:rPr>
          <w:rFonts w:hint="eastAsia"/>
        </w:rPr>
      </w:pPr>
      <w:bookmarkStart w:id="29" w:name="_Toc822721861"/>
      <w:r>
        <w:rPr>
          <w:rFonts w:hint="eastAsia"/>
        </w:rPr>
        <w:t>九、</w:t>
      </w:r>
      <w:r>
        <w:rPr>
          <w:rFonts w:hint="eastAsia"/>
          <w:lang w:eastAsia="zh-CN"/>
        </w:rPr>
        <w:t>国</w:t>
      </w:r>
      <w:r>
        <w:rPr>
          <w:rFonts w:hint="eastAsia"/>
        </w:rPr>
        <w:t>有资本经营预算支出决算情况说明</w:t>
      </w:r>
      <w:bookmarkEnd w:id="29"/>
    </w:p>
    <w:p>
      <w:pPr>
        <w:ind w:firstLine="640" w:firstLineChars="200"/>
        <w:rPr>
          <w:rFonts w:hint="eastAsia"/>
        </w:rPr>
      </w:pPr>
      <w:r>
        <w:rPr>
          <w:rFonts w:hint="eastAsia" w:ascii="仿宋_GB2312" w:eastAsia="仿宋_GB2312"/>
          <w:color w:val="auto"/>
          <w:sz w:val="32"/>
          <w:szCs w:val="32"/>
          <w:highlight w:val="none"/>
          <w:lang w:eastAsia="zh-CN"/>
        </w:rPr>
        <w:t>202</w:t>
      </w:r>
      <w:r>
        <w:rPr>
          <w:rFonts w:hint="eastAsia" w:ascii="仿宋_GB2312" w:eastAsia="仿宋_GB2312"/>
          <w:color w:val="auto"/>
          <w:sz w:val="32"/>
          <w:szCs w:val="32"/>
          <w:highlight w:val="none"/>
          <w:lang w:val="en-US" w:eastAsia="zh-CN"/>
        </w:rPr>
        <w:t>5</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eastAsia="zh-CN"/>
        </w:rPr>
        <w:t>度</w:t>
      </w:r>
      <w:r>
        <w:rPr>
          <w:rFonts w:hint="eastAsia" w:ascii="仿宋_GB2312" w:eastAsia="仿宋_GB2312"/>
          <w:color w:val="auto"/>
          <w:sz w:val="32"/>
          <w:szCs w:val="32"/>
          <w:highlight w:val="none"/>
        </w:rPr>
        <w:t>国有资本经营预算</w:t>
      </w:r>
      <w:r>
        <w:rPr>
          <w:rFonts w:hint="eastAsia" w:ascii="仿宋_GB2312" w:eastAsia="仿宋_GB2312"/>
          <w:color w:val="auto"/>
          <w:sz w:val="32"/>
          <w:szCs w:val="32"/>
          <w:highlight w:val="none"/>
          <w:lang w:eastAsia="zh-CN"/>
        </w:rPr>
        <w:t>财政</w:t>
      </w:r>
      <w:r>
        <w:rPr>
          <w:rFonts w:hint="eastAsia" w:ascii="仿宋_GB2312" w:eastAsia="仿宋_GB2312"/>
          <w:color w:val="auto"/>
          <w:sz w:val="32"/>
          <w:szCs w:val="32"/>
          <w:highlight w:val="none"/>
        </w:rPr>
        <w:t>拨款支出</w:t>
      </w:r>
      <w:r>
        <w:rPr>
          <w:rFonts w:ascii="仿宋_GB2312" w:eastAsia="仿宋_GB2312"/>
          <w:color w:val="auto"/>
          <w:sz w:val="32"/>
          <w:szCs w:val="32"/>
          <w:highlight w:val="none"/>
        </w:rPr>
        <w:t>0</w:t>
      </w:r>
      <w:r>
        <w:rPr>
          <w:rFonts w:hint="eastAsia" w:ascii="仿宋_GB2312" w:eastAsia="仿宋_GB2312"/>
          <w:color w:val="auto"/>
          <w:sz w:val="32"/>
          <w:szCs w:val="32"/>
          <w:highlight w:val="none"/>
        </w:rPr>
        <w:t>万元</w:t>
      </w:r>
      <w:r>
        <w:rPr>
          <w:rFonts w:hint="eastAsia" w:ascii="仿宋_GB2312" w:eastAsia="仿宋_GB2312"/>
          <w:color w:val="auto"/>
          <w:sz w:val="32"/>
          <w:szCs w:val="32"/>
          <w:highlight w:val="none"/>
          <w:lang w:eastAsia="zh-CN"/>
        </w:rPr>
        <w:t>，</w:t>
      </w:r>
      <w:r>
        <w:rPr>
          <w:rFonts w:hint="eastAsia" w:ascii="仿宋" w:hAnsi="仿宋" w:eastAsia="仿宋"/>
          <w:color w:val="auto"/>
          <w:sz w:val="32"/>
          <w:szCs w:val="32"/>
          <w:highlight w:val="none"/>
          <w:lang w:val="en-US" w:eastAsia="zh-CN"/>
        </w:rPr>
        <w:t>本学校无此项内容</w:t>
      </w:r>
      <w:r>
        <w:rPr>
          <w:rFonts w:hint="eastAsia" w:ascii="仿宋_GB2312" w:eastAsia="仿宋_GB2312"/>
          <w:color w:val="auto"/>
          <w:sz w:val="32"/>
          <w:szCs w:val="32"/>
          <w:highlight w:val="none"/>
        </w:rPr>
        <w:t>。</w:t>
      </w:r>
    </w:p>
    <w:p>
      <w:pPr>
        <w:pStyle w:val="4"/>
        <w:numPr>
          <w:ilvl w:val="0"/>
          <w:numId w:val="3"/>
        </w:numPr>
        <w:bidi w:val="0"/>
        <w:rPr>
          <w:rFonts w:hint="eastAsia" w:ascii="Times New Roman" w:hAnsi="Times New Roman" w:eastAsia="仿宋_GB2312" w:cs="仿宋_GB2312"/>
          <w:color w:val="auto"/>
          <w:szCs w:val="32"/>
          <w:highlight w:val="none"/>
        </w:rPr>
      </w:pPr>
      <w:bookmarkStart w:id="30" w:name="_Toc1709558891"/>
      <w:r>
        <w:rPr>
          <w:rFonts w:hint="eastAsia"/>
        </w:rPr>
        <w:t>其他重要事项的情况说明</w:t>
      </w:r>
      <w:bookmarkEnd w:id="30"/>
    </w:p>
    <w:p>
      <w:pPr>
        <w:spacing w:line="600" w:lineRule="exact"/>
        <w:ind w:firstLine="642" w:firstLineChars="200"/>
        <w:outlineLvl w:val="2"/>
        <w:rPr>
          <w:rFonts w:ascii="仿宋" w:hAnsi="仿宋" w:eastAsia="仿宋"/>
          <w:color w:val="auto"/>
          <w:sz w:val="32"/>
          <w:szCs w:val="32"/>
          <w:highlight w:val="none"/>
        </w:rPr>
      </w:pPr>
      <w:r>
        <w:rPr>
          <w:rFonts w:hint="eastAsia" w:ascii="仿宋" w:hAnsi="仿宋" w:eastAsia="仿宋"/>
          <w:b/>
          <w:color w:val="auto"/>
          <w:sz w:val="32"/>
          <w:szCs w:val="32"/>
          <w:highlight w:val="none"/>
        </w:rPr>
        <w:t>（一）机关运行经费支出情况</w:t>
      </w:r>
    </w:p>
    <w:p>
      <w:pPr>
        <w:spacing w:line="600" w:lineRule="exact"/>
        <w:ind w:firstLine="640" w:firstLineChars="200"/>
        <w:rPr>
          <w:rFonts w:hint="eastAsia" w:ascii="仿宋_GB2312" w:eastAsia="仿宋_GB2312"/>
          <w:color w:val="auto"/>
          <w:sz w:val="32"/>
          <w:szCs w:val="32"/>
          <w:highlight w:val="none"/>
          <w:lang w:eastAsia="zh-CN"/>
        </w:rPr>
      </w:pPr>
      <w:r>
        <w:rPr>
          <w:rFonts w:hint="eastAsia" w:ascii="仿宋_GB2312" w:eastAsia="仿宋_GB2312"/>
          <w:color w:val="auto"/>
          <w:sz w:val="32"/>
          <w:szCs w:val="32"/>
          <w:highlight w:val="none"/>
          <w:lang w:eastAsia="zh-CN"/>
        </w:rPr>
        <w:t>202</w:t>
      </w:r>
      <w:r>
        <w:rPr>
          <w:rFonts w:hint="eastAsia" w:ascii="仿宋_GB2312" w:eastAsia="仿宋_GB2312"/>
          <w:color w:val="auto"/>
          <w:sz w:val="32"/>
          <w:szCs w:val="32"/>
          <w:highlight w:val="none"/>
          <w:lang w:val="en-US" w:eastAsia="zh-CN"/>
        </w:rPr>
        <w:t>5</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eastAsia="zh-CN"/>
        </w:rPr>
        <w:t>度</w:t>
      </w:r>
      <w:r>
        <w:rPr>
          <w:rFonts w:hint="eastAsia" w:ascii="仿宋_GB2312" w:eastAsia="仿宋_GB2312"/>
          <w:color w:val="auto"/>
          <w:sz w:val="32"/>
          <w:szCs w:val="32"/>
          <w:highlight w:val="none"/>
        </w:rPr>
        <w:t>，</w:t>
      </w:r>
      <w:r>
        <w:rPr>
          <w:rFonts w:hint="eastAsia" w:ascii="方正仿宋_GB2312" w:hAnsi="方正仿宋_GB2312" w:eastAsia="方正仿宋_GB2312" w:cs="方正仿宋_GB2312"/>
          <w:sz w:val="32"/>
          <w:szCs w:val="32"/>
        </w:rPr>
        <w:t>四川省阿坝州壤塘县</w:t>
      </w:r>
      <w:r>
        <w:rPr>
          <w:rFonts w:hint="eastAsia" w:ascii="方正仿宋_GB2312" w:hAnsi="方正仿宋_GB2312" w:eastAsia="方正仿宋_GB2312" w:cs="方正仿宋_GB2312"/>
          <w:sz w:val="32"/>
          <w:szCs w:val="32"/>
          <w:lang w:eastAsia="zh-CN"/>
        </w:rPr>
        <w:t>上壤塘中心校</w:t>
      </w:r>
      <w:r>
        <w:rPr>
          <w:rFonts w:hint="eastAsia" w:ascii="仿宋_GB2312" w:eastAsia="仿宋_GB2312"/>
          <w:color w:val="auto"/>
          <w:sz w:val="32"/>
          <w:szCs w:val="32"/>
          <w:highlight w:val="none"/>
        </w:rPr>
        <w:t>运行经费支出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万元，与</w:t>
      </w:r>
      <w:r>
        <w:rPr>
          <w:rFonts w:hint="eastAsia" w:ascii="仿宋_GB2312" w:eastAsia="仿宋_GB2312"/>
          <w:color w:val="auto"/>
          <w:sz w:val="32"/>
          <w:szCs w:val="32"/>
          <w:highlight w:val="none"/>
          <w:lang w:eastAsia="zh-CN"/>
        </w:rPr>
        <w:t>上</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eastAsia="zh-CN"/>
        </w:rPr>
        <w:t>度</w:t>
      </w:r>
      <w:r>
        <w:rPr>
          <w:rFonts w:hint="eastAsia" w:ascii="仿宋_GB2312" w:eastAsia="仿宋_GB2312"/>
          <w:color w:val="auto"/>
          <w:sz w:val="32"/>
          <w:szCs w:val="32"/>
          <w:highlight w:val="none"/>
        </w:rPr>
        <w:t>决算数持平。主要原因是</w:t>
      </w:r>
      <w:r>
        <w:rPr>
          <w:rFonts w:hint="eastAsia" w:ascii="仿宋" w:hAnsi="仿宋" w:eastAsia="仿宋"/>
          <w:color w:val="auto"/>
          <w:sz w:val="32"/>
          <w:szCs w:val="32"/>
          <w:highlight w:val="none"/>
          <w:lang w:val="en-US" w:eastAsia="zh-CN"/>
        </w:rPr>
        <w:t>本学校无此项内容</w:t>
      </w:r>
      <w:r>
        <w:rPr>
          <w:rFonts w:hint="eastAsia" w:ascii="仿宋_GB2312" w:eastAsia="仿宋_GB2312"/>
          <w:color w:val="auto"/>
          <w:sz w:val="32"/>
          <w:szCs w:val="32"/>
          <w:highlight w:val="none"/>
          <w:lang w:eastAsia="zh-CN"/>
        </w:rPr>
        <w:t>。</w:t>
      </w:r>
    </w:p>
    <w:p>
      <w:pPr>
        <w:spacing w:line="600" w:lineRule="exact"/>
        <w:ind w:firstLine="642" w:firstLineChars="200"/>
        <w:rPr>
          <w:rFonts w:ascii="仿宋" w:hAnsi="仿宋" w:eastAsia="仿宋"/>
          <w:b/>
          <w:color w:val="auto"/>
          <w:sz w:val="32"/>
          <w:szCs w:val="32"/>
          <w:highlight w:val="none"/>
        </w:rPr>
      </w:pPr>
      <w:r>
        <w:rPr>
          <w:rFonts w:hint="eastAsia" w:ascii="仿宋" w:hAnsi="仿宋" w:eastAsia="仿宋"/>
          <w:b/>
          <w:color w:val="auto"/>
          <w:sz w:val="32"/>
          <w:szCs w:val="32"/>
          <w:highlight w:val="none"/>
        </w:rPr>
        <w:t>（注：数据来源于财决附</w:t>
      </w:r>
      <w:r>
        <w:rPr>
          <w:rFonts w:ascii="仿宋" w:hAnsi="仿宋" w:eastAsia="仿宋"/>
          <w:b/>
          <w:color w:val="auto"/>
          <w:sz w:val="32"/>
          <w:szCs w:val="32"/>
          <w:highlight w:val="none"/>
        </w:rPr>
        <w:t>03</w:t>
      </w:r>
      <w:r>
        <w:rPr>
          <w:rFonts w:hint="eastAsia" w:ascii="仿宋" w:hAnsi="仿宋" w:eastAsia="仿宋"/>
          <w:b/>
          <w:color w:val="auto"/>
          <w:sz w:val="32"/>
          <w:szCs w:val="32"/>
          <w:highlight w:val="none"/>
        </w:rPr>
        <w:t>表）</w:t>
      </w:r>
    </w:p>
    <w:p>
      <w:pPr>
        <w:autoSpaceDE w:val="0"/>
        <w:autoSpaceDN w:val="0"/>
        <w:adjustRightInd w:val="0"/>
        <w:spacing w:line="600" w:lineRule="exact"/>
        <w:ind w:firstLine="642" w:firstLineChars="200"/>
        <w:jc w:val="left"/>
        <w:outlineLvl w:val="2"/>
        <w:rPr>
          <w:rFonts w:ascii="仿宋" w:hAnsi="仿宋" w:eastAsia="仿宋"/>
          <w:b/>
          <w:color w:val="auto"/>
          <w:sz w:val="32"/>
          <w:szCs w:val="32"/>
          <w:highlight w:val="none"/>
        </w:rPr>
      </w:pPr>
      <w:r>
        <w:rPr>
          <w:rFonts w:hint="eastAsia" w:ascii="仿宋" w:hAnsi="仿宋" w:eastAsia="仿宋"/>
          <w:b/>
          <w:color w:val="auto"/>
          <w:sz w:val="32"/>
          <w:szCs w:val="32"/>
          <w:highlight w:val="none"/>
        </w:rPr>
        <w:t>（二）政府采购支出情况</w:t>
      </w:r>
    </w:p>
    <w:p>
      <w:pPr>
        <w:spacing w:line="600" w:lineRule="exact"/>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lang w:eastAsia="zh-CN"/>
        </w:rPr>
        <w:t>202</w:t>
      </w:r>
      <w:r>
        <w:rPr>
          <w:rFonts w:hint="eastAsia" w:ascii="仿宋_GB2312" w:eastAsia="仿宋_GB2312"/>
          <w:color w:val="auto"/>
          <w:sz w:val="32"/>
          <w:szCs w:val="32"/>
          <w:highlight w:val="none"/>
          <w:lang w:val="en-US" w:eastAsia="zh-CN"/>
        </w:rPr>
        <w:t>5</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eastAsia="zh-CN"/>
        </w:rPr>
        <w:t>度</w:t>
      </w:r>
      <w:r>
        <w:rPr>
          <w:rFonts w:hint="eastAsia" w:ascii="仿宋_GB2312" w:eastAsia="仿宋_GB2312"/>
          <w:color w:val="auto"/>
          <w:sz w:val="32"/>
          <w:szCs w:val="32"/>
          <w:highlight w:val="none"/>
        </w:rPr>
        <w:t>，</w:t>
      </w:r>
      <w:r>
        <w:rPr>
          <w:rFonts w:hint="eastAsia" w:ascii="方正仿宋_GB2312" w:hAnsi="方正仿宋_GB2312" w:eastAsia="方正仿宋_GB2312" w:cs="方正仿宋_GB2312"/>
          <w:sz w:val="32"/>
          <w:szCs w:val="32"/>
        </w:rPr>
        <w:t>四川省阿坝州壤塘县</w:t>
      </w:r>
      <w:r>
        <w:rPr>
          <w:rFonts w:hint="eastAsia" w:ascii="方正仿宋_GB2312" w:hAnsi="方正仿宋_GB2312" w:eastAsia="方正仿宋_GB2312" w:cs="方正仿宋_GB2312"/>
          <w:sz w:val="32"/>
          <w:szCs w:val="32"/>
          <w:lang w:eastAsia="zh-CN"/>
        </w:rPr>
        <w:t>上壤塘中心校</w:t>
      </w:r>
      <w:r>
        <w:rPr>
          <w:rFonts w:hint="eastAsia" w:ascii="仿宋_GB2312" w:eastAsia="仿宋_GB2312"/>
          <w:color w:val="auto"/>
          <w:sz w:val="32"/>
          <w:szCs w:val="32"/>
          <w:highlight w:val="none"/>
        </w:rPr>
        <w:t>政府采购支出总额</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万元，其中：政府采购货物支出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万元、政府采购工程支出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万元、政府采购服务支出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r>
        <w:rPr>
          <w:rFonts w:hint="eastAsia" w:ascii="仿宋_GB2312" w:eastAsia="仿宋_GB2312"/>
          <w:color w:val="auto"/>
          <w:sz w:val="32"/>
          <w:szCs w:val="32"/>
          <w:highlight w:val="none"/>
          <w:lang w:eastAsia="zh-CN"/>
        </w:rPr>
        <w:t>，</w:t>
      </w:r>
      <w:r>
        <w:rPr>
          <w:rFonts w:hint="eastAsia" w:ascii="仿宋" w:hAnsi="仿宋" w:eastAsia="仿宋"/>
          <w:color w:val="auto"/>
          <w:sz w:val="32"/>
          <w:szCs w:val="32"/>
          <w:highlight w:val="none"/>
          <w:lang w:val="en-US" w:eastAsia="zh-CN"/>
        </w:rPr>
        <w:t>本学校无此项内容</w:t>
      </w:r>
      <w:r>
        <w:rPr>
          <w:rFonts w:hint="eastAsia" w:ascii="仿宋_GB2312" w:eastAsia="仿宋_GB2312"/>
          <w:color w:val="auto"/>
          <w:sz w:val="32"/>
          <w:szCs w:val="32"/>
          <w:highlight w:val="none"/>
        </w:rPr>
        <w:t>。授予中小企业合同金额</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万元，占政府采购支出总额的</w:t>
      </w:r>
      <w:r>
        <w:rPr>
          <w:rFonts w:hint="eastAsia" w:ascii="仿宋_GB2312" w:eastAsia="仿宋_GB2312"/>
          <w:color w:val="auto"/>
          <w:sz w:val="32"/>
          <w:szCs w:val="32"/>
          <w:highlight w:val="none"/>
          <w:lang w:val="en-US" w:eastAsia="zh-CN"/>
        </w:rPr>
        <w:t>0</w:t>
      </w:r>
      <w:r>
        <w:rPr>
          <w:rFonts w:ascii="仿宋_GB2312" w:eastAsia="仿宋_GB2312"/>
          <w:color w:val="auto"/>
          <w:sz w:val="32"/>
          <w:szCs w:val="32"/>
          <w:highlight w:val="none"/>
        </w:rPr>
        <w:t>%</w:t>
      </w:r>
      <w:r>
        <w:rPr>
          <w:rFonts w:hint="eastAsia" w:ascii="仿宋_GB2312" w:eastAsia="仿宋_GB2312"/>
          <w:color w:val="auto"/>
          <w:sz w:val="32"/>
          <w:szCs w:val="32"/>
          <w:highlight w:val="none"/>
        </w:rPr>
        <w:t>，其中：授予小微企业合同金额</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万元，占政府采购支出总额的</w:t>
      </w:r>
      <w:r>
        <w:rPr>
          <w:rFonts w:hint="eastAsia" w:ascii="仿宋_GB2312" w:eastAsia="仿宋_GB2312"/>
          <w:color w:val="auto"/>
          <w:sz w:val="32"/>
          <w:szCs w:val="32"/>
          <w:highlight w:val="none"/>
          <w:lang w:val="en-US" w:eastAsia="zh-CN"/>
        </w:rPr>
        <w:t>0</w:t>
      </w:r>
      <w:r>
        <w:rPr>
          <w:rFonts w:ascii="仿宋_GB2312" w:eastAsia="仿宋_GB2312"/>
          <w:color w:val="auto"/>
          <w:sz w:val="32"/>
          <w:szCs w:val="32"/>
          <w:highlight w:val="none"/>
        </w:rPr>
        <w:t>%</w:t>
      </w:r>
      <w:r>
        <w:rPr>
          <w:rFonts w:hint="eastAsia" w:ascii="仿宋_GB2312" w:eastAsia="仿宋_GB2312"/>
          <w:color w:val="auto"/>
          <w:sz w:val="32"/>
          <w:szCs w:val="32"/>
          <w:highlight w:val="none"/>
        </w:rPr>
        <w:t>。</w:t>
      </w:r>
    </w:p>
    <w:p>
      <w:pPr>
        <w:spacing w:line="600" w:lineRule="exact"/>
        <w:ind w:firstLine="642" w:firstLineChars="200"/>
        <w:rPr>
          <w:rFonts w:ascii="仿宋" w:hAnsi="仿宋" w:eastAsia="仿宋"/>
          <w:b/>
          <w:color w:val="auto"/>
          <w:sz w:val="32"/>
          <w:szCs w:val="32"/>
          <w:highlight w:val="none"/>
        </w:rPr>
      </w:pPr>
      <w:r>
        <w:rPr>
          <w:rFonts w:hint="eastAsia" w:ascii="仿宋" w:hAnsi="仿宋" w:eastAsia="仿宋"/>
          <w:b/>
          <w:color w:val="auto"/>
          <w:sz w:val="32"/>
          <w:szCs w:val="32"/>
          <w:highlight w:val="none"/>
        </w:rPr>
        <w:t>（注：数据来源于财决附</w:t>
      </w:r>
      <w:r>
        <w:rPr>
          <w:rFonts w:ascii="仿宋" w:hAnsi="仿宋" w:eastAsia="仿宋"/>
          <w:b/>
          <w:color w:val="auto"/>
          <w:sz w:val="32"/>
          <w:szCs w:val="32"/>
          <w:highlight w:val="none"/>
        </w:rPr>
        <w:t>03</w:t>
      </w:r>
      <w:r>
        <w:rPr>
          <w:rFonts w:hint="eastAsia" w:ascii="仿宋" w:hAnsi="仿宋" w:eastAsia="仿宋"/>
          <w:b/>
          <w:color w:val="auto"/>
          <w:sz w:val="32"/>
          <w:szCs w:val="32"/>
          <w:highlight w:val="none"/>
        </w:rPr>
        <w:t>表）</w:t>
      </w:r>
    </w:p>
    <w:p>
      <w:pPr>
        <w:autoSpaceDE w:val="0"/>
        <w:autoSpaceDN w:val="0"/>
        <w:adjustRightInd w:val="0"/>
        <w:spacing w:line="600" w:lineRule="exact"/>
        <w:ind w:firstLine="642" w:firstLineChars="200"/>
        <w:jc w:val="left"/>
        <w:outlineLvl w:val="2"/>
        <w:rPr>
          <w:rFonts w:ascii="仿宋" w:hAnsi="仿宋" w:eastAsia="仿宋"/>
          <w:b/>
          <w:color w:val="auto"/>
          <w:sz w:val="32"/>
          <w:szCs w:val="32"/>
          <w:highlight w:val="none"/>
        </w:rPr>
      </w:pPr>
      <w:r>
        <w:rPr>
          <w:rFonts w:hint="eastAsia" w:ascii="仿宋" w:hAnsi="仿宋" w:eastAsia="仿宋"/>
          <w:b/>
          <w:color w:val="auto"/>
          <w:sz w:val="32"/>
          <w:szCs w:val="32"/>
          <w:highlight w:val="none"/>
        </w:rPr>
        <w:t>（三）国有资产占有使用情况</w:t>
      </w:r>
    </w:p>
    <w:p>
      <w:pPr>
        <w:autoSpaceDE w:val="0"/>
        <w:autoSpaceDN w:val="0"/>
        <w:adjustRightInd w:val="0"/>
        <w:spacing w:line="600" w:lineRule="exact"/>
        <w:ind w:firstLine="640" w:firstLineChars="200"/>
        <w:jc w:val="left"/>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截至</w:t>
      </w:r>
      <w:r>
        <w:rPr>
          <w:rFonts w:hint="eastAsia" w:ascii="仿宋_GB2312" w:eastAsia="仿宋_GB2312"/>
          <w:color w:val="auto"/>
          <w:sz w:val="32"/>
          <w:szCs w:val="32"/>
          <w:highlight w:val="none"/>
          <w:lang w:eastAsia="zh-CN"/>
        </w:rPr>
        <w:t>202</w:t>
      </w:r>
      <w:r>
        <w:rPr>
          <w:rFonts w:hint="eastAsia" w:ascii="仿宋_GB2312" w:eastAsia="仿宋_GB2312"/>
          <w:color w:val="auto"/>
          <w:sz w:val="32"/>
          <w:szCs w:val="32"/>
          <w:highlight w:val="none"/>
          <w:lang w:val="en-US" w:eastAsia="zh-CN"/>
        </w:rPr>
        <w:t>5</w:t>
      </w:r>
      <w:r>
        <w:rPr>
          <w:rFonts w:hint="eastAsia" w:ascii="仿宋_GB2312" w:eastAsia="仿宋_GB2312"/>
          <w:color w:val="auto"/>
          <w:sz w:val="32"/>
          <w:szCs w:val="32"/>
          <w:highlight w:val="none"/>
        </w:rPr>
        <w:t>年</w:t>
      </w:r>
      <w:r>
        <w:rPr>
          <w:rFonts w:ascii="仿宋_GB2312" w:eastAsia="仿宋_GB2312"/>
          <w:color w:val="auto"/>
          <w:sz w:val="32"/>
          <w:szCs w:val="32"/>
          <w:highlight w:val="none"/>
        </w:rPr>
        <w:t>12</w:t>
      </w:r>
      <w:r>
        <w:rPr>
          <w:rFonts w:hint="eastAsia" w:ascii="仿宋_GB2312" w:eastAsia="仿宋_GB2312"/>
          <w:color w:val="auto"/>
          <w:sz w:val="32"/>
          <w:szCs w:val="32"/>
          <w:highlight w:val="none"/>
        </w:rPr>
        <w:t>月</w:t>
      </w:r>
      <w:r>
        <w:rPr>
          <w:rFonts w:ascii="仿宋_GB2312" w:eastAsia="仿宋_GB2312"/>
          <w:color w:val="auto"/>
          <w:sz w:val="32"/>
          <w:szCs w:val="32"/>
          <w:highlight w:val="none"/>
        </w:rPr>
        <w:t>31</w:t>
      </w:r>
      <w:r>
        <w:rPr>
          <w:rFonts w:hint="eastAsia" w:ascii="仿宋_GB2312" w:eastAsia="仿宋_GB2312"/>
          <w:color w:val="auto"/>
          <w:sz w:val="32"/>
          <w:szCs w:val="32"/>
          <w:highlight w:val="none"/>
        </w:rPr>
        <w:t>日，</w:t>
      </w:r>
      <w:r>
        <w:rPr>
          <w:rFonts w:hint="eastAsia" w:ascii="方正仿宋_GB2312" w:hAnsi="方正仿宋_GB2312" w:eastAsia="方正仿宋_GB2312" w:cs="方正仿宋_GB2312"/>
          <w:sz w:val="32"/>
          <w:szCs w:val="32"/>
        </w:rPr>
        <w:t>四川省阿坝州壤塘县</w:t>
      </w:r>
      <w:r>
        <w:rPr>
          <w:rFonts w:hint="eastAsia" w:ascii="方正仿宋_GB2312" w:hAnsi="方正仿宋_GB2312" w:eastAsia="方正仿宋_GB2312" w:cs="方正仿宋_GB2312"/>
          <w:sz w:val="32"/>
          <w:szCs w:val="32"/>
          <w:lang w:eastAsia="zh-CN"/>
        </w:rPr>
        <w:t>上壤塘中心校</w:t>
      </w:r>
      <w:r>
        <w:rPr>
          <w:rFonts w:hint="eastAsia" w:ascii="仿宋_GB2312" w:eastAsia="仿宋_GB2312"/>
          <w:color w:val="auto"/>
          <w:sz w:val="32"/>
          <w:szCs w:val="32"/>
          <w:highlight w:val="none"/>
        </w:rPr>
        <w:t>共有车辆</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辆，其中：主要领导干部用车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辆、机要通信用车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辆、应急保障用车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辆、其他用车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rPr>
        <w:t>单价</w:t>
      </w:r>
      <w:r>
        <w:rPr>
          <w:rFonts w:ascii="仿宋_GB2312" w:eastAsia="仿宋_GB2312"/>
          <w:color w:val="auto"/>
          <w:sz w:val="32"/>
          <w:szCs w:val="32"/>
          <w:highlight w:val="none"/>
        </w:rPr>
        <w:t>50</w:t>
      </w:r>
      <w:r>
        <w:rPr>
          <w:rFonts w:hint="eastAsia" w:ascii="仿宋_GB2312" w:eastAsia="仿宋_GB2312"/>
          <w:color w:val="auto"/>
          <w:sz w:val="32"/>
          <w:szCs w:val="32"/>
          <w:highlight w:val="none"/>
        </w:rPr>
        <w:t>万元以上通用设备</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台（套），单价</w:t>
      </w:r>
      <w:r>
        <w:rPr>
          <w:rFonts w:ascii="仿宋_GB2312" w:eastAsia="仿宋_GB2312"/>
          <w:color w:val="auto"/>
          <w:sz w:val="32"/>
          <w:szCs w:val="32"/>
          <w:highlight w:val="none"/>
        </w:rPr>
        <w:t>100</w:t>
      </w:r>
      <w:r>
        <w:rPr>
          <w:rFonts w:hint="eastAsia" w:ascii="仿宋_GB2312" w:eastAsia="仿宋_GB2312"/>
          <w:color w:val="auto"/>
          <w:sz w:val="32"/>
          <w:szCs w:val="32"/>
          <w:highlight w:val="none"/>
        </w:rPr>
        <w:t>万元以上专用设备</w:t>
      </w:r>
      <w:r>
        <w:rPr>
          <w:rFonts w:hint="eastAsia" w:ascii="仿宋_GB2312" w:eastAsia="仿宋_GB2312"/>
          <w:color w:val="auto"/>
          <w:sz w:val="32"/>
          <w:szCs w:val="32"/>
          <w:highlight w:val="none"/>
          <w:lang w:eastAsia="zh-CN"/>
        </w:rPr>
        <w:t>（不含车辆）</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台（套）。</w:t>
      </w:r>
    </w:p>
    <w:p>
      <w:pPr>
        <w:autoSpaceDE w:val="0"/>
        <w:autoSpaceDN w:val="0"/>
        <w:adjustRightInd w:val="0"/>
        <w:spacing w:line="600" w:lineRule="exact"/>
        <w:ind w:firstLine="642" w:firstLineChars="200"/>
        <w:jc w:val="left"/>
        <w:rPr>
          <w:rFonts w:ascii="仿宋" w:hAnsi="仿宋" w:eastAsia="仿宋"/>
          <w:b/>
          <w:color w:val="auto"/>
          <w:sz w:val="32"/>
          <w:szCs w:val="32"/>
          <w:highlight w:val="none"/>
        </w:rPr>
      </w:pPr>
      <w:r>
        <w:rPr>
          <w:rFonts w:hint="eastAsia" w:ascii="仿宋" w:hAnsi="仿宋" w:eastAsia="仿宋"/>
          <w:b/>
          <w:color w:val="auto"/>
          <w:sz w:val="32"/>
          <w:szCs w:val="32"/>
          <w:highlight w:val="none"/>
        </w:rPr>
        <w:t>（注：数据来源</w:t>
      </w:r>
      <w:r>
        <w:rPr>
          <w:rFonts w:hint="eastAsia" w:ascii="仿宋" w:hAnsi="仿宋" w:eastAsia="仿宋"/>
          <w:b/>
          <w:color w:val="auto"/>
          <w:sz w:val="32"/>
          <w:szCs w:val="32"/>
          <w:highlight w:val="none"/>
          <w:lang w:eastAsia="zh-CN"/>
        </w:rPr>
        <w:t>于</w:t>
      </w:r>
      <w:r>
        <w:rPr>
          <w:rFonts w:hint="eastAsia" w:ascii="仿宋" w:hAnsi="仿宋" w:eastAsia="仿宋"/>
          <w:b/>
          <w:color w:val="auto"/>
          <w:sz w:val="32"/>
          <w:szCs w:val="32"/>
          <w:highlight w:val="none"/>
        </w:rPr>
        <w:t>财决附</w:t>
      </w:r>
      <w:r>
        <w:rPr>
          <w:rFonts w:ascii="仿宋" w:hAnsi="仿宋" w:eastAsia="仿宋"/>
          <w:b/>
          <w:color w:val="auto"/>
          <w:sz w:val="32"/>
          <w:szCs w:val="32"/>
          <w:highlight w:val="none"/>
        </w:rPr>
        <w:t>03</w:t>
      </w:r>
      <w:r>
        <w:rPr>
          <w:rFonts w:hint="eastAsia" w:ascii="仿宋" w:hAnsi="仿宋" w:eastAsia="仿宋"/>
          <w:b/>
          <w:color w:val="auto"/>
          <w:sz w:val="32"/>
          <w:szCs w:val="32"/>
          <w:highlight w:val="none"/>
        </w:rPr>
        <w:t>表，按部门决算报表填报数据罗列车辆情况。）</w:t>
      </w:r>
    </w:p>
    <w:p>
      <w:pPr>
        <w:numPr>
          <w:ilvl w:val="0"/>
          <w:numId w:val="0"/>
        </w:numPr>
        <w:rPr>
          <w:rFonts w:hint="eastAsia"/>
        </w:rPr>
      </w:pPr>
    </w:p>
    <w:p>
      <w:pPr>
        <w:rPr>
          <w:rFonts w:hint="eastAsia"/>
        </w:rPr>
      </w:pPr>
    </w:p>
    <w:p>
      <w:pPr>
        <w:pStyle w:val="3"/>
        <w:bidi w:val="0"/>
        <w:rPr>
          <w:rFonts w:hint="eastAsia"/>
        </w:rPr>
      </w:pPr>
      <w:bookmarkStart w:id="31" w:name="_Toc402468410"/>
      <w:r>
        <w:rPr>
          <w:rFonts w:hint="eastAsia"/>
        </w:rPr>
        <w:t>第三部分 名词解释</w:t>
      </w:r>
      <w:bookmarkEnd w:id="31"/>
    </w:p>
    <w:p>
      <w:pPr>
        <w:pStyle w:val="26"/>
        <w:spacing w:line="560" w:lineRule="exact"/>
        <w:ind w:firstLine="640" w:firstLineChars="20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1.财政拨款收入：指单位从同级财政部门取得的财政预算资金。</w:t>
      </w:r>
    </w:p>
    <w:p>
      <w:pPr>
        <w:pStyle w:val="26"/>
        <w:spacing w:line="560" w:lineRule="exact"/>
        <w:ind w:firstLine="640" w:firstLineChars="20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2.事业收入：指事业单位开展专业业务活动及辅助活动取得的收入。</w:t>
      </w:r>
    </w:p>
    <w:p>
      <w:pPr>
        <w:pStyle w:val="26"/>
        <w:spacing w:line="560" w:lineRule="exact"/>
        <w:ind w:firstLine="640" w:firstLineChars="20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3.经营收入：指事业单位在专业业务活动及其辅助活动之外开展非独立核算经营活动取得的收入。</w:t>
      </w:r>
    </w:p>
    <w:p>
      <w:pPr>
        <w:pStyle w:val="26"/>
        <w:spacing w:line="560" w:lineRule="exact"/>
        <w:ind w:firstLine="640" w:firstLineChars="20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4.其他收入：指单位取得的除上述收入以外的各项收入。</w:t>
      </w:r>
    </w:p>
    <w:p>
      <w:pPr>
        <w:pStyle w:val="26"/>
        <w:spacing w:line="560" w:lineRule="exact"/>
        <w:ind w:firstLine="640" w:firstLineChars="20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5.使用非财政拨款结余：指事业单位使用以前年度积累的非财政拨款结余弥补当年收支差额的金额。</w:t>
      </w:r>
    </w:p>
    <w:p>
      <w:pPr>
        <w:pStyle w:val="26"/>
        <w:spacing w:line="560" w:lineRule="exact"/>
        <w:ind w:firstLine="640" w:firstLineChars="20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6.年初结转和结余：指以前年度尚未完成、结转到本年按有关规定继续使用的资金。</w:t>
      </w:r>
    </w:p>
    <w:p>
      <w:pPr>
        <w:pStyle w:val="26"/>
        <w:spacing w:line="560" w:lineRule="exact"/>
        <w:ind w:firstLine="640" w:firstLineChars="20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7.结余分配：指事业单位按照会计制度规定缴纳的所得税、提取的专用结余以及转入非财政拨款结余的金额等。</w:t>
      </w:r>
    </w:p>
    <w:p>
      <w:pPr>
        <w:pStyle w:val="26"/>
        <w:spacing w:line="560" w:lineRule="exact"/>
        <w:ind w:firstLine="640" w:firstLineChars="20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8、年末结转和结余：指单位按有关规定结转到下年或以后年度继续使用的资金。</w:t>
      </w:r>
    </w:p>
    <w:p>
      <w:pPr>
        <w:ind w:firstLine="640" w:firstLineChars="20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9、教育（205类）教育管理事务（01款）行政运行（01项）：指反映行政单位的基本支出。</w:t>
      </w:r>
    </w:p>
    <w:p>
      <w:pPr>
        <w:ind w:firstLine="480" w:firstLineChars="15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10、教育（205类）普通教育（02款）学前教育（01项）：指反映各部门举办的学前教育支出。</w:t>
      </w:r>
    </w:p>
    <w:p>
      <w:pPr>
        <w:ind w:firstLine="480" w:firstLineChars="15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11、教育（205类）普通教育（02款）小学教育（02项）：指反映各部门举办的小学教育支出。</w:t>
      </w:r>
    </w:p>
    <w:p>
      <w:pPr>
        <w:ind w:firstLine="480" w:firstLineChars="15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12、教育（205类）普通教育（02款）初中教育（03项）：指反映各部门举办的初中教育支出。</w:t>
      </w:r>
    </w:p>
    <w:p>
      <w:pPr>
        <w:ind w:firstLine="480" w:firstLineChars="15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12、教育（205类）普通教育（02款）高中教育（04项）：指反映各部门举办的高中教育支出。</w:t>
      </w:r>
    </w:p>
    <w:p>
      <w:pPr>
        <w:ind w:firstLine="480" w:firstLineChars="15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13、教育（205类）普通教育（02款）高等教育（05项）：指反映各部门举办的普通本科（包括研究生）教育支出。</w:t>
      </w:r>
    </w:p>
    <w:p>
      <w:pPr>
        <w:ind w:firstLine="480" w:firstLineChars="15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14、教育（205类）其他普通教育（02款）其他普通教育支出（99项）：指反映各部其他用于普通教育方面的支出。</w:t>
      </w:r>
    </w:p>
    <w:p>
      <w:pPr>
        <w:ind w:firstLine="480" w:firstLineChars="15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15、教育（205类） 职业教育（03款） 中等职业教育（02项）：指反映各部（不含人力资源社会保障部门）举办的中等职业教育支出。</w:t>
      </w:r>
    </w:p>
    <w:p>
      <w:pPr>
        <w:ind w:firstLine="480" w:firstLineChars="15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16、教育（205类） 成人教育（04款）成人初等教育（01项）：指反映各部门举办各类成人初等教育的支出。</w:t>
      </w:r>
    </w:p>
    <w:p>
      <w:pPr>
        <w:ind w:firstLine="480" w:firstLineChars="15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17、教育（205类）教育费附加安排的支出（09款）其他教育费附加安排的支出（99项）：指反映其他用于教育附加方面的支出。</w:t>
      </w:r>
    </w:p>
    <w:p>
      <w:pPr>
        <w:ind w:firstLine="480" w:firstLineChars="15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18、教育（205类）其他教育支出（99款）其他教育支出（99项）：指反映其他用于教育方面的支出。</w:t>
      </w:r>
    </w:p>
    <w:p>
      <w:pPr>
        <w:ind w:firstLine="480" w:firstLineChars="15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19、文化旅游体育与传媒支出（207类） 文化和旅游支出（99款） 宣传文化发展专项支出（02项）：指反映按照国家有关政策支持宣传文化单位发展的专项支出。</w:t>
      </w:r>
    </w:p>
    <w:p>
      <w:pPr>
        <w:ind w:firstLine="480" w:firstLineChars="15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20、社会保障和就业（208类）行政事业单位养老支出（05款）  机关事业单位基本养老保险缴费支出（05项）：指反映机关事业单位实施养老保险制度由单位缴纳的基本养老保险费支出。</w:t>
      </w:r>
    </w:p>
    <w:p>
      <w:pPr>
        <w:ind w:firstLine="480" w:firstLineChars="15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21、社会保障和就业（208类）行政事业单位养老支出（05款） 机关事业单位职业年金缴费支出（06项）：指反映机关事业单位实施养老保险制度由单位实际缴纳的职业年金支出。</w:t>
      </w:r>
    </w:p>
    <w:p>
      <w:pPr>
        <w:ind w:firstLine="480" w:firstLineChars="15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22、医疗卫生与计划生育（210类）行政事业单位医疗（11款）行政单位医疗（01项）：指反映财政部门集中安排的行政单位（包括实行公务员管理的事业单位）基本医疗保险缴费经费，未参加医疗保险的事业单位的公费医疗经费，按国家规定享受离休人员待遇的医疗经费。</w:t>
      </w:r>
    </w:p>
    <w:p>
      <w:pPr>
        <w:ind w:firstLine="480" w:firstLineChars="15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23、住房保障（221类）住房改革支出（02款）住房公积金（01项）：指反映行政事业单位按人力资源和社会保障部、财政部规定的基本工资和津贴补贴以及规定比例为职工缴纳的住房公积金。</w:t>
      </w:r>
    </w:p>
    <w:p>
      <w:pPr>
        <w:ind w:firstLine="640" w:firstLineChars="20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24.基本支出：指为保障机构正常运转、完成日常工作任务而发生的人员支出和公用支出。</w:t>
      </w:r>
    </w:p>
    <w:p>
      <w:pPr>
        <w:ind w:firstLine="640" w:firstLineChars="20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 xml:space="preserve">25.项目支出：指在基本支出之外为完成特定行政任务和事业发展目标所发生的支出。 </w:t>
      </w:r>
    </w:p>
    <w:p>
      <w:pPr>
        <w:ind w:firstLine="640" w:firstLineChars="20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26.经营支出：指事业单位在专业业务活动及其辅助活动之外开展非独立核算经营活动发生的支出。</w:t>
      </w:r>
    </w:p>
    <w:p>
      <w:pPr>
        <w:pStyle w:val="26"/>
        <w:spacing w:line="560" w:lineRule="exact"/>
        <w:ind w:firstLine="640" w:firstLineChars="200"/>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27.“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pStyle w:val="26"/>
        <w:spacing w:line="560" w:lineRule="exact"/>
        <w:ind w:firstLine="640" w:firstLineChars="200"/>
        <w:rPr>
          <w:rFonts w:ascii="仿宋_GB2312" w:eastAsia="仿宋_GB2312"/>
          <w:color w:val="auto"/>
          <w:sz w:val="32"/>
          <w:szCs w:val="32"/>
          <w:highlight w:val="none"/>
        </w:rPr>
      </w:pPr>
      <w:r>
        <w:rPr>
          <w:rFonts w:hint="eastAsia" w:ascii="仿宋_GB2312" w:hAnsi="Times New Roman" w:eastAsia="仿宋_GB2312" w:cs="Times New Roman"/>
          <w:color w:val="auto"/>
          <w:kern w:val="2"/>
          <w:sz w:val="32"/>
          <w:szCs w:val="32"/>
          <w:highlight w:val="none"/>
          <w:lang w:val="en-US" w:eastAsia="zh-CN" w:bidi="ar-SA"/>
        </w:rPr>
        <w:t>28.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pStyle w:val="26"/>
        <w:spacing w:line="560" w:lineRule="exact"/>
        <w:ind w:firstLine="640" w:firstLineChars="200"/>
        <w:rPr>
          <w:rFonts w:ascii="仿宋_GB2312" w:eastAsia="仿宋_GB2312" w:cs="黑体"/>
          <w:color w:val="auto"/>
          <w:sz w:val="32"/>
          <w:szCs w:val="32"/>
          <w:highlight w:val="none"/>
        </w:rPr>
      </w:pPr>
    </w:p>
    <w:p>
      <w:pPr>
        <w:rPr>
          <w:rFonts w:hint="eastAsia"/>
        </w:rPr>
      </w:pPr>
      <w:r>
        <w:rPr>
          <w:rFonts w:hint="eastAsia" w:ascii="仿宋" w:hAnsi="仿宋" w:eastAsia="仿宋"/>
          <w:b/>
          <w:color w:val="auto"/>
          <w:sz w:val="32"/>
          <w:szCs w:val="32"/>
          <w:highlight w:val="none"/>
        </w:rPr>
        <w:t>（名词解释部分请根据各部门实际列支情况罗列，并根据本部门职责职能增减名词解释内容。）</w:t>
      </w:r>
    </w:p>
    <w:p>
      <w:pPr>
        <w:pStyle w:val="3"/>
        <w:bidi w:val="0"/>
        <w:rPr>
          <w:rFonts w:hint="eastAsia"/>
        </w:rPr>
      </w:pPr>
      <w:bookmarkStart w:id="32" w:name="_Toc592647606"/>
      <w:r>
        <w:rPr>
          <w:rFonts w:hint="eastAsia"/>
        </w:rPr>
        <w:t>第四部分 附件</w:t>
      </w:r>
      <w:bookmarkEnd w:id="32"/>
    </w:p>
    <w:tbl>
      <w:tblPr>
        <w:tblStyle w:val="15"/>
        <w:tblW w:w="985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84"/>
        <w:gridCol w:w="1424"/>
        <w:gridCol w:w="810"/>
        <w:gridCol w:w="1739"/>
        <w:gridCol w:w="521"/>
        <w:gridCol w:w="945"/>
        <w:gridCol w:w="521"/>
        <w:gridCol w:w="870"/>
        <w:gridCol w:w="505"/>
        <w:gridCol w:w="456"/>
        <w:gridCol w:w="138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4659" w:type="dxa"/>
            <w:gridSpan w:val="4"/>
            <w:tcBorders>
              <w:top w:val="nil"/>
              <w:left w:val="nil"/>
              <w:bottom w:val="nil"/>
              <w:right w:val="nil"/>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C0C0C0"/>
                <w:sz w:val="20"/>
                <w:szCs w:val="20"/>
                <w:u w:val="none"/>
              </w:rPr>
            </w:pPr>
            <w:r>
              <w:rPr>
                <w:rFonts w:ascii="宋体" w:hAnsi="宋体" w:eastAsia="宋体" w:cs="宋体"/>
                <w:i w:val="0"/>
                <w:iCs w:val="0"/>
                <w:color w:val="C0C0C0"/>
                <w:kern w:val="0"/>
                <w:sz w:val="20"/>
                <w:szCs w:val="20"/>
                <w:u w:val="none"/>
                <w:lang w:val="en-US" w:eastAsia="zh-CN" w:bidi="ar"/>
              </w:rPr>
              <w:t>报表编号：510000_0013zp</w:t>
            </w:r>
          </w:p>
        </w:tc>
        <w:tc>
          <w:tcPr>
            <w:tcW w:w="521"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2336" w:type="dxa"/>
            <w:gridSpan w:val="3"/>
            <w:tcBorders>
              <w:top w:val="nil"/>
              <w:left w:val="nil"/>
              <w:bottom w:val="nil"/>
              <w:right w:val="nil"/>
            </w:tcBorders>
            <w:shd w:val="clear" w:color="auto" w:fill="auto"/>
            <w:vAlign w:val="center"/>
          </w:tcPr>
          <w:p>
            <w:pPr>
              <w:rPr>
                <w:rFonts w:hint="eastAsia" w:ascii="宋体" w:hAnsi="宋体" w:eastAsia="宋体" w:cs="宋体"/>
                <w:i w:val="0"/>
                <w:iCs w:val="0"/>
                <w:color w:val="000000"/>
                <w:sz w:val="20"/>
                <w:szCs w:val="20"/>
                <w:u w:val="none"/>
              </w:rPr>
            </w:pPr>
          </w:p>
        </w:tc>
        <w:tc>
          <w:tcPr>
            <w:tcW w:w="505"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456"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1380"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857"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1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74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51323022T000006165070-义务教育公用经费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1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5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87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34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壤塘县上壤塘乡中心小学校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5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21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8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5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阿坝州十五年义务教育经费保障机制实施意见，2023年义务教育阶段学生县级公用经费补助标准，小学每生每年20元补助资金。义务教育阶段学生公用经费补助主要用于教学业务与管理、教师培训、实验实习、文体活动、水电、取暖、交通差旅、邮电、仪器设备及图书资料等购置，房屋、建筑物及仪器设备的日常维修维护等。既要保障开展日常教育教学活动所需的基本开支，又要适当安排促进学生全面发展所需的活动经费开支。</w:t>
            </w:r>
          </w:p>
        </w:tc>
        <w:tc>
          <w:tcPr>
            <w:tcW w:w="321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74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0.62</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0.62</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0.62</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0.62</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0.62</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0.62</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8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义务教育阶段学生公用经费覆盖师生人数</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312</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名</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义务教育阶段小学学生县级公用经费补助标准</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元/人年</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8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义务教育阶段政策知晓率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义务教育阶段学生巩固率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97.23</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8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义务教育阶段师生满意度</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义务教育阶段家长满意度</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92</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义务教育阶段全年资金总量</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6240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51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17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17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17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18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67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42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7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4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7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3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857"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1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74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51323022T000007356109-2022年城乡义务教育中省补助经费高海拔取暖费补助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1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5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87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34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壤塘县上壤塘乡中心小学校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5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21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5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21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74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4.84</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4.75</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98.27%</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4.84</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4.75</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98.27%</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51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17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17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17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18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67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42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7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4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7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3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857"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1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74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51323023T000007629414-乡村教师生活补助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1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5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87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34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壤塘县上壤塘乡中心小学校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5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21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5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对于增强农村教师职业吸引力、鼓励城镇优秀教师到农村薄弱学 校任教、提高农村教育质量、保障农村学生接受优质教育、促进义务教育均衡发展和保障教育公平具有重大的现实意义。</w:t>
            </w:r>
          </w:p>
        </w:tc>
        <w:tc>
          <w:tcPr>
            <w:tcW w:w="321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74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6.70</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6.70</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6.70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6.70</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6.70</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6.70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乡村农村教师生活补贴覆盖面</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按标准足额发放</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2025年年底前完成农村教师生活补助发放</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提升农村教师生活水平</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提升农村教师工作积极性</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享受农村教师生活补助的教师满意度</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对农村教师发放生活补助</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元/月</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51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17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17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17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18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67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42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7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4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7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3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857"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1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74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51323023T000007662378-学前教育县级保教费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1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5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87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34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壤塘县上壤塘乡中心小学校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5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21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5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阿坝州十五年义务教育经费保障机制实施意见，2013年起学前教育学生县级补助保教费，补助标准每生每年490元补助资金。学前保教费补助主要用于教学业务与管理、教师培训、实验实习、文体活动、水电、取暖、交通差旅、邮电、仪器设备及图书资料等购置，房屋、建筑物及仪器设备的日常维修维护等。既要保障开展日常教育教学活动所需的基本开支，又要适当安排促进学生全面发展所需的活动经费开支。</w:t>
            </w:r>
          </w:p>
        </w:tc>
        <w:tc>
          <w:tcPr>
            <w:tcW w:w="321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74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12.84</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12.84</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12.84</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12.84</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12.84</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12.84</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8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学前保教费补助人数</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262</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名</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学前保教费补助标准</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490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元/年</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学前减免保教费发放时效</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学前教育学生三年毛入学率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89.4</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8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学前县级保教费师生满意度</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学前县级保教费家长满意度</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92</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学前减免保教费资金总量效</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128380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51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17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17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17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18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67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42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7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4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7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3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857"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1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74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51323023T000007663474-学前教育县级公用经费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1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5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87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34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壤塘县上壤塘乡中心小学校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5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21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5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阿坝州十五年义务教育经费保障机制实施意见，2020年起学前阶段幼儿县级补助公用经费，补助标准每生每年500元资金。学前阶段县级公用经费补助主要用于教学业务与管理、教师培训、实验实习、文体活动、水电、取暖、交通差旅、邮电、仪器设备及图书资料等购置，房屋、建筑物及仪器设备的日常维修维护等。既要保障开展日常教育教学活动所需的基本开支，又要适当安排促进学生全面发展所需的活动经费开支。</w:t>
            </w:r>
          </w:p>
        </w:tc>
        <w:tc>
          <w:tcPr>
            <w:tcW w:w="321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74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15.72</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15.29</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15.29</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15.72</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15.29</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15.29</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8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学前教育公用经费补助标准</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元/人年</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学前教育补助公用经费人数</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262</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名</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学前公用经费发放时效</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学前教育学生三年毛入学率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89.4</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8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学前教育学生覆盖率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学前公用经费师生满意度</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92</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学前公用经费全年资金总量</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157200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51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17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17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17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18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67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42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7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4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7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3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857"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1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74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51323023T000009396497-城乡义务教育补助经费（公用经费）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1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5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87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34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壤塘县上壤塘乡中心小学校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5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21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5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21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74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46.19</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45.99</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99.58%</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46.19</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45.99</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99.58%</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51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17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17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17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18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67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42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7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4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7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3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857"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1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74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51323023T000009579836-重大传染病防控补助资金（包虫病防治）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1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5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87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34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壤塘县上壤塘乡中心小学校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5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21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5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21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74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0.34</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0.34</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98.02%</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0.34</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0.34</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98.02%</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51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17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17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17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18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67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42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7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4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7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3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857"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1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74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51323023T000009740699-中央和省级教育补助资金支持学前教育发展资金（“一村一幼”辅导员劳务报酬）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1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5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87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34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壤塘县上壤塘乡中心小学校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5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21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5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21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74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28.69</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28.69</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28.69</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28.69</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51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17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17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17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18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67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42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7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4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7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3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857"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1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74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51323023T000009743263-第二批教育补助资金（城乡义务教育补助资金-农村教师生活补助））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1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5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87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34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壤塘县上壤塘乡中心小学校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5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21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5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21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74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6.80</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5.70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83.86%</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6.80</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5.70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83.86%</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51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17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17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17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18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67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42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7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4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7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3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857"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1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74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51323023T000009840711-中央专项彩票公益金支持乡村学校少年宫资金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1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5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87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34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壤塘县上壤塘乡中心小学校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5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21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5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21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74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0.96</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0.96</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51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17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17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17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18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67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42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7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4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7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3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857"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1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74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51323024R000010372937-职工体检费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1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5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87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34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壤塘县上壤塘乡中心小学校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5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21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5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21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74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5.10</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2.22</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43.53%</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5.10</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2.22</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43.53%</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51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17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17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17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18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67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42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7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4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7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3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857"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1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74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51323024R000010440034-工资性支出（新）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1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5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87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34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壤塘县上壤塘乡中心小学校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5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21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5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321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74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274.45</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261.24</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261.24</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274.45</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261.24</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261.24</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51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17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17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17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18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67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42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7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4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7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3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857"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1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74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51323024R000010440308-聘用人员经费（新）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1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5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87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34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壤塘县上壤塘乡中心小学校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5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21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5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321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74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74.95</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74.95</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61.89</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82.58%</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74.95</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74.95</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61.89</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82.58%</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51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17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17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17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18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67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42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7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4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7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3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857"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1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74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51323024R000010441706-机关事业单位基本养老保险缴费支出（新）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1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5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87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34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壤塘县上壤塘乡中心小学校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5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21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5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321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74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75.47</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75.47</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75.47</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75.47</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75.47</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75.47</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51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17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17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17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18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67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42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7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4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7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3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857"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1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74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51323024R000010441938-机关事业单位职业年金缴费支出（新）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1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5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87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34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壤塘县上壤塘乡中心小学校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5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21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5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321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74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37.74</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37.47</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37.47</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37.74</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37.47</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37.47</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51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17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17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17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18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67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42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7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4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7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3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857"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1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74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51323024R000010442151-职工基本医疗保险缴费（新）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1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5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87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34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壤塘县上壤塘乡中心小学校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5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21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5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321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74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33.02</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37.18</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37.18</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33.02</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37.18</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37.18</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51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17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17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17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18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67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42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7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4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7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3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857"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1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74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51323024R000010442387-公务员医疗补助（新）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1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5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87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34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壤塘县上壤塘乡中心小学校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5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21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5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321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74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7.36</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6.14</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6.14</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7.36</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6.14</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6.14</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51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17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17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17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18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67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42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7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4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7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3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857"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1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74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51323024R000010442598-住房公积金（新）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1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5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87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34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壤塘县上壤塘乡中心小学校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5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21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5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321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74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63.60</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63.40</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63.40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63.60</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63.40</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63.40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51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17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17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17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18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67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42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7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4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7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3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857"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1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74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51323024R000010442824-其他单位缴费（新）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1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5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87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34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壤塘县上壤塘乡中心小学校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5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21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5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321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74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4.72</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3.69</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3.69</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4.72</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3.69</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3.69</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51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17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17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17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18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67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42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7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4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7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3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857"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1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74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51323024R000010638359-艰苦边远地区津贴（新）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1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5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87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34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壤塘县上壤塘乡中心小学校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5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21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5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321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74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86.69</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124.50</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124.50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86.69</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124.50</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124.50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51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17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17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17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18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67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42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7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4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7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3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857"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1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74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51323024R000010638937-高海拔地区折算工龄补贴（新）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1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5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87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34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壤塘县上壤塘乡中心小学校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5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21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5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321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74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10.58</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10.58</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10.58</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10.58</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10.58</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10.58</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51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17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17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17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18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67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42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7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4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7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3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857"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1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74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51323024R000010668191-乡镇工作补贴（新）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1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5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87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34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壤塘县上壤塘乡中心小学校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5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21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5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321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74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22.32</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22.32</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22.32</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22.32</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22.32</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22.32</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51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17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17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17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18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67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42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7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4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7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3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857"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1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74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51323024T000009962103-义务教育补助经费（高海拔取暖补助）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1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5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87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34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壤塘县上壤塘乡中心小学校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5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21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5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21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74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1.06</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1.06</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51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17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17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17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18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67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42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7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4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7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3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857"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1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74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51323024T000012014592-非义务教育在校学生取暖费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1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5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87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34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壤塘县上壤塘乡中心小学校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5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21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5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全面落实相关经费保障，提高群众对教育认可度.  </w:t>
            </w:r>
          </w:p>
        </w:tc>
        <w:tc>
          <w:tcPr>
            <w:tcW w:w="321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74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3.67</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3.67</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3.67</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3.67</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3.67</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3.67</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覆盖学生人数</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262</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名</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补助标准（年）</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元/人</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年底完成</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学前取暖费发放时效</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经费运转</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帮扶对象满意度指标</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覆盖学生满意度</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学前取暖费全年资金总量</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36680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51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17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17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17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18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67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42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7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4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7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3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857"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1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74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51323024Y000010443500-日常公用经费（新）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1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5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87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34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壤塘县上壤塘乡中心小学校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5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21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5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提高预算编制质量，严格执行预算，保障单位日常运转。</w:t>
            </w:r>
          </w:p>
        </w:tc>
        <w:tc>
          <w:tcPr>
            <w:tcW w:w="321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74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12.40</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11.16</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8.53</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76.45%</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12.40</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11.16</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8.53</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76.45%</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科目调整次数</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预算编制准确率（计算方法为：∣（执行数-预算数）/预算数∣）</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“三公经费”控制率[计算方法为：（三公经费实际支出数/预算安排数]×100%）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运转保障率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51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17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17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17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18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67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42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7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4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7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3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857"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1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74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51323025R000012670735-残疾人就业保障金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1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5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87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34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壤塘县上壤塘乡中心小学校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5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21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5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321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74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7.55</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6.38</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6.38</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7.55</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6.38</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6.38</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51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17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17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17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18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67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42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7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4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7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3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857"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1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74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51323025R000013352112-在职人员基础绩效奖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1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5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87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34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壤塘县上壤塘乡中心小学校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5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21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5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321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74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104.51</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105.30</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105.27</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99.97%</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104.51</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105.30</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105.27</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99.97%</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51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17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17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17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18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67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42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7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4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7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3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857"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1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74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51323025R000013373711-在职人员年度考核奖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1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5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87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34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壤塘县上壤塘乡中心小学校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5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21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5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21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74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36.99</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36.99</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36.99</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36.99</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51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17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17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17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18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67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42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7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4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7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3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857"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1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74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51323025T000012409102-新疆西藏等地区特殊补助（辅导员提标补助）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1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5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87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34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壤塘县上壤塘乡中心小学校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5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21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5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21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74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3.34</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3.34</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3.34</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3.34</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51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17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17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17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18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67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42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7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4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7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3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857"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1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74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51323025T000012539403-支持学前教育发展补助（高海拔取暖费）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1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5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87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34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壤塘县上壤塘乡中心小学校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5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21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5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21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74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4.49</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3.68</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81.96%</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4.49</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3.68</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81.96%</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51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17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17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17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18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67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42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7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4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7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3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857"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1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74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51323025T000012988067-新疆西藏等地区教育特殊补助三区三州（控辍保学维修改造））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1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5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87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34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壤塘县上壤塘乡中心小学校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5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21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5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21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74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9.48</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9.48</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9.48</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9.48</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51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17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17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17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18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67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42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7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4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7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3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857"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1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74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51323025T000013003172-新疆西藏等地区教育特殊补助三区三州（控辍保学）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1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5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87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34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壤塘县上壤塘乡中心小学校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5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21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5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21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74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5.91</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5.91</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5.91</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5.91</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51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17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17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17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18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67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42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7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4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7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3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857"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1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74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51323025T000013716683-城乡义务教育补助经费-综合奖补资金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1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5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87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34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壤塘县上壤塘乡中心小学校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5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21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5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21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74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24.50</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24.35</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99.37%</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24.50</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24.35</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99.37%</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51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17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17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17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18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67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42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7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4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7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3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857"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1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74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51323025T000013853795-人教社捐赠资金（助学奖教基金）~奖教基金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1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5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87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34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壤塘县上壤塘乡中心小学校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5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21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5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提高教师动力和工作能力。</w:t>
            </w:r>
          </w:p>
        </w:tc>
        <w:tc>
          <w:tcPr>
            <w:tcW w:w="321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74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1.80</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1.80</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覆盖教师数</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按时足额发放</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完成时间</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促进教育发展</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提升教师学习率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8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教师满意度</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学生满意度</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51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17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17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17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18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67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42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7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4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7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3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857"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1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74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51323025T000013903460-十五年免费教育经费补助资金（学前教育免除保教费）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1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5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87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34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壤塘县上壤塘乡中心小学校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5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21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5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21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74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29.78</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14.70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49.37%</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29.78</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14.70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49.37%</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51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17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17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17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18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67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42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7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4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7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3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857"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1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74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51323026T000014790152-农村生活补助（第三、四批资金）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1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5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87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34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壤塘县上壤塘乡中心小学校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5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21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5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21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74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4.47</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4.47</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51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17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17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17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18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67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42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7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4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7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3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857"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1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74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51323026T000015174576-壤塘县上壤塘乡中心校民族团结进步示范学校建设项目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1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5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县教育局</w:t>
            </w:r>
          </w:p>
        </w:tc>
        <w:tc>
          <w:tcPr>
            <w:tcW w:w="870"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34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壤塘县上壤塘乡中心小学校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5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21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5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321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74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50.00</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50.00</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51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917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917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917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18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467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42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1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7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4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7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3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857" w:type="dxa"/>
            <w:gridSpan w:val="11"/>
            <w:tcBorders>
              <w:top w:val="nil"/>
              <w:left w:val="nil"/>
              <w:bottom w:val="nil"/>
              <w:right w:val="nil"/>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1、报表说明:该报表查询项目信息、绩效目标信息、预算及执行情况，用于预算单位查询导出开展项目自评。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857" w:type="dxa"/>
            <w:gridSpan w:val="11"/>
            <w:tcBorders>
              <w:top w:val="nil"/>
              <w:left w:val="nil"/>
              <w:bottom w:val="nil"/>
              <w:right w:val="nil"/>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2、取数口径：部门项目绩效目标表信息，包括年初预算、追加预算、结转预算和调整预算的绩效目标（以项目的最终绩效目标为准）。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857" w:type="dxa"/>
            <w:gridSpan w:val="11"/>
            <w:tcBorders>
              <w:top w:val="nil"/>
              <w:left w:val="nil"/>
              <w:bottom w:val="nil"/>
              <w:right w:val="nil"/>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适用地区：全省范围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857" w:type="dxa"/>
            <w:gridSpan w:val="11"/>
            <w:tcBorders>
              <w:top w:val="nil"/>
              <w:left w:val="nil"/>
              <w:bottom w:val="nil"/>
              <w:right w:val="nil"/>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适用用户：部门用户、单位用户</w:t>
            </w:r>
          </w:p>
        </w:tc>
      </w:tr>
    </w:tbl>
    <w:p>
      <w:pPr>
        <w:rPr>
          <w:rFonts w:hint="eastAsia"/>
        </w:rPr>
      </w:pPr>
    </w:p>
    <w:p>
      <w:pPr>
        <w:pStyle w:val="3"/>
        <w:bidi w:val="0"/>
        <w:rPr>
          <w:rFonts w:hint="eastAsia"/>
        </w:rPr>
      </w:pPr>
      <w:bookmarkStart w:id="33" w:name="_Toc2030919599"/>
      <w:r>
        <w:rPr>
          <w:rFonts w:hint="eastAsia"/>
        </w:rPr>
        <w:t>第五部分 附表</w:t>
      </w:r>
      <w:bookmarkEnd w:id="33"/>
    </w:p>
    <w:p>
      <w:pPr>
        <w:pStyle w:val="4"/>
        <w:bidi w:val="0"/>
        <w:rPr>
          <w:rFonts w:hint="eastAsia"/>
        </w:rPr>
      </w:pPr>
      <w:bookmarkStart w:id="34" w:name="_Toc1478053934"/>
      <w:r>
        <w:rPr>
          <w:rFonts w:hint="eastAsia"/>
        </w:rPr>
        <w:t>一、收入支出决算总表</w:t>
      </w:r>
      <w:bookmarkEnd w:id="34"/>
    </w:p>
    <w:p>
      <w:pPr>
        <w:pStyle w:val="4"/>
        <w:bidi w:val="0"/>
        <w:rPr>
          <w:rFonts w:hint="eastAsia"/>
        </w:rPr>
      </w:pPr>
      <w:bookmarkStart w:id="35" w:name="_Toc1814639883"/>
      <w:r>
        <w:rPr>
          <w:rFonts w:hint="eastAsia"/>
        </w:rPr>
        <w:t>二、收入决算表</w:t>
      </w:r>
      <w:bookmarkEnd w:id="35"/>
    </w:p>
    <w:p>
      <w:pPr>
        <w:pStyle w:val="4"/>
        <w:bidi w:val="0"/>
        <w:rPr>
          <w:rFonts w:hint="eastAsia"/>
        </w:rPr>
      </w:pPr>
      <w:bookmarkStart w:id="36" w:name="_Toc2141735736"/>
      <w:r>
        <w:rPr>
          <w:rFonts w:hint="eastAsia"/>
        </w:rPr>
        <w:t>三、支出决算表</w:t>
      </w:r>
      <w:bookmarkEnd w:id="36"/>
    </w:p>
    <w:p>
      <w:pPr>
        <w:pStyle w:val="4"/>
        <w:bidi w:val="0"/>
        <w:rPr>
          <w:rFonts w:hint="eastAsia"/>
        </w:rPr>
      </w:pPr>
      <w:bookmarkStart w:id="37" w:name="_Toc7117816"/>
      <w:r>
        <w:rPr>
          <w:rFonts w:hint="eastAsia"/>
        </w:rPr>
        <w:t>四、财政拨款收入支出决算总表</w:t>
      </w:r>
      <w:bookmarkEnd w:id="37"/>
    </w:p>
    <w:p>
      <w:pPr>
        <w:pStyle w:val="4"/>
        <w:bidi w:val="0"/>
        <w:rPr>
          <w:rFonts w:hint="eastAsia"/>
        </w:rPr>
      </w:pPr>
      <w:bookmarkStart w:id="38" w:name="_Toc303619188"/>
      <w:r>
        <w:rPr>
          <w:rFonts w:hint="eastAsia"/>
        </w:rPr>
        <w:t>五、财政拨款支出决算明细表</w:t>
      </w:r>
      <w:bookmarkEnd w:id="38"/>
    </w:p>
    <w:p>
      <w:pPr>
        <w:pStyle w:val="4"/>
        <w:bidi w:val="0"/>
        <w:rPr>
          <w:rFonts w:hint="eastAsia"/>
        </w:rPr>
      </w:pPr>
      <w:bookmarkStart w:id="39" w:name="_Toc1928605222"/>
      <w:r>
        <w:rPr>
          <w:rFonts w:hint="eastAsia"/>
        </w:rPr>
        <w:t>六、一般公共预算财政拨款支出决算表</w:t>
      </w:r>
      <w:bookmarkEnd w:id="39"/>
    </w:p>
    <w:p>
      <w:pPr>
        <w:pStyle w:val="4"/>
        <w:bidi w:val="0"/>
        <w:rPr>
          <w:rFonts w:hint="eastAsia"/>
        </w:rPr>
      </w:pPr>
      <w:bookmarkStart w:id="40" w:name="_Toc1416962616"/>
      <w:r>
        <w:rPr>
          <w:rFonts w:hint="eastAsia"/>
        </w:rPr>
        <w:t>七、一般公共预算财政拨款支出决算明细表</w:t>
      </w:r>
      <w:bookmarkEnd w:id="40"/>
    </w:p>
    <w:p>
      <w:pPr>
        <w:pStyle w:val="4"/>
        <w:bidi w:val="0"/>
        <w:rPr>
          <w:rFonts w:hint="eastAsia"/>
        </w:rPr>
      </w:pPr>
      <w:bookmarkStart w:id="41" w:name="_Toc1579308260"/>
      <w:r>
        <w:rPr>
          <w:rFonts w:hint="eastAsia"/>
        </w:rPr>
        <w:t>八、一般公共预算财政拨款基本支出决算</w:t>
      </w:r>
      <w:r>
        <w:rPr>
          <w:rFonts w:hint="eastAsia"/>
          <w:lang w:eastAsia="zh-CN"/>
        </w:rPr>
        <w:t>明细</w:t>
      </w:r>
      <w:r>
        <w:rPr>
          <w:rFonts w:hint="eastAsia"/>
        </w:rPr>
        <w:t>表</w:t>
      </w:r>
      <w:bookmarkEnd w:id="41"/>
    </w:p>
    <w:p>
      <w:pPr>
        <w:pStyle w:val="4"/>
        <w:bidi w:val="0"/>
        <w:rPr>
          <w:rFonts w:hint="eastAsia"/>
        </w:rPr>
      </w:pPr>
      <w:bookmarkStart w:id="42" w:name="_Toc1592160915"/>
      <w:r>
        <w:rPr>
          <w:rFonts w:hint="eastAsia"/>
        </w:rPr>
        <w:t>九、一般公共预算财政拨款项目支出决算表</w:t>
      </w:r>
      <w:bookmarkEnd w:id="42"/>
    </w:p>
    <w:p>
      <w:pPr>
        <w:pStyle w:val="4"/>
        <w:bidi w:val="0"/>
        <w:rPr>
          <w:rFonts w:hint="eastAsia"/>
        </w:rPr>
      </w:pPr>
      <w:bookmarkStart w:id="43" w:name="_Toc37097532"/>
      <w:r>
        <w:rPr>
          <w:rFonts w:hint="eastAsia"/>
        </w:rPr>
        <w:t>十、政府性基金预算财政拨款收入支出决算表</w:t>
      </w:r>
      <w:bookmarkEnd w:id="43"/>
    </w:p>
    <w:p>
      <w:pPr>
        <w:pStyle w:val="4"/>
        <w:bidi w:val="0"/>
        <w:rPr>
          <w:rFonts w:hint="eastAsia"/>
        </w:rPr>
      </w:pPr>
      <w:bookmarkStart w:id="44" w:name="_Toc1365558023"/>
      <w:r>
        <w:rPr>
          <w:rFonts w:hint="eastAsia"/>
        </w:rPr>
        <w:t>十一、国有资本经营预算财政拨款收入支出决算表</w:t>
      </w:r>
      <w:bookmarkEnd w:id="44"/>
    </w:p>
    <w:p>
      <w:pPr>
        <w:pStyle w:val="4"/>
        <w:bidi w:val="0"/>
        <w:rPr>
          <w:rFonts w:hint="eastAsia"/>
        </w:rPr>
      </w:pPr>
      <w:bookmarkStart w:id="45" w:name="_Toc372629402"/>
      <w:r>
        <w:rPr>
          <w:rFonts w:hint="eastAsia"/>
        </w:rPr>
        <w:t>十二、</w:t>
      </w:r>
      <w:r>
        <w:rPr>
          <w:rFonts w:hint="eastAsia"/>
          <w:lang w:val="en-US" w:eastAsia="zh-CN"/>
        </w:rPr>
        <w:t>国有资本经营预算财政拨款支出决算表</w:t>
      </w:r>
      <w:bookmarkEnd w:id="45"/>
    </w:p>
    <w:p>
      <w:pPr>
        <w:pStyle w:val="4"/>
        <w:bidi w:val="0"/>
        <w:rPr>
          <w:rFonts w:hint="eastAsia"/>
        </w:rPr>
      </w:pPr>
      <w:bookmarkStart w:id="46" w:name="_Toc1138870698"/>
      <w:r>
        <w:rPr>
          <w:rFonts w:hint="eastAsia"/>
        </w:rPr>
        <w:t>十三、财政拨款“三公”经费支出决算表</w:t>
      </w:r>
      <w:bookmarkEnd w:id="46"/>
    </w:p>
    <w:p>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lang w:eastAsia="zh-CN"/>
        </w:rPr>
      </w:pPr>
    </w:p>
    <w:sectPr>
      <w:footerReference r:id="rId7"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Cambria">
    <w:altName w:val="Noto Sans Syriac Eastern"/>
    <w:panose1 w:val="02040503050406030204"/>
    <w:charset w:val="00"/>
    <w:family w:val="roman"/>
    <w:pitch w:val="default"/>
    <w:sig w:usb0="00000000" w:usb1="00000000" w:usb2="02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仿宋"/>
    <w:panose1 w:val="00000000000000000000"/>
    <w:charset w:val="00"/>
    <w:family w:val="roman"/>
    <w:pitch w:val="default"/>
    <w:sig w:usb0="00000000" w:usb1="00000000" w:usb2="00000000" w:usb3="00000000" w:csb0="00000000" w:csb1="00000000"/>
  </w:font>
  <w:font w:name="方正小标宋简体">
    <w:panose1 w:val="02000000000000000000"/>
    <w:charset w:val="86"/>
    <w:family w:val="script"/>
    <w:pitch w:val="default"/>
    <w:sig w:usb0="A00002BF" w:usb1="184F6CFA" w:usb2="00000012" w:usb3="00000000" w:csb0="00040001" w:csb1="00000000"/>
  </w:font>
  <w:font w:name="方正仿宋_GB2312">
    <w:altName w:val="方正仿宋_GBK"/>
    <w:panose1 w:val="02000000000000000000"/>
    <w:charset w:val="00"/>
    <w:family w:val="auto"/>
    <w:pitch w:val="default"/>
    <w:sig w:usb0="00000000" w:usb1="00000000" w:usb2="00000012" w:usb3="00000000" w:csb0="00040001" w:csb1="00000000"/>
  </w:font>
  <w:font w:name="方正仿宋_GBK">
    <w:panose1 w:val="02000000000000000000"/>
    <w:charset w:val="86"/>
    <w:family w:val="auto"/>
    <w:pitch w:val="default"/>
    <w:sig w:usb0="00000001" w:usb1="08000000" w:usb2="00000000" w:usb3="00000000" w:csb0="00040000" w:csb1="00000000"/>
  </w:font>
  <w:font w:name="simhei">
    <w:altName w:val="仿宋"/>
    <w:panose1 w:val="00000000000000000000"/>
    <w:charset w:val="00"/>
    <w:family w:val="auto"/>
    <w:pitch w:val="default"/>
    <w:sig w:usb0="00000000" w:usb1="00000000" w:usb2="00000000" w:usb3="00000000" w:csb0="00000000" w:csb1="00000000"/>
  </w:font>
  <w:font w:name="微软雅黑">
    <w:altName w:val="方正黑体_GBK"/>
    <w:panose1 w:val="00000000000000000000"/>
    <w:charset w:val="00"/>
    <w:family w:val="auto"/>
    <w:pitch w:val="default"/>
    <w:sig w:usb0="00000000" w:usb1="00000000" w:usb2="00000000" w:usb3="00000000" w:csb0="00000000" w:csb1="00000000"/>
  </w:font>
  <w:font w:name="方正黑体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p>
  <w:p>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p>
  <w:p>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MIkSXjECAABhBAAADgAAAAAAAAABACAAAAA1&#10;AQAAZHJzL2Uyb0RvYy54bWxQSwUGAAAAAAYABgBZAQAA2AUAAAAA&#10;">
              <v:fill on="f" focussize="0,0"/>
              <v:stroke on="f" weight="0.5pt"/>
              <v:imagedata o:title=""/>
              <o:lock v:ext="edit" aspectratio="f"/>
              <v:textbox inset="0mm,0mm,0mm,0mm" style="mso-fit-shape-to-text:t;">
                <w:txbxContent>
                  <w:p>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bP7xkTECAABjBAAADgAAAAAAAAABACAAAAA1&#10;AQAAZHJzL2Uyb0RvYy54bWxQSwUGAAAAAAYABgBZAQAA2AUAAAAA&#10;">
              <v:fill on="f" focussize="0,0"/>
              <v:stroke on="f" weight="0.5pt"/>
              <v:imagedata o:title=""/>
              <o:lock v:ext="edit" aspectratio="f"/>
              <v:textbox inset="0mm,0mm,0mm,0mm" style="mso-fit-shape-to-text:t;">
                <w:txbxContent>
                  <w:p>
                    <w:pPr>
                      <w:pStyle w:val="10"/>
                    </w:pPr>
                    <w:r>
                      <w:fldChar w:fldCharType="begin"/>
                    </w:r>
                    <w:r>
                      <w:instrText xml:space="preserve"> PAGE  \* MERGEFORMAT </w:instrText>
                    </w:r>
                    <w:r>
                      <w:fldChar w:fldCharType="separate"/>
                    </w:r>
                    <w:r>
                      <w:t>1</w:t>
                    </w:r>
                    <w:r>
                      <w:fldChar w:fldCharType="end"/>
                    </w:r>
                  </w:p>
                </w:txbxContent>
              </v:textbox>
            </v:shape>
          </w:pict>
        </mc:Fallback>
      </mc:AlternateContent>
    </w:r>
  </w:p>
  <w:p>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2281BCD"/>
    <w:multiLevelType w:val="singleLevel"/>
    <w:tmpl w:val="B2281BCD"/>
    <w:lvl w:ilvl="0" w:tentative="0">
      <w:start w:val="3"/>
      <w:numFmt w:val="decimal"/>
      <w:lvlText w:val="%1."/>
      <w:lvlJc w:val="left"/>
      <w:pPr>
        <w:tabs>
          <w:tab w:val="left" w:pos="312"/>
        </w:tabs>
      </w:pPr>
    </w:lvl>
  </w:abstractNum>
  <w:abstractNum w:abstractNumId="1">
    <w:nsid w:val="CF75C8EC"/>
    <w:multiLevelType w:val="singleLevel"/>
    <w:tmpl w:val="CF75C8EC"/>
    <w:lvl w:ilvl="0" w:tentative="0">
      <w:start w:val="10"/>
      <w:numFmt w:val="chineseCounting"/>
      <w:suff w:val="nothing"/>
      <w:lvlText w:val="%1、"/>
      <w:lvlJc w:val="left"/>
      <w:rPr>
        <w:rFonts w:hint="eastAsia"/>
      </w:rPr>
    </w:lvl>
  </w:abstractNum>
  <w:abstractNum w:abstractNumId="2">
    <w:nsid w:val="132B5452"/>
    <w:multiLevelType w:val="singleLevel"/>
    <w:tmpl w:val="132B5452"/>
    <w:lvl w:ilvl="0" w:tentative="0">
      <w:start w:val="1"/>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UxMTI3ZWIxZDVjNzcwZjFmMjM3ZGMzY2I4NDljYTM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2317B1B"/>
    <w:rsid w:val="02FEBE30"/>
    <w:rsid w:val="061E35DE"/>
    <w:rsid w:val="066E0107"/>
    <w:rsid w:val="07996F6E"/>
    <w:rsid w:val="07DFD8BA"/>
    <w:rsid w:val="08DB07E4"/>
    <w:rsid w:val="09867E8F"/>
    <w:rsid w:val="0A2032A3"/>
    <w:rsid w:val="0C6C4794"/>
    <w:rsid w:val="0CA8290A"/>
    <w:rsid w:val="0D35B1ED"/>
    <w:rsid w:val="0DE07E2B"/>
    <w:rsid w:val="0F98263C"/>
    <w:rsid w:val="101860EC"/>
    <w:rsid w:val="10C055FF"/>
    <w:rsid w:val="11772AA4"/>
    <w:rsid w:val="118107EC"/>
    <w:rsid w:val="12070D49"/>
    <w:rsid w:val="13D50BC4"/>
    <w:rsid w:val="14022904"/>
    <w:rsid w:val="152F2A07"/>
    <w:rsid w:val="165E0673"/>
    <w:rsid w:val="16BB723D"/>
    <w:rsid w:val="186504BB"/>
    <w:rsid w:val="1938089F"/>
    <w:rsid w:val="19A445FC"/>
    <w:rsid w:val="1B7D550C"/>
    <w:rsid w:val="1BE8440E"/>
    <w:rsid w:val="1D155CEE"/>
    <w:rsid w:val="1E740ACF"/>
    <w:rsid w:val="1FF35744"/>
    <w:rsid w:val="1FF6BC77"/>
    <w:rsid w:val="21962A9E"/>
    <w:rsid w:val="21AE7C77"/>
    <w:rsid w:val="22BC3C41"/>
    <w:rsid w:val="23860B96"/>
    <w:rsid w:val="240371BF"/>
    <w:rsid w:val="260F557C"/>
    <w:rsid w:val="281408E2"/>
    <w:rsid w:val="29FD04D3"/>
    <w:rsid w:val="2BFF7BC6"/>
    <w:rsid w:val="2C8A61B5"/>
    <w:rsid w:val="2D2E01CF"/>
    <w:rsid w:val="2DF04E50"/>
    <w:rsid w:val="2E9545B0"/>
    <w:rsid w:val="2F040D46"/>
    <w:rsid w:val="2FAE5751"/>
    <w:rsid w:val="2FB1A395"/>
    <w:rsid w:val="2FD9A7D8"/>
    <w:rsid w:val="319F7F4E"/>
    <w:rsid w:val="321B2544"/>
    <w:rsid w:val="3304709D"/>
    <w:rsid w:val="34281836"/>
    <w:rsid w:val="349D6851"/>
    <w:rsid w:val="35BA6CAF"/>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DF97B88"/>
    <w:rsid w:val="3E78745D"/>
    <w:rsid w:val="3FF4CAE0"/>
    <w:rsid w:val="3FF7B227"/>
    <w:rsid w:val="40E54C45"/>
    <w:rsid w:val="43A407DF"/>
    <w:rsid w:val="44515BEA"/>
    <w:rsid w:val="44E268DA"/>
    <w:rsid w:val="453F7E5B"/>
    <w:rsid w:val="486A6C7A"/>
    <w:rsid w:val="49176D9B"/>
    <w:rsid w:val="4A627F82"/>
    <w:rsid w:val="4B0E749A"/>
    <w:rsid w:val="4B4F25DA"/>
    <w:rsid w:val="4BDA0CFB"/>
    <w:rsid w:val="4BE068DB"/>
    <w:rsid w:val="4D3C0CCC"/>
    <w:rsid w:val="4D577224"/>
    <w:rsid w:val="4DBF1CEB"/>
    <w:rsid w:val="4E027201"/>
    <w:rsid w:val="4EAB630A"/>
    <w:rsid w:val="4ECE2238"/>
    <w:rsid w:val="4F833267"/>
    <w:rsid w:val="4FE9BD67"/>
    <w:rsid w:val="4FFB052F"/>
    <w:rsid w:val="53083A92"/>
    <w:rsid w:val="537E6D0A"/>
    <w:rsid w:val="53AF27A2"/>
    <w:rsid w:val="53F74C96"/>
    <w:rsid w:val="56E47B74"/>
    <w:rsid w:val="57BD3DD4"/>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2BF3928"/>
    <w:rsid w:val="647F5392"/>
    <w:rsid w:val="664B1D71"/>
    <w:rsid w:val="67AA3209"/>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72518CC"/>
    <w:rsid w:val="E7EAC4BD"/>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4897"/>
    <w:rsid w:val="FBFF5B2E"/>
    <w:rsid w:val="FD7FFE2B"/>
    <w:rsid w:val="FDEE196B"/>
    <w:rsid w:val="FDFE6575"/>
    <w:rsid w:val="FEDFDDC2"/>
    <w:rsid w:val="FEED32F6"/>
    <w:rsid w:val="FEF781DD"/>
    <w:rsid w:val="FF3F7E3F"/>
    <w:rsid w:val="FF5B6937"/>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25"/>
    <w:qFormat/>
    <w:uiPriority w:val="99"/>
    <w:pPr>
      <w:spacing w:beforeLines="30"/>
    </w:pPr>
    <w:rPr>
      <w:rFonts w:ascii="仿宋_GB2312" w:eastAsia="仿宋_GB2312"/>
      <w:kern w:val="0"/>
      <w:sz w:val="30"/>
    </w:rPr>
  </w:style>
  <w:style w:type="paragraph" w:styleId="6">
    <w:name w:val="Body Text Indent"/>
    <w:basedOn w:val="1"/>
    <w:next w:val="7"/>
    <w:qFormat/>
    <w:uiPriority w:val="0"/>
    <w:pPr>
      <w:spacing w:after="120"/>
      <w:ind w:leftChars="200"/>
    </w:pPr>
    <w:rPr>
      <w:rFonts w:ascii="仿宋_GB2312"/>
      <w:szCs w:val="32"/>
    </w:rPr>
  </w:style>
  <w:style w:type="paragraph" w:styleId="7">
    <w:name w:val="Body Text First Indent 2"/>
    <w:basedOn w:val="6"/>
    <w:next w:val="1"/>
    <w:unhideWhenUsed/>
    <w:qFormat/>
    <w:uiPriority w:val="99"/>
    <w:pPr>
      <w:ind w:firstLine="420" w:firstLineChars="200"/>
    </w:p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1"/>
    <w:semiHidden/>
    <w:unhideWhenUsed/>
    <w:qFormat/>
    <w:uiPriority w:val="99"/>
    <w:rPr>
      <w:sz w:val="18"/>
      <w:szCs w:val="18"/>
    </w:rPr>
  </w:style>
  <w:style w:type="paragraph" w:styleId="10">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7"/>
    <w:semiHidden/>
    <w:qFormat/>
    <w:uiPriority w:val="0"/>
    <w:pPr>
      <w:snapToGrid w:val="0"/>
      <w:jc w:val="left"/>
    </w:pPr>
    <w:rPr>
      <w:sz w:val="18"/>
      <w:szCs w:val="1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1"/>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0"/>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2"/>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3"/>
    <w:qFormat/>
    <w:uiPriority w:val="9"/>
    <w:rPr>
      <w:rFonts w:ascii="Times New Roman" w:hAnsi="Times New Roman"/>
      <w:b/>
      <w:bCs/>
      <w:kern w:val="44"/>
      <w:sz w:val="44"/>
      <w:szCs w:val="44"/>
    </w:rPr>
  </w:style>
  <w:style w:type="character" w:customStyle="1" w:styleId="29">
    <w:name w:val="标题 2 Char"/>
    <w:basedOn w:val="16"/>
    <w:link w:val="4"/>
    <w:qFormat/>
    <w:uiPriority w:val="9"/>
    <w:rPr>
      <w:rFonts w:asciiTheme="majorHAnsi" w:hAnsiTheme="majorHAnsi" w:eastAsiaTheme="majorEastAsia" w:cstheme="majorBidi"/>
      <w:b/>
      <w:bCs/>
      <w:kern w:val="2"/>
      <w:sz w:val="32"/>
      <w:szCs w:val="32"/>
    </w:rPr>
  </w:style>
  <w:style w:type="paragraph" w:customStyle="1" w:styleId="30">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9"/>
    <w:semiHidden/>
    <w:qFormat/>
    <w:uiPriority w:val="99"/>
    <w:rPr>
      <w:rFonts w:ascii="Times New Roman" w:hAnsi="Times New Roman"/>
      <w:kern w:val="2"/>
      <w:sz w:val="18"/>
      <w:szCs w:val="18"/>
    </w:rPr>
  </w:style>
  <w:style w:type="character" w:customStyle="1" w:styleId="32">
    <w:name w:val="标题 3 Char"/>
    <w:basedOn w:val="16"/>
    <w:link w:val="5"/>
    <w:qFormat/>
    <w:uiPriority w:val="9"/>
    <w:rPr>
      <w:rFonts w:ascii="Times New Roman" w:hAnsi="Times New Roman"/>
      <w:b/>
      <w:bCs/>
      <w:kern w:val="2"/>
      <w:sz w:val="32"/>
      <w:szCs w:val="32"/>
    </w:rPr>
  </w:style>
  <w:style w:type="paragraph" w:customStyle="1" w:styleId="33">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5">
    <w:name w:val="WPSOffice手动目录 1"/>
    <w:qFormat/>
    <w:uiPriority w:val="0"/>
    <w:pPr>
      <w:ind w:leftChars="0"/>
    </w:pPr>
    <w:rPr>
      <w:rFonts w:ascii="Times New Roman" w:hAnsi="Times New Roman" w:eastAsia="宋体" w:cs="Times New Roman"/>
      <w:sz w:val="20"/>
      <w:szCs w:val="20"/>
    </w:rPr>
  </w:style>
  <w:style w:type="paragraph" w:customStyle="1" w:styleId="36">
    <w:name w:val="WPSOffice手动目录 2"/>
    <w:qFormat/>
    <w:uiPriority w:val="0"/>
    <w:pPr>
      <w:ind w:leftChars="2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chart" Target="charts/chart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chart" Target="charts/chart6.xml"/><Relationship Id="rId13" Type="http://schemas.openxmlformats.org/officeDocument/2006/relationships/chart" Target="charts/chart5.xml"/><Relationship Id="rId12" Type="http://schemas.openxmlformats.org/officeDocument/2006/relationships/chart" Target="charts/chart4.xml"/><Relationship Id="rId11" Type="http://schemas.openxmlformats.org/officeDocument/2006/relationships/chart" Target="charts/chart3.xml"/><Relationship Id="rId10" Type="http://schemas.openxmlformats.org/officeDocument/2006/relationships/chart" Target="charts/chart2.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media/huawei/DATA1/GBC/2026&#21508;&#34920;/2025&#24180;&#20915;&#31639;&#20844;&#24320;/2020&#24180;&#37096;&#38376;&#20915;&#31639;&#25253;&#21578;&#22635;&#25968;&#23383;&#21450;&#30011;&#22270;&#34920;&#29992;&#27169;&#26495;&#27491;&#30830;&#65288;&#20915;&#31639;&#20844;&#24320;&#29992;&#65289;.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media/huawei/DATA1/GBC/2026&#21508;&#34920;/2025&#24180;&#20915;&#31639;&#20844;&#24320;/2020&#24180;&#37096;&#38376;&#20915;&#31639;&#25253;&#21578;&#22635;&#25968;&#23383;&#21450;&#30011;&#22270;&#34920;&#29992;&#27169;&#26495;&#27491;&#30830;&#65288;&#20915;&#31639;&#20844;&#24320;&#29992;&#65289;.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media/huawei/DATA1/GBC/2026&#21508;&#34920;/2025&#24180;&#20915;&#31639;&#20844;&#24320;/2020&#24180;&#37096;&#38376;&#20915;&#31639;&#25253;&#21578;&#22635;&#25968;&#23383;&#21450;&#30011;&#22270;&#34920;&#29992;&#27169;&#26495;&#27491;&#30830;&#65288;&#20915;&#31639;&#20844;&#24320;&#29992;&#65289;.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media/huawei/DATA1/GBC/2026&#21508;&#34920;/2025&#24180;&#20915;&#31639;&#20844;&#24320;/2020&#24180;&#37096;&#38376;&#20915;&#31639;&#25253;&#21578;&#22635;&#25968;&#23383;&#21450;&#30011;&#22270;&#34920;&#29992;&#27169;&#26495;&#27491;&#30830;&#65288;&#20915;&#31639;&#20844;&#24320;&#29992;&#65289;.xls"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media/huawei/DATA1/GBC/2026&#21508;&#34920;/2025&#24180;&#20915;&#31639;&#20844;&#24320;/2020&#24180;&#37096;&#38376;&#20915;&#31639;&#25253;&#21578;&#22635;&#25968;&#23383;&#21450;&#30011;&#22270;&#34920;&#29992;&#27169;&#26495;&#27491;&#30830;&#65288;&#20915;&#31639;&#20844;&#24320;&#29992;&#65289;.xls"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media/huawei/DATA1/GBC/2026&#21508;&#34920;/2025&#24180;&#20915;&#31639;&#20844;&#24320;/2020&#24180;&#37096;&#38376;&#20915;&#31639;&#25253;&#21578;&#22635;&#25968;&#23383;&#21450;&#30011;&#22270;&#34920;&#29992;&#27169;&#26495;&#27491;&#30830;&#65288;&#20915;&#31639;&#20844;&#24320;&#29992;&#65289;.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收、支决算总计变动情况图（单位：万元）</a:t>
            </a:r>
            <a:endParaRPr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'[2020年部门决算报告填数字及画图表用模板正确（决算公开用）.xls]图表'!$A$27:$A$30</c:f>
              <c:strCache>
                <c:ptCount val="4"/>
                <c:pt idx="0">
                  <c:v>2025年决算收入</c:v>
                </c:pt>
                <c:pt idx="1">
                  <c:v>2024年决算收入</c:v>
                </c:pt>
                <c:pt idx="2">
                  <c:v>2025年决算支出</c:v>
                </c:pt>
                <c:pt idx="3">
                  <c:v>2024年决算支出</c:v>
                </c:pt>
              </c:strCache>
            </c:strRef>
          </c:cat>
          <c:val>
            <c:numRef>
              <c:f>'[2020年部门决算报告填数字及画图表用模板正确（决算公开用）.xls]图表'!$B$27:$B$30</c:f>
              <c:numCache>
                <c:formatCode>#,##0.00</c:formatCode>
                <c:ptCount val="4"/>
                <c:pt idx="0">
                  <c:v>1052.09</c:v>
                </c:pt>
                <c:pt idx="1" c:formatCode="General">
                  <c:v>975.6</c:v>
                </c:pt>
                <c:pt idx="2">
                  <c:v>1052.09</c:v>
                </c:pt>
                <c:pt idx="3" c:formatCode="General">
                  <c:v>975.6</c:v>
                </c:pt>
              </c:numCache>
            </c:numRef>
          </c:val>
        </c:ser>
        <c:dLbls>
          <c:showLegendKey val="0"/>
          <c:showVal val="0"/>
          <c:showCatName val="0"/>
          <c:showSerName val="0"/>
          <c:showPercent val="0"/>
          <c:showBubbleSize val="0"/>
        </c:dLbls>
        <c:gapWidth val="219"/>
        <c:overlap val="-27"/>
        <c:axId val="806060057"/>
        <c:axId val="796381286"/>
      </c:barChart>
      <c:catAx>
        <c:axId val="806060057"/>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96381286"/>
        <c:crosses val="autoZero"/>
        <c:auto val="1"/>
        <c:lblAlgn val="ctr"/>
        <c:lblOffset val="100"/>
        <c:noMultiLvlLbl val="0"/>
      </c:catAx>
      <c:valAx>
        <c:axId val="796381286"/>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6060057"/>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sz="1400" b="0" i="0" u="none" strike="noStrike" kern="1200" spc="0" baseline="0">
                <a:solidFill>
                  <a:schemeClr val="tx1">
                    <a:lumMod val="65000"/>
                    <a:lumOff val="35000"/>
                  </a:schemeClr>
                </a:solidFill>
                <a:latin typeface="+mn-lt"/>
                <a:ea typeface="+mn-ea"/>
                <a:cs typeface="+mn-cs"/>
              </a:rPr>
              <a:t>收入决算情况</a:t>
            </a:r>
            <a:endParaRPr lang="zh-CN" sz="1400" b="0" i="0" u="none" strike="noStrike" kern="1200" spc="0" baseline="0">
              <a:solidFill>
                <a:schemeClr val="tx1">
                  <a:lumMod val="65000"/>
                  <a:lumOff val="35000"/>
                </a:schemeClr>
              </a:solidFill>
              <a:latin typeface="+mn-lt"/>
              <a:ea typeface="+mn-ea"/>
              <a:cs typeface="+mn-cs"/>
            </a:endParaRPr>
          </a:p>
        </c:rich>
      </c:tx>
      <c:layout/>
      <c:overlay val="0"/>
      <c:spPr>
        <a:noFill/>
        <a:ln>
          <a:noFill/>
        </a:ln>
        <a:effectLst/>
      </c:spPr>
    </c:title>
    <c:autoTitleDeleted val="0"/>
    <c:plotArea>
      <c:layout>
        <c:manualLayout>
          <c:layoutTarget val="inner"/>
          <c:xMode val="edge"/>
          <c:yMode val="edge"/>
          <c:x val="0.297654941373534"/>
          <c:y val="0.18603515625"/>
          <c:w val="0.399664991624791"/>
          <c:h val="0.58251953125"/>
        </c:manualLayout>
      </c:layout>
      <c:pieChart>
        <c:varyColors val="1"/>
        <c:ser>
          <c:idx val="0"/>
          <c:order val="0"/>
          <c:explosion val="0"/>
          <c:dPt>
            <c:idx val="0"/>
            <c:bubble3D val="0"/>
            <c:explosion val="0"/>
            <c:spPr>
              <a:solidFill>
                <a:schemeClr val="accent1"/>
              </a:solidFill>
              <a:ln w="19050">
                <a:solidFill>
                  <a:schemeClr val="lt1"/>
                </a:solidFill>
              </a:ln>
              <a:effectLst/>
            </c:spPr>
          </c:dPt>
          <c:dPt>
            <c:idx val="1"/>
            <c:bubble3D val="0"/>
            <c:explosion val="0"/>
            <c:spPr>
              <a:solidFill>
                <a:schemeClr val="accent2"/>
              </a:solidFill>
              <a:ln w="19050">
                <a:solidFill>
                  <a:schemeClr val="lt1"/>
                </a:solidFill>
              </a:ln>
              <a:effectLst/>
            </c:spPr>
          </c:dPt>
          <c:dPt>
            <c:idx val="2"/>
            <c:bubble3D val="0"/>
            <c:explosion val="0"/>
            <c:spPr>
              <a:solidFill>
                <a:schemeClr val="accent3"/>
              </a:solidFill>
              <a:ln w="19050">
                <a:solidFill>
                  <a:schemeClr val="lt1"/>
                </a:solidFill>
              </a:ln>
              <a:effectLst/>
            </c:spPr>
          </c:dPt>
          <c:dLbls>
            <c:dLbl>
              <c:idx val="0"/>
              <c:layout>
                <c:manualLayout>
                  <c:x val="0.110552763819095"/>
                  <c:y val="-0.00732421875"/>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14572864321608"/>
                  <c:y val="0.010986328125"/>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130653266331658"/>
                  <c:y val="0.010986328125"/>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extLst>
                <c:ext xmlns:c15="http://schemas.microsoft.com/office/drawing/2012/chart" uri="{CE6537A1-D6FC-4f65-9D91-7224C49458BB}">
                  <c15:layout/>
                </c:ext>
              </c:extLst>
            </c:dLbl>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'[2020年部门决算报告填数字及画图表用模板正确（决算公开用）.xls]图表'!$A$9:$A$11</c:f>
              <c:strCache>
                <c:ptCount val="3"/>
                <c:pt idx="0">
                  <c:v>一般公共预算财政拨款收入</c:v>
                </c:pt>
                <c:pt idx="1">
                  <c:v>政府性基金预算财政拨款收入</c:v>
                </c:pt>
                <c:pt idx="2">
                  <c:v>其他收入</c:v>
                </c:pt>
              </c:strCache>
            </c:strRef>
          </c:cat>
          <c:val>
            <c:numRef>
              <c:f>'[2020年部门决算报告填数字及画图表用模板正确（决算公开用）.xls]图表'!$B$9:$B$11</c:f>
              <c:numCache>
                <c:formatCode>General</c:formatCode>
                <c:ptCount val="3"/>
                <c:pt idx="0">
                  <c:v>1049.33</c:v>
                </c:pt>
                <c:pt idx="1">
                  <c:v>0.96</c:v>
                </c:pt>
                <c:pt idx="2">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sz="1400" b="0" i="0" u="none" strike="noStrike" kern="1200" spc="0" baseline="0">
                <a:solidFill>
                  <a:schemeClr val="tx1">
                    <a:lumMod val="65000"/>
                    <a:lumOff val="35000"/>
                  </a:schemeClr>
                </a:solidFill>
                <a:latin typeface="+mn-lt"/>
                <a:ea typeface="+mn-ea"/>
                <a:cs typeface="+mn-cs"/>
              </a:rPr>
              <a:t>支出决算结构图（单位：万元）</a:t>
            </a:r>
            <a:endParaRPr lang="en-US" altLang="zh-CN" sz="1400" b="0" i="0" u="none" strike="noStrike" kern="1200" spc="0" baseline="0">
              <a:solidFill>
                <a:schemeClr val="tx1">
                  <a:lumMod val="65000"/>
                  <a:lumOff val="35000"/>
                </a:schemeClr>
              </a:solidFill>
              <a:latin typeface="+mn-lt"/>
              <a:ea typeface="+mn-ea"/>
              <a:cs typeface="+mn-cs"/>
            </a:endParaRPr>
          </a:p>
        </c:rich>
      </c:tx>
      <c:layout>
        <c:manualLayout>
          <c:xMode val="edge"/>
          <c:yMode val="edge"/>
          <c:x val="0.238772338772339"/>
          <c:y val="0.035275672850797"/>
        </c:manualLayout>
      </c:layout>
      <c:overlay val="0"/>
      <c:spPr>
        <a:noFill/>
        <a:ln>
          <a:noFill/>
        </a:ln>
        <a:effectLst/>
      </c:spPr>
    </c:title>
    <c:autoTitleDeleted val="0"/>
    <c:plotArea>
      <c:layout/>
      <c:pieChart>
        <c:varyColors val="1"/>
        <c:ser>
          <c:idx val="0"/>
          <c:order val="0"/>
          <c:explosion val="0"/>
          <c:dPt>
            <c:idx val="0"/>
            <c:bubble3D val="0"/>
            <c:explosion val="0"/>
            <c:spPr>
              <a:solidFill>
                <a:schemeClr val="accent1"/>
              </a:solidFill>
              <a:ln w="19050">
                <a:solidFill>
                  <a:schemeClr val="lt1"/>
                </a:solidFill>
              </a:ln>
              <a:effectLst/>
            </c:spPr>
          </c:dPt>
          <c:dPt>
            <c:idx val="1"/>
            <c:bubble3D val="0"/>
            <c:explosion val="0"/>
            <c:spPr>
              <a:solidFill>
                <a:schemeClr val="accent2"/>
              </a:solidFill>
              <a:ln w="19050">
                <a:solidFill>
                  <a:schemeClr val="lt1"/>
                </a:solidFill>
              </a:ln>
              <a:effectLst/>
            </c:spPr>
          </c:dPt>
          <c:dLbls>
            <c:dLbl>
              <c:idx val="0"/>
              <c:layout>
                <c:manualLayout>
                  <c:x val="0.140140383909359"/>
                  <c:y val="-0.0944921583028635"/>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107506358389267"/>
                  <c:y val="0.0921580493991744"/>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0"/>
              <c:showBubbleSize val="0"/>
              <c:extLst>
                <c:ext xmlns:c15="http://schemas.microsoft.com/office/drawing/2012/chart" uri="{CE6537A1-D6FC-4f65-9D91-7224C49458BB}">
                  <c15:layout/>
                </c:ext>
              </c:extLst>
            </c:dLbl>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inEnd"/>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rgbClr val="000000">
                          <a:alpha val="100000"/>
                        </a:srgbClr>
                      </a:solidFill>
                      <a:prstDash val="solid"/>
                      <a:round/>
                    </a:ln>
                  </c:spPr>
                </c15:leaderLines>
              </c:ext>
            </c:extLst>
          </c:dLbls>
          <c:cat>
            <c:strRef>
              <c:f>'[2020年部门决算报告填数字及画图表用模板正确（决算公开用）.xls]图表'!$A$48:$A$49</c:f>
              <c:strCache>
                <c:ptCount val="2"/>
                <c:pt idx="0">
                  <c:v>基本支出</c:v>
                </c:pt>
                <c:pt idx="1">
                  <c:v>项目支出</c:v>
                </c:pt>
              </c:strCache>
            </c:strRef>
          </c:cat>
          <c:val>
            <c:numRef>
              <c:f>'[2020年部门决算报告填数字及画图表用模板正确（决算公开用）.xls]图表'!$B$48:$B$49</c:f>
              <c:numCache>
                <c:formatCode>General</c:formatCode>
                <c:ptCount val="2"/>
                <c:pt idx="0">
                  <c:v>863.27</c:v>
                </c:pt>
                <c:pt idx="1">
                  <c:v>188.81</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manualLayout>
          <c:xMode val="edge"/>
          <c:yMode val="edge"/>
          <c:x val="0.360994560994561"/>
          <c:y val="0.162685441287403"/>
          <c:w val="0.305982905982906"/>
          <c:h val="0.0837314558712597"/>
        </c:manualLayout>
      </c:layout>
      <c:overlay val="0"/>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sz="1200"/>
              <a:t>财政拨款收、支决算总计变动情况（单位：万元）</a:t>
            </a:r>
            <a:endParaRPr sz="12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manualLayout>
          <c:xMode val="edge"/>
          <c:yMode val="edge"/>
          <c:x val="0.159731727347386"/>
          <c:y val="0.0388154111558367"/>
        </c:manualLayout>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'[2020年部门决算报告填数字及画图表用模板正确（决算公开用）.xls]图表'!$A$3:$A$6</c:f>
              <c:strCache>
                <c:ptCount val="4"/>
                <c:pt idx="0">
                  <c:v>2024年一般公共预算财政拨款收入</c:v>
                </c:pt>
                <c:pt idx="1">
                  <c:v>2025年一般公共预算财政拨款收入</c:v>
                </c:pt>
                <c:pt idx="2">
                  <c:v>2024年一般公共预算财政拨款支出</c:v>
                </c:pt>
                <c:pt idx="3">
                  <c:v>2025年一般公共预算财政拨款支出</c:v>
                </c:pt>
              </c:strCache>
            </c:strRef>
          </c:cat>
          <c:val>
            <c:numRef>
              <c:f>'[2020年部门决算报告填数字及画图表用模板正确（决算公开用）.xls]图表'!$B$3:$B$6</c:f>
              <c:numCache>
                <c:formatCode>General</c:formatCode>
                <c:ptCount val="4"/>
                <c:pt idx="0">
                  <c:v>975.6</c:v>
                </c:pt>
                <c:pt idx="1" c:formatCode="#,##0.00">
                  <c:v>1052.09</c:v>
                </c:pt>
                <c:pt idx="2">
                  <c:v>975.6</c:v>
                </c:pt>
                <c:pt idx="3" c:formatCode="#,##0.00">
                  <c:v>1052.09</c:v>
                </c:pt>
              </c:numCache>
            </c:numRef>
          </c:val>
        </c:ser>
        <c:dLbls>
          <c:showLegendKey val="0"/>
          <c:showVal val="0"/>
          <c:showCatName val="0"/>
          <c:showSerName val="0"/>
          <c:showPercent val="0"/>
          <c:showBubbleSize val="0"/>
        </c:dLbls>
        <c:gapWidth val="150"/>
        <c:overlap val="0"/>
        <c:axId val="891116839"/>
        <c:axId val="679754368"/>
      </c:barChart>
      <c:catAx>
        <c:axId val="891116839"/>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79754368"/>
        <c:crosses val="autoZero"/>
        <c:auto val="1"/>
        <c:lblAlgn val="ctr"/>
        <c:lblOffset val="100"/>
        <c:noMultiLvlLbl val="0"/>
      </c:catAx>
      <c:valAx>
        <c:axId val="679754368"/>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91116839"/>
        <c:crosses val="autoZero"/>
        <c:crossBetween val="between"/>
      </c:valAx>
      <c:dTable>
        <c:showHorzBorder val="1"/>
        <c:showVertBorder val="1"/>
        <c:showOutline val="1"/>
        <c:showKeys val="1"/>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一般公共预算财政拨款支出决算变动情况（单位：万元）</a:t>
            </a:r>
            <a:endParaRPr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manualLayout>
          <c:xMode val="edge"/>
          <c:yMode val="edge"/>
          <c:x val="0.0922500213932261"/>
          <c:y val="0.0466497031382528"/>
        </c:manualLayout>
      </c:layout>
      <c:overlay val="0"/>
      <c:spPr>
        <a:noFill/>
        <a:ln>
          <a:noFill/>
        </a:ln>
        <a:effectLst/>
      </c:spPr>
    </c:title>
    <c:autoTitleDeleted val="0"/>
    <c:plotArea>
      <c:layout>
        <c:manualLayout>
          <c:layoutTarget val="inner"/>
          <c:xMode val="edge"/>
          <c:yMode val="edge"/>
          <c:x val="0.0743569039104856"/>
          <c:y val="0.215436810856658"/>
          <c:w val="0.901995616564771"/>
          <c:h val="0.647837150127227"/>
        </c:manualLayout>
      </c:layout>
      <c:barChart>
        <c:barDir val="col"/>
        <c:grouping val="clustered"/>
        <c:varyColors val="0"/>
        <c:ser>
          <c:idx val="0"/>
          <c:order val="0"/>
          <c:spPr>
            <a:solidFill>
              <a:schemeClr val="accent1"/>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'[2020年部门决算报告填数字及画图表用模板正确（决算公开用）.xls]图表'!$A$52:$A$53</c:f>
              <c:strCache>
                <c:ptCount val="2"/>
                <c:pt idx="0">
                  <c:v>2024年</c:v>
                </c:pt>
                <c:pt idx="1">
                  <c:v>2025年</c:v>
                </c:pt>
              </c:strCache>
            </c:strRef>
          </c:cat>
          <c:val>
            <c:numRef>
              <c:f>'[2020年部门决算报告填数字及画图表用模板正确（决算公开用）.xls]图表'!$B$52:$B$53</c:f>
              <c:numCache>
                <c:formatCode>General</c:formatCode>
                <c:ptCount val="2"/>
                <c:pt idx="0">
                  <c:v>972.32</c:v>
                </c:pt>
                <c:pt idx="1" c:formatCode="#,##0.00">
                  <c:v>1049.33</c:v>
                </c:pt>
              </c:numCache>
            </c:numRef>
          </c:val>
        </c:ser>
        <c:dLbls>
          <c:showLegendKey val="0"/>
          <c:showVal val="0"/>
          <c:showCatName val="0"/>
          <c:showSerName val="0"/>
          <c:showPercent val="0"/>
          <c:showBubbleSize val="0"/>
        </c:dLbls>
        <c:gapWidth val="219"/>
        <c:overlap val="-27"/>
        <c:axId val="90978924"/>
        <c:axId val="835157781"/>
      </c:barChart>
      <c:catAx>
        <c:axId val="90978924"/>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35157781"/>
        <c:crosses val="autoZero"/>
        <c:auto val="1"/>
        <c:lblAlgn val="ctr"/>
        <c:lblOffset val="100"/>
        <c:noMultiLvlLbl val="0"/>
      </c:catAx>
      <c:valAx>
        <c:axId val="835157781"/>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097892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一般公共预算财政拨款支出决算结构</a:t>
            </a:r>
            <a:endParaRPr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manualLayout>
          <c:xMode val="edge"/>
          <c:yMode val="edge"/>
          <c:x val="0.231382113821138"/>
          <c:y val="0.0272302904564315"/>
        </c:manualLayout>
      </c:layout>
      <c:overlay val="0"/>
      <c:spPr>
        <a:noFill/>
        <a:ln>
          <a:noFill/>
        </a:ln>
        <a:effectLst/>
      </c:spPr>
    </c:title>
    <c:autoTitleDeleted val="0"/>
    <c:plotArea>
      <c:layout/>
      <c:pieChart>
        <c:varyColors val="1"/>
        <c:ser>
          <c:idx val="0"/>
          <c:order val="0"/>
          <c:explosion val="0"/>
          <c:dPt>
            <c:idx val="0"/>
            <c:bubble3D val="0"/>
            <c:explosion val="0"/>
            <c:spPr>
              <a:solidFill>
                <a:schemeClr val="accent1"/>
              </a:solidFill>
              <a:ln w="19050">
                <a:solidFill>
                  <a:schemeClr val="lt1"/>
                </a:solidFill>
              </a:ln>
              <a:effectLst/>
            </c:spPr>
          </c:dPt>
          <c:dPt>
            <c:idx val="1"/>
            <c:bubble3D val="0"/>
            <c:explosion val="0"/>
            <c:spPr>
              <a:solidFill>
                <a:schemeClr val="accent2"/>
              </a:solidFill>
              <a:ln w="19050">
                <a:solidFill>
                  <a:schemeClr val="lt1"/>
                </a:solidFill>
              </a:ln>
              <a:effectLst/>
            </c:spPr>
          </c:dPt>
          <c:dPt>
            <c:idx val="2"/>
            <c:bubble3D val="0"/>
            <c:explosion val="0"/>
            <c:spPr>
              <a:solidFill>
                <a:schemeClr val="accent3"/>
              </a:solidFill>
              <a:ln w="19050">
                <a:solidFill>
                  <a:schemeClr val="lt1"/>
                </a:solidFill>
              </a:ln>
              <a:effectLst/>
            </c:spPr>
          </c:dPt>
          <c:dPt>
            <c:idx val="3"/>
            <c:bubble3D val="0"/>
            <c:explosion val="0"/>
            <c:spPr>
              <a:solidFill>
                <a:schemeClr val="accent4"/>
              </a:solidFill>
              <a:ln w="19050">
                <a:solidFill>
                  <a:schemeClr val="lt1"/>
                </a:solidFill>
              </a:ln>
              <a:effectLst/>
            </c:spPr>
          </c:dPt>
          <c:dPt>
            <c:idx val="4"/>
            <c:bubble3D val="0"/>
            <c:explosion val="0"/>
            <c:spPr>
              <a:solidFill>
                <a:schemeClr val="accent5"/>
              </a:solidFill>
              <a:ln w="19050">
                <a:solidFill>
                  <a:schemeClr val="lt1"/>
                </a:solidFill>
              </a:ln>
              <a:effectLst/>
            </c:spPr>
          </c:dPt>
          <c:dPt>
            <c:idx val="5"/>
            <c:bubble3D val="0"/>
            <c:explosion val="0"/>
            <c:spPr>
              <a:solidFill>
                <a:schemeClr val="accent6"/>
              </a:solidFill>
              <a:ln w="19050">
                <a:solidFill>
                  <a:schemeClr val="lt1"/>
                </a:solidFill>
              </a:ln>
              <a:effectLst/>
            </c:spPr>
          </c:dPt>
          <c:dLbls>
            <c:dLbl>
              <c:idx val="0"/>
              <c:layout>
                <c:manualLayout>
                  <c:x val="0.149271385418258"/>
                  <c:y val="0.0375571768697176"/>
                </c:manualLayout>
              </c:layout>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0"/>
              <c:showSerName val="0"/>
              <c:showPercent val="1"/>
              <c:showBubbleSize val="0"/>
              <c:extLst>
                <c:ext xmlns:c15="http://schemas.microsoft.com/office/drawing/2012/chart" uri="{CE6537A1-D6FC-4f65-9D91-7224C49458BB}">
                  <c15:layout/>
                </c:ext>
              </c:extLst>
            </c:dLbl>
            <c:dLbl>
              <c:idx val="1"/>
              <c:layout>
                <c:manualLayout>
                  <c:x val="-0.0141887829229995"/>
                  <c:y val="-0.00998564794263398"/>
                </c:manualLayout>
              </c:layout>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0"/>
              <c:showSerName val="0"/>
              <c:showPercent val="1"/>
              <c:showBubbleSize val="0"/>
              <c:extLst>
                <c:ext xmlns:c15="http://schemas.microsoft.com/office/drawing/2012/chart" uri="{CE6537A1-D6FC-4f65-9D91-7224C49458BB}">
                  <c15:layout/>
                </c:ext>
              </c:extLst>
            </c:dLbl>
            <c:dLbl>
              <c:idx val="2"/>
              <c:layout>
                <c:manualLayout>
                  <c:x val="0.00170539308436473"/>
                  <c:y val="-0.0386484238680576"/>
                </c:manualLayout>
              </c:layout>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0"/>
              <c:showSerName val="0"/>
              <c:showPercent val="1"/>
              <c:showBubbleSize val="0"/>
              <c:extLst>
                <c:ext xmlns:c15="http://schemas.microsoft.com/office/drawing/2012/chart" uri="{CE6537A1-D6FC-4f65-9D91-7224C49458BB}">
                  <c15:layout/>
                </c:ext>
              </c:extLst>
            </c:dLbl>
            <c:dLbl>
              <c:idx val="3"/>
              <c:layout>
                <c:manualLayout>
                  <c:x val="-0.0268292682926829"/>
                  <c:y val="-0.0180205887781993"/>
                </c:manualLayout>
              </c:layout>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0"/>
              <c:showSerName val="0"/>
              <c:showPercent val="1"/>
              <c:showBubbleSize val="0"/>
              <c:extLst>
                <c:ext xmlns:c15="http://schemas.microsoft.com/office/drawing/2012/chart" uri="{CE6537A1-D6FC-4f65-9D91-7224C49458BB}">
                  <c15:layout/>
                </c:ext>
              </c:extLst>
            </c:dLbl>
            <c:dLbl>
              <c:idx val="4"/>
              <c:layout>
                <c:manualLayout>
                  <c:x val="-0.035388652162766"/>
                  <c:y val="-0.0429485556245119"/>
                </c:manualLayout>
              </c:layout>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0"/>
              <c:showSerName val="0"/>
              <c:showPercent val="1"/>
              <c:showBubbleSize val="0"/>
              <c:extLst>
                <c:ext xmlns:c15="http://schemas.microsoft.com/office/drawing/2012/chart" uri="{CE6537A1-D6FC-4f65-9D91-7224C49458BB}">
                  <c15:layout/>
                </c:ext>
              </c:extLst>
            </c:dLbl>
            <c:dLbl>
              <c:idx val="5"/>
              <c:layout>
                <c:manualLayout>
                  <c:x val="-0.00045789042163123"/>
                  <c:y val="-0.00868274579200497"/>
                </c:manualLayout>
              </c:layout>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0"/>
              <c:showSerName val="0"/>
              <c:showPercent val="1"/>
              <c:showBubbleSize val="0"/>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'[2020年部门决算报告填数字及画图表用模板正确（决算公开用）.xls]图表'!$A$19:$A$24</c:f>
              <c:strCache>
                <c:ptCount val="6"/>
                <c:pt idx="0">
                  <c:v>一般公共服务支出</c:v>
                </c:pt>
                <c:pt idx="1">
                  <c:v>教育支出</c:v>
                </c:pt>
                <c:pt idx="2">
                  <c:v>社会保障和就业支出</c:v>
                </c:pt>
                <c:pt idx="3">
                  <c:v>卫生健康支出</c:v>
                </c:pt>
                <c:pt idx="4">
                  <c:v>住房保障支出</c:v>
                </c:pt>
                <c:pt idx="5">
                  <c:v>其他支出</c:v>
                </c:pt>
              </c:strCache>
            </c:strRef>
          </c:cat>
          <c:val>
            <c:numRef>
              <c:f>'[2020年部门决算报告填数字及画图表用模板正确（决算公开用）.xls]图表'!$B$19:$B$24</c:f>
              <c:numCache>
                <c:formatCode>General</c:formatCode>
                <c:ptCount val="6"/>
                <c:pt idx="0">
                  <c:v>0</c:v>
                </c:pt>
                <c:pt idx="1">
                  <c:v>829.33</c:v>
                </c:pt>
                <c:pt idx="2">
                  <c:v>112.94</c:v>
                </c:pt>
                <c:pt idx="3">
                  <c:v>43.65</c:v>
                </c:pt>
                <c:pt idx="4">
                  <c:v>63.4</c:v>
                </c:pt>
                <c:pt idx="5">
                  <c:v>0.96</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68</Pages>
  <Words>1299</Words>
  <Characters>7410</Characters>
  <Lines>61</Lines>
  <Paragraphs>17</Paragraphs>
  <TotalTime>0</TotalTime>
  <ScaleCrop>false</ScaleCrop>
  <LinksUpToDate>false</LinksUpToDate>
  <CharactersWithSpaces>8692</CharactersWithSpaces>
  <Application>WPS Office_11.8.2.1132_F1E327BC-269C-435d-A152-05C5408002CA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2020-08-10T01:49:00Z</dcterms:created>
  <dc:creator>曹颖</dc:creator>
  <cp:lastModifiedBy>user</cp:lastModifiedBy>
  <cp:lastPrinted>2026-08-04T17:27:00Z</cp:lastPrinted>
  <dcterms:modified xsi:type="dcterms:W3CDTF">2026-10-29T20:31:43Z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2052-11.8.2.1132</vt:lpwstr>
  </property>
  <property fmtid="{D5CDD505-2E9C-101B-9397-08002B2CF9AE}" pid="3" name="ICV">
    <vt:lpwstr>9C20405CF3C44461A8C3AE6B975882EC_13</vt:lpwstr>
  </property>
</Properties>
</file>