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597"/>
      <w:bookmarkStart w:id="2" w:name="_Toc15378441"/>
      <w:bookmarkStart w:id="3" w:name="_Toc15396475"/>
      <w:bookmarkStart w:id="4" w:name="_Toc15306267"/>
      <w:bookmarkStart w:id="5" w:name="_Toc15377425"/>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p>
    <w:p>
      <w:pPr>
        <w:pStyle w:val="2"/>
        <w:jc w:val="center"/>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方正小标宋简体" w:hAnsi="宋体" w:eastAsia="方正小标宋简体" w:cs="Times New Roman"/>
          <w:color w:val="auto"/>
          <w:kern w:val="2"/>
          <w:sz w:val="44"/>
          <w:szCs w:val="44"/>
          <w:highlight w:val="none"/>
          <w:lang w:val="en-US" w:eastAsia="zh-CN" w:bidi="ar-SA"/>
        </w:rPr>
        <w:t>中壤塘镇中心校</w:t>
      </w:r>
      <w:r>
        <w:rPr>
          <w:rFonts w:hint="eastAsia" w:ascii="Times New Roman" w:hAnsi="Times New Roman" w:eastAsia="方正小标宋简体" w:cs="Times New Roman"/>
          <w:color w:val="auto"/>
          <w:kern w:val="2"/>
          <w:sz w:val="44"/>
          <w:szCs w:val="44"/>
          <w:highlight w:val="none"/>
          <w:lang w:val="en-US" w:eastAsia="zh-CN" w:bidi="ar-SA"/>
        </w:rPr>
        <w:t>部门决算</w:t>
      </w:r>
    </w:p>
    <w:bookmarkEnd w:id="0"/>
    <w:bookmarkEnd w:id="1"/>
    <w:bookmarkEnd w:id="2"/>
    <w:bookmarkEnd w:id="3"/>
    <w:bookmarkEnd w:id="4"/>
    <w:bookmarkEnd w:id="5"/>
    <w:p>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pPr>
        <w:pStyle w:val="12"/>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28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581809567"/>
        <w15:color w:val="DBDBDB"/>
        <w:docPartObj>
          <w:docPartGallery w:val="Table of Contents"/>
          <w:docPartUnique/>
        </w:docPartObj>
      </w:sdtPr>
      <w:sdtEndPr>
        <w:rPr>
          <w:rFonts w:ascii="仿宋" w:hAnsi="仿宋" w:eastAsia="仿宋" w:cs="Times New Roman"/>
          <w:color w:val="auto"/>
          <w:kern w:val="2"/>
          <w:sz w:val="20"/>
          <w:szCs w:val="20"/>
          <w:highlight w:val="none"/>
          <w:lang w:val="en-US" w:eastAsia="zh-CN" w:bidi="ar-SA"/>
        </w:rPr>
      </w:sdtEndPr>
      <w:sdtContent>
        <w:p>
          <w:pPr>
            <w:pStyle w:val="12"/>
          </w:pPr>
        </w:p>
        <w:p>
          <w:pPr>
            <w:pStyle w:val="12"/>
            <w:tabs>
              <w:tab w:val="right" w:leader="dot" w:pos="8306"/>
              <w:tab w:val="clear" w:pos="8296"/>
            </w:tabs>
          </w:pPr>
          <w:r>
            <w:rPr>
              <w:rFonts w:ascii="仿宋" w:hAnsi="仿宋" w:eastAsia="仿宋"/>
              <w:b/>
              <w:color w:val="auto"/>
              <w:highlight w:val="none"/>
            </w:rPr>
            <w:fldChar w:fldCharType="begin"/>
          </w:r>
          <w:r>
            <w:rPr>
              <w:rFonts w:ascii="仿宋" w:hAnsi="仿宋" w:eastAsia="仿宋"/>
              <w:b/>
              <w:color w:val="auto"/>
              <w:highlight w:val="none"/>
            </w:rPr>
            <w:instrText xml:space="preserve">TOC \o "1-3" \h \u </w:instrText>
          </w:r>
          <w:r>
            <w:rPr>
              <w:rFonts w:ascii="仿宋" w:hAnsi="仿宋" w:eastAsia="仿宋"/>
              <w:b/>
              <w:color w:val="auto"/>
              <w:highlight w:val="none"/>
            </w:rPr>
            <w:fldChar w:fldCharType="separate"/>
          </w:r>
          <w:r>
            <w:rPr>
              <w:rFonts w:ascii="仿宋" w:hAnsi="仿宋" w:eastAsia="仿宋"/>
              <w:color w:val="auto"/>
              <w:highlight w:val="none"/>
            </w:rPr>
            <w:fldChar w:fldCharType="begin"/>
          </w:r>
          <w:r>
            <w:rPr>
              <w:rFonts w:ascii="仿宋" w:hAnsi="仿宋" w:eastAsia="仿宋"/>
              <w:highlight w:val="none"/>
            </w:rPr>
            <w:instrText xml:space="preserve"> HYPERLINK \l _Toc1588310639 </w:instrText>
          </w:r>
          <w:r>
            <w:rPr>
              <w:rFonts w:ascii="仿宋" w:hAnsi="仿宋" w:eastAsia="仿宋"/>
              <w:highlight w:val="none"/>
            </w:rPr>
            <w:fldChar w:fldCharType="separate"/>
          </w:r>
          <w:r>
            <w:rPr>
              <w:rFonts w:hint="eastAsia"/>
            </w:rPr>
            <w:t>第一部分 部门概况</w:t>
          </w:r>
          <w:r>
            <w:tab/>
          </w:r>
          <w:r>
            <w:fldChar w:fldCharType="begin"/>
          </w:r>
          <w:r>
            <w:instrText xml:space="preserve"> PAGEREF _Toc1588310639 \h </w:instrText>
          </w:r>
          <w:r>
            <w:fldChar w:fldCharType="separate"/>
          </w:r>
          <w:r>
            <w:t>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_Toc368868060 </w:instrText>
          </w:r>
          <w:r>
            <w:rPr>
              <w:rFonts w:ascii="仿宋" w:hAnsi="仿宋" w:eastAsia="仿宋"/>
              <w:highlight w:val="none"/>
            </w:rPr>
            <w:fldChar w:fldCharType="separate"/>
          </w:r>
          <w:r>
            <w:rPr>
              <w:rFonts w:hint="eastAsia"/>
            </w:rPr>
            <w:t>一、</w:t>
          </w:r>
          <w:r>
            <w:rPr>
              <w:rFonts w:hint="eastAsia"/>
              <w:lang w:eastAsia="zh-CN"/>
            </w:rPr>
            <w:t>部门职责</w:t>
          </w:r>
          <w:r>
            <w:tab/>
          </w:r>
          <w:r>
            <w:fldChar w:fldCharType="begin"/>
          </w:r>
          <w:r>
            <w:instrText xml:space="preserve"> PAGEREF _Toc368868060 \h </w:instrText>
          </w:r>
          <w:r>
            <w:fldChar w:fldCharType="separate"/>
          </w:r>
          <w:r>
            <w:t>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_Toc1241541680 </w:instrText>
          </w:r>
          <w:r>
            <w:rPr>
              <w:rFonts w:ascii="仿宋" w:hAnsi="仿宋" w:eastAsia="仿宋"/>
              <w:highlight w:val="none"/>
            </w:rPr>
            <w:fldChar w:fldCharType="separate"/>
          </w:r>
          <w:r>
            <w:rPr>
              <w:rFonts w:hint="eastAsia"/>
            </w:rPr>
            <w:t>二、机构设置</w:t>
          </w:r>
          <w:r>
            <w:tab/>
          </w:r>
          <w:r>
            <w:fldChar w:fldCharType="begin"/>
          </w:r>
          <w:r>
            <w:instrText xml:space="preserve"> PAGEREF _Toc1241541680 \h </w:instrText>
          </w:r>
          <w:r>
            <w:fldChar w:fldCharType="separate"/>
          </w:r>
          <w:r>
            <w:t>11</w:t>
          </w:r>
          <w:r>
            <w:fldChar w:fldCharType="end"/>
          </w:r>
          <w:r>
            <w:rPr>
              <w:rFonts w:ascii="仿宋" w:hAnsi="仿宋" w:eastAsia="仿宋"/>
              <w:color w:val="auto"/>
              <w:highlight w:val="none"/>
            </w:rPr>
            <w:fldChar w:fldCharType="end"/>
          </w:r>
        </w:p>
        <w:p>
          <w:pPr>
            <w:pStyle w:val="12"/>
            <w:tabs>
              <w:tab w:val="right" w:leader="dot" w:pos="8306"/>
              <w:tab w:val="clear" w:pos="8296"/>
            </w:tabs>
            <w:jc w:val="both"/>
          </w:pPr>
          <w:r>
            <w:rPr>
              <w:rFonts w:ascii="仿宋" w:hAnsi="仿宋" w:eastAsia="仿宋"/>
              <w:color w:val="auto"/>
              <w:highlight w:val="none"/>
            </w:rPr>
            <w:fldChar w:fldCharType="begin"/>
          </w:r>
          <w:r>
            <w:rPr>
              <w:rFonts w:ascii="仿宋" w:hAnsi="仿宋" w:eastAsia="仿宋"/>
              <w:highlight w:val="none"/>
            </w:rPr>
            <w:instrText xml:space="preserve"> HYPERLINK \l _Toc652914729 </w:instrText>
          </w:r>
          <w:r>
            <w:rPr>
              <w:rFonts w:ascii="仿宋" w:hAnsi="仿宋" w:eastAsia="仿宋"/>
              <w:highlight w:val="none"/>
            </w:rPr>
            <w:fldChar w:fldCharType="separate"/>
          </w:r>
          <w:r>
            <w:rPr>
              <w:rFonts w:hint="eastAsia"/>
            </w:rPr>
            <w:t>第二部分</w:t>
          </w:r>
          <w:r>
            <w:rPr>
              <w:rFonts w:hint="eastAsia"/>
              <w:lang w:val="en-US" w:eastAsia="zh-CN"/>
            </w:rPr>
            <w:t xml:space="preserve"> 2025年度</w:t>
          </w:r>
          <w:r>
            <w:rPr>
              <w:rFonts w:hint="eastAsia"/>
            </w:rPr>
            <w:t>部门决算情况说明</w:t>
          </w:r>
          <w:r>
            <w:tab/>
          </w:r>
          <w:r>
            <w:fldChar w:fldCharType="begin"/>
          </w:r>
          <w:r>
            <w:instrText xml:space="preserve"> PAGEREF _Toc652914729 \h </w:instrText>
          </w:r>
          <w:r>
            <w:fldChar w:fldCharType="separate"/>
          </w:r>
          <w:r>
            <w:t>11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_Toc1566787375 </w:instrText>
          </w:r>
          <w:r>
            <w:rPr>
              <w:rFonts w:ascii="仿宋" w:hAnsi="仿宋" w:eastAsia="仿宋"/>
              <w:highlight w:val="none"/>
            </w:rPr>
            <w:fldChar w:fldCharType="separate"/>
          </w:r>
          <w:r>
            <w:rPr>
              <w:rFonts w:hint="eastAsia"/>
            </w:rPr>
            <w:t>一、收入支出决算总体情况说明</w:t>
          </w:r>
          <w:r>
            <w:tab/>
          </w:r>
          <w:r>
            <w:fldChar w:fldCharType="begin"/>
          </w:r>
          <w:r>
            <w:instrText xml:space="preserve"> PAGEREF _Toc1566787375 \h </w:instrText>
          </w:r>
          <w:r>
            <w:fldChar w:fldCharType="separate"/>
          </w:r>
          <w:r>
            <w:t>11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_Toc848999475 </w:instrText>
          </w:r>
          <w:r>
            <w:rPr>
              <w:rFonts w:ascii="仿宋" w:hAnsi="仿宋" w:eastAsia="仿宋"/>
              <w:highlight w:val="none"/>
            </w:rPr>
            <w:fldChar w:fldCharType="separate"/>
          </w:r>
          <w:r>
            <w:rPr>
              <w:rFonts w:hint="eastAsia"/>
            </w:rPr>
            <w:t>二、收入决算情况说明</w:t>
          </w:r>
          <w:r>
            <w:tab/>
          </w:r>
          <w:r>
            <w:fldChar w:fldCharType="begin"/>
          </w:r>
          <w:r>
            <w:instrText xml:space="preserve"> PAGEREF _Toc848999475 \h </w:instrText>
          </w:r>
          <w:r>
            <w:fldChar w:fldCharType="separate"/>
          </w:r>
          <w:r>
            <w:t>12</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_Toc1410679273 </w:instrText>
          </w:r>
          <w:r>
            <w:rPr>
              <w:rFonts w:ascii="仿宋" w:hAnsi="仿宋" w:eastAsia="仿宋"/>
              <w:highlight w:val="none"/>
            </w:rPr>
            <w:fldChar w:fldCharType="separate"/>
          </w:r>
          <w:r>
            <w:rPr>
              <w:rFonts w:hint="eastAsia"/>
            </w:rPr>
            <w:t>三、支出决算情况说明</w:t>
          </w:r>
          <w:r>
            <w:tab/>
          </w:r>
          <w:r>
            <w:fldChar w:fldCharType="begin"/>
          </w:r>
          <w:r>
            <w:instrText xml:space="preserve"> PAGEREF _Toc1410679273 \h </w:instrText>
          </w:r>
          <w:r>
            <w:fldChar w:fldCharType="separate"/>
          </w:r>
          <w:r>
            <w:t>13</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_Toc800692951 </w:instrText>
          </w:r>
          <w:r>
            <w:rPr>
              <w:rFonts w:ascii="仿宋" w:hAnsi="仿宋" w:eastAsia="仿宋"/>
              <w:highlight w:val="none"/>
            </w:rPr>
            <w:fldChar w:fldCharType="separate"/>
          </w:r>
          <w:r>
            <w:rPr>
              <w:rFonts w:hint="eastAsia"/>
            </w:rPr>
            <w:t>四、财政拨款收入支出决算总体情况说明</w:t>
          </w:r>
          <w:r>
            <w:tab/>
          </w:r>
          <w:r>
            <w:fldChar w:fldCharType="begin"/>
          </w:r>
          <w:r>
            <w:instrText xml:space="preserve"> PAGEREF _Toc800692951 \h </w:instrText>
          </w:r>
          <w:r>
            <w:fldChar w:fldCharType="separate"/>
          </w:r>
          <w:r>
            <w:t>13</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_Toc75932187 </w:instrText>
          </w:r>
          <w:r>
            <w:rPr>
              <w:rFonts w:ascii="仿宋" w:hAnsi="仿宋" w:eastAsia="仿宋"/>
              <w:highlight w:val="none"/>
            </w:rPr>
            <w:fldChar w:fldCharType="separate"/>
          </w:r>
          <w:r>
            <w:rPr>
              <w:rFonts w:hint="eastAsia"/>
            </w:rPr>
            <w:t>五、一般公共预算财政拨款支出决算情况说明</w:t>
          </w:r>
          <w:r>
            <w:tab/>
          </w:r>
          <w:r>
            <w:fldChar w:fldCharType="begin"/>
          </w:r>
          <w:r>
            <w:instrText xml:space="preserve"> PAGEREF _Toc75932187 \h </w:instrText>
          </w:r>
          <w:r>
            <w:fldChar w:fldCharType="separate"/>
          </w:r>
          <w:r>
            <w:t>14</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_Toc145695876 </w:instrText>
          </w:r>
          <w:r>
            <w:rPr>
              <w:rFonts w:ascii="仿宋" w:hAnsi="仿宋" w:eastAsia="仿宋"/>
              <w:highlight w:val="none"/>
            </w:rPr>
            <w:fldChar w:fldCharType="separate"/>
          </w:r>
          <w:r>
            <w:rPr>
              <w:rFonts w:hint="eastAsia"/>
            </w:rPr>
            <w:t>六、一般公共预算财政拨款基本支出决算情况说明</w:t>
          </w:r>
          <w:r>
            <w:tab/>
          </w:r>
          <w:r>
            <w:fldChar w:fldCharType="begin"/>
          </w:r>
          <w:r>
            <w:instrText xml:space="preserve"> PAGEREF _Toc145695876 \h </w:instrText>
          </w:r>
          <w:r>
            <w:fldChar w:fldCharType="separate"/>
          </w:r>
          <w:r>
            <w:t>17</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_Toc1509353687 </w:instrText>
          </w:r>
          <w:r>
            <w:rPr>
              <w:rFonts w:ascii="仿宋" w:hAnsi="仿宋" w:eastAsia="仿宋"/>
              <w:highlight w:val="none"/>
            </w:rPr>
            <w:fldChar w:fldCharType="separate"/>
          </w:r>
          <w:r>
            <w:rPr>
              <w:rFonts w:hint="eastAsia"/>
            </w:rPr>
            <w:t>七、财政拨款</w:t>
          </w:r>
          <w:r>
            <w:rPr>
              <w:rFonts w:hint="eastAsia"/>
              <w:lang w:eastAsia="zh-CN"/>
            </w:rPr>
            <w:t>“</w:t>
          </w:r>
          <w:r>
            <w:rPr>
              <w:rFonts w:hint="eastAsia"/>
            </w:rPr>
            <w:t>三公”经费支出决算情况说明</w:t>
          </w:r>
          <w:r>
            <w:tab/>
          </w:r>
          <w:r>
            <w:fldChar w:fldCharType="begin"/>
          </w:r>
          <w:r>
            <w:instrText xml:space="preserve"> PAGEREF _Toc1509353687 \h </w:instrText>
          </w:r>
          <w:r>
            <w:fldChar w:fldCharType="separate"/>
          </w:r>
          <w:r>
            <w:t>18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_Toc1724561834 </w:instrText>
          </w:r>
          <w:r>
            <w:rPr>
              <w:rFonts w:ascii="仿宋" w:hAnsi="仿宋" w:eastAsia="仿宋"/>
              <w:highlight w:val="none"/>
            </w:rPr>
            <w:fldChar w:fldCharType="separate"/>
          </w:r>
          <w:r>
            <w:rPr>
              <w:rFonts w:hint="eastAsia"/>
            </w:rPr>
            <w:t>八、政府性基金预算支出决算情况说明</w:t>
          </w:r>
          <w:r>
            <w:tab/>
          </w:r>
          <w:r>
            <w:fldChar w:fldCharType="begin"/>
          </w:r>
          <w:r>
            <w:instrText xml:space="preserve"> PAGEREF _Toc1724561834 \h </w:instrText>
          </w:r>
          <w:r>
            <w:fldChar w:fldCharType="separate"/>
          </w:r>
          <w:r>
            <w:t>19</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_Toc1018839649 </w:instrText>
          </w:r>
          <w:r>
            <w:rPr>
              <w:rFonts w:ascii="仿宋" w:hAnsi="仿宋" w:eastAsia="仿宋"/>
              <w:highlight w:val="none"/>
            </w:rPr>
            <w:fldChar w:fldCharType="separate"/>
          </w:r>
          <w:r>
            <w:rPr>
              <w:rFonts w:hint="eastAsia"/>
            </w:rPr>
            <w:t>九、</w:t>
          </w:r>
          <w:r>
            <w:rPr>
              <w:rFonts w:hint="eastAsia"/>
              <w:lang w:eastAsia="zh-CN"/>
            </w:rPr>
            <w:t>国</w:t>
          </w:r>
          <w:r>
            <w:rPr>
              <w:rFonts w:hint="eastAsia"/>
            </w:rPr>
            <w:t>有资本经营预算支出决算情况说明</w:t>
          </w:r>
          <w:r>
            <w:tab/>
          </w:r>
          <w:r>
            <w:fldChar w:fldCharType="begin"/>
          </w:r>
          <w:r>
            <w:instrText xml:space="preserve"> PAGEREF _Toc1018839649 \h </w:instrText>
          </w:r>
          <w:r>
            <w:fldChar w:fldCharType="separate"/>
          </w:r>
          <w:r>
            <w:t>19</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_Toc163283206 </w:instrText>
          </w:r>
          <w:r>
            <w:rPr>
              <w:rFonts w:ascii="仿宋" w:hAnsi="仿宋" w:eastAsia="仿宋"/>
              <w:highlight w:val="none"/>
            </w:rPr>
            <w:fldChar w:fldCharType="separate"/>
          </w:r>
          <w:r>
            <w:rPr>
              <w:rFonts w:hint="eastAsia"/>
              <w:lang w:eastAsia="zh-CN"/>
            </w:rPr>
            <w:t>十</w:t>
          </w:r>
          <w:r>
            <w:rPr>
              <w:rFonts w:hint="eastAsia"/>
            </w:rPr>
            <w:t>、其他重要事项的情况说明</w:t>
          </w:r>
          <w:r>
            <w:tab/>
          </w:r>
          <w:r>
            <w:fldChar w:fldCharType="begin"/>
          </w:r>
          <w:r>
            <w:instrText xml:space="preserve"> PAGEREF _Toc163283206 \h </w:instrText>
          </w:r>
          <w:r>
            <w:fldChar w:fldCharType="separate"/>
          </w:r>
          <w:r>
            <w:t>19</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_Toc930442799 </w:instrText>
          </w:r>
          <w:r>
            <w:rPr>
              <w:rFonts w:ascii="仿宋" w:hAnsi="仿宋" w:eastAsia="仿宋"/>
              <w:highlight w:val="none"/>
            </w:rPr>
            <w:fldChar w:fldCharType="separate"/>
          </w:r>
          <w:r>
            <w:rPr>
              <w:rFonts w:hint="eastAsia"/>
            </w:rPr>
            <w:t>第三部分 名词解释</w:t>
          </w:r>
          <w:r>
            <w:tab/>
          </w:r>
          <w:r>
            <w:fldChar w:fldCharType="begin"/>
          </w:r>
          <w:r>
            <w:instrText xml:space="preserve"> PAGEREF _Toc930442799 \h </w:instrText>
          </w:r>
          <w:r>
            <w:fldChar w:fldCharType="separate"/>
          </w:r>
          <w:r>
            <w:t>20</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_Toc185734040 </w:instrText>
          </w:r>
          <w:r>
            <w:rPr>
              <w:rFonts w:ascii="仿宋" w:hAnsi="仿宋" w:eastAsia="仿宋"/>
              <w:highlight w:val="none"/>
            </w:rPr>
            <w:fldChar w:fldCharType="separate"/>
          </w:r>
          <w:r>
            <w:rPr>
              <w:rFonts w:hint="eastAsia"/>
            </w:rPr>
            <w:t>第四部分 附件</w:t>
          </w:r>
          <w:r>
            <w:tab/>
          </w:r>
          <w:r>
            <w:fldChar w:fldCharType="begin"/>
          </w:r>
          <w:r>
            <w:instrText xml:space="preserve"> PAGEREF _Toc185734040 \h </w:instrText>
          </w:r>
          <w:r>
            <w:fldChar w:fldCharType="separate"/>
          </w:r>
          <w:r>
            <w:t>24</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_Toc1490237910 </w:instrText>
          </w:r>
          <w:r>
            <w:rPr>
              <w:rFonts w:ascii="仿宋" w:hAnsi="仿宋" w:eastAsia="仿宋"/>
              <w:highlight w:val="none"/>
            </w:rPr>
            <w:fldChar w:fldCharType="separate"/>
          </w:r>
          <w:r>
            <w:rPr>
              <w:rFonts w:hint="eastAsia"/>
            </w:rPr>
            <w:t>第五部分 附表</w:t>
          </w:r>
          <w:r>
            <w:tab/>
          </w:r>
          <w:r>
            <w:fldChar w:fldCharType="begin"/>
          </w:r>
          <w:r>
            <w:instrText xml:space="preserve"> PAGEREF _Toc1490237910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_Toc371269790 </w:instrText>
          </w:r>
          <w:r>
            <w:rPr>
              <w:rFonts w:ascii="仿宋" w:hAnsi="仿宋" w:eastAsia="仿宋"/>
              <w:highlight w:val="none"/>
            </w:rPr>
            <w:fldChar w:fldCharType="separate"/>
          </w:r>
          <w:r>
            <w:rPr>
              <w:rFonts w:hint="eastAsia"/>
            </w:rPr>
            <w:t>一、收入支出决算总表</w:t>
          </w:r>
          <w:r>
            <w:tab/>
          </w:r>
          <w:r>
            <w:fldChar w:fldCharType="begin"/>
          </w:r>
          <w:r>
            <w:instrText xml:space="preserve"> PAGEREF _Toc371269790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_Toc554602101 </w:instrText>
          </w:r>
          <w:r>
            <w:rPr>
              <w:rFonts w:ascii="仿宋" w:hAnsi="仿宋" w:eastAsia="仿宋"/>
              <w:highlight w:val="none"/>
            </w:rPr>
            <w:fldChar w:fldCharType="separate"/>
          </w:r>
          <w:r>
            <w:rPr>
              <w:rFonts w:hint="eastAsia"/>
            </w:rPr>
            <w:t>二、收入决算表</w:t>
          </w:r>
          <w:r>
            <w:tab/>
          </w:r>
          <w:r>
            <w:fldChar w:fldCharType="begin"/>
          </w:r>
          <w:r>
            <w:instrText xml:space="preserve"> PAGEREF _Toc554602101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_Toc1112873041 </w:instrText>
          </w:r>
          <w:r>
            <w:rPr>
              <w:rFonts w:ascii="仿宋" w:hAnsi="仿宋" w:eastAsia="仿宋"/>
              <w:highlight w:val="none"/>
            </w:rPr>
            <w:fldChar w:fldCharType="separate"/>
          </w:r>
          <w:r>
            <w:rPr>
              <w:rFonts w:hint="eastAsia"/>
            </w:rPr>
            <w:t>三、支出决算表</w:t>
          </w:r>
          <w:r>
            <w:tab/>
          </w:r>
          <w:r>
            <w:fldChar w:fldCharType="begin"/>
          </w:r>
          <w:r>
            <w:instrText xml:space="preserve"> PAGEREF _Toc1112873041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_Toc2090293729 </w:instrText>
          </w:r>
          <w:r>
            <w:rPr>
              <w:rFonts w:ascii="仿宋" w:hAnsi="仿宋" w:eastAsia="仿宋"/>
              <w:highlight w:val="none"/>
            </w:rPr>
            <w:fldChar w:fldCharType="separate"/>
          </w:r>
          <w:r>
            <w:rPr>
              <w:rFonts w:hint="eastAsia"/>
            </w:rPr>
            <w:t>四、财政拨款收入支出决算总表</w:t>
          </w:r>
          <w:r>
            <w:tab/>
          </w:r>
          <w:r>
            <w:fldChar w:fldCharType="begin"/>
          </w:r>
          <w:r>
            <w:instrText xml:space="preserve"> PAGEREF _Toc2090293729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_Toc1796143781 </w:instrText>
          </w:r>
          <w:r>
            <w:rPr>
              <w:rFonts w:ascii="仿宋" w:hAnsi="仿宋" w:eastAsia="仿宋"/>
              <w:highlight w:val="none"/>
            </w:rPr>
            <w:fldChar w:fldCharType="separate"/>
          </w:r>
          <w:r>
            <w:rPr>
              <w:rFonts w:hint="eastAsia"/>
            </w:rPr>
            <w:t>五、财政拨款支出决算明细表</w:t>
          </w:r>
          <w:r>
            <w:tab/>
          </w:r>
          <w:r>
            <w:fldChar w:fldCharType="begin"/>
          </w:r>
          <w:r>
            <w:instrText xml:space="preserve"> PAGEREF _Toc1796143781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_Toc1394491036 </w:instrText>
          </w:r>
          <w:r>
            <w:rPr>
              <w:rFonts w:ascii="仿宋" w:hAnsi="仿宋" w:eastAsia="仿宋"/>
              <w:highlight w:val="none"/>
            </w:rPr>
            <w:fldChar w:fldCharType="separate"/>
          </w:r>
          <w:r>
            <w:rPr>
              <w:rFonts w:hint="eastAsia"/>
            </w:rPr>
            <w:t>六、一般公共预算财政拨款支出决算表</w:t>
          </w:r>
          <w:r>
            <w:tab/>
          </w:r>
          <w:r>
            <w:fldChar w:fldCharType="begin"/>
          </w:r>
          <w:r>
            <w:instrText xml:space="preserve"> PAGEREF _Toc1394491036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_Toc595724810 </w:instrText>
          </w:r>
          <w:r>
            <w:rPr>
              <w:rFonts w:ascii="仿宋" w:hAnsi="仿宋" w:eastAsia="仿宋"/>
              <w:highlight w:val="none"/>
            </w:rPr>
            <w:fldChar w:fldCharType="separate"/>
          </w:r>
          <w:r>
            <w:rPr>
              <w:rFonts w:hint="eastAsia"/>
            </w:rPr>
            <w:t>七、一般公共预算财政拨款支出决算明细表</w:t>
          </w:r>
          <w:r>
            <w:tab/>
          </w:r>
          <w:r>
            <w:fldChar w:fldCharType="begin"/>
          </w:r>
          <w:r>
            <w:instrText xml:space="preserve"> PAGEREF _Toc595724810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_Toc1215447508 </w:instrText>
          </w:r>
          <w:r>
            <w:rPr>
              <w:rFonts w:ascii="仿宋" w:hAnsi="仿宋" w:eastAsia="仿宋"/>
              <w:highlight w:val="none"/>
            </w:rPr>
            <w:fldChar w:fldCharType="separate"/>
          </w:r>
          <w:r>
            <w:rPr>
              <w:rFonts w:hint="eastAsia"/>
            </w:rPr>
            <w:t>八、一般公共预算财政拨款基本支出决算</w:t>
          </w:r>
          <w:r>
            <w:rPr>
              <w:rFonts w:hint="eastAsia"/>
              <w:lang w:eastAsia="zh-CN"/>
            </w:rPr>
            <w:t>明细</w:t>
          </w:r>
          <w:r>
            <w:rPr>
              <w:rFonts w:hint="eastAsia"/>
            </w:rPr>
            <w:t>表</w:t>
          </w:r>
          <w:r>
            <w:tab/>
          </w:r>
          <w:r>
            <w:fldChar w:fldCharType="begin"/>
          </w:r>
          <w:r>
            <w:instrText xml:space="preserve"> PAGEREF _Toc1215447508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_Toc96006863 </w:instrText>
          </w:r>
          <w:r>
            <w:rPr>
              <w:rFonts w:ascii="仿宋" w:hAnsi="仿宋" w:eastAsia="仿宋"/>
              <w:highlight w:val="none"/>
            </w:rPr>
            <w:fldChar w:fldCharType="separate"/>
          </w:r>
          <w:r>
            <w:rPr>
              <w:rFonts w:hint="eastAsia"/>
            </w:rPr>
            <w:t>九、一般公共预算财政拨款项目支出决算表</w:t>
          </w:r>
          <w:r>
            <w:tab/>
          </w:r>
          <w:r>
            <w:fldChar w:fldCharType="begin"/>
          </w:r>
          <w:r>
            <w:instrText xml:space="preserve"> PAGEREF _Toc96006863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_Toc1906451202 </w:instrText>
          </w:r>
          <w:r>
            <w:rPr>
              <w:rFonts w:ascii="仿宋" w:hAnsi="仿宋" w:eastAsia="仿宋"/>
              <w:highlight w:val="none"/>
            </w:rPr>
            <w:fldChar w:fldCharType="separate"/>
          </w:r>
          <w:r>
            <w:rPr>
              <w:rFonts w:hint="eastAsia"/>
            </w:rPr>
            <w:t>十、政府性基金预算财政拨款收入支出决算表</w:t>
          </w:r>
          <w:r>
            <w:tab/>
          </w:r>
          <w:r>
            <w:fldChar w:fldCharType="begin"/>
          </w:r>
          <w:r>
            <w:instrText xml:space="preserve"> PAGEREF _Toc1906451202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_Toc478643133 </w:instrText>
          </w:r>
          <w:r>
            <w:rPr>
              <w:rFonts w:ascii="仿宋" w:hAnsi="仿宋" w:eastAsia="仿宋"/>
              <w:highlight w:val="none"/>
            </w:rPr>
            <w:fldChar w:fldCharType="separate"/>
          </w:r>
          <w:r>
            <w:rPr>
              <w:rFonts w:hint="eastAsia"/>
            </w:rPr>
            <w:t>十一、国有资本经营预算财政拨款收入支出决算表</w:t>
          </w:r>
          <w:r>
            <w:tab/>
          </w:r>
          <w:r>
            <w:fldChar w:fldCharType="begin"/>
          </w:r>
          <w:r>
            <w:instrText xml:space="preserve"> PAGEREF _Toc478643133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_Toc421532316 </w:instrText>
          </w:r>
          <w:r>
            <w:rPr>
              <w:rFonts w:ascii="仿宋" w:hAnsi="仿宋" w:eastAsia="仿宋"/>
              <w:highlight w:val="none"/>
            </w:rPr>
            <w:fldChar w:fldCharType="separate"/>
          </w:r>
          <w:r>
            <w:rPr>
              <w:rFonts w:hint="eastAsia"/>
            </w:rPr>
            <w:t>十二、</w:t>
          </w:r>
          <w:r>
            <w:rPr>
              <w:rFonts w:hint="eastAsia"/>
              <w:lang w:val="en-US" w:eastAsia="zh-CN"/>
            </w:rPr>
            <w:t>国有资本经营预算财政拨款支出决算表</w:t>
          </w:r>
          <w:r>
            <w:tab/>
          </w:r>
          <w:r>
            <w:fldChar w:fldCharType="begin"/>
          </w:r>
          <w:r>
            <w:instrText xml:space="preserve"> PAGEREF _Toc421532316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_Toc559660505 </w:instrText>
          </w:r>
          <w:r>
            <w:rPr>
              <w:rFonts w:ascii="仿宋" w:hAnsi="仿宋" w:eastAsia="仿宋"/>
              <w:highlight w:val="none"/>
            </w:rPr>
            <w:fldChar w:fldCharType="separate"/>
          </w:r>
          <w:r>
            <w:rPr>
              <w:rFonts w:hint="eastAsia"/>
            </w:rPr>
            <w:t>十三、财政拨款“三公”经费支出决算表</w:t>
          </w:r>
          <w:r>
            <w:tab/>
          </w:r>
          <w:r>
            <w:fldChar w:fldCharType="begin"/>
          </w:r>
          <w:r>
            <w:instrText xml:space="preserve"> PAGEREF _Toc559660505 \h </w:instrText>
          </w:r>
          <w:r>
            <w:fldChar w:fldCharType="separate"/>
          </w:r>
          <w:r>
            <w:t>68</w:t>
          </w:r>
          <w:r>
            <w:fldChar w:fldCharType="end"/>
          </w:r>
          <w:r>
            <w:rPr>
              <w:rFonts w:ascii="仿宋" w:hAnsi="仿宋" w:eastAsia="仿宋"/>
              <w:color w:val="auto"/>
              <w:highlight w:val="none"/>
            </w:rPr>
            <w:fldChar w:fldCharType="end"/>
          </w:r>
        </w:p>
        <w:p>
          <w:pPr>
            <w:pStyle w:val="36"/>
            <w:tabs>
              <w:tab w:val="right" w:leader="dot" w:pos="8306"/>
            </w:tabs>
            <w:ind w:left="0" w:leftChars="0" w:firstLine="0" w:firstLineChars="0"/>
            <w:rPr>
              <w:rFonts w:ascii="仿宋" w:hAnsi="仿宋" w:eastAsia="仿宋" w:cs="Times New Roman"/>
              <w:color w:val="auto"/>
              <w:sz w:val="20"/>
              <w:szCs w:val="20"/>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r>
            <w:rPr>
              <w:rFonts w:ascii="仿宋" w:hAnsi="仿宋" w:eastAsia="仿宋"/>
              <w:color w:val="auto"/>
              <w:highlight w:val="none"/>
            </w:rPr>
            <w:fldChar w:fldCharType="end"/>
          </w:r>
        </w:p>
      </w:sdtContent>
    </w:sdt>
    <w:p>
      <w:pPr>
        <w:pStyle w:val="3"/>
        <w:bidi w:val="0"/>
        <w:rPr>
          <w:rFonts w:hint="eastAsia"/>
        </w:rPr>
      </w:pPr>
      <w:bookmarkStart w:id="6" w:name="_Toc1588310639"/>
      <w:r>
        <w:rPr>
          <w:rFonts w:hint="eastAsia"/>
        </w:rPr>
        <w:t>第一部分 部门概况</w:t>
      </w:r>
      <w:bookmarkEnd w:id="6"/>
    </w:p>
    <w:p>
      <w:pPr>
        <w:pStyle w:val="4"/>
        <w:numPr>
          <w:ilvl w:val="0"/>
          <w:numId w:val="1"/>
        </w:numPr>
        <w:rPr>
          <w:rFonts w:hint="eastAsia" w:ascii="黑体" w:hAnsi="黑体" w:eastAsia="黑体"/>
          <w:b w:val="0"/>
          <w:color w:val="auto"/>
          <w:highlight w:val="none"/>
          <w:lang w:eastAsia="zh-CN"/>
        </w:rPr>
      </w:pPr>
      <w:bookmarkStart w:id="57" w:name="_GoBack"/>
      <w:bookmarkStart w:id="7" w:name="_Toc24981"/>
      <w:r>
        <w:rPr>
          <w:rFonts w:hint="eastAsia" w:ascii="黑体" w:hAnsi="黑体" w:eastAsia="黑体"/>
          <w:b w:val="0"/>
          <w:color w:val="auto"/>
          <w:highlight w:val="none"/>
          <w:lang w:eastAsia="zh-CN"/>
        </w:rPr>
        <w:t>部门职责</w:t>
      </w:r>
      <w:bookmarkEnd w:id="7"/>
    </w:p>
    <w:p>
      <w:pPr>
        <w:pStyle w:val="2"/>
        <w:adjustRightInd w:val="0"/>
        <w:snapToGrid w:val="0"/>
        <w:spacing w:before="93" w:line="600" w:lineRule="exact"/>
        <w:ind w:firstLine="672" w:firstLineChars="210"/>
        <w:outlineLvl w:val="2"/>
        <w:rPr>
          <w:rFonts w:ascii="仿宋" w:hAnsi="仿宋" w:eastAsia="仿宋"/>
          <w:bCs/>
          <w:color w:val="000000"/>
          <w:sz w:val="32"/>
          <w:szCs w:val="32"/>
          <w:highlight w:val="none"/>
        </w:rPr>
      </w:pPr>
      <w:r>
        <w:rPr>
          <w:rFonts w:hint="eastAsia" w:ascii="仿宋" w:hAnsi="仿宋" w:eastAsia="仿宋"/>
          <w:bCs/>
          <w:color w:val="000000"/>
          <w:sz w:val="32"/>
          <w:szCs w:val="32"/>
          <w:highlight w:val="none"/>
          <w:lang w:eastAsia="zh-CN"/>
        </w:rPr>
        <w:t>（一</w:t>
      </w:r>
      <w:r>
        <w:rPr>
          <w:rFonts w:hint="eastAsia" w:ascii="仿宋" w:hAnsi="仿宋" w:eastAsia="仿宋"/>
          <w:bCs/>
          <w:color w:val="000000"/>
          <w:sz w:val="32"/>
          <w:szCs w:val="32"/>
          <w:highlight w:val="none"/>
        </w:rPr>
        <w:t>）主要职能。</w:t>
      </w:r>
    </w:p>
    <w:p>
      <w:pPr>
        <w:pStyle w:val="2"/>
        <w:adjustRightInd w:val="0"/>
        <w:snapToGrid w:val="0"/>
        <w:spacing w:before="93" w:line="600" w:lineRule="exact"/>
        <w:ind w:firstLine="672" w:firstLineChars="210"/>
        <w:rPr>
          <w:rFonts w:ascii="仿宋" w:hAnsi="仿宋" w:eastAsia="仿宋"/>
          <w:color w:val="000000"/>
          <w:kern w:val="2"/>
          <w:sz w:val="32"/>
          <w:szCs w:val="32"/>
          <w:highlight w:val="none"/>
        </w:rPr>
      </w:pPr>
      <w:bookmarkStart w:id="8" w:name="_Toc79163604"/>
      <w:bookmarkStart w:id="9" w:name="_Toc15378446"/>
      <w:bookmarkStart w:id="10" w:name="_Toc15377199"/>
      <w:r>
        <w:rPr>
          <w:rFonts w:hint="eastAsia" w:ascii="仿宋" w:hAnsi="仿宋" w:eastAsia="仿宋"/>
          <w:color w:val="000000"/>
          <w:sz w:val="32"/>
          <w:szCs w:val="32"/>
          <w:highlight w:val="none"/>
        </w:rPr>
        <w:t>校长</w:t>
      </w:r>
      <w:r>
        <w:rPr>
          <w:highlight w:val="none"/>
        </w:rPr>
        <w:fldChar w:fldCharType="begin"/>
      </w:r>
      <w:r>
        <w:rPr>
          <w:highlight w:val="none"/>
        </w:rPr>
        <w:instrText xml:space="preserve"> HYPERLINK "https://www.baidu.com/s?wd=%E5%B2%97%E4%BD%8D%E8%81%8C%E8%B4%A3&amp;tn=44039180_cpr&amp;fenlei=mv6quAkxTZn0IZRqIHckPjm4nH00T1d-ujKWnj6LPvw-nyN9nH030ZwV5Hcvrjm3rH6sPfKWUMw85HfYnjn4nH6sgvPsT6KdThsqpZwYTjCEQLGCpyw9Uz4Bmy-bIi4WUvYETgN-TLwGUv3En1c1rj0kn1Ts"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岗位职责</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1、执行</w:t>
      </w:r>
      <w:r>
        <w:rPr>
          <w:rFonts w:hint="eastAsia" w:ascii="仿宋" w:hAnsi="仿宋" w:eastAsia="仿宋"/>
          <w:color w:val="000000"/>
          <w:sz w:val="32"/>
          <w:szCs w:val="32"/>
          <w:highlight w:val="none"/>
          <w:lang w:eastAsia="zh-CN"/>
        </w:rPr>
        <w:t>校委会</w:t>
      </w:r>
      <w:r>
        <w:rPr>
          <w:rFonts w:hint="eastAsia" w:ascii="仿宋" w:hAnsi="仿宋" w:eastAsia="仿宋"/>
          <w:color w:val="000000"/>
          <w:sz w:val="32"/>
          <w:szCs w:val="32"/>
          <w:highlight w:val="none"/>
        </w:rPr>
        <w:t>或者其他形式决策机构的决定</w:t>
      </w:r>
      <w:r>
        <w:rPr>
          <w:rFonts w:hint="eastAsia" w:ascii="仿宋" w:hAnsi="仿宋" w:eastAsia="仿宋"/>
          <w:color w:val="000000"/>
          <w:sz w:val="32"/>
          <w:szCs w:val="32"/>
          <w:highlight w:val="none"/>
          <w:lang w:eastAsia="zh-CN"/>
        </w:rPr>
        <w:t>。</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2、实施发展规划，拟订年度工作计划、</w:t>
      </w:r>
      <w:r>
        <w:rPr>
          <w:highlight w:val="none"/>
        </w:rPr>
        <w:fldChar w:fldCharType="begin"/>
      </w:r>
      <w:r>
        <w:rPr>
          <w:highlight w:val="none"/>
        </w:rPr>
        <w:instrText xml:space="preserve"> HYPERLINK "https://www.baidu.com/s?wd=%E8%B4%A2%E5%8A%A1%E9%A2%84%E7%AE%97&amp;tn=44039180_cpr&amp;fenlei=mv6quAkxTZn0IZRqIHckPjm4nH00T1d-ujKWnj6LPvw-nyN9nH030ZwV5Hcvrjm3rH6sPfKWUMw85HfYnjn4nH6sgvPsT6KdThsqpZwYTjCEQLGCpyw9Uz4Bmy-bIi4WUvYETgN-TLwGUv3En1c1rj0kn1Ts"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财务预算</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和学校规章制度</w:t>
      </w:r>
      <w:r>
        <w:rPr>
          <w:rFonts w:hint="eastAsia" w:ascii="仿宋" w:hAnsi="仿宋" w:eastAsia="仿宋"/>
          <w:color w:val="000000"/>
          <w:sz w:val="32"/>
          <w:szCs w:val="32"/>
          <w:highlight w:val="none"/>
          <w:lang w:eastAsia="zh-CN"/>
        </w:rPr>
        <w:t>。</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3、聘任和解聘学校工作人员，实施奖惩</w:t>
      </w:r>
      <w:r>
        <w:rPr>
          <w:rFonts w:hint="eastAsia" w:ascii="仿宋" w:hAnsi="仿宋" w:eastAsia="仿宋"/>
          <w:color w:val="000000"/>
          <w:sz w:val="32"/>
          <w:szCs w:val="32"/>
          <w:highlight w:val="none"/>
          <w:lang w:eastAsia="zh-CN"/>
        </w:rPr>
        <w:t>。</w:t>
      </w:r>
      <w:r>
        <w:rPr>
          <w:rFonts w:hint="eastAsia" w:ascii="仿宋" w:hAnsi="仿宋" w:eastAsia="仿宋"/>
          <w:color w:val="000000"/>
          <w:sz w:val="32"/>
          <w:szCs w:val="32"/>
          <w:highlight w:val="none"/>
        </w:rPr>
        <w:t xml:space="preserve">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4、组织教育教学、科学研究活动，保证教育教学质量</w:t>
      </w:r>
      <w:r>
        <w:rPr>
          <w:rFonts w:hint="eastAsia" w:ascii="仿宋" w:hAnsi="仿宋" w:eastAsia="仿宋"/>
          <w:color w:val="000000"/>
          <w:sz w:val="32"/>
          <w:szCs w:val="32"/>
          <w:highlight w:val="none"/>
          <w:lang w:eastAsia="zh-CN"/>
        </w:rPr>
        <w:t>。</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5、负责学校日常管理工作</w:t>
      </w:r>
      <w:r>
        <w:rPr>
          <w:rFonts w:hint="eastAsia" w:ascii="仿宋" w:hAnsi="仿宋" w:eastAsia="仿宋"/>
          <w:color w:val="000000"/>
          <w:sz w:val="32"/>
          <w:szCs w:val="32"/>
          <w:highlight w:val="none"/>
          <w:lang w:eastAsia="zh-CN"/>
        </w:rPr>
        <w:t>。</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6、 </w:t>
      </w:r>
      <w:r>
        <w:rPr>
          <w:rFonts w:hint="eastAsia" w:ascii="仿宋" w:hAnsi="仿宋" w:eastAsia="仿宋"/>
          <w:color w:val="000000"/>
          <w:sz w:val="32"/>
          <w:szCs w:val="32"/>
          <w:highlight w:val="none"/>
          <w:lang w:eastAsia="zh-CN"/>
        </w:rPr>
        <w:t>校委会</w:t>
      </w:r>
      <w:r>
        <w:rPr>
          <w:rFonts w:hint="eastAsia" w:ascii="仿宋" w:hAnsi="仿宋" w:eastAsia="仿宋"/>
          <w:color w:val="000000"/>
          <w:sz w:val="32"/>
          <w:szCs w:val="32"/>
          <w:highlight w:val="none"/>
        </w:rPr>
        <w:t xml:space="preserve">或者其他形式决策机构的其他授权。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7、坚持依法办学，遵守学校章程，维护学校利益。</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8、合理配置学校“人、财、物、信息”资源，有效行使学校</w:t>
      </w:r>
      <w:r>
        <w:rPr>
          <w:highlight w:val="none"/>
        </w:rPr>
        <w:fldChar w:fldCharType="begin"/>
      </w:r>
      <w:r>
        <w:rPr>
          <w:highlight w:val="none"/>
        </w:rPr>
        <w:instrText xml:space="preserve"> HYPERLINK "https://www.baidu.com/s?wd=%E9%87%8D%E5%A4%A7%E4%BA%8B%E9%A1%B9&amp;tn=44039180_cpr&amp;fenlei=mv6quAkxTZn0IZRqIHckPjm4nH00T1d-ujKWnj6LPvw-nyN9nH030ZwV5Hcvrjm3rH6sPfKWUMw85HfYnjn4nH6sgvPsT6KdThsqpZwYTjCEQLGCpyw9Uz4Bmy-bIi4WUvYETgN-TLwGUv3En1c1rj0kn1Ts"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重大事项</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和重大改革措施的决策权。</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9、及时向上级</w:t>
      </w:r>
      <w:r>
        <w:rPr>
          <w:highlight w:val="none"/>
        </w:rPr>
        <w:fldChar w:fldCharType="begin"/>
      </w:r>
      <w:r>
        <w:rPr>
          <w:highlight w:val="none"/>
        </w:rPr>
        <w:instrText xml:space="preserve"> HYPERLINK "https://www.baidu.com/s?wd=%E6%95%99%E8%82%B2%E8%A1%8C%E6%94%BF%E9%83%A8%E9%97%A8&amp;tn=44039180_cpr&amp;fenlei=mv6quAkxTZn0IZRqIHckPjm4nH00T1d-ujKWnj6LPvw-nyN9nH030ZwV5Hcvrjm3rH6sPfKWUMw85HfYnjn4nH6sgvPsT6KdThsqpZwYTjCEQLGCpyw9Uz4Bmy-bIi4WUvYETgN-TLwGUv3En1c1rj0kn1Ts"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教育行政部门</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和学校决策机构汇报学校工作。</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10、维护教职工利益，保障教职工合法权益，以教职工和学生的人生幸福和</w:t>
      </w:r>
      <w:r>
        <w:rPr>
          <w:highlight w:val="none"/>
        </w:rPr>
        <w:fldChar w:fldCharType="begin"/>
      </w:r>
      <w:r>
        <w:rPr>
          <w:highlight w:val="none"/>
        </w:rPr>
        <w:instrText xml:space="preserve"> HYPERLINK "https://www.baidu.com/s?wd=%E7%94%9F%E5%91%BD%E8%B4%A8%E9%87%8F&amp;tn=44039180_cpr&amp;fenlei=mv6quAkxTZn0IZRqIHckPjm4nH00T1d-ujKWnj6LPvw-nyN9nH030ZwV5Hcvrjm3rH6sPfKWUMw85HfYnjn4nH6sgvPsT6KdThsqpZwYTjCEQLGCpyw9Uz4Bmy-bIi4WUvYETgN-TLwGUv3En1c1rj0kn1Ts"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生命质量</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作为关注焦点，建立信任，消除焦虑。</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11、尊重教职工的主人翁地位和民主管理、民主监督的权利，团结和依靠教职工办好学校。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学校法定代表人职责</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1、法定代表人由</w:t>
      </w:r>
      <w:r>
        <w:rPr>
          <w:rFonts w:hint="eastAsia" w:ascii="仿宋" w:hAnsi="仿宋" w:eastAsia="仿宋"/>
          <w:color w:val="000000"/>
          <w:sz w:val="32"/>
          <w:szCs w:val="32"/>
          <w:highlight w:val="none"/>
          <w:lang w:eastAsia="zh-CN"/>
        </w:rPr>
        <w:t>校长</w:t>
      </w:r>
      <w:r>
        <w:rPr>
          <w:rFonts w:hint="eastAsia" w:ascii="仿宋" w:hAnsi="仿宋" w:eastAsia="仿宋"/>
          <w:color w:val="000000"/>
          <w:sz w:val="32"/>
          <w:szCs w:val="32"/>
          <w:highlight w:val="none"/>
        </w:rPr>
        <w:t xml:space="preserve">担任，并在章程中载明。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2、法定代表人代表学校签署文件和合同。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3、法定代表人的职务行为，必须根据</w:t>
      </w:r>
      <w:r>
        <w:rPr>
          <w:rFonts w:hint="eastAsia" w:ascii="仿宋" w:hAnsi="仿宋" w:eastAsia="仿宋"/>
          <w:color w:val="000000"/>
          <w:sz w:val="32"/>
          <w:szCs w:val="32"/>
          <w:highlight w:val="none"/>
          <w:lang w:eastAsia="zh-CN"/>
        </w:rPr>
        <w:t>校委会</w:t>
      </w:r>
      <w:r>
        <w:rPr>
          <w:rFonts w:hint="eastAsia" w:ascii="仿宋" w:hAnsi="仿宋" w:eastAsia="仿宋"/>
          <w:color w:val="000000"/>
          <w:sz w:val="32"/>
          <w:szCs w:val="32"/>
          <w:highlight w:val="none"/>
        </w:rPr>
        <w:t>或其他形式决策机构的决议，否则由此引起的法律后果由其自行承担。</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4、法定代表人应当带头遵守学校章程，成为</w:t>
      </w:r>
      <w:r>
        <w:rPr>
          <w:highlight w:val="none"/>
        </w:rPr>
        <w:fldChar w:fldCharType="begin"/>
      </w:r>
      <w:r>
        <w:rPr>
          <w:highlight w:val="none"/>
        </w:rPr>
        <w:instrText xml:space="preserve"> HYPERLINK "https://www.baidu.com/s?wd=%E9%81%B5%E7%BA%AA%E5%AE%88%E6%B3%95&amp;tn=44039180_cpr&amp;fenlei=mv6quAkxTZn0IZRqIHckPjm4nH00T1d-ujKWnj6LPvw-nyN9nH030ZwV5Hcvrjm3rH6sPfKWUMw85HfYnjn4nH6sgvPsT6KdThsqpZwYTjCEQLGCpyw9Uz4Bmy-bIi4WUvYETgN-TLwGUv3En1c1rj0kn1Ts"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遵纪守法</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 xml:space="preserve">的表率。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5、法定代表</w:t>
      </w:r>
      <w:r>
        <w:rPr>
          <w:rFonts w:hint="eastAsia" w:ascii="仿宋" w:hAnsi="仿宋" w:eastAsia="仿宋"/>
          <w:color w:val="000000"/>
          <w:sz w:val="32"/>
          <w:szCs w:val="32"/>
          <w:highlight w:val="none"/>
          <w:lang w:eastAsia="zh-CN"/>
        </w:rPr>
        <w:t>人</w:t>
      </w:r>
      <w:r>
        <w:rPr>
          <w:rFonts w:hint="eastAsia" w:ascii="仿宋" w:hAnsi="仿宋" w:eastAsia="仿宋"/>
          <w:color w:val="000000"/>
          <w:sz w:val="32"/>
          <w:szCs w:val="32"/>
          <w:highlight w:val="none"/>
        </w:rPr>
        <w:t>是学校安全工作的第一责任人。法定代表人在其分工范围内必须采取切实有效措施，确保师生的身心健康。</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6、法定代表人必须代表学校自觉接受</w:t>
      </w:r>
      <w:r>
        <w:rPr>
          <w:highlight w:val="none"/>
        </w:rPr>
        <w:fldChar w:fldCharType="begin"/>
      </w:r>
      <w:r>
        <w:rPr>
          <w:highlight w:val="none"/>
        </w:rPr>
        <w:instrText xml:space="preserve"> HYPERLINK "https://www.baidu.com/s?wd=%E6%95%99%E8%82%B2%E8%A1%8C%E6%94%BF%E9%83%A8%E9%97%A8&amp;tn=44039180_cpr&amp;fenlei=mv6quAkxTZn0IZRqIHckPjm4nH00T1d-ujKWnj6LPvw-nyN9nH030ZwV5Hcvrjm3rH6sPfKWUMw85HfYnjn4nH6sgvPsT6KdThsqpZwYTjCEQLGCpyw9Uz4Bmy-bIi4WUvYETgN-TLwGUv3En1c1rj0kn1Ts"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教育行政部门</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 xml:space="preserve">的监督管理，主动汇报学校各项工作情况。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门卫保安</w:t>
      </w:r>
      <w:r>
        <w:rPr>
          <w:highlight w:val="none"/>
        </w:rPr>
        <w:fldChar w:fldCharType="begin"/>
      </w:r>
      <w:r>
        <w:rPr>
          <w:highlight w:val="none"/>
        </w:rPr>
        <w:instrText xml:space="preserve"> HYPERLINK "https://www.baidu.com/s?wd=%E5%B7%A5%E4%BD%9C%E8%81%8C%E8%B4%A3&amp;tn=44039180_cpr&amp;fenlei=mv6quAkxTZn0IZRqIHckPjm4nH00T1d-ujKWnj6LPvw-nyN9nH030ZwV5Hcvrjm3rH6sPfKWUMw85HfYnjn4nH6sgvPsT6KdThsqpZwYTjCEQLGCpyw9Uz4Bmy-bIi4WUvYETgN-TLwGUv3En1c1rj0kn1Ts"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工作职责</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1、实行二十四小时值班制度，按时到岗在位，不擅自离岗。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2、上下班做好交接，防止工作疏漏。</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3、严格外来人员登记制度，不随便允许外来人员入校。</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4、严格学生出入校管理，在校期间学生离校必须凭班主任签单方可同意离校。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5、晚间值班必须按时巡查，检查门窗、电器的关闭情况，早上按时开启有关设施。</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6、保持仪表端正，着装上岗。</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7、接待热情、待人有礼。</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教师岗位职责教师职业道德要求</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—、依法执教。学习和宣传马列主义、毛泽东思想和邓小平同志建设中国特色社会主义理论，拥护党的基本路线，全面贯彻</w:t>
      </w:r>
      <w:r>
        <w:rPr>
          <w:rFonts w:hint="eastAsia" w:ascii="仿宋" w:hAnsi="仿宋" w:eastAsia="仿宋"/>
          <w:color w:val="000000"/>
          <w:sz w:val="32"/>
          <w:szCs w:val="32"/>
          <w:highlight w:val="none"/>
          <w:lang w:eastAsia="zh-CN"/>
        </w:rPr>
        <w:t>党的</w:t>
      </w:r>
      <w:r>
        <w:rPr>
          <w:rFonts w:ascii="仿宋" w:hAnsi="仿宋" w:eastAsia="仿宋"/>
          <w:color w:val="000000"/>
          <w:sz w:val="32"/>
          <w:szCs w:val="32"/>
          <w:highlight w:val="none"/>
        </w:rPr>
        <w:t>教育方针，自觉遵守《</w:t>
      </w:r>
      <w:r>
        <w:rPr>
          <w:rFonts w:hint="eastAsia" w:ascii="仿宋" w:hAnsi="仿宋" w:eastAsia="仿宋"/>
          <w:color w:val="000000"/>
          <w:sz w:val="32"/>
          <w:szCs w:val="32"/>
          <w:highlight w:val="none"/>
          <w:lang w:eastAsia="zh-CN"/>
        </w:rPr>
        <w:t>中华人民共和国</w:t>
      </w:r>
      <w:r>
        <w:rPr>
          <w:rFonts w:ascii="仿宋" w:hAnsi="仿宋" w:eastAsia="仿宋"/>
          <w:color w:val="000000"/>
          <w:sz w:val="32"/>
          <w:szCs w:val="32"/>
          <w:highlight w:val="none"/>
        </w:rPr>
        <w:t>教师法》等法律法规，在教育教学中同党和国家的方针政策保持一致、不得有违背党和国家方针、政策的言行。</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二、爱岗敬业。热爱教育，热爱学校。尽心尽责、教书育人。注意培养学生具有良好的思想品德。认真备课上课，认真批改作业，不敷衍塞责，不传播有害学生身心健康的思想。</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三、热爱学生。关心爱护全体学生，尊重学生的人格，平等公正对待学生。对学生严格要求、耐心教导，不讽刺、挖苦、歧视学生，不体罚或变相体罚学生，保护学生合法权益，促进学生全面、主动、健康发展。</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四、严谨治学。树立优良学风，刻苦钻研业务，不断学习新知识，探索教育教学规律、改进教育教学方法，提高教育教学和科研水平。</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五、团结协作。谦虚谨慎、尊重同志，互相学习、相互帮助，维护其他教师在学生中的威信。关心集体，维护学校荣誉，共创文明校风。</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六、尊重家长。主动与学生家长联系，认真听取意见和建议，取得支持和配合。积极宣传科学的教育思想和方法，不训斥、不指责学生家长。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七、廉洁从教。坚守高尚情操，发扬奉献精神，自觉抵制社会不良风气影响，不得</w:t>
      </w:r>
      <w:r>
        <w:rPr>
          <w:rFonts w:hint="eastAsia" w:ascii="仿宋" w:hAnsi="仿宋" w:eastAsia="仿宋"/>
          <w:color w:val="000000"/>
          <w:sz w:val="32"/>
          <w:szCs w:val="32"/>
          <w:highlight w:val="none"/>
          <w:lang w:eastAsia="zh-CN"/>
        </w:rPr>
        <w:t>利</w:t>
      </w:r>
      <w:r>
        <w:rPr>
          <w:rFonts w:ascii="仿宋" w:hAnsi="仿宋" w:eastAsia="仿宋"/>
          <w:color w:val="000000"/>
          <w:sz w:val="32"/>
          <w:szCs w:val="32"/>
          <w:highlight w:val="none"/>
        </w:rPr>
        <w:t>用职责之便谋取私利。</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八、为人师表。模范遵守社会公德，衣着整洁得体，语言规范健康。举止文明礼貌，严于律己，作风正派，以身作</w:t>
      </w:r>
      <w:r>
        <w:rPr>
          <w:rFonts w:hint="eastAsia" w:ascii="仿宋" w:hAnsi="仿宋" w:eastAsia="仿宋"/>
          <w:color w:val="000000"/>
          <w:sz w:val="32"/>
          <w:szCs w:val="32"/>
          <w:highlight w:val="none"/>
          <w:lang w:eastAsia="zh-CN"/>
        </w:rPr>
        <w:t>则</w:t>
      </w:r>
      <w:r>
        <w:rPr>
          <w:rFonts w:ascii="仿宋" w:hAnsi="仿宋" w:eastAsia="仿宋"/>
          <w:color w:val="000000"/>
          <w:sz w:val="32"/>
          <w:szCs w:val="32"/>
          <w:highlight w:val="none"/>
        </w:rPr>
        <w:t>，注重身教。</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班主任职责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班主任是一个班级学生的组织者和</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领导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者，是学校对学生进行思想政治教育工作的骨干力量，是联系各科教学的纽带，是沟通学校、家庭、社会的桥梁。上级部门和学校对学生的各种要求，都要通过班主任去贯彻落实。班主任首先要“为人师表”，热爱学生，班主任工作必须做到：</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1、努力贯彻党的教育方针，提高学生的思想政治觉悟，学习质量和健康水平，为培养一个勤奋学习、遵纪守法、朝气蓬勃、团结向上的班集体而积极工作。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2、教育督促学生遵守《小学生守则》和学校的各种规章制度，</w:t>
      </w:r>
      <w:r>
        <w:rPr>
          <w:rFonts w:hint="eastAsia" w:ascii="仿宋" w:hAnsi="仿宋" w:eastAsia="仿宋"/>
          <w:color w:val="000000"/>
          <w:sz w:val="32"/>
          <w:szCs w:val="32"/>
          <w:highlight w:val="none"/>
          <w:lang w:eastAsia="zh-CN"/>
        </w:rPr>
        <w:t>遵守</w:t>
      </w:r>
      <w:r>
        <w:rPr>
          <w:rFonts w:hint="eastAsia" w:ascii="仿宋" w:hAnsi="仿宋" w:eastAsia="仿宋"/>
          <w:color w:val="000000"/>
          <w:sz w:val="32"/>
          <w:szCs w:val="32"/>
          <w:highlight w:val="none"/>
          <w:lang w:val="en-US" w:eastAsia="zh-CN"/>
        </w:rPr>
        <w:t>县委县</w:t>
      </w:r>
      <w:r>
        <w:rPr>
          <w:rFonts w:ascii="仿宋" w:hAnsi="仿宋" w:eastAsia="仿宋"/>
          <w:color w:val="000000"/>
          <w:sz w:val="32"/>
          <w:szCs w:val="32"/>
          <w:highlight w:val="none"/>
        </w:rPr>
        <w:t>政府的政策法令和社会的公共秩序，处理日常班务工作和本班学生中的偶发事件。对学生的教育应做到“动之以情、晓之以理、导之以行、持之以恒”。讲究教育艺术，注重教育效果，严禁体罚或侮辱学生人格。</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3、及时和学校有关方面取得联系，定期向学校</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领导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或教导处</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汇报</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班务工作，做到上传下达。步调一致。经常与任</w:t>
      </w:r>
      <w:r>
        <w:rPr>
          <w:rFonts w:hint="eastAsia" w:ascii="仿宋" w:hAnsi="仿宋" w:eastAsia="仿宋"/>
          <w:color w:val="000000"/>
          <w:sz w:val="32"/>
          <w:szCs w:val="32"/>
          <w:highlight w:val="none"/>
          <w:lang w:eastAsia="zh-CN"/>
        </w:rPr>
        <w:t>课</w:t>
      </w:r>
      <w:r>
        <w:rPr>
          <w:rFonts w:ascii="仿宋" w:hAnsi="仿宋" w:eastAsia="仿宋"/>
          <w:color w:val="000000"/>
          <w:sz w:val="32"/>
          <w:szCs w:val="32"/>
          <w:highlight w:val="none"/>
        </w:rPr>
        <w:t>教师互通情报，了解研究学生的思想、学习情况。教育学生明确学习目的，端正学习态度，改进学习方法，不断提高各门功课的学习</w:t>
      </w:r>
      <w:r>
        <w:rPr>
          <w:highlight w:val="none"/>
        </w:rPr>
        <w:fldChar w:fldCharType="begin"/>
      </w:r>
      <w:r>
        <w:rPr>
          <w:highlight w:val="none"/>
        </w:rPr>
        <w:instrText xml:space="preserve"> HYPERLINK "http://home.5ykj.com/mnkc/" \t "_blank" </w:instrText>
      </w:r>
      <w:r>
        <w:rPr>
          <w:highlight w:val="none"/>
        </w:rPr>
        <w:fldChar w:fldCharType="separate"/>
      </w:r>
      <w:r>
        <w:rPr>
          <w:rFonts w:ascii="仿宋" w:hAnsi="仿宋" w:eastAsia="仿宋"/>
          <w:color w:val="000000"/>
          <w:sz w:val="32"/>
          <w:szCs w:val="32"/>
          <w:highlight w:val="none"/>
        </w:rPr>
        <w:t>成绩</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4、关心学生的身心健康。组织和</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指导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学生开展体育、文娱、卫生等活动。教育学生积极参加体育锻炼；自觉搞好环境卫生和个人卫生，养成良好习惯，并对学生生活给予应有的</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指导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5、注重班集体的精神文明建设和第二课堂的开辟。制定班务工作</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计划</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，组织、领导班委会，指导少先队，积极开展创“三好”，争做“四有新人”和“五爱”教育等活动。做文明学生，建文明班级。</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6、指导学生的课外活动，配合有关科任教师开展课外科技活动。</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7、重视家访工作，采取多种形式，经常与家长交换学生的学习思想等各方面情况，以便有的放矢，有针对性地对学生进行教育。</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8、负责本班公共财物的管理，赔偿工作，安全工作，教育学生节约电、煤，并遵守纪律。</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9、全面客观地、认真负责地做好学生的操行评语和</w:t>
      </w:r>
      <w:r>
        <w:rPr>
          <w:highlight w:val="none"/>
        </w:rPr>
        <w:fldChar w:fldCharType="begin"/>
      </w:r>
      <w:r>
        <w:rPr>
          <w:highlight w:val="none"/>
        </w:rPr>
        <w:instrText xml:space="preserve"> HYPERLINK "http://home.5ykj.com/mnkc/" \t "_blank" </w:instrText>
      </w:r>
      <w:r>
        <w:rPr>
          <w:highlight w:val="none"/>
        </w:rPr>
        <w:fldChar w:fldCharType="separate"/>
      </w:r>
      <w:r>
        <w:rPr>
          <w:rFonts w:ascii="仿宋" w:hAnsi="仿宋" w:eastAsia="仿宋"/>
          <w:color w:val="000000"/>
          <w:sz w:val="32"/>
          <w:szCs w:val="32"/>
          <w:highlight w:val="none"/>
        </w:rPr>
        <w:t>成绩</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填写工作。及时、准确地建立和填写好学生档案。并妥善保管</w:t>
      </w:r>
      <w:r>
        <w:rPr>
          <w:rFonts w:hint="eastAsia" w:ascii="仿宋" w:hAnsi="仿宋" w:eastAsia="仿宋"/>
          <w:color w:val="000000"/>
          <w:sz w:val="32"/>
          <w:szCs w:val="32"/>
          <w:highlight w:val="none"/>
        </w:rPr>
        <w:t>。</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任课教师职责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教师的根本任务是把学生教好。对教师的基本要求是:以身作则，努力学习，爱护学生，教好功课。</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1、认真备课、上课</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(1)要熟悉教学大纲，教科书，了解学生的知识基础，备好课。</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(2)加强对学生的学习目的教育，调动学生学习积极性，搞好课堂纪律。</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(3)认真组织好课堂教学，不断改进教学方法，充分利用45分钟，保质、保量地完成课程标准规定应传授的知识和应培养的能力。</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(4)结合教材，有机地对学生进行思想教育，注意学生的卫生习惯，保护学生视力。</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(5)指导学生改进学习方法，培养良好的学习习惯。</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(6)搞好测验、</w:t>
      </w:r>
      <w:r>
        <w:rPr>
          <w:highlight w:val="none"/>
        </w:rPr>
        <w:fldChar w:fldCharType="begin"/>
      </w:r>
      <w:r>
        <w:rPr>
          <w:highlight w:val="none"/>
        </w:rPr>
        <w:instrText xml:space="preserve"> HYPERLINK "http://home.5ykj.com/mnkc/" \t "_blank" </w:instrText>
      </w:r>
      <w:r>
        <w:rPr>
          <w:highlight w:val="none"/>
        </w:rPr>
        <w:fldChar w:fldCharType="separate"/>
      </w:r>
      <w:r>
        <w:rPr>
          <w:rFonts w:ascii="仿宋" w:hAnsi="仿宋" w:eastAsia="仿宋"/>
          <w:color w:val="000000"/>
          <w:sz w:val="32"/>
          <w:szCs w:val="32"/>
          <w:highlight w:val="none"/>
        </w:rPr>
        <w:t>考试</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，做到份量恰当，命题确切，要求严格。</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2、认真批改、</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辅导</w:t>
      </w:r>
      <w:r>
        <w:rPr>
          <w:rFonts w:ascii="仿宋" w:hAnsi="仿宋" w:eastAsia="仿宋"/>
          <w:color w:val="000000"/>
          <w:sz w:val="32"/>
          <w:szCs w:val="32"/>
          <w:highlight w:val="none"/>
        </w:rPr>
        <w:fldChar w:fldCharType="end"/>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(1)根据教学要求和学生实际，精心布置作业，并及时收发。批改要讲求实效，搞好讲评，引导学生及时订正错误，扎扎实实地学好每项知识。</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(2)要因材施教。对中下学生要热情</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辅导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，尽量帮助他们跟上班级。对成绩优秀的学生，要帮助他们进一步学好，发挥其特长。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(3)积极创造条件，开展多样化的课外活动，提高学生学习兴趣，开拓知识眼界，培养有关技能技巧。</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3、体育、音乐、美术教师，还应组织和辅导学生开展课外体育、文娱、美术活动，搞好运动队训练和竞赛工作，搞好文艺队、美工组的工作。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图书保管员职责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1、严格执行图书馆、阅览室的规章制度。</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2、掌握新书出版信息，添购书籍、充实书库。</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3、新书买到后，及时进行分类编目，尽快介绍出借。</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4、做好师生借书工作，管好学生阅览室和教师资料室。</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5、及时做好书报订阅收发工作，月底、年底做好报纸杂志装订保管工作。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6、经常做好书籍，报刊的介绍工作。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7、有关教学上的参考资料，及时送到各教研组。</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8、进行爱护书籍的宣传教育，做好图书的防潮、防虫蛀的工作和图书修补工作。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9、保持图书馆阅览室的清洁卫生和良好的纪律秩序。</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值周员职责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l、值周员必须提前到校，认真履行其职责。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2、负责组织好升降国旗仪式。</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3、掌握当天的作息时间。</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4、认真详细的填写好学校日志，检查教室日志的填写情况。</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5、负责处理好学校偶发事件。</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6、接待当天来宾或不定期来访家长。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7、检查督促校舍、门窗封锁、开关校门，注意安全。</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8、负责检查各班环境卫生和个人卫生。</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9、组织当天中午、下午学生放学。</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10、值周教师全权负责好学校—切财产安全，因不住校，失职等损失的财产，由值周人员全部按价赔偿。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1l、掌握各班学习、纪律、课间操等情况，</w:t>
      </w:r>
      <w:r>
        <w:rPr>
          <w:rFonts w:ascii="仿宋" w:eastAsia="仿宋"/>
          <w:color w:val="000000"/>
          <w:sz w:val="32"/>
          <w:szCs w:val="32"/>
          <w:highlight w:val="none"/>
        </w:rPr>
        <w:t> </w:t>
      </w:r>
      <w:r>
        <w:rPr>
          <w:rFonts w:ascii="仿宋" w:hAnsi="仿宋" w:eastAsia="仿宋"/>
          <w:color w:val="000000"/>
          <w:sz w:val="32"/>
          <w:szCs w:val="32"/>
          <w:highlight w:val="none"/>
        </w:rPr>
        <w:t xml:space="preserve"> 向领导汇报特殊情况和典型事件。</w:t>
      </w:r>
    </w:p>
    <w:p>
      <w:pPr>
        <w:snapToGrid w:val="0"/>
        <w:spacing w:line="520" w:lineRule="exact"/>
        <w:ind w:firstLine="640" w:firstLineChars="200"/>
        <w:rPr>
          <w:rFonts w:ascii="仿宋" w:hAnsi="仿宋" w:eastAsia="仿宋"/>
          <w:sz w:val="32"/>
          <w:szCs w:val="32"/>
          <w:highlight w:val="none"/>
        </w:rPr>
      </w:pPr>
      <w:r>
        <w:rPr>
          <w:rFonts w:ascii="仿宋" w:hAnsi="仿宋" w:eastAsia="仿宋"/>
          <w:color w:val="000000"/>
          <w:sz w:val="32"/>
          <w:szCs w:val="32"/>
          <w:highlight w:val="none"/>
        </w:rPr>
        <w:t>12、交清或接清责任和手续。</w:t>
      </w:r>
    </w:p>
    <w:p>
      <w:pPr>
        <w:ind w:firstLine="640" w:firstLineChars="200"/>
        <w:rPr>
          <w:rFonts w:ascii="仿宋" w:hAnsi="仿宋" w:eastAsia="仿宋"/>
          <w:color w:val="000000"/>
          <w:sz w:val="32"/>
          <w:szCs w:val="32"/>
          <w:highlight w:val="none"/>
        </w:rPr>
      </w:pPr>
      <w:bookmarkStart w:id="11" w:name="_Toc85895388"/>
      <w:r>
        <w:rPr>
          <w:rFonts w:hint="eastAsia" w:ascii="仿宋" w:hAnsi="仿宋" w:eastAsia="仿宋"/>
          <w:color w:val="000000"/>
          <w:sz w:val="32"/>
          <w:szCs w:val="32"/>
          <w:highlight w:val="none"/>
        </w:rPr>
        <w:t>（二）</w:t>
      </w:r>
      <w:r>
        <w:rPr>
          <w:rFonts w:hint="eastAsia" w:ascii="仿宋" w:hAnsi="仿宋" w:eastAsia="仿宋"/>
          <w:color w:val="000000"/>
          <w:sz w:val="32"/>
          <w:szCs w:val="32"/>
          <w:highlight w:val="none"/>
          <w:lang w:eastAsia="zh-CN"/>
        </w:rPr>
        <w:t>202</w:t>
      </w:r>
      <w:r>
        <w:rPr>
          <w:rFonts w:hint="eastAsia" w:ascii="仿宋" w:hAnsi="仿宋" w:eastAsia="仿宋"/>
          <w:color w:val="000000"/>
          <w:sz w:val="32"/>
          <w:szCs w:val="32"/>
          <w:highlight w:val="none"/>
          <w:lang w:val="en-US" w:eastAsia="zh-CN"/>
        </w:rPr>
        <w:t>5</w:t>
      </w:r>
      <w:r>
        <w:rPr>
          <w:rFonts w:hint="eastAsia" w:ascii="仿宋" w:hAnsi="仿宋" w:eastAsia="仿宋"/>
          <w:color w:val="000000"/>
          <w:sz w:val="32"/>
          <w:szCs w:val="32"/>
          <w:highlight w:val="none"/>
        </w:rPr>
        <w:t>年重点工作完成情况。</w:t>
      </w:r>
      <w:bookmarkEnd w:id="11"/>
    </w:p>
    <w:bookmarkEnd w:id="8"/>
    <w:bookmarkEnd w:id="9"/>
    <w:bookmarkEnd w:id="10"/>
    <w:p>
      <w:pPr>
        <w:ind w:firstLine="640" w:firstLineChars="200"/>
        <w:rPr>
          <w:rFonts w:hint="eastAsia" w:ascii="仿宋" w:hAnsi="仿宋" w:eastAsia="仿宋"/>
          <w:color w:val="000000"/>
          <w:sz w:val="32"/>
          <w:szCs w:val="32"/>
          <w:highlight w:val="none"/>
        </w:rPr>
      </w:pPr>
      <w:r>
        <w:rPr>
          <w:rFonts w:ascii="仿宋" w:hAnsi="仿宋" w:eastAsia="仿宋"/>
          <w:color w:val="000000"/>
          <w:sz w:val="32"/>
          <w:szCs w:val="32"/>
          <w:highlight w:val="none"/>
        </w:rPr>
        <w:t>我校全面贯彻党的教育方针，深入实施素质教育，全面推进基础教育课程改革，坚持以育人为根本，遵循“以人为本，面向全体，培养特长，和谐发展”的办学思想，努力把学校办成一所现代化、高质量，学生向往、家长放心、社会声誉好的农村小学，以教学质量为核心，进一步提高了办学水平，完成了期提出的工作目标。</w:t>
      </w:r>
      <w:r>
        <w:rPr>
          <w:rFonts w:hint="eastAsia" w:ascii="仿宋" w:hAnsi="仿宋" w:eastAsia="仿宋"/>
          <w:color w:val="000000"/>
          <w:sz w:val="32"/>
          <w:szCs w:val="32"/>
          <w:highlight w:val="none"/>
        </w:rPr>
        <w:t>现将</w:t>
      </w:r>
      <w:r>
        <w:rPr>
          <w:rFonts w:hint="eastAsia" w:ascii="仿宋" w:hAnsi="仿宋" w:eastAsia="仿宋"/>
          <w:color w:val="000000"/>
          <w:sz w:val="32"/>
          <w:szCs w:val="32"/>
          <w:highlight w:val="none"/>
          <w:lang w:eastAsia="zh-CN"/>
        </w:rPr>
        <w:t>202</w:t>
      </w:r>
      <w:r>
        <w:rPr>
          <w:rFonts w:hint="eastAsia" w:ascii="仿宋" w:hAnsi="仿宋" w:eastAsia="仿宋"/>
          <w:color w:val="000000"/>
          <w:sz w:val="32"/>
          <w:szCs w:val="32"/>
          <w:highlight w:val="none"/>
          <w:lang w:val="en-US" w:eastAsia="zh-CN"/>
        </w:rPr>
        <w:t>5</w:t>
      </w:r>
      <w:r>
        <w:rPr>
          <w:rFonts w:hint="eastAsia" w:ascii="仿宋" w:hAnsi="仿宋" w:eastAsia="仿宋"/>
          <w:color w:val="000000"/>
          <w:sz w:val="32"/>
          <w:szCs w:val="32"/>
          <w:highlight w:val="none"/>
        </w:rPr>
        <w:t>年秋季学期学校工作总结如下：</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一、求真务实，加强教师队伍建设</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一所学校，能有新的发展和跨越关键在于全体教师。因此，我们求真务实，继续抓好教师队伍建设。</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1</w:t>
      </w:r>
      <w:r>
        <w:rPr>
          <w:rFonts w:ascii="仿宋" w:hAnsi="仿宋" w:eastAsia="仿宋"/>
          <w:color w:val="000000"/>
          <w:sz w:val="32"/>
          <w:szCs w:val="32"/>
          <w:highlight w:val="none"/>
        </w:rPr>
        <w:t>.重视教师培训及进修，不断提高教师的综合素质。在知识快速更新与教育观念快速变革的形势下，教师树立终身教育的观念至关重要。积极组织好教师继续教育。</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2</w:t>
      </w:r>
      <w:r>
        <w:rPr>
          <w:rFonts w:ascii="仿宋" w:hAnsi="仿宋" w:eastAsia="仿宋"/>
          <w:color w:val="000000"/>
          <w:sz w:val="32"/>
          <w:szCs w:val="32"/>
          <w:highlight w:val="none"/>
        </w:rPr>
        <w:t>.重视班主任队伍建设。学校工作的最后落脚点是教育培养好学生，而班主任这一角色又处在一个非常重要的位置上，因此，我们除了要求班主任做好常规工作外，还通过各种活动提升他们的育人能力。</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二、上下一心，全面提升教育质量</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全面实施素质教育，全面提高教育质量，既是学校工作的基本点也是最关键的部分。我校坚持以德育工作为核心，以强化教科研、推进课程改革为重点，全力以赴地抓好教育教学工作。</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(一)开展丰富多</w:t>
      </w:r>
      <w:r>
        <w:rPr>
          <w:rFonts w:hint="eastAsia" w:ascii="仿宋" w:hAnsi="仿宋" w:eastAsia="仿宋"/>
          <w:color w:val="000000"/>
          <w:sz w:val="32"/>
          <w:szCs w:val="32"/>
          <w:highlight w:val="none"/>
          <w:lang w:eastAsia="zh-CN"/>
        </w:rPr>
        <w:t>彩</w:t>
      </w:r>
      <w:r>
        <w:rPr>
          <w:rFonts w:ascii="仿宋" w:hAnsi="仿宋" w:eastAsia="仿宋"/>
          <w:color w:val="000000"/>
          <w:sz w:val="32"/>
          <w:szCs w:val="32"/>
          <w:highlight w:val="none"/>
        </w:rPr>
        <w:t>的活动，德育工作成效显著</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校内教育阵地是主渠道。集体晨会、国旗下讲话、班级晨会、班队活动、品德课、板报是德育教育的主阵地。学校各学科、各岗位渗透德育教育，每一位成员都是德育工作者。学校积极开展</w:t>
      </w:r>
      <w:r>
        <w:rPr>
          <w:rFonts w:hint="eastAsia" w:ascii="仿宋" w:hAnsi="仿宋" w:eastAsia="仿宋"/>
          <w:color w:val="000000"/>
          <w:sz w:val="32"/>
          <w:szCs w:val="32"/>
          <w:highlight w:val="none"/>
        </w:rPr>
        <w:t>了</w:t>
      </w:r>
      <w:r>
        <w:rPr>
          <w:rFonts w:ascii="仿宋" w:hAnsi="仿宋" w:eastAsia="仿宋"/>
          <w:color w:val="000000"/>
          <w:sz w:val="32"/>
          <w:szCs w:val="32"/>
          <w:highlight w:val="none"/>
        </w:rPr>
        <w:t>丰富多彩的少先队活动。</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1.加强学生的行为规范养成教育。</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①</w:t>
      </w:r>
      <w:r>
        <w:rPr>
          <w:rFonts w:ascii="仿宋" w:hAnsi="仿宋" w:eastAsia="仿宋"/>
          <w:color w:val="000000"/>
          <w:sz w:val="32"/>
          <w:szCs w:val="32"/>
          <w:highlight w:val="none"/>
        </w:rPr>
        <w:t>组织好周一升旗仪式和国旗下讲话活动。</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②</w:t>
      </w:r>
      <w:r>
        <w:rPr>
          <w:rFonts w:ascii="仿宋" w:hAnsi="仿宋" w:eastAsia="仿宋"/>
          <w:color w:val="000000"/>
          <w:sz w:val="32"/>
          <w:szCs w:val="32"/>
          <w:highlight w:val="none"/>
        </w:rPr>
        <w:t>营造书香校园，组织开展好推普周活动。</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③</w:t>
      </w:r>
      <w:r>
        <w:rPr>
          <w:rFonts w:ascii="仿宋" w:hAnsi="仿宋" w:eastAsia="仿宋"/>
          <w:color w:val="000000"/>
          <w:sz w:val="32"/>
          <w:szCs w:val="32"/>
          <w:highlight w:val="none"/>
        </w:rPr>
        <w:t>强化未成年人的行为养成教育。</w:t>
      </w:r>
      <w:r>
        <w:rPr>
          <w:rFonts w:hint="eastAsia" w:ascii="仿宋" w:hAnsi="仿宋" w:eastAsia="仿宋"/>
          <w:color w:val="000000"/>
          <w:sz w:val="32"/>
          <w:szCs w:val="32"/>
          <w:highlight w:val="none"/>
        </w:rPr>
        <w:t xml:space="preserve">    </w:t>
      </w:r>
    </w:p>
    <w:p>
      <w:pPr>
        <w:ind w:firstLine="640" w:firstLineChars="200"/>
        <w:rPr>
          <w:rFonts w:hint="eastAsia" w:ascii="仿宋" w:hAnsi="仿宋" w:eastAsia="仿宋"/>
          <w:color w:val="000000"/>
          <w:sz w:val="32"/>
          <w:szCs w:val="32"/>
          <w:highlight w:val="none"/>
        </w:rPr>
      </w:pPr>
      <w:r>
        <w:rPr>
          <w:rFonts w:ascii="仿宋" w:hAnsi="仿宋" w:eastAsia="仿宋"/>
          <w:color w:val="000000"/>
          <w:sz w:val="32"/>
          <w:szCs w:val="32"/>
          <w:highlight w:val="none"/>
        </w:rPr>
        <w:t>2.加强法</w:t>
      </w:r>
      <w:r>
        <w:rPr>
          <w:rFonts w:hint="eastAsia" w:ascii="仿宋" w:hAnsi="仿宋" w:eastAsia="仿宋"/>
          <w:color w:val="000000"/>
          <w:sz w:val="32"/>
          <w:szCs w:val="32"/>
          <w:highlight w:val="none"/>
          <w:lang w:eastAsia="zh-CN"/>
        </w:rPr>
        <w:t>治</w:t>
      </w:r>
      <w:r>
        <w:rPr>
          <w:rFonts w:ascii="仿宋" w:hAnsi="仿宋" w:eastAsia="仿宋"/>
          <w:color w:val="000000"/>
          <w:sz w:val="32"/>
          <w:szCs w:val="32"/>
          <w:highlight w:val="none"/>
        </w:rPr>
        <w:t>、安全教育。</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开展法制宣传教育，实现师生违法犯罪率为零。组织全校学生收看法制教育专题片。每学期组织师生开展防震、消防应急疏散演练。</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3.加强环境教育。</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加强环境教育，提高师生环保意识，举办环保知识竞赛，开展环保主题活动。</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(二)抓住课堂教学主阵地，教学质量有所提高</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本学期，我校努力提高课堂教学效果，扎实推进素质教育进程，依靠科学搞好教学管理。</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1.以“新课程，新理念，新课堂”为主题，积极推进课程改革的实施。加强业务培训，提高业务素质。我校认真组织教师学习新课改的教学理念，教学策略和教学方法。以研促教，以教促研，帮助广大教师进一步转变了教育思想，更新了教育观念，形成了与新教育实验相适应的教育观、教学观、质量观与评价观等思想观念。</w:t>
      </w:r>
      <w:r>
        <w:rPr>
          <w:rFonts w:hint="eastAsia" w:ascii="仿宋" w:hAnsi="仿宋" w:eastAsia="仿宋"/>
          <w:color w:val="000000"/>
          <w:sz w:val="32"/>
          <w:szCs w:val="32"/>
          <w:highlight w:val="none"/>
        </w:rPr>
        <w:t xml:space="preserve">  </w:t>
      </w:r>
    </w:p>
    <w:p>
      <w:pPr>
        <w:rPr>
          <w:rFonts w:hint="eastAsia"/>
        </w:rPr>
      </w:pPr>
      <w:r>
        <w:rPr>
          <w:rFonts w:ascii="仿宋" w:hAnsi="仿宋" w:eastAsia="仿宋"/>
          <w:color w:val="000000"/>
          <w:sz w:val="32"/>
          <w:szCs w:val="32"/>
          <w:highlight w:val="none"/>
        </w:rPr>
        <w:t>2.加强课堂教学研究，提高课堂教学水平，提高教学质量。</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教导处组织</w:t>
      </w:r>
      <w:r>
        <w:rPr>
          <w:rFonts w:hint="eastAsia" w:ascii="仿宋" w:hAnsi="仿宋" w:eastAsia="仿宋"/>
          <w:color w:val="000000"/>
          <w:sz w:val="32"/>
          <w:szCs w:val="32"/>
          <w:highlight w:val="none"/>
        </w:rPr>
        <w:t>各</w:t>
      </w:r>
      <w:r>
        <w:rPr>
          <w:rFonts w:ascii="仿宋" w:hAnsi="仿宋" w:eastAsia="仿宋"/>
          <w:color w:val="000000"/>
          <w:sz w:val="32"/>
          <w:szCs w:val="32"/>
          <w:highlight w:val="none"/>
        </w:rPr>
        <w:t>教研组在新老教师中开展“一帮一”结对子活动，通过结对子活动使新老教师互帮互学，取长补短，使新教师尽快适应教学，老教师再上新台阶，促进教师专业发展，共同提高教学质量。主要要求如下：</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①老教师定期检查指导新教师的备课教案、作业批改等教学常规工作;新老教师互相听课，并有具体的教学评议。</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②骨干教师要制定好结对指导计划，认真做好结对工作，新教师要撰写成长过程的心得体会</w:t>
      </w:r>
      <w:r>
        <w:rPr>
          <w:rFonts w:hint="eastAsia" w:ascii="仿宋" w:hAnsi="仿宋" w:eastAsia="仿宋"/>
          <w:color w:val="000000"/>
          <w:sz w:val="32"/>
          <w:szCs w:val="32"/>
          <w:highlight w:val="none"/>
        </w:rPr>
        <w:t>。</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3</w:t>
      </w:r>
      <w:r>
        <w:rPr>
          <w:rFonts w:ascii="仿宋" w:hAnsi="仿宋" w:eastAsia="仿宋"/>
          <w:color w:val="000000"/>
          <w:sz w:val="32"/>
          <w:szCs w:val="32"/>
          <w:highlight w:val="none"/>
        </w:rPr>
        <w:t>.继续抓好体育、卫生和艺术教育工作。保证学生每天一小时活动时间。学校开齐了音、体、美和健康教育课，保证了课时。其次，开展丰富多彩的实践活动。体育教学认真贯彻落实学生体质健康测试标准实施工作，引导鼓励学生开展锻炼活动，使学生的身心得到健康发展。卫生工作开展了系列宣传教育等活动，引导学生养成良好的卫生习惯。艺术教育工作做到了有计划地开展丰富多彩的活动，</w:t>
      </w:r>
      <w:r>
        <w:rPr>
          <w:rFonts w:hint="eastAsia" w:ascii="仿宋" w:hAnsi="仿宋" w:eastAsia="仿宋"/>
          <w:color w:val="000000"/>
          <w:sz w:val="32"/>
          <w:szCs w:val="32"/>
          <w:highlight w:val="none"/>
        </w:rPr>
        <w:t>舞蹈队、弹唱队</w:t>
      </w:r>
      <w:r>
        <w:rPr>
          <w:rFonts w:ascii="仿宋" w:hAnsi="仿宋" w:eastAsia="仿宋"/>
          <w:color w:val="000000"/>
          <w:sz w:val="32"/>
          <w:szCs w:val="32"/>
          <w:highlight w:val="none"/>
        </w:rPr>
        <w:t>活动有</w:t>
      </w:r>
      <w:r>
        <w:rPr>
          <w:rFonts w:hint="eastAsia" w:ascii="仿宋" w:hAnsi="仿宋" w:eastAsia="仿宋"/>
          <w:color w:val="000000"/>
          <w:sz w:val="32"/>
          <w:szCs w:val="32"/>
          <w:highlight w:val="none"/>
        </w:rPr>
        <w:t>所</w:t>
      </w:r>
      <w:r>
        <w:rPr>
          <w:rFonts w:ascii="仿宋" w:hAnsi="仿宋" w:eastAsia="仿宋"/>
          <w:color w:val="000000"/>
          <w:sz w:val="32"/>
          <w:szCs w:val="32"/>
          <w:highlight w:val="none"/>
        </w:rPr>
        <w:t>成效，提高了学生的审美能力。</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三、坚持预防为主，积极创建平安校园</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1.能够认真贯彻落实上级关于学校安全工作的一系列精神，坚持“安全第一，预防为主”的方针，围绕建设平安校园，进一步建立健全了学校安全工作的各项规章制度，深入细致地宣传贯彻有关学校安全工作的法律法规，抓好学校安全保卫工作目标责任制的落实，切实做到了层层有目标，人人有责任。</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2</w:t>
      </w:r>
      <w:r>
        <w:rPr>
          <w:rFonts w:ascii="仿宋" w:hAnsi="仿宋" w:eastAsia="仿宋"/>
          <w:color w:val="000000"/>
          <w:sz w:val="32"/>
          <w:szCs w:val="32"/>
          <w:highlight w:val="none"/>
        </w:rPr>
        <w:t>.充分利用班会、队会、板报、手抄报等形式，加强安全教育，进行安全知识和安全技能的培训，增强学生的安全防范意识;以防盗窃、防火灾、防食物中毒、防交通事故、防各种意外事故为重点，广泛开展了安全教育活动。</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3.加大了安全工作的检查和整改力度。本学期，学校安装</w:t>
      </w:r>
      <w:r>
        <w:rPr>
          <w:rFonts w:hint="eastAsia" w:ascii="仿宋" w:hAnsi="仿宋" w:eastAsia="仿宋"/>
          <w:color w:val="000000"/>
          <w:sz w:val="32"/>
          <w:szCs w:val="32"/>
          <w:highlight w:val="none"/>
        </w:rPr>
        <w:t>完善</w:t>
      </w:r>
      <w:r>
        <w:rPr>
          <w:rFonts w:ascii="仿宋" w:hAnsi="仿宋" w:eastAsia="仿宋"/>
          <w:color w:val="000000"/>
          <w:sz w:val="32"/>
          <w:szCs w:val="32"/>
          <w:highlight w:val="none"/>
        </w:rPr>
        <w:t>了报警系统及校园摄像安全系统。经常检查校舍、围墙等设施，认真做好记录，发现隐患及时报告并尽快排除。</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四</w:t>
      </w:r>
      <w:r>
        <w:rPr>
          <w:rFonts w:ascii="仿宋" w:hAnsi="仿宋" w:eastAsia="仿宋"/>
          <w:color w:val="000000"/>
          <w:sz w:val="32"/>
          <w:szCs w:val="32"/>
          <w:highlight w:val="none"/>
        </w:rPr>
        <w:t>、存在的问题</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本学期，在上级领导的指导和支持下，在全体师生的共同努力下，学校工作虽然取得了一些成绩，但我们也清醒地认识到，我们的工作距离上级的要求，还有一定的差距，主要有以下几点：</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1.学校的教育教学质量有待于进一步提高，教师整体水平需提高;</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2.教师业务素质以及基本功还需要进一步提高，课堂的效率还需要进一步提高;</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3.有待提高学校特色教育的工作;</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4</w:t>
      </w:r>
      <w:r>
        <w:rPr>
          <w:rFonts w:ascii="仿宋" w:hAnsi="仿宋" w:eastAsia="仿宋"/>
          <w:color w:val="000000"/>
          <w:sz w:val="32"/>
          <w:szCs w:val="32"/>
          <w:highlight w:val="none"/>
        </w:rPr>
        <w:t>.校本教研还需继续深入，扎实开展，教师的教科研意识需要进一步提高;</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5</w:t>
      </w:r>
      <w:r>
        <w:rPr>
          <w:rFonts w:ascii="仿宋" w:hAnsi="仿宋" w:eastAsia="仿宋"/>
          <w:color w:val="000000"/>
          <w:sz w:val="32"/>
          <w:szCs w:val="32"/>
          <w:highlight w:val="none"/>
        </w:rPr>
        <w:t>.学校的管理工作需要严格按照局文件精神，需要进一步科学化、制度化、精细化。</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今后，我们将进一步加强领导的自身建设，努力提高领导的管理水平，建立健全各项管理制度，加强学校日常管理。我们相信，在上级领导的正确领导和大力支持下，在学校全体师生的通力合作下，我们学校的明天会更美好!</w:t>
      </w:r>
    </w:p>
    <w:bookmarkEnd w:id="57"/>
    <w:p>
      <w:pPr>
        <w:pStyle w:val="4"/>
        <w:bidi w:val="0"/>
        <w:rPr>
          <w:rFonts w:hint="eastAsia" w:ascii="Times New Roman" w:hAnsi="Times New Roman" w:eastAsia="仿宋_GB2312" w:cs="仿宋_GB2312"/>
          <w:color w:val="auto"/>
          <w:szCs w:val="32"/>
          <w:highlight w:val="none"/>
        </w:rPr>
      </w:pPr>
      <w:bookmarkStart w:id="12" w:name="_Toc1241541680"/>
      <w:r>
        <w:rPr>
          <w:rFonts w:hint="eastAsia"/>
        </w:rPr>
        <w:t>二、机构设置</w:t>
      </w:r>
      <w:bookmarkEnd w:id="12"/>
    </w:p>
    <w:p>
      <w:pPr>
        <w:ind w:firstLine="800" w:firstLineChars="250"/>
        <w:rPr>
          <w:rFonts w:ascii="仿宋" w:hAnsi="仿宋" w:eastAsia="仿宋"/>
          <w:sz w:val="32"/>
          <w:szCs w:val="32"/>
        </w:rPr>
      </w:pPr>
      <w:r>
        <w:rPr>
          <w:rFonts w:hint="eastAsia" w:ascii="仿宋" w:hAnsi="仿宋" w:eastAsia="仿宋"/>
          <w:sz w:val="32"/>
          <w:szCs w:val="32"/>
        </w:rPr>
        <w:t>四川省阿坝州壤塘县中壤塘乡中心校下属二级单位</w:t>
      </w:r>
      <w:r>
        <w:rPr>
          <w:rFonts w:hint="eastAsia" w:ascii="仿宋" w:hAnsi="仿宋" w:eastAsia="仿宋"/>
          <w:sz w:val="32"/>
          <w:szCs w:val="32"/>
          <w:lang w:val="en-US" w:eastAsia="zh-CN"/>
        </w:rPr>
        <w:t>0</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0</w:t>
      </w:r>
      <w:r>
        <w:rPr>
          <w:rFonts w:hint="eastAsia" w:ascii="仿宋" w:hAnsi="仿宋" w:eastAsia="仿宋"/>
          <w:sz w:val="32"/>
          <w:szCs w:val="32"/>
        </w:rPr>
        <w:t>个，其他事业单位</w:t>
      </w:r>
      <w:r>
        <w:rPr>
          <w:rFonts w:hint="eastAsia" w:ascii="仿宋" w:hAnsi="仿宋" w:eastAsia="仿宋"/>
          <w:sz w:val="32"/>
          <w:szCs w:val="32"/>
          <w:lang w:val="en-US" w:eastAsia="zh-CN"/>
        </w:rPr>
        <w:t>0</w:t>
      </w:r>
      <w:r>
        <w:rPr>
          <w:rFonts w:hint="eastAsia" w:ascii="仿宋" w:hAnsi="仿宋" w:eastAsia="仿宋"/>
          <w:sz w:val="32"/>
          <w:szCs w:val="32"/>
        </w:rPr>
        <w:t>个。</w:t>
      </w:r>
    </w:p>
    <w:p>
      <w:pPr>
        <w:pStyle w:val="2"/>
        <w:adjustRightInd w:val="0"/>
        <w:snapToGrid w:val="0"/>
        <w:spacing w:before="93" w:line="600" w:lineRule="exact"/>
        <w:ind w:firstLine="672" w:firstLineChars="210"/>
        <w:rPr>
          <w:rFonts w:ascii="仿宋" w:hAnsi="仿宋" w:eastAsia="仿宋"/>
          <w:color w:val="000000"/>
          <w:sz w:val="32"/>
          <w:szCs w:val="32"/>
        </w:rPr>
      </w:pPr>
      <w:r>
        <w:rPr>
          <w:rFonts w:hint="eastAsia" w:ascii="仿宋" w:hAnsi="仿宋" w:eastAsia="仿宋"/>
          <w:color w:val="000000"/>
          <w:sz w:val="32"/>
          <w:szCs w:val="32"/>
        </w:rPr>
        <w:t>纳入四川省阿坝州壤塘县中壤塘乡中心校</w:t>
      </w: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年度部门决算编制范围的二级预算单位包括：</w:t>
      </w:r>
    </w:p>
    <w:p>
      <w:pPr>
        <w:pStyle w:val="2"/>
        <w:numPr>
          <w:ilvl w:val="0"/>
          <w:numId w:val="0"/>
        </w:numPr>
        <w:adjustRightInd w:val="0"/>
        <w:snapToGrid w:val="0"/>
        <w:spacing w:before="93" w:line="600" w:lineRule="exact"/>
        <w:ind w:left="672" w:leftChars="0"/>
        <w:outlineLvl w:val="2"/>
        <w:rPr>
          <w:rFonts w:hint="eastAsia" w:ascii="仿宋" w:hAnsi="仿宋" w:eastAsia="仿宋"/>
          <w:color w:val="000000"/>
          <w:sz w:val="32"/>
          <w:szCs w:val="32"/>
          <w:lang w:eastAsia="zh-CN"/>
        </w:rPr>
      </w:pPr>
      <w:bookmarkStart w:id="13" w:name="_Toc13219"/>
      <w:bookmarkStart w:id="14" w:name="_Toc281617995"/>
      <w:r>
        <w:rPr>
          <w:rFonts w:hint="eastAsia" w:ascii="仿宋" w:hAnsi="仿宋" w:eastAsia="仿宋"/>
          <w:color w:val="000000"/>
          <w:sz w:val="32"/>
          <w:szCs w:val="32"/>
          <w:lang w:eastAsia="zh-CN"/>
        </w:rPr>
        <w:t>无</w:t>
      </w:r>
      <w:bookmarkEnd w:id="13"/>
      <w:bookmarkEnd w:id="14"/>
    </w:p>
    <w:p>
      <w:pPr>
        <w:rPr>
          <w:rFonts w:hint="eastAsia"/>
        </w:rPr>
      </w:pPr>
    </w:p>
    <w:p>
      <w:pPr>
        <w:pStyle w:val="3"/>
        <w:bidi w:val="0"/>
        <w:rPr>
          <w:rFonts w:hint="eastAsia"/>
        </w:rPr>
      </w:pPr>
      <w:bookmarkStart w:id="15" w:name="_Toc652914729"/>
      <w:r>
        <w:rPr>
          <w:rFonts w:hint="eastAsia"/>
        </w:rPr>
        <w:t>第二部分</w:t>
      </w:r>
      <w:r>
        <w:rPr>
          <w:rFonts w:hint="eastAsia"/>
          <w:lang w:val="en-US" w:eastAsia="zh-CN"/>
        </w:rPr>
        <w:t xml:space="preserve"> 2025年度</w:t>
      </w:r>
      <w:r>
        <w:rPr>
          <w:rFonts w:hint="eastAsia"/>
        </w:rPr>
        <w:t>部门决算情况说明</w:t>
      </w:r>
      <w:bookmarkEnd w:id="15"/>
    </w:p>
    <w:p>
      <w:pPr>
        <w:pStyle w:val="4"/>
        <w:bidi w:val="0"/>
        <w:rPr>
          <w:rFonts w:hint="eastAsia"/>
        </w:rPr>
      </w:pPr>
      <w:bookmarkStart w:id="16" w:name="_Toc1566787375"/>
      <w:r>
        <w:rPr>
          <w:rFonts w:hint="eastAsia"/>
        </w:rPr>
        <w:t>一、收入支出决算总体情况说明</w:t>
      </w:r>
      <w:bookmarkEnd w:id="16"/>
    </w:p>
    <w:p>
      <w:pPr>
        <w:ind w:firstLine="640" w:firstLineChars="200"/>
        <w:rPr>
          <w:rFonts w:hint="eastAsia" w:ascii="Times New Roman" w:hAnsi="Times New Roman" w:eastAsia="仿宋_GB2312" w:cs="仿宋_GB2312"/>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1394.71</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相比，收、支总计各增加</w:t>
      </w:r>
      <w:r>
        <w:rPr>
          <w:rFonts w:hint="eastAsia" w:ascii="仿宋" w:hAnsi="仿宋" w:eastAsia="仿宋"/>
          <w:color w:val="auto"/>
          <w:sz w:val="32"/>
          <w:szCs w:val="32"/>
          <w:highlight w:val="none"/>
          <w:lang w:val="en-US" w:eastAsia="zh-CN"/>
        </w:rPr>
        <w:t>8.99</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0.65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r>
        <w:rPr>
          <w:rFonts w:hint="eastAsia" w:ascii="仿宋" w:hAnsi="仿宋" w:eastAsia="仿宋"/>
          <w:color w:val="auto"/>
          <w:sz w:val="32"/>
          <w:szCs w:val="32"/>
          <w:highlight w:val="none"/>
          <w:lang w:eastAsia="zh-CN"/>
        </w:rPr>
        <w:t>。</w:t>
      </w:r>
    </w:p>
    <w:p>
      <w:pPr>
        <w:pStyle w:val="2"/>
      </w:pPr>
      <w:r>
        <w:drawing>
          <wp:inline distT="0" distB="0" distL="114300" distR="114300">
            <wp:extent cx="5140325" cy="2334260"/>
            <wp:effectExtent l="5080" t="4445" r="17145" b="23495"/>
            <wp:docPr id="1327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
        <w:jc w:val="center"/>
        <w:rPr>
          <w:rFonts w:hint="eastAsia"/>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14"/>
        <w:keepNext w:val="0"/>
        <w:keepLines w:val="0"/>
        <w:pageBreakBefore w:val="0"/>
        <w:widowControl w:val="0"/>
        <w:tabs>
          <w:tab w:val="left" w:pos="5198"/>
          <w:tab w:val="clear" w:pos="8296"/>
        </w:tabs>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eastAsia="仿宋_GB2312" w:cs="仿宋_GB2312"/>
          <w:color w:val="auto"/>
          <w:sz w:val="32"/>
          <w:szCs w:val="32"/>
          <w:highlight w:val="none"/>
          <w:lang w:eastAsia="zh-CN"/>
        </w:rPr>
      </w:pPr>
      <w:bookmarkStart w:id="17" w:name="_Toc848999475"/>
      <w:r>
        <w:rPr>
          <w:rStyle w:val="29"/>
          <w:rFonts w:hint="eastAsia"/>
        </w:rPr>
        <w:t>二、收入决算情况说明</w:t>
      </w:r>
      <w:bookmarkEnd w:id="17"/>
      <w:r>
        <w:rPr>
          <w:rFonts w:hint="eastAsia" w:eastAsia="仿宋_GB2312" w:cs="仿宋_GB2312"/>
          <w:color w:val="auto"/>
          <w:sz w:val="32"/>
          <w:szCs w:val="32"/>
          <w:highlight w:val="none"/>
          <w:lang w:eastAsia="zh-CN"/>
        </w:rPr>
        <w:tab/>
      </w:r>
    </w:p>
    <w:p>
      <w:pPr>
        <w:spacing w:line="600" w:lineRule="exact"/>
        <w:ind w:firstLine="640" w:firstLineChars="200"/>
        <w:outlineLvl w:val="1"/>
        <w:rPr>
          <w:rFonts w:ascii="仿宋" w:hAnsi="仿宋" w:eastAsia="仿宋"/>
          <w:color w:val="auto"/>
          <w:sz w:val="32"/>
          <w:szCs w:val="32"/>
          <w:highlight w:val="none"/>
        </w:rPr>
      </w:pPr>
      <w:bookmarkStart w:id="18" w:name="_Toc1310726391"/>
      <w:bookmarkStart w:id="19" w:name="_Toc15332"/>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1394.71</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1393.73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99.93</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0.98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18"/>
      <w:bookmarkEnd w:id="19"/>
    </w:p>
    <w:p>
      <w:pPr>
        <w:rPr>
          <w:rFonts w:hint="eastAsia" w:eastAsia="仿宋_GB2312" w:cs="仿宋_GB2312"/>
          <w:color w:val="auto"/>
          <w:sz w:val="32"/>
          <w:szCs w:val="32"/>
          <w:highlight w:val="none"/>
          <w:lang w:eastAsia="zh-CN"/>
        </w:rPr>
      </w:pPr>
      <w:bookmarkStart w:id="20" w:name="_Toc9052"/>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01表</w:t>
      </w:r>
      <w:r>
        <w:rPr>
          <w:rFonts w:hint="eastAsia" w:ascii="仿宋" w:hAnsi="仿宋" w:eastAsia="仿宋"/>
          <w:b/>
          <w:color w:val="auto"/>
          <w:sz w:val="32"/>
          <w:szCs w:val="32"/>
          <w:highlight w:val="none"/>
          <w:lang w:eastAsia="zh-CN"/>
        </w:rPr>
        <w:t>，仅罗列本部门涉及的收入。</w:t>
      </w:r>
      <w:r>
        <w:rPr>
          <w:rFonts w:ascii="仿宋" w:hAnsi="仿宋" w:eastAsia="仿宋"/>
          <w:b/>
          <w:color w:val="auto"/>
          <w:sz w:val="32"/>
          <w:szCs w:val="32"/>
          <w:highlight w:val="none"/>
        </w:rPr>
        <w:t>）</w:t>
      </w:r>
      <w:bookmarkEnd w:id="20"/>
    </w:p>
    <w:p>
      <w:pPr>
        <w:pStyle w:val="2"/>
        <w:jc w:val="center"/>
      </w:pPr>
      <w:r>
        <w:drawing>
          <wp:inline distT="0" distB="0" distL="114300" distR="114300">
            <wp:extent cx="3815080" cy="2448560"/>
            <wp:effectExtent l="4445" t="4445" r="9525" b="23495"/>
            <wp:docPr id="1327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
        <w:jc w:val="center"/>
        <w:rPr>
          <w:rFonts w:hint="eastAsia"/>
          <w:lang w:eastAsia="zh-CN"/>
        </w:rPr>
      </w:pPr>
      <w:r>
        <w:rPr>
          <w:rFonts w:hint="eastAsia" w:ascii="仿宋" w:hAnsi="仿宋" w:eastAsia="仿宋"/>
          <w:color w:val="auto"/>
          <w:sz w:val="32"/>
          <w:szCs w:val="32"/>
          <w:highlight w:val="none"/>
        </w:rPr>
        <w:t>（图2：收入决算结构图）（饼状图）</w:t>
      </w:r>
    </w:p>
    <w:p>
      <w:pPr>
        <w:pStyle w:val="4"/>
        <w:bidi w:val="0"/>
        <w:rPr>
          <w:rFonts w:hint="eastAsia" w:ascii="Times New Roman" w:hAnsi="Times New Roman" w:eastAsia="仿宋_GB2312" w:cs="仿宋_GB2312"/>
          <w:color w:val="auto"/>
          <w:szCs w:val="32"/>
          <w:highlight w:val="none"/>
        </w:rPr>
      </w:pPr>
      <w:bookmarkStart w:id="21" w:name="_Toc1410679273"/>
      <w:r>
        <w:rPr>
          <w:rFonts w:hint="eastAsia"/>
        </w:rPr>
        <w:t>三、支出决算情况说明</w:t>
      </w:r>
      <w:bookmarkEnd w:id="21"/>
    </w:p>
    <w:p>
      <w:pPr>
        <w:spacing w:line="600" w:lineRule="exact"/>
        <w:ind w:firstLine="640" w:firstLineChars="200"/>
        <w:outlineLvl w:val="1"/>
        <w:rPr>
          <w:rFonts w:ascii="仿宋" w:hAnsi="仿宋" w:eastAsia="仿宋"/>
          <w:color w:val="auto"/>
          <w:sz w:val="32"/>
          <w:szCs w:val="32"/>
          <w:highlight w:val="none"/>
        </w:rPr>
      </w:pPr>
      <w:bookmarkStart w:id="22" w:name="_Toc325525453"/>
      <w:bookmarkStart w:id="23" w:name="_Toc5075"/>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1394.71</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1143.53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82</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251.18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18</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22"/>
      <w:bookmarkEnd w:id="23"/>
    </w:p>
    <w:p>
      <w:pPr>
        <w:rPr>
          <w:rFonts w:hint="eastAsia" w:ascii="Times New Roman" w:hAnsi="Times New Roman" w:eastAsia="仿宋_GB2312" w:cs="仿宋_GB2312"/>
          <w:color w:val="auto"/>
          <w:sz w:val="32"/>
          <w:szCs w:val="32"/>
          <w:highlight w:val="none"/>
        </w:rPr>
      </w:pPr>
      <w:bookmarkStart w:id="24" w:name="_Toc25821"/>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04</w:t>
      </w:r>
      <w:r>
        <w:rPr>
          <w:rFonts w:hint="eastAsia" w:ascii="仿宋" w:hAnsi="仿宋" w:eastAsia="仿宋"/>
          <w:b/>
          <w:color w:val="auto"/>
          <w:sz w:val="32"/>
          <w:szCs w:val="32"/>
          <w:highlight w:val="none"/>
        </w:rPr>
        <w:t>表</w:t>
      </w:r>
      <w:r>
        <w:rPr>
          <w:rFonts w:hint="eastAsia" w:ascii="仿宋" w:hAnsi="仿宋" w:eastAsia="仿宋"/>
          <w:b/>
          <w:color w:val="auto"/>
          <w:sz w:val="32"/>
          <w:szCs w:val="32"/>
          <w:highlight w:val="none"/>
          <w:lang w:eastAsia="zh-CN"/>
        </w:rPr>
        <w:t>，仅罗列本部门涉及的支出。</w:t>
      </w:r>
      <w:r>
        <w:rPr>
          <w:rFonts w:hint="eastAsia" w:ascii="仿宋" w:hAnsi="仿宋" w:eastAsia="仿宋"/>
          <w:b/>
          <w:color w:val="auto"/>
          <w:sz w:val="32"/>
          <w:szCs w:val="32"/>
          <w:highlight w:val="none"/>
        </w:rPr>
        <w:t>）</w:t>
      </w:r>
      <w:bookmarkEnd w:id="24"/>
    </w:p>
    <w:p>
      <w:pPr>
        <w:pStyle w:val="2"/>
        <w:jc w:val="center"/>
      </w:pPr>
      <w:r>
        <w:drawing>
          <wp:inline distT="0" distB="0" distL="114300" distR="114300">
            <wp:extent cx="4114800" cy="2381250"/>
            <wp:effectExtent l="4445" t="4445" r="14605" b="14605"/>
            <wp:docPr id="1327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
        <w:jc w:val="center"/>
        <w:rPr>
          <w:rFonts w:hint="eastAsia"/>
        </w:rPr>
      </w:pPr>
      <w:r>
        <w:rPr>
          <w:rFonts w:hint="eastAsia" w:ascii="仿宋" w:hAnsi="仿宋" w:eastAsia="仿宋"/>
          <w:color w:val="auto"/>
          <w:sz w:val="32"/>
          <w:szCs w:val="32"/>
          <w:highlight w:val="none"/>
        </w:rPr>
        <w:t>（图3：支出决算结构图）（饼状图）</w:t>
      </w:r>
    </w:p>
    <w:p>
      <w:pPr>
        <w:pStyle w:val="4"/>
        <w:bidi w:val="0"/>
        <w:rPr>
          <w:rFonts w:hint="eastAsia"/>
        </w:rPr>
      </w:pPr>
      <w:bookmarkStart w:id="25" w:name="_Toc800692951"/>
      <w:r>
        <w:rPr>
          <w:rFonts w:hint="eastAsia"/>
        </w:rPr>
        <w:t>四、财政拨款收入支出决算总体情况说明</w:t>
      </w:r>
      <w:bookmarkEnd w:id="25"/>
    </w:p>
    <w:p>
      <w:pPr>
        <w:spacing w:line="600" w:lineRule="exact"/>
        <w:ind w:firstLine="64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1394.71</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相比，财政拨款收、支总计各增加</w:t>
      </w:r>
      <w:r>
        <w:rPr>
          <w:rFonts w:hint="eastAsia" w:ascii="仿宋" w:hAnsi="仿宋" w:eastAsia="仿宋"/>
          <w:color w:val="auto"/>
          <w:sz w:val="32"/>
          <w:szCs w:val="32"/>
          <w:highlight w:val="none"/>
          <w:lang w:val="en-US" w:eastAsia="zh-CN"/>
        </w:rPr>
        <w:t>8.99</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0.65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p>
    <w:p>
      <w:pPr>
        <w:rPr>
          <w:rFonts w:hint="eastAsia" w:ascii="Times New Roman" w:hAnsi="Times New Roman" w:eastAsia="仿宋_GB2312" w:cs="仿宋_GB2312"/>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01-1</w:t>
      </w:r>
      <w:r>
        <w:rPr>
          <w:rFonts w:hint="eastAsia" w:ascii="仿宋" w:hAnsi="仿宋" w:eastAsia="仿宋"/>
          <w:b/>
          <w:color w:val="auto"/>
          <w:sz w:val="32"/>
          <w:szCs w:val="32"/>
          <w:highlight w:val="none"/>
        </w:rPr>
        <w:t>表</w:t>
      </w:r>
      <w:r>
        <w:rPr>
          <w:rFonts w:ascii="仿宋" w:hAnsi="仿宋" w:eastAsia="仿宋"/>
          <w:b/>
          <w:color w:val="auto"/>
          <w:sz w:val="32"/>
          <w:szCs w:val="32"/>
          <w:highlight w:val="none"/>
        </w:rPr>
        <w:t>）</w:t>
      </w:r>
    </w:p>
    <w:p>
      <w:pPr>
        <w:pStyle w:val="2"/>
        <w:jc w:val="center"/>
      </w:pPr>
      <w:r>
        <w:drawing>
          <wp:inline distT="0" distB="0" distL="114300" distR="114300">
            <wp:extent cx="4531995" cy="2531745"/>
            <wp:effectExtent l="4445" t="4445" r="16510" b="16510"/>
            <wp:docPr id="1326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rPr>
          <w:rFonts w:hint="eastAsia"/>
        </w:rPr>
      </w:pPr>
      <w:r>
        <w:rPr>
          <w:rFonts w:hint="eastAsia" w:ascii="仿宋" w:hAnsi="仿宋" w:eastAsia="仿宋"/>
          <w:color w:val="auto"/>
          <w:sz w:val="32"/>
          <w:szCs w:val="32"/>
          <w:highlight w:val="none"/>
        </w:rPr>
        <w:t>（图4：财政拨款收、支决算总计变动情况）（柱状图）</w:t>
      </w:r>
    </w:p>
    <w:p>
      <w:pPr>
        <w:pStyle w:val="4"/>
        <w:bidi w:val="0"/>
        <w:rPr>
          <w:rFonts w:hint="eastAsia"/>
        </w:rPr>
      </w:pPr>
      <w:bookmarkStart w:id="26" w:name="_Toc75932187"/>
      <w:r>
        <w:rPr>
          <w:rFonts w:hint="eastAsia"/>
        </w:rPr>
        <w:t>五、一般公共预算财政拨款支出决算情况说明</w:t>
      </w:r>
      <w:bookmarkEnd w:id="26"/>
    </w:p>
    <w:p>
      <w:pPr>
        <w:spacing w:line="600" w:lineRule="exact"/>
        <w:ind w:firstLine="642" w:firstLineChars="200"/>
        <w:outlineLvl w:val="2"/>
        <w:rPr>
          <w:rFonts w:ascii="仿宋" w:hAnsi="仿宋" w:eastAsia="仿宋"/>
          <w:b/>
          <w:color w:val="auto"/>
          <w:sz w:val="32"/>
          <w:szCs w:val="32"/>
          <w:highlight w:val="none"/>
        </w:rPr>
      </w:pPr>
      <w:bookmarkStart w:id="27" w:name="_Toc883870832"/>
      <w:r>
        <w:rPr>
          <w:rFonts w:hint="eastAsia" w:ascii="仿宋" w:hAnsi="仿宋" w:eastAsia="仿宋"/>
          <w:b/>
          <w:color w:val="auto"/>
          <w:sz w:val="32"/>
          <w:szCs w:val="32"/>
          <w:highlight w:val="none"/>
        </w:rPr>
        <w:t>（一）一般公共预算财政拨款支出决算总体情况</w:t>
      </w:r>
      <w:bookmarkEnd w:id="27"/>
    </w:p>
    <w:p>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1393.73</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99.3</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增加</w:t>
      </w:r>
      <w:r>
        <w:rPr>
          <w:rFonts w:hint="eastAsia" w:ascii="仿宋" w:hAnsi="仿宋" w:eastAsia="仿宋"/>
          <w:color w:val="auto"/>
          <w:sz w:val="32"/>
          <w:szCs w:val="32"/>
          <w:highlight w:val="none"/>
          <w:lang w:val="en-US" w:eastAsia="zh-CN"/>
        </w:rPr>
        <w:t>9.5</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0.69</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p>
    <w:p>
      <w:pPr>
        <w:spacing w:line="600" w:lineRule="exact"/>
        <w:rPr>
          <w:rFonts w:ascii="仿宋" w:hAnsi="仿宋" w:eastAsia="仿宋"/>
          <w:color w:val="auto"/>
          <w:sz w:val="32"/>
          <w:szCs w:val="32"/>
          <w:highlight w:val="none"/>
        </w:rPr>
      </w:pPr>
      <w:r>
        <w:drawing>
          <wp:anchor distT="0" distB="0" distL="114300" distR="114300" simplePos="0" relativeHeight="251660288" behindDoc="0" locked="0" layoutInCell="1" allowOverlap="1">
            <wp:simplePos x="0" y="0"/>
            <wp:positionH relativeFrom="column">
              <wp:posOffset>224790</wp:posOffset>
            </wp:positionH>
            <wp:positionV relativeFrom="paragraph">
              <wp:posOffset>189230</wp:posOffset>
            </wp:positionV>
            <wp:extent cx="5271135" cy="1882140"/>
            <wp:effectExtent l="4445" t="4445" r="20320" b="18415"/>
            <wp:wrapTopAndBottom/>
            <wp:docPr id="1327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 w:hAnsi="仿宋" w:eastAsia="仿宋"/>
          <w:color w:val="auto"/>
          <w:sz w:val="32"/>
          <w:szCs w:val="32"/>
          <w:highlight w:val="none"/>
        </w:rPr>
        <w:t>（图5：一般公共预算财政拨款支出决算变动情况）（柱状图）</w:t>
      </w:r>
    </w:p>
    <w:p>
      <w:pPr>
        <w:spacing w:line="600" w:lineRule="exact"/>
        <w:ind w:firstLine="640" w:firstLineChars="200"/>
        <w:rPr>
          <w:rFonts w:ascii="仿宋" w:hAnsi="仿宋" w:eastAsia="仿宋"/>
          <w:color w:val="auto"/>
          <w:sz w:val="32"/>
          <w:szCs w:val="32"/>
          <w:highlight w:val="none"/>
        </w:rPr>
      </w:pPr>
    </w:p>
    <w:p>
      <w:pPr>
        <w:spacing w:line="600" w:lineRule="exact"/>
        <w:ind w:firstLine="642" w:firstLineChars="200"/>
        <w:outlineLvl w:val="2"/>
        <w:rPr>
          <w:rFonts w:ascii="仿宋" w:hAnsi="仿宋" w:eastAsia="仿宋"/>
          <w:b/>
          <w:color w:val="auto"/>
          <w:sz w:val="32"/>
          <w:szCs w:val="32"/>
          <w:highlight w:val="none"/>
        </w:rPr>
      </w:pPr>
      <w:bookmarkStart w:id="28" w:name="_Toc1428702582"/>
      <w:r>
        <w:rPr>
          <w:rFonts w:hint="eastAsia" w:ascii="仿宋" w:hAnsi="仿宋" w:eastAsia="仿宋"/>
          <w:b/>
          <w:color w:val="auto"/>
          <w:sz w:val="32"/>
          <w:szCs w:val="32"/>
          <w:highlight w:val="none"/>
        </w:rPr>
        <w:t>（二）一般公共预算财政拨款支出决算结构情况</w:t>
      </w:r>
      <w:bookmarkEnd w:id="28"/>
    </w:p>
    <w:p>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1394.7</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教育支出</w:t>
      </w:r>
      <w:r>
        <w:rPr>
          <w:rFonts w:hint="eastAsia" w:ascii="仿宋" w:hAnsi="仿宋" w:eastAsia="仿宋"/>
          <w:color w:val="auto"/>
          <w:sz w:val="32"/>
          <w:szCs w:val="32"/>
          <w:highlight w:val="none"/>
          <w:lang w:val="en-US" w:eastAsia="zh-CN"/>
        </w:rPr>
        <w:t>1095.8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78.57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139.97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53.28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3.82</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77.75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5.57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lang w:eastAsia="zh-CN"/>
        </w:rPr>
        <w:t>其他</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0.98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0.07</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b/>
          <w:bCs/>
          <w:color w:val="auto"/>
          <w:sz w:val="32"/>
          <w:szCs w:val="32"/>
          <w:highlight w:val="none"/>
        </w:rPr>
        <w:t>一般公共服务支出</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26.92万元</w:t>
      </w:r>
      <w:r>
        <w:rPr>
          <w:rFonts w:hint="eastAsia" w:ascii="仿宋" w:hAnsi="仿宋" w:eastAsia="仿宋"/>
          <w:color w:val="auto"/>
          <w:sz w:val="32"/>
          <w:szCs w:val="32"/>
          <w:highlight w:val="none"/>
        </w:rPr>
        <w:t>，占</w:t>
      </w:r>
      <w:r>
        <w:rPr>
          <w:rFonts w:hint="eastAsia" w:ascii="仿宋" w:hAnsi="仿宋" w:eastAsia="仿宋"/>
          <w:color w:val="auto"/>
          <w:sz w:val="32"/>
          <w:szCs w:val="32"/>
          <w:highlight w:val="none"/>
          <w:lang w:val="en-US" w:eastAsia="zh-CN"/>
        </w:rPr>
        <w:t>1.93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spacing w:line="600" w:lineRule="exact"/>
        <w:rPr>
          <w:rFonts w:ascii="仿宋" w:hAnsi="仿宋" w:eastAsia="仿宋"/>
          <w:b/>
          <w:color w:val="auto"/>
          <w:sz w:val="32"/>
          <w:szCs w:val="32"/>
          <w:highlight w:val="none"/>
        </w:rPr>
      </w:pP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注：数据来源于财决</w:t>
      </w:r>
      <w:r>
        <w:rPr>
          <w:rFonts w:hint="eastAsia" w:ascii="仿宋" w:hAnsi="仿宋" w:eastAsia="仿宋"/>
          <w:b/>
          <w:color w:val="auto"/>
          <w:sz w:val="32"/>
          <w:szCs w:val="32"/>
          <w:highlight w:val="none"/>
          <w:lang w:val="en-US" w:eastAsia="zh-CN"/>
        </w:rPr>
        <w:t>01-1表，仅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本部门涉及的全部</w:t>
      </w:r>
      <w:r>
        <w:rPr>
          <w:rFonts w:hint="eastAsia" w:ascii="仿宋" w:hAnsi="仿宋" w:eastAsia="仿宋"/>
          <w:b/>
          <w:color w:val="auto"/>
          <w:sz w:val="32"/>
          <w:szCs w:val="32"/>
          <w:highlight w:val="none"/>
        </w:rPr>
        <w:t>功能分类科目，至类级。）</w:t>
      </w:r>
    </w:p>
    <w:p>
      <w:pPr>
        <w:spacing w:line="600" w:lineRule="exact"/>
        <w:ind w:firstLine="640"/>
        <w:rPr>
          <w:rFonts w:ascii="仿宋" w:hAnsi="仿宋" w:eastAsia="仿宋"/>
          <w:color w:val="auto"/>
          <w:sz w:val="32"/>
          <w:szCs w:val="32"/>
          <w:highlight w:val="none"/>
        </w:rPr>
      </w:pPr>
      <w:r>
        <w:drawing>
          <wp:anchor distT="0" distB="0" distL="114300" distR="114300" simplePos="0" relativeHeight="251661312" behindDoc="0" locked="0" layoutInCell="1" allowOverlap="1">
            <wp:simplePos x="0" y="0"/>
            <wp:positionH relativeFrom="column">
              <wp:posOffset>734695</wp:posOffset>
            </wp:positionH>
            <wp:positionV relativeFrom="paragraph">
              <wp:posOffset>189230</wp:posOffset>
            </wp:positionV>
            <wp:extent cx="3963670" cy="2879090"/>
            <wp:effectExtent l="4445" t="4445" r="13335" b="12065"/>
            <wp:wrapTopAndBottom/>
            <wp:docPr id="1327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pPr>
        <w:spacing w:line="600" w:lineRule="exact"/>
        <w:ind w:firstLine="640" w:firstLineChars="200"/>
        <w:rPr>
          <w:rFonts w:ascii="仿宋" w:hAnsi="仿宋" w:eastAsia="仿宋"/>
          <w:color w:val="auto"/>
          <w:sz w:val="32"/>
          <w:szCs w:val="32"/>
          <w:highlight w:val="none"/>
        </w:rPr>
      </w:pPr>
    </w:p>
    <w:p>
      <w:pPr>
        <w:spacing w:line="600" w:lineRule="exact"/>
        <w:ind w:firstLine="642" w:firstLineChars="200"/>
        <w:outlineLvl w:val="2"/>
        <w:rPr>
          <w:rFonts w:ascii="仿宋" w:hAnsi="仿宋" w:eastAsia="仿宋"/>
          <w:b/>
          <w:color w:val="auto"/>
          <w:sz w:val="32"/>
          <w:szCs w:val="32"/>
          <w:highlight w:val="none"/>
        </w:rPr>
      </w:pPr>
      <w:bookmarkStart w:id="29" w:name="_Toc338324128"/>
      <w:r>
        <w:rPr>
          <w:rFonts w:hint="eastAsia" w:ascii="仿宋" w:hAnsi="仿宋" w:eastAsia="仿宋"/>
          <w:b/>
          <w:color w:val="auto"/>
          <w:sz w:val="32"/>
          <w:szCs w:val="32"/>
          <w:highlight w:val="none"/>
        </w:rPr>
        <w:t>（三）一般公共预算财政拨款支出决算具体情况</w:t>
      </w:r>
      <w:bookmarkEnd w:id="29"/>
    </w:p>
    <w:p>
      <w:pPr>
        <w:spacing w:line="600" w:lineRule="exact"/>
        <w:ind w:firstLine="642" w:firstLineChars="200"/>
        <w:outlineLvl w:val="2"/>
        <w:rPr>
          <w:rFonts w:ascii="仿宋" w:hAnsi="仿宋" w:eastAsia="仿宋"/>
          <w:color w:val="auto"/>
          <w:sz w:val="32"/>
          <w:szCs w:val="32"/>
          <w:highlight w:val="none"/>
        </w:rPr>
      </w:pPr>
      <w:bookmarkStart w:id="30" w:name="_Toc1569585631"/>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度一</w:t>
      </w:r>
      <w:r>
        <w:rPr>
          <w:rFonts w:hint="eastAsia" w:ascii="仿宋" w:hAnsi="仿宋" w:eastAsia="仿宋"/>
          <w:b/>
          <w:color w:val="auto"/>
          <w:sz w:val="32"/>
          <w:szCs w:val="32"/>
          <w:highlight w:val="none"/>
        </w:rPr>
        <w:t>般公共预算支出决算数为</w:t>
      </w:r>
      <w:r>
        <w:rPr>
          <w:rFonts w:hint="eastAsia" w:ascii="仿宋" w:hAnsi="仿宋" w:eastAsia="仿宋"/>
          <w:color w:val="auto"/>
          <w:sz w:val="32"/>
          <w:szCs w:val="32"/>
          <w:highlight w:val="none"/>
          <w:lang w:val="en-US" w:eastAsia="zh-CN"/>
        </w:rPr>
        <w:t>1394.7，</w:t>
      </w:r>
      <w:r>
        <w:rPr>
          <w:rStyle w:val="17"/>
          <w:rFonts w:hint="eastAsia" w:ascii="仿宋" w:hAnsi="仿宋" w:eastAsia="仿宋"/>
          <w:bCs/>
          <w:color w:val="auto"/>
          <w:sz w:val="32"/>
          <w:szCs w:val="32"/>
          <w:highlight w:val="none"/>
        </w:rPr>
        <w:t>完成预算</w:t>
      </w:r>
      <w:r>
        <w:rPr>
          <w:rStyle w:val="17"/>
          <w:rFonts w:hint="eastAsia" w:ascii="仿宋" w:hAnsi="仿宋" w:eastAsia="仿宋"/>
          <w:bCs/>
          <w:color w:val="auto"/>
          <w:sz w:val="32"/>
          <w:szCs w:val="32"/>
          <w:highlight w:val="none"/>
          <w:lang w:val="en-US" w:eastAsia="zh-CN"/>
        </w:rPr>
        <w:t>100</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。其中：</w:t>
      </w:r>
      <w:bookmarkEnd w:id="30"/>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1</w:t>
      </w:r>
      <w:r>
        <w:rPr>
          <w:rStyle w:val="17"/>
          <w:rFonts w:ascii="仿宋" w:hAnsi="仿宋" w:eastAsia="仿宋"/>
          <w:bCs/>
          <w:color w:val="auto"/>
          <w:sz w:val="32"/>
          <w:szCs w:val="32"/>
          <w:highlight w:val="none"/>
        </w:rPr>
        <w:t>.</w:t>
      </w:r>
      <w:r>
        <w:rPr>
          <w:rStyle w:val="17"/>
          <w:rFonts w:hint="eastAsia" w:ascii="仿宋" w:hAnsi="仿宋" w:eastAsia="仿宋"/>
          <w:bCs/>
          <w:color w:val="000000"/>
          <w:sz w:val="32"/>
          <w:szCs w:val="32"/>
          <w:highlight w:val="none"/>
        </w:rPr>
        <w:t>教育（</w:t>
      </w:r>
      <w:r>
        <w:rPr>
          <w:rStyle w:val="17"/>
          <w:rFonts w:hint="eastAsia" w:ascii="仿宋" w:hAnsi="仿宋" w:eastAsia="仿宋"/>
          <w:bCs/>
          <w:color w:val="000000"/>
          <w:sz w:val="32"/>
          <w:szCs w:val="32"/>
          <w:highlight w:val="none"/>
          <w:lang w:val="en-US" w:eastAsia="zh-CN"/>
        </w:rPr>
        <w:t>205</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普通教育（</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lang w:eastAsia="zh-CN"/>
        </w:rPr>
        <w:t>）学前教育（</w:t>
      </w:r>
      <w:r>
        <w:rPr>
          <w:rStyle w:val="17"/>
          <w:rFonts w:hint="eastAsia" w:ascii="仿宋" w:hAnsi="仿宋" w:eastAsia="仿宋"/>
          <w:bCs/>
          <w:color w:val="000000"/>
          <w:sz w:val="32"/>
          <w:szCs w:val="32"/>
          <w:highlight w:val="none"/>
          <w:lang w:val="en-US" w:eastAsia="zh-CN"/>
        </w:rPr>
        <w:t>01</w:t>
      </w:r>
      <w:r>
        <w:rPr>
          <w:rStyle w:val="17"/>
          <w:rFonts w:hint="eastAsia" w:ascii="仿宋" w:hAnsi="仿宋" w:eastAsia="仿宋"/>
          <w:bCs/>
          <w:color w:val="000000"/>
          <w:sz w:val="32"/>
          <w:szCs w:val="32"/>
          <w:highlight w:val="none"/>
          <w:lang w:eastAsia="zh-CN"/>
        </w:rPr>
        <w:t>）小学教育</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）其他普通教育支出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99</w:t>
      </w:r>
      <w:r>
        <w:rPr>
          <w:rStyle w:val="17"/>
          <w:rFonts w:hint="eastAsia" w:ascii="仿宋" w:hAnsi="仿宋" w:eastAsia="仿宋"/>
          <w:bCs/>
          <w:color w:val="000000"/>
          <w:sz w:val="32"/>
          <w:szCs w:val="32"/>
          <w:highlight w:val="none"/>
          <w:lang w:eastAsia="zh-CN"/>
        </w:rPr>
        <w:t>）</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1095.8</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2</w:t>
      </w:r>
      <w:r>
        <w:rPr>
          <w:rStyle w:val="17"/>
          <w:rFonts w:ascii="仿宋" w:hAnsi="仿宋" w:eastAsia="仿宋"/>
          <w:bCs/>
          <w:color w:val="auto"/>
          <w:sz w:val="32"/>
          <w:szCs w:val="32"/>
          <w:highlight w:val="none"/>
        </w:rPr>
        <w:t>.</w:t>
      </w:r>
      <w:r>
        <w:rPr>
          <w:rStyle w:val="17"/>
          <w:rFonts w:hint="eastAsia" w:ascii="仿宋" w:hAnsi="仿宋" w:eastAsia="仿宋"/>
          <w:bCs/>
          <w:color w:val="000000"/>
          <w:sz w:val="32"/>
          <w:szCs w:val="32"/>
          <w:highlight w:val="none"/>
        </w:rPr>
        <w:t>社会保障和就业（</w:t>
      </w:r>
      <w:r>
        <w:rPr>
          <w:rStyle w:val="17"/>
          <w:rFonts w:hint="eastAsia" w:ascii="仿宋" w:hAnsi="仿宋" w:eastAsia="仿宋"/>
          <w:bCs/>
          <w:color w:val="000000"/>
          <w:sz w:val="32"/>
          <w:szCs w:val="32"/>
          <w:highlight w:val="none"/>
          <w:lang w:val="en-US" w:eastAsia="zh-CN"/>
        </w:rPr>
        <w:t>208</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行政事业单位养老支出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05</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机关事业单位基本养老保险缴费支出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05</w:t>
      </w:r>
      <w:r>
        <w:rPr>
          <w:rStyle w:val="17"/>
          <w:rFonts w:hint="eastAsia" w:ascii="仿宋" w:hAnsi="仿宋" w:eastAsia="仿宋"/>
          <w:bCs/>
          <w:color w:val="000000"/>
          <w:sz w:val="32"/>
          <w:szCs w:val="32"/>
          <w:highlight w:val="none"/>
        </w:rPr>
        <w:t>）</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139.97</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3</w:t>
      </w:r>
      <w:r>
        <w:rPr>
          <w:rStyle w:val="17"/>
          <w:rFonts w:ascii="仿宋" w:hAnsi="仿宋" w:eastAsia="仿宋"/>
          <w:bCs/>
          <w:color w:val="auto"/>
          <w:sz w:val="32"/>
          <w:szCs w:val="32"/>
          <w:highlight w:val="none"/>
        </w:rPr>
        <w:t>.</w:t>
      </w:r>
      <w:r>
        <w:rPr>
          <w:rFonts w:hint="eastAsia" w:ascii="仿宋" w:hAnsi="仿宋" w:eastAsia="仿宋"/>
          <w:b/>
          <w:bCs/>
          <w:color w:val="000000"/>
          <w:sz w:val="32"/>
          <w:szCs w:val="32"/>
          <w:highlight w:val="none"/>
        </w:rPr>
        <w:t>卫生健康</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210</w:t>
      </w:r>
      <w:r>
        <w:rPr>
          <w:rStyle w:val="17"/>
          <w:rFonts w:hint="eastAsia" w:ascii="仿宋" w:hAnsi="仿宋" w:eastAsia="仿宋"/>
          <w:bCs/>
          <w:color w:val="000000"/>
          <w:sz w:val="32"/>
          <w:szCs w:val="32"/>
          <w:highlight w:val="none"/>
        </w:rPr>
        <w:t>） 重大公共卫生服务</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09</w:t>
      </w:r>
      <w:r>
        <w:rPr>
          <w:rStyle w:val="17"/>
          <w:rFonts w:hint="eastAsia" w:ascii="仿宋" w:hAnsi="仿宋" w:eastAsia="仿宋"/>
          <w:bCs/>
          <w:color w:val="000000"/>
          <w:sz w:val="32"/>
          <w:szCs w:val="32"/>
          <w:highlight w:val="none"/>
          <w:lang w:eastAsia="zh-CN"/>
        </w:rPr>
        <w:t>）卫生健康支出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11</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事业单位医疗</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53.28</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Style w:val="17"/>
          <w:rFonts w:hint="eastAsia" w:ascii="仿宋" w:hAnsi="仿宋" w:eastAsia="仿宋"/>
          <w:b w:val="0"/>
          <w:bCs/>
          <w:color w:val="000000"/>
          <w:sz w:val="32"/>
          <w:szCs w:val="32"/>
          <w:highlight w:val="none"/>
        </w:rPr>
      </w:pPr>
      <w:r>
        <w:rPr>
          <w:rStyle w:val="17"/>
          <w:rFonts w:hint="eastAsia" w:ascii="仿宋" w:hAnsi="仿宋" w:eastAsia="仿宋"/>
          <w:bCs/>
          <w:color w:val="000000"/>
          <w:sz w:val="32"/>
          <w:szCs w:val="32"/>
          <w:highlight w:val="none"/>
          <w:lang w:val="en-US" w:eastAsia="zh-CN"/>
        </w:rPr>
        <w:t>4</w:t>
      </w:r>
      <w:r>
        <w:rPr>
          <w:rStyle w:val="17"/>
          <w:rFonts w:ascii="仿宋" w:hAnsi="仿宋" w:eastAsia="仿宋"/>
          <w:bCs/>
          <w:color w:val="000000"/>
          <w:sz w:val="32"/>
          <w:szCs w:val="32"/>
          <w:highlight w:val="none"/>
        </w:rPr>
        <w:t>.</w:t>
      </w:r>
      <w:r>
        <w:rPr>
          <w:rFonts w:hint="eastAsia" w:ascii="仿宋" w:hAnsi="仿宋" w:eastAsia="仿宋"/>
          <w:b/>
          <w:bCs/>
          <w:color w:val="000000"/>
          <w:sz w:val="32"/>
          <w:szCs w:val="32"/>
          <w:highlight w:val="none"/>
          <w:lang w:eastAsia="zh-CN"/>
        </w:rPr>
        <w:t>住房保障支出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221</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住房改革支出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住房公积金</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01</w:t>
      </w:r>
      <w:r>
        <w:rPr>
          <w:rStyle w:val="17"/>
          <w:rFonts w:hint="eastAsia" w:ascii="仿宋" w:hAnsi="仿宋" w:eastAsia="仿宋"/>
          <w:bCs/>
          <w:color w:val="000000"/>
          <w:sz w:val="32"/>
          <w:szCs w:val="32"/>
          <w:highlight w:val="none"/>
        </w:rPr>
        <w:t>） 购房补贴</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03</w:t>
      </w:r>
      <w:r>
        <w:rPr>
          <w:rStyle w:val="17"/>
          <w:rFonts w:hint="eastAsia" w:ascii="仿宋" w:hAnsi="仿宋" w:eastAsia="仿宋"/>
          <w:bCs/>
          <w:color w:val="000000"/>
          <w:sz w:val="32"/>
          <w:szCs w:val="32"/>
          <w:highlight w:val="none"/>
          <w:lang w:eastAsia="zh-CN"/>
        </w:rPr>
        <w:t>）</w:t>
      </w:r>
      <w:r>
        <w:rPr>
          <w:rStyle w:val="17"/>
          <w:rFonts w:ascii="仿宋" w:hAnsi="仿宋" w:eastAsia="仿宋"/>
          <w:bCs/>
          <w:color w:val="000000"/>
          <w:sz w:val="32"/>
          <w:szCs w:val="32"/>
          <w:highlight w:val="none"/>
        </w:rPr>
        <w:t>:</w:t>
      </w:r>
      <w:r>
        <w:rPr>
          <w:rStyle w:val="17"/>
          <w:rFonts w:hint="eastAsia" w:ascii="仿宋" w:hAnsi="仿宋" w:eastAsia="仿宋"/>
          <w:b w:val="0"/>
          <w:bCs/>
          <w:color w:val="000000"/>
          <w:sz w:val="32"/>
          <w:szCs w:val="32"/>
          <w:highlight w:val="none"/>
        </w:rPr>
        <w:t>支出决算为</w:t>
      </w:r>
      <w:r>
        <w:rPr>
          <w:rFonts w:hint="eastAsia" w:ascii="仿宋" w:hAnsi="仿宋" w:eastAsia="仿宋" w:cs="Times New Roman"/>
          <w:color w:val="auto"/>
          <w:sz w:val="32"/>
          <w:szCs w:val="32"/>
          <w:highlight w:val="none"/>
          <w:lang w:val="en-US" w:eastAsia="zh-CN"/>
        </w:rPr>
        <w:t>77.75</w:t>
      </w:r>
      <w:r>
        <w:rPr>
          <w:rStyle w:val="17"/>
          <w:rFonts w:hint="eastAsia" w:ascii="仿宋" w:hAnsi="仿宋" w:eastAsia="仿宋"/>
          <w:b w:val="0"/>
          <w:bCs/>
          <w:color w:val="000000"/>
          <w:sz w:val="32"/>
          <w:szCs w:val="32"/>
          <w:highlight w:val="none"/>
        </w:rPr>
        <w:t>万元</w:t>
      </w:r>
      <w:r>
        <w:rPr>
          <w:rStyle w:val="17"/>
          <w:rFonts w:hint="eastAsia" w:ascii="仿宋" w:hAnsi="仿宋" w:eastAsia="仿宋"/>
          <w:b w:val="0"/>
          <w:bCs/>
          <w:color w:val="000000"/>
          <w:sz w:val="32"/>
          <w:szCs w:val="32"/>
          <w:highlight w:val="none"/>
          <w:lang w:eastAsia="zh-CN"/>
        </w:rPr>
        <w:t>、，</w:t>
      </w:r>
      <w:r>
        <w:rPr>
          <w:rStyle w:val="17"/>
          <w:rFonts w:hint="eastAsia" w:ascii="仿宋" w:hAnsi="仿宋" w:eastAsia="仿宋"/>
          <w:b w:val="0"/>
          <w:bCs/>
          <w:color w:val="000000"/>
          <w:sz w:val="32"/>
          <w:szCs w:val="32"/>
          <w:highlight w:val="none"/>
        </w:rPr>
        <w:t>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000000"/>
          <w:sz w:val="32"/>
          <w:szCs w:val="32"/>
          <w:highlight w:val="none"/>
        </w:rPr>
        <w:t>，决算数等于预算数。</w:t>
      </w:r>
    </w:p>
    <w:p>
      <w:pPr>
        <w:spacing w:line="600" w:lineRule="exact"/>
        <w:ind w:firstLine="642" w:firstLineChars="200"/>
        <w:rPr>
          <w:rStyle w:val="17"/>
          <w:rFonts w:hint="eastAsia" w:ascii="仿宋" w:hAnsi="仿宋" w:eastAsia="仿宋"/>
          <w:b w:val="0"/>
          <w:bCs/>
          <w:color w:val="000000"/>
          <w:sz w:val="32"/>
          <w:szCs w:val="32"/>
          <w:highlight w:val="none"/>
        </w:rPr>
      </w:pPr>
      <w:r>
        <w:rPr>
          <w:rStyle w:val="17"/>
          <w:rFonts w:hint="eastAsia" w:ascii="仿宋" w:hAnsi="仿宋" w:eastAsia="仿宋"/>
          <w:bCs/>
          <w:color w:val="000000"/>
          <w:sz w:val="32"/>
          <w:szCs w:val="32"/>
          <w:highlight w:val="none"/>
          <w:lang w:val="en-US" w:eastAsia="zh-CN"/>
        </w:rPr>
        <w:t>5</w:t>
      </w:r>
      <w:r>
        <w:rPr>
          <w:rStyle w:val="17"/>
          <w:rFonts w:ascii="仿宋" w:hAnsi="仿宋" w:eastAsia="仿宋"/>
          <w:bCs/>
          <w:color w:val="000000"/>
          <w:sz w:val="32"/>
          <w:szCs w:val="32"/>
          <w:highlight w:val="none"/>
        </w:rPr>
        <w:t>.</w:t>
      </w:r>
      <w:r>
        <w:rPr>
          <w:rStyle w:val="17"/>
          <w:rFonts w:hint="eastAsia" w:ascii="仿宋" w:hAnsi="仿宋" w:eastAsia="仿宋"/>
          <w:bCs/>
          <w:color w:val="000000"/>
          <w:sz w:val="32"/>
          <w:szCs w:val="32"/>
          <w:highlight w:val="none"/>
        </w:rPr>
        <w:t>其他支出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229</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rPr>
        <w:t>彩票公益金安排的支出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60</w:t>
      </w:r>
      <w:r>
        <w:rPr>
          <w:rStyle w:val="17"/>
          <w:rFonts w:hint="eastAsia" w:ascii="仿宋" w:hAnsi="仿宋" w:eastAsia="仿宋"/>
          <w:bCs/>
          <w:color w:val="000000"/>
          <w:sz w:val="32"/>
          <w:szCs w:val="32"/>
          <w:highlight w:val="none"/>
          <w:lang w:eastAsia="zh-CN"/>
        </w:rPr>
        <w:t>）用于教育事业的彩票公益金支出（</w:t>
      </w:r>
      <w:r>
        <w:rPr>
          <w:rStyle w:val="17"/>
          <w:rFonts w:hint="eastAsia" w:ascii="仿宋" w:hAnsi="仿宋" w:eastAsia="仿宋"/>
          <w:bCs/>
          <w:color w:val="000000"/>
          <w:sz w:val="32"/>
          <w:szCs w:val="32"/>
          <w:highlight w:val="none"/>
          <w:lang w:val="en-US" w:eastAsia="zh-CN"/>
        </w:rPr>
        <w:t>04）</w:t>
      </w:r>
      <w:r>
        <w:rPr>
          <w:rStyle w:val="17"/>
          <w:rFonts w:ascii="仿宋" w:hAnsi="仿宋" w:eastAsia="仿宋"/>
          <w:bCs/>
          <w:color w:val="000000"/>
          <w:sz w:val="32"/>
          <w:szCs w:val="32"/>
          <w:highlight w:val="none"/>
        </w:rPr>
        <w:t>:</w:t>
      </w:r>
      <w:r>
        <w:rPr>
          <w:rStyle w:val="17"/>
          <w:rFonts w:hint="eastAsia" w:ascii="仿宋" w:hAnsi="仿宋" w:eastAsia="仿宋"/>
          <w:b w:val="0"/>
          <w:bCs/>
          <w:color w:val="000000"/>
          <w:sz w:val="32"/>
          <w:szCs w:val="32"/>
          <w:highlight w:val="none"/>
        </w:rPr>
        <w:t>支出决算为</w:t>
      </w:r>
      <w:r>
        <w:rPr>
          <w:rFonts w:hint="eastAsia" w:ascii="仿宋" w:hAnsi="仿宋" w:eastAsia="仿宋" w:cs="Times New Roman"/>
          <w:color w:val="auto"/>
          <w:sz w:val="32"/>
          <w:szCs w:val="32"/>
          <w:highlight w:val="none"/>
          <w:lang w:val="en-US" w:eastAsia="zh-CN"/>
        </w:rPr>
        <w:t>0.98</w:t>
      </w:r>
      <w:r>
        <w:rPr>
          <w:rStyle w:val="17"/>
          <w:rFonts w:hint="eastAsia" w:ascii="仿宋" w:hAnsi="仿宋" w:eastAsia="仿宋"/>
          <w:b w:val="0"/>
          <w:bCs/>
          <w:color w:val="000000"/>
          <w:sz w:val="32"/>
          <w:szCs w:val="32"/>
          <w:highlight w:val="none"/>
          <w:lang w:val="en-US" w:eastAsia="zh-CN"/>
        </w:rPr>
        <w:t>万元</w:t>
      </w:r>
      <w:r>
        <w:rPr>
          <w:rStyle w:val="17"/>
          <w:rFonts w:hint="eastAsia" w:ascii="仿宋" w:hAnsi="仿宋" w:eastAsia="仿宋"/>
          <w:b w:val="0"/>
          <w:bCs/>
          <w:color w:val="000000"/>
          <w:sz w:val="32"/>
          <w:szCs w:val="32"/>
          <w:highlight w:val="none"/>
          <w:lang w:eastAsia="zh-CN"/>
        </w:rPr>
        <w:t>，</w:t>
      </w:r>
      <w:r>
        <w:rPr>
          <w:rStyle w:val="17"/>
          <w:rFonts w:hint="eastAsia" w:ascii="仿宋" w:hAnsi="仿宋" w:eastAsia="仿宋"/>
          <w:b w:val="0"/>
          <w:bCs/>
          <w:color w:val="000000"/>
          <w:sz w:val="32"/>
          <w:szCs w:val="32"/>
          <w:highlight w:val="none"/>
        </w:rPr>
        <w:t>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000000"/>
          <w:sz w:val="32"/>
          <w:szCs w:val="32"/>
          <w:highlight w:val="none"/>
        </w:rPr>
        <w:t>，决算数等于预算数。</w:t>
      </w:r>
    </w:p>
    <w:p>
      <w:pPr>
        <w:ind w:firstLine="642" w:firstLineChars="200"/>
        <w:rPr>
          <w:rFonts w:hint="eastAsia"/>
        </w:rPr>
      </w:pPr>
      <w:r>
        <w:rPr>
          <w:rStyle w:val="17"/>
          <w:rFonts w:hint="eastAsia" w:ascii="仿宋" w:hAnsi="仿宋" w:eastAsia="仿宋"/>
          <w:bCs/>
          <w:color w:val="auto"/>
          <w:sz w:val="32"/>
          <w:szCs w:val="32"/>
          <w:highlight w:val="none"/>
          <w:lang w:val="en-US" w:eastAsia="zh-CN"/>
        </w:rPr>
        <w:t>6.</w:t>
      </w:r>
      <w:r>
        <w:rPr>
          <w:rStyle w:val="17"/>
          <w:rFonts w:hint="eastAsia" w:ascii="仿宋" w:hAnsi="仿宋" w:eastAsia="仿宋"/>
          <w:bCs/>
          <w:color w:val="auto"/>
          <w:sz w:val="32"/>
          <w:szCs w:val="32"/>
          <w:highlight w:val="none"/>
        </w:rPr>
        <w:t>一般公共服务（</w:t>
      </w:r>
      <w:r>
        <w:rPr>
          <w:rStyle w:val="17"/>
          <w:rFonts w:hint="eastAsia" w:ascii="仿宋" w:hAnsi="仿宋" w:eastAsia="仿宋"/>
          <w:bCs/>
          <w:color w:val="auto"/>
          <w:sz w:val="32"/>
          <w:szCs w:val="32"/>
          <w:highlight w:val="none"/>
          <w:lang w:val="en-US" w:eastAsia="zh-CN"/>
        </w:rPr>
        <w:t>201</w:t>
      </w:r>
      <w:r>
        <w:rPr>
          <w:rStyle w:val="17"/>
          <w:rFonts w:hint="eastAsia" w:ascii="仿宋" w:hAnsi="仿宋" w:eastAsia="仿宋"/>
          <w:bCs/>
          <w:color w:val="auto"/>
          <w:sz w:val="32"/>
          <w:szCs w:val="32"/>
          <w:highlight w:val="none"/>
        </w:rPr>
        <w:t>）</w:t>
      </w:r>
      <w:r>
        <w:rPr>
          <w:rStyle w:val="17"/>
          <w:rFonts w:hint="eastAsia" w:ascii="仿宋" w:hAnsi="仿宋" w:eastAsia="仿宋" w:cs="Times New Roman"/>
          <w:bCs/>
          <w:color w:val="auto"/>
          <w:sz w:val="32"/>
          <w:szCs w:val="32"/>
          <w:highlight w:val="none"/>
        </w:rPr>
        <w:t>组织事务（32）其他组织事务支出（99）</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26.92</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Style w:val="17"/>
          <w:rFonts w:hint="eastAsia" w:ascii="仿宋" w:hAnsi="仿宋" w:eastAsia="仿宋"/>
          <w:b w:val="0"/>
          <w:bCs/>
          <w:color w:val="000000"/>
          <w:sz w:val="32"/>
          <w:szCs w:val="32"/>
          <w:highlight w:val="none"/>
        </w:rPr>
        <w:t>决算数等于预算数。</w:t>
      </w:r>
    </w:p>
    <w:p>
      <w:pPr>
        <w:pStyle w:val="4"/>
        <w:bidi w:val="0"/>
        <w:rPr>
          <w:rFonts w:hint="eastAsia"/>
        </w:rPr>
      </w:pPr>
      <w:bookmarkStart w:id="31" w:name="_Toc145695876"/>
      <w:r>
        <w:rPr>
          <w:rFonts w:hint="eastAsia"/>
        </w:rPr>
        <w:t>六、一般公共预算财政拨款基本支出决算情况说明</w:t>
      </w:r>
      <w:bookmarkEnd w:id="31"/>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1394.7</w:t>
      </w:r>
      <w:r>
        <w:rPr>
          <w:rFonts w:hint="eastAsia" w:ascii="仿宋" w:hAnsi="仿宋" w:eastAsia="仿宋"/>
          <w:color w:val="auto"/>
          <w:sz w:val="32"/>
          <w:szCs w:val="32"/>
          <w:highlight w:val="none"/>
        </w:rPr>
        <w:t>万元，其中：</w:t>
      </w:r>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1128.92</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14.61</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rPr>
          <w:rFonts w:hint="eastAsia"/>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7表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08-1表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仅罗列</w:t>
      </w:r>
      <w:r>
        <w:rPr>
          <w:rFonts w:hint="eastAsia" w:ascii="仿宋" w:hAnsi="仿宋" w:eastAsia="仿宋"/>
          <w:b/>
          <w:color w:val="auto"/>
          <w:sz w:val="32"/>
          <w:szCs w:val="32"/>
          <w:highlight w:val="none"/>
        </w:rPr>
        <w:t>本部门实际支出</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经济分类科目。）</w:t>
      </w:r>
    </w:p>
    <w:p>
      <w:pPr>
        <w:pStyle w:val="4"/>
        <w:bidi w:val="0"/>
        <w:rPr>
          <w:rFonts w:hint="eastAsia"/>
        </w:rPr>
      </w:pPr>
      <w:bookmarkStart w:id="32" w:name="_Toc1509353687"/>
      <w:r>
        <w:rPr>
          <w:rFonts w:hint="eastAsia"/>
        </w:rPr>
        <w:t>七、财政拨款</w:t>
      </w:r>
      <w:r>
        <w:rPr>
          <w:rFonts w:hint="eastAsia"/>
          <w:lang w:eastAsia="zh-CN"/>
        </w:rPr>
        <w:t>“</w:t>
      </w:r>
      <w:r>
        <w:rPr>
          <w:rFonts w:hint="eastAsia"/>
        </w:rPr>
        <w:t>三公”经费支出决算情况说明</w:t>
      </w:r>
      <w:bookmarkEnd w:id="32"/>
    </w:p>
    <w:p>
      <w:pPr>
        <w:spacing w:line="600" w:lineRule="exact"/>
        <w:ind w:firstLine="640"/>
        <w:outlineLvl w:val="2"/>
        <w:rPr>
          <w:rFonts w:ascii="仿宋" w:hAnsi="仿宋" w:eastAsia="仿宋"/>
          <w:b/>
          <w:color w:val="auto"/>
          <w:sz w:val="32"/>
          <w:szCs w:val="32"/>
          <w:highlight w:val="none"/>
        </w:rPr>
      </w:pPr>
      <w:bookmarkStart w:id="33" w:name="_Toc1338254515"/>
      <w:r>
        <w:rPr>
          <w:rFonts w:hint="eastAsia" w:ascii="仿宋" w:hAnsi="仿宋" w:eastAsia="仿宋"/>
          <w:b/>
          <w:color w:val="auto"/>
          <w:sz w:val="32"/>
          <w:szCs w:val="32"/>
          <w:highlight w:val="none"/>
        </w:rPr>
        <w:t>（一）“三公”经费财政拨款支出决算总体情况说明</w:t>
      </w:r>
      <w:bookmarkEnd w:id="33"/>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较上年度增加</w:t>
      </w:r>
      <w:r>
        <w:rPr>
          <w:rFonts w:hint="eastAsia" w:ascii="仿宋" w:hAnsi="仿宋" w:eastAsia="仿宋"/>
          <w:color w:val="auto"/>
          <w:sz w:val="32"/>
          <w:szCs w:val="32"/>
          <w:highlight w:val="none"/>
          <w:lang w:val="en-US" w:eastAsia="zh-CN"/>
        </w:rPr>
        <w:t>0万元，增长0%。本学校无此项内容</w:t>
      </w:r>
      <w:r>
        <w:rPr>
          <w:rFonts w:hint="eastAsia" w:ascii="仿宋" w:hAnsi="仿宋" w:eastAsia="仿宋"/>
          <w:color w:val="auto"/>
          <w:sz w:val="32"/>
          <w:szCs w:val="32"/>
          <w:highlight w:val="none"/>
        </w:rPr>
        <w:t>。</w:t>
      </w:r>
    </w:p>
    <w:p>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（注：上述“预算”口径为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数，包括</w:t>
      </w:r>
      <w:r>
        <w:rPr>
          <w:rFonts w:hint="eastAsia" w:ascii="仿宋" w:hAnsi="仿宋" w:eastAsia="仿宋"/>
          <w:b/>
          <w:color w:val="auto"/>
          <w:sz w:val="32"/>
          <w:szCs w:val="32"/>
          <w:highlight w:val="none"/>
          <w:lang w:eastAsia="zh-CN"/>
        </w:rPr>
        <w:t>一般公共预算和</w:t>
      </w:r>
      <w:r>
        <w:rPr>
          <w:rFonts w:hint="eastAsia" w:ascii="仿宋" w:hAnsi="仿宋" w:eastAsia="仿宋"/>
          <w:b/>
          <w:color w:val="auto"/>
          <w:sz w:val="32"/>
          <w:szCs w:val="32"/>
          <w:highlight w:val="none"/>
        </w:rPr>
        <w:t>政府性基金</w:t>
      </w:r>
      <w:r>
        <w:rPr>
          <w:rFonts w:hint="eastAsia" w:ascii="仿宋" w:hAnsi="仿宋" w:eastAsia="仿宋"/>
          <w:b/>
          <w:color w:val="auto"/>
          <w:sz w:val="32"/>
          <w:szCs w:val="32"/>
          <w:highlight w:val="none"/>
          <w:lang w:eastAsia="zh-CN"/>
        </w:rPr>
        <w:t>预算财政拨款</w:t>
      </w:r>
      <w:r>
        <w:rPr>
          <w:rFonts w:hint="eastAsia" w:ascii="仿宋" w:hAnsi="仿宋" w:eastAsia="仿宋"/>
          <w:b/>
          <w:color w:val="auto"/>
          <w:sz w:val="32"/>
          <w:szCs w:val="32"/>
          <w:highlight w:val="none"/>
        </w:rPr>
        <w:t>支出决算情况。）</w:t>
      </w:r>
    </w:p>
    <w:p>
      <w:pPr>
        <w:spacing w:line="600" w:lineRule="exact"/>
        <w:ind w:firstLine="640"/>
        <w:outlineLvl w:val="2"/>
        <w:rPr>
          <w:rFonts w:ascii="仿宋" w:hAnsi="仿宋" w:eastAsia="仿宋"/>
          <w:b/>
          <w:color w:val="auto"/>
          <w:sz w:val="32"/>
          <w:szCs w:val="32"/>
          <w:highlight w:val="none"/>
        </w:rPr>
      </w:pPr>
      <w:bookmarkStart w:id="34" w:name="_Toc1209044585"/>
      <w:r>
        <w:rPr>
          <w:rFonts w:hint="eastAsia" w:ascii="仿宋" w:hAnsi="仿宋" w:eastAsia="仿宋"/>
          <w:b/>
          <w:color w:val="auto"/>
          <w:sz w:val="32"/>
          <w:szCs w:val="32"/>
          <w:highlight w:val="none"/>
        </w:rPr>
        <w:t>（二）“三公”经费财政拨款支出决算具体情况说明</w:t>
      </w:r>
      <w:bookmarkEnd w:id="34"/>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lang w:val="en-US" w:eastAsia="zh-CN"/>
        </w:rPr>
        <w:t>本学校无此项内容。</w:t>
      </w:r>
    </w:p>
    <w:p>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numPr>
          <w:ilvl w:val="0"/>
          <w:numId w:val="2"/>
        </w:num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numPr>
          <w:ilvl w:val="0"/>
          <w:numId w:val="0"/>
        </w:numPr>
        <w:spacing w:line="600" w:lineRule="exact"/>
        <w:ind w:firstLine="642" w:firstLineChars="200"/>
        <w:rPr>
          <w:rFonts w:hint="eastAsia"/>
        </w:rPr>
      </w:pPr>
      <w:r>
        <w:rPr>
          <w:rFonts w:hint="eastAsia" w:ascii="仿宋" w:hAnsi="仿宋" w:eastAsia="仿宋"/>
          <w:b/>
          <w:color w:val="auto"/>
          <w:sz w:val="32"/>
          <w:szCs w:val="32"/>
          <w:highlight w:val="none"/>
          <w:lang w:val="en-US" w:eastAsia="zh-CN"/>
        </w:rPr>
        <w:t>4.</w:t>
      </w: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pStyle w:val="4"/>
        <w:bidi w:val="0"/>
        <w:rPr>
          <w:rFonts w:hint="eastAsia"/>
        </w:rPr>
      </w:pPr>
      <w:bookmarkStart w:id="35" w:name="_Toc1724561834"/>
      <w:r>
        <w:rPr>
          <w:rFonts w:hint="eastAsia"/>
        </w:rPr>
        <w:t>八、政府性基金预算支出决算情况说明</w:t>
      </w:r>
      <w:bookmarkEnd w:id="35"/>
    </w:p>
    <w:p>
      <w:pPr>
        <w:spacing w:line="600" w:lineRule="exact"/>
        <w:ind w:firstLine="640"/>
        <w:rPr>
          <w:rFonts w:hint="eastAsi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0.98</w:t>
      </w:r>
      <w:r>
        <w:rPr>
          <w:rFonts w:hint="eastAsia" w:ascii="仿宋_GB2312" w:eastAsia="仿宋_GB2312"/>
          <w:color w:val="auto"/>
          <w:sz w:val="32"/>
          <w:szCs w:val="32"/>
          <w:highlight w:val="none"/>
        </w:rPr>
        <w:t>万元。</w:t>
      </w:r>
      <w:r>
        <w:rPr>
          <w:rFonts w:hint="eastAsia" w:ascii="仿宋_GB2312" w:eastAsia="仿宋_GB2312" w:cs="Times New Roman"/>
          <w:color w:val="auto"/>
          <w:sz w:val="32"/>
          <w:szCs w:val="32"/>
          <w:highlight w:val="none"/>
          <w:lang w:eastAsia="zh-CN"/>
        </w:rPr>
        <w:t>用于教育事业的彩票公益金支出。</w:t>
      </w:r>
    </w:p>
    <w:p>
      <w:pPr>
        <w:pStyle w:val="4"/>
        <w:bidi w:val="0"/>
        <w:rPr>
          <w:rFonts w:hint="eastAsia"/>
        </w:rPr>
      </w:pPr>
      <w:bookmarkStart w:id="36" w:name="_Toc1018839649"/>
      <w:r>
        <w:rPr>
          <w:rFonts w:hint="eastAsia"/>
        </w:rPr>
        <w:t>九、</w:t>
      </w:r>
      <w:r>
        <w:rPr>
          <w:rFonts w:hint="eastAsia"/>
          <w:lang w:eastAsia="zh-CN"/>
        </w:rPr>
        <w:t>国</w:t>
      </w:r>
      <w:r>
        <w:rPr>
          <w:rFonts w:hint="eastAsia"/>
        </w:rPr>
        <w:t>有资本经营预算支出决算情况说明</w:t>
      </w:r>
      <w:bookmarkEnd w:id="36"/>
    </w:p>
    <w:p>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ascii="仿宋_GB2312" w:eastAsia="仿宋_GB2312"/>
          <w:color w:val="auto"/>
          <w:sz w:val="32"/>
          <w:szCs w:val="32"/>
          <w:highlight w:val="none"/>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pStyle w:val="4"/>
        <w:bidi w:val="0"/>
        <w:rPr>
          <w:rFonts w:hint="eastAsia"/>
        </w:rPr>
      </w:pPr>
      <w:bookmarkStart w:id="37" w:name="_Toc163283206"/>
      <w:r>
        <w:rPr>
          <w:rFonts w:hint="eastAsia"/>
          <w:lang w:eastAsia="zh-CN"/>
        </w:rPr>
        <w:t>十</w:t>
      </w:r>
      <w:r>
        <w:rPr>
          <w:rFonts w:hint="eastAsia"/>
        </w:rPr>
        <w:t>、其他重要事项的情况说明</w:t>
      </w:r>
      <w:bookmarkEnd w:id="37"/>
    </w:p>
    <w:p>
      <w:pPr>
        <w:spacing w:line="600" w:lineRule="exact"/>
        <w:ind w:firstLine="642" w:firstLineChars="200"/>
        <w:outlineLvl w:val="2"/>
        <w:rPr>
          <w:rFonts w:ascii="仿宋" w:hAnsi="仿宋" w:eastAsia="仿宋"/>
          <w:color w:val="auto"/>
          <w:sz w:val="32"/>
          <w:szCs w:val="32"/>
          <w:highlight w:val="none"/>
        </w:rPr>
      </w:pPr>
      <w:bookmarkStart w:id="38" w:name="_Toc522390134"/>
      <w:r>
        <w:rPr>
          <w:rFonts w:hint="eastAsia" w:ascii="仿宋" w:hAnsi="仿宋" w:eastAsia="仿宋"/>
          <w:b/>
          <w:color w:val="auto"/>
          <w:sz w:val="32"/>
          <w:szCs w:val="32"/>
          <w:highlight w:val="none"/>
        </w:rPr>
        <w:t>（一）机关运行经费支出情况</w:t>
      </w:r>
      <w:bookmarkEnd w:id="38"/>
    </w:p>
    <w:p>
      <w:pPr>
        <w:spacing w:line="60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hint="eastAsia" w:ascii="仿宋" w:hAnsi="仿宋" w:eastAsia="仿宋"/>
          <w:sz w:val="32"/>
          <w:szCs w:val="32"/>
        </w:rPr>
        <w:t>四川省阿坝州壤塘县中壤塘乡中心校</w:t>
      </w:r>
      <w:r>
        <w:rPr>
          <w:rFonts w:hint="eastAsia" w:ascii="仿宋_GB2312" w:eastAsia="仿宋_GB2312"/>
          <w:color w:val="auto"/>
          <w:sz w:val="32"/>
          <w:szCs w:val="32"/>
          <w:highlight w:val="none"/>
        </w:rPr>
        <w:t>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万元，与</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决算数持平。主要原因是</w:t>
      </w:r>
      <w:r>
        <w:rPr>
          <w:rFonts w:hint="eastAsia" w:ascii="仿宋" w:hAnsi="仿宋" w:eastAsia="仿宋"/>
          <w:color w:val="auto"/>
          <w:sz w:val="32"/>
          <w:szCs w:val="32"/>
          <w:highlight w:val="none"/>
          <w:lang w:val="en-US" w:eastAsia="zh-CN"/>
        </w:rPr>
        <w:t>本学校无此项内容。</w:t>
      </w:r>
    </w:p>
    <w:p>
      <w:pPr>
        <w:spacing w:line="600" w:lineRule="exact"/>
        <w:ind w:firstLine="642"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bookmarkStart w:id="39" w:name="_Toc1713092437"/>
      <w:r>
        <w:rPr>
          <w:rFonts w:hint="eastAsia" w:ascii="仿宋" w:hAnsi="仿宋" w:eastAsia="仿宋"/>
          <w:b/>
          <w:color w:val="auto"/>
          <w:sz w:val="32"/>
          <w:szCs w:val="32"/>
          <w:highlight w:val="none"/>
        </w:rPr>
        <w:t>（二）政府采购支出情况</w:t>
      </w:r>
      <w:bookmarkEnd w:id="39"/>
    </w:p>
    <w:p>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hint="eastAsia" w:ascii="仿宋" w:hAnsi="仿宋" w:eastAsia="仿宋"/>
          <w:sz w:val="32"/>
          <w:szCs w:val="32"/>
        </w:rPr>
        <w:t>四川省阿坝州壤塘县中壤塘乡中心校</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pPr>
        <w:spacing w:line="600" w:lineRule="exact"/>
        <w:ind w:firstLine="642"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bookmarkStart w:id="40" w:name="_Toc135509382"/>
      <w:r>
        <w:rPr>
          <w:rFonts w:hint="eastAsia" w:ascii="仿宋" w:hAnsi="仿宋" w:eastAsia="仿宋"/>
          <w:b/>
          <w:color w:val="auto"/>
          <w:sz w:val="32"/>
          <w:szCs w:val="32"/>
          <w:highlight w:val="none"/>
        </w:rPr>
        <w:t>（三）国有资产占有使用情况</w:t>
      </w:r>
      <w:bookmarkEnd w:id="40"/>
    </w:p>
    <w:p>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 w:hAnsi="仿宋" w:eastAsia="仿宋"/>
          <w:sz w:val="32"/>
          <w:szCs w:val="32"/>
        </w:rPr>
        <w:t>四川省阿坝州壤塘县中壤塘乡中心校</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eastAsia="zh-CN"/>
        </w:rPr>
        <w:t>（不含车辆）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pPr>
        <w:autoSpaceDE w:val="0"/>
        <w:autoSpaceDN w:val="0"/>
        <w:adjustRightInd w:val="0"/>
        <w:spacing w:line="600" w:lineRule="exact"/>
        <w:ind w:firstLine="642" w:firstLineChars="200"/>
        <w:jc w:val="left"/>
        <w:rPr>
          <w:rFonts w:hint="eastAsia"/>
        </w:rPr>
      </w:pPr>
      <w:r>
        <w:rPr>
          <w:rFonts w:hint="eastAsia" w:ascii="仿宋" w:hAnsi="仿宋" w:eastAsia="仿宋"/>
          <w:b/>
          <w:color w:val="auto"/>
          <w:sz w:val="32"/>
          <w:szCs w:val="32"/>
          <w:highlight w:val="none"/>
        </w:rPr>
        <w:t>（注：数据来源</w:t>
      </w:r>
      <w:r>
        <w:rPr>
          <w:rFonts w:hint="eastAsia" w:ascii="仿宋" w:hAnsi="仿宋" w:eastAsia="仿宋"/>
          <w:b/>
          <w:color w:val="auto"/>
          <w:sz w:val="32"/>
          <w:szCs w:val="32"/>
          <w:highlight w:val="none"/>
          <w:lang w:eastAsia="zh-CN"/>
        </w:rPr>
        <w:t>于</w:t>
      </w:r>
      <w:r>
        <w:rPr>
          <w:rFonts w:hint="eastAsia" w:ascii="仿宋" w:hAnsi="仿宋" w:eastAsia="仿宋"/>
          <w:b/>
          <w:color w:val="auto"/>
          <w:sz w:val="32"/>
          <w:szCs w:val="32"/>
          <w:highlight w:val="none"/>
        </w:rPr>
        <w:t>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表，按部门决算报表填报数据罗列车辆情况。）</w:t>
      </w:r>
    </w:p>
    <w:p>
      <w:pPr>
        <w:pStyle w:val="3"/>
        <w:bidi w:val="0"/>
        <w:rPr>
          <w:rFonts w:hint="eastAsia"/>
        </w:rPr>
      </w:pPr>
      <w:bookmarkStart w:id="41" w:name="_Toc930442799"/>
      <w:r>
        <w:rPr>
          <w:rFonts w:hint="eastAsia"/>
        </w:rPr>
        <w:t>第三部分 名词解释</w:t>
      </w:r>
      <w:bookmarkEnd w:id="41"/>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1.财政拨款收入：指单位从同级财政部门取得的财政预算资金。</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2.事业收入：指事业单位开展专业业务活动及辅助活动取得的收入。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4.其他收入：指单位取得的除上述收入以外的各项收入。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5.使用非财政拨款结余：指事业单位使用以前年度积累的非财政拨款结余弥补当年收支差额的金额。</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6.年初结转和结余：指以前年度尚未完成、结转到本年按有关规定继续使用的资金。</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9、教育（205类）教育管理事务（01款）行政运行（01项）：指反映行政单位的基本支出。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10、教育（205类）普通教育（02款）学前教育（01项）：指反映各部门举办的学前教育支出。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11、教育（205类）普通教育（02款）小学教育（02项）：指反映各部门举办的小学教育支出。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12、教育（205类）普通教育（02款）初中教育（03项）：指反映各部门举办的初中教育支出。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12、教育（205类）普通教育（02款）高中教育（04项）：指反映各部门举办的高中教育支出。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13、教育（205类）普通教育（02款）高等教育（05项）：指反映各部门举办的普通本科（包括研究生）教育支出。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14、教育（205类）其他普通教育（02款）其他普通教育支出（99项）：指反映各部其他用于普通教育方面的支出。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15、教育（205类） 职业教育（03款） 中等职业教育（02项）：指反映各部（不含人力资源社会保障部门）举办的中等职业教育支出。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16、教育（205类） 成人教育（04款）成人初等教育（01项）：指反映各部门举办各类成人初等教育的支出。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17、教育（205类）教育费附加安排的支出（09款）其他教育费附加安排的支出（99项）：指反映其他用于教育附加方面的支出。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18、教育（205类）其他教育支出（99款）其他教育支出（99项）：指反映其他用于教育方面的支出。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19、文化旅游体育与传媒支出（207类） 文化和旅游支出（99款） 宣传文化发展专项支出（02项）：指反映按照国家有关政策支持宣传文化单位发展的专项支出。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20、社会保障和就业（208类）行政事业单位养老支出（05款）  机关事业单位基本养老保险缴费支出（05项）：指反映机关事业单位实施养老保险制度由单位缴纳的基本养老保险费支出。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21、社会保障和就业（208类）行政事业单位养老支出（05款） 机关事业单位职业年金缴费支出（06项）：指反映机关事业单位实施养老保险制度由单位实际缴纳的职业年金支出。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22、医疗卫生与计划生育（210类）行政事业单位医疗（11款）行政单位医疗（01项）：指反映财政部门集中安排的行政单位（包括实行公务员管理的事业单位）基本医疗保险缴费经费，未参加医疗保险的事业单位的公费医疗经费，按国家规定享受离休人员待遇的医疗经费。</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23、住房保障（221类）住房改革支出（02款）住房公积金（01项）：指反映行政事业单位按人力资源和社会保障部、财政部规定的基本工资和津贴补贴以及规定比例为职工缴纳的住房公积金。</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24.基本支出：指为保障机构正常运转、完成日常工作任务而发生的人员支出和公用支出。</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 xml:space="preserve">25.项目支出：指在基本支出之外为完成特定行政任务和事业发展目标所发生的支出。 </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26.经营支出：指事业单位在专业业务活动及其辅助活动之外开展非独立核算经营活动发生的支出。</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ascii="仿宋_GB2312" w:eastAsia="仿宋_GB2312" w:cs="黑体"/>
          <w:color w:val="auto"/>
          <w:sz w:val="32"/>
          <w:szCs w:val="32"/>
          <w:highlight w:val="none"/>
        </w:rPr>
      </w:pPr>
      <w:r>
        <w:rPr>
          <w:rFonts w:hint="eastAsia" w:ascii="仿宋_GB2312" w:hAnsi="Times New Roman" w:eastAsia="仿宋_GB2312" w:cs="Times New Roman"/>
          <w:color w:val="auto"/>
          <w:kern w:val="2"/>
          <w:sz w:val="32"/>
          <w:szCs w:val="32"/>
          <w:highlight w:val="none"/>
          <w:lang w:val="en-US" w:eastAsia="zh-CN" w:bidi="ar-SA"/>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rPr>
          <w:rFonts w:hint="eastAsia"/>
        </w:rPr>
      </w:pPr>
      <w:r>
        <w:rPr>
          <w:rFonts w:hint="eastAsia" w:ascii="仿宋" w:hAnsi="仿宋" w:eastAsia="仿宋"/>
          <w:b/>
          <w:color w:val="auto"/>
          <w:sz w:val="32"/>
          <w:szCs w:val="32"/>
          <w:highlight w:val="none"/>
        </w:rPr>
        <w:t>（名词解释部分请根据各部门实际列支情况罗列，并根据本部门职责职能增减名词解释内容。）</w:t>
      </w:r>
    </w:p>
    <w:p>
      <w:pPr>
        <w:pStyle w:val="3"/>
        <w:bidi w:val="0"/>
        <w:rPr>
          <w:rFonts w:hint="eastAsia"/>
        </w:rPr>
      </w:pPr>
      <w:bookmarkStart w:id="42" w:name="_Toc185734040"/>
      <w:r>
        <w:rPr>
          <w:rFonts w:hint="eastAsia"/>
        </w:rPr>
        <w:t>第四部分 附件</w:t>
      </w:r>
      <w:bookmarkEnd w:id="42"/>
    </w:p>
    <w:tbl>
      <w:tblPr>
        <w:tblStyle w:val="15"/>
        <w:tblW w:w="94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7"/>
        <w:gridCol w:w="1478"/>
        <w:gridCol w:w="886"/>
        <w:gridCol w:w="1206"/>
        <w:gridCol w:w="521"/>
        <w:gridCol w:w="756"/>
        <w:gridCol w:w="489"/>
        <w:gridCol w:w="846"/>
        <w:gridCol w:w="505"/>
        <w:gridCol w:w="456"/>
        <w:gridCol w:w="16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509"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521"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811" w:type="dxa"/>
            <w:gridSpan w:val="3"/>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5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5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66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51323022T000006165070-义务教育公用经费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州十五年义务教育经费保障机制实施意见》，为深入贯彻落实党的十八大和省委藏区工作座谈会精神，全面落实《阿坝州教育条例》，基本普及学前教育，巩固提高九年义务教育成果，强化优化高中阶段教育，州委、州人民政府决定：到2015年基本普及学前教育、2017年基本普及高中阶段教育，实施十五年义务教育,对学前教育实施“一减两补”、九年义务教育“三免一补”、普通高中教育“两减一助”政策。我州十五年义务教育经费保障机制提出2023年义务教育阶段学生县级公用经费补助标准，小学每生每年20元补助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义务教育阶段小学学生县级公用经费补助标准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义务教育阶段学生公用经费覆盖师生人数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义务教育阶段政策知晓率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接受义务教育阶段县级公用经费师生满意度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51323022T000007356109-2022年城乡义务教育中省补助经费高海拔取暖费补助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51323023T000007629414-乡村教师生活补助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对于增强农村教师职业吸引力、鼓励城镇优秀教师到农村薄弱学 校任教、提高农村教育质量、保障农村学生接受优质教育、促进义务教育均衡发展和保障教育公平具有重大的现实意义。</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乡村教师生活补助覆盖面</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按标准足额发放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2025年年底前完成农村教师生活补助发放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提升农村教师生活水平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提升农村教师工作积极性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享受农村教师生活补助的教师满意度工作积极性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对农村教师发放生活补助</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51323023T000007662378-学前教育县级保教费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2013年起学前教育学生县级补助保教费，补助标准每生每年490元补助资金。学前保教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6.01</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6.01</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学前保教费补助人数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318</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学前减免保教费发放时效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学前教育学生三年毛入学率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学前县级保教费师生满意度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学前县级保教费家长满意度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学前减免保教费总量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155820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51323023T000007663474-学前教育县级公用经费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2020年起学前阶段幼儿县级补助公用经费，补助标准每生每年500元资金。学前阶段县级公用经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学前教育补助公用经费人数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318</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学前教育经费完成时间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学前教育学生三年毛入学率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学前教育公用经费师生满意度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学前公用经费全年资金总量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190800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51323023T000009396497-城乡义务教育补助经费（公用经费）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54.67</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54.41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54.67</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54.41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51323023T000009579836-重大传染病防控补助资金（包虫病防治）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82.26%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82.26%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51323023T000009740699-中央和省级教育补助资金支持学前教育发展资金（“一村一幼”辅导员劳务报酬）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35.03</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28.08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80.16%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35.03</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28.08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80.16%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51323023T000009743263-第二批教育补助资金（城乡义务教育补助资金-农村教师生活补助））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51323023T000009840711-中央专项彩票公益金支持乡村学校少年宫资金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98.05%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98.05%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51323024R000010372937-职工体检费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4.77</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4.77</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51323024R000010440034-工资性支出（新）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339.03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334.02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334.02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339.03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334.02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334.02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51323024R000010440308-聘用人员经费（新）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357.55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357.55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152.06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42.53%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357.55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357.55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152.06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42.53%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51323024R000010441706-机关事业单位基本养老保险缴费支出（新）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96.63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93.32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93.32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96.63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93.32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93.32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51323024R000010441938-机关事业单位职业年金缴费支出（新）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46.66</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46.66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46.66</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46.66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51323024R000010442151-职工基本医疗保险缴费（新）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42.27</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45.66</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45.66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42.27</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45.66</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45.66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51323024R000010442387-公务员医疗补助（新）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8.87</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8.87</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51323024R000010442598-住房公积金（新）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79.92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77.75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79.92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77.75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51323024R000010442824-其他单位缴费（新）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51323024R000010638359-艰苦边远地区津贴（新）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109.88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115.15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115.15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109.88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115.15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115.15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51323024R000010638937-高海拔地区折算工龄补贴（新）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12.29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43.52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43.52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12.29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43.52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43.52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51323024R000010668191-乡镇工作补贴（新）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24.40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24.40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24.40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24.40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51323024T000009962103-义务教育补助经费（高海拔取暖补助）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51323024T000009981892-城乡义务教育补助经费（综合奖补）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13.68</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13.68</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51323024T000012014592-非义务教育在校学生取暖费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全面落实相关经费保障，提高群众对教育认可度.  </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318</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补助标准（年）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学前取暖费发放时效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学前取暖费全年资金总量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44520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51323024Y000010443500-日常公用经费（新）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13.68</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50.28%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13.68</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50.28%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51323025R000012670735-残疾人就业保障金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7.73</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7.73</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51323025R000013352112-在职人员基础绩效奖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134.10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134.10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51323025R000013373711-在职人员年度考核奖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46.86</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46.86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46.86</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46.86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51323025T000012409102-新疆西藏等地区特殊补助（辅导员提标补助）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51323025T000012539403-支持学前教育发展补助（高海拔取暖费）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5.46</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5.46</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51323025T000012671850--义务教育阶段学生县级公用经费补助（中壤塘教学点）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按时完成相关资金支付</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义务教育阶段学生公用经费覆盖师生人数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义教公用经费补助项目完成时间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接受义务教育阶段县级公用经费师生满意度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义务教育阶段学生县级公用经费补助标准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义务教育公用经费全年资金总量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51323025T000012671898-义务教育阶段学生县级公用经费补助（中壤塘传习所）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按时完成相关补助发放。</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49.59%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49.59%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义务教育公用经费全年资金总量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义教公用经费补助项目完成时间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义务教育阶段学生公用经费覆盖学生</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接受义务教育阶段县级公用经费师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义务教育阶段学生县级公用经费补助标准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51323025T000012671908-非义务教育在校学生取暖费（中壤塘传习所）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按时完成相关相关费用发放，确保相关费用。</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年底前完成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非义务教育阶段学生巩固率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51323025T000012988067-新疆西藏等地区教育特殊补助三区三州（控辍保学维修改造））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8.11</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8.11</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51323025T000013677406-城乡义务教育补助经费（公用经费）中壤塘教学点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25.88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25.88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51323025T000013677429-城乡义务教育补助经费（高海拔取暖费）中壤塘教学点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65.10%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65.10%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51323025T000013877157-控辍保学“两基地一校区”学生节日慰问品资金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51323025T000013903460-十五年免费教育经费补助资金（学前教育免除保教费）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35.97</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33.74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93.79%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35.97</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33.74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93.79%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51323026T000014447041-壤塘县中小学生“走出阿坝看世界”研学活动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26.92</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51323026T000014790152-农村生活补助（第三、四批资金）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5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壤塘县中壤塘镇中心小学校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6.01</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47.99%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6.01</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47.99%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467"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467"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467"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467"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pPr>
        <w:rPr>
          <w:rFonts w:hint="eastAsia"/>
        </w:rPr>
      </w:pPr>
    </w:p>
    <w:p>
      <w:pPr>
        <w:pStyle w:val="3"/>
        <w:bidi w:val="0"/>
        <w:rPr>
          <w:rFonts w:hint="eastAsia"/>
        </w:rPr>
      </w:pPr>
      <w:bookmarkStart w:id="43" w:name="_Toc1490237910"/>
      <w:r>
        <w:rPr>
          <w:rFonts w:hint="eastAsia"/>
        </w:rPr>
        <w:t>第五部分 附表</w:t>
      </w:r>
      <w:bookmarkEnd w:id="43"/>
    </w:p>
    <w:p>
      <w:pPr>
        <w:pStyle w:val="4"/>
        <w:bidi w:val="0"/>
        <w:rPr>
          <w:rFonts w:hint="eastAsia"/>
        </w:rPr>
      </w:pPr>
      <w:bookmarkStart w:id="44" w:name="_Toc371269790"/>
      <w:r>
        <w:rPr>
          <w:rFonts w:hint="eastAsia"/>
        </w:rPr>
        <w:t>一、收入支出决算总表</w:t>
      </w:r>
      <w:bookmarkEnd w:id="44"/>
    </w:p>
    <w:p>
      <w:pPr>
        <w:pStyle w:val="4"/>
        <w:bidi w:val="0"/>
        <w:rPr>
          <w:rFonts w:hint="eastAsia"/>
        </w:rPr>
      </w:pPr>
      <w:bookmarkStart w:id="45" w:name="_Toc554602101"/>
      <w:r>
        <w:rPr>
          <w:rFonts w:hint="eastAsia"/>
        </w:rPr>
        <w:t>二、收入决算表</w:t>
      </w:r>
      <w:bookmarkEnd w:id="45"/>
    </w:p>
    <w:p>
      <w:pPr>
        <w:pStyle w:val="4"/>
        <w:bidi w:val="0"/>
        <w:rPr>
          <w:rFonts w:hint="eastAsia"/>
        </w:rPr>
      </w:pPr>
      <w:bookmarkStart w:id="46" w:name="_Toc1112873041"/>
      <w:r>
        <w:rPr>
          <w:rFonts w:hint="eastAsia"/>
        </w:rPr>
        <w:t>三、支出决算表</w:t>
      </w:r>
      <w:bookmarkEnd w:id="46"/>
    </w:p>
    <w:p>
      <w:pPr>
        <w:pStyle w:val="4"/>
        <w:bidi w:val="0"/>
        <w:rPr>
          <w:rFonts w:hint="eastAsia"/>
        </w:rPr>
      </w:pPr>
      <w:bookmarkStart w:id="47" w:name="_Toc2090293729"/>
      <w:r>
        <w:rPr>
          <w:rFonts w:hint="eastAsia"/>
        </w:rPr>
        <w:t>四、财政拨款收入支出决算总表</w:t>
      </w:r>
      <w:bookmarkEnd w:id="47"/>
    </w:p>
    <w:p>
      <w:pPr>
        <w:pStyle w:val="4"/>
        <w:bidi w:val="0"/>
        <w:rPr>
          <w:rFonts w:hint="eastAsia"/>
        </w:rPr>
      </w:pPr>
      <w:bookmarkStart w:id="48" w:name="_Toc1796143781"/>
      <w:r>
        <w:rPr>
          <w:rFonts w:hint="eastAsia"/>
        </w:rPr>
        <w:t>五、财政拨款支出决算明细表</w:t>
      </w:r>
      <w:bookmarkEnd w:id="48"/>
    </w:p>
    <w:p>
      <w:pPr>
        <w:pStyle w:val="4"/>
        <w:bidi w:val="0"/>
        <w:rPr>
          <w:rFonts w:hint="eastAsia"/>
        </w:rPr>
      </w:pPr>
      <w:bookmarkStart w:id="49" w:name="_Toc1394491036"/>
      <w:r>
        <w:rPr>
          <w:rFonts w:hint="eastAsia"/>
        </w:rPr>
        <w:t>六、一般公共预算财政拨款支出决算表</w:t>
      </w:r>
      <w:bookmarkEnd w:id="49"/>
    </w:p>
    <w:p>
      <w:pPr>
        <w:pStyle w:val="4"/>
        <w:bidi w:val="0"/>
        <w:rPr>
          <w:rFonts w:hint="eastAsia"/>
        </w:rPr>
      </w:pPr>
      <w:bookmarkStart w:id="50" w:name="_Toc595724810"/>
      <w:r>
        <w:rPr>
          <w:rFonts w:hint="eastAsia"/>
        </w:rPr>
        <w:t>七、一般公共预算财政拨款支出决算明细表</w:t>
      </w:r>
      <w:bookmarkEnd w:id="50"/>
    </w:p>
    <w:p>
      <w:pPr>
        <w:pStyle w:val="4"/>
        <w:bidi w:val="0"/>
        <w:rPr>
          <w:rFonts w:hint="eastAsia"/>
        </w:rPr>
      </w:pPr>
      <w:bookmarkStart w:id="51" w:name="_Toc1215447508"/>
      <w:r>
        <w:rPr>
          <w:rFonts w:hint="eastAsia"/>
        </w:rPr>
        <w:t>八、一般公共预算财政拨款基本支出决算</w:t>
      </w:r>
      <w:r>
        <w:rPr>
          <w:rFonts w:hint="eastAsia"/>
          <w:lang w:eastAsia="zh-CN"/>
        </w:rPr>
        <w:t>明细</w:t>
      </w:r>
      <w:r>
        <w:rPr>
          <w:rFonts w:hint="eastAsia"/>
        </w:rPr>
        <w:t>表</w:t>
      </w:r>
      <w:bookmarkEnd w:id="51"/>
    </w:p>
    <w:p>
      <w:pPr>
        <w:pStyle w:val="4"/>
        <w:bidi w:val="0"/>
        <w:rPr>
          <w:rFonts w:hint="eastAsia"/>
        </w:rPr>
      </w:pPr>
      <w:bookmarkStart w:id="52" w:name="_Toc96006863"/>
      <w:r>
        <w:rPr>
          <w:rFonts w:hint="eastAsia"/>
        </w:rPr>
        <w:t>九、一般公共预算财政拨款项目支出决算表</w:t>
      </w:r>
      <w:bookmarkEnd w:id="52"/>
    </w:p>
    <w:p>
      <w:pPr>
        <w:pStyle w:val="4"/>
        <w:bidi w:val="0"/>
        <w:rPr>
          <w:rFonts w:hint="eastAsia"/>
        </w:rPr>
      </w:pPr>
      <w:bookmarkStart w:id="53" w:name="_Toc1906451202"/>
      <w:r>
        <w:rPr>
          <w:rFonts w:hint="eastAsia"/>
        </w:rPr>
        <w:t>十、政府性基金预算财政拨款收入支出决算表</w:t>
      </w:r>
      <w:bookmarkEnd w:id="53"/>
    </w:p>
    <w:p>
      <w:pPr>
        <w:pStyle w:val="4"/>
        <w:bidi w:val="0"/>
        <w:rPr>
          <w:rFonts w:hint="eastAsia"/>
        </w:rPr>
      </w:pPr>
      <w:bookmarkStart w:id="54" w:name="_Toc478643133"/>
      <w:r>
        <w:rPr>
          <w:rFonts w:hint="eastAsia"/>
        </w:rPr>
        <w:t>十一、国有资本经营预算财政拨款收入支出决算表</w:t>
      </w:r>
      <w:bookmarkEnd w:id="54"/>
    </w:p>
    <w:p>
      <w:pPr>
        <w:pStyle w:val="4"/>
        <w:bidi w:val="0"/>
        <w:rPr>
          <w:rFonts w:hint="eastAsia"/>
        </w:rPr>
      </w:pPr>
      <w:bookmarkStart w:id="55" w:name="_Toc421532316"/>
      <w:r>
        <w:rPr>
          <w:rFonts w:hint="eastAsia"/>
        </w:rPr>
        <w:t>十二、</w:t>
      </w:r>
      <w:r>
        <w:rPr>
          <w:rFonts w:hint="eastAsia"/>
          <w:lang w:val="en-US" w:eastAsia="zh-CN"/>
        </w:rPr>
        <w:t>国有资本经营预算财政拨款支出决算表</w:t>
      </w:r>
      <w:bookmarkEnd w:id="55"/>
    </w:p>
    <w:p>
      <w:pPr>
        <w:pStyle w:val="4"/>
        <w:bidi w:val="0"/>
        <w:rPr>
          <w:rFonts w:hint="eastAsia"/>
        </w:rPr>
      </w:pPr>
      <w:bookmarkStart w:id="56" w:name="_Toc559660505"/>
      <w:r>
        <w:rPr>
          <w:rFonts w:hint="eastAsia"/>
        </w:rPr>
        <w:t>十三、财政拨款“三公”经费支出决算表</w:t>
      </w:r>
      <w:bookmarkEnd w:id="56"/>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simhei">
    <w:altName w:val="仿宋"/>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文泉驿正黑">
    <w:panose1 w:val="02000603000000000000"/>
    <w:charset w:val="86"/>
    <w:family w:val="auto"/>
    <w:pitch w:val="default"/>
    <w:sig w:usb0="900002BF" w:usb1="2BDF7DFB" w:usb2="00000036" w:usb3="00000000" w:csb0="603E000D" w:csb1="D2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vGR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&#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bP7xkTECAABj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281BCD"/>
    <w:multiLevelType w:val="singleLevel"/>
    <w:tmpl w:val="B2281BCD"/>
    <w:lvl w:ilvl="0" w:tentative="0">
      <w:start w:val="3"/>
      <w:numFmt w:val="decimal"/>
      <w:lvlText w:val="%1."/>
      <w:lvlJc w:val="left"/>
      <w:pPr>
        <w:tabs>
          <w:tab w:val="left" w:pos="312"/>
        </w:tabs>
      </w:pPr>
    </w:lvl>
  </w:abstractNum>
  <w:abstractNum w:abstractNumId="1">
    <w:nsid w:val="132B5452"/>
    <w:multiLevelType w:val="singleLevel"/>
    <w:tmpl w:val="132B545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4515BEA"/>
    <w:rsid w:val="44E268DA"/>
    <w:rsid w:val="453F7E5B"/>
    <w:rsid w:val="463B5357"/>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DB18DB"/>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9FF2466"/>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7EBB556"/>
    <w:rsid w:val="FA5F1E70"/>
    <w:rsid w:val="FA5FDB97"/>
    <w:rsid w:val="FB7F486A"/>
    <w:rsid w:val="FBFF5B2E"/>
    <w:rsid w:val="FD7FFE2B"/>
    <w:rsid w:val="FDEE196B"/>
    <w:rsid w:val="FDFE6575"/>
    <w:rsid w:val="FEDDA050"/>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收、支决算总计变动情况图（单位：万元）</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'[2020年部门决算报告填数字及画图表用模板正确（决算公开用）.xls]图表'!$A$27:$A$30</c:f>
              <c:strCache>
                <c:ptCount val="4"/>
                <c:pt idx="0">
                  <c:v>2025年决算收入</c:v>
                </c:pt>
                <c:pt idx="1">
                  <c:v>2024年决算收入</c:v>
                </c:pt>
                <c:pt idx="2">
                  <c:v>2025年决算支出</c:v>
                </c:pt>
                <c:pt idx="3">
                  <c:v>2024年决算支出</c:v>
                </c:pt>
              </c:strCache>
            </c:strRef>
          </c:cat>
          <c:val>
            <c:numRef>
              <c:f>'[2020年部门决算报告填数字及画图表用模板正确（决算公开用）.xls]图表'!$B$27:$B$30</c:f>
              <c:numCache>
                <c:formatCode>#,##0.00</c:formatCode>
                <c:ptCount val="4"/>
                <c:pt idx="0">
                  <c:v>1394.71</c:v>
                </c:pt>
                <c:pt idx="1" c:formatCode="General">
                  <c:v>1385.72</c:v>
                </c:pt>
                <c:pt idx="2">
                  <c:v>1394.71</c:v>
                </c:pt>
                <c:pt idx="3" c:formatCode="General">
                  <c:v>1385.72</c:v>
                </c:pt>
              </c:numCache>
            </c:numRef>
          </c:val>
        </c:ser>
        <c:dLbls>
          <c:showLegendKey val="0"/>
          <c:showVal val="0"/>
          <c:showCatName val="0"/>
          <c:showSerName val="0"/>
          <c:showPercent val="0"/>
          <c:showBubbleSize val="0"/>
        </c:dLbls>
        <c:gapWidth val="219"/>
        <c:overlap val="-27"/>
        <c:axId val="806060057"/>
        <c:axId val="796381286"/>
      </c:barChart>
      <c:catAx>
        <c:axId val="80606005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381286"/>
        <c:crosses val="autoZero"/>
        <c:auto val="1"/>
        <c:lblAlgn val="ctr"/>
        <c:lblOffset val="100"/>
        <c:noMultiLvlLbl val="0"/>
      </c:catAx>
      <c:valAx>
        <c:axId val="79638128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06005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收入决算情况</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manualLayout>
          <c:layoutTarget val="inner"/>
          <c:xMode val="edge"/>
          <c:yMode val="edge"/>
          <c:x val="0.297654941373534"/>
          <c:y val="0.18603515625"/>
          <c:w val="0.399664991624791"/>
          <c:h val="0.5825195312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dLbl>
              <c:idx val="0"/>
              <c:layout>
                <c:manualLayout>
                  <c:x val="0.110552763819095"/>
                  <c:y val="-0.0073242187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4572864321608"/>
                  <c:y val="0.010986328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30653266331658"/>
                  <c:y val="0.010986328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'[2020年部门决算报告填数字及画图表用模板正确（决算公开用）.xls]图表'!$A$9:$A$11</c:f>
              <c:strCache>
                <c:ptCount val="3"/>
                <c:pt idx="0">
                  <c:v>一般公共预算财政拨款收入</c:v>
                </c:pt>
                <c:pt idx="1">
                  <c:v>政府性基金预算财政拨款收入</c:v>
                </c:pt>
                <c:pt idx="2">
                  <c:v>其他收入</c:v>
                </c:pt>
              </c:strCache>
            </c:strRef>
          </c:cat>
          <c:val>
            <c:numRef>
              <c:f>'[2020年部门决算报告填数字及画图表用模板正确（决算公开用）.xls]图表'!$B$9:$B$11</c:f>
              <c:numCache>
                <c:formatCode>General</c:formatCode>
                <c:ptCount val="3"/>
                <c:pt idx="0">
                  <c:v>1393.73</c:v>
                </c:pt>
                <c:pt idx="1">
                  <c:v>0.98</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支出决算结构图（单位：万元）</a:t>
            </a:r>
            <a:endParaRPr lang="en-US" altLang="zh-CN" sz="1400" b="0" i="0" u="none" strike="noStrike" kern="1200" spc="0" baseline="0">
              <a:solidFill>
                <a:schemeClr val="tx1">
                  <a:lumMod val="65000"/>
                  <a:lumOff val="35000"/>
                </a:schemeClr>
              </a:solidFill>
              <a:latin typeface="+mn-lt"/>
              <a:ea typeface="+mn-ea"/>
              <a:cs typeface="+mn-cs"/>
            </a:endParaRPr>
          </a:p>
        </c:rich>
      </c:tx>
      <c:layout>
        <c:manualLayout>
          <c:xMode val="edge"/>
          <c:yMode val="edge"/>
          <c:x val="0.238772338772339"/>
          <c:y val="0.035275672850797"/>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140140383909359"/>
                  <c:y val="-0.094492158302863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7506358389267"/>
                  <c:y val="0.092158049399174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'[2020年部门决算报告填数字及画图表用模板正确（决算公开用）.xls]图表'!$A$48:$A$49</c:f>
              <c:strCache>
                <c:ptCount val="2"/>
                <c:pt idx="0">
                  <c:v>基本支出</c:v>
                </c:pt>
                <c:pt idx="1">
                  <c:v>项目支出</c:v>
                </c:pt>
              </c:strCache>
            </c:strRef>
          </c:cat>
          <c:val>
            <c:numRef>
              <c:f>'[2020年部门决算报告填数字及画图表用模板正确（决算公开用）.xls]图表'!$B$48:$B$49</c:f>
              <c:numCache>
                <c:formatCode>#,##0.00</c:formatCode>
                <c:ptCount val="2"/>
                <c:pt idx="0">
                  <c:v>1143.53</c:v>
                </c:pt>
                <c:pt idx="1" c:formatCode="General">
                  <c:v>251.18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360994560994561"/>
          <c:y val="0.162685441287403"/>
          <c:w val="0.305982905982906"/>
          <c:h val="0.0837314558712597"/>
        </c:manualLayout>
      </c:layout>
      <c:overlay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财政拨款收、支决算总计变动情况（单位：万元）</a:t>
            </a:r>
            <a:endParaRPr sz="12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59731727347386"/>
          <c:y val="0.0388154111558367"/>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'[2020年部门决算报告填数字及画图表用模板正确（决算公开用）.xls]图表'!$A$3:$A$6</c:f>
              <c:strCache>
                <c:ptCount val="4"/>
                <c:pt idx="0">
                  <c:v>2024年一般公共预算财政拨款收入</c:v>
                </c:pt>
                <c:pt idx="1">
                  <c:v>2025年一般公共预算财政拨款收入</c:v>
                </c:pt>
                <c:pt idx="2">
                  <c:v>2024年一般公共预算财政拨款支出</c:v>
                </c:pt>
                <c:pt idx="3">
                  <c:v>2025年一般公共预算财政拨款支出</c:v>
                </c:pt>
              </c:strCache>
            </c:strRef>
          </c:cat>
          <c:val>
            <c:numRef>
              <c:f>'[2020年部门决算报告填数字及画图表用模板正确（决算公开用）.xls]图表'!$B$3:$B$6</c:f>
              <c:numCache>
                <c:formatCode>General</c:formatCode>
                <c:ptCount val="4"/>
                <c:pt idx="0">
                  <c:v>1385.72</c:v>
                </c:pt>
                <c:pt idx="1" c:formatCode="#,##0.00">
                  <c:v>1394.71</c:v>
                </c:pt>
                <c:pt idx="2">
                  <c:v>1385.72</c:v>
                </c:pt>
                <c:pt idx="3" c:formatCode="#,##0.00">
                  <c:v>1394.71</c:v>
                </c:pt>
              </c:numCache>
            </c:numRef>
          </c:val>
        </c:ser>
        <c:dLbls>
          <c:showLegendKey val="0"/>
          <c:showVal val="0"/>
          <c:showCatName val="0"/>
          <c:showSerName val="0"/>
          <c:showPercent val="0"/>
          <c:showBubbleSize val="0"/>
        </c:dLbls>
        <c:gapWidth val="150"/>
        <c:overlap val="0"/>
        <c:axId val="891116839"/>
        <c:axId val="679754368"/>
      </c:barChart>
      <c:catAx>
        <c:axId val="89111683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9754368"/>
        <c:crosses val="autoZero"/>
        <c:auto val="1"/>
        <c:lblAlgn val="ctr"/>
        <c:lblOffset val="100"/>
        <c:noMultiLvlLbl val="0"/>
      </c:catAx>
      <c:valAx>
        <c:axId val="6797543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1116839"/>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一般公共预算财政拨款支出决算变动情况（单位：万元）</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922500213932261"/>
          <c:y val="0.0466497031382528"/>
        </c:manualLayout>
      </c:layout>
      <c:overlay val="0"/>
      <c:spPr>
        <a:noFill/>
        <a:ln>
          <a:noFill/>
        </a:ln>
        <a:effectLst/>
      </c:spPr>
    </c:title>
    <c:autoTitleDeleted val="0"/>
    <c:plotArea>
      <c:layout>
        <c:manualLayout>
          <c:layoutTarget val="inner"/>
          <c:xMode val="edge"/>
          <c:yMode val="edge"/>
          <c:x val="0.0743569039104856"/>
          <c:y val="0.215436810856658"/>
          <c:w val="0.901995616564771"/>
          <c:h val="0.647837150127227"/>
        </c:manualLayout>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'[2020年部门决算报告填数字及画图表用模板正确（决算公开用）.xls]图表'!$A$52:$A$53</c:f>
              <c:strCache>
                <c:ptCount val="2"/>
                <c:pt idx="0">
                  <c:v>2024年</c:v>
                </c:pt>
                <c:pt idx="1">
                  <c:v>2025年</c:v>
                </c:pt>
              </c:strCache>
            </c:strRef>
          </c:cat>
          <c:val>
            <c:numRef>
              <c:f>'[2020年部门决算报告填数字及画图表用模板正确（决算公开用）.xls]图表'!$B$52:$B$53</c:f>
              <c:numCache>
                <c:formatCode>#,##0.00</c:formatCode>
                <c:ptCount val="2"/>
                <c:pt idx="0">
                  <c:v>1384.23</c:v>
                </c:pt>
                <c:pt idx="1">
                  <c:v>1393.73</c:v>
                </c:pt>
              </c:numCache>
            </c:numRef>
          </c:val>
        </c:ser>
        <c:dLbls>
          <c:showLegendKey val="0"/>
          <c:showVal val="0"/>
          <c:showCatName val="0"/>
          <c:showSerName val="0"/>
          <c:showPercent val="0"/>
          <c:showBubbleSize val="0"/>
        </c:dLbls>
        <c:gapWidth val="219"/>
        <c:overlap val="-27"/>
        <c:axId val="90978924"/>
        <c:axId val="835157781"/>
      </c:barChart>
      <c:catAx>
        <c:axId val="9097892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157781"/>
        <c:crosses val="autoZero"/>
        <c:auto val="1"/>
        <c:lblAlgn val="ctr"/>
        <c:lblOffset val="100"/>
        <c:noMultiLvlLbl val="0"/>
      </c:catAx>
      <c:valAx>
        <c:axId val="83515778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9789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31382113821138"/>
          <c:y val="0.0272302904564315"/>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Lbls>
            <c:dLbl>
              <c:idx val="0"/>
              <c:layout>
                <c:manualLayout>
                  <c:x val="0.149271385418258"/>
                  <c:y val="0.037557176869717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141887829229995"/>
                  <c:y val="-0.0099856479426339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0170539308436473"/>
                  <c:y val="-0.038648423868057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268292682926829"/>
                  <c:y val="-0.0180205887781993"/>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5388652162766"/>
                  <c:y val="-0.0429485556245119"/>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0.00045789042163123"/>
                  <c:y val="-0.0086827457920049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'[2020年部门决算报告填数字及画图表用模板正确（决算公开用）.xls]图表'!$A$19:$A$24</c:f>
              <c:strCache>
                <c:ptCount val="6"/>
                <c:pt idx="0">
                  <c:v>一般公共服务支出</c:v>
                </c:pt>
                <c:pt idx="1">
                  <c:v>教育支出</c:v>
                </c:pt>
                <c:pt idx="2">
                  <c:v>社会保障和就业支出</c:v>
                </c:pt>
                <c:pt idx="3">
                  <c:v>卫生健康支出</c:v>
                </c:pt>
                <c:pt idx="4">
                  <c:v>住房保障支出</c:v>
                </c:pt>
                <c:pt idx="5">
                  <c:v>其他支出</c:v>
                </c:pt>
              </c:strCache>
            </c:strRef>
          </c:cat>
          <c:val>
            <c:numRef>
              <c:f>'[2020年部门决算报告填数字及画图表用模板正确（决算公开用）.xls]图表'!$B$19:$B$24</c:f>
              <c:numCache>
                <c:formatCode>General</c:formatCode>
                <c:ptCount val="6"/>
                <c:pt idx="0">
                  <c:v>26.92</c:v>
                </c:pt>
                <c:pt idx="1">
                  <c:v>1095.8</c:v>
                </c:pt>
                <c:pt idx="2">
                  <c:v>139.97</c:v>
                </c:pt>
                <c:pt idx="3">
                  <c:v>53.28</c:v>
                </c:pt>
                <c:pt idx="4">
                  <c:v>77.75</c:v>
                </c:pt>
                <c:pt idx="5">
                  <c:v>0.98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70</Pages>
  <Words>1299</Words>
  <Characters>7410</Characters>
  <Lines>61</Lines>
  <Paragraphs>17</Paragraphs>
  <TotalTime>0</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user</cp:lastModifiedBy>
  <cp:lastPrinted>2026-08-05T01:27:00Z</cp:lastPrinted>
  <dcterms:modified xsi:type="dcterms:W3CDTF">2026-10-29T20:37:42Z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