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96597"/>
      <w:bookmarkStart w:id="2" w:name="_Toc15377193"/>
      <w:bookmarkStart w:id="3" w:name="_Toc15396475"/>
      <w:bookmarkStart w:id="4" w:name="_Toc15378441"/>
      <w:bookmarkStart w:id="5" w:name="_Toc15377425"/>
      <w:bookmarkStart w:id="6" w:name="_Toc54610942"/>
      <w:r>
        <w:rPr>
          <w:rFonts w:ascii="黑体" w:hAnsi="黑体" w:eastAsia="黑体"/>
          <w:color w:val="000000"/>
          <w:sz w:val="72"/>
          <w:szCs w:val="72"/>
        </w:rPr>
        <w:t>201</w:t>
      </w:r>
      <w:r>
        <w:rPr>
          <w:rFonts w:hint="eastAsia" w:ascii="黑体" w:hAnsi="黑体" w:eastAsia="黑体"/>
          <w:color w:val="000000"/>
          <w:sz w:val="72"/>
          <w:szCs w:val="72"/>
        </w:rPr>
        <w:t>9</w:t>
      </w:r>
      <w:r>
        <w:rPr>
          <w:rFonts w:hint="eastAsia" w:ascii="方正小标宋简体" w:hAnsi="宋体" w:eastAsia="方正小标宋简体"/>
          <w:color w:val="000000"/>
          <w:sz w:val="72"/>
          <w:szCs w:val="72"/>
        </w:rPr>
        <w:t>年度</w:t>
      </w:r>
      <w:bookmarkEnd w:id="1"/>
      <w:bookmarkEnd w:id="2"/>
      <w:bookmarkEnd w:id="3"/>
      <w:bookmarkEnd w:id="4"/>
      <w:bookmarkEnd w:id="5"/>
      <w:bookmarkEnd w:id="6"/>
    </w:p>
    <w:p>
      <w:pPr>
        <w:adjustRightInd w:val="0"/>
        <w:snapToGrid w:val="0"/>
        <w:spacing w:line="360" w:lineRule="auto"/>
        <w:jc w:val="center"/>
        <w:outlineLvl w:val="0"/>
        <w:rPr>
          <w:rFonts w:ascii="方正小标宋简体" w:hAnsi="宋体" w:eastAsia="方正小标宋简体"/>
          <w:color w:val="000000"/>
          <w:sz w:val="72"/>
          <w:szCs w:val="72"/>
        </w:rPr>
      </w:pPr>
      <w:bookmarkStart w:id="7" w:name="_Toc54610593"/>
      <w:bookmarkStart w:id="8" w:name="_Toc54610943"/>
      <w:bookmarkStart w:id="9" w:name="_Toc15396598"/>
      <w:bookmarkStart w:id="10" w:name="_Toc15378442"/>
      <w:bookmarkStart w:id="11" w:name="_Toc15396476"/>
      <w:bookmarkStart w:id="12" w:name="_Toc15377194"/>
      <w:bookmarkStart w:id="13" w:name="_Toc15377426"/>
      <w:r>
        <w:rPr>
          <w:rFonts w:hint="eastAsia" w:ascii="方正小标宋简体" w:hAnsi="宋体" w:eastAsia="方正小标宋简体"/>
          <w:color w:val="000000"/>
          <w:sz w:val="72"/>
          <w:szCs w:val="72"/>
        </w:rPr>
        <w:t>四川省阿坝州壤塘县</w:t>
      </w:r>
      <w:bookmarkEnd w:id="7"/>
      <w:bookmarkEnd w:id="8"/>
    </w:p>
    <w:bookmarkEnd w:id="0"/>
    <w:p>
      <w:pPr>
        <w:adjustRightInd w:val="0"/>
        <w:snapToGrid w:val="0"/>
        <w:spacing w:line="360" w:lineRule="auto"/>
        <w:jc w:val="center"/>
        <w:outlineLvl w:val="0"/>
        <w:rPr>
          <w:rFonts w:ascii="方正小标宋简体" w:hAnsi="宋体" w:eastAsia="方正小标宋简体"/>
          <w:sz w:val="36"/>
          <w:szCs w:val="36"/>
        </w:rPr>
      </w:pPr>
      <w:bookmarkStart w:id="14" w:name="_Toc15306268"/>
      <w:bookmarkStart w:id="15" w:name="_Toc54610944"/>
      <w:bookmarkStart w:id="16" w:name="_Toc54610594"/>
      <w:r>
        <w:rPr>
          <w:rFonts w:hint="eastAsia" w:ascii="方正小标宋简体" w:hAnsi="宋体" w:eastAsia="方正小标宋简体"/>
          <w:color w:val="000000"/>
          <w:sz w:val="72"/>
          <w:szCs w:val="72"/>
          <w:lang w:eastAsia="zh-CN"/>
        </w:rPr>
        <w:t>伊里中小学校</w:t>
      </w:r>
      <w:r>
        <w:rPr>
          <w:rFonts w:hint="eastAsia" w:ascii="方正小标宋简体" w:hAnsi="宋体" w:eastAsia="方正小标宋简体"/>
          <w:color w:val="000000"/>
          <w:sz w:val="72"/>
          <w:szCs w:val="72"/>
        </w:rPr>
        <w:t>部门决算</w:t>
      </w:r>
      <w:bookmarkEnd w:id="9"/>
      <w:bookmarkEnd w:id="10"/>
      <w:bookmarkEnd w:id="11"/>
      <w:bookmarkEnd w:id="12"/>
      <w:bookmarkEnd w:id="13"/>
      <w:bookmarkEnd w:id="14"/>
      <w:bookmarkEnd w:id="15"/>
      <w:bookmarkEnd w:id="16"/>
    </w:p>
    <w:p>
      <w:pPr>
        <w:rPr>
          <w:rFonts w:ascii="方正小标宋简体" w:hAnsi="宋体" w:eastAsia="方正小标宋简体"/>
          <w:sz w:val="36"/>
          <w:szCs w:val="36"/>
        </w:rPr>
      </w:pPr>
    </w:p>
    <w:p>
      <w:pPr>
        <w:rPr>
          <w:rFonts w:ascii="方正小标宋简体" w:hAnsi="宋体" w:eastAsia="方正小标宋简体"/>
          <w:sz w:val="36"/>
          <w:szCs w:val="36"/>
        </w:rPr>
      </w:pPr>
    </w:p>
    <w:p>
      <w:pPr>
        <w:rPr>
          <w:rFonts w:ascii="方正小标宋简体" w:hAnsi="宋体" w:eastAsia="方正小标宋简体"/>
          <w:sz w:val="36"/>
          <w:szCs w:val="36"/>
        </w:rPr>
      </w:pPr>
    </w:p>
    <w:p>
      <w:pPr>
        <w:autoSpaceDE w:val="0"/>
        <w:autoSpaceDN w:val="0"/>
        <w:adjustRightInd w:val="0"/>
        <w:ind w:firstLine="1276"/>
        <w:jc w:val="left"/>
        <w:rPr>
          <w:rFonts w:eastAsia="仿宋_GB2312"/>
          <w:sz w:val="32"/>
          <w:szCs w:val="32"/>
        </w:rPr>
      </w:pPr>
      <w:r>
        <w:rPr>
          <w:rFonts w:hint="eastAsia" w:ascii="仿宋_GB2312" w:hAnsi="Calibri" w:eastAsia="仿宋_GB2312" w:cs="仿宋_GB2312"/>
          <w:sz w:val="32"/>
          <w:szCs w:val="32"/>
        </w:rPr>
        <w:t>保密审查情况：已审查，内容审定</w:t>
      </w:r>
    </w:p>
    <w:p>
      <w:pPr>
        <w:autoSpaceDE w:val="0"/>
        <w:autoSpaceDN w:val="0"/>
        <w:adjustRightInd w:val="0"/>
        <w:ind w:firstLine="1276"/>
        <w:jc w:val="left"/>
        <w:rPr>
          <w:rFonts w:eastAsia="仿宋_GB2312"/>
          <w:sz w:val="32"/>
          <w:szCs w:val="32"/>
        </w:rPr>
      </w:pPr>
      <w:r>
        <w:rPr>
          <w:rFonts w:hint="eastAsia" w:ascii="仿宋_GB2312" w:eastAsia="仿宋_GB2312" w:cs="仿宋_GB2312"/>
          <w:sz w:val="32"/>
          <w:szCs w:val="32"/>
        </w:rPr>
        <w:t>部门主要负责人审签情况：已审签</w:t>
      </w:r>
      <w:r>
        <w:rPr>
          <w:rFonts w:hint="eastAsia" w:ascii="仿宋_GB2312" w:hAnsi="Calibri" w:eastAsia="仿宋_GB2312" w:cs="仿宋_GB2312"/>
          <w:sz w:val="32"/>
          <w:szCs w:val="32"/>
        </w:rPr>
        <w:t>，同意对外公开</w:t>
      </w:r>
    </w:p>
    <w:p>
      <w:pPr>
        <w:widowControl/>
        <w:jc w:val="center"/>
        <w:rPr>
          <w:rFonts w:ascii="方正小标宋简体" w:hAnsi="宋体" w:eastAsia="方正小标宋简体"/>
          <w:sz w:val="36"/>
          <w:szCs w:val="36"/>
        </w:rPr>
      </w:pPr>
    </w:p>
    <w:p>
      <w:pPr>
        <w:widowControl/>
        <w:jc w:val="center"/>
        <w:rPr>
          <w:rFonts w:ascii="黑体" w:hAnsi="黑体" w:eastAsia="黑体"/>
          <w:color w:val="000000"/>
          <w:sz w:val="48"/>
          <w:szCs w:val="48"/>
        </w:rPr>
      </w:pPr>
    </w:p>
    <w:p>
      <w:pPr>
        <w:widowControl/>
        <w:jc w:val="center"/>
        <w:rPr>
          <w:rFonts w:ascii="黑体" w:hAnsi="黑体" w:eastAsia="黑体"/>
          <w:color w:val="000000"/>
          <w:sz w:val="48"/>
          <w:szCs w:val="48"/>
        </w:rPr>
      </w:pPr>
    </w:p>
    <w:p>
      <w:pPr>
        <w:widowControl/>
        <w:jc w:val="center"/>
        <w:rPr>
          <w:rFonts w:ascii="黑体" w:hAnsi="黑体" w:eastAsia="黑体"/>
          <w:color w:val="000000"/>
          <w:sz w:val="48"/>
          <w:szCs w:val="48"/>
        </w:rPr>
      </w:pPr>
    </w:p>
    <w:p>
      <w:pPr>
        <w:widowControl/>
        <w:jc w:val="center"/>
        <w:rPr>
          <w:rFonts w:ascii="黑体" w:hAnsi="黑体" w:eastAsia="黑体"/>
          <w:color w:val="000000"/>
          <w:sz w:val="48"/>
          <w:szCs w:val="48"/>
        </w:rPr>
      </w:pPr>
    </w:p>
    <w:p>
      <w:pPr>
        <w:widowControl/>
        <w:jc w:val="center"/>
        <w:rPr>
          <w:rFonts w:ascii="黑体" w:hAnsi="黑体" w:eastAsia="黑体" w:cstheme="minorBidi"/>
          <w:sz w:val="28"/>
          <w:szCs w:val="28"/>
        </w:rPr>
      </w:pPr>
      <w:r>
        <w:rPr>
          <w:rFonts w:hint="eastAsia" w:ascii="黑体" w:hAnsi="黑体" w:eastAsia="黑体"/>
          <w:color w:val="000000"/>
          <w:sz w:val="48"/>
          <w:szCs w:val="48"/>
        </w:rPr>
        <w:t>目录</w:t>
      </w:r>
    </w:p>
    <w:p>
      <w:pPr>
        <w:pStyle w:val="10"/>
        <w:rPr>
          <w:rFonts w:ascii="方正小标宋简体" w:hAnsi="宋体" w:eastAsia="方正小标宋简体"/>
          <w:sz w:val="36"/>
          <w:szCs w:val="36"/>
        </w:rPr>
      </w:pPr>
      <w:r>
        <w:rPr>
          <w:rFonts w:hint="eastAsia"/>
        </w:rPr>
        <w:t>公开时间：2020年10月28日</w:t>
      </w:r>
    </w:p>
    <w:sdt>
      <w:sdtPr>
        <w:rPr>
          <w:rFonts w:ascii="Times New Roman" w:hAnsi="Times New Roman" w:eastAsia="宋体" w:cs="Times New Roman"/>
          <w:b w:val="0"/>
          <w:bCs w:val="0"/>
          <w:color w:val="auto"/>
          <w:kern w:val="2"/>
          <w:sz w:val="21"/>
          <w:szCs w:val="24"/>
          <w:lang w:val="zh-CN"/>
        </w:rPr>
        <w:id w:val="13240740"/>
        <w:docPartObj>
          <w:docPartGallery w:val="Table of Contents"/>
          <w:docPartUnique/>
        </w:docPartObj>
      </w:sdtPr>
      <w:sdtEndPr>
        <w:rPr>
          <w:rFonts w:ascii="Times New Roman" w:hAnsi="Times New Roman" w:eastAsia="宋体" w:cs="Times New Roman"/>
          <w:b w:val="0"/>
          <w:bCs w:val="0"/>
          <w:color w:val="auto"/>
          <w:kern w:val="2"/>
          <w:sz w:val="21"/>
          <w:szCs w:val="24"/>
          <w:lang w:val="en-US"/>
        </w:rPr>
      </w:sdtEndPr>
      <w:sdtContent>
        <w:p>
          <w:pPr>
            <w:pStyle w:val="30"/>
            <w:rPr>
              <w:rFonts w:asciiTheme="minorHAnsi" w:hAnsiTheme="minorHAnsi" w:eastAsiaTheme="minorEastAsia" w:cstheme="minorBidi"/>
              <w:sz w:val="21"/>
              <w:szCs w:val="22"/>
            </w:rPr>
          </w:pPr>
          <w:r>
            <w:fldChar w:fldCharType="begin"/>
          </w:r>
          <w:r>
            <w:instrText xml:space="preserve"> TOC \o "1-3" \h \z \u </w:instrText>
          </w:r>
          <w:r>
            <w:fldChar w:fldCharType="separate"/>
          </w:r>
        </w:p>
        <w:p>
          <w:pPr>
            <w:pStyle w:val="10"/>
            <w:rPr>
              <w:rFonts w:asciiTheme="minorHAnsi" w:hAnsiTheme="minorHAnsi" w:eastAsiaTheme="minorEastAsia" w:cstheme="minorBidi"/>
              <w:sz w:val="21"/>
              <w:szCs w:val="22"/>
            </w:rPr>
          </w:pPr>
          <w:r>
            <w:fldChar w:fldCharType="begin"/>
          </w:r>
          <w:r>
            <w:instrText xml:space="preserve"> HYPERLINK \l "_Toc54610945" </w:instrText>
          </w:r>
          <w:r>
            <w:fldChar w:fldCharType="separate"/>
          </w:r>
          <w:r>
            <w:rPr>
              <w:rStyle w:val="15"/>
              <w:rFonts w:hint="eastAsia" w:ascii="黑体" w:hAnsi="黑体" w:eastAsia="黑体"/>
            </w:rPr>
            <w:t>第一部分</w:t>
          </w:r>
          <w:r>
            <w:rPr>
              <w:rStyle w:val="15"/>
              <w:rFonts w:ascii="黑体" w:hAnsi="黑体" w:eastAsia="黑体"/>
            </w:rPr>
            <w:t xml:space="preserve"> </w:t>
          </w:r>
          <w:r>
            <w:rPr>
              <w:rStyle w:val="15"/>
              <w:rFonts w:hint="eastAsia" w:ascii="黑体" w:hAnsi="黑体" w:eastAsia="黑体"/>
            </w:rPr>
            <w:t>部门概况</w:t>
          </w:r>
          <w:r>
            <w:tab/>
          </w:r>
          <w:r>
            <w:fldChar w:fldCharType="begin"/>
          </w:r>
          <w:r>
            <w:instrText xml:space="preserve"> PAGEREF _Toc54610945 \h </w:instrText>
          </w:r>
          <w:r>
            <w:fldChar w:fldCharType="separate"/>
          </w:r>
          <w:r>
            <w:t>3</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"_Toc54610946" </w:instrText>
          </w:r>
          <w:r>
            <w:fldChar w:fldCharType="separate"/>
          </w:r>
          <w:r>
            <w:rPr>
              <w:rStyle w:val="15"/>
              <w:rFonts w:hint="eastAsia" w:ascii="黑体" w:hAnsi="黑体" w:eastAsia="黑体"/>
            </w:rPr>
            <w:t>一、基本职能及主要工作</w:t>
          </w:r>
          <w:r>
            <w:tab/>
          </w:r>
          <w:r>
            <w:fldChar w:fldCharType="begin"/>
          </w:r>
          <w:r>
            <w:instrText xml:space="preserve"> PAGEREF _Toc54610946 \h </w:instrText>
          </w:r>
          <w:r>
            <w:fldChar w:fldCharType="separate"/>
          </w:r>
          <w:r>
            <w:t>3</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"_Toc54610948" </w:instrText>
          </w:r>
          <w:r>
            <w:fldChar w:fldCharType="separate"/>
          </w:r>
          <w:r>
            <w:rPr>
              <w:rStyle w:val="15"/>
              <w:rFonts w:hint="eastAsia" w:ascii="黑体" w:eastAsia="黑体"/>
            </w:rPr>
            <w:t>二、</w:t>
          </w:r>
          <w:r>
            <w:rPr>
              <w:rStyle w:val="15"/>
              <w:rFonts w:hint="eastAsia" w:ascii="黑体" w:hAnsi="黑体" w:eastAsia="黑体"/>
            </w:rPr>
            <w:t>机构设置</w:t>
          </w:r>
          <w:r>
            <w:tab/>
          </w:r>
          <w:r>
            <w:fldChar w:fldCharType="begin"/>
          </w:r>
          <w:r>
            <w:instrText xml:space="preserve"> PAGEREF _Toc54610948 \h </w:instrText>
          </w:r>
          <w:r>
            <w:fldChar w:fldCharType="separate"/>
          </w:r>
          <w:r>
            <w:t>12</w:t>
          </w:r>
          <w:r>
            <w:fldChar w:fldCharType="end"/>
          </w:r>
          <w:r>
            <w:fldChar w:fldCharType="end"/>
          </w:r>
        </w:p>
        <w:p>
          <w:pPr>
            <w:pStyle w:val="10"/>
            <w:rPr>
              <w:rFonts w:asciiTheme="minorHAnsi" w:hAnsiTheme="minorHAnsi" w:eastAsiaTheme="minorEastAsia" w:cstheme="minorBidi"/>
              <w:sz w:val="21"/>
              <w:szCs w:val="22"/>
            </w:rPr>
          </w:pPr>
          <w:r>
            <w:fldChar w:fldCharType="begin"/>
          </w:r>
          <w:r>
            <w:instrText xml:space="preserve"> HYPERLINK \l "_Toc54610949" </w:instrText>
          </w:r>
          <w:r>
            <w:fldChar w:fldCharType="separate"/>
          </w:r>
          <w:r>
            <w:rPr>
              <w:rStyle w:val="15"/>
              <w:rFonts w:hint="eastAsia" w:ascii="黑体" w:hAnsi="黑体" w:eastAsia="黑体"/>
            </w:rPr>
            <w:t>第二部分</w:t>
          </w:r>
          <w:r>
            <w:rPr>
              <w:rStyle w:val="15"/>
              <w:rFonts w:ascii="黑体" w:hAnsi="黑体" w:eastAsia="黑体"/>
            </w:rPr>
            <w:t xml:space="preserve"> 2019</w:t>
          </w:r>
          <w:r>
            <w:rPr>
              <w:rStyle w:val="15"/>
              <w:rFonts w:hint="eastAsia" w:ascii="黑体" w:hAnsi="黑体" w:eastAsia="黑体"/>
            </w:rPr>
            <w:t>年度部门决算情况说明</w:t>
          </w:r>
          <w:r>
            <w:tab/>
          </w:r>
          <w:r>
            <w:fldChar w:fldCharType="begin"/>
          </w:r>
          <w:r>
            <w:instrText xml:space="preserve"> PAGEREF _Toc54610949 \h </w:instrText>
          </w:r>
          <w:r>
            <w:fldChar w:fldCharType="separate"/>
          </w:r>
          <w:r>
            <w:t>12</w:t>
          </w:r>
          <w:r>
            <w:fldChar w:fldCharType="end"/>
          </w:r>
          <w:r>
            <w:fldChar w:fldCharType="end"/>
          </w:r>
        </w:p>
        <w:p>
          <w:pPr>
            <w:pStyle w:val="11"/>
            <w:rPr>
              <w:rStyle w:val="15"/>
              <w:rFonts w:ascii="仿宋" w:hAnsi="仿宋" w:eastAsia="仿宋"/>
            </w:rPr>
          </w:pPr>
          <w:r>
            <w:fldChar w:fldCharType="begin"/>
          </w:r>
          <w:r>
            <w:instrText xml:space="preserve"> HYPERLINK \l "_Toc54610950" </w:instrText>
          </w:r>
          <w:r>
            <w:fldChar w:fldCharType="separate"/>
          </w:r>
          <w:r>
            <w:rPr>
              <w:rStyle w:val="15"/>
              <w:rFonts w:hint="eastAsia" w:ascii="仿宋" w:hAnsi="仿宋" w:eastAsia="仿宋"/>
            </w:rPr>
            <w:t>一、收入支出决算总体情况说明</w:t>
          </w:r>
          <w:r>
            <w:rPr>
              <w:rStyle w:val="15"/>
              <w:rFonts w:ascii="仿宋" w:hAnsi="仿宋" w:eastAsia="仿宋"/>
            </w:rPr>
            <w:tab/>
          </w:r>
          <w:r>
            <w:rPr>
              <w:rStyle w:val="15"/>
              <w:rFonts w:ascii="仿宋" w:hAnsi="仿宋" w:eastAsia="仿宋"/>
            </w:rPr>
            <w:fldChar w:fldCharType="begin"/>
          </w:r>
          <w:r>
            <w:rPr>
              <w:rStyle w:val="15"/>
              <w:rFonts w:ascii="仿宋" w:hAnsi="仿宋" w:eastAsia="仿宋"/>
            </w:rPr>
            <w:instrText xml:space="preserve"> PAGEREF _Toc54610950 \h </w:instrText>
          </w:r>
          <w:r>
            <w:rPr>
              <w:rStyle w:val="15"/>
              <w:rFonts w:ascii="仿宋" w:hAnsi="仿宋" w:eastAsia="仿宋"/>
            </w:rPr>
            <w:fldChar w:fldCharType="separate"/>
          </w:r>
          <w:r>
            <w:rPr>
              <w:rStyle w:val="15"/>
              <w:rFonts w:ascii="仿宋" w:hAnsi="仿宋" w:eastAsia="仿宋"/>
            </w:rPr>
            <w:t>12</w:t>
          </w:r>
          <w:r>
            <w:rPr>
              <w:rStyle w:val="15"/>
              <w:rFonts w:ascii="仿宋" w:hAnsi="仿宋" w:eastAsia="仿宋"/>
            </w:rPr>
            <w:fldChar w:fldCharType="end"/>
          </w:r>
          <w:r>
            <w:rPr>
              <w:rStyle w:val="15"/>
              <w:rFonts w:ascii="仿宋" w:hAnsi="仿宋" w:eastAsia="仿宋"/>
            </w:rPr>
            <w:fldChar w:fldCharType="end"/>
          </w:r>
        </w:p>
        <w:p>
          <w:pPr>
            <w:pStyle w:val="11"/>
            <w:rPr>
              <w:rStyle w:val="15"/>
              <w:rFonts w:ascii="仿宋" w:hAnsi="仿宋" w:eastAsia="仿宋"/>
            </w:rPr>
          </w:pPr>
          <w:r>
            <w:fldChar w:fldCharType="begin"/>
          </w:r>
          <w:r>
            <w:instrText xml:space="preserve"> HYPERLINK \l "_Toc54610951" </w:instrText>
          </w:r>
          <w:r>
            <w:fldChar w:fldCharType="separate"/>
          </w:r>
          <w:r>
            <w:rPr>
              <w:rStyle w:val="15"/>
              <w:rFonts w:hint="eastAsia" w:ascii="仿宋" w:hAnsi="仿宋" w:eastAsia="仿宋"/>
            </w:rPr>
            <w:t>二、收入决算情况说明</w:t>
          </w:r>
          <w:r>
            <w:rPr>
              <w:rStyle w:val="15"/>
              <w:rFonts w:ascii="仿宋" w:hAnsi="仿宋" w:eastAsia="仿宋"/>
            </w:rPr>
            <w:tab/>
          </w:r>
          <w:r>
            <w:rPr>
              <w:rStyle w:val="15"/>
              <w:rFonts w:ascii="仿宋" w:hAnsi="仿宋" w:eastAsia="仿宋"/>
            </w:rPr>
            <w:fldChar w:fldCharType="begin"/>
          </w:r>
          <w:r>
            <w:rPr>
              <w:rStyle w:val="15"/>
              <w:rFonts w:ascii="仿宋" w:hAnsi="仿宋" w:eastAsia="仿宋"/>
            </w:rPr>
            <w:instrText xml:space="preserve"> PAGEREF _Toc54610951 \h </w:instrText>
          </w:r>
          <w:r>
            <w:rPr>
              <w:rStyle w:val="15"/>
              <w:rFonts w:ascii="仿宋" w:hAnsi="仿宋" w:eastAsia="仿宋"/>
            </w:rPr>
            <w:fldChar w:fldCharType="separate"/>
          </w:r>
          <w:r>
            <w:rPr>
              <w:rStyle w:val="15"/>
              <w:rFonts w:ascii="仿宋" w:hAnsi="仿宋" w:eastAsia="仿宋"/>
            </w:rPr>
            <w:t>13</w:t>
          </w:r>
          <w:r>
            <w:rPr>
              <w:rStyle w:val="15"/>
              <w:rFonts w:ascii="仿宋" w:hAnsi="仿宋" w:eastAsia="仿宋"/>
            </w:rPr>
            <w:fldChar w:fldCharType="end"/>
          </w:r>
          <w:r>
            <w:rPr>
              <w:rStyle w:val="15"/>
              <w:rFonts w:ascii="仿宋" w:hAnsi="仿宋" w:eastAsia="仿宋"/>
            </w:rPr>
            <w:fldChar w:fldCharType="end"/>
          </w:r>
        </w:p>
        <w:p>
          <w:pPr>
            <w:pStyle w:val="11"/>
            <w:rPr>
              <w:rStyle w:val="15"/>
              <w:rFonts w:ascii="仿宋" w:hAnsi="仿宋" w:eastAsia="仿宋"/>
            </w:rPr>
          </w:pPr>
          <w:r>
            <w:fldChar w:fldCharType="begin"/>
          </w:r>
          <w:r>
            <w:instrText xml:space="preserve"> HYPERLINK \l "_Toc54610953" </w:instrText>
          </w:r>
          <w:r>
            <w:fldChar w:fldCharType="separate"/>
          </w:r>
          <w:r>
            <w:rPr>
              <w:rStyle w:val="15"/>
              <w:rFonts w:hint="eastAsia" w:ascii="仿宋" w:hAnsi="仿宋" w:eastAsia="仿宋"/>
            </w:rPr>
            <w:t>三、支出决算情况说明</w:t>
          </w:r>
          <w:r>
            <w:rPr>
              <w:rStyle w:val="15"/>
              <w:rFonts w:ascii="仿宋" w:hAnsi="仿宋" w:eastAsia="仿宋"/>
            </w:rPr>
            <w:tab/>
          </w:r>
          <w:r>
            <w:rPr>
              <w:rStyle w:val="15"/>
              <w:rFonts w:ascii="仿宋" w:hAnsi="仿宋" w:eastAsia="仿宋"/>
            </w:rPr>
            <w:fldChar w:fldCharType="begin"/>
          </w:r>
          <w:r>
            <w:rPr>
              <w:rStyle w:val="15"/>
              <w:rFonts w:ascii="仿宋" w:hAnsi="仿宋" w:eastAsia="仿宋"/>
            </w:rPr>
            <w:instrText xml:space="preserve"> PAGEREF _Toc54610953 \h </w:instrText>
          </w:r>
          <w:r>
            <w:rPr>
              <w:rStyle w:val="15"/>
              <w:rFonts w:ascii="仿宋" w:hAnsi="仿宋" w:eastAsia="仿宋"/>
            </w:rPr>
            <w:fldChar w:fldCharType="separate"/>
          </w:r>
          <w:r>
            <w:rPr>
              <w:rStyle w:val="15"/>
              <w:rFonts w:ascii="仿宋" w:hAnsi="仿宋" w:eastAsia="仿宋"/>
            </w:rPr>
            <w:t>14</w:t>
          </w:r>
          <w:r>
            <w:rPr>
              <w:rStyle w:val="15"/>
              <w:rFonts w:ascii="仿宋" w:hAnsi="仿宋" w:eastAsia="仿宋"/>
            </w:rPr>
            <w:fldChar w:fldCharType="end"/>
          </w:r>
          <w:r>
            <w:rPr>
              <w:rStyle w:val="15"/>
              <w:rFonts w:ascii="仿宋" w:hAnsi="仿宋" w:eastAsia="仿宋"/>
            </w:rPr>
            <w:fldChar w:fldCharType="end"/>
          </w:r>
          <w:r>
            <w:fldChar w:fldCharType="begin"/>
          </w:r>
          <w:r>
            <w:instrText xml:space="preserve"> HYPERLINK \l "_Toc54610954" </w:instrText>
          </w:r>
          <w:r>
            <w:fldChar w:fldCharType="separate"/>
          </w:r>
          <w:r>
            <w:fldChar w:fldCharType="end"/>
          </w:r>
        </w:p>
        <w:p>
          <w:pPr>
            <w:pStyle w:val="11"/>
            <w:rPr>
              <w:rStyle w:val="15"/>
              <w:rFonts w:ascii="仿宋" w:hAnsi="仿宋" w:eastAsia="仿宋"/>
            </w:rPr>
          </w:pPr>
          <w:r>
            <w:fldChar w:fldCharType="begin"/>
          </w:r>
          <w:r>
            <w:instrText xml:space="preserve"> HYPERLINK \l "_Toc54610955" </w:instrText>
          </w:r>
          <w:r>
            <w:fldChar w:fldCharType="separate"/>
          </w:r>
          <w:r>
            <w:rPr>
              <w:rStyle w:val="15"/>
              <w:rFonts w:hint="eastAsia" w:ascii="仿宋" w:hAnsi="仿宋" w:eastAsia="仿宋"/>
            </w:rPr>
            <w:t>四、财政拨款收入支出决算总体情况说明</w:t>
          </w:r>
          <w:r>
            <w:rPr>
              <w:rStyle w:val="15"/>
              <w:rFonts w:ascii="仿宋" w:hAnsi="仿宋" w:eastAsia="仿宋"/>
            </w:rPr>
            <w:tab/>
          </w:r>
          <w:r>
            <w:rPr>
              <w:rStyle w:val="15"/>
              <w:rFonts w:ascii="仿宋" w:hAnsi="仿宋" w:eastAsia="仿宋"/>
            </w:rPr>
            <w:fldChar w:fldCharType="begin"/>
          </w:r>
          <w:r>
            <w:rPr>
              <w:rStyle w:val="15"/>
              <w:rFonts w:ascii="仿宋" w:hAnsi="仿宋" w:eastAsia="仿宋"/>
            </w:rPr>
            <w:instrText xml:space="preserve"> PAGEREF _Toc54610955 \h </w:instrText>
          </w:r>
          <w:r>
            <w:rPr>
              <w:rStyle w:val="15"/>
              <w:rFonts w:ascii="仿宋" w:hAnsi="仿宋" w:eastAsia="仿宋"/>
            </w:rPr>
            <w:fldChar w:fldCharType="separate"/>
          </w:r>
          <w:r>
            <w:rPr>
              <w:rStyle w:val="15"/>
              <w:rFonts w:ascii="仿宋" w:hAnsi="仿宋" w:eastAsia="仿宋"/>
            </w:rPr>
            <w:t>14</w:t>
          </w:r>
          <w:r>
            <w:rPr>
              <w:rStyle w:val="15"/>
              <w:rFonts w:ascii="仿宋" w:hAnsi="仿宋" w:eastAsia="仿宋"/>
            </w:rPr>
            <w:fldChar w:fldCharType="end"/>
          </w:r>
          <w:r>
            <w:rPr>
              <w:rStyle w:val="15"/>
              <w:rFonts w:ascii="仿宋" w:hAnsi="仿宋" w:eastAsia="仿宋"/>
            </w:rPr>
            <w:fldChar w:fldCharType="end"/>
          </w:r>
        </w:p>
        <w:p>
          <w:pPr>
            <w:pStyle w:val="11"/>
            <w:rPr>
              <w:rStyle w:val="15"/>
              <w:rFonts w:ascii="仿宋" w:hAnsi="仿宋" w:eastAsia="仿宋"/>
            </w:rPr>
          </w:pPr>
          <w:r>
            <w:fldChar w:fldCharType="begin"/>
          </w:r>
          <w:r>
            <w:instrText xml:space="preserve"> HYPERLINK \l "_Toc54610956" </w:instrText>
          </w:r>
          <w:r>
            <w:fldChar w:fldCharType="separate"/>
          </w:r>
          <w:r>
            <w:rPr>
              <w:rStyle w:val="15"/>
              <w:rFonts w:hint="eastAsia" w:ascii="仿宋" w:hAnsi="仿宋" w:eastAsia="仿宋"/>
            </w:rPr>
            <w:t>五、一般公共预算财政拨款支出决算情况说明</w:t>
          </w:r>
          <w:r>
            <w:rPr>
              <w:rStyle w:val="15"/>
              <w:rFonts w:ascii="仿宋" w:hAnsi="仿宋" w:eastAsia="仿宋"/>
            </w:rPr>
            <w:tab/>
          </w:r>
          <w:r>
            <w:rPr>
              <w:rStyle w:val="15"/>
              <w:rFonts w:ascii="仿宋" w:hAnsi="仿宋" w:eastAsia="仿宋"/>
            </w:rPr>
            <w:fldChar w:fldCharType="begin"/>
          </w:r>
          <w:r>
            <w:rPr>
              <w:rStyle w:val="15"/>
              <w:rFonts w:ascii="仿宋" w:hAnsi="仿宋" w:eastAsia="仿宋"/>
            </w:rPr>
            <w:instrText xml:space="preserve"> PAGEREF _Toc54610956 \h </w:instrText>
          </w:r>
          <w:r>
            <w:rPr>
              <w:rStyle w:val="15"/>
              <w:rFonts w:ascii="仿宋" w:hAnsi="仿宋" w:eastAsia="仿宋"/>
            </w:rPr>
            <w:fldChar w:fldCharType="separate"/>
          </w:r>
          <w:r>
            <w:rPr>
              <w:rStyle w:val="15"/>
              <w:rFonts w:ascii="仿宋" w:hAnsi="仿宋" w:eastAsia="仿宋"/>
            </w:rPr>
            <w:t>15</w:t>
          </w:r>
          <w:r>
            <w:rPr>
              <w:rStyle w:val="15"/>
              <w:rFonts w:ascii="仿宋" w:hAnsi="仿宋" w:eastAsia="仿宋"/>
            </w:rPr>
            <w:fldChar w:fldCharType="end"/>
          </w:r>
          <w:r>
            <w:rPr>
              <w:rStyle w:val="15"/>
              <w:rFonts w:ascii="仿宋" w:hAnsi="仿宋" w:eastAsia="仿宋"/>
            </w:rPr>
            <w:fldChar w:fldCharType="end"/>
          </w:r>
        </w:p>
        <w:p>
          <w:pPr>
            <w:pStyle w:val="11"/>
            <w:rPr>
              <w:rStyle w:val="15"/>
              <w:rFonts w:ascii="仿宋" w:hAnsi="仿宋" w:eastAsia="仿宋"/>
            </w:rPr>
          </w:pPr>
          <w:r>
            <w:fldChar w:fldCharType="begin"/>
          </w:r>
          <w:r>
            <w:instrText xml:space="preserve"> HYPERLINK \l "_Toc54610961" </w:instrText>
          </w:r>
          <w:r>
            <w:fldChar w:fldCharType="separate"/>
          </w:r>
          <w:r>
            <w:rPr>
              <w:rStyle w:val="15"/>
              <w:rFonts w:hint="eastAsia" w:ascii="仿宋" w:hAnsi="仿宋" w:eastAsia="仿宋"/>
            </w:rPr>
            <w:t>六、一般公共预算财政拨款基本支出决算情况说明</w:t>
          </w:r>
          <w:r>
            <w:rPr>
              <w:rStyle w:val="15"/>
              <w:rFonts w:ascii="仿宋" w:hAnsi="仿宋" w:eastAsia="仿宋"/>
            </w:rPr>
            <w:tab/>
          </w:r>
          <w:r>
            <w:rPr>
              <w:rStyle w:val="15"/>
              <w:rFonts w:ascii="仿宋" w:hAnsi="仿宋" w:eastAsia="仿宋"/>
            </w:rPr>
            <w:fldChar w:fldCharType="begin"/>
          </w:r>
          <w:r>
            <w:rPr>
              <w:rStyle w:val="15"/>
              <w:rFonts w:ascii="仿宋" w:hAnsi="仿宋" w:eastAsia="仿宋"/>
            </w:rPr>
            <w:instrText xml:space="preserve"> PAGEREF _Toc54610961 \h </w:instrText>
          </w:r>
          <w:r>
            <w:rPr>
              <w:rStyle w:val="15"/>
              <w:rFonts w:ascii="仿宋" w:hAnsi="仿宋" w:eastAsia="仿宋"/>
            </w:rPr>
            <w:fldChar w:fldCharType="separate"/>
          </w:r>
          <w:r>
            <w:rPr>
              <w:rStyle w:val="15"/>
              <w:rFonts w:ascii="仿宋" w:hAnsi="仿宋" w:eastAsia="仿宋"/>
            </w:rPr>
            <w:t>17</w:t>
          </w:r>
          <w:r>
            <w:rPr>
              <w:rStyle w:val="15"/>
              <w:rFonts w:ascii="仿宋" w:hAnsi="仿宋" w:eastAsia="仿宋"/>
            </w:rPr>
            <w:fldChar w:fldCharType="end"/>
          </w:r>
          <w:r>
            <w:rPr>
              <w:rStyle w:val="15"/>
              <w:rFonts w:ascii="仿宋" w:hAnsi="仿宋" w:eastAsia="仿宋"/>
            </w:rPr>
            <w:fldChar w:fldCharType="end"/>
          </w:r>
        </w:p>
        <w:p>
          <w:pPr>
            <w:pStyle w:val="11"/>
            <w:rPr>
              <w:rStyle w:val="15"/>
              <w:rFonts w:ascii="仿宋" w:hAnsi="仿宋" w:eastAsia="仿宋"/>
            </w:rPr>
          </w:pPr>
          <w:r>
            <w:fldChar w:fldCharType="begin"/>
          </w:r>
          <w:r>
            <w:instrText xml:space="preserve"> HYPERLINK \l "_Toc54610962" </w:instrText>
          </w:r>
          <w:r>
            <w:fldChar w:fldCharType="separate"/>
          </w:r>
          <w:r>
            <w:rPr>
              <w:rStyle w:val="15"/>
              <w:rFonts w:hint="eastAsia" w:ascii="仿宋" w:hAnsi="仿宋" w:eastAsia="仿宋"/>
            </w:rPr>
            <w:t>七、</w:t>
          </w:r>
          <w:r>
            <w:rPr>
              <w:rStyle w:val="15"/>
              <w:rFonts w:ascii="仿宋" w:hAnsi="仿宋" w:eastAsia="仿宋"/>
            </w:rPr>
            <w:t>“</w:t>
          </w:r>
          <w:r>
            <w:rPr>
              <w:rStyle w:val="15"/>
              <w:rFonts w:hint="eastAsia" w:ascii="仿宋" w:hAnsi="仿宋" w:eastAsia="仿宋"/>
            </w:rPr>
            <w:t>三公”经费财政拨款支出决算情况说明</w:t>
          </w:r>
          <w:r>
            <w:rPr>
              <w:rStyle w:val="15"/>
              <w:rFonts w:ascii="仿宋" w:hAnsi="仿宋" w:eastAsia="仿宋"/>
            </w:rPr>
            <w:tab/>
          </w:r>
          <w:r>
            <w:rPr>
              <w:rStyle w:val="15"/>
              <w:rFonts w:ascii="仿宋" w:hAnsi="仿宋" w:eastAsia="仿宋"/>
            </w:rPr>
            <w:fldChar w:fldCharType="begin"/>
          </w:r>
          <w:r>
            <w:rPr>
              <w:rStyle w:val="15"/>
              <w:rFonts w:ascii="仿宋" w:hAnsi="仿宋" w:eastAsia="仿宋"/>
            </w:rPr>
            <w:instrText xml:space="preserve"> PAGEREF _Toc54610962 \h </w:instrText>
          </w:r>
          <w:r>
            <w:rPr>
              <w:rStyle w:val="15"/>
              <w:rFonts w:ascii="仿宋" w:hAnsi="仿宋" w:eastAsia="仿宋"/>
            </w:rPr>
            <w:fldChar w:fldCharType="separate"/>
          </w:r>
          <w:r>
            <w:rPr>
              <w:rStyle w:val="15"/>
              <w:rFonts w:ascii="仿宋" w:hAnsi="仿宋" w:eastAsia="仿宋"/>
            </w:rPr>
            <w:t>18</w:t>
          </w:r>
          <w:r>
            <w:rPr>
              <w:rStyle w:val="15"/>
              <w:rFonts w:ascii="仿宋" w:hAnsi="仿宋" w:eastAsia="仿宋"/>
            </w:rPr>
            <w:fldChar w:fldCharType="end"/>
          </w:r>
          <w:r>
            <w:rPr>
              <w:rStyle w:val="15"/>
              <w:rFonts w:ascii="仿宋" w:hAnsi="仿宋" w:eastAsia="仿宋"/>
            </w:rPr>
            <w:fldChar w:fldCharType="end"/>
          </w:r>
        </w:p>
        <w:p>
          <w:pPr>
            <w:pStyle w:val="11"/>
            <w:rPr>
              <w:rStyle w:val="15"/>
              <w:rFonts w:ascii="仿宋" w:hAnsi="仿宋" w:eastAsia="仿宋"/>
            </w:rPr>
          </w:pPr>
          <w:r>
            <w:fldChar w:fldCharType="begin"/>
          </w:r>
          <w:r>
            <w:instrText xml:space="preserve"> HYPERLINK \l "_Toc54610965" </w:instrText>
          </w:r>
          <w:r>
            <w:fldChar w:fldCharType="separate"/>
          </w:r>
          <w:r>
            <w:rPr>
              <w:rStyle w:val="15"/>
              <w:rFonts w:hint="eastAsia" w:ascii="仿宋" w:hAnsi="仿宋" w:eastAsia="仿宋"/>
            </w:rPr>
            <w:t>八、政府性基金预算支出决算情况说明</w:t>
          </w:r>
          <w:r>
            <w:rPr>
              <w:rStyle w:val="15"/>
              <w:rFonts w:ascii="仿宋" w:hAnsi="仿宋" w:eastAsia="仿宋"/>
            </w:rPr>
            <w:tab/>
          </w:r>
          <w:r>
            <w:rPr>
              <w:rStyle w:val="15"/>
              <w:rFonts w:ascii="仿宋" w:hAnsi="仿宋" w:eastAsia="仿宋"/>
            </w:rPr>
            <w:fldChar w:fldCharType="begin"/>
          </w:r>
          <w:r>
            <w:rPr>
              <w:rStyle w:val="15"/>
              <w:rFonts w:ascii="仿宋" w:hAnsi="仿宋" w:eastAsia="仿宋"/>
            </w:rPr>
            <w:instrText xml:space="preserve"> PAGEREF _Toc54610965 \h </w:instrText>
          </w:r>
          <w:r>
            <w:rPr>
              <w:rStyle w:val="15"/>
              <w:rFonts w:ascii="仿宋" w:hAnsi="仿宋" w:eastAsia="仿宋"/>
            </w:rPr>
            <w:fldChar w:fldCharType="separate"/>
          </w:r>
          <w:r>
            <w:rPr>
              <w:rStyle w:val="15"/>
              <w:rFonts w:ascii="仿宋" w:hAnsi="仿宋" w:eastAsia="仿宋"/>
            </w:rPr>
            <w:t>19</w:t>
          </w:r>
          <w:r>
            <w:rPr>
              <w:rStyle w:val="15"/>
              <w:rFonts w:ascii="仿宋" w:hAnsi="仿宋" w:eastAsia="仿宋"/>
            </w:rPr>
            <w:fldChar w:fldCharType="end"/>
          </w:r>
          <w:r>
            <w:rPr>
              <w:rStyle w:val="15"/>
              <w:rFonts w:ascii="仿宋" w:hAnsi="仿宋" w:eastAsia="仿宋"/>
            </w:rPr>
            <w:fldChar w:fldCharType="end"/>
          </w:r>
        </w:p>
        <w:p>
          <w:pPr>
            <w:pStyle w:val="11"/>
            <w:rPr>
              <w:rStyle w:val="15"/>
              <w:rFonts w:ascii="仿宋" w:hAnsi="仿宋" w:eastAsia="仿宋"/>
            </w:rPr>
          </w:pPr>
          <w:r>
            <w:fldChar w:fldCharType="begin"/>
          </w:r>
          <w:r>
            <w:instrText xml:space="preserve"> HYPERLINK \l "_Toc54610966" </w:instrText>
          </w:r>
          <w:r>
            <w:fldChar w:fldCharType="separate"/>
          </w:r>
          <w:r>
            <w:rPr>
              <w:rStyle w:val="15"/>
              <w:rFonts w:hint="eastAsia" w:ascii="仿宋" w:hAnsi="仿宋" w:eastAsia="仿宋"/>
            </w:rPr>
            <w:t>九、 国有资本经营预算支出决算情况说明</w:t>
          </w:r>
          <w:r>
            <w:rPr>
              <w:rStyle w:val="15"/>
              <w:rFonts w:ascii="仿宋" w:hAnsi="仿宋" w:eastAsia="仿宋"/>
            </w:rPr>
            <w:tab/>
          </w:r>
          <w:r>
            <w:rPr>
              <w:rStyle w:val="15"/>
              <w:rFonts w:ascii="仿宋" w:hAnsi="仿宋" w:eastAsia="仿宋"/>
            </w:rPr>
            <w:fldChar w:fldCharType="begin"/>
          </w:r>
          <w:r>
            <w:rPr>
              <w:rStyle w:val="15"/>
              <w:rFonts w:ascii="仿宋" w:hAnsi="仿宋" w:eastAsia="仿宋"/>
            </w:rPr>
            <w:instrText xml:space="preserve"> PAGEREF _Toc54610966 \h </w:instrText>
          </w:r>
          <w:r>
            <w:rPr>
              <w:rStyle w:val="15"/>
              <w:rFonts w:ascii="仿宋" w:hAnsi="仿宋" w:eastAsia="仿宋"/>
            </w:rPr>
            <w:fldChar w:fldCharType="separate"/>
          </w:r>
          <w:r>
            <w:rPr>
              <w:rStyle w:val="15"/>
              <w:rFonts w:ascii="仿宋" w:hAnsi="仿宋" w:eastAsia="仿宋"/>
            </w:rPr>
            <w:t>19</w:t>
          </w:r>
          <w:r>
            <w:rPr>
              <w:rStyle w:val="15"/>
              <w:rFonts w:ascii="仿宋" w:hAnsi="仿宋" w:eastAsia="仿宋"/>
            </w:rPr>
            <w:fldChar w:fldCharType="end"/>
          </w:r>
          <w:r>
            <w:rPr>
              <w:rStyle w:val="15"/>
              <w:rFonts w:ascii="仿宋" w:hAnsi="仿宋" w:eastAsia="仿宋"/>
            </w:rPr>
            <w:fldChar w:fldCharType="end"/>
          </w:r>
        </w:p>
        <w:p>
          <w:pPr>
            <w:pStyle w:val="11"/>
            <w:rPr>
              <w:rStyle w:val="15"/>
              <w:rFonts w:ascii="仿宋" w:hAnsi="仿宋" w:eastAsia="仿宋"/>
            </w:rPr>
          </w:pPr>
          <w:r>
            <w:fldChar w:fldCharType="begin"/>
          </w:r>
          <w:r>
            <w:instrText xml:space="preserve"> HYPERLINK \l "_Toc54610967" </w:instrText>
          </w:r>
          <w:r>
            <w:fldChar w:fldCharType="separate"/>
          </w:r>
          <w:r>
            <w:rPr>
              <w:rStyle w:val="15"/>
              <w:rFonts w:hint="eastAsia" w:ascii="仿宋" w:hAnsi="仿宋" w:eastAsia="仿宋"/>
            </w:rPr>
            <w:t>十、其他重要事项的情况说明</w:t>
          </w:r>
          <w:r>
            <w:rPr>
              <w:rStyle w:val="15"/>
              <w:rFonts w:ascii="仿宋" w:hAnsi="仿宋" w:eastAsia="仿宋"/>
            </w:rPr>
            <w:tab/>
          </w:r>
          <w:r>
            <w:rPr>
              <w:rStyle w:val="15"/>
              <w:rFonts w:ascii="仿宋" w:hAnsi="仿宋" w:eastAsia="仿宋"/>
            </w:rPr>
            <w:fldChar w:fldCharType="begin"/>
          </w:r>
          <w:r>
            <w:rPr>
              <w:rStyle w:val="15"/>
              <w:rFonts w:ascii="仿宋" w:hAnsi="仿宋" w:eastAsia="仿宋"/>
            </w:rPr>
            <w:instrText xml:space="preserve"> PAGEREF _Toc54610967 \h </w:instrText>
          </w:r>
          <w:r>
            <w:rPr>
              <w:rStyle w:val="15"/>
              <w:rFonts w:ascii="仿宋" w:hAnsi="仿宋" w:eastAsia="仿宋"/>
            </w:rPr>
            <w:fldChar w:fldCharType="separate"/>
          </w:r>
          <w:r>
            <w:rPr>
              <w:rStyle w:val="15"/>
              <w:rFonts w:ascii="仿宋" w:hAnsi="仿宋" w:eastAsia="仿宋"/>
            </w:rPr>
            <w:t>19</w:t>
          </w:r>
          <w:r>
            <w:rPr>
              <w:rStyle w:val="15"/>
              <w:rFonts w:ascii="仿宋" w:hAnsi="仿宋" w:eastAsia="仿宋"/>
            </w:rPr>
            <w:fldChar w:fldCharType="end"/>
          </w:r>
          <w:r>
            <w:rPr>
              <w:rStyle w:val="15"/>
              <w:rFonts w:ascii="仿宋" w:hAnsi="仿宋" w:eastAsia="仿宋"/>
            </w:rPr>
            <w:fldChar w:fldCharType="end"/>
          </w:r>
        </w:p>
        <w:p>
          <w:pPr>
            <w:pStyle w:val="10"/>
            <w:rPr>
              <w:rFonts w:asciiTheme="minorHAnsi" w:hAnsiTheme="minorHAnsi" w:eastAsiaTheme="minorEastAsia" w:cstheme="minorBidi"/>
              <w:sz w:val="21"/>
              <w:szCs w:val="22"/>
            </w:rPr>
          </w:pPr>
          <w:r>
            <w:fldChar w:fldCharType="begin"/>
          </w:r>
          <w:r>
            <w:instrText xml:space="preserve"> HYPERLINK \l "_Toc54610972" </w:instrText>
          </w:r>
          <w:r>
            <w:fldChar w:fldCharType="separate"/>
          </w:r>
          <w:r>
            <w:rPr>
              <w:rStyle w:val="15"/>
              <w:rFonts w:hint="eastAsia" w:ascii="黑体" w:hAnsi="黑体" w:eastAsia="黑体"/>
              <w:bCs/>
              <w:kern w:val="44"/>
            </w:rPr>
            <w:t>第三部分</w:t>
          </w:r>
          <w:r>
            <w:rPr>
              <w:rStyle w:val="15"/>
              <w:rFonts w:hint="eastAsia" w:ascii="黑体" w:hAnsi="黑体" w:eastAsia="黑体"/>
            </w:rPr>
            <w:t xml:space="preserve"> 名</w:t>
          </w:r>
          <w:r>
            <w:rPr>
              <w:rStyle w:val="15"/>
              <w:rFonts w:hint="eastAsia" w:ascii="黑体" w:hAnsi="黑体" w:eastAsia="黑体"/>
              <w:bCs/>
              <w:kern w:val="44"/>
            </w:rPr>
            <w:t>词解释</w:t>
          </w:r>
          <w:r>
            <w:tab/>
          </w:r>
          <w:r>
            <w:fldChar w:fldCharType="begin"/>
          </w:r>
          <w:r>
            <w:instrText xml:space="preserve"> PAGEREF _Toc54610972 \h </w:instrText>
          </w:r>
          <w:r>
            <w:fldChar w:fldCharType="separate"/>
          </w:r>
          <w:r>
            <w:t>23</w:t>
          </w:r>
          <w:r>
            <w:fldChar w:fldCharType="end"/>
          </w:r>
          <w:r>
            <w:fldChar w:fldCharType="end"/>
          </w:r>
        </w:p>
        <w:p>
          <w:pPr>
            <w:pStyle w:val="10"/>
            <w:rPr>
              <w:rFonts w:asciiTheme="minorHAnsi" w:hAnsiTheme="minorHAnsi" w:eastAsiaTheme="minorEastAsia" w:cstheme="minorBidi"/>
              <w:sz w:val="21"/>
              <w:szCs w:val="22"/>
            </w:rPr>
          </w:pPr>
          <w:r>
            <w:fldChar w:fldCharType="begin"/>
          </w:r>
          <w:r>
            <w:instrText xml:space="preserve"> HYPERLINK \l "_Toc54610973" </w:instrText>
          </w:r>
          <w:r>
            <w:fldChar w:fldCharType="separate"/>
          </w:r>
          <w:r>
            <w:rPr>
              <w:rStyle w:val="15"/>
              <w:rFonts w:hint="eastAsia" w:ascii="黑体" w:hAnsi="黑体" w:eastAsia="黑体"/>
              <w:bCs/>
              <w:kern w:val="44"/>
            </w:rPr>
            <w:t>第四部分</w:t>
          </w:r>
          <w:r>
            <w:rPr>
              <w:rStyle w:val="15"/>
              <w:rFonts w:ascii="黑体" w:hAnsi="黑体" w:eastAsia="黑体"/>
              <w:bCs/>
              <w:kern w:val="44"/>
            </w:rPr>
            <w:t xml:space="preserve"> </w:t>
          </w:r>
          <w:r>
            <w:rPr>
              <w:rStyle w:val="15"/>
              <w:rFonts w:hint="eastAsia" w:ascii="黑体" w:hAnsi="黑体" w:eastAsia="黑体"/>
              <w:bCs/>
              <w:kern w:val="44"/>
            </w:rPr>
            <w:t>附件</w:t>
          </w:r>
          <w:r>
            <w:tab/>
          </w:r>
          <w:r>
            <w:fldChar w:fldCharType="begin"/>
          </w:r>
          <w:r>
            <w:instrText xml:space="preserve"> PAGEREF _Toc54610973 \h </w:instrText>
          </w:r>
          <w:r>
            <w:fldChar w:fldCharType="separate"/>
          </w:r>
          <w:r>
            <w:t>26</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"_Toc54610974" </w:instrText>
          </w:r>
          <w:r>
            <w:fldChar w:fldCharType="separate"/>
          </w:r>
          <w:r>
            <w:rPr>
              <w:rStyle w:val="15"/>
              <w:rFonts w:hint="eastAsia"/>
            </w:rPr>
            <w:t>附件</w:t>
          </w:r>
          <w:r>
            <w:rPr>
              <w:rStyle w:val="15"/>
            </w:rPr>
            <w:t>1</w:t>
          </w:r>
          <w:r>
            <w:tab/>
          </w:r>
          <w:r>
            <w:fldChar w:fldCharType="begin"/>
          </w:r>
          <w:r>
            <w:instrText xml:space="preserve"> PAGEREF _Toc54610974 \h </w:instrText>
          </w:r>
          <w:r>
            <w:fldChar w:fldCharType="separate"/>
          </w:r>
          <w:r>
            <w:t>26</w:t>
          </w:r>
          <w:r>
            <w:fldChar w:fldCharType="end"/>
          </w:r>
          <w:r>
            <w:fldChar w:fldCharType="end"/>
          </w:r>
        </w:p>
        <w:p>
          <w:pPr>
            <w:pStyle w:val="10"/>
            <w:rPr>
              <w:rFonts w:asciiTheme="minorHAnsi" w:hAnsiTheme="minorHAnsi" w:eastAsiaTheme="minorEastAsia" w:cstheme="minorBidi"/>
              <w:sz w:val="21"/>
              <w:szCs w:val="22"/>
            </w:rPr>
          </w:pPr>
          <w:r>
            <w:fldChar w:fldCharType="begin"/>
          </w:r>
          <w:r>
            <w:instrText xml:space="preserve"> HYPERLINK \l "_Toc54610977" </w:instrText>
          </w:r>
          <w:r>
            <w:fldChar w:fldCharType="separate"/>
          </w:r>
          <w:r>
            <w:rPr>
              <w:rStyle w:val="15"/>
              <w:rFonts w:hint="eastAsia" w:ascii="黑体" w:hAnsi="黑体" w:eastAsia="黑体"/>
            </w:rPr>
            <w:t>第</w:t>
          </w:r>
          <w:r>
            <w:rPr>
              <w:rStyle w:val="15"/>
              <w:rFonts w:hint="eastAsia" w:ascii="黑体" w:hAnsi="黑体" w:eastAsia="黑体"/>
              <w:bCs/>
              <w:kern w:val="44"/>
            </w:rPr>
            <w:t>五部分</w:t>
          </w:r>
          <w:r>
            <w:rPr>
              <w:rStyle w:val="15"/>
              <w:rFonts w:ascii="黑体" w:hAnsi="黑体" w:eastAsia="黑体"/>
              <w:bCs/>
              <w:kern w:val="44"/>
            </w:rPr>
            <w:t xml:space="preserve"> </w:t>
          </w:r>
          <w:r>
            <w:rPr>
              <w:rStyle w:val="15"/>
              <w:rFonts w:hint="eastAsia" w:ascii="黑体" w:hAnsi="黑体" w:eastAsia="黑体"/>
              <w:bCs/>
              <w:kern w:val="44"/>
            </w:rPr>
            <w:t>附表</w:t>
          </w:r>
          <w:r>
            <w:tab/>
          </w:r>
          <w:r>
            <w:fldChar w:fldCharType="begin"/>
          </w:r>
          <w:r>
            <w:instrText xml:space="preserve"> PAGEREF _Toc54610977 \h </w:instrText>
          </w:r>
          <w:r>
            <w:fldChar w:fldCharType="separate"/>
          </w:r>
          <w:r>
            <w:t>30</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"_Toc54610978" </w:instrText>
          </w:r>
          <w:r>
            <w:fldChar w:fldCharType="separate"/>
          </w:r>
          <w:r>
            <w:rPr>
              <w:rStyle w:val="15"/>
              <w:rFonts w:hint="eastAsia" w:ascii="仿宋" w:hAnsi="仿宋" w:eastAsia="仿宋"/>
            </w:rPr>
            <w:t>一、收入支出决算总表</w:t>
          </w:r>
          <w:r>
            <w:tab/>
          </w:r>
          <w:r>
            <w:fldChar w:fldCharType="begin"/>
          </w:r>
          <w:r>
            <w:instrText xml:space="preserve"> PAGEREF _Toc54610978 \h </w:instrText>
          </w:r>
          <w:r>
            <w:fldChar w:fldCharType="separate"/>
          </w:r>
          <w:r>
            <w:t>30</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"_Toc54610979" </w:instrText>
          </w:r>
          <w:r>
            <w:fldChar w:fldCharType="separate"/>
          </w:r>
          <w:r>
            <w:rPr>
              <w:rStyle w:val="15"/>
              <w:rFonts w:hint="eastAsia" w:ascii="仿宋" w:hAnsi="仿宋" w:eastAsia="仿宋"/>
            </w:rPr>
            <w:t>二、收入决算表</w:t>
          </w:r>
          <w:r>
            <w:tab/>
          </w:r>
          <w:r>
            <w:fldChar w:fldCharType="begin"/>
          </w:r>
          <w:r>
            <w:instrText xml:space="preserve"> PAGEREF _Toc54610979 \h </w:instrText>
          </w:r>
          <w:r>
            <w:fldChar w:fldCharType="separate"/>
          </w:r>
          <w:r>
            <w:t>30</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"_Toc54610980" </w:instrText>
          </w:r>
          <w:r>
            <w:fldChar w:fldCharType="separate"/>
          </w:r>
          <w:r>
            <w:rPr>
              <w:rStyle w:val="15"/>
              <w:rFonts w:hint="eastAsia" w:ascii="仿宋" w:hAnsi="仿宋" w:eastAsia="仿宋"/>
            </w:rPr>
            <w:t>三、支出决算表</w:t>
          </w:r>
          <w:r>
            <w:tab/>
          </w:r>
          <w:r>
            <w:fldChar w:fldCharType="begin"/>
          </w:r>
          <w:r>
            <w:instrText xml:space="preserve"> PAGEREF _Toc54610980 \h </w:instrText>
          </w:r>
          <w:r>
            <w:fldChar w:fldCharType="separate"/>
          </w:r>
          <w:r>
            <w:t>30</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"_Toc54610981" </w:instrText>
          </w:r>
          <w:r>
            <w:fldChar w:fldCharType="separate"/>
          </w:r>
          <w:r>
            <w:rPr>
              <w:rStyle w:val="15"/>
              <w:rFonts w:hint="eastAsia" w:ascii="仿宋" w:hAnsi="仿宋" w:eastAsia="仿宋"/>
            </w:rPr>
            <w:t>四、财政拨款收入支出决算总表</w:t>
          </w:r>
          <w:r>
            <w:tab/>
          </w:r>
          <w:r>
            <w:fldChar w:fldCharType="begin"/>
          </w:r>
          <w:r>
            <w:instrText xml:space="preserve"> PAGEREF _Toc54610981 \h </w:instrText>
          </w:r>
          <w:r>
            <w:fldChar w:fldCharType="separate"/>
          </w:r>
          <w:r>
            <w:t>30</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"_Toc54610982" </w:instrText>
          </w:r>
          <w:r>
            <w:fldChar w:fldCharType="separate"/>
          </w:r>
          <w:r>
            <w:rPr>
              <w:rStyle w:val="15"/>
              <w:rFonts w:hint="eastAsia" w:ascii="仿宋" w:hAnsi="仿宋" w:eastAsia="仿宋"/>
            </w:rPr>
            <w:t>五、财政拨款支出决算明细表</w:t>
          </w:r>
          <w:r>
            <w:tab/>
          </w:r>
          <w:r>
            <w:fldChar w:fldCharType="begin"/>
          </w:r>
          <w:r>
            <w:instrText xml:space="preserve"> PAGEREF _Toc54610982 \h </w:instrText>
          </w:r>
          <w:r>
            <w:fldChar w:fldCharType="separate"/>
          </w:r>
          <w:r>
            <w:t>30</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"_Toc54610983" </w:instrText>
          </w:r>
          <w:r>
            <w:fldChar w:fldCharType="separate"/>
          </w:r>
          <w:r>
            <w:rPr>
              <w:rStyle w:val="15"/>
              <w:rFonts w:hint="eastAsia" w:ascii="仿宋" w:hAnsi="仿宋" w:eastAsia="仿宋"/>
            </w:rPr>
            <w:t>六、一般公共预算财政拨款支出决算表</w:t>
          </w:r>
          <w:r>
            <w:tab/>
          </w:r>
          <w:r>
            <w:fldChar w:fldCharType="begin"/>
          </w:r>
          <w:r>
            <w:instrText xml:space="preserve"> PAGEREF _Toc54610983 \h </w:instrText>
          </w:r>
          <w:r>
            <w:fldChar w:fldCharType="separate"/>
          </w:r>
          <w:r>
            <w:t>30</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"_Toc54610984" </w:instrText>
          </w:r>
          <w:r>
            <w:fldChar w:fldCharType="separate"/>
          </w:r>
          <w:r>
            <w:rPr>
              <w:rStyle w:val="15"/>
              <w:rFonts w:hint="eastAsia" w:ascii="仿宋" w:hAnsi="仿宋" w:eastAsia="仿宋"/>
            </w:rPr>
            <w:t>七、一般公共预算财政拨款支出决算明细表</w:t>
          </w:r>
          <w:r>
            <w:tab/>
          </w:r>
          <w:r>
            <w:fldChar w:fldCharType="begin"/>
          </w:r>
          <w:r>
            <w:instrText xml:space="preserve"> PAGEREF _Toc54610984 \h </w:instrText>
          </w:r>
          <w:r>
            <w:fldChar w:fldCharType="separate"/>
          </w:r>
          <w:r>
            <w:t>30</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"_Toc54610985" </w:instrText>
          </w:r>
          <w:r>
            <w:fldChar w:fldCharType="separate"/>
          </w:r>
          <w:r>
            <w:rPr>
              <w:rStyle w:val="15"/>
              <w:rFonts w:hint="eastAsia" w:ascii="仿宋" w:hAnsi="仿宋" w:eastAsia="仿宋"/>
            </w:rPr>
            <w:t>八、一般公共预算财政拨款基本支出决算表</w:t>
          </w:r>
          <w:r>
            <w:tab/>
          </w:r>
          <w:r>
            <w:fldChar w:fldCharType="begin"/>
          </w:r>
          <w:r>
            <w:instrText xml:space="preserve"> PAGEREF _Toc54610985 \h </w:instrText>
          </w:r>
          <w:r>
            <w:fldChar w:fldCharType="separate"/>
          </w:r>
          <w:r>
            <w:t>30</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"_Toc54610986" </w:instrText>
          </w:r>
          <w:r>
            <w:fldChar w:fldCharType="separate"/>
          </w:r>
          <w:r>
            <w:rPr>
              <w:rStyle w:val="15"/>
              <w:rFonts w:hint="eastAsia" w:ascii="仿宋" w:hAnsi="仿宋" w:eastAsia="仿宋"/>
            </w:rPr>
            <w:t>九、一般公共预算财政拨款项目支出决算表</w:t>
          </w:r>
          <w:r>
            <w:tab/>
          </w:r>
          <w:r>
            <w:fldChar w:fldCharType="begin"/>
          </w:r>
          <w:r>
            <w:instrText xml:space="preserve"> PAGEREF _Toc54610986 \h </w:instrText>
          </w:r>
          <w:r>
            <w:fldChar w:fldCharType="separate"/>
          </w:r>
          <w:r>
            <w:t>30</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"_Toc54610987" </w:instrText>
          </w:r>
          <w:r>
            <w:fldChar w:fldCharType="separate"/>
          </w:r>
          <w:r>
            <w:rPr>
              <w:rStyle w:val="15"/>
              <w:rFonts w:hint="eastAsia" w:ascii="仿宋" w:hAnsi="仿宋" w:eastAsia="仿宋"/>
            </w:rPr>
            <w:t>十、一般公共预算财政拨款“三公”经费支出决算表</w:t>
          </w:r>
          <w:r>
            <w:tab/>
          </w:r>
          <w:r>
            <w:fldChar w:fldCharType="begin"/>
          </w:r>
          <w:r>
            <w:instrText xml:space="preserve"> PAGEREF _Toc54610987 \h </w:instrText>
          </w:r>
          <w:r>
            <w:fldChar w:fldCharType="separate"/>
          </w:r>
          <w:r>
            <w:t>30</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"_Toc54610988" </w:instrText>
          </w:r>
          <w:r>
            <w:fldChar w:fldCharType="separate"/>
          </w:r>
          <w:r>
            <w:rPr>
              <w:rStyle w:val="15"/>
              <w:rFonts w:hint="eastAsia" w:ascii="仿宋" w:hAnsi="仿宋" w:eastAsia="仿宋"/>
            </w:rPr>
            <w:t>十一、政府性基金预算财政拨款收入支出决算表</w:t>
          </w:r>
          <w:r>
            <w:tab/>
          </w:r>
          <w:r>
            <w:fldChar w:fldCharType="begin"/>
          </w:r>
          <w:r>
            <w:instrText xml:space="preserve"> PAGEREF _Toc54610988 \h </w:instrText>
          </w:r>
          <w:r>
            <w:fldChar w:fldCharType="separate"/>
          </w:r>
          <w:r>
            <w:t>30</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"_Toc54610989" </w:instrText>
          </w:r>
          <w:r>
            <w:fldChar w:fldCharType="separate"/>
          </w:r>
          <w:r>
            <w:rPr>
              <w:rStyle w:val="15"/>
              <w:rFonts w:hint="eastAsia" w:ascii="仿宋" w:hAnsi="仿宋" w:eastAsia="仿宋"/>
            </w:rPr>
            <w:t>十二、政府性基金预算财政拨款“三公”经费支出决算表</w:t>
          </w:r>
          <w:r>
            <w:tab/>
          </w:r>
          <w:r>
            <w:fldChar w:fldCharType="begin"/>
          </w:r>
          <w:r>
            <w:instrText xml:space="preserve"> PAGEREF _Toc54610989 \h </w:instrText>
          </w:r>
          <w:r>
            <w:fldChar w:fldCharType="separate"/>
          </w:r>
          <w:r>
            <w:t>30</w:t>
          </w:r>
          <w:r>
            <w:fldChar w:fldCharType="end"/>
          </w:r>
          <w:r>
            <w:fldChar w:fldCharType="end"/>
          </w:r>
        </w:p>
        <w:p>
          <w:pPr>
            <w:pStyle w:val="11"/>
            <w:rPr>
              <w:rFonts w:asciiTheme="minorHAnsi" w:hAnsiTheme="minorHAnsi" w:eastAsiaTheme="minorEastAsia" w:cstheme="minorBidi"/>
              <w:szCs w:val="22"/>
            </w:rPr>
          </w:pPr>
          <w:r>
            <w:fldChar w:fldCharType="begin"/>
          </w:r>
          <w:r>
            <w:instrText xml:space="preserve"> HYPERLINK \l "_Toc54610990" </w:instrText>
          </w:r>
          <w:r>
            <w:fldChar w:fldCharType="separate"/>
          </w:r>
          <w:r>
            <w:rPr>
              <w:rStyle w:val="15"/>
              <w:rFonts w:hint="eastAsia" w:ascii="仿宋" w:hAnsi="仿宋" w:eastAsia="仿宋"/>
            </w:rPr>
            <w:t>十三、国有资本经营预算支出决算表</w:t>
          </w:r>
          <w:r>
            <w:tab/>
          </w:r>
          <w:r>
            <w:fldChar w:fldCharType="begin"/>
          </w:r>
          <w:r>
            <w:instrText xml:space="preserve"> PAGEREF _Toc54610990 \h </w:instrText>
          </w:r>
          <w:r>
            <w:fldChar w:fldCharType="separate"/>
          </w:r>
          <w:r>
            <w:t>30</w:t>
          </w:r>
          <w:r>
            <w:fldChar w:fldCharType="end"/>
          </w:r>
          <w:r>
            <w:fldChar w:fldCharType="end"/>
          </w:r>
        </w:p>
        <w:p>
          <w:r>
            <w:fldChar w:fldCharType="end"/>
          </w:r>
        </w:p>
      </w:sdtContent>
    </w:sdt>
    <w:p>
      <w:pPr>
        <w:pStyle w:val="2"/>
        <w:jc w:val="center"/>
        <w:rPr>
          <w:rStyle w:val="24"/>
          <w:rFonts w:ascii="黑体" w:hAnsi="黑体" w:eastAsia="黑体"/>
          <w:b/>
          <w:bCs w:val="0"/>
        </w:rPr>
      </w:pPr>
      <w:bookmarkStart w:id="17" w:name="_Toc54610945"/>
      <w:bookmarkStart w:id="18" w:name="_Toc15377196"/>
      <w:bookmarkStart w:id="19" w:name="_Toc15396599"/>
      <w:r>
        <w:rPr>
          <w:rFonts w:hint="eastAsia" w:ascii="黑体" w:hAnsi="黑体" w:eastAsia="黑体"/>
          <w:b w:val="0"/>
        </w:rPr>
        <w:t xml:space="preserve">第一部分 </w:t>
      </w:r>
      <w:r>
        <w:rPr>
          <w:rStyle w:val="24"/>
          <w:rFonts w:hint="eastAsia" w:ascii="黑体" w:hAnsi="黑体" w:eastAsia="黑体"/>
          <w:b w:val="0"/>
          <w:bCs w:val="0"/>
        </w:rPr>
        <w:t>部门概况</w:t>
      </w:r>
      <w:bookmarkEnd w:id="17"/>
      <w:bookmarkEnd w:id="18"/>
      <w:bookmarkEnd w:id="19"/>
    </w:p>
    <w:p>
      <w:pPr>
        <w:pStyle w:val="3"/>
        <w:rPr>
          <w:rStyle w:val="25"/>
          <w:rFonts w:ascii="仿宋" w:hAnsi="仿宋" w:eastAsia="仿宋"/>
          <w:b w:val="0"/>
          <w:bCs w:val="0"/>
        </w:rPr>
      </w:pPr>
      <w:bookmarkStart w:id="20" w:name="_Toc15396600"/>
      <w:bookmarkStart w:id="21" w:name="_Toc54610946"/>
      <w:bookmarkStart w:id="22" w:name="_Toc15377197"/>
      <w:r>
        <w:rPr>
          <w:rFonts w:hint="eastAsia" w:ascii="黑体" w:hAnsi="黑体" w:eastAsia="黑体"/>
          <w:b w:val="0"/>
          <w:color w:val="000000"/>
        </w:rPr>
        <w:t>一、基</w:t>
      </w:r>
      <w:r>
        <w:rPr>
          <w:rStyle w:val="25"/>
          <w:rFonts w:hint="eastAsia" w:ascii="黑体" w:hAnsi="黑体" w:eastAsia="黑体"/>
          <w:b w:val="0"/>
          <w:bCs w:val="0"/>
        </w:rPr>
        <w:t>本职能及主要工作</w:t>
      </w:r>
      <w:bookmarkEnd w:id="20"/>
      <w:bookmarkEnd w:id="21"/>
      <w:bookmarkEnd w:id="22"/>
    </w:p>
    <w:p>
      <w:pPr>
        <w:pStyle w:val="5"/>
        <w:adjustRightInd w:val="0"/>
        <w:snapToGrid w:val="0"/>
        <w:spacing w:before="93" w:line="600" w:lineRule="exact"/>
        <w:ind w:firstLine="320" w:firstLineChars="100"/>
        <w:rPr>
          <w:color w:val="000000"/>
          <w:kern w:val="2"/>
          <w:sz w:val="28"/>
          <w:szCs w:val="28"/>
        </w:rPr>
      </w:pPr>
      <w:bookmarkStart w:id="23" w:name="_Toc15377200"/>
      <w:bookmarkStart w:id="24" w:name="_Toc15396601"/>
      <w:r>
        <w:rPr>
          <w:rFonts w:hint="eastAsia" w:ascii="仿宋" w:hAnsi="仿宋" w:eastAsia="仿宋"/>
          <w:bCs/>
          <w:color w:val="000000"/>
          <w:sz w:val="32"/>
          <w:szCs w:val="32"/>
        </w:rPr>
        <w:t>（一）</w:t>
      </w:r>
      <w:r>
        <w:rPr>
          <w:rFonts w:hint="eastAsia"/>
          <w:color w:val="000000"/>
          <w:kern w:val="2"/>
          <w:sz w:val="28"/>
          <w:szCs w:val="28"/>
        </w:rPr>
        <w:t>主要职能：</w:t>
      </w:r>
    </w:p>
    <w:p>
      <w:pPr>
        <w:pStyle w:val="5"/>
        <w:adjustRightInd w:val="0"/>
        <w:snapToGrid w:val="0"/>
        <w:spacing w:before="93" w:line="600" w:lineRule="exact"/>
        <w:ind w:firstLine="588" w:firstLineChars="210"/>
        <w:rPr>
          <w:color w:val="000000"/>
          <w:kern w:val="2"/>
          <w:sz w:val="28"/>
          <w:szCs w:val="28"/>
        </w:rPr>
      </w:pPr>
      <w:r>
        <w:rPr>
          <w:rFonts w:hint="eastAsia"/>
          <w:color w:val="000000"/>
          <w:sz w:val="28"/>
          <w:szCs w:val="28"/>
        </w:rPr>
        <w:t>校长</w:t>
      </w:r>
      <w:r>
        <w:fldChar w:fldCharType="begin"/>
      </w:r>
      <w:r>
        <w:instrText xml:space="preserve"> HYPERLINK "https://www.baidu.com/s?wd=%E5%B2%97%E4%BD%8D%E8%81%8C%E8%B4%A3&amp;tn=44039180_cpr&amp;fenlei=mv6quAkxTZn0IZRqIHckPjm4nH00T1d-ujKWnj6LPvw-nyN9nH030ZwV5Hcvrjm3rH6sPfKWUMw85HfYnjn4nH6sgvPsT6KdThsqpZwYTjCEQLGCpyw9Uz4Bmy-bIi4WUvYETgN-TLwGUv3En1c1rj0kn1Ts" \t "_blank" </w:instrText>
      </w:r>
      <w:r>
        <w:fldChar w:fldCharType="separate"/>
      </w:r>
      <w:r>
        <w:rPr>
          <w:rFonts w:hint="eastAsia"/>
          <w:color w:val="000000"/>
          <w:sz w:val="28"/>
          <w:szCs w:val="28"/>
        </w:rPr>
        <w:t>岗位职责</w:t>
      </w:r>
      <w:r>
        <w:rPr>
          <w:rFonts w:hint="eastAsia"/>
          <w:color w:val="000000"/>
          <w:sz w:val="28"/>
          <w:szCs w:val="28"/>
        </w:rPr>
        <w:fldChar w:fldCharType="end"/>
      </w:r>
      <w:r>
        <w:rPr>
          <w:rFonts w:hint="eastAsia"/>
          <w:color w:val="000000"/>
          <w:sz w:val="28"/>
          <w:szCs w:val="28"/>
        </w:rPr>
        <w:t xml:space="preserve"> </w:t>
      </w:r>
      <w:r>
        <w:rPr>
          <w:rFonts w:hint="eastAsia"/>
          <w:color w:val="000000"/>
          <w:sz w:val="28"/>
          <w:szCs w:val="28"/>
        </w:rPr>
        <w:br w:type="textWrapping"/>
      </w:r>
      <w:r>
        <w:rPr>
          <w:rFonts w:hint="eastAsia"/>
          <w:color w:val="000000"/>
          <w:sz w:val="28"/>
          <w:szCs w:val="28"/>
        </w:rPr>
        <w:t>1、执行学校董事会或者其他</w:t>
      </w:r>
      <w:bookmarkStart w:id="121" w:name="_GoBack"/>
      <w:bookmarkEnd w:id="121"/>
      <w:r>
        <w:rPr>
          <w:rFonts w:hint="eastAsia"/>
          <w:color w:val="000000"/>
          <w:sz w:val="28"/>
          <w:szCs w:val="28"/>
        </w:rPr>
        <w:t>形式决策机构的决定；</w:t>
      </w:r>
      <w:r>
        <w:rPr>
          <w:rFonts w:hint="eastAsia"/>
          <w:color w:val="000000"/>
          <w:sz w:val="28"/>
          <w:szCs w:val="28"/>
        </w:rPr>
        <w:br w:type="textWrapping"/>
      </w:r>
      <w:r>
        <w:rPr>
          <w:rFonts w:hint="eastAsia"/>
          <w:color w:val="000000"/>
          <w:sz w:val="28"/>
          <w:szCs w:val="28"/>
        </w:rPr>
        <w:t>2、实施发展规划，拟订年度工作计划、</w:t>
      </w:r>
      <w:r>
        <w:fldChar w:fldCharType="begin"/>
      </w:r>
      <w:r>
        <w:instrText xml:space="preserve"> HYPERLINK "https://www.baidu.com/s?wd=%E8%B4%A2%E5%8A%A1%E9%A2%84%E7%AE%97&amp;tn=44039180_cpr&amp;fenlei=mv6quAkxTZn0IZRqIHckPjm4nH00T1d-ujKWnj6LPvw-nyN9nH030ZwV5Hcvrjm3rH6sPfKWUMw85HfYnjn4nH6sgvPsT6KdThsqpZwYTjCEQLGCpyw9Uz4Bmy-bIi4WUvYETgN-TLwGUv3En1c1rj0kn1Ts" \t "_blank" </w:instrText>
      </w:r>
      <w:r>
        <w:fldChar w:fldCharType="separate"/>
      </w:r>
      <w:r>
        <w:rPr>
          <w:rFonts w:hint="eastAsia"/>
          <w:color w:val="000000"/>
          <w:sz w:val="28"/>
          <w:szCs w:val="28"/>
        </w:rPr>
        <w:t>财务预算</w:t>
      </w:r>
      <w:r>
        <w:rPr>
          <w:rFonts w:hint="eastAsia"/>
          <w:color w:val="000000"/>
          <w:sz w:val="28"/>
          <w:szCs w:val="28"/>
        </w:rPr>
        <w:fldChar w:fldCharType="end"/>
      </w:r>
      <w:r>
        <w:rPr>
          <w:rFonts w:hint="eastAsia"/>
          <w:color w:val="000000"/>
          <w:sz w:val="28"/>
          <w:szCs w:val="28"/>
        </w:rPr>
        <w:t>和学校规章制度；</w:t>
      </w:r>
      <w:r>
        <w:rPr>
          <w:rFonts w:hint="eastAsia"/>
          <w:color w:val="000000"/>
          <w:sz w:val="28"/>
          <w:szCs w:val="28"/>
        </w:rPr>
        <w:br w:type="textWrapping"/>
      </w:r>
      <w:r>
        <w:rPr>
          <w:rFonts w:hint="eastAsia"/>
          <w:color w:val="000000"/>
          <w:sz w:val="28"/>
          <w:szCs w:val="28"/>
        </w:rPr>
        <w:t xml:space="preserve">3、聘任和解聘学校工作人员，实施奖惩； </w:t>
      </w:r>
      <w:r>
        <w:rPr>
          <w:rFonts w:hint="eastAsia"/>
          <w:color w:val="000000"/>
          <w:sz w:val="28"/>
          <w:szCs w:val="28"/>
        </w:rPr>
        <w:br w:type="textWrapping"/>
      </w:r>
      <w:r>
        <w:rPr>
          <w:rFonts w:hint="eastAsia"/>
          <w:color w:val="000000"/>
          <w:sz w:val="28"/>
          <w:szCs w:val="28"/>
        </w:rPr>
        <w:t>4、组织教育教学、科学研究活动，保证教育教学质量；</w:t>
      </w:r>
      <w:r>
        <w:rPr>
          <w:rFonts w:hint="eastAsia"/>
          <w:color w:val="000000"/>
          <w:sz w:val="28"/>
          <w:szCs w:val="28"/>
        </w:rPr>
        <w:br w:type="textWrapping"/>
      </w:r>
      <w:r>
        <w:rPr>
          <w:rFonts w:hint="eastAsia"/>
          <w:color w:val="000000"/>
          <w:sz w:val="28"/>
          <w:szCs w:val="28"/>
        </w:rPr>
        <w:t>5、负责学校日常管理工作；</w:t>
      </w:r>
      <w:r>
        <w:rPr>
          <w:rFonts w:hint="eastAsia"/>
          <w:color w:val="000000"/>
          <w:sz w:val="28"/>
          <w:szCs w:val="28"/>
        </w:rPr>
        <w:br w:type="textWrapping"/>
      </w:r>
      <w:r>
        <w:rPr>
          <w:rFonts w:hint="eastAsia"/>
          <w:color w:val="000000"/>
          <w:sz w:val="28"/>
          <w:szCs w:val="28"/>
        </w:rPr>
        <w:t xml:space="preserve">6、 学校董事会或者其他形式决策机构的其他授权。 </w:t>
      </w:r>
      <w:r>
        <w:rPr>
          <w:rFonts w:hint="eastAsia"/>
          <w:color w:val="000000"/>
          <w:sz w:val="28"/>
          <w:szCs w:val="28"/>
        </w:rPr>
        <w:br w:type="textWrapping"/>
      </w:r>
      <w:r>
        <w:rPr>
          <w:rFonts w:hint="eastAsia"/>
          <w:color w:val="000000"/>
          <w:sz w:val="28"/>
          <w:szCs w:val="28"/>
        </w:rPr>
        <w:t>7、坚持依法办学，遵守学校章程，维护学校利益。</w:t>
      </w:r>
      <w:r>
        <w:rPr>
          <w:rFonts w:hint="eastAsia"/>
          <w:color w:val="000000"/>
          <w:sz w:val="28"/>
          <w:szCs w:val="28"/>
        </w:rPr>
        <w:br w:type="textWrapping"/>
      </w:r>
      <w:r>
        <w:rPr>
          <w:rFonts w:hint="eastAsia"/>
          <w:color w:val="000000"/>
          <w:sz w:val="28"/>
          <w:szCs w:val="28"/>
        </w:rPr>
        <w:t>8、合理配置学校“人、财、物、信息”资源，有效行使学校</w:t>
      </w:r>
      <w:r>
        <w:fldChar w:fldCharType="begin"/>
      </w:r>
      <w:r>
        <w:instrText xml:space="preserve"> HYPERLINK "https://www.baidu.com/s?wd=%E9%87%8D%E5%A4%A7%E4%BA%8B%E9%A1%B9&amp;tn=44039180_cpr&amp;fenlei=mv6quAkxTZn0IZRqIHckPjm4nH00T1d-ujKWnj6LPvw-nyN9nH030ZwV5Hcvrjm3rH6sPfKWUMw85HfYnjn4nH6sgvPsT6KdThsqpZwYTjCEQLGCpyw9Uz4Bmy-bIi4WUvYETgN-TLwGUv3En1c1rj0kn1Ts" \t "_blank" </w:instrText>
      </w:r>
      <w:r>
        <w:fldChar w:fldCharType="separate"/>
      </w:r>
      <w:r>
        <w:rPr>
          <w:rFonts w:hint="eastAsia"/>
          <w:color w:val="000000"/>
          <w:sz w:val="28"/>
          <w:szCs w:val="28"/>
        </w:rPr>
        <w:t>重大事项</w:t>
      </w:r>
      <w:r>
        <w:rPr>
          <w:rFonts w:hint="eastAsia"/>
          <w:color w:val="000000"/>
          <w:sz w:val="28"/>
          <w:szCs w:val="28"/>
        </w:rPr>
        <w:fldChar w:fldCharType="end"/>
      </w:r>
      <w:r>
        <w:rPr>
          <w:rFonts w:hint="eastAsia"/>
          <w:color w:val="000000"/>
          <w:sz w:val="28"/>
          <w:szCs w:val="28"/>
        </w:rPr>
        <w:t>和重大改革措施的决策权。</w:t>
      </w:r>
      <w:r>
        <w:rPr>
          <w:rFonts w:hint="eastAsia"/>
          <w:color w:val="000000"/>
          <w:sz w:val="28"/>
          <w:szCs w:val="28"/>
        </w:rPr>
        <w:br w:type="textWrapping"/>
      </w:r>
      <w:r>
        <w:rPr>
          <w:rFonts w:hint="eastAsia"/>
          <w:color w:val="000000"/>
          <w:sz w:val="28"/>
          <w:szCs w:val="28"/>
        </w:rPr>
        <w:t>9、及时向上级</w:t>
      </w:r>
      <w:r>
        <w:fldChar w:fldCharType="begin"/>
      </w:r>
      <w:r>
        <w:instrText xml:space="preserve"> HYPERLINK "https://www.baidu.com/s?wd=%E6%95%99%E8%82%B2%E8%A1%8C%E6%94%BF%E9%83%A8%E9%97%A8&amp;tn=44039180_cpr&amp;fenlei=mv6quAkxTZn0IZRqIHckPjm4nH00T1d-ujKWnj6LPvw-nyN9nH030ZwV5Hcvrjm3rH6sPfKWUMw85HfYnjn4nH6sgvPsT6KdThsqpZwYTjCEQLGCpyw9Uz4Bmy-bIi4WUvYETgN-TLwGUv3En1c1rj0kn1Ts" \t "_blank" </w:instrText>
      </w:r>
      <w:r>
        <w:fldChar w:fldCharType="separate"/>
      </w:r>
      <w:r>
        <w:rPr>
          <w:rFonts w:hint="eastAsia"/>
          <w:color w:val="000000"/>
          <w:sz w:val="28"/>
          <w:szCs w:val="28"/>
        </w:rPr>
        <w:t>教育行政部门</w:t>
      </w:r>
      <w:r>
        <w:rPr>
          <w:rFonts w:hint="eastAsia"/>
          <w:color w:val="000000"/>
          <w:sz w:val="28"/>
          <w:szCs w:val="28"/>
        </w:rPr>
        <w:fldChar w:fldCharType="end"/>
      </w:r>
      <w:r>
        <w:rPr>
          <w:rFonts w:hint="eastAsia"/>
          <w:color w:val="000000"/>
          <w:sz w:val="28"/>
          <w:szCs w:val="28"/>
        </w:rPr>
        <w:t>和学校决策机构汇报学校工作。</w:t>
      </w:r>
      <w:r>
        <w:rPr>
          <w:rFonts w:hint="eastAsia"/>
          <w:color w:val="000000"/>
          <w:sz w:val="28"/>
          <w:szCs w:val="28"/>
        </w:rPr>
        <w:br w:type="textWrapping"/>
      </w:r>
      <w:r>
        <w:rPr>
          <w:rFonts w:hint="eastAsia"/>
          <w:color w:val="000000"/>
          <w:sz w:val="28"/>
          <w:szCs w:val="28"/>
        </w:rPr>
        <w:t>10、维护教职工利益，保障教职工合法权益，以教职工和学生的人生幸福和</w:t>
      </w:r>
      <w:r>
        <w:fldChar w:fldCharType="begin"/>
      </w:r>
      <w:r>
        <w:instrText xml:space="preserve"> HYPERLINK "https://www.baidu.com/s?wd=%E7%94%9F%E5%91%BD%E8%B4%A8%E9%87%8F&amp;tn=44039180_cpr&amp;fenlei=mv6quAkxTZn0IZRqIHckPjm4nH00T1d-ujKWnj6LPvw-nyN9nH030ZwV5Hcvrjm3rH6sPfKWUMw85HfYnjn4nH6sgvPsT6KdThsqpZwYTjCEQLGCpyw9Uz4Bmy-bIi4WUvYETgN-TLwGUv3En1c1rj0kn1Ts" \t "_blank" </w:instrText>
      </w:r>
      <w:r>
        <w:fldChar w:fldCharType="separate"/>
      </w:r>
      <w:r>
        <w:rPr>
          <w:rFonts w:hint="eastAsia"/>
          <w:color w:val="000000"/>
          <w:sz w:val="28"/>
          <w:szCs w:val="28"/>
        </w:rPr>
        <w:t>生命质量</w:t>
      </w:r>
      <w:r>
        <w:rPr>
          <w:rFonts w:hint="eastAsia"/>
          <w:color w:val="000000"/>
          <w:sz w:val="28"/>
          <w:szCs w:val="28"/>
        </w:rPr>
        <w:fldChar w:fldCharType="end"/>
      </w:r>
      <w:r>
        <w:rPr>
          <w:rFonts w:hint="eastAsia"/>
          <w:color w:val="000000"/>
          <w:sz w:val="28"/>
          <w:szCs w:val="28"/>
        </w:rPr>
        <w:t>作为关注焦点，建立信任，消除焦虑。</w:t>
      </w:r>
      <w:r>
        <w:rPr>
          <w:rFonts w:hint="eastAsia"/>
          <w:color w:val="000000"/>
          <w:sz w:val="28"/>
          <w:szCs w:val="28"/>
        </w:rPr>
        <w:br w:type="textWrapping"/>
      </w:r>
      <w:r>
        <w:rPr>
          <w:rFonts w:hint="eastAsia"/>
          <w:color w:val="000000"/>
          <w:sz w:val="28"/>
          <w:szCs w:val="28"/>
        </w:rPr>
        <w:t xml:space="preserve">11、尊重教职工的主人翁地位和民主管理、民主监督的权利，团结和依靠教职工办好学校。 </w:t>
      </w:r>
      <w:r>
        <w:rPr>
          <w:rFonts w:hint="eastAsia"/>
          <w:color w:val="000000"/>
          <w:sz w:val="28"/>
          <w:szCs w:val="28"/>
        </w:rPr>
        <w:br w:type="textWrapping"/>
      </w:r>
      <w:r>
        <w:rPr>
          <w:rFonts w:hint="eastAsia"/>
          <w:color w:val="000000"/>
          <w:sz w:val="28"/>
          <w:szCs w:val="28"/>
        </w:rPr>
        <w:t>学校法定代表人职责</w:t>
      </w:r>
      <w:r>
        <w:rPr>
          <w:rFonts w:hint="eastAsia"/>
          <w:color w:val="000000"/>
          <w:sz w:val="28"/>
          <w:szCs w:val="28"/>
        </w:rPr>
        <w:br w:type="textWrapping"/>
      </w:r>
      <w:r>
        <w:rPr>
          <w:rFonts w:hint="eastAsia"/>
          <w:color w:val="000000"/>
          <w:sz w:val="28"/>
          <w:szCs w:val="28"/>
        </w:rPr>
        <w:t xml:space="preserve">1、法定代表人由董事长或校长担任，并在章程中载明。 </w:t>
      </w:r>
      <w:r>
        <w:rPr>
          <w:rFonts w:hint="eastAsia"/>
          <w:color w:val="000000"/>
          <w:sz w:val="28"/>
          <w:szCs w:val="28"/>
        </w:rPr>
        <w:br w:type="textWrapping"/>
      </w:r>
      <w:r>
        <w:rPr>
          <w:rFonts w:hint="eastAsia"/>
          <w:color w:val="000000"/>
          <w:sz w:val="28"/>
          <w:szCs w:val="28"/>
        </w:rPr>
        <w:t xml:space="preserve">2、法定代表人代表学校签署文件和合同。 </w:t>
      </w:r>
      <w:r>
        <w:rPr>
          <w:rFonts w:hint="eastAsia"/>
          <w:color w:val="000000"/>
          <w:sz w:val="28"/>
          <w:szCs w:val="28"/>
        </w:rPr>
        <w:br w:type="textWrapping"/>
      </w:r>
      <w:r>
        <w:rPr>
          <w:rFonts w:hint="eastAsia"/>
          <w:color w:val="000000"/>
          <w:sz w:val="28"/>
          <w:szCs w:val="28"/>
        </w:rPr>
        <w:t>3、法定代表人的职务行为，必须根据学校董事会或其他形式决策机构的决议，否则由此引起的法律后果由其自行承担。</w:t>
      </w:r>
      <w:r>
        <w:rPr>
          <w:rFonts w:hint="eastAsia"/>
          <w:color w:val="000000"/>
          <w:sz w:val="28"/>
          <w:szCs w:val="28"/>
        </w:rPr>
        <w:br w:type="textWrapping"/>
      </w:r>
      <w:r>
        <w:rPr>
          <w:rFonts w:hint="eastAsia"/>
          <w:color w:val="000000"/>
          <w:sz w:val="28"/>
          <w:szCs w:val="28"/>
        </w:rPr>
        <w:t>4、法定代表人应当带头遵守学校章程，成为</w:t>
      </w:r>
      <w:r>
        <w:fldChar w:fldCharType="begin"/>
      </w:r>
      <w:r>
        <w:instrText xml:space="preserve"> HYPERLINK "https://www.baidu.com/s?wd=%E9%81%B5%E7%BA%AA%E5%AE%88%E6%B3%95&amp;tn=44039180_cpr&amp;fenlei=mv6quAkxTZn0IZRqIHckPjm4nH00T1d-ujKWnj6LPvw-nyN9nH030ZwV5Hcvrjm3rH6sPfKWUMw85HfYnjn4nH6sgvPsT6KdThsqpZwYTjCEQLGCpyw9Uz4Bmy-bIi4WUvYETgN-TLwGUv3En1c1rj0kn1Ts" \t "_blank" </w:instrText>
      </w:r>
      <w:r>
        <w:fldChar w:fldCharType="separate"/>
      </w:r>
      <w:r>
        <w:rPr>
          <w:rFonts w:hint="eastAsia"/>
          <w:color w:val="000000"/>
          <w:sz w:val="28"/>
          <w:szCs w:val="28"/>
        </w:rPr>
        <w:t>遵纪守法</w:t>
      </w:r>
      <w:r>
        <w:rPr>
          <w:rFonts w:hint="eastAsia"/>
          <w:color w:val="000000"/>
          <w:sz w:val="28"/>
          <w:szCs w:val="28"/>
        </w:rPr>
        <w:fldChar w:fldCharType="end"/>
      </w:r>
      <w:r>
        <w:rPr>
          <w:rFonts w:hint="eastAsia"/>
          <w:color w:val="000000"/>
          <w:sz w:val="28"/>
          <w:szCs w:val="28"/>
        </w:rPr>
        <w:t xml:space="preserve">的表率。 </w:t>
      </w:r>
      <w:r>
        <w:rPr>
          <w:rFonts w:hint="eastAsia"/>
          <w:color w:val="000000"/>
          <w:sz w:val="28"/>
          <w:szCs w:val="28"/>
        </w:rPr>
        <w:br w:type="textWrapping"/>
      </w:r>
      <w:r>
        <w:rPr>
          <w:rFonts w:hint="eastAsia"/>
          <w:color w:val="000000"/>
          <w:sz w:val="28"/>
          <w:szCs w:val="28"/>
        </w:rPr>
        <w:t>5、法定代表是学校安全工作的第一责任人。法定代表人在其分工范围内必须采取切实有效措施，确保师生的身心健康。</w:t>
      </w:r>
      <w:r>
        <w:rPr>
          <w:rFonts w:hint="eastAsia"/>
          <w:color w:val="000000"/>
          <w:sz w:val="28"/>
          <w:szCs w:val="28"/>
        </w:rPr>
        <w:br w:type="textWrapping"/>
      </w:r>
      <w:r>
        <w:rPr>
          <w:rFonts w:hint="eastAsia"/>
          <w:color w:val="000000"/>
          <w:sz w:val="28"/>
          <w:szCs w:val="28"/>
        </w:rPr>
        <w:t>6、法定代表人必须代表学校自觉接受</w:t>
      </w:r>
      <w:r>
        <w:fldChar w:fldCharType="begin"/>
      </w:r>
      <w:r>
        <w:instrText xml:space="preserve"> HYPERLINK "https://www.baidu.com/s?wd=%E6%95%99%E8%82%B2%E8%A1%8C%E6%94%BF%E9%83%A8%E9%97%A8&amp;tn=44039180_cpr&amp;fenlei=mv6quAkxTZn0IZRqIHckPjm4nH00T1d-ujKWnj6LPvw-nyN9nH030ZwV5Hcvrjm3rH6sPfKWUMw85HfYnjn4nH6sgvPsT6KdThsqpZwYTjCEQLGCpyw9Uz4Bmy-bIi4WUvYETgN-TLwGUv3En1c1rj0kn1Ts" \t "_blank" </w:instrText>
      </w:r>
      <w:r>
        <w:fldChar w:fldCharType="separate"/>
      </w:r>
      <w:r>
        <w:rPr>
          <w:rFonts w:hint="eastAsia"/>
          <w:color w:val="000000"/>
          <w:sz w:val="28"/>
          <w:szCs w:val="28"/>
        </w:rPr>
        <w:t>教育行政部门</w:t>
      </w:r>
      <w:r>
        <w:rPr>
          <w:rFonts w:hint="eastAsia"/>
          <w:color w:val="000000"/>
          <w:sz w:val="28"/>
          <w:szCs w:val="28"/>
        </w:rPr>
        <w:fldChar w:fldCharType="end"/>
      </w:r>
      <w:r>
        <w:rPr>
          <w:rFonts w:hint="eastAsia"/>
          <w:color w:val="000000"/>
          <w:sz w:val="28"/>
          <w:szCs w:val="28"/>
        </w:rPr>
        <w:t xml:space="preserve">的监督管理，主动汇报学校各项工作情况。 </w:t>
      </w:r>
      <w:r>
        <w:rPr>
          <w:rFonts w:hint="eastAsia"/>
          <w:color w:val="000000"/>
          <w:sz w:val="28"/>
          <w:szCs w:val="28"/>
        </w:rPr>
        <w:br w:type="textWrapping"/>
      </w:r>
      <w:r>
        <w:rPr>
          <w:rFonts w:hint="eastAsia"/>
          <w:color w:val="000000"/>
          <w:sz w:val="28"/>
          <w:szCs w:val="28"/>
        </w:rPr>
        <w:t>门卫保安</w:t>
      </w:r>
      <w:r>
        <w:fldChar w:fldCharType="begin"/>
      </w:r>
      <w:r>
        <w:instrText xml:space="preserve"> HYPERLINK "https://www.baidu.com/s?wd=%E5%B7%A5%E4%BD%9C%E8%81%8C%E8%B4%A3&amp;tn=44039180_cpr&amp;fenlei=mv6quAkxTZn0IZRqIHckPjm4nH00T1d-ujKWnj6LPvw-nyN9nH030ZwV5Hcvrjm3rH6sPfKWUMw85HfYnjn4nH6sgvPsT6KdThsqpZwYTjCEQLGCpyw9Uz4Bmy-bIi4WUvYETgN-TLwGUv3En1c1rj0kn1Ts" \t "_blank" </w:instrText>
      </w:r>
      <w:r>
        <w:fldChar w:fldCharType="separate"/>
      </w:r>
      <w:r>
        <w:rPr>
          <w:rFonts w:hint="eastAsia"/>
          <w:color w:val="000000"/>
          <w:sz w:val="28"/>
          <w:szCs w:val="28"/>
        </w:rPr>
        <w:t>工作职责</w:t>
      </w:r>
      <w:r>
        <w:rPr>
          <w:rFonts w:hint="eastAsia"/>
          <w:color w:val="000000"/>
          <w:sz w:val="28"/>
          <w:szCs w:val="28"/>
        </w:rPr>
        <w:fldChar w:fldCharType="end"/>
      </w:r>
      <w:r>
        <w:rPr>
          <w:rFonts w:hint="eastAsia"/>
          <w:color w:val="000000"/>
          <w:sz w:val="28"/>
          <w:szCs w:val="28"/>
        </w:rPr>
        <w:t xml:space="preserve"> </w:t>
      </w:r>
      <w:r>
        <w:rPr>
          <w:rFonts w:hint="eastAsia"/>
          <w:color w:val="000000"/>
          <w:sz w:val="28"/>
          <w:szCs w:val="28"/>
        </w:rPr>
        <w:br w:type="textWrapping"/>
      </w:r>
      <w:r>
        <w:rPr>
          <w:rFonts w:hint="eastAsia"/>
          <w:color w:val="000000"/>
          <w:sz w:val="28"/>
          <w:szCs w:val="28"/>
        </w:rPr>
        <w:t xml:space="preserve">1、实行二十四小时值班制度，按时到岗在位，不擅自离岗。 </w:t>
      </w:r>
      <w:r>
        <w:rPr>
          <w:rFonts w:hint="eastAsia"/>
          <w:color w:val="000000"/>
          <w:sz w:val="28"/>
          <w:szCs w:val="28"/>
        </w:rPr>
        <w:br w:type="textWrapping"/>
      </w:r>
      <w:r>
        <w:rPr>
          <w:rFonts w:hint="eastAsia"/>
          <w:color w:val="000000"/>
          <w:sz w:val="28"/>
          <w:szCs w:val="28"/>
        </w:rPr>
        <w:t>2、上下班做好移交接，防止工作疏漏。</w:t>
      </w:r>
      <w:r>
        <w:rPr>
          <w:rFonts w:hint="eastAsia"/>
          <w:color w:val="000000"/>
          <w:sz w:val="28"/>
          <w:szCs w:val="28"/>
        </w:rPr>
        <w:br w:type="textWrapping"/>
      </w:r>
      <w:r>
        <w:rPr>
          <w:rFonts w:hint="eastAsia"/>
          <w:color w:val="000000"/>
          <w:sz w:val="28"/>
          <w:szCs w:val="28"/>
        </w:rPr>
        <w:t>3、严格外来人员登记制度，不随便允许外来人员入校。</w:t>
      </w:r>
      <w:r>
        <w:rPr>
          <w:rFonts w:hint="eastAsia"/>
          <w:color w:val="000000"/>
          <w:sz w:val="28"/>
          <w:szCs w:val="28"/>
        </w:rPr>
        <w:br w:type="textWrapping"/>
      </w:r>
      <w:r>
        <w:rPr>
          <w:rFonts w:hint="eastAsia"/>
          <w:color w:val="000000"/>
          <w:sz w:val="28"/>
          <w:szCs w:val="28"/>
        </w:rPr>
        <w:t xml:space="preserve">4、严格学生出入校管理，在校期间学生离校必须凭班主任签单方可同意离校。 </w:t>
      </w:r>
      <w:r>
        <w:rPr>
          <w:rFonts w:hint="eastAsia"/>
          <w:color w:val="000000"/>
          <w:sz w:val="28"/>
          <w:szCs w:val="28"/>
        </w:rPr>
        <w:br w:type="textWrapping"/>
      </w:r>
      <w:r>
        <w:rPr>
          <w:rFonts w:hint="eastAsia"/>
          <w:color w:val="000000"/>
          <w:sz w:val="28"/>
          <w:szCs w:val="28"/>
        </w:rPr>
        <w:t>5、晚间值班必须按时巡查，检查门窗、电器的关闭情况，早上按时开启有关设施。</w:t>
      </w:r>
      <w:r>
        <w:rPr>
          <w:rFonts w:hint="eastAsia"/>
          <w:color w:val="000000"/>
          <w:sz w:val="28"/>
          <w:szCs w:val="28"/>
        </w:rPr>
        <w:br w:type="textWrapping"/>
      </w:r>
      <w:r>
        <w:rPr>
          <w:rFonts w:hint="eastAsia"/>
          <w:color w:val="000000"/>
          <w:sz w:val="28"/>
          <w:szCs w:val="28"/>
        </w:rPr>
        <w:t>6、保持仪表端正，着装上岗。</w:t>
      </w:r>
      <w:r>
        <w:rPr>
          <w:rFonts w:hint="eastAsia"/>
          <w:color w:val="000000"/>
          <w:sz w:val="28"/>
          <w:szCs w:val="28"/>
        </w:rPr>
        <w:br w:type="textWrapping"/>
      </w:r>
      <w:r>
        <w:rPr>
          <w:rFonts w:hint="eastAsia"/>
          <w:color w:val="000000"/>
          <w:sz w:val="28"/>
          <w:szCs w:val="28"/>
        </w:rPr>
        <w:t>7、接待热情、待人有礼。</w:t>
      </w:r>
    </w:p>
    <w:p>
      <w:pPr>
        <w:ind w:firstLine="560" w:firstLineChars="200"/>
        <w:rPr>
          <w:rFonts w:ascii="仿宋_GB2312" w:eastAsia="仿宋_GB2312"/>
          <w:color w:val="000000"/>
          <w:sz w:val="28"/>
          <w:szCs w:val="28"/>
        </w:rPr>
      </w:pPr>
      <w:r>
        <w:rPr>
          <w:rFonts w:ascii="仿宋_GB2312" w:eastAsia="仿宋_GB2312"/>
          <w:color w:val="000000"/>
          <w:sz w:val="28"/>
          <w:szCs w:val="28"/>
        </w:rPr>
        <w:t>教师岗位职责</w:t>
      </w:r>
    </w:p>
    <w:p>
      <w:pPr>
        <w:ind w:firstLine="560" w:firstLineChars="200"/>
        <w:rPr>
          <w:rFonts w:ascii="仿宋_GB2312" w:eastAsia="仿宋_GB2312"/>
          <w:color w:val="000000"/>
          <w:sz w:val="28"/>
          <w:szCs w:val="28"/>
        </w:rPr>
      </w:pPr>
      <w:r>
        <w:rPr>
          <w:rFonts w:ascii="仿宋_GB2312" w:eastAsia="仿宋_GB2312"/>
          <w:color w:val="000000"/>
          <w:sz w:val="28"/>
          <w:szCs w:val="28"/>
        </w:rPr>
        <w:t>教师职业道德要求</w:t>
      </w:r>
    </w:p>
    <w:p>
      <w:pPr>
        <w:ind w:firstLine="560" w:firstLineChars="200"/>
        <w:rPr>
          <w:rFonts w:ascii="仿宋_GB2312" w:eastAsia="仿宋_GB2312"/>
          <w:color w:val="000000"/>
          <w:sz w:val="28"/>
          <w:szCs w:val="28"/>
        </w:rPr>
      </w:pPr>
      <w:r>
        <w:rPr>
          <w:rFonts w:ascii="仿宋_GB2312" w:eastAsia="仿宋_GB2312"/>
          <w:color w:val="000000"/>
          <w:sz w:val="28"/>
          <w:szCs w:val="28"/>
        </w:rPr>
        <w:t>—、依法执教。学习和宣传马列主义、毛泽东思想和邓小平同志建设有中国特色社会主义理论，拥护党的基本路线，全面贯彻国家教育方针，自觉遵守《教师法》等法律法规，在教育教学中同党和国家的方针政策保持一致、不得有违背党和国家方针、政策的言行。</w:t>
      </w:r>
    </w:p>
    <w:p>
      <w:pPr>
        <w:ind w:firstLine="560" w:firstLineChars="200"/>
        <w:rPr>
          <w:rFonts w:ascii="仿宋_GB2312" w:eastAsia="仿宋_GB2312"/>
          <w:color w:val="000000"/>
          <w:sz w:val="28"/>
          <w:szCs w:val="28"/>
        </w:rPr>
      </w:pPr>
      <w:r>
        <w:rPr>
          <w:rFonts w:ascii="仿宋_GB2312" w:eastAsia="仿宋_GB2312"/>
          <w:color w:val="000000"/>
          <w:sz w:val="28"/>
          <w:szCs w:val="28"/>
        </w:rPr>
        <w:t>二、爱岗敬业。热爱教育，热爱学校。尽心尽责、教书育人。注意培养学生具有良好的思想品德。认真备课上课，认真批改作业，不敷衍塞责，不传播有害学生身心健康的思想。</w:t>
      </w:r>
    </w:p>
    <w:p>
      <w:pPr>
        <w:ind w:firstLine="560" w:firstLineChars="200"/>
        <w:rPr>
          <w:rFonts w:ascii="仿宋_GB2312" w:eastAsia="仿宋_GB2312"/>
          <w:color w:val="000000"/>
          <w:sz w:val="28"/>
          <w:szCs w:val="28"/>
        </w:rPr>
      </w:pPr>
      <w:r>
        <w:rPr>
          <w:rFonts w:ascii="仿宋_GB2312" w:eastAsia="仿宋_GB2312"/>
          <w:color w:val="000000"/>
          <w:sz w:val="28"/>
          <w:szCs w:val="28"/>
        </w:rPr>
        <w:t>三、热爱学生。关心爱护全体学生，尊重学生的人格，平等公正对待学生。对学生严格要求、耐心教导，不讽刺、挖苦、歧视学生，不体罚或变相体罚学生，保护学生合法权益，促进学生全面、主动、健康发展。</w:t>
      </w:r>
    </w:p>
    <w:p>
      <w:pPr>
        <w:ind w:firstLine="560" w:firstLineChars="200"/>
        <w:rPr>
          <w:rFonts w:ascii="仿宋_GB2312" w:eastAsia="仿宋_GB2312"/>
          <w:color w:val="000000"/>
          <w:sz w:val="28"/>
          <w:szCs w:val="28"/>
        </w:rPr>
      </w:pPr>
      <w:r>
        <w:rPr>
          <w:rFonts w:ascii="仿宋_GB2312" w:eastAsia="仿宋_GB2312"/>
          <w:color w:val="000000"/>
          <w:sz w:val="28"/>
          <w:szCs w:val="28"/>
        </w:rPr>
        <w:t>四、严谨治学。树立优良学风，刻苦钻研业务，不断学习新知识，探索教育教学规律、改进教育教学方法，提高教育教学和科研水平。</w:t>
      </w:r>
    </w:p>
    <w:p>
      <w:pPr>
        <w:ind w:firstLine="560" w:firstLineChars="200"/>
        <w:rPr>
          <w:rFonts w:ascii="仿宋_GB2312" w:eastAsia="仿宋_GB2312"/>
          <w:color w:val="000000"/>
          <w:sz w:val="28"/>
          <w:szCs w:val="28"/>
        </w:rPr>
      </w:pPr>
      <w:r>
        <w:rPr>
          <w:rFonts w:ascii="仿宋_GB2312" w:eastAsia="仿宋_GB2312"/>
          <w:color w:val="000000"/>
          <w:sz w:val="28"/>
          <w:szCs w:val="28"/>
        </w:rPr>
        <w:t>五、团结协作。谦虚谨慎、尊重同志，互相学习、相互帮助，维护其他教师在学生中的威信。关心集体，维护学校荣誉，共创文明校风。</w:t>
      </w:r>
    </w:p>
    <w:p>
      <w:pPr>
        <w:ind w:firstLine="560" w:firstLineChars="200"/>
        <w:rPr>
          <w:rFonts w:ascii="仿宋_GB2312" w:eastAsia="仿宋_GB2312"/>
          <w:color w:val="000000"/>
          <w:sz w:val="28"/>
          <w:szCs w:val="28"/>
        </w:rPr>
      </w:pPr>
      <w:r>
        <w:rPr>
          <w:rFonts w:ascii="仿宋_GB2312" w:eastAsia="仿宋_GB2312"/>
          <w:color w:val="000000"/>
          <w:sz w:val="28"/>
          <w:szCs w:val="28"/>
        </w:rPr>
        <w:t>六、尊重家长。主动与学生家长联系，认真听取意见和建议，取得支持和配合。积极宣传科学的教育思想和方法，不训斥、不指责学生家长。</w:t>
      </w:r>
    </w:p>
    <w:p>
      <w:pPr>
        <w:ind w:firstLine="560" w:firstLineChars="200"/>
        <w:rPr>
          <w:rFonts w:ascii="仿宋_GB2312" w:eastAsia="仿宋_GB2312"/>
          <w:color w:val="000000"/>
          <w:sz w:val="28"/>
          <w:szCs w:val="28"/>
        </w:rPr>
      </w:pPr>
      <w:r>
        <w:rPr>
          <w:rFonts w:ascii="仿宋_GB2312" w:eastAsia="仿宋_GB2312"/>
          <w:color w:val="000000"/>
          <w:sz w:val="28"/>
          <w:szCs w:val="28"/>
        </w:rPr>
        <w:t>七、廉洁从教。坚守高尚情操，发扬奉献精神，自觉抵制社会不良风气影响，不得用职责之便谋取私利。</w:t>
      </w:r>
    </w:p>
    <w:p>
      <w:pPr>
        <w:ind w:firstLine="560" w:firstLineChars="200"/>
        <w:rPr>
          <w:rFonts w:ascii="仿宋_GB2312" w:eastAsia="仿宋_GB2312"/>
          <w:color w:val="000000"/>
          <w:sz w:val="28"/>
          <w:szCs w:val="28"/>
        </w:rPr>
      </w:pPr>
      <w:r>
        <w:rPr>
          <w:rFonts w:ascii="仿宋_GB2312" w:eastAsia="仿宋_GB2312"/>
          <w:color w:val="000000"/>
          <w:sz w:val="28"/>
          <w:szCs w:val="28"/>
        </w:rPr>
        <w:t>八、为人师表。模范遵守社会公德，衣着整洁得体，语言规范健康。举止文明礼貌，严于律己，作风正派，以身作责，注重身教。</w:t>
      </w:r>
    </w:p>
    <w:p>
      <w:pPr>
        <w:ind w:firstLine="560" w:firstLineChars="200"/>
        <w:rPr>
          <w:rFonts w:ascii="仿宋_GB2312" w:eastAsia="仿宋_GB2312"/>
          <w:color w:val="000000"/>
          <w:sz w:val="28"/>
          <w:szCs w:val="28"/>
        </w:rPr>
      </w:pPr>
      <w:r>
        <w:rPr>
          <w:rFonts w:ascii="仿宋_GB2312" w:eastAsia="仿宋_GB2312"/>
          <w:color w:val="000000"/>
          <w:sz w:val="28"/>
          <w:szCs w:val="28"/>
        </w:rPr>
        <w:t>班主任职责</w:t>
      </w:r>
    </w:p>
    <w:p>
      <w:pPr>
        <w:ind w:firstLine="560" w:firstLineChars="200"/>
        <w:rPr>
          <w:rFonts w:ascii="仿宋_GB2312" w:eastAsia="仿宋_GB2312"/>
          <w:color w:val="000000"/>
          <w:sz w:val="28"/>
          <w:szCs w:val="28"/>
        </w:rPr>
      </w:pPr>
      <w:r>
        <w:rPr>
          <w:rFonts w:ascii="仿宋_GB2312" w:eastAsia="仿宋_GB2312"/>
          <w:color w:val="000000"/>
          <w:sz w:val="28"/>
          <w:szCs w:val="28"/>
        </w:rPr>
        <w:t>班主任是一个班级学生的组织者和</w:t>
      </w:r>
      <w:r>
        <w:fldChar w:fldCharType="begin"/>
      </w:r>
      <w:r>
        <w:instrText xml:space="preserve"> HYPERLINK "http://www.5ykj.com/Article/" \t "_blank" </w:instrText>
      </w:r>
      <w:r>
        <w:fldChar w:fldCharType="separate"/>
      </w:r>
      <w:r>
        <w:rPr>
          <w:rFonts w:ascii="仿宋_GB2312" w:eastAsia="仿宋_GB2312"/>
          <w:color w:val="000000"/>
          <w:sz w:val="28"/>
          <w:szCs w:val="28"/>
        </w:rPr>
        <w:t>领导</w:t>
      </w:r>
      <w:r>
        <w:rPr>
          <w:rFonts w:ascii="仿宋_GB2312" w:eastAsia="仿宋_GB2312"/>
          <w:color w:val="000000"/>
          <w:sz w:val="28"/>
          <w:szCs w:val="28"/>
        </w:rPr>
        <w:fldChar w:fldCharType="end"/>
      </w:r>
      <w:r>
        <w:rPr>
          <w:rFonts w:ascii="仿宋_GB2312" w:eastAsia="仿宋_GB2312"/>
          <w:color w:val="000000"/>
          <w:sz w:val="28"/>
          <w:szCs w:val="28"/>
        </w:rPr>
        <w:t>者，是学校对学生进行思想政治教育工作的骨干力量，是联系各科教学的纽带，是沟通学校、家庭、社会的桥梁。上级部门和学校对学生的各种要求，都要通过班主任去贯彻落实。班主任首先要“为人师表”，热爱学生，班主任工作必须做到：</w:t>
      </w:r>
    </w:p>
    <w:p>
      <w:pPr>
        <w:ind w:firstLine="560" w:firstLineChars="200"/>
        <w:rPr>
          <w:rFonts w:ascii="仿宋_GB2312" w:eastAsia="仿宋_GB2312"/>
          <w:color w:val="000000"/>
          <w:sz w:val="28"/>
          <w:szCs w:val="28"/>
        </w:rPr>
      </w:pPr>
      <w:r>
        <w:rPr>
          <w:rFonts w:ascii="仿宋_GB2312" w:eastAsia="仿宋_GB2312"/>
          <w:color w:val="000000"/>
          <w:sz w:val="28"/>
          <w:szCs w:val="28"/>
        </w:rPr>
        <w:t>1、努力贯彻党的教育方针，提高学生的思想政治觉悟，学习质量和健康水平，为培养一个勤奋学习、遵纪守法、朝气蓬勃、团结向上的班集体而积极工作。</w:t>
      </w:r>
    </w:p>
    <w:p>
      <w:pPr>
        <w:ind w:firstLine="560" w:firstLineChars="200"/>
        <w:rPr>
          <w:rFonts w:ascii="仿宋_GB2312" w:eastAsia="仿宋_GB2312"/>
          <w:color w:val="000000"/>
          <w:sz w:val="28"/>
          <w:szCs w:val="28"/>
        </w:rPr>
      </w:pPr>
      <w:r>
        <w:rPr>
          <w:rFonts w:ascii="仿宋_GB2312" w:eastAsia="仿宋_GB2312"/>
          <w:color w:val="000000"/>
          <w:sz w:val="28"/>
          <w:szCs w:val="28"/>
        </w:rPr>
        <w:t>2、教育督促学生遵守《小学生守则》和学校的各种规章制度，政府的政策法令和社会的公共秩序，处理日常班务工作和本班学生中的偶发事件。对学生的教育应做到“动之以情、晓之以理、导之以行、持之以恒”。讲究教育艺术，注重教育效果，严禁体罚或侮辱学生人格。</w:t>
      </w:r>
    </w:p>
    <w:p>
      <w:pPr>
        <w:ind w:firstLine="560" w:firstLineChars="200"/>
        <w:rPr>
          <w:rFonts w:ascii="仿宋_GB2312" w:eastAsia="仿宋_GB2312"/>
          <w:color w:val="000000"/>
          <w:sz w:val="28"/>
          <w:szCs w:val="28"/>
        </w:rPr>
      </w:pPr>
      <w:r>
        <w:rPr>
          <w:rFonts w:ascii="仿宋_GB2312" w:eastAsia="仿宋_GB2312"/>
          <w:color w:val="000000"/>
          <w:sz w:val="28"/>
          <w:szCs w:val="28"/>
        </w:rPr>
        <w:t>3、及时和学校有关方面取得联系，定期向学校</w:t>
      </w:r>
      <w:r>
        <w:fldChar w:fldCharType="begin"/>
      </w:r>
      <w:r>
        <w:instrText xml:space="preserve"> HYPERLINK "http://www.5ykj.com/Article/" \t "_blank" </w:instrText>
      </w:r>
      <w:r>
        <w:fldChar w:fldCharType="separate"/>
      </w:r>
      <w:r>
        <w:rPr>
          <w:rFonts w:ascii="仿宋_GB2312" w:eastAsia="仿宋_GB2312"/>
          <w:color w:val="000000"/>
          <w:sz w:val="28"/>
          <w:szCs w:val="28"/>
        </w:rPr>
        <w:t>领导</w:t>
      </w:r>
      <w:r>
        <w:rPr>
          <w:rFonts w:ascii="仿宋_GB2312" w:eastAsia="仿宋_GB2312"/>
          <w:color w:val="000000"/>
          <w:sz w:val="28"/>
          <w:szCs w:val="28"/>
        </w:rPr>
        <w:fldChar w:fldCharType="end"/>
      </w:r>
      <w:r>
        <w:rPr>
          <w:rFonts w:ascii="仿宋_GB2312" w:eastAsia="仿宋_GB2312"/>
          <w:color w:val="000000"/>
          <w:sz w:val="28"/>
          <w:szCs w:val="28"/>
        </w:rPr>
        <w:t>或教导处</w:t>
      </w:r>
      <w:r>
        <w:fldChar w:fldCharType="begin"/>
      </w:r>
      <w:r>
        <w:instrText xml:space="preserve"> HYPERLINK "http://www.5ykj.com/Article/" \t "_blank" </w:instrText>
      </w:r>
      <w:r>
        <w:fldChar w:fldCharType="separate"/>
      </w:r>
      <w:r>
        <w:rPr>
          <w:rFonts w:ascii="仿宋_GB2312" w:eastAsia="仿宋_GB2312"/>
          <w:color w:val="000000"/>
          <w:sz w:val="28"/>
          <w:szCs w:val="28"/>
        </w:rPr>
        <w:t>汇报</w:t>
      </w:r>
      <w:r>
        <w:rPr>
          <w:rFonts w:ascii="仿宋_GB2312" w:eastAsia="仿宋_GB2312"/>
          <w:color w:val="000000"/>
          <w:sz w:val="28"/>
          <w:szCs w:val="28"/>
        </w:rPr>
        <w:fldChar w:fldCharType="end"/>
      </w:r>
      <w:r>
        <w:rPr>
          <w:rFonts w:ascii="仿宋_GB2312" w:eastAsia="仿宋_GB2312"/>
          <w:color w:val="000000"/>
          <w:sz w:val="28"/>
          <w:szCs w:val="28"/>
        </w:rPr>
        <w:t>班务工作，做到上传下达。步调一致。经常与任科教师互通情报，了解研究学生的思想、学习情况。教育学生明确学习目的，端正学习态度，改进学习方法，不断提高各门功课的学习</w:t>
      </w:r>
      <w:r>
        <w:fldChar w:fldCharType="begin"/>
      </w:r>
      <w:r>
        <w:instrText xml:space="preserve"> HYPERLINK "http://home.5ykj.com/mnkc/" \t "_blank" </w:instrText>
      </w:r>
      <w:r>
        <w:fldChar w:fldCharType="separate"/>
      </w:r>
      <w:r>
        <w:rPr>
          <w:rFonts w:ascii="仿宋_GB2312" w:eastAsia="仿宋_GB2312"/>
          <w:color w:val="000000"/>
          <w:sz w:val="28"/>
          <w:szCs w:val="28"/>
        </w:rPr>
        <w:t>成绩</w:t>
      </w:r>
      <w:r>
        <w:rPr>
          <w:rFonts w:ascii="仿宋_GB2312" w:eastAsia="仿宋_GB2312"/>
          <w:color w:val="000000"/>
          <w:sz w:val="28"/>
          <w:szCs w:val="28"/>
        </w:rPr>
        <w:fldChar w:fldCharType="end"/>
      </w:r>
      <w:r>
        <w:rPr>
          <w:rFonts w:ascii="仿宋_GB2312" w:eastAsia="仿宋_GB2312"/>
          <w:color w:val="000000"/>
          <w:sz w:val="28"/>
          <w:szCs w:val="28"/>
        </w:rPr>
        <w:t>。</w:t>
      </w:r>
    </w:p>
    <w:p>
      <w:pPr>
        <w:ind w:firstLine="560" w:firstLineChars="200"/>
        <w:rPr>
          <w:rFonts w:ascii="仿宋_GB2312" w:eastAsia="仿宋_GB2312"/>
          <w:color w:val="000000"/>
          <w:sz w:val="28"/>
          <w:szCs w:val="28"/>
        </w:rPr>
      </w:pPr>
      <w:r>
        <w:rPr>
          <w:rFonts w:ascii="仿宋_GB2312" w:eastAsia="仿宋_GB2312"/>
          <w:color w:val="000000"/>
          <w:sz w:val="28"/>
          <w:szCs w:val="28"/>
        </w:rPr>
        <w:t>4、关心学生的身心健康。组织和</w:t>
      </w:r>
      <w:r>
        <w:fldChar w:fldCharType="begin"/>
      </w:r>
      <w:r>
        <w:instrText xml:space="preserve"> HYPERLINK "http://zw.5ykj.com/" \t "_blank" </w:instrText>
      </w:r>
      <w:r>
        <w:fldChar w:fldCharType="separate"/>
      </w:r>
      <w:r>
        <w:rPr>
          <w:rFonts w:ascii="仿宋_GB2312" w:eastAsia="仿宋_GB2312"/>
          <w:color w:val="000000"/>
          <w:sz w:val="28"/>
          <w:szCs w:val="28"/>
        </w:rPr>
        <w:t>指导</w:t>
      </w:r>
      <w:r>
        <w:rPr>
          <w:rFonts w:ascii="仿宋_GB2312" w:eastAsia="仿宋_GB2312"/>
          <w:color w:val="000000"/>
          <w:sz w:val="28"/>
          <w:szCs w:val="28"/>
        </w:rPr>
        <w:fldChar w:fldCharType="end"/>
      </w:r>
      <w:r>
        <w:rPr>
          <w:rFonts w:ascii="仿宋_GB2312" w:eastAsia="仿宋_GB2312"/>
          <w:color w:val="000000"/>
          <w:sz w:val="28"/>
          <w:szCs w:val="28"/>
        </w:rPr>
        <w:t>学生开展体育、文娱、卫生等活动。教育学生积极参加体育锻炼；自觉搞好环境卫生和个人卫生，养成良好习惯，并对学生生活给予应有的</w:t>
      </w:r>
      <w:r>
        <w:fldChar w:fldCharType="begin"/>
      </w:r>
      <w:r>
        <w:instrText xml:space="preserve"> HYPERLINK "http://zw.5ykj.com/" \t "_blank" </w:instrText>
      </w:r>
      <w:r>
        <w:fldChar w:fldCharType="separate"/>
      </w:r>
      <w:r>
        <w:rPr>
          <w:rFonts w:ascii="仿宋_GB2312" w:eastAsia="仿宋_GB2312"/>
          <w:color w:val="000000"/>
          <w:sz w:val="28"/>
          <w:szCs w:val="28"/>
        </w:rPr>
        <w:t>指导</w:t>
      </w:r>
      <w:r>
        <w:rPr>
          <w:rFonts w:ascii="仿宋_GB2312" w:eastAsia="仿宋_GB2312"/>
          <w:color w:val="000000"/>
          <w:sz w:val="28"/>
          <w:szCs w:val="28"/>
        </w:rPr>
        <w:fldChar w:fldCharType="end"/>
      </w:r>
      <w:r>
        <w:rPr>
          <w:rFonts w:ascii="仿宋_GB2312" w:eastAsia="仿宋_GB2312"/>
          <w:color w:val="000000"/>
          <w:sz w:val="28"/>
          <w:szCs w:val="28"/>
        </w:rPr>
        <w:t>。</w:t>
      </w:r>
    </w:p>
    <w:p>
      <w:pPr>
        <w:ind w:firstLine="560" w:firstLineChars="200"/>
        <w:rPr>
          <w:rFonts w:ascii="仿宋_GB2312" w:eastAsia="仿宋_GB2312"/>
          <w:color w:val="000000"/>
          <w:sz w:val="28"/>
          <w:szCs w:val="28"/>
        </w:rPr>
      </w:pPr>
      <w:r>
        <w:rPr>
          <w:rFonts w:ascii="仿宋_GB2312" w:eastAsia="仿宋_GB2312"/>
          <w:color w:val="000000"/>
          <w:sz w:val="28"/>
          <w:szCs w:val="28"/>
        </w:rPr>
        <w:t>5、注重班集体的精神文明建设和第二课堂的开辟。制定班务工作</w:t>
      </w:r>
      <w:r>
        <w:fldChar w:fldCharType="begin"/>
      </w:r>
      <w:r>
        <w:instrText xml:space="preserve"> HYPERLINK "http://www.5ykj.com/Article/" \t "_blank" </w:instrText>
      </w:r>
      <w:r>
        <w:fldChar w:fldCharType="separate"/>
      </w:r>
      <w:r>
        <w:rPr>
          <w:rFonts w:ascii="仿宋_GB2312" w:eastAsia="仿宋_GB2312"/>
          <w:color w:val="000000"/>
          <w:sz w:val="28"/>
          <w:szCs w:val="28"/>
        </w:rPr>
        <w:t>计划</w:t>
      </w:r>
      <w:r>
        <w:rPr>
          <w:rFonts w:ascii="仿宋_GB2312" w:eastAsia="仿宋_GB2312"/>
          <w:color w:val="000000"/>
          <w:sz w:val="28"/>
          <w:szCs w:val="28"/>
        </w:rPr>
        <w:fldChar w:fldCharType="end"/>
      </w:r>
      <w:r>
        <w:rPr>
          <w:rFonts w:ascii="仿宋_GB2312" w:eastAsia="仿宋_GB2312"/>
          <w:color w:val="000000"/>
          <w:sz w:val="28"/>
          <w:szCs w:val="28"/>
        </w:rPr>
        <w:t>，组织、领导班委会，指导少先队，积极开展创“三好”，争做“四有新人”和“五爱”教育等活动。做文明学生，建文明班级。</w:t>
      </w:r>
    </w:p>
    <w:p>
      <w:pPr>
        <w:ind w:firstLine="560" w:firstLineChars="200"/>
        <w:rPr>
          <w:rFonts w:ascii="仿宋_GB2312" w:eastAsia="仿宋_GB2312"/>
          <w:color w:val="000000"/>
          <w:sz w:val="28"/>
          <w:szCs w:val="28"/>
        </w:rPr>
      </w:pPr>
      <w:r>
        <w:rPr>
          <w:rFonts w:ascii="仿宋_GB2312" w:eastAsia="仿宋_GB2312"/>
          <w:color w:val="000000"/>
          <w:sz w:val="28"/>
          <w:szCs w:val="28"/>
        </w:rPr>
        <w:t>6、指导学生的课外活动，配合有关科任教师开展课外科技活动。</w:t>
      </w:r>
    </w:p>
    <w:p>
      <w:pPr>
        <w:ind w:firstLine="560" w:firstLineChars="200"/>
        <w:rPr>
          <w:rFonts w:ascii="仿宋_GB2312" w:eastAsia="仿宋_GB2312"/>
          <w:color w:val="000000"/>
          <w:sz w:val="28"/>
          <w:szCs w:val="28"/>
        </w:rPr>
      </w:pPr>
      <w:r>
        <w:rPr>
          <w:rFonts w:ascii="仿宋_GB2312" w:eastAsia="仿宋_GB2312"/>
          <w:color w:val="000000"/>
          <w:sz w:val="28"/>
          <w:szCs w:val="28"/>
        </w:rPr>
        <w:t>7、重视家访工作，采取多种形式，经常与家长交换学生的学习思想等各方面情况，以便有的放矢，有针对性地对学生进行教育。</w:t>
      </w:r>
    </w:p>
    <w:p>
      <w:pPr>
        <w:ind w:firstLine="560" w:firstLineChars="200"/>
        <w:rPr>
          <w:rFonts w:ascii="仿宋_GB2312" w:eastAsia="仿宋_GB2312"/>
          <w:color w:val="000000"/>
          <w:sz w:val="28"/>
          <w:szCs w:val="28"/>
        </w:rPr>
      </w:pPr>
      <w:r>
        <w:rPr>
          <w:rFonts w:ascii="仿宋_GB2312" w:eastAsia="仿宋_GB2312"/>
          <w:color w:val="000000"/>
          <w:sz w:val="28"/>
          <w:szCs w:val="28"/>
        </w:rPr>
        <w:t>8、负责本班公共财物的管理，赔偿工作，安全工作，教育学生节约电、煤，并遵守纪律。</w:t>
      </w:r>
    </w:p>
    <w:p>
      <w:pPr>
        <w:ind w:firstLine="560" w:firstLineChars="200"/>
        <w:rPr>
          <w:rFonts w:ascii="仿宋_GB2312" w:eastAsia="仿宋_GB2312"/>
          <w:color w:val="000000"/>
          <w:sz w:val="28"/>
          <w:szCs w:val="28"/>
        </w:rPr>
      </w:pPr>
      <w:r>
        <w:rPr>
          <w:rFonts w:ascii="仿宋_GB2312" w:eastAsia="仿宋_GB2312"/>
          <w:color w:val="000000"/>
          <w:sz w:val="28"/>
          <w:szCs w:val="28"/>
        </w:rPr>
        <w:t>9、全面客观地、认真负责地做好学生的操行评语和</w:t>
      </w:r>
      <w:r>
        <w:fldChar w:fldCharType="begin"/>
      </w:r>
      <w:r>
        <w:instrText xml:space="preserve"> HYPERLINK "http://home.5ykj.com/mnkc/" \t "_blank" </w:instrText>
      </w:r>
      <w:r>
        <w:fldChar w:fldCharType="separate"/>
      </w:r>
      <w:r>
        <w:rPr>
          <w:rFonts w:ascii="仿宋_GB2312" w:eastAsia="仿宋_GB2312"/>
          <w:color w:val="000000"/>
          <w:sz w:val="28"/>
          <w:szCs w:val="28"/>
        </w:rPr>
        <w:t>成绩</w:t>
      </w:r>
      <w:r>
        <w:rPr>
          <w:rFonts w:ascii="仿宋_GB2312" w:eastAsia="仿宋_GB2312"/>
          <w:color w:val="000000"/>
          <w:sz w:val="28"/>
          <w:szCs w:val="28"/>
        </w:rPr>
        <w:fldChar w:fldCharType="end"/>
      </w:r>
      <w:r>
        <w:rPr>
          <w:rFonts w:ascii="仿宋_GB2312" w:eastAsia="仿宋_GB2312"/>
          <w:color w:val="000000"/>
          <w:sz w:val="28"/>
          <w:szCs w:val="28"/>
        </w:rPr>
        <w:t>填写工作。及时、准确地建立和填写好学生档案。并妥善保管</w:t>
      </w:r>
      <w:r>
        <w:rPr>
          <w:rFonts w:hint="eastAsia" w:ascii="仿宋_GB2312" w:eastAsia="仿宋_GB2312"/>
          <w:color w:val="000000"/>
          <w:sz w:val="28"/>
          <w:szCs w:val="28"/>
        </w:rPr>
        <w:t>。</w:t>
      </w:r>
    </w:p>
    <w:p>
      <w:pPr>
        <w:ind w:firstLine="560" w:firstLineChars="200"/>
        <w:rPr>
          <w:rFonts w:ascii="仿宋_GB2312" w:eastAsia="仿宋_GB2312"/>
          <w:color w:val="000000"/>
          <w:sz w:val="28"/>
          <w:szCs w:val="28"/>
        </w:rPr>
      </w:pPr>
      <w:r>
        <w:rPr>
          <w:rFonts w:ascii="仿宋_GB2312" w:eastAsia="仿宋_GB2312"/>
          <w:color w:val="000000"/>
          <w:sz w:val="28"/>
          <w:szCs w:val="28"/>
        </w:rPr>
        <w:t>任课教师职责</w:t>
      </w:r>
    </w:p>
    <w:p>
      <w:pPr>
        <w:ind w:firstLine="560" w:firstLineChars="200"/>
        <w:rPr>
          <w:rFonts w:ascii="仿宋_GB2312" w:eastAsia="仿宋_GB2312"/>
          <w:color w:val="000000"/>
          <w:sz w:val="28"/>
          <w:szCs w:val="28"/>
        </w:rPr>
      </w:pPr>
      <w:r>
        <w:rPr>
          <w:rFonts w:ascii="仿宋_GB2312" w:eastAsia="仿宋_GB2312"/>
          <w:color w:val="000000"/>
          <w:sz w:val="28"/>
          <w:szCs w:val="28"/>
        </w:rPr>
        <w:t>教师的根本任务是把学生教好。对教师的基本要求是:以身作则，努力学习，爱护学生，教好功课。</w:t>
      </w:r>
    </w:p>
    <w:p>
      <w:pPr>
        <w:ind w:firstLine="560" w:firstLineChars="200"/>
        <w:rPr>
          <w:rFonts w:ascii="仿宋_GB2312" w:eastAsia="仿宋_GB2312"/>
          <w:color w:val="000000"/>
          <w:sz w:val="28"/>
          <w:szCs w:val="28"/>
        </w:rPr>
      </w:pPr>
      <w:r>
        <w:rPr>
          <w:rFonts w:ascii="仿宋_GB2312" w:eastAsia="仿宋_GB2312"/>
          <w:color w:val="000000"/>
          <w:sz w:val="28"/>
          <w:szCs w:val="28"/>
        </w:rPr>
        <w:t>1、认真备课、上课</w:t>
      </w:r>
    </w:p>
    <w:p>
      <w:pPr>
        <w:ind w:firstLine="560" w:firstLineChars="200"/>
        <w:rPr>
          <w:rFonts w:ascii="仿宋_GB2312" w:eastAsia="仿宋_GB2312"/>
          <w:color w:val="000000"/>
          <w:sz w:val="28"/>
          <w:szCs w:val="28"/>
        </w:rPr>
      </w:pPr>
      <w:r>
        <w:rPr>
          <w:rFonts w:ascii="仿宋_GB2312" w:eastAsia="仿宋_GB2312"/>
          <w:color w:val="000000"/>
          <w:sz w:val="28"/>
          <w:szCs w:val="28"/>
        </w:rPr>
        <w:t>(1)要熟悉教学大纲，教科书，了解学生的知识基础，备好课。</w:t>
      </w:r>
    </w:p>
    <w:p>
      <w:pPr>
        <w:ind w:firstLine="560" w:firstLineChars="200"/>
        <w:rPr>
          <w:rFonts w:ascii="仿宋_GB2312" w:eastAsia="仿宋_GB2312"/>
          <w:color w:val="000000"/>
          <w:sz w:val="28"/>
          <w:szCs w:val="28"/>
        </w:rPr>
      </w:pPr>
      <w:r>
        <w:rPr>
          <w:rFonts w:ascii="仿宋_GB2312" w:eastAsia="仿宋_GB2312"/>
          <w:color w:val="000000"/>
          <w:sz w:val="28"/>
          <w:szCs w:val="28"/>
        </w:rPr>
        <w:t>(2)加强对学生的学习目的教育，调动学生学习积极性，搞好课堂纪律。</w:t>
      </w:r>
    </w:p>
    <w:p>
      <w:pPr>
        <w:ind w:firstLine="560" w:firstLineChars="200"/>
        <w:rPr>
          <w:rFonts w:ascii="仿宋_GB2312" w:eastAsia="仿宋_GB2312"/>
          <w:color w:val="000000"/>
          <w:sz w:val="28"/>
          <w:szCs w:val="28"/>
        </w:rPr>
      </w:pPr>
      <w:r>
        <w:rPr>
          <w:rFonts w:ascii="仿宋_GB2312" w:eastAsia="仿宋_GB2312"/>
          <w:color w:val="000000"/>
          <w:sz w:val="28"/>
          <w:szCs w:val="28"/>
        </w:rPr>
        <w:t>(3)认真组织好课堂教学，不断改进教学方法，充分利用45分钟，保质、保量地完成课程标准规定应传授的知识和应培养的能力。</w:t>
      </w:r>
    </w:p>
    <w:p>
      <w:pPr>
        <w:ind w:firstLine="560" w:firstLineChars="200"/>
        <w:rPr>
          <w:rFonts w:ascii="仿宋_GB2312" w:eastAsia="仿宋_GB2312"/>
          <w:color w:val="000000"/>
          <w:sz w:val="28"/>
          <w:szCs w:val="28"/>
        </w:rPr>
      </w:pPr>
      <w:r>
        <w:rPr>
          <w:rFonts w:ascii="仿宋_GB2312" w:eastAsia="仿宋_GB2312"/>
          <w:color w:val="000000"/>
          <w:sz w:val="28"/>
          <w:szCs w:val="28"/>
        </w:rPr>
        <w:t>(4)结合教材，有机地对学生进行思想教育，注意学生的卫生习惯，保护学生视力。</w:t>
      </w:r>
    </w:p>
    <w:p>
      <w:pPr>
        <w:ind w:firstLine="560" w:firstLineChars="200"/>
        <w:rPr>
          <w:rFonts w:ascii="仿宋_GB2312" w:eastAsia="仿宋_GB2312"/>
          <w:color w:val="000000"/>
          <w:sz w:val="28"/>
          <w:szCs w:val="28"/>
        </w:rPr>
      </w:pPr>
      <w:r>
        <w:rPr>
          <w:rFonts w:ascii="仿宋_GB2312" w:eastAsia="仿宋_GB2312"/>
          <w:color w:val="000000"/>
          <w:sz w:val="28"/>
          <w:szCs w:val="28"/>
        </w:rPr>
        <w:t>(5)指导学生改进学习方法，培养良好的学习习惯。</w:t>
      </w:r>
    </w:p>
    <w:p>
      <w:pPr>
        <w:ind w:firstLine="560" w:firstLineChars="200"/>
        <w:rPr>
          <w:rFonts w:ascii="仿宋_GB2312" w:eastAsia="仿宋_GB2312"/>
          <w:color w:val="000000"/>
          <w:sz w:val="28"/>
          <w:szCs w:val="28"/>
        </w:rPr>
      </w:pPr>
      <w:r>
        <w:rPr>
          <w:rFonts w:ascii="仿宋_GB2312" w:eastAsia="仿宋_GB2312"/>
          <w:color w:val="000000"/>
          <w:sz w:val="28"/>
          <w:szCs w:val="28"/>
        </w:rPr>
        <w:t>(6)搞好测验、</w:t>
      </w:r>
      <w:r>
        <w:fldChar w:fldCharType="begin"/>
      </w:r>
      <w:r>
        <w:instrText xml:space="preserve"> HYPERLINK "http://home.5ykj.com/mnkc/" \t "_blank" </w:instrText>
      </w:r>
      <w:r>
        <w:fldChar w:fldCharType="separate"/>
      </w:r>
      <w:r>
        <w:rPr>
          <w:rFonts w:ascii="仿宋_GB2312" w:eastAsia="仿宋_GB2312"/>
          <w:color w:val="000000"/>
          <w:sz w:val="28"/>
          <w:szCs w:val="28"/>
        </w:rPr>
        <w:t>考试</w:t>
      </w:r>
      <w:r>
        <w:rPr>
          <w:rFonts w:ascii="仿宋_GB2312" w:eastAsia="仿宋_GB2312"/>
          <w:color w:val="000000"/>
          <w:sz w:val="28"/>
          <w:szCs w:val="28"/>
        </w:rPr>
        <w:fldChar w:fldCharType="end"/>
      </w:r>
      <w:r>
        <w:rPr>
          <w:rFonts w:ascii="仿宋_GB2312" w:eastAsia="仿宋_GB2312"/>
          <w:color w:val="000000"/>
          <w:sz w:val="28"/>
          <w:szCs w:val="28"/>
        </w:rPr>
        <w:t>，做到份量恰当，命题确切，要求严格。</w:t>
      </w:r>
    </w:p>
    <w:p>
      <w:pPr>
        <w:ind w:firstLine="560" w:firstLineChars="200"/>
        <w:rPr>
          <w:rFonts w:ascii="仿宋_GB2312" w:eastAsia="仿宋_GB2312"/>
          <w:color w:val="000000"/>
          <w:sz w:val="28"/>
          <w:szCs w:val="28"/>
        </w:rPr>
      </w:pPr>
      <w:r>
        <w:rPr>
          <w:rFonts w:ascii="仿宋_GB2312" w:eastAsia="仿宋_GB2312"/>
          <w:color w:val="000000"/>
          <w:sz w:val="28"/>
          <w:szCs w:val="28"/>
        </w:rPr>
        <w:t>2、认真批改、</w:t>
      </w:r>
      <w:r>
        <w:fldChar w:fldCharType="begin"/>
      </w:r>
      <w:r>
        <w:instrText xml:space="preserve"> HYPERLINK "http://zw.5ykj.com/" \t "_blank" </w:instrText>
      </w:r>
      <w:r>
        <w:fldChar w:fldCharType="separate"/>
      </w:r>
      <w:r>
        <w:rPr>
          <w:rFonts w:ascii="仿宋_GB2312" w:eastAsia="仿宋_GB2312"/>
          <w:color w:val="000000"/>
          <w:sz w:val="28"/>
          <w:szCs w:val="28"/>
        </w:rPr>
        <w:t>辅导</w:t>
      </w:r>
      <w:r>
        <w:rPr>
          <w:rFonts w:ascii="仿宋_GB2312" w:eastAsia="仿宋_GB2312"/>
          <w:color w:val="000000"/>
          <w:sz w:val="28"/>
          <w:szCs w:val="28"/>
        </w:rPr>
        <w:fldChar w:fldCharType="end"/>
      </w:r>
    </w:p>
    <w:p>
      <w:pPr>
        <w:ind w:firstLine="560" w:firstLineChars="200"/>
        <w:rPr>
          <w:rFonts w:ascii="仿宋_GB2312" w:eastAsia="仿宋_GB2312"/>
          <w:color w:val="000000"/>
          <w:sz w:val="28"/>
          <w:szCs w:val="28"/>
        </w:rPr>
      </w:pPr>
      <w:r>
        <w:rPr>
          <w:rFonts w:ascii="仿宋_GB2312" w:eastAsia="仿宋_GB2312"/>
          <w:color w:val="000000"/>
          <w:sz w:val="28"/>
          <w:szCs w:val="28"/>
        </w:rPr>
        <w:t>(1)根据教学要求和学生实际，精心布置作业，并及时收发。批改要讲求实效，搞好讲评，引导学生及时订正错误，扎扎实实地学好每项知识。</w:t>
      </w:r>
    </w:p>
    <w:p>
      <w:pPr>
        <w:ind w:firstLine="560" w:firstLineChars="200"/>
        <w:rPr>
          <w:rFonts w:ascii="仿宋_GB2312" w:eastAsia="仿宋_GB2312"/>
          <w:color w:val="000000"/>
          <w:sz w:val="28"/>
          <w:szCs w:val="28"/>
        </w:rPr>
      </w:pPr>
      <w:r>
        <w:rPr>
          <w:rFonts w:ascii="仿宋_GB2312" w:eastAsia="仿宋_GB2312"/>
          <w:color w:val="000000"/>
          <w:sz w:val="28"/>
          <w:szCs w:val="28"/>
        </w:rPr>
        <w:t>(2)要因材施教。对中下学生要热情</w:t>
      </w:r>
      <w:r>
        <w:fldChar w:fldCharType="begin"/>
      </w:r>
      <w:r>
        <w:instrText xml:space="preserve"> HYPERLINK "http://zw.5ykj.com/" \t "_blank" </w:instrText>
      </w:r>
      <w:r>
        <w:fldChar w:fldCharType="separate"/>
      </w:r>
      <w:r>
        <w:rPr>
          <w:rFonts w:ascii="仿宋_GB2312" w:eastAsia="仿宋_GB2312"/>
          <w:color w:val="000000"/>
          <w:sz w:val="28"/>
          <w:szCs w:val="28"/>
        </w:rPr>
        <w:t>辅导</w:t>
      </w:r>
      <w:r>
        <w:rPr>
          <w:rFonts w:ascii="仿宋_GB2312" w:eastAsia="仿宋_GB2312"/>
          <w:color w:val="000000"/>
          <w:sz w:val="28"/>
          <w:szCs w:val="28"/>
        </w:rPr>
        <w:fldChar w:fldCharType="end"/>
      </w:r>
      <w:r>
        <w:rPr>
          <w:rFonts w:ascii="仿宋_GB2312" w:eastAsia="仿宋_GB2312"/>
          <w:color w:val="000000"/>
          <w:sz w:val="28"/>
          <w:szCs w:val="28"/>
        </w:rPr>
        <w:t>，尽量帮助他们跟上班级。对成绩优秀的学生，要帮助他们进一步学好，发挥其特长。</w:t>
      </w:r>
    </w:p>
    <w:p>
      <w:pPr>
        <w:ind w:firstLine="560" w:firstLineChars="200"/>
        <w:rPr>
          <w:rFonts w:ascii="仿宋_GB2312" w:eastAsia="仿宋_GB2312"/>
          <w:color w:val="000000"/>
          <w:sz w:val="28"/>
          <w:szCs w:val="28"/>
        </w:rPr>
      </w:pPr>
      <w:r>
        <w:rPr>
          <w:rFonts w:ascii="仿宋_GB2312" w:eastAsia="仿宋_GB2312"/>
          <w:color w:val="000000"/>
          <w:sz w:val="28"/>
          <w:szCs w:val="28"/>
        </w:rPr>
        <w:t>(3)积极创造条件，开展多样化的课外活动，提高学生学习兴趣，开拓知识眼界，培养有关技能技巧。</w:t>
      </w:r>
    </w:p>
    <w:p>
      <w:pPr>
        <w:ind w:firstLine="560" w:firstLineChars="200"/>
        <w:rPr>
          <w:rFonts w:ascii="仿宋_GB2312" w:eastAsia="仿宋_GB2312"/>
          <w:color w:val="000000"/>
          <w:sz w:val="28"/>
          <w:szCs w:val="28"/>
        </w:rPr>
      </w:pPr>
      <w:r>
        <w:rPr>
          <w:rFonts w:ascii="仿宋_GB2312" w:eastAsia="仿宋_GB2312"/>
          <w:color w:val="000000"/>
          <w:sz w:val="28"/>
          <w:szCs w:val="28"/>
        </w:rPr>
        <w:t>3、体育、音乐、美术教师，还应组织和辅导学生开展课外体育、文娱、美术活动，搞好运动队训练和竞赛工作，搞好文艺队、美工组的工作。</w:t>
      </w:r>
    </w:p>
    <w:p>
      <w:pPr>
        <w:ind w:firstLine="560" w:firstLineChars="200"/>
        <w:rPr>
          <w:rFonts w:ascii="仿宋_GB2312" w:eastAsia="仿宋_GB2312"/>
          <w:color w:val="000000"/>
          <w:sz w:val="28"/>
          <w:szCs w:val="28"/>
        </w:rPr>
      </w:pPr>
      <w:r>
        <w:rPr>
          <w:rFonts w:ascii="仿宋_GB2312" w:eastAsia="仿宋_GB2312"/>
          <w:color w:val="000000"/>
          <w:sz w:val="28"/>
          <w:szCs w:val="28"/>
        </w:rPr>
        <w:t>图书保管员职责</w:t>
      </w:r>
    </w:p>
    <w:p>
      <w:pPr>
        <w:ind w:firstLine="560" w:firstLineChars="200"/>
        <w:rPr>
          <w:rFonts w:ascii="仿宋_GB2312" w:eastAsia="仿宋_GB2312"/>
          <w:color w:val="000000"/>
          <w:sz w:val="28"/>
          <w:szCs w:val="28"/>
        </w:rPr>
      </w:pPr>
      <w:r>
        <w:rPr>
          <w:rFonts w:ascii="仿宋_GB2312" w:eastAsia="仿宋_GB2312"/>
          <w:color w:val="000000"/>
          <w:sz w:val="28"/>
          <w:szCs w:val="28"/>
        </w:rPr>
        <w:t>1、严格执行图书馆、阅览室的规章制度。</w:t>
      </w:r>
    </w:p>
    <w:p>
      <w:pPr>
        <w:ind w:firstLine="560" w:firstLineChars="200"/>
        <w:rPr>
          <w:rFonts w:ascii="仿宋_GB2312" w:eastAsia="仿宋_GB2312"/>
          <w:color w:val="000000"/>
          <w:sz w:val="28"/>
          <w:szCs w:val="28"/>
        </w:rPr>
      </w:pPr>
      <w:r>
        <w:rPr>
          <w:rFonts w:ascii="仿宋_GB2312" w:eastAsia="仿宋_GB2312"/>
          <w:color w:val="000000"/>
          <w:sz w:val="28"/>
          <w:szCs w:val="28"/>
        </w:rPr>
        <w:t>2、掌握新书出版信息，添购书籍、充实书库。</w:t>
      </w:r>
    </w:p>
    <w:p>
      <w:pPr>
        <w:ind w:firstLine="560" w:firstLineChars="200"/>
        <w:rPr>
          <w:rFonts w:ascii="仿宋_GB2312" w:eastAsia="仿宋_GB2312"/>
          <w:color w:val="000000"/>
          <w:sz w:val="28"/>
          <w:szCs w:val="28"/>
        </w:rPr>
      </w:pPr>
      <w:r>
        <w:rPr>
          <w:rFonts w:ascii="仿宋_GB2312" w:eastAsia="仿宋_GB2312"/>
          <w:color w:val="000000"/>
          <w:sz w:val="28"/>
          <w:szCs w:val="28"/>
        </w:rPr>
        <w:t>3、新书买到后，及时进行分类编目，尽快介绍出借。</w:t>
      </w:r>
    </w:p>
    <w:p>
      <w:pPr>
        <w:ind w:firstLine="560" w:firstLineChars="200"/>
        <w:rPr>
          <w:rFonts w:ascii="仿宋_GB2312" w:eastAsia="仿宋_GB2312"/>
          <w:color w:val="000000"/>
          <w:sz w:val="28"/>
          <w:szCs w:val="28"/>
        </w:rPr>
      </w:pPr>
      <w:r>
        <w:rPr>
          <w:rFonts w:ascii="仿宋_GB2312" w:eastAsia="仿宋_GB2312"/>
          <w:color w:val="000000"/>
          <w:sz w:val="28"/>
          <w:szCs w:val="28"/>
        </w:rPr>
        <w:t>4、做好师生借书工作，管好学生阅览室和教师资料室。</w:t>
      </w:r>
    </w:p>
    <w:p>
      <w:pPr>
        <w:ind w:firstLine="560" w:firstLineChars="200"/>
        <w:rPr>
          <w:rFonts w:ascii="仿宋_GB2312" w:eastAsia="仿宋_GB2312"/>
          <w:color w:val="000000"/>
          <w:sz w:val="28"/>
          <w:szCs w:val="28"/>
        </w:rPr>
      </w:pPr>
      <w:r>
        <w:rPr>
          <w:rFonts w:ascii="仿宋_GB2312" w:eastAsia="仿宋_GB2312"/>
          <w:color w:val="000000"/>
          <w:sz w:val="28"/>
          <w:szCs w:val="28"/>
        </w:rPr>
        <w:t>5、及时做好书报订阅收发工作，月底、年底做好报纸杂志装订保管工作。</w:t>
      </w:r>
    </w:p>
    <w:p>
      <w:pPr>
        <w:ind w:firstLine="560" w:firstLineChars="200"/>
        <w:rPr>
          <w:rFonts w:ascii="仿宋_GB2312" w:eastAsia="仿宋_GB2312"/>
          <w:color w:val="000000"/>
          <w:sz w:val="28"/>
          <w:szCs w:val="28"/>
        </w:rPr>
      </w:pPr>
      <w:r>
        <w:rPr>
          <w:rFonts w:ascii="仿宋_GB2312" w:eastAsia="仿宋_GB2312"/>
          <w:color w:val="000000"/>
          <w:sz w:val="28"/>
          <w:szCs w:val="28"/>
        </w:rPr>
        <w:t>6、经常做好书籍，报刊的介绍工作。</w:t>
      </w:r>
    </w:p>
    <w:p>
      <w:pPr>
        <w:ind w:firstLine="560" w:firstLineChars="200"/>
        <w:rPr>
          <w:rFonts w:ascii="仿宋_GB2312" w:eastAsia="仿宋_GB2312"/>
          <w:color w:val="000000"/>
          <w:sz w:val="28"/>
          <w:szCs w:val="28"/>
        </w:rPr>
      </w:pPr>
      <w:r>
        <w:rPr>
          <w:rFonts w:ascii="仿宋_GB2312" w:eastAsia="仿宋_GB2312"/>
          <w:color w:val="000000"/>
          <w:sz w:val="28"/>
          <w:szCs w:val="28"/>
        </w:rPr>
        <w:t>7、有关教学上的参考资料，及时送到各教研组。</w:t>
      </w:r>
    </w:p>
    <w:p>
      <w:pPr>
        <w:ind w:firstLine="560" w:firstLineChars="200"/>
        <w:rPr>
          <w:rFonts w:ascii="仿宋_GB2312" w:eastAsia="仿宋_GB2312"/>
          <w:color w:val="000000"/>
          <w:sz w:val="28"/>
          <w:szCs w:val="28"/>
        </w:rPr>
      </w:pPr>
      <w:r>
        <w:rPr>
          <w:rFonts w:ascii="仿宋_GB2312" w:eastAsia="仿宋_GB2312"/>
          <w:color w:val="000000"/>
          <w:sz w:val="28"/>
          <w:szCs w:val="28"/>
        </w:rPr>
        <w:t>8、进行爱护书籍的宣传教育，做好图书的防潮、防虫蛀的工作和图书修补工作。</w:t>
      </w:r>
    </w:p>
    <w:p>
      <w:pPr>
        <w:ind w:firstLine="560" w:firstLineChars="200"/>
        <w:rPr>
          <w:rFonts w:ascii="仿宋_GB2312" w:eastAsia="仿宋_GB2312"/>
          <w:color w:val="000000"/>
          <w:sz w:val="28"/>
          <w:szCs w:val="28"/>
        </w:rPr>
      </w:pPr>
      <w:r>
        <w:rPr>
          <w:rFonts w:ascii="仿宋_GB2312" w:eastAsia="仿宋_GB2312"/>
          <w:color w:val="000000"/>
          <w:sz w:val="28"/>
          <w:szCs w:val="28"/>
        </w:rPr>
        <w:t>9、保持图书馆阅览室的清洁卫生和良好的纪律秩序。</w:t>
      </w:r>
      <w:r>
        <w:rPr>
          <w:rFonts w:ascii="仿宋_GB2312" w:eastAsia="仿宋_GB2312"/>
          <w:color w:val="000000"/>
          <w:sz w:val="28"/>
          <w:szCs w:val="28"/>
        </w:rPr>
        <w:br w:type="textWrapping"/>
      </w:r>
      <w:r>
        <w:rPr>
          <w:rFonts w:ascii="仿宋_GB2312" w:eastAsia="仿宋_GB2312"/>
          <w:color w:val="000000"/>
          <w:sz w:val="28"/>
          <w:szCs w:val="28"/>
        </w:rPr>
        <w:t>值周员职责</w:t>
      </w:r>
    </w:p>
    <w:p>
      <w:pPr>
        <w:ind w:firstLine="560" w:firstLineChars="200"/>
        <w:rPr>
          <w:rFonts w:ascii="仿宋_GB2312" w:eastAsia="仿宋_GB2312"/>
          <w:color w:val="000000"/>
          <w:sz w:val="28"/>
          <w:szCs w:val="28"/>
        </w:rPr>
      </w:pPr>
      <w:r>
        <w:rPr>
          <w:rFonts w:ascii="仿宋_GB2312" w:eastAsia="仿宋_GB2312"/>
          <w:color w:val="000000"/>
          <w:sz w:val="28"/>
          <w:szCs w:val="28"/>
        </w:rPr>
        <w:t>l、值周员必须提前到校，认真履行其职责。</w:t>
      </w:r>
    </w:p>
    <w:p>
      <w:pPr>
        <w:ind w:firstLine="560" w:firstLineChars="200"/>
        <w:rPr>
          <w:rFonts w:ascii="仿宋_GB2312" w:eastAsia="仿宋_GB2312"/>
          <w:color w:val="000000"/>
          <w:sz w:val="28"/>
          <w:szCs w:val="28"/>
        </w:rPr>
      </w:pPr>
      <w:r>
        <w:rPr>
          <w:rFonts w:ascii="仿宋_GB2312" w:eastAsia="仿宋_GB2312"/>
          <w:color w:val="000000"/>
          <w:sz w:val="28"/>
          <w:szCs w:val="28"/>
        </w:rPr>
        <w:t>2、负责组织好升降国旗仪式。</w:t>
      </w:r>
    </w:p>
    <w:p>
      <w:pPr>
        <w:ind w:firstLine="560" w:firstLineChars="200"/>
        <w:rPr>
          <w:rFonts w:ascii="仿宋_GB2312" w:eastAsia="仿宋_GB2312"/>
          <w:color w:val="000000"/>
          <w:sz w:val="28"/>
          <w:szCs w:val="28"/>
        </w:rPr>
      </w:pPr>
      <w:r>
        <w:rPr>
          <w:rFonts w:ascii="仿宋_GB2312" w:eastAsia="仿宋_GB2312"/>
          <w:color w:val="000000"/>
          <w:sz w:val="28"/>
          <w:szCs w:val="28"/>
        </w:rPr>
        <w:t>3、掌握当天的作息时间。</w:t>
      </w:r>
    </w:p>
    <w:p>
      <w:pPr>
        <w:ind w:firstLine="560" w:firstLineChars="200"/>
        <w:rPr>
          <w:rFonts w:ascii="仿宋_GB2312" w:eastAsia="仿宋_GB2312"/>
          <w:color w:val="000000"/>
          <w:sz w:val="28"/>
          <w:szCs w:val="28"/>
        </w:rPr>
      </w:pPr>
      <w:r>
        <w:rPr>
          <w:rFonts w:ascii="仿宋_GB2312" w:eastAsia="仿宋_GB2312"/>
          <w:color w:val="000000"/>
          <w:sz w:val="28"/>
          <w:szCs w:val="28"/>
        </w:rPr>
        <w:t>4、认真详细的填写好学校日志，检查教室日志的填写情况。</w:t>
      </w:r>
    </w:p>
    <w:p>
      <w:pPr>
        <w:ind w:firstLine="560" w:firstLineChars="200"/>
        <w:rPr>
          <w:rFonts w:ascii="仿宋_GB2312" w:eastAsia="仿宋_GB2312"/>
          <w:color w:val="000000"/>
          <w:sz w:val="28"/>
          <w:szCs w:val="28"/>
        </w:rPr>
      </w:pPr>
      <w:r>
        <w:rPr>
          <w:rFonts w:ascii="仿宋_GB2312" w:eastAsia="仿宋_GB2312"/>
          <w:color w:val="000000"/>
          <w:sz w:val="28"/>
          <w:szCs w:val="28"/>
        </w:rPr>
        <w:t>5、负责处理好学校偶发事件。</w:t>
      </w:r>
    </w:p>
    <w:p>
      <w:pPr>
        <w:ind w:firstLine="560" w:firstLineChars="200"/>
        <w:rPr>
          <w:rFonts w:ascii="仿宋_GB2312" w:eastAsia="仿宋_GB2312"/>
          <w:color w:val="000000"/>
          <w:sz w:val="28"/>
          <w:szCs w:val="28"/>
        </w:rPr>
      </w:pPr>
      <w:r>
        <w:rPr>
          <w:rFonts w:ascii="仿宋_GB2312" w:eastAsia="仿宋_GB2312"/>
          <w:color w:val="000000"/>
          <w:sz w:val="28"/>
          <w:szCs w:val="28"/>
        </w:rPr>
        <w:t>6、接待当天来宾或不定期来访家长。</w:t>
      </w:r>
    </w:p>
    <w:p>
      <w:pPr>
        <w:ind w:firstLine="560" w:firstLineChars="200"/>
        <w:rPr>
          <w:rFonts w:ascii="仿宋_GB2312" w:eastAsia="仿宋_GB2312"/>
          <w:color w:val="000000"/>
          <w:sz w:val="28"/>
          <w:szCs w:val="28"/>
        </w:rPr>
      </w:pPr>
      <w:r>
        <w:rPr>
          <w:rFonts w:ascii="仿宋_GB2312" w:eastAsia="仿宋_GB2312"/>
          <w:color w:val="000000"/>
          <w:sz w:val="28"/>
          <w:szCs w:val="28"/>
        </w:rPr>
        <w:t>7、检查督促校舍、门窗封锁、开关校门，注意安全。</w:t>
      </w:r>
    </w:p>
    <w:p>
      <w:pPr>
        <w:ind w:firstLine="560" w:firstLineChars="200"/>
        <w:rPr>
          <w:rFonts w:ascii="仿宋_GB2312" w:eastAsia="仿宋_GB2312"/>
          <w:color w:val="000000"/>
          <w:sz w:val="28"/>
          <w:szCs w:val="28"/>
        </w:rPr>
      </w:pPr>
      <w:r>
        <w:rPr>
          <w:rFonts w:ascii="仿宋_GB2312" w:eastAsia="仿宋_GB2312"/>
          <w:color w:val="000000"/>
          <w:sz w:val="28"/>
          <w:szCs w:val="28"/>
        </w:rPr>
        <w:t>8、负责检查各班环境卫生和个人卫生。</w:t>
      </w:r>
    </w:p>
    <w:p>
      <w:pPr>
        <w:ind w:firstLine="560" w:firstLineChars="200"/>
        <w:rPr>
          <w:rFonts w:ascii="仿宋_GB2312" w:eastAsia="仿宋_GB2312"/>
          <w:color w:val="000000"/>
          <w:sz w:val="28"/>
          <w:szCs w:val="28"/>
        </w:rPr>
      </w:pPr>
      <w:r>
        <w:rPr>
          <w:rFonts w:ascii="仿宋_GB2312" w:eastAsia="仿宋_GB2312"/>
          <w:color w:val="000000"/>
          <w:sz w:val="28"/>
          <w:szCs w:val="28"/>
        </w:rPr>
        <w:t>9、组织当天中午、下午学生放学。</w:t>
      </w:r>
    </w:p>
    <w:p>
      <w:pPr>
        <w:ind w:firstLine="560" w:firstLineChars="200"/>
        <w:rPr>
          <w:rFonts w:ascii="仿宋_GB2312" w:eastAsia="仿宋_GB2312"/>
          <w:color w:val="000000"/>
          <w:sz w:val="28"/>
          <w:szCs w:val="28"/>
        </w:rPr>
      </w:pPr>
      <w:r>
        <w:rPr>
          <w:rFonts w:ascii="仿宋_GB2312" w:eastAsia="仿宋_GB2312"/>
          <w:color w:val="000000"/>
          <w:sz w:val="28"/>
          <w:szCs w:val="28"/>
        </w:rPr>
        <w:t>10、值周教师全权负责好学校—切财产安全，因不住校，失职等损失的财产，由值周人员全部按价赔偿。</w:t>
      </w:r>
    </w:p>
    <w:p>
      <w:pPr>
        <w:ind w:firstLine="560" w:firstLineChars="200"/>
        <w:rPr>
          <w:rFonts w:ascii="仿宋_GB2312" w:eastAsia="仿宋_GB2312"/>
          <w:color w:val="000000"/>
          <w:sz w:val="28"/>
          <w:szCs w:val="28"/>
        </w:rPr>
      </w:pPr>
      <w:r>
        <w:rPr>
          <w:rFonts w:ascii="仿宋_GB2312" w:eastAsia="仿宋_GB2312"/>
          <w:color w:val="000000"/>
          <w:sz w:val="28"/>
          <w:szCs w:val="28"/>
        </w:rPr>
        <w:t>1l、掌握各班学习、纪律、课间操等情况，  向领导汇报特殊情况和典型事件。</w:t>
      </w:r>
    </w:p>
    <w:p>
      <w:pPr>
        <w:snapToGrid w:val="0"/>
        <w:spacing w:line="520" w:lineRule="exact"/>
        <w:ind w:firstLine="560" w:firstLineChars="200"/>
        <w:rPr>
          <w:rFonts w:ascii="仿宋_GB2312" w:hAnsi="仿宋" w:eastAsia="仿宋_GB2312"/>
          <w:sz w:val="32"/>
          <w:szCs w:val="32"/>
        </w:rPr>
      </w:pPr>
      <w:r>
        <w:rPr>
          <w:rFonts w:ascii="仿宋_GB2312" w:eastAsia="仿宋_GB2312"/>
          <w:color w:val="000000"/>
          <w:sz w:val="28"/>
          <w:szCs w:val="28"/>
        </w:rPr>
        <w:t>12、交清或接清责任和手续。</w:t>
      </w:r>
    </w:p>
    <w:p>
      <w:pPr>
        <w:pStyle w:val="5"/>
        <w:adjustRightInd w:val="0"/>
        <w:snapToGrid w:val="0"/>
        <w:spacing w:before="93" w:line="600" w:lineRule="exact"/>
        <w:ind w:firstLine="672" w:firstLineChars="210"/>
        <w:outlineLvl w:val="2"/>
        <w:rPr>
          <w:rFonts w:ascii="仿宋" w:hAnsi="仿宋" w:eastAsia="仿宋"/>
          <w:bCs/>
          <w:color w:val="000000"/>
          <w:sz w:val="32"/>
          <w:szCs w:val="32"/>
        </w:rPr>
      </w:pPr>
      <w:bookmarkStart w:id="25" w:name="_Toc15377199"/>
      <w:bookmarkStart w:id="26" w:name="_Toc15378446"/>
      <w:bookmarkStart w:id="27" w:name="_Toc54610947"/>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9年重点工作完成情况。</w:t>
      </w:r>
      <w:bookmarkEnd w:id="25"/>
      <w:bookmarkEnd w:id="26"/>
      <w:bookmarkEnd w:id="27"/>
    </w:p>
    <w:p>
      <w:pPr>
        <w:ind w:firstLine="560" w:firstLineChars="200"/>
        <w:rPr>
          <w:rFonts w:ascii="仿宋_GB2312" w:eastAsia="仿宋_GB2312"/>
          <w:color w:val="000000"/>
          <w:sz w:val="28"/>
          <w:szCs w:val="28"/>
        </w:rPr>
      </w:pPr>
      <w:r>
        <w:rPr>
          <w:rFonts w:hint="eastAsia" w:ascii="仿宋_GB2312" w:eastAsia="仿宋_GB2312"/>
          <w:color w:val="000000"/>
          <w:sz w:val="28"/>
          <w:szCs w:val="28"/>
        </w:rPr>
        <w:t>一、指导思想</w:t>
      </w:r>
    </w:p>
    <w:p>
      <w:pPr>
        <w:ind w:firstLine="560" w:firstLineChars="200"/>
        <w:rPr>
          <w:rFonts w:ascii="仿宋_GB2312" w:eastAsia="仿宋_GB2312"/>
          <w:color w:val="000000"/>
          <w:sz w:val="28"/>
          <w:szCs w:val="28"/>
        </w:rPr>
      </w:pPr>
      <w:r>
        <w:rPr>
          <w:rFonts w:hint="eastAsia" w:ascii="仿宋_GB2312" w:eastAsia="仿宋_GB2312"/>
          <w:color w:val="000000"/>
          <w:sz w:val="28"/>
          <w:szCs w:val="28"/>
        </w:rPr>
        <w:t>以“以人为本，狠抓常规，规范发展，提高质量”为工作思路，牢固树立和全面落实科学发展观，重点抓好教师师德、学校德育、教学质量、三方面工作，使他们相辅相成，努力做到“教师发展，学生发展，学校发展”，真正办一所群众满意的优秀学校。</w:t>
      </w:r>
      <w:r>
        <w:rPr>
          <w:rFonts w:ascii="仿宋_GB2312" w:eastAsia="仿宋_GB2312"/>
          <w:color w:val="000000"/>
          <w:sz w:val="28"/>
          <w:szCs w:val="28"/>
        </w:rPr>
        <w:t> </w:t>
      </w:r>
    </w:p>
    <w:p>
      <w:pPr>
        <w:ind w:firstLine="560" w:firstLineChars="200"/>
        <w:rPr>
          <w:rFonts w:ascii="仿宋_GB2312" w:eastAsia="仿宋_GB2312"/>
          <w:color w:val="000000"/>
          <w:sz w:val="28"/>
          <w:szCs w:val="28"/>
        </w:rPr>
      </w:pPr>
      <w:r>
        <w:rPr>
          <w:rFonts w:hint="eastAsia" w:ascii="仿宋_GB2312" w:eastAsia="仿宋_GB2312"/>
          <w:color w:val="000000"/>
          <w:sz w:val="28"/>
          <w:szCs w:val="28"/>
        </w:rPr>
        <w:t>工作目标</w:t>
      </w:r>
      <w:r>
        <w:rPr>
          <w:rFonts w:ascii="仿宋_GB2312" w:eastAsia="仿宋_GB2312"/>
          <w:color w:val="000000"/>
          <w:sz w:val="28"/>
          <w:szCs w:val="28"/>
        </w:rPr>
        <w:t> </w:t>
      </w:r>
    </w:p>
    <w:p>
      <w:pPr>
        <w:ind w:firstLine="560" w:firstLineChars="200"/>
        <w:rPr>
          <w:rFonts w:ascii="仿宋_GB2312" w:eastAsia="仿宋_GB2312"/>
          <w:color w:val="000000"/>
          <w:sz w:val="28"/>
          <w:szCs w:val="28"/>
        </w:rPr>
      </w:pPr>
      <w:r>
        <w:rPr>
          <w:rFonts w:hint="eastAsia" w:ascii="仿宋_GB2312" w:eastAsia="仿宋_GB2312"/>
          <w:color w:val="000000"/>
          <w:sz w:val="28"/>
          <w:szCs w:val="28"/>
        </w:rPr>
        <w:t>1、实施师表形象工程，继续弘扬勤思、敬业、奉献、争先的精神，努力建设一支师德高尚、</w:t>
      </w:r>
    </w:p>
    <w:p>
      <w:pPr>
        <w:ind w:firstLine="560" w:firstLineChars="200"/>
        <w:rPr>
          <w:rFonts w:ascii="仿宋_GB2312" w:eastAsia="仿宋_GB2312"/>
          <w:color w:val="000000"/>
          <w:sz w:val="28"/>
          <w:szCs w:val="28"/>
        </w:rPr>
      </w:pPr>
      <w:r>
        <w:rPr>
          <w:rFonts w:hint="eastAsia" w:ascii="仿宋_GB2312" w:eastAsia="仿宋_GB2312"/>
          <w:color w:val="000000"/>
          <w:sz w:val="28"/>
          <w:szCs w:val="28"/>
        </w:rPr>
        <w:t>业务精良的教师队伍。学年末拟评选2-3名师德标兵。</w:t>
      </w:r>
    </w:p>
    <w:p>
      <w:pPr>
        <w:ind w:firstLine="560" w:firstLineChars="200"/>
        <w:rPr>
          <w:rFonts w:ascii="仿宋_GB2312" w:eastAsia="仿宋_GB2312"/>
          <w:color w:val="000000"/>
          <w:sz w:val="28"/>
          <w:szCs w:val="28"/>
        </w:rPr>
      </w:pPr>
      <w:r>
        <w:rPr>
          <w:rFonts w:hint="eastAsia" w:ascii="仿宋_GB2312" w:eastAsia="仿宋_GB2312"/>
          <w:color w:val="000000"/>
          <w:sz w:val="28"/>
          <w:szCs w:val="28"/>
        </w:rPr>
        <w:t>2、加强校本教研，发挥中心教研组的指导和骨干教师的引领作用，促进教师业务水平的再提高。</w:t>
      </w:r>
    </w:p>
    <w:p>
      <w:pPr>
        <w:ind w:firstLine="560" w:firstLineChars="200"/>
        <w:rPr>
          <w:rFonts w:ascii="仿宋_GB2312" w:eastAsia="仿宋_GB2312"/>
          <w:color w:val="000000"/>
          <w:sz w:val="28"/>
          <w:szCs w:val="28"/>
        </w:rPr>
      </w:pPr>
      <w:r>
        <w:rPr>
          <w:rFonts w:hint="eastAsia" w:ascii="仿宋_GB2312" w:eastAsia="仿宋_GB2312"/>
          <w:color w:val="000000"/>
          <w:sz w:val="28"/>
          <w:szCs w:val="28"/>
        </w:rPr>
        <w:t>3、开展德育教育活动，陶冶学生情操，激发学习兴趣。结合国庆节开展红歌会活动让每一位学生都能唱红歌，都会唱红歌，掀起爱国爱党的新高潮。</w:t>
      </w:r>
      <w:r>
        <w:rPr>
          <w:rFonts w:ascii="仿宋_GB2312" w:eastAsia="仿宋_GB2312"/>
          <w:color w:val="000000"/>
          <w:sz w:val="28"/>
          <w:szCs w:val="28"/>
        </w:rPr>
        <w:t> </w:t>
      </w:r>
    </w:p>
    <w:p>
      <w:pPr>
        <w:ind w:firstLine="560" w:firstLineChars="200"/>
        <w:rPr>
          <w:rFonts w:ascii="仿宋_GB2312" w:eastAsia="仿宋_GB2312"/>
          <w:color w:val="000000"/>
          <w:sz w:val="28"/>
          <w:szCs w:val="28"/>
        </w:rPr>
      </w:pPr>
      <w:r>
        <w:rPr>
          <w:rFonts w:hint="eastAsia" w:ascii="仿宋_GB2312" w:eastAsia="仿宋_GB2312"/>
          <w:color w:val="000000"/>
          <w:sz w:val="28"/>
          <w:szCs w:val="28"/>
        </w:rPr>
        <w:t>4、把安全工作放在首位，牢固树立“安全无小事，责任重于泰山”的思想，加强师生的安全</w:t>
      </w:r>
    </w:p>
    <w:p>
      <w:pPr>
        <w:ind w:firstLine="560" w:firstLineChars="200"/>
        <w:rPr>
          <w:rFonts w:ascii="仿宋_GB2312" w:eastAsia="仿宋_GB2312"/>
          <w:color w:val="000000"/>
          <w:sz w:val="28"/>
          <w:szCs w:val="28"/>
        </w:rPr>
      </w:pPr>
      <w:r>
        <w:rPr>
          <w:rFonts w:hint="eastAsia" w:ascii="仿宋_GB2312" w:eastAsia="仿宋_GB2312"/>
          <w:color w:val="000000"/>
          <w:sz w:val="28"/>
          <w:szCs w:val="28"/>
        </w:rPr>
        <w:t>知识教育。杜绝事故隐患，确保师生安全。本学期拟搞应急演练和安全知识讲座各一次。</w:t>
      </w:r>
    </w:p>
    <w:p>
      <w:pPr>
        <w:ind w:firstLine="560" w:firstLineChars="200"/>
        <w:rPr>
          <w:rFonts w:ascii="仿宋_GB2312" w:eastAsia="仿宋_GB2312"/>
          <w:color w:val="000000"/>
          <w:sz w:val="28"/>
          <w:szCs w:val="28"/>
        </w:rPr>
      </w:pPr>
      <w:r>
        <w:rPr>
          <w:rFonts w:hint="eastAsia" w:ascii="仿宋_GB2312" w:eastAsia="仿宋_GB2312"/>
          <w:color w:val="000000"/>
          <w:sz w:val="28"/>
          <w:szCs w:val="28"/>
        </w:rPr>
        <w:t>5、巩固幼教成果，使幼教工作上档次。主要工作及措施</w:t>
      </w:r>
      <w:r>
        <w:rPr>
          <w:rFonts w:ascii="仿宋_GB2312" w:eastAsia="仿宋_GB2312"/>
          <w:color w:val="000000"/>
          <w:sz w:val="28"/>
          <w:szCs w:val="28"/>
        </w:rPr>
        <w:t> </w:t>
      </w:r>
    </w:p>
    <w:p>
      <w:pPr>
        <w:ind w:firstLine="560" w:firstLineChars="200"/>
        <w:rPr>
          <w:rFonts w:ascii="仿宋_GB2312" w:eastAsia="仿宋_GB2312"/>
          <w:color w:val="000000"/>
          <w:sz w:val="28"/>
          <w:szCs w:val="28"/>
        </w:rPr>
      </w:pPr>
      <w:r>
        <w:rPr>
          <w:rFonts w:hint="eastAsia" w:ascii="仿宋_GB2312" w:eastAsia="仿宋_GB2312"/>
          <w:color w:val="000000"/>
          <w:sz w:val="28"/>
          <w:szCs w:val="28"/>
        </w:rPr>
        <w:t>一、学校管理工作：</w:t>
      </w:r>
    </w:p>
    <w:p>
      <w:pPr>
        <w:ind w:firstLine="560" w:firstLineChars="200"/>
        <w:rPr>
          <w:rFonts w:ascii="仿宋_GB2312" w:eastAsia="仿宋_GB2312"/>
          <w:color w:val="000000"/>
          <w:sz w:val="28"/>
          <w:szCs w:val="28"/>
        </w:rPr>
      </w:pPr>
      <w:r>
        <w:rPr>
          <w:rFonts w:hint="eastAsia" w:ascii="仿宋_GB2312" w:eastAsia="仿宋_GB2312"/>
          <w:color w:val="000000"/>
          <w:sz w:val="28"/>
          <w:szCs w:val="28"/>
        </w:rPr>
        <w:t>1.宗旨：加强师德建设、以人为本、依法治校、师生共进、和谐发展</w:t>
      </w:r>
    </w:p>
    <w:p>
      <w:pPr>
        <w:ind w:firstLine="560" w:firstLineChars="200"/>
        <w:rPr>
          <w:rFonts w:ascii="仿宋_GB2312" w:eastAsia="仿宋_GB2312"/>
          <w:color w:val="000000"/>
          <w:sz w:val="28"/>
          <w:szCs w:val="28"/>
        </w:rPr>
      </w:pPr>
      <w:r>
        <w:rPr>
          <w:rFonts w:hint="eastAsia" w:ascii="仿宋_GB2312" w:eastAsia="仿宋_GB2312"/>
          <w:color w:val="000000"/>
          <w:sz w:val="28"/>
          <w:szCs w:val="28"/>
        </w:rPr>
        <w:t>2.思路：以人为本、全员参与、集思广益、众志成城</w:t>
      </w:r>
    </w:p>
    <w:p>
      <w:pPr>
        <w:ind w:firstLine="560" w:firstLineChars="200"/>
        <w:rPr>
          <w:rFonts w:ascii="仿宋_GB2312" w:eastAsia="仿宋_GB2312"/>
          <w:color w:val="000000"/>
          <w:sz w:val="28"/>
          <w:szCs w:val="28"/>
        </w:rPr>
      </w:pPr>
      <w:r>
        <w:rPr>
          <w:rFonts w:hint="eastAsia" w:ascii="仿宋_GB2312" w:eastAsia="仿宋_GB2312"/>
          <w:color w:val="000000"/>
          <w:sz w:val="28"/>
          <w:szCs w:val="28"/>
        </w:rPr>
        <w:t>3.以教育局考核评估为依据完善学校的考核考评方案，在教师民主参与的基础不断激发教师</w:t>
      </w:r>
    </w:p>
    <w:p>
      <w:pPr>
        <w:ind w:firstLine="560" w:firstLineChars="200"/>
        <w:rPr>
          <w:rFonts w:ascii="仿宋_GB2312" w:eastAsia="仿宋_GB2312"/>
          <w:color w:val="000000"/>
          <w:sz w:val="28"/>
          <w:szCs w:val="28"/>
        </w:rPr>
      </w:pPr>
      <w:r>
        <w:rPr>
          <w:rFonts w:hint="eastAsia" w:ascii="仿宋_GB2312" w:eastAsia="仿宋_GB2312"/>
          <w:color w:val="000000"/>
          <w:sz w:val="28"/>
          <w:szCs w:val="28"/>
        </w:rPr>
        <w:t>的工作热情，激发全体教职工的使命感、责任感、危机感。</w:t>
      </w:r>
    </w:p>
    <w:p>
      <w:pPr>
        <w:ind w:firstLine="560" w:firstLineChars="200"/>
        <w:rPr>
          <w:rFonts w:ascii="仿宋_GB2312" w:eastAsia="仿宋_GB2312"/>
          <w:color w:val="000000"/>
          <w:sz w:val="28"/>
          <w:szCs w:val="28"/>
        </w:rPr>
      </w:pPr>
      <w:r>
        <w:rPr>
          <w:rFonts w:hint="eastAsia" w:ascii="仿宋_GB2312" w:eastAsia="仿宋_GB2312"/>
          <w:color w:val="000000"/>
          <w:sz w:val="28"/>
          <w:szCs w:val="28"/>
        </w:rPr>
        <w:t>4.学校领导班子从思想上高度重视学校管理达标工作，以精细化、制度化为切入点，不断加</w:t>
      </w:r>
    </w:p>
    <w:p>
      <w:pPr>
        <w:ind w:firstLine="560" w:firstLineChars="200"/>
        <w:rPr>
          <w:rFonts w:ascii="仿宋_GB2312" w:eastAsia="仿宋_GB2312"/>
          <w:color w:val="000000"/>
          <w:sz w:val="28"/>
          <w:szCs w:val="28"/>
        </w:rPr>
      </w:pPr>
      <w:r>
        <w:rPr>
          <w:rFonts w:hint="eastAsia" w:ascii="仿宋_GB2312" w:eastAsia="仿宋_GB2312"/>
          <w:color w:val="000000"/>
          <w:sz w:val="28"/>
          <w:szCs w:val="28"/>
        </w:rPr>
        <w:t>强日常管理，使各种管理行为规范。</w:t>
      </w:r>
    </w:p>
    <w:p>
      <w:pPr>
        <w:ind w:firstLine="560" w:firstLineChars="200"/>
        <w:rPr>
          <w:rFonts w:ascii="仿宋_GB2312" w:eastAsia="仿宋_GB2312"/>
          <w:color w:val="000000"/>
          <w:sz w:val="28"/>
          <w:szCs w:val="28"/>
        </w:rPr>
      </w:pPr>
      <w:r>
        <w:rPr>
          <w:rFonts w:hint="eastAsia" w:ascii="仿宋_GB2312" w:eastAsia="仿宋_GB2312"/>
          <w:color w:val="000000"/>
          <w:sz w:val="28"/>
          <w:szCs w:val="28"/>
        </w:rPr>
        <w:t>二、学校教师队伍建设：</w:t>
      </w:r>
    </w:p>
    <w:p>
      <w:pPr>
        <w:ind w:firstLine="560" w:firstLineChars="200"/>
        <w:rPr>
          <w:rFonts w:ascii="仿宋_GB2312" w:eastAsia="仿宋_GB2312"/>
          <w:color w:val="000000"/>
          <w:sz w:val="28"/>
          <w:szCs w:val="28"/>
        </w:rPr>
      </w:pPr>
      <w:r>
        <w:rPr>
          <w:rFonts w:hint="eastAsia" w:ascii="仿宋_GB2312" w:eastAsia="仿宋_GB2312"/>
          <w:color w:val="000000"/>
          <w:sz w:val="28"/>
          <w:szCs w:val="28"/>
        </w:rPr>
        <w:t>1、干部队伍建设</w:t>
      </w:r>
    </w:p>
    <w:p>
      <w:pPr>
        <w:ind w:firstLine="560" w:firstLineChars="200"/>
        <w:rPr>
          <w:rFonts w:ascii="仿宋_GB2312" w:eastAsia="仿宋_GB2312"/>
          <w:color w:val="000000"/>
          <w:sz w:val="28"/>
          <w:szCs w:val="28"/>
        </w:rPr>
      </w:pPr>
      <w:r>
        <w:rPr>
          <w:rFonts w:hint="eastAsia" w:ascii="仿宋_GB2312" w:eastAsia="仿宋_GB2312"/>
          <w:color w:val="000000"/>
          <w:sz w:val="28"/>
          <w:szCs w:val="28"/>
        </w:rPr>
        <w:t>加强班子建设。领导班子成员要严以律己，既要扎实工作，又要开拓创新。更要讲究实效。既要关心教职工生活，又要身先士卒，更要讲原则。要成为教师的合作者服务者，使领导与教师之间做到思想上“合心”，工作上“合力”，行动上“合拍”</w:t>
      </w:r>
    </w:p>
    <w:p>
      <w:pPr>
        <w:ind w:firstLine="560" w:firstLineChars="200"/>
        <w:rPr>
          <w:rFonts w:ascii="仿宋_GB2312" w:eastAsia="仿宋_GB2312"/>
          <w:color w:val="000000"/>
          <w:sz w:val="28"/>
          <w:szCs w:val="28"/>
        </w:rPr>
      </w:pPr>
      <w:r>
        <w:rPr>
          <w:rFonts w:hint="eastAsia" w:ascii="仿宋_GB2312" w:eastAsia="仿宋_GB2312"/>
          <w:color w:val="000000"/>
          <w:sz w:val="28"/>
          <w:szCs w:val="28"/>
        </w:rPr>
        <w:t>2、教师队伍建设</w:t>
      </w:r>
    </w:p>
    <w:p>
      <w:pPr>
        <w:ind w:firstLine="560" w:firstLineChars="200"/>
        <w:rPr>
          <w:rFonts w:ascii="仿宋_GB2312" w:eastAsia="仿宋_GB2312"/>
          <w:color w:val="000000"/>
          <w:sz w:val="28"/>
          <w:szCs w:val="28"/>
        </w:rPr>
      </w:pPr>
      <w:r>
        <w:rPr>
          <w:rFonts w:hint="eastAsia" w:ascii="仿宋_GB2312" w:eastAsia="仿宋_GB2312"/>
          <w:color w:val="000000"/>
          <w:sz w:val="28"/>
          <w:szCs w:val="28"/>
        </w:rPr>
        <w:t>一是加强教师队伍的政治管理、师德建设，开展师德系列活动。学高为师，德高为范。通过</w:t>
      </w:r>
    </w:p>
    <w:p>
      <w:pPr>
        <w:ind w:firstLine="560" w:firstLineChars="200"/>
        <w:rPr>
          <w:rFonts w:ascii="仿宋_GB2312" w:eastAsia="仿宋_GB2312"/>
          <w:color w:val="000000"/>
          <w:sz w:val="28"/>
          <w:szCs w:val="28"/>
        </w:rPr>
      </w:pPr>
      <w:r>
        <w:rPr>
          <w:rFonts w:hint="eastAsia" w:ascii="仿宋_GB2312" w:eastAsia="仿宋_GB2312"/>
          <w:color w:val="000000"/>
          <w:sz w:val="28"/>
          <w:szCs w:val="28"/>
        </w:rPr>
        <w:t>政治学习等形式加强师德学习，使教师团队有一种艰苦奋斗的创业精神、团结拼搏的协作精</w:t>
      </w:r>
    </w:p>
    <w:p>
      <w:pPr>
        <w:ind w:firstLine="560" w:firstLineChars="200"/>
        <w:rPr>
          <w:rFonts w:ascii="仿宋_GB2312" w:eastAsia="仿宋_GB2312"/>
          <w:color w:val="000000"/>
          <w:sz w:val="28"/>
          <w:szCs w:val="28"/>
        </w:rPr>
      </w:pPr>
      <w:r>
        <w:rPr>
          <w:rFonts w:hint="eastAsia" w:ascii="仿宋_GB2312" w:eastAsia="仿宋_GB2312"/>
          <w:color w:val="000000"/>
          <w:sz w:val="28"/>
          <w:szCs w:val="28"/>
        </w:rPr>
        <w:t>神、严谨求实的科研精神、不断进步的进取精神、不求索取的奉献精神。</w:t>
      </w:r>
    </w:p>
    <w:p>
      <w:pPr>
        <w:ind w:firstLine="560" w:firstLineChars="200"/>
        <w:rPr>
          <w:rFonts w:ascii="仿宋_GB2312" w:eastAsia="仿宋_GB2312"/>
          <w:color w:val="000000"/>
          <w:sz w:val="28"/>
          <w:szCs w:val="28"/>
        </w:rPr>
      </w:pPr>
      <w:r>
        <w:rPr>
          <w:rFonts w:hint="eastAsia" w:ascii="仿宋_GB2312" w:eastAsia="仿宋_GB2312"/>
          <w:color w:val="000000"/>
          <w:sz w:val="28"/>
          <w:szCs w:val="28"/>
        </w:rPr>
        <w:t>二是加强业务理论学习，增强读书学习的自觉性和主动性，把提高教师素质作为校本研训的重要内容。号召每位教师读一本好书，写好心得体会。通过网络等多种途径提高自身的文化素质。</w:t>
      </w:r>
    </w:p>
    <w:p>
      <w:pPr>
        <w:ind w:firstLine="560" w:firstLineChars="200"/>
        <w:rPr>
          <w:rFonts w:ascii="仿宋_GB2312" w:eastAsia="仿宋_GB2312"/>
          <w:color w:val="000000"/>
          <w:sz w:val="28"/>
          <w:szCs w:val="28"/>
        </w:rPr>
      </w:pPr>
      <w:r>
        <w:rPr>
          <w:rFonts w:hint="eastAsia" w:ascii="仿宋_GB2312" w:eastAsia="仿宋_GB2312"/>
          <w:color w:val="000000"/>
          <w:sz w:val="28"/>
          <w:szCs w:val="28"/>
        </w:rPr>
        <w:t>三是加强教育理论的学习，因为没有教育理论作基石，教师的专业发展是走不远；如果不学习就缺乏应有的教育理论素养，教师就没有审视教育现象所需要的分析工具，教师就不能从教育现象中捕捉到有价值的东西，只能从教育现象到教育现象，而不能站在理论的高度去分析、审视教育现象。要求每位教师结合自己制定的学习计划写好学习笔记，学校将定期检查。</w:t>
      </w:r>
    </w:p>
    <w:p>
      <w:pPr>
        <w:snapToGrid w:val="0"/>
        <w:spacing w:line="520" w:lineRule="exact"/>
        <w:ind w:firstLine="560" w:firstLineChars="200"/>
        <w:rPr>
          <w:rFonts w:ascii="黑体" w:hAnsi="黑体" w:eastAsia="黑体"/>
          <w:sz w:val="32"/>
          <w:szCs w:val="32"/>
        </w:rPr>
      </w:pPr>
      <w:r>
        <w:rPr>
          <w:rFonts w:hint="eastAsia" w:ascii="仿宋_GB2312" w:eastAsia="仿宋_GB2312"/>
          <w:color w:val="000000"/>
          <w:sz w:val="28"/>
          <w:szCs w:val="28"/>
        </w:rPr>
        <w:t>3.加强班主任培训工作。学校最少每月进行一次培训活动把培训工作落到实处。</w:t>
      </w:r>
    </w:p>
    <w:p>
      <w:pPr>
        <w:pStyle w:val="3"/>
        <w:rPr>
          <w:rStyle w:val="25"/>
          <w:b w:val="0"/>
          <w:bCs w:val="0"/>
        </w:rPr>
      </w:pPr>
      <w:bookmarkStart w:id="28" w:name="_Toc54610948"/>
      <w:r>
        <w:rPr>
          <w:rFonts w:hint="eastAsia" w:ascii="黑体" w:eastAsia="黑体"/>
          <w:b w:val="0"/>
          <w:color w:val="000000"/>
        </w:rPr>
        <w:t>二、</w:t>
      </w:r>
      <w:r>
        <w:rPr>
          <w:rFonts w:hint="eastAsia" w:ascii="黑体" w:hAnsi="黑体" w:eastAsia="黑体"/>
          <w:b w:val="0"/>
          <w:color w:val="000000"/>
        </w:rPr>
        <w:t>机</w:t>
      </w:r>
      <w:r>
        <w:rPr>
          <w:rStyle w:val="25"/>
          <w:rFonts w:hint="eastAsia" w:ascii="黑体" w:hAnsi="黑体" w:eastAsia="黑体"/>
          <w:b w:val="0"/>
          <w:bCs w:val="0"/>
        </w:rPr>
        <w:t>构设置</w:t>
      </w:r>
      <w:bookmarkEnd w:id="23"/>
      <w:bookmarkEnd w:id="24"/>
      <w:bookmarkEnd w:id="28"/>
    </w:p>
    <w:p>
      <w:pPr>
        <w:ind w:firstLine="800" w:firstLineChars="250"/>
        <w:rPr>
          <w:rFonts w:ascii="仿宋" w:hAnsi="仿宋" w:eastAsia="仿宋"/>
          <w:sz w:val="32"/>
          <w:szCs w:val="32"/>
        </w:rPr>
      </w:pPr>
      <w:r>
        <w:rPr>
          <w:rFonts w:hint="eastAsia" w:ascii="仿宋" w:hAnsi="仿宋" w:eastAsia="仿宋"/>
          <w:sz w:val="32"/>
          <w:szCs w:val="32"/>
        </w:rPr>
        <w:t>四川省阿坝州壤塘县</w:t>
      </w:r>
      <w:r>
        <w:rPr>
          <w:rFonts w:hint="eastAsia" w:ascii="仿宋" w:hAnsi="仿宋" w:eastAsia="仿宋"/>
          <w:sz w:val="32"/>
          <w:szCs w:val="32"/>
          <w:lang w:eastAsia="zh-CN"/>
        </w:rPr>
        <w:t>伊里中小学校</w:t>
      </w:r>
      <w:r>
        <w:rPr>
          <w:rFonts w:hint="eastAsia" w:ascii="仿宋" w:hAnsi="仿宋" w:eastAsia="仿宋"/>
          <w:sz w:val="32"/>
          <w:szCs w:val="32"/>
        </w:rPr>
        <w:t>下属二级单位0个，其中行政单位0个，参照公务员法管理的事业单位</w:t>
      </w:r>
      <w:r>
        <w:rPr>
          <w:rFonts w:hint="eastAsia" w:ascii="仿宋" w:hAnsi="仿宋" w:eastAsia="仿宋"/>
          <w:bCs/>
          <w:sz w:val="32"/>
          <w:szCs w:val="32"/>
        </w:rPr>
        <w:t>0</w:t>
      </w:r>
      <w:r>
        <w:rPr>
          <w:rFonts w:hint="eastAsia" w:ascii="仿宋" w:hAnsi="仿宋" w:eastAsia="仿宋"/>
          <w:sz w:val="32"/>
          <w:szCs w:val="32"/>
        </w:rPr>
        <w:t>个，其他事业单位1个。</w:t>
      </w:r>
    </w:p>
    <w:p>
      <w:pPr>
        <w:pStyle w:val="5"/>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纳入四川省阿坝州壤塘县</w:t>
      </w:r>
      <w:r>
        <w:rPr>
          <w:rFonts w:hint="eastAsia" w:ascii="仿宋" w:hAnsi="仿宋" w:eastAsia="仿宋"/>
          <w:color w:val="000000"/>
          <w:sz w:val="32"/>
          <w:szCs w:val="32"/>
          <w:lang w:eastAsia="zh-CN"/>
        </w:rPr>
        <w:t>伊里中小学校</w:t>
      </w:r>
      <w:r>
        <w:rPr>
          <w:rFonts w:hint="eastAsia" w:ascii="仿宋" w:hAnsi="仿宋" w:eastAsia="仿宋"/>
          <w:color w:val="000000"/>
          <w:sz w:val="32"/>
          <w:szCs w:val="32"/>
        </w:rPr>
        <w:t>2019年度部门决算编制范围的二级预算单位包括：无</w:t>
      </w:r>
    </w:p>
    <w:p>
      <w:pPr>
        <w:pStyle w:val="2"/>
        <w:ind w:right="440"/>
        <w:jc w:val="right"/>
      </w:pPr>
      <w:bookmarkStart w:id="29" w:name="_Toc54610949"/>
      <w:bookmarkStart w:id="30" w:name="_Toc15396602"/>
      <w:bookmarkStart w:id="31" w:name="_Toc15377204"/>
      <w:r>
        <w:rPr>
          <w:rFonts w:hint="eastAsia" w:ascii="黑体" w:hAnsi="黑体" w:eastAsia="黑体"/>
          <w:b w:val="0"/>
          <w:color w:val="000000"/>
        </w:rPr>
        <w:t>第二部分</w:t>
      </w:r>
      <w:r>
        <w:rPr>
          <w:rFonts w:hint="eastAsia" w:ascii="黑体" w:hAnsi="黑体" w:eastAsia="黑体"/>
          <w:color w:val="000000"/>
        </w:rPr>
        <w:t xml:space="preserve"> </w:t>
      </w:r>
      <w:r>
        <w:rPr>
          <w:rStyle w:val="24"/>
          <w:rFonts w:hint="eastAsia" w:ascii="黑体" w:hAnsi="黑体" w:eastAsia="黑体"/>
          <w:b w:val="0"/>
          <w:bCs w:val="0"/>
        </w:rPr>
        <w:t>2019年度部门决算情况说明</w:t>
      </w:r>
      <w:bookmarkEnd w:id="29"/>
      <w:bookmarkEnd w:id="30"/>
      <w:bookmarkEnd w:id="31"/>
    </w:p>
    <w:p>
      <w:pPr>
        <w:pStyle w:val="23"/>
        <w:numPr>
          <w:ilvl w:val="0"/>
          <w:numId w:val="1"/>
        </w:numPr>
        <w:spacing w:line="600" w:lineRule="exact"/>
        <w:ind w:firstLineChars="0"/>
        <w:outlineLvl w:val="1"/>
        <w:rPr>
          <w:rStyle w:val="25"/>
          <w:rFonts w:ascii="黑体" w:hAnsi="黑体" w:eastAsia="黑体"/>
          <w:b w:val="0"/>
        </w:rPr>
      </w:pPr>
      <w:bookmarkStart w:id="32" w:name="_Toc15377205"/>
      <w:bookmarkStart w:id="33" w:name="_Toc15396603"/>
      <w:bookmarkStart w:id="34" w:name="_Toc54610950"/>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32"/>
      <w:bookmarkEnd w:id="33"/>
      <w:bookmarkEnd w:id="34"/>
    </w:p>
    <w:p>
      <w:pPr>
        <w:ind w:firstLine="709"/>
        <w:rPr>
          <w:rFonts w:hint="eastAsia" w:ascii="仿宋" w:hAnsi="仿宋" w:eastAsia="仿宋"/>
          <w:color w:val="000000"/>
          <w:sz w:val="32"/>
          <w:szCs w:val="32"/>
          <w:lang w:eastAsia="zh-CN"/>
        </w:rPr>
      </w:pPr>
      <w:r>
        <w:rPr>
          <w:rFonts w:hint="eastAsia" w:ascii="仿宋" w:hAnsi="仿宋" w:eastAsia="仿宋"/>
          <w:color w:val="000000"/>
          <w:sz w:val="32"/>
          <w:szCs w:val="32"/>
        </w:rPr>
        <w:t>2019年度收入941.50万元、与2018年相比，收入增加</w:t>
      </w:r>
      <w:r>
        <w:rPr>
          <w:rFonts w:hint="eastAsia" w:ascii="仿宋" w:hAnsi="仿宋" w:eastAsia="仿宋"/>
          <w:color w:val="000000"/>
          <w:sz w:val="32"/>
          <w:szCs w:val="32"/>
          <w:lang w:val="en-US" w:eastAsia="zh-CN"/>
        </w:rPr>
        <w:t>45.09</w:t>
      </w:r>
      <w:r>
        <w:rPr>
          <w:rFonts w:hint="eastAsia" w:ascii="仿宋" w:hAnsi="仿宋" w:eastAsia="仿宋"/>
          <w:color w:val="000000"/>
          <w:sz w:val="32"/>
          <w:szCs w:val="32"/>
        </w:rPr>
        <w:t>万元，</w:t>
      </w:r>
      <w:r>
        <w:rPr>
          <w:rFonts w:hint="eastAsia" w:ascii="仿宋_GB2312" w:eastAsia="仿宋_GB2312"/>
          <w:color w:val="000000"/>
          <w:sz w:val="28"/>
          <w:szCs w:val="28"/>
        </w:rPr>
        <w:t>增长了</w:t>
      </w:r>
      <w:r>
        <w:rPr>
          <w:rFonts w:hint="eastAsia" w:ascii="仿宋_GB2312" w:eastAsia="仿宋_GB2312"/>
          <w:color w:val="000000"/>
          <w:sz w:val="28"/>
          <w:szCs w:val="28"/>
          <w:lang w:val="en-US" w:eastAsia="zh-CN"/>
        </w:rPr>
        <w:t>5.03%</w:t>
      </w:r>
      <w:r>
        <w:rPr>
          <w:rFonts w:hint="eastAsia" w:ascii="仿宋" w:hAnsi="仿宋" w:eastAsia="仿宋"/>
          <w:color w:val="000000"/>
          <w:sz w:val="32"/>
          <w:szCs w:val="32"/>
        </w:rPr>
        <w:t>。2019年度支出总计1,078.50万元、与2018年相比，支出</w:t>
      </w:r>
      <w:r>
        <w:rPr>
          <w:rFonts w:hint="eastAsia" w:ascii="仿宋" w:hAnsi="仿宋" w:eastAsia="仿宋"/>
          <w:color w:val="000000"/>
          <w:sz w:val="32"/>
          <w:szCs w:val="32"/>
          <w:lang w:eastAsia="zh-CN"/>
        </w:rPr>
        <w:t>减少</w:t>
      </w:r>
      <w:r>
        <w:rPr>
          <w:rFonts w:hint="eastAsia" w:ascii="仿宋" w:hAnsi="仿宋" w:eastAsia="仿宋"/>
          <w:color w:val="000000"/>
          <w:sz w:val="32"/>
          <w:szCs w:val="32"/>
          <w:lang w:val="en-US" w:eastAsia="zh-CN"/>
        </w:rPr>
        <w:t>16.71</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减少</w:t>
      </w:r>
      <w:r>
        <w:rPr>
          <w:rFonts w:hint="eastAsia" w:ascii="仿宋" w:hAnsi="仿宋" w:eastAsia="仿宋"/>
          <w:color w:val="000000"/>
          <w:sz w:val="32"/>
          <w:szCs w:val="32"/>
        </w:rPr>
        <w:t>了</w:t>
      </w:r>
      <w:r>
        <w:rPr>
          <w:rFonts w:hint="eastAsia" w:ascii="仿宋" w:hAnsi="仿宋" w:eastAsia="仿宋"/>
          <w:color w:val="000000"/>
          <w:sz w:val="32"/>
          <w:szCs w:val="32"/>
          <w:lang w:val="en-US" w:eastAsia="zh-CN"/>
        </w:rPr>
        <w:t>1.53</w:t>
      </w:r>
      <w:r>
        <w:rPr>
          <w:rFonts w:hint="eastAsia" w:ascii="仿宋" w:hAnsi="仿宋" w:eastAsia="仿宋"/>
          <w:color w:val="000000"/>
          <w:sz w:val="32"/>
          <w:szCs w:val="32"/>
        </w:rPr>
        <w:t>%。主要变动原因是人员工资</w:t>
      </w:r>
      <w:r>
        <w:rPr>
          <w:rFonts w:hint="eastAsia" w:ascii="仿宋" w:hAnsi="仿宋" w:eastAsia="仿宋"/>
          <w:color w:val="000000"/>
          <w:sz w:val="32"/>
          <w:szCs w:val="32"/>
          <w:lang w:eastAsia="zh-CN"/>
        </w:rPr>
        <w:t>减少</w:t>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w:t>
      </w:r>
      <w:r>
        <w:rPr>
          <w:rFonts w:ascii="仿宋" w:hAnsi="仿宋" w:eastAsia="仿宋"/>
          <w:color w:val="000000" w:themeColor="text1"/>
          <w:sz w:val="32"/>
          <w:szCs w:val="32"/>
        </w:rPr>
        <w:t>1</w:t>
      </w:r>
      <w:r>
        <w:rPr>
          <w:rFonts w:hint="eastAsia" w:ascii="仿宋" w:hAnsi="仿宋" w:eastAsia="仿宋"/>
          <w:color w:val="000000" w:themeColor="text1"/>
          <w:sz w:val="32"/>
          <w:szCs w:val="32"/>
        </w:rPr>
        <w:t>：收、支决算总计变动情况图）（柱状图）</w:t>
      </w: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420" w:firstLineChars="200"/>
        <w:rPr>
          <w:rFonts w:ascii="仿宋" w:hAnsi="仿宋" w:eastAsia="仿宋"/>
          <w:color w:val="000000" w:themeColor="text1"/>
          <w:sz w:val="32"/>
          <w:szCs w:val="32"/>
        </w:rPr>
      </w:pPr>
      <w:r>
        <w:drawing>
          <wp:anchor distT="0" distB="0" distL="114300" distR="114300" simplePos="0" relativeHeight="251671552" behindDoc="0" locked="0" layoutInCell="1" allowOverlap="1">
            <wp:simplePos x="0" y="0"/>
            <wp:positionH relativeFrom="column">
              <wp:posOffset>271780</wp:posOffset>
            </wp:positionH>
            <wp:positionV relativeFrom="paragraph">
              <wp:posOffset>-1938655</wp:posOffset>
            </wp:positionV>
            <wp:extent cx="4867275" cy="2228850"/>
            <wp:effectExtent l="5080" t="4445" r="4445" b="14605"/>
            <wp:wrapSquare wrapText="bothSides"/>
            <wp:docPr id="3334"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pStyle w:val="23"/>
        <w:numPr>
          <w:ilvl w:val="0"/>
          <w:numId w:val="1"/>
        </w:numPr>
        <w:spacing w:line="600" w:lineRule="exact"/>
        <w:ind w:firstLineChars="0"/>
        <w:outlineLvl w:val="1"/>
        <w:rPr>
          <w:rStyle w:val="25"/>
          <w:rFonts w:ascii="黑体" w:hAnsi="黑体" w:eastAsia="黑体"/>
          <w:b w:val="0"/>
        </w:rPr>
      </w:pPr>
      <w:bookmarkStart w:id="35" w:name="_Toc15377206"/>
      <w:bookmarkStart w:id="36" w:name="_Toc15396604"/>
      <w:bookmarkStart w:id="37" w:name="_Toc54610951"/>
      <w:r>
        <w:rPr>
          <w:rFonts w:hint="eastAsia" w:ascii="黑体" w:hAnsi="黑体" w:eastAsia="黑体"/>
          <w:color w:val="000000"/>
          <w:sz w:val="32"/>
          <w:szCs w:val="32"/>
        </w:rPr>
        <w:t>收</w:t>
      </w:r>
      <w:r>
        <w:rPr>
          <w:rStyle w:val="25"/>
          <w:rFonts w:hint="eastAsia" w:ascii="黑体" w:hAnsi="黑体" w:eastAsia="黑体"/>
          <w:b w:val="0"/>
        </w:rPr>
        <w:t>入决算情况说明</w:t>
      </w:r>
      <w:bookmarkEnd w:id="35"/>
      <w:bookmarkEnd w:id="36"/>
      <w:bookmarkEnd w:id="37"/>
    </w:p>
    <w:p>
      <w:pPr>
        <w:spacing w:line="600" w:lineRule="exact"/>
        <w:ind w:firstLine="640" w:firstLineChars="200"/>
        <w:outlineLvl w:val="1"/>
        <w:rPr>
          <w:rFonts w:ascii="仿宋" w:hAnsi="仿宋" w:eastAsia="仿宋"/>
          <w:color w:val="000000"/>
          <w:sz w:val="32"/>
          <w:szCs w:val="32"/>
        </w:rPr>
      </w:pPr>
      <w:bookmarkStart w:id="38" w:name="_Toc54610952"/>
      <w:r>
        <w:rPr>
          <w:rFonts w:ascii="仿宋" w:hAnsi="仿宋" w:eastAsia="仿宋"/>
          <w:color w:val="000000"/>
          <w:sz w:val="32"/>
          <w:szCs w:val="32"/>
        </w:rPr>
        <w:t>201</w:t>
      </w:r>
      <w:r>
        <w:rPr>
          <w:rFonts w:hint="eastAsia" w:ascii="仿宋" w:hAnsi="仿宋" w:eastAsia="仿宋"/>
          <w:color w:val="000000"/>
          <w:sz w:val="32"/>
          <w:szCs w:val="32"/>
        </w:rPr>
        <w:t>9年本年收入合计941.50万元，其中：一般公共预算财政拨款收入941.50万元，占100</w:t>
      </w:r>
      <w:r>
        <w:rPr>
          <w:rFonts w:ascii="仿宋" w:hAnsi="仿宋" w:eastAsia="仿宋"/>
          <w:color w:val="000000"/>
          <w:sz w:val="32"/>
          <w:szCs w:val="32"/>
        </w:rPr>
        <w:t>%</w:t>
      </w:r>
      <w:r>
        <w:rPr>
          <w:rFonts w:hint="eastAsia" w:ascii="仿宋" w:hAnsi="仿宋" w:eastAsia="仿宋"/>
          <w:color w:val="000000"/>
          <w:sz w:val="32"/>
          <w:szCs w:val="32"/>
        </w:rPr>
        <w:t>；政府性基金预算财政拨款收入0万元，占0</w:t>
      </w:r>
      <w:r>
        <w:rPr>
          <w:rFonts w:ascii="仿宋" w:hAnsi="仿宋" w:eastAsia="仿宋"/>
          <w:color w:val="000000"/>
          <w:sz w:val="32"/>
          <w:szCs w:val="32"/>
        </w:rPr>
        <w:t>%</w:t>
      </w:r>
      <w:r>
        <w:rPr>
          <w:rFonts w:hint="eastAsia" w:ascii="仿宋" w:hAnsi="仿宋" w:eastAsia="仿宋"/>
          <w:color w:val="000000"/>
          <w:sz w:val="32"/>
          <w:szCs w:val="32"/>
        </w:rPr>
        <w:t>；</w:t>
      </w:r>
      <w:r>
        <w:rPr>
          <w:rFonts w:hint="eastAsia" w:ascii="仿宋" w:hAnsi="仿宋" w:eastAsia="仿宋"/>
          <w:color w:val="000000" w:themeColor="text1"/>
          <w:sz w:val="32"/>
          <w:szCs w:val="32"/>
        </w:rPr>
        <w:t>上级补助收入</w:t>
      </w:r>
      <w:r>
        <w:rPr>
          <w:rFonts w:hint="eastAsia" w:ascii="仿宋" w:hAnsi="仿宋" w:eastAsia="仿宋"/>
          <w:color w:val="000000"/>
          <w:sz w:val="32"/>
          <w:szCs w:val="32"/>
        </w:rPr>
        <w:t>0万元，占0</w:t>
      </w:r>
      <w:r>
        <w:rPr>
          <w:rFonts w:ascii="仿宋" w:hAnsi="仿宋" w:eastAsia="仿宋"/>
          <w:color w:val="000000"/>
          <w:sz w:val="32"/>
          <w:szCs w:val="32"/>
        </w:rPr>
        <w:t>%</w:t>
      </w:r>
      <w:r>
        <w:rPr>
          <w:rFonts w:hint="eastAsia" w:ascii="仿宋" w:hAnsi="仿宋" w:eastAsia="仿宋"/>
          <w:color w:val="000000"/>
          <w:sz w:val="32"/>
          <w:szCs w:val="32"/>
        </w:rPr>
        <w:t>；事业收入0万元，占0</w:t>
      </w:r>
      <w:r>
        <w:rPr>
          <w:rFonts w:ascii="仿宋" w:hAnsi="仿宋" w:eastAsia="仿宋"/>
          <w:color w:val="000000"/>
          <w:sz w:val="32"/>
          <w:szCs w:val="32"/>
        </w:rPr>
        <w:t>%</w:t>
      </w:r>
      <w:r>
        <w:rPr>
          <w:rFonts w:hint="eastAsia" w:ascii="仿宋" w:hAnsi="仿宋" w:eastAsia="仿宋"/>
          <w:color w:val="000000"/>
          <w:sz w:val="32"/>
          <w:szCs w:val="32"/>
        </w:rPr>
        <w:t>；经营收入0万元，占0</w:t>
      </w:r>
      <w:r>
        <w:rPr>
          <w:rFonts w:ascii="仿宋" w:hAnsi="仿宋" w:eastAsia="仿宋"/>
          <w:color w:val="000000"/>
          <w:sz w:val="32"/>
          <w:szCs w:val="32"/>
        </w:rPr>
        <w:t>%</w:t>
      </w:r>
      <w:r>
        <w:rPr>
          <w:rFonts w:hint="eastAsia" w:ascii="仿宋" w:hAnsi="仿宋" w:eastAsia="仿宋"/>
          <w:color w:val="000000"/>
          <w:sz w:val="32"/>
          <w:szCs w:val="32"/>
        </w:rPr>
        <w:t>；附属单位上缴收入0万元，占0</w:t>
      </w:r>
      <w:r>
        <w:rPr>
          <w:rFonts w:ascii="仿宋" w:hAnsi="仿宋" w:eastAsia="仿宋"/>
          <w:color w:val="000000"/>
          <w:sz w:val="32"/>
          <w:szCs w:val="32"/>
        </w:rPr>
        <w:t>%</w:t>
      </w:r>
      <w:r>
        <w:rPr>
          <w:rFonts w:hint="eastAsia" w:ascii="仿宋" w:hAnsi="仿宋" w:eastAsia="仿宋"/>
          <w:color w:val="000000"/>
          <w:sz w:val="32"/>
          <w:szCs w:val="32"/>
        </w:rPr>
        <w:t>；其他收入0万元，占0</w:t>
      </w:r>
      <w:r>
        <w:rPr>
          <w:rFonts w:ascii="仿宋" w:hAnsi="仿宋" w:eastAsia="仿宋"/>
          <w:color w:val="000000"/>
          <w:sz w:val="32"/>
          <w:szCs w:val="32"/>
        </w:rPr>
        <w:t>%</w:t>
      </w:r>
      <w:r>
        <w:rPr>
          <w:rFonts w:hint="eastAsia" w:ascii="仿宋" w:hAnsi="仿宋" w:eastAsia="仿宋"/>
          <w:color w:val="000000"/>
          <w:sz w:val="32"/>
          <w:szCs w:val="32"/>
        </w:rPr>
        <w:t>。</w:t>
      </w:r>
      <w:bookmarkEnd w:id="38"/>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（图2：收入决算结构图）（饼状图）</w:t>
      </w:r>
    </w:p>
    <w:p>
      <w:pPr>
        <w:spacing w:line="600" w:lineRule="exact"/>
        <w:ind w:firstLine="640" w:firstLineChars="200"/>
        <w:rPr>
          <w:rFonts w:ascii="仿宋" w:hAnsi="仿宋" w:eastAsia="仿宋"/>
          <w:color w:val="000000" w:themeColor="text1"/>
          <w:sz w:val="32"/>
          <w:szCs w:val="32"/>
        </w:rPr>
      </w:pPr>
    </w:p>
    <w:p>
      <w:pPr>
        <w:spacing w:line="600" w:lineRule="exact"/>
        <w:rPr>
          <w:rFonts w:ascii="仿宋" w:hAnsi="仿宋" w:eastAsia="仿宋"/>
          <w:color w:val="000000" w:themeColor="text1"/>
          <w:sz w:val="32"/>
          <w:szCs w:val="32"/>
        </w:rPr>
      </w:pPr>
      <w:r>
        <w:drawing>
          <wp:anchor distT="0" distB="0" distL="114300" distR="114300" simplePos="0" relativeHeight="251672576" behindDoc="0" locked="0" layoutInCell="1" allowOverlap="1">
            <wp:simplePos x="0" y="0"/>
            <wp:positionH relativeFrom="column">
              <wp:posOffset>329565</wp:posOffset>
            </wp:positionH>
            <wp:positionV relativeFrom="paragraph">
              <wp:posOffset>33020</wp:posOffset>
            </wp:positionV>
            <wp:extent cx="4733925" cy="2901950"/>
            <wp:effectExtent l="4445" t="5080" r="5080" b="7620"/>
            <wp:wrapSquare wrapText="bothSides"/>
            <wp:docPr id="333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spacing w:line="600" w:lineRule="exact"/>
        <w:rPr>
          <w:rFonts w:ascii="仿宋_GB2312" w:eastAsia="仿宋_GB2312"/>
          <w:color w:val="FF0000"/>
          <w:sz w:val="32"/>
          <w:szCs w:val="32"/>
        </w:rPr>
      </w:pPr>
    </w:p>
    <w:p>
      <w:pPr>
        <w:pStyle w:val="23"/>
        <w:numPr>
          <w:ilvl w:val="0"/>
          <w:numId w:val="1"/>
        </w:numPr>
        <w:spacing w:line="600" w:lineRule="exact"/>
        <w:ind w:firstLineChars="0"/>
        <w:outlineLvl w:val="1"/>
        <w:rPr>
          <w:rStyle w:val="25"/>
          <w:rFonts w:ascii="黑体" w:hAnsi="黑体" w:eastAsia="黑体"/>
          <w:b w:val="0"/>
        </w:rPr>
      </w:pPr>
      <w:bookmarkStart w:id="39" w:name="_Toc54610953"/>
      <w:bookmarkStart w:id="40" w:name="_Toc15377207"/>
      <w:bookmarkStart w:id="41" w:name="_Toc15396605"/>
      <w:r>
        <w:rPr>
          <w:rFonts w:hint="eastAsia" w:ascii="黑体" w:hAnsi="黑体" w:eastAsia="黑体"/>
          <w:color w:val="000000"/>
          <w:sz w:val="32"/>
          <w:szCs w:val="32"/>
        </w:rPr>
        <w:t>支</w:t>
      </w:r>
      <w:r>
        <w:rPr>
          <w:rStyle w:val="25"/>
          <w:rFonts w:hint="eastAsia" w:ascii="黑体" w:hAnsi="黑体" w:eastAsia="黑体"/>
          <w:b w:val="0"/>
        </w:rPr>
        <w:t>出决算情况说明</w:t>
      </w:r>
      <w:bookmarkEnd w:id="39"/>
      <w:bookmarkEnd w:id="40"/>
      <w:bookmarkEnd w:id="41"/>
    </w:p>
    <w:p>
      <w:pPr>
        <w:spacing w:line="600" w:lineRule="exact"/>
        <w:ind w:firstLine="640" w:firstLineChars="200"/>
        <w:outlineLvl w:val="1"/>
        <w:rPr>
          <w:rFonts w:ascii="仿宋" w:hAnsi="仿宋" w:eastAsia="仿宋"/>
          <w:color w:val="000000"/>
          <w:sz w:val="32"/>
          <w:szCs w:val="32"/>
        </w:rPr>
      </w:pPr>
      <w:bookmarkStart w:id="42" w:name="_Toc54610954"/>
      <w:r>
        <w:rPr>
          <w:rFonts w:ascii="仿宋" w:hAnsi="仿宋" w:eastAsia="仿宋"/>
          <w:color w:val="000000"/>
          <w:sz w:val="32"/>
          <w:szCs w:val="32"/>
        </w:rPr>
        <w:t>201</w:t>
      </w:r>
      <w:r>
        <w:rPr>
          <w:rFonts w:hint="eastAsia" w:ascii="仿宋" w:hAnsi="仿宋" w:eastAsia="仿宋"/>
          <w:color w:val="000000"/>
          <w:sz w:val="32"/>
          <w:szCs w:val="32"/>
        </w:rPr>
        <w:t>9年本年支出合计1,078.50万元，其中：基本支出1,071.36万元，占99.34%；项目支出</w:t>
      </w:r>
      <w:r>
        <w:rPr>
          <w:rFonts w:hint="eastAsia" w:ascii="仿宋" w:hAnsi="仿宋" w:eastAsia="仿宋"/>
          <w:color w:val="000000"/>
          <w:sz w:val="32"/>
          <w:szCs w:val="32"/>
          <w:lang w:val="en-US" w:eastAsia="zh-CN"/>
        </w:rPr>
        <w:t>7.14</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0.66</w:t>
      </w:r>
      <w:r>
        <w:rPr>
          <w:rFonts w:ascii="仿宋" w:hAnsi="仿宋" w:eastAsia="仿宋"/>
          <w:color w:val="000000"/>
          <w:sz w:val="32"/>
          <w:szCs w:val="32"/>
        </w:rPr>
        <w:t>%</w:t>
      </w:r>
      <w:r>
        <w:rPr>
          <w:rFonts w:hint="eastAsia" w:ascii="仿宋" w:hAnsi="仿宋" w:eastAsia="仿宋"/>
          <w:color w:val="000000"/>
          <w:sz w:val="32"/>
          <w:szCs w:val="32"/>
        </w:rPr>
        <w:t>；上缴上级支出0万元，占0</w:t>
      </w:r>
      <w:r>
        <w:rPr>
          <w:rFonts w:ascii="仿宋" w:hAnsi="仿宋" w:eastAsia="仿宋"/>
          <w:color w:val="000000"/>
          <w:sz w:val="32"/>
          <w:szCs w:val="32"/>
        </w:rPr>
        <w:t>%</w:t>
      </w:r>
      <w:r>
        <w:rPr>
          <w:rFonts w:hint="eastAsia" w:ascii="仿宋" w:hAnsi="仿宋" w:eastAsia="仿宋"/>
          <w:color w:val="000000"/>
          <w:sz w:val="32"/>
          <w:szCs w:val="32"/>
        </w:rPr>
        <w:t>；经营支出0万元，占0</w:t>
      </w:r>
      <w:r>
        <w:rPr>
          <w:rFonts w:ascii="仿宋" w:hAnsi="仿宋" w:eastAsia="仿宋"/>
          <w:color w:val="000000"/>
          <w:sz w:val="32"/>
          <w:szCs w:val="32"/>
        </w:rPr>
        <w:t>%</w:t>
      </w:r>
      <w:r>
        <w:rPr>
          <w:rFonts w:hint="eastAsia" w:ascii="仿宋" w:hAnsi="仿宋" w:eastAsia="仿宋"/>
          <w:color w:val="000000"/>
          <w:sz w:val="32"/>
          <w:szCs w:val="32"/>
        </w:rPr>
        <w:t>；对附属单位补助支出0万元，占0</w:t>
      </w:r>
      <w:r>
        <w:rPr>
          <w:rFonts w:ascii="仿宋" w:hAnsi="仿宋" w:eastAsia="仿宋"/>
          <w:color w:val="000000"/>
          <w:sz w:val="32"/>
          <w:szCs w:val="32"/>
        </w:rPr>
        <w:t>%</w:t>
      </w:r>
      <w:r>
        <w:rPr>
          <w:rFonts w:hint="eastAsia" w:ascii="仿宋" w:hAnsi="仿宋" w:eastAsia="仿宋"/>
          <w:color w:val="000000"/>
          <w:sz w:val="32"/>
          <w:szCs w:val="32"/>
        </w:rPr>
        <w:t>。</w:t>
      </w:r>
      <w:bookmarkEnd w:id="42"/>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（图3：支出决算结构图）（饼状图）</w:t>
      </w:r>
    </w:p>
    <w:p>
      <w:pPr>
        <w:spacing w:line="600" w:lineRule="exact"/>
        <w:ind w:firstLine="420" w:firstLineChars="200"/>
        <w:rPr>
          <w:rFonts w:ascii="仿宋" w:hAnsi="仿宋" w:eastAsia="仿宋"/>
          <w:color w:val="000000" w:themeColor="text1"/>
          <w:sz w:val="32"/>
          <w:szCs w:val="32"/>
        </w:rPr>
      </w:pPr>
      <w:r>
        <w:drawing>
          <wp:anchor distT="0" distB="0" distL="114300" distR="114300" simplePos="0" relativeHeight="251673600" behindDoc="0" locked="0" layoutInCell="1" allowOverlap="1">
            <wp:simplePos x="0" y="0"/>
            <wp:positionH relativeFrom="column">
              <wp:posOffset>434340</wp:posOffset>
            </wp:positionH>
            <wp:positionV relativeFrom="paragraph">
              <wp:posOffset>215265</wp:posOffset>
            </wp:positionV>
            <wp:extent cx="3411220" cy="2410460"/>
            <wp:effectExtent l="5080" t="4445" r="12700" b="23495"/>
            <wp:wrapSquare wrapText="bothSides"/>
            <wp:docPr id="333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outlineLvl w:val="1"/>
        <w:rPr>
          <w:rStyle w:val="25"/>
          <w:rFonts w:ascii="黑体" w:hAnsi="黑体" w:eastAsia="黑体"/>
          <w:b w:val="0"/>
        </w:rPr>
      </w:pPr>
      <w:bookmarkStart w:id="43" w:name="_Toc15377208"/>
      <w:bookmarkStart w:id="44" w:name="_Toc15396606"/>
      <w:bookmarkStart w:id="45" w:name="_Toc54610955"/>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43"/>
      <w:bookmarkEnd w:id="44"/>
      <w:bookmarkEnd w:id="45"/>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9年财政拨款收入总计941.50万元、支出总计1,078.50万元。与</w:t>
      </w:r>
      <w:r>
        <w:rPr>
          <w:rFonts w:ascii="仿宋" w:hAnsi="仿宋" w:eastAsia="仿宋"/>
          <w:color w:val="000000"/>
          <w:sz w:val="32"/>
          <w:szCs w:val="32"/>
        </w:rPr>
        <w:t>201</w:t>
      </w:r>
      <w:r>
        <w:rPr>
          <w:rFonts w:hint="eastAsia" w:ascii="仿宋" w:hAnsi="仿宋" w:eastAsia="仿宋"/>
          <w:color w:val="000000"/>
          <w:sz w:val="32"/>
          <w:szCs w:val="32"/>
        </w:rPr>
        <w:t>8年相比，财政拨款收入总计增加</w:t>
      </w:r>
      <w:r>
        <w:rPr>
          <w:rFonts w:hint="eastAsia" w:ascii="仿宋" w:hAnsi="仿宋" w:eastAsia="仿宋"/>
          <w:color w:val="000000"/>
          <w:sz w:val="32"/>
          <w:szCs w:val="32"/>
          <w:lang w:val="en-US" w:eastAsia="zh-CN"/>
        </w:rPr>
        <w:t>45.09</w:t>
      </w:r>
      <w:r>
        <w:rPr>
          <w:rFonts w:hint="eastAsia" w:ascii="仿宋" w:hAnsi="仿宋" w:eastAsia="仿宋"/>
          <w:color w:val="000000"/>
          <w:sz w:val="32"/>
          <w:szCs w:val="32"/>
        </w:rPr>
        <w:t>万元，增长</w:t>
      </w:r>
      <w:r>
        <w:rPr>
          <w:rFonts w:hint="eastAsia" w:ascii="仿宋_GB2312" w:eastAsia="仿宋_GB2312"/>
          <w:color w:val="000000"/>
          <w:sz w:val="28"/>
          <w:szCs w:val="28"/>
          <w:lang w:val="en-US" w:eastAsia="zh-CN"/>
        </w:rPr>
        <w:t>5.03%</w:t>
      </w:r>
      <w:r>
        <w:rPr>
          <w:rFonts w:hint="eastAsia" w:ascii="仿宋" w:hAnsi="仿宋" w:eastAsia="仿宋"/>
          <w:color w:val="000000"/>
          <w:sz w:val="32"/>
          <w:szCs w:val="32"/>
        </w:rPr>
        <w:t>，支出总计</w:t>
      </w:r>
      <w:r>
        <w:rPr>
          <w:rFonts w:hint="eastAsia" w:ascii="仿宋" w:hAnsi="仿宋" w:eastAsia="仿宋"/>
          <w:color w:val="000000"/>
          <w:sz w:val="32"/>
          <w:szCs w:val="32"/>
          <w:lang w:eastAsia="zh-CN"/>
        </w:rPr>
        <w:t>减少</w:t>
      </w:r>
      <w:r>
        <w:rPr>
          <w:rFonts w:hint="eastAsia" w:ascii="仿宋" w:hAnsi="仿宋" w:eastAsia="仿宋"/>
          <w:color w:val="000000"/>
          <w:sz w:val="32"/>
          <w:szCs w:val="32"/>
          <w:lang w:val="en-US" w:eastAsia="zh-CN"/>
        </w:rPr>
        <w:t>16.71</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减少</w:t>
      </w:r>
      <w:r>
        <w:rPr>
          <w:rFonts w:hint="eastAsia" w:ascii="仿宋" w:hAnsi="仿宋" w:eastAsia="仿宋"/>
          <w:color w:val="000000"/>
          <w:sz w:val="32"/>
          <w:szCs w:val="32"/>
        </w:rPr>
        <w:t>了</w:t>
      </w:r>
      <w:r>
        <w:rPr>
          <w:rFonts w:hint="eastAsia" w:ascii="仿宋" w:hAnsi="仿宋" w:eastAsia="仿宋"/>
          <w:color w:val="000000"/>
          <w:sz w:val="32"/>
          <w:szCs w:val="32"/>
          <w:lang w:val="en-US" w:eastAsia="zh-CN"/>
        </w:rPr>
        <w:t>1.53</w:t>
      </w:r>
      <w:r>
        <w:rPr>
          <w:rFonts w:hint="eastAsia" w:ascii="仿宋" w:hAnsi="仿宋" w:eastAsia="仿宋"/>
          <w:color w:val="000000"/>
          <w:sz w:val="32"/>
          <w:szCs w:val="32"/>
        </w:rPr>
        <w:t>%。主要变动原因是调资及人员经费</w:t>
      </w:r>
      <w:r>
        <w:rPr>
          <w:rFonts w:hint="eastAsia" w:ascii="仿宋" w:hAnsi="仿宋" w:eastAsia="仿宋"/>
          <w:color w:val="000000"/>
          <w:sz w:val="32"/>
          <w:szCs w:val="32"/>
          <w:lang w:eastAsia="zh-CN"/>
        </w:rPr>
        <w:t>减少</w:t>
      </w:r>
      <w:r>
        <w:rPr>
          <w:rFonts w:hint="eastAsia" w:ascii="仿宋" w:hAnsi="仿宋" w:eastAsia="仿宋"/>
          <w:color w:val="000000"/>
          <w:sz w:val="32"/>
          <w:szCs w:val="32"/>
        </w:rPr>
        <w:t>等。</w:t>
      </w:r>
    </w:p>
    <w:p>
      <w:pPr>
        <w:spacing w:line="600" w:lineRule="exact"/>
        <w:ind w:firstLine="640" w:firstLineChars="200"/>
        <w:rPr>
          <w:rFonts w:ascii="仿宋" w:hAnsi="仿宋" w:eastAsia="仿宋"/>
          <w:color w:val="000000" w:themeColor="text1"/>
          <w:sz w:val="32"/>
          <w:szCs w:val="32"/>
        </w:rPr>
      </w:pPr>
      <w:r>
        <w:rPr>
          <w:rFonts w:hint="eastAsia" w:ascii="仿宋" w:hAnsi="仿宋" w:eastAsia="仿宋"/>
          <w:color w:val="000000" w:themeColor="text1"/>
          <w:sz w:val="32"/>
          <w:szCs w:val="32"/>
        </w:rPr>
        <w:t>（图4：财政拨款收、支决算总计变动情况）（柱状图）</w:t>
      </w:r>
    </w:p>
    <w:p>
      <w:pPr>
        <w:spacing w:line="600" w:lineRule="exact"/>
        <w:ind w:firstLine="420" w:firstLineChars="200"/>
        <w:rPr>
          <w:rFonts w:ascii="黑体" w:hAnsi="黑体" w:eastAsia="黑体"/>
          <w:color w:val="000000"/>
          <w:sz w:val="32"/>
          <w:szCs w:val="32"/>
        </w:rPr>
      </w:pPr>
      <w:r>
        <w:drawing>
          <wp:anchor distT="0" distB="0" distL="114300" distR="114300" simplePos="0" relativeHeight="251674624" behindDoc="0" locked="0" layoutInCell="1" allowOverlap="1">
            <wp:simplePos x="0" y="0"/>
            <wp:positionH relativeFrom="column">
              <wp:posOffset>271145</wp:posOffset>
            </wp:positionH>
            <wp:positionV relativeFrom="paragraph">
              <wp:posOffset>-2453005</wp:posOffset>
            </wp:positionV>
            <wp:extent cx="4904740" cy="2743200"/>
            <wp:effectExtent l="4445" t="4445" r="5715" b="14605"/>
            <wp:wrapSquare wrapText="bothSides"/>
            <wp:docPr id="3336"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bookmarkStart w:id="46" w:name="_Toc15396607"/>
      <w:bookmarkStart w:id="47" w:name="_Toc15377209"/>
    </w:p>
    <w:p>
      <w:pPr>
        <w:spacing w:line="600" w:lineRule="exact"/>
        <w:ind w:firstLine="640" w:firstLineChars="200"/>
        <w:outlineLvl w:val="1"/>
        <w:rPr>
          <w:rStyle w:val="25"/>
          <w:rFonts w:ascii="黑体" w:hAnsi="黑体" w:eastAsia="黑体"/>
          <w:b w:val="0"/>
        </w:rPr>
      </w:pPr>
      <w:bookmarkStart w:id="48" w:name="_Toc54610956"/>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46"/>
      <w:bookmarkEnd w:id="47"/>
      <w:bookmarkEnd w:id="48"/>
    </w:p>
    <w:p>
      <w:pPr>
        <w:spacing w:line="600" w:lineRule="exact"/>
        <w:ind w:firstLine="643" w:firstLineChars="200"/>
        <w:outlineLvl w:val="2"/>
        <w:rPr>
          <w:rFonts w:ascii="仿宋" w:hAnsi="仿宋" w:eastAsia="仿宋"/>
          <w:b/>
          <w:color w:val="000000"/>
          <w:sz w:val="32"/>
          <w:szCs w:val="32"/>
        </w:rPr>
      </w:pPr>
      <w:bookmarkStart w:id="49" w:name="_Toc15377210"/>
      <w:bookmarkStart w:id="50" w:name="_Toc54610957"/>
      <w:r>
        <w:rPr>
          <w:rFonts w:hint="eastAsia" w:ascii="仿宋" w:hAnsi="仿宋" w:eastAsia="仿宋"/>
          <w:b/>
          <w:color w:val="000000"/>
          <w:sz w:val="32"/>
          <w:szCs w:val="32"/>
        </w:rPr>
        <w:t>（一）一般公共预算财政拨款支出决算总体情况</w:t>
      </w:r>
      <w:bookmarkEnd w:id="49"/>
      <w:bookmarkEnd w:id="50"/>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9年一般公共预算财政拨款支出1,078.50万元，占本年支出合计的100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8年相比，一般公共预算财政拨款</w:t>
      </w:r>
      <w:r>
        <w:rPr>
          <w:rFonts w:hint="eastAsia" w:ascii="仿宋" w:hAnsi="仿宋" w:eastAsia="仿宋"/>
          <w:color w:val="000000"/>
          <w:sz w:val="32"/>
          <w:szCs w:val="32"/>
          <w:lang w:eastAsia="zh-CN"/>
        </w:rPr>
        <w:t>支出减少</w:t>
      </w:r>
      <w:r>
        <w:rPr>
          <w:rFonts w:hint="eastAsia" w:ascii="仿宋" w:hAnsi="仿宋" w:eastAsia="仿宋"/>
          <w:color w:val="000000"/>
          <w:sz w:val="32"/>
          <w:szCs w:val="32"/>
          <w:lang w:val="en-US" w:eastAsia="zh-CN"/>
        </w:rPr>
        <w:t>16.71</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减少</w:t>
      </w:r>
      <w:r>
        <w:rPr>
          <w:rFonts w:hint="eastAsia" w:ascii="仿宋" w:hAnsi="仿宋" w:eastAsia="仿宋"/>
          <w:color w:val="000000"/>
          <w:sz w:val="32"/>
          <w:szCs w:val="32"/>
        </w:rPr>
        <w:t>了</w:t>
      </w:r>
      <w:r>
        <w:rPr>
          <w:rFonts w:hint="eastAsia" w:ascii="仿宋" w:hAnsi="仿宋" w:eastAsia="仿宋"/>
          <w:color w:val="000000"/>
          <w:sz w:val="32"/>
          <w:szCs w:val="32"/>
          <w:lang w:val="en-US" w:eastAsia="zh-CN"/>
        </w:rPr>
        <w:t>1.53</w:t>
      </w:r>
      <w:r>
        <w:rPr>
          <w:rFonts w:hint="eastAsia" w:ascii="仿宋" w:hAnsi="仿宋" w:eastAsia="仿宋"/>
          <w:color w:val="000000"/>
          <w:sz w:val="32"/>
          <w:szCs w:val="32"/>
        </w:rPr>
        <w:t>%。主要变动原因是调资及人员经费</w:t>
      </w:r>
      <w:r>
        <w:rPr>
          <w:rFonts w:hint="eastAsia" w:ascii="仿宋" w:hAnsi="仿宋" w:eastAsia="仿宋"/>
          <w:color w:val="000000"/>
          <w:sz w:val="32"/>
          <w:szCs w:val="32"/>
          <w:lang w:eastAsia="zh-CN"/>
        </w:rPr>
        <w:t>减少</w:t>
      </w:r>
      <w:r>
        <w:rPr>
          <w:rFonts w:hint="eastAsia" w:ascii="仿宋" w:hAnsi="仿宋" w:eastAsia="仿宋"/>
          <w:color w:val="000000"/>
          <w:sz w:val="32"/>
          <w:szCs w:val="32"/>
        </w:rPr>
        <w:t>等。</w:t>
      </w:r>
    </w:p>
    <w:p>
      <w:pPr>
        <w:spacing w:line="600" w:lineRule="exact"/>
        <w:ind w:firstLine="420" w:firstLineChars="200"/>
        <w:rPr>
          <w:rFonts w:ascii="仿宋" w:hAnsi="仿宋" w:eastAsia="仿宋"/>
          <w:color w:val="000000" w:themeColor="text1"/>
          <w:sz w:val="32"/>
          <w:szCs w:val="32"/>
        </w:rPr>
      </w:pPr>
      <w:r>
        <w:drawing>
          <wp:anchor distT="0" distB="0" distL="114300" distR="114300" simplePos="0" relativeHeight="251675648" behindDoc="0" locked="0" layoutInCell="1" allowOverlap="1">
            <wp:simplePos x="0" y="0"/>
            <wp:positionH relativeFrom="column">
              <wp:posOffset>527050</wp:posOffset>
            </wp:positionH>
            <wp:positionV relativeFrom="paragraph">
              <wp:posOffset>1367790</wp:posOffset>
            </wp:positionV>
            <wp:extent cx="5269230" cy="2352040"/>
            <wp:effectExtent l="5080" t="4445" r="21590" b="5715"/>
            <wp:wrapSquare wrapText="bothSides"/>
            <wp:docPr id="3337"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eastAsia" w:ascii="仿宋" w:hAnsi="仿宋" w:eastAsia="仿宋"/>
          <w:color w:val="000000" w:themeColor="text1"/>
          <w:sz w:val="32"/>
          <w:szCs w:val="32"/>
        </w:rPr>
        <w:t>（图5：一般公共预算财政拨款支出决算变动情况）（柱状图）</w:t>
      </w: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0" w:firstLineChars="200"/>
        <w:rPr>
          <w:rFonts w:ascii="仿宋" w:hAnsi="仿宋" w:eastAsia="仿宋"/>
          <w:color w:val="000000" w:themeColor="text1"/>
          <w:sz w:val="32"/>
          <w:szCs w:val="32"/>
        </w:rPr>
      </w:pPr>
    </w:p>
    <w:p>
      <w:pPr>
        <w:spacing w:line="600" w:lineRule="exact"/>
        <w:ind w:firstLine="643" w:firstLineChars="200"/>
        <w:outlineLvl w:val="2"/>
        <w:rPr>
          <w:rFonts w:ascii="仿宋" w:hAnsi="仿宋" w:eastAsia="仿宋"/>
          <w:b/>
          <w:color w:val="000000"/>
          <w:sz w:val="32"/>
          <w:szCs w:val="32"/>
        </w:rPr>
      </w:pPr>
      <w:bookmarkStart w:id="51" w:name="_Toc15377211"/>
      <w:bookmarkStart w:id="52" w:name="_Toc54610958"/>
      <w:r>
        <w:rPr>
          <w:rFonts w:hint="eastAsia" w:ascii="仿宋" w:hAnsi="仿宋" w:eastAsia="仿宋"/>
          <w:b/>
          <w:color w:val="000000"/>
          <w:sz w:val="32"/>
          <w:szCs w:val="32"/>
        </w:rPr>
        <w:t>（二）一般公共预算财政拨款支出决算结构情况</w:t>
      </w:r>
      <w:bookmarkEnd w:id="51"/>
      <w:bookmarkEnd w:id="52"/>
    </w:p>
    <w:p>
      <w:pPr>
        <w:spacing w:line="600" w:lineRule="exact"/>
        <w:ind w:firstLine="640"/>
        <w:rPr>
          <w:rFonts w:ascii="仿宋" w:hAnsi="仿宋" w:eastAsia="仿宋"/>
          <w:color w:val="000000" w:themeColor="text1"/>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w:t>
      </w:r>
      <w:r>
        <w:rPr>
          <w:rFonts w:hint="eastAsia" w:ascii="仿宋" w:hAnsi="仿宋" w:eastAsia="仿宋"/>
          <w:color w:val="000000" w:themeColor="text1"/>
          <w:sz w:val="32"/>
          <w:szCs w:val="32"/>
        </w:rPr>
        <w:t>政拨款支出</w:t>
      </w:r>
      <w:r>
        <w:rPr>
          <w:rFonts w:hint="eastAsia" w:ascii="仿宋" w:hAnsi="仿宋" w:eastAsia="仿宋"/>
          <w:color w:val="000000"/>
          <w:sz w:val="32"/>
          <w:szCs w:val="32"/>
        </w:rPr>
        <w:t>1,078.50</w:t>
      </w:r>
      <w:r>
        <w:rPr>
          <w:rFonts w:hint="eastAsia" w:ascii="仿宋" w:hAnsi="仿宋" w:eastAsia="仿宋"/>
          <w:color w:val="000000" w:themeColor="text1"/>
          <w:sz w:val="32"/>
          <w:szCs w:val="32"/>
        </w:rPr>
        <w:t>万元，主要用于以下方面</w:t>
      </w:r>
      <w:r>
        <w:rPr>
          <w:rFonts w:ascii="仿宋" w:hAnsi="仿宋" w:eastAsia="仿宋"/>
          <w:color w:val="000000" w:themeColor="text1"/>
          <w:sz w:val="32"/>
          <w:szCs w:val="32"/>
        </w:rPr>
        <w:t>:</w:t>
      </w:r>
      <w:r>
        <w:rPr>
          <w:rFonts w:hint="eastAsia" w:ascii="仿宋" w:hAnsi="仿宋" w:eastAsia="仿宋"/>
          <w:b/>
          <w:color w:val="000000" w:themeColor="text1"/>
          <w:sz w:val="32"/>
          <w:szCs w:val="32"/>
        </w:rPr>
        <w:t>一般公共服务（201类）</w:t>
      </w:r>
      <w:r>
        <w:rPr>
          <w:rFonts w:hint="eastAsia" w:ascii="仿宋" w:hAnsi="仿宋" w:eastAsia="仿宋"/>
          <w:color w:val="000000" w:themeColor="text1"/>
          <w:sz w:val="32"/>
          <w:szCs w:val="32"/>
        </w:rPr>
        <w:t>支出0万元，占0</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教育支出（205类）829.27</w:t>
      </w:r>
      <w:r>
        <w:rPr>
          <w:rFonts w:hint="eastAsia" w:ascii="仿宋" w:hAnsi="仿宋" w:eastAsia="仿宋"/>
          <w:color w:val="000000" w:themeColor="text1"/>
          <w:sz w:val="32"/>
          <w:szCs w:val="32"/>
        </w:rPr>
        <w:t>万元，占76.89%；</w:t>
      </w:r>
      <w:r>
        <w:rPr>
          <w:rFonts w:hint="eastAsia" w:ascii="仿宋" w:hAnsi="仿宋" w:eastAsia="仿宋"/>
          <w:b/>
          <w:color w:val="000000" w:themeColor="text1"/>
          <w:sz w:val="32"/>
          <w:szCs w:val="32"/>
        </w:rPr>
        <w:t>科学技术（206类）</w:t>
      </w:r>
      <w:r>
        <w:rPr>
          <w:rFonts w:hint="eastAsia" w:ascii="仿宋" w:hAnsi="仿宋" w:eastAsia="仿宋"/>
          <w:color w:val="000000" w:themeColor="text1"/>
          <w:sz w:val="32"/>
          <w:szCs w:val="32"/>
        </w:rPr>
        <w:t>支出0万元，占0</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文化旅游体育与传媒（207类）支出0万元，占0</w:t>
      </w:r>
      <w:r>
        <w:rPr>
          <w:rFonts w:ascii="仿宋" w:hAnsi="仿宋" w:eastAsia="仿宋"/>
          <w:b/>
          <w:bCs/>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color w:val="000000" w:themeColor="text1"/>
          <w:sz w:val="32"/>
          <w:szCs w:val="32"/>
        </w:rPr>
        <w:t>社会保障和就业（208类）</w:t>
      </w:r>
      <w:r>
        <w:rPr>
          <w:rFonts w:hint="eastAsia" w:ascii="仿宋" w:hAnsi="仿宋" w:eastAsia="仿宋"/>
          <w:color w:val="000000" w:themeColor="text1"/>
          <w:sz w:val="32"/>
          <w:szCs w:val="32"/>
        </w:rPr>
        <w:t>支出128.03万元，占</w:t>
      </w:r>
      <w:r>
        <w:rPr>
          <w:rFonts w:hint="eastAsia" w:ascii="仿宋" w:hAnsi="仿宋" w:eastAsia="仿宋"/>
          <w:color w:val="000000" w:themeColor="text1"/>
          <w:sz w:val="32"/>
          <w:szCs w:val="32"/>
          <w:lang w:val="en-US" w:eastAsia="zh-CN"/>
        </w:rPr>
        <w:t>11.87</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r>
        <w:rPr>
          <w:rFonts w:hint="eastAsia" w:ascii="仿宋" w:hAnsi="仿宋" w:eastAsia="仿宋"/>
          <w:b/>
          <w:bCs/>
          <w:color w:val="000000" w:themeColor="text1"/>
          <w:sz w:val="32"/>
          <w:szCs w:val="32"/>
        </w:rPr>
        <w:t>卫生健康支出（210</w:t>
      </w:r>
      <w:r>
        <w:rPr>
          <w:rFonts w:hint="eastAsia" w:ascii="仿宋" w:hAnsi="仿宋" w:eastAsia="仿宋"/>
          <w:b/>
          <w:color w:val="000000" w:themeColor="text1"/>
          <w:sz w:val="32"/>
          <w:szCs w:val="32"/>
        </w:rPr>
        <w:t>类</w:t>
      </w:r>
      <w:r>
        <w:rPr>
          <w:rFonts w:hint="eastAsia" w:ascii="仿宋" w:hAnsi="仿宋" w:eastAsia="仿宋"/>
          <w:b/>
          <w:bCs/>
          <w:color w:val="000000" w:themeColor="text1"/>
          <w:sz w:val="32"/>
          <w:szCs w:val="32"/>
        </w:rPr>
        <w:t>）36.34</w:t>
      </w:r>
      <w:r>
        <w:rPr>
          <w:rFonts w:hint="eastAsia" w:ascii="仿宋" w:hAnsi="仿宋" w:eastAsia="仿宋"/>
          <w:color w:val="000000" w:themeColor="text1"/>
          <w:sz w:val="32"/>
          <w:szCs w:val="32"/>
        </w:rPr>
        <w:t>万元，占3.</w:t>
      </w:r>
      <w:r>
        <w:rPr>
          <w:rFonts w:hint="eastAsia" w:ascii="仿宋" w:hAnsi="仿宋" w:eastAsia="仿宋"/>
          <w:color w:val="000000" w:themeColor="text1"/>
          <w:sz w:val="32"/>
          <w:szCs w:val="32"/>
          <w:lang w:val="en-US" w:eastAsia="zh-CN"/>
        </w:rPr>
        <w:t>37</w:t>
      </w:r>
      <w:r>
        <w:rPr>
          <w:rFonts w:ascii="仿宋" w:hAnsi="仿宋" w:eastAsia="仿宋"/>
          <w:color w:val="000000" w:themeColor="text1"/>
          <w:sz w:val="32"/>
          <w:szCs w:val="32"/>
        </w:rPr>
        <w:t>%</w:t>
      </w:r>
      <w:r>
        <w:rPr>
          <w:rFonts w:hint="eastAsia" w:ascii="仿宋" w:hAnsi="仿宋" w:eastAsia="仿宋"/>
          <w:color w:val="000000" w:themeColor="text1"/>
          <w:sz w:val="32"/>
          <w:szCs w:val="32"/>
        </w:rPr>
        <w:t>；住房保障支出</w:t>
      </w:r>
      <w:r>
        <w:rPr>
          <w:rFonts w:hint="eastAsia" w:ascii="仿宋" w:hAnsi="仿宋" w:eastAsia="仿宋"/>
          <w:b/>
          <w:color w:val="000000" w:themeColor="text1"/>
          <w:sz w:val="32"/>
          <w:szCs w:val="32"/>
        </w:rPr>
        <w:t>（221类）84.86</w:t>
      </w:r>
      <w:r>
        <w:rPr>
          <w:rFonts w:hint="eastAsia" w:ascii="仿宋" w:hAnsi="仿宋" w:eastAsia="仿宋"/>
          <w:color w:val="000000" w:themeColor="text1"/>
          <w:sz w:val="32"/>
          <w:szCs w:val="32"/>
        </w:rPr>
        <w:t>万元，占7.</w:t>
      </w:r>
      <w:r>
        <w:rPr>
          <w:rFonts w:hint="eastAsia" w:ascii="仿宋" w:hAnsi="仿宋" w:eastAsia="仿宋"/>
          <w:color w:val="000000" w:themeColor="text1"/>
          <w:sz w:val="32"/>
          <w:szCs w:val="32"/>
          <w:lang w:val="en-US" w:eastAsia="zh-CN"/>
        </w:rPr>
        <w:t>87</w:t>
      </w:r>
      <w:r>
        <w:rPr>
          <w:rFonts w:ascii="仿宋" w:hAnsi="仿宋" w:eastAsia="仿宋"/>
          <w:color w:val="000000" w:themeColor="text1"/>
          <w:sz w:val="32"/>
          <w:szCs w:val="32"/>
        </w:rPr>
        <w:t>%</w:t>
      </w:r>
      <w:r>
        <w:rPr>
          <w:rFonts w:hint="eastAsia" w:ascii="仿宋" w:hAnsi="仿宋" w:eastAsia="仿宋"/>
          <w:color w:val="000000" w:themeColor="text1"/>
          <w:sz w:val="32"/>
          <w:szCs w:val="32"/>
        </w:rPr>
        <w:t>。</w:t>
      </w: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rPr>
        <w:t>（图6：一般公共预算财政拨款支出决算结构）（饼状图）</w:t>
      </w:r>
    </w:p>
    <w:p>
      <w:pPr>
        <w:spacing w:line="600" w:lineRule="exact"/>
        <w:ind w:firstLine="640" w:firstLineChars="200"/>
        <w:rPr>
          <w:rFonts w:ascii="仿宋" w:hAnsi="仿宋" w:eastAsia="仿宋"/>
          <w:color w:val="000000"/>
          <w:sz w:val="32"/>
          <w:szCs w:val="32"/>
        </w:rPr>
      </w:pPr>
    </w:p>
    <w:p>
      <w:pPr>
        <w:spacing w:line="600" w:lineRule="exact"/>
        <w:ind w:firstLine="420" w:firstLineChars="200"/>
        <w:rPr>
          <w:rFonts w:ascii="仿宋" w:hAnsi="仿宋" w:eastAsia="仿宋"/>
          <w:color w:val="000000"/>
          <w:sz w:val="32"/>
          <w:szCs w:val="32"/>
        </w:rPr>
      </w:pPr>
      <w:r>
        <w:drawing>
          <wp:anchor distT="0" distB="0" distL="114300" distR="114300" simplePos="0" relativeHeight="251676672" behindDoc="0" locked="0" layoutInCell="1" allowOverlap="1">
            <wp:simplePos x="0" y="0"/>
            <wp:positionH relativeFrom="column">
              <wp:posOffset>572770</wp:posOffset>
            </wp:positionH>
            <wp:positionV relativeFrom="paragraph">
              <wp:posOffset>6350</wp:posOffset>
            </wp:positionV>
            <wp:extent cx="4572000" cy="2743200"/>
            <wp:effectExtent l="4445" t="4445" r="14605" b="14605"/>
            <wp:wrapSquare wrapText="bothSides"/>
            <wp:docPr id="3338"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3" w:firstLineChars="200"/>
        <w:outlineLvl w:val="2"/>
        <w:rPr>
          <w:rFonts w:ascii="仿宋" w:hAnsi="仿宋" w:eastAsia="仿宋"/>
          <w:b/>
          <w:color w:val="000000"/>
          <w:sz w:val="32"/>
          <w:szCs w:val="32"/>
        </w:rPr>
      </w:pPr>
      <w:bookmarkStart w:id="53" w:name="_Toc54610959"/>
      <w:bookmarkStart w:id="54" w:name="_Toc15377212"/>
      <w:r>
        <w:rPr>
          <w:rFonts w:hint="eastAsia" w:ascii="仿宋" w:hAnsi="仿宋" w:eastAsia="仿宋"/>
          <w:b/>
          <w:color w:val="000000"/>
          <w:sz w:val="32"/>
          <w:szCs w:val="32"/>
        </w:rPr>
        <w:t>（三）一般公共预算财政拨款支出决算具体情况</w:t>
      </w:r>
      <w:bookmarkEnd w:id="53"/>
      <w:bookmarkEnd w:id="54"/>
    </w:p>
    <w:p>
      <w:pPr>
        <w:spacing w:line="600" w:lineRule="exact"/>
        <w:ind w:firstLine="643" w:firstLineChars="200"/>
        <w:outlineLvl w:val="2"/>
        <w:rPr>
          <w:rFonts w:ascii="仿宋" w:hAnsi="仿宋" w:eastAsia="仿宋"/>
          <w:color w:val="FF0000"/>
          <w:sz w:val="32"/>
          <w:szCs w:val="32"/>
        </w:rPr>
      </w:pPr>
      <w:bookmarkStart w:id="55" w:name="_Toc54610960"/>
      <w:r>
        <w:rPr>
          <w:rFonts w:hint="eastAsia" w:ascii="仿宋" w:hAnsi="仿宋" w:eastAsia="仿宋"/>
          <w:b/>
          <w:color w:val="000000" w:themeColor="text1"/>
          <w:sz w:val="32"/>
          <w:szCs w:val="32"/>
        </w:rPr>
        <w:t>2019年一般公共预算支出决算数为</w:t>
      </w:r>
      <w:r>
        <w:rPr>
          <w:rFonts w:hint="eastAsia" w:ascii="仿宋" w:hAnsi="仿宋" w:eastAsia="仿宋"/>
          <w:color w:val="000000"/>
          <w:sz w:val="32"/>
          <w:szCs w:val="32"/>
        </w:rPr>
        <w:t>1,078.50</w:t>
      </w:r>
      <w:r>
        <w:rPr>
          <w:rFonts w:hint="eastAsia" w:ascii="仿宋" w:hAnsi="仿宋" w:eastAsia="仿宋"/>
          <w:b/>
          <w:color w:val="000000" w:themeColor="text1"/>
          <w:sz w:val="32"/>
          <w:szCs w:val="32"/>
        </w:rPr>
        <w:t>万元</w:t>
      </w:r>
      <w:r>
        <w:rPr>
          <w:rFonts w:hint="eastAsia" w:ascii="仿宋" w:hAnsi="仿宋" w:eastAsia="仿宋"/>
          <w:color w:val="000000" w:themeColor="text1"/>
          <w:sz w:val="32"/>
          <w:szCs w:val="32"/>
        </w:rPr>
        <w:t>，</w:t>
      </w:r>
      <w:r>
        <w:rPr>
          <w:rStyle w:val="14"/>
          <w:rFonts w:hint="eastAsia" w:ascii="仿宋" w:hAnsi="仿宋" w:eastAsia="仿宋"/>
          <w:bCs/>
          <w:color w:val="000000" w:themeColor="text1"/>
          <w:sz w:val="32"/>
          <w:szCs w:val="32"/>
        </w:rPr>
        <w:t>完成</w:t>
      </w:r>
      <w:r>
        <w:rPr>
          <w:rStyle w:val="14"/>
          <w:rFonts w:hint="eastAsia" w:ascii="仿宋" w:hAnsi="仿宋" w:eastAsia="仿宋"/>
          <w:bCs/>
          <w:color w:val="000000"/>
          <w:sz w:val="32"/>
          <w:szCs w:val="32"/>
        </w:rPr>
        <w:t>预算100</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。其中：</w:t>
      </w:r>
      <w:bookmarkEnd w:id="55"/>
    </w:p>
    <w:p>
      <w:pPr>
        <w:spacing w:line="600" w:lineRule="exact"/>
        <w:ind w:firstLine="643" w:firstLineChars="200"/>
        <w:rPr>
          <w:rStyle w:val="14"/>
          <w:rFonts w:ascii="仿宋" w:hAnsi="仿宋" w:eastAsia="仿宋"/>
          <w:bCs/>
          <w:color w:val="000000"/>
          <w:sz w:val="32"/>
          <w:szCs w:val="32"/>
        </w:rPr>
      </w:pPr>
      <w:r>
        <w:rPr>
          <w:rStyle w:val="14"/>
          <w:rFonts w:hint="eastAsia" w:ascii="仿宋" w:hAnsi="仿宋" w:eastAsia="仿宋"/>
          <w:bCs/>
          <w:color w:val="000000"/>
          <w:sz w:val="32"/>
          <w:szCs w:val="32"/>
        </w:rPr>
        <w:t>1</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 xml:space="preserve"> 教育205（类）02（款）01（项）</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支出决算为3.20万元，完成预算100</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，决算数等于预算数；教育205（类）02（款）02（项）</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支出决算为651.66万元，完成预算100</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，决算数等于预算数；教育205（类）02（款）0</w:t>
      </w:r>
      <w:r>
        <w:rPr>
          <w:rStyle w:val="14"/>
          <w:rFonts w:hint="eastAsia" w:ascii="仿宋" w:hAnsi="仿宋" w:eastAsia="仿宋"/>
          <w:bCs/>
          <w:color w:val="000000"/>
          <w:sz w:val="32"/>
          <w:szCs w:val="32"/>
          <w:lang w:val="en-US" w:eastAsia="zh-CN"/>
        </w:rPr>
        <w:t>3</w:t>
      </w:r>
      <w:r>
        <w:rPr>
          <w:rStyle w:val="14"/>
          <w:rFonts w:hint="eastAsia" w:ascii="仿宋" w:hAnsi="仿宋" w:eastAsia="仿宋"/>
          <w:bCs/>
          <w:color w:val="000000"/>
          <w:sz w:val="32"/>
          <w:szCs w:val="32"/>
        </w:rPr>
        <w:t>（项）</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支出决算为174.40万元，完成预算100</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，决算数等于预算数；</w:t>
      </w:r>
    </w:p>
    <w:p>
      <w:pPr>
        <w:spacing w:line="600" w:lineRule="exact"/>
        <w:ind w:firstLine="643" w:firstLineChars="200"/>
        <w:rPr>
          <w:rFonts w:ascii="仿宋" w:hAnsi="仿宋" w:eastAsia="仿宋"/>
          <w:b/>
          <w:color w:val="000000"/>
          <w:sz w:val="32"/>
          <w:szCs w:val="32"/>
        </w:rPr>
      </w:pPr>
      <w:r>
        <w:rPr>
          <w:rStyle w:val="14"/>
          <w:rFonts w:hint="eastAsia" w:ascii="仿宋" w:hAnsi="仿宋" w:eastAsia="仿宋"/>
          <w:bCs/>
          <w:color w:val="000000"/>
          <w:sz w:val="32"/>
          <w:szCs w:val="32"/>
        </w:rPr>
        <w:t xml:space="preserve"> 2</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社会保障和就业208（类）05（款）05（项）</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支出决算为87.51万元，完成预算100</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，决算数等于预算数；社会保障和就业208（类）05（款）06（项）</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支出决算为40.52万元，完成预算100</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，决算数等于预算数。</w:t>
      </w:r>
    </w:p>
    <w:p>
      <w:pPr>
        <w:spacing w:line="600" w:lineRule="exact"/>
        <w:ind w:firstLine="643" w:firstLineChars="200"/>
        <w:rPr>
          <w:rFonts w:ascii="仿宋" w:hAnsi="仿宋" w:eastAsia="仿宋"/>
          <w:b/>
          <w:color w:val="000000"/>
          <w:sz w:val="32"/>
          <w:szCs w:val="32"/>
        </w:rPr>
      </w:pPr>
      <w:r>
        <w:rPr>
          <w:rStyle w:val="14"/>
          <w:rFonts w:hint="eastAsia" w:ascii="仿宋" w:hAnsi="仿宋" w:eastAsia="仿宋"/>
          <w:bCs/>
          <w:color w:val="000000"/>
          <w:sz w:val="32"/>
          <w:szCs w:val="32"/>
        </w:rPr>
        <w:t>3</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医疗卫生与计划生育210（类）11（款）02（项）</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支出决算为36.34万元，完成预算100</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，决算数等于预算数。</w:t>
      </w:r>
    </w:p>
    <w:p>
      <w:pPr>
        <w:spacing w:line="600" w:lineRule="exact"/>
        <w:ind w:firstLine="643" w:firstLineChars="200"/>
        <w:rPr>
          <w:rFonts w:ascii="仿宋" w:hAnsi="仿宋" w:eastAsia="仿宋"/>
          <w:b/>
          <w:color w:val="000000"/>
          <w:sz w:val="32"/>
          <w:szCs w:val="32"/>
        </w:rPr>
      </w:pPr>
      <w:r>
        <w:rPr>
          <w:rStyle w:val="14"/>
          <w:rFonts w:hint="eastAsia" w:ascii="仿宋" w:hAnsi="仿宋" w:eastAsia="仿宋"/>
          <w:bCs/>
          <w:color w:val="000000"/>
          <w:sz w:val="32"/>
          <w:szCs w:val="32"/>
        </w:rPr>
        <w:t>4</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住房保障支出221（类）02（款）01（项）</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支出决算为</w:t>
      </w:r>
      <w:r>
        <w:rPr>
          <w:rFonts w:hint="eastAsia" w:ascii="仿宋" w:hAnsi="仿宋" w:eastAsia="仿宋"/>
          <w:b/>
          <w:color w:val="000000" w:themeColor="text1"/>
          <w:sz w:val="32"/>
          <w:szCs w:val="32"/>
        </w:rPr>
        <w:t>84.86</w:t>
      </w:r>
      <w:r>
        <w:rPr>
          <w:rStyle w:val="14"/>
          <w:rFonts w:hint="eastAsia" w:ascii="仿宋" w:hAnsi="仿宋" w:eastAsia="仿宋"/>
          <w:bCs/>
          <w:color w:val="000000"/>
          <w:sz w:val="32"/>
          <w:szCs w:val="32"/>
        </w:rPr>
        <w:t>万元，完成预算100</w:t>
      </w:r>
      <w:r>
        <w:rPr>
          <w:rStyle w:val="14"/>
          <w:rFonts w:ascii="仿宋" w:hAnsi="仿宋" w:eastAsia="仿宋"/>
          <w:bCs/>
          <w:color w:val="000000"/>
          <w:sz w:val="32"/>
          <w:szCs w:val="32"/>
        </w:rPr>
        <w:t>%</w:t>
      </w:r>
      <w:r>
        <w:rPr>
          <w:rStyle w:val="14"/>
          <w:rFonts w:hint="eastAsia" w:ascii="仿宋" w:hAnsi="仿宋" w:eastAsia="仿宋"/>
          <w:bCs/>
          <w:color w:val="000000"/>
          <w:sz w:val="32"/>
          <w:szCs w:val="32"/>
        </w:rPr>
        <w:t>，决算数等于预算数。</w:t>
      </w:r>
    </w:p>
    <w:p>
      <w:pPr>
        <w:spacing w:line="600" w:lineRule="exact"/>
        <w:ind w:firstLine="640" w:firstLineChars="200"/>
        <w:outlineLvl w:val="2"/>
        <w:rPr>
          <w:rFonts w:ascii="仿宋" w:hAnsi="仿宋" w:eastAsia="仿宋"/>
          <w:color w:val="FF0000"/>
          <w:sz w:val="32"/>
          <w:szCs w:val="32"/>
        </w:rPr>
      </w:pPr>
    </w:p>
    <w:p>
      <w:pPr>
        <w:tabs>
          <w:tab w:val="right" w:pos="8306"/>
        </w:tabs>
        <w:spacing w:line="600" w:lineRule="exact"/>
        <w:ind w:firstLine="640"/>
        <w:outlineLvl w:val="1"/>
        <w:rPr>
          <w:rStyle w:val="25"/>
        </w:rPr>
      </w:pPr>
      <w:bookmarkStart w:id="56" w:name="_Toc15396608"/>
      <w:bookmarkStart w:id="57" w:name="_Toc15377214"/>
      <w:bookmarkStart w:id="58" w:name="_Toc54610961"/>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56"/>
      <w:bookmarkEnd w:id="57"/>
      <w:bookmarkEnd w:id="58"/>
      <w:r>
        <w:rPr>
          <w:rStyle w:val="25"/>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9年一般公共预算财政拨款基本支出1,071.36万元，其中：</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人员经费1,058.29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日常公用经费13.07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5"/>
          <w:rFonts w:ascii="黑体" w:hAnsi="黑体" w:eastAsia="黑体"/>
          <w:b w:val="0"/>
        </w:rPr>
      </w:pPr>
      <w:bookmarkStart w:id="59" w:name="_Toc15396609"/>
      <w:bookmarkStart w:id="60" w:name="_Toc15377215"/>
      <w:bookmarkStart w:id="61" w:name="_Toc54610962"/>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59"/>
      <w:bookmarkEnd w:id="60"/>
      <w:bookmarkEnd w:id="61"/>
    </w:p>
    <w:p>
      <w:pPr>
        <w:spacing w:line="600" w:lineRule="exact"/>
        <w:ind w:firstLine="640"/>
        <w:outlineLvl w:val="2"/>
        <w:rPr>
          <w:rFonts w:ascii="仿宋" w:hAnsi="仿宋" w:eastAsia="仿宋"/>
          <w:b/>
          <w:color w:val="000000"/>
          <w:sz w:val="32"/>
          <w:szCs w:val="32"/>
        </w:rPr>
      </w:pPr>
      <w:bookmarkStart w:id="62" w:name="_Toc15377216"/>
      <w:bookmarkStart w:id="63" w:name="_Toc54610963"/>
      <w:r>
        <w:rPr>
          <w:rFonts w:hint="eastAsia" w:ascii="仿宋" w:hAnsi="仿宋" w:eastAsia="仿宋"/>
          <w:b/>
          <w:color w:val="000000"/>
          <w:sz w:val="32"/>
          <w:szCs w:val="32"/>
        </w:rPr>
        <w:t>（一）“三公”经费财政拨款支出决算总体情况说明</w:t>
      </w:r>
      <w:bookmarkEnd w:id="62"/>
      <w:bookmarkEnd w:id="63"/>
    </w:p>
    <w:p>
      <w:pPr>
        <w:spacing w:line="600" w:lineRule="exact"/>
        <w:ind w:firstLine="640"/>
        <w:rPr>
          <w:rFonts w:hint="eastAsia" w:ascii="仿宋" w:hAnsi="仿宋" w:eastAsia="仿宋"/>
          <w:color w:val="000000"/>
          <w:sz w:val="32"/>
          <w:szCs w:val="32"/>
          <w:lang w:eastAsia="zh-CN"/>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9年“三公”经费财政拨款支出决算为</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万元，完成预算100</w:t>
      </w:r>
      <w:r>
        <w:rPr>
          <w:rFonts w:ascii="仿宋" w:hAnsi="仿宋" w:eastAsia="仿宋"/>
          <w:color w:val="000000"/>
          <w:sz w:val="32"/>
          <w:szCs w:val="32"/>
        </w:rPr>
        <w:t>%</w:t>
      </w:r>
      <w:r>
        <w:rPr>
          <w:rFonts w:hint="eastAsia" w:ascii="仿宋" w:hAnsi="仿宋" w:eastAsia="仿宋"/>
          <w:color w:val="000000"/>
          <w:sz w:val="32"/>
          <w:szCs w:val="32"/>
          <w:lang w:eastAsia="zh-CN"/>
        </w:rPr>
        <w:t>。</w:t>
      </w:r>
    </w:p>
    <w:p>
      <w:pPr>
        <w:spacing w:line="600" w:lineRule="exact"/>
        <w:ind w:firstLine="640"/>
        <w:outlineLvl w:val="2"/>
        <w:rPr>
          <w:rFonts w:ascii="仿宋" w:hAnsi="仿宋" w:eastAsia="仿宋"/>
          <w:b/>
          <w:color w:val="000000"/>
          <w:sz w:val="32"/>
          <w:szCs w:val="32"/>
        </w:rPr>
      </w:pPr>
      <w:bookmarkStart w:id="64" w:name="_Toc15377217"/>
      <w:bookmarkStart w:id="65" w:name="_Toc54610964"/>
      <w:r>
        <w:rPr>
          <w:rFonts w:hint="eastAsia" w:ascii="仿宋" w:hAnsi="仿宋" w:eastAsia="仿宋"/>
          <w:b/>
          <w:color w:val="000000"/>
          <w:sz w:val="32"/>
          <w:szCs w:val="32"/>
        </w:rPr>
        <w:t>（二）“三公”经费财政拨款支出决算具体情况说明</w:t>
      </w:r>
      <w:bookmarkEnd w:id="64"/>
      <w:bookmarkEnd w:id="65"/>
    </w:p>
    <w:p>
      <w:pPr>
        <w:spacing w:line="600" w:lineRule="exact"/>
        <w:ind w:firstLine="640"/>
        <w:rPr>
          <w:rFonts w:hint="eastAsia" w:ascii="仿宋" w:hAnsi="仿宋" w:eastAsia="仿宋"/>
          <w:color w:val="000000"/>
          <w:sz w:val="32"/>
          <w:szCs w:val="32"/>
          <w:lang w:eastAsia="zh-CN"/>
        </w:rPr>
      </w:pPr>
      <w:r>
        <w:rPr>
          <w:rFonts w:ascii="仿宋" w:hAnsi="仿宋" w:eastAsia="仿宋"/>
          <w:color w:val="000000"/>
          <w:sz w:val="32"/>
          <w:szCs w:val="32"/>
        </w:rPr>
        <w:t>201</w:t>
      </w:r>
      <w:r>
        <w:rPr>
          <w:rFonts w:hint="eastAsia" w:ascii="仿宋" w:hAnsi="仿宋" w:eastAsia="仿宋"/>
          <w:color w:val="000000"/>
          <w:sz w:val="32"/>
          <w:szCs w:val="32"/>
        </w:rPr>
        <w:t>9年“三公”经费财政拨款支出决算中，因公出国（境）费支出决算0万元，占0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；公务用车购置及运行维护费支出决算0万元，占0</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color w:val="000000"/>
          <w:sz w:val="32"/>
          <w:szCs w:val="32"/>
          <w:lang w:val="en-US" w:eastAsia="zh-CN"/>
        </w:rPr>
        <w:t>0</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w:t>
      </w:r>
    </w:p>
    <w:p>
      <w:pPr>
        <w:spacing w:line="600" w:lineRule="exact"/>
        <w:rPr>
          <w:rFonts w:ascii="仿宋" w:hAnsi="仿宋" w:eastAsia="仿宋"/>
          <w:color w:val="000000"/>
          <w:sz w:val="32"/>
          <w:szCs w:val="32"/>
        </w:rPr>
      </w:pP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rPr>
        <w:t>0万元，</w:t>
      </w:r>
      <w:r>
        <w:rPr>
          <w:rStyle w:val="14"/>
          <w:rFonts w:hint="eastAsia" w:ascii="仿宋" w:hAnsi="仿宋" w:eastAsia="仿宋"/>
          <w:b w:val="0"/>
          <w:bCs/>
          <w:color w:val="000000"/>
          <w:sz w:val="32"/>
          <w:szCs w:val="32"/>
        </w:rPr>
        <w:t>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全年安排因公出国（境）团组0次，出国（境）0人。因公出国（境）支出决算比</w:t>
      </w:r>
      <w:r>
        <w:rPr>
          <w:rFonts w:ascii="仿宋_GB2312" w:eastAsia="仿宋_GB2312"/>
          <w:color w:val="000000"/>
          <w:sz w:val="32"/>
          <w:szCs w:val="32"/>
        </w:rPr>
        <w:t>201</w:t>
      </w:r>
      <w:r>
        <w:rPr>
          <w:rFonts w:hint="eastAsia" w:ascii="仿宋_GB2312" w:eastAsia="仿宋_GB2312"/>
          <w:color w:val="000000"/>
          <w:sz w:val="32"/>
          <w:szCs w:val="32"/>
        </w:rPr>
        <w:t>8年增加0万元，增长0</w:t>
      </w:r>
      <w:r>
        <w:rPr>
          <w:rFonts w:ascii="仿宋_GB2312" w:eastAsia="仿宋_GB2312"/>
          <w:color w:val="000000"/>
          <w:sz w:val="32"/>
          <w:szCs w:val="32"/>
        </w:rPr>
        <w:t>%</w:t>
      </w:r>
      <w:r>
        <w:rPr>
          <w:rFonts w:hint="eastAsia" w:ascii="仿宋_GB2312" w:eastAsia="仿宋_GB2312"/>
          <w:color w:val="000000"/>
          <w:sz w:val="32"/>
          <w:szCs w:val="32"/>
        </w:rPr>
        <w:t>。</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eastAsia="仿宋_GB2312"/>
          <w:color w:val="000000"/>
          <w:sz w:val="32"/>
          <w:szCs w:val="32"/>
        </w:rPr>
        <w:t>0万元,</w:t>
      </w:r>
      <w:r>
        <w:rPr>
          <w:rStyle w:val="14"/>
          <w:rFonts w:hint="eastAsia" w:ascii="仿宋" w:hAnsi="仿宋" w:eastAsia="仿宋"/>
          <w:b w:val="0"/>
          <w:bCs/>
          <w:color w:val="000000"/>
          <w:sz w:val="32"/>
          <w:szCs w:val="32"/>
        </w:rPr>
        <w:t>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公务用车购置及运行维护费支出决算比</w:t>
      </w:r>
      <w:r>
        <w:rPr>
          <w:rFonts w:ascii="仿宋_GB2312" w:eastAsia="仿宋_GB2312"/>
          <w:color w:val="000000"/>
          <w:sz w:val="32"/>
          <w:szCs w:val="32"/>
        </w:rPr>
        <w:t>201</w:t>
      </w:r>
      <w:r>
        <w:rPr>
          <w:rFonts w:hint="eastAsia" w:ascii="仿宋_GB2312" w:eastAsia="仿宋_GB2312"/>
          <w:color w:val="000000"/>
          <w:sz w:val="32"/>
          <w:szCs w:val="32"/>
        </w:rPr>
        <w:t>8年增加0万元，增长0</w:t>
      </w:r>
      <w:r>
        <w:rPr>
          <w:rFonts w:ascii="仿宋_GB2312" w:eastAsia="仿宋_GB2312"/>
          <w:color w:val="000000"/>
          <w:sz w:val="32"/>
          <w:szCs w:val="32"/>
        </w:rPr>
        <w:t>%</w:t>
      </w:r>
      <w:r>
        <w:rPr>
          <w:rFonts w:hint="eastAsia" w:ascii="仿宋_GB2312" w:eastAsia="仿宋_GB2312"/>
          <w:color w:val="000000"/>
          <w:sz w:val="32"/>
          <w:szCs w:val="32"/>
        </w:rPr>
        <w:t>。</w:t>
      </w:r>
    </w:p>
    <w:p>
      <w:pPr>
        <w:spacing w:line="60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rPr>
        <w:t>0万元。全年按规定更新购置公务用车0辆，金额0</w:t>
      </w:r>
      <w:r>
        <w:rPr>
          <w:rFonts w:ascii="仿宋_GB2312" w:eastAsia="仿宋_GB2312"/>
          <w:color w:val="000000"/>
          <w:sz w:val="32"/>
          <w:szCs w:val="32"/>
        </w:rPr>
        <w:t>元。</w:t>
      </w: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月底，单位共有公务用车0辆，其中：主要领导干部用车0辆、机要通信用车0辆、应急保障用车0辆、 执法执勤用车0辆。</w:t>
      </w:r>
    </w:p>
    <w:p>
      <w:pPr>
        <w:spacing w:line="600" w:lineRule="exact"/>
        <w:ind w:firstLine="640"/>
        <w:rPr>
          <w:rFonts w:ascii="仿宋_GB2312" w:eastAsia="仿宋_GB2312"/>
          <w:color w:val="000000"/>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rPr>
        <w:t>0万元。</w:t>
      </w:r>
    </w:p>
    <w:p>
      <w:pPr>
        <w:spacing w:line="600" w:lineRule="exact"/>
        <w:ind w:firstLine="640"/>
        <w:rPr>
          <w:rFonts w:ascii="仿宋_GB2312" w:eastAsia="仿宋_GB2312"/>
          <w:color w:val="000000"/>
          <w:sz w:val="32"/>
          <w:szCs w:val="32"/>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Style w:val="14"/>
          <w:rFonts w:hint="eastAsia" w:ascii="仿宋" w:hAnsi="仿宋" w:eastAsia="仿宋"/>
          <w:b w:val="0"/>
          <w:bCs/>
          <w:color w:val="000000"/>
          <w:sz w:val="32"/>
          <w:szCs w:val="32"/>
        </w:rPr>
        <w:t>完成预算100</w:t>
      </w:r>
      <w:r>
        <w:rPr>
          <w:rStyle w:val="14"/>
          <w:rFonts w:ascii="仿宋" w:hAnsi="仿宋" w:eastAsia="仿宋"/>
          <w:b w:val="0"/>
          <w:bCs/>
          <w:color w:val="000000"/>
          <w:sz w:val="32"/>
          <w:szCs w:val="32"/>
        </w:rPr>
        <w:t>%</w:t>
      </w:r>
      <w:r>
        <w:rPr>
          <w:rStyle w:val="14"/>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rPr>
        <w:t>8年减少0.</w:t>
      </w:r>
      <w:r>
        <w:rPr>
          <w:rFonts w:hint="eastAsia" w:ascii="仿宋_GB2312" w:eastAsia="仿宋_GB2312"/>
          <w:color w:val="000000"/>
          <w:sz w:val="32"/>
          <w:szCs w:val="32"/>
          <w:lang w:val="en-US" w:eastAsia="zh-CN"/>
        </w:rPr>
        <w:t>3</w:t>
      </w:r>
      <w:r>
        <w:rPr>
          <w:rFonts w:hint="eastAsia" w:ascii="仿宋_GB2312" w:eastAsia="仿宋_GB2312"/>
          <w:color w:val="000000"/>
          <w:sz w:val="32"/>
          <w:szCs w:val="32"/>
        </w:rPr>
        <w:t>万元，降了</w:t>
      </w:r>
      <w:r>
        <w:rPr>
          <w:rFonts w:hint="eastAsia" w:ascii="仿宋_GB2312" w:eastAsia="仿宋_GB2312"/>
          <w:color w:val="000000"/>
          <w:sz w:val="32"/>
          <w:szCs w:val="32"/>
          <w:lang w:val="en-US" w:eastAsia="zh-CN"/>
        </w:rPr>
        <w:t>100</w:t>
      </w:r>
      <w:r>
        <w:rPr>
          <w:rFonts w:ascii="仿宋_GB2312" w:eastAsia="仿宋_GB2312"/>
          <w:color w:val="000000"/>
          <w:sz w:val="32"/>
          <w:szCs w:val="32"/>
        </w:rPr>
        <w:t>%</w:t>
      </w:r>
      <w:r>
        <w:rPr>
          <w:rFonts w:hint="eastAsia" w:ascii="仿宋_GB2312" w:eastAsia="仿宋_GB2312"/>
          <w:color w:val="000000"/>
          <w:sz w:val="32"/>
          <w:szCs w:val="32"/>
        </w:rPr>
        <w:t>。主要原因是学校节压缩开支降低接待标准。</w:t>
      </w:r>
    </w:p>
    <w:p>
      <w:pPr>
        <w:spacing w:line="600" w:lineRule="exact"/>
        <w:ind w:firstLine="640"/>
        <w:rPr>
          <w:rFonts w:ascii="仿宋_GB2312" w:eastAsia="仿宋_GB2312"/>
          <w:color w:val="FF0000"/>
          <w:sz w:val="32"/>
          <w:szCs w:val="32"/>
        </w:rPr>
      </w:pPr>
      <w:r>
        <w:rPr>
          <w:rFonts w:hint="eastAsia" w:ascii="仿宋" w:hAnsi="仿宋" w:eastAsia="仿宋"/>
          <w:b/>
          <w:color w:val="000000"/>
          <w:sz w:val="32"/>
          <w:szCs w:val="32"/>
        </w:rPr>
        <w:t>国内公务接待支出</w:t>
      </w:r>
      <w:r>
        <w:rPr>
          <w:rFonts w:hint="eastAsia" w:ascii="仿宋" w:hAnsi="仿宋" w:eastAsia="仿宋"/>
          <w:color w:val="000000"/>
          <w:sz w:val="32"/>
          <w:szCs w:val="32"/>
          <w:lang w:val="en-US" w:eastAsia="zh-CN"/>
        </w:rPr>
        <w:t>0</w:t>
      </w:r>
      <w:r>
        <w:rPr>
          <w:rFonts w:hint="eastAsia" w:ascii="仿宋_GB2312" w:eastAsia="仿宋_GB2312"/>
          <w:color w:val="000000"/>
          <w:sz w:val="32"/>
          <w:szCs w:val="32"/>
        </w:rPr>
        <w:t>万元，主要用于执行公务、开展业务活动开支的住宿费、用餐费等。国内公务接待</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人次（不包括陪同人员），共计支出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640"/>
        <w:rPr>
          <w:rFonts w:ascii="黑体" w:eastAsia="黑体"/>
          <w:color w:val="000000"/>
          <w:sz w:val="32"/>
          <w:szCs w:val="32"/>
        </w:rPr>
      </w:pPr>
      <w:r>
        <w:rPr>
          <w:rFonts w:hint="eastAsia" w:ascii="仿宋" w:hAnsi="仿宋" w:eastAsia="仿宋"/>
          <w:b/>
          <w:color w:val="000000"/>
          <w:sz w:val="32"/>
          <w:szCs w:val="32"/>
        </w:rPr>
        <w:t>外事接待支出</w:t>
      </w:r>
      <w:r>
        <w:rPr>
          <w:rFonts w:hint="eastAsia" w:ascii="仿宋" w:hAnsi="仿宋" w:eastAsia="仿宋"/>
          <w:color w:val="000000"/>
          <w:sz w:val="32"/>
          <w:szCs w:val="32"/>
        </w:rPr>
        <w:t>0</w:t>
      </w:r>
      <w:r>
        <w:rPr>
          <w:rFonts w:hint="eastAsia" w:ascii="仿宋_GB2312" w:eastAsia="仿宋_GB2312"/>
          <w:color w:val="000000"/>
          <w:sz w:val="32"/>
          <w:szCs w:val="32"/>
        </w:rPr>
        <w:t>万元</w:t>
      </w:r>
      <w:r>
        <w:rPr>
          <w:rFonts w:hint="eastAsia" w:ascii="仿宋_GB2312" w:eastAsia="仿宋_GB2312"/>
          <w:color w:val="000000" w:themeColor="text1"/>
          <w:sz w:val="32"/>
          <w:szCs w:val="32"/>
        </w:rPr>
        <w:t>，外事接待0批次，0人，共计支出0万元</w:t>
      </w:r>
      <w:r>
        <w:rPr>
          <w:rFonts w:hint="eastAsia" w:ascii="仿宋_GB2312" w:eastAsia="仿宋_GB2312"/>
          <w:color w:val="000000"/>
          <w:sz w:val="32"/>
          <w:szCs w:val="32"/>
        </w:rPr>
        <w:t>。</w:t>
      </w:r>
      <w:bookmarkStart w:id="66" w:name="_Toc15377218"/>
      <w:bookmarkStart w:id="67" w:name="_Toc15396610"/>
    </w:p>
    <w:p>
      <w:pPr>
        <w:spacing w:line="600" w:lineRule="exact"/>
        <w:ind w:firstLine="640"/>
        <w:outlineLvl w:val="1"/>
        <w:rPr>
          <w:rStyle w:val="25"/>
          <w:rFonts w:ascii="黑体" w:hAnsi="黑体" w:eastAsia="黑体"/>
        </w:rPr>
      </w:pPr>
      <w:bookmarkStart w:id="68" w:name="_Toc54610965"/>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66"/>
      <w:bookmarkEnd w:id="67"/>
      <w:bookmarkEnd w:id="68"/>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9年政府性基金预算拨款支出0万元。</w:t>
      </w:r>
    </w:p>
    <w:p>
      <w:pPr>
        <w:numPr>
          <w:ilvl w:val="0"/>
          <w:numId w:val="2"/>
        </w:numPr>
        <w:spacing w:line="600" w:lineRule="exact"/>
        <w:ind w:firstLine="640"/>
        <w:outlineLvl w:val="1"/>
        <w:rPr>
          <w:rStyle w:val="25"/>
          <w:rFonts w:ascii="黑体" w:hAnsi="黑体" w:eastAsia="黑体"/>
          <w:b w:val="0"/>
        </w:rPr>
      </w:pPr>
      <w:bookmarkStart w:id="69" w:name="_Toc15396611"/>
      <w:bookmarkStart w:id="70" w:name="_Toc15377219"/>
      <w:bookmarkStart w:id="71" w:name="_Toc54610966"/>
      <w:r>
        <w:rPr>
          <w:rStyle w:val="25"/>
          <w:rFonts w:hint="eastAsia" w:ascii="黑体" w:hAnsi="黑体" w:eastAsia="黑体"/>
          <w:b w:val="0"/>
        </w:rPr>
        <w:t>国有资本经营预算支出决算情况说明</w:t>
      </w:r>
      <w:bookmarkEnd w:id="69"/>
      <w:bookmarkEnd w:id="70"/>
      <w:bookmarkEnd w:id="71"/>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color w:val="000000"/>
          <w:sz w:val="32"/>
          <w:szCs w:val="32"/>
        </w:rPr>
        <w:t>201</w:t>
      </w:r>
      <w:r>
        <w:rPr>
          <w:rFonts w:hint="eastAsia" w:ascii="仿宋_GB2312" w:eastAsia="仿宋_GB2312"/>
          <w:color w:val="000000"/>
          <w:sz w:val="32"/>
          <w:szCs w:val="32"/>
        </w:rPr>
        <w:t>9年国有资本经营预算拨款支出0万元。</w:t>
      </w:r>
    </w:p>
    <w:p>
      <w:pPr>
        <w:spacing w:line="600" w:lineRule="exact"/>
        <w:ind w:firstLine="800" w:firstLineChars="250"/>
        <w:outlineLvl w:val="1"/>
        <w:rPr>
          <w:rStyle w:val="25"/>
          <w:rFonts w:ascii="黑体" w:hAnsi="黑体" w:eastAsia="黑体"/>
        </w:rPr>
      </w:pPr>
      <w:bookmarkStart w:id="72" w:name="_Toc15377221"/>
      <w:bookmarkStart w:id="73" w:name="_Toc15396612"/>
      <w:bookmarkStart w:id="74" w:name="_Toc54610967"/>
      <w:r>
        <w:rPr>
          <w:rFonts w:hint="eastAsia" w:ascii="黑体" w:hAnsi="黑体" w:eastAsia="黑体"/>
          <w:color w:val="000000"/>
          <w:sz w:val="32"/>
          <w:szCs w:val="32"/>
        </w:rPr>
        <w:t>十</w:t>
      </w:r>
      <w:r>
        <w:rPr>
          <w:rStyle w:val="25"/>
          <w:rFonts w:hint="eastAsia" w:ascii="黑体" w:hAnsi="黑体" w:eastAsia="黑体"/>
        </w:rPr>
        <w:t>、</w:t>
      </w:r>
      <w:r>
        <w:rPr>
          <w:rStyle w:val="25"/>
          <w:rFonts w:hint="eastAsia" w:ascii="黑体" w:hAnsi="黑体" w:eastAsia="黑体"/>
          <w:b w:val="0"/>
        </w:rPr>
        <w:t>其他重要事项的情况说明</w:t>
      </w:r>
      <w:bookmarkEnd w:id="72"/>
      <w:bookmarkEnd w:id="73"/>
      <w:bookmarkEnd w:id="74"/>
    </w:p>
    <w:p>
      <w:pPr>
        <w:spacing w:line="600" w:lineRule="exact"/>
        <w:ind w:firstLine="643" w:firstLineChars="200"/>
        <w:outlineLvl w:val="2"/>
        <w:rPr>
          <w:rFonts w:ascii="仿宋" w:hAnsi="仿宋" w:eastAsia="仿宋"/>
          <w:color w:val="000000"/>
          <w:sz w:val="32"/>
          <w:szCs w:val="32"/>
        </w:rPr>
      </w:pPr>
      <w:bookmarkStart w:id="75" w:name="_Toc15377222"/>
      <w:bookmarkStart w:id="76" w:name="_Toc54610968"/>
      <w:r>
        <w:rPr>
          <w:rFonts w:hint="eastAsia" w:ascii="仿宋" w:hAnsi="仿宋" w:eastAsia="仿宋"/>
          <w:b/>
          <w:color w:val="000000"/>
          <w:sz w:val="32"/>
          <w:szCs w:val="32"/>
        </w:rPr>
        <w:t>（一）机关运行经费支出情况</w:t>
      </w:r>
      <w:bookmarkEnd w:id="75"/>
      <w:bookmarkEnd w:id="76"/>
    </w:p>
    <w:p>
      <w:pPr>
        <w:spacing w:line="600" w:lineRule="exact"/>
        <w:ind w:firstLine="640" w:firstLineChars="200"/>
        <w:rPr>
          <w:rFonts w:ascii="仿宋_GB2312" w:eastAsia="仿宋_GB2312"/>
          <w:color w:val="000000" w:themeColor="text1"/>
          <w:sz w:val="32"/>
          <w:szCs w:val="32"/>
        </w:rPr>
      </w:pPr>
      <w:r>
        <w:rPr>
          <w:rFonts w:ascii="仿宋_GB2312" w:eastAsia="仿宋_GB2312"/>
          <w:color w:val="000000"/>
          <w:sz w:val="32"/>
          <w:szCs w:val="32"/>
        </w:rPr>
        <w:t>201</w:t>
      </w:r>
      <w:r>
        <w:rPr>
          <w:rFonts w:hint="eastAsia" w:ascii="仿宋_GB2312" w:eastAsia="仿宋_GB2312"/>
          <w:color w:val="000000"/>
          <w:sz w:val="32"/>
          <w:szCs w:val="32"/>
        </w:rPr>
        <w:t>9年，壤塘县</w:t>
      </w:r>
      <w:r>
        <w:rPr>
          <w:rFonts w:hint="eastAsia" w:ascii="仿宋_GB2312" w:eastAsia="仿宋_GB2312"/>
          <w:color w:val="000000"/>
          <w:sz w:val="32"/>
          <w:szCs w:val="32"/>
          <w:lang w:eastAsia="zh-CN"/>
        </w:rPr>
        <w:t>伊里中小学校</w:t>
      </w:r>
      <w:r>
        <w:rPr>
          <w:rFonts w:hint="eastAsia" w:ascii="仿宋_GB2312" w:eastAsia="仿宋_GB2312"/>
          <w:color w:val="000000"/>
          <w:sz w:val="32"/>
          <w:szCs w:val="32"/>
        </w:rPr>
        <w:t>机关运行经费支出0万元，比</w:t>
      </w:r>
      <w:r>
        <w:rPr>
          <w:rFonts w:ascii="仿宋_GB2312" w:eastAsia="仿宋_GB2312"/>
          <w:color w:val="000000"/>
          <w:sz w:val="32"/>
          <w:szCs w:val="32"/>
        </w:rPr>
        <w:t>201</w:t>
      </w:r>
      <w:r>
        <w:rPr>
          <w:rFonts w:hint="eastAsia" w:ascii="仿宋_GB2312" w:eastAsia="仿宋_GB2312"/>
          <w:color w:val="000000"/>
          <w:sz w:val="32"/>
          <w:szCs w:val="32"/>
        </w:rPr>
        <w:t>8年增加0万元，增长0</w:t>
      </w:r>
      <w:r>
        <w:rPr>
          <w:rFonts w:ascii="仿宋_GB2312" w:eastAsia="仿宋_GB2312"/>
          <w:color w:val="000000"/>
          <w:sz w:val="32"/>
          <w:szCs w:val="32"/>
        </w:rPr>
        <w:t>%</w:t>
      </w:r>
      <w:r>
        <w:rPr>
          <w:rFonts w:hint="eastAsia" w:ascii="仿宋_GB2312" w:eastAsia="仿宋_GB2312"/>
          <w:color w:val="000000"/>
          <w:sz w:val="32"/>
          <w:szCs w:val="32"/>
        </w:rPr>
        <w:t>，与</w:t>
      </w:r>
      <w:r>
        <w:rPr>
          <w:rFonts w:ascii="仿宋_GB2312" w:eastAsia="仿宋_GB2312"/>
          <w:color w:val="000000"/>
          <w:sz w:val="32"/>
          <w:szCs w:val="32"/>
        </w:rPr>
        <w:t>201</w:t>
      </w:r>
      <w:r>
        <w:rPr>
          <w:rFonts w:hint="eastAsia" w:ascii="仿宋_GB2312" w:eastAsia="仿宋_GB2312"/>
          <w:color w:val="000000"/>
          <w:sz w:val="32"/>
          <w:szCs w:val="32"/>
        </w:rPr>
        <w:t>8年决算数持平。</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77" w:name="_Toc15377223"/>
      <w:bookmarkStart w:id="78" w:name="_Toc54610969"/>
      <w:r>
        <w:rPr>
          <w:rFonts w:hint="eastAsia" w:ascii="仿宋" w:hAnsi="仿宋" w:eastAsia="仿宋"/>
          <w:b/>
          <w:color w:val="000000"/>
          <w:sz w:val="32"/>
          <w:szCs w:val="32"/>
        </w:rPr>
        <w:t>（二）政府采购支出情况</w:t>
      </w:r>
      <w:bookmarkEnd w:id="77"/>
      <w:bookmarkEnd w:id="78"/>
    </w:p>
    <w:p>
      <w:pPr>
        <w:spacing w:line="600" w:lineRule="exact"/>
        <w:ind w:firstLine="640" w:firstLineChars="20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9年，壤塘县</w:t>
      </w:r>
      <w:r>
        <w:rPr>
          <w:rFonts w:hint="eastAsia" w:ascii="仿宋_GB2312" w:eastAsia="仿宋_GB2312"/>
          <w:color w:val="000000"/>
          <w:sz w:val="32"/>
          <w:szCs w:val="32"/>
          <w:lang w:eastAsia="zh-CN"/>
        </w:rPr>
        <w:t>伊里中小学校</w:t>
      </w:r>
      <w:r>
        <w:rPr>
          <w:rFonts w:hint="eastAsia" w:ascii="仿宋_GB2312" w:eastAsia="仿宋_GB2312"/>
          <w:color w:val="000000"/>
          <w:sz w:val="32"/>
          <w:szCs w:val="32"/>
        </w:rPr>
        <w:t>政府采购支出总额0万元，其中：政府采购货物支出0万元、政府采购工程支出0万元、政府采购服务支出0万元。授予中小企业合同金额0万元，占政府采购支出总额的0</w:t>
      </w:r>
      <w:r>
        <w:rPr>
          <w:rFonts w:ascii="仿宋_GB2312" w:eastAsia="仿宋_GB2312"/>
          <w:color w:val="000000"/>
          <w:sz w:val="32"/>
          <w:szCs w:val="32"/>
        </w:rPr>
        <w:t>%</w:t>
      </w:r>
      <w:r>
        <w:rPr>
          <w:rFonts w:hint="eastAsia" w:ascii="仿宋_GB2312" w:eastAsia="仿宋_GB2312"/>
          <w:color w:val="000000"/>
          <w:sz w:val="32"/>
          <w:szCs w:val="32"/>
        </w:rPr>
        <w:t>，其中：授予小微企业合同金额0万元，占政府采购支出总额的0</w:t>
      </w:r>
      <w:r>
        <w:rPr>
          <w:rFonts w:ascii="仿宋_GB2312" w:eastAsia="仿宋_GB2312"/>
          <w:color w:val="000000"/>
          <w:sz w:val="32"/>
          <w:szCs w:val="32"/>
        </w:rPr>
        <w:t>%</w:t>
      </w:r>
      <w:r>
        <w:rPr>
          <w:rFonts w:hint="eastAsia" w:ascii="仿宋_GB2312" w:eastAsia="仿宋_GB2312"/>
          <w:color w:val="000000"/>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79" w:name="_Toc54610970"/>
      <w:bookmarkStart w:id="80" w:name="_Toc15377224"/>
      <w:r>
        <w:rPr>
          <w:rFonts w:hint="eastAsia" w:ascii="仿宋" w:hAnsi="仿宋" w:eastAsia="仿宋"/>
          <w:b/>
          <w:color w:val="000000"/>
          <w:sz w:val="32"/>
          <w:szCs w:val="32"/>
        </w:rPr>
        <w:t>（三）国有资产占有使用情况</w:t>
      </w:r>
      <w:bookmarkEnd w:id="79"/>
      <w:bookmarkEnd w:id="80"/>
    </w:p>
    <w:p>
      <w:pPr>
        <w:autoSpaceDE w:val="0"/>
        <w:autoSpaceDN w:val="0"/>
        <w:adjustRightInd w:val="0"/>
        <w:spacing w:line="600" w:lineRule="exact"/>
        <w:ind w:firstLine="640" w:firstLineChars="200"/>
        <w:jc w:val="left"/>
        <w:rPr>
          <w:rFonts w:ascii="仿宋" w:hAnsi="仿宋" w:eastAsia="仿宋"/>
          <w:b/>
          <w:color w:val="FF0000"/>
          <w:sz w:val="32"/>
          <w:szCs w:val="32"/>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9年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日，壤塘县</w:t>
      </w:r>
      <w:r>
        <w:rPr>
          <w:rFonts w:hint="eastAsia" w:ascii="仿宋_GB2312" w:eastAsia="仿宋_GB2312"/>
          <w:color w:val="000000"/>
          <w:sz w:val="32"/>
          <w:szCs w:val="32"/>
          <w:lang w:eastAsia="zh-CN"/>
        </w:rPr>
        <w:t>伊里中小学校</w:t>
      </w:r>
      <w:r>
        <w:rPr>
          <w:rFonts w:hint="eastAsia" w:ascii="仿宋_GB2312" w:eastAsia="仿宋_GB2312"/>
          <w:color w:val="000000"/>
          <w:sz w:val="32"/>
          <w:szCs w:val="32"/>
        </w:rPr>
        <w:t>共有车辆0辆，其中：主要领导干部用车0辆、机要通信用车0辆、应急保障用车0辆、其他用车0辆，</w:t>
      </w:r>
      <w:r>
        <w:rPr>
          <w:rFonts w:hint="eastAsia" w:ascii="仿宋_GB2312" w:eastAsia="仿宋_GB2312"/>
          <w:color w:val="000000" w:themeColor="text1"/>
          <w:sz w:val="32"/>
          <w:szCs w:val="32"/>
        </w:rPr>
        <w:t>单价</w:t>
      </w:r>
      <w:r>
        <w:rPr>
          <w:rFonts w:ascii="仿宋_GB2312" w:eastAsia="仿宋_GB2312"/>
          <w:color w:val="000000" w:themeColor="text1"/>
          <w:sz w:val="32"/>
          <w:szCs w:val="32"/>
        </w:rPr>
        <w:t>50</w:t>
      </w:r>
      <w:r>
        <w:rPr>
          <w:rFonts w:hint="eastAsia" w:ascii="仿宋_GB2312" w:eastAsia="仿宋_GB2312"/>
          <w:color w:val="000000" w:themeColor="text1"/>
          <w:sz w:val="32"/>
          <w:szCs w:val="32"/>
        </w:rPr>
        <w:t>万元以上通用设备0台（套），单价</w:t>
      </w:r>
      <w:r>
        <w:rPr>
          <w:rFonts w:ascii="仿宋_GB2312" w:eastAsia="仿宋_GB2312"/>
          <w:color w:val="000000" w:themeColor="text1"/>
          <w:sz w:val="32"/>
          <w:szCs w:val="32"/>
        </w:rPr>
        <w:t>100</w:t>
      </w:r>
      <w:r>
        <w:rPr>
          <w:rFonts w:hint="eastAsia" w:ascii="仿宋_GB2312" w:eastAsia="仿宋_GB2312"/>
          <w:color w:val="000000"/>
          <w:sz w:val="32"/>
          <w:szCs w:val="32"/>
        </w:rPr>
        <w:t>万元以上专用设备0台（套）。</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81" w:name="_Toc54610971"/>
      <w:r>
        <w:rPr>
          <w:rFonts w:hint="eastAsia" w:ascii="仿宋" w:hAnsi="仿宋" w:eastAsia="仿宋"/>
          <w:b/>
          <w:color w:val="000000"/>
          <w:sz w:val="32"/>
          <w:szCs w:val="32"/>
        </w:rPr>
        <w:t>（四）预算绩效管理情况。</w:t>
      </w:r>
      <w:bookmarkEnd w:id="81"/>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注：学前减免午餐费及寄宿制学生生活县级补助项目属于运转类项目，未进行单独的项目绩效目标评价）根据预算绩效管理要求，本部门（单位）在年初预算编制阶段，组织对0个项目开展了预算事前绩效评估，对0个项目编制了绩效目标，预算执行过程中，选取0个项目开展绩效监控，年终执行完毕后，对0个项目开展了绩效目标完成情况梳理填报。</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开展绩效自评，从评价情况来看：我学校及时足额发放人员保障经费、严肃财经纪律，严格预算规定，落实好资金资助政策，保证资金安全，及时下达资金，督促相关部门按时落实学前减免午餐费资金、寄宿制阶段学生生活费资金等，使资金支付按预算目标进行。</w:t>
      </w:r>
    </w:p>
    <w:p>
      <w:pPr>
        <w:spacing w:line="580" w:lineRule="exact"/>
        <w:ind w:firstLine="630" w:firstLineChars="196"/>
        <w:rPr>
          <w:rFonts w:ascii="仿宋_GB2312" w:hAnsi="仿宋_GB2312" w:eastAsia="仿宋_GB2312" w:cs="仿宋_GB2312"/>
          <w:sz w:val="32"/>
          <w:szCs w:val="32"/>
        </w:rPr>
      </w:pPr>
      <w:r>
        <w:rPr>
          <w:rFonts w:hint="eastAsia" w:ascii="仿宋" w:hAnsi="仿宋" w:eastAsia="仿宋" w:cs="楷体_GB2312"/>
          <w:b/>
          <w:bCs/>
          <w:sz w:val="32"/>
          <w:szCs w:val="32"/>
        </w:rPr>
        <w:t>1.项目绩效目标完成情况。</w:t>
      </w:r>
      <w:r>
        <w:rPr>
          <w:rFonts w:hint="eastAsia" w:ascii="楷体_GB2312" w:hAnsi="楷体_GB2312" w:eastAsia="楷体_GB2312" w:cs="楷体_GB2312"/>
          <w:b/>
          <w:bCs/>
          <w:sz w:val="32"/>
          <w:szCs w:val="32"/>
        </w:rPr>
        <w:br w:type="textWrapping"/>
      </w:r>
      <w:r>
        <w:rPr>
          <w:rFonts w:hint="eastAsia" w:ascii="仿宋_GB2312" w:hAnsi="仿宋_GB2312" w:eastAsia="仿宋_GB2312" w:cs="仿宋_GB2312"/>
          <w:sz w:val="32"/>
          <w:szCs w:val="32"/>
        </w:rPr>
        <w:t xml:space="preserve">    （注：学前减免午餐费及寄宿制学生生活县级补助项目属于运转类项目，未进行单独的项目绩效目标评价）本部门在2019年度部门决算中反映0个项目绩效目标实际完成情况。（本单位部门项目绩效目标个数在5个以上的，选取5个项目进行公开，目标个数在5个以下的，全部进行公开，公开内容包括完成情况综述和完成情况表）。</w:t>
      </w:r>
    </w:p>
    <w:p>
      <w:pPr>
        <w:tabs>
          <w:tab w:val="left" w:pos="312"/>
        </w:tabs>
        <w:spacing w:line="5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（1）.0个项目绩效目标完成情况综述。项目全年预算数0万元，执行数为0万元，完成预算的100%。</w:t>
      </w:r>
    </w:p>
    <w:tbl>
      <w:tblPr>
        <w:tblStyle w:val="12"/>
        <w:tblpPr w:leftFromText="180" w:rightFromText="180" w:vertAnchor="text" w:horzAnchor="page" w:tblpXSpec="center" w:tblpY="423"/>
        <w:tblOverlap w:val="never"/>
        <w:tblW w:w="9960" w:type="dxa"/>
        <w:jc w:val="center"/>
        <w:tblLayout w:type="fixed"/>
        <w:tblCellMar>
          <w:top w:w="0" w:type="dxa"/>
          <w:left w:w="0" w:type="dxa"/>
          <w:bottom w:w="0" w:type="dxa"/>
          <w:right w:w="0" w:type="dxa"/>
        </w:tblCellMar>
      </w:tblPr>
      <w:tblGrid>
        <w:gridCol w:w="390"/>
        <w:gridCol w:w="1367"/>
        <w:gridCol w:w="1025"/>
        <w:gridCol w:w="2392"/>
        <w:gridCol w:w="2394"/>
        <w:gridCol w:w="2392"/>
      </w:tblGrid>
      <w:tr>
        <w:tblPrEx>
          <w:tblCellMar>
            <w:top w:w="0" w:type="dxa"/>
            <w:left w:w="0" w:type="dxa"/>
            <w:bottom w:w="0" w:type="dxa"/>
            <w:right w:w="0" w:type="dxa"/>
          </w:tblCellMar>
        </w:tblPrEx>
        <w:trPr>
          <w:trHeight w:val="1034" w:hRule="atLeast"/>
          <w:jc w:val="center"/>
        </w:trPr>
        <w:tc>
          <w:tcPr>
            <w:tcW w:w="9960" w:type="dxa"/>
            <w:gridSpan w:val="6"/>
            <w:tcBorders>
              <w:top w:val="nil"/>
              <w:left w:val="nil"/>
              <w:bottom w:val="nil"/>
              <w:right w:val="nil"/>
            </w:tcBorders>
            <w:tcMar>
              <w:top w:w="15" w:type="dxa"/>
              <w:left w:w="15" w:type="dxa"/>
              <w:right w:w="15" w:type="dxa"/>
            </w:tcMar>
            <w:vAlign w:val="center"/>
          </w:tcPr>
          <w:p>
            <w:pPr>
              <w:widowControl/>
              <w:jc w:val="center"/>
              <w:textAlignment w:val="center"/>
              <w:rPr>
                <w:rFonts w:ascii="宋体" w:hAnsi="宋体" w:cs="宋体"/>
                <w:color w:val="000000"/>
                <w:sz w:val="36"/>
                <w:szCs w:val="36"/>
              </w:rPr>
            </w:pPr>
            <w:r>
              <w:rPr>
                <w:rFonts w:hint="eastAsia" w:ascii="宋体" w:hAnsi="宋体" w:cs="宋体"/>
                <w:b/>
                <w:bCs/>
                <w:color w:val="000000"/>
                <w:kern w:val="0"/>
                <w:sz w:val="36"/>
                <w:szCs w:val="36"/>
              </w:rPr>
              <w:t>项目绩效目标完成情况表</w:t>
            </w:r>
            <w:r>
              <w:rPr>
                <w:rFonts w:hint="eastAsia" w:ascii="宋体" w:hAnsi="宋体" w:cs="宋体"/>
                <w:b/>
                <w:bCs/>
                <w:color w:val="000000"/>
                <w:kern w:val="0"/>
                <w:sz w:val="36"/>
                <w:szCs w:val="36"/>
              </w:rPr>
              <w:br w:type="textWrapping"/>
            </w:r>
            <w:r>
              <w:rPr>
                <w:rFonts w:hint="eastAsia" w:ascii="宋体" w:hAnsi="宋体" w:cs="宋体"/>
                <w:color w:val="000000"/>
                <w:kern w:val="0"/>
                <w:sz w:val="36"/>
                <w:szCs w:val="36"/>
              </w:rPr>
              <w:t>(2019 年度)</w:t>
            </w: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2782"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7178"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511"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392"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76" w:hRule="atLeast"/>
          <w:jc w:val="center"/>
        </w:trPr>
        <w:tc>
          <w:tcPr>
            <w:tcW w:w="39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159" w:hRule="atLeast"/>
          <w:jc w:val="center"/>
        </w:trPr>
        <w:tc>
          <w:tcPr>
            <w:tcW w:w="39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478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4786"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953"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42"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297" w:hRule="atLeast"/>
          <w:jc w:val="center"/>
        </w:trPr>
        <w:tc>
          <w:tcPr>
            <w:tcW w:w="390"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050" w:hRule="atLeast"/>
          <w:jc w:val="center"/>
        </w:trPr>
        <w:tc>
          <w:tcPr>
            <w:tcW w:w="39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3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满意度指标</w:t>
            </w:r>
          </w:p>
        </w:tc>
        <w:tc>
          <w:tcPr>
            <w:tcW w:w="10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23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bl>
    <w:p>
      <w:pPr>
        <w:spacing w:line="580" w:lineRule="exact"/>
        <w:rPr>
          <w:rFonts w:ascii="仿宋_GB2312" w:hAnsi="仿宋_GB2312" w:eastAsia="仿宋_GB2312" w:cs="仿宋_GB2312"/>
          <w:sz w:val="32"/>
          <w:szCs w:val="32"/>
        </w:rPr>
      </w:pPr>
    </w:p>
    <w:p>
      <w:pPr>
        <w:spacing w:line="580" w:lineRule="exact"/>
        <w:ind w:firstLine="630" w:firstLineChars="196"/>
        <w:rPr>
          <w:rFonts w:ascii="仿宋" w:hAnsi="仿宋" w:eastAsia="仿宋" w:cs="仿宋_GB2312"/>
          <w:sz w:val="32"/>
          <w:szCs w:val="32"/>
        </w:rPr>
      </w:pPr>
      <w:r>
        <w:rPr>
          <w:rFonts w:hint="eastAsia" w:ascii="仿宋" w:hAnsi="仿宋" w:eastAsia="仿宋" w:cs="楷体_GB2312"/>
          <w:b/>
          <w:bCs/>
          <w:sz w:val="32"/>
          <w:szCs w:val="32"/>
        </w:rPr>
        <w:t>2.部门开展绩效评价结果。</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本部门按要求对2019年部门整体支出绩效评价情况开展自评，《</w:t>
      </w:r>
      <w:r>
        <w:rPr>
          <w:rFonts w:hint="eastAsia" w:ascii="仿宋_GB2312" w:eastAsia="仿宋_GB2312"/>
          <w:color w:val="000000"/>
          <w:sz w:val="32"/>
          <w:szCs w:val="32"/>
        </w:rPr>
        <w:t>壤塘县</w:t>
      </w:r>
      <w:r>
        <w:rPr>
          <w:rFonts w:hint="eastAsia" w:ascii="仿宋_GB2312" w:eastAsia="仿宋_GB2312"/>
          <w:color w:val="000000"/>
          <w:sz w:val="32"/>
          <w:szCs w:val="32"/>
          <w:lang w:eastAsia="zh-CN"/>
        </w:rPr>
        <w:t>伊里中小学校</w:t>
      </w:r>
      <w:r>
        <w:rPr>
          <w:rFonts w:hint="eastAsia" w:ascii="仿宋_GB2312" w:hAnsi="仿宋_GB2312" w:eastAsia="仿宋_GB2312" w:cs="仿宋_GB2312"/>
          <w:sz w:val="32"/>
          <w:szCs w:val="32"/>
        </w:rPr>
        <w:t>2019年部门整体支出绩效评价报告》见附件。</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注：学前减免午餐费及寄宿制学生生活县级补助项目属于运转类项目，未进行单独的项目绩效目标评价）本部门自行组织对0个项目、0个项目开展了绩效评价。（非涉密部门均需公开部门整体支出评价报告，部门自行组织的绩效评价情况根据部门实际公开）。</w:t>
      </w:r>
    </w:p>
    <w:p>
      <w:pPr>
        <w:numPr>
          <w:ilvl w:val="0"/>
          <w:numId w:val="3"/>
        </w:numPr>
        <w:spacing w:line="600" w:lineRule="exact"/>
        <w:ind w:firstLine="660" w:firstLineChars="150"/>
        <w:jc w:val="center"/>
        <w:outlineLvl w:val="0"/>
        <w:rPr>
          <w:rStyle w:val="24"/>
          <w:rFonts w:ascii="黑体" w:hAnsi="黑体" w:eastAsia="黑体"/>
          <w:b w:val="0"/>
        </w:rPr>
      </w:pPr>
      <w:bookmarkStart w:id="82" w:name="_Toc15377225"/>
      <w:bookmarkStart w:id="83" w:name="_Toc54610972"/>
      <w:bookmarkStart w:id="84" w:name="_Toc15396613"/>
      <w:r>
        <w:rPr>
          <w:rFonts w:hint="eastAsia" w:ascii="黑体" w:hAnsi="黑体" w:eastAsia="黑体"/>
          <w:color w:val="000000"/>
          <w:sz w:val="44"/>
          <w:szCs w:val="44"/>
        </w:rPr>
        <w:t>名</w:t>
      </w:r>
      <w:r>
        <w:rPr>
          <w:rStyle w:val="24"/>
          <w:rFonts w:hint="eastAsia" w:ascii="黑体" w:hAnsi="黑体" w:eastAsia="黑体"/>
          <w:b w:val="0"/>
        </w:rPr>
        <w:t>词解释</w:t>
      </w:r>
      <w:bookmarkEnd w:id="82"/>
      <w:bookmarkEnd w:id="83"/>
      <w:bookmarkEnd w:id="84"/>
    </w:p>
    <w:p>
      <w:pPr>
        <w:pStyle w:val="22"/>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财政拨款收入：指单位从同级财政部门取得的财政预算资金。</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事业收入：指事业单位开展专业业务活动及辅助活动取得的收入。</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22"/>
        <w:spacing w:line="560" w:lineRule="exact"/>
        <w:ind w:left="638" w:leftChars="304"/>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r>
        <w:rPr>
          <w:rFonts w:ascii="仿宋_GB2312" w:eastAsia="仿宋_GB2312"/>
          <w:sz w:val="32"/>
          <w:szCs w:val="32"/>
        </w:rPr>
        <w:t>5.</w:t>
      </w:r>
      <w:r>
        <w:rPr>
          <w:rFonts w:hint="eastAsia" w:ascii="仿宋_GB2312" w:eastAsia="仿宋_GB2312"/>
          <w:sz w:val="32"/>
          <w:szCs w:val="32"/>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6.</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7.</w:t>
      </w:r>
      <w:r>
        <w:rPr>
          <w:rFonts w:hint="eastAsia" w:ascii="仿宋_GB2312" w:eastAsia="仿宋_GB2312"/>
          <w:sz w:val="32"/>
          <w:szCs w:val="32"/>
        </w:rPr>
        <w:t>结余分配：指事业单位按照事业单位会计制度的规定从非财政补助结余中分配的事业基金和职工福利基金等。</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8</w:t>
      </w:r>
      <w:r>
        <w:rPr>
          <w:rFonts w:hint="eastAsia" w:ascii="仿宋_GB2312" w:eastAsia="仿宋_GB2312"/>
          <w:sz w:val="32"/>
          <w:szCs w:val="32"/>
        </w:rPr>
        <w:t>、年末结转和结余：指单位按有关规定结转到下年或以后年度继续使用的资金。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9</w:t>
      </w:r>
      <w:r>
        <w:rPr>
          <w:rFonts w:hint="eastAsia" w:ascii="仿宋_GB2312" w:eastAsia="仿宋_GB2312"/>
          <w:sz w:val="32"/>
          <w:szCs w:val="32"/>
        </w:rPr>
        <w:t>、</w:t>
      </w:r>
      <w:r>
        <w:rPr>
          <w:rFonts w:hint="eastAsia" w:ascii="仿宋_GB2312" w:eastAsia="仿宋_GB2312"/>
          <w:color w:val="000000"/>
          <w:sz w:val="32"/>
          <w:szCs w:val="32"/>
        </w:rPr>
        <w:t>教育205（类）02（款）01（项）：指反映各部门举办的学前教育支出。</w:t>
      </w:r>
    </w:p>
    <w:p>
      <w:pPr>
        <w:ind w:firstLine="480" w:firstLineChars="150"/>
        <w:rPr>
          <w:rFonts w:ascii="仿宋_GB2312" w:eastAsia="仿宋_GB2312"/>
          <w:color w:val="000000"/>
          <w:sz w:val="32"/>
          <w:szCs w:val="32"/>
        </w:rPr>
      </w:pPr>
      <w:r>
        <w:rPr>
          <w:rFonts w:hint="eastAsia" w:ascii="仿宋_GB2312" w:eastAsia="仿宋_GB2312"/>
          <w:color w:val="000000"/>
          <w:sz w:val="32"/>
          <w:szCs w:val="32"/>
        </w:rPr>
        <w:t>10</w:t>
      </w:r>
      <w:r>
        <w:rPr>
          <w:rFonts w:hint="eastAsia" w:ascii="仿宋_GB2312" w:eastAsia="仿宋_GB2312"/>
          <w:sz w:val="32"/>
          <w:szCs w:val="32"/>
        </w:rPr>
        <w:t>、</w:t>
      </w:r>
      <w:r>
        <w:rPr>
          <w:rFonts w:hint="eastAsia" w:ascii="仿宋_GB2312" w:eastAsia="仿宋_GB2312"/>
          <w:color w:val="000000"/>
          <w:sz w:val="32"/>
          <w:szCs w:val="32"/>
        </w:rPr>
        <w:t>教育205（类）02（款）02（项）：指反映各部门举办的小学教育支出。</w:t>
      </w:r>
    </w:p>
    <w:p>
      <w:pPr>
        <w:ind w:firstLine="480" w:firstLineChars="150"/>
        <w:rPr>
          <w:rFonts w:ascii="仿宋_GB2312" w:eastAsia="仿宋_GB2312"/>
          <w:color w:val="000000"/>
          <w:sz w:val="32"/>
          <w:szCs w:val="32"/>
        </w:rPr>
      </w:pPr>
      <w:r>
        <w:rPr>
          <w:rFonts w:hint="eastAsia" w:ascii="仿宋_GB2312" w:eastAsia="仿宋_GB2312"/>
          <w:color w:val="000000"/>
          <w:sz w:val="32"/>
          <w:szCs w:val="32"/>
        </w:rPr>
        <w:t>11</w:t>
      </w:r>
      <w:r>
        <w:rPr>
          <w:rFonts w:hint="eastAsia" w:ascii="仿宋_GB2312" w:eastAsia="仿宋_GB2312"/>
          <w:sz w:val="32"/>
          <w:szCs w:val="32"/>
        </w:rPr>
        <w:t>、</w:t>
      </w:r>
      <w:r>
        <w:rPr>
          <w:rFonts w:hint="eastAsia" w:ascii="仿宋_GB2312" w:eastAsia="仿宋_GB2312"/>
          <w:color w:val="000000"/>
          <w:sz w:val="32"/>
          <w:szCs w:val="32"/>
        </w:rPr>
        <w:t>教育205（类）02（款）03（项）：指反映各部门举办的初中教育支出。</w:t>
      </w:r>
    </w:p>
    <w:p>
      <w:pPr>
        <w:ind w:firstLine="480" w:firstLineChars="150"/>
        <w:rPr>
          <w:rFonts w:ascii="仿宋_GB2312" w:eastAsia="仿宋_GB2312"/>
          <w:color w:val="000000"/>
          <w:sz w:val="32"/>
          <w:szCs w:val="32"/>
        </w:rPr>
      </w:pPr>
      <w:r>
        <w:rPr>
          <w:rFonts w:hint="eastAsia" w:ascii="仿宋_GB2312" w:eastAsia="仿宋_GB2312"/>
          <w:color w:val="000000"/>
          <w:sz w:val="32"/>
          <w:szCs w:val="32"/>
        </w:rPr>
        <w:t>12</w:t>
      </w:r>
      <w:r>
        <w:rPr>
          <w:rFonts w:hint="eastAsia" w:ascii="仿宋_GB2312" w:eastAsia="仿宋_GB2312"/>
          <w:sz w:val="32"/>
          <w:szCs w:val="32"/>
        </w:rPr>
        <w:t>、</w:t>
      </w:r>
      <w:r>
        <w:rPr>
          <w:rFonts w:hint="eastAsia" w:ascii="仿宋_GB2312" w:eastAsia="仿宋_GB2312"/>
          <w:color w:val="000000"/>
          <w:sz w:val="32"/>
          <w:szCs w:val="32"/>
        </w:rPr>
        <w:t>教育205（类）02（款）04（项）：指反映各部门举办的高中教育支出。</w:t>
      </w:r>
    </w:p>
    <w:p>
      <w:pPr>
        <w:ind w:firstLine="480" w:firstLineChars="150"/>
        <w:rPr>
          <w:rFonts w:ascii="仿宋_GB2312" w:eastAsia="仿宋_GB2312"/>
          <w:color w:val="000000"/>
          <w:sz w:val="32"/>
          <w:szCs w:val="32"/>
        </w:rPr>
      </w:pPr>
      <w:r>
        <w:rPr>
          <w:rFonts w:hint="eastAsia" w:ascii="仿宋_GB2312" w:eastAsia="仿宋_GB2312"/>
          <w:color w:val="000000"/>
          <w:sz w:val="32"/>
          <w:szCs w:val="32"/>
        </w:rPr>
        <w:t>13、社会保障和就业208（类）05（款）05（项）：指反映机关事业单位实施养老保险制度由单位缴纳的基本养老保险费支出。</w:t>
      </w:r>
    </w:p>
    <w:p>
      <w:pPr>
        <w:ind w:firstLine="480" w:firstLineChars="150"/>
        <w:rPr>
          <w:rFonts w:ascii="仿宋_GB2312" w:eastAsia="仿宋_GB2312"/>
          <w:color w:val="000000"/>
          <w:sz w:val="32"/>
          <w:szCs w:val="32"/>
        </w:rPr>
      </w:pPr>
      <w:r>
        <w:rPr>
          <w:rFonts w:hint="eastAsia" w:ascii="仿宋_GB2312" w:eastAsia="仿宋_GB2312"/>
          <w:color w:val="000000"/>
          <w:sz w:val="32"/>
          <w:szCs w:val="32"/>
        </w:rPr>
        <w:t>14、社会保障和就业208（类）05（款）06（项）：指反映机关事业单位实施养老保险制度由单位实际缴纳的职业年金支出。</w:t>
      </w:r>
    </w:p>
    <w:p>
      <w:pPr>
        <w:ind w:firstLine="480" w:firstLineChars="150"/>
        <w:rPr>
          <w:rFonts w:ascii="仿宋_GB2312" w:eastAsia="仿宋_GB2312"/>
          <w:color w:val="000000"/>
          <w:sz w:val="32"/>
          <w:szCs w:val="32"/>
        </w:rPr>
      </w:pPr>
      <w:r>
        <w:rPr>
          <w:rFonts w:hint="eastAsia" w:ascii="仿宋_GB2312" w:eastAsia="仿宋_GB2312"/>
          <w:color w:val="000000"/>
          <w:sz w:val="32"/>
          <w:szCs w:val="32"/>
        </w:rPr>
        <w:t>15、医疗卫生与计划生育210（类）11（款）02（项）：指反映财政部门集中安排的事业单位基本医疗保险缴费经费，未参加医疗保险的事业单位的公费医疗经费，按国家规定享受离休人员待遇的医疗经费。</w:t>
      </w:r>
    </w:p>
    <w:p>
      <w:pPr>
        <w:ind w:firstLine="480" w:firstLineChars="150"/>
        <w:rPr>
          <w:rFonts w:ascii="仿宋_GB2312" w:eastAsia="仿宋_GB2312"/>
          <w:color w:val="000000"/>
          <w:sz w:val="32"/>
          <w:szCs w:val="32"/>
        </w:rPr>
      </w:pPr>
      <w:r>
        <w:rPr>
          <w:rFonts w:hint="eastAsia" w:ascii="仿宋_GB2312" w:eastAsia="仿宋_GB2312"/>
          <w:color w:val="000000"/>
          <w:sz w:val="32"/>
          <w:szCs w:val="32"/>
        </w:rPr>
        <w:t>16、住房保障221（类）02（款）01（项）：指反映行政事业单位按人力资源和社会保障部、财政部规定的基本工资和津贴补贴以及规定比例为职工缴纳的住房公积金。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17、基本支出：指为保障机构正常运转、完成日常工作任务而发生的人员支出和公用支出。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18、项目支出：指在基本支出之外为完成特定行政任务和事业发展目标所发生的支出。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19、经营支出：指事业单位在专业业务活动及其辅助活动之外开展非独立核算经营活动发生的支出。</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rPr>
        <w:t>20、“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rPr>
        <w:t>21、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2"/>
        <w:spacing w:line="560" w:lineRule="exact"/>
        <w:ind w:firstLine="640" w:firstLineChars="200"/>
        <w:rPr>
          <w:rFonts w:ascii="仿宋_GB2312" w:eastAsia="仿宋_GB2312" w:cs="黑体"/>
          <w:sz w:val="32"/>
          <w:szCs w:val="32"/>
        </w:rPr>
      </w:pPr>
    </w:p>
    <w:p>
      <w:pPr>
        <w:spacing w:line="600" w:lineRule="exact"/>
        <w:jc w:val="center"/>
        <w:outlineLvl w:val="0"/>
        <w:rPr>
          <w:rFonts w:ascii="黑体" w:hAnsi="黑体" w:eastAsia="黑体"/>
          <w:color w:val="000000"/>
          <w:sz w:val="44"/>
          <w:szCs w:val="44"/>
        </w:rPr>
      </w:pPr>
      <w:bookmarkStart w:id="85" w:name="_Toc15396614"/>
      <w:bookmarkStart w:id="86" w:name="_Toc15377226"/>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Fonts w:ascii="黑体" w:hAnsi="黑体" w:eastAsia="黑体"/>
          <w:color w:val="000000"/>
          <w:sz w:val="44"/>
          <w:szCs w:val="44"/>
        </w:rPr>
      </w:pPr>
    </w:p>
    <w:p>
      <w:pPr>
        <w:spacing w:line="600" w:lineRule="exact"/>
        <w:jc w:val="center"/>
        <w:outlineLvl w:val="0"/>
        <w:rPr>
          <w:rStyle w:val="24"/>
        </w:rPr>
      </w:pPr>
      <w:bookmarkStart w:id="87" w:name="_Toc54610973"/>
      <w:r>
        <w:rPr>
          <w:rStyle w:val="24"/>
          <w:rFonts w:hint="eastAsia"/>
        </w:rPr>
        <w:t>第四部分 附件</w:t>
      </w:r>
      <w:bookmarkEnd w:id="87"/>
    </w:p>
    <w:p>
      <w:pPr>
        <w:pStyle w:val="3"/>
      </w:pPr>
      <w:bookmarkStart w:id="88" w:name="_Toc15396615"/>
      <w:bookmarkStart w:id="89" w:name="_Toc54610974"/>
      <w:r>
        <w:rPr>
          <w:rFonts w:hint="eastAsia"/>
        </w:rPr>
        <w:t>附件1</w:t>
      </w:r>
      <w:bookmarkEnd w:id="88"/>
      <w:bookmarkEnd w:id="89"/>
    </w:p>
    <w:p>
      <w:pPr>
        <w:spacing w:line="600" w:lineRule="exact"/>
        <w:jc w:val="center"/>
        <w:outlineLvl w:val="0"/>
        <w:rPr>
          <w:rFonts w:ascii="黑体" w:hAnsi="黑体" w:eastAsia="黑体" w:cs="方正小标宋简体"/>
          <w:sz w:val="36"/>
          <w:szCs w:val="36"/>
        </w:rPr>
      </w:pPr>
      <w:bookmarkStart w:id="90" w:name="_Toc15396616"/>
      <w:bookmarkStart w:id="91" w:name="_Toc54610975"/>
      <w:r>
        <w:rPr>
          <w:rFonts w:hint="eastAsia" w:ascii="黑体" w:hAnsi="黑体" w:eastAsia="黑体" w:cs="方正小标宋简体"/>
          <w:sz w:val="36"/>
          <w:szCs w:val="36"/>
        </w:rPr>
        <w:t>壤塘县</w:t>
      </w:r>
      <w:r>
        <w:rPr>
          <w:rFonts w:hint="eastAsia" w:ascii="黑体" w:hAnsi="黑体" w:eastAsia="黑体" w:cs="方正小标宋简体"/>
          <w:sz w:val="36"/>
          <w:szCs w:val="36"/>
          <w:lang w:eastAsia="zh-CN"/>
        </w:rPr>
        <w:t>伊里中小学校</w:t>
      </w:r>
      <w:r>
        <w:rPr>
          <w:rFonts w:hint="eastAsia" w:ascii="黑体" w:hAnsi="黑体" w:eastAsia="黑体" w:cs="方正小标宋简体"/>
          <w:sz w:val="36"/>
          <w:szCs w:val="36"/>
        </w:rPr>
        <w:t>部门2019年部门整体支出绩效评价报告</w:t>
      </w:r>
      <w:bookmarkEnd w:id="90"/>
      <w:bookmarkEnd w:id="91"/>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一、部门（单位）概况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（一）机构组成。</w:t>
      </w:r>
    </w:p>
    <w:p>
      <w:pPr>
        <w:ind w:firstLine="800" w:firstLineChars="250"/>
        <w:rPr>
          <w:rFonts w:ascii="仿宋" w:hAnsi="仿宋" w:eastAsia="仿宋"/>
          <w:sz w:val="32"/>
          <w:szCs w:val="32"/>
        </w:rPr>
      </w:pPr>
      <w:r>
        <w:rPr>
          <w:rFonts w:hint="eastAsia" w:ascii="仿宋" w:hAnsi="仿宋" w:eastAsia="仿宋"/>
          <w:sz w:val="32"/>
          <w:szCs w:val="32"/>
        </w:rPr>
        <w:t>壤塘县</w:t>
      </w:r>
      <w:r>
        <w:rPr>
          <w:rFonts w:hint="eastAsia" w:ascii="仿宋" w:hAnsi="仿宋" w:eastAsia="仿宋"/>
          <w:sz w:val="32"/>
          <w:szCs w:val="32"/>
          <w:lang w:eastAsia="zh-CN"/>
        </w:rPr>
        <w:t>伊里中小学校</w:t>
      </w:r>
      <w:r>
        <w:rPr>
          <w:rFonts w:hint="eastAsia" w:ascii="仿宋" w:hAnsi="仿宋" w:eastAsia="仿宋"/>
          <w:sz w:val="32"/>
          <w:szCs w:val="32"/>
        </w:rPr>
        <w:t>下属二级单位0个，其中行政单位0个，参照公务员法管理的事业单位</w:t>
      </w:r>
      <w:r>
        <w:rPr>
          <w:rFonts w:hint="eastAsia" w:ascii="仿宋" w:hAnsi="仿宋" w:eastAsia="仿宋"/>
          <w:bCs/>
          <w:sz w:val="32"/>
          <w:szCs w:val="32"/>
        </w:rPr>
        <w:t>0</w:t>
      </w:r>
      <w:r>
        <w:rPr>
          <w:rFonts w:hint="eastAsia" w:ascii="仿宋" w:hAnsi="仿宋" w:eastAsia="仿宋"/>
          <w:sz w:val="32"/>
          <w:szCs w:val="32"/>
        </w:rPr>
        <w:t>个，其他事业单位0个。</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w:t>
      </w:r>
      <w:r>
        <w:rPr>
          <w:rFonts w:ascii="仿宋" w:hAnsi="仿宋" w:eastAsia="仿宋" w:cs="仿宋_GB2312"/>
          <w:sz w:val="32"/>
          <w:szCs w:val="32"/>
        </w:rPr>
        <w:t>机构职能。</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贯彻落实党的教育方针及有关教育工作的政策、法律、法规、规章，实施义务教育，促进农村基础教育发展，</w:t>
      </w:r>
      <w:r>
        <w:rPr>
          <w:rFonts w:hint="eastAsia" w:ascii="仿宋" w:hAnsi="仿宋" w:eastAsia="仿宋" w:cs="仿宋_GB2312"/>
          <w:sz w:val="32"/>
          <w:szCs w:val="32"/>
        </w:rPr>
        <w:t>义务</w:t>
      </w:r>
      <w:r>
        <w:rPr>
          <w:rFonts w:ascii="仿宋" w:hAnsi="仿宋" w:eastAsia="仿宋" w:cs="仿宋_GB2312"/>
          <w:sz w:val="32"/>
          <w:szCs w:val="32"/>
        </w:rPr>
        <w:t>学历教育。</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（三）人员概况。</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截止2019年12月，我校有在职教师</w:t>
      </w:r>
      <w:r>
        <w:rPr>
          <w:rFonts w:hint="eastAsia" w:ascii="仿宋" w:hAnsi="仿宋" w:eastAsia="仿宋" w:cs="仿宋_GB2312"/>
          <w:sz w:val="32"/>
          <w:szCs w:val="32"/>
          <w:lang w:val="en-US" w:eastAsia="zh-CN"/>
        </w:rPr>
        <w:t>52</w:t>
      </w:r>
      <w:r>
        <w:rPr>
          <w:rFonts w:hint="eastAsia" w:ascii="仿宋" w:hAnsi="仿宋" w:eastAsia="仿宋" w:cs="仿宋_GB2312"/>
          <w:sz w:val="32"/>
          <w:szCs w:val="32"/>
        </w:rPr>
        <w:t>人，在校学生人数</w:t>
      </w:r>
      <w:r>
        <w:rPr>
          <w:rFonts w:hint="eastAsia" w:ascii="仿宋" w:hAnsi="仿宋" w:eastAsia="仿宋" w:cs="仿宋_GB2312"/>
          <w:sz w:val="32"/>
          <w:szCs w:val="32"/>
          <w:lang w:val="en-US" w:eastAsia="zh-CN"/>
        </w:rPr>
        <w:t>413</w:t>
      </w:r>
      <w:r>
        <w:rPr>
          <w:rFonts w:hint="eastAsia" w:ascii="仿宋" w:hAnsi="仿宋" w:eastAsia="仿宋" w:cs="仿宋_GB2312"/>
          <w:sz w:val="32"/>
          <w:szCs w:val="32"/>
        </w:rPr>
        <w:t>人。</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二、部门财政资金收支情况</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（一）部门财政资金收入情况。</w:t>
      </w:r>
    </w:p>
    <w:p>
      <w:pPr>
        <w:spacing w:line="600" w:lineRule="exact"/>
        <w:ind w:firstLine="640" w:firstLineChars="200"/>
        <w:outlineLvl w:val="1"/>
        <w:rPr>
          <w:rFonts w:ascii="仿宋" w:hAnsi="仿宋" w:eastAsia="仿宋"/>
          <w:color w:val="000000"/>
          <w:sz w:val="32"/>
          <w:szCs w:val="32"/>
        </w:rPr>
      </w:pPr>
      <w:bookmarkStart w:id="92" w:name="_Toc54610976"/>
      <w:r>
        <w:rPr>
          <w:rFonts w:ascii="仿宋" w:hAnsi="仿宋" w:eastAsia="仿宋"/>
          <w:color w:val="000000"/>
          <w:sz w:val="32"/>
          <w:szCs w:val="32"/>
        </w:rPr>
        <w:t>201</w:t>
      </w:r>
      <w:r>
        <w:rPr>
          <w:rFonts w:hint="eastAsia" w:ascii="仿宋" w:hAnsi="仿宋" w:eastAsia="仿宋"/>
          <w:color w:val="000000"/>
          <w:sz w:val="32"/>
          <w:szCs w:val="32"/>
        </w:rPr>
        <w:t>9年本年收入合计941.50万元，其中：一般公共预算财政拨款收入941.50万元，占100</w:t>
      </w:r>
      <w:r>
        <w:rPr>
          <w:rFonts w:ascii="仿宋" w:hAnsi="仿宋" w:eastAsia="仿宋"/>
          <w:color w:val="000000"/>
          <w:sz w:val="32"/>
          <w:szCs w:val="32"/>
        </w:rPr>
        <w:t>%</w:t>
      </w:r>
      <w:r>
        <w:rPr>
          <w:rFonts w:hint="eastAsia" w:ascii="仿宋" w:hAnsi="仿宋" w:eastAsia="仿宋"/>
          <w:color w:val="000000"/>
          <w:sz w:val="32"/>
          <w:szCs w:val="32"/>
        </w:rPr>
        <w:t>；政府性基金预算财政拨款收入0万元，占0</w:t>
      </w:r>
      <w:r>
        <w:rPr>
          <w:rFonts w:ascii="仿宋" w:hAnsi="仿宋" w:eastAsia="仿宋"/>
          <w:color w:val="000000"/>
          <w:sz w:val="32"/>
          <w:szCs w:val="32"/>
        </w:rPr>
        <w:t>%</w:t>
      </w:r>
      <w:r>
        <w:rPr>
          <w:rFonts w:hint="eastAsia" w:ascii="仿宋" w:hAnsi="仿宋" w:eastAsia="仿宋"/>
          <w:color w:val="000000"/>
          <w:sz w:val="32"/>
          <w:szCs w:val="32"/>
        </w:rPr>
        <w:t>；国有资本经营预算财政拨款收入0万元，占0</w:t>
      </w:r>
      <w:r>
        <w:rPr>
          <w:rFonts w:ascii="仿宋" w:hAnsi="仿宋" w:eastAsia="仿宋"/>
          <w:color w:val="000000"/>
          <w:sz w:val="32"/>
          <w:szCs w:val="32"/>
        </w:rPr>
        <w:t>%</w:t>
      </w:r>
      <w:r>
        <w:rPr>
          <w:rFonts w:hint="eastAsia" w:ascii="仿宋" w:hAnsi="仿宋" w:eastAsia="仿宋"/>
          <w:color w:val="000000"/>
          <w:sz w:val="32"/>
          <w:szCs w:val="32"/>
        </w:rPr>
        <w:t>；事业收入0万元，占0</w:t>
      </w:r>
      <w:r>
        <w:rPr>
          <w:rFonts w:ascii="仿宋" w:hAnsi="仿宋" w:eastAsia="仿宋"/>
          <w:color w:val="000000"/>
          <w:sz w:val="32"/>
          <w:szCs w:val="32"/>
        </w:rPr>
        <w:t>%</w:t>
      </w:r>
      <w:r>
        <w:rPr>
          <w:rFonts w:hint="eastAsia" w:ascii="仿宋" w:hAnsi="仿宋" w:eastAsia="仿宋"/>
          <w:color w:val="000000"/>
          <w:sz w:val="32"/>
          <w:szCs w:val="32"/>
        </w:rPr>
        <w:t>；经营收入0万元，占0</w:t>
      </w:r>
      <w:r>
        <w:rPr>
          <w:rFonts w:ascii="仿宋" w:hAnsi="仿宋" w:eastAsia="仿宋"/>
          <w:color w:val="000000"/>
          <w:sz w:val="32"/>
          <w:szCs w:val="32"/>
        </w:rPr>
        <w:t>%</w:t>
      </w:r>
      <w:r>
        <w:rPr>
          <w:rFonts w:hint="eastAsia" w:ascii="仿宋" w:hAnsi="仿宋" w:eastAsia="仿宋"/>
          <w:color w:val="000000"/>
          <w:sz w:val="32"/>
          <w:szCs w:val="32"/>
        </w:rPr>
        <w:t>；附属单位上缴收入0万元，占0</w:t>
      </w:r>
      <w:r>
        <w:rPr>
          <w:rFonts w:ascii="仿宋" w:hAnsi="仿宋" w:eastAsia="仿宋"/>
          <w:color w:val="000000"/>
          <w:sz w:val="32"/>
          <w:szCs w:val="32"/>
        </w:rPr>
        <w:t>%</w:t>
      </w:r>
      <w:r>
        <w:rPr>
          <w:rFonts w:hint="eastAsia" w:ascii="仿宋" w:hAnsi="仿宋" w:eastAsia="仿宋"/>
          <w:color w:val="000000"/>
          <w:sz w:val="32"/>
          <w:szCs w:val="32"/>
        </w:rPr>
        <w:t>；其他收入0万元，占0</w:t>
      </w:r>
      <w:r>
        <w:rPr>
          <w:rFonts w:ascii="仿宋" w:hAnsi="仿宋" w:eastAsia="仿宋"/>
          <w:color w:val="000000"/>
          <w:sz w:val="32"/>
          <w:szCs w:val="32"/>
        </w:rPr>
        <w:t>%</w:t>
      </w:r>
      <w:r>
        <w:rPr>
          <w:rFonts w:hint="eastAsia" w:ascii="仿宋" w:hAnsi="仿宋" w:eastAsia="仿宋"/>
          <w:color w:val="000000"/>
          <w:sz w:val="32"/>
          <w:szCs w:val="32"/>
        </w:rPr>
        <w:t>。</w:t>
      </w:r>
      <w:bookmarkEnd w:id="92"/>
    </w:p>
    <w:p>
      <w:pPr>
        <w:numPr>
          <w:ilvl w:val="0"/>
          <w:numId w:val="4"/>
        </w:num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部门财政资金支出情况。</w:t>
      </w:r>
    </w:p>
    <w:p>
      <w:pPr>
        <w:spacing w:line="600" w:lineRule="exact"/>
        <w:ind w:firstLine="64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9年本年支出合计1,078.50万元，其中：基本支出1,071.36万元，占99.</w:t>
      </w:r>
      <w:r>
        <w:rPr>
          <w:rFonts w:hint="eastAsia" w:ascii="仿宋" w:hAnsi="仿宋" w:eastAsia="仿宋"/>
          <w:color w:val="000000"/>
          <w:sz w:val="32"/>
          <w:szCs w:val="32"/>
          <w:lang w:val="en-US" w:eastAsia="zh-CN"/>
        </w:rPr>
        <w:t>34</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7.14</w:t>
      </w:r>
      <w:r>
        <w:rPr>
          <w:rFonts w:hint="eastAsia" w:ascii="仿宋" w:hAnsi="仿宋" w:eastAsia="仿宋"/>
          <w:color w:val="000000"/>
          <w:sz w:val="32"/>
          <w:szCs w:val="32"/>
        </w:rPr>
        <w:t>万元，占0.</w:t>
      </w:r>
      <w:r>
        <w:rPr>
          <w:rFonts w:hint="eastAsia" w:ascii="仿宋" w:hAnsi="仿宋" w:eastAsia="仿宋"/>
          <w:color w:val="000000"/>
          <w:sz w:val="32"/>
          <w:szCs w:val="32"/>
          <w:lang w:val="en-US" w:eastAsia="zh-CN"/>
        </w:rPr>
        <w:t>66</w:t>
      </w:r>
      <w:r>
        <w:rPr>
          <w:rFonts w:ascii="仿宋" w:hAnsi="仿宋" w:eastAsia="仿宋"/>
          <w:color w:val="000000"/>
          <w:sz w:val="32"/>
          <w:szCs w:val="32"/>
        </w:rPr>
        <w:t>%</w:t>
      </w:r>
      <w:r>
        <w:rPr>
          <w:rFonts w:hint="eastAsia" w:ascii="仿宋" w:hAnsi="仿宋" w:eastAsia="仿宋"/>
          <w:color w:val="000000"/>
          <w:sz w:val="32"/>
          <w:szCs w:val="32"/>
        </w:rPr>
        <w:t>；上缴上级支出0万元，占0</w:t>
      </w:r>
      <w:r>
        <w:rPr>
          <w:rFonts w:ascii="仿宋" w:hAnsi="仿宋" w:eastAsia="仿宋"/>
          <w:color w:val="000000"/>
          <w:sz w:val="32"/>
          <w:szCs w:val="32"/>
        </w:rPr>
        <w:t>%</w:t>
      </w:r>
      <w:r>
        <w:rPr>
          <w:rFonts w:hint="eastAsia" w:ascii="仿宋" w:hAnsi="仿宋" w:eastAsia="仿宋"/>
          <w:color w:val="000000"/>
          <w:sz w:val="32"/>
          <w:szCs w:val="32"/>
        </w:rPr>
        <w:t>；经营支出0万元，占0</w:t>
      </w:r>
      <w:r>
        <w:rPr>
          <w:rFonts w:ascii="仿宋" w:hAnsi="仿宋" w:eastAsia="仿宋"/>
          <w:color w:val="000000"/>
          <w:sz w:val="32"/>
          <w:szCs w:val="32"/>
        </w:rPr>
        <w:t>%</w:t>
      </w:r>
      <w:r>
        <w:rPr>
          <w:rFonts w:hint="eastAsia" w:ascii="仿宋" w:hAnsi="仿宋" w:eastAsia="仿宋"/>
          <w:color w:val="000000"/>
          <w:sz w:val="32"/>
          <w:szCs w:val="32"/>
        </w:rPr>
        <w:t>；对附属单位补助支出0万元，占0</w:t>
      </w:r>
      <w:r>
        <w:rPr>
          <w:rFonts w:ascii="仿宋" w:hAnsi="仿宋" w:eastAsia="仿宋"/>
          <w:color w:val="000000"/>
          <w:sz w:val="32"/>
          <w:szCs w:val="32"/>
        </w:rPr>
        <w:t>%</w:t>
      </w:r>
      <w:r>
        <w:rPr>
          <w:rFonts w:hint="eastAsia" w:ascii="仿宋" w:hAnsi="仿宋" w:eastAsia="仿宋"/>
          <w:color w:val="000000"/>
          <w:sz w:val="32"/>
          <w:szCs w:val="32"/>
        </w:rPr>
        <w:t>。</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三、部门整体预算绩效管理情况（根据适用指标体系进行调整）</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（一）部门预算管理。</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我们严格预算管理，切实按照相关管理制度要求，修改完善了《财务管理规定》《公务接待管理规定》《差旅费、会议费、培训费管理规定》《公务车辆管理办法》等工作制度，进一步明确了财政预算资金审批手续和拨付程序、机关行政经费审批手续和报销程序，加强了财务管理，规范了收支行为，保证了按预算执行方案，完成预算目标。</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（二）专项预算管理。</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根据学校预算金额，专款专用，无违规超范围使用情况。</w:t>
      </w:r>
    </w:p>
    <w:p>
      <w:pPr>
        <w:numPr>
          <w:ilvl w:val="0"/>
          <w:numId w:val="4"/>
        </w:num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结果应用情况。</w:t>
      </w:r>
    </w:p>
    <w:p>
      <w:pPr>
        <w:spacing w:line="580" w:lineRule="exact"/>
        <w:ind w:firstLine="960" w:firstLineChars="300"/>
        <w:rPr>
          <w:rFonts w:ascii="仿宋" w:hAnsi="仿宋" w:eastAsia="仿宋" w:cs="仿宋_GB2312"/>
          <w:sz w:val="32"/>
          <w:szCs w:val="32"/>
        </w:rPr>
      </w:pPr>
      <w:r>
        <w:rPr>
          <w:rFonts w:hint="eastAsia" w:ascii="仿宋_GB2312" w:hAnsi="仿宋_GB2312" w:eastAsia="仿宋_GB2312" w:cs="仿宋_GB2312"/>
          <w:sz w:val="32"/>
          <w:szCs w:val="32"/>
        </w:rPr>
        <w:t>教育基本经费的使用，力保学校教育教学工作的有效开展以及学校工作的正常运行；足额发放人员保障经费、严肃财经纪律，落实好资助政策，保证资金安全，及时下达资金，督促学校按时落实学前减免午餐费资金、寄宿制阶段学生生活费资金等。</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四、评价结论及建议</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（一）评价结论。</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2019年，我校积极履职，强化管理，较好的完成了年度工作目标。通过加强预算收支管理，不断建立健全内部管理制度，梳理内部管理流程，部门整体支出管理水平得到提升。</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（二）存在问题。</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1、预算编制工作有待细化。预算编制不够明确和细化，预算编制的合理性需要提高，预算执行力度还要进一步加强。</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2、因单位全额编制少导致经费不足：绩效工资和日常公用经费不足。</w:t>
      </w:r>
    </w:p>
    <w:p>
      <w:pPr>
        <w:spacing w:line="580" w:lineRule="exact"/>
        <w:ind w:firstLine="640" w:firstLineChars="200"/>
        <w:rPr>
          <w:rFonts w:ascii="仿宋" w:hAnsi="仿宋" w:eastAsia="仿宋" w:cs="仿宋_GB2312"/>
          <w:sz w:val="32"/>
          <w:szCs w:val="32"/>
        </w:rPr>
      </w:pPr>
      <w:r>
        <w:rPr>
          <w:rFonts w:ascii="仿宋" w:hAnsi="仿宋" w:eastAsia="仿宋" w:cs="仿宋_GB2312"/>
          <w:sz w:val="32"/>
          <w:szCs w:val="32"/>
        </w:rPr>
        <w:t>（三）改进建议。</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针对上述存在的问题，拟实施的改进措施如下：</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细化预算编制工作，认真做好预算的编制。进一步加强单位内部机构各股室的预算管理意识，严格按照预算编制的相关制度和要求进行预算编制；全面编制预算项目，优先保障固定性的、相对刚性的费用支出项目，尽量压缩变动性的、有控制空间的费用项目，进一步提高预算编制的科学性、严谨性和可控性。加强内部预算编制的审核和预算控制指标的下达。</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加强财务管理，严格财务审核。加强单位财务管理，健全单位财务管理制度体系，规范单位财务行为。在费用报账支付时，按照预算规定的费用项目和用途进行资金使用审核、列报支付、财务核算，杜绝超支现象的发生。</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3、对相关人员加强培训，特别是针对《预算法》、《行政事业单位会计制度》等学习培训，规范部门预算收支核算，切实提高部门预算收支管理水平。</w:t>
      </w: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p>
    <w:p>
      <w:pPr>
        <w:spacing w:line="58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br w:type="page"/>
      </w:r>
    </w:p>
    <w:bookmarkEnd w:id="85"/>
    <w:p>
      <w:pPr>
        <w:spacing w:line="600" w:lineRule="exact"/>
        <w:jc w:val="center"/>
        <w:outlineLvl w:val="0"/>
        <w:rPr>
          <w:rStyle w:val="24"/>
          <w:rFonts w:ascii="黑体" w:hAnsi="黑体" w:eastAsia="黑体"/>
          <w:b w:val="0"/>
        </w:rPr>
      </w:pPr>
      <w:bookmarkStart w:id="93" w:name="_Toc15396618"/>
      <w:bookmarkStart w:id="94" w:name="_Toc54610977"/>
      <w:r>
        <w:rPr>
          <w:rFonts w:hint="eastAsia" w:ascii="黑体" w:hAnsi="黑体" w:eastAsia="黑体"/>
          <w:color w:val="000000"/>
          <w:sz w:val="44"/>
          <w:szCs w:val="44"/>
        </w:rPr>
        <w:t>第</w:t>
      </w:r>
      <w:r>
        <w:rPr>
          <w:rStyle w:val="24"/>
          <w:rFonts w:hint="eastAsia" w:ascii="黑体" w:hAnsi="黑体" w:eastAsia="黑体"/>
          <w:b w:val="0"/>
        </w:rPr>
        <w:t>五部分 附表</w:t>
      </w:r>
      <w:bookmarkEnd w:id="86"/>
      <w:bookmarkEnd w:id="93"/>
      <w:bookmarkEnd w:id="94"/>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rPr>
      </w:pPr>
      <w:bookmarkStart w:id="95" w:name="_Toc15396619"/>
      <w:bookmarkStart w:id="96" w:name="_Toc54610978"/>
      <w:r>
        <w:rPr>
          <w:rFonts w:hint="eastAsia" w:ascii="仿宋" w:hAnsi="仿宋" w:eastAsia="仿宋"/>
          <w:b w:val="0"/>
          <w:color w:val="000000"/>
        </w:rPr>
        <w:t>一、收</w:t>
      </w:r>
      <w:r>
        <w:rPr>
          <w:rStyle w:val="25"/>
          <w:rFonts w:hint="eastAsia" w:ascii="仿宋" w:hAnsi="仿宋" w:eastAsia="仿宋"/>
          <w:b w:val="0"/>
          <w:bCs w:val="0"/>
        </w:rPr>
        <w:t>入支出决算总表</w:t>
      </w:r>
      <w:bookmarkEnd w:id="95"/>
      <w:bookmarkEnd w:id="96"/>
    </w:p>
    <w:p>
      <w:pPr>
        <w:pStyle w:val="3"/>
        <w:rPr>
          <w:rFonts w:ascii="仿宋" w:hAnsi="仿宋" w:eastAsia="仿宋"/>
          <w:color w:val="000000"/>
        </w:rPr>
      </w:pPr>
      <w:bookmarkStart w:id="97" w:name="_Toc15396620"/>
      <w:bookmarkStart w:id="98" w:name="_Toc54610979"/>
      <w:r>
        <w:rPr>
          <w:rFonts w:hint="eastAsia" w:ascii="仿宋" w:hAnsi="仿宋" w:eastAsia="仿宋"/>
          <w:b w:val="0"/>
          <w:color w:val="000000"/>
        </w:rPr>
        <w:t>二、收</w:t>
      </w:r>
      <w:r>
        <w:rPr>
          <w:rStyle w:val="25"/>
          <w:rFonts w:hint="eastAsia" w:ascii="仿宋" w:hAnsi="仿宋" w:eastAsia="仿宋"/>
          <w:b w:val="0"/>
          <w:bCs w:val="0"/>
        </w:rPr>
        <w:t>入决算表</w:t>
      </w:r>
      <w:bookmarkEnd w:id="97"/>
      <w:bookmarkEnd w:id="98"/>
    </w:p>
    <w:p>
      <w:pPr>
        <w:pStyle w:val="3"/>
        <w:rPr>
          <w:rFonts w:ascii="仿宋" w:hAnsi="仿宋" w:eastAsia="仿宋"/>
          <w:color w:val="000000"/>
        </w:rPr>
      </w:pPr>
      <w:bookmarkStart w:id="99" w:name="_Toc15396621"/>
      <w:bookmarkStart w:id="100" w:name="_Toc54610980"/>
      <w:r>
        <w:rPr>
          <w:rStyle w:val="25"/>
          <w:rFonts w:hint="eastAsia" w:ascii="仿宋" w:hAnsi="仿宋" w:eastAsia="仿宋"/>
          <w:b w:val="0"/>
          <w:bCs w:val="0"/>
        </w:rPr>
        <w:t>三、</w:t>
      </w:r>
      <w:r>
        <w:rPr>
          <w:rFonts w:hint="eastAsia" w:ascii="仿宋" w:hAnsi="仿宋" w:eastAsia="仿宋"/>
          <w:b w:val="0"/>
          <w:color w:val="000000"/>
        </w:rPr>
        <w:t>支</w:t>
      </w:r>
      <w:r>
        <w:rPr>
          <w:rStyle w:val="25"/>
          <w:rFonts w:hint="eastAsia" w:ascii="仿宋" w:hAnsi="仿宋" w:eastAsia="仿宋"/>
          <w:b w:val="0"/>
          <w:bCs w:val="0"/>
        </w:rPr>
        <w:t>出决算表</w:t>
      </w:r>
      <w:bookmarkEnd w:id="99"/>
      <w:bookmarkEnd w:id="100"/>
    </w:p>
    <w:p>
      <w:pPr>
        <w:pStyle w:val="3"/>
        <w:rPr>
          <w:rFonts w:ascii="仿宋" w:hAnsi="仿宋" w:eastAsia="仿宋"/>
          <w:b w:val="0"/>
          <w:color w:val="000000"/>
        </w:rPr>
      </w:pPr>
      <w:bookmarkStart w:id="101" w:name="_Toc15396622"/>
      <w:bookmarkStart w:id="102" w:name="_Toc54610981"/>
      <w:r>
        <w:rPr>
          <w:rStyle w:val="25"/>
          <w:rFonts w:hint="eastAsia" w:ascii="仿宋" w:hAnsi="仿宋" w:eastAsia="仿宋"/>
          <w:b w:val="0"/>
          <w:bCs w:val="0"/>
        </w:rPr>
        <w:t>四、</w:t>
      </w:r>
      <w:r>
        <w:rPr>
          <w:rFonts w:hint="eastAsia" w:ascii="仿宋" w:hAnsi="仿宋" w:eastAsia="仿宋"/>
          <w:b w:val="0"/>
          <w:color w:val="000000"/>
        </w:rPr>
        <w:t>财</w:t>
      </w:r>
      <w:r>
        <w:rPr>
          <w:rStyle w:val="25"/>
          <w:rFonts w:hint="eastAsia" w:ascii="仿宋" w:hAnsi="仿宋" w:eastAsia="仿宋"/>
          <w:b w:val="0"/>
          <w:bCs w:val="0"/>
        </w:rPr>
        <w:t>政拨款收入支出决算总表</w:t>
      </w:r>
      <w:bookmarkEnd w:id="101"/>
      <w:bookmarkEnd w:id="102"/>
    </w:p>
    <w:p>
      <w:pPr>
        <w:pStyle w:val="3"/>
        <w:rPr>
          <w:rStyle w:val="25"/>
          <w:rFonts w:ascii="仿宋" w:hAnsi="仿宋" w:eastAsia="仿宋"/>
          <w:b w:val="0"/>
          <w:bCs w:val="0"/>
        </w:rPr>
      </w:pPr>
      <w:bookmarkStart w:id="103" w:name="_Toc15396623"/>
      <w:bookmarkStart w:id="104" w:name="_Toc54610982"/>
      <w:r>
        <w:rPr>
          <w:rStyle w:val="25"/>
          <w:rFonts w:hint="eastAsia" w:ascii="仿宋" w:hAnsi="仿宋" w:eastAsia="仿宋"/>
          <w:b w:val="0"/>
          <w:bCs w:val="0"/>
        </w:rPr>
        <w:t>五、</w:t>
      </w:r>
      <w:r>
        <w:rPr>
          <w:rFonts w:hint="eastAsia" w:ascii="仿宋" w:hAnsi="仿宋" w:eastAsia="仿宋"/>
          <w:b w:val="0"/>
          <w:color w:val="000000"/>
        </w:rPr>
        <w:t>财</w:t>
      </w:r>
      <w:r>
        <w:rPr>
          <w:rStyle w:val="25"/>
          <w:rFonts w:hint="eastAsia" w:ascii="仿宋" w:hAnsi="仿宋" w:eastAsia="仿宋"/>
          <w:b w:val="0"/>
          <w:bCs w:val="0"/>
        </w:rPr>
        <w:t>政拨款支出决算明细表</w:t>
      </w:r>
      <w:bookmarkEnd w:id="103"/>
      <w:bookmarkEnd w:id="104"/>
      <w:bookmarkStart w:id="105" w:name="_Toc15396624"/>
    </w:p>
    <w:p>
      <w:pPr>
        <w:pStyle w:val="3"/>
        <w:rPr>
          <w:rFonts w:ascii="仿宋" w:hAnsi="仿宋" w:eastAsia="仿宋"/>
          <w:color w:val="000000"/>
        </w:rPr>
      </w:pPr>
      <w:bookmarkStart w:id="106" w:name="_Toc54610983"/>
      <w:r>
        <w:rPr>
          <w:rStyle w:val="25"/>
          <w:rFonts w:hint="eastAsia" w:ascii="仿宋" w:hAnsi="仿宋" w:eastAsia="仿宋"/>
          <w:b w:val="0"/>
          <w:bCs w:val="0"/>
        </w:rPr>
        <w:t>六、</w:t>
      </w:r>
      <w:r>
        <w:rPr>
          <w:rFonts w:hint="eastAsia" w:ascii="仿宋" w:hAnsi="仿宋" w:eastAsia="仿宋"/>
          <w:b w:val="0"/>
          <w:color w:val="000000"/>
        </w:rPr>
        <w:t>一</w:t>
      </w:r>
      <w:r>
        <w:rPr>
          <w:rStyle w:val="25"/>
          <w:rFonts w:hint="eastAsia" w:ascii="仿宋" w:hAnsi="仿宋" w:eastAsia="仿宋"/>
          <w:b w:val="0"/>
          <w:bCs w:val="0"/>
        </w:rPr>
        <w:t>般公共预算财政拨款支出决算表</w:t>
      </w:r>
      <w:bookmarkEnd w:id="105"/>
      <w:bookmarkEnd w:id="106"/>
    </w:p>
    <w:p>
      <w:pPr>
        <w:pStyle w:val="3"/>
        <w:rPr>
          <w:rFonts w:ascii="仿宋" w:hAnsi="仿宋" w:eastAsia="仿宋"/>
          <w:color w:val="000000"/>
        </w:rPr>
      </w:pPr>
      <w:bookmarkStart w:id="107" w:name="_Toc15396625"/>
      <w:bookmarkStart w:id="108" w:name="_Toc54610984"/>
      <w:r>
        <w:rPr>
          <w:rStyle w:val="25"/>
          <w:rFonts w:hint="eastAsia" w:ascii="仿宋" w:hAnsi="仿宋" w:eastAsia="仿宋"/>
          <w:b w:val="0"/>
          <w:bCs w:val="0"/>
        </w:rPr>
        <w:t>七、</w:t>
      </w:r>
      <w:r>
        <w:rPr>
          <w:rFonts w:hint="eastAsia" w:ascii="仿宋" w:hAnsi="仿宋" w:eastAsia="仿宋"/>
          <w:b w:val="0"/>
          <w:color w:val="000000"/>
        </w:rPr>
        <w:t>一</w:t>
      </w:r>
      <w:r>
        <w:rPr>
          <w:rStyle w:val="25"/>
          <w:rFonts w:hint="eastAsia" w:ascii="仿宋" w:hAnsi="仿宋" w:eastAsia="仿宋"/>
          <w:b w:val="0"/>
          <w:bCs w:val="0"/>
        </w:rPr>
        <w:t>般公共预算财政拨款支出决算明细表</w:t>
      </w:r>
      <w:bookmarkEnd w:id="107"/>
      <w:bookmarkEnd w:id="108"/>
    </w:p>
    <w:p>
      <w:pPr>
        <w:pStyle w:val="3"/>
        <w:rPr>
          <w:rFonts w:ascii="仿宋" w:hAnsi="仿宋" w:eastAsia="仿宋"/>
          <w:color w:val="000000"/>
        </w:rPr>
      </w:pPr>
      <w:bookmarkStart w:id="109" w:name="_Toc15396626"/>
      <w:bookmarkStart w:id="110" w:name="_Toc54610985"/>
      <w:r>
        <w:rPr>
          <w:rStyle w:val="25"/>
          <w:rFonts w:hint="eastAsia" w:ascii="仿宋" w:hAnsi="仿宋" w:eastAsia="仿宋"/>
          <w:b w:val="0"/>
          <w:bCs w:val="0"/>
        </w:rPr>
        <w:t>八、</w:t>
      </w:r>
      <w:r>
        <w:rPr>
          <w:rFonts w:hint="eastAsia" w:ascii="仿宋" w:hAnsi="仿宋" w:eastAsia="仿宋"/>
          <w:b w:val="0"/>
          <w:color w:val="000000"/>
        </w:rPr>
        <w:t>一</w:t>
      </w:r>
      <w:r>
        <w:rPr>
          <w:rStyle w:val="25"/>
          <w:rFonts w:hint="eastAsia" w:ascii="仿宋" w:hAnsi="仿宋" w:eastAsia="仿宋"/>
          <w:b w:val="0"/>
          <w:bCs w:val="0"/>
        </w:rPr>
        <w:t>般公共预算财政拨款基本支出决算表</w:t>
      </w:r>
      <w:bookmarkEnd w:id="109"/>
      <w:bookmarkEnd w:id="110"/>
    </w:p>
    <w:p>
      <w:pPr>
        <w:pStyle w:val="3"/>
        <w:rPr>
          <w:rFonts w:ascii="仿宋" w:hAnsi="仿宋" w:eastAsia="仿宋"/>
          <w:color w:val="000000"/>
        </w:rPr>
      </w:pPr>
      <w:bookmarkStart w:id="111" w:name="_Toc15396627"/>
      <w:bookmarkStart w:id="112" w:name="_Toc54610986"/>
      <w:r>
        <w:rPr>
          <w:rStyle w:val="25"/>
          <w:rFonts w:hint="eastAsia" w:ascii="仿宋" w:hAnsi="仿宋" w:eastAsia="仿宋"/>
          <w:b w:val="0"/>
          <w:bCs w:val="0"/>
        </w:rPr>
        <w:t>九、</w:t>
      </w:r>
      <w:r>
        <w:rPr>
          <w:rFonts w:hint="eastAsia" w:ascii="仿宋" w:hAnsi="仿宋" w:eastAsia="仿宋"/>
          <w:b w:val="0"/>
          <w:color w:val="000000"/>
        </w:rPr>
        <w:t>一</w:t>
      </w:r>
      <w:r>
        <w:rPr>
          <w:rStyle w:val="25"/>
          <w:rFonts w:hint="eastAsia" w:ascii="仿宋" w:hAnsi="仿宋" w:eastAsia="仿宋"/>
          <w:b w:val="0"/>
          <w:bCs w:val="0"/>
        </w:rPr>
        <w:t>般公共预算财政拨款项目支出决算表</w:t>
      </w:r>
      <w:bookmarkEnd w:id="111"/>
      <w:bookmarkEnd w:id="112"/>
    </w:p>
    <w:p>
      <w:pPr>
        <w:pStyle w:val="3"/>
        <w:rPr>
          <w:rFonts w:ascii="仿宋" w:hAnsi="仿宋" w:eastAsia="仿宋"/>
          <w:color w:val="000000"/>
        </w:rPr>
      </w:pPr>
      <w:bookmarkStart w:id="113" w:name="_Toc15396628"/>
      <w:bookmarkStart w:id="114" w:name="_Toc54610987"/>
      <w:r>
        <w:rPr>
          <w:rStyle w:val="25"/>
          <w:rFonts w:hint="eastAsia" w:ascii="仿宋" w:hAnsi="仿宋" w:eastAsia="仿宋"/>
          <w:b w:val="0"/>
          <w:bCs w:val="0"/>
        </w:rPr>
        <w:t>十、</w:t>
      </w:r>
      <w:r>
        <w:rPr>
          <w:rFonts w:hint="eastAsia" w:ascii="仿宋" w:hAnsi="仿宋" w:eastAsia="仿宋"/>
          <w:b w:val="0"/>
          <w:color w:val="000000"/>
        </w:rPr>
        <w:t>一</w:t>
      </w:r>
      <w:r>
        <w:rPr>
          <w:rStyle w:val="25"/>
          <w:rFonts w:hint="eastAsia" w:ascii="仿宋" w:hAnsi="仿宋" w:eastAsia="仿宋"/>
          <w:b w:val="0"/>
          <w:bCs w:val="0"/>
        </w:rPr>
        <w:t>般公共预算财政拨款“三公”经费支出决算表</w:t>
      </w:r>
      <w:bookmarkEnd w:id="113"/>
      <w:bookmarkEnd w:id="114"/>
    </w:p>
    <w:p>
      <w:pPr>
        <w:pStyle w:val="3"/>
        <w:rPr>
          <w:rFonts w:ascii="仿宋" w:hAnsi="仿宋" w:eastAsia="仿宋"/>
          <w:color w:val="000000"/>
        </w:rPr>
      </w:pPr>
      <w:bookmarkStart w:id="115" w:name="_Toc15396629"/>
      <w:bookmarkStart w:id="116" w:name="_Toc54610988"/>
      <w:r>
        <w:rPr>
          <w:rStyle w:val="25"/>
          <w:rFonts w:hint="eastAsia" w:ascii="仿宋" w:hAnsi="仿宋" w:eastAsia="仿宋"/>
          <w:b w:val="0"/>
          <w:bCs w:val="0"/>
        </w:rPr>
        <w:t>十一、</w:t>
      </w:r>
      <w:r>
        <w:rPr>
          <w:rFonts w:hint="eastAsia" w:ascii="仿宋" w:hAnsi="仿宋" w:eastAsia="仿宋"/>
          <w:b w:val="0"/>
          <w:color w:val="000000"/>
        </w:rPr>
        <w:t>政</w:t>
      </w:r>
      <w:r>
        <w:rPr>
          <w:rStyle w:val="25"/>
          <w:rFonts w:hint="eastAsia" w:ascii="仿宋" w:hAnsi="仿宋" w:eastAsia="仿宋"/>
          <w:b w:val="0"/>
          <w:bCs w:val="0"/>
        </w:rPr>
        <w:t>府性基金预算财政拨款收入支出决算表</w:t>
      </w:r>
      <w:bookmarkEnd w:id="115"/>
      <w:bookmarkEnd w:id="116"/>
    </w:p>
    <w:p>
      <w:pPr>
        <w:pStyle w:val="3"/>
        <w:rPr>
          <w:rFonts w:ascii="仿宋" w:hAnsi="仿宋" w:eastAsia="仿宋"/>
          <w:color w:val="000000"/>
        </w:rPr>
      </w:pPr>
      <w:bookmarkStart w:id="117" w:name="_Toc15396630"/>
      <w:bookmarkStart w:id="118" w:name="_Toc54610989"/>
      <w:r>
        <w:rPr>
          <w:rStyle w:val="25"/>
          <w:rFonts w:hint="eastAsia" w:ascii="仿宋" w:hAnsi="仿宋" w:eastAsia="仿宋"/>
          <w:b w:val="0"/>
          <w:bCs w:val="0"/>
        </w:rPr>
        <w:t>十二、</w:t>
      </w:r>
      <w:r>
        <w:rPr>
          <w:rFonts w:hint="eastAsia" w:ascii="仿宋" w:hAnsi="仿宋" w:eastAsia="仿宋"/>
          <w:b w:val="0"/>
          <w:color w:val="000000"/>
        </w:rPr>
        <w:t>政</w:t>
      </w:r>
      <w:r>
        <w:rPr>
          <w:rStyle w:val="25"/>
          <w:rFonts w:hint="eastAsia" w:ascii="仿宋" w:hAnsi="仿宋" w:eastAsia="仿宋"/>
          <w:b w:val="0"/>
          <w:bCs w:val="0"/>
        </w:rPr>
        <w:t>府性基金预算财政拨款“三公”经费支出决算表</w:t>
      </w:r>
      <w:bookmarkEnd w:id="117"/>
      <w:bookmarkEnd w:id="118"/>
    </w:p>
    <w:p>
      <w:pPr>
        <w:pStyle w:val="3"/>
        <w:rPr>
          <w:rFonts w:ascii="仿宋" w:hAnsi="仿宋" w:eastAsia="仿宋"/>
          <w:color w:val="000000" w:themeColor="text1"/>
        </w:rPr>
      </w:pPr>
      <w:bookmarkStart w:id="119" w:name="_Toc15396631"/>
      <w:bookmarkStart w:id="120" w:name="_Toc54610990"/>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有资本经营预算支出决算表</w:t>
      </w:r>
      <w:bookmarkEnd w:id="119"/>
      <w:bookmarkEnd w:id="120"/>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0000000000000000000"/>
    <w:charset w:val="86"/>
    <w:family w:val="script"/>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19</w:t>
        </w:r>
        <w:r>
          <w:rPr>
            <w:lang w:val="zh-CN"/>
          </w:rP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E9737F2C"/>
    <w:multiLevelType w:val="singleLevel"/>
    <w:tmpl w:val="E9737F2C"/>
    <w:lvl w:ilvl="0" w:tentative="0">
      <w:start w:val="2"/>
      <w:numFmt w:val="chineseCounting"/>
      <w:suff w:val="nothing"/>
      <w:lvlText w:val="（%1）"/>
      <w:lvlJc w:val="left"/>
      <w:rPr>
        <w:rFonts w:hint="eastAsia"/>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F1361C"/>
    <w:rsid w:val="00006386"/>
    <w:rsid w:val="000222C6"/>
    <w:rsid w:val="0002549F"/>
    <w:rsid w:val="000259F2"/>
    <w:rsid w:val="000409FE"/>
    <w:rsid w:val="000468DB"/>
    <w:rsid w:val="0006487A"/>
    <w:rsid w:val="00065F8F"/>
    <w:rsid w:val="00070A43"/>
    <w:rsid w:val="000768F2"/>
    <w:rsid w:val="00085B57"/>
    <w:rsid w:val="0009184B"/>
    <w:rsid w:val="00094236"/>
    <w:rsid w:val="0009593C"/>
    <w:rsid w:val="00097322"/>
    <w:rsid w:val="000A6A92"/>
    <w:rsid w:val="000B047F"/>
    <w:rsid w:val="000B5923"/>
    <w:rsid w:val="000B5A48"/>
    <w:rsid w:val="000B5BCF"/>
    <w:rsid w:val="000B6FF3"/>
    <w:rsid w:val="000C3467"/>
    <w:rsid w:val="000C3CA6"/>
    <w:rsid w:val="000D1267"/>
    <w:rsid w:val="000D1D50"/>
    <w:rsid w:val="000D5782"/>
    <w:rsid w:val="000E6613"/>
    <w:rsid w:val="000E7119"/>
    <w:rsid w:val="000E7E32"/>
    <w:rsid w:val="00114E9B"/>
    <w:rsid w:val="00142216"/>
    <w:rsid w:val="00144D6A"/>
    <w:rsid w:val="0014729F"/>
    <w:rsid w:val="0015435D"/>
    <w:rsid w:val="001579A8"/>
    <w:rsid w:val="00157BAB"/>
    <w:rsid w:val="001654D1"/>
    <w:rsid w:val="00174518"/>
    <w:rsid w:val="0017742C"/>
    <w:rsid w:val="0018106D"/>
    <w:rsid w:val="001877A7"/>
    <w:rsid w:val="00191536"/>
    <w:rsid w:val="00196687"/>
    <w:rsid w:val="001C0962"/>
    <w:rsid w:val="001D7531"/>
    <w:rsid w:val="001D7F6D"/>
    <w:rsid w:val="001E6EE2"/>
    <w:rsid w:val="001E737D"/>
    <w:rsid w:val="001F0592"/>
    <w:rsid w:val="001F0C1A"/>
    <w:rsid w:val="001F0F7F"/>
    <w:rsid w:val="001F7506"/>
    <w:rsid w:val="002006CD"/>
    <w:rsid w:val="00202B36"/>
    <w:rsid w:val="00204B7A"/>
    <w:rsid w:val="00204CDE"/>
    <w:rsid w:val="0021101A"/>
    <w:rsid w:val="00220536"/>
    <w:rsid w:val="00222DAD"/>
    <w:rsid w:val="00235629"/>
    <w:rsid w:val="00260C38"/>
    <w:rsid w:val="002616C0"/>
    <w:rsid w:val="00265372"/>
    <w:rsid w:val="002662AA"/>
    <w:rsid w:val="0027706D"/>
    <w:rsid w:val="00280496"/>
    <w:rsid w:val="00294DC9"/>
    <w:rsid w:val="00295495"/>
    <w:rsid w:val="002A3157"/>
    <w:rsid w:val="002A31DE"/>
    <w:rsid w:val="002B2613"/>
    <w:rsid w:val="002D19B0"/>
    <w:rsid w:val="002D6D05"/>
    <w:rsid w:val="002F1818"/>
    <w:rsid w:val="002F36D1"/>
    <w:rsid w:val="002F567B"/>
    <w:rsid w:val="003216A9"/>
    <w:rsid w:val="00335A74"/>
    <w:rsid w:val="003522F7"/>
    <w:rsid w:val="0036561B"/>
    <w:rsid w:val="0036785B"/>
    <w:rsid w:val="0037013F"/>
    <w:rsid w:val="00380C92"/>
    <w:rsid w:val="003944DF"/>
    <w:rsid w:val="003A484F"/>
    <w:rsid w:val="003A4883"/>
    <w:rsid w:val="003B0BE0"/>
    <w:rsid w:val="003B0C1B"/>
    <w:rsid w:val="003B2094"/>
    <w:rsid w:val="003B688C"/>
    <w:rsid w:val="003C0291"/>
    <w:rsid w:val="003C39AE"/>
    <w:rsid w:val="003C7B60"/>
    <w:rsid w:val="003D0C0F"/>
    <w:rsid w:val="003D1FB2"/>
    <w:rsid w:val="003D66DA"/>
    <w:rsid w:val="003E1310"/>
    <w:rsid w:val="003E6F55"/>
    <w:rsid w:val="003F6619"/>
    <w:rsid w:val="00406254"/>
    <w:rsid w:val="00416CD4"/>
    <w:rsid w:val="004223DE"/>
    <w:rsid w:val="0042535A"/>
    <w:rsid w:val="00434489"/>
    <w:rsid w:val="00437085"/>
    <w:rsid w:val="00443880"/>
    <w:rsid w:val="004464F4"/>
    <w:rsid w:val="00465A7F"/>
    <w:rsid w:val="00471401"/>
    <w:rsid w:val="00473F31"/>
    <w:rsid w:val="004749C4"/>
    <w:rsid w:val="0048263A"/>
    <w:rsid w:val="00487E5D"/>
    <w:rsid w:val="00494E0C"/>
    <w:rsid w:val="004A711F"/>
    <w:rsid w:val="004B199D"/>
    <w:rsid w:val="004B4690"/>
    <w:rsid w:val="004E0A2D"/>
    <w:rsid w:val="004E1C75"/>
    <w:rsid w:val="004E206B"/>
    <w:rsid w:val="004E6DF7"/>
    <w:rsid w:val="004F0FBD"/>
    <w:rsid w:val="004F403E"/>
    <w:rsid w:val="00505A47"/>
    <w:rsid w:val="00512FDA"/>
    <w:rsid w:val="00520DA0"/>
    <w:rsid w:val="0055281F"/>
    <w:rsid w:val="005664BB"/>
    <w:rsid w:val="00566FFA"/>
    <w:rsid w:val="0057481D"/>
    <w:rsid w:val="00574934"/>
    <w:rsid w:val="00575F0B"/>
    <w:rsid w:val="0058486E"/>
    <w:rsid w:val="00585B33"/>
    <w:rsid w:val="0059014D"/>
    <w:rsid w:val="005B5C64"/>
    <w:rsid w:val="005C6BD0"/>
    <w:rsid w:val="005C6C4C"/>
    <w:rsid w:val="005D1C8B"/>
    <w:rsid w:val="005D468D"/>
    <w:rsid w:val="005D5CED"/>
    <w:rsid w:val="005E2664"/>
    <w:rsid w:val="005E5A25"/>
    <w:rsid w:val="005F1A4C"/>
    <w:rsid w:val="00605688"/>
    <w:rsid w:val="006070AF"/>
    <w:rsid w:val="00607E6C"/>
    <w:rsid w:val="006101B1"/>
    <w:rsid w:val="00614E44"/>
    <w:rsid w:val="0062270A"/>
    <w:rsid w:val="00622830"/>
    <w:rsid w:val="00623DA0"/>
    <w:rsid w:val="00630AEF"/>
    <w:rsid w:val="006325F8"/>
    <w:rsid w:val="00633463"/>
    <w:rsid w:val="00634A9A"/>
    <w:rsid w:val="00634C9A"/>
    <w:rsid w:val="006440E4"/>
    <w:rsid w:val="0066343B"/>
    <w:rsid w:val="00664777"/>
    <w:rsid w:val="006748A4"/>
    <w:rsid w:val="00681A31"/>
    <w:rsid w:val="00683DE5"/>
    <w:rsid w:val="00683E73"/>
    <w:rsid w:val="006A3141"/>
    <w:rsid w:val="006A3BCF"/>
    <w:rsid w:val="006A5E34"/>
    <w:rsid w:val="006B2422"/>
    <w:rsid w:val="006B2B9A"/>
    <w:rsid w:val="006C1937"/>
    <w:rsid w:val="006F020C"/>
    <w:rsid w:val="006F7657"/>
    <w:rsid w:val="007127B7"/>
    <w:rsid w:val="0071798E"/>
    <w:rsid w:val="00727533"/>
    <w:rsid w:val="007416B6"/>
    <w:rsid w:val="00746F48"/>
    <w:rsid w:val="0075404D"/>
    <w:rsid w:val="0076182A"/>
    <w:rsid w:val="00767B7E"/>
    <w:rsid w:val="007770C3"/>
    <w:rsid w:val="00784D24"/>
    <w:rsid w:val="007854B5"/>
    <w:rsid w:val="00785FBA"/>
    <w:rsid w:val="00786E4A"/>
    <w:rsid w:val="007875EB"/>
    <w:rsid w:val="0079426B"/>
    <w:rsid w:val="007D1682"/>
    <w:rsid w:val="007D312A"/>
    <w:rsid w:val="007D3F19"/>
    <w:rsid w:val="007E0614"/>
    <w:rsid w:val="007E23B0"/>
    <w:rsid w:val="007E7331"/>
    <w:rsid w:val="007F1991"/>
    <w:rsid w:val="007F2C2F"/>
    <w:rsid w:val="007F55FC"/>
    <w:rsid w:val="007F5665"/>
    <w:rsid w:val="00800112"/>
    <w:rsid w:val="00813348"/>
    <w:rsid w:val="008253BB"/>
    <w:rsid w:val="0082649A"/>
    <w:rsid w:val="00833962"/>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8F1DF6"/>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AF37A0"/>
    <w:rsid w:val="00AF59A4"/>
    <w:rsid w:val="00B03C9D"/>
    <w:rsid w:val="00B060AE"/>
    <w:rsid w:val="00B10517"/>
    <w:rsid w:val="00B14E76"/>
    <w:rsid w:val="00B161B8"/>
    <w:rsid w:val="00B2048C"/>
    <w:rsid w:val="00B310B9"/>
    <w:rsid w:val="00B33334"/>
    <w:rsid w:val="00B35F3F"/>
    <w:rsid w:val="00B36CBB"/>
    <w:rsid w:val="00B425E0"/>
    <w:rsid w:val="00B440AA"/>
    <w:rsid w:val="00B44B70"/>
    <w:rsid w:val="00B53C56"/>
    <w:rsid w:val="00B57DAF"/>
    <w:rsid w:val="00B77EA6"/>
    <w:rsid w:val="00B81598"/>
    <w:rsid w:val="00B841F1"/>
    <w:rsid w:val="00B944D6"/>
    <w:rsid w:val="00BA7F4A"/>
    <w:rsid w:val="00BB4DF0"/>
    <w:rsid w:val="00BC289F"/>
    <w:rsid w:val="00BC2D50"/>
    <w:rsid w:val="00BC5361"/>
    <w:rsid w:val="00BC5460"/>
    <w:rsid w:val="00BC6B50"/>
    <w:rsid w:val="00BD0E25"/>
    <w:rsid w:val="00BF5BD6"/>
    <w:rsid w:val="00C03E31"/>
    <w:rsid w:val="00C060B5"/>
    <w:rsid w:val="00C30E69"/>
    <w:rsid w:val="00C33E72"/>
    <w:rsid w:val="00C354B2"/>
    <w:rsid w:val="00C35554"/>
    <w:rsid w:val="00C42709"/>
    <w:rsid w:val="00C432F1"/>
    <w:rsid w:val="00C4779B"/>
    <w:rsid w:val="00C5312F"/>
    <w:rsid w:val="00C533CC"/>
    <w:rsid w:val="00C5751C"/>
    <w:rsid w:val="00C61BFC"/>
    <w:rsid w:val="00C62B85"/>
    <w:rsid w:val="00C65438"/>
    <w:rsid w:val="00C91918"/>
    <w:rsid w:val="00C91CBB"/>
    <w:rsid w:val="00C92B37"/>
    <w:rsid w:val="00CB2B20"/>
    <w:rsid w:val="00CB4E70"/>
    <w:rsid w:val="00CC09B6"/>
    <w:rsid w:val="00CC666F"/>
    <w:rsid w:val="00CD1E3F"/>
    <w:rsid w:val="00CE44F6"/>
    <w:rsid w:val="00CE49DA"/>
    <w:rsid w:val="00CE7B61"/>
    <w:rsid w:val="00D00095"/>
    <w:rsid w:val="00D114F0"/>
    <w:rsid w:val="00D179F5"/>
    <w:rsid w:val="00D20620"/>
    <w:rsid w:val="00D2207C"/>
    <w:rsid w:val="00D23AD0"/>
    <w:rsid w:val="00D254F7"/>
    <w:rsid w:val="00D26091"/>
    <w:rsid w:val="00D2685C"/>
    <w:rsid w:val="00D31D77"/>
    <w:rsid w:val="00D34E7C"/>
    <w:rsid w:val="00D35489"/>
    <w:rsid w:val="00D36AFE"/>
    <w:rsid w:val="00D42A1E"/>
    <w:rsid w:val="00D51276"/>
    <w:rsid w:val="00D7035F"/>
    <w:rsid w:val="00D96298"/>
    <w:rsid w:val="00DA634F"/>
    <w:rsid w:val="00DA65AC"/>
    <w:rsid w:val="00DB1913"/>
    <w:rsid w:val="00DC410D"/>
    <w:rsid w:val="00DC5A81"/>
    <w:rsid w:val="00DC68CA"/>
    <w:rsid w:val="00DC7CBA"/>
    <w:rsid w:val="00DD73B7"/>
    <w:rsid w:val="00DE6722"/>
    <w:rsid w:val="00DE6927"/>
    <w:rsid w:val="00DF28BC"/>
    <w:rsid w:val="00DF34B9"/>
    <w:rsid w:val="00DF7548"/>
    <w:rsid w:val="00E01053"/>
    <w:rsid w:val="00E07ACF"/>
    <w:rsid w:val="00E331A1"/>
    <w:rsid w:val="00E33202"/>
    <w:rsid w:val="00E336A9"/>
    <w:rsid w:val="00E472B1"/>
    <w:rsid w:val="00E50624"/>
    <w:rsid w:val="00E509C5"/>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C446E"/>
    <w:rsid w:val="00FD3CC1"/>
    <w:rsid w:val="00FF1E02"/>
    <w:rsid w:val="00FF30B4"/>
    <w:rsid w:val="032C6AFB"/>
    <w:rsid w:val="04481641"/>
    <w:rsid w:val="052922F0"/>
    <w:rsid w:val="09783895"/>
    <w:rsid w:val="0E396E51"/>
    <w:rsid w:val="10C055FF"/>
    <w:rsid w:val="11552894"/>
    <w:rsid w:val="15D628EB"/>
    <w:rsid w:val="16BB723D"/>
    <w:rsid w:val="1B3B0D5F"/>
    <w:rsid w:val="1CCA731A"/>
    <w:rsid w:val="216876E5"/>
    <w:rsid w:val="231477F9"/>
    <w:rsid w:val="240371BF"/>
    <w:rsid w:val="2510580D"/>
    <w:rsid w:val="292955A4"/>
    <w:rsid w:val="29FD04D3"/>
    <w:rsid w:val="2E3920F2"/>
    <w:rsid w:val="319F7F4E"/>
    <w:rsid w:val="33514CE7"/>
    <w:rsid w:val="34CD7252"/>
    <w:rsid w:val="356201DD"/>
    <w:rsid w:val="373E0A69"/>
    <w:rsid w:val="48041C34"/>
    <w:rsid w:val="49702052"/>
    <w:rsid w:val="4ECE2238"/>
    <w:rsid w:val="55A92102"/>
    <w:rsid w:val="58C87628"/>
    <w:rsid w:val="5A764482"/>
    <w:rsid w:val="5C8728D2"/>
    <w:rsid w:val="5F112DD2"/>
    <w:rsid w:val="5F663956"/>
    <w:rsid w:val="5F7D3BE6"/>
    <w:rsid w:val="60AB5F0E"/>
    <w:rsid w:val="62D176A8"/>
    <w:rsid w:val="63A73F5B"/>
    <w:rsid w:val="6D941B1B"/>
    <w:rsid w:val="71671A90"/>
    <w:rsid w:val="71FB3569"/>
    <w:rsid w:val="72734D90"/>
    <w:rsid w:val="798E2A37"/>
    <w:rsid w:val="7C434A70"/>
    <w:rsid w:val="7F2D69C4"/>
    <w:rsid w:val="7F542EC8"/>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3">
    <w:name w:val="Default Paragraph Font"/>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1"/>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4">
    <w:name w:val="Strong"/>
    <w:basedOn w:val="13"/>
    <w:qFormat/>
    <w:uiPriority w:val="99"/>
    <w:rPr>
      <w:b/>
    </w:rPr>
  </w:style>
  <w:style w:type="character" w:styleId="15">
    <w:name w:val="Hyperlink"/>
    <w:basedOn w:val="13"/>
    <w:unhideWhenUsed/>
    <w:qFormat/>
    <w:uiPriority w:val="99"/>
    <w:rPr>
      <w:color w:val="0000FF" w:themeColor="hyperlink"/>
      <w:u w:val="single"/>
    </w:rPr>
  </w:style>
  <w:style w:type="character" w:customStyle="1" w:styleId="16">
    <w:name w:val="Header Char"/>
    <w:basedOn w:val="13"/>
    <w:semiHidden/>
    <w:qFormat/>
    <w:uiPriority w:val="99"/>
    <w:rPr>
      <w:rFonts w:ascii="Times New Roman" w:hAnsi="Times New Roman"/>
      <w:sz w:val="18"/>
      <w:szCs w:val="18"/>
    </w:rPr>
  </w:style>
  <w:style w:type="character" w:customStyle="1" w:styleId="17">
    <w:name w:val="页眉 Char"/>
    <w:link w:val="9"/>
    <w:semiHidden/>
    <w:qFormat/>
    <w:locked/>
    <w:uiPriority w:val="99"/>
    <w:rPr>
      <w:sz w:val="18"/>
    </w:rPr>
  </w:style>
  <w:style w:type="character" w:customStyle="1" w:styleId="18">
    <w:name w:val="Footer Char"/>
    <w:basedOn w:val="13"/>
    <w:semiHidden/>
    <w:qFormat/>
    <w:uiPriority w:val="99"/>
    <w:rPr>
      <w:rFonts w:ascii="Times New Roman" w:hAnsi="Times New Roman"/>
      <w:sz w:val="18"/>
      <w:szCs w:val="18"/>
    </w:rPr>
  </w:style>
  <w:style w:type="character" w:customStyle="1" w:styleId="19">
    <w:name w:val="页脚 Char"/>
    <w:link w:val="8"/>
    <w:qFormat/>
    <w:locked/>
    <w:uiPriority w:val="99"/>
    <w:rPr>
      <w:sz w:val="18"/>
    </w:rPr>
  </w:style>
  <w:style w:type="character" w:customStyle="1" w:styleId="20">
    <w:name w:val="Body Text Char"/>
    <w:basedOn w:val="13"/>
    <w:semiHidden/>
    <w:qFormat/>
    <w:uiPriority w:val="99"/>
    <w:rPr>
      <w:rFonts w:ascii="Times New Roman" w:hAnsi="Times New Roman"/>
      <w:szCs w:val="24"/>
    </w:rPr>
  </w:style>
  <w:style w:type="character" w:customStyle="1" w:styleId="21">
    <w:name w:val="正文文本 Char"/>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Char"/>
    <w:basedOn w:val="13"/>
    <w:link w:val="2"/>
    <w:qFormat/>
    <w:uiPriority w:val="9"/>
    <w:rPr>
      <w:rFonts w:ascii="Times New Roman" w:hAnsi="Times New Roman"/>
      <w:b/>
      <w:bCs/>
      <w:kern w:val="44"/>
      <w:sz w:val="44"/>
      <w:szCs w:val="44"/>
    </w:rPr>
  </w:style>
  <w:style w:type="character" w:customStyle="1" w:styleId="25">
    <w:name w:val="标题 2 Char"/>
    <w:basedOn w:val="13"/>
    <w:link w:val="3"/>
    <w:qFormat/>
    <w:uiPriority w:val="9"/>
    <w:rPr>
      <w:rFonts w:asciiTheme="majorHAnsi" w:hAnsiTheme="majorHAnsi" w:eastAsiaTheme="majorEastAsia" w:cstheme="majorBidi"/>
      <w:b/>
      <w:bCs/>
      <w:kern w:val="2"/>
      <w:sz w:val="32"/>
      <w:szCs w:val="32"/>
    </w:rPr>
  </w:style>
  <w:style w:type="paragraph" w:customStyle="1" w:styleId="26">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7">
    <w:name w:val="批注框文本 Char"/>
    <w:basedOn w:val="13"/>
    <w:link w:val="7"/>
    <w:semiHidden/>
    <w:qFormat/>
    <w:uiPriority w:val="99"/>
    <w:rPr>
      <w:rFonts w:ascii="Times New Roman" w:hAnsi="Times New Roman"/>
      <w:kern w:val="2"/>
      <w:sz w:val="18"/>
      <w:szCs w:val="18"/>
    </w:rPr>
  </w:style>
  <w:style w:type="character" w:customStyle="1" w:styleId="28">
    <w:name w:val="标题 3 Char"/>
    <w:basedOn w:val="13"/>
    <w:link w:val="4"/>
    <w:qFormat/>
    <w:uiPriority w:val="9"/>
    <w:rPr>
      <w:rFonts w:ascii="Times New Roman" w:hAnsi="Times New Roman"/>
      <w:b/>
      <w:bCs/>
      <w:kern w:val="2"/>
      <w:sz w:val="32"/>
      <w:szCs w:val="32"/>
    </w:rPr>
  </w:style>
  <w:style w:type="paragraph" w:customStyle="1" w:styleId="29">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30">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hfh\Desktop\2019&#24180;&#20915;&#31639;&#20844;&#24320;\2019&#24180;&#37096;&#38376;&#20915;&#31639;&#20844;&#24320;&#26448;&#26009;\&#37096;&#38376;&#31649;&#29702;&#20915;&#31639;&#32534;&#21046;&#35828;&#26126;&#22635;&#39292;&#22270;&#12289;&#26609;&#29366;&#22270;&#30340;&#20844;&#24335;&#22909;&#22909;&#22909;&#29992;.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fh\Desktop\2019&#24180;&#20915;&#31639;&#20844;&#24320;\2019&#24180;&#37096;&#38376;&#20915;&#31639;&#20844;&#24320;&#26448;&#26009;\&#37096;&#38376;&#31649;&#29702;&#20915;&#31639;&#32534;&#21046;&#35828;&#26126;&#22635;&#39292;&#22270;&#12289;&#26609;&#29366;&#22270;&#30340;&#20844;&#24335;&#22909;&#22909;&#22909;&#29992;.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hfh\Desktop\2019&#24180;&#20915;&#31639;&#20844;&#24320;\2019&#24180;&#37096;&#38376;&#20915;&#31639;&#20844;&#24320;&#26448;&#26009;\&#37096;&#38376;&#31649;&#29702;&#20915;&#31639;&#32534;&#21046;&#35828;&#26126;&#22635;&#39292;&#22270;&#12289;&#26609;&#29366;&#22270;&#30340;&#20844;&#24335;&#22909;&#22909;&#22909;&#29992;.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hfh\Desktop\2019&#24180;&#20915;&#31639;&#20844;&#24320;\2019&#24180;&#37096;&#38376;&#20915;&#31639;&#20844;&#24320;&#26448;&#26009;\&#37096;&#38376;&#31649;&#29702;&#20915;&#31639;&#32534;&#21046;&#35828;&#26126;&#22635;&#39292;&#22270;&#12289;&#26609;&#29366;&#22270;&#30340;&#20844;&#24335;&#22909;&#22909;&#22909;&#29992;.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hfh\Desktop\2019&#24180;&#20915;&#31639;&#20844;&#24320;\2019&#24180;&#37096;&#38376;&#20915;&#31639;&#20844;&#24320;&#26448;&#26009;\&#37096;&#38376;&#31649;&#29702;&#20915;&#31639;&#32534;&#21046;&#35828;&#26126;&#22635;&#39292;&#22270;&#12289;&#26609;&#29366;&#22270;&#30340;&#20844;&#24335;&#22909;&#22909;&#22909;&#29992;.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hfh\Desktop\2019&#24180;&#20915;&#31639;&#20844;&#24320;\2019&#24180;&#37096;&#38376;&#20915;&#31639;&#20844;&#24320;&#26448;&#26009;\&#37096;&#38376;&#31649;&#29702;&#20915;&#31639;&#32534;&#21046;&#35828;&#26126;&#22635;&#39292;&#22270;&#12289;&#26609;&#29366;&#22270;&#30340;&#20844;&#24335;&#22909;&#22909;&#22909;&#2999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1400" b="0" i="0" u="none" strike="noStrike" baseline="0">
                <a:solidFill>
                  <a:srgbClr val="333333"/>
                </a:solidFill>
                <a:latin typeface="宋体" panose="02010600030101010101" charset="-122"/>
                <a:ea typeface="宋体" panose="02010600030101010101" charset="-122"/>
                <a:cs typeface="宋体" panose="02010600030101010101" charset="-122"/>
              </a:rPr>
              <a:t>收、支决算总计变动情况图   </a:t>
            </a:r>
            <a:r>
              <a:rPr sz="1200" b="0" i="0" u="none" strike="noStrike" baseline="0">
                <a:solidFill>
                  <a:srgbClr val="333333"/>
                </a:solidFill>
                <a:latin typeface="宋体" panose="02010600030101010101" charset="-122"/>
                <a:ea typeface="宋体" panose="02010600030101010101" charset="-122"/>
                <a:cs typeface="宋体" panose="02010600030101010101" charset="-122"/>
              </a:rPr>
              <a:t>  单位：万元   </a:t>
            </a:r>
            <a:r>
              <a:rPr sz="1400" b="0" i="0" u="none" strike="noStrike" baseline="0">
                <a:solidFill>
                  <a:srgbClr val="333333"/>
                </a:solidFill>
                <a:latin typeface="宋体" panose="02010600030101010101" charset="-122"/>
                <a:ea typeface="宋体" panose="02010600030101010101" charset="-122"/>
                <a:cs typeface="宋体" panose="02010600030101010101" charset="-122"/>
              </a:rPr>
              <a:t>  </a:t>
            </a:r>
            <a:endParaRPr sz="1100" b="0" i="0" u="none" strike="noStrike" baseline="0">
              <a:solidFill>
                <a:srgbClr val="000000"/>
              </a:solidFill>
              <a:latin typeface="宋体" panose="02010600030101010101" charset="-122"/>
              <a:ea typeface="宋体" panose="02010600030101010101" charset="-122"/>
              <a:cs typeface="宋体" panose="02010600030101010101" charset="-122"/>
            </a:endParaRPr>
          </a:p>
        </c:rich>
      </c:tx>
      <c:layout>
        <c:manualLayout>
          <c:xMode val="edge"/>
          <c:yMode val="edge"/>
          <c:x val="0.1358042777615"/>
          <c:y val="0.0341880341880342"/>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([部门管理决算编制说明填饼图、柱状图的公式好好好用.xls]Sheet3!$A$1:$A$2,[部门管理决算编制说明填饼图、柱状图的公式好好好用.xls]Sheet3!$A$6:$A$7)</c:f>
              <c:strCache>
                <c:ptCount val="4"/>
                <c:pt idx="0">
                  <c:v>2019年度收入</c:v>
                </c:pt>
                <c:pt idx="1">
                  <c:v>2018年度收入</c:v>
                </c:pt>
                <c:pt idx="2">
                  <c:v>2019年度支出</c:v>
                </c:pt>
                <c:pt idx="3">
                  <c:v>2018年度支出</c:v>
                </c:pt>
              </c:strCache>
            </c:strRef>
          </c:cat>
          <c:val>
            <c:numRef>
              <c:f>([部门管理决算编制说明填饼图、柱状图的公式好好好用.xls]Sheet3!$B$1:$B$2,[部门管理决算编制说明填饼图、柱状图的公式好好好用.xls]Sheet3!$B$6:$B$7)</c:f>
              <c:numCache>
                <c:formatCode>#,##0.00</c:formatCode>
                <c:ptCount val="4"/>
                <c:pt idx="0">
                  <c:v>941.5</c:v>
                </c:pt>
                <c:pt idx="1">
                  <c:v>896.41</c:v>
                </c:pt>
                <c:pt idx="2">
                  <c:v>1078.5</c:v>
                </c:pt>
                <c:pt idx="3">
                  <c:v>1095.21</c:v>
                </c:pt>
              </c:numCache>
            </c:numRef>
          </c:val>
        </c:ser>
        <c:dLbls>
          <c:showLegendKey val="0"/>
          <c:showVal val="0"/>
          <c:showCatName val="0"/>
          <c:showSerName val="0"/>
          <c:showPercent val="0"/>
          <c:showBubbleSize val="0"/>
        </c:dLbls>
        <c:gapWidth val="219"/>
        <c:overlap val="-27"/>
        <c:axId val="760869880"/>
        <c:axId val="936312263"/>
      </c:barChart>
      <c:catAx>
        <c:axId val="760869880"/>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36312263"/>
        <c:crosses val="autoZero"/>
        <c:auto val="1"/>
        <c:lblAlgn val="ctr"/>
        <c:lblOffset val="100"/>
        <c:noMultiLvlLbl val="0"/>
      </c:catAx>
      <c:valAx>
        <c:axId val="936312263"/>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08698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1400" b="0" i="0" u="none" strike="noStrike" baseline="0">
                <a:solidFill>
                  <a:srgbClr val="333333"/>
                </a:solidFill>
                <a:latin typeface="宋体" panose="02010600030101010101" charset="-122"/>
                <a:ea typeface="宋体" panose="02010600030101010101" charset="-122"/>
                <a:cs typeface="宋体" panose="02010600030101010101" charset="-122"/>
              </a:rPr>
              <a:t>收入决算结构图      </a:t>
            </a:r>
            <a:r>
              <a:rPr sz="1100" b="0" i="0" u="none" strike="noStrike" baseline="0">
                <a:solidFill>
                  <a:srgbClr val="333333"/>
                </a:solidFill>
                <a:latin typeface="宋体" panose="02010600030101010101" charset="-122"/>
                <a:ea typeface="宋体" panose="02010600030101010101" charset="-122"/>
                <a:cs typeface="宋体" panose="02010600030101010101" charset="-122"/>
              </a:rPr>
              <a:t>  单位：万元</a:t>
            </a:r>
            <a:endParaRPr lang="en-US" altLang="zh-CN" sz="1100" b="0" i="0" u="none" strike="noStrike" baseline="0">
              <a:solidFill>
                <a:srgbClr val="000000"/>
              </a:solidFill>
              <a:latin typeface="宋体" panose="02010600030101010101" charset="-122"/>
              <a:ea typeface="宋体" panose="02010600030101010101" charset="-122"/>
              <a:cs typeface="宋体" panose="02010600030101010101" charset="-122"/>
            </a:endParaRPr>
          </a:p>
        </c:rich>
      </c:tx>
      <c:layout>
        <c:manualLayout>
          <c:xMode val="edge"/>
          <c:yMode val="edge"/>
          <c:x val="0.352638888888889"/>
          <c:y val="0.0590277777777778"/>
        </c:manualLayout>
      </c:layout>
      <c:overlay val="0"/>
      <c:spPr>
        <a:noFill/>
        <a:ln>
          <a:noFill/>
        </a:ln>
        <a:effectLst/>
      </c:spPr>
    </c:title>
    <c:autoTitleDeleted val="0"/>
    <c:plotArea>
      <c:layout/>
      <c:pieChart>
        <c:varyColors val="1"/>
        <c:ser>
          <c:idx val="0"/>
          <c:order val="0"/>
          <c:tx>
            <c:strRef>
              <c:f>[部门管理决算编制说明填饼图、柱状图的公式好好好用.xls]Sheet3!$B$14</c:f>
              <c:strCache>
                <c:ptCount val="1"/>
                <c:pt idx="0">
                  <c:v>决算数</c:v>
                </c:pt>
              </c:strCache>
            </c:strRef>
          </c:tx>
          <c:explosion val="0"/>
          <c:dPt>
            <c:idx val="0"/>
            <c:bubble3D val="0"/>
            <c:explosion val="0"/>
            <c:spPr>
              <a:solidFill>
                <a:schemeClr val="accent1"/>
              </a:solidFill>
              <a:ln w="19050">
                <a:solidFill>
                  <a:schemeClr val="lt1"/>
                </a:solidFill>
              </a:ln>
              <a:effectLst/>
            </c:spPr>
          </c:dPt>
          <c:dPt>
            <c:idx val="1"/>
            <c:bubble3D val="0"/>
            <c:explosion val="0"/>
            <c:spPr>
              <a:solidFill>
                <a:schemeClr val="accent2"/>
              </a:solidFill>
              <a:ln w="19050">
                <a:solidFill>
                  <a:schemeClr val="lt1"/>
                </a:solidFill>
              </a:ln>
              <a:effectLst/>
            </c:spPr>
          </c:dPt>
          <c:dPt>
            <c:idx val="2"/>
            <c:bubble3D val="0"/>
            <c:explosion val="0"/>
            <c:spPr>
              <a:solidFill>
                <a:schemeClr val="accent3"/>
              </a:solidFill>
              <a:ln w="19050">
                <a:solidFill>
                  <a:schemeClr val="lt1"/>
                </a:solidFill>
              </a:ln>
              <a:effectLst/>
            </c:spPr>
          </c:dPt>
          <c:dPt>
            <c:idx val="3"/>
            <c:bubble3D val="0"/>
            <c:explosion val="0"/>
            <c:spPr>
              <a:solidFill>
                <a:schemeClr val="accent4"/>
              </a:solidFill>
              <a:ln w="19050">
                <a:solidFill>
                  <a:schemeClr val="lt1"/>
                </a:solidFill>
              </a:ln>
              <a:effectLst/>
            </c:spPr>
          </c:dPt>
          <c:dPt>
            <c:idx val="4"/>
            <c:bubble3D val="0"/>
            <c:explosion val="0"/>
            <c:spPr>
              <a:solidFill>
                <a:schemeClr val="accent5"/>
              </a:solidFill>
              <a:ln w="19050">
                <a:solidFill>
                  <a:schemeClr val="lt1"/>
                </a:solidFill>
              </a:ln>
              <a:effectLst/>
            </c:spPr>
          </c:dPt>
          <c:dPt>
            <c:idx val="5"/>
            <c:bubble3D val="0"/>
            <c:explosion val="0"/>
            <c:spPr>
              <a:solidFill>
                <a:schemeClr val="accent6"/>
              </a:solidFill>
              <a:ln w="19050">
                <a:solidFill>
                  <a:schemeClr val="lt1"/>
                </a:solidFill>
              </a:ln>
              <a:effectLst/>
            </c:spPr>
          </c:dPt>
          <c:dPt>
            <c:idx val="6"/>
            <c:bubble3D val="0"/>
            <c:explosion val="0"/>
            <c:spPr>
              <a:solidFill>
                <a:schemeClr val="accent1">
                  <a:lumMod val="60000"/>
                </a:schemeClr>
              </a:solidFill>
              <a:ln w="19050">
                <a:solidFill>
                  <a:schemeClr val="lt1"/>
                </a:solidFill>
              </a:ln>
              <a:effectLst/>
            </c:spPr>
          </c:dPt>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[部门管理决算编制说明填饼图、柱状图的公式好好好用.xls]Sheet3!$A$15:$A$21</c:f>
              <c:strCache>
                <c:ptCount val="7"/>
                <c:pt idx="0">
                  <c:v>一般公共预算财政拨款收入</c:v>
                </c:pt>
                <c:pt idx="1">
                  <c:v>政府性基金预算财政拨款收入</c:v>
                </c:pt>
                <c:pt idx="2">
                  <c:v>上级补助收入</c:v>
                </c:pt>
                <c:pt idx="3">
                  <c:v>事业收入</c:v>
                </c:pt>
                <c:pt idx="4">
                  <c:v>经营收入</c:v>
                </c:pt>
                <c:pt idx="5">
                  <c:v>附属单位上缴收入</c:v>
                </c:pt>
                <c:pt idx="6">
                  <c:v>其他收入</c:v>
                </c:pt>
              </c:strCache>
            </c:strRef>
          </c:cat>
          <c:val>
            <c:numRef>
              <c:f>[部门管理决算编制说明填饼图、柱状图的公式好好好用.xls]Sheet3!$B$15:$B$21</c:f>
              <c:numCache>
                <c:formatCode>General</c:formatCode>
                <c:ptCount val="7"/>
                <c:pt idx="0">
                  <c:v>941.5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支出决算结构图                    </a:t>
            </a:r>
            <a:endParaRPr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pieChart>
        <c:varyColors val="1"/>
        <c:ser>
          <c:idx val="0"/>
          <c:order val="0"/>
          <c:explosion val="0"/>
          <c:dPt>
            <c:idx val="0"/>
            <c:bubble3D val="0"/>
            <c:explosion val="0"/>
            <c:spPr>
              <a:solidFill>
                <a:schemeClr val="accent1"/>
              </a:solidFill>
              <a:ln w="19050">
                <a:solidFill>
                  <a:schemeClr val="lt1"/>
                </a:solidFill>
              </a:ln>
              <a:effectLst/>
            </c:spPr>
          </c:dPt>
          <c:dPt>
            <c:idx val="1"/>
            <c:bubble3D val="0"/>
            <c:explosion val="0"/>
            <c:spPr>
              <a:solidFill>
                <a:schemeClr val="accent2"/>
              </a:solidFill>
              <a:ln w="19050">
                <a:solidFill>
                  <a:schemeClr val="lt1"/>
                </a:solidFill>
              </a:ln>
              <a:effectLst/>
            </c:spPr>
          </c:dPt>
          <c:dPt>
            <c:idx val="2"/>
            <c:bubble3D val="0"/>
            <c:explosion val="0"/>
            <c:spPr>
              <a:solidFill>
                <a:schemeClr val="accent3"/>
              </a:solidFill>
              <a:ln w="19050">
                <a:solidFill>
                  <a:schemeClr val="lt1"/>
                </a:solidFill>
              </a:ln>
              <a:effectLst/>
            </c:spPr>
          </c:dPt>
          <c:dPt>
            <c:idx val="3"/>
            <c:bubble3D val="0"/>
            <c:explosion val="0"/>
            <c:spPr>
              <a:solidFill>
                <a:schemeClr val="accent4"/>
              </a:solidFill>
              <a:ln w="19050">
                <a:solidFill>
                  <a:schemeClr val="lt1"/>
                </a:solidFill>
              </a:ln>
              <a:effectLst/>
            </c:spPr>
          </c:dPt>
          <c:dPt>
            <c:idx val="4"/>
            <c:bubble3D val="0"/>
            <c:explosion val="0"/>
            <c:spPr>
              <a:solidFill>
                <a:schemeClr val="accent5"/>
              </a:solidFill>
              <a:ln w="19050">
                <a:solidFill>
                  <a:schemeClr val="lt1"/>
                </a:solidFill>
              </a:ln>
              <a:effectLst/>
            </c:spPr>
          </c:dPt>
          <c:dLbls>
            <c:dLbl>
              <c:idx val="0"/>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extLst>
                <c:ext xmlns:c15="http://schemas.microsoft.com/office/drawing/2012/chart" uri="{CE6537A1-D6FC-4f65-9D91-7224C49458BB}"/>
              </c:extLst>
            </c:dLbl>
            <c:dLbl>
              <c:idx val="4"/>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extLst>
                <c:ext xmlns:c15="http://schemas.microsoft.com/office/drawing/2012/chart" uri="{CE6537A1-D6FC-4f65-9D91-7224C49458BB}"/>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[部门管理决算编制说明填饼图、柱状图的公式好好好用.xls]Sheet3!$A$24:$A$28</c:f>
              <c:strCache>
                <c:ptCount val="5"/>
                <c:pt idx="0">
                  <c:v>基本支出</c:v>
                </c:pt>
                <c:pt idx="1">
                  <c:v>项目支出</c:v>
                </c:pt>
                <c:pt idx="2">
                  <c:v>上缴上级支出</c:v>
                </c:pt>
                <c:pt idx="3">
                  <c:v>经营支出</c:v>
                </c:pt>
                <c:pt idx="4">
                  <c:v>对附属单位补助支出</c:v>
                </c:pt>
              </c:strCache>
            </c:strRef>
          </c:cat>
          <c:val>
            <c:numRef>
              <c:f>[部门管理决算编制说明填饼图、柱状图的公式好好好用.xls]Sheet3!$B$24:$B$28</c:f>
              <c:numCache>
                <c:formatCode>#,##0.00</c:formatCode>
                <c:ptCount val="5"/>
                <c:pt idx="0">
                  <c:v>1071.36</c:v>
                </c:pt>
                <c:pt idx="1">
                  <c:v>7.14</c:v>
                </c:pt>
                <c:pt idx="2" c:formatCode="General">
                  <c:v>0</c:v>
                </c:pt>
                <c:pt idx="3" c:formatCode="General">
                  <c:v>0</c:v>
                </c:pt>
                <c:pt idx="4" c:formatCode="General">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财政拨款收、支决算总计变动情况      单位：万元    </a:t>
            </a:r>
            <a:endParaRPr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manualLayout>
          <c:xMode val="edge"/>
          <c:yMode val="edge"/>
          <c:x val="0.0941222164681512"/>
          <c:y val="0.0138888888888889"/>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[部门管理决算编制说明填饼图、柱状图的公式好好好用.xls]Sheet3!$D$29:$D$32</c:f>
              <c:strCache>
                <c:ptCount val="4"/>
                <c:pt idx="0">
                  <c:v>2018年收入</c:v>
                </c:pt>
                <c:pt idx="1">
                  <c:v>2019年收入</c:v>
                </c:pt>
                <c:pt idx="2">
                  <c:v>2018年支出</c:v>
                </c:pt>
                <c:pt idx="3">
                  <c:v>2019年支出</c:v>
                </c:pt>
              </c:strCache>
            </c:strRef>
          </c:cat>
          <c:val>
            <c:numRef>
              <c:f>[部门管理决算编制说明填饼图、柱状图的公式好好好用.xls]Sheet3!$E$29:$E$32</c:f>
              <c:numCache>
                <c:formatCode>#,##0.00</c:formatCode>
                <c:ptCount val="4"/>
                <c:pt idx="0">
                  <c:v>896.41</c:v>
                </c:pt>
                <c:pt idx="1">
                  <c:v>941.5</c:v>
                </c:pt>
                <c:pt idx="2">
                  <c:v>1095.21</c:v>
                </c:pt>
                <c:pt idx="3">
                  <c:v>1078.5</c:v>
                </c:pt>
              </c:numCache>
            </c:numRef>
          </c:val>
        </c:ser>
        <c:dLbls>
          <c:showLegendKey val="0"/>
          <c:showVal val="0"/>
          <c:showCatName val="0"/>
          <c:showSerName val="0"/>
          <c:showPercent val="0"/>
          <c:showBubbleSize val="0"/>
        </c:dLbls>
        <c:gapWidth val="219"/>
        <c:overlap val="-27"/>
        <c:axId val="107842508"/>
        <c:axId val="450972447"/>
      </c:barChart>
      <c:catAx>
        <c:axId val="107842508"/>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450972447"/>
        <c:crosses val="autoZero"/>
        <c:auto val="1"/>
        <c:lblAlgn val="ctr"/>
        <c:lblOffset val="100"/>
        <c:noMultiLvlLbl val="0"/>
      </c:catAx>
      <c:valAx>
        <c:axId val="450972447"/>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078425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sz="1400" b="0" i="0" u="none" strike="noStrike" baseline="0">
                <a:solidFill>
                  <a:srgbClr val="333333"/>
                </a:solidFill>
                <a:latin typeface="宋体" panose="02010600030101010101" charset="-122"/>
                <a:ea typeface="宋体" panose="02010600030101010101" charset="-122"/>
                <a:cs typeface="宋体" panose="02010600030101010101" charset="-122"/>
              </a:rPr>
              <a:t>一般公共预算财政拨款支出决算变动情况      </a:t>
            </a:r>
            <a:r>
              <a:rPr sz="1000" b="0" i="0" u="none" strike="noStrike" baseline="0">
                <a:solidFill>
                  <a:srgbClr val="333333"/>
                </a:solidFill>
                <a:latin typeface="宋体" panose="02010600030101010101" charset="-122"/>
                <a:ea typeface="宋体" panose="02010600030101010101" charset="-122"/>
                <a:cs typeface="宋体" panose="02010600030101010101" charset="-122"/>
              </a:rPr>
              <a:t>单位：万元</a:t>
            </a:r>
            <a:endParaRPr sz="1100" b="0" i="0" u="none" strike="noStrike" baseline="0">
              <a:solidFill>
                <a:srgbClr val="000000"/>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[部门管理决算编制说明填饼图、柱状图的公式好好好用.xls]Sheet3!$L$2:$L$3</c:f>
              <c:strCache>
                <c:ptCount val="2"/>
                <c:pt idx="0">
                  <c:v>2018年</c:v>
                </c:pt>
                <c:pt idx="1">
                  <c:v>2019年</c:v>
                </c:pt>
              </c:strCache>
            </c:strRef>
          </c:cat>
          <c:val>
            <c:numRef>
              <c:f>[部门管理决算编制说明填饼图、柱状图的公式好好好用.xls]Sheet3!$M$2:$M$3</c:f>
              <c:numCache>
                <c:formatCode>#,##0.00</c:formatCode>
                <c:ptCount val="2"/>
                <c:pt idx="0">
                  <c:v>1095.21</c:v>
                </c:pt>
                <c:pt idx="1">
                  <c:v>1078.5</c:v>
                </c:pt>
              </c:numCache>
            </c:numRef>
          </c:val>
        </c:ser>
        <c:dLbls>
          <c:showLegendKey val="0"/>
          <c:showVal val="0"/>
          <c:showCatName val="0"/>
          <c:showSerName val="0"/>
          <c:showPercent val="0"/>
          <c:showBubbleSize val="0"/>
        </c:dLbls>
        <c:gapWidth val="219"/>
        <c:overlap val="-27"/>
        <c:axId val="652316317"/>
        <c:axId val="314014041"/>
      </c:barChart>
      <c:catAx>
        <c:axId val="652316317"/>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14014041"/>
        <c:crosses val="autoZero"/>
        <c:auto val="1"/>
        <c:lblAlgn val="ctr"/>
        <c:lblOffset val="100"/>
        <c:noMultiLvlLbl val="0"/>
      </c:catAx>
      <c:valAx>
        <c:axId val="314014041"/>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9525"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5231631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一般公共预算财政拨款支出决算结构 </a:t>
            </a:r>
            <a:endParaRPr sz="1400" b="0" i="0" u="none" strike="noStrike" baseline="0">
              <a:solidFill>
                <a:srgbClr val="595959">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pieChart>
        <c:varyColors val="1"/>
        <c:ser>
          <c:idx val="0"/>
          <c:order val="0"/>
          <c:explosion val="0"/>
          <c:dPt>
            <c:idx val="0"/>
            <c:bubble3D val="0"/>
            <c:explosion val="0"/>
            <c:spPr>
              <a:solidFill>
                <a:schemeClr val="accent1"/>
              </a:solidFill>
              <a:ln w="19050">
                <a:solidFill>
                  <a:schemeClr val="lt1"/>
                </a:solidFill>
              </a:ln>
              <a:effectLst/>
            </c:spPr>
          </c:dPt>
          <c:dPt>
            <c:idx val="1"/>
            <c:bubble3D val="0"/>
            <c:explosion val="0"/>
            <c:spPr>
              <a:solidFill>
                <a:schemeClr val="accent2"/>
              </a:solidFill>
              <a:ln w="19050">
                <a:solidFill>
                  <a:schemeClr val="lt1"/>
                </a:solidFill>
              </a:ln>
              <a:effectLst/>
            </c:spPr>
          </c:dPt>
          <c:dPt>
            <c:idx val="2"/>
            <c:bubble3D val="0"/>
            <c:explosion val="0"/>
            <c:spPr>
              <a:solidFill>
                <a:schemeClr val="accent3"/>
              </a:solidFill>
              <a:ln w="19050">
                <a:solidFill>
                  <a:schemeClr val="lt1"/>
                </a:solidFill>
              </a:ln>
              <a:effectLst/>
            </c:spPr>
          </c:dPt>
          <c:dPt>
            <c:idx val="3"/>
            <c:bubble3D val="0"/>
            <c:explosion val="0"/>
            <c:spPr>
              <a:solidFill>
                <a:schemeClr val="accent4"/>
              </a:solidFill>
              <a:ln w="19050">
                <a:solidFill>
                  <a:schemeClr val="lt1"/>
                </a:solidFill>
              </a:ln>
              <a:effectLst/>
            </c:spPr>
          </c:dPt>
          <c:dPt>
            <c:idx val="4"/>
            <c:bubble3D val="0"/>
            <c:explosion val="0"/>
            <c:spPr>
              <a:solidFill>
                <a:schemeClr val="accent5"/>
              </a:solidFill>
              <a:ln w="19050">
                <a:solidFill>
                  <a:schemeClr val="lt1"/>
                </a:solidFill>
              </a:ln>
              <a:effectLst/>
            </c:spPr>
          </c:dPt>
          <c:dPt>
            <c:idx val="5"/>
            <c:bubble3D val="0"/>
            <c:explosion val="0"/>
            <c:spPr>
              <a:solidFill>
                <a:schemeClr val="accent6"/>
              </a:solidFill>
              <a:ln w="19050">
                <a:solidFill>
                  <a:schemeClr val="lt1"/>
                </a:solidFill>
              </a:ln>
              <a:effectLst/>
            </c:spPr>
          </c:dPt>
          <c:dPt>
            <c:idx val="6"/>
            <c:bubble3D val="0"/>
            <c:explosion val="0"/>
            <c:spPr>
              <a:solidFill>
                <a:schemeClr val="accent1">
                  <a:lumMod val="60000"/>
                </a:schemeClr>
              </a:solidFill>
              <a:ln w="19050">
                <a:solidFill>
                  <a:schemeClr val="lt1"/>
                </a:solidFill>
              </a:ln>
              <a:effectLst/>
            </c:spPr>
          </c:dPt>
          <c:dLbls>
            <c:dLbl>
              <c:idx val="0"/>
              <c:layout>
                <c:manualLayout>
                  <c:x val="0.0291664491222938"/>
                  <c:y val="0.0347280092587623"/>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0788005920118792"/>
                  <c:y val="-0.136349417595312"/>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0251118292844038"/>
                  <c:y val="0.0115043981489588"/>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0.0650522121454021"/>
                  <c:y val="0.122633986875299"/>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extLst>
                <c:ext xmlns:c15="http://schemas.microsoft.com/office/drawing/2012/chart" uri="{CE6537A1-D6FC-4f65-9D91-7224C49458BB}">
                  <c15:layout/>
                </c:ext>
              </c:extLst>
            </c:dLbl>
            <c:dLbl>
              <c:idx val="4"/>
              <c:layout>
                <c:manualLayout>
                  <c:x val="-0.00578112118793121"/>
                  <c:y val="0.0427728757641877"/>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extLst>
                <c:ext xmlns:c15="http://schemas.microsoft.com/office/drawing/2012/chart" uri="{CE6537A1-D6FC-4f65-9D91-7224C49458BB}">
                  <c15:layout/>
                </c:ext>
              </c:extLst>
            </c:dLbl>
            <c:dLbl>
              <c:idx val="5"/>
              <c:layout>
                <c:manualLayout>
                  <c:x val="0.0195549688598467"/>
                  <c:y val="-0.00638746919766933"/>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extLst>
                <c:ext xmlns:c15="http://schemas.microsoft.com/office/drawing/2012/chart" uri="{CE6537A1-D6FC-4f65-9D91-7224C49458BB}">
                  <c15:layout/>
                </c:ext>
              </c:extLst>
            </c:dLbl>
            <c:dLbl>
              <c:idx val="6"/>
              <c:layout>
                <c:manualLayout>
                  <c:x val="0.00902195717652815"/>
                  <c:y val="0.0349818289821238"/>
                </c:manualLayout>
              </c:layout>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0"/>
              <c:showCatName val="0"/>
              <c:showSerName val="0"/>
              <c:showPercent val="1"/>
              <c:showBubbleSize val="0"/>
              <c:extLst>
                <c:ext xmlns:c15="http://schemas.microsoft.com/office/drawing/2012/chart" uri="{CE6537A1-D6FC-4f65-9D91-7224C49458BB}">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[部门管理决算编制说明填饼图、柱状图的公式好好好用.xls]Sheet3!$K$22:$K$28</c:f>
              <c:strCache>
                <c:ptCount val="7"/>
                <c:pt idx="0">
                  <c:v>一般公共服务支出</c:v>
                </c:pt>
                <c:pt idx="1">
                  <c:v>教育支出</c:v>
                </c:pt>
                <c:pt idx="2">
                  <c:v>社会保障和就业支出</c:v>
                </c:pt>
                <c:pt idx="3">
                  <c:v>科学技术支出</c:v>
                </c:pt>
                <c:pt idx="4">
                  <c:v>文化旅游体育与传媒支出</c:v>
                </c:pt>
                <c:pt idx="5">
                  <c:v>医疗卫生支出</c:v>
                </c:pt>
                <c:pt idx="6">
                  <c:v>住房保障支出</c:v>
                </c:pt>
              </c:strCache>
            </c:strRef>
          </c:cat>
          <c:val>
            <c:numRef>
              <c:f>[部门管理决算编制说明填饼图、柱状图的公式好好好用.xls]Sheet3!$L$22:$L$28</c:f>
              <c:numCache>
                <c:formatCode>#,##0.00</c:formatCode>
                <c:ptCount val="7"/>
                <c:pt idx="0">
                  <c:v>0</c:v>
                </c:pt>
                <c:pt idx="1">
                  <c:v>829.27</c:v>
                </c:pt>
                <c:pt idx="2">
                  <c:v>128.03</c:v>
                </c:pt>
                <c:pt idx="4" c:formatCode="General">
                  <c:v>0</c:v>
                </c:pt>
                <c:pt idx="5">
                  <c:v>36.34</c:v>
                </c:pt>
                <c:pt idx="6">
                  <c:v>84.86</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950E9DB-1024-478A-A24B-C0893C79E5B1}">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30</Pages>
  <Words>2502</Words>
  <Characters>14262</Characters>
  <Lines>118</Lines>
  <Paragraphs>33</Paragraphs>
  <TotalTime>1</TotalTime>
  <ScaleCrop>false</ScaleCrop>
  <LinksUpToDate>false</LinksUpToDate>
  <CharactersWithSpaces>16731</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余峰</cp:lastModifiedBy>
  <cp:lastPrinted>2020-10-26T05:23:00Z</cp:lastPrinted>
  <dcterms:modified xsi:type="dcterms:W3CDTF">2020-10-27T02:33:35Z</dcterms:modified>
  <dc:title>四川省***</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