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425"/>
      <w:bookmarkStart w:id="3" w:name="_Toc15378441"/>
      <w:bookmarkStart w:id="4" w:name="_Toc15396597"/>
      <w:bookmarkStart w:id="5" w:name="_Toc15377193"/>
      <w:bookmarkStart w:id="77" w:name="_GoBack"/>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77426"/>
      <w:bookmarkStart w:id="9" w:name="_Toc15396476"/>
      <w:bookmarkStart w:id="10" w:name="_Toc15377194"/>
      <w:r>
        <w:rPr>
          <w:rFonts w:hint="eastAsia" w:ascii="方正小标宋简体" w:hAnsi="宋体" w:eastAsia="方正小标宋简体"/>
          <w:color w:val="000000"/>
          <w:sz w:val="72"/>
          <w:szCs w:val="72"/>
        </w:rPr>
        <w:t>四川省阿坝州壤塘县</w:t>
      </w: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1" w:name="_Toc15306268"/>
      <w:r>
        <w:rPr>
          <w:rFonts w:hint="eastAsia" w:ascii="方正小标宋简体" w:hAnsi="宋体" w:eastAsia="方正小标宋简体"/>
          <w:color w:val="000000"/>
          <w:sz w:val="72"/>
          <w:szCs w:val="72"/>
        </w:rPr>
        <w:t>宗科乡卫生院部门决算</w:t>
      </w:r>
      <w:bookmarkEnd w:id="6"/>
      <w:bookmarkEnd w:id="7"/>
      <w:bookmarkEnd w:id="8"/>
      <w:bookmarkEnd w:id="9"/>
      <w:bookmarkEnd w:id="10"/>
      <w:bookmarkEnd w:id="11"/>
    </w:p>
    <w:bookmarkEnd w:id="77"/>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
      <w:pPr>
        <w:pStyle w:val="10"/>
        <w:adjustRightInd w:val="0"/>
        <w:snapToGrid w:val="0"/>
        <w:spacing w:before="0" w:line="440" w:lineRule="exact"/>
        <w:jc w:val="both"/>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1"/>
        <w:adjustRightInd w:val="0"/>
        <w:snapToGrid w:val="0"/>
        <w:spacing w:line="440" w:lineRule="exact"/>
        <w:jc w:val="both"/>
        <w:rPr>
          <w:rFonts w:hint="eastAsia" w:ascii="仿宋" w:hAnsi="仿宋" w:eastAsia="宋体"/>
          <w:sz w:val="24"/>
          <w:lang w:val="en-US" w:eastAsia="zh-CN"/>
        </w:rPr>
      </w:pPr>
      <w:r>
        <w:rPr>
          <w:rFonts w:hint="eastAsia"/>
          <w:sz w:val="24"/>
        </w:rPr>
        <w:t>一、基本职能及主要工作..................................................................</w:t>
      </w:r>
      <w:r>
        <w:rPr>
          <w:rFonts w:hint="eastAsia"/>
          <w:sz w:val="24"/>
          <w:lang w:val="en-US" w:eastAsia="zh-CN"/>
        </w:rPr>
        <w:t>.</w:t>
      </w:r>
      <w:r>
        <w:rPr>
          <w:rFonts w:hint="eastAsia"/>
          <w:sz w:val="24"/>
        </w:rPr>
        <w:t>..</w:t>
      </w:r>
      <w:r>
        <w:rPr>
          <w:rFonts w:hint="eastAsia"/>
          <w:sz w:val="24"/>
          <w:lang w:val="en-US" w:eastAsia="zh-CN"/>
        </w:rPr>
        <w:t>4</w:t>
      </w:r>
    </w:p>
    <w:p>
      <w:pPr>
        <w:pStyle w:val="11"/>
        <w:adjustRightInd w:val="0"/>
        <w:snapToGrid w:val="0"/>
        <w:spacing w:line="440" w:lineRule="exact"/>
        <w:jc w:val="both"/>
        <w:rPr>
          <w:rFonts w:hint="eastAsia" w:ascii="仿宋" w:hAnsi="仿宋" w:eastAsia="宋体" w:cstheme="minorBidi"/>
          <w:sz w:val="24"/>
          <w:lang w:val="en-US" w:eastAsia="zh-CN"/>
        </w:rPr>
      </w:pPr>
      <w:r>
        <w:rPr>
          <w:rFonts w:hint="eastAsia"/>
          <w:sz w:val="24"/>
        </w:rPr>
        <w:t>二、机构设置....................................................................................</w:t>
      </w:r>
      <w:r>
        <w:rPr>
          <w:rFonts w:hint="eastAsia"/>
          <w:sz w:val="24"/>
          <w:lang w:val="en-US" w:eastAsia="zh-CN"/>
        </w:rPr>
        <w:t>.</w:t>
      </w:r>
      <w:r>
        <w:rPr>
          <w:rFonts w:hint="eastAsia"/>
          <w:sz w:val="24"/>
        </w:rPr>
        <w:t>....</w:t>
      </w:r>
      <w:r>
        <w:rPr>
          <w:rFonts w:hint="eastAsia"/>
          <w:sz w:val="24"/>
          <w:lang w:val="en-US" w:eastAsia="zh-CN"/>
        </w:rPr>
        <w:t>6</w:t>
      </w:r>
    </w:p>
    <w:p>
      <w:pPr>
        <w:pStyle w:val="10"/>
        <w:adjustRightInd w:val="0"/>
        <w:snapToGrid w:val="0"/>
        <w:spacing w:before="0" w:line="440" w:lineRule="exact"/>
        <w:jc w:val="both"/>
        <w:rPr>
          <w:rFonts w:hint="eastAsia" w:eastAsia="仿宋"/>
          <w:sz w:val="24"/>
          <w:szCs w:val="24"/>
          <w:lang w:val="en-US" w:eastAsia="zh-CN"/>
        </w:rPr>
      </w:pPr>
      <w:r>
        <w:rPr>
          <w:rFonts w:hint="eastAsia"/>
          <w:sz w:val="24"/>
        </w:rPr>
        <w:t>第二部分度部门决算情况说明..................................</w:t>
      </w:r>
      <w:r>
        <w:rPr>
          <w:rFonts w:hint="eastAsia"/>
          <w:sz w:val="24"/>
          <w:lang w:val="en-US" w:eastAsia="zh-CN"/>
        </w:rPr>
        <w:t>7</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.7</w:t>
      </w:r>
    </w:p>
    <w:p>
      <w:pPr>
        <w:pStyle w:val="11"/>
        <w:adjustRightInd w:val="0"/>
        <w:snapToGrid w:val="0"/>
        <w:spacing w:line="440" w:lineRule="exact"/>
        <w:jc w:val="both"/>
        <w:rPr>
          <w:rFonts w:hint="eastAsia" w:ascii="仿宋" w:hAnsi="仿宋" w:eastAsia="宋体" w:cstheme="minorBidi"/>
          <w:sz w:val="24"/>
          <w:lang w:val="en-US" w:eastAsia="zh-CN"/>
        </w:rPr>
      </w:pPr>
      <w:r>
        <w:rPr>
          <w:rFonts w:hint="eastAsia"/>
          <w:sz w:val="24"/>
        </w:rPr>
        <w:t>二、收入决算情况说明........................................................................</w:t>
      </w:r>
      <w:r>
        <w:rPr>
          <w:rFonts w:hint="eastAsia"/>
          <w:sz w:val="24"/>
          <w:lang w:val="en-US" w:eastAsia="zh-CN"/>
        </w:rPr>
        <w:t>7</w:t>
      </w:r>
    </w:p>
    <w:p>
      <w:pPr>
        <w:pStyle w:val="11"/>
        <w:adjustRightInd w:val="0"/>
        <w:snapToGrid w:val="0"/>
        <w:spacing w:line="440" w:lineRule="exact"/>
        <w:jc w:val="both"/>
        <w:rPr>
          <w:rFonts w:hint="eastAsia" w:ascii="仿宋" w:hAnsi="仿宋" w:eastAsia="宋体" w:cstheme="minorBidi"/>
          <w:sz w:val="24"/>
          <w:lang w:val="en-US" w:eastAsia="zh-CN"/>
        </w:rPr>
      </w:pPr>
      <w:r>
        <w:rPr>
          <w:rFonts w:hint="eastAsia"/>
          <w:sz w:val="24"/>
        </w:rPr>
        <w:t>三、支出决算情况说明........................................................................</w:t>
      </w:r>
      <w:r>
        <w:rPr>
          <w:rFonts w:hint="eastAsia"/>
          <w:sz w:val="24"/>
          <w:lang w:val="en-US" w:eastAsia="zh-CN"/>
        </w:rPr>
        <w:t>8</w:t>
      </w:r>
    </w:p>
    <w:p>
      <w:pPr>
        <w:pStyle w:val="11"/>
        <w:adjustRightInd w:val="0"/>
        <w:snapToGrid w:val="0"/>
        <w:spacing w:line="440" w:lineRule="exact"/>
        <w:jc w:val="both"/>
        <w:rPr>
          <w:rFonts w:hint="eastAsia" w:ascii="仿宋" w:hAnsi="仿宋" w:eastAsia="宋体" w:cstheme="minorBidi"/>
          <w:sz w:val="24"/>
          <w:lang w:eastAsia="zh-CN"/>
        </w:rPr>
      </w:pPr>
      <w:r>
        <w:rPr>
          <w:rFonts w:hint="eastAsia"/>
          <w:sz w:val="24"/>
        </w:rPr>
        <w:t>四、财政拨款收入支出决算总体情况说明........................................</w:t>
      </w:r>
      <w:r>
        <w:rPr>
          <w:rFonts w:hint="eastAsia"/>
          <w:sz w:val="24"/>
          <w:lang w:val="en-US" w:eastAsia="zh-CN"/>
        </w:rPr>
        <w:t>9</w:t>
      </w:r>
    </w:p>
    <w:p>
      <w:pPr>
        <w:pStyle w:val="11"/>
        <w:adjustRightInd w:val="0"/>
        <w:snapToGrid w:val="0"/>
        <w:spacing w:line="440" w:lineRule="exact"/>
        <w:jc w:val="both"/>
        <w:rPr>
          <w:rFonts w:hint="eastAsia"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9</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12</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12</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14</w:t>
      </w:r>
    </w:p>
    <w:p>
      <w:pPr>
        <w:pStyle w:val="11"/>
        <w:adjustRightInd w:val="0"/>
        <w:snapToGrid w:val="0"/>
        <w:spacing w:line="440" w:lineRule="exact"/>
        <w:ind w:leftChars="0"/>
        <w:jc w:val="both"/>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14</w:t>
      </w:r>
    </w:p>
    <w:p>
      <w:pPr>
        <w:adjustRightInd w:val="0"/>
        <w:snapToGrid w:val="0"/>
        <w:spacing w:line="440" w:lineRule="exact"/>
        <w:ind w:firstLine="480" w:firstLineChars="200"/>
        <w:jc w:val="both"/>
        <w:rPr>
          <w:rFonts w:ascii="仿宋" w:hAnsi="仿宋" w:eastAsia="仿宋" w:cstheme="minorBidi"/>
          <w:sz w:val="24"/>
        </w:rPr>
      </w:pPr>
      <w:r>
        <w:rPr>
          <w:rStyle w:val="14"/>
          <w:rFonts w:hint="eastAsia" w:ascii="仿宋" w:hAnsi="仿宋" w:eastAsia="仿宋"/>
          <w:color w:val="000000" w:themeColor="text1"/>
          <w:sz w:val="24"/>
          <w:u w:val="none"/>
        </w:rPr>
        <w:t>十、</w:t>
      </w:r>
      <w:r>
        <w:rPr>
          <w:rFonts w:hint="eastAsia"/>
          <w:sz w:val="24"/>
        </w:rPr>
        <w:t>其他重要事项的情况说明..........................................................</w:t>
      </w:r>
      <w:r>
        <w:rPr>
          <w:rFonts w:hint="eastAsia"/>
          <w:sz w:val="24"/>
          <w:lang w:val="en-US" w:eastAsia="zh-CN"/>
        </w:rPr>
        <w:t>.14</w:t>
      </w:r>
      <w:r>
        <w:rPr>
          <w:rFonts w:ascii="仿宋" w:hAnsi="仿宋" w:eastAsia="仿宋"/>
          <w:sz w:val="24"/>
        </w:rPr>
        <w:tab/>
      </w:r>
    </w:p>
    <w:p>
      <w:pPr>
        <w:pStyle w:val="10"/>
        <w:adjustRightInd w:val="0"/>
        <w:snapToGrid w:val="0"/>
        <w:spacing w:before="0" w:line="440" w:lineRule="exact"/>
        <w:jc w:val="both"/>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cstheme="minorBidi"/>
          <w:sz w:val="24"/>
          <w:szCs w:val="24"/>
        </w:rPr>
        <w:t>..........................................</w:t>
      </w:r>
      <w:r>
        <w:rPr>
          <w:rFonts w:hint="eastAsia" w:cstheme="minorBidi"/>
          <w:sz w:val="24"/>
          <w:szCs w:val="24"/>
          <w:lang w:val="en-US" w:eastAsia="zh-CN"/>
        </w:rPr>
        <w:t>18</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附件</w:t>
      </w:r>
      <w:r>
        <w:rPr>
          <w:sz w:val="24"/>
        </w:rPr>
        <w:t>1</w:t>
      </w:r>
      <w:r>
        <w:rPr>
          <w:rFonts w:hint="eastAsia"/>
          <w:sz w:val="24"/>
        </w:rPr>
        <w:t>.....................................................................................................</w:t>
      </w:r>
      <w:r>
        <w:rPr>
          <w:rFonts w:hint="eastAsia"/>
          <w:sz w:val="24"/>
          <w:lang w:val="en-US" w:eastAsia="zh-CN"/>
        </w:rPr>
        <w:t>21</w:t>
      </w:r>
    </w:p>
    <w:p>
      <w:pPr>
        <w:pStyle w:val="10"/>
        <w:adjustRightInd w:val="0"/>
        <w:snapToGrid w:val="0"/>
        <w:spacing w:before="0" w:line="440" w:lineRule="exact"/>
        <w:jc w:val="both"/>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24</w:t>
      </w:r>
    </w:p>
    <w:p>
      <w:pPr>
        <w:pStyle w:val="11"/>
        <w:adjustRightInd w:val="0"/>
        <w:snapToGrid w:val="0"/>
        <w:spacing w:line="440" w:lineRule="exact"/>
        <w:jc w:val="both"/>
        <w:rPr>
          <w:rFonts w:hint="eastAsia"/>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24</w:t>
      </w:r>
    </w:p>
    <w:p>
      <w:pPr>
        <w:pStyle w:val="11"/>
        <w:adjustRightInd w:val="0"/>
        <w:snapToGrid w:val="0"/>
        <w:spacing w:line="440" w:lineRule="exact"/>
        <w:jc w:val="both"/>
        <w:rPr>
          <w:rFonts w:hint="default" w:ascii="仿宋" w:hAnsi="仿宋" w:eastAsia="仿宋"/>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w:t>
      </w:r>
      <w:r>
        <w:rPr>
          <w:rFonts w:hint="eastAsia"/>
          <w:sz w:val="24"/>
        </w:rPr>
        <w:t>....</w:t>
      </w:r>
      <w:r>
        <w:rPr>
          <w:rFonts w:hint="eastAsia"/>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w:t>
      </w:r>
      <w:r>
        <w:rPr>
          <w:rFonts w:hint="eastAsia"/>
          <w:sz w:val="24"/>
        </w:rPr>
        <w:t>.</w:t>
      </w:r>
      <w:r>
        <w:rPr>
          <w:rFonts w:hint="eastAsia"/>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24</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国有资本经营预算支出决算表.............................................</w:t>
      </w:r>
      <w:r>
        <w:rPr>
          <w:rFonts w:hint="eastAsia"/>
          <w:sz w:val="24"/>
          <w:lang w:val="en-US" w:eastAsia="zh-CN"/>
        </w:rPr>
        <w:t>24</w:t>
      </w:r>
    </w:p>
    <w:p>
      <w:pPr>
        <w:widowControl/>
        <w:spacing w:line="440" w:lineRule="exact"/>
        <w:jc w:val="both"/>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ind w:firstLine="800" w:firstLineChars="250"/>
        <w:rPr>
          <w:rFonts w:ascii="仿宋" w:hAnsi="仿宋" w:eastAsia="仿宋"/>
          <w:sz w:val="32"/>
          <w:szCs w:val="32"/>
        </w:rPr>
      </w:pPr>
      <w:bookmarkStart w:id="16" w:name="_Toc15377198"/>
      <w:bookmarkStart w:id="17" w:name="_Toc15378445"/>
      <w:r>
        <w:rPr>
          <w:rFonts w:hint="eastAsia" w:ascii="仿宋" w:hAnsi="仿宋" w:eastAsia="仿宋"/>
          <w:sz w:val="32"/>
          <w:szCs w:val="32"/>
        </w:rPr>
        <w:t>（一）主要职能。（职能参照省政府批准的三定方案）</w:t>
      </w:r>
      <w:bookmarkEnd w:id="16"/>
      <w:bookmarkEnd w:id="17"/>
    </w:p>
    <w:p>
      <w:pPr>
        <w:ind w:firstLine="800" w:firstLineChars="250"/>
        <w:rPr>
          <w:rFonts w:ascii="仿宋" w:hAnsi="仿宋" w:eastAsia="仿宋"/>
          <w:sz w:val="32"/>
          <w:szCs w:val="32"/>
        </w:rPr>
      </w:pPr>
      <w:r>
        <w:rPr>
          <w:rFonts w:hint="eastAsia" w:ascii="仿宋" w:hAnsi="仿宋" w:eastAsia="仿宋"/>
          <w:sz w:val="32"/>
          <w:szCs w:val="32"/>
        </w:rPr>
        <w:t>（1）贯彻执行党中央、国务院及省市县有关医药卫生方面的路线、方针、政策和国家的法律法规，开展以现代医药技术为主的疾病防治、保健和相关技术服务。</w:t>
      </w:r>
    </w:p>
    <w:p>
      <w:pPr>
        <w:ind w:firstLine="800" w:firstLineChars="250"/>
        <w:rPr>
          <w:rFonts w:ascii="仿宋" w:hAnsi="仿宋" w:eastAsia="仿宋"/>
          <w:sz w:val="32"/>
          <w:szCs w:val="32"/>
        </w:rPr>
      </w:pPr>
      <w:r>
        <w:rPr>
          <w:rFonts w:hint="eastAsia" w:ascii="仿宋" w:hAnsi="仿宋" w:eastAsia="仿宋"/>
          <w:sz w:val="32"/>
          <w:szCs w:val="32"/>
        </w:rPr>
        <w:t>（2）负责在县卫健局领导、协调下开展对重大疾病、流行病、传染病及突发公共卫生事件进行预防控制工作，配合有关部门参与对上述重大事件实施防控与干预，以及按规定报告传染病疫情信息。</w:t>
      </w:r>
    </w:p>
    <w:p>
      <w:pPr>
        <w:ind w:firstLine="800" w:firstLineChars="250"/>
        <w:rPr>
          <w:rFonts w:ascii="仿宋" w:hAnsi="仿宋" w:eastAsia="仿宋"/>
          <w:sz w:val="32"/>
          <w:szCs w:val="32"/>
        </w:rPr>
      </w:pPr>
      <w:r>
        <w:rPr>
          <w:rFonts w:hint="eastAsia" w:ascii="仿宋" w:hAnsi="仿宋" w:eastAsia="仿宋"/>
          <w:sz w:val="32"/>
          <w:szCs w:val="32"/>
        </w:rPr>
        <w:t>（3）参与我县各乡镇的应急、救灾等方面工作；</w:t>
      </w:r>
    </w:p>
    <w:p>
      <w:pPr>
        <w:ind w:firstLine="800" w:firstLineChars="250"/>
        <w:rPr>
          <w:rFonts w:ascii="仿宋" w:hAnsi="仿宋" w:eastAsia="仿宋"/>
          <w:sz w:val="32"/>
          <w:szCs w:val="32"/>
        </w:rPr>
      </w:pPr>
      <w:r>
        <w:rPr>
          <w:rFonts w:hint="eastAsia" w:ascii="仿宋" w:hAnsi="仿宋" w:eastAsia="仿宋"/>
          <w:sz w:val="32"/>
          <w:szCs w:val="32"/>
        </w:rPr>
        <w:t>（4）负责我县各乡镇范围内群众的健康保健指导，对群众及职工进行健康检查，以及开展预防、保健知识的宣传和咨询工作。</w:t>
      </w:r>
    </w:p>
    <w:p>
      <w:pPr>
        <w:ind w:firstLine="800" w:firstLineChars="250"/>
        <w:rPr>
          <w:rFonts w:ascii="仿宋" w:hAnsi="仿宋" w:eastAsia="仿宋"/>
          <w:sz w:val="32"/>
          <w:szCs w:val="32"/>
        </w:rPr>
      </w:pPr>
      <w:r>
        <w:rPr>
          <w:rFonts w:hint="eastAsia" w:ascii="仿宋" w:hAnsi="仿宋" w:eastAsia="仿宋"/>
          <w:sz w:val="32"/>
          <w:szCs w:val="32"/>
        </w:rPr>
        <w:t>（5）负责各乡镇基层乡村卫生工作者的业务培训。</w:t>
      </w:r>
    </w:p>
    <w:p>
      <w:pPr>
        <w:ind w:firstLine="800" w:firstLineChars="250"/>
        <w:rPr>
          <w:rFonts w:ascii="仿宋" w:hAnsi="仿宋" w:eastAsia="仿宋"/>
          <w:sz w:val="32"/>
          <w:szCs w:val="32"/>
        </w:rPr>
      </w:pPr>
      <w:r>
        <w:rPr>
          <w:rFonts w:hint="eastAsia" w:ascii="仿宋" w:hAnsi="仿宋" w:eastAsia="仿宋"/>
          <w:sz w:val="32"/>
          <w:szCs w:val="32"/>
        </w:rPr>
        <w:t>（6）承办县卫健局和上级业务部门交办的其他事。</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宗科乡卫生院在上级单位的领导下，全院职工团结务实，积极开展了临床医疗卫生和公共卫生服务等各项工作，按照年初既定的目标，各项工作任务逐步有序推进，取得了一定的成绩。如下：</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医疗服务整体形象提升。</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进一步转变了工作作风，提高了医疗服务理念和竞争意识，将医德医风贯穿到实际工作中。</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1、我院制定了医德医风管理规定、各病种的医疗护理常规、各种医疗护理质量管理、使我院的行风建设工作得到了科学化、制度化管理，形成了在工作中人人有职责，处处有人抓的良好局面。</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2、依托绵阳对口支援，绵阳检验科白堃老师亲自带徒，手把手教会我院职工检验诊断技术，检验人次达到300余人次。现阶段我院能够开展的检验项目包括：血常规、肝功、肾功、血脂、尿常规、大便常规等。</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全年工作开展情况</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开展巡诊义诊3次、健康教育3次、体检人数1000余人，贫困户家庭医生签约服务103户，贫困户巡诊义诊2次，共参与人数100余人，发放免费药品1000余元。</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全年院内业务情况</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门诊人次1462人，门诊收入11386余元，住院人次5人，住院收入1141.04元。公卫支出2350余元。</w:t>
      </w: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宗科乡卫生院下属二级单位0个，其中行政单位0个，参照公务员法管理的事业单位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纳入宗科乡卫生院2019年度部门决算编制范围的二级预算单位包括：</w:t>
      </w:r>
      <w:bookmarkStart w:id="22" w:name="_Toc15377433"/>
      <w:bookmarkStart w:id="23" w:name="_Toc15306276"/>
      <w:bookmarkStart w:id="24" w:name="_Toc15377202"/>
      <w:bookmarkStart w:id="25" w:name="_Toc15378449"/>
      <w:r>
        <w:rPr>
          <w:rFonts w:hint="eastAsia" w:ascii="仿宋" w:hAnsi="仿宋" w:eastAsia="仿宋"/>
          <w:color w:val="000000"/>
          <w:sz w:val="32"/>
          <w:szCs w:val="32"/>
        </w:rPr>
        <w:t>无</w:t>
      </w:r>
      <w:bookmarkEnd w:id="22"/>
      <w:bookmarkEnd w:id="23"/>
      <w:bookmarkEnd w:id="24"/>
      <w:bookmarkEnd w:id="25"/>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6"/>
      <w:bookmarkEnd w:id="27"/>
    </w:p>
    <w:p/>
    <w:p>
      <w:pPr>
        <w:pStyle w:val="23"/>
        <w:numPr>
          <w:ilvl w:val="0"/>
          <w:numId w:val="1"/>
        </w:numPr>
        <w:spacing w:line="600" w:lineRule="exact"/>
        <w:ind w:firstLineChars="0"/>
        <w:outlineLvl w:val="1"/>
        <w:rPr>
          <w:rStyle w:val="25"/>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2019年度收入总计122.43万元、支出总计132.89万元。与2018年相比，收入总计增加3.48万元，收入增长2.93%，主要变动原因是宗科乡卫生院事业收入即自身收入增加；支出总计减少10.33万元，支出下降7.21</w:t>
      </w:r>
      <w:r>
        <w:rPr>
          <w:rFonts w:ascii="仿宋" w:hAnsi="仿宋" w:eastAsia="仿宋"/>
          <w:color w:val="000000"/>
          <w:sz w:val="32"/>
          <w:szCs w:val="32"/>
        </w:rPr>
        <w:t>%</w:t>
      </w:r>
      <w:r>
        <w:rPr>
          <w:rFonts w:hint="eastAsia" w:ascii="仿宋" w:hAnsi="仿宋" w:eastAsia="仿宋"/>
          <w:color w:val="000000"/>
          <w:sz w:val="32"/>
          <w:szCs w:val="32"/>
        </w:rPr>
        <w:t>。主要变动原因是人员保险单位缴费部分比例下降，支出降低。</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420" w:firstLineChars="200"/>
        <w:jc w:val="left"/>
        <w:rPr>
          <w:rFonts w:ascii="仿宋_GB2312" w:eastAsia="仿宋_GB2312"/>
          <w:color w:val="000000"/>
          <w:sz w:val="32"/>
          <w:szCs w:val="32"/>
        </w:rPr>
      </w:pPr>
      <w:r>
        <w:drawing>
          <wp:anchor distT="0" distB="0" distL="114300" distR="114300" simplePos="0" relativeHeight="251658240" behindDoc="1" locked="0" layoutInCell="1" allowOverlap="1">
            <wp:simplePos x="0" y="0"/>
            <wp:positionH relativeFrom="column">
              <wp:posOffset>404495</wp:posOffset>
            </wp:positionH>
            <wp:positionV relativeFrom="paragraph">
              <wp:posOffset>42545</wp:posOffset>
            </wp:positionV>
            <wp:extent cx="4572000" cy="2647950"/>
            <wp:effectExtent l="4445" t="4445" r="14605" b="71755"/>
            <wp:wrapTight wrapText="bothSides">
              <wp:wrapPolygon>
                <wp:start x="-21" y="-36"/>
                <wp:lineTo x="-21" y="21564"/>
                <wp:lineTo x="21579" y="21564"/>
                <wp:lineTo x="21579" y="-36"/>
                <wp:lineTo x="-21" y="-36"/>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30" w:name="_Toc15396604"/>
      <w:bookmarkStart w:id="31"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9年本年收入合计122.43万元，其中：一般公共预算财政拨款收入117.78万元，占96.20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；事业收入4.65万元，占3.80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outlineLvl w:val="1"/>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59264" behindDoc="1" locked="0" layoutInCell="1" allowOverlap="1">
            <wp:simplePos x="0" y="0"/>
            <wp:positionH relativeFrom="column">
              <wp:posOffset>337820</wp:posOffset>
            </wp:positionH>
            <wp:positionV relativeFrom="paragraph">
              <wp:posOffset>80645</wp:posOffset>
            </wp:positionV>
            <wp:extent cx="4572000" cy="2657475"/>
            <wp:effectExtent l="4445" t="4445" r="14605" b="62230"/>
            <wp:wrapTight wrapText="bothSides">
              <wp:wrapPolygon>
                <wp:start x="-21" y="-36"/>
                <wp:lineTo x="-21" y="21486"/>
                <wp:lineTo x="21579" y="21486"/>
                <wp:lineTo x="21579" y="-36"/>
                <wp:lineTo x="-21" y="-36"/>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32" w:name="_Toc15377207"/>
      <w:bookmarkStart w:id="33"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9年本年支出合计132.89万元，其中：基本支出121.57万元，占91.48%；项目支出11.32万元，占8.52%；上缴上级支出0万元，占0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0288" behindDoc="1" locked="0" layoutInCell="1" allowOverlap="1">
            <wp:simplePos x="0" y="0"/>
            <wp:positionH relativeFrom="column">
              <wp:posOffset>337820</wp:posOffset>
            </wp:positionH>
            <wp:positionV relativeFrom="paragraph">
              <wp:posOffset>255905</wp:posOffset>
            </wp:positionV>
            <wp:extent cx="4572000" cy="2695575"/>
            <wp:effectExtent l="4445" t="4445" r="14605" b="5080"/>
            <wp:wrapTight wrapText="bothSides">
              <wp:wrapPolygon>
                <wp:start x="-21" y="-36"/>
                <wp:lineTo x="-21" y="21488"/>
                <wp:lineTo x="21579" y="21488"/>
                <wp:lineTo x="21579" y="-36"/>
                <wp:lineTo x="-21" y="-36"/>
              </wp:wrapPolygon>
            </wp:wrapTight>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5"/>
          <w:rFonts w:ascii="黑体" w:hAnsi="黑体" w:eastAsia="黑体"/>
          <w:b w:val="0"/>
        </w:rPr>
      </w:pPr>
      <w:bookmarkStart w:id="34" w:name="_Toc15396606"/>
      <w:bookmarkStart w:id="35"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9年财政拨款收入总计117.78万元、支出总计130.63万元。与</w:t>
      </w:r>
      <w:r>
        <w:rPr>
          <w:rFonts w:ascii="仿宋" w:hAnsi="仿宋" w:eastAsia="仿宋"/>
          <w:color w:val="000000"/>
          <w:sz w:val="32"/>
          <w:szCs w:val="32"/>
        </w:rPr>
        <w:t>201</w:t>
      </w:r>
      <w:r>
        <w:rPr>
          <w:rFonts w:hint="eastAsia" w:ascii="仿宋" w:hAnsi="仿宋" w:eastAsia="仿宋"/>
          <w:color w:val="000000"/>
          <w:sz w:val="32"/>
          <w:szCs w:val="32"/>
        </w:rPr>
        <w:t>8年相比，财政拨款收入总计减少0.10万元，下降0.08</w:t>
      </w:r>
      <w:r>
        <w:rPr>
          <w:rFonts w:ascii="仿宋" w:hAnsi="仿宋" w:eastAsia="仿宋"/>
          <w:color w:val="000000"/>
          <w:sz w:val="32"/>
          <w:szCs w:val="32"/>
        </w:rPr>
        <w:t>%</w:t>
      </w:r>
      <w:r>
        <w:rPr>
          <w:rFonts w:hint="eastAsia" w:ascii="仿宋" w:hAnsi="仿宋" w:eastAsia="仿宋"/>
          <w:color w:val="000000"/>
          <w:sz w:val="32"/>
          <w:szCs w:val="32"/>
        </w:rPr>
        <w:t>，主要变动原因是由于人员保险单位缴费部分比例下降，人员经费下降；支出总计减少12.38万元，下降8.66%，主要变动原因是由于人员保险单位缴费部分比例下降，人员经费下降。</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r>
        <w:drawing>
          <wp:anchor distT="0" distB="0" distL="114300" distR="114300" simplePos="0" relativeHeight="251661312" behindDoc="1" locked="0" layoutInCell="1" allowOverlap="1">
            <wp:simplePos x="0" y="0"/>
            <wp:positionH relativeFrom="column">
              <wp:posOffset>715645</wp:posOffset>
            </wp:positionH>
            <wp:positionV relativeFrom="paragraph">
              <wp:posOffset>185420</wp:posOffset>
            </wp:positionV>
            <wp:extent cx="4572000" cy="2743200"/>
            <wp:effectExtent l="4445" t="4445" r="14605" b="14605"/>
            <wp:wrapTight wrapText="bothSides">
              <wp:wrapPolygon>
                <wp:start x="-21" y="-35"/>
                <wp:lineTo x="-21" y="21565"/>
                <wp:lineTo x="21579" y="21565"/>
                <wp:lineTo x="21579" y="-35"/>
                <wp:lineTo x="-21" y="-35"/>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5"/>
          <w:rFonts w:ascii="黑体" w:hAnsi="黑体" w:eastAsia="黑体"/>
          <w:b w:val="0"/>
        </w:rPr>
      </w:pPr>
      <w:bookmarkStart w:id="36" w:name="_Toc15377209"/>
      <w:bookmarkStart w:id="3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9年一般公共预算财政拨款支出130.63万元，占本年支出合计的98.30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8年相比，一般公共预算财政拨款减少12.38万元，下降8.84</w:t>
      </w:r>
      <w:r>
        <w:rPr>
          <w:rFonts w:ascii="仿宋" w:hAnsi="仿宋" w:eastAsia="仿宋"/>
          <w:color w:val="000000"/>
          <w:sz w:val="32"/>
          <w:szCs w:val="32"/>
        </w:rPr>
        <w:t>%</w:t>
      </w:r>
      <w:r>
        <w:rPr>
          <w:rFonts w:hint="eastAsia" w:ascii="仿宋" w:hAnsi="仿宋" w:eastAsia="仿宋"/>
          <w:color w:val="000000"/>
          <w:sz w:val="32"/>
          <w:szCs w:val="32"/>
        </w:rPr>
        <w:t>。主要变动原因是人员保险等单位部分缴费比例下降。</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2336" behindDoc="1" locked="0" layoutInCell="1" allowOverlap="1">
            <wp:simplePos x="0" y="0"/>
            <wp:positionH relativeFrom="column">
              <wp:posOffset>539115</wp:posOffset>
            </wp:positionH>
            <wp:positionV relativeFrom="paragraph">
              <wp:posOffset>122555</wp:posOffset>
            </wp:positionV>
            <wp:extent cx="4418965" cy="2513330"/>
            <wp:effectExtent l="4445" t="4445" r="15240" b="15875"/>
            <wp:wrapTight wrapText="bothSides">
              <wp:wrapPolygon>
                <wp:start x="-22" y="-38"/>
                <wp:lineTo x="-22" y="21409"/>
                <wp:lineTo x="21488" y="21409"/>
                <wp:lineTo x="21488" y="-38"/>
                <wp:lineTo x="-22" y="-38"/>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政拨款支出130.63万元，主要用于以下方面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一般公共服务（201类）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教育支出（205类）</w:t>
      </w:r>
      <w:r>
        <w:rPr>
          <w:rFonts w:hint="eastAsia" w:ascii="仿宋" w:hAnsi="仿宋" w:eastAsia="仿宋"/>
          <w:color w:val="000000" w:themeColor="text1"/>
          <w:sz w:val="32"/>
          <w:szCs w:val="32"/>
        </w:rPr>
        <w:t>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科学技术（206类）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社会保障和就业（208类）</w:t>
      </w:r>
      <w:r>
        <w:rPr>
          <w:rFonts w:hint="eastAsia" w:ascii="仿宋" w:hAnsi="仿宋" w:eastAsia="仿宋"/>
          <w:color w:val="000000" w:themeColor="text1"/>
          <w:sz w:val="32"/>
          <w:szCs w:val="32"/>
        </w:rPr>
        <w:t>支出10.46万元，占8.01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color w:val="000000" w:themeColor="text1"/>
          <w:sz w:val="32"/>
          <w:szCs w:val="32"/>
        </w:rPr>
        <w:t>（210类）</w:t>
      </w:r>
      <w:r>
        <w:rPr>
          <w:rFonts w:hint="eastAsia" w:ascii="仿宋" w:hAnsi="仿宋" w:eastAsia="仿宋"/>
          <w:color w:val="000000" w:themeColor="text1"/>
          <w:sz w:val="32"/>
          <w:szCs w:val="32"/>
        </w:rPr>
        <w:t>111.73万元，占85.53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b/>
          <w:color w:val="000000" w:themeColor="text1"/>
          <w:sz w:val="32"/>
          <w:szCs w:val="32"/>
        </w:rPr>
        <w:t>（221类）</w:t>
      </w:r>
      <w:r>
        <w:rPr>
          <w:rFonts w:hint="eastAsia" w:ascii="仿宋" w:hAnsi="仿宋" w:eastAsia="仿宋"/>
          <w:color w:val="000000" w:themeColor="text1"/>
          <w:sz w:val="32"/>
          <w:szCs w:val="32"/>
        </w:rPr>
        <w:t>8.44万元，占6.46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1" locked="0" layoutInCell="1" allowOverlap="1">
            <wp:simplePos x="0" y="0"/>
            <wp:positionH relativeFrom="column">
              <wp:posOffset>494030</wp:posOffset>
            </wp:positionH>
            <wp:positionV relativeFrom="paragraph">
              <wp:posOffset>474345</wp:posOffset>
            </wp:positionV>
            <wp:extent cx="4572000" cy="2543810"/>
            <wp:effectExtent l="4445" t="4445" r="14605" b="80645"/>
            <wp:wrapTight wrapText="bothSides">
              <wp:wrapPolygon>
                <wp:start x="-21" y="-38"/>
                <wp:lineTo x="-21" y="21476"/>
                <wp:lineTo x="21579" y="21476"/>
                <wp:lineTo x="21579" y="-38"/>
                <wp:lineTo x="-21" y="-38"/>
              </wp:wrapPolygon>
            </wp:wrapTight>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213"/>
      <w:bookmarkStart w:id="42" w:name="_Toc15377444"/>
      <w:bookmarkStart w:id="43" w:name="_Toc15378460"/>
      <w:r>
        <w:rPr>
          <w:rFonts w:hint="eastAsia" w:ascii="仿宋" w:hAnsi="仿宋" w:eastAsia="仿宋"/>
          <w:b/>
          <w:color w:val="000000" w:themeColor="text1"/>
          <w:sz w:val="32"/>
          <w:szCs w:val="32"/>
        </w:rPr>
        <w:t>2019年般公共预算支出决算数为130.63</w:t>
      </w:r>
      <w:r>
        <w:rPr>
          <w:rFonts w:hint="eastAsia" w:ascii="仿宋" w:hAnsi="仿宋" w:eastAsia="仿宋"/>
          <w:color w:val="000000" w:themeColor="text1"/>
          <w:sz w:val="32"/>
          <w:szCs w:val="32"/>
        </w:rPr>
        <w:t>，</w:t>
      </w:r>
      <w:r>
        <w:rPr>
          <w:rStyle w:val="13"/>
          <w:rFonts w:hint="eastAsia" w:ascii="仿宋" w:hAnsi="仿宋" w:eastAsia="仿宋"/>
          <w:bCs/>
          <w:color w:val="000000" w:themeColor="text1"/>
          <w:sz w:val="32"/>
          <w:szCs w:val="32"/>
        </w:rPr>
        <w:t>完成</w:t>
      </w:r>
      <w:r>
        <w:rPr>
          <w:rStyle w:val="13"/>
          <w:rFonts w:hint="eastAsia" w:ascii="仿宋" w:hAnsi="仿宋" w:eastAsia="仿宋"/>
          <w:bCs/>
          <w:color w:val="000000"/>
          <w:sz w:val="32"/>
          <w:szCs w:val="32"/>
        </w:rPr>
        <w:t>预算106.76</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41"/>
      <w:bookmarkEnd w:id="42"/>
      <w:bookmarkEnd w:id="43"/>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rPr>
        <w:t>1</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社会保障和就业（208类）05（款）05（项）机关事业单位基本养老保险缴费支出</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支出决算为5.82万元，完成预算42.20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，决算数小于预算数的主要原因是养老保险单位缴费比例下调。</w:t>
      </w:r>
    </w:p>
    <w:p>
      <w:pPr>
        <w:spacing w:line="600" w:lineRule="exact"/>
        <w:ind w:firstLine="643" w:firstLineChars="200"/>
        <w:rPr>
          <w:rStyle w:val="13"/>
          <w:rFonts w:ascii="仿宋" w:hAnsi="仿宋" w:eastAsia="仿宋"/>
          <w:bCs/>
          <w:color w:val="000000"/>
          <w:sz w:val="32"/>
          <w:szCs w:val="32"/>
        </w:rPr>
      </w:pPr>
      <w:r>
        <w:rPr>
          <w:rStyle w:val="13"/>
          <w:rFonts w:hint="eastAsia" w:ascii="仿宋" w:hAnsi="仿宋" w:eastAsia="仿宋"/>
          <w:bCs/>
          <w:color w:val="000000"/>
          <w:sz w:val="32"/>
          <w:szCs w:val="32"/>
        </w:rPr>
        <w:t>2</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社会保障和就业208（类）05（款）06（项）机关事业单位职业年金缴费支出</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支出决算为4.64万元，完成预算94.69</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，决算数小于预算数的主要原因是保险单位缴费部分比例下调。</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3.卫生健康支出210（类）03（款）02（项）乡镇卫生院</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支出决算为95.55万元，完成预算110.45</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，决算数大于预算数的主要原因是在职人员工资晋级、变动。</w:t>
      </w:r>
    </w:p>
    <w:p>
      <w:pPr>
        <w:spacing w:line="600" w:lineRule="exact"/>
        <w:ind w:firstLine="640" w:firstLineChars="200"/>
        <w:rPr>
          <w:rStyle w:val="13"/>
          <w:rFonts w:ascii="仿宋" w:hAnsi="仿宋" w:eastAsia="仿宋"/>
          <w:b w:val="0"/>
          <w:bCs/>
          <w:color w:val="000000"/>
          <w:sz w:val="32"/>
          <w:szCs w:val="32"/>
        </w:rPr>
      </w:pPr>
      <w:r>
        <w:rPr>
          <w:rStyle w:val="13"/>
          <w:rFonts w:hint="eastAsia" w:ascii="仿宋" w:hAnsi="仿宋" w:eastAsia="仿宋"/>
          <w:b w:val="0"/>
          <w:bCs/>
          <w:color w:val="000000"/>
          <w:sz w:val="32"/>
          <w:szCs w:val="32"/>
        </w:rPr>
        <w:t>4.</w:t>
      </w:r>
      <w:r>
        <w:rPr>
          <w:rStyle w:val="13"/>
          <w:rFonts w:hint="eastAsia" w:ascii="仿宋" w:hAnsi="仿宋" w:eastAsia="仿宋"/>
          <w:bCs/>
          <w:color w:val="000000"/>
          <w:sz w:val="32"/>
          <w:szCs w:val="32"/>
        </w:rPr>
        <w:t>卫生健康支出210（类）04（款）08（项）基本公共卫生服务</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支出决算为11.32万元，决算数大于预算数的主要原因是项目增加。</w:t>
      </w:r>
    </w:p>
    <w:p>
      <w:pPr>
        <w:spacing w:line="600" w:lineRule="exact"/>
        <w:ind w:firstLine="640" w:firstLineChars="200"/>
        <w:rPr>
          <w:rFonts w:ascii="仿宋" w:hAnsi="仿宋" w:eastAsia="仿宋"/>
          <w:b/>
          <w:color w:val="000000"/>
          <w:sz w:val="32"/>
          <w:szCs w:val="32"/>
        </w:rPr>
      </w:pPr>
      <w:r>
        <w:rPr>
          <w:rStyle w:val="13"/>
          <w:rFonts w:hint="eastAsia" w:ascii="仿宋" w:hAnsi="仿宋" w:eastAsia="仿宋"/>
          <w:b w:val="0"/>
          <w:bCs/>
          <w:color w:val="000000"/>
          <w:sz w:val="32"/>
          <w:szCs w:val="32"/>
        </w:rPr>
        <w:t>5.</w:t>
      </w:r>
      <w:r>
        <w:rPr>
          <w:rStyle w:val="13"/>
          <w:rFonts w:hint="eastAsia" w:ascii="仿宋" w:hAnsi="仿宋" w:eastAsia="仿宋"/>
          <w:bCs/>
          <w:color w:val="000000"/>
          <w:sz w:val="32"/>
          <w:szCs w:val="32"/>
        </w:rPr>
        <w:t>卫生健康支出210（类）11（款）02（项）事业单位医疗</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支出决算为4.86万元，完成预算100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，决算数等于预算数。</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rPr>
        <w:t>6</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住房保障支出221（类）02（款）01（项）住房公积金</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支出决算为8.44万元，完成预算75.97%，决算数小于预算数的主要原因是存在住房公积金缴费基数调整。</w:t>
      </w:r>
    </w:p>
    <w:p>
      <w:pPr>
        <w:tabs>
          <w:tab w:val="right" w:pos="8306"/>
        </w:tabs>
        <w:spacing w:line="600" w:lineRule="exact"/>
        <w:ind w:firstLine="640"/>
        <w:outlineLvl w:val="1"/>
        <w:rPr>
          <w:rStyle w:val="25"/>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9年一般公共预算财政拨款基本支出118.65万元，其中：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118.65万元，主要包括：基本工资19.68万元、津贴补贴31.73万元、奖金18.77万元、绩效工资24.71万元、机关事业单位基本养老保险缴费5.82万元、职业年金缴费4.64万元、职工基本医疗保险缴费4.86万元、住房公积金8.44万元。</w:t>
      </w:r>
      <w:r>
        <w:rPr>
          <w:rFonts w:ascii="仿宋" w:hAnsi="仿宋" w:eastAsia="仿宋"/>
          <w:color w:val="000000"/>
          <w:sz w:val="32"/>
          <w:szCs w:val="32"/>
        </w:rPr>
        <w:br w:type="textWrapping"/>
      </w:r>
      <w:r>
        <w:rPr>
          <w:rFonts w:hint="eastAsia" w:ascii="仿宋" w:hAnsi="仿宋" w:eastAsia="仿宋"/>
          <w:color w:val="000000"/>
          <w:sz w:val="32"/>
          <w:szCs w:val="32"/>
        </w:rPr>
        <w:t>　　日常公用经费0.65万元，主要包括：差旅费0.25万元、公务用车运行维护费0.41万元。</w:t>
      </w:r>
    </w:p>
    <w:p>
      <w:pPr>
        <w:spacing w:line="600" w:lineRule="exact"/>
        <w:ind w:firstLine="640"/>
        <w:outlineLvl w:val="1"/>
        <w:rPr>
          <w:rStyle w:val="25"/>
          <w:rFonts w:ascii="黑体" w:hAnsi="黑体" w:eastAsia="黑体"/>
          <w:b w:val="0"/>
        </w:rPr>
      </w:pPr>
      <w:bookmarkStart w:id="46" w:name="_Toc15396609"/>
      <w:bookmarkStart w:id="47"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9年“三公”经费财政拨款支出决算为0.41万元，完成预算51.25</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，决算数小于预算数的主要原因是下乡入户次数减少。</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；公务用车购置及运行维护费支出决算0.41万元，占100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 w:hAnsi="仿宋" w:eastAsia="仿宋"/>
          <w:color w:val="000000"/>
          <w:sz w:val="32"/>
          <w:szCs w:val="32"/>
        </w:rPr>
      </w:pPr>
    </w:p>
    <w:p>
      <w:pPr>
        <w:numPr>
          <w:ilvl w:val="0"/>
          <w:numId w:val="2"/>
        </w:numPr>
        <w:spacing w:line="600" w:lineRule="exact"/>
        <w:ind w:firstLine="640"/>
        <w:rPr>
          <w:rFonts w:ascii="仿宋_GB2312" w:eastAsia="仿宋_GB2312"/>
          <w:color w:val="000000"/>
          <w:sz w:val="32"/>
          <w:szCs w:val="32"/>
        </w:rPr>
      </w:pPr>
      <w:r>
        <w:drawing>
          <wp:anchor distT="0" distB="0" distL="114300" distR="114300" simplePos="0" relativeHeight="251664384" behindDoc="1" locked="0" layoutInCell="1" allowOverlap="1">
            <wp:simplePos x="0" y="0"/>
            <wp:positionH relativeFrom="column">
              <wp:posOffset>433705</wp:posOffset>
            </wp:positionH>
            <wp:positionV relativeFrom="paragraph">
              <wp:posOffset>189230</wp:posOffset>
            </wp:positionV>
            <wp:extent cx="4572000" cy="2682240"/>
            <wp:effectExtent l="4445" t="4445" r="14605" b="75565"/>
            <wp:wrapTight wrapText="bothSides">
              <wp:wrapPolygon>
                <wp:start x="-21" y="-36"/>
                <wp:lineTo x="-21" y="21441"/>
                <wp:lineTo x="21579" y="21441"/>
                <wp:lineTo x="21579" y="-36"/>
                <wp:lineTo x="-21" y="-36"/>
              </wp:wrapPolygon>
            </wp:wrapTight>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全年安排因公出国（境）团组0次，出国（境）0人。因公出国（境）支出决算与</w:t>
      </w:r>
      <w:r>
        <w:rPr>
          <w:rFonts w:ascii="仿宋_GB2312" w:eastAsia="仿宋_GB2312"/>
          <w:color w:val="000000"/>
          <w:sz w:val="32"/>
          <w:szCs w:val="32"/>
        </w:rPr>
        <w:t>201</w:t>
      </w:r>
      <w:r>
        <w:rPr>
          <w:rFonts w:hint="eastAsia" w:ascii="仿宋_GB2312" w:eastAsia="仿宋_GB2312"/>
          <w:color w:val="000000"/>
          <w:sz w:val="32"/>
          <w:szCs w:val="32"/>
        </w:rPr>
        <w:t>8年一样。</w:t>
      </w:r>
    </w:p>
    <w:p>
      <w:pPr>
        <w:numPr>
          <w:ilvl w:val="0"/>
          <w:numId w:val="2"/>
        </w:num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1.10</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110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8.39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88.41</w:t>
      </w:r>
      <w:r>
        <w:rPr>
          <w:rFonts w:ascii="仿宋_GB2312" w:eastAsia="仿宋_GB2312"/>
          <w:color w:val="000000"/>
          <w:sz w:val="32"/>
          <w:szCs w:val="32"/>
        </w:rPr>
        <w:t>%</w:t>
      </w:r>
      <w:r>
        <w:rPr>
          <w:rFonts w:hint="eastAsia" w:ascii="仿宋_GB2312" w:eastAsia="仿宋_GB2312"/>
          <w:color w:val="000000"/>
          <w:sz w:val="32"/>
          <w:szCs w:val="32"/>
        </w:rPr>
        <w:t>。主要原因是下村入户次数减少。</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月底，单位共有公务用车1辆，其中：主要领导干部用车0辆、机要通信用车0辆、应急保障用车0辆、 执法执勤用车0辆、特种专业技术用车1辆。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1.10</w:t>
      </w:r>
      <w:r>
        <w:rPr>
          <w:rFonts w:hint="eastAsia" w:ascii="仿宋_GB2312" w:eastAsia="仿宋_GB2312"/>
          <w:color w:val="000000"/>
          <w:sz w:val="32"/>
          <w:szCs w:val="32"/>
        </w:rPr>
        <w:t>万元。主要用于下村入户为老百姓体检，开展公共卫生服务等所需的公务用车燃料费、维修费、过路过桥费、保险费等支出。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201</w:t>
      </w:r>
      <w:r>
        <w:rPr>
          <w:rFonts w:hint="eastAsia" w:ascii="仿宋_GB2312" w:eastAsia="仿宋_GB2312"/>
          <w:color w:val="000000"/>
          <w:sz w:val="32"/>
          <w:szCs w:val="32"/>
        </w:rPr>
        <w:t>8年一样。</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bookmarkStart w:id="50" w:name="_Toc15377218"/>
      <w:bookmarkStart w:id="51"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3"/>
        </w:numPr>
        <w:spacing w:line="600" w:lineRule="exact"/>
        <w:ind w:firstLine="640"/>
        <w:outlineLvl w:val="1"/>
        <w:rPr>
          <w:rStyle w:val="25"/>
          <w:rFonts w:ascii="黑体" w:hAnsi="黑体" w:eastAsia="黑体"/>
          <w:b w:val="0"/>
        </w:rPr>
      </w:pPr>
      <w:bookmarkStart w:id="52" w:name="_Toc15377219"/>
      <w:bookmarkStart w:id="53" w:name="_Toc15396611"/>
      <w:r>
        <w:rPr>
          <w:rStyle w:val="25"/>
          <w:rFonts w:hint="eastAsia" w:ascii="黑体" w:hAnsi="黑体" w:eastAsia="黑体"/>
          <w:b w:val="0"/>
        </w:rPr>
        <w:t>国有资本经营预算支出决算情况说明</w:t>
      </w:r>
      <w:bookmarkEnd w:id="52"/>
      <w:bookmarkEnd w:id="5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600" w:lineRule="exact"/>
        <w:ind w:firstLine="800" w:firstLineChars="250"/>
        <w:outlineLvl w:val="1"/>
        <w:rPr>
          <w:rStyle w:val="25"/>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9年，宗科乡卫生院机关运行经费支出0万元，与</w:t>
      </w:r>
      <w:r>
        <w:rPr>
          <w:rFonts w:ascii="仿宋_GB2312" w:eastAsia="仿宋_GB2312"/>
          <w:color w:val="000000"/>
          <w:sz w:val="32"/>
          <w:szCs w:val="32"/>
        </w:rPr>
        <w:t>201</w:t>
      </w:r>
      <w:r>
        <w:rPr>
          <w:rFonts w:hint="eastAsia" w:ascii="仿宋_GB2312" w:eastAsia="仿宋_GB2312"/>
          <w:color w:val="000000"/>
          <w:sz w:val="32"/>
          <w:szCs w:val="32"/>
        </w:rPr>
        <w:t>8年决算数持平。</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9年，宗科乡卫生院政府采购支出总额0万元，其中：政府采购货物支出0万元、政府采购工程支出0万元、政府采购服务支出0万元。授予中小企业合同金额0万元，占政府采购支出总额的0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日，宗科乡卫生院共有车辆1辆，其中：主要领导干部用车0辆、机要通信用车0辆、应急保障用车0辆、特种专业技术用车1辆、其他用车0辆，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根据预算绩效管理要求，本部门（宗科乡卫生院）在年初预算编制阶段，本部门无专项预算项目，因此未组织开展项目支出绩效评价。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  基本公共卫生服务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1个项目绩效目标实际完成情况。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公共卫生服务项目绩效目标完成情况综述。项目全年预算数11.32万元，执行数为11.32万元，完成预算的100%。通过项目实施，促进了居民健康意识的提高和不良生活方式的改变，对于提高居民健康素质有重要的促进作用，同时也减少了主要健康危险元素，预防和控制传染病及慢性病的发生和流行，提高公共卫生服务和突发公共卫生事件应急处置能力，建立起维护居民健康的第一道屏障。发现的主要问题：可能是由于宣传的力度不大，不够深入，不够广泛，当地老百姓对基本公共卫生服务的政策及规定了解度不高，缺乏接受公共卫生服务的主动性。下一步改进措施：加大对基本公共卫生服务政策及规定的宣传力度，提高群众知晓率，开展健康教育宣传活动，提高居民健康意识。</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both"/>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基本公共卫生服务</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壤塘县宗科乡卫生院</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11.32万元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11.32万元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11.32万元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11.32万元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439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基本公共卫生服务项目均等化水平，规范公共卫生服务行为，推进基本公共卫生服务项目开展，加强孕产妇健康管理和儿童健康管理，把孕产妇和婴儿死亡率控制在指标范围内，全面完成2019年度家庭医生签约服务、城乡居民健康档案、0-6岁儿童健康管理、孕产妇健康管理、免费婚前医学检查、新生儿遗传代谢性疾病筛查、新生儿听力筛查、免疫规划、65岁及以上老年人健康管理、健康教育、高血压患者健康管理、2型糖尿病患者健康管理、严重精神障碍患者管理、传染病和突发公共卫生事件报告处理、结核病防治、卫生监督协管、中医药健康管理服务各项任务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基本公共卫生服务项目均等化水平，规范公共卫生服务行为，推进基本公共卫生服务项目开展，加强孕产妇健康管理和儿童健康管理，把孕产妇和婴儿死亡率控制在指标范围内，全面完成2019年度家庭医生签约服务、城乡居民健康档案、0-6岁儿童健康管理、孕产妇健康管理、免费婚前医学检查、新生儿遗传代谢性疾病筛查、新生儿听力筛查、免疫规划、65岁及以上老年人健康管理、健康教育、高血压患者健康管理、2型糖尿病患者健康管理、严重精神障碍患者管理、传染病和突发公共卫生事件报告处理、结核病防治、卫生监督协管、中医药健康管理服务各项任务目标。</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免费体检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为辖区内所有老百姓进行免费体检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体检1000余人人</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家庭签约服务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完成辖区内常住人口家庭签约服务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完成贫困家庭签约服务103户</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减轻辖区内老百姓看病贵负担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减轻辖区内老百姓看病贵负担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开展贫困户义诊巡诊2次，发放免费药品1000余元</w:t>
            </w:r>
          </w:p>
          <w:p>
            <w:pPr>
              <w:widowControl/>
              <w:jc w:val="center"/>
              <w:textAlignment w:val="center"/>
              <w:rPr>
                <w:rFonts w:ascii="宋体" w:hAnsi="宋体" w:cs="宋体"/>
                <w:color w:val="000000"/>
                <w:kern w:val="0"/>
                <w:sz w:val="24"/>
              </w:rPr>
            </w:pP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辖区内群众对医疗服务满意度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辖区内群众对医疗服务满意度</w:t>
            </w:r>
            <w:r>
              <w:rPr>
                <w:rFonts w:hint="eastAsia" w:ascii="宋体" w:hAnsi="宋体" w:cs="宋体"/>
                <w:color w:val="000000"/>
                <w:kern w:val="0"/>
                <w:sz w:val="24"/>
              </w:rPr>
              <w:t>&gt;=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辖区内群众对医疗服务满意度</w:t>
            </w:r>
            <w:r>
              <w:rPr>
                <w:rFonts w:hint="eastAsia" w:ascii="宋体" w:hAnsi="宋体" w:cs="宋体"/>
                <w:color w:val="000000"/>
                <w:kern w:val="0"/>
                <w:sz w:val="24"/>
              </w:rPr>
              <w:t>&gt;=95%</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本部门按要求对2019年部门整体支出绩效评价情况开展自评，《宗科乡卫生院部门2019年部门整体支出绩效评价报告》见附件（附件1）。</w:t>
      </w: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9" w:name="_Toc15377225"/>
      <w:bookmarkStart w:id="60"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bookmarkStart w:id="61"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事业收入：指事业单位开展专业业务活动及辅助活动取得的收入。如医疗收入等。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其他收入：指单位取得的除上述收入以外的各项收入。主要是利息收入等。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社会保障和就业支出208（类）05（款）05（项）</w:t>
      </w:r>
      <w:r>
        <w:rPr>
          <w:rStyle w:val="13"/>
          <w:rFonts w:hint="eastAsia" w:ascii="仿宋_GB2312" w:eastAsia="仿宋_GB2312"/>
          <w:b w:val="0"/>
          <w:sz w:val="32"/>
          <w:szCs w:val="32"/>
        </w:rPr>
        <w:t>机关事业单位基本养老保险缴费支出</w:t>
      </w:r>
      <w:r>
        <w:rPr>
          <w:rFonts w:hint="eastAsia" w:ascii="仿宋_GB2312" w:eastAsia="仿宋_GB2312"/>
          <w:color w:val="000000"/>
          <w:sz w:val="32"/>
          <w:szCs w:val="32"/>
        </w:rPr>
        <w:t>：</w:t>
      </w:r>
      <w:r>
        <w:rPr>
          <w:rFonts w:hint="eastAsia" w:ascii="仿宋_GB2312" w:eastAsia="仿宋_GB2312"/>
          <w:sz w:val="32"/>
          <w:szCs w:val="32"/>
        </w:rPr>
        <w:t>指反映机关事业单位实施养老保险制度由单位缴纳的基本养老保险费支出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社会保障和就业支出208（类）05（款）06（项）</w:t>
      </w:r>
      <w:r>
        <w:rPr>
          <w:rStyle w:val="13"/>
          <w:rFonts w:hint="eastAsia" w:ascii="仿宋_GB2312" w:eastAsia="仿宋_GB2312"/>
          <w:b w:val="0"/>
          <w:sz w:val="32"/>
          <w:szCs w:val="32"/>
        </w:rPr>
        <w:t>机关事业单位职业年金缴费支出</w:t>
      </w:r>
      <w:r>
        <w:rPr>
          <w:rFonts w:hint="eastAsia" w:ascii="仿宋_GB2312" w:eastAsia="仿宋_GB2312"/>
          <w:color w:val="000000"/>
          <w:sz w:val="32"/>
          <w:szCs w:val="32"/>
        </w:rPr>
        <w:t>：</w:t>
      </w:r>
      <w:r>
        <w:rPr>
          <w:rFonts w:hint="eastAsia" w:ascii="仿宋_GB2312" w:eastAsia="仿宋_GB2312"/>
          <w:sz w:val="32"/>
          <w:szCs w:val="32"/>
        </w:rPr>
        <w:t>指反映机关事业单位实施养老保险制度由单位实际缴纳的职业年金支出</w:t>
      </w:r>
      <w:r>
        <w:rPr>
          <w:rFonts w:hint="eastAsia" w:ascii="仿宋_GB2312" w:eastAsia="仿宋_GB2312"/>
          <w:color w:val="000000"/>
          <w:sz w:val="32"/>
          <w:szCs w:val="32"/>
        </w:rPr>
        <w:t>。</w:t>
      </w:r>
    </w:p>
    <w:p>
      <w:pPr>
        <w:ind w:firstLine="640" w:firstLineChars="200"/>
        <w:rPr>
          <w:rFonts w:ascii="仿宋_GB2312" w:eastAsia="仿宋_GB2312"/>
          <w:sz w:val="32"/>
          <w:szCs w:val="32"/>
        </w:rPr>
      </w:pPr>
      <w:r>
        <w:rPr>
          <w:rFonts w:ascii="仿宋_GB2312" w:eastAsia="仿宋_GB2312"/>
          <w:color w:val="000000"/>
          <w:sz w:val="32"/>
          <w:szCs w:val="32"/>
        </w:rPr>
        <w:t>11.</w:t>
      </w:r>
      <w:r>
        <w:rPr>
          <w:rFonts w:hint="eastAsia" w:ascii="仿宋_GB2312" w:eastAsia="仿宋_GB2312"/>
          <w:color w:val="000000"/>
          <w:sz w:val="32"/>
          <w:szCs w:val="32"/>
        </w:rPr>
        <w:t>卫生健康支出210（类）03（款）02（项）</w:t>
      </w:r>
      <w:r>
        <w:rPr>
          <w:rFonts w:hint="eastAsia" w:ascii="仿宋_GB2312" w:eastAsia="仿宋_GB2312"/>
          <w:sz w:val="32"/>
          <w:szCs w:val="32"/>
        </w:rPr>
        <w:t>乡镇卫生院</w:t>
      </w:r>
      <w:r>
        <w:rPr>
          <w:rFonts w:hint="eastAsia" w:ascii="仿宋_GB2312" w:eastAsia="仿宋_GB2312"/>
          <w:color w:val="000000"/>
          <w:sz w:val="32"/>
          <w:szCs w:val="32"/>
        </w:rPr>
        <w:t>：</w:t>
      </w:r>
      <w:r>
        <w:rPr>
          <w:rFonts w:hint="eastAsia" w:ascii="仿宋_GB2312" w:eastAsia="仿宋_GB2312"/>
          <w:sz w:val="32"/>
          <w:szCs w:val="32"/>
        </w:rPr>
        <w:t>指用于乡镇卫生院的支出。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卫生健康支出210（类）03（款）99（项）</w:t>
      </w:r>
      <w:r>
        <w:rPr>
          <w:rFonts w:hint="eastAsia" w:ascii="仿宋_GB2312" w:eastAsia="仿宋_GB2312"/>
          <w:sz w:val="32"/>
          <w:szCs w:val="32"/>
        </w:rPr>
        <w:t>其他基层医疗卫生机构支出</w:t>
      </w:r>
      <w:r>
        <w:rPr>
          <w:rFonts w:hint="eastAsia" w:ascii="仿宋_GB2312" w:eastAsia="仿宋_GB2312"/>
          <w:color w:val="000000"/>
          <w:sz w:val="32"/>
          <w:szCs w:val="32"/>
        </w:rPr>
        <w:t>：</w:t>
      </w:r>
      <w:r>
        <w:rPr>
          <w:rFonts w:hint="eastAsia" w:ascii="仿宋_GB2312" w:eastAsia="仿宋_GB2312"/>
          <w:sz w:val="32"/>
          <w:szCs w:val="32"/>
        </w:rPr>
        <w:t>指反映其他用于基层医疗卫生机构的支出。</w:t>
      </w:r>
    </w:p>
    <w:p>
      <w:pPr>
        <w:ind w:firstLine="640" w:firstLineChars="200"/>
        <w:rPr>
          <w:rFonts w:ascii="仿宋_GB2312" w:eastAsia="仿宋_GB2312"/>
          <w:sz w:val="32"/>
          <w:szCs w:val="32"/>
        </w:rPr>
      </w:pPr>
      <w:r>
        <w:rPr>
          <w:rFonts w:ascii="仿宋_GB2312" w:eastAsia="仿宋_GB2312"/>
          <w:color w:val="000000"/>
          <w:sz w:val="32"/>
          <w:szCs w:val="32"/>
        </w:rPr>
        <w:t>13.</w:t>
      </w:r>
      <w:r>
        <w:rPr>
          <w:rFonts w:hint="eastAsia" w:ascii="仿宋_GB2312" w:eastAsia="仿宋_GB2312"/>
          <w:color w:val="000000"/>
          <w:sz w:val="32"/>
          <w:szCs w:val="32"/>
        </w:rPr>
        <w:t>卫生健康支出210（类）04（款）08（项）</w:t>
      </w:r>
      <w:r>
        <w:rPr>
          <w:rFonts w:hint="eastAsia" w:ascii="仿宋_GB2312" w:eastAsia="仿宋_GB2312"/>
          <w:sz w:val="32"/>
          <w:szCs w:val="32"/>
        </w:rPr>
        <w:t>基本公共卫生服务</w:t>
      </w:r>
      <w:r>
        <w:rPr>
          <w:rFonts w:hint="eastAsia" w:ascii="仿宋_GB2312" w:eastAsia="仿宋_GB2312"/>
          <w:color w:val="000000"/>
          <w:sz w:val="32"/>
          <w:szCs w:val="32"/>
        </w:rPr>
        <w:t>：</w:t>
      </w:r>
      <w:r>
        <w:rPr>
          <w:rFonts w:hint="eastAsia" w:ascii="仿宋_GB2312" w:eastAsia="仿宋_GB2312"/>
          <w:sz w:val="32"/>
          <w:szCs w:val="32"/>
        </w:rPr>
        <w:t>指反映基本公共卫生服务支出。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卫生健康支出210（类）11（款）02（项）事业单位医疗：反映财政部门安排的事业单位基本医疗保险缴费经费，未参加医疗保险的事业单位的公费医疗经费，按国家规定享受离休人员待遇的医疗经费。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卫生健康支出支出210（类）99（款）01（项）  其他卫生健康支出：</w:t>
      </w:r>
      <w:r>
        <w:rPr>
          <w:rFonts w:hint="eastAsia" w:ascii="仿宋_GB2312" w:eastAsia="仿宋_GB2312"/>
          <w:sz w:val="32"/>
          <w:szCs w:val="32"/>
        </w:rPr>
        <w:t>指其他用于卫生健康方面的支出。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住房保障支出221（类）02（款）01（项）住房公积金：</w:t>
      </w:r>
      <w:r>
        <w:rPr>
          <w:rFonts w:hint="eastAsia" w:ascii="仿宋_GB2312" w:eastAsia="仿宋_GB2312"/>
          <w:sz w:val="32"/>
          <w:szCs w:val="32"/>
        </w:rPr>
        <w:t>指反映行政事业单位按照人力资源和社会保障部、财政部规定的基本工资和津贴补贴及规定比例为职工缴纳的住房公积金。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62"/>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宗科乡卫生院</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宗科乡卫生院是二级决算单位。</w:t>
      </w:r>
    </w:p>
    <w:p>
      <w:pPr>
        <w:widowControl/>
        <w:numPr>
          <w:ilvl w:val="0"/>
          <w:numId w:val="5"/>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（1）贯彻执行党中央、国务院及省市县有关医药卫生方面的路线、方针、政策和国家的法律法规，开展以现代医药技术为主的疾病防治、保健和相关技术服务。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（2）负责在县卫健局领导、协调下开展对重大疾病、流行病、传染病及突发公共卫生事件进行预防控制工作，配合有关部门参与对上述重大事件实施防控与干预，以及按规定报告传染病疫情信息。</w:t>
      </w:r>
    </w:p>
    <w:p>
      <w:pPr>
        <w:widowControl/>
        <w:adjustRightInd w:val="0"/>
        <w:snapToGrid w:val="0"/>
        <w:spacing w:line="580" w:lineRule="exact"/>
        <w:ind w:firstLine="480" w:firstLineChars="15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（3）参与我县各乡镇的应急、救灾等方面工作；</w:t>
      </w:r>
    </w:p>
    <w:p>
      <w:pPr>
        <w:widowControl/>
        <w:adjustRightInd w:val="0"/>
        <w:snapToGrid w:val="0"/>
        <w:spacing w:line="580" w:lineRule="exact"/>
        <w:ind w:firstLine="480" w:firstLineChars="15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（4）负责我县各乡镇范围内群众的健康保健指导，对群众及职工进行健康检查，以及开展预防、保健知识的宣传和咨询工作。</w:t>
      </w:r>
    </w:p>
    <w:p>
      <w:pPr>
        <w:widowControl/>
        <w:adjustRightInd w:val="0"/>
        <w:snapToGrid w:val="0"/>
        <w:spacing w:line="580" w:lineRule="exact"/>
        <w:ind w:firstLine="480" w:firstLineChars="15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（5）负责各乡镇基层乡村卫生工作者的业务培训。</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（6）承办县卫健局和上级业务部门交办的其他事。</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宗科乡卫生院总编制8名,在职人员</w:t>
      </w:r>
      <w:r>
        <w:rPr>
          <w:rFonts w:hint="eastAsia" w:ascii="仿宋_GB2312" w:hAnsi="宋体" w:eastAsia="仿宋_GB2312" w:cs="宋体"/>
          <w:color w:val="000000"/>
          <w:kern w:val="0"/>
          <w:sz w:val="32"/>
          <w:szCs w:val="32"/>
          <w:shd w:val="clear" w:color="auto" w:fill="FFFFFF"/>
        </w:rPr>
        <w:t>8</w:t>
      </w:r>
      <w:r>
        <w:rPr>
          <w:rFonts w:hint="eastAsia" w:ascii="仿宋_GB2312" w:hAnsi="宋体" w:eastAsia="仿宋_GB2312" w:cs="宋体"/>
          <w:color w:val="000000"/>
          <w:kern w:val="0"/>
          <w:sz w:val="32"/>
          <w:szCs w:val="32"/>
          <w:shd w:val="clear" w:color="auto" w:fill="FFFFFF"/>
          <w:lang w:val="zh-CN"/>
        </w:rPr>
        <w:t>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960" w:firstLineChars="3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2019年宗科乡卫生院财政资金收入为117.78万元。</w:t>
      </w:r>
    </w:p>
    <w:p>
      <w:pPr>
        <w:widowControl/>
        <w:numPr>
          <w:ilvl w:val="0"/>
          <w:numId w:val="5"/>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adjustRightInd w:val="0"/>
        <w:snapToGrid w:val="0"/>
        <w:spacing w:line="580" w:lineRule="exact"/>
        <w:ind w:left="420" w:leftChars="200"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2019年宗科乡卫生院财政资金支出为</w:t>
      </w:r>
      <w:r>
        <w:rPr>
          <w:rFonts w:hint="eastAsia" w:ascii="仿宋_GB2312" w:hAnsi="宋体" w:eastAsia="仿宋_GB2312" w:cs="宋体"/>
          <w:color w:val="000000"/>
          <w:kern w:val="0"/>
          <w:sz w:val="32"/>
          <w:szCs w:val="32"/>
          <w:shd w:val="clear" w:color="auto" w:fill="FFFFFF"/>
        </w:rPr>
        <w:t>130.63</w:t>
      </w:r>
      <w:r>
        <w:rPr>
          <w:rFonts w:hint="eastAsia" w:ascii="仿宋_GB2312" w:hAnsi="宋体" w:eastAsia="仿宋_GB2312" w:cs="宋体"/>
          <w:color w:val="000000"/>
          <w:kern w:val="0"/>
          <w:sz w:val="32"/>
          <w:szCs w:val="32"/>
          <w:shd w:val="clear" w:color="auto" w:fill="FFFFFF"/>
          <w:lang w:val="zh-CN"/>
        </w:rPr>
        <w:t>万元，其中：基本支出</w:t>
      </w:r>
      <w:r>
        <w:rPr>
          <w:rFonts w:hint="eastAsia" w:ascii="仿宋_GB2312" w:hAnsi="宋体" w:eastAsia="仿宋_GB2312" w:cs="宋体"/>
          <w:color w:val="000000"/>
          <w:kern w:val="0"/>
          <w:sz w:val="32"/>
          <w:szCs w:val="32"/>
          <w:shd w:val="clear" w:color="auto" w:fill="FFFFFF"/>
        </w:rPr>
        <w:t>119.31万元，项目支出11.32万元</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9年本年收入合计122.43万元，其中：一般公共预算财政拨款收入117.78万元；事业收入4.65万元。本年支出合计132.89万元，其中：基本支出121.57万元；项目支出11.32万元。</w:t>
      </w:r>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2019年度财政收入预算122.36万元，财政支出预算122.36万元，其中基本支出122.36万元。</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决算与预算之间出现差异的主要原因是人员工资福利的调整。所有的工作严格按照预期目标进行，严格按照相关规定、程序进行。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专项项目工作要求和资金使用规定，我院在专项经费的管理和使用上，做到了专项资金专款专用，财务严格审核经费的开支范围和真实性，不存在截留、挤占、挪用、虚列支出的情况。保证了各个项目工作的正常运转，无违规记录。</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县财政局预算股、行财股负责项目资金的监督使用。卫健局监督资金到位情况及下拨，督查项目的进度，查看实施效果。我院具体负责项目的实施。严格按照项目实施文件实施完成项目目标任务。</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基本达到预期目标，完成各方面要求。</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群众健康教育知晓率还有待于进一步提高，职工工作积极性有待提高。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加强宣传教育力度，加强工作质量要求。</w:t>
      </w: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24"/>
          <w:rFonts w:ascii="黑体" w:hAnsi="黑体" w:eastAsia="黑体"/>
          <w:b w:val="0"/>
        </w:rPr>
      </w:pPr>
    </w:p>
    <w:p>
      <w:pPr>
        <w:spacing w:line="600" w:lineRule="exact"/>
        <w:jc w:val="center"/>
        <w:outlineLvl w:val="0"/>
        <w:rPr>
          <w:rFonts w:hint="eastAsia" w:ascii="黑体" w:hAnsi="黑体" w:eastAsia="黑体"/>
          <w:color w:val="000000"/>
          <w:sz w:val="44"/>
          <w:szCs w:val="44"/>
        </w:rPr>
      </w:pPr>
      <w:bookmarkStart w:id="63"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61"/>
      <w:bookmarkEnd w:id="6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4"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4"/>
    </w:p>
    <w:p>
      <w:pPr>
        <w:pStyle w:val="3"/>
        <w:rPr>
          <w:rFonts w:ascii="仿宋" w:hAnsi="仿宋" w:eastAsia="仿宋"/>
          <w:color w:val="000000"/>
        </w:rPr>
      </w:pPr>
      <w:bookmarkStart w:id="65"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5"/>
    </w:p>
    <w:p>
      <w:pPr>
        <w:pStyle w:val="3"/>
        <w:rPr>
          <w:rFonts w:ascii="仿宋" w:hAnsi="仿宋" w:eastAsia="仿宋"/>
          <w:color w:val="000000"/>
        </w:rPr>
      </w:pPr>
      <w:bookmarkStart w:id="6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6"/>
    </w:p>
    <w:p>
      <w:pPr>
        <w:pStyle w:val="3"/>
        <w:rPr>
          <w:rFonts w:ascii="仿宋" w:hAnsi="仿宋" w:eastAsia="仿宋"/>
          <w:b w:val="0"/>
          <w:color w:val="000000"/>
        </w:rPr>
      </w:pPr>
      <w:bookmarkStart w:id="67"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7"/>
    </w:p>
    <w:p>
      <w:pPr>
        <w:pStyle w:val="3"/>
        <w:rPr>
          <w:rStyle w:val="25"/>
          <w:rFonts w:ascii="仿宋" w:hAnsi="仿宋" w:eastAsia="仿宋"/>
          <w:b w:val="0"/>
          <w:bCs w:val="0"/>
        </w:rPr>
      </w:pPr>
      <w:bookmarkStart w:id="68"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8"/>
      <w:bookmarkStart w:id="69"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2"/>
    </w:p>
    <w:p>
      <w:pPr>
        <w:pStyle w:val="3"/>
        <w:rPr>
          <w:rFonts w:ascii="仿宋" w:hAnsi="仿宋" w:eastAsia="仿宋"/>
          <w:color w:val="000000"/>
        </w:rPr>
      </w:pPr>
      <w:bookmarkStart w:id="7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3"/>
    </w:p>
    <w:p>
      <w:pPr>
        <w:pStyle w:val="3"/>
        <w:rPr>
          <w:rFonts w:ascii="仿宋" w:hAnsi="仿宋" w:eastAsia="仿宋"/>
          <w:color w:val="000000"/>
        </w:rPr>
      </w:pPr>
      <w:bookmarkStart w:id="7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4"/>
    </w:p>
    <w:p>
      <w:pPr>
        <w:pStyle w:val="3"/>
        <w:rPr>
          <w:rFonts w:ascii="仿宋" w:hAnsi="仿宋" w:eastAsia="仿宋"/>
          <w:color w:val="000000"/>
        </w:rPr>
      </w:pPr>
      <w:bookmarkStart w:id="75"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5"/>
    </w:p>
    <w:p>
      <w:pPr>
        <w:pStyle w:val="3"/>
        <w:rPr>
          <w:rFonts w:ascii="仿宋" w:hAnsi="仿宋" w:eastAsia="仿宋"/>
          <w:color w:val="000000" w:themeColor="text1"/>
        </w:rPr>
      </w:pPr>
      <w:bookmarkStart w:id="76"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17</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0DEEBDCA"/>
    <w:multiLevelType w:val="singleLevel"/>
    <w:tmpl w:val="0DEEBDCA"/>
    <w:lvl w:ilvl="0" w:tentative="0">
      <w:start w:val="1"/>
      <w:numFmt w:val="decimal"/>
      <w:lvlText w:val="%1."/>
      <w:lvlJc w:val="left"/>
      <w:pPr>
        <w:tabs>
          <w:tab w:val="left" w:pos="312"/>
        </w:tabs>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7AE6EA4"/>
    <w:multiLevelType w:val="singleLevel"/>
    <w:tmpl w:val="57AE6EA4"/>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C7E91"/>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2439"/>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42A73"/>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362"/>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1A5"/>
    <w:rsid w:val="00BC6B50"/>
    <w:rsid w:val="00BD0E25"/>
    <w:rsid w:val="00BD1619"/>
    <w:rsid w:val="00BF5BD6"/>
    <w:rsid w:val="00C03E31"/>
    <w:rsid w:val="00C30E69"/>
    <w:rsid w:val="00C33E72"/>
    <w:rsid w:val="00C354B2"/>
    <w:rsid w:val="00C35554"/>
    <w:rsid w:val="00C42709"/>
    <w:rsid w:val="00C53041"/>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4843"/>
    <w:rsid w:val="00F754A1"/>
    <w:rsid w:val="00F81FD9"/>
    <w:rsid w:val="00F841AA"/>
    <w:rsid w:val="00F84A94"/>
    <w:rsid w:val="00F87E96"/>
    <w:rsid w:val="00FA23E8"/>
    <w:rsid w:val="00FD3CC1"/>
    <w:rsid w:val="00FF1E02"/>
    <w:rsid w:val="00FF30B4"/>
    <w:rsid w:val="09783895"/>
    <w:rsid w:val="0E396E51"/>
    <w:rsid w:val="10C055FF"/>
    <w:rsid w:val="11552894"/>
    <w:rsid w:val="16BB723D"/>
    <w:rsid w:val="1B3B0D5F"/>
    <w:rsid w:val="1EC74A17"/>
    <w:rsid w:val="216876E5"/>
    <w:rsid w:val="240371BF"/>
    <w:rsid w:val="2510580D"/>
    <w:rsid w:val="292955A4"/>
    <w:rsid w:val="29FD04D3"/>
    <w:rsid w:val="2A07332D"/>
    <w:rsid w:val="2E3920F2"/>
    <w:rsid w:val="2F455FE5"/>
    <w:rsid w:val="319F7F4E"/>
    <w:rsid w:val="4D251B5C"/>
    <w:rsid w:val="4ECE2238"/>
    <w:rsid w:val="541544AB"/>
    <w:rsid w:val="58C87628"/>
    <w:rsid w:val="5A20076B"/>
    <w:rsid w:val="5C8728D2"/>
    <w:rsid w:val="5F112DD2"/>
    <w:rsid w:val="5F663956"/>
    <w:rsid w:val="60AB5F0E"/>
    <w:rsid w:val="63A73F5B"/>
    <w:rsid w:val="6D941B1B"/>
    <w:rsid w:val="72734D90"/>
    <w:rsid w:val="7783732B"/>
    <w:rsid w:val="7C434A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2"/>
    <w:qFormat/>
    <w:uiPriority w:val="9"/>
    <w:rPr>
      <w:rFonts w:ascii="Times New Roman" w:hAnsi="Times New Roman"/>
      <w:b/>
      <w:bCs/>
      <w:kern w:val="44"/>
      <w:sz w:val="44"/>
      <w:szCs w:val="44"/>
    </w:rPr>
  </w:style>
  <w:style w:type="character" w:customStyle="1" w:styleId="25">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2020\2019&#24180;&#20915;&#31639;&#20844;&#24320;\&#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G:\2020\2019&#24180;&#20915;&#31639;&#20844;&#24320;\&#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G:\2020\2019&#24180;&#20915;&#31639;&#20844;&#24320;\&#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G:\2020\2019&#24180;&#20915;&#31639;&#20844;&#24320;\&#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I:\2020\2019&#24180;&#20915;&#31639;&#20844;&#24320;\&#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I:\2020\2019&#24180;&#20915;&#31639;&#20844;&#24320;\&#26032;&#24314;%20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I:\2020\2019&#24180;&#20915;&#31639;&#20844;&#24320;\&#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	</a:t>
            </a:r>
          </a:p>
        </c:rich>
      </c:tx>
      <c:layout>
        <c:manualLayout>
          <c:xMode val="edge"/>
          <c:yMode val="edge"/>
          <c:x val="0.215138888888889"/>
          <c:y val="0.0486111111111111"/>
        </c:manualLayout>
      </c:layout>
      <c:overlay val="0"/>
      <c:spPr>
        <a:noFill/>
        <a:ln>
          <a:noFill/>
        </a:ln>
        <a:effectLst/>
      </c:spPr>
    </c:title>
    <c:autoTitleDeleted val="0"/>
    <c:plotArea>
      <c:layout>
        <c:manualLayout>
          <c:layoutTarget val="inner"/>
          <c:xMode val="edge"/>
          <c:yMode val="edge"/>
          <c:x val="0.0963333333333333"/>
          <c:y val="0.221527777777778"/>
          <c:w val="0.894638888888889"/>
          <c:h val="0.606805555555556"/>
        </c:manualLayout>
      </c:layout>
      <c:barChart>
        <c:barDir val="col"/>
        <c:grouping val="clustered"/>
        <c:varyColors val="0"/>
        <c:ser>
          <c:idx val="0"/>
          <c:order val="0"/>
          <c:tx>
            <c:strRef>
              <c:f>'[新建 XLS 工作表.xls]Sheet1'!$A$3</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'[新建 XLS 工作表.xls]Sheet1'!$B$1:$C$2</c:f>
              <c:multiLvlStrCache>
                <c:ptCount val="2"/>
                <c:lvl>
                  <c:pt idx="0">
                    <c:v>收入</c:v>
                  </c:pt>
                  <c:pt idx="1">
                    <c:v>支出</c:v>
                  </c:pt>
                </c:lvl>
                <c:lvl/>
              </c:multiLvlStrCache>
            </c:multiLvlStrRef>
          </c:cat>
          <c:val>
            <c:numRef>
              <c:f>'[新建 XLS 工作表.xls]Sheet1'!$B$3:$C$3</c:f>
              <c:numCache>
                <c:formatCode>General</c:formatCode>
                <c:ptCount val="2"/>
                <c:pt idx="0">
                  <c:v>118.95</c:v>
                </c:pt>
                <c:pt idx="1">
                  <c:v>143.22</c:v>
                </c:pt>
              </c:numCache>
            </c:numRef>
          </c:val>
        </c:ser>
        <c:ser>
          <c:idx val="1"/>
          <c:order val="1"/>
          <c:tx>
            <c:strRef>
              <c:f>'[新建 XLS 工作表.xls]Sheet1'!$A$4</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'[新建 XLS 工作表.xls]Sheet1'!$B$1:$C$2</c:f>
              <c:multiLvlStrCache>
                <c:ptCount val="2"/>
                <c:lvl>
                  <c:pt idx="0">
                    <c:v>收入</c:v>
                  </c:pt>
                  <c:pt idx="1">
                    <c:v>支出</c:v>
                  </c:pt>
                </c:lvl>
                <c:lvl/>
              </c:multiLvlStrCache>
            </c:multiLvlStrRef>
          </c:cat>
          <c:val>
            <c:numRef>
              <c:f>'[新建 XLS 工作表.xls]Sheet1'!$B$4:$C$4</c:f>
              <c:numCache>
                <c:formatCode>General</c:formatCode>
                <c:ptCount val="2"/>
                <c:pt idx="0">
                  <c:v>122.43</c:v>
                </c:pt>
                <c:pt idx="1">
                  <c:v>132.89</c:v>
                </c:pt>
              </c:numCache>
            </c:numRef>
          </c:val>
        </c:ser>
        <c:dLbls>
          <c:showLegendKey val="0"/>
          <c:showVal val="1"/>
          <c:showCatName val="0"/>
          <c:showSerName val="0"/>
          <c:showPercent val="0"/>
          <c:showBubbleSize val="0"/>
        </c:dLbls>
        <c:gapWidth val="219"/>
        <c:overlap val="-27"/>
        <c:axId val="65209856"/>
        <c:axId val="65211392"/>
      </c:barChart>
      <c:catAx>
        <c:axId val="652098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11392"/>
        <c:crosses val="autoZero"/>
        <c:auto val="1"/>
        <c:lblAlgn val="ctr"/>
        <c:lblOffset val="100"/>
        <c:noMultiLvlLbl val="0"/>
      </c:catAx>
      <c:valAx>
        <c:axId val="6521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09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2019年收入 </a:t>
            </a:r>
          </a:p>
        </c:rich>
      </c:tx>
      <c:layout/>
      <c:overlay val="0"/>
      <c:spPr>
        <a:noFill/>
        <a:ln>
          <a:noFill/>
        </a:ln>
        <a:effectLst/>
      </c:spPr>
    </c:title>
    <c:autoTitleDeleted val="0"/>
    <c:plotArea>
      <c:layout/>
      <c:pieChart>
        <c:varyColors val="1"/>
        <c:ser>
          <c:idx val="0"/>
          <c:order val="0"/>
          <c:tx>
            <c:strRef>
              <c:f>'[新建 XLS 工作表.xls]Sheet1'!$B$23:$B$24</c:f>
              <c:strCache>
                <c:ptCount val="1"/>
                <c:pt idx="0">
                  <c:v>2019年收入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1"/>
              <c:delete val="1"/>
            </c:dLbl>
            <c:dLbl>
              <c:idx val="2"/>
              <c:delete val="1"/>
            </c:dLbl>
            <c:dLbl>
              <c:idx val="3"/>
              <c:layout>
                <c:manualLayout>
                  <c:x val="0.0124432994877246"/>
                  <c:y val="0.0191341443379797"/>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25555555555556"/>
                      <c:h val="0.0993055555555555"/>
                    </c:manualLayout>
                  </c15:layout>
                </c:ext>
              </c:extLst>
            </c:dLbl>
            <c:dLbl>
              <c:idx val="4"/>
              <c:delete val="1"/>
            </c:dLbl>
            <c:dLbl>
              <c:idx val="5"/>
              <c:delete val="1"/>
            </c:dLbl>
            <c:dLbl>
              <c:idx val="6"/>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工作表.xls]Sheet1'!$A$25:$A$31</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'[新建 XLS 工作表.xls]Sheet1'!$B$25:$B$31</c:f>
              <c:numCache>
                <c:formatCode>General</c:formatCode>
                <c:ptCount val="7"/>
                <c:pt idx="0">
                  <c:v>117.78</c:v>
                </c:pt>
                <c:pt idx="1">
                  <c:v>0</c:v>
                </c:pt>
                <c:pt idx="2">
                  <c:v>0</c:v>
                </c:pt>
                <c:pt idx="3">
                  <c:v>4.65</c:v>
                </c:pt>
                <c:pt idx="4">
                  <c:v>0</c:v>
                </c:pt>
                <c:pt idx="5">
                  <c:v>0</c:v>
                </c:pt>
                <c:pt idx="6">
                  <c:v>0</c:v>
                </c:pt>
              </c:numCache>
            </c:numRef>
          </c:val>
        </c:ser>
        <c:ser>
          <c:idx val="1"/>
          <c:order val="1"/>
          <c:tx>
            <c:strRef>
              <c:f>'[新建 XLS 工作表.xls]Sheet1'!$C$23:$C$24</c:f>
              <c:strCache>
                <c:ptCount val="1"/>
                <c:pt idx="0">
                  <c:v>2019年收入 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工作表.xls]Sheet1'!$A$25:$A$31</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'[新建 XLS 工作表.xls]Sheet1'!$C$25:$C$31</c:f>
              <c:numCache>
                <c:formatCode>0%</c:formatCode>
                <c:ptCount val="7"/>
                <c:pt idx="0">
                  <c:v>0.962</c:v>
                </c:pt>
                <c:pt idx="1">
                  <c:v>0</c:v>
                </c:pt>
                <c:pt idx="2">
                  <c:v>0</c:v>
                </c:pt>
                <c:pt idx="3">
                  <c:v>0.038</c:v>
                </c:pt>
                <c:pt idx="4">
                  <c:v>0</c:v>
                </c:pt>
                <c:pt idx="5">
                  <c:v>0</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2019年支出 </a:t>
            </a:r>
          </a:p>
        </c:rich>
      </c:tx>
      <c:layout/>
      <c:overlay val="0"/>
      <c:spPr>
        <a:noFill/>
        <a:ln>
          <a:noFill/>
        </a:ln>
        <a:effectLst/>
      </c:spPr>
    </c:title>
    <c:autoTitleDeleted val="0"/>
    <c:plotArea>
      <c:layout/>
      <c:pieChart>
        <c:varyColors val="1"/>
        <c:ser>
          <c:idx val="0"/>
          <c:order val="0"/>
          <c:tx>
            <c:strRef>
              <c:f>'[新建 XLS 工作表.xls]Sheet1'!$B$47:$B$48</c:f>
              <c:strCache>
                <c:ptCount val="1"/>
                <c:pt idx="0">
                  <c:v>2019年支出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工作表.xls]Sheet1'!$A$49:$A$53</c:f>
              <c:strCache>
                <c:ptCount val="5"/>
                <c:pt idx="0">
                  <c:v>基本支出</c:v>
                </c:pt>
                <c:pt idx="1">
                  <c:v>项目支出</c:v>
                </c:pt>
                <c:pt idx="2">
                  <c:v>上缴上级支出</c:v>
                </c:pt>
                <c:pt idx="3">
                  <c:v>经营支出</c:v>
                </c:pt>
                <c:pt idx="4">
                  <c:v>对附属单位补助支出</c:v>
                </c:pt>
              </c:strCache>
            </c:strRef>
          </c:cat>
          <c:val>
            <c:numRef>
              <c:f>'[新建 XLS 工作表.xls]Sheet1'!$B$49:$B$53</c:f>
              <c:numCache>
                <c:formatCode>General</c:formatCode>
                <c:ptCount val="5"/>
                <c:pt idx="0">
                  <c:v>121.57</c:v>
                </c:pt>
                <c:pt idx="1">
                  <c:v>11.32</c:v>
                </c:pt>
                <c:pt idx="2">
                  <c:v>0</c:v>
                </c:pt>
                <c:pt idx="3">
                  <c:v>0</c:v>
                </c:pt>
                <c:pt idx="4">
                  <c:v>0</c:v>
                </c:pt>
              </c:numCache>
            </c:numRef>
          </c:val>
        </c:ser>
        <c:ser>
          <c:idx val="1"/>
          <c:order val="1"/>
          <c:tx>
            <c:strRef>
              <c:f>'[新建 XLS 工作表.xls]Sheet1'!$C$47:$C$48</c:f>
              <c:strCache>
                <c:ptCount val="1"/>
                <c:pt idx="0">
                  <c:v>2019年支出 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工作表.xls]Sheet1'!$A$49:$A$53</c:f>
              <c:strCache>
                <c:ptCount val="5"/>
                <c:pt idx="0">
                  <c:v>基本支出</c:v>
                </c:pt>
                <c:pt idx="1">
                  <c:v>项目支出</c:v>
                </c:pt>
                <c:pt idx="2">
                  <c:v>上缴上级支出</c:v>
                </c:pt>
                <c:pt idx="3">
                  <c:v>经营支出</c:v>
                </c:pt>
                <c:pt idx="4">
                  <c:v>对附属单位补助支出</c:v>
                </c:pt>
              </c:strCache>
            </c:strRef>
          </c:cat>
          <c:val>
            <c:numRef>
              <c:f>'[新建 XLS 工作表.xls]Sheet1'!$C$49:$C$53</c:f>
              <c:numCache>
                <c:formatCode>0.00%</c:formatCode>
                <c:ptCount val="5"/>
                <c:pt idx="0">
                  <c:v>0.914816765746106</c:v>
                </c:pt>
                <c:pt idx="1">
                  <c:v>0.0851832342538942</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	</a:t>
            </a:r>
          </a:p>
        </c:rich>
      </c:tx>
      <c:layout/>
      <c:overlay val="0"/>
      <c:spPr>
        <a:noFill/>
        <a:ln>
          <a:noFill/>
        </a:ln>
        <a:effectLst/>
      </c:spPr>
    </c:title>
    <c:autoTitleDeleted val="0"/>
    <c:plotArea>
      <c:layout/>
      <c:barChart>
        <c:barDir val="col"/>
        <c:grouping val="clustered"/>
        <c:varyColors val="0"/>
        <c:ser>
          <c:idx val="0"/>
          <c:order val="0"/>
          <c:tx>
            <c:strRef>
              <c:f>'[新建 XLS 工作表.xls]Sheet1'!$A$75</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'[新建 XLS 工作表.xls]Sheet1'!$B$73:$C$74</c:f>
              <c:multiLvlStrCache>
                <c:ptCount val="2"/>
                <c:lvl>
                  <c:pt idx="0">
                    <c:v>财政拨款收入</c:v>
                  </c:pt>
                  <c:pt idx="1">
                    <c:v>财政拨款支出</c:v>
                  </c:pt>
                </c:lvl>
                <c:lvl/>
              </c:multiLvlStrCache>
            </c:multiLvlStrRef>
          </c:cat>
          <c:val>
            <c:numRef>
              <c:f>'[新建 XLS 工作表.xls]Sheet1'!$B$75:$C$75</c:f>
              <c:numCache>
                <c:formatCode>#,##0.00</c:formatCode>
                <c:ptCount val="2"/>
                <c:pt idx="0">
                  <c:v>117.87</c:v>
                </c:pt>
                <c:pt idx="1">
                  <c:v>143.01</c:v>
                </c:pt>
              </c:numCache>
            </c:numRef>
          </c:val>
        </c:ser>
        <c:ser>
          <c:idx val="1"/>
          <c:order val="1"/>
          <c:tx>
            <c:strRef>
              <c:f>'[新建 XLS 工作表.xls]Sheet1'!$A$76</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'[新建 XLS 工作表.xls]Sheet1'!$B$73:$C$74</c:f>
              <c:multiLvlStrCache>
                <c:ptCount val="2"/>
                <c:lvl>
                  <c:pt idx="0">
                    <c:v>财政拨款收入</c:v>
                  </c:pt>
                  <c:pt idx="1">
                    <c:v>财政拨款支出</c:v>
                  </c:pt>
                </c:lvl>
                <c:lvl/>
              </c:multiLvlStrCache>
            </c:multiLvlStrRef>
          </c:cat>
          <c:val>
            <c:numRef>
              <c:f>'[新建 XLS 工作表.xls]Sheet1'!$B$76:$C$76</c:f>
              <c:numCache>
                <c:formatCode>#,##0.00</c:formatCode>
                <c:ptCount val="2"/>
                <c:pt idx="0">
                  <c:v>117.78</c:v>
                </c:pt>
                <c:pt idx="1">
                  <c:v>130.63</c:v>
                </c:pt>
              </c:numCache>
            </c:numRef>
          </c:val>
        </c:ser>
        <c:dLbls>
          <c:showLegendKey val="0"/>
          <c:showVal val="1"/>
          <c:showCatName val="0"/>
          <c:showSerName val="0"/>
          <c:showPercent val="0"/>
          <c:showBubbleSize val="0"/>
        </c:dLbls>
        <c:gapWidth val="219"/>
        <c:overlap val="-27"/>
        <c:axId val="76658560"/>
        <c:axId val="76660096"/>
      </c:barChart>
      <c:catAx>
        <c:axId val="766585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660096"/>
        <c:crosses val="autoZero"/>
        <c:auto val="1"/>
        <c:lblAlgn val="ctr"/>
        <c:lblOffset val="100"/>
        <c:noMultiLvlLbl val="0"/>
      </c:catAx>
      <c:valAx>
        <c:axId val="76660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6585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 </a:t>
            </a:r>
          </a:p>
        </c:rich>
      </c:tx>
      <c:layout>
        <c:manualLayout>
          <c:xMode val="edge"/>
          <c:yMode val="edge"/>
          <c:x val="0.118402777777778"/>
          <c:y val="0.0520833333333333"/>
        </c:manualLayout>
      </c:layout>
      <c:overlay val="0"/>
      <c:spPr>
        <a:noFill/>
        <a:ln>
          <a:noFill/>
        </a:ln>
        <a:effectLst/>
      </c:spPr>
    </c:title>
    <c:autoTitleDeleted val="0"/>
    <c:plotArea>
      <c:layout>
        <c:manualLayout>
          <c:layoutTarget val="inner"/>
          <c:xMode val="edge"/>
          <c:yMode val="edge"/>
          <c:x val="0.1105"/>
          <c:y val="0.247916666666667"/>
          <c:w val="0.863111111111111"/>
          <c:h val="0.633194444444445"/>
        </c:manualLayout>
      </c:layout>
      <c:barChart>
        <c:barDir val="col"/>
        <c:grouping val="clustered"/>
        <c:varyColors val="0"/>
        <c:ser>
          <c:idx val="0"/>
          <c:order val="0"/>
          <c:tx>
            <c:strRef>
              <c:f>'[新建 XLS 工作表.xls]Sheet1'!$B$98:$B$99</c:f>
              <c:strCache>
                <c:ptCount val="1"/>
                <c:pt idx="0">
                  <c:v>一般公共预算财政拨款支出决算变动情况 一般公共预算财政拨款支出决算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工作表.xls]Sheet1'!$A$100:$A$101</c:f>
              <c:strCache>
                <c:ptCount val="2"/>
                <c:pt idx="0">
                  <c:v>2018年</c:v>
                </c:pt>
                <c:pt idx="1">
                  <c:v>2019年</c:v>
                </c:pt>
              </c:strCache>
            </c:strRef>
          </c:cat>
          <c:val>
            <c:numRef>
              <c:f>'[新建 XLS 工作表.xls]Sheet1'!$B$100:$B$101</c:f>
              <c:numCache>
                <c:formatCode>#,##0.00</c:formatCode>
                <c:ptCount val="2"/>
                <c:pt idx="0">
                  <c:v>143.01</c:v>
                </c:pt>
                <c:pt idx="1">
                  <c:v>130.63</c:v>
                </c:pt>
              </c:numCache>
            </c:numRef>
          </c:val>
        </c:ser>
        <c:dLbls>
          <c:showLegendKey val="0"/>
          <c:showVal val="1"/>
          <c:showCatName val="0"/>
          <c:showSerName val="0"/>
          <c:showPercent val="0"/>
          <c:showBubbleSize val="0"/>
        </c:dLbls>
        <c:gapWidth val="219"/>
        <c:overlap val="-27"/>
        <c:axId val="78925184"/>
        <c:axId val="78939264"/>
      </c:barChart>
      <c:catAx>
        <c:axId val="789251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39264"/>
        <c:crosses val="autoZero"/>
        <c:auto val="1"/>
        <c:lblAlgn val="ctr"/>
        <c:lblOffset val="100"/>
        <c:noMultiLvlLbl val="0"/>
      </c:catAx>
      <c:valAx>
        <c:axId val="78939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2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a:t>
            </a:r>
            <a:r>
              <a:t>一般公共预算财政拨款支出决算结构 </a:t>
            </a:r>
          </a:p>
        </c:rich>
      </c:tx>
      <c:layout/>
      <c:overlay val="0"/>
      <c:spPr>
        <a:noFill/>
        <a:ln>
          <a:noFill/>
        </a:ln>
        <a:effectLst/>
      </c:spPr>
    </c:title>
    <c:autoTitleDeleted val="0"/>
    <c:plotArea>
      <c:layout/>
      <c:pieChart>
        <c:varyColors val="1"/>
        <c:ser>
          <c:idx val="0"/>
          <c:order val="0"/>
          <c:tx>
            <c:strRef>
              <c:f>'[新建 XLS 工作表.xls]Sheet1'!$B$122:$B$123</c:f>
              <c:strCache>
                <c:ptCount val="1"/>
                <c:pt idx="0">
                  <c:v>一般公共预算财政拨款支出决算结构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delete val="1"/>
            </c:dLbl>
            <c:dLbl>
              <c:idx val="1"/>
              <c:delete val="1"/>
            </c:dLbl>
            <c:dLbl>
              <c:idx val="2"/>
              <c:delete val="1"/>
            </c:dLbl>
            <c:dLbl>
              <c:idx val="3"/>
              <c:layout>
                <c:manualLayout>
                  <c:x val="0.00201422102658035"/>
                  <c:y val="-0.0072831177696740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43192194676955"/>
                  <c:y val="0.0048950301369111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工作表.xls]Sheet1'!$A$124:$A$129</c:f>
              <c:strCache>
                <c:ptCount val="6"/>
                <c:pt idx="0">
                  <c:v>一般公共服务</c:v>
                </c:pt>
                <c:pt idx="1">
                  <c:v>教育支出</c:v>
                </c:pt>
                <c:pt idx="2">
                  <c:v>科学技术</c:v>
                </c:pt>
                <c:pt idx="3">
                  <c:v>社会保障和就业</c:v>
                </c:pt>
                <c:pt idx="4">
                  <c:v>卫生健康支出</c:v>
                </c:pt>
                <c:pt idx="5">
                  <c:v>住房保障支出</c:v>
                </c:pt>
              </c:strCache>
            </c:strRef>
          </c:cat>
          <c:val>
            <c:numRef>
              <c:f>'[新建 XLS 工作表.xls]Sheet1'!$B$124:$B$129</c:f>
              <c:numCache>
                <c:formatCode>General</c:formatCode>
                <c:ptCount val="6"/>
                <c:pt idx="0">
                  <c:v>0</c:v>
                </c:pt>
                <c:pt idx="1">
                  <c:v>0</c:v>
                </c:pt>
                <c:pt idx="2">
                  <c:v>0</c:v>
                </c:pt>
                <c:pt idx="3">
                  <c:v>10.46</c:v>
                </c:pt>
                <c:pt idx="4">
                  <c:v>111.73</c:v>
                </c:pt>
                <c:pt idx="5">
                  <c:v>8.44</c:v>
                </c:pt>
              </c:numCache>
            </c:numRef>
          </c:val>
        </c:ser>
        <c:ser>
          <c:idx val="1"/>
          <c:order val="1"/>
          <c:tx>
            <c:strRef>
              <c:f>'[新建 XLS 工作表.xls]Sheet1'!$C$122:$C$123</c:f>
              <c:strCache>
                <c:ptCount val="1"/>
                <c:pt idx="0">
                  <c:v>一般公共预算财政拨款支出决算结构 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工作表.xls]Sheet1'!$A$124:$A$129</c:f>
              <c:strCache>
                <c:ptCount val="6"/>
                <c:pt idx="0">
                  <c:v>一般公共服务</c:v>
                </c:pt>
                <c:pt idx="1">
                  <c:v>教育支出</c:v>
                </c:pt>
                <c:pt idx="2">
                  <c:v>科学技术</c:v>
                </c:pt>
                <c:pt idx="3">
                  <c:v>社会保障和就业</c:v>
                </c:pt>
                <c:pt idx="4">
                  <c:v>卫生健康支出</c:v>
                </c:pt>
                <c:pt idx="5">
                  <c:v>住房保障支出</c:v>
                </c:pt>
              </c:strCache>
            </c:strRef>
          </c:cat>
          <c:val>
            <c:numRef>
              <c:f>'[新建 XLS 工作表.xls]Sheet1'!$C$124:$C$129</c:f>
              <c:numCache>
                <c:formatCode>0%</c:formatCode>
                <c:ptCount val="6"/>
                <c:pt idx="0">
                  <c:v>0</c:v>
                </c:pt>
                <c:pt idx="1">
                  <c:v>0</c:v>
                </c:pt>
                <c:pt idx="2">
                  <c:v>0</c:v>
                </c:pt>
                <c:pt idx="3">
                  <c:v>0.0801</c:v>
                </c:pt>
                <c:pt idx="4">
                  <c:v>0.8553</c:v>
                </c:pt>
                <c:pt idx="5">
                  <c:v>0.0646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2019年“三公”经费财政拨款支出结构 </a:t>
            </a:r>
          </a:p>
        </c:rich>
      </c:tx>
      <c:layout/>
      <c:overlay val="0"/>
      <c:spPr>
        <a:noFill/>
        <a:ln>
          <a:noFill/>
        </a:ln>
        <a:effectLst/>
      </c:spPr>
    </c:title>
    <c:autoTitleDeleted val="0"/>
    <c:plotArea>
      <c:layout/>
      <c:pieChart>
        <c:varyColors val="1"/>
        <c:ser>
          <c:idx val="0"/>
          <c:order val="0"/>
          <c:tx>
            <c:strRef>
              <c:f>'[新建 XLS 工作表.xls]Sheet1'!$B$148:$B$149</c:f>
              <c:strCache>
                <c:ptCount val="1"/>
                <c:pt idx="0">
                  <c:v>2019年“三公”经费财政拨款支出结构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工作表.xls]Sheet1'!$A$150:$A$152</c:f>
              <c:strCache>
                <c:ptCount val="3"/>
                <c:pt idx="0">
                  <c:v>因公出国（境）经费支出</c:v>
                </c:pt>
                <c:pt idx="1">
                  <c:v>公务用车购置及运行维护费支出</c:v>
                </c:pt>
                <c:pt idx="2">
                  <c:v>公务接待费支出</c:v>
                </c:pt>
              </c:strCache>
            </c:strRef>
          </c:cat>
          <c:val>
            <c:numRef>
              <c:f>'[新建 XLS 工作表.xls]Sheet1'!$B$150:$B$152</c:f>
              <c:numCache>
                <c:formatCode>General</c:formatCode>
                <c:ptCount val="3"/>
                <c:pt idx="0">
                  <c:v>0</c:v>
                </c:pt>
                <c:pt idx="1">
                  <c:v>0.41</c:v>
                </c:pt>
                <c:pt idx="2">
                  <c:v>0</c:v>
                </c:pt>
              </c:numCache>
            </c:numRef>
          </c:val>
        </c:ser>
        <c:ser>
          <c:idx val="1"/>
          <c:order val="1"/>
          <c:tx>
            <c:strRef>
              <c:f>'[新建 XLS 工作表.xls]Sheet1'!$C$148:$C$149</c:f>
              <c:strCache>
                <c:ptCount val="1"/>
                <c:pt idx="0">
                  <c:v>2019年“三公”经费财政拨款支出结构 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工作表.xls]Sheet1'!$A$150:$A$152</c:f>
              <c:strCache>
                <c:ptCount val="3"/>
                <c:pt idx="0">
                  <c:v>因公出国（境）经费支出</c:v>
                </c:pt>
                <c:pt idx="1">
                  <c:v>公务用车购置及运行维护费支出</c:v>
                </c:pt>
                <c:pt idx="2">
                  <c:v>公务接待费支出</c:v>
                </c:pt>
              </c:strCache>
            </c:strRef>
          </c:cat>
          <c:val>
            <c:numRef>
              <c:f>'[新建 XLS 工作表.xls]Sheet1'!$C$150:$C$152</c:f>
              <c:numCache>
                <c:formatCode>0%</c:formatCode>
                <c:ptCount val="3"/>
                <c:pt idx="0">
                  <c:v>0</c:v>
                </c:pt>
                <c:pt idx="1">
                  <c:v>1</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6138E4-F0C5-47CB-A8FF-9873FAEEEABC}">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7732</Words>
  <Characters>2705</Characters>
  <Lines>22</Lines>
  <Paragraphs>20</Paragraphs>
  <TotalTime>13</TotalTime>
  <ScaleCrop>false</ScaleCrop>
  <LinksUpToDate>false</LinksUpToDate>
  <CharactersWithSpaces>10417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2020-08-31T14:28:00Z</dcterms:created>
  <dc:creator>曹颖</dc:creator>
  <cp:lastModifiedBy>陶淑群 </cp:lastModifiedBy>
  <cp:lastPrinted>2020-07-23T02:58:00Z</cp:lastPrinted>
  <dcterms:modified xsi:type="dcterms:W3CDTF">2020-10-23T09:05:16Z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