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77" w:name="_GoBack"/>
      <w:bookmarkStart w:id="1" w:name="_Toc15377425"/>
      <w:bookmarkStart w:id="2" w:name="_Toc15396597"/>
      <w:bookmarkStart w:id="3" w:name="_Toc15378441"/>
      <w:bookmarkStart w:id="4" w:name="_Toc15377193"/>
      <w:bookmarkStart w:id="5" w:name="_Toc15396475"/>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8442"/>
      <w:bookmarkStart w:id="8" w:name="_Toc15396476"/>
      <w:bookmarkStart w:id="9" w:name="_Toc15396598"/>
      <w:bookmarkStart w:id="10" w:name="_Toc15377426"/>
      <w:r>
        <w:rPr>
          <w:rFonts w:hint="eastAsia" w:ascii="方正小标宋简体" w:hAnsi="宋体" w:eastAsia="方正小标宋简体"/>
          <w:color w:val="000000"/>
          <w:sz w:val="72"/>
          <w:szCs w:val="72"/>
        </w:rPr>
        <w:t>四川省阿坝州壤塘县</w:t>
      </w: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1" w:name="_Toc15306268"/>
      <w:r>
        <w:rPr>
          <w:rFonts w:hint="eastAsia" w:ascii="方正小标宋简体" w:hAnsi="宋体" w:eastAsia="方正小标宋简体"/>
          <w:color w:val="000000"/>
          <w:sz w:val="72"/>
          <w:szCs w:val="72"/>
        </w:rPr>
        <w:t>吾依乡卫生院部门决算</w:t>
      </w:r>
      <w:bookmarkEnd w:id="6"/>
      <w:bookmarkEnd w:id="7"/>
      <w:bookmarkEnd w:id="8"/>
      <w:bookmarkEnd w:id="9"/>
      <w:bookmarkEnd w:id="10"/>
      <w:bookmarkEnd w:id="11"/>
    </w:p>
    <w:bookmarkEnd w:id="77"/>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
      <w:pPr>
        <w:pStyle w:val="10"/>
        <w:adjustRightInd w:val="0"/>
        <w:snapToGrid w:val="0"/>
        <w:spacing w:before="0" w:line="440" w:lineRule="exact"/>
        <w:jc w:val="both"/>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1"/>
        <w:adjustRightInd w:val="0"/>
        <w:snapToGrid w:val="0"/>
        <w:spacing w:line="440" w:lineRule="exact"/>
        <w:jc w:val="both"/>
        <w:rPr>
          <w:rFonts w:hint="eastAsia" w:ascii="仿宋" w:hAnsi="仿宋" w:eastAsia="宋体"/>
          <w:sz w:val="24"/>
          <w:lang w:val="en-US" w:eastAsia="zh-CN"/>
        </w:rPr>
      </w:pPr>
      <w:r>
        <w:rPr>
          <w:rFonts w:hint="eastAsia"/>
          <w:sz w:val="24"/>
        </w:rPr>
        <w:t>一、基本职能及主要工作..................................................................</w:t>
      </w:r>
      <w:r>
        <w:rPr>
          <w:rFonts w:hint="eastAsia"/>
          <w:sz w:val="24"/>
          <w:lang w:val="en-US" w:eastAsia="zh-CN"/>
        </w:rPr>
        <w:t>.</w:t>
      </w:r>
      <w:r>
        <w:rPr>
          <w:rFonts w:hint="eastAsia"/>
          <w:sz w:val="24"/>
        </w:rPr>
        <w:t>..</w:t>
      </w:r>
      <w:r>
        <w:rPr>
          <w:rFonts w:hint="eastAsia"/>
          <w:sz w:val="24"/>
          <w:lang w:val="en-US" w:eastAsia="zh-CN"/>
        </w:rPr>
        <w:t>4</w:t>
      </w:r>
    </w:p>
    <w:p>
      <w:pPr>
        <w:pStyle w:val="11"/>
        <w:adjustRightInd w:val="0"/>
        <w:snapToGrid w:val="0"/>
        <w:spacing w:line="440" w:lineRule="exact"/>
        <w:jc w:val="both"/>
        <w:rPr>
          <w:rFonts w:hint="eastAsia" w:ascii="仿宋" w:hAnsi="仿宋" w:eastAsia="宋体" w:cstheme="minorBidi"/>
          <w:sz w:val="24"/>
          <w:lang w:val="en-US" w:eastAsia="zh-CN"/>
        </w:rPr>
      </w:pPr>
      <w:r>
        <w:rPr>
          <w:rFonts w:hint="eastAsia"/>
          <w:sz w:val="24"/>
        </w:rPr>
        <w:t>二、机构设置......................................................................................</w:t>
      </w:r>
      <w:r>
        <w:rPr>
          <w:rFonts w:hint="eastAsia"/>
          <w:sz w:val="24"/>
          <w:lang w:val="en-US" w:eastAsia="zh-CN"/>
        </w:rPr>
        <w:t>.</w:t>
      </w:r>
      <w:r>
        <w:rPr>
          <w:rFonts w:hint="eastAsia"/>
          <w:sz w:val="24"/>
        </w:rPr>
        <w:t>..</w:t>
      </w:r>
      <w:r>
        <w:rPr>
          <w:rFonts w:hint="eastAsia"/>
          <w:sz w:val="24"/>
          <w:lang w:val="en-US" w:eastAsia="zh-CN"/>
        </w:rPr>
        <w:t>8</w:t>
      </w:r>
    </w:p>
    <w:p>
      <w:pPr>
        <w:pStyle w:val="10"/>
        <w:adjustRightInd w:val="0"/>
        <w:snapToGrid w:val="0"/>
        <w:spacing w:before="0" w:line="440" w:lineRule="exact"/>
        <w:jc w:val="both"/>
        <w:rPr>
          <w:rFonts w:hint="default" w:eastAsia="仿宋"/>
          <w:sz w:val="24"/>
          <w:szCs w:val="24"/>
          <w:lang w:val="en-US" w:eastAsia="zh-CN"/>
        </w:rPr>
      </w:pPr>
      <w:r>
        <w:rPr>
          <w:rFonts w:hint="eastAsia"/>
          <w:sz w:val="24"/>
        </w:rPr>
        <w:t>第二部分度部门决算情况说明..................................</w:t>
      </w:r>
      <w:r>
        <w:rPr>
          <w:rFonts w:hint="eastAsia"/>
          <w:sz w:val="24"/>
          <w:lang w:val="en-US" w:eastAsia="zh-CN"/>
        </w:rPr>
        <w:t>10</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w:t>
      </w:r>
      <w:r>
        <w:rPr>
          <w:rFonts w:hint="eastAsia"/>
          <w:sz w:val="24"/>
        </w:rPr>
        <w:t>..</w:t>
      </w:r>
      <w:r>
        <w:rPr>
          <w:rFonts w:hint="eastAsia"/>
          <w:sz w:val="24"/>
          <w:lang w:val="en-US" w:eastAsia="zh-CN"/>
        </w:rPr>
        <w:t>10</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w:t>
      </w:r>
      <w:r>
        <w:rPr>
          <w:rFonts w:hint="eastAsia"/>
          <w:sz w:val="24"/>
        </w:rPr>
        <w:t>...</w:t>
      </w:r>
      <w:r>
        <w:rPr>
          <w:rFonts w:hint="eastAsia"/>
          <w:sz w:val="24"/>
          <w:lang w:val="en-US" w:eastAsia="zh-CN"/>
        </w:rPr>
        <w:t>10</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w:t>
      </w:r>
      <w:r>
        <w:rPr>
          <w:rFonts w:hint="eastAsia"/>
          <w:sz w:val="24"/>
        </w:rPr>
        <w:t>..</w:t>
      </w:r>
      <w:r>
        <w:rPr>
          <w:rFonts w:hint="eastAsia"/>
          <w:sz w:val="24"/>
          <w:lang w:val="en-US" w:eastAsia="zh-CN"/>
        </w:rPr>
        <w:t>11</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12</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12</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15</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15</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17</w:t>
      </w:r>
    </w:p>
    <w:p>
      <w:pPr>
        <w:pStyle w:val="11"/>
        <w:adjustRightInd w:val="0"/>
        <w:snapToGrid w:val="0"/>
        <w:spacing w:line="440" w:lineRule="exact"/>
        <w:ind w:leftChars="0"/>
        <w:jc w:val="both"/>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17</w:t>
      </w:r>
    </w:p>
    <w:p>
      <w:pPr>
        <w:adjustRightInd w:val="0"/>
        <w:snapToGrid w:val="0"/>
        <w:spacing w:line="440" w:lineRule="exact"/>
        <w:ind w:firstLine="480" w:firstLineChars="200"/>
        <w:jc w:val="both"/>
        <w:rPr>
          <w:rFonts w:ascii="仿宋" w:hAnsi="仿宋" w:eastAsia="仿宋" w:cstheme="minorBidi"/>
          <w:sz w:val="24"/>
        </w:rPr>
      </w:pPr>
      <w:r>
        <w:rPr>
          <w:rStyle w:val="14"/>
          <w:rFonts w:hint="eastAsia" w:ascii="仿宋" w:hAnsi="仿宋" w:eastAsia="仿宋"/>
          <w:color w:val="000000" w:themeColor="text1"/>
          <w:sz w:val="24"/>
          <w:u w:val="none"/>
        </w:rPr>
        <w:t>十、</w:t>
      </w:r>
      <w:r>
        <w:rPr>
          <w:rFonts w:hint="eastAsia"/>
          <w:sz w:val="24"/>
        </w:rPr>
        <w:t>其他重要事项的情况说明............................................................</w:t>
      </w:r>
      <w:r>
        <w:rPr>
          <w:rFonts w:hint="eastAsia"/>
          <w:sz w:val="24"/>
          <w:lang w:val="en-US" w:eastAsia="zh-CN"/>
        </w:rPr>
        <w:t>17</w:t>
      </w:r>
      <w:r>
        <w:rPr>
          <w:rFonts w:ascii="仿宋" w:hAnsi="仿宋" w:eastAsia="仿宋"/>
          <w:sz w:val="24"/>
        </w:rPr>
        <w:tab/>
      </w:r>
    </w:p>
    <w:p>
      <w:pPr>
        <w:pStyle w:val="10"/>
        <w:adjustRightInd w:val="0"/>
        <w:snapToGrid w:val="0"/>
        <w:spacing w:before="0" w:line="440" w:lineRule="exact"/>
        <w:jc w:val="both"/>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cstheme="minorBidi"/>
          <w:sz w:val="24"/>
          <w:szCs w:val="24"/>
        </w:rPr>
        <w:t>...........................................</w:t>
      </w:r>
      <w:r>
        <w:rPr>
          <w:rFonts w:hint="eastAsia" w:cstheme="minorBidi"/>
          <w:sz w:val="24"/>
          <w:szCs w:val="24"/>
          <w:lang w:val="en-US" w:eastAsia="zh-CN"/>
        </w:rPr>
        <w:t>21</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sz w:val="24"/>
        </w:rPr>
        <w:t>附件</w:t>
      </w:r>
      <w:r>
        <w:rPr>
          <w:sz w:val="24"/>
        </w:rPr>
        <w:t>1</w:t>
      </w:r>
      <w:r>
        <w:rPr>
          <w:rFonts w:hint="eastAsia"/>
          <w:sz w:val="24"/>
        </w:rPr>
        <w:t>.....................................................................................................</w:t>
      </w:r>
      <w:r>
        <w:rPr>
          <w:rFonts w:hint="eastAsia"/>
          <w:sz w:val="24"/>
          <w:lang w:val="en-US" w:eastAsia="zh-CN"/>
        </w:rPr>
        <w:t>24</w:t>
      </w:r>
    </w:p>
    <w:p>
      <w:pPr>
        <w:pStyle w:val="10"/>
        <w:adjustRightInd w:val="0"/>
        <w:snapToGrid w:val="0"/>
        <w:spacing w:before="0" w:line="440" w:lineRule="exact"/>
        <w:jc w:val="both"/>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27</w:t>
      </w:r>
    </w:p>
    <w:p>
      <w:pPr>
        <w:pStyle w:val="11"/>
        <w:adjustRightInd w:val="0"/>
        <w:snapToGrid w:val="0"/>
        <w:spacing w:line="440" w:lineRule="exact"/>
        <w:jc w:val="both"/>
        <w:rPr>
          <w:rFonts w:hint="eastAsia"/>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27</w:t>
      </w:r>
    </w:p>
    <w:p>
      <w:pPr>
        <w:pStyle w:val="11"/>
        <w:adjustRightInd w:val="0"/>
        <w:snapToGrid w:val="0"/>
        <w:spacing w:line="440" w:lineRule="exact"/>
        <w:jc w:val="both"/>
        <w:rPr>
          <w:rFonts w:hint="eastAsia"/>
          <w:sz w:val="24"/>
          <w:lang w:val="en-US" w:eastAsia="zh-CN"/>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四、</w:t>
      </w:r>
      <w:r>
        <w:rPr>
          <w:rFonts w:hint="eastAsia"/>
          <w:sz w:val="24"/>
        </w:rPr>
        <w:t>财政拨款收入支出决算总表.........................................................</w:t>
      </w:r>
      <w:r>
        <w:rPr>
          <w:rFonts w:hint="eastAsia"/>
          <w:sz w:val="24"/>
          <w:lang w:val="en-US" w:eastAsia="zh-CN"/>
        </w:rPr>
        <w:t>27</w:t>
      </w:r>
    </w:p>
    <w:p>
      <w:pPr>
        <w:pStyle w:val="11"/>
        <w:adjustRightInd w:val="0"/>
        <w:snapToGrid w:val="0"/>
        <w:spacing w:line="440" w:lineRule="exact"/>
        <w:jc w:val="both"/>
        <w:rPr>
          <w:rFonts w:hint="default" w:ascii="仿宋" w:hAnsi="仿宋" w:eastAsia="仿宋"/>
          <w:sz w:val="24"/>
          <w:lang w:val="en-US" w:eastAsia="zh-CN"/>
        </w:rPr>
      </w:pPr>
      <w:r>
        <w:rPr>
          <w:rFonts w:hint="eastAsia" w:ascii="仿宋" w:hAnsi="仿宋" w:eastAsia="仿宋"/>
          <w:sz w:val="24"/>
        </w:rPr>
        <w:t>五、财政拨款支出决算明细表...............................</w:t>
      </w:r>
      <w:r>
        <w:rPr>
          <w:rFonts w:hint="eastAsia" w:ascii="仿宋" w:hAnsi="仿宋" w:eastAsia="仿宋"/>
          <w:sz w:val="24"/>
          <w:lang w:val="en-US" w:eastAsia="zh-CN"/>
        </w:rPr>
        <w:t>27</w:t>
      </w:r>
    </w:p>
    <w:p>
      <w:pPr>
        <w:pStyle w:val="11"/>
        <w:adjustRightInd w:val="0"/>
        <w:snapToGrid w:val="0"/>
        <w:spacing w:line="440" w:lineRule="exact"/>
        <w:jc w:val="both"/>
        <w:rPr>
          <w:rFonts w:hint="eastAsia"/>
          <w:sz w:val="24"/>
          <w:lang w:val="en-US" w:eastAsia="zh-CN"/>
        </w:rPr>
      </w:pPr>
      <w:r>
        <w:rPr>
          <w:rFonts w:hint="eastAsia" w:ascii="仿宋" w:hAnsi="仿宋" w:eastAsia="仿宋"/>
          <w:sz w:val="24"/>
        </w:rPr>
        <w:t>六、</w:t>
      </w:r>
      <w:r>
        <w:rPr>
          <w:rFonts w:hint="eastAsia"/>
          <w:sz w:val="24"/>
        </w:rPr>
        <w:t>一般公共预算财政拨款支出决算表..............................................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七、</w:t>
      </w:r>
      <w:r>
        <w:rPr>
          <w:rFonts w:hint="eastAsia"/>
          <w:sz w:val="24"/>
        </w:rPr>
        <w:t>一般公共预算财政拨款支出决算明细表......................................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八、</w:t>
      </w:r>
      <w:r>
        <w:rPr>
          <w:rFonts w:hint="eastAsia"/>
          <w:sz w:val="24"/>
        </w:rPr>
        <w:t>一般公共预算财政拨款基本支出决算表......................................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九、</w:t>
      </w:r>
      <w:r>
        <w:rPr>
          <w:rFonts w:hint="eastAsia"/>
          <w:sz w:val="24"/>
        </w:rPr>
        <w:t>一般公共预算财政拨款项目支出决算表......................................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w:t>
      </w:r>
      <w:r>
        <w:rPr>
          <w:rFonts w:hint="eastAsia"/>
          <w:sz w:val="24"/>
        </w:rPr>
        <w:t>一般公共预算财政拨款“三公”经费支出决算表...................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十一、</w:t>
      </w:r>
      <w:r>
        <w:rPr>
          <w:rFonts w:hint="eastAsia"/>
          <w:sz w:val="24"/>
        </w:rPr>
        <w:t>政府性基金预算财政拨款收入支出决算表...........................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十二、</w:t>
      </w:r>
      <w:r>
        <w:rPr>
          <w:rFonts w:hint="eastAsia"/>
          <w:sz w:val="24"/>
        </w:rPr>
        <w:t>政府性基金预算财政拨款“三公”经费支出决算表...........</w:t>
      </w:r>
      <w:r>
        <w:rPr>
          <w:rFonts w:hint="eastAsia"/>
          <w:sz w:val="24"/>
          <w:lang w:val="en-US" w:eastAsia="zh-CN"/>
        </w:rPr>
        <w:t>27</w:t>
      </w:r>
    </w:p>
    <w:p>
      <w:pPr>
        <w:pStyle w:val="11"/>
        <w:adjustRightInd w:val="0"/>
        <w:snapToGrid w:val="0"/>
        <w:spacing w:line="440" w:lineRule="exact"/>
        <w:jc w:val="both"/>
        <w:rPr>
          <w:rFonts w:hint="default" w:ascii="仿宋" w:hAnsi="仿宋" w:eastAsia="宋体" w:cstheme="minorBidi"/>
          <w:sz w:val="24"/>
          <w:lang w:val="en-US" w:eastAsia="zh-CN"/>
        </w:rPr>
      </w:pPr>
      <w:r>
        <w:rPr>
          <w:rFonts w:hint="eastAsia" w:ascii="仿宋" w:hAnsi="仿宋" w:eastAsia="仿宋"/>
          <w:sz w:val="24"/>
        </w:rPr>
        <w:t>十三、</w:t>
      </w:r>
      <w:r>
        <w:rPr>
          <w:rFonts w:hint="eastAsia"/>
          <w:sz w:val="24"/>
        </w:rPr>
        <w:t>国有资本经营预算支出决算表...............................................</w:t>
      </w:r>
      <w:r>
        <w:rPr>
          <w:rFonts w:hint="eastAsia"/>
          <w:sz w:val="24"/>
          <w:lang w:val="en-US" w:eastAsia="zh-CN"/>
        </w:rPr>
        <w:t>27</w:t>
      </w:r>
    </w:p>
    <w:p>
      <w:pPr>
        <w:widowControl/>
        <w:spacing w:line="440" w:lineRule="exact"/>
        <w:jc w:val="both"/>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ind w:firstLine="800" w:firstLineChars="250"/>
        <w:rPr>
          <w:rFonts w:ascii="仿宋" w:hAnsi="仿宋" w:eastAsia="仿宋"/>
          <w:sz w:val="32"/>
          <w:szCs w:val="32"/>
        </w:rPr>
      </w:pPr>
      <w:bookmarkStart w:id="16" w:name="_Toc15377198"/>
      <w:bookmarkStart w:id="17" w:name="_Toc15378445"/>
      <w:r>
        <w:rPr>
          <w:rFonts w:hint="eastAsia" w:ascii="仿宋" w:hAnsi="仿宋" w:eastAsia="仿宋"/>
          <w:sz w:val="32"/>
          <w:szCs w:val="32"/>
        </w:rPr>
        <w:t>（一）主要职能。（职能参照省政府批准的三定方案）</w:t>
      </w:r>
      <w:bookmarkEnd w:id="16"/>
      <w:bookmarkEnd w:id="17"/>
    </w:p>
    <w:p>
      <w:pPr>
        <w:ind w:firstLine="800" w:firstLineChars="250"/>
        <w:rPr>
          <w:rFonts w:ascii="仿宋" w:hAnsi="仿宋" w:eastAsia="仿宋"/>
          <w:sz w:val="32"/>
          <w:szCs w:val="32"/>
        </w:rPr>
      </w:pPr>
      <w:r>
        <w:rPr>
          <w:rFonts w:hint="eastAsia" w:ascii="仿宋" w:hAnsi="仿宋" w:eastAsia="仿宋"/>
          <w:sz w:val="32"/>
          <w:szCs w:val="32"/>
        </w:rPr>
        <w:t>（1）贯彻执行党中央、国务院及省市县有关医药卫生方面的路线、方针、政策和国家的法律法规，开展以现代医药技术为主的疾病防治、保健和相关技术服务。</w:t>
      </w:r>
    </w:p>
    <w:p>
      <w:pPr>
        <w:ind w:firstLine="800" w:firstLineChars="250"/>
        <w:rPr>
          <w:rFonts w:ascii="仿宋" w:hAnsi="仿宋" w:eastAsia="仿宋"/>
          <w:sz w:val="32"/>
          <w:szCs w:val="32"/>
        </w:rPr>
      </w:pPr>
      <w:r>
        <w:rPr>
          <w:rFonts w:hint="eastAsia" w:ascii="仿宋" w:hAnsi="仿宋" w:eastAsia="仿宋"/>
          <w:sz w:val="32"/>
          <w:szCs w:val="32"/>
        </w:rPr>
        <w:t>（2）负责在县卫健局领导、协调下开展对重大疾病、流行病、传染病及突发公共卫生事件进行预防控制工作，配合有关部门参与对上述重大事件实施防控与干预，以及按规定报告传染病疫情信息。</w:t>
      </w:r>
    </w:p>
    <w:p>
      <w:pPr>
        <w:ind w:firstLine="800" w:firstLineChars="250"/>
        <w:rPr>
          <w:rFonts w:ascii="仿宋" w:hAnsi="仿宋" w:eastAsia="仿宋"/>
          <w:sz w:val="32"/>
          <w:szCs w:val="32"/>
        </w:rPr>
      </w:pPr>
      <w:r>
        <w:rPr>
          <w:rFonts w:hint="eastAsia" w:ascii="仿宋" w:hAnsi="仿宋" w:eastAsia="仿宋"/>
          <w:sz w:val="32"/>
          <w:szCs w:val="32"/>
        </w:rPr>
        <w:t>（3）参与我县各乡镇的应急、救灾等方面工作；</w:t>
      </w:r>
    </w:p>
    <w:p>
      <w:pPr>
        <w:ind w:firstLine="800" w:firstLineChars="250"/>
        <w:rPr>
          <w:rFonts w:ascii="仿宋" w:hAnsi="仿宋" w:eastAsia="仿宋"/>
          <w:sz w:val="32"/>
          <w:szCs w:val="32"/>
        </w:rPr>
      </w:pPr>
      <w:r>
        <w:rPr>
          <w:rFonts w:hint="eastAsia" w:ascii="仿宋" w:hAnsi="仿宋" w:eastAsia="仿宋"/>
          <w:sz w:val="32"/>
          <w:szCs w:val="32"/>
        </w:rPr>
        <w:t>（4）负责我县各乡镇范围内群众的健康保健指导，对群众及职工进行健康检查，以及开展预防、保健知识的宣传和咨询工作。</w:t>
      </w:r>
    </w:p>
    <w:p>
      <w:pPr>
        <w:ind w:firstLine="800" w:firstLineChars="250"/>
        <w:rPr>
          <w:rFonts w:ascii="仿宋" w:hAnsi="仿宋" w:eastAsia="仿宋"/>
          <w:sz w:val="32"/>
          <w:szCs w:val="32"/>
        </w:rPr>
      </w:pPr>
      <w:r>
        <w:rPr>
          <w:rFonts w:hint="eastAsia" w:ascii="仿宋" w:hAnsi="仿宋" w:eastAsia="仿宋"/>
          <w:sz w:val="32"/>
          <w:szCs w:val="32"/>
        </w:rPr>
        <w:t>（5）负责各乡镇基层乡村卫生工作者的业务培训。</w:t>
      </w:r>
    </w:p>
    <w:p>
      <w:pPr>
        <w:ind w:firstLine="800" w:firstLineChars="250"/>
        <w:rPr>
          <w:rFonts w:ascii="仿宋" w:hAnsi="仿宋" w:eastAsia="仿宋"/>
          <w:sz w:val="32"/>
          <w:szCs w:val="32"/>
        </w:rPr>
      </w:pPr>
      <w:r>
        <w:rPr>
          <w:rFonts w:hint="eastAsia" w:ascii="仿宋" w:hAnsi="仿宋" w:eastAsia="仿宋"/>
          <w:sz w:val="32"/>
          <w:szCs w:val="32"/>
        </w:rPr>
        <w:t>（6）承办县卫健局和上级业务部门交办的其他事。</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18"/>
      <w:bookmarkEnd w:id="19"/>
      <w:bookmarkStart w:id="20" w:name="_Toc15377200"/>
      <w:bookmarkStart w:id="21" w:name="_Toc15396601"/>
    </w:p>
    <w:p>
      <w:pPr>
        <w:ind w:firstLine="800" w:firstLineChars="250"/>
        <w:rPr>
          <w:rFonts w:hint="eastAsia" w:ascii="仿宋" w:hAnsi="仿宋" w:eastAsia="仿宋"/>
          <w:sz w:val="32"/>
          <w:szCs w:val="32"/>
        </w:rPr>
      </w:pPr>
      <w:r>
        <w:rPr>
          <w:rFonts w:hint="eastAsia" w:ascii="仿宋" w:hAnsi="仿宋" w:eastAsia="仿宋"/>
          <w:sz w:val="32"/>
          <w:szCs w:val="32"/>
        </w:rPr>
        <w:t>吾依乡卫生院在上级单位的领导下，全院职工团结务实，积极开展了临床医疗卫生和公共卫生服务等各项工作，按照年初既定的目标，各项工作任务逐步有序推进，取得了一定的成绩。如下：</w:t>
      </w:r>
    </w:p>
    <w:p>
      <w:pPr>
        <w:ind w:firstLine="800" w:firstLineChars="250"/>
        <w:rPr>
          <w:rFonts w:hint="eastAsia" w:ascii="仿宋" w:hAnsi="仿宋" w:eastAsia="仿宋"/>
          <w:sz w:val="32"/>
          <w:szCs w:val="32"/>
        </w:rPr>
      </w:pPr>
      <w:r>
        <w:rPr>
          <w:rFonts w:hint="eastAsia" w:ascii="仿宋" w:hAnsi="仿宋" w:eastAsia="仿宋"/>
          <w:sz w:val="32"/>
          <w:szCs w:val="32"/>
        </w:rPr>
        <w:t>一、卫生扶贫工作</w:t>
      </w:r>
    </w:p>
    <w:p>
      <w:pPr>
        <w:ind w:firstLine="800" w:firstLineChars="250"/>
        <w:rPr>
          <w:rFonts w:hint="eastAsia" w:ascii="仿宋" w:hAnsi="仿宋" w:eastAsia="仿宋"/>
          <w:sz w:val="32"/>
          <w:szCs w:val="32"/>
        </w:rPr>
      </w:pPr>
      <w:r>
        <w:rPr>
          <w:rFonts w:hint="eastAsia" w:ascii="仿宋" w:hAnsi="仿宋" w:eastAsia="仿宋"/>
          <w:sz w:val="32"/>
          <w:szCs w:val="32"/>
        </w:rPr>
        <w:t>今年我乡脱贫村为修卡村，我院修卡村工作组同志多次沟通交流，结合上级文件要求制订出卫生扶贫实施方案，一是加强村医业务能力建设，利用乡卫生院内部培训平台，要求各村村医必须参与学习，进一步提升村医在常见病、多发病的诊治、基本公共卫生服务等方面的能力；二是重点抓好脱贫修卡村的重点人群（建档贫困户、老年人、0-6岁儿童、糖尿病高血压、重精患者）的建档与随访工作；三是对医院职工实行包村责任制，要求他们与工作组一道进村入户开展基本公共卫生服务工作。</w:t>
      </w:r>
    </w:p>
    <w:p>
      <w:pPr>
        <w:ind w:firstLine="800" w:firstLineChars="250"/>
        <w:rPr>
          <w:rFonts w:hint="eastAsia" w:ascii="仿宋" w:hAnsi="仿宋" w:eastAsia="仿宋"/>
          <w:sz w:val="32"/>
          <w:szCs w:val="32"/>
        </w:rPr>
      </w:pPr>
      <w:r>
        <w:rPr>
          <w:rFonts w:hint="eastAsia" w:ascii="仿宋" w:hAnsi="仿宋" w:eastAsia="仿宋"/>
          <w:sz w:val="32"/>
          <w:szCs w:val="32"/>
        </w:rPr>
        <w:t>二、临床业务工作</w:t>
      </w:r>
    </w:p>
    <w:p>
      <w:pPr>
        <w:ind w:firstLine="800" w:firstLineChars="250"/>
        <w:rPr>
          <w:rFonts w:hint="eastAsia" w:ascii="仿宋" w:hAnsi="仿宋" w:eastAsia="仿宋"/>
          <w:sz w:val="32"/>
          <w:szCs w:val="32"/>
        </w:rPr>
      </w:pPr>
      <w:r>
        <w:rPr>
          <w:rFonts w:hint="eastAsia" w:ascii="仿宋" w:hAnsi="仿宋" w:eastAsia="仿宋"/>
          <w:sz w:val="32"/>
          <w:szCs w:val="32"/>
        </w:rPr>
        <w:t>1、大力提升医务人员基本素质和业务能力一是在医院内部建立每周学习制度，要求每名医护人员结合分管工作制作课件，相互交流学习；二是邀请县疾控中心慢病科主任开展慢病防控专题讲座， 2月27日在吾依乡中心校开展春季流行病学知识宣讲；三是院内每周两次业务知识学习，从而切实提升我院医务人员临床业务水平。</w:t>
      </w:r>
    </w:p>
    <w:p>
      <w:pPr>
        <w:ind w:firstLine="800" w:firstLineChars="250"/>
        <w:rPr>
          <w:rFonts w:hint="eastAsia" w:ascii="仿宋" w:hAnsi="仿宋" w:eastAsia="仿宋"/>
          <w:sz w:val="32"/>
          <w:szCs w:val="32"/>
        </w:rPr>
      </w:pPr>
      <w:r>
        <w:rPr>
          <w:rFonts w:hint="eastAsia" w:ascii="仿宋" w:hAnsi="仿宋" w:eastAsia="仿宋"/>
          <w:sz w:val="32"/>
          <w:szCs w:val="32"/>
        </w:rPr>
        <w:t>2、临床诊治截止12月15日，共接诊门诊病人1900余例，住院病人0例，无医疗技术或责任事故发生。</w:t>
      </w:r>
    </w:p>
    <w:p>
      <w:pPr>
        <w:ind w:firstLine="800" w:firstLineChars="250"/>
        <w:rPr>
          <w:rFonts w:hint="eastAsia" w:ascii="仿宋" w:hAnsi="仿宋" w:eastAsia="仿宋"/>
          <w:sz w:val="32"/>
          <w:szCs w:val="32"/>
        </w:rPr>
      </w:pPr>
      <w:r>
        <w:rPr>
          <w:rFonts w:hint="eastAsia" w:ascii="仿宋" w:hAnsi="仿宋" w:eastAsia="仿宋"/>
          <w:sz w:val="32"/>
          <w:szCs w:val="32"/>
        </w:rPr>
        <w:t>三、基本公共卫生工作</w:t>
      </w:r>
    </w:p>
    <w:p>
      <w:pPr>
        <w:ind w:firstLine="800" w:firstLineChars="250"/>
        <w:rPr>
          <w:rFonts w:hint="eastAsia" w:ascii="仿宋" w:hAnsi="仿宋" w:eastAsia="仿宋"/>
          <w:sz w:val="32"/>
          <w:szCs w:val="32"/>
        </w:rPr>
      </w:pPr>
      <w:r>
        <w:rPr>
          <w:rFonts w:hint="eastAsia" w:ascii="仿宋" w:hAnsi="仿宋" w:eastAsia="仿宋"/>
          <w:sz w:val="32"/>
          <w:szCs w:val="32"/>
        </w:rPr>
        <w:t>1、居民健康档案截止12月15日，新建居民健康档案420份，体检545人。</w:t>
      </w:r>
    </w:p>
    <w:p>
      <w:pPr>
        <w:ind w:firstLine="800" w:firstLineChars="250"/>
        <w:rPr>
          <w:rFonts w:hint="eastAsia" w:ascii="仿宋" w:hAnsi="仿宋" w:eastAsia="仿宋"/>
          <w:sz w:val="32"/>
          <w:szCs w:val="32"/>
        </w:rPr>
      </w:pPr>
      <w:r>
        <w:rPr>
          <w:rFonts w:hint="eastAsia" w:ascii="仿宋" w:hAnsi="仿宋" w:eastAsia="仿宋"/>
          <w:sz w:val="32"/>
          <w:szCs w:val="32"/>
        </w:rPr>
        <w:t>2、健康教育一是设置健康宣传栏，在乡卫生院内部及村卫生室更换三期展板，每期三块，内容涉及糖尿病、高血压、艾滋病、包虫病、结核病、中医养生、精神病等方面的防治知识；二是依托各村工作组组织的农民夜校平台大力开展健康巡讲工作，3月18日至3月21日在吾依乡各村开展巡诊义诊，3月27日在修卡村开展艾滋病知识讲座及家庭医生家庭医生签约，4月11日在西西村，吾依村，卡龙村开展健康扶贫政策知识宣讲，共发放宣传资料150余份，受众群众150余人次，同时在吾依乡中心校于2月27日开展甲肝、结核病、流感、手足口病、腮腺炎等防治知识讲座取得了良好的效果，为控制传染病在学校蔓延奠定了基础。至12月15日分别在各村进行健康教育知识宣讲。</w:t>
      </w:r>
    </w:p>
    <w:p>
      <w:pPr>
        <w:ind w:firstLine="800" w:firstLineChars="250"/>
        <w:rPr>
          <w:rFonts w:hint="eastAsia" w:ascii="仿宋" w:hAnsi="仿宋" w:eastAsia="仿宋"/>
          <w:sz w:val="32"/>
          <w:szCs w:val="32"/>
        </w:rPr>
      </w:pPr>
      <w:r>
        <w:rPr>
          <w:rFonts w:hint="eastAsia" w:ascii="仿宋" w:hAnsi="仿宋" w:eastAsia="仿宋"/>
          <w:sz w:val="32"/>
          <w:szCs w:val="32"/>
        </w:rPr>
        <w:t>3、预防接种根据接种需求，5月对我院预防接种门诊进行了改建，进一步优化了服务流程，大力改善了接种服务条件，降低了接种安全风险。针对我乡一类疫苗接种率偏低的现状，我院采取一是加强一类疫苗知识宣传，提高适龄儿童主动接种率；二是结合居民健康体检工作，进村入户开展预防接种；三是每个月主动到辖区内托幼机构开展预防接种。截止目前共接种脊灰266人次、含麻130人次、乙肝153人次、百白破96人次、甲肝137人次、乙脑106人次、流脑132人次。</w:t>
      </w:r>
    </w:p>
    <w:p>
      <w:pPr>
        <w:ind w:firstLine="800" w:firstLineChars="250"/>
        <w:rPr>
          <w:rFonts w:hint="eastAsia" w:ascii="仿宋" w:hAnsi="仿宋" w:eastAsia="仿宋"/>
          <w:sz w:val="32"/>
          <w:szCs w:val="32"/>
        </w:rPr>
      </w:pPr>
      <w:r>
        <w:rPr>
          <w:rFonts w:hint="eastAsia" w:ascii="仿宋" w:hAnsi="仿宋" w:eastAsia="仿宋"/>
          <w:sz w:val="32"/>
          <w:szCs w:val="32"/>
        </w:rPr>
        <w:t>4、0-6岁儿童管理一是扎实开展新生儿访视工作，每月主动与县医院妇产科、县妇计中心联系，了解辖区新生儿出生情况，截止12月15日，我乡共出生名婴儿，按照要求对其开展新生儿访视以及满月健康管理；二是按要求对满月后的婴幼儿开展随访，对随访中发现的发育迟缓儿童免费发放营养包，截止目前共发放营养包2500袋。</w:t>
      </w:r>
    </w:p>
    <w:p>
      <w:pPr>
        <w:ind w:firstLine="800" w:firstLineChars="250"/>
        <w:rPr>
          <w:rFonts w:hint="eastAsia" w:ascii="仿宋" w:hAnsi="仿宋" w:eastAsia="仿宋"/>
          <w:sz w:val="32"/>
          <w:szCs w:val="32"/>
        </w:rPr>
      </w:pPr>
      <w:r>
        <w:rPr>
          <w:rFonts w:hint="eastAsia" w:ascii="仿宋" w:hAnsi="仿宋" w:eastAsia="仿宋"/>
          <w:sz w:val="32"/>
          <w:szCs w:val="32"/>
        </w:rPr>
        <w:t>5、孕产妇管理一是大力开展孕期卫生知识宣传工作；二是主动与驻村干部、村第一书记联系了解辖区内育龄妇女情况，争取第一时间开展产前检查并建档，指导其服用叶酸、注意孕期生活方式、加强营养等；三是要求其到县医院、县妇计中心进行分娩，全力杜绝家中分娩的情况发生。截止目前，我乡今年共管理25例孕产妇，按要求进行登记随访。</w:t>
      </w:r>
    </w:p>
    <w:p>
      <w:pPr>
        <w:ind w:firstLine="800" w:firstLineChars="250"/>
        <w:rPr>
          <w:rFonts w:hint="eastAsia" w:ascii="仿宋" w:hAnsi="仿宋" w:eastAsia="仿宋"/>
          <w:sz w:val="32"/>
          <w:szCs w:val="32"/>
        </w:rPr>
      </w:pPr>
      <w:r>
        <w:rPr>
          <w:rFonts w:hint="eastAsia" w:ascii="仿宋" w:hAnsi="仿宋" w:eastAsia="仿宋"/>
          <w:sz w:val="32"/>
          <w:szCs w:val="32"/>
        </w:rPr>
        <w:t>6、老年人健康服务管理目前登记在册的65岁以上老年人共278人，已对196人开展健康体检并进行相应的健康指导。</w:t>
      </w:r>
    </w:p>
    <w:p>
      <w:pPr>
        <w:ind w:firstLine="800" w:firstLineChars="250"/>
        <w:rPr>
          <w:rFonts w:hint="eastAsia" w:ascii="仿宋" w:hAnsi="仿宋" w:eastAsia="仿宋"/>
          <w:sz w:val="32"/>
          <w:szCs w:val="32"/>
        </w:rPr>
      </w:pPr>
      <w:r>
        <w:rPr>
          <w:rFonts w:hint="eastAsia" w:ascii="仿宋" w:hAnsi="仿宋" w:eastAsia="仿宋"/>
          <w:sz w:val="32"/>
          <w:szCs w:val="32"/>
        </w:rPr>
        <w:t>7、高血压患者健康管理目前我乡登记在册的高血压患者共176人，对其开展健康体检并进行分类干预。</w:t>
      </w:r>
    </w:p>
    <w:p>
      <w:pPr>
        <w:ind w:firstLine="800" w:firstLineChars="250"/>
        <w:rPr>
          <w:rFonts w:hint="eastAsia" w:ascii="仿宋" w:hAnsi="仿宋" w:eastAsia="仿宋"/>
          <w:sz w:val="32"/>
          <w:szCs w:val="32"/>
        </w:rPr>
      </w:pPr>
      <w:r>
        <w:rPr>
          <w:rFonts w:hint="eastAsia" w:ascii="仿宋" w:hAnsi="仿宋" w:eastAsia="仿宋"/>
          <w:sz w:val="32"/>
          <w:szCs w:val="32"/>
        </w:rPr>
        <w:t>8、糖尿病患者健康管理目前登记在册的糖尿病患者共11人，按要求对11人开展了健康体检、随访及分类干预。</w:t>
      </w:r>
    </w:p>
    <w:p>
      <w:pPr>
        <w:ind w:firstLine="800" w:firstLineChars="250"/>
        <w:rPr>
          <w:rFonts w:hint="eastAsia" w:ascii="仿宋" w:hAnsi="仿宋" w:eastAsia="仿宋"/>
          <w:sz w:val="32"/>
          <w:szCs w:val="32"/>
        </w:rPr>
      </w:pPr>
      <w:r>
        <w:rPr>
          <w:rFonts w:hint="eastAsia" w:ascii="仿宋" w:hAnsi="仿宋" w:eastAsia="仿宋"/>
          <w:sz w:val="32"/>
          <w:szCs w:val="32"/>
        </w:rPr>
        <w:t>9、严重精神障碍患者管理目前登记在册的严重精神障碍患者共13例，按要求对其中13例进行了分类干预。</w:t>
      </w:r>
    </w:p>
    <w:p>
      <w:pPr>
        <w:ind w:firstLine="800" w:firstLineChars="250"/>
        <w:rPr>
          <w:rFonts w:hint="eastAsia" w:ascii="仿宋" w:hAnsi="仿宋" w:eastAsia="仿宋"/>
          <w:sz w:val="32"/>
          <w:szCs w:val="32"/>
        </w:rPr>
      </w:pPr>
      <w:r>
        <w:rPr>
          <w:rFonts w:hint="eastAsia" w:ascii="仿宋" w:hAnsi="仿宋" w:eastAsia="仿宋"/>
          <w:sz w:val="32"/>
          <w:szCs w:val="32"/>
        </w:rPr>
        <w:t>10、肺结核患者健康管理 2019年12月新发肺结核患者13例，接到县疾控中心通知后，第一时间开展入户访视，指导其服药并告知家属做好防护及督导其按时服药。</w:t>
      </w:r>
    </w:p>
    <w:p>
      <w:pPr>
        <w:ind w:firstLine="800" w:firstLineChars="250"/>
        <w:rPr>
          <w:rFonts w:hint="eastAsia" w:ascii="仿宋" w:hAnsi="仿宋" w:eastAsia="仿宋"/>
          <w:sz w:val="32"/>
          <w:szCs w:val="32"/>
        </w:rPr>
      </w:pPr>
      <w:r>
        <w:rPr>
          <w:rFonts w:hint="eastAsia" w:ascii="仿宋" w:hAnsi="仿宋" w:eastAsia="仿宋"/>
          <w:sz w:val="32"/>
          <w:szCs w:val="32"/>
        </w:rPr>
        <w:t>11、中医药健康管理服务对辖区内196名65岁以上老年人开展中医养生知识宣传及中医体质辨识。</w:t>
      </w:r>
    </w:p>
    <w:p>
      <w:pPr>
        <w:ind w:firstLine="800" w:firstLineChars="250"/>
        <w:rPr>
          <w:rFonts w:hint="eastAsia" w:ascii="仿宋" w:hAnsi="仿宋" w:eastAsia="仿宋"/>
          <w:sz w:val="32"/>
          <w:szCs w:val="32"/>
        </w:rPr>
      </w:pPr>
      <w:r>
        <w:rPr>
          <w:rFonts w:hint="eastAsia" w:ascii="仿宋" w:hAnsi="仿宋" w:eastAsia="仿宋"/>
          <w:sz w:val="32"/>
          <w:szCs w:val="32"/>
        </w:rPr>
        <w:t>12、0-36个月儿童中医药健康管理对辖区内195名儿童开展中医药健康指导。</w:t>
      </w:r>
    </w:p>
    <w:p>
      <w:pPr>
        <w:ind w:firstLine="800" w:firstLineChars="250"/>
        <w:rPr>
          <w:rFonts w:hint="eastAsia" w:ascii="仿宋" w:hAnsi="仿宋" w:eastAsia="仿宋"/>
          <w:sz w:val="32"/>
          <w:szCs w:val="32"/>
        </w:rPr>
      </w:pPr>
      <w:r>
        <w:rPr>
          <w:rFonts w:hint="eastAsia" w:ascii="仿宋" w:hAnsi="仿宋" w:eastAsia="仿宋"/>
          <w:sz w:val="32"/>
          <w:szCs w:val="32"/>
        </w:rPr>
        <w:t>13、传染病及突发公共卫生事件报告和处理1-6月我院门诊及住院未发现传染病及疑似传染病患者。</w:t>
      </w:r>
    </w:p>
    <w:p>
      <w:pPr>
        <w:ind w:firstLine="800" w:firstLineChars="250"/>
        <w:rPr>
          <w:rFonts w:hint="eastAsia" w:ascii="仿宋" w:hAnsi="仿宋" w:eastAsia="仿宋"/>
          <w:sz w:val="32"/>
          <w:szCs w:val="32"/>
        </w:rPr>
      </w:pPr>
      <w:r>
        <w:rPr>
          <w:rFonts w:hint="eastAsia" w:ascii="仿宋" w:hAnsi="仿宋" w:eastAsia="仿宋"/>
          <w:sz w:val="32"/>
          <w:szCs w:val="32"/>
        </w:rPr>
        <w:t>14、卫生计生监督协管一是每月定期到托幼机构、学校开展食堂、寝室消毒检查；二是指定专人负责学校、托幼机构每日开展晨检工作，对有疑似传染病症状的学生及时就医并做好记录；三是指导学校建立健康教育宣传栏，及时开展季节性传染病的健康宣传。</w:t>
      </w:r>
    </w:p>
    <w:p>
      <w:pPr>
        <w:ind w:firstLine="800" w:firstLineChars="250"/>
        <w:rPr>
          <w:rFonts w:hint="eastAsia" w:ascii="仿宋" w:hAnsi="仿宋" w:eastAsia="仿宋"/>
          <w:sz w:val="32"/>
          <w:szCs w:val="32"/>
        </w:rPr>
      </w:pPr>
      <w:r>
        <w:rPr>
          <w:rFonts w:hint="eastAsia" w:ascii="仿宋" w:hAnsi="仿宋" w:eastAsia="仿宋"/>
          <w:sz w:val="32"/>
          <w:szCs w:val="32"/>
        </w:rPr>
        <w:t>四、卫生扶贫工作</w:t>
      </w:r>
    </w:p>
    <w:p>
      <w:pPr>
        <w:ind w:firstLine="800" w:firstLineChars="250"/>
        <w:rPr>
          <w:rFonts w:hint="eastAsia" w:ascii="仿宋" w:hAnsi="仿宋" w:eastAsia="仿宋"/>
          <w:sz w:val="32"/>
          <w:szCs w:val="32"/>
        </w:rPr>
      </w:pPr>
      <w:r>
        <w:rPr>
          <w:rFonts w:hint="eastAsia" w:ascii="仿宋" w:hAnsi="仿宋" w:eastAsia="仿宋"/>
          <w:sz w:val="32"/>
          <w:szCs w:val="32"/>
        </w:rPr>
        <w:t>1、贫困人群医疗救助扶持工作，对两年在县域外住院未报销卫生扶贫基金的进行兜底。</w:t>
      </w:r>
    </w:p>
    <w:p>
      <w:pPr>
        <w:ind w:firstLine="800" w:firstLineChars="250"/>
        <w:rPr>
          <w:rFonts w:hint="eastAsia" w:ascii="仿宋" w:hAnsi="仿宋" w:eastAsia="仿宋"/>
          <w:sz w:val="32"/>
          <w:szCs w:val="32"/>
        </w:rPr>
      </w:pPr>
      <w:r>
        <w:rPr>
          <w:rFonts w:hint="eastAsia" w:ascii="仿宋" w:hAnsi="仿宋" w:eastAsia="仿宋"/>
          <w:sz w:val="32"/>
          <w:szCs w:val="32"/>
        </w:rPr>
        <w:t>2、对贫困人群家庭医生签约且服务，健康体检。</w:t>
      </w:r>
    </w:p>
    <w:p>
      <w:pPr>
        <w:ind w:firstLine="800" w:firstLineChars="250"/>
        <w:rPr>
          <w:rFonts w:hint="eastAsia" w:ascii="仿宋" w:hAnsi="仿宋" w:eastAsia="仿宋"/>
          <w:sz w:val="32"/>
          <w:szCs w:val="32"/>
        </w:rPr>
      </w:pPr>
      <w:r>
        <w:rPr>
          <w:rFonts w:hint="eastAsia" w:ascii="仿宋" w:hAnsi="仿宋" w:eastAsia="仿宋"/>
          <w:sz w:val="32"/>
          <w:szCs w:val="32"/>
        </w:rPr>
        <w:t>3、进行每周两次的业务及技能知识学习，以提高医疗能力。</w:t>
      </w:r>
    </w:p>
    <w:p>
      <w:pPr>
        <w:rPr>
          <w:rStyle w:val="25"/>
          <w:rFonts w:ascii="黑体" w:hAnsi="黑体" w:eastAsia="黑体"/>
          <w:color w:val="0C0C0C" w:themeColor="text1" w:themeTint="F2"/>
        </w:rPr>
      </w:pPr>
      <w:r>
        <w:rPr>
          <w:rStyle w:val="25"/>
          <w:rFonts w:hint="eastAsia" w:ascii="黑体" w:hAnsi="黑体" w:eastAsia="黑体"/>
        </w:rPr>
        <w:t>二、机</w:t>
      </w:r>
      <w:r>
        <w:rPr>
          <w:rStyle w:val="25"/>
          <w:rFonts w:hint="eastAsia" w:ascii="黑体" w:hAnsi="黑体" w:eastAsia="黑体"/>
          <w:color w:val="0C0C0C" w:themeColor="text1" w:themeTint="F2"/>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吾依乡卫生院下属二级单位0个，其中行政单位0个，参照公务员法管理的事业单位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纳入吾依乡卫生院2019年度部门决算编制范围的二级预算单位包括：</w:t>
      </w:r>
      <w:bookmarkStart w:id="22" w:name="_Toc15306276"/>
      <w:bookmarkStart w:id="23" w:name="_Toc15377433"/>
      <w:bookmarkStart w:id="24" w:name="_Toc15378449"/>
      <w:bookmarkStart w:id="25" w:name="_Toc15377202"/>
      <w:r>
        <w:rPr>
          <w:rFonts w:hint="eastAsia" w:ascii="仿宋" w:hAnsi="仿宋" w:eastAsia="仿宋"/>
          <w:color w:val="000000"/>
          <w:sz w:val="32"/>
          <w:szCs w:val="32"/>
        </w:rPr>
        <w:t>无</w:t>
      </w:r>
      <w:bookmarkEnd w:id="22"/>
      <w:bookmarkEnd w:id="23"/>
      <w:bookmarkEnd w:id="24"/>
      <w:bookmarkEnd w:id="25"/>
      <w:r>
        <w:rPr>
          <w:rFonts w:ascii="仿宋" w:hAnsi="仿宋" w:eastAsia="仿宋"/>
          <w:color w:val="000000"/>
          <w:sz w:val="32"/>
          <w:szCs w:val="32"/>
        </w:rPr>
        <w:br w:type="page"/>
      </w:r>
    </w:p>
    <w:p>
      <w:pPr>
        <w:pStyle w:val="2"/>
        <w:ind w:right="440"/>
        <w:jc w:val="right"/>
        <w:rPr>
          <w:rStyle w:val="24"/>
          <w:rFonts w:ascii="黑体" w:hAnsi="黑体" w:eastAsia="黑体"/>
          <w:b w:val="0"/>
          <w:bCs w:val="0"/>
        </w:rPr>
      </w:pPr>
      <w:bookmarkStart w:id="26" w:name="_Toc15396602"/>
      <w:bookmarkStart w:id="27"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6"/>
      <w:bookmarkEnd w:id="27"/>
    </w:p>
    <w:p/>
    <w:p>
      <w:pPr>
        <w:pStyle w:val="23"/>
        <w:numPr>
          <w:ilvl w:val="0"/>
          <w:numId w:val="1"/>
        </w:numPr>
        <w:spacing w:line="600" w:lineRule="exact"/>
        <w:ind w:firstLineChars="0"/>
        <w:outlineLvl w:val="1"/>
        <w:rPr>
          <w:rStyle w:val="25"/>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2019年度收入总计138.67万元、支出总计146.80万元。与2018年相比，收入总计增加19.07万元，收入增长15.94%，主要变动原因是吾依乡卫生院事业收入即自身收入增加；支出总计增加6.97万元，支出增长4.98</w:t>
      </w:r>
      <w:r>
        <w:rPr>
          <w:rFonts w:ascii="仿宋" w:hAnsi="仿宋" w:eastAsia="仿宋"/>
          <w:color w:val="000000"/>
          <w:sz w:val="32"/>
          <w:szCs w:val="32"/>
        </w:rPr>
        <w:t>%</w:t>
      </w:r>
      <w:r>
        <w:rPr>
          <w:rFonts w:hint="eastAsia" w:ascii="仿宋" w:hAnsi="仿宋" w:eastAsia="仿宋"/>
          <w:color w:val="000000"/>
          <w:sz w:val="32"/>
          <w:szCs w:val="32"/>
        </w:rPr>
        <w:t>。主要变动原因是保险基数及住房公积金缴费基数上调。</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drawing>
          <wp:anchor distT="0" distB="0" distL="114300" distR="114300" simplePos="0" relativeHeight="251665408" behindDoc="1" locked="0" layoutInCell="1" allowOverlap="1">
            <wp:simplePos x="0" y="0"/>
            <wp:positionH relativeFrom="column">
              <wp:posOffset>361950</wp:posOffset>
            </wp:positionH>
            <wp:positionV relativeFrom="paragraph">
              <wp:posOffset>182245</wp:posOffset>
            </wp:positionV>
            <wp:extent cx="4572000" cy="2743200"/>
            <wp:effectExtent l="19050" t="0" r="19050" b="0"/>
            <wp:wrapTight wrapText="bothSides">
              <wp:wrapPolygon>
                <wp:start x="-90" y="0"/>
                <wp:lineTo x="-90" y="21600"/>
                <wp:lineTo x="21690" y="21600"/>
                <wp:lineTo x="21690" y="0"/>
                <wp:lineTo x="-90" y="0"/>
              </wp:wrapPolygon>
            </wp:wrapTight>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25"/>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9年本年收入合计138.67万元，其中：一般公共预算财政拨款收入128.46万元，占92.64</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；事业收入10.21万元，占7.36</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anchor distT="0" distB="0" distL="114300" distR="114300" simplePos="0" relativeHeight="251666432" behindDoc="1" locked="0" layoutInCell="1" allowOverlap="1">
            <wp:simplePos x="0" y="0"/>
            <wp:positionH relativeFrom="column">
              <wp:posOffset>152400</wp:posOffset>
            </wp:positionH>
            <wp:positionV relativeFrom="paragraph">
              <wp:posOffset>133350</wp:posOffset>
            </wp:positionV>
            <wp:extent cx="4572000" cy="2743200"/>
            <wp:effectExtent l="19050" t="0" r="19050" b="0"/>
            <wp:wrapTight wrapText="bothSides">
              <wp:wrapPolygon>
                <wp:start x="-90" y="0"/>
                <wp:lineTo x="-90" y="21600"/>
                <wp:lineTo x="21690" y="21600"/>
                <wp:lineTo x="21690" y="0"/>
                <wp:lineTo x="-90" y="0"/>
              </wp:wrapPolygon>
            </wp:wrapTight>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9年本年支出合计146.80万元，其中：基本支出131.74万元，占89.74%；项目支出15.05万元，占10.26%；上缴上级支出0万元，占0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rPr>
          <w:rFonts w:ascii="仿宋_GB2312" w:eastAsia="仿宋_GB2312"/>
          <w:color w:val="FF0000"/>
          <w:sz w:val="32"/>
          <w:szCs w:val="32"/>
        </w:rPr>
      </w:pPr>
      <w:r>
        <w:rPr>
          <w:rFonts w:ascii="仿宋_GB2312" w:eastAsia="仿宋_GB2312"/>
          <w:color w:val="FF0000"/>
          <w:sz w:val="32"/>
          <w:szCs w:val="32"/>
        </w:rPr>
        <w:drawing>
          <wp:anchor distT="0" distB="0" distL="114300" distR="114300" simplePos="0" relativeHeight="251667456" behindDoc="1" locked="0" layoutInCell="1" allowOverlap="1">
            <wp:simplePos x="0" y="0"/>
            <wp:positionH relativeFrom="column">
              <wp:posOffset>424815</wp:posOffset>
            </wp:positionH>
            <wp:positionV relativeFrom="paragraph">
              <wp:posOffset>396240</wp:posOffset>
            </wp:positionV>
            <wp:extent cx="4848225" cy="2319020"/>
            <wp:effectExtent l="4445" t="4445" r="5080" b="76835"/>
            <wp:wrapTight wrapText="bothSides">
              <wp:wrapPolygon>
                <wp:start x="-20" y="-41"/>
                <wp:lineTo x="-20" y="21428"/>
                <wp:lineTo x="21538" y="21428"/>
                <wp:lineTo x="21538" y="-41"/>
                <wp:lineTo x="-20" y="-41"/>
              </wp:wrapPolygon>
            </wp:wrapTight>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5"/>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9年财政拨款收入总计128.46万元、支出总计138.04万元。与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8年相比，财政拨款收入总计增加12.21万元，上升10.50</w:t>
      </w:r>
      <w:r>
        <w:rPr>
          <w:rFonts w:ascii="仿宋" w:hAnsi="仿宋" w:eastAsia="仿宋"/>
          <w:color w:val="000000"/>
          <w:sz w:val="32"/>
          <w:szCs w:val="32"/>
        </w:rPr>
        <w:t>%</w:t>
      </w:r>
      <w:r>
        <w:rPr>
          <w:rFonts w:hint="eastAsia" w:ascii="仿宋" w:hAnsi="仿宋" w:eastAsia="仿宋"/>
          <w:color w:val="000000"/>
          <w:sz w:val="32"/>
          <w:szCs w:val="32"/>
        </w:rPr>
        <w:t>，主要变动原因是由于养老保险单位部分收入纳入2019年财政拨款收入决算；支出总计减少0.53万元，下降0.38%，主要变动原因是由于人员保险单位缴费部分比例下降，人员经费下降。</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640"/>
        <w:rPr>
          <w:rFonts w:ascii="仿宋" w:hAnsi="仿宋" w:eastAsia="仿宋"/>
          <w:b/>
          <w:color w:val="00B050"/>
          <w:sz w:val="32"/>
          <w:szCs w:val="32"/>
        </w:rPr>
      </w:pPr>
      <w:r>
        <w:rPr>
          <w:rFonts w:ascii="仿宋" w:hAnsi="仿宋" w:eastAsia="仿宋"/>
          <w:b/>
          <w:color w:val="00B050"/>
          <w:sz w:val="32"/>
          <w:szCs w:val="32"/>
        </w:rPr>
        <w:drawing>
          <wp:anchor distT="0" distB="0" distL="114300" distR="114300" simplePos="0" relativeHeight="251668480" behindDoc="1" locked="0" layoutInCell="1" allowOverlap="1">
            <wp:simplePos x="0" y="0"/>
            <wp:positionH relativeFrom="column">
              <wp:posOffset>514350</wp:posOffset>
            </wp:positionH>
            <wp:positionV relativeFrom="paragraph">
              <wp:posOffset>142875</wp:posOffset>
            </wp:positionV>
            <wp:extent cx="4505325" cy="2695575"/>
            <wp:effectExtent l="19050" t="0" r="9525" b="0"/>
            <wp:wrapTight wrapText="bothSides">
              <wp:wrapPolygon>
                <wp:start x="-91" y="0"/>
                <wp:lineTo x="-91" y="21524"/>
                <wp:lineTo x="21646" y="21524"/>
                <wp:lineTo x="21646" y="0"/>
                <wp:lineTo x="-91" y="0"/>
              </wp:wrapPolygon>
            </wp:wrapTight>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5"/>
          <w:rFonts w:ascii="黑体" w:hAnsi="黑体" w:eastAsia="黑体"/>
          <w:b w:val="0"/>
        </w:rPr>
      </w:pPr>
      <w:bookmarkStart w:id="36" w:name="_Toc15396607"/>
      <w:bookmarkStart w:id="3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9年一般公共预算财政拨款支出138.04万元，占本年支出合计的94.03</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8年相比，一般公共预算财政拨款支出减少0.53万元，下降0.38</w:t>
      </w:r>
      <w:r>
        <w:rPr>
          <w:rFonts w:ascii="仿宋" w:hAnsi="仿宋" w:eastAsia="仿宋"/>
          <w:color w:val="000000"/>
          <w:sz w:val="32"/>
          <w:szCs w:val="32"/>
        </w:rPr>
        <w:t>%</w:t>
      </w:r>
      <w:r>
        <w:rPr>
          <w:rFonts w:hint="eastAsia" w:ascii="仿宋" w:hAnsi="仿宋" w:eastAsia="仿宋"/>
          <w:color w:val="000000"/>
          <w:sz w:val="32"/>
          <w:szCs w:val="32"/>
        </w:rPr>
        <w:t>。主要变动原因是人员保险等单位部分缴费比例下降。</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themeColor="text1"/>
          <w:sz w:val="32"/>
          <w:szCs w:val="32"/>
        </w:rPr>
        <w:drawing>
          <wp:anchor distT="0" distB="0" distL="114300" distR="114300" simplePos="0" relativeHeight="251669504" behindDoc="1" locked="0" layoutInCell="1" allowOverlap="1">
            <wp:simplePos x="0" y="0"/>
            <wp:positionH relativeFrom="column">
              <wp:posOffset>390525</wp:posOffset>
            </wp:positionH>
            <wp:positionV relativeFrom="paragraph">
              <wp:posOffset>66675</wp:posOffset>
            </wp:positionV>
            <wp:extent cx="4391025" cy="2638425"/>
            <wp:effectExtent l="19050" t="0" r="9525" b="0"/>
            <wp:wrapTight wrapText="bothSides">
              <wp:wrapPolygon>
                <wp:start x="-94" y="0"/>
                <wp:lineTo x="-94" y="21522"/>
                <wp:lineTo x="21647" y="21522"/>
                <wp:lineTo x="21647" y="0"/>
                <wp:lineTo x="-94" y="0"/>
              </wp:wrapPolygon>
            </wp:wrapTight>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政拨款支出138.04万元，主要用于以下方面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一般公共服务（201类）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教育支出（205类）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科学技术（206类）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社会保障和就业（208类）</w:t>
      </w:r>
      <w:r>
        <w:rPr>
          <w:rFonts w:hint="eastAsia" w:ascii="仿宋" w:hAnsi="仿宋" w:eastAsia="仿宋"/>
          <w:color w:val="000000" w:themeColor="text1"/>
          <w:sz w:val="32"/>
          <w:szCs w:val="32"/>
        </w:rPr>
        <w:t>支出15.61万元，占11.31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b/>
          <w:color w:val="000000" w:themeColor="text1"/>
          <w:sz w:val="32"/>
          <w:szCs w:val="32"/>
        </w:rPr>
        <w:t>（210类）</w:t>
      </w:r>
      <w:r>
        <w:rPr>
          <w:rFonts w:hint="eastAsia" w:ascii="仿宋" w:hAnsi="仿宋" w:eastAsia="仿宋"/>
          <w:color w:val="000000" w:themeColor="text1"/>
          <w:sz w:val="32"/>
          <w:szCs w:val="32"/>
        </w:rPr>
        <w:t>113.71万元，占82.37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b/>
          <w:color w:val="000000" w:themeColor="text1"/>
          <w:sz w:val="32"/>
          <w:szCs w:val="32"/>
        </w:rPr>
        <w:t>（221类）</w:t>
      </w:r>
      <w:r>
        <w:rPr>
          <w:rFonts w:hint="eastAsia" w:ascii="仿宋" w:hAnsi="仿宋" w:eastAsia="仿宋"/>
          <w:color w:val="000000" w:themeColor="text1"/>
          <w:sz w:val="32"/>
          <w:szCs w:val="32"/>
        </w:rPr>
        <w:t>8.72万元，占6.32</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300" distR="114300" simplePos="0" relativeHeight="251670528" behindDoc="1" locked="0" layoutInCell="1" allowOverlap="1">
            <wp:simplePos x="0" y="0"/>
            <wp:positionH relativeFrom="column">
              <wp:posOffset>657225</wp:posOffset>
            </wp:positionH>
            <wp:positionV relativeFrom="paragraph">
              <wp:posOffset>495300</wp:posOffset>
            </wp:positionV>
            <wp:extent cx="4572000" cy="2743200"/>
            <wp:effectExtent l="19050" t="0" r="19050" b="0"/>
            <wp:wrapTight wrapText="bothSides">
              <wp:wrapPolygon>
                <wp:start x="-90" y="0"/>
                <wp:lineTo x="-90" y="21600"/>
                <wp:lineTo x="21690" y="21600"/>
                <wp:lineTo x="21690" y="0"/>
                <wp:lineTo x="-90" y="0"/>
              </wp:wrapPolygon>
            </wp:wrapTight>
            <wp:docPr id="1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7444"/>
      <w:bookmarkStart w:id="43" w:name="_Toc15378460"/>
      <w:r>
        <w:rPr>
          <w:rFonts w:hint="eastAsia" w:ascii="仿宋" w:hAnsi="仿宋" w:eastAsia="仿宋"/>
          <w:b/>
          <w:color w:val="000000" w:themeColor="text1"/>
          <w:sz w:val="32"/>
          <w:szCs w:val="32"/>
        </w:rPr>
        <w:t>2019年一般公共预算支出决算数为138.04</w:t>
      </w:r>
      <w:r>
        <w:rPr>
          <w:rFonts w:hint="eastAsia" w:ascii="仿宋" w:hAnsi="仿宋" w:eastAsia="仿宋"/>
          <w:color w:val="000000" w:themeColor="text1"/>
          <w:sz w:val="32"/>
          <w:szCs w:val="32"/>
        </w:rPr>
        <w:t>，</w:t>
      </w:r>
      <w:r>
        <w:rPr>
          <w:rStyle w:val="13"/>
          <w:rFonts w:hint="eastAsia" w:ascii="仿宋" w:hAnsi="仿宋" w:eastAsia="仿宋"/>
          <w:bCs/>
          <w:color w:val="000000" w:themeColor="text1"/>
          <w:sz w:val="32"/>
          <w:szCs w:val="32"/>
        </w:rPr>
        <w:t>完成</w:t>
      </w:r>
      <w:r>
        <w:rPr>
          <w:rStyle w:val="13"/>
          <w:rFonts w:hint="eastAsia" w:ascii="仿宋" w:hAnsi="仿宋" w:eastAsia="仿宋"/>
          <w:bCs/>
          <w:color w:val="000000"/>
          <w:sz w:val="32"/>
          <w:szCs w:val="32"/>
        </w:rPr>
        <w:t>预算122.43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41"/>
      <w:bookmarkEnd w:id="42"/>
      <w:bookmarkEnd w:id="43"/>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1</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社会保障和就业（208类）05（款）05（项）机关事业单位基本养老保险缴费支出</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支出决算为10.72万元，完成预算85.55</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，决算数小于预算数的主要原因是养老保险单位缴费比例下调。</w:t>
      </w:r>
    </w:p>
    <w:p>
      <w:pPr>
        <w:spacing w:line="600" w:lineRule="exact"/>
        <w:ind w:firstLine="643" w:firstLineChars="200"/>
        <w:rPr>
          <w:rStyle w:val="13"/>
          <w:rFonts w:ascii="仿宋" w:hAnsi="仿宋" w:eastAsia="仿宋"/>
          <w:bCs/>
          <w:color w:val="000000"/>
          <w:sz w:val="32"/>
          <w:szCs w:val="32"/>
        </w:rPr>
      </w:pPr>
      <w:r>
        <w:rPr>
          <w:rStyle w:val="13"/>
          <w:rFonts w:hint="eastAsia" w:ascii="仿宋" w:hAnsi="仿宋" w:eastAsia="仿宋"/>
          <w:bCs/>
          <w:color w:val="000000"/>
          <w:sz w:val="32"/>
          <w:szCs w:val="32"/>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社会保障和就业208（类）05（款）06（项）机关事业单位职业年金缴费支出</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支出决算为4.89万元，完成预算97.60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，决算数小于预算数的主要原因是保险单位缴费部分比例下调。</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3.卫生健康支出210（类）03（款）02（项）乡镇卫生院</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支出决算为94.45万元，完成预算118.60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，决算数大于预算数的主要原因是在职人员工资晋级、变动。</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4.</w:t>
      </w:r>
      <w:r>
        <w:rPr>
          <w:rStyle w:val="13"/>
          <w:rFonts w:hint="eastAsia" w:ascii="仿宋" w:hAnsi="仿宋" w:eastAsia="仿宋"/>
          <w:bCs/>
          <w:color w:val="000000"/>
          <w:sz w:val="32"/>
          <w:szCs w:val="32"/>
        </w:rPr>
        <w:t>卫生健康支出210（类）04（款）08（项）基本公共卫生服务</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支出决算为15.05万元，决算数大于预算数的主要原因是项目增加。</w:t>
      </w:r>
    </w:p>
    <w:p>
      <w:pPr>
        <w:spacing w:line="600" w:lineRule="exact"/>
        <w:ind w:firstLine="640" w:firstLineChars="200"/>
        <w:rPr>
          <w:rFonts w:ascii="仿宋" w:hAnsi="仿宋" w:eastAsia="仿宋"/>
          <w:b/>
          <w:color w:val="000000"/>
          <w:sz w:val="32"/>
          <w:szCs w:val="32"/>
        </w:rPr>
      </w:pPr>
      <w:r>
        <w:rPr>
          <w:rStyle w:val="13"/>
          <w:rFonts w:hint="eastAsia" w:ascii="仿宋" w:hAnsi="仿宋" w:eastAsia="仿宋"/>
          <w:b w:val="0"/>
          <w:bCs/>
          <w:color w:val="000000"/>
          <w:sz w:val="32"/>
          <w:szCs w:val="32"/>
        </w:rPr>
        <w:t>5.</w:t>
      </w:r>
      <w:r>
        <w:rPr>
          <w:rStyle w:val="13"/>
          <w:rFonts w:hint="eastAsia" w:ascii="仿宋" w:hAnsi="仿宋" w:eastAsia="仿宋"/>
          <w:bCs/>
          <w:color w:val="000000"/>
          <w:sz w:val="32"/>
          <w:szCs w:val="32"/>
        </w:rPr>
        <w:t>卫生健康支出210（类）11（款）02（项）事业单位医疗</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支出决算为4.21万元，完成预算96.12</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，决算数小于预算数的主要原因是保险单位缴费部分比例调整。</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6</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住房保障支出221（类）02（款）01（项）住房公积金</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支出决算为8.72万元，完成预算87.20%，决算数小于预算数的主要原因是存在住房公积金缴费基数调整。</w:t>
      </w:r>
    </w:p>
    <w:p>
      <w:pPr>
        <w:tabs>
          <w:tab w:val="right" w:pos="8306"/>
        </w:tabs>
        <w:spacing w:line="600" w:lineRule="exact"/>
        <w:ind w:firstLine="640"/>
        <w:outlineLvl w:val="1"/>
        <w:rPr>
          <w:rStyle w:val="25"/>
        </w:rPr>
      </w:pPr>
      <w:bookmarkStart w:id="44" w:name="_Toc15377214"/>
      <w:bookmarkStart w:id="45"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9年一般公共预算财政拨款基本支出122.99万元，其中：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122.99万元，主要包括：基本工资20.71万元、津贴补贴32.19万元、奖金12.39万元、绩效工资25.18万元、机关事业单位基本养老保险缴费10.72万元、职业年金缴费4.89万元、职工基本医疗保险缴费4.21万元、住房公积金8.72万元、其他社会保障缴费1.00万元、抚恤金2.38万元、生活补助0.60万元。</w:t>
      </w:r>
      <w:r>
        <w:rPr>
          <w:rFonts w:ascii="仿宋" w:hAnsi="仿宋" w:eastAsia="仿宋"/>
          <w:color w:val="000000"/>
          <w:sz w:val="32"/>
          <w:szCs w:val="32"/>
        </w:rPr>
        <w:br w:type="textWrapping"/>
      </w:r>
      <w:r>
        <w:rPr>
          <w:rFonts w:hint="eastAsia" w:ascii="仿宋" w:hAnsi="仿宋" w:eastAsia="仿宋"/>
          <w:color w:val="000000"/>
          <w:sz w:val="32"/>
          <w:szCs w:val="32"/>
        </w:rPr>
        <w:t>　　日常公用经费0万元。</w:t>
      </w:r>
    </w:p>
    <w:p>
      <w:pPr>
        <w:spacing w:line="600" w:lineRule="exact"/>
        <w:ind w:firstLine="640"/>
        <w:outlineLvl w:val="1"/>
        <w:rPr>
          <w:rStyle w:val="25"/>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9年“三公”经费财政拨款支出决算为0万元，完成预算的100%，决算数等于预算数。</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；公务接待费支出决算0万元，占0</w:t>
      </w:r>
      <w:r>
        <w:rPr>
          <w:rFonts w:ascii="仿宋" w:hAnsi="仿宋" w:eastAsia="仿宋"/>
          <w:color w:val="000000"/>
          <w:sz w:val="32"/>
          <w:szCs w:val="32"/>
        </w:rPr>
        <w:t>%</w:t>
      </w:r>
      <w:r>
        <w:rPr>
          <w:rFonts w:hint="eastAsia" w:ascii="仿宋" w:hAnsi="仿宋" w:eastAsia="仿宋"/>
          <w:color w:val="000000"/>
          <w:sz w:val="32"/>
          <w:szCs w:val="32"/>
        </w:rPr>
        <w:t>。具体情况如下：</w:t>
      </w:r>
    </w:p>
    <w:p>
      <w:pPr>
        <w:numPr>
          <w:ilvl w:val="0"/>
          <w:numId w:val="2"/>
        </w:num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全年安排因公出国（境）团组0次，出国（境）0人。因公出国（境）支出决算与</w:t>
      </w:r>
      <w:r>
        <w:rPr>
          <w:rFonts w:ascii="仿宋_GB2312" w:eastAsia="仿宋_GB2312"/>
          <w:color w:val="000000"/>
          <w:sz w:val="32"/>
          <w:szCs w:val="32"/>
        </w:rPr>
        <w:t>201</w:t>
      </w:r>
      <w:r>
        <w:rPr>
          <w:rFonts w:hint="eastAsia" w:ascii="仿宋_GB2312" w:eastAsia="仿宋_GB2312"/>
          <w:color w:val="000000"/>
          <w:sz w:val="32"/>
          <w:szCs w:val="32"/>
        </w:rPr>
        <w:t>8年一样。</w:t>
      </w:r>
    </w:p>
    <w:p>
      <w:pPr>
        <w:numPr>
          <w:ilvl w:val="0"/>
          <w:numId w:val="2"/>
        </w:numPr>
        <w:spacing w:line="600" w:lineRule="exact"/>
        <w:ind w:firstLine="640"/>
        <w:rPr>
          <w:rFonts w:ascii="仿宋_GB2312" w:eastAsia="仿宋_GB2312"/>
          <w:b/>
          <w:color w:val="000000"/>
          <w:sz w:val="32"/>
          <w:szCs w:val="32"/>
        </w:rPr>
      </w:pP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公务用车购置及运行维护费支出决算与</w:t>
      </w:r>
      <w:r>
        <w:rPr>
          <w:rFonts w:ascii="仿宋_GB2312" w:eastAsia="仿宋_GB2312"/>
          <w:color w:val="000000"/>
          <w:sz w:val="32"/>
          <w:szCs w:val="32"/>
        </w:rPr>
        <w:t>201</w:t>
      </w:r>
      <w:r>
        <w:rPr>
          <w:rFonts w:hint="eastAsia" w:ascii="仿宋_GB2312" w:eastAsia="仿宋_GB2312"/>
          <w:color w:val="000000"/>
          <w:sz w:val="32"/>
          <w:szCs w:val="32"/>
        </w:rPr>
        <w:t>8年一样。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执法执勤用车0辆、特种专业技术用车0辆。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0万元，</w:t>
      </w:r>
      <w:r>
        <w:rPr>
          <w:rStyle w:val="13"/>
          <w:rFonts w:hint="eastAsia" w:ascii="仿宋" w:hAnsi="仿宋" w:eastAsia="仿宋"/>
          <w:b w:val="0"/>
          <w:bCs/>
          <w:color w:val="000000"/>
          <w:sz w:val="32"/>
          <w:szCs w:val="32"/>
        </w:rPr>
        <w:t>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公务接待费支出决算与</w:t>
      </w:r>
      <w:r>
        <w:rPr>
          <w:rFonts w:ascii="仿宋_GB2312" w:eastAsia="仿宋_GB2312"/>
          <w:color w:val="000000"/>
          <w:sz w:val="32"/>
          <w:szCs w:val="32"/>
        </w:rPr>
        <w:t>201</w:t>
      </w:r>
      <w:r>
        <w:rPr>
          <w:rFonts w:hint="eastAsia" w:ascii="仿宋_GB2312" w:eastAsia="仿宋_GB2312"/>
          <w:color w:val="000000"/>
          <w:sz w:val="32"/>
          <w:szCs w:val="32"/>
        </w:rPr>
        <w:t>8年一样。</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bookmarkStart w:id="50" w:name="_Toc15396610"/>
      <w:bookmarkStart w:id="51"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3"/>
        </w:numPr>
        <w:spacing w:line="600" w:lineRule="exact"/>
        <w:ind w:firstLine="640"/>
        <w:outlineLvl w:val="1"/>
        <w:rPr>
          <w:rStyle w:val="25"/>
          <w:rFonts w:ascii="黑体" w:hAnsi="黑体" w:eastAsia="黑体"/>
          <w:b w:val="0"/>
        </w:rPr>
      </w:pPr>
      <w:bookmarkStart w:id="52" w:name="_Toc15377219"/>
      <w:bookmarkStart w:id="53" w:name="_Toc15396611"/>
      <w:r>
        <w:rPr>
          <w:rStyle w:val="25"/>
          <w:rFonts w:hint="eastAsia" w:ascii="黑体" w:hAnsi="黑体" w:eastAsia="黑体"/>
          <w:b w:val="0"/>
        </w:rPr>
        <w:t>国有资本经营预算支出决算情况说明</w:t>
      </w:r>
      <w:bookmarkEnd w:id="52"/>
      <w:bookmarkEnd w:id="5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600" w:lineRule="exact"/>
        <w:ind w:firstLine="800" w:firstLineChars="250"/>
        <w:outlineLvl w:val="1"/>
        <w:rPr>
          <w:rStyle w:val="25"/>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9年，吾依乡卫生院机关运行经费支出0万元，与</w:t>
      </w:r>
      <w:r>
        <w:rPr>
          <w:rFonts w:ascii="仿宋_GB2312" w:eastAsia="仿宋_GB2312"/>
          <w:color w:val="000000"/>
          <w:sz w:val="32"/>
          <w:szCs w:val="32"/>
        </w:rPr>
        <w:t>201</w:t>
      </w:r>
      <w:r>
        <w:rPr>
          <w:rFonts w:hint="eastAsia" w:ascii="仿宋_GB2312" w:eastAsia="仿宋_GB2312"/>
          <w:color w:val="000000"/>
          <w:sz w:val="32"/>
          <w:szCs w:val="32"/>
        </w:rPr>
        <w:t>8年决算数持平。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9年，吾依乡卫生院政府采购支出总额0万元，其中：政府采购货物支出0万元、政府采购工程支出0万元、政府采购服务支出0万元。授予中小企业合同金额0万元，占政府采购支出总额的0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日，吾依乡卫生院共有车辆0辆，其中：主要领导干部用车0辆、机要通信用车0辆、应急保障用车0辆、特种专业技术用车0辆、其他用车0辆，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根据预算绩效管理要求，本部门（吾依乡卫生院）在年初预算编制阶段，本部门无专项预算项目，因此未组织开展项目支出绩效评价。</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本部门在2019年度部门决算中反映“  基本公共卫生服务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公共卫生服务项目绩效目标完成情况综述。项目全年预算数15.05万元，执行数为15.05万元，完成预算的100%。通过项目实施，促进了居民健康意识的提高和不良生活方式的改变，对于提高居民健康素质有重要的促进作用，同时也减少了主要健康危险元素，预防和控制传染病及慢性病的发生和流行，提高公共卫生服务和突发公共卫生事件应急处置能力，建立起维护居民健康的第一道屏障。发现的主要问题：可能是由于宣传的力度不大，不够深入，不够广泛，当地老百姓对基本公共卫生服务的政策及规定了解度不高，缺乏接受公共卫生服务的主动性。下一步改进措施：加大对基本公共卫生服务政策及规定的宣传力度，提高群众知晓率，开展健康教育宣传活动，提高居民健康意识。</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5"/>
        <w:tblpPr w:leftFromText="180" w:rightFromText="180" w:vertAnchor="text" w:horzAnchor="page" w:tblpXSpec="center" w:tblpY="423"/>
        <w:tblOverlap w:val="never"/>
        <w:tblW w:w="9960" w:type="dxa"/>
        <w:jc w:val="center"/>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both"/>
              <w:textAlignment w:val="center"/>
              <w:rPr>
                <w:rFonts w:hint="eastAsia" w:ascii="宋体" w:hAnsi="宋体" w:cs="宋体"/>
                <w:b/>
                <w:bCs/>
                <w:color w:val="000000"/>
                <w:kern w:val="0"/>
                <w:sz w:val="36"/>
                <w:szCs w:val="36"/>
              </w:rPr>
            </w:pPr>
          </w:p>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基本公共卫生服务</w:t>
            </w:r>
          </w:p>
        </w:tc>
      </w:tr>
      <w:tr>
        <w:tblPrEx>
          <w:tblLayout w:type="fixed"/>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壤塘县吾依乡卫生院</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15.05万元</w:t>
            </w:r>
          </w:p>
        </w:tc>
      </w:tr>
      <w:tr>
        <w:tblPrEx>
          <w:tblLayout w:type="fixed"/>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15.05万元</w:t>
            </w:r>
          </w:p>
        </w:tc>
      </w:tr>
      <w:tr>
        <w:tblPrEx>
          <w:tblLayout w:type="fixed"/>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4394"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基本公共卫生服务项目均等化水平，规范公共卫生服务行为，推进基本公共卫生服务项目开展，加强孕产妇健康管理和儿童健康管理，把孕产妇和婴儿死亡率控制在指标范围内，全面完成2019年度家庭医生签约服务、城乡居民健康档案、0-6岁儿童健康管理、孕产妇健康管理、免费婚前医学检查、新生儿遗传代谢性疾病筛查、新生儿听力筛查、免疫规划、65岁及以上老年人健康管理、健康教育、高血压患者健康管理、2型糖尿病患者健康管理、严重精神障碍患者管理、传染病和突发公共卫生事件报告处理、结核病防治、卫生监督协管、中医药健康管理服务各项任务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提高基本公共卫生服务项目均等化水平，规范公共卫生服务行为，推进基本公共卫生服务项目开展，加强孕产妇健康管理和儿童健康管理，把孕产妇和婴儿死亡率控制在指标范围内，全面完成2019年度家庭医生签约服务、城乡居民健康档案、0-6岁儿童健康管理、孕产妇健康管理、免费婚前医学检查、新生儿遗传代谢性疾病筛查、新生儿听力筛查、免疫规划、65岁及以上老年人健康管理、健康教育、高血压患者健康管理、2型糖尿病患者健康管理、严重精神障碍患者管理、传染病和突发公共卫生事件报告处理、结核病防治、卫生监督协管、中医药健康管理服务各项任务目标。</w:t>
            </w:r>
          </w:p>
        </w:tc>
      </w:tr>
      <w:tr>
        <w:tblPrEx>
          <w:tblLayout w:type="fixed"/>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免费体检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为辖区内所有老百姓进行免费体检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体检545人</w:t>
            </w:r>
          </w:p>
        </w:tc>
      </w:tr>
      <w:tr>
        <w:tblPrEx>
          <w:tblLayout w:type="fixed"/>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精神病管理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完成辖区内精神病患者管理</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完成辖区内精神病患者管理13人</w:t>
            </w:r>
          </w:p>
        </w:tc>
      </w:tr>
      <w:tr>
        <w:tblPrEx>
          <w:tblLayout w:type="fixed"/>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减轻辖区内老百姓看病贵负担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减轻辖区内老百姓看病贵负担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开展贫困人员看病未报销金额兜底</w:t>
            </w:r>
          </w:p>
          <w:p>
            <w:pPr>
              <w:widowControl/>
              <w:jc w:val="center"/>
              <w:textAlignment w:val="center"/>
              <w:rPr>
                <w:rFonts w:ascii="宋体" w:hAnsi="宋体" w:cs="宋体"/>
                <w:color w:val="000000"/>
                <w:kern w:val="0"/>
                <w:sz w:val="24"/>
              </w:rPr>
            </w:pPr>
          </w:p>
        </w:tc>
      </w:tr>
      <w:tr>
        <w:tblPrEx>
          <w:tblLayout w:type="fixed"/>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辖区内群众对医疗服务满意度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辖区内群众对医疗服务满意度</w:t>
            </w:r>
            <w:r>
              <w:rPr>
                <w:rFonts w:hint="eastAsia" w:ascii="宋体" w:hAnsi="宋体" w:cs="宋体"/>
                <w:color w:val="000000"/>
                <w:kern w:val="0"/>
                <w:sz w:val="24"/>
              </w:rPr>
              <w:t>&gt;=</w:t>
            </w:r>
            <w:r>
              <w:rPr>
                <w:rFonts w:hint="eastAsia" w:ascii="宋体" w:hAns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辖区内群众对医疗服务满意度</w:t>
            </w:r>
            <w:r>
              <w:rPr>
                <w:rFonts w:hint="eastAsia" w:ascii="宋体" w:hAnsi="宋体" w:cs="宋体"/>
                <w:color w:val="000000"/>
                <w:kern w:val="0"/>
                <w:sz w:val="24"/>
              </w:rPr>
              <w:t>&gt;=95%</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本部门按要求对2019年部门整体支出绩效评价情况开展自评，《吾依乡卫生院部门2019年部门整体支出绩效评价报告》见附件（附件1）。</w:t>
      </w:r>
      <w:r>
        <w:rPr>
          <w:rFonts w:ascii="仿宋_GB2312" w:eastAsia="仿宋_GB2312"/>
          <w:b/>
          <w:color w:val="000000"/>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59" w:name="_Toc15396613"/>
      <w:bookmarkStart w:id="60"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9"/>
      <w:bookmarkEnd w:id="60"/>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bookmarkStart w:id="61"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事业收入：指事业单位开展专业业务活动及辅助活动取得的收入。如医疗收入等。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其他收入：指单位取得的除上述收入以外的各项收入。主要是利息收入等。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社会保障和就业支出208（类）05（款）05（项）</w:t>
      </w:r>
      <w:r>
        <w:rPr>
          <w:rStyle w:val="13"/>
          <w:rFonts w:hint="eastAsia" w:ascii="仿宋_GB2312" w:eastAsia="仿宋_GB2312"/>
          <w:b w:val="0"/>
          <w:sz w:val="32"/>
          <w:szCs w:val="32"/>
        </w:rPr>
        <w:t>机关事业单位基本养老保险缴费支出</w:t>
      </w:r>
      <w:r>
        <w:rPr>
          <w:rFonts w:hint="eastAsia" w:ascii="仿宋_GB2312" w:eastAsia="仿宋_GB2312"/>
          <w:color w:val="000000"/>
          <w:sz w:val="32"/>
          <w:szCs w:val="32"/>
        </w:rPr>
        <w:t>：</w:t>
      </w:r>
      <w:r>
        <w:rPr>
          <w:rFonts w:hint="eastAsia" w:ascii="仿宋_GB2312" w:eastAsia="仿宋_GB2312"/>
          <w:sz w:val="32"/>
          <w:szCs w:val="32"/>
        </w:rPr>
        <w:t>指反映机关事业单位实施养老保险制度由单位缴纳的基本养老保险费支出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社会保障和就业支出208（类）05（款）06（项）</w:t>
      </w:r>
      <w:r>
        <w:rPr>
          <w:rStyle w:val="13"/>
          <w:rFonts w:hint="eastAsia" w:ascii="仿宋_GB2312" w:eastAsia="仿宋_GB2312"/>
          <w:b w:val="0"/>
          <w:sz w:val="32"/>
          <w:szCs w:val="32"/>
        </w:rPr>
        <w:t>机关事业单位职业年金缴费支出</w:t>
      </w:r>
      <w:r>
        <w:rPr>
          <w:rFonts w:hint="eastAsia" w:ascii="仿宋_GB2312" w:eastAsia="仿宋_GB2312"/>
          <w:color w:val="000000"/>
          <w:sz w:val="32"/>
          <w:szCs w:val="32"/>
        </w:rPr>
        <w:t>：</w:t>
      </w:r>
      <w:r>
        <w:rPr>
          <w:rFonts w:hint="eastAsia" w:ascii="仿宋_GB2312" w:eastAsia="仿宋_GB2312"/>
          <w:sz w:val="32"/>
          <w:szCs w:val="32"/>
        </w:rPr>
        <w:t>指反映机关事业单位实施养老保险制度由单位实际缴纳的职业年金支出</w:t>
      </w:r>
      <w:r>
        <w:rPr>
          <w:rFonts w:hint="eastAsia" w:ascii="仿宋_GB2312" w:eastAsia="仿宋_GB2312"/>
          <w:color w:val="000000"/>
          <w:sz w:val="32"/>
          <w:szCs w:val="32"/>
        </w:rPr>
        <w:t>。</w:t>
      </w:r>
    </w:p>
    <w:p>
      <w:pPr>
        <w:ind w:firstLine="640" w:firstLineChars="200"/>
        <w:rPr>
          <w:rFonts w:ascii="仿宋_GB2312" w:eastAsia="仿宋_GB2312"/>
          <w:sz w:val="32"/>
          <w:szCs w:val="32"/>
        </w:rPr>
      </w:pPr>
      <w:r>
        <w:rPr>
          <w:rFonts w:ascii="仿宋_GB2312" w:eastAsia="仿宋_GB2312"/>
          <w:color w:val="000000"/>
          <w:sz w:val="32"/>
          <w:szCs w:val="32"/>
        </w:rPr>
        <w:t>11.</w:t>
      </w:r>
      <w:r>
        <w:rPr>
          <w:rFonts w:hint="eastAsia" w:ascii="仿宋_GB2312" w:eastAsia="仿宋_GB2312"/>
          <w:color w:val="000000"/>
          <w:sz w:val="32"/>
          <w:szCs w:val="32"/>
        </w:rPr>
        <w:t>卫生健康支出210（类）03（款）02（项）</w:t>
      </w:r>
      <w:r>
        <w:rPr>
          <w:rFonts w:hint="eastAsia" w:ascii="仿宋_GB2312" w:eastAsia="仿宋_GB2312"/>
          <w:sz w:val="32"/>
          <w:szCs w:val="32"/>
        </w:rPr>
        <w:t>乡镇卫生院</w:t>
      </w:r>
      <w:r>
        <w:rPr>
          <w:rFonts w:hint="eastAsia" w:ascii="仿宋_GB2312" w:eastAsia="仿宋_GB2312"/>
          <w:color w:val="000000"/>
          <w:sz w:val="32"/>
          <w:szCs w:val="32"/>
        </w:rPr>
        <w:t>：</w:t>
      </w:r>
      <w:r>
        <w:rPr>
          <w:rFonts w:hint="eastAsia" w:ascii="仿宋_GB2312" w:eastAsia="仿宋_GB2312"/>
          <w:sz w:val="32"/>
          <w:szCs w:val="32"/>
        </w:rPr>
        <w:t>指用于乡镇卫生院的支出。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卫生健康支出210（类）03（款）99（项）</w:t>
      </w:r>
      <w:r>
        <w:rPr>
          <w:rFonts w:hint="eastAsia" w:ascii="仿宋_GB2312" w:eastAsia="仿宋_GB2312"/>
          <w:sz w:val="32"/>
          <w:szCs w:val="32"/>
        </w:rPr>
        <w:t>其他基层医疗卫生机构支出</w:t>
      </w:r>
      <w:r>
        <w:rPr>
          <w:rFonts w:hint="eastAsia" w:ascii="仿宋_GB2312" w:eastAsia="仿宋_GB2312"/>
          <w:color w:val="000000"/>
          <w:sz w:val="32"/>
          <w:szCs w:val="32"/>
        </w:rPr>
        <w:t>：</w:t>
      </w:r>
      <w:r>
        <w:rPr>
          <w:rFonts w:hint="eastAsia" w:ascii="仿宋_GB2312" w:eastAsia="仿宋_GB2312"/>
          <w:sz w:val="32"/>
          <w:szCs w:val="32"/>
        </w:rPr>
        <w:t>指反映其他用于基层医疗卫生机构的支出。</w:t>
      </w:r>
    </w:p>
    <w:p>
      <w:pPr>
        <w:ind w:firstLine="640" w:firstLineChars="200"/>
        <w:rPr>
          <w:rFonts w:ascii="仿宋_GB2312" w:eastAsia="仿宋_GB2312"/>
          <w:sz w:val="32"/>
          <w:szCs w:val="32"/>
        </w:rPr>
      </w:pPr>
      <w:r>
        <w:rPr>
          <w:rFonts w:ascii="仿宋_GB2312" w:eastAsia="仿宋_GB2312"/>
          <w:color w:val="000000"/>
          <w:sz w:val="32"/>
          <w:szCs w:val="32"/>
        </w:rPr>
        <w:t>13.</w:t>
      </w:r>
      <w:r>
        <w:rPr>
          <w:rFonts w:hint="eastAsia" w:ascii="仿宋_GB2312" w:eastAsia="仿宋_GB2312"/>
          <w:color w:val="000000"/>
          <w:sz w:val="32"/>
          <w:szCs w:val="32"/>
        </w:rPr>
        <w:t>卫生健康支出210（类）04（款）08（项）</w:t>
      </w:r>
      <w:r>
        <w:rPr>
          <w:rFonts w:hint="eastAsia" w:ascii="仿宋_GB2312" w:eastAsia="仿宋_GB2312"/>
          <w:sz w:val="32"/>
          <w:szCs w:val="32"/>
        </w:rPr>
        <w:t>基本公共卫生服务</w:t>
      </w:r>
      <w:r>
        <w:rPr>
          <w:rFonts w:hint="eastAsia" w:ascii="仿宋_GB2312" w:eastAsia="仿宋_GB2312"/>
          <w:color w:val="000000"/>
          <w:sz w:val="32"/>
          <w:szCs w:val="32"/>
        </w:rPr>
        <w:t>：</w:t>
      </w:r>
      <w:r>
        <w:rPr>
          <w:rFonts w:hint="eastAsia" w:ascii="仿宋_GB2312" w:eastAsia="仿宋_GB2312"/>
          <w:sz w:val="32"/>
          <w:szCs w:val="32"/>
        </w:rPr>
        <w:t>指反映基本公共卫生服务支出。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卫生健康支出210（类）11（款）02（项）事业单位医疗：反映财政部门安排的事业单位基本医疗保险缴费经费，未参加医疗保险的事业单位的公费医疗经费，按国家规定享受离休人员待遇的医疗经费。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卫生健康支出支出210（类）99（款）01（项）  其他卫生健康支出：</w:t>
      </w:r>
      <w:r>
        <w:rPr>
          <w:rFonts w:hint="eastAsia" w:ascii="仿宋_GB2312" w:eastAsia="仿宋_GB2312"/>
          <w:sz w:val="32"/>
          <w:szCs w:val="32"/>
        </w:rPr>
        <w:t>指其他用于卫生健康方面的支出。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住房保障支出221（类）02（款）01（项）住房公积金：</w:t>
      </w:r>
      <w:r>
        <w:rPr>
          <w:rFonts w:hint="eastAsia" w:ascii="仿宋_GB2312" w:eastAsia="仿宋_GB2312"/>
          <w:sz w:val="32"/>
          <w:szCs w:val="32"/>
        </w:rPr>
        <w:t>指反映行政事业单位按照人力资源和社会保障部、财政部规定的基本工资和津贴补贴及规定比例为职工缴纳的住房公积金。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8.</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rPr>
      </w:pPr>
      <w:r>
        <w:rPr>
          <w:rFonts w:ascii="宋体"/>
          <w:b/>
          <w:color w:val="000000"/>
          <w:sz w:val="44"/>
          <w:szCs w:val="44"/>
        </w:rPr>
        <w:br w:type="page"/>
      </w:r>
      <w:bookmarkStart w:id="62"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62"/>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吾依乡卫生院</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2019年部门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吾依乡卫生院是二级决算单位。</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（1）贯彻执行党中央、国务院及省市县有关医药卫生方面的路线、方针、政策和国家的法律法规，开展以现代医药技术为主的疾病防治、保健和相关技术服务。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（2）负责在县卫健局领导、协调下开展对重大疾病、流行病、传染病及突发公共卫生事件进行预防控制工作，配合有关部门参与对上述重大事件实施防控与干预，以及按规定报告传染病疫情信息。</w:t>
      </w:r>
    </w:p>
    <w:p>
      <w:pPr>
        <w:widowControl/>
        <w:adjustRightInd w:val="0"/>
        <w:snapToGrid w:val="0"/>
        <w:spacing w:line="580" w:lineRule="exact"/>
        <w:ind w:firstLine="480" w:firstLineChars="15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（3）参与我县各乡镇的应急、救灾等方面工作；</w:t>
      </w:r>
    </w:p>
    <w:p>
      <w:pPr>
        <w:widowControl/>
        <w:adjustRightInd w:val="0"/>
        <w:snapToGrid w:val="0"/>
        <w:spacing w:line="580" w:lineRule="exact"/>
        <w:ind w:firstLine="480" w:firstLineChars="15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（4）负责我县各乡镇范围内群众的健康保健指导，对群众及职工进行健康检查，以及开展预防、保健知识的宣传和咨询工作。</w:t>
      </w:r>
    </w:p>
    <w:p>
      <w:pPr>
        <w:widowControl/>
        <w:adjustRightInd w:val="0"/>
        <w:snapToGrid w:val="0"/>
        <w:spacing w:line="580" w:lineRule="exact"/>
        <w:ind w:firstLine="480" w:firstLineChars="15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（5）负责各乡镇基层乡村卫生工作者的业务培训。</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（6）承办县卫健局和上级业务部门交办的其他事。</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吾依乡卫生院总编制8名,在职人员</w:t>
      </w:r>
      <w:r>
        <w:rPr>
          <w:rFonts w:hint="eastAsia" w:ascii="仿宋_GB2312" w:hAnsi="宋体" w:eastAsia="仿宋_GB2312" w:cs="宋体"/>
          <w:color w:val="000000"/>
          <w:kern w:val="0"/>
          <w:sz w:val="32"/>
          <w:szCs w:val="32"/>
          <w:shd w:val="clear" w:color="auto" w:fill="FFFFFF"/>
        </w:rPr>
        <w:t>8</w:t>
      </w:r>
      <w:r>
        <w:rPr>
          <w:rFonts w:hint="eastAsia" w:ascii="仿宋_GB2312" w:hAnsi="宋体" w:eastAsia="仿宋_GB2312" w:cs="宋体"/>
          <w:color w:val="000000"/>
          <w:kern w:val="0"/>
          <w:sz w:val="32"/>
          <w:szCs w:val="32"/>
          <w:shd w:val="clear" w:color="auto" w:fill="FFFFFF"/>
          <w:lang w:val="zh-CN"/>
        </w:rPr>
        <w:t>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960" w:firstLineChars="300"/>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2019年吾依乡卫生院财政资金收入为128.46万元。</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widowControl/>
        <w:adjustRightInd w:val="0"/>
        <w:snapToGrid w:val="0"/>
        <w:spacing w:line="580" w:lineRule="exact"/>
        <w:ind w:left="420" w:leftChars="200"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2019年吾依乡卫生院财政资金支出为</w:t>
      </w:r>
      <w:r>
        <w:rPr>
          <w:rFonts w:hint="eastAsia" w:ascii="仿宋_GB2312" w:hAnsi="宋体" w:eastAsia="仿宋_GB2312" w:cs="宋体"/>
          <w:color w:val="000000"/>
          <w:kern w:val="0"/>
          <w:sz w:val="32"/>
          <w:szCs w:val="32"/>
          <w:shd w:val="clear" w:color="auto" w:fill="FFFFFF"/>
        </w:rPr>
        <w:t>138.04</w:t>
      </w:r>
      <w:r>
        <w:rPr>
          <w:rFonts w:hint="eastAsia" w:ascii="仿宋_GB2312" w:hAnsi="宋体" w:eastAsia="仿宋_GB2312" w:cs="宋体"/>
          <w:color w:val="000000"/>
          <w:kern w:val="0"/>
          <w:sz w:val="32"/>
          <w:szCs w:val="32"/>
          <w:shd w:val="clear" w:color="auto" w:fill="FFFFFF"/>
          <w:lang w:val="zh-CN"/>
        </w:rPr>
        <w:t>万元，其中：基本支出</w:t>
      </w:r>
      <w:r>
        <w:rPr>
          <w:rFonts w:hint="eastAsia" w:ascii="仿宋_GB2312" w:hAnsi="宋体" w:eastAsia="仿宋_GB2312" w:cs="宋体"/>
          <w:color w:val="000000"/>
          <w:kern w:val="0"/>
          <w:sz w:val="32"/>
          <w:szCs w:val="32"/>
          <w:shd w:val="clear" w:color="auto" w:fill="FFFFFF"/>
        </w:rPr>
        <w:t>122.99万元，项目支出15.05万元</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9年本年收入合计138.67万元，其中：一般公共预算财政拨款收入128.46万元；事业收入10.21万元。本年支出合计146.80万元，其中：基本支出131.74万元；项目支出15.05万元。</w:t>
      </w:r>
    </w:p>
    <w:p>
      <w:pPr>
        <w:spacing w:line="600" w:lineRule="exact"/>
        <w:ind w:firstLine="640" w:firstLineChars="200"/>
        <w:outlineLvl w:val="1"/>
        <w:rPr>
          <w:rFonts w:ascii="仿宋" w:hAnsi="仿宋" w:eastAsia="仿宋"/>
          <w:color w:val="000000"/>
          <w:sz w:val="32"/>
          <w:szCs w:val="32"/>
        </w:rPr>
      </w:pPr>
      <w:r>
        <w:rPr>
          <w:rFonts w:hint="eastAsia" w:ascii="仿宋" w:hAnsi="仿宋" w:eastAsia="仿宋"/>
          <w:color w:val="000000"/>
          <w:sz w:val="32"/>
          <w:szCs w:val="32"/>
        </w:rPr>
        <w:t>2019年度财政收入预算112.75万元，财政支出预算112.75万元，其中基本支出112.75万元。</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决算与预算之间出现差异的主要原因是人员工资福利的调整。所有的工作严格按照预期目标进行，严格按照相关规定、程序进行。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专项项目工作要求和资金使用规定，我院在专项经费的管理和使用上，做到了专项资金专款专用，财务严格审核经费的开支范围和真实性，不存在截留、挤占、挪用、虚列支出的情况。保证了各个项目工作的正常运转，无违规记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县财政局预算股、行财股负责项目资金的监督使用。卫健局监督资金到位情况及下拨，督查项目的进度，查看实施效果。我院具体负责项目的实施。严格按照项目实施文件实施完成项目目标任务。</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基本达到预期目标，完成各方面要求。</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群众健康教育知晓率还有待于进一步提高，职工工作积极性有待提高。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加强宣传教育力度，加强工作质量要求。</w:t>
      </w:r>
    </w:p>
    <w:p>
      <w:pPr>
        <w:spacing w:line="580" w:lineRule="exact"/>
        <w:ind w:firstLine="640" w:firstLineChars="200"/>
        <w:rPr>
          <w:rFonts w:ascii="仿宋_GB2312" w:hAnsi="仿宋_GB2312" w:eastAsia="仿宋_GB2312" w:cs="仿宋_GB2312"/>
          <w:sz w:val="32"/>
          <w:szCs w:val="32"/>
        </w:rPr>
      </w:pPr>
    </w:p>
    <w:p>
      <w:pPr>
        <w:spacing w:line="600" w:lineRule="exact"/>
        <w:jc w:val="center"/>
        <w:outlineLvl w:val="0"/>
        <w:rPr>
          <w:rStyle w:val="24"/>
          <w:rFonts w:ascii="黑体" w:hAnsi="黑体" w:eastAsia="黑体"/>
          <w:b w:val="0"/>
        </w:rPr>
      </w:pPr>
    </w:p>
    <w:p>
      <w:pPr>
        <w:spacing w:line="600" w:lineRule="exact"/>
        <w:jc w:val="center"/>
        <w:outlineLvl w:val="0"/>
        <w:rPr>
          <w:rFonts w:ascii="黑体" w:hAnsi="黑体" w:eastAsia="黑体"/>
          <w:color w:val="000000"/>
          <w:sz w:val="44"/>
          <w:szCs w:val="44"/>
        </w:rPr>
      </w:pPr>
      <w:bookmarkStart w:id="63" w:name="_Toc15396618"/>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61"/>
      <w:bookmarkEnd w:id="63"/>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4"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4"/>
    </w:p>
    <w:p>
      <w:pPr>
        <w:pStyle w:val="3"/>
        <w:rPr>
          <w:rFonts w:ascii="仿宋" w:hAnsi="仿宋" w:eastAsia="仿宋"/>
          <w:color w:val="000000"/>
        </w:rPr>
      </w:pPr>
      <w:bookmarkStart w:id="65"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5"/>
    </w:p>
    <w:p>
      <w:pPr>
        <w:pStyle w:val="3"/>
        <w:rPr>
          <w:rFonts w:ascii="仿宋" w:hAnsi="仿宋" w:eastAsia="仿宋"/>
          <w:color w:val="000000"/>
        </w:rPr>
      </w:pPr>
      <w:bookmarkStart w:id="66"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6"/>
    </w:p>
    <w:p>
      <w:pPr>
        <w:pStyle w:val="3"/>
        <w:rPr>
          <w:rFonts w:ascii="仿宋" w:hAnsi="仿宋" w:eastAsia="仿宋"/>
          <w:b w:val="0"/>
          <w:color w:val="000000"/>
        </w:rPr>
      </w:pPr>
      <w:bookmarkStart w:id="67"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7"/>
    </w:p>
    <w:p>
      <w:pPr>
        <w:pStyle w:val="3"/>
        <w:rPr>
          <w:rStyle w:val="25"/>
          <w:rFonts w:ascii="仿宋" w:hAnsi="仿宋" w:eastAsia="仿宋"/>
          <w:b w:val="0"/>
          <w:bCs w:val="0"/>
        </w:rPr>
      </w:pPr>
      <w:bookmarkStart w:id="68"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8"/>
      <w:bookmarkStart w:id="69" w:name="_Toc15396624"/>
    </w:p>
    <w:p>
      <w:pPr>
        <w:pStyle w:val="3"/>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2"/>
    </w:p>
    <w:p>
      <w:pPr>
        <w:pStyle w:val="3"/>
        <w:rPr>
          <w:rFonts w:ascii="仿宋" w:hAnsi="仿宋" w:eastAsia="仿宋"/>
          <w:color w:val="000000"/>
        </w:rPr>
      </w:pPr>
      <w:bookmarkStart w:id="73"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3"/>
    </w:p>
    <w:p>
      <w:pPr>
        <w:pStyle w:val="3"/>
        <w:rPr>
          <w:rFonts w:ascii="仿宋" w:hAnsi="仿宋" w:eastAsia="仿宋"/>
          <w:color w:val="000000"/>
        </w:rPr>
      </w:pPr>
      <w:bookmarkStart w:id="74"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4"/>
    </w:p>
    <w:p>
      <w:pPr>
        <w:pStyle w:val="3"/>
        <w:rPr>
          <w:rFonts w:ascii="仿宋" w:hAnsi="仿宋" w:eastAsia="仿宋"/>
          <w:color w:val="000000"/>
        </w:rPr>
      </w:pPr>
      <w:bookmarkStart w:id="75"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5"/>
    </w:p>
    <w:p>
      <w:pPr>
        <w:pStyle w:val="3"/>
        <w:rPr>
          <w:rFonts w:ascii="仿宋" w:hAnsi="仿宋" w:eastAsia="仿宋"/>
          <w:color w:val="000000" w:themeColor="text1"/>
        </w:rPr>
      </w:pPr>
      <w:bookmarkStart w:id="76"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1"/>
    <w:family w:val="auto"/>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0DEEBDCA"/>
    <w:multiLevelType w:val="singleLevel"/>
    <w:tmpl w:val="0DEEBDCA"/>
    <w:lvl w:ilvl="0" w:tentative="0">
      <w:start w:val="1"/>
      <w:numFmt w:val="decimal"/>
      <w:lvlText w:val="%1."/>
      <w:lvlJc w:val="left"/>
      <w:pPr>
        <w:tabs>
          <w:tab w:val="left" w:pos="312"/>
        </w:tabs>
      </w:p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7AE6EA4"/>
    <w:multiLevelType w:val="singleLevel"/>
    <w:tmpl w:val="57AE6EA4"/>
    <w:lvl w:ilvl="0" w:tentative="0">
      <w:start w:val="2"/>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5A14"/>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8629C"/>
    <w:rsid w:val="00294DC9"/>
    <w:rsid w:val="00295495"/>
    <w:rsid w:val="002A31DE"/>
    <w:rsid w:val="002B2613"/>
    <w:rsid w:val="002D19B0"/>
    <w:rsid w:val="002D6D05"/>
    <w:rsid w:val="002F1818"/>
    <w:rsid w:val="002F567B"/>
    <w:rsid w:val="003016F2"/>
    <w:rsid w:val="00316E91"/>
    <w:rsid w:val="003216A9"/>
    <w:rsid w:val="00335A74"/>
    <w:rsid w:val="0036561B"/>
    <w:rsid w:val="0037013F"/>
    <w:rsid w:val="00380C92"/>
    <w:rsid w:val="0038599E"/>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C7E91"/>
    <w:rsid w:val="004E0A2D"/>
    <w:rsid w:val="004E206B"/>
    <w:rsid w:val="004E6DF7"/>
    <w:rsid w:val="004F0FBD"/>
    <w:rsid w:val="004F403E"/>
    <w:rsid w:val="00505A47"/>
    <w:rsid w:val="00512FDA"/>
    <w:rsid w:val="00520DA0"/>
    <w:rsid w:val="005474A0"/>
    <w:rsid w:val="005664BB"/>
    <w:rsid w:val="00566FFA"/>
    <w:rsid w:val="0057481D"/>
    <w:rsid w:val="00575F0B"/>
    <w:rsid w:val="0058486E"/>
    <w:rsid w:val="00585B33"/>
    <w:rsid w:val="00586132"/>
    <w:rsid w:val="0059014D"/>
    <w:rsid w:val="005921C3"/>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2439"/>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42A73"/>
    <w:rsid w:val="00850625"/>
    <w:rsid w:val="00853718"/>
    <w:rsid w:val="00855221"/>
    <w:rsid w:val="00860645"/>
    <w:rsid w:val="00871F71"/>
    <w:rsid w:val="00872FD8"/>
    <w:rsid w:val="00880364"/>
    <w:rsid w:val="00885AF4"/>
    <w:rsid w:val="008939CD"/>
    <w:rsid w:val="008B768C"/>
    <w:rsid w:val="008B7745"/>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362"/>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1A5"/>
    <w:rsid w:val="00BC6B50"/>
    <w:rsid w:val="00BD0E25"/>
    <w:rsid w:val="00BD1619"/>
    <w:rsid w:val="00BF5BD6"/>
    <w:rsid w:val="00C03E31"/>
    <w:rsid w:val="00C30E69"/>
    <w:rsid w:val="00C33E72"/>
    <w:rsid w:val="00C354B2"/>
    <w:rsid w:val="00C35554"/>
    <w:rsid w:val="00C42709"/>
    <w:rsid w:val="00C53041"/>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3D9C"/>
    <w:rsid w:val="00F36D8F"/>
    <w:rsid w:val="00F417B1"/>
    <w:rsid w:val="00F45853"/>
    <w:rsid w:val="00F602DF"/>
    <w:rsid w:val="00F64843"/>
    <w:rsid w:val="00F754A1"/>
    <w:rsid w:val="00F7774C"/>
    <w:rsid w:val="00F81FD9"/>
    <w:rsid w:val="00F841AA"/>
    <w:rsid w:val="00F84A94"/>
    <w:rsid w:val="00F87E96"/>
    <w:rsid w:val="00FA23E8"/>
    <w:rsid w:val="00FD3CC1"/>
    <w:rsid w:val="00FF1E02"/>
    <w:rsid w:val="00FF30B4"/>
    <w:rsid w:val="09783895"/>
    <w:rsid w:val="0E396E51"/>
    <w:rsid w:val="10C055FF"/>
    <w:rsid w:val="11552894"/>
    <w:rsid w:val="16BB723D"/>
    <w:rsid w:val="1B3B0D5F"/>
    <w:rsid w:val="1EC74A17"/>
    <w:rsid w:val="216876E5"/>
    <w:rsid w:val="240371BF"/>
    <w:rsid w:val="2510580D"/>
    <w:rsid w:val="292955A4"/>
    <w:rsid w:val="29FD04D3"/>
    <w:rsid w:val="2A07332D"/>
    <w:rsid w:val="2E1C456D"/>
    <w:rsid w:val="2E3920F2"/>
    <w:rsid w:val="319F7F4E"/>
    <w:rsid w:val="3F131F9B"/>
    <w:rsid w:val="4DA0511A"/>
    <w:rsid w:val="4ECE2238"/>
    <w:rsid w:val="541544AB"/>
    <w:rsid w:val="58C87628"/>
    <w:rsid w:val="5C8728D2"/>
    <w:rsid w:val="5F112DD2"/>
    <w:rsid w:val="5F663956"/>
    <w:rsid w:val="60AB5F0E"/>
    <w:rsid w:val="63A73F5B"/>
    <w:rsid w:val="6D941B1B"/>
    <w:rsid w:val="72734D90"/>
    <w:rsid w:val="7C434A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2"/>
    <w:link w:val="2"/>
    <w:qFormat/>
    <w:uiPriority w:val="9"/>
    <w:rPr>
      <w:rFonts w:ascii="Times New Roman" w:hAnsi="Times New Roman"/>
      <w:b/>
      <w:bCs/>
      <w:kern w:val="44"/>
      <w:sz w:val="44"/>
      <w:szCs w:val="44"/>
    </w:rPr>
  </w:style>
  <w:style w:type="character" w:customStyle="1" w:styleId="25">
    <w:name w:val="标题 2 Char"/>
    <w:basedOn w:val="12"/>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H:\2020\2019&#24180;&#20915;&#31639;&#20844;&#24320;\&#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020\2019&#24180;&#20915;&#31639;&#20844;&#24320;\&#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2020\2019&#24180;&#20915;&#31639;&#20844;&#24320;\&#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2020\2019&#24180;&#20915;&#31639;&#20844;&#24320;\&#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2020\2019&#24180;&#20915;&#31639;&#20844;&#24320;\&#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2020\2019&#24180;&#20915;&#31639;&#20844;&#24320;\&#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收、支决算总计变动情况图	</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Sheet1!$A$3</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Sheet1!$B$1:$C$2</c:f>
              <c:strCache>
                <c:ptCount val="2"/>
                <c:pt idx="0">
                  <c:v>收入</c:v>
                </c:pt>
                <c:pt idx="1">
                  <c:v>支出</c:v>
                </c:pt>
              </c:strCache>
            </c:strRef>
          </c:cat>
          <c:val>
            <c:numRef>
              <c:f>Sheet1!$B$3:$C$3</c:f>
              <c:numCache>
                <c:formatCode>General</c:formatCode>
                <c:ptCount val="2"/>
                <c:pt idx="0">
                  <c:v>119.6</c:v>
                </c:pt>
                <c:pt idx="1">
                  <c:v>139.83</c:v>
                </c:pt>
              </c:numCache>
            </c:numRef>
          </c:val>
        </c:ser>
        <c:ser>
          <c:idx val="1"/>
          <c:order val="1"/>
          <c:tx>
            <c:strRef>
              <c:f>Sheet1!$A$4</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Sheet1!$B$1:$C$2</c:f>
              <c:strCache>
                <c:ptCount val="2"/>
                <c:pt idx="0">
                  <c:v>收入</c:v>
                </c:pt>
                <c:pt idx="1">
                  <c:v>支出</c:v>
                </c:pt>
              </c:strCache>
            </c:strRef>
          </c:cat>
          <c:val>
            <c:numRef>
              <c:f>Sheet1!$B$4:$C$4</c:f>
              <c:numCache>
                <c:formatCode>General</c:formatCode>
                <c:ptCount val="2"/>
                <c:pt idx="0">
                  <c:v>138.67</c:v>
                </c:pt>
                <c:pt idx="1">
                  <c:v>146.8</c:v>
                </c:pt>
              </c:numCache>
            </c:numRef>
          </c:val>
        </c:ser>
        <c:dLbls>
          <c:showLegendKey val="0"/>
          <c:showVal val="1"/>
          <c:showCatName val="0"/>
          <c:showSerName val="0"/>
          <c:showPercent val="0"/>
          <c:showBubbleSize val="0"/>
        </c:dLbls>
        <c:gapWidth val="219"/>
        <c:overlap val="-27"/>
        <c:axId val="250582144"/>
        <c:axId val="250583680"/>
      </c:barChart>
      <c:catAx>
        <c:axId val="2505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250583680"/>
        <c:crosses val="autoZero"/>
        <c:auto val="1"/>
        <c:lblAlgn val="ctr"/>
        <c:lblOffset val="100"/>
        <c:noMultiLvlLbl val="0"/>
      </c:catAx>
      <c:valAx>
        <c:axId val="2505836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25058214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a:t>2019</a:t>
            </a:r>
            <a:r>
              <a:rPr lang="zh-CN" altLang="en-US"/>
              <a:t>年收入 </a:t>
            </a:r>
            <a:endParaRPr lang="zh-CN" altLang="en-US"/>
          </a:p>
        </c:rich>
      </c:tx>
      <c:layout/>
      <c:overlay val="0"/>
      <c:spPr>
        <a:noFill/>
        <a:ln>
          <a:noFill/>
        </a:ln>
        <a:effectLst/>
      </c:spPr>
    </c:title>
    <c:autoTitleDeleted val="0"/>
    <c:plotArea>
      <c:layout/>
      <c:pieChart>
        <c:varyColors val="1"/>
        <c:ser>
          <c:idx val="0"/>
          <c:order val="0"/>
          <c:tx>
            <c:strRef>
              <c:f>Sheet1!$B$23:$B$24</c:f>
              <c:strCache>
                <c:ptCount val="1"/>
                <c:pt idx="0">
                  <c:v>2019年收入 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1"/>
              <c:delete val="1"/>
            </c:dLbl>
            <c:dLbl>
              <c:idx val="2"/>
              <c:delete val="1"/>
            </c:dLbl>
            <c:dLbl>
              <c:idx val="3"/>
              <c:layout>
                <c:manualLayout>
                  <c:x val="0.0124432994877246"/>
                  <c:y val="0.01913414433797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delete val="1"/>
            </c:dLbl>
            <c:dLbl>
              <c:idx val="5"/>
              <c:delete val="1"/>
            </c:dLbl>
            <c:dLbl>
              <c:idx val="6"/>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Sheet1!$A$25:$A$31</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Sheet1!$B$25:$B$31</c:f>
              <c:numCache>
                <c:formatCode>General</c:formatCode>
                <c:ptCount val="7"/>
                <c:pt idx="0">
                  <c:v>128.46</c:v>
                </c:pt>
                <c:pt idx="1">
                  <c:v>0</c:v>
                </c:pt>
                <c:pt idx="2">
                  <c:v>0</c:v>
                </c:pt>
                <c:pt idx="3">
                  <c:v>10.21</c:v>
                </c:pt>
                <c:pt idx="4">
                  <c:v>0</c:v>
                </c:pt>
                <c:pt idx="5">
                  <c:v>0</c:v>
                </c:pt>
                <c:pt idx="6">
                  <c:v>0</c:v>
                </c:pt>
              </c:numCache>
            </c:numRef>
          </c:val>
        </c:ser>
        <c:ser>
          <c:idx val="1"/>
          <c:order val="1"/>
          <c:tx>
            <c:strRef>
              <c:f>Sheet1!$C$23:$C$24</c:f>
              <c:strCache>
                <c:ptCount val="1"/>
                <c:pt idx="0">
                  <c:v>2019年收入 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Sheet1!$A$25:$A$31</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Sheet1!$C$25:$C$31</c:f>
              <c:numCache>
                <c:formatCode>0.00%</c:formatCode>
                <c:ptCount val="7"/>
                <c:pt idx="0">
                  <c:v>0.926371962212447</c:v>
                </c:pt>
                <c:pt idx="1">
                  <c:v>0</c:v>
                </c:pt>
                <c:pt idx="2">
                  <c:v>0</c:v>
                </c:pt>
                <c:pt idx="3">
                  <c:v>0.0736280377875532</c:v>
                </c:pt>
                <c:pt idx="4">
                  <c:v>0</c:v>
                </c:pt>
                <c:pt idx="5">
                  <c:v>0</c:v>
                </c:pt>
                <c:pt idx="6">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a:t>2019</a:t>
            </a:r>
            <a:r>
              <a:rPr lang="zh-CN" altLang="en-US"/>
              <a:t>年支出 </a:t>
            </a:r>
            <a:endParaRPr lang="zh-CN" altLang="en-US"/>
          </a:p>
        </c:rich>
      </c:tx>
      <c:layout/>
      <c:overlay val="0"/>
      <c:spPr>
        <a:noFill/>
        <a:ln>
          <a:noFill/>
        </a:ln>
        <a:effectLst/>
      </c:spPr>
    </c:title>
    <c:autoTitleDeleted val="0"/>
    <c:plotArea>
      <c:layout/>
      <c:pieChart>
        <c:varyColors val="1"/>
        <c:ser>
          <c:idx val="0"/>
          <c:order val="0"/>
          <c:tx>
            <c:strRef>
              <c:f>Sheet1!$B$47:$B$48</c:f>
              <c:strCache>
                <c:ptCount val="1"/>
                <c:pt idx="0">
                  <c:v>2019年支出 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2"/>
              <c:delete val="1"/>
            </c:dLbl>
            <c:dLbl>
              <c:idx val="3"/>
              <c:delete val="1"/>
            </c:dLbl>
            <c:dLbl>
              <c:idx val="4"/>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Sheet1!$A$49:$A$53</c:f>
              <c:strCache>
                <c:ptCount val="5"/>
                <c:pt idx="0">
                  <c:v>基本支出</c:v>
                </c:pt>
                <c:pt idx="1">
                  <c:v>项目支出</c:v>
                </c:pt>
                <c:pt idx="2">
                  <c:v>上缴上级支出</c:v>
                </c:pt>
                <c:pt idx="3">
                  <c:v>经营支出</c:v>
                </c:pt>
                <c:pt idx="4">
                  <c:v>对附属单位补助支出</c:v>
                </c:pt>
              </c:strCache>
            </c:strRef>
          </c:cat>
          <c:val>
            <c:numRef>
              <c:f>Sheet1!$B$49:$B$53</c:f>
              <c:numCache>
                <c:formatCode>General</c:formatCode>
                <c:ptCount val="5"/>
                <c:pt idx="0">
                  <c:v>131.74</c:v>
                </c:pt>
                <c:pt idx="1">
                  <c:v>15.05</c:v>
                </c:pt>
                <c:pt idx="2">
                  <c:v>0</c:v>
                </c:pt>
                <c:pt idx="3">
                  <c:v>0</c:v>
                </c:pt>
                <c:pt idx="4">
                  <c:v>0</c:v>
                </c:pt>
              </c:numCache>
            </c:numRef>
          </c:val>
        </c:ser>
        <c:ser>
          <c:idx val="1"/>
          <c:order val="1"/>
          <c:tx>
            <c:strRef>
              <c:f>Sheet1!$C$47:$C$48</c:f>
              <c:strCache>
                <c:ptCount val="1"/>
                <c:pt idx="0">
                  <c:v>2019年支出 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Sheet1!$A$49:$A$53</c:f>
              <c:strCache>
                <c:ptCount val="5"/>
                <c:pt idx="0">
                  <c:v>基本支出</c:v>
                </c:pt>
                <c:pt idx="1">
                  <c:v>项目支出</c:v>
                </c:pt>
                <c:pt idx="2">
                  <c:v>上缴上级支出</c:v>
                </c:pt>
                <c:pt idx="3">
                  <c:v>经营支出</c:v>
                </c:pt>
                <c:pt idx="4">
                  <c:v>对附属单位补助支出</c:v>
                </c:pt>
              </c:strCache>
            </c:strRef>
          </c:cat>
          <c:val>
            <c:numRef>
              <c:f>Sheet1!$C$49:$C$53</c:f>
              <c:numCache>
                <c:formatCode>0.00%</c:formatCode>
                <c:ptCount val="5"/>
                <c:pt idx="0">
                  <c:v>0.897411444141689</c:v>
                </c:pt>
                <c:pt idx="1">
                  <c:v>0.102520435967302</c:v>
                </c:pt>
                <c:pt idx="2">
                  <c:v>0</c:v>
                </c:pt>
                <c:pt idx="3">
                  <c:v>0</c:v>
                </c:pt>
                <c:pt idx="4">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财政拨款收、支决算总计变动情况	</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Sheet1!$A$75</c:f>
              <c:strCache>
                <c:ptCount val="1"/>
                <c:pt idx="0">
                  <c:v>2018年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Sheet1!$B$73:$C$74</c:f>
              <c:strCache>
                <c:ptCount val="2"/>
                <c:pt idx="0">
                  <c:v>财政拨款收入</c:v>
                </c:pt>
                <c:pt idx="1">
                  <c:v>财政拨款支出</c:v>
                </c:pt>
              </c:strCache>
            </c:strRef>
          </c:cat>
          <c:val>
            <c:numRef>
              <c:f>Sheet1!$B$75:$C$75</c:f>
              <c:numCache>
                <c:formatCode>#,##0.00</c:formatCode>
                <c:ptCount val="2"/>
                <c:pt idx="0">
                  <c:v>116.25</c:v>
                </c:pt>
                <c:pt idx="1">
                  <c:v>138.57</c:v>
                </c:pt>
              </c:numCache>
            </c:numRef>
          </c:val>
        </c:ser>
        <c:ser>
          <c:idx val="1"/>
          <c:order val="1"/>
          <c:tx>
            <c:strRef>
              <c:f>Sheet1!$A$76</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Sheet1!$B$73:$C$74</c:f>
              <c:strCache>
                <c:ptCount val="2"/>
                <c:pt idx="0">
                  <c:v>财政拨款收入</c:v>
                </c:pt>
                <c:pt idx="1">
                  <c:v>财政拨款支出</c:v>
                </c:pt>
              </c:strCache>
            </c:strRef>
          </c:cat>
          <c:val>
            <c:numRef>
              <c:f>Sheet1!$B$76:$C$76</c:f>
              <c:numCache>
                <c:formatCode>#,##0.00</c:formatCode>
                <c:ptCount val="2"/>
                <c:pt idx="0">
                  <c:v>128.46</c:v>
                </c:pt>
                <c:pt idx="1">
                  <c:v>138.04</c:v>
                </c:pt>
              </c:numCache>
            </c:numRef>
          </c:val>
        </c:ser>
        <c:dLbls>
          <c:showLegendKey val="0"/>
          <c:showVal val="1"/>
          <c:showCatName val="0"/>
          <c:showSerName val="0"/>
          <c:showPercent val="0"/>
          <c:showBubbleSize val="0"/>
        </c:dLbls>
        <c:gapWidth val="219"/>
        <c:overlap val="-27"/>
        <c:axId val="252239872"/>
        <c:axId val="252241408"/>
      </c:barChart>
      <c:catAx>
        <c:axId val="25223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252241408"/>
        <c:crosses val="autoZero"/>
        <c:auto val="1"/>
        <c:lblAlgn val="ctr"/>
        <c:lblOffset val="100"/>
        <c:noMultiLvlLbl val="0"/>
      </c:catAx>
      <c:valAx>
        <c:axId val="2522414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2522398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zh-CN" altLang="en-US"/>
              <a:t>一般公共预算财政拨款支出决算变动情况 </a:t>
            </a:r>
            <a:endParaRPr lang="zh-CN" altLang="en-US"/>
          </a:p>
        </c:rich>
      </c:tx>
      <c:layout>
        <c:manualLayout>
          <c:xMode val="edge"/>
          <c:yMode val="edge"/>
          <c:x val="0.118402777777778"/>
          <c:y val="0.0520833333333334"/>
        </c:manualLayout>
      </c:layout>
      <c:overlay val="0"/>
      <c:spPr>
        <a:noFill/>
        <a:ln>
          <a:noFill/>
        </a:ln>
        <a:effectLst/>
      </c:spPr>
    </c:title>
    <c:autoTitleDeleted val="0"/>
    <c:plotArea>
      <c:layout>
        <c:manualLayout>
          <c:layoutTarget val="inner"/>
          <c:xMode val="edge"/>
          <c:yMode val="edge"/>
          <c:x val="0.124388888888889"/>
          <c:y val="0.247916666666667"/>
          <c:w val="0.863111111111111"/>
          <c:h val="0.633194444444445"/>
        </c:manualLayout>
      </c:layout>
      <c:barChart>
        <c:barDir val="col"/>
        <c:grouping val="clustered"/>
        <c:varyColors val="0"/>
        <c:ser>
          <c:idx val="0"/>
          <c:order val="0"/>
          <c:tx>
            <c:strRef>
              <c:f>Sheet1!$B$98:$B$99</c:f>
              <c:strCache>
                <c:ptCount val="1"/>
                <c:pt idx="0">
                  <c:v>一般公共预算财政拨款支出决算变动情况 一般公共预算财政拨款支出决算</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Sheet1!$A$100:$A$101</c:f>
              <c:strCache>
                <c:ptCount val="2"/>
                <c:pt idx="0">
                  <c:v>2018年</c:v>
                </c:pt>
                <c:pt idx="1">
                  <c:v>2019年</c:v>
                </c:pt>
              </c:strCache>
            </c:strRef>
          </c:cat>
          <c:val>
            <c:numRef>
              <c:f>Sheet1!$B$100:$B$101</c:f>
              <c:numCache>
                <c:formatCode>#,##0.00</c:formatCode>
                <c:ptCount val="2"/>
                <c:pt idx="0">
                  <c:v>138.57</c:v>
                </c:pt>
                <c:pt idx="1">
                  <c:v>138.04</c:v>
                </c:pt>
              </c:numCache>
            </c:numRef>
          </c:val>
        </c:ser>
        <c:dLbls>
          <c:showLegendKey val="0"/>
          <c:showVal val="1"/>
          <c:showCatName val="0"/>
          <c:showSerName val="0"/>
          <c:showPercent val="0"/>
          <c:showBubbleSize val="0"/>
        </c:dLbls>
        <c:gapWidth val="219"/>
        <c:overlap val="-27"/>
        <c:axId val="109803008"/>
        <c:axId val="109804928"/>
      </c:barChart>
      <c:catAx>
        <c:axId val="10980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9804928"/>
        <c:crosses val="autoZero"/>
        <c:auto val="1"/>
        <c:lblAlgn val="ctr"/>
        <c:lblOffset val="100"/>
        <c:noMultiLvlLbl val="0"/>
      </c:catAx>
      <c:valAx>
        <c:axId val="1098049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0" spcFirstLastPara="0" vertOverflow="ellipsis" vert="horz" wrap="square"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crossAx val="10980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333333"/>
                </a:solidFill>
                <a:latin typeface="宋体" panose="02010600030101010101" charset="-122"/>
                <a:ea typeface="宋体" panose="02010600030101010101" charset="-122"/>
                <a:cs typeface="宋体" panose="02010600030101010101" charset="-122"/>
              </a:defRPr>
            </a:pPr>
            <a:r>
              <a:rPr lang="en-US" altLang="zh-CN" sz="1400" b="0" i="0" u="none" strike="noStrike" baseline="0">
                <a:solidFill>
                  <a:srgbClr val="333333"/>
                </a:solidFill>
                <a:latin typeface="Calibri" panose="020F0502020204030204"/>
              </a:rPr>
              <a:t>2019</a:t>
            </a:r>
            <a:r>
              <a:rPr lang="zh-CN" altLang="en-US" sz="1400" b="0" i="0" u="none" strike="noStrike" baseline="0">
                <a:solidFill>
                  <a:srgbClr val="333333"/>
                </a:solidFill>
                <a:latin typeface="宋体" panose="02010600030101010101" charset="-122"/>
                <a:ea typeface="宋体" panose="02010600030101010101" charset="-122"/>
              </a:rPr>
              <a:t>年一般公共预算财政拨款支出决算结构 </a:t>
            </a:r>
            <a:endParaRPr lang="zh-CN" altLang="en-US" sz="1400" b="0" i="0" u="none" strike="noStrike" baseline="0">
              <a:solidFill>
                <a:srgbClr val="333333"/>
              </a:solidFill>
              <a:latin typeface="宋体" panose="02010600030101010101" charset="-122"/>
              <a:ea typeface="宋体" panose="02010600030101010101" charset="-122"/>
            </a:endParaRPr>
          </a:p>
        </c:rich>
      </c:tx>
      <c:layout/>
      <c:overlay val="0"/>
      <c:spPr>
        <a:noFill/>
        <a:ln>
          <a:noFill/>
        </a:ln>
        <a:effectLst/>
      </c:spPr>
    </c:title>
    <c:autoTitleDeleted val="0"/>
    <c:plotArea>
      <c:layout/>
      <c:pieChart>
        <c:varyColors val="1"/>
        <c:ser>
          <c:idx val="0"/>
          <c:order val="0"/>
          <c:tx>
            <c:strRef>
              <c:f>Sheet1!$B$122:$B$123</c:f>
              <c:strCache>
                <c:ptCount val="1"/>
                <c:pt idx="0">
                  <c:v>2019年一般公共预算财政拨款支出决算结构 金额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delete val="1"/>
            </c:dLbl>
            <c:dLbl>
              <c:idx val="1"/>
              <c:delete val="1"/>
            </c:dLbl>
            <c:dLbl>
              <c:idx val="2"/>
              <c:delete val="1"/>
            </c:dLbl>
            <c:dLbl>
              <c:idx val="3"/>
              <c:layout>
                <c:manualLayout>
                  <c:x val="0.00201422102658035"/>
                  <c:y val="-0.0072831177696740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43192194676955"/>
                  <c:y val="0.0048950301369111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Sheet1!$A$124:$A$129</c:f>
              <c:strCache>
                <c:ptCount val="6"/>
                <c:pt idx="0">
                  <c:v>一般公共服务</c:v>
                </c:pt>
                <c:pt idx="1">
                  <c:v>教育支出</c:v>
                </c:pt>
                <c:pt idx="2">
                  <c:v>科学技术</c:v>
                </c:pt>
                <c:pt idx="3">
                  <c:v>社会保障和就业</c:v>
                </c:pt>
                <c:pt idx="4">
                  <c:v>卫生健康支出</c:v>
                </c:pt>
                <c:pt idx="5">
                  <c:v>住房保障支出</c:v>
                </c:pt>
              </c:strCache>
            </c:strRef>
          </c:cat>
          <c:val>
            <c:numRef>
              <c:f>Sheet1!$B$124:$B$129</c:f>
              <c:numCache>
                <c:formatCode>General</c:formatCode>
                <c:ptCount val="6"/>
                <c:pt idx="0">
                  <c:v>0</c:v>
                </c:pt>
                <c:pt idx="1">
                  <c:v>0</c:v>
                </c:pt>
                <c:pt idx="2">
                  <c:v>0</c:v>
                </c:pt>
                <c:pt idx="3">
                  <c:v>15.61</c:v>
                </c:pt>
                <c:pt idx="4">
                  <c:v>113.71</c:v>
                </c:pt>
                <c:pt idx="5">
                  <c:v>8.72</c:v>
                </c:pt>
              </c:numCache>
            </c:numRef>
          </c:val>
        </c:ser>
        <c:ser>
          <c:idx val="1"/>
          <c:order val="1"/>
          <c:tx>
            <c:strRef>
              <c:f>Sheet1!$C$122:$C$123</c:f>
              <c:strCache>
                <c:ptCount val="1"/>
                <c:pt idx="0">
                  <c:v>2019年一般公共预算财政拨款支出决算结构 占比</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3175" cap="flat" cmpd="sng" algn="ctr">
                      <a:solidFill>
                        <a:srgbClr val="969696"/>
                      </a:solidFill>
                      <a:prstDash val="solid"/>
                      <a:round/>
                    </a:ln>
                  </c:spPr>
                </c15:leaderLines>
              </c:ext>
            </c:extLst>
          </c:dLbls>
          <c:cat>
            <c:strRef>
              <c:f>Sheet1!$A$124:$A$129</c:f>
              <c:strCache>
                <c:ptCount val="6"/>
                <c:pt idx="0">
                  <c:v>一般公共服务</c:v>
                </c:pt>
                <c:pt idx="1">
                  <c:v>教育支出</c:v>
                </c:pt>
                <c:pt idx="2">
                  <c:v>科学技术</c:v>
                </c:pt>
                <c:pt idx="3">
                  <c:v>社会保障和就业</c:v>
                </c:pt>
                <c:pt idx="4">
                  <c:v>卫生健康支出</c:v>
                </c:pt>
                <c:pt idx="5">
                  <c:v>住房保障支出</c:v>
                </c:pt>
              </c:strCache>
            </c:strRef>
          </c:cat>
          <c:val>
            <c:numRef>
              <c:f>Sheet1!$C$124:$C$129</c:f>
              <c:numCache>
                <c:formatCode>0%</c:formatCode>
                <c:ptCount val="6"/>
                <c:pt idx="0">
                  <c:v>0</c:v>
                </c:pt>
                <c:pt idx="1">
                  <c:v>0</c:v>
                </c:pt>
                <c:pt idx="2">
                  <c:v>0</c:v>
                </c:pt>
                <c:pt idx="3">
                  <c:v>0.1131</c:v>
                </c:pt>
                <c:pt idx="4">
                  <c:v>0.8237</c:v>
                </c:pt>
                <c:pt idx="5">
                  <c:v>0.0632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825" b="0" i="0" u="none" strike="noStrike" kern="1200" baseline="0">
              <a:solidFill>
                <a:srgbClr val="333333"/>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E78552-55CF-4345-A57B-E19EE39EE2CF}">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27</Pages>
  <Words>9160</Words>
  <Characters>2758</Characters>
  <Lines>22</Lines>
  <Paragraphs>23</Paragraphs>
  <TotalTime>8</TotalTime>
  <ScaleCrop>false</ScaleCrop>
  <LinksUpToDate>false</LinksUpToDate>
  <CharactersWithSpaces>11895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2020-08-31T16:08:00Z</dcterms:created>
  <dc:creator>曹颖</dc:creator>
  <cp:lastModifiedBy>陶淑群 </cp:lastModifiedBy>
  <cp:lastPrinted>2020-07-23T02:58:00Z</cp:lastPrinted>
  <dcterms:modified xsi:type="dcterms:W3CDTF">2020-10-23T09:03:24Z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