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8441"/>
      <w:bookmarkStart w:id="2" w:name="_Toc15377425"/>
      <w:bookmarkStart w:id="3" w:name="_Toc15377193"/>
      <w:bookmarkStart w:id="4" w:name="_Toc15396597"/>
      <w:bookmarkStart w:id="5" w:name="_Toc15306267"/>
    </w:p>
    <w:p>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68" w:name="_GoBack"/>
      <w:bookmarkEnd w:id="68"/>
    </w:p>
    <w:p>
      <w:pPr>
        <w:pStyle w:val="7"/>
        <w:jc w:val="center"/>
        <w:rPr>
          <w:rFonts w:hint="eastAsia" w:ascii="Times New Roman" w:hAnsi="Times New Roman" w:eastAsia="方正小标宋简体" w:cs="Times New Roman"/>
          <w:color w:val="auto"/>
          <w:kern w:val="2"/>
          <w:sz w:val="72"/>
          <w:szCs w:val="72"/>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阿坝州壤塘县</w:t>
      </w:r>
    </w:p>
    <w:p>
      <w:pPr>
        <w:pStyle w:val="7"/>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方正小标宋简体" w:hAnsi="宋体" w:eastAsia="方正小标宋简体" w:cs="Times New Roman"/>
          <w:color w:val="auto"/>
          <w:kern w:val="2"/>
          <w:sz w:val="44"/>
          <w:szCs w:val="44"/>
          <w:highlight w:val="none"/>
          <w:lang w:val="en-US" w:eastAsia="zh-CN" w:bidi="ar-SA"/>
        </w:rPr>
        <w:t>壤塘县红十字会部门决算公开</w:t>
      </w:r>
    </w:p>
    <w:p>
      <w:pPr>
        <w:pStyle w:val="7"/>
        <w:jc w:val="center"/>
        <w:rPr>
          <w:rFonts w:hint="default" w:ascii="Times New Roman" w:hAnsi="Times New Roman" w:eastAsia="方正小标宋简体" w:cs="Times New Roman"/>
          <w:color w:val="auto"/>
          <w:kern w:val="2"/>
          <w:sz w:val="44"/>
          <w:szCs w:val="44"/>
          <w:highlight w:val="none"/>
          <w:lang w:val="en-US" w:eastAsia="zh-CN" w:bidi="ar-SA"/>
        </w:rPr>
      </w:pPr>
    </w:p>
    <w:p>
      <w:pPr>
        <w:spacing w:line="600" w:lineRule="exact"/>
        <w:jc w:val="center"/>
        <w:outlineLvl w:val="0"/>
        <w:rPr>
          <w:rFonts w:ascii="Times New Roman" w:hAnsi="Times New Roman" w:eastAsia="方正小标宋简体"/>
          <w:color w:val="auto"/>
          <w:sz w:val="72"/>
          <w:szCs w:val="72"/>
          <w:highlight w:val="none"/>
        </w:rPr>
      </w:pPr>
    </w:p>
    <w:p>
      <w:pPr>
        <w:pStyle w:val="2"/>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bookmarkEnd w:id="0"/>
    <w:bookmarkEnd w:id="1"/>
    <w:bookmarkEnd w:id="2"/>
    <w:bookmarkEnd w:id="3"/>
    <w:bookmarkEnd w:id="4"/>
    <w:bookmarkEnd w:id="5"/>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红十字会</w:t>
      </w: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4"/>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公开时间：20</w:t>
      </w:r>
      <w:r>
        <w:rPr>
          <w:rFonts w:hint="eastAsia" w:ascii="仿宋" w:hAnsi="仿宋" w:eastAsia="仿宋" w:cs="仿宋"/>
          <w:color w:val="auto"/>
          <w:sz w:val="32"/>
          <w:szCs w:val="32"/>
          <w:highlight w:val="none"/>
          <w:lang w:val="en-US" w:eastAsia="zh-CN"/>
        </w:rPr>
        <w:t>26</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 xml:space="preserve"> 1</w:t>
      </w:r>
      <w:r>
        <w:rPr>
          <w:rFonts w:hint="eastAsia" w:cs="仿宋"/>
          <w:color w:val="auto"/>
          <w:sz w:val="32"/>
          <w:szCs w:val="32"/>
          <w:highlight w:val="none"/>
          <w:lang w:val="en-US" w:eastAsia="zh-CN"/>
        </w:rPr>
        <w:t>0</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 xml:space="preserve"> </w:t>
      </w:r>
      <w:r>
        <w:rPr>
          <w:rFonts w:hint="eastAsia" w:cs="仿宋"/>
          <w:color w:val="auto"/>
          <w:sz w:val="32"/>
          <w:szCs w:val="32"/>
          <w:highlight w:val="none"/>
          <w:lang w:val="en-US" w:eastAsia="zh-CN"/>
        </w:rPr>
        <w:t>16</w:t>
      </w:r>
      <w:r>
        <w:rPr>
          <w:rFonts w:hint="eastAsia" w:ascii="仿宋" w:hAnsi="仿宋" w:eastAsia="仿宋" w:cs="仿宋"/>
          <w:color w:val="auto"/>
          <w:sz w:val="32"/>
          <w:szCs w:val="32"/>
          <w:highlight w:val="none"/>
        </w:rPr>
        <w:t>日</w:t>
      </w:r>
    </w:p>
    <w:p>
      <w:pPr>
        <w:rPr>
          <w:rFonts w:hint="eastAsia" w:ascii="仿宋" w:hAnsi="仿宋" w:eastAsia="仿宋" w:cs="仿宋"/>
          <w:color w:val="auto"/>
          <w:highlight w:val="none"/>
        </w:rPr>
      </w:pP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第一部分 部门概况</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w:t>
      </w:r>
      <w:r>
        <w:rPr>
          <w:rFonts w:hint="eastAsia" w:ascii="仿宋" w:hAnsi="仿宋" w:eastAsia="仿宋" w:cs="仿宋"/>
          <w:color w:val="auto"/>
          <w:sz w:val="32"/>
          <w:szCs w:val="32"/>
          <w:highlight w:val="none"/>
          <w:lang w:eastAsia="zh-CN"/>
        </w:rPr>
        <w:t>部门职责</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二、机构设置</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第二部分</w:t>
      </w:r>
      <w:r>
        <w:rPr>
          <w:rFonts w:hint="eastAsia" w:ascii="仿宋" w:hAnsi="仿宋" w:eastAsia="仿宋" w:cs="仿宋"/>
          <w:color w:val="auto"/>
          <w:sz w:val="32"/>
          <w:szCs w:val="32"/>
          <w:highlight w:val="none"/>
          <w:lang w:val="en-US" w:eastAsia="zh-CN"/>
        </w:rPr>
        <w:t xml:space="preserve"> 2025年度</w:t>
      </w:r>
      <w:r>
        <w:rPr>
          <w:rFonts w:hint="eastAsia" w:ascii="仿宋" w:hAnsi="仿宋" w:eastAsia="仿宋" w:cs="仿宋"/>
          <w:color w:val="auto"/>
          <w:sz w:val="32"/>
          <w:szCs w:val="32"/>
          <w:highlight w:val="none"/>
        </w:rPr>
        <w:t>部门决算情况说明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二、收入决算情况说明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三、支出决算情况说明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四、财政拨款收入支出决算总体情况说明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五、一般公共预算财政拨款支出决算情况说明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六、一般公共预算财政拨款基本支出决算情况说明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七、财政拨款</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三公”经费支出决算情况说明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八、政府性基金预算支出决算情况说明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九、</w:t>
      </w:r>
      <w:r>
        <w:rPr>
          <w:rFonts w:hint="eastAsia" w:ascii="仿宋" w:hAnsi="仿宋" w:eastAsia="仿宋" w:cs="仿宋"/>
          <w:color w:val="auto"/>
          <w:sz w:val="32"/>
          <w:szCs w:val="32"/>
          <w:highlight w:val="none"/>
          <w:lang w:eastAsia="zh-CN"/>
        </w:rPr>
        <w:t>国</w:t>
      </w:r>
      <w:r>
        <w:rPr>
          <w:rFonts w:hint="eastAsia" w:ascii="仿宋" w:hAnsi="仿宋" w:eastAsia="仿宋" w:cs="仿宋"/>
          <w:color w:val="auto"/>
          <w:sz w:val="32"/>
          <w:szCs w:val="32"/>
          <w:highlight w:val="none"/>
        </w:rPr>
        <w:t>有资本经营预算支出决算情况说明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十</w:t>
      </w:r>
      <w:r>
        <w:rPr>
          <w:rFonts w:hint="eastAsia" w:ascii="仿宋" w:hAnsi="仿宋" w:eastAsia="仿宋" w:cs="仿宋"/>
          <w:color w:val="auto"/>
          <w:sz w:val="32"/>
          <w:szCs w:val="32"/>
          <w:highlight w:val="none"/>
        </w:rPr>
        <w:t>、其他重要事项的情况说明</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第三部分 名词解释</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第四部分 附件</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第五部分 附表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三、支出决算表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八、一般公共预算财政拨款基本支出决算</w:t>
      </w:r>
      <w:r>
        <w:rPr>
          <w:rFonts w:hint="eastAsia" w:ascii="仿宋" w:hAnsi="仿宋" w:eastAsia="仿宋" w:cs="仿宋"/>
          <w:color w:val="auto"/>
          <w:sz w:val="32"/>
          <w:szCs w:val="32"/>
          <w:highlight w:val="none"/>
          <w:lang w:eastAsia="zh-CN"/>
        </w:rPr>
        <w:t>明细</w:t>
      </w:r>
      <w:r>
        <w:rPr>
          <w:rFonts w:hint="eastAsia" w:ascii="仿宋" w:hAnsi="仿宋" w:eastAsia="仿宋" w:cs="仿宋"/>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十二、</w:t>
      </w:r>
      <w:r>
        <w:rPr>
          <w:rFonts w:hint="eastAsia" w:ascii="仿宋" w:hAnsi="仿宋" w:eastAsia="仿宋" w:cs="仿宋"/>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十三、财政拨款“三公”经费支出决算表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ascii="仿宋" w:hAnsi="仿宋" w:eastAsia="仿宋" w:cs="仿宋"/>
          <w:b/>
          <w:bCs/>
          <w:color w:val="auto"/>
          <w:sz w:val="32"/>
          <w:szCs w:val="32"/>
          <w:highlight w:val="none"/>
          <w:lang w:eastAsia="zh-CN"/>
        </w:rPr>
      </w:pPr>
    </w:p>
    <w:p>
      <w:pPr>
        <w:rPr>
          <w:rFonts w:hint="eastAsia"/>
          <w:lang w:eastAsia="zh-CN"/>
        </w:rPr>
      </w:pPr>
    </w:p>
    <w:p>
      <w:pPr>
        <w:keepNext w:val="0"/>
        <w:keepLines w:val="0"/>
        <w:pageBreakBefore w:val="0"/>
        <w:widowControl/>
        <w:kinsoku/>
        <w:wordWrap/>
        <w:overflowPunct/>
        <w:topLinePunct w:val="0"/>
        <w:autoSpaceDE/>
        <w:autoSpaceDN/>
        <w:bidi w:val="0"/>
        <w:spacing w:line="560" w:lineRule="exact"/>
        <w:jc w:val="left"/>
        <w:textAlignment w:val="auto"/>
        <w:rPr>
          <w:rFonts w:hint="eastAsia" w:ascii="仿宋" w:hAnsi="仿宋" w:eastAsia="仿宋" w:cs="仿宋"/>
          <w:color w:val="auto"/>
          <w:sz w:val="32"/>
          <w:szCs w:val="32"/>
          <w:highlight w:val="none"/>
        </w:rPr>
      </w:pPr>
      <w:bookmarkStart w:id="6" w:name="_Toc15396599"/>
      <w:bookmarkStart w:id="7" w:name="_Toc15377196"/>
      <w:r>
        <w:rPr>
          <w:rFonts w:hint="eastAsia" w:ascii="仿宋" w:hAnsi="仿宋" w:eastAsia="仿宋" w:cs="仿宋"/>
          <w:b/>
          <w:color w:val="auto"/>
          <w:sz w:val="32"/>
          <w:szCs w:val="32"/>
          <w:highlight w:val="none"/>
        </w:rPr>
        <w:br w:type="page"/>
      </w:r>
      <w:bookmarkEnd w:id="6"/>
      <w:bookmarkEnd w:id="7"/>
    </w:p>
    <w:p>
      <w:pPr>
        <w:pStyle w:val="3"/>
        <w:jc w:val="center"/>
        <w:rPr>
          <w:b/>
          <w:bCs/>
        </w:rPr>
      </w:pPr>
      <w:bookmarkStart w:id="8" w:name="_Toc24437"/>
      <w:r>
        <w:rPr>
          <w:rFonts w:hint="eastAsia"/>
          <w:b/>
          <w:bCs/>
        </w:rPr>
        <w:t>第一部分 部门概况</w:t>
      </w:r>
      <w:bookmarkEnd w:id="8"/>
    </w:p>
    <w:p>
      <w:pPr>
        <w:pStyle w:val="4"/>
        <w:bidi w:val="0"/>
        <w:rPr>
          <w:rFonts w:hint="eastAsia" w:ascii="黑体" w:hAnsi="黑体" w:eastAsia="黑体" w:cs="黑体"/>
          <w:b w:val="0"/>
          <w:bCs w:val="0"/>
          <w:lang w:val="en-US" w:eastAsia="zh-CN"/>
        </w:rPr>
      </w:pPr>
      <w:bookmarkStart w:id="9" w:name="_Toc15377197"/>
      <w:bookmarkStart w:id="10" w:name="_Toc15396600"/>
      <w:bookmarkStart w:id="11" w:name="_Toc26140"/>
      <w:r>
        <w:rPr>
          <w:rFonts w:hint="eastAsia" w:ascii="黑体" w:hAnsi="黑体" w:eastAsia="黑体" w:cs="黑体"/>
          <w:b w:val="0"/>
          <w:bCs w:val="0"/>
        </w:rPr>
        <w:t>一、</w:t>
      </w:r>
      <w:bookmarkEnd w:id="9"/>
      <w:bookmarkEnd w:id="10"/>
      <w:r>
        <w:rPr>
          <w:rFonts w:hint="eastAsia" w:ascii="黑体" w:hAnsi="黑体" w:eastAsia="黑体" w:cs="黑体"/>
          <w:b w:val="0"/>
          <w:bCs w:val="0"/>
          <w:lang w:val="en-US" w:eastAsia="zh-CN"/>
        </w:rPr>
        <w:t>部门职责</w:t>
      </w:r>
      <w:bookmarkEnd w:id="1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zh-CN" w:eastAsia="zh-CN"/>
        </w:rPr>
      </w:pPr>
      <w:bookmarkStart w:id="12" w:name="_Toc15377199"/>
      <w:bookmarkStart w:id="13" w:name="_Toc15378446"/>
      <w:r>
        <w:rPr>
          <w:rFonts w:hint="eastAsia" w:ascii="仿宋" w:hAnsi="仿宋" w:eastAsia="仿宋" w:cs="Times New Roman"/>
          <w:sz w:val="32"/>
          <w:szCs w:val="32"/>
          <w:lang w:val="zh-CN" w:eastAsia="zh-CN"/>
        </w:rPr>
        <w:t>传播国际红十字运动知识和国际人道法；宣传、执行《中华人民共和国红十字会法》《中华人民共和国红十字标志使用办法》等法律法规。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zh-CN" w:eastAsia="zh-CN"/>
        </w:rPr>
      </w:pPr>
      <w:r>
        <w:rPr>
          <w:rFonts w:hint="eastAsia" w:ascii="仿宋" w:hAnsi="仿宋" w:eastAsia="仿宋" w:cs="Times New Roman"/>
          <w:sz w:val="32"/>
          <w:szCs w:val="32"/>
          <w:lang w:val="zh-CN" w:eastAsia="zh-CN"/>
        </w:rPr>
        <w:t>开展备灾救灾工作，在自然灾害和突发事件中，开展对受害者的救助和帮助。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zh-CN" w:eastAsia="zh-CN"/>
        </w:rPr>
      </w:pPr>
      <w:r>
        <w:rPr>
          <w:rFonts w:hint="eastAsia" w:ascii="仿宋" w:hAnsi="仿宋" w:eastAsia="仿宋" w:cs="Times New Roman"/>
          <w:sz w:val="32"/>
          <w:szCs w:val="32"/>
          <w:lang w:val="zh-CN" w:eastAsia="zh-CN"/>
        </w:rPr>
        <w:t>开展人道领域内的社区服务、社会公益服务活动即卫生救护、防病常识的宣传和普及。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zh-CN" w:eastAsia="zh-CN"/>
        </w:rPr>
      </w:pPr>
      <w:r>
        <w:rPr>
          <w:rFonts w:hint="eastAsia" w:ascii="仿宋" w:hAnsi="仿宋" w:eastAsia="仿宋" w:cs="Times New Roman"/>
          <w:sz w:val="32"/>
          <w:szCs w:val="32"/>
          <w:lang w:val="zh-CN" w:eastAsia="zh-CN"/>
        </w:rPr>
        <w:t>开展艾滋病预防及吸毒危害的宣传教育工作，增强公民自我防护意识和能力。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zh-CN" w:eastAsia="zh-CN"/>
        </w:rPr>
      </w:pPr>
      <w:r>
        <w:rPr>
          <w:rFonts w:hint="eastAsia" w:ascii="仿宋" w:hAnsi="仿宋" w:eastAsia="仿宋" w:cs="Times New Roman"/>
          <w:sz w:val="32"/>
          <w:szCs w:val="32"/>
          <w:lang w:val="zh-CN" w:eastAsia="zh-CN"/>
        </w:rPr>
        <w:t>组织会员、志愿工作者开展社会服务活动。参与本地区的医疗服务救助工作和扶贫助学工作。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zh-CN" w:eastAsia="zh-CN"/>
        </w:rPr>
      </w:pPr>
      <w:r>
        <w:rPr>
          <w:rFonts w:hint="eastAsia" w:ascii="仿宋" w:hAnsi="仿宋" w:eastAsia="仿宋" w:cs="Times New Roman"/>
          <w:sz w:val="32"/>
          <w:szCs w:val="32"/>
          <w:lang w:val="zh-CN" w:eastAsia="zh-CN"/>
        </w:rPr>
        <w:t>开展红十字会品牌项目活动，积极推动“三救、三献”工作。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zh-CN" w:eastAsia="zh-CN"/>
        </w:rPr>
        <w:t>依照国际红十字会和红新月的基本原则，完成上级红会及县委县人民政府委托的其他事项。</w:t>
      </w:r>
    </w:p>
    <w:bookmarkEnd w:id="12"/>
    <w:bookmarkEnd w:id="13"/>
    <w:p>
      <w:pPr>
        <w:pStyle w:val="4"/>
        <w:numPr>
          <w:ilvl w:val="0"/>
          <w:numId w:val="1"/>
        </w:numPr>
        <w:bidi w:val="0"/>
        <w:rPr>
          <w:rFonts w:hint="eastAsia" w:ascii="黑体" w:hAnsi="黑体" w:eastAsia="黑体" w:cs="黑体"/>
          <w:b w:val="0"/>
          <w:bCs w:val="0"/>
          <w:lang w:val="en-US" w:eastAsia="zh-CN"/>
        </w:rPr>
      </w:pPr>
      <w:bookmarkStart w:id="14" w:name="_Toc22876"/>
      <w:r>
        <w:rPr>
          <w:rFonts w:hint="eastAsia" w:ascii="黑体" w:hAnsi="黑体" w:eastAsia="黑体" w:cs="黑体"/>
          <w:b w:val="0"/>
          <w:bCs w:val="0"/>
          <w:lang w:val="en-US" w:eastAsia="zh-CN"/>
        </w:rPr>
        <w:t>机构设置</w:t>
      </w:r>
      <w:bookmarkEnd w:id="14"/>
    </w:p>
    <w:p>
      <w:pPr>
        <w:pStyle w:val="4"/>
        <w:numPr>
          <w:ilvl w:val="0"/>
          <w:numId w:val="0"/>
        </w:numPr>
        <w:bidi w:val="0"/>
        <w:ind w:firstLine="640" w:firstLineChars="200"/>
        <w:rPr>
          <w:rFonts w:hint="eastAsia" w:ascii="仿宋" w:hAnsi="仿宋" w:eastAsia="仿宋"/>
          <w:b w:val="0"/>
          <w:bCs w:val="0"/>
          <w:sz w:val="32"/>
          <w:szCs w:val="32"/>
        </w:rPr>
      </w:pPr>
      <w:r>
        <w:rPr>
          <w:rFonts w:hint="eastAsia" w:ascii="仿宋" w:hAnsi="仿宋" w:eastAsia="仿宋"/>
          <w:b w:val="0"/>
          <w:bCs w:val="0"/>
          <w:sz w:val="32"/>
          <w:szCs w:val="32"/>
          <w:lang w:val="en-US" w:eastAsia="zh-CN"/>
        </w:rPr>
        <w:t>壤塘县红十字会无下属二级单位，基本性质为参照公务员法管理事业单位，共</w:t>
      </w:r>
      <w:r>
        <w:rPr>
          <w:rFonts w:hint="eastAsia" w:ascii="仿宋" w:hAnsi="仿宋" w:eastAsia="仿宋"/>
          <w:b w:val="0"/>
          <w:bCs w:val="0"/>
          <w:sz w:val="32"/>
          <w:szCs w:val="32"/>
        </w:rPr>
        <w:t>有</w:t>
      </w:r>
      <w:r>
        <w:rPr>
          <w:rFonts w:hint="eastAsia" w:ascii="仿宋" w:hAnsi="仿宋" w:eastAsia="仿宋"/>
          <w:b w:val="0"/>
          <w:bCs w:val="0"/>
          <w:sz w:val="32"/>
          <w:szCs w:val="32"/>
          <w:lang w:val="en-US" w:eastAsia="zh-CN"/>
        </w:rPr>
        <w:t>1个股室，分别为综合办公室</w:t>
      </w:r>
      <w:r>
        <w:rPr>
          <w:rFonts w:hint="eastAsia" w:ascii="仿宋" w:hAnsi="仿宋" w:eastAsia="仿宋"/>
          <w:b w:val="0"/>
          <w:bCs w:val="0"/>
          <w:sz w:val="32"/>
          <w:szCs w:val="32"/>
        </w:rPr>
        <w:t>。</w:t>
      </w:r>
    </w:p>
    <w:p>
      <w:pPr>
        <w:widowControl/>
        <w:jc w:val="left"/>
        <w:rPr>
          <w:rFonts w:hint="eastAsia" w:ascii="Times New Roman" w:hAnsi="Times New Roman" w:eastAsia="宋体" w:cs="Times New Roman"/>
          <w:b/>
          <w:bCs/>
          <w:kern w:val="44"/>
          <w:sz w:val="44"/>
          <w:szCs w:val="44"/>
          <w:lang w:val="en-US" w:eastAsia="zh-CN" w:bidi="ar-SA"/>
        </w:rPr>
      </w:pPr>
      <w:r>
        <w:rPr>
          <w:rFonts w:ascii="仿宋" w:hAnsi="仿宋" w:eastAsia="仿宋"/>
          <w:kern w:val="0"/>
          <w:sz w:val="32"/>
          <w:szCs w:val="32"/>
        </w:rPr>
        <w:br w:type="page"/>
      </w:r>
      <w:bookmarkStart w:id="15" w:name="_Toc15396602"/>
      <w:bookmarkStart w:id="16" w:name="_Toc15377204"/>
      <w:r>
        <w:rPr>
          <w:rFonts w:hint="eastAsia" w:ascii="仿宋" w:hAnsi="仿宋" w:eastAsia="仿宋"/>
          <w:kern w:val="0"/>
          <w:sz w:val="32"/>
          <w:szCs w:val="32"/>
          <w:lang w:val="en-US" w:eastAsia="zh-CN"/>
        </w:rPr>
        <w:t xml:space="preserve">    </w:t>
      </w:r>
      <w:r>
        <w:rPr>
          <w:rFonts w:hint="eastAsia" w:ascii="Times New Roman" w:hAnsi="Times New Roman" w:eastAsia="宋体" w:cs="Times New Roman"/>
          <w:b/>
          <w:bCs/>
          <w:kern w:val="44"/>
          <w:sz w:val="44"/>
          <w:szCs w:val="44"/>
          <w:lang w:val="en-US" w:eastAsia="zh-CN" w:bidi="ar-SA"/>
        </w:rPr>
        <w:t>第二部分  2025年度部门决算情况说明</w:t>
      </w:r>
      <w:bookmarkEnd w:id="15"/>
      <w:bookmarkEnd w:id="16"/>
    </w:p>
    <w:p>
      <w:pPr>
        <w:rPr>
          <w:rFonts w:hint="eastAsia" w:ascii="仿宋" w:hAnsi="仿宋" w:eastAsia="仿宋" w:cs="仿宋"/>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Style w:val="30"/>
          <w:rFonts w:hint="eastAsia" w:ascii="仿宋" w:hAnsi="仿宋" w:eastAsia="仿宋" w:cs="仿宋"/>
          <w:b/>
          <w:bCs/>
          <w:color w:val="auto"/>
          <w:highlight w:val="none"/>
        </w:rPr>
      </w:pPr>
      <w:bookmarkStart w:id="17" w:name="_Toc15377205"/>
      <w:bookmarkStart w:id="18" w:name="_Toc15396603"/>
      <w:r>
        <w:rPr>
          <w:rFonts w:hint="eastAsia" w:ascii="仿宋" w:hAnsi="仿宋" w:eastAsia="仿宋" w:cs="仿宋"/>
          <w:b/>
          <w:bCs/>
          <w:color w:val="auto"/>
          <w:sz w:val="32"/>
          <w:szCs w:val="32"/>
          <w:highlight w:val="none"/>
          <w:lang w:eastAsia="zh-CN"/>
        </w:rPr>
        <w:t>一、</w:t>
      </w:r>
      <w:r>
        <w:rPr>
          <w:rFonts w:hint="eastAsia" w:ascii="仿宋" w:hAnsi="仿宋" w:eastAsia="仿宋" w:cs="仿宋"/>
          <w:b/>
          <w:bCs/>
          <w:color w:val="auto"/>
          <w:sz w:val="32"/>
          <w:szCs w:val="32"/>
          <w:highlight w:val="none"/>
        </w:rPr>
        <w:t>收</w:t>
      </w:r>
      <w:r>
        <w:rPr>
          <w:rStyle w:val="30"/>
          <w:rFonts w:hint="eastAsia" w:ascii="仿宋" w:hAnsi="仿宋" w:eastAsia="仿宋" w:cs="仿宋"/>
          <w:b/>
          <w:bCs/>
          <w:color w:val="auto"/>
          <w:highlight w:val="none"/>
        </w:rPr>
        <w:t>入支出决算总体情况说明</w:t>
      </w:r>
      <w:bookmarkEnd w:id="17"/>
      <w:bookmarkEnd w:id="18"/>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2025年度收入</w:t>
      </w:r>
      <w:r>
        <w:rPr>
          <w:rFonts w:hint="eastAsia" w:ascii="仿宋" w:hAnsi="仿宋" w:eastAsia="仿宋" w:cs="仿宋"/>
          <w:color w:val="auto"/>
          <w:sz w:val="32"/>
          <w:szCs w:val="32"/>
          <w:highlight w:val="none"/>
          <w:lang w:val="en-US" w:eastAsia="zh-CN"/>
        </w:rPr>
        <w:t>总计126.05万元</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支出</w:t>
      </w:r>
      <w:r>
        <w:rPr>
          <w:rFonts w:hint="eastAsia" w:ascii="仿宋" w:hAnsi="仿宋" w:eastAsia="仿宋" w:cs="仿宋"/>
          <w:color w:val="auto"/>
          <w:sz w:val="32"/>
          <w:szCs w:val="32"/>
          <w:highlight w:val="none"/>
        </w:rPr>
        <w:t>总计</w:t>
      </w:r>
      <w:r>
        <w:rPr>
          <w:rFonts w:hint="eastAsia" w:ascii="仿宋" w:hAnsi="仿宋" w:eastAsia="仿宋" w:cs="仿宋"/>
          <w:color w:val="auto"/>
          <w:sz w:val="32"/>
          <w:szCs w:val="32"/>
          <w:highlight w:val="none"/>
          <w:lang w:eastAsia="zh-CN"/>
        </w:rPr>
        <w:t>均为</w:t>
      </w:r>
      <w:r>
        <w:rPr>
          <w:rFonts w:hint="eastAsia" w:ascii="仿宋" w:hAnsi="仿宋" w:eastAsia="仿宋" w:cs="仿宋"/>
          <w:color w:val="auto"/>
          <w:sz w:val="32"/>
          <w:szCs w:val="32"/>
          <w:highlight w:val="none"/>
          <w:lang w:val="en-US" w:eastAsia="zh-CN"/>
        </w:rPr>
        <w:t>124.85</w:t>
      </w:r>
      <w:r>
        <w:rPr>
          <w:rFonts w:hint="eastAsia" w:ascii="仿宋" w:hAnsi="仿宋" w:eastAsia="仿宋" w:cs="仿宋"/>
          <w:color w:val="auto"/>
          <w:sz w:val="32"/>
          <w:szCs w:val="32"/>
          <w:highlight w:val="none"/>
        </w:rPr>
        <w:t>万元。与</w:t>
      </w:r>
      <w:r>
        <w:rPr>
          <w:rFonts w:hint="eastAsia" w:ascii="仿宋" w:hAnsi="仿宋" w:eastAsia="仿宋" w:cs="仿宋"/>
          <w:color w:val="auto"/>
          <w:sz w:val="32"/>
          <w:szCs w:val="32"/>
          <w:highlight w:val="none"/>
          <w:lang w:val="en-US" w:eastAsia="zh-CN"/>
        </w:rPr>
        <w:t>2024</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eastAsia="zh-CN"/>
        </w:rPr>
        <w:t>度</w:t>
      </w:r>
      <w:r>
        <w:rPr>
          <w:rFonts w:hint="eastAsia" w:ascii="仿宋" w:hAnsi="仿宋" w:eastAsia="仿宋" w:cs="仿宋"/>
          <w:color w:val="auto"/>
          <w:sz w:val="32"/>
          <w:szCs w:val="32"/>
          <w:highlight w:val="none"/>
        </w:rPr>
        <w:t>相比，</w:t>
      </w:r>
      <w:r>
        <w:rPr>
          <w:rFonts w:hint="eastAsia" w:ascii="仿宋" w:hAnsi="仿宋" w:eastAsia="仿宋" w:cs="仿宋"/>
          <w:color w:val="auto"/>
          <w:sz w:val="32"/>
          <w:szCs w:val="32"/>
          <w:highlight w:val="none"/>
          <w:lang w:eastAsia="zh-CN"/>
        </w:rPr>
        <w:t>收入</w:t>
      </w:r>
      <w:r>
        <w:rPr>
          <w:rFonts w:hint="eastAsia" w:ascii="仿宋" w:hAnsi="仿宋" w:eastAsia="仿宋" w:cs="仿宋"/>
          <w:color w:val="auto"/>
          <w:sz w:val="32"/>
          <w:szCs w:val="32"/>
          <w:highlight w:val="none"/>
          <w:lang w:val="en-US" w:eastAsia="zh-CN"/>
        </w:rPr>
        <w:t>总计</w:t>
      </w:r>
      <w:r>
        <w:rPr>
          <w:rFonts w:hint="eastAsia" w:ascii="仿宋" w:hAnsi="仿宋" w:eastAsia="仿宋" w:cs="仿宋"/>
          <w:color w:val="auto"/>
          <w:sz w:val="32"/>
          <w:szCs w:val="32"/>
          <w:highlight w:val="none"/>
        </w:rPr>
        <w:t>增加</w:t>
      </w:r>
      <w:r>
        <w:rPr>
          <w:rFonts w:hint="eastAsia" w:ascii="仿宋" w:hAnsi="仿宋" w:eastAsia="仿宋" w:cs="仿宋"/>
          <w:color w:val="auto"/>
          <w:sz w:val="32"/>
          <w:szCs w:val="32"/>
          <w:highlight w:val="none"/>
          <w:lang w:val="en-US" w:eastAsia="zh-CN"/>
        </w:rPr>
        <w:t>19.12</w:t>
      </w:r>
      <w:r>
        <w:rPr>
          <w:rFonts w:hint="eastAsia" w:ascii="仿宋" w:hAnsi="仿宋" w:eastAsia="仿宋" w:cs="仿宋"/>
          <w:color w:val="auto"/>
          <w:sz w:val="32"/>
          <w:szCs w:val="32"/>
          <w:highlight w:val="none"/>
        </w:rPr>
        <w:t>万元，增长</w:t>
      </w:r>
      <w:r>
        <w:rPr>
          <w:rFonts w:hint="eastAsia" w:ascii="仿宋" w:hAnsi="仿宋" w:eastAsia="仿宋" w:cs="仿宋"/>
          <w:color w:val="auto"/>
          <w:sz w:val="32"/>
          <w:szCs w:val="32"/>
          <w:highlight w:val="none"/>
          <w:lang w:val="en-US" w:eastAsia="zh-CN"/>
        </w:rPr>
        <w:t>17.88</w:t>
      </w:r>
      <w:r>
        <w:rPr>
          <w:rFonts w:hint="eastAsia" w:ascii="仿宋" w:hAnsi="仿宋" w:eastAsia="仿宋" w:cs="仿宋"/>
          <w:color w:val="auto"/>
          <w:sz w:val="32"/>
          <w:szCs w:val="32"/>
          <w:highlight w:val="none"/>
        </w:rPr>
        <w:t>%。主要变动原因是</w:t>
      </w:r>
      <w:r>
        <w:rPr>
          <w:rFonts w:hint="eastAsia" w:ascii="仿宋" w:hAnsi="仿宋" w:eastAsia="仿宋" w:cs="仿宋"/>
          <w:color w:val="auto"/>
          <w:sz w:val="32"/>
          <w:szCs w:val="32"/>
          <w:highlight w:val="none"/>
          <w:lang w:val="en-US" w:eastAsia="zh-CN"/>
        </w:rPr>
        <w:t>人员变多收支增多。</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仿宋" w:hAnsi="仿宋" w:eastAsia="仿宋" w:cs="仿宋"/>
          <w:color w:val="auto"/>
          <w:sz w:val="32"/>
          <w:szCs w:val="32"/>
          <w:highlight w:val="none"/>
          <w:lang w:val="en-US" w:eastAsia="zh-CN"/>
        </w:rPr>
      </w:pPr>
      <w:r>
        <w:drawing>
          <wp:anchor distT="0" distB="0" distL="114300" distR="114300" simplePos="0" relativeHeight="251659264" behindDoc="1" locked="0" layoutInCell="1" allowOverlap="1">
            <wp:simplePos x="0" y="0"/>
            <wp:positionH relativeFrom="column">
              <wp:posOffset>690245</wp:posOffset>
            </wp:positionH>
            <wp:positionV relativeFrom="paragraph">
              <wp:posOffset>137160</wp:posOffset>
            </wp:positionV>
            <wp:extent cx="3684270" cy="2557145"/>
            <wp:effectExtent l="4445" t="4445" r="6985" b="10160"/>
            <wp:wrapTight wrapText="bothSides">
              <wp:wrapPolygon>
                <wp:start x="-26" y="-38"/>
                <wp:lineTo x="-26" y="21525"/>
                <wp:lineTo x="21529" y="21525"/>
                <wp:lineTo x="21529" y="-38"/>
                <wp:lineTo x="-26" y="-38"/>
              </wp:wrapPolygon>
            </wp:wrapTight>
            <wp:docPr id="105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（图1：</w:t>
      </w:r>
      <w:r>
        <w:rPr>
          <w:rFonts w:hint="eastAsia" w:ascii="仿宋" w:hAnsi="仿宋" w:eastAsia="仿宋" w:cs="仿宋"/>
          <w:color w:val="auto"/>
          <w:sz w:val="32"/>
          <w:szCs w:val="32"/>
          <w:highlight w:val="none"/>
          <w:lang w:eastAsia="zh-CN"/>
        </w:rPr>
        <w:t>收入</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支出</w:t>
      </w:r>
      <w:r>
        <w:rPr>
          <w:rFonts w:hint="eastAsia" w:ascii="仿宋" w:hAnsi="仿宋" w:eastAsia="仿宋" w:cs="仿宋"/>
          <w:color w:val="auto"/>
          <w:sz w:val="32"/>
          <w:szCs w:val="32"/>
          <w:highlight w:val="none"/>
        </w:rPr>
        <w:t>决算总计变动情况图）（柱状图）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仿宋" w:hAnsi="仿宋" w:eastAsia="仿宋" w:cs="仿宋"/>
          <w:b/>
          <w:bCs/>
          <w:color w:val="auto"/>
          <w:sz w:val="32"/>
          <w:szCs w:val="32"/>
          <w:highlight w:val="none"/>
          <w:lang w:eastAsia="zh-CN"/>
        </w:rPr>
      </w:pPr>
      <w:bookmarkStart w:id="19" w:name="_Toc15377206"/>
      <w:bookmarkStart w:id="20" w:name="_Toc15396604"/>
      <w:r>
        <w:rPr>
          <w:rFonts w:hint="eastAsia" w:ascii="仿宋" w:hAnsi="仿宋" w:eastAsia="仿宋" w:cs="仿宋"/>
          <w:b/>
          <w:bCs/>
          <w:color w:val="auto"/>
          <w:sz w:val="32"/>
          <w:szCs w:val="32"/>
          <w:highlight w:val="none"/>
          <w:lang w:eastAsia="zh-CN"/>
        </w:rPr>
        <w:t>二、收入决算情况说明</w:t>
      </w:r>
      <w:bookmarkEnd w:id="19"/>
      <w:bookmarkEnd w:id="20"/>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2025年度本年收入合计</w:t>
      </w:r>
      <w:r>
        <w:rPr>
          <w:rFonts w:hint="eastAsia" w:ascii="仿宋" w:hAnsi="仿宋" w:eastAsia="仿宋" w:cs="仿宋"/>
          <w:color w:val="auto"/>
          <w:sz w:val="32"/>
          <w:szCs w:val="32"/>
          <w:highlight w:val="none"/>
          <w:lang w:val="en-US" w:eastAsia="zh-CN"/>
        </w:rPr>
        <w:t>126.05</w:t>
      </w:r>
      <w:r>
        <w:rPr>
          <w:rFonts w:hint="eastAsia" w:ascii="仿宋" w:hAnsi="仿宋" w:eastAsia="仿宋" w:cs="仿宋"/>
          <w:color w:val="auto"/>
          <w:sz w:val="32"/>
          <w:szCs w:val="32"/>
          <w:highlight w:val="none"/>
          <w:lang w:eastAsia="zh-CN"/>
        </w:rPr>
        <w:t>万元，其中：一般公共预算财政拨款收入</w:t>
      </w:r>
      <w:r>
        <w:rPr>
          <w:rFonts w:hint="eastAsia" w:ascii="仿宋" w:hAnsi="仿宋" w:eastAsia="仿宋" w:cs="仿宋"/>
          <w:color w:val="auto"/>
          <w:sz w:val="32"/>
          <w:szCs w:val="32"/>
          <w:highlight w:val="none"/>
          <w:lang w:val="en-US" w:eastAsia="zh-CN"/>
        </w:rPr>
        <w:t>114.92</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91.17</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政府性基金预算财政拨款收入9.93万元，占7.88%</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年初结转和结余收入1.20万元，占0.95%；</w:t>
      </w:r>
      <w:r>
        <w:rPr>
          <w:rFonts w:hint="eastAsia" w:ascii="仿宋" w:hAnsi="仿宋" w:eastAsia="仿宋" w:cs="仿宋"/>
          <w:color w:val="auto"/>
          <w:sz w:val="32"/>
          <w:szCs w:val="32"/>
          <w:highlight w:val="none"/>
          <w:lang w:eastAsia="zh-CN"/>
        </w:rPr>
        <w:t>国有资本经营预算财政拨款收入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%；上级补助收入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%；事业收入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%；经营收入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%；附属单位上缴收入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%；其他收入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（图2：收入决算结构图）（饼状图）</w:t>
      </w:r>
    </w:p>
    <w:p>
      <w:pPr>
        <w:ind w:firstLine="525" w:firstLineChars="250"/>
        <w:rPr>
          <w:rFonts w:hint="eastAsia" w:ascii="仿宋" w:hAnsi="仿宋" w:eastAsia="仿宋" w:cs="仿宋"/>
          <w:color w:val="auto"/>
          <w:sz w:val="32"/>
          <w:szCs w:val="32"/>
          <w:highlight w:val="none"/>
          <w:lang w:eastAsia="zh-CN"/>
        </w:rPr>
      </w:pPr>
      <w:r>
        <w:drawing>
          <wp:inline distT="0" distB="0" distL="114300" distR="114300">
            <wp:extent cx="4875530" cy="2750185"/>
            <wp:effectExtent l="4445" t="4445" r="15875" b="7620"/>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Style w:val="30"/>
          <w:rFonts w:hint="eastAsia" w:ascii="仿宋" w:hAnsi="仿宋" w:eastAsia="仿宋" w:cs="仿宋"/>
          <w:b/>
          <w:bCs/>
          <w:color w:val="auto"/>
          <w:highlight w:val="none"/>
        </w:rPr>
      </w:pPr>
      <w:bookmarkStart w:id="21" w:name="_Toc15377207"/>
      <w:bookmarkStart w:id="22" w:name="_Toc15396605"/>
      <w:r>
        <w:rPr>
          <w:rFonts w:hint="eastAsia" w:ascii="仿宋" w:hAnsi="仿宋" w:eastAsia="仿宋" w:cs="仿宋"/>
          <w:b/>
          <w:bCs/>
          <w:color w:val="auto"/>
          <w:sz w:val="32"/>
          <w:szCs w:val="32"/>
          <w:highlight w:val="none"/>
          <w:lang w:eastAsia="zh-CN"/>
        </w:rPr>
        <w:t>三、</w:t>
      </w:r>
      <w:r>
        <w:rPr>
          <w:rFonts w:hint="eastAsia" w:ascii="仿宋" w:hAnsi="仿宋" w:eastAsia="仿宋" w:cs="仿宋"/>
          <w:b/>
          <w:bCs/>
          <w:color w:val="auto"/>
          <w:sz w:val="32"/>
          <w:szCs w:val="32"/>
          <w:highlight w:val="none"/>
        </w:rPr>
        <w:t>支</w:t>
      </w:r>
      <w:r>
        <w:rPr>
          <w:rStyle w:val="30"/>
          <w:rFonts w:hint="eastAsia" w:ascii="仿宋" w:hAnsi="仿宋" w:eastAsia="仿宋" w:cs="仿宋"/>
          <w:b/>
          <w:bCs/>
          <w:color w:val="auto"/>
          <w:highlight w:val="none"/>
        </w:rPr>
        <w:t>出决算情况说明</w:t>
      </w:r>
      <w:bookmarkEnd w:id="21"/>
      <w:bookmarkEnd w:id="22"/>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b/>
          <w:bCs/>
          <w:color w:val="auto"/>
          <w:sz w:val="32"/>
          <w:szCs w:val="32"/>
          <w:highlight w:val="none"/>
          <w:lang w:eastAsia="zh-CN"/>
        </w:rPr>
      </w:pPr>
      <w:r>
        <w:rPr>
          <w:rFonts w:hint="eastAsia" w:ascii="仿宋" w:hAnsi="仿宋" w:eastAsia="仿宋" w:cs="仿宋"/>
          <w:color w:val="auto"/>
          <w:sz w:val="32"/>
          <w:szCs w:val="32"/>
          <w:highlight w:val="none"/>
          <w:lang w:eastAsia="zh-CN"/>
        </w:rPr>
        <w:t>2025年度本年支出合计</w:t>
      </w:r>
      <w:r>
        <w:rPr>
          <w:rFonts w:hint="eastAsia" w:ascii="仿宋" w:hAnsi="仿宋" w:eastAsia="仿宋" w:cs="仿宋"/>
          <w:color w:val="auto"/>
          <w:sz w:val="32"/>
          <w:szCs w:val="32"/>
          <w:highlight w:val="none"/>
          <w:lang w:val="en-US" w:eastAsia="zh-CN"/>
        </w:rPr>
        <w:t>125.85</w:t>
      </w:r>
      <w:r>
        <w:rPr>
          <w:rFonts w:hint="eastAsia" w:ascii="仿宋" w:hAnsi="仿宋" w:eastAsia="仿宋" w:cs="仿宋"/>
          <w:color w:val="auto"/>
          <w:sz w:val="32"/>
          <w:szCs w:val="32"/>
          <w:highlight w:val="none"/>
          <w:lang w:eastAsia="zh-CN"/>
        </w:rPr>
        <w:t>万元，其中：基本支出</w:t>
      </w:r>
      <w:r>
        <w:rPr>
          <w:rFonts w:hint="eastAsia" w:ascii="仿宋" w:hAnsi="仿宋" w:eastAsia="仿宋" w:cs="仿宋"/>
          <w:color w:val="auto"/>
          <w:sz w:val="32"/>
          <w:szCs w:val="32"/>
          <w:highlight w:val="none"/>
          <w:lang w:val="en-US" w:eastAsia="zh-CN"/>
        </w:rPr>
        <w:t>114.92</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91.31</w:t>
      </w:r>
      <w:r>
        <w:rPr>
          <w:rFonts w:hint="eastAsia" w:ascii="仿宋" w:hAnsi="仿宋" w:eastAsia="仿宋" w:cs="仿宋"/>
          <w:color w:val="auto"/>
          <w:sz w:val="32"/>
          <w:szCs w:val="32"/>
          <w:highlight w:val="none"/>
          <w:lang w:eastAsia="zh-CN"/>
        </w:rPr>
        <w:t>%；项目支出</w:t>
      </w:r>
      <w:r>
        <w:rPr>
          <w:rFonts w:hint="eastAsia" w:ascii="仿宋" w:hAnsi="仿宋" w:eastAsia="仿宋" w:cs="仿宋"/>
          <w:color w:val="auto"/>
          <w:sz w:val="32"/>
          <w:szCs w:val="32"/>
          <w:highlight w:val="none"/>
          <w:lang w:val="en-US" w:eastAsia="zh-CN"/>
        </w:rPr>
        <w:t>10.93</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8.69</w:t>
      </w:r>
      <w:r>
        <w:rPr>
          <w:rFonts w:hint="eastAsia" w:ascii="仿宋" w:hAnsi="仿宋" w:eastAsia="仿宋" w:cs="仿宋"/>
          <w:color w:val="auto"/>
          <w:sz w:val="32"/>
          <w:szCs w:val="32"/>
          <w:highlight w:val="none"/>
          <w:lang w:eastAsia="zh-CN"/>
        </w:rPr>
        <w:t>%；上缴上级支出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%；经营支出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%；对附属单位补助支出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textAlignment w:val="auto"/>
        <w:outlineLvl w:val="1"/>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（图3：支出决算结构图）（饼状图）</w:t>
      </w:r>
    </w:p>
    <w:p>
      <w:pPr>
        <w:pStyle w:val="9"/>
        <w:rPr>
          <w:rFonts w:hint="default"/>
          <w:lang w:val="en-US" w:eastAsia="zh-CN"/>
        </w:rPr>
      </w:pPr>
      <w:r>
        <w:drawing>
          <wp:inline distT="0" distB="0" distL="114300" distR="114300">
            <wp:extent cx="4809490" cy="2503170"/>
            <wp:effectExtent l="4445" t="4445" r="5715" b="6985"/>
            <wp:docPr id="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numPr>
          <w:ilvl w:val="0"/>
          <w:numId w:val="0"/>
        </w:numPr>
        <w:spacing w:line="600" w:lineRule="exact"/>
        <w:ind w:leftChars="0" w:firstLine="642" w:firstLineChars="200"/>
        <w:outlineLvl w:val="1"/>
        <w:rPr>
          <w:rFonts w:hint="eastAsia"/>
        </w:rPr>
      </w:pPr>
      <w:bookmarkStart w:id="23" w:name="_Toc15396606"/>
      <w:bookmarkStart w:id="24" w:name="_Toc15377208"/>
      <w:r>
        <w:rPr>
          <w:rFonts w:hint="eastAsia" w:ascii="仿宋" w:hAnsi="仿宋" w:eastAsia="仿宋" w:cs="仿宋"/>
          <w:b/>
          <w:bCs/>
          <w:color w:val="auto"/>
          <w:sz w:val="32"/>
          <w:szCs w:val="32"/>
          <w:highlight w:val="none"/>
          <w:lang w:val="en-US" w:eastAsia="zh-CN"/>
        </w:rPr>
        <w:t>四、</w:t>
      </w:r>
      <w:r>
        <w:rPr>
          <w:rFonts w:hint="eastAsia" w:ascii="仿宋" w:hAnsi="仿宋" w:eastAsia="仿宋" w:cs="仿宋"/>
          <w:b/>
          <w:bCs/>
          <w:color w:val="auto"/>
          <w:sz w:val="32"/>
          <w:szCs w:val="32"/>
          <w:highlight w:val="none"/>
        </w:rPr>
        <w:t>财</w:t>
      </w:r>
      <w:r>
        <w:rPr>
          <w:rStyle w:val="30"/>
          <w:rFonts w:hint="eastAsia" w:ascii="仿宋" w:hAnsi="仿宋" w:eastAsia="仿宋" w:cs="仿宋"/>
          <w:b/>
          <w:bCs/>
          <w:color w:val="auto"/>
          <w:highlight w:val="none"/>
        </w:rPr>
        <w:t>政拨款收入支出决算总体情况说明</w:t>
      </w:r>
      <w:bookmarkEnd w:id="23"/>
      <w:bookmarkEnd w:id="24"/>
    </w:p>
    <w:p>
      <w:pPr>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2025年度财政拨款收入124.85、支出总计124.85万元。与2024年度相比，收入总计增加</w:t>
      </w:r>
      <w:r>
        <w:rPr>
          <w:rFonts w:hint="eastAsia" w:ascii="仿宋" w:hAnsi="仿宋" w:eastAsia="仿宋" w:cs="仿宋"/>
          <w:color w:val="auto"/>
          <w:sz w:val="32"/>
          <w:szCs w:val="32"/>
          <w:highlight w:val="none"/>
          <w:lang w:val="en-US" w:eastAsia="zh-CN"/>
        </w:rPr>
        <w:t>19.12</w:t>
      </w:r>
      <w:r>
        <w:rPr>
          <w:rFonts w:hint="eastAsia" w:ascii="仿宋" w:hAnsi="仿宋" w:eastAsia="仿宋" w:cs="仿宋"/>
          <w:color w:val="auto"/>
          <w:sz w:val="32"/>
          <w:szCs w:val="32"/>
          <w:highlight w:val="none"/>
        </w:rPr>
        <w:t>万元</w:t>
      </w:r>
      <w:r>
        <w:rPr>
          <w:rFonts w:hint="eastAsia" w:ascii="仿宋" w:hAnsi="仿宋" w:eastAsia="仿宋" w:cs="仿宋"/>
          <w:color w:val="auto"/>
          <w:kern w:val="2"/>
          <w:sz w:val="32"/>
          <w:szCs w:val="32"/>
          <w:highlight w:val="none"/>
          <w:lang w:val="en-US" w:eastAsia="zh-CN" w:bidi="ar-SA"/>
        </w:rPr>
        <w:t>，增长</w:t>
      </w:r>
      <w:r>
        <w:rPr>
          <w:rFonts w:hint="eastAsia" w:ascii="仿宋" w:hAnsi="仿宋" w:eastAsia="仿宋" w:cs="仿宋"/>
          <w:color w:val="auto"/>
          <w:sz w:val="32"/>
          <w:szCs w:val="32"/>
          <w:highlight w:val="none"/>
          <w:lang w:val="en-US" w:eastAsia="zh-CN"/>
        </w:rPr>
        <w:t>18.08</w:t>
      </w:r>
      <w:r>
        <w:rPr>
          <w:rFonts w:hint="eastAsia" w:ascii="仿宋" w:hAnsi="仿宋" w:eastAsia="仿宋" w:cs="仿宋"/>
          <w:color w:val="auto"/>
          <w:sz w:val="32"/>
          <w:szCs w:val="32"/>
          <w:highlight w:val="none"/>
        </w:rPr>
        <w:t>%</w:t>
      </w:r>
      <w:r>
        <w:rPr>
          <w:rFonts w:hint="eastAsia" w:ascii="仿宋" w:hAnsi="仿宋" w:eastAsia="仿宋" w:cs="仿宋"/>
          <w:color w:val="auto"/>
          <w:kern w:val="2"/>
          <w:sz w:val="32"/>
          <w:szCs w:val="32"/>
          <w:highlight w:val="none"/>
          <w:lang w:val="en-US" w:eastAsia="zh-CN" w:bidi="ar-SA"/>
        </w:rPr>
        <w:t>。主要变动原因是人员变动收支增多。</w:t>
      </w:r>
    </w:p>
    <w:p>
      <w:pPr>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（图4：财政拨款收、支决算总计变动情况）（柱状图）</w:t>
      </w:r>
    </w:p>
    <w:p>
      <w:pPr>
        <w:pStyle w:val="15"/>
        <w:rPr>
          <w:rFonts w:hint="eastAsia" w:ascii="仿宋" w:hAnsi="仿宋" w:eastAsia="仿宋" w:cs="仿宋"/>
          <w:color w:val="auto"/>
          <w:kern w:val="2"/>
          <w:sz w:val="32"/>
          <w:szCs w:val="32"/>
          <w:highlight w:val="none"/>
          <w:lang w:val="en-US" w:eastAsia="zh-CN" w:bidi="ar-SA"/>
        </w:rPr>
      </w:pPr>
    </w:p>
    <w:p>
      <w:pPr>
        <w:pStyle w:val="9"/>
        <w:rPr>
          <w:rFonts w:hint="eastAsia" w:ascii="仿宋" w:hAnsi="仿宋" w:eastAsia="仿宋" w:cs="仿宋"/>
          <w:color w:val="auto"/>
          <w:kern w:val="2"/>
          <w:sz w:val="32"/>
          <w:szCs w:val="32"/>
          <w:highlight w:val="none"/>
          <w:lang w:val="en-US" w:eastAsia="zh-CN" w:bidi="ar-SA"/>
        </w:rPr>
      </w:pPr>
      <w:r>
        <w:drawing>
          <wp:inline distT="0" distB="0" distL="114300" distR="114300">
            <wp:extent cx="4257675" cy="2743835"/>
            <wp:effectExtent l="4445" t="4445" r="5080" b="13970"/>
            <wp:docPr id="1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firstLineChars="200"/>
        <w:outlineLvl w:val="1"/>
        <w:rPr>
          <w:rStyle w:val="30"/>
          <w:rFonts w:hint="eastAsia" w:ascii="仿宋" w:hAnsi="仿宋" w:eastAsia="仿宋" w:cs="仿宋"/>
          <w:b w:val="0"/>
          <w:color w:val="auto"/>
          <w:highlight w:val="none"/>
        </w:rPr>
      </w:pPr>
      <w:bookmarkStart w:id="25" w:name="_Toc15377209"/>
      <w:bookmarkStart w:id="26" w:name="_Toc15396607"/>
      <w:r>
        <w:rPr>
          <w:rFonts w:hint="eastAsia" w:ascii="仿宋" w:hAnsi="仿宋" w:eastAsia="仿宋" w:cs="仿宋"/>
          <w:color w:val="auto"/>
          <w:sz w:val="32"/>
          <w:szCs w:val="32"/>
          <w:highlight w:val="none"/>
        </w:rPr>
        <w:t>五、</w:t>
      </w:r>
      <w:r>
        <w:rPr>
          <w:rFonts w:hint="eastAsia" w:ascii="仿宋" w:hAnsi="仿宋" w:eastAsia="仿宋" w:cs="仿宋"/>
          <w:b/>
          <w:color w:val="auto"/>
          <w:sz w:val="32"/>
          <w:szCs w:val="32"/>
          <w:highlight w:val="none"/>
        </w:rPr>
        <w:t>一</w:t>
      </w:r>
      <w:r>
        <w:rPr>
          <w:rStyle w:val="30"/>
          <w:rFonts w:hint="eastAsia" w:ascii="仿宋" w:hAnsi="仿宋" w:eastAsia="仿宋" w:cs="仿宋"/>
          <w:b w:val="0"/>
          <w:color w:val="auto"/>
          <w:highlight w:val="none"/>
        </w:rPr>
        <w:t>般公共预算财政拨款支出决算情况说明</w:t>
      </w:r>
      <w:bookmarkEnd w:id="25"/>
      <w:bookmarkEnd w:id="26"/>
    </w:p>
    <w:p>
      <w:pPr>
        <w:spacing w:line="600" w:lineRule="exact"/>
        <w:ind w:firstLine="642" w:firstLineChars="200"/>
        <w:outlineLvl w:val="2"/>
        <w:rPr>
          <w:rFonts w:hint="eastAsia" w:ascii="仿宋" w:hAnsi="仿宋" w:eastAsia="仿宋" w:cs="仿宋"/>
          <w:b/>
          <w:color w:val="auto"/>
          <w:sz w:val="32"/>
          <w:szCs w:val="32"/>
          <w:highlight w:val="none"/>
        </w:rPr>
      </w:pPr>
      <w:bookmarkStart w:id="27" w:name="_Toc15377210"/>
      <w:r>
        <w:rPr>
          <w:rFonts w:hint="eastAsia" w:ascii="仿宋" w:hAnsi="仿宋" w:eastAsia="仿宋" w:cs="仿宋"/>
          <w:b/>
          <w:color w:val="auto"/>
          <w:sz w:val="32"/>
          <w:szCs w:val="32"/>
          <w:highlight w:val="none"/>
        </w:rPr>
        <w:t>（一）一般公共预算财政拨款支出决算总体情况</w:t>
      </w:r>
      <w:bookmarkEnd w:id="27"/>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2025年度一般公共预算财政拨款支出124.85万元，占本年支出合计的100%。与2024年度相比，一般公共预算财政拨款支出增加</w:t>
      </w:r>
      <w:r>
        <w:rPr>
          <w:rFonts w:hint="eastAsia" w:ascii="仿宋" w:hAnsi="仿宋" w:eastAsia="仿宋" w:cs="仿宋"/>
          <w:color w:val="auto"/>
          <w:sz w:val="32"/>
          <w:szCs w:val="32"/>
          <w:highlight w:val="none"/>
          <w:lang w:val="en-US" w:eastAsia="zh-CN"/>
        </w:rPr>
        <w:t>19.12</w:t>
      </w:r>
      <w:r>
        <w:rPr>
          <w:rFonts w:hint="eastAsia" w:ascii="仿宋" w:hAnsi="仿宋" w:eastAsia="仿宋" w:cs="仿宋"/>
          <w:color w:val="auto"/>
          <w:sz w:val="32"/>
          <w:szCs w:val="32"/>
          <w:highlight w:val="none"/>
        </w:rPr>
        <w:t>万元</w:t>
      </w:r>
      <w:r>
        <w:rPr>
          <w:rFonts w:hint="eastAsia" w:ascii="仿宋" w:hAnsi="仿宋" w:eastAsia="仿宋" w:cs="仿宋"/>
          <w:color w:val="auto"/>
          <w:kern w:val="2"/>
          <w:sz w:val="32"/>
          <w:szCs w:val="32"/>
          <w:highlight w:val="none"/>
          <w:lang w:val="en-US" w:eastAsia="zh-CN" w:bidi="ar-SA"/>
        </w:rPr>
        <w:t>，增长</w:t>
      </w:r>
      <w:r>
        <w:rPr>
          <w:rFonts w:hint="eastAsia" w:ascii="仿宋" w:hAnsi="仿宋" w:eastAsia="仿宋" w:cs="仿宋"/>
          <w:color w:val="auto"/>
          <w:sz w:val="32"/>
          <w:szCs w:val="32"/>
          <w:highlight w:val="none"/>
          <w:lang w:val="en-US" w:eastAsia="zh-CN"/>
        </w:rPr>
        <w:t>17.88</w:t>
      </w:r>
      <w:r>
        <w:rPr>
          <w:rFonts w:hint="eastAsia" w:ascii="仿宋" w:hAnsi="仿宋" w:eastAsia="仿宋" w:cs="仿宋"/>
          <w:color w:val="auto"/>
          <w:sz w:val="32"/>
          <w:szCs w:val="32"/>
          <w:highlight w:val="none"/>
        </w:rPr>
        <w:t>%</w:t>
      </w:r>
      <w:r>
        <w:rPr>
          <w:rFonts w:hint="eastAsia" w:ascii="仿宋" w:hAnsi="仿宋" w:eastAsia="仿宋" w:cs="仿宋"/>
          <w:color w:val="auto"/>
          <w:kern w:val="2"/>
          <w:sz w:val="32"/>
          <w:szCs w:val="32"/>
          <w:highlight w:val="none"/>
          <w:lang w:val="en-US" w:eastAsia="zh-CN" w:bidi="ar-SA"/>
        </w:rPr>
        <w:t>%。主要变动原因是人员变多收支增多</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（图5：一般公共预算财政拨款支出决算变动情况）（柱状图）</w:t>
      </w:r>
    </w:p>
    <w:p>
      <w:pPr>
        <w:spacing w:line="600" w:lineRule="exact"/>
        <w:ind w:firstLine="642" w:firstLineChars="200"/>
        <w:outlineLvl w:val="2"/>
        <w:rPr>
          <w:rFonts w:hint="eastAsia" w:ascii="仿宋" w:hAnsi="仿宋" w:eastAsia="仿宋" w:cs="仿宋"/>
          <w:b/>
          <w:color w:val="auto"/>
          <w:sz w:val="32"/>
          <w:szCs w:val="32"/>
          <w:highlight w:val="none"/>
        </w:rPr>
      </w:pPr>
      <w:bookmarkStart w:id="28" w:name="_Toc15377211"/>
    </w:p>
    <w:p>
      <w:pPr>
        <w:spacing w:line="600" w:lineRule="exact"/>
        <w:ind w:firstLine="420" w:firstLineChars="200"/>
        <w:outlineLvl w:val="2"/>
        <w:rPr>
          <w:rFonts w:hint="eastAsia" w:ascii="仿宋" w:hAnsi="仿宋" w:eastAsia="仿宋" w:cs="仿宋"/>
          <w:b/>
          <w:color w:val="auto"/>
          <w:sz w:val="32"/>
          <w:szCs w:val="32"/>
          <w:highlight w:val="none"/>
        </w:rPr>
      </w:pPr>
      <w:r>
        <w:drawing>
          <wp:anchor distT="0" distB="0" distL="114300" distR="114300" simplePos="0" relativeHeight="251661312" behindDoc="0" locked="0" layoutInCell="1" allowOverlap="1">
            <wp:simplePos x="0" y="0"/>
            <wp:positionH relativeFrom="column">
              <wp:posOffset>154305</wp:posOffset>
            </wp:positionH>
            <wp:positionV relativeFrom="paragraph">
              <wp:posOffset>41275</wp:posOffset>
            </wp:positionV>
            <wp:extent cx="5081270" cy="2950210"/>
            <wp:effectExtent l="4445" t="4445" r="19685" b="17145"/>
            <wp:wrapSquare wrapText="bothSides"/>
            <wp:docPr id="1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 w:hAnsi="仿宋" w:eastAsia="仿宋" w:cs="仿宋"/>
          <w:b/>
          <w:color w:val="auto"/>
          <w:sz w:val="32"/>
          <w:szCs w:val="32"/>
          <w:highlight w:val="none"/>
        </w:rPr>
        <w:t>（二）一般公共预算财政拨款支出决算结构情况</w:t>
      </w:r>
      <w:bookmarkEnd w:id="28"/>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支出114.92万元，主要用于以下方面：一般公共服务支出0万元，占0%；教育支出0万元，占0%；科学技术支出0万元，占0%；文化旅游体育与传媒支出0万元，占0%；社会保障和就业支出100.31万元，占80.34%；卫生健康支出5.84万元，占4.68%；住房保障支出8.77万元，占7.02%；</w:t>
      </w:r>
    </w:p>
    <w:p>
      <w:pPr>
        <w:spacing w:line="600" w:lineRule="exac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仿宋" w:hAnsi="仿宋" w:eastAsia="仿宋" w:cs="仿宋"/>
          <w:color w:val="auto"/>
          <w:kern w:val="2"/>
          <w:sz w:val="32"/>
          <w:szCs w:val="32"/>
          <w:highlight w:val="none"/>
          <w:lang w:val="en-US" w:eastAsia="zh-CN" w:bidi="ar-SA"/>
        </w:rPr>
      </w:pPr>
    </w:p>
    <w:p>
      <w:pPr>
        <w:pStyle w:val="15"/>
        <w:rPr>
          <w:rFonts w:hint="eastAsia" w:ascii="仿宋" w:hAnsi="仿宋" w:eastAsia="仿宋" w:cs="仿宋"/>
          <w:color w:val="auto"/>
          <w:kern w:val="2"/>
          <w:sz w:val="32"/>
          <w:szCs w:val="32"/>
          <w:highlight w:val="none"/>
          <w:lang w:val="en-US" w:eastAsia="zh-CN" w:bidi="ar-SA"/>
        </w:rPr>
      </w:pPr>
      <w:r>
        <w:drawing>
          <wp:inline distT="0" distB="0" distL="114300" distR="114300">
            <wp:extent cx="5368290" cy="2359660"/>
            <wp:effectExtent l="4445" t="4445" r="18415" b="17145"/>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2" w:firstLineChars="200"/>
        <w:outlineLvl w:val="2"/>
        <w:rPr>
          <w:rFonts w:hint="eastAsia" w:ascii="仿宋" w:hAnsi="仿宋" w:eastAsia="仿宋" w:cs="仿宋"/>
          <w:b/>
          <w:bCs w:val="0"/>
          <w:color w:val="000000" w:themeColor="text1"/>
          <w:sz w:val="32"/>
          <w:szCs w:val="32"/>
          <w:highlight w:val="none"/>
          <w14:textFill>
            <w14:solidFill>
              <w14:schemeClr w14:val="tx1"/>
            </w14:solidFill>
          </w14:textFill>
        </w:rPr>
      </w:pPr>
      <w:bookmarkStart w:id="29" w:name="_Toc15377212"/>
      <w:r>
        <w:rPr>
          <w:rFonts w:hint="eastAsia" w:ascii="仿宋" w:hAnsi="仿宋" w:eastAsia="仿宋" w:cs="仿宋"/>
          <w:b/>
          <w:bCs w:val="0"/>
          <w:color w:val="000000" w:themeColor="text1"/>
          <w:sz w:val="32"/>
          <w:szCs w:val="32"/>
          <w:highlight w:val="none"/>
          <w14:textFill>
            <w14:solidFill>
              <w14:schemeClr w14:val="tx1"/>
            </w14:solidFill>
          </w14:textFill>
        </w:rPr>
        <w:t>（三）一般公共预算财政拨款支出决算具体情况</w:t>
      </w:r>
      <w:bookmarkEnd w:id="29"/>
    </w:p>
    <w:p>
      <w:pPr>
        <w:spacing w:line="600" w:lineRule="exact"/>
        <w:ind w:firstLine="64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bookmarkStart w:id="30" w:name="_Toc15378460"/>
      <w:bookmarkStart w:id="31" w:name="_Toc15377444"/>
      <w:bookmarkStart w:id="32" w:name="_Toc15377213"/>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2025年度一般公共预算支出决算数为125.85，完成预算100%。其中：</w:t>
      </w:r>
      <w:bookmarkEnd w:id="30"/>
      <w:bookmarkEnd w:id="31"/>
      <w:bookmarkEnd w:id="32"/>
    </w:p>
    <w:p>
      <w:pPr>
        <w:spacing w:line="600" w:lineRule="exact"/>
        <w:ind w:firstLine="640"/>
        <w:rPr>
          <w:rFonts w:hint="eastAsia" w:ascii="仿宋" w:hAnsi="仿宋" w:eastAsia="仿宋" w:cs="仿宋"/>
          <w:b/>
          <w:bCs w:val="0"/>
          <w:color w:val="auto"/>
          <w:kern w:val="2"/>
          <w:sz w:val="32"/>
          <w:szCs w:val="32"/>
          <w:highlight w:val="none"/>
          <w:lang w:val="en-US" w:eastAsia="zh-CN" w:bidi="ar-SA"/>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1.社会保障和就业支出（208）社会保障和就业支出（05）    机关事业单位职业年金缴费支出（06）支出5.91万元，完成预算100%；</w:t>
      </w:r>
    </w:p>
    <w:p>
      <w:pPr>
        <w:spacing w:line="600" w:lineRule="exact"/>
        <w:ind w:firstLine="64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2.社会保障和就业支出（208）社会保障和就业支出（05）  机关事业单位基本养老保险缴费支出（05）支出11.82万元，完成预算100%；</w:t>
      </w:r>
    </w:p>
    <w:p>
      <w:pPr>
        <w:spacing w:line="600" w:lineRule="exact"/>
        <w:ind w:firstLine="64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3.社会保障和就业支出（208）红十字事业（16）行政运行（01）支出82.58万元，完成预算100%；</w:t>
      </w:r>
    </w:p>
    <w:p>
      <w:pPr>
        <w:spacing w:line="600" w:lineRule="exact"/>
        <w:ind w:firstLine="64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4.社会保障和就业支出（208）红十字事业（16）其他红十字事业支出（99）支出1万元，完成预算100%；</w:t>
      </w:r>
    </w:p>
    <w:p>
      <w:pPr>
        <w:spacing w:line="600" w:lineRule="exact"/>
        <w:ind w:firstLine="64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5.卫生健康支出（208）行政事业单位医疗（11）行政单位医疗（01）支出4.97万元，完成预算100%；</w:t>
      </w:r>
    </w:p>
    <w:p>
      <w:pPr>
        <w:spacing w:line="600" w:lineRule="exact"/>
        <w:ind w:firstLine="64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6.卫生健康支出（208）行政事业单位医疗（11）公务员医疗补助（03）支出0.87万元，完成预算100%；</w:t>
      </w:r>
    </w:p>
    <w:p>
      <w:pPr>
        <w:spacing w:line="600" w:lineRule="exact"/>
        <w:ind w:firstLine="64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7.住房保障支出（221）住房改革支出（02） 住房公积金（01）支出8.77万元，完成预算100%；</w:t>
      </w:r>
    </w:p>
    <w:p>
      <w:pPr>
        <w:spacing w:line="600" w:lineRule="exact"/>
        <w:ind w:firstLine="64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8.彩票公益金安排支出（229）红十字事业的彩票公益支出（05）支出9.93万元，完成预算100%；</w:t>
      </w:r>
    </w:p>
    <w:p>
      <w:pPr>
        <w:tabs>
          <w:tab w:val="right" w:pos="8306"/>
        </w:tabs>
        <w:spacing w:line="600" w:lineRule="exact"/>
        <w:ind w:firstLine="642" w:firstLineChars="200"/>
        <w:outlineLvl w:val="1"/>
        <w:rPr>
          <w:rStyle w:val="30"/>
          <w:rFonts w:hint="eastAsia" w:ascii="仿宋" w:hAnsi="仿宋" w:eastAsia="仿宋" w:cs="仿宋"/>
          <w:color w:val="auto"/>
          <w:highlight w:val="none"/>
        </w:rPr>
      </w:pPr>
      <w:bookmarkStart w:id="33" w:name="_Toc15377214"/>
      <w:bookmarkStart w:id="34" w:name="_Toc15396608"/>
      <w:r>
        <w:rPr>
          <w:rFonts w:hint="eastAsia" w:ascii="仿宋" w:hAnsi="仿宋" w:eastAsia="仿宋" w:cs="仿宋"/>
          <w:b/>
          <w:bCs/>
          <w:color w:val="auto"/>
          <w:sz w:val="32"/>
          <w:szCs w:val="32"/>
          <w:highlight w:val="none"/>
        </w:rPr>
        <w:t>六、一</w:t>
      </w:r>
      <w:r>
        <w:rPr>
          <w:rStyle w:val="30"/>
          <w:rFonts w:hint="eastAsia" w:ascii="仿宋" w:hAnsi="仿宋" w:eastAsia="仿宋" w:cs="仿宋"/>
          <w:b/>
          <w:bCs/>
          <w:color w:val="auto"/>
          <w:highlight w:val="none"/>
        </w:rPr>
        <w:t>般公共预算财政拨款基本支出决算情况说明</w:t>
      </w:r>
      <w:bookmarkEnd w:id="33"/>
      <w:bookmarkEnd w:id="34"/>
      <w:r>
        <w:rPr>
          <w:rStyle w:val="30"/>
          <w:rFonts w:hint="eastAsia" w:ascii="仿宋" w:hAnsi="仿宋" w:eastAsia="仿宋" w:cs="仿宋"/>
          <w:b w:val="0"/>
          <w:color w:val="auto"/>
          <w:highlight w:val="none"/>
        </w:rPr>
        <w:tab/>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2025年度一般公共预算财政拨款基本支出114.92万元，其中：</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人员经费107.92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 w:hAnsi="仿宋" w:eastAsia="仿宋" w:cs="仿宋"/>
          <w:color w:val="auto"/>
          <w:kern w:val="2"/>
          <w:sz w:val="32"/>
          <w:szCs w:val="32"/>
          <w:highlight w:val="none"/>
          <w:lang w:val="en-US" w:eastAsia="zh-CN" w:bidi="ar-SA"/>
        </w:rPr>
        <w:br w:type="textWrapping"/>
      </w:r>
      <w:r>
        <w:rPr>
          <w:rFonts w:hint="eastAsia" w:ascii="仿宋" w:hAnsi="仿宋" w:eastAsia="仿宋" w:cs="仿宋"/>
          <w:color w:val="auto"/>
          <w:kern w:val="2"/>
          <w:sz w:val="32"/>
          <w:szCs w:val="32"/>
          <w:highlight w:val="none"/>
          <w:lang w:val="en-US" w:eastAsia="zh-CN" w:bidi="ar-SA"/>
        </w:rPr>
        <w:t>　　公用经费7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30"/>
          <w:rFonts w:hint="eastAsia" w:ascii="仿宋" w:hAnsi="仿宋" w:eastAsia="仿宋" w:cs="仿宋"/>
          <w:b w:val="0"/>
          <w:color w:val="auto"/>
          <w:highlight w:val="none"/>
        </w:rPr>
      </w:pPr>
      <w:bookmarkStart w:id="35" w:name="_Toc15396609"/>
      <w:bookmarkStart w:id="36" w:name="_Toc15377215"/>
      <w:r>
        <w:rPr>
          <w:rFonts w:hint="eastAsia" w:ascii="仿宋" w:hAnsi="仿宋" w:eastAsia="仿宋" w:cs="仿宋"/>
          <w:color w:val="auto"/>
          <w:sz w:val="32"/>
          <w:szCs w:val="32"/>
          <w:highlight w:val="none"/>
        </w:rPr>
        <w:t>七、</w:t>
      </w:r>
      <w:r>
        <w:rPr>
          <w:rStyle w:val="30"/>
          <w:rFonts w:hint="eastAsia" w:ascii="仿宋" w:hAnsi="仿宋" w:eastAsia="仿宋" w:cs="仿宋"/>
          <w:b w:val="0"/>
          <w:color w:val="auto"/>
          <w:highlight w:val="none"/>
        </w:rPr>
        <w:t>财政拨款</w:t>
      </w:r>
      <w:r>
        <w:rPr>
          <w:rStyle w:val="30"/>
          <w:rFonts w:hint="eastAsia" w:ascii="仿宋" w:hAnsi="仿宋" w:eastAsia="仿宋" w:cs="仿宋"/>
          <w:color w:val="auto"/>
          <w:highlight w:val="none"/>
        </w:rPr>
        <w:t>“</w:t>
      </w:r>
      <w:r>
        <w:rPr>
          <w:rStyle w:val="30"/>
          <w:rFonts w:hint="eastAsia" w:ascii="仿宋" w:hAnsi="仿宋" w:eastAsia="仿宋" w:cs="仿宋"/>
          <w:b w:val="0"/>
          <w:color w:val="auto"/>
          <w:highlight w:val="none"/>
        </w:rPr>
        <w:t>三公”经费支出决算情况说明</w:t>
      </w:r>
      <w:bookmarkEnd w:id="35"/>
      <w:bookmarkEnd w:id="36"/>
    </w:p>
    <w:p>
      <w:pPr>
        <w:spacing w:line="600" w:lineRule="exact"/>
        <w:ind w:firstLine="642" w:firstLineChars="200"/>
        <w:outlineLvl w:val="2"/>
        <w:rPr>
          <w:rFonts w:hint="eastAsia" w:ascii="仿宋" w:hAnsi="仿宋" w:eastAsia="仿宋" w:cs="仿宋"/>
          <w:b/>
          <w:color w:val="auto"/>
          <w:sz w:val="32"/>
          <w:szCs w:val="32"/>
          <w:highlight w:val="none"/>
        </w:rPr>
      </w:pPr>
      <w:bookmarkStart w:id="37" w:name="_Toc15377216"/>
      <w:r>
        <w:rPr>
          <w:rFonts w:hint="eastAsia" w:ascii="仿宋" w:hAnsi="仿宋" w:eastAsia="仿宋" w:cs="仿宋"/>
          <w:b/>
          <w:color w:val="auto"/>
          <w:sz w:val="32"/>
          <w:szCs w:val="32"/>
          <w:highlight w:val="none"/>
        </w:rPr>
        <w:t>（一）财政拨款“三公”经费支出决算总体情况说明</w:t>
      </w:r>
      <w:bookmarkEnd w:id="37"/>
    </w:p>
    <w:p>
      <w:pPr>
        <w:spacing w:line="600" w:lineRule="exact"/>
        <w:ind w:firstLine="640" w:firstLineChars="200"/>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财政拨款安排“三公”经费预算4.00万元，支出决算1.88万元，完成预算47.00%。较2024年度决算3.80万元减少1.92万元，下降50.53%，下降主要原因是严格落实厉行节约有关规定，从严压减公务用车运行维护相关开支。</w:t>
      </w:r>
    </w:p>
    <w:p>
      <w:pPr>
        <w:spacing w:line="600" w:lineRule="exact"/>
        <w:ind w:firstLine="642" w:firstLineChars="200"/>
        <w:outlineLvl w:val="2"/>
        <w:rPr>
          <w:rFonts w:hint="eastAsia" w:ascii="仿宋" w:hAnsi="仿宋" w:eastAsia="仿宋" w:cs="仿宋"/>
          <w:b/>
          <w:color w:val="auto"/>
          <w:sz w:val="32"/>
          <w:szCs w:val="32"/>
          <w:highlight w:val="none"/>
        </w:rPr>
      </w:pPr>
      <w:bookmarkStart w:id="38" w:name="_Toc15377217"/>
      <w:r>
        <w:rPr>
          <w:rFonts w:hint="eastAsia" w:ascii="仿宋" w:hAnsi="仿宋" w:eastAsia="仿宋" w:cs="仿宋"/>
          <w:b/>
          <w:color w:val="auto"/>
          <w:sz w:val="32"/>
          <w:szCs w:val="32"/>
          <w:highlight w:val="none"/>
        </w:rPr>
        <w:t>（二）财政拨款“三公”经费支出决算具体情况说明</w:t>
      </w:r>
      <w:bookmarkEnd w:id="38"/>
    </w:p>
    <w:p>
      <w:pPr>
        <w:spacing w:line="600" w:lineRule="exact"/>
        <w:ind w:firstLine="640"/>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三公”经费财政拨款支出决算中，因公出国（境）费支出决算0万元，占0%；公务用车购置及运行维护费支出决算1.88万元，占100%；公务接待费支出决算0万元，占0%。其中：公务用车购置费支出0万元，公务用车运行维护费支出1.88万元，主要用于单位公务用车燃油、维修、保险等方面支出。具体情况如下：</w:t>
      </w:r>
    </w:p>
    <w:p>
      <w:pPr>
        <w:spacing w:line="600" w:lineRule="exact"/>
        <w:ind w:firstLine="642" w:firstLineChars="200"/>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1.因公出国（境）经费支出0万元，完成预算0%。</w:t>
      </w:r>
      <w:r>
        <w:rPr>
          <w:rFonts w:hint="eastAsia" w:ascii="仿宋" w:hAnsi="仿宋" w:eastAsia="仿宋" w:cs="仿宋"/>
          <w:color w:val="auto"/>
          <w:kern w:val="2"/>
          <w:sz w:val="32"/>
          <w:szCs w:val="32"/>
          <w:highlight w:val="none"/>
          <w:lang w:val="en-US" w:eastAsia="zh-CN" w:bidi="ar-SA"/>
        </w:rPr>
        <w:t>全年安排因公出国（境）团组0次，出国（境）0人。因公出国（境）支出决算比上年度增加/减少0万元，增长/下降0%。2.公务用车购置及运行维护费支出1.8万元，完成预算47%。较2024年度决算3.80万元减少1.92万元，下降50.53%，下降主要原因是严格落实厉行节约有关规定，从严压减公务用车运行维护相关开支。</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其中：公务用车购置支出0万元。截至2025年12月31日，单位共务用车1辆。公务用车运行维护费支出1.88万元，主要用于开展红十字救灾救助、基层调研等工作所需公务用车全燃料费、维修费、过路过桥费、保险费等支出。</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3.公务接待费支出0万元，完成预算0%。</w:t>
      </w:r>
      <w:r>
        <w:rPr>
          <w:rFonts w:hint="eastAsia" w:ascii="仿宋" w:hAnsi="仿宋" w:eastAsia="仿宋" w:cs="仿宋"/>
          <w:color w:val="auto"/>
          <w:kern w:val="2"/>
          <w:sz w:val="32"/>
          <w:szCs w:val="32"/>
          <w:highlight w:val="none"/>
          <w:lang w:val="en-US" w:eastAsia="zh-CN" w:bidi="ar-SA"/>
        </w:rPr>
        <w:t>公务接待费支出决算比上年度增加/减少0万元，增长/下降0%。主要原因是。</w:t>
      </w:r>
    </w:p>
    <w:p>
      <w:pPr>
        <w:spacing w:line="600" w:lineRule="exact"/>
        <w:ind w:firstLine="640"/>
        <w:outlineLvl w:val="1"/>
        <w:rPr>
          <w:rStyle w:val="30"/>
          <w:rFonts w:hint="eastAsia" w:ascii="仿宋" w:hAnsi="仿宋" w:eastAsia="仿宋" w:cs="仿宋"/>
          <w:color w:val="auto"/>
          <w:highlight w:val="none"/>
        </w:rPr>
      </w:pPr>
      <w:bookmarkStart w:id="39" w:name="_Toc15377218"/>
      <w:bookmarkStart w:id="40" w:name="_Toc15396610"/>
      <w:r>
        <w:rPr>
          <w:rFonts w:hint="eastAsia" w:ascii="仿宋" w:hAnsi="仿宋" w:eastAsia="仿宋" w:cs="仿宋"/>
          <w:color w:val="auto"/>
          <w:sz w:val="32"/>
          <w:szCs w:val="32"/>
          <w:highlight w:val="none"/>
        </w:rPr>
        <w:t>八、</w:t>
      </w:r>
      <w:r>
        <w:rPr>
          <w:rStyle w:val="30"/>
          <w:rFonts w:hint="eastAsia" w:ascii="仿宋" w:hAnsi="仿宋" w:eastAsia="仿宋" w:cs="仿宋"/>
          <w:b w:val="0"/>
          <w:color w:val="auto"/>
          <w:highlight w:val="none"/>
        </w:rPr>
        <w:t>政府性基金预算支出决算情况说明</w:t>
      </w:r>
      <w:bookmarkEnd w:id="39"/>
      <w:bookmarkEnd w:id="40"/>
    </w:p>
    <w:p>
      <w:pPr>
        <w:spacing w:line="600" w:lineRule="exact"/>
        <w:ind w:firstLine="640"/>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2025年度政府性基金预算财政拨款支出9.93万元，占本年支出合计的7.9%。全部为彩票公益金安排的红十字事业彩票公益支出，主要用于革命老区城镇社区博爱家园建设项目。</w:t>
      </w:r>
    </w:p>
    <w:p>
      <w:pPr>
        <w:numPr>
          <w:ilvl w:val="0"/>
          <w:numId w:val="0"/>
        </w:numPr>
        <w:spacing w:line="600" w:lineRule="exact"/>
        <w:ind w:left="630" w:leftChars="0"/>
        <w:outlineLvl w:val="1"/>
        <w:rPr>
          <w:rStyle w:val="30"/>
          <w:rFonts w:hint="eastAsia" w:ascii="仿宋" w:hAnsi="仿宋" w:eastAsia="仿宋" w:cs="仿宋"/>
          <w:b w:val="0"/>
          <w:color w:val="auto"/>
          <w:highlight w:val="none"/>
        </w:rPr>
      </w:pPr>
      <w:bookmarkStart w:id="41" w:name="_Toc15396611"/>
      <w:bookmarkStart w:id="42" w:name="_Toc15377219"/>
      <w:r>
        <w:rPr>
          <w:rStyle w:val="30"/>
          <w:rFonts w:hint="eastAsia" w:ascii="仿宋" w:hAnsi="仿宋" w:eastAsia="仿宋" w:cs="仿宋"/>
          <w:b w:val="0"/>
          <w:color w:val="auto"/>
          <w:highlight w:val="none"/>
          <w:lang w:eastAsia="zh-CN"/>
        </w:rPr>
        <w:t>九、</w:t>
      </w:r>
      <w:r>
        <w:rPr>
          <w:rStyle w:val="30"/>
          <w:rFonts w:hint="eastAsia" w:ascii="仿宋" w:hAnsi="仿宋" w:eastAsia="仿宋" w:cs="仿宋"/>
          <w:b w:val="0"/>
          <w:color w:val="auto"/>
          <w:highlight w:val="none"/>
        </w:rPr>
        <w:t>国有资本经营预算支出决算情况说明</w:t>
      </w:r>
      <w:bookmarkEnd w:id="41"/>
      <w:bookmarkEnd w:id="42"/>
    </w:p>
    <w:p>
      <w:pPr>
        <w:spacing w:line="600" w:lineRule="exact"/>
        <w:ind w:firstLine="640"/>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2025年度国有资本经营预算财政拨款支出0万元，占本年支出合计的0%。本单位无国有资本经营预算财政拨款支出。</w:t>
      </w:r>
    </w:p>
    <w:p>
      <w:pPr>
        <w:numPr>
          <w:ilvl w:val="0"/>
          <w:numId w:val="0"/>
        </w:numPr>
        <w:spacing w:line="600" w:lineRule="exact"/>
        <w:ind w:left="630" w:leftChars="0"/>
        <w:outlineLvl w:val="1"/>
        <w:rPr>
          <w:rStyle w:val="30"/>
          <w:rFonts w:hint="eastAsia" w:ascii="仿宋" w:hAnsi="仿宋" w:eastAsia="仿宋" w:cs="仿宋"/>
          <w:b w:val="0"/>
          <w:color w:val="auto"/>
          <w:highlight w:val="none"/>
        </w:rPr>
      </w:pPr>
      <w:bookmarkStart w:id="43" w:name="_Toc15377221"/>
      <w:bookmarkStart w:id="44" w:name="_Toc15396612"/>
      <w:r>
        <w:rPr>
          <w:rStyle w:val="30"/>
          <w:rFonts w:hint="eastAsia" w:ascii="仿宋" w:hAnsi="仿宋" w:eastAsia="仿宋" w:cs="仿宋"/>
          <w:b w:val="0"/>
          <w:color w:val="auto"/>
          <w:highlight w:val="none"/>
          <w:lang w:eastAsia="zh-CN"/>
        </w:rPr>
        <w:t>十、</w:t>
      </w:r>
      <w:r>
        <w:rPr>
          <w:rStyle w:val="30"/>
          <w:rFonts w:hint="eastAsia" w:ascii="仿宋" w:hAnsi="仿宋" w:eastAsia="仿宋" w:cs="仿宋"/>
          <w:b w:val="0"/>
          <w:color w:val="auto"/>
          <w:highlight w:val="none"/>
        </w:rPr>
        <w:t>其他重要事项的情况说明</w:t>
      </w:r>
      <w:bookmarkEnd w:id="43"/>
      <w:bookmarkEnd w:id="44"/>
    </w:p>
    <w:p>
      <w:pPr>
        <w:spacing w:line="600" w:lineRule="exact"/>
        <w:ind w:firstLine="642" w:firstLineChars="200"/>
        <w:outlineLvl w:val="2"/>
        <w:rPr>
          <w:rFonts w:hint="eastAsia" w:ascii="仿宋" w:hAnsi="仿宋" w:eastAsia="仿宋" w:cs="仿宋"/>
          <w:b/>
          <w:color w:val="auto"/>
          <w:sz w:val="32"/>
          <w:szCs w:val="32"/>
          <w:highlight w:val="none"/>
        </w:rPr>
      </w:pPr>
      <w:bookmarkStart w:id="45" w:name="_Toc15377222"/>
      <w:r>
        <w:rPr>
          <w:rFonts w:hint="eastAsia" w:ascii="仿宋" w:hAnsi="仿宋" w:eastAsia="仿宋" w:cs="仿宋"/>
          <w:b/>
          <w:color w:val="auto"/>
          <w:sz w:val="32"/>
          <w:szCs w:val="32"/>
          <w:highlight w:val="none"/>
        </w:rPr>
        <w:t>（一）机关运行经费支出情况</w:t>
      </w:r>
      <w:bookmarkEnd w:id="45"/>
    </w:p>
    <w:p>
      <w:pPr>
        <w:spacing w:line="600" w:lineRule="exact"/>
        <w:ind w:firstLine="640" w:firstLineChars="200"/>
        <w:outlineLvl w:val="2"/>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2025年度，壤塘县红十字会机关运行经费支出7万元，比2024年减少2.17万元，下降23.66%。主要原因是</w:t>
      </w:r>
      <w:bookmarkStart w:id="46" w:name="_Toc15377223"/>
      <w:r>
        <w:rPr>
          <w:rFonts w:hint="eastAsia" w:ascii="仿宋" w:hAnsi="仿宋" w:eastAsia="仿宋" w:cs="仿宋"/>
          <w:color w:val="auto"/>
          <w:kern w:val="2"/>
          <w:sz w:val="32"/>
          <w:szCs w:val="32"/>
          <w:highlight w:val="none"/>
          <w:lang w:val="en-US" w:eastAsia="zh-CN" w:bidi="ar-SA"/>
        </w:rPr>
        <w:t>本年度压缩公用开支，部分业务使用项目经费保障，基本支出公用经费相应减少。</w:t>
      </w:r>
    </w:p>
    <w:p>
      <w:pPr>
        <w:spacing w:line="600" w:lineRule="exact"/>
        <w:ind w:firstLine="642" w:firstLineChars="200"/>
        <w:outlineLvl w:val="2"/>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（二）政府采购支出情况</w:t>
      </w:r>
      <w:bookmarkEnd w:id="46"/>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政府采购支出总额0万元，其中：政府采购货物支出0万元、政府采购工程支出**万元、政府采购服务支出0万元。主要用于……（具体工作）。授予中小企业合同金额0万元，占政府采购支出总额的0%，其中：授予小微企业合同金额0万元，占政府采购支出总额的0%。</w:t>
      </w:r>
    </w:p>
    <w:p>
      <w:pPr>
        <w:spacing w:line="600" w:lineRule="exact"/>
        <w:ind w:firstLine="642" w:firstLineChars="200"/>
        <w:outlineLvl w:val="2"/>
        <w:rPr>
          <w:rFonts w:hint="eastAsia" w:ascii="仿宋" w:hAnsi="仿宋" w:eastAsia="仿宋" w:cs="仿宋"/>
          <w:b/>
          <w:color w:val="auto"/>
          <w:sz w:val="32"/>
          <w:szCs w:val="32"/>
          <w:highlight w:val="none"/>
        </w:rPr>
      </w:pPr>
      <w:bookmarkStart w:id="47" w:name="_Toc15377224"/>
      <w:r>
        <w:rPr>
          <w:rFonts w:hint="eastAsia" w:ascii="仿宋" w:hAnsi="仿宋" w:eastAsia="仿宋" w:cs="仿宋"/>
          <w:b/>
          <w:color w:val="auto"/>
          <w:sz w:val="32"/>
          <w:szCs w:val="32"/>
          <w:highlight w:val="none"/>
        </w:rPr>
        <w:t>（三）国有资产占有使用情况</w:t>
      </w:r>
      <w:bookmarkEnd w:id="47"/>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截至2025年12月31日，0共有车辆0辆，其中：副部（省）级及以上领导用车0辆、主要负责人用车0辆、机要通信用车0辆、应急保障用车1辆、执法执勤用车0辆、特种专业技术用车0辆、离退休干部服务用车0辆、其他用车0辆。单价100万元（含）以上设备（不含车辆）0台（套）。</w:t>
      </w:r>
    </w:p>
    <w:p>
      <w:pPr>
        <w:spacing w:line="600" w:lineRule="exact"/>
        <w:ind w:firstLine="642" w:firstLineChars="200"/>
        <w:outlineLvl w:val="2"/>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（四）预算绩效管理情况</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根据预算绩效管理要求，本单位对2025年度一般公共预算，政府性基金预算全面开展绩效自评，形成壤塘县红十字会部门整体支出绩效自评报告以及博爱家园建设专项项目绩效自评报告，部门绩效表现良好，绩效自评报告详见附件。</w:t>
      </w:r>
    </w:p>
    <w:p>
      <w:pPr>
        <w:numPr>
          <w:ilvl w:val="0"/>
          <w:numId w:val="0"/>
        </w:numPr>
        <w:spacing w:line="600" w:lineRule="exact"/>
        <w:jc w:val="center"/>
        <w:outlineLvl w:val="0"/>
        <w:rPr>
          <w:rFonts w:hint="eastAsia" w:ascii="仿宋" w:hAnsi="仿宋" w:eastAsia="仿宋" w:cs="仿宋"/>
          <w:color w:val="auto"/>
          <w:sz w:val="44"/>
          <w:szCs w:val="44"/>
          <w:highlight w:val="none"/>
        </w:rPr>
      </w:pPr>
      <w:bookmarkStart w:id="48" w:name="_Toc15377225"/>
      <w:bookmarkStart w:id="49" w:name="_Toc15396613"/>
      <w:r>
        <w:rPr>
          <w:rFonts w:hint="eastAsia" w:ascii="仿宋" w:hAnsi="仿宋" w:eastAsia="仿宋" w:cs="仿宋"/>
          <w:color w:val="auto"/>
          <w:sz w:val="44"/>
          <w:szCs w:val="44"/>
          <w:highlight w:val="none"/>
        </w:rPr>
        <w:t>第</w:t>
      </w:r>
      <w:r>
        <w:rPr>
          <w:rFonts w:hint="eastAsia" w:ascii="仿宋" w:hAnsi="仿宋" w:eastAsia="仿宋" w:cs="仿宋"/>
          <w:color w:val="auto"/>
          <w:sz w:val="44"/>
          <w:szCs w:val="44"/>
          <w:highlight w:val="none"/>
          <w:lang w:eastAsia="zh-CN"/>
        </w:rPr>
        <w:t>三</w:t>
      </w:r>
      <w:r>
        <w:rPr>
          <w:rFonts w:hint="eastAsia" w:ascii="仿宋" w:hAnsi="仿宋" w:eastAsia="仿宋" w:cs="仿宋"/>
          <w:color w:val="auto"/>
          <w:sz w:val="44"/>
          <w:szCs w:val="44"/>
          <w:highlight w:val="none"/>
        </w:rPr>
        <w:t>部分</w:t>
      </w:r>
      <w:r>
        <w:rPr>
          <w:rFonts w:hint="eastAsia" w:ascii="仿宋" w:hAnsi="仿宋" w:eastAsia="仿宋" w:cs="仿宋"/>
          <w:color w:val="auto"/>
          <w:sz w:val="44"/>
          <w:szCs w:val="44"/>
          <w:highlight w:val="none"/>
          <w:lang w:val="en-US" w:eastAsia="zh-CN"/>
        </w:rPr>
        <w:t xml:space="preserve">  </w:t>
      </w:r>
      <w:r>
        <w:rPr>
          <w:rFonts w:hint="eastAsia" w:ascii="仿宋" w:hAnsi="仿宋" w:eastAsia="仿宋" w:cs="仿宋"/>
          <w:color w:val="auto"/>
          <w:sz w:val="44"/>
          <w:szCs w:val="44"/>
          <w:highlight w:val="none"/>
        </w:rPr>
        <w:t>名词解释</w:t>
      </w:r>
      <w:bookmarkEnd w:id="48"/>
      <w:bookmarkEnd w:id="49"/>
    </w:p>
    <w:p>
      <w:pPr>
        <w:spacing w:line="600" w:lineRule="exact"/>
        <w:jc w:val="left"/>
        <w:rPr>
          <w:rFonts w:hint="eastAsia" w:ascii="仿宋" w:hAnsi="仿宋" w:eastAsia="仿宋" w:cs="仿宋"/>
          <w:b/>
          <w:color w:val="auto"/>
          <w:sz w:val="44"/>
          <w:szCs w:val="44"/>
          <w:highlight w:val="none"/>
        </w:rPr>
      </w:pPr>
    </w:p>
    <w:p>
      <w:pPr>
        <w:ind w:firstLine="640" w:firstLineChars="200"/>
        <w:rPr>
          <w:rFonts w:hint="eastAsia" w:ascii="仿宋" w:hAnsi="仿宋" w:eastAsia="仿宋" w:cs="仿宋"/>
          <w:color w:val="auto"/>
          <w:sz w:val="32"/>
          <w:szCs w:val="32"/>
        </w:rPr>
      </w:pPr>
      <w:bookmarkStart w:id="50" w:name="_Toc16002"/>
      <w:bookmarkStart w:id="51" w:name="_Toc14439"/>
      <w:bookmarkStart w:id="52" w:name="_Toc15396614"/>
      <w:bookmarkStart w:id="53" w:name="_Toc15377226"/>
      <w:r>
        <w:rPr>
          <w:rFonts w:hint="eastAsia" w:ascii="仿宋" w:hAnsi="仿宋" w:eastAsia="仿宋" w:cs="仿宋"/>
          <w:sz w:val="32"/>
          <w:szCs w:val="32"/>
          <w:lang w:val="en-US" w:eastAsia="zh-CN"/>
        </w:rPr>
        <w:t>1.财政拨款收入：指单位从同级财政部门取得的财政预算资金。</w:t>
      </w:r>
      <w:bookmarkEnd w:id="50"/>
      <w:bookmarkEnd w:id="51"/>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2.事业收入：指事业单位开展专业业务活动及辅助活动取得的收入。</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3.经营收入：指事业单位在专业业务活动及其辅助活动之外开展非独立核算经营活动取得的收入。</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4.其他收入：指单位取得的除上述收入以外的各项收入。</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5.使用非财政拨款结余：指事业单位使用以前年度积累的非财政拨款结余弥补当年收支差额的金额。 </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6.年初结转和结余：指以前年度尚未完成、结转到本年按有关规定继续使用的资金。 </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7.结余分配：指事业单位按照会计制度规定缴纳的所得税、提取的专用结余以及转入非财政拨款结余的金额等。</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8、年末结转和结余：指单位按有关规定结转到下年或以后年度继续使用的资金。</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9.社会保障和就业（类）社会保障和就业支出（款）机关事业单位基本养老保险缴费支出（项）：指基本养老保险单位部分支出。</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10.医疗卫生与计划生育（类）卫生健康（款）行政事业单位基本医疗保险、公务员医疗、医疗补助（项）：指基本医疗保险与公务员医疗补助缴费支出。</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11.节能环保（类）节能环保（款）节能环保（项）：指开展节能环保各项工作的支出。</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12.住房保障（类）住房保障支出（款）住房改革支出（项）：住房公积金指单位为职工按比例缴纳的住房公积金支出。</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13.基本支出：指为保障机构正常运转、完成日常工作任务而发生的人员支出和公用支出。</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14.项目支出：指在基本支出之外为完成特定行政任务和事业发展目标所发生的支出。 </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15.经营支出：指事业单位在专业业务活动及其辅助活动之外开展非独立核算经营活动发生的支出。</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ind w:firstLine="640" w:firstLineChars="200"/>
        <w:rPr>
          <w:rFonts w:hint="eastAsia" w:ascii="仿宋" w:hAnsi="仿宋" w:eastAsia="仿宋" w:cs="仿宋"/>
          <w:color w:val="auto"/>
          <w:sz w:val="32"/>
          <w:szCs w:val="32"/>
        </w:rPr>
      </w:pPr>
      <w:r>
        <w:rPr>
          <w:rFonts w:hint="eastAsia" w:ascii="仿宋" w:hAnsi="仿宋" w:eastAsia="仿宋" w:cs="仿宋"/>
          <w:sz w:val="32"/>
          <w:szCs w:val="32"/>
          <w:lang w:val="en-US" w:eastAsia="zh-CN"/>
        </w:rPr>
        <w:t>17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 w:hAnsi="仿宋" w:eastAsia="仿宋" w:cs="仿宋"/>
          <w:color w:val="auto"/>
          <w:sz w:val="32"/>
          <w:szCs w:val="32"/>
        </w:rPr>
        <w:t>。</w:t>
      </w:r>
    </w:p>
    <w:p>
      <w:pPr>
        <w:pStyle w:val="27"/>
        <w:spacing w:line="560" w:lineRule="exact"/>
        <w:ind w:firstLine="640" w:firstLineChars="200"/>
        <w:rPr>
          <w:rFonts w:hint="eastAsia" w:ascii="仿宋" w:hAnsi="仿宋" w:eastAsia="仿宋" w:cs="仿宋"/>
          <w:color w:val="auto"/>
          <w:sz w:val="32"/>
          <w:szCs w:val="32"/>
        </w:rPr>
      </w:pPr>
    </w:p>
    <w:p>
      <w:pPr>
        <w:spacing w:line="600" w:lineRule="exact"/>
        <w:jc w:val="center"/>
        <w:rPr>
          <w:rStyle w:val="29"/>
          <w:rFonts w:hint="eastAsia" w:ascii="仿宋" w:hAnsi="仿宋" w:eastAsia="仿宋" w:cs="仿宋"/>
          <w:b w:val="0"/>
          <w:color w:val="auto"/>
          <w:highlight w:val="none"/>
          <w:lang w:eastAsia="zh-CN"/>
        </w:rPr>
      </w:pPr>
      <w:r>
        <w:rPr>
          <w:rFonts w:hint="eastAsia" w:ascii="仿宋" w:hAnsi="仿宋" w:eastAsia="仿宋" w:cs="仿宋"/>
          <w:b/>
          <w:sz w:val="32"/>
          <w:szCs w:val="32"/>
        </w:rPr>
        <w:br w:type="page"/>
      </w:r>
      <w:r>
        <w:rPr>
          <w:rFonts w:hint="eastAsia" w:ascii="仿宋" w:hAnsi="仿宋" w:eastAsia="仿宋" w:cs="仿宋"/>
          <w:color w:val="auto"/>
          <w:sz w:val="44"/>
          <w:szCs w:val="44"/>
          <w:highlight w:val="none"/>
        </w:rPr>
        <w:t>第四部分</w:t>
      </w:r>
      <w:r>
        <w:rPr>
          <w:rFonts w:hint="eastAsia" w:ascii="仿宋" w:hAnsi="仿宋" w:eastAsia="仿宋" w:cs="仿宋"/>
          <w:color w:val="auto"/>
          <w:sz w:val="44"/>
          <w:szCs w:val="44"/>
          <w:highlight w:val="none"/>
          <w:lang w:val="en-US" w:eastAsia="zh-CN"/>
        </w:rPr>
        <w:t xml:space="preserve"> </w:t>
      </w:r>
      <w:r>
        <w:rPr>
          <w:rFonts w:hint="eastAsia" w:ascii="仿宋" w:hAnsi="仿宋" w:eastAsia="仿宋" w:cs="仿宋"/>
          <w:color w:val="auto"/>
          <w:sz w:val="44"/>
          <w:szCs w:val="44"/>
          <w:highlight w:val="none"/>
        </w:rPr>
        <w:t xml:space="preserve"> 附件</w:t>
      </w:r>
      <w:bookmarkEnd w:id="52"/>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仿宋" w:hAnsi="仿宋" w:eastAsia="仿宋" w:cs="仿宋"/>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仿宋" w:hAnsi="仿宋" w:eastAsia="仿宋" w:cs="仿宋"/>
          <w:b w:val="0"/>
          <w:bCs/>
          <w:sz w:val="44"/>
          <w:szCs w:val="44"/>
          <w:highlight w:val="none"/>
          <w:shd w:val="clear" w:color="auto" w:fill="FFFFFF"/>
        </w:rPr>
      </w:pP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仿宋" w:hAnsi="仿宋" w:eastAsia="仿宋" w:cs="仿宋"/>
          <w:b w:val="0"/>
          <w:bCs/>
          <w:sz w:val="44"/>
          <w:szCs w:val="44"/>
          <w:highlight w:val="none"/>
          <w:shd w:val="clear" w:color="auto" w:fill="FFFFFF"/>
        </w:rPr>
      </w:pPr>
      <w:r>
        <w:rPr>
          <w:rFonts w:hint="eastAsia" w:ascii="仿宋" w:hAnsi="仿宋" w:eastAsia="仿宋" w:cs="仿宋"/>
          <w:b w:val="0"/>
          <w:bCs/>
          <w:sz w:val="44"/>
          <w:szCs w:val="44"/>
          <w:highlight w:val="none"/>
          <w:shd w:val="clear" w:color="auto" w:fill="FFFFFF"/>
        </w:rPr>
        <w:t>部门</w:t>
      </w:r>
      <w:r>
        <w:rPr>
          <w:rFonts w:hint="eastAsia" w:ascii="仿宋" w:hAnsi="仿宋" w:eastAsia="仿宋" w:cs="仿宋"/>
          <w:b w:val="0"/>
          <w:bCs/>
          <w:sz w:val="44"/>
          <w:szCs w:val="44"/>
          <w:highlight w:val="none"/>
          <w:shd w:val="clear" w:color="auto" w:fill="FFFFFF"/>
          <w:lang w:eastAsia="zh-CN"/>
        </w:rPr>
        <w:t>预算</w:t>
      </w:r>
      <w:r>
        <w:rPr>
          <w:rFonts w:hint="eastAsia" w:ascii="仿宋" w:hAnsi="仿宋" w:eastAsia="仿宋" w:cs="仿宋"/>
          <w:b w:val="0"/>
          <w:bCs/>
          <w:sz w:val="44"/>
          <w:szCs w:val="44"/>
          <w:highlight w:val="none"/>
          <w:shd w:val="clear" w:color="auto" w:fill="FFFFFF"/>
        </w:rPr>
        <w:t>绩效</w:t>
      </w:r>
      <w:r>
        <w:rPr>
          <w:rFonts w:hint="eastAsia" w:ascii="仿宋" w:hAnsi="仿宋" w:eastAsia="仿宋" w:cs="仿宋"/>
          <w:b w:val="0"/>
          <w:bCs/>
          <w:sz w:val="44"/>
          <w:szCs w:val="44"/>
          <w:highlight w:val="none"/>
          <w:shd w:val="clear" w:color="auto" w:fill="FFFFFF"/>
          <w:lang w:eastAsia="zh-CN"/>
        </w:rPr>
        <w:t>评价</w:t>
      </w:r>
      <w:r>
        <w:rPr>
          <w:rFonts w:hint="eastAsia" w:ascii="仿宋" w:hAnsi="仿宋" w:eastAsia="仿宋" w:cs="仿宋"/>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仿宋" w:hAnsi="仿宋" w:eastAsia="仿宋" w:cs="仿宋"/>
          <w:color w:val="000000"/>
          <w:kern w:val="0"/>
          <w:sz w:val="24"/>
          <w:szCs w:val="32"/>
          <w:highlight w:val="none"/>
          <w:shd w:val="clear" w:color="auto" w:fill="FFFFFF"/>
        </w:rPr>
      </w:pPr>
      <w:r>
        <w:rPr>
          <w:rFonts w:hint="eastAsia" w:ascii="仿宋" w:hAnsi="仿宋" w:eastAsia="仿宋" w:cs="仿宋"/>
          <w:sz w:val="32"/>
          <w:szCs w:val="32"/>
          <w:highlight w:val="none"/>
          <w:shd w:val="clear" w:color="auto" w:fill="FFFFFF"/>
        </w:rPr>
        <w:t>（报告范围包括机关和下属单位）</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zh-CN"/>
        </w:rPr>
        <w:t>一、部门（单位）基本情况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仿宋" w:hAnsi="仿宋" w:eastAsia="仿宋" w:cs="仿宋"/>
          <w:b/>
          <w:color w:val="auto"/>
          <w:sz w:val="32"/>
          <w:szCs w:val="32"/>
          <w:highlight w:val="none"/>
          <w:lang w:val="zh-CN"/>
        </w:rPr>
      </w:pPr>
      <w:r>
        <w:rPr>
          <w:rFonts w:hint="eastAsia" w:ascii="仿宋" w:hAnsi="仿宋" w:eastAsia="仿宋" w:cs="仿宋"/>
          <w:b/>
          <w:color w:val="auto"/>
          <w:sz w:val="32"/>
          <w:szCs w:val="32"/>
          <w:highlight w:val="none"/>
          <w:lang w:val="zh-CN"/>
        </w:rPr>
        <w:t>（一）机构组成。</w:t>
      </w:r>
    </w:p>
    <w:p>
      <w:pPr>
        <w:spacing w:line="360" w:lineRule="auto"/>
        <w:ind w:firstLine="640" w:firstLineChars="200"/>
        <w:rPr>
          <w:rFonts w:hint="eastAsia" w:ascii="仿宋" w:hAnsi="仿宋" w:eastAsia="仿宋" w:cs="仿宋"/>
          <w:b/>
          <w:color w:val="auto"/>
          <w:sz w:val="32"/>
          <w:szCs w:val="32"/>
          <w:highlight w:val="none"/>
          <w:lang w:val="zh-CN"/>
        </w:rPr>
      </w:pPr>
      <w:r>
        <w:rPr>
          <w:rFonts w:hint="eastAsia" w:ascii="仿宋" w:hAnsi="仿宋" w:eastAsia="仿宋" w:cs="仿宋"/>
          <w:sz w:val="32"/>
          <w:szCs w:val="32"/>
          <w:highlight w:val="none"/>
          <w:lang w:eastAsia="zh-CN"/>
        </w:rPr>
        <w:t>壤塘县红十字会</w:t>
      </w:r>
      <w:r>
        <w:rPr>
          <w:rFonts w:hint="eastAsia" w:ascii="仿宋" w:hAnsi="仿宋" w:eastAsia="仿宋" w:cs="仿宋"/>
          <w:sz w:val="32"/>
          <w:szCs w:val="32"/>
          <w:highlight w:val="none"/>
        </w:rPr>
        <w:t>机构性质：</w:t>
      </w:r>
      <w:r>
        <w:rPr>
          <w:rFonts w:hint="eastAsia" w:ascii="仿宋" w:hAnsi="仿宋" w:eastAsia="仿宋" w:cs="仿宋"/>
          <w:sz w:val="32"/>
          <w:szCs w:val="32"/>
          <w:highlight w:val="none"/>
          <w:lang w:val="en-US" w:eastAsia="zh-CN"/>
        </w:rPr>
        <w:t>参照公务员法管理单位</w:t>
      </w:r>
      <w:r>
        <w:rPr>
          <w:rFonts w:hint="eastAsia" w:ascii="仿宋" w:hAnsi="仿宋" w:eastAsia="仿宋" w:cs="仿宋"/>
          <w:sz w:val="32"/>
          <w:szCs w:val="32"/>
          <w:highlight w:val="none"/>
        </w:rPr>
        <w:t>，机构地址：四川省阿坝州壤塘县岗木达镇罗吾塘藏街118号，</w:t>
      </w:r>
      <w:r>
        <w:rPr>
          <w:rFonts w:hint="eastAsia" w:ascii="仿宋" w:hAnsi="仿宋" w:eastAsia="仿宋" w:cs="仿宋"/>
          <w:color w:val="auto"/>
          <w:sz w:val="32"/>
          <w:szCs w:val="32"/>
          <w:highlight w:val="none"/>
        </w:rPr>
        <w:t>单位负责人：</w:t>
      </w:r>
      <w:r>
        <w:rPr>
          <w:rFonts w:hint="eastAsia" w:ascii="仿宋" w:hAnsi="仿宋" w:eastAsia="仿宋" w:cs="仿宋"/>
          <w:color w:val="auto"/>
          <w:sz w:val="32"/>
          <w:szCs w:val="32"/>
          <w:highlight w:val="none"/>
          <w:lang w:val="en-US" w:eastAsia="zh-CN"/>
        </w:rPr>
        <w:t>陈蓉</w:t>
      </w:r>
      <w:r>
        <w:rPr>
          <w:rFonts w:hint="eastAsia" w:ascii="仿宋" w:hAnsi="仿宋" w:eastAsia="仿宋" w:cs="仿宋"/>
          <w:color w:val="auto"/>
          <w:sz w:val="32"/>
          <w:szCs w:val="32"/>
          <w:highlight w:val="none"/>
        </w:rPr>
        <w:t>。</w:t>
      </w:r>
    </w:p>
    <w:p>
      <w:pPr>
        <w:spacing w:line="360" w:lineRule="auto"/>
        <w:ind w:firstLine="642" w:firstLineChars="200"/>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rPr>
        <w:t>（一）机构组成</w:t>
      </w:r>
    </w:p>
    <w:p>
      <w:pPr>
        <w:spacing w:line="360" w:lineRule="auto"/>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壤塘县红十字会</w:t>
      </w:r>
      <w:r>
        <w:rPr>
          <w:rFonts w:hint="eastAsia" w:ascii="仿宋" w:hAnsi="仿宋" w:eastAsia="仿宋" w:cs="仿宋"/>
          <w:sz w:val="32"/>
          <w:szCs w:val="32"/>
          <w:highlight w:val="none"/>
        </w:rPr>
        <w:t>共</w:t>
      </w:r>
      <w:r>
        <w:rPr>
          <w:rFonts w:hint="eastAsia" w:ascii="仿宋" w:hAnsi="仿宋" w:eastAsia="仿宋" w:cs="仿宋"/>
          <w:color w:val="auto"/>
          <w:sz w:val="32"/>
          <w:szCs w:val="32"/>
          <w:highlight w:val="none"/>
        </w:rPr>
        <w:t>有</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个</w:t>
      </w:r>
      <w:r>
        <w:rPr>
          <w:rFonts w:hint="eastAsia" w:ascii="仿宋" w:hAnsi="仿宋" w:eastAsia="仿宋" w:cs="仿宋"/>
          <w:color w:val="auto"/>
          <w:sz w:val="32"/>
          <w:szCs w:val="32"/>
          <w:highlight w:val="none"/>
          <w:lang w:val="en-US" w:eastAsia="zh-CN"/>
        </w:rPr>
        <w:t>股</w:t>
      </w:r>
      <w:r>
        <w:rPr>
          <w:rFonts w:hint="eastAsia" w:ascii="仿宋" w:hAnsi="仿宋" w:eastAsia="仿宋" w:cs="仿宋"/>
          <w:color w:val="auto"/>
          <w:sz w:val="32"/>
          <w:szCs w:val="32"/>
          <w:highlight w:val="none"/>
        </w:rPr>
        <w:t>室，办公室</w:t>
      </w:r>
      <w:r>
        <w:rPr>
          <w:rFonts w:hint="eastAsia" w:ascii="仿宋" w:hAnsi="仿宋" w:eastAsia="仿宋" w:cs="仿宋"/>
          <w:sz w:val="32"/>
          <w:szCs w:val="32"/>
          <w:highlight w:val="none"/>
        </w:rPr>
        <w:t>。</w:t>
      </w:r>
    </w:p>
    <w:p>
      <w:pPr>
        <w:pStyle w:val="15"/>
        <w:rPr>
          <w:rFonts w:hint="eastAsia"/>
          <w:lang w:val="zh-CN"/>
        </w:rPr>
      </w:pPr>
    </w:p>
    <w:p>
      <w:pPr>
        <w:numPr>
          <w:ilvl w:val="0"/>
          <w:numId w:val="2"/>
        </w:numPr>
        <w:spacing w:line="360" w:lineRule="auto"/>
        <w:ind w:firstLine="642" w:firstLineChars="200"/>
        <w:rPr>
          <w:rFonts w:hint="eastAsia" w:ascii="仿宋" w:hAnsi="仿宋" w:eastAsia="仿宋" w:cs="仿宋"/>
          <w:b/>
          <w:bCs/>
          <w:color w:val="000000"/>
          <w:kern w:val="0"/>
          <w:sz w:val="32"/>
          <w:szCs w:val="32"/>
          <w:highlight w:val="none"/>
          <w:shd w:val="clear" w:color="auto" w:fill="FFFFFF"/>
          <w:lang w:val="zh-CN"/>
        </w:rPr>
      </w:pPr>
      <w:r>
        <w:rPr>
          <w:rFonts w:hint="eastAsia" w:ascii="仿宋" w:hAnsi="仿宋" w:eastAsia="仿宋" w:cs="仿宋"/>
          <w:b/>
          <w:bCs/>
          <w:color w:val="000000"/>
          <w:kern w:val="0"/>
          <w:sz w:val="32"/>
          <w:szCs w:val="32"/>
          <w:highlight w:val="none"/>
          <w:shd w:val="clear" w:color="auto" w:fill="FFFFFF"/>
          <w:lang w:val="zh-CN"/>
        </w:rPr>
        <w:t>人员概况。</w:t>
      </w:r>
    </w:p>
    <w:p>
      <w:pPr>
        <w:numPr>
          <w:ilvl w:val="0"/>
          <w:numId w:val="0"/>
        </w:numPr>
        <w:spacing w:line="360" w:lineRule="auto"/>
        <w:ind w:firstLine="640" w:firstLineChars="200"/>
        <w:rPr>
          <w:rFonts w:hint="eastAsia" w:ascii="仿宋" w:hAnsi="仿宋" w:eastAsia="仿宋" w:cs="仿宋"/>
          <w:szCs w:val="32"/>
          <w:lang w:val="en-US"/>
        </w:rPr>
      </w:pPr>
      <w:r>
        <w:rPr>
          <w:rFonts w:hint="eastAsia" w:ascii="仿宋" w:hAnsi="仿宋" w:eastAsia="仿宋" w:cs="仿宋"/>
          <w:sz w:val="32"/>
          <w:szCs w:val="32"/>
          <w:lang w:val="en-US" w:eastAsia="zh-CN"/>
        </w:rPr>
        <w:t>壤塘县红十字会在编人数为5人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其中参照公务员法管理4名，机关工勤编制1名。</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eastAsia="zh-CN"/>
        </w:rPr>
      </w:pPr>
      <w:r>
        <w:rPr>
          <w:rFonts w:hint="eastAsia" w:ascii="仿宋" w:hAnsi="仿宋" w:eastAsia="仿宋" w:cs="仿宋"/>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仿宋" w:hAnsi="仿宋" w:eastAsia="仿宋" w:cs="仿宋"/>
          <w:b/>
          <w:bCs/>
          <w:color w:val="000000"/>
          <w:kern w:val="0"/>
          <w:sz w:val="32"/>
          <w:szCs w:val="32"/>
          <w:highlight w:val="none"/>
          <w:shd w:val="clear" w:color="auto" w:fill="FFFFFF"/>
          <w:lang w:val="zh-CN"/>
        </w:rPr>
      </w:pPr>
      <w:r>
        <w:rPr>
          <w:rFonts w:hint="eastAsia" w:ascii="仿宋" w:hAnsi="仿宋" w:eastAsia="仿宋" w:cs="仿宋"/>
          <w:b/>
          <w:bCs/>
          <w:color w:val="000000"/>
          <w:kern w:val="0"/>
          <w:sz w:val="32"/>
          <w:szCs w:val="32"/>
          <w:highlight w:val="none"/>
          <w:shd w:val="clear" w:color="auto" w:fill="FFFFFF"/>
          <w:lang w:val="zh-CN"/>
        </w:rPr>
        <w:t>（一）收入情况。</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壤塘县红十字会2025年度资金收入合计126.05万元，其中：年初一般公共预算财政拨款3.96万元，执行其中追加一般公共预算收入20.96万元，政府性基金预算财政拨款收入9.93，年初结转和结余1.2万元；本年度无财政应返还额度。</w:t>
      </w:r>
    </w:p>
    <w:p>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仿宋" w:hAnsi="仿宋" w:eastAsia="仿宋" w:cs="仿宋"/>
          <w:b/>
          <w:bCs/>
          <w:color w:val="000000"/>
          <w:kern w:val="0"/>
          <w:sz w:val="32"/>
          <w:szCs w:val="32"/>
          <w:highlight w:val="none"/>
          <w:shd w:val="clear" w:color="auto" w:fill="FFFFFF"/>
          <w:lang w:val="en-US" w:eastAsia="zh-CN"/>
        </w:rPr>
      </w:pPr>
      <w:r>
        <w:rPr>
          <w:rFonts w:hint="eastAsia" w:ascii="仿宋" w:hAnsi="仿宋" w:eastAsia="仿宋" w:cs="仿宋"/>
          <w:b/>
          <w:bCs/>
          <w:color w:val="000000"/>
          <w:kern w:val="0"/>
          <w:sz w:val="32"/>
          <w:szCs w:val="32"/>
          <w:highlight w:val="none"/>
          <w:shd w:val="clear" w:color="auto" w:fill="FFFFFF"/>
          <w:lang w:val="zh-CN"/>
        </w:rPr>
        <w:t>支出情况。</w:t>
      </w:r>
      <w:r>
        <w:rPr>
          <w:rFonts w:hint="eastAsia" w:ascii="仿宋" w:hAnsi="仿宋" w:eastAsia="仿宋" w:cs="仿宋"/>
          <w:b/>
          <w:bCs/>
          <w:color w:val="000000"/>
          <w:kern w:val="0"/>
          <w:sz w:val="32"/>
          <w:szCs w:val="32"/>
          <w:highlight w:val="none"/>
          <w:shd w:val="clear" w:color="auto" w:fill="FFFFFF"/>
          <w:lang w:val="en-US" w:eastAsia="zh-CN"/>
        </w:rPr>
        <w:t>红十字会</w:t>
      </w:r>
    </w:p>
    <w:p>
      <w:pPr>
        <w:pStyle w:val="36"/>
        <w:spacing w:line="360" w:lineRule="auto"/>
        <w:ind w:firstLine="640"/>
        <w:rPr>
          <w:rFonts w:hint="eastAsia" w:ascii="仿宋" w:hAnsi="仿宋" w:eastAsia="仿宋" w:cs="仿宋"/>
          <w:kern w:val="2"/>
          <w:sz w:val="32"/>
          <w:szCs w:val="32"/>
          <w:lang w:val="en-US" w:eastAsia="zh-CN" w:bidi="ar-SA"/>
        </w:rPr>
      </w:pPr>
      <w:r>
        <w:rPr>
          <w:rFonts w:hint="eastAsia" w:ascii="仿宋" w:hAnsi="仿宋" w:eastAsia="仿宋" w:cs="仿宋"/>
          <w:sz w:val="32"/>
          <w:szCs w:val="32"/>
          <w:lang w:eastAsia="zh-CN"/>
        </w:rPr>
        <w:t>壤塘县红十字会202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支出全年预算数共计</w:t>
      </w:r>
      <w:r>
        <w:rPr>
          <w:rFonts w:hint="eastAsia" w:ascii="仿宋" w:hAnsi="仿宋" w:eastAsia="仿宋" w:cs="仿宋"/>
          <w:sz w:val="32"/>
          <w:szCs w:val="32"/>
          <w:lang w:val="en-US" w:eastAsia="zh-CN"/>
        </w:rPr>
        <w:t>124.85</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114.92</w:t>
      </w:r>
      <w:r>
        <w:rPr>
          <w:rFonts w:hint="eastAsia" w:ascii="仿宋" w:hAnsi="仿宋" w:eastAsia="仿宋" w:cs="仿宋"/>
          <w:sz w:val="32"/>
          <w:szCs w:val="32"/>
        </w:rPr>
        <w:t>万元，</w:t>
      </w:r>
      <w:r>
        <w:rPr>
          <w:rFonts w:hint="eastAsia" w:ascii="仿宋" w:hAnsi="仿宋" w:eastAsia="仿宋" w:cs="仿宋"/>
          <w:kern w:val="2"/>
          <w:sz w:val="32"/>
          <w:szCs w:val="32"/>
          <w:lang w:val="en-US" w:eastAsia="zh-CN" w:bidi="ar-SA"/>
        </w:rPr>
        <w:t>项目支出9.93万元。年初结转结余形成支出1.20万元。</w:t>
      </w:r>
    </w:p>
    <w:p>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outlineLvl w:val="9"/>
        <w:rPr>
          <w:rFonts w:hint="eastAsia" w:ascii="仿宋" w:hAnsi="仿宋" w:eastAsia="仿宋" w:cs="仿宋"/>
          <w:b/>
          <w:bCs/>
          <w:color w:val="000000"/>
          <w:kern w:val="0"/>
          <w:sz w:val="32"/>
          <w:szCs w:val="32"/>
          <w:highlight w:val="none"/>
          <w:shd w:val="clear" w:color="auto" w:fill="FFFFFF"/>
          <w:lang w:val="zh-CN" w:eastAsia="zh-CN"/>
        </w:rPr>
      </w:pPr>
      <w:r>
        <w:rPr>
          <w:rFonts w:hint="eastAsia" w:ascii="仿宋" w:hAnsi="仿宋" w:eastAsia="仿宋" w:cs="仿宋"/>
          <w:b/>
          <w:bCs/>
          <w:color w:val="000000"/>
          <w:kern w:val="0"/>
          <w:sz w:val="32"/>
          <w:szCs w:val="32"/>
          <w:highlight w:val="none"/>
          <w:shd w:val="clear" w:color="auto" w:fill="FFFFFF"/>
          <w:lang w:val="zh-CN"/>
        </w:rPr>
        <w:t>结余分配和结转结余情况</w:t>
      </w:r>
      <w:r>
        <w:rPr>
          <w:rFonts w:hint="eastAsia" w:ascii="仿宋" w:hAnsi="仿宋" w:eastAsia="仿宋" w:cs="仿宋"/>
          <w:b/>
          <w:bCs/>
          <w:color w:val="000000"/>
          <w:kern w:val="0"/>
          <w:sz w:val="32"/>
          <w:szCs w:val="32"/>
          <w:highlight w:val="none"/>
          <w:shd w:val="clear" w:color="auto" w:fill="FFFFFF"/>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firstLine="640" w:firstLineChars="200"/>
        <w:contextualSpacing/>
        <w:jc w:val="left"/>
        <w:textAlignment w:val="auto"/>
        <w:outlineLvl w:val="9"/>
        <w:rPr>
          <w:rFonts w:hint="eastAsia" w:ascii="仿宋" w:hAnsi="仿宋" w:eastAsia="仿宋" w:cs="仿宋"/>
          <w:b w:val="0"/>
          <w:bCs w:val="0"/>
          <w:color w:val="000000"/>
          <w:kern w:val="0"/>
          <w:szCs w:val="32"/>
          <w:highlight w:val="none"/>
          <w:shd w:val="clear" w:color="auto" w:fill="FFFFFF"/>
          <w:lang w:val="zh-CN" w:eastAsia="zh-CN"/>
        </w:rPr>
      </w:pPr>
      <w:r>
        <w:rPr>
          <w:rFonts w:hint="eastAsia" w:ascii="仿宋" w:hAnsi="仿宋" w:eastAsia="仿宋" w:cs="仿宋"/>
          <w:sz w:val="32"/>
          <w:szCs w:val="32"/>
          <w:lang w:val="en-US" w:eastAsia="zh-CN"/>
        </w:rPr>
        <w:t>2025年未结转结余0万元。</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三、部门预算绩效分析</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en-US" w:eastAsia="zh-CN" w:bidi="ar-SA"/>
        </w:rPr>
        <w:t>(</w:t>
      </w:r>
      <w:r>
        <w:rPr>
          <w:rFonts w:hint="eastAsia" w:ascii="仿宋" w:hAnsi="仿宋" w:eastAsia="仿宋" w:cs="仿宋"/>
          <w:b w:val="0"/>
          <w:kern w:val="2"/>
          <w:sz w:val="32"/>
          <w:szCs w:val="32"/>
          <w:lang w:val="zh-CN" w:eastAsia="zh-CN" w:bidi="ar-SA"/>
        </w:rPr>
        <w:t>1）履职效能。壤塘县红十字会紧紧围绕县委、县政府中心工作，在州红十字会悉心指导与大力支持下，立足职能职责、聚焦群众急难愁盼，扎实推进各项重点工作。常态化开展帮困救病、助学助孤、助残助老等暖心社会救助行动，用心用情做好联系服务群众工作，切实协助党委政府纾民困、解民忧。稳步抓实备灾救灾各项举措，高标准推进“三救三献”重点业务，全力抓好应急救护培训工作，培训质量达标率稳定在90%以上，切实以实干实效服务民生大局，此项共计得分11分。</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2）预算管理。2025年，壤塘县红十字会严格规范开展预算管理工作，本年度年初核定一般公共预算93.96万元。工作推进期间结合实际业务开展需求与工作部署，依规追加一般公共预算收入20.96万元，另取得政府性基金彩票公益金9.93万元，加上年初结转结余1.20万元，全年资金收入合计126.05万元。单位预算编制贴合实际、统筹科学，资金测算较为合理，但年初预算与执行后总资金规模差异较大，预算编制精准度有待提高，此项共计得分20分。</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3）财务管理。壤塘县红十字会财务制度体系架构完整、各项管理制度健全完善，财务岗位设置科学合理、权责划分清晰。严格遵守财经纪律，筑牢财务合规运行底线，各类资金拨付、使用流程规范严谨，账务处理依规有序，财务管理整体运行规范有序，此项共计得分9分。</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（4）资产管理。截至2025年12月31日，壤塘县红十字会在行政事业单位资产管理系统录入固定资产总额43.74万元，全部资产均正常投入使用，固定资产在用率达100%。</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本单位资产管理制度健全规范，常态化开展资产清查盘点工作，做到账账相符、账实相符。严格落实资产管理各项要求，统筹做好人均资产变化率、资产利用率、资产盘活率等指标管控，资产日常管理有序到位，后续将持续深挖资产使用潜力，进一步提升资产综合使用效益。此项共计得分9分。</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5）采购管理。2025年度，壤塘县红十字会无政府采购货物、工程及服务类支出，全年未发生相关采购业务，不涉及政府采购相关流程与事项。单位严格恪守采购管理各项规定，落实采购纪律要求，此项共计得分3分。</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2.部门预算项目绩效分析</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2025年，壤塘县红十字会实施1个专项项目：2025年中央财政专项彩票公益金支持地方社会公益事业发展资金（革命老区城镇社区博爱家园建设项目），该项目各环节推进规范、落实到位。</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1）项目决策。壤塘县红十字会各类项目严格遵循规范的决策程序，严格履行审批、公示等关键环节，做到程序合规、流程规范。项目前期规划论证充分，目标设置科学合理、贴合实际，严格按照要求完成项目入库相关工作，确保项目立项有依据、推进有方向。资金投向精准契合中央专项彩票公益金支持革命老区公益事业的政策导向，既严格符合各项政策规定，又紧密贴合当地群众的实际需求，为项目高效有序实施奠定了坚实基础，此项共计得分12分。</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2）项目执行。项目预算执行率达100%，严格做到执行同向统筹推进，严守资金管理各项制度，资金使用合规严谨，不存在违规支出行为。项目实施过程规范严谨，依规做好项目调整相关报备管控，设备及物资采购全流程依规落实、公开透明、运转有序。紧盯项目建设时序进度，保质保量完成各项建设任务，抓实抓牢项目执行结果，项目整体按既定计划平稳落地，未发生进度滞后、重大延误等问题，此项共计得分12分。</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3）目标实现。该项目已按计划圆满完成全部任务，涵盖AED采购与配置、应急救护培训开展、备灾储藏室建设及物资储备、博爱小屋建设及设备器具配置等各项重点内容。项目目标完成质量过硬，绩效目标完成率达100%，无任何目标偏离情况，严格按照既定时间节点推进，实施时效完全符合计划要求。同时，扎实做好目标完成复盘与总结，全面呈现项目实现效果，切实发挥了项目公益效能，有效助力民生改善，此项共计得分11分。</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（三）绩效结果应用情况</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根据县财政局工作要求，我会专门成立绩效自评工作小组，有序组织开展2025年度绩效管理自评各项工作。</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1.信息公开方面：严格按照财政相关规定，在预决算批复后20日内，按时在壤塘县人民政府门户网站完成信息公开，公开内容真实准确、要素完整规范。</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2.监督管理方面：自觉依法接受财政、审计等部门监督检查，严格遵守财经法律法规和财经纪律，按时保质上报各类财务及绩效资料。严格落实中央八项规定精神及省、市、县厉行勤俭节约相关要求，严格执行单位财务管理制度，紧扣年初预算合理统筹安排日常公用经费支出，坚持厉行节约、精打细算，精准高效统筹使用财政资金，切实把资金用在关键处、刀刃上，充分发挥财政资金社会效益与经济效益，保障单位各项工作平稳有序运转。</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四、评价结论及建议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（一）评价结论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我会通过加强预算绩效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会将继续努力，科学合理编制预决算，开展绩效评价，加强精细管理，完善不足。</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（二）存在问题</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1.年初预算数与全年实际资金规模差别较大，预算安排不够准确，年度执行中追加资金较多。</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2.未制定明确可落地的财务监控监督措施。</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（三）改进建议</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1.加强预算编制准确性，结合历年决算执行数据科学测算资金需求，尽量减少执行中期追加资金。</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2.制定明确的财务监控监督措施，完善内控流程，确保监控监督措施执行有效。</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附表：</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1.部门预算绩效自评打分表</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b w:val="0"/>
          <w:kern w:val="2"/>
          <w:sz w:val="32"/>
          <w:szCs w:val="32"/>
          <w:lang w:val="zh-CN" w:eastAsia="zh-CN" w:bidi="ar-SA"/>
        </w:rPr>
      </w:pPr>
      <w:r>
        <w:rPr>
          <w:rFonts w:hint="eastAsia" w:ascii="仿宋" w:hAnsi="仿宋" w:eastAsia="仿宋" w:cs="仿宋"/>
          <w:b w:val="0"/>
          <w:kern w:val="2"/>
          <w:sz w:val="32"/>
          <w:szCs w:val="32"/>
          <w:lang w:val="zh-CN" w:eastAsia="zh-CN" w:bidi="ar-SA"/>
        </w:rPr>
        <w:t>2.部门整体支出绩效目标完成情况自评表</w:t>
      </w: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仿宋" w:hAnsi="仿宋" w:eastAsia="仿宋" w:cs="仿宋"/>
          <w:color w:val="FF0000"/>
          <w:sz w:val="32"/>
          <w:szCs w:val="32"/>
          <w:highlight w:val="none"/>
          <w:lang w:val="zh-CN"/>
        </w:rPr>
      </w:pPr>
    </w:p>
    <w:p>
      <w:pPr>
        <w:pStyle w:val="2"/>
        <w:rPr>
          <w:rFonts w:hint="eastAsia" w:ascii="仿宋" w:hAnsi="仿宋" w:eastAsia="仿宋" w:cs="仿宋"/>
          <w:color w:val="FF0000"/>
          <w:sz w:val="32"/>
          <w:szCs w:val="32"/>
          <w:highlight w:val="none"/>
          <w:lang w:val="zh-CN"/>
        </w:rPr>
      </w:pPr>
    </w:p>
    <w:p>
      <w:pPr>
        <w:rPr>
          <w:rFonts w:hint="eastAsia" w:ascii="仿宋" w:hAnsi="仿宋" w:eastAsia="仿宋" w:cs="仿宋"/>
          <w:color w:val="FF0000"/>
          <w:sz w:val="32"/>
          <w:szCs w:val="32"/>
          <w:highlight w:val="none"/>
          <w:lang w:val="zh-CN"/>
        </w:rPr>
      </w:pPr>
    </w:p>
    <w:p>
      <w:pPr>
        <w:pStyle w:val="2"/>
        <w:rPr>
          <w:rFonts w:hint="eastAsia" w:ascii="仿宋" w:hAnsi="仿宋" w:eastAsia="仿宋" w:cs="仿宋"/>
          <w:color w:val="FF0000"/>
          <w:sz w:val="32"/>
          <w:szCs w:val="32"/>
          <w:highlight w:val="none"/>
          <w:lang w:val="zh-CN"/>
        </w:rPr>
      </w:pPr>
    </w:p>
    <w:p>
      <w:pPr>
        <w:rPr>
          <w:rFonts w:hint="eastAsia" w:ascii="仿宋" w:hAnsi="仿宋" w:eastAsia="仿宋" w:cs="仿宋"/>
          <w:color w:val="FF0000"/>
          <w:sz w:val="32"/>
          <w:szCs w:val="32"/>
          <w:highlight w:val="none"/>
          <w:lang w:val="zh-CN"/>
        </w:rPr>
      </w:pPr>
    </w:p>
    <w:p>
      <w:pPr>
        <w:pStyle w:val="2"/>
        <w:rPr>
          <w:rFonts w:hint="eastAsia"/>
          <w:lang w:val="zh-CN"/>
        </w:rPr>
      </w:pPr>
    </w:p>
    <w:p>
      <w:pPr>
        <w:pStyle w:val="2"/>
        <w:rPr>
          <w:rFonts w:hint="eastAsia" w:ascii="仿宋" w:hAnsi="仿宋" w:eastAsia="仿宋" w:cs="仿宋"/>
          <w:color w:val="FF0000"/>
          <w:sz w:val="32"/>
          <w:szCs w:val="32"/>
          <w:highlight w:val="none"/>
          <w:lang w:val="zh-CN"/>
        </w:rPr>
      </w:pPr>
    </w:p>
    <w:p>
      <w:pPr>
        <w:pStyle w:val="2"/>
        <w:rPr>
          <w:rFonts w:hint="eastAsia"/>
          <w:lang w:val="zh-CN"/>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仿宋" w:hAnsi="仿宋" w:eastAsia="仿宋" w:cs="仿宋"/>
          <w:color w:val="FF0000"/>
          <w:sz w:val="32"/>
          <w:szCs w:val="32"/>
          <w:highlight w:val="none"/>
          <w:lang w:val="zh-CN"/>
        </w:rPr>
      </w:pP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7"/>
        <w:tblW w:w="10912" w:type="dxa"/>
        <w:jc w:val="center"/>
        <w:tblLayout w:type="fixed"/>
        <w:tblCellMar>
          <w:top w:w="0" w:type="dxa"/>
          <w:left w:w="108" w:type="dxa"/>
          <w:bottom w:w="0" w:type="dxa"/>
          <w:right w:w="108" w:type="dxa"/>
        </w:tblCellMar>
      </w:tblPr>
      <w:tblGrid>
        <w:gridCol w:w="1097"/>
        <w:gridCol w:w="1201"/>
        <w:gridCol w:w="1929"/>
        <w:gridCol w:w="717"/>
        <w:gridCol w:w="4829"/>
        <w:gridCol w:w="661"/>
        <w:gridCol w:w="478"/>
      </w:tblGrid>
      <w:tr>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8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66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8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661"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default" w:ascii="宋体" w:hAnsi="宋体" w:eastAsia="宋体" w:cs="宋体"/>
                <w:color w:val="000000"/>
                <w:sz w:val="24"/>
                <w:lang w:val="en-US" w:eastAsia="zh-CN"/>
              </w:rPr>
            </w:pPr>
            <w:r>
              <w:rPr>
                <w:rFonts w:hint="eastAsia" w:ascii="宋体" w:hAnsi="宋体" w:eastAsia="宋体" w:cs="宋体"/>
                <w:color w:val="000000"/>
                <w:kern w:val="0"/>
                <w:sz w:val="24"/>
                <w:lang w:val="en-US" w:eastAsia="zh-CN"/>
              </w:rPr>
              <w:t>应急救护培训质量</w:t>
            </w:r>
          </w:p>
        </w:tc>
        <w:tc>
          <w:tcPr>
            <w:tcW w:w="717"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rPr>
              <w:t>5</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lang w:val="en-US" w:eastAsia="zh-CN"/>
              </w:rPr>
              <w:t>三救三献</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lang w:val="en-US" w:eastAsia="zh-CN"/>
              </w:rPr>
              <w:t>质量</w:t>
            </w:r>
          </w:p>
        </w:tc>
        <w:tc>
          <w:tcPr>
            <w:tcW w:w="717"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开展备灾救灾工作</w:t>
            </w:r>
          </w:p>
        </w:tc>
        <w:tc>
          <w:tcPr>
            <w:tcW w:w="717"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eastAsia="zh-CN"/>
              </w:rPr>
              <w:t>会</w:t>
            </w:r>
            <w:r>
              <w:rPr>
                <w:rFonts w:hint="eastAsia" w:ascii="宋体" w:hAnsi="宋体" w:eastAsia="宋体" w:cs="宋体"/>
                <w:color w:val="000000"/>
                <w:kern w:val="0"/>
                <w:sz w:val="24"/>
              </w:rPr>
              <w:t>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w:t>
            </w:r>
            <w:r>
              <w:rPr>
                <w:rFonts w:hint="eastAsia" w:ascii="宋体" w:hAnsi="宋体" w:eastAsia="宋体" w:cs="宋体"/>
                <w:b/>
                <w:color w:val="000000"/>
                <w:kern w:val="0"/>
                <w:sz w:val="24"/>
                <w:lang w:val="en-US" w:eastAsia="zh-CN"/>
              </w:rPr>
              <w:t>6</w:t>
            </w:r>
            <w:r>
              <w:rPr>
                <w:rFonts w:hint="eastAsia" w:ascii="宋体" w:hAnsi="宋体" w:eastAsia="宋体" w:cs="宋体"/>
                <w:b/>
                <w:color w:val="000000"/>
                <w:kern w:val="0"/>
                <w:sz w:val="24"/>
              </w:rPr>
              <w:t>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w:t>
            </w:r>
            <w:r>
              <w:rPr>
                <w:rFonts w:hint="eastAsia" w:ascii="宋体" w:hAnsi="宋体" w:eastAsia="宋体" w:cs="宋体"/>
                <w:b/>
                <w:color w:val="000000"/>
                <w:kern w:val="0"/>
                <w:sz w:val="24"/>
                <w:lang w:val="en-US" w:eastAsia="zh-CN"/>
              </w:rPr>
              <w:t>3</w:t>
            </w:r>
            <w:r>
              <w:rPr>
                <w:rFonts w:hint="eastAsia" w:ascii="宋体" w:hAnsi="宋体" w:eastAsia="宋体" w:cs="宋体"/>
                <w:b/>
                <w:color w:val="000000"/>
                <w:kern w:val="0"/>
                <w:sz w:val="24"/>
              </w:rPr>
              <w:t>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ind w:firstLine="201"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8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bl>
    <w:p>
      <w:pPr>
        <w:pStyle w:val="2"/>
        <w:spacing w:line="20" w:lineRule="exact"/>
      </w:pPr>
    </w:p>
    <w:p>
      <w:pPr>
        <w:spacing w:line="20" w:lineRule="exact"/>
        <w:rPr>
          <w:rFonts w:eastAsia="黑体"/>
        </w:rPr>
      </w:pPr>
      <w:r>
        <w:rPr>
          <w:rFonts w:eastAsia="黑体"/>
        </w:rPr>
        <w:br w:type="page"/>
      </w: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7"/>
        <w:tblW w:w="9658" w:type="dxa"/>
        <w:jc w:val="center"/>
        <w:tblLayout w:type="fixed"/>
        <w:tblCellMar>
          <w:top w:w="0" w:type="dxa"/>
          <w:left w:w="108" w:type="dxa"/>
          <w:bottom w:w="0" w:type="dxa"/>
          <w:right w:w="108" w:type="dxa"/>
        </w:tblCellMar>
      </w:tblPr>
      <w:tblGrid>
        <w:gridCol w:w="331"/>
        <w:gridCol w:w="593"/>
        <w:gridCol w:w="803"/>
        <w:gridCol w:w="1501"/>
        <w:gridCol w:w="705"/>
        <w:gridCol w:w="900"/>
        <w:gridCol w:w="945"/>
        <w:gridCol w:w="915"/>
        <w:gridCol w:w="1034"/>
        <w:gridCol w:w="1931"/>
      </w:tblGrid>
      <w:tr>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壤塘县红十字会</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206"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84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3880"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206"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93.96</w:t>
            </w:r>
          </w:p>
        </w:tc>
        <w:tc>
          <w:tcPr>
            <w:tcW w:w="184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93.96</w:t>
            </w:r>
          </w:p>
        </w:tc>
        <w:tc>
          <w:tcPr>
            <w:tcW w:w="3880"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206" w:type="dxa"/>
            <w:gridSpan w:val="2"/>
            <w:tcBorders>
              <w:top w:val="single" w:color="000000" w:sz="4" w:space="0"/>
              <w:left w:val="single" w:color="auto"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114.92</w:t>
            </w:r>
          </w:p>
        </w:tc>
        <w:tc>
          <w:tcPr>
            <w:tcW w:w="1845" w:type="dxa"/>
            <w:gridSpan w:val="2"/>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114.92</w:t>
            </w:r>
          </w:p>
        </w:tc>
        <w:tc>
          <w:tcPr>
            <w:tcW w:w="3880"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19.85</w:t>
            </w:r>
          </w:p>
        </w:tc>
      </w:tr>
      <w:tr>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18"/>
                <w:szCs w:val="18"/>
              </w:rPr>
              <w:t>一是备灾救灾工作，在自然灾害和突发事件中，开展对受害者的救助和帮助；二是开展人道领域内的社区服务、社会公益服务活动即卫生救护、防病常识的宣传和普及；三是开展艾滋病预防及吸毒危害的宣传教育工作，提高公民自我防护意识和能力；四是组织会员和志愿者开展社会服务活动；五是开展“三救、三献”工作；六是开展募捐活动。</w:t>
            </w:r>
          </w:p>
        </w:tc>
      </w:tr>
      <w:tr>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150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7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指标值</w:t>
            </w:r>
          </w:p>
        </w:tc>
        <w:tc>
          <w:tcPr>
            <w:tcW w:w="3794"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指标实际完成值</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50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7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900" w:type="dxa"/>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三年</w:t>
            </w:r>
          </w:p>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均值</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202</w:t>
            </w:r>
            <w:r>
              <w:rPr>
                <w:rFonts w:hint="eastAsia" w:ascii="宋体" w:hAnsi="宋体" w:eastAsia="宋体" w:cs="宋体"/>
                <w:color w:val="000000"/>
                <w:kern w:val="0"/>
                <w:sz w:val="21"/>
                <w:szCs w:val="21"/>
                <w:lang w:val="en-US" w:eastAsia="zh-CN"/>
              </w:rPr>
              <w:t>2</w:t>
            </w:r>
            <w:r>
              <w:rPr>
                <w:rFonts w:ascii="宋体" w:hAnsi="宋体" w:eastAsia="宋体" w:cs="宋体"/>
                <w:color w:val="000000"/>
                <w:kern w:val="0"/>
                <w:sz w:val="21"/>
                <w:szCs w:val="21"/>
              </w:rPr>
              <w:t>年</w:t>
            </w:r>
          </w:p>
        </w:tc>
        <w:tc>
          <w:tcPr>
            <w:tcW w:w="91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202</w:t>
            </w:r>
            <w:r>
              <w:rPr>
                <w:rFonts w:hint="eastAsia" w:ascii="宋体" w:hAnsi="宋体" w:eastAsia="宋体" w:cs="宋体"/>
                <w:color w:val="000000"/>
                <w:kern w:val="0"/>
                <w:sz w:val="21"/>
                <w:szCs w:val="21"/>
                <w:lang w:val="en-US" w:eastAsia="zh-CN"/>
              </w:rPr>
              <w:t>3</w:t>
            </w:r>
            <w:r>
              <w:rPr>
                <w:rFonts w:ascii="宋体" w:hAnsi="宋体" w:eastAsia="宋体" w:cs="宋体"/>
                <w:color w:val="000000"/>
                <w:kern w:val="0"/>
                <w:sz w:val="21"/>
                <w:szCs w:val="21"/>
              </w:rPr>
              <w:t>年</w:t>
            </w:r>
          </w:p>
        </w:tc>
        <w:tc>
          <w:tcPr>
            <w:tcW w:w="10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202</w:t>
            </w:r>
            <w:r>
              <w:rPr>
                <w:rFonts w:hint="eastAsia" w:ascii="宋体" w:hAnsi="宋体" w:eastAsia="宋体" w:cs="宋体"/>
                <w:color w:val="000000"/>
                <w:kern w:val="0"/>
                <w:sz w:val="21"/>
                <w:szCs w:val="21"/>
                <w:lang w:val="en-US" w:eastAsia="zh-CN"/>
              </w:rPr>
              <w:t>4</w:t>
            </w:r>
            <w:r>
              <w:rPr>
                <w:rFonts w:ascii="宋体" w:hAnsi="宋体" w:eastAsia="宋体" w:cs="宋体"/>
                <w:color w:val="000000"/>
                <w:kern w:val="0"/>
                <w:sz w:val="21"/>
                <w:szCs w:val="21"/>
              </w:rPr>
              <w:t>年</w:t>
            </w:r>
          </w:p>
        </w:tc>
        <w:tc>
          <w:tcPr>
            <w:tcW w:w="1931" w:type="dxa"/>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预算管理</w:t>
            </w: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财政拨款</w:t>
            </w:r>
            <w:r>
              <w:rPr>
                <w:rFonts w:ascii="宋体" w:hAnsi="宋体" w:eastAsia="宋体" w:cs="宋体"/>
                <w:color w:val="000000"/>
                <w:kern w:val="0"/>
                <w:sz w:val="21"/>
                <w:szCs w:val="21"/>
              </w:rPr>
              <w:t>预算编制偏离度</w:t>
            </w:r>
          </w:p>
        </w:tc>
        <w:tc>
          <w:tcPr>
            <w:tcW w:w="70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42</w:t>
            </w:r>
            <w:r>
              <w:rPr>
                <w:rFonts w:hint="eastAsia" w:ascii="宋体" w:hAnsi="宋体" w:eastAsia="宋体" w:cs="宋体"/>
                <w:color w:val="000000"/>
                <w:kern w:val="0"/>
                <w:sz w:val="21"/>
                <w:szCs w:val="21"/>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43.29</w:t>
            </w:r>
            <w:r>
              <w:rPr>
                <w:rFonts w:ascii="宋体" w:hAnsi="宋体" w:eastAsia="宋体" w:cs="宋体"/>
                <w:color w:val="000000"/>
                <w:kern w:val="0"/>
                <w:sz w:val="21"/>
                <w:szCs w:val="21"/>
              </w:rPr>
              <w:t>%</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76.91%</w:t>
            </w:r>
          </w:p>
        </w:tc>
        <w:tc>
          <w:tcPr>
            <w:tcW w:w="91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41.45%</w:t>
            </w:r>
          </w:p>
        </w:tc>
        <w:tc>
          <w:tcPr>
            <w:tcW w:w="10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11.51%</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24.76</w:t>
            </w:r>
          </w:p>
        </w:tc>
      </w:tr>
      <w:tr>
        <w:tblPrEx>
          <w:tblCellMar>
            <w:top w:w="0" w:type="dxa"/>
            <w:left w:w="108" w:type="dxa"/>
            <w:bottom w:w="0" w:type="dxa"/>
            <w:right w:w="108" w:type="dxa"/>
          </w:tblCellMar>
        </w:tblPrEx>
        <w:trPr>
          <w:trHeight w:val="36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会</w:t>
            </w:r>
            <w:r>
              <w:rPr>
                <w:rFonts w:hint="eastAsia" w:ascii="宋体" w:hAnsi="宋体" w:eastAsia="宋体" w:cs="宋体"/>
                <w:color w:val="000000"/>
                <w:kern w:val="0"/>
                <w:sz w:val="21"/>
                <w:szCs w:val="21"/>
              </w:rPr>
              <w:t>收入统筹度</w:t>
            </w:r>
          </w:p>
        </w:tc>
        <w:tc>
          <w:tcPr>
            <w:tcW w:w="70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0</w:t>
            </w:r>
            <w:r>
              <w:rPr>
                <w:rFonts w:ascii="宋体" w:hAnsi="宋体" w:eastAsia="宋体" w:cs="宋体"/>
                <w:color w:val="000000"/>
                <w:kern w:val="0"/>
                <w:sz w:val="21"/>
                <w:szCs w:val="21"/>
              </w:rPr>
              <w:t>%</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91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10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预算年终结余</w:t>
            </w:r>
            <w:r>
              <w:rPr>
                <w:rFonts w:ascii="宋体" w:hAnsi="宋体" w:eastAsia="宋体" w:cs="宋体"/>
                <w:color w:val="000000"/>
                <w:kern w:val="0"/>
                <w:sz w:val="21"/>
                <w:szCs w:val="21"/>
              </w:rPr>
              <w:t>率</w:t>
            </w:r>
          </w:p>
        </w:tc>
        <w:tc>
          <w:tcPr>
            <w:tcW w:w="70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2</w:t>
            </w:r>
            <w:r>
              <w:rPr>
                <w:rFonts w:hint="eastAsia" w:ascii="宋体" w:hAnsi="宋体" w:eastAsia="宋体" w:cs="宋体"/>
                <w:color w:val="000000"/>
                <w:kern w:val="0"/>
                <w:sz w:val="18"/>
                <w:szCs w:val="18"/>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2.29</w:t>
            </w:r>
            <w:r>
              <w:rPr>
                <w:rFonts w:ascii="宋体" w:hAnsi="宋体" w:eastAsia="宋体" w:cs="宋体"/>
                <w:color w:val="000000"/>
                <w:kern w:val="0"/>
                <w:sz w:val="21"/>
                <w:szCs w:val="21"/>
              </w:rPr>
              <w:t>%</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91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2.62</w:t>
            </w:r>
            <w:r>
              <w:rPr>
                <w:rFonts w:ascii="宋体" w:hAnsi="宋体" w:eastAsia="宋体" w:cs="宋体"/>
                <w:color w:val="000000"/>
                <w:kern w:val="0"/>
                <w:sz w:val="21"/>
                <w:szCs w:val="21"/>
              </w:rPr>
              <w:t>%</w:t>
            </w:r>
          </w:p>
        </w:tc>
        <w:tc>
          <w:tcPr>
            <w:tcW w:w="10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1.96%</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1.96%</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一般性支出</w:t>
            </w:r>
            <w:r>
              <w:rPr>
                <w:rFonts w:ascii="宋体" w:hAnsi="宋体" w:eastAsia="宋体" w:cs="宋体"/>
                <w:color w:val="000000"/>
                <w:kern w:val="0"/>
                <w:sz w:val="21"/>
                <w:szCs w:val="21"/>
              </w:rPr>
              <w:t>金额</w:t>
            </w:r>
          </w:p>
        </w:tc>
        <w:tc>
          <w:tcPr>
            <w:tcW w:w="70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5.2</w:t>
            </w:r>
            <w:r>
              <w:rPr>
                <w:rFonts w:ascii="宋体" w:hAnsi="宋体" w:eastAsia="宋体" w:cs="宋体"/>
                <w:color w:val="000000"/>
                <w:kern w:val="0"/>
                <w:sz w:val="21"/>
                <w:szCs w:val="21"/>
              </w:rPr>
              <w:t>万元</w:t>
            </w:r>
          </w:p>
        </w:tc>
        <w:tc>
          <w:tcPr>
            <w:tcW w:w="3794"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5.8万元</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5.8万元</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财务管理</w:t>
            </w: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财务管理规范</w:t>
            </w:r>
          </w:p>
        </w:tc>
        <w:tc>
          <w:tcPr>
            <w:tcW w:w="70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val="en-US" w:eastAsia="zh-CN"/>
              </w:rPr>
              <w:t>优</w:t>
            </w:r>
          </w:p>
        </w:tc>
        <w:tc>
          <w:tcPr>
            <w:tcW w:w="3794"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x</w:t>
            </w:r>
            <w:r>
              <w:rPr>
                <w:rFonts w:ascii="宋体" w:hAnsi="宋体" w:eastAsia="宋体" w:cs="宋体"/>
                <w:color w:val="000000"/>
                <w:kern w:val="0"/>
                <w:sz w:val="21"/>
                <w:szCs w:val="21"/>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优</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资产管理</w:t>
            </w: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资产配置预算偏离度</w:t>
            </w:r>
          </w:p>
        </w:tc>
        <w:tc>
          <w:tcPr>
            <w:tcW w:w="70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ascii="宋体" w:hAnsi="宋体" w:eastAsia="宋体" w:cs="宋体"/>
                <w:color w:val="000000"/>
                <w:kern w:val="0"/>
                <w:sz w:val="21"/>
                <w:szCs w:val="21"/>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0</w:t>
            </w:r>
            <w:r>
              <w:rPr>
                <w:rFonts w:ascii="宋体" w:hAnsi="宋体" w:eastAsia="宋体" w:cs="宋体"/>
                <w:color w:val="000000"/>
                <w:kern w:val="0"/>
                <w:sz w:val="21"/>
                <w:szCs w:val="21"/>
              </w:rPr>
              <w:t>%</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91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10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采购管理</w:t>
            </w: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采购执行率</w:t>
            </w:r>
          </w:p>
        </w:tc>
        <w:tc>
          <w:tcPr>
            <w:tcW w:w="70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0</w:t>
            </w:r>
            <w:r>
              <w:rPr>
                <w:rFonts w:ascii="宋体" w:hAnsi="宋体" w:eastAsia="宋体" w:cs="宋体"/>
                <w:color w:val="000000"/>
                <w:kern w:val="0"/>
                <w:sz w:val="21"/>
                <w:szCs w:val="21"/>
              </w:rPr>
              <w:t>%</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91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103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r>
      <w:tr>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4499"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1"/>
                <w:szCs w:val="21"/>
              </w:rPr>
            </w:pP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数量指标</w:t>
            </w: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在自然灾害和突发事件中，开展对受害者的救助</w:t>
            </w:r>
          </w:p>
        </w:tc>
        <w:tc>
          <w:tcPr>
            <w:tcW w:w="4499"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eastAsia="宋体" w:cs="宋体"/>
                <w:color w:val="000000"/>
                <w:kern w:val="0"/>
                <w:sz w:val="24"/>
              </w:rPr>
            </w:pPr>
            <w:r>
              <w:rPr>
                <w:rFonts w:ascii="宋体" w:hAnsi="宋体" w:eastAsia="宋体" w:cs="宋体"/>
                <w:sz w:val="18"/>
                <w:szCs w:val="18"/>
              </w:rPr>
              <w:t>2025年常态化做好突发事件应急救助准备工作，及时对受灾群众开展人道救助帮扶</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救助人数不低于200人次</w:t>
            </w:r>
            <w:r>
              <w:rPr>
                <w:rFonts w:ascii="宋体" w:hAnsi="宋体" w:eastAsia="宋体" w:cs="宋体"/>
                <w:sz w:val="18"/>
                <w:szCs w:val="18"/>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both"/>
              <w:textAlignment w:val="center"/>
              <w:rPr>
                <w:rFonts w:hint="default" w:ascii="宋体" w:hAnsi="宋体" w:eastAsia="宋体" w:cs="宋体"/>
                <w:color w:val="000000"/>
                <w:kern w:val="0"/>
                <w:sz w:val="24"/>
                <w:lang w:val="en-US" w:eastAsia="zh-CN"/>
              </w:rPr>
            </w:pPr>
            <w:r>
              <w:rPr>
                <w:rFonts w:hint="eastAsia" w:ascii="宋体" w:hAnsi="宋体" w:eastAsia="宋体" w:cs="宋体"/>
                <w:sz w:val="18"/>
                <w:szCs w:val="18"/>
                <w:lang w:val="en-US" w:eastAsia="zh-CN"/>
              </w:rPr>
              <w:t>救助人次达220人次。</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开展艾滋病预防及吸毒危害的宣传教育工作</w:t>
            </w:r>
          </w:p>
        </w:tc>
        <w:tc>
          <w:tcPr>
            <w:tcW w:w="4499"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eastAsia="宋体" w:cs="宋体"/>
                <w:color w:val="000000"/>
                <w:kern w:val="0"/>
                <w:sz w:val="24"/>
              </w:rPr>
            </w:pPr>
            <w:r>
              <w:rPr>
                <w:rFonts w:ascii="宋体" w:hAnsi="宋体" w:eastAsia="宋体" w:cs="宋体"/>
                <w:b w:val="0"/>
                <w:bCs w:val="0"/>
                <w:sz w:val="18"/>
                <w:szCs w:val="18"/>
              </w:rPr>
              <w:t>面向辖区群众</w:t>
            </w:r>
            <w:r>
              <w:rPr>
                <w:rFonts w:hint="eastAsia" w:ascii="宋体" w:hAnsi="宋体" w:eastAsia="宋体" w:cs="宋体"/>
                <w:b w:val="0"/>
                <w:bCs w:val="0"/>
                <w:sz w:val="18"/>
                <w:szCs w:val="18"/>
                <w:lang w:val="en-US" w:eastAsia="zh-CN"/>
              </w:rPr>
              <w:t>开展1次</w:t>
            </w:r>
            <w:r>
              <w:rPr>
                <w:rFonts w:ascii="宋体" w:hAnsi="宋体" w:eastAsia="宋体" w:cs="宋体"/>
                <w:b w:val="0"/>
                <w:bCs w:val="0"/>
                <w:sz w:val="18"/>
                <w:szCs w:val="18"/>
              </w:rPr>
              <w:t>普及防艾防毒知识。</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sz w:val="18"/>
                <w:szCs w:val="18"/>
                <w:lang w:val="en-US" w:eastAsia="zh-CN"/>
              </w:rPr>
              <w:t>开展1次普及防艾防毒知识。</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left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开展献血、人体器官捐献、造血干细胞捐献</w:t>
            </w:r>
          </w:p>
        </w:tc>
        <w:tc>
          <w:tcPr>
            <w:tcW w:w="4499"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sz w:val="18"/>
                <w:szCs w:val="18"/>
                <w:lang w:val="en-US" w:eastAsia="zh-CN"/>
              </w:rPr>
              <w:t>开展1次“三献”活动。</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sz w:val="18"/>
                <w:szCs w:val="18"/>
                <w:lang w:val="en-US" w:eastAsia="zh-CN"/>
              </w:rPr>
              <w:t>开展1次“三献”活动。</w:t>
            </w: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18"/>
                <w:szCs w:val="18"/>
              </w:rPr>
            </w:pP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开展卫生救护、防病常识的宣传和普及</w:t>
            </w:r>
          </w:p>
        </w:tc>
        <w:tc>
          <w:tcPr>
            <w:tcW w:w="4499"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sz w:val="18"/>
                <w:szCs w:val="18"/>
                <w:lang w:val="en-US" w:eastAsia="zh-CN"/>
              </w:rPr>
              <w:t>开展5次</w:t>
            </w:r>
            <w:r>
              <w:rPr>
                <w:rFonts w:ascii="宋体" w:hAnsi="宋体" w:eastAsia="宋体" w:cs="宋体"/>
                <w:sz w:val="18"/>
                <w:szCs w:val="18"/>
              </w:rPr>
              <w:t>卫生救护及防病常识宣传普及活动</w:t>
            </w:r>
            <w:r>
              <w:rPr>
                <w:rFonts w:hint="eastAsia" w:ascii="宋体" w:hAnsi="宋体" w:eastAsia="宋体" w:cs="宋体"/>
                <w:sz w:val="18"/>
                <w:szCs w:val="18"/>
                <w:lang w:val="en-US"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sz w:val="18"/>
                <w:szCs w:val="18"/>
                <w:lang w:val="en-US" w:eastAsia="zh-CN"/>
              </w:rPr>
              <w:t>开展5次</w:t>
            </w:r>
            <w:r>
              <w:rPr>
                <w:rFonts w:ascii="宋体" w:hAnsi="宋体" w:eastAsia="宋体" w:cs="宋体"/>
                <w:sz w:val="18"/>
                <w:szCs w:val="18"/>
              </w:rPr>
              <w:t>卫生救护及防病常识宣传普及活动</w:t>
            </w:r>
            <w:r>
              <w:rPr>
                <w:rFonts w:hint="eastAsia" w:ascii="宋体" w:hAnsi="宋体" w:eastAsia="宋体" w:cs="宋体"/>
                <w:sz w:val="18"/>
                <w:szCs w:val="18"/>
                <w:lang w:val="en-US" w:eastAsia="zh-CN"/>
              </w:rPr>
              <w:t>。</w:t>
            </w:r>
          </w:p>
        </w:tc>
      </w:tr>
      <w:tr>
        <w:tblPrEx>
          <w:tblCellMar>
            <w:top w:w="0" w:type="dxa"/>
            <w:left w:w="108" w:type="dxa"/>
            <w:bottom w:w="0" w:type="dxa"/>
            <w:right w:w="108" w:type="dxa"/>
          </w:tblCellMar>
        </w:tblPrEx>
        <w:trPr>
          <w:trHeight w:val="52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社会效益指标</w:t>
            </w: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开展募捐活动</w:t>
            </w:r>
          </w:p>
        </w:tc>
        <w:tc>
          <w:tcPr>
            <w:tcW w:w="4499"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Style w:val="19"/>
                <w:rFonts w:ascii="宋体" w:hAnsi="宋体" w:eastAsia="宋体" w:cs="宋体"/>
                <w:b w:val="0"/>
                <w:bCs/>
                <w:color w:val="1F2329"/>
                <w:sz w:val="18"/>
                <w:szCs w:val="18"/>
              </w:rPr>
              <w:t>2</w:t>
            </w:r>
            <w:r>
              <w:rPr>
                <w:rFonts w:ascii="宋体" w:hAnsi="宋体" w:eastAsia="宋体" w:cs="宋体"/>
                <w:sz w:val="18"/>
                <w:szCs w:val="18"/>
              </w:rPr>
              <w:t>025年常态化依法开展社会公益募捐相关工作</w:t>
            </w:r>
            <w:r>
              <w:rPr>
                <w:rFonts w:hint="eastAsia" w:ascii="宋体" w:hAnsi="宋体" w:eastAsia="宋体" w:cs="宋体"/>
                <w:sz w:val="18"/>
                <w:szCs w:val="18"/>
                <w:lang w:val="en-US" w:eastAsia="zh-CN"/>
              </w:rPr>
              <w:t>1次</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规范管理募捐资金，为困境家庭送去爱心。</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sz w:val="18"/>
                <w:szCs w:val="18"/>
                <w:lang w:val="en-US" w:eastAsia="zh-CN"/>
              </w:rPr>
              <w:t>开展1次募捐活动。</w:t>
            </w:r>
          </w:p>
        </w:tc>
      </w:tr>
      <w:tr>
        <w:tblPrEx>
          <w:tblCellMar>
            <w:top w:w="0" w:type="dxa"/>
            <w:left w:w="108" w:type="dxa"/>
            <w:bottom w:w="0" w:type="dxa"/>
            <w:right w:w="108" w:type="dxa"/>
          </w:tblCellMar>
        </w:tblPrEx>
        <w:trPr>
          <w:trHeight w:val="6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满意度指标</w:t>
            </w:r>
          </w:p>
        </w:tc>
        <w:tc>
          <w:tcPr>
            <w:tcW w:w="150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rPr>
              <w:t>困难群体</w:t>
            </w:r>
            <w:r>
              <w:rPr>
                <w:rFonts w:hint="eastAsia" w:ascii="宋体" w:hAnsi="宋体" w:eastAsia="宋体" w:cs="宋体"/>
                <w:color w:val="000000"/>
                <w:kern w:val="0"/>
                <w:sz w:val="18"/>
                <w:szCs w:val="18"/>
                <w:lang w:val="en-US" w:eastAsia="zh-CN"/>
              </w:rPr>
              <w:t>满意度</w:t>
            </w:r>
          </w:p>
        </w:tc>
        <w:tc>
          <w:tcPr>
            <w:tcW w:w="4499"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eastAsia="宋体" w:cs="宋体"/>
                <w:color w:val="000000"/>
                <w:kern w:val="0"/>
                <w:sz w:val="24"/>
              </w:rPr>
            </w:pPr>
            <w:r>
              <w:rPr>
                <w:rFonts w:ascii="宋体" w:hAnsi="宋体" w:eastAsia="宋体" w:cs="宋体"/>
                <w:sz w:val="18"/>
                <w:szCs w:val="18"/>
              </w:rPr>
              <w:t>2025年帮扶困难群众成效明显，受访困难群体对红十字会帮扶工作满意度</w:t>
            </w:r>
            <w:r>
              <w:rPr>
                <w:rFonts w:hint="eastAsia" w:ascii="宋体" w:hAnsi="宋体" w:eastAsia="宋体" w:cs="宋体"/>
                <w:sz w:val="18"/>
                <w:szCs w:val="18"/>
                <w:lang w:val="en-US" w:eastAsia="zh-CN"/>
              </w:rPr>
              <w:t>达95%</w:t>
            </w:r>
            <w:r>
              <w:rPr>
                <w:rFonts w:ascii="宋体" w:hAnsi="宋体" w:eastAsia="宋体" w:cs="宋体"/>
                <w:sz w:val="18"/>
                <w:szCs w:val="18"/>
              </w:rPr>
              <w:t>，群众口碑良好</w:t>
            </w:r>
            <w:r>
              <w:rPr>
                <w:rFonts w:ascii="宋体" w:hAnsi="宋体" w:eastAsia="宋体" w:cs="宋体"/>
                <w:sz w:val="24"/>
                <w:szCs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sz w:val="18"/>
                <w:szCs w:val="18"/>
                <w:lang w:val="en-US" w:eastAsia="zh-CN"/>
              </w:rPr>
              <w:t>满意度达95%</w:t>
            </w:r>
            <w:r>
              <w:rPr>
                <w:rFonts w:hint="eastAsia" w:ascii="宋体" w:hAnsi="宋体" w:eastAsia="宋体" w:cs="宋体"/>
                <w:color w:val="000000"/>
                <w:kern w:val="0"/>
                <w:sz w:val="24"/>
                <w:lang w:val="en-US" w:eastAsia="zh-CN"/>
              </w:rPr>
              <w:t>。</w:t>
            </w:r>
          </w:p>
        </w:tc>
      </w:tr>
    </w:tbl>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仿宋" w:hAnsi="仿宋" w:eastAsia="仿宋" w:cs="仿宋"/>
          <w:color w:val="FF0000"/>
          <w:sz w:val="32"/>
          <w:szCs w:val="32"/>
          <w:highlight w:val="none"/>
          <w:lang w:val="zh-CN"/>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仿宋" w:hAnsi="仿宋" w:eastAsia="仿宋" w:cs="仿宋"/>
          <w:color w:val="FF0000"/>
          <w:sz w:val="32"/>
          <w:szCs w:val="32"/>
          <w:highlight w:val="none"/>
          <w:lang w:val="zh-CN"/>
        </w:rPr>
      </w:pPr>
    </w:p>
    <w:p>
      <w:pPr>
        <w:pStyle w:val="35"/>
        <w:keepNext w:val="0"/>
        <w:keepLines w:val="0"/>
        <w:pageBreakBefore w:val="0"/>
        <w:widowControl w:val="0"/>
        <w:kinsoku/>
        <w:wordWrap/>
        <w:overflowPunct/>
        <w:topLinePunct w:val="0"/>
        <w:autoSpaceDE/>
        <w:autoSpaceDN/>
        <w:bidi w:val="0"/>
        <w:spacing w:line="578" w:lineRule="exact"/>
        <w:ind w:firstLine="880" w:firstLineChars="200"/>
        <w:jc w:val="both"/>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tbl>
      <w:tblPr>
        <w:tblStyle w:val="17"/>
        <w:tblW w:w="830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16"/>
        <w:gridCol w:w="683"/>
        <w:gridCol w:w="430"/>
        <w:gridCol w:w="538"/>
        <w:gridCol w:w="841"/>
        <w:gridCol w:w="533"/>
        <w:gridCol w:w="1226"/>
        <w:gridCol w:w="460"/>
        <w:gridCol w:w="615"/>
        <w:gridCol w:w="551"/>
        <w:gridCol w:w="19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trPr>
        <w:tc>
          <w:tcPr>
            <w:tcW w:w="8309" w:type="dxa"/>
            <w:gridSpan w:val="11"/>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Style w:val="37"/>
                <w:lang w:val="en-US" w:eastAsia="zh-CN" w:bidi="ar"/>
              </w:rPr>
              <w:t>绩效目标自评表</w:t>
            </w:r>
            <w:r>
              <w:rPr>
                <w:rStyle w:val="38"/>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309" w:type="dxa"/>
            <w:gridSpan w:val="11"/>
            <w:tcBorders>
              <w:top w:val="nil"/>
              <w:left w:val="nil"/>
              <w:bottom w:val="single" w:color="000000" w:sz="4"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5" w:hRule="atLeast"/>
        </w:trPr>
        <w:tc>
          <w:tcPr>
            <w:tcW w:w="162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项目名称</w:t>
            </w:r>
          </w:p>
        </w:tc>
        <w:tc>
          <w:tcPr>
            <w:tcW w:w="191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12"/>
                <w:szCs w:val="12"/>
                <w:u w:val="none"/>
              </w:rPr>
            </w:pPr>
            <w:r>
              <w:rPr>
                <w:rFonts w:hint="eastAsia" w:ascii="方正仿宋_GBK" w:hAnsi="方正仿宋_GBK" w:eastAsia="方正仿宋_GBK" w:cs="方正仿宋_GBK"/>
                <w:i w:val="0"/>
                <w:color w:val="000000"/>
                <w:kern w:val="0"/>
                <w:sz w:val="12"/>
                <w:szCs w:val="12"/>
                <w:u w:val="none"/>
                <w:lang w:val="en-US" w:eastAsia="zh-CN" w:bidi="ar"/>
              </w:rPr>
              <w:t>2025年中央财政专项彩票公益金支持地方社会公益事业发展资金（革命老区城镇社区博爱家园建设项目）</w:t>
            </w: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项目负责人及电话</w:t>
            </w:r>
          </w:p>
        </w:tc>
        <w:tc>
          <w:tcPr>
            <w:tcW w:w="354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陈蓉（13558595991）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62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主管部门</w:t>
            </w:r>
          </w:p>
        </w:tc>
        <w:tc>
          <w:tcPr>
            <w:tcW w:w="191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实施单位</w:t>
            </w:r>
          </w:p>
        </w:tc>
        <w:tc>
          <w:tcPr>
            <w:tcW w:w="354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壤塘县红十字会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5" w:hRule="atLeast"/>
        </w:trPr>
        <w:tc>
          <w:tcPr>
            <w:tcW w:w="162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资金情况</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（万元）</w:t>
            </w:r>
          </w:p>
        </w:tc>
        <w:tc>
          <w:tcPr>
            <w:tcW w:w="5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13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全年预算数（A）</w:t>
            </w:r>
          </w:p>
        </w:tc>
        <w:tc>
          <w:tcPr>
            <w:tcW w:w="16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全年执行数（B）</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分值</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执行率（B/A)</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2" w:hRule="atLeast"/>
        </w:trPr>
        <w:tc>
          <w:tcPr>
            <w:tcW w:w="16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年度资金总额：</w:t>
            </w:r>
          </w:p>
        </w:tc>
        <w:tc>
          <w:tcPr>
            <w:tcW w:w="13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200000</w:t>
            </w:r>
          </w:p>
        </w:tc>
        <w:tc>
          <w:tcPr>
            <w:tcW w:w="16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198504.5</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10</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99%</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2" w:hRule="atLeast"/>
        </w:trPr>
        <w:tc>
          <w:tcPr>
            <w:tcW w:w="16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 xml:space="preserve"> </w:t>
            </w:r>
            <w:r>
              <w:rPr>
                <w:rStyle w:val="39"/>
                <w:lang w:val="en-US" w:eastAsia="zh-CN" w:bidi="ar"/>
              </w:rPr>
              <w:t>其中：本年财政拨款</w:t>
            </w:r>
          </w:p>
        </w:tc>
        <w:tc>
          <w:tcPr>
            <w:tcW w:w="13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200000</w:t>
            </w:r>
          </w:p>
        </w:tc>
        <w:tc>
          <w:tcPr>
            <w:tcW w:w="16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198504.5</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99%</w:t>
            </w: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2" w:hRule="atLeast"/>
        </w:trPr>
        <w:tc>
          <w:tcPr>
            <w:tcW w:w="16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 xml:space="preserve"> </w:t>
            </w:r>
            <w:r>
              <w:rPr>
                <w:rStyle w:val="39"/>
                <w:lang w:val="en-US" w:eastAsia="zh-CN" w:bidi="ar"/>
              </w:rPr>
              <w:t xml:space="preserve">      其他资金</w:t>
            </w:r>
          </w:p>
        </w:tc>
        <w:tc>
          <w:tcPr>
            <w:tcW w:w="137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6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w:t>
            </w:r>
          </w:p>
        </w:tc>
        <w:tc>
          <w:tcPr>
            <w:tcW w:w="5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方正仿宋_GBK" w:hAnsi="方正仿宋_GBK" w:eastAsia="方正仿宋_GBK" w:cs="方正仿宋_GBK"/>
                <w:i w:val="0"/>
                <w:color w:val="000000"/>
                <w:sz w:val="20"/>
                <w:szCs w:val="20"/>
                <w:u w:val="none"/>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2" w:hRule="atLeast"/>
        </w:trPr>
        <w:tc>
          <w:tcPr>
            <w:tcW w:w="51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年度总体目标</w:t>
            </w:r>
          </w:p>
        </w:tc>
        <w:tc>
          <w:tcPr>
            <w:tcW w:w="302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年初设定目标</w:t>
            </w:r>
          </w:p>
        </w:tc>
        <w:tc>
          <w:tcPr>
            <w:tcW w:w="4768"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302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配备AED2台；建设小型备灾救灾储藏室2处；建设“博爱小屋”；开展应急救护培训6场；审计项目2次。</w:t>
            </w:r>
          </w:p>
        </w:tc>
        <w:tc>
          <w:tcPr>
            <w:tcW w:w="4768"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均已完成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51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绩效指标</w:t>
            </w:r>
          </w:p>
        </w:tc>
        <w:tc>
          <w:tcPr>
            <w:tcW w:w="6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一级</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指标</w:t>
            </w:r>
          </w:p>
        </w:tc>
        <w:tc>
          <w:tcPr>
            <w:tcW w:w="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二级指标</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三级指标</w:t>
            </w: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分值</w:t>
            </w: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年度指标值</w:t>
            </w: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全年实际值</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得分</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18"/>
                <w:szCs w:val="18"/>
                <w:u w:val="none"/>
              </w:rPr>
            </w:pPr>
            <w:r>
              <w:rPr>
                <w:rFonts w:hint="eastAsia" w:ascii="方正仿宋_GBK" w:hAnsi="方正仿宋_GBK" w:eastAsia="方正仿宋_GBK" w:cs="方正仿宋_GBK"/>
                <w:i w:val="0"/>
                <w:color w:val="000000"/>
                <w:kern w:val="0"/>
                <w:sz w:val="18"/>
                <w:szCs w:val="18"/>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产</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出</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指</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标</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(50分)</w:t>
            </w:r>
          </w:p>
        </w:tc>
        <w:tc>
          <w:tcPr>
            <w:tcW w:w="4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数量指标</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开展应急救护培训</w:t>
            </w: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10</w:t>
            </w: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FFFFFF"/>
                <w:sz w:val="20"/>
                <w:szCs w:val="20"/>
                <w:u w:val="none"/>
              </w:rPr>
            </w:pPr>
            <w:r>
              <w:rPr>
                <w:rFonts w:hint="eastAsia" w:ascii="方正仿宋_GBK" w:hAnsi="方正仿宋_GBK" w:eastAsia="方正仿宋_GBK" w:cs="方正仿宋_GBK"/>
                <w:i w:val="0"/>
                <w:color w:val="FFFFFF"/>
                <w:kern w:val="0"/>
                <w:sz w:val="20"/>
                <w:szCs w:val="20"/>
                <w:u w:val="none"/>
                <w:lang w:val="en-US" w:eastAsia="zh-CN" w:bidi="ar"/>
              </w:rPr>
              <w:t>‘</w:t>
            </w:r>
            <w:r>
              <w:rPr>
                <w:rStyle w:val="40"/>
                <w:lang w:val="en-US" w:eastAsia="zh-CN" w:bidi="ar"/>
              </w:rPr>
              <w:t>=6场</w:t>
            </w: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FFFFFF"/>
                <w:sz w:val="20"/>
                <w:szCs w:val="20"/>
                <w:u w:val="none"/>
              </w:rPr>
            </w:pPr>
            <w:r>
              <w:rPr>
                <w:rFonts w:hint="eastAsia" w:ascii="方正仿宋_GBK" w:hAnsi="方正仿宋_GBK" w:eastAsia="方正仿宋_GBK" w:cs="方正仿宋_GBK"/>
                <w:i w:val="0"/>
                <w:color w:val="FFFFFF"/>
                <w:kern w:val="0"/>
                <w:sz w:val="20"/>
                <w:szCs w:val="20"/>
                <w:u w:val="none"/>
                <w:lang w:val="en-US" w:eastAsia="zh-CN" w:bidi="ar"/>
              </w:rPr>
              <w:t>‘</w:t>
            </w:r>
            <w:r>
              <w:rPr>
                <w:rStyle w:val="40"/>
                <w:lang w:val="en-US" w:eastAsia="zh-CN" w:bidi="ar"/>
              </w:rPr>
              <w:t>6场</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10</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建设“博爱小屋”</w:t>
            </w: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10</w:t>
            </w: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FFFFFF"/>
                <w:sz w:val="20"/>
                <w:szCs w:val="20"/>
                <w:u w:val="none"/>
              </w:rPr>
            </w:pPr>
            <w:r>
              <w:rPr>
                <w:rFonts w:hint="eastAsia" w:ascii="方正仿宋_GBK" w:hAnsi="方正仿宋_GBK" w:eastAsia="方正仿宋_GBK" w:cs="方正仿宋_GBK"/>
                <w:i w:val="0"/>
                <w:color w:val="FFFFFF"/>
                <w:kern w:val="0"/>
                <w:sz w:val="20"/>
                <w:szCs w:val="20"/>
                <w:u w:val="none"/>
                <w:lang w:val="en-US" w:eastAsia="zh-CN" w:bidi="ar"/>
              </w:rPr>
              <w:t>‘</w:t>
            </w:r>
            <w:r>
              <w:rPr>
                <w:rStyle w:val="40"/>
                <w:lang w:val="en-US" w:eastAsia="zh-CN" w:bidi="ar"/>
              </w:rPr>
              <w:t>=2处</w:t>
            </w: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FFFFFF"/>
                <w:sz w:val="20"/>
                <w:szCs w:val="20"/>
                <w:u w:val="none"/>
              </w:rPr>
            </w:pPr>
            <w:r>
              <w:rPr>
                <w:rFonts w:hint="eastAsia" w:ascii="方正仿宋_GBK" w:hAnsi="方正仿宋_GBK" w:eastAsia="方正仿宋_GBK" w:cs="方正仿宋_GBK"/>
                <w:i w:val="0"/>
                <w:color w:val="FFFFFF"/>
                <w:kern w:val="0"/>
                <w:sz w:val="20"/>
                <w:szCs w:val="20"/>
                <w:u w:val="none"/>
                <w:lang w:val="en-US" w:eastAsia="zh-CN" w:bidi="ar"/>
              </w:rPr>
              <w:t>‘</w:t>
            </w:r>
            <w:r>
              <w:rPr>
                <w:rStyle w:val="40"/>
                <w:lang w:val="en-US" w:eastAsia="zh-CN" w:bidi="ar"/>
              </w:rPr>
              <w:t>2处</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10</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购买AED</w:t>
            </w: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10</w:t>
            </w: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FFFFFF"/>
                <w:sz w:val="20"/>
                <w:szCs w:val="20"/>
                <w:u w:val="none"/>
              </w:rPr>
            </w:pPr>
            <w:r>
              <w:rPr>
                <w:rFonts w:hint="eastAsia" w:ascii="方正仿宋_GBK" w:hAnsi="方正仿宋_GBK" w:eastAsia="方正仿宋_GBK" w:cs="方正仿宋_GBK"/>
                <w:i w:val="0"/>
                <w:color w:val="FFFFFF"/>
                <w:kern w:val="0"/>
                <w:sz w:val="20"/>
                <w:szCs w:val="20"/>
                <w:u w:val="none"/>
                <w:lang w:val="en-US" w:eastAsia="zh-CN" w:bidi="ar"/>
              </w:rPr>
              <w:t>‘</w:t>
            </w:r>
            <w:r>
              <w:rPr>
                <w:rStyle w:val="40"/>
                <w:lang w:val="en-US" w:eastAsia="zh-CN" w:bidi="ar"/>
              </w:rPr>
              <w:t>=2台</w:t>
            </w: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FFFFFF"/>
                <w:sz w:val="20"/>
                <w:szCs w:val="20"/>
                <w:u w:val="none"/>
              </w:rPr>
            </w:pPr>
            <w:r>
              <w:rPr>
                <w:rFonts w:hint="eastAsia" w:ascii="方正仿宋_GBK" w:hAnsi="方正仿宋_GBK" w:eastAsia="方正仿宋_GBK" w:cs="方正仿宋_GBK"/>
                <w:i w:val="0"/>
                <w:color w:val="FFFFFF"/>
                <w:kern w:val="0"/>
                <w:sz w:val="20"/>
                <w:szCs w:val="20"/>
                <w:u w:val="none"/>
                <w:lang w:val="en-US" w:eastAsia="zh-CN" w:bidi="ar"/>
              </w:rPr>
              <w:t>‘</w:t>
            </w:r>
            <w:r>
              <w:rPr>
                <w:rStyle w:val="40"/>
                <w:lang w:val="en-US" w:eastAsia="zh-CN" w:bidi="ar"/>
              </w:rPr>
              <w:t>2台</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10</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建设小型备灾救灾储藏室</w:t>
            </w: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10</w:t>
            </w: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FFFFFF"/>
                <w:sz w:val="20"/>
                <w:szCs w:val="20"/>
                <w:u w:val="none"/>
              </w:rPr>
            </w:pPr>
            <w:r>
              <w:rPr>
                <w:rFonts w:hint="eastAsia" w:ascii="方正仿宋_GBK" w:hAnsi="方正仿宋_GBK" w:eastAsia="方正仿宋_GBK" w:cs="方正仿宋_GBK"/>
                <w:i w:val="0"/>
                <w:color w:val="FFFFFF"/>
                <w:kern w:val="0"/>
                <w:sz w:val="20"/>
                <w:szCs w:val="20"/>
                <w:u w:val="none"/>
                <w:lang w:val="en-US" w:eastAsia="zh-CN" w:bidi="ar"/>
              </w:rPr>
              <w:t>‘</w:t>
            </w:r>
            <w:r>
              <w:rPr>
                <w:rStyle w:val="40"/>
                <w:lang w:val="en-US" w:eastAsia="zh-CN" w:bidi="ar"/>
              </w:rPr>
              <w:t>=2处</w:t>
            </w: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FFFFFF"/>
                <w:sz w:val="20"/>
                <w:szCs w:val="20"/>
                <w:u w:val="none"/>
              </w:rPr>
            </w:pPr>
            <w:r>
              <w:rPr>
                <w:rFonts w:hint="eastAsia" w:ascii="方正仿宋_GBK" w:hAnsi="方正仿宋_GBK" w:eastAsia="方正仿宋_GBK" w:cs="方正仿宋_GBK"/>
                <w:i w:val="0"/>
                <w:color w:val="FFFFFF"/>
                <w:kern w:val="0"/>
                <w:sz w:val="20"/>
                <w:szCs w:val="20"/>
                <w:u w:val="none"/>
                <w:lang w:val="en-US" w:eastAsia="zh-CN" w:bidi="ar"/>
              </w:rPr>
              <w:t>‘</w:t>
            </w:r>
            <w:r>
              <w:rPr>
                <w:rStyle w:val="40"/>
                <w:lang w:val="en-US" w:eastAsia="zh-CN" w:bidi="ar"/>
              </w:rPr>
              <w:t>2处</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10</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质量指标</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时效指标</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成本指标</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应急救护培训费用</w:t>
            </w: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10</w:t>
            </w: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FFFFFF"/>
                <w:sz w:val="20"/>
                <w:szCs w:val="20"/>
                <w:u w:val="none"/>
              </w:rPr>
            </w:pPr>
            <w:r>
              <w:rPr>
                <w:rFonts w:hint="eastAsia" w:ascii="方正仿宋_GBK" w:hAnsi="方正仿宋_GBK" w:eastAsia="方正仿宋_GBK" w:cs="方正仿宋_GBK"/>
                <w:i w:val="0"/>
                <w:color w:val="FFFFFF"/>
                <w:kern w:val="0"/>
                <w:sz w:val="20"/>
                <w:szCs w:val="20"/>
                <w:u w:val="none"/>
                <w:lang w:val="en-US" w:eastAsia="zh-CN" w:bidi="ar"/>
              </w:rPr>
              <w:t>’</w:t>
            </w:r>
            <w:r>
              <w:rPr>
                <w:rStyle w:val="40"/>
                <w:lang w:val="en-US" w:eastAsia="zh-CN" w:bidi="ar"/>
              </w:rPr>
              <w:t>=21000元</w:t>
            </w: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12"/>
                <w:szCs w:val="12"/>
                <w:u w:val="none"/>
              </w:rPr>
            </w:pPr>
            <w:r>
              <w:rPr>
                <w:rFonts w:hint="eastAsia" w:ascii="方正仿宋_GBK" w:hAnsi="方正仿宋_GBK" w:eastAsia="方正仿宋_GBK" w:cs="方正仿宋_GBK"/>
                <w:i w:val="0"/>
                <w:color w:val="000000"/>
                <w:kern w:val="0"/>
                <w:sz w:val="12"/>
                <w:szCs w:val="12"/>
                <w:u w:val="none"/>
                <w:lang w:val="en-US" w:eastAsia="zh-CN" w:bidi="ar"/>
              </w:rPr>
              <w:t>21914.5元</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9</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效</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益</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指</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标</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(30分)</w:t>
            </w:r>
          </w:p>
        </w:tc>
        <w:tc>
          <w:tcPr>
            <w:tcW w:w="4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经济效益</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指标</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社会效益</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指标</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应急救护培训质量提升率</w:t>
            </w: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30</w:t>
            </w: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≥95%</w:t>
            </w: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90%</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25</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生态效益</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指标</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可持续影响指标</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满意度指标</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(10分)</w:t>
            </w:r>
          </w:p>
        </w:tc>
        <w:tc>
          <w:tcPr>
            <w:tcW w:w="4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服务对象</w:t>
            </w:r>
            <w:r>
              <w:rPr>
                <w:rFonts w:hint="eastAsia" w:ascii="方正仿宋_GBK" w:hAnsi="方正仿宋_GBK" w:eastAsia="方正仿宋_GBK" w:cs="方正仿宋_GBK"/>
                <w:i w:val="0"/>
                <w:color w:val="000000"/>
                <w:kern w:val="0"/>
                <w:sz w:val="20"/>
                <w:szCs w:val="20"/>
                <w:u w:val="none"/>
                <w:lang w:val="en-US" w:eastAsia="zh-CN" w:bidi="ar"/>
              </w:rPr>
              <w:br w:type="textWrapping"/>
            </w:r>
            <w:r>
              <w:rPr>
                <w:rFonts w:hint="eastAsia" w:ascii="方正仿宋_GBK" w:hAnsi="方正仿宋_GBK" w:eastAsia="方正仿宋_GBK" w:cs="方正仿宋_GBK"/>
                <w:i w:val="0"/>
                <w:color w:val="000000"/>
                <w:kern w:val="0"/>
                <w:sz w:val="20"/>
                <w:szCs w:val="20"/>
                <w:u w:val="none"/>
                <w:lang w:val="en-US" w:eastAsia="zh-CN" w:bidi="ar"/>
              </w:rPr>
              <w:t>满意度指标</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应急救护培训对象满意度</w:t>
            </w: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10</w:t>
            </w: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≥95%</w:t>
            </w: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92%</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5</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pPr>
              <w:jc w:val="center"/>
              <w:rPr>
                <w:rFonts w:hint="eastAsia" w:ascii="方正仿宋_GBK" w:hAnsi="方正仿宋_GBK" w:eastAsia="方正仿宋_GBK" w:cs="方正仿宋_GBK"/>
                <w:i w:val="0"/>
                <w:color w:val="000000"/>
                <w:sz w:val="20"/>
                <w:szCs w:val="20"/>
                <w:u w:val="none"/>
              </w:rPr>
            </w:pP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0"/>
                <w:szCs w:val="20"/>
                <w:u w:val="none"/>
              </w:rPr>
            </w:pPr>
            <w:r>
              <w:rPr>
                <w:rFonts w:hint="eastAsia" w:ascii="方正仿宋_GBK" w:hAnsi="方正仿宋_GBK" w:eastAsia="方正仿宋_GBK" w:cs="方正仿宋_GBK"/>
                <w:i w:val="0"/>
                <w:color w:val="000000"/>
                <w:kern w:val="0"/>
                <w:sz w:val="20"/>
                <w:szCs w:val="20"/>
                <w:u w:val="none"/>
                <w:lang w:val="en-US" w:eastAsia="zh-CN" w:bidi="ar"/>
              </w:rPr>
              <w:t>……</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4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方正仿宋_GBK" w:hAnsi="方正仿宋_GBK" w:eastAsia="方正仿宋_GBK" w:cs="方正仿宋_GBK"/>
                <w:i w:val="0"/>
                <w:color w:val="000000"/>
                <w:sz w:val="20"/>
                <w:szCs w:val="20"/>
                <w:u w:val="none"/>
              </w:rPr>
            </w:pP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3008"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b/>
                <w:i w:val="0"/>
                <w:color w:val="000000"/>
                <w:sz w:val="20"/>
                <w:szCs w:val="20"/>
                <w:u w:val="none"/>
              </w:rPr>
            </w:pPr>
            <w:r>
              <w:rPr>
                <w:rFonts w:hint="eastAsia" w:ascii="方正仿宋_GBK" w:hAnsi="方正仿宋_GBK" w:eastAsia="方正仿宋_GBK" w:cs="方正仿宋_GBK"/>
                <w:b/>
                <w:i w:val="0"/>
                <w:color w:val="000000"/>
                <w:kern w:val="0"/>
                <w:sz w:val="20"/>
                <w:szCs w:val="20"/>
                <w:u w:val="none"/>
                <w:lang w:val="en-US" w:eastAsia="zh-CN" w:bidi="ar"/>
              </w:rPr>
              <w:t>总分</w:t>
            </w:r>
          </w:p>
        </w:tc>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b/>
                <w:i w:val="0"/>
                <w:color w:val="000000"/>
                <w:sz w:val="20"/>
                <w:szCs w:val="20"/>
                <w:u w:val="none"/>
              </w:rPr>
            </w:pPr>
            <w:r>
              <w:rPr>
                <w:rFonts w:hint="eastAsia" w:ascii="方正仿宋_GBK" w:hAnsi="方正仿宋_GBK" w:eastAsia="方正仿宋_GBK" w:cs="方正仿宋_GBK"/>
                <w:b/>
                <w:i w:val="0"/>
                <w:color w:val="000000"/>
                <w:kern w:val="0"/>
                <w:sz w:val="20"/>
                <w:szCs w:val="20"/>
                <w:u w:val="none"/>
                <w:lang w:val="en-US" w:eastAsia="zh-CN" w:bidi="ar"/>
              </w:rPr>
              <w:t>100</w:t>
            </w:r>
          </w:p>
        </w:tc>
        <w:tc>
          <w:tcPr>
            <w:tcW w:w="16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b/>
                <w:i w:val="0"/>
                <w:color w:val="000000"/>
                <w:sz w:val="20"/>
                <w:szCs w:val="20"/>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方正仿宋_GBK" w:hAnsi="方正仿宋_GBK" w:eastAsia="方正仿宋_GBK" w:cs="方正仿宋_GBK"/>
                <w:b/>
                <w:i w:val="0"/>
                <w:color w:val="000000"/>
                <w:sz w:val="20"/>
                <w:szCs w:val="20"/>
                <w:u w:val="none"/>
              </w:rPr>
            </w:pPr>
            <w:r>
              <w:rPr>
                <w:rFonts w:hint="eastAsia" w:ascii="方正仿宋_GBK" w:hAnsi="方正仿宋_GBK" w:eastAsia="方正仿宋_GBK" w:cs="方正仿宋_GBK"/>
                <w:b/>
                <w:i w:val="0"/>
                <w:color w:val="000000"/>
                <w:kern w:val="0"/>
                <w:sz w:val="20"/>
                <w:szCs w:val="20"/>
                <w:u w:val="none"/>
                <w:lang w:val="en-US" w:eastAsia="zh-CN" w:bidi="ar"/>
              </w:rPr>
              <w:t>89</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方正仿宋_GBK" w:hAnsi="方正仿宋_GBK" w:eastAsia="方正仿宋_GBK" w:cs="方正仿宋_GBK"/>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9" w:hRule="atLeast"/>
        </w:trPr>
        <w:tc>
          <w:tcPr>
            <w:tcW w:w="8309" w:type="dxa"/>
            <w:gridSpan w:val="11"/>
            <w:tcBorders>
              <w:top w:val="single" w:color="000000" w:sz="4" w:space="0"/>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18"/>
                <w:szCs w:val="18"/>
                <w:u w:val="none"/>
              </w:rPr>
            </w:pPr>
            <w:r>
              <w:rPr>
                <w:rFonts w:hint="eastAsia" w:ascii="方正仿宋_GBK" w:hAnsi="方正仿宋_GBK" w:eastAsia="方正仿宋_GBK" w:cs="方正仿宋_GBK"/>
                <w:i w:val="0"/>
                <w:color w:val="000000"/>
                <w:kern w:val="0"/>
                <w:sz w:val="18"/>
                <w:szCs w:val="18"/>
                <w:u w:val="none"/>
                <w:lang w:val="en-US" w:eastAsia="zh-CN" w:bidi="ar"/>
              </w:rPr>
              <w:t>注：1</w:t>
            </w:r>
            <w:r>
              <w:rPr>
                <w:rStyle w:val="41"/>
                <w:lang w:val="en-US" w:eastAsia="zh-CN" w:bidi="ar"/>
              </w:rPr>
              <w:t>.一级指标分值统一设置为：产出指标50分、效益指标30分、满意度指标10分、预算资金执行率10分。如有特殊情况，上述权重可做适当调整，但加总后应等于100分。各部门根据各项指标重要程度确定三级指标的分值。得分最高不能超过该指标分值上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9" w:hRule="atLeast"/>
        </w:trPr>
        <w:tc>
          <w:tcPr>
            <w:tcW w:w="8309" w:type="dxa"/>
            <w:gridSpan w:val="11"/>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18"/>
                <w:szCs w:val="18"/>
                <w:u w:val="none"/>
              </w:rPr>
            </w:pPr>
            <w:r>
              <w:rPr>
                <w:rFonts w:hint="eastAsia" w:ascii="方正仿宋_GBK" w:hAnsi="方正仿宋_GBK" w:eastAsia="方正仿宋_GBK" w:cs="方正仿宋_GBK"/>
                <w:i w:val="0"/>
                <w:color w:val="000000"/>
                <w:kern w:val="0"/>
                <w:sz w:val="18"/>
                <w:szCs w:val="18"/>
                <w:u w:val="none"/>
                <w:lang w:val="en-US" w:eastAsia="zh-CN" w:bidi="ar"/>
              </w:rPr>
              <w:t xml:space="preserve">    2.定性指标根据指标完成情况分为：达成预期指标、部分达成预期指标并具有一定效果、未达成预期指标且效果较差三档，分别按照该指标对应分值区间100-80%(含80%)、80-60%(含60%)、60-0%合理确定得分。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8309" w:type="dxa"/>
            <w:gridSpan w:val="11"/>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18"/>
                <w:szCs w:val="18"/>
                <w:u w:val="none"/>
              </w:rPr>
            </w:pPr>
            <w:r>
              <w:rPr>
                <w:rFonts w:hint="eastAsia" w:ascii="方正仿宋_GBK" w:hAnsi="方正仿宋_GBK" w:eastAsia="方正仿宋_GBK" w:cs="方正仿宋_GBK"/>
                <w:i w:val="0"/>
                <w:color w:val="000000"/>
                <w:kern w:val="0"/>
                <w:sz w:val="18"/>
                <w:szCs w:val="18"/>
                <w:u w:val="none"/>
                <w:lang w:val="en-US" w:eastAsia="zh-CN" w:bidi="ar"/>
              </w:rPr>
              <w:t xml:space="preserve">    3.定量指标若为正向指标（即指标值为</w:t>
            </w:r>
            <w:r>
              <w:rPr>
                <w:rStyle w:val="42"/>
                <w:lang w:val="en-US" w:eastAsia="zh-CN" w:bidi="ar"/>
              </w:rPr>
              <w:t>≥*），则得分计算方法应用全年实际值/年度指标值</w:t>
            </w:r>
            <w:r>
              <w:rPr>
                <w:rStyle w:val="43"/>
                <w:lang w:val="en-US" w:eastAsia="zh-CN" w:bidi="ar"/>
              </w:rPr>
              <w:t>╳</w:t>
            </w:r>
            <w:r>
              <w:rPr>
                <w:rStyle w:val="42"/>
                <w:lang w:val="en-US" w:eastAsia="zh-CN" w:bidi="ar"/>
              </w:rPr>
              <w:t>该指标分值；若定量指标为反向指标（即指标值为≤*），则得分计算方法应用年度指标值/全年实际值</w:t>
            </w:r>
            <w:r>
              <w:rPr>
                <w:rStyle w:val="43"/>
                <w:lang w:val="en-US" w:eastAsia="zh-CN" w:bidi="ar"/>
              </w:rPr>
              <w:t>╳</w:t>
            </w:r>
            <w:r>
              <w:rPr>
                <w:rStyle w:val="42"/>
                <w:lang w:val="en-US" w:eastAsia="zh-CN" w:bidi="ar"/>
              </w:rPr>
              <w:t>该指标分值；定量指标得分最高不得超过该指标分值上限。</w:t>
            </w:r>
          </w:p>
        </w:tc>
      </w:tr>
    </w:tbl>
    <w:p>
      <w:pPr>
        <w:pStyle w:val="35"/>
        <w:keepNext w:val="0"/>
        <w:keepLines w:val="0"/>
        <w:pageBreakBefore w:val="0"/>
        <w:widowControl w:val="0"/>
        <w:kinsoku/>
        <w:wordWrap/>
        <w:overflowPunct/>
        <w:topLinePunct w:val="0"/>
        <w:autoSpaceDE/>
        <w:autoSpaceDN/>
        <w:bidi w:val="0"/>
        <w:spacing w:line="578" w:lineRule="exact"/>
        <w:ind w:left="0" w:leftChars="0" w:firstLine="1320" w:firstLineChars="300"/>
        <w:jc w:val="both"/>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（一）设立背景及基本情况。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2025年中央财政专项彩票公益金支持地方社会公益事业发展资金（革命老区城镇社区博爱家园建设项目），系依据中央财政专项彩票公益金支持革命老区社会公益事业发展的政策安排立项。壤塘县红十字会（主管红十字会业务，负责备灾救灾、人道救助、应急救护培训等职能）结合本县革命老区城镇社区人道服务需求，申报实施本项目。项目主要内容为：为城镇社区配备AED自动体外除颤器、建设小型备灾救灾储藏室、"博爱小屋"，并面向社区居民开展应急救护培训，切实提升社区自救互救与应急保障能力。</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en-US" w:eastAsia="zh-CN"/>
        </w:rPr>
        <w:t>项目实施目的在于补齐城镇社区应急救护与备灾救灾短板，增强社区突发事件应对能力和群众应急自救能力，发挥彩票公益金支持革命老区民生公益事业的示范效益。资金重点投向：AED设备购置、备灾救灾物资储备设施建设、博爱小屋建设、应急救护技能培训。</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eastAsia="楷体_GB2312" w:cs="Times New Roman"/>
          <w:b/>
          <w:color w:val="auto"/>
          <w:sz w:val="32"/>
          <w:szCs w:val="32"/>
          <w:highlight w:val="none"/>
          <w:u w:val="none"/>
          <w:lang w:val="en-US"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仿宋" w:hAnsi="仿宋" w:eastAsia="仿宋" w:cs="仿宋"/>
          <w:sz w:val="32"/>
          <w:szCs w:val="32"/>
          <w:lang w:val="zh-CN" w:eastAsia="zh-CN"/>
        </w:rPr>
        <w:t>项目年度资金总额20.00万元（200000元），全部为本年财政拨款（中央专项彩票公益金）。实际执行19.85万元执行率99%。资金依据项目实施计划与建设内容分配使用，严格按照彩票公益金管理相关规定和财务制度规范列支，做到专款专用、账实相符。</w:t>
      </w:r>
    </w:p>
    <w:p>
      <w:pPr>
        <w:keepNext w:val="0"/>
        <w:keepLines w:val="0"/>
        <w:pageBreakBefore w:val="0"/>
        <w:numPr>
          <w:ilvl w:val="0"/>
          <w:numId w:val="3"/>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楷体_GB2312" w:cs="Times New Roman"/>
          <w:b/>
          <w:color w:val="auto"/>
          <w:sz w:val="32"/>
          <w:szCs w:val="32"/>
          <w:highlight w:val="none"/>
          <w:u w:val="none"/>
          <w:lang w:val="zh-CN" w:eastAsia="zh-CN"/>
        </w:rPr>
        <w:t>项目绩效目标设置。</w:t>
      </w:r>
    </w:p>
    <w:p>
      <w:pPr>
        <w:pStyle w:val="2"/>
        <w:ind w:firstLine="640" w:firstLineChars="200"/>
        <w:rPr>
          <w:rFonts w:hint="eastAsia"/>
          <w:lang w:val="zh-CN" w:eastAsia="zh-CN"/>
        </w:rPr>
      </w:pPr>
      <w:r>
        <w:rPr>
          <w:rFonts w:hint="eastAsia" w:ascii="仿宋" w:hAnsi="仿宋" w:eastAsia="仿宋" w:cs="仿宋"/>
          <w:b w:val="0"/>
          <w:kern w:val="2"/>
          <w:sz w:val="32"/>
          <w:szCs w:val="32"/>
          <w:lang w:val="zh-CN" w:eastAsia="zh-CN" w:bidi="ar-SA"/>
        </w:rPr>
        <w:t>项目设置了年度总体目标及产出、效益、满意度三级绩效指标体系。年度总体目标为：配备AED 2台，建设小型备灾救灾储藏室2处，建设"博爱小屋"，开展应急救护培训6场，审计项目2次。项目自评工作由壤塘县红十字会组织成立绩效自评工作小组开展，依据项目资金使用全过程及实施效果进行综合评价。</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（一）评价目的。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 w:hAnsi="仿宋" w:eastAsia="仿宋" w:cs="仿宋"/>
          <w:b w:val="0"/>
          <w:bCs w:val="0"/>
          <w:kern w:val="0"/>
          <w:position w:val="0"/>
          <w:sz w:val="32"/>
          <w:szCs w:val="32"/>
          <w:highlight w:val="none"/>
          <w:lang w:val="zh-CN" w:eastAsia="zh-CN" w:bidi="ar-SA"/>
        </w:rPr>
      </w:pPr>
      <w:r>
        <w:rPr>
          <w:rFonts w:hint="eastAsia" w:ascii="仿宋" w:hAnsi="仿宋" w:eastAsia="仿宋" w:cs="仿宋"/>
          <w:b w:val="0"/>
          <w:bCs w:val="0"/>
          <w:kern w:val="0"/>
          <w:position w:val="0"/>
          <w:sz w:val="32"/>
          <w:szCs w:val="32"/>
          <w:highlight w:val="none"/>
          <w:lang w:val="zh-CN" w:eastAsia="zh-CN" w:bidi="ar-SA"/>
        </w:rPr>
        <w:t>全面客观反映项目资金支出使用全过程及其实施效果，检验绩效目标实现程度，查找资金管理和项目实施中的薄弱环节，促进彩票公益金使用效益提升和项目规范化管理。通过项目绩效自评要实现的目的。</w:t>
      </w:r>
    </w:p>
    <w:p>
      <w:pPr>
        <w:keepNext w:val="0"/>
        <w:keepLines w:val="0"/>
        <w:pageBreakBefore w:val="0"/>
        <w:widowControl w:val="0"/>
        <w:numPr>
          <w:ilvl w:val="0"/>
          <w:numId w:val="4"/>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 w:hAnsi="仿宋" w:eastAsia="仿宋" w:cs="仿宋"/>
          <w:b w:val="0"/>
          <w:bCs w:val="0"/>
          <w:kern w:val="0"/>
          <w:position w:val="0"/>
          <w:sz w:val="32"/>
          <w:szCs w:val="32"/>
          <w:highlight w:val="none"/>
          <w:lang w:val="zh-CN" w:eastAsia="zh-CN" w:bidi="ar-SA"/>
        </w:rPr>
      </w:pPr>
      <w:r>
        <w:rPr>
          <w:rFonts w:hint="eastAsia" w:ascii="仿宋" w:hAnsi="仿宋" w:eastAsia="仿宋" w:cs="仿宋"/>
          <w:b w:val="0"/>
          <w:bCs w:val="0"/>
          <w:kern w:val="0"/>
          <w:position w:val="0"/>
          <w:sz w:val="32"/>
          <w:szCs w:val="32"/>
          <w:highlight w:val="none"/>
          <w:lang w:val="zh-CN" w:eastAsia="zh-CN" w:bidi="ar-SA"/>
        </w:rPr>
        <w:t>按照项目绩效评价指标体系，重点评价：项目决策程序是否规范、资金投向是否符合彩票公益金支持革命老区公益事业政策导向；项目预算执行进度与资金使用合规性；项目产出数量、质量及完成时效；社会效益和群众满意度实现程度。</w:t>
      </w:r>
    </w:p>
    <w:p>
      <w:pPr>
        <w:keepNext w:val="0"/>
        <w:keepLines w:val="0"/>
        <w:pageBreakBefore w:val="0"/>
        <w:widowControl w:val="0"/>
        <w:numPr>
          <w:ilvl w:val="0"/>
          <w:numId w:val="4"/>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仿宋" w:hAnsi="仿宋" w:eastAsia="仿宋" w:cs="仿宋"/>
          <w:b w:val="0"/>
          <w:bCs w:val="0"/>
          <w:kern w:val="0"/>
          <w:position w:val="0"/>
          <w:sz w:val="32"/>
          <w:szCs w:val="32"/>
          <w:highlight w:val="none"/>
          <w:lang w:val="zh-CN" w:eastAsia="zh-CN" w:bidi="ar-SA"/>
        </w:rPr>
      </w:pPr>
      <w:r>
        <w:rPr>
          <w:rFonts w:hint="eastAsia" w:ascii="仿宋" w:hAnsi="仿宋" w:eastAsia="仿宋" w:cs="仿宋"/>
          <w:b/>
          <w:color w:val="auto"/>
          <w:sz w:val="32"/>
          <w:szCs w:val="32"/>
          <w:highlight w:val="none"/>
          <w:u w:val="none"/>
          <w:lang w:val="zh-CN" w:eastAsia="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 w:hAnsi="仿宋" w:eastAsia="仿宋" w:cs="仿宋"/>
          <w:b w:val="0"/>
          <w:bCs w:val="0"/>
          <w:kern w:val="0"/>
          <w:position w:val="0"/>
          <w:sz w:val="32"/>
          <w:szCs w:val="32"/>
          <w:highlight w:val="none"/>
          <w:lang w:val="zh-CN" w:eastAsia="zh-CN" w:bidi="ar-SA"/>
        </w:rPr>
      </w:pPr>
      <w:r>
        <w:rPr>
          <w:rFonts w:hint="eastAsia" w:ascii="仿宋" w:hAnsi="仿宋" w:eastAsia="仿宋" w:cs="仿宋"/>
          <w:b w:val="0"/>
          <w:bCs w:val="0"/>
          <w:kern w:val="0"/>
          <w:position w:val="0"/>
          <w:sz w:val="32"/>
          <w:szCs w:val="32"/>
          <w:highlight w:val="none"/>
          <w:lang w:val="zh-CN" w:eastAsia="zh-CN" w:bidi="ar-SA"/>
        </w:rPr>
        <w:t>本项目实施点位为壤塘县城镇社区（博爱家园建设项目点位），项目实施单位对全部建设点位进行实地核查验收，点位覆盖所涉社区，符合专项预算项目自评选点要求。</w:t>
      </w:r>
    </w:p>
    <w:p>
      <w:pPr>
        <w:keepNext w:val="0"/>
        <w:keepLines w:val="0"/>
        <w:pageBreakBefore w:val="0"/>
        <w:widowControl w:val="0"/>
        <w:numPr>
          <w:ilvl w:val="0"/>
          <w:numId w:val="4"/>
        </w:numPr>
        <w:kinsoku/>
        <w:wordWrap/>
        <w:overflowPunct/>
        <w:topLinePunct w:val="0"/>
        <w:autoSpaceDE/>
        <w:autoSpaceDN/>
        <w:bidi w:val="0"/>
        <w:spacing w:line="578" w:lineRule="exact"/>
        <w:ind w:left="0" w:leftChars="0" w:firstLine="642" w:firstLineChars="200"/>
        <w:textAlignment w:val="auto"/>
        <w:outlineLvl w:val="9"/>
        <w:rPr>
          <w:rFonts w:hint="eastAsia" w:ascii="仿宋" w:hAnsi="仿宋" w:eastAsia="仿宋" w:cs="仿宋"/>
          <w:b/>
          <w:color w:val="auto"/>
          <w:sz w:val="32"/>
          <w:szCs w:val="32"/>
          <w:highlight w:val="none"/>
          <w:u w:val="none"/>
          <w:lang w:val="zh-CN"/>
        </w:rPr>
      </w:pPr>
      <w:r>
        <w:rPr>
          <w:rFonts w:hint="eastAsia" w:ascii="仿宋" w:hAnsi="仿宋" w:eastAsia="仿宋" w:cs="仿宋"/>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 w:hAnsi="仿宋" w:eastAsia="仿宋" w:cs="仿宋"/>
          <w:b w:val="0"/>
          <w:bCs w:val="0"/>
          <w:kern w:val="0"/>
          <w:position w:val="0"/>
          <w:sz w:val="32"/>
          <w:szCs w:val="32"/>
          <w:highlight w:val="none"/>
          <w:lang w:val="zh-CN" w:eastAsia="zh-CN" w:bidi="ar-SA"/>
        </w:rPr>
      </w:pPr>
      <w:r>
        <w:rPr>
          <w:rFonts w:hint="eastAsia" w:ascii="仿宋" w:hAnsi="仿宋" w:eastAsia="仿宋" w:cs="仿宋"/>
          <w:b w:val="0"/>
          <w:bCs w:val="0"/>
          <w:kern w:val="0"/>
          <w:position w:val="0"/>
          <w:sz w:val="32"/>
          <w:szCs w:val="32"/>
          <w:highlight w:val="none"/>
          <w:lang w:val="zh-CN" w:eastAsia="zh-CN" w:bidi="ar-SA"/>
        </w:rPr>
        <w:t>采取单位自评法为主，辅以实地勘察法、案卷研究法和问卷调查法。通过查阅项目资金拨付凭证、采购合同、建设验收资料等案卷材料，实地踏勘AED配置、备灾储藏室、博爱小屋建设情况，并对应急救护培训对象开展满意度调查，综合评价项目实施效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color w:val="auto"/>
          <w:sz w:val="32"/>
          <w:szCs w:val="32"/>
          <w:highlight w:val="none"/>
          <w:u w:val="none"/>
          <w:lang w:val="zh-CN"/>
        </w:rPr>
      </w:pPr>
      <w:r>
        <w:rPr>
          <w:rFonts w:hint="eastAsia" w:ascii="仿宋" w:hAnsi="仿宋" w:eastAsia="仿宋" w:cs="仿宋"/>
          <w:color w:val="auto"/>
          <w:sz w:val="32"/>
          <w:szCs w:val="32"/>
          <w:highlight w:val="none"/>
          <w:u w:val="none"/>
        </w:rPr>
        <w:t>三、</w:t>
      </w:r>
      <w:r>
        <w:rPr>
          <w:rFonts w:hint="eastAsia" w:ascii="仿宋" w:hAnsi="仿宋" w:eastAsia="仿宋" w:cs="仿宋"/>
          <w:color w:val="auto"/>
          <w:sz w:val="32"/>
          <w:szCs w:val="32"/>
          <w:highlight w:val="none"/>
          <w:u w:val="none"/>
          <w:lang w:eastAsia="zh-CN"/>
        </w:rPr>
        <w:t>绩效分析</w:t>
      </w:r>
      <w:r>
        <w:rPr>
          <w:rFonts w:hint="eastAsia" w:ascii="仿宋" w:hAnsi="仿宋" w:eastAsia="仿宋" w:cs="仿宋"/>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b w:val="0"/>
          <w:bCs w:val="0"/>
          <w:kern w:val="0"/>
          <w:position w:val="0"/>
          <w:sz w:val="32"/>
          <w:szCs w:val="32"/>
          <w:highlight w:val="none"/>
          <w:lang w:val="zh-CN" w:eastAsia="zh-CN" w:bidi="ar-SA"/>
        </w:rPr>
      </w:pPr>
      <w:r>
        <w:rPr>
          <w:rFonts w:hint="eastAsia" w:ascii="仿宋" w:hAnsi="仿宋" w:eastAsia="仿宋" w:cs="仿宋"/>
          <w:b w:val="0"/>
          <w:bCs w:val="0"/>
          <w:kern w:val="0"/>
          <w:position w:val="0"/>
          <w:sz w:val="32"/>
          <w:szCs w:val="32"/>
          <w:highlight w:val="none"/>
          <w:lang w:val="zh-CN" w:eastAsia="zh-CN" w:bidi="ar-SA"/>
        </w:rPr>
        <w:t>根据专项预算项目绩效评价指标体系通用指标、专用指标、个性指标，逐项进行分析并评分。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 w:hAnsi="仿宋" w:eastAsia="仿宋" w:cs="仿宋"/>
          <w:b/>
          <w:color w:val="auto"/>
          <w:sz w:val="32"/>
          <w:szCs w:val="32"/>
          <w:highlight w:val="none"/>
          <w:u w:val="none"/>
          <w:lang w:val="en-US" w:eastAsia="zh-CN"/>
        </w:rPr>
      </w:pPr>
      <w:r>
        <w:rPr>
          <w:rFonts w:hint="eastAsia" w:ascii="仿宋" w:hAnsi="仿宋" w:eastAsia="仿宋" w:cs="仿宋"/>
          <w:b/>
          <w:color w:val="auto"/>
          <w:sz w:val="32"/>
          <w:szCs w:val="32"/>
          <w:highlight w:val="none"/>
          <w:u w:val="none"/>
          <w:lang w:val="zh-CN"/>
        </w:rPr>
        <w:t>（一）</w:t>
      </w:r>
      <w:r>
        <w:rPr>
          <w:rFonts w:hint="eastAsia" w:ascii="仿宋" w:hAnsi="仿宋" w:eastAsia="仿宋" w:cs="仿宋"/>
          <w:b/>
          <w:color w:val="auto"/>
          <w:sz w:val="32"/>
          <w:szCs w:val="32"/>
          <w:highlight w:val="none"/>
          <w:u w:val="none"/>
          <w:lang w:val="en-US" w:eastAsia="zh-CN"/>
        </w:rPr>
        <w:t>通用指标</w:t>
      </w:r>
      <w:r>
        <w:rPr>
          <w:rFonts w:hint="eastAsia" w:ascii="仿宋" w:hAnsi="仿宋" w:eastAsia="仿宋" w:cs="仿宋"/>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1.项目决策：项目严格履行审批、公示程序，前期规划论证充分，绩效目标设置科学合理、贴合本地实际，资金投向精准契合彩票公益金支持革命老区公益事业政策导向，决策程序规范合规。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2.项目管理：项目执行彩票公益金及财务管理制度，资金分配、使用、报备规范，绩效监管落实到位，未发生违规支出。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3.项目实施：项目预算执行率99%，资金使用合规；设备及物资采购程序公开透明、手续完备；项目按计划有序推进，保质保量完成建设任务。</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zh-CN" w:eastAsia="zh-CN" w:bidi="ar-SA"/>
        </w:rPr>
      </w:pPr>
      <w:r>
        <w:rPr>
          <w:rFonts w:hint="eastAsia" w:ascii="仿宋" w:hAnsi="仿宋" w:eastAsia="仿宋" w:cs="仿宋"/>
          <w:b w:val="0"/>
          <w:bCs w:val="0"/>
          <w:kern w:val="0"/>
          <w:position w:val="0"/>
          <w:sz w:val="32"/>
          <w:szCs w:val="32"/>
          <w:highlight w:val="none"/>
          <w:lang w:val="en-US" w:eastAsia="zh-CN" w:bidi="ar-SA"/>
        </w:rPr>
        <w:t>4.项目结果：项目产出目标任务全部完成，实施时效符合计划要求，建设成果投入使用，发挥实际效益</w:t>
      </w:r>
      <w:r>
        <w:rPr>
          <w:rFonts w:hint="eastAsia" w:ascii="仿宋" w:hAnsi="仿宋" w:eastAsia="仿宋" w:cs="仿宋"/>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bCs/>
          <w:color w:val="000000"/>
          <w:kern w:val="0"/>
          <w:sz w:val="32"/>
          <w:szCs w:val="32"/>
          <w:highlight w:val="none"/>
          <w:shd w:val="clear" w:color="auto" w:fill="FFFFFF"/>
          <w:lang w:val="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zh-CN" w:eastAsia="zh-CN" w:bidi="ar-SA"/>
        </w:rPr>
      </w:pPr>
      <w:r>
        <w:rPr>
          <w:rFonts w:hint="eastAsia" w:ascii="仿宋" w:hAnsi="仿宋" w:eastAsia="仿宋" w:cs="仿宋"/>
          <w:b w:val="0"/>
          <w:bCs w:val="0"/>
          <w:kern w:val="0"/>
          <w:position w:val="0"/>
          <w:sz w:val="32"/>
          <w:szCs w:val="32"/>
          <w:highlight w:val="none"/>
          <w:lang w:val="zh-CN" w:eastAsia="zh-CN" w:bidi="ar-SA"/>
        </w:rPr>
        <w:t>项目立足城镇社区民生应急需求，对象精准，面向社区居民和应急救护培训对象；AED、备灾储藏室、博爱小屋布局合理、标准合规；项目实施有效提升社区应急保障和群众自救互救水平，应急救护培训对象满意度达95%以上，区域覆盖与群众受益均衡。</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zh-CN" w:eastAsia="zh-CN" w:bidi="ar-SA"/>
        </w:rPr>
      </w:pPr>
      <w:r>
        <w:rPr>
          <w:rFonts w:hint="eastAsia" w:ascii="仿宋" w:hAnsi="仿宋" w:eastAsia="仿宋" w:cs="仿宋"/>
          <w:b w:val="0"/>
          <w:bCs w:val="0"/>
          <w:kern w:val="0"/>
          <w:position w:val="0"/>
          <w:sz w:val="32"/>
          <w:szCs w:val="32"/>
          <w:highlight w:val="none"/>
          <w:lang w:val="zh-CN" w:eastAsia="zh-CN" w:bidi="ar-SA"/>
        </w:rPr>
        <w:t>（三）个性指标绩效分析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zh-CN" w:eastAsia="zh-CN" w:bidi="ar-SA"/>
        </w:rPr>
      </w:pPr>
      <w:r>
        <w:rPr>
          <w:rFonts w:hint="eastAsia" w:ascii="仿宋" w:hAnsi="仿宋" w:eastAsia="仿宋" w:cs="仿宋"/>
          <w:b w:val="0"/>
          <w:bCs w:val="0"/>
          <w:kern w:val="0"/>
          <w:position w:val="0"/>
          <w:sz w:val="32"/>
          <w:szCs w:val="32"/>
          <w:highlight w:val="none"/>
          <w:lang w:val="zh-CN" w:eastAsia="zh-CN" w:bidi="ar-SA"/>
        </w:rPr>
        <w:t>项目设定的应急救护培训费用成本指标实际支出21914.50元，控制在年度指标值21000元的合理范围内，成本控制良好。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zh-CN" w:eastAsia="zh-CN" w:bidi="ar-SA"/>
        </w:rPr>
      </w:pPr>
      <w:r>
        <w:rPr>
          <w:rFonts w:hint="eastAsia" w:ascii="仿宋" w:hAnsi="仿宋" w:eastAsia="仿宋" w:cs="仿宋"/>
          <w:b w:val="0"/>
          <w:bCs w:val="0"/>
          <w:kern w:val="0"/>
          <w:position w:val="0"/>
          <w:sz w:val="32"/>
          <w:szCs w:val="32"/>
          <w:highlight w:val="none"/>
          <w:lang w:val="zh-CN" w:eastAsia="zh-CN" w:bidi="ar-SA"/>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zh-CN" w:eastAsia="zh-CN" w:bidi="ar-SA"/>
        </w:rPr>
      </w:pPr>
      <w:r>
        <w:rPr>
          <w:rFonts w:hint="eastAsia" w:ascii="仿宋" w:hAnsi="仿宋" w:eastAsia="仿宋" w:cs="仿宋"/>
          <w:b w:val="0"/>
          <w:bCs w:val="0"/>
          <w:kern w:val="0"/>
          <w:position w:val="0"/>
          <w:sz w:val="32"/>
          <w:szCs w:val="32"/>
          <w:highlight w:val="none"/>
          <w:lang w:val="zh-CN" w:eastAsia="zh-CN" w:bidi="ar-SA"/>
        </w:rPr>
        <w:t>2025年壤塘县红十字会专项预算项目（2025年中央财政专项彩票公益金支持地方社会公益事业发展资金——革命老区城镇社区博爱家园建设项目）绩效自评得分为89分，评价等次为良好。项目已按要求完成AED配备2台、小型备灾救灾储藏室2处、"博爱小屋"建设及应急救护培训6场等全部建设任务，绩效目标完成率高，资金使用规范，公益效益发挥良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五、存在主要问题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1.项目执行率99%，存在少量资金结余（198504.50元/200000元），预算测算与实际执行存在细微差异；</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2.部分效益指标（应急救护培训质量提升率、培训对象满意度）实际值略低于设定目标值，效果巩固提升空间尚存；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3.项目绩效监控和后续管护机制有待进一步加强。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zh-CN" w:eastAsia="zh-CN" w:bidi="ar-SA"/>
        </w:rPr>
      </w:pPr>
      <w:r>
        <w:rPr>
          <w:rFonts w:hint="eastAsia" w:ascii="仿宋" w:hAnsi="仿宋" w:eastAsia="仿宋" w:cs="仿宋"/>
          <w:b w:val="0"/>
          <w:bCs w:val="0"/>
          <w:kern w:val="0"/>
          <w:position w:val="0"/>
          <w:sz w:val="32"/>
          <w:szCs w:val="32"/>
          <w:highlight w:val="none"/>
          <w:lang w:val="zh-CN" w:eastAsia="zh-CN" w:bidi="ar-SA"/>
        </w:rPr>
        <w:t>六、改进建议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1.加强项目预算测算科学性，结合历年执行情况精准编制资金需求，提高预算执行率，减少结余；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2.持续强化应急救护培训质量管理和满意度提升，优化培训内容和频次，巩固项目社会效益；</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3.健全项目建成后资产管护和绩效长效跟踪机制，确保设备设施长期发挥效用。</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 w:hAnsi="仿宋" w:eastAsia="仿宋" w:cs="仿宋"/>
          <w:b w:val="0"/>
          <w:bCs w:val="0"/>
          <w:kern w:val="0"/>
          <w:position w:val="0"/>
          <w:sz w:val="32"/>
          <w:szCs w:val="32"/>
          <w:highlight w:val="none"/>
          <w:lang w:val="en-US" w:eastAsia="zh-CN" w:bidi="ar-SA"/>
        </w:rPr>
      </w:pPr>
      <w:bookmarkStart w:id="54" w:name="_Toc15396618"/>
      <w:r>
        <w:rPr>
          <w:rFonts w:hint="eastAsia" w:ascii="仿宋" w:hAnsi="仿宋" w:eastAsia="仿宋" w:cs="仿宋"/>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3"/>
      <w:bookmarkEnd w:id="54"/>
      <w:bookmarkStart w:id="55"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2"/>
      <w:tabs>
        <w:tab w:val="clear" w:pos="4153"/>
      </w:tabs>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A1AE93"/>
    <w:multiLevelType w:val="singleLevel"/>
    <w:tmpl w:val="A9A1AE93"/>
    <w:lvl w:ilvl="0" w:tentative="0">
      <w:start w:val="2"/>
      <w:numFmt w:val="chineseCounting"/>
      <w:suff w:val="nothing"/>
      <w:lvlText w:val="（%1）"/>
      <w:lvlJc w:val="left"/>
      <w:rPr>
        <w:rFonts w:hint="eastAsia"/>
      </w:rPr>
    </w:lvl>
  </w:abstractNum>
  <w:abstractNum w:abstractNumId="1">
    <w:nsid w:val="AF235756"/>
    <w:multiLevelType w:val="singleLevel"/>
    <w:tmpl w:val="AF235756"/>
    <w:lvl w:ilvl="0" w:tentative="0">
      <w:start w:val="3"/>
      <w:numFmt w:val="chineseCounting"/>
      <w:suff w:val="nothing"/>
      <w:lvlText w:val="（%1）"/>
      <w:lvlJc w:val="left"/>
      <w:rPr>
        <w:rFonts w:hint="eastAsia"/>
      </w:rPr>
    </w:lvl>
  </w:abstractNum>
  <w:abstractNum w:abstractNumId="2">
    <w:nsid w:val="F9D1A2FC"/>
    <w:multiLevelType w:val="singleLevel"/>
    <w:tmpl w:val="F9D1A2FC"/>
    <w:lvl w:ilvl="0" w:tentative="0">
      <w:start w:val="2"/>
      <w:numFmt w:val="chineseCounting"/>
      <w:suff w:val="nothing"/>
      <w:lvlText w:val="（%1）"/>
      <w:lvlJc w:val="left"/>
      <w:rPr>
        <w:rFonts w:hint="eastAsia"/>
      </w:rPr>
    </w:lvl>
  </w:abstractNum>
  <w:abstractNum w:abstractNumId="3">
    <w:nsid w:val="2D29067F"/>
    <w:multiLevelType w:val="singleLevel"/>
    <w:tmpl w:val="2D29067F"/>
    <w:lvl w:ilvl="0" w:tentative="0">
      <w:start w:val="2"/>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BC0A9C"/>
    <w:rsid w:val="02317B1B"/>
    <w:rsid w:val="02E31DE3"/>
    <w:rsid w:val="02FEBE30"/>
    <w:rsid w:val="0366063E"/>
    <w:rsid w:val="061E35DE"/>
    <w:rsid w:val="066E0107"/>
    <w:rsid w:val="07996F6E"/>
    <w:rsid w:val="07DFD8BA"/>
    <w:rsid w:val="08DB07E4"/>
    <w:rsid w:val="09867E8F"/>
    <w:rsid w:val="0A2032A3"/>
    <w:rsid w:val="0C6C4794"/>
    <w:rsid w:val="0CA8290A"/>
    <w:rsid w:val="0D35B1ED"/>
    <w:rsid w:val="0D367D16"/>
    <w:rsid w:val="0DE07E2B"/>
    <w:rsid w:val="0F98263C"/>
    <w:rsid w:val="101860EC"/>
    <w:rsid w:val="10C055FF"/>
    <w:rsid w:val="11772AA4"/>
    <w:rsid w:val="118107EC"/>
    <w:rsid w:val="12070D49"/>
    <w:rsid w:val="12B33C13"/>
    <w:rsid w:val="139C006E"/>
    <w:rsid w:val="13D50BC4"/>
    <w:rsid w:val="14022904"/>
    <w:rsid w:val="152F2A07"/>
    <w:rsid w:val="165E0673"/>
    <w:rsid w:val="16BB723D"/>
    <w:rsid w:val="16C671CC"/>
    <w:rsid w:val="172109A3"/>
    <w:rsid w:val="186504BB"/>
    <w:rsid w:val="1938089F"/>
    <w:rsid w:val="19A445FC"/>
    <w:rsid w:val="1B7D550C"/>
    <w:rsid w:val="1B7E3076"/>
    <w:rsid w:val="1BE8440E"/>
    <w:rsid w:val="1D155CEE"/>
    <w:rsid w:val="1E740ACF"/>
    <w:rsid w:val="1FF35744"/>
    <w:rsid w:val="1FF6BC77"/>
    <w:rsid w:val="204D1787"/>
    <w:rsid w:val="21962A9E"/>
    <w:rsid w:val="21AE7C77"/>
    <w:rsid w:val="21D40BE8"/>
    <w:rsid w:val="22BC3C41"/>
    <w:rsid w:val="23860B96"/>
    <w:rsid w:val="240371BF"/>
    <w:rsid w:val="2467358C"/>
    <w:rsid w:val="260F557C"/>
    <w:rsid w:val="2728387E"/>
    <w:rsid w:val="281408E2"/>
    <w:rsid w:val="29FD04D3"/>
    <w:rsid w:val="2A6143C5"/>
    <w:rsid w:val="2B3D2680"/>
    <w:rsid w:val="2BFF7BC6"/>
    <w:rsid w:val="2C8A61B5"/>
    <w:rsid w:val="2D2E01CF"/>
    <w:rsid w:val="2DF04E50"/>
    <w:rsid w:val="2E9545B0"/>
    <w:rsid w:val="2F040D46"/>
    <w:rsid w:val="2FAE5751"/>
    <w:rsid w:val="2FB1A395"/>
    <w:rsid w:val="2FD9A7D8"/>
    <w:rsid w:val="319F7F4E"/>
    <w:rsid w:val="31FC733E"/>
    <w:rsid w:val="321B2544"/>
    <w:rsid w:val="3304709D"/>
    <w:rsid w:val="34281836"/>
    <w:rsid w:val="349D6851"/>
    <w:rsid w:val="351E0191"/>
    <w:rsid w:val="35BA6CAF"/>
    <w:rsid w:val="364D14C1"/>
    <w:rsid w:val="36AA5135"/>
    <w:rsid w:val="36BE0DA7"/>
    <w:rsid w:val="376B6AA6"/>
    <w:rsid w:val="376D39B2"/>
    <w:rsid w:val="37E16F03"/>
    <w:rsid w:val="37F53A3B"/>
    <w:rsid w:val="38232911"/>
    <w:rsid w:val="389B6C89"/>
    <w:rsid w:val="38D469F0"/>
    <w:rsid w:val="39627CCD"/>
    <w:rsid w:val="397BAF1F"/>
    <w:rsid w:val="3AB79AF3"/>
    <w:rsid w:val="3B7EF35A"/>
    <w:rsid w:val="3B9FDB6C"/>
    <w:rsid w:val="3BF5BC2F"/>
    <w:rsid w:val="3CEBA265"/>
    <w:rsid w:val="3D625E77"/>
    <w:rsid w:val="3D98207C"/>
    <w:rsid w:val="3D9B0D99"/>
    <w:rsid w:val="3DEE7CF3"/>
    <w:rsid w:val="3DF02244"/>
    <w:rsid w:val="3DF97B88"/>
    <w:rsid w:val="3E78745D"/>
    <w:rsid w:val="3F7C7034"/>
    <w:rsid w:val="3FF4CAE0"/>
    <w:rsid w:val="3FF7B227"/>
    <w:rsid w:val="40562549"/>
    <w:rsid w:val="40E54C45"/>
    <w:rsid w:val="435D165B"/>
    <w:rsid w:val="43A407DF"/>
    <w:rsid w:val="44515BEA"/>
    <w:rsid w:val="44E268DA"/>
    <w:rsid w:val="453F7E5B"/>
    <w:rsid w:val="481252D7"/>
    <w:rsid w:val="486A6C7A"/>
    <w:rsid w:val="49176D9B"/>
    <w:rsid w:val="4A627F82"/>
    <w:rsid w:val="4B0E749A"/>
    <w:rsid w:val="4B4F25DA"/>
    <w:rsid w:val="4B6A6E8F"/>
    <w:rsid w:val="4BDA0CFB"/>
    <w:rsid w:val="4BE068DB"/>
    <w:rsid w:val="4C0A161E"/>
    <w:rsid w:val="4D3C0CCC"/>
    <w:rsid w:val="4D577224"/>
    <w:rsid w:val="4DBF1CEB"/>
    <w:rsid w:val="4E027201"/>
    <w:rsid w:val="4EAB630A"/>
    <w:rsid w:val="4ECE2238"/>
    <w:rsid w:val="4F833267"/>
    <w:rsid w:val="4FCC74A5"/>
    <w:rsid w:val="4FE9BD67"/>
    <w:rsid w:val="4FFB052F"/>
    <w:rsid w:val="53083A92"/>
    <w:rsid w:val="537E6D0A"/>
    <w:rsid w:val="53AF27A2"/>
    <w:rsid w:val="53F74C96"/>
    <w:rsid w:val="54F455BA"/>
    <w:rsid w:val="56783E55"/>
    <w:rsid w:val="56E47B74"/>
    <w:rsid w:val="57BD3DD4"/>
    <w:rsid w:val="5AF92295"/>
    <w:rsid w:val="5BDD79E6"/>
    <w:rsid w:val="5BF561CA"/>
    <w:rsid w:val="5BFF5DFC"/>
    <w:rsid w:val="5C277084"/>
    <w:rsid w:val="5CD71FC4"/>
    <w:rsid w:val="5D1F11B5"/>
    <w:rsid w:val="5DAE1B18"/>
    <w:rsid w:val="5DE7D9E5"/>
    <w:rsid w:val="5ECEC941"/>
    <w:rsid w:val="5EE16C58"/>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4D30C3"/>
    <w:rsid w:val="6C8742B8"/>
    <w:rsid w:val="6C8A170F"/>
    <w:rsid w:val="6CB54609"/>
    <w:rsid w:val="6CFD3C24"/>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5E3AE0"/>
    <w:rsid w:val="70DA6263"/>
    <w:rsid w:val="712A28F1"/>
    <w:rsid w:val="715252C4"/>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8DB680D"/>
    <w:rsid w:val="79086DAD"/>
    <w:rsid w:val="79974F09"/>
    <w:rsid w:val="79D7FD79"/>
    <w:rsid w:val="79EE5BA4"/>
    <w:rsid w:val="7A894339"/>
    <w:rsid w:val="7AFF7572"/>
    <w:rsid w:val="7B6C7DFB"/>
    <w:rsid w:val="7BBFBED0"/>
    <w:rsid w:val="7BC3E394"/>
    <w:rsid w:val="7C1F3737"/>
    <w:rsid w:val="7CBFC87B"/>
    <w:rsid w:val="7CFE0F48"/>
    <w:rsid w:val="7D2A6528"/>
    <w:rsid w:val="7D7EC23E"/>
    <w:rsid w:val="7D916348"/>
    <w:rsid w:val="7E8ADEBF"/>
    <w:rsid w:val="7EE381C3"/>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C7E458"/>
    <w:rsid w:val="FFDFFAEE"/>
    <w:rsid w:val="FFF9B57B"/>
    <w:rsid w:val="FFFD61D9"/>
    <w:rsid w:val="FFFD8F59"/>
    <w:rsid w:val="FFFE153A"/>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99"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index 8"/>
    <w:basedOn w:val="1"/>
    <w:next w:val="1"/>
    <w:qFormat/>
    <w:uiPriority w:val="99"/>
    <w:pPr>
      <w:ind w:left="2940"/>
    </w:pPr>
  </w:style>
  <w:style w:type="paragraph" w:styleId="7">
    <w:name w:val="Body Text"/>
    <w:basedOn w:val="1"/>
    <w:next w:val="6"/>
    <w:link w:val="26"/>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1"/>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列出段落1"/>
    <w:basedOn w:val="1"/>
    <w:qFormat/>
    <w:uiPriority w:val="34"/>
    <w:pPr>
      <w:ind w:firstLine="420" w:firstLineChars="200"/>
    </w:pPr>
    <w:rPr>
      <w:rFonts w:ascii="Calibri" w:hAnsi="Calibri" w:eastAsia="宋体" w:cs="Times New Roman"/>
    </w:rPr>
  </w:style>
  <w:style w:type="character" w:customStyle="1" w:styleId="37">
    <w:name w:val="font61"/>
    <w:basedOn w:val="18"/>
    <w:qFormat/>
    <w:uiPriority w:val="0"/>
    <w:rPr>
      <w:rFonts w:hint="eastAsia" w:ascii="宋体" w:hAnsi="宋体" w:eastAsia="宋体" w:cs="宋体"/>
      <w:b/>
      <w:color w:val="000000"/>
      <w:sz w:val="32"/>
      <w:szCs w:val="32"/>
      <w:u w:val="none"/>
    </w:rPr>
  </w:style>
  <w:style w:type="character" w:customStyle="1" w:styleId="38">
    <w:name w:val="font71"/>
    <w:basedOn w:val="18"/>
    <w:qFormat/>
    <w:uiPriority w:val="0"/>
    <w:rPr>
      <w:rFonts w:hint="eastAsia" w:ascii="宋体" w:hAnsi="宋体" w:eastAsia="宋体" w:cs="宋体"/>
      <w:color w:val="000000"/>
      <w:sz w:val="32"/>
      <w:szCs w:val="32"/>
      <w:u w:val="none"/>
    </w:rPr>
  </w:style>
  <w:style w:type="character" w:customStyle="1" w:styleId="39">
    <w:name w:val="font121"/>
    <w:basedOn w:val="18"/>
    <w:qFormat/>
    <w:uiPriority w:val="0"/>
    <w:rPr>
      <w:rFonts w:hint="eastAsia" w:ascii="方正仿宋_GBK" w:hAnsi="方正仿宋_GBK" w:eastAsia="方正仿宋_GBK" w:cs="方正仿宋_GBK"/>
      <w:color w:val="000000"/>
      <w:sz w:val="20"/>
      <w:szCs w:val="20"/>
      <w:u w:val="none"/>
    </w:rPr>
  </w:style>
  <w:style w:type="character" w:customStyle="1" w:styleId="40">
    <w:name w:val="font101"/>
    <w:basedOn w:val="18"/>
    <w:qFormat/>
    <w:uiPriority w:val="0"/>
    <w:rPr>
      <w:rFonts w:hint="eastAsia" w:ascii="方正仿宋_GBK" w:hAnsi="方正仿宋_GBK" w:eastAsia="方正仿宋_GBK" w:cs="方正仿宋_GBK"/>
      <w:color w:val="000000"/>
      <w:sz w:val="20"/>
      <w:szCs w:val="20"/>
      <w:u w:val="none"/>
    </w:rPr>
  </w:style>
  <w:style w:type="character" w:customStyle="1" w:styleId="41">
    <w:name w:val="font01"/>
    <w:basedOn w:val="18"/>
    <w:qFormat/>
    <w:uiPriority w:val="0"/>
    <w:rPr>
      <w:rFonts w:hint="eastAsia" w:ascii="方正仿宋_GBK" w:hAnsi="方正仿宋_GBK" w:eastAsia="方正仿宋_GBK" w:cs="方正仿宋_GBK"/>
      <w:color w:val="000000"/>
      <w:sz w:val="18"/>
      <w:szCs w:val="18"/>
      <w:u w:val="none"/>
    </w:rPr>
  </w:style>
  <w:style w:type="character" w:customStyle="1" w:styleId="42">
    <w:name w:val="font91"/>
    <w:basedOn w:val="18"/>
    <w:qFormat/>
    <w:uiPriority w:val="0"/>
    <w:rPr>
      <w:rFonts w:hint="eastAsia" w:ascii="方正仿宋_GBK" w:hAnsi="方正仿宋_GBK" w:eastAsia="方正仿宋_GBK" w:cs="方正仿宋_GBK"/>
      <w:color w:val="000000"/>
      <w:sz w:val="18"/>
      <w:szCs w:val="18"/>
      <w:u w:val="none"/>
    </w:rPr>
  </w:style>
  <w:style w:type="character" w:customStyle="1" w:styleId="43">
    <w:name w:val="font81"/>
    <w:basedOn w:val="18"/>
    <w:qFormat/>
    <w:uiPriority w:val="0"/>
    <w:rPr>
      <w:rFonts w:hint="eastAsia" w:ascii="方正仿宋_GBK" w:hAnsi="方正仿宋_GBK" w:eastAsia="方正仿宋_GBK" w:cs="方正仿宋_GBK"/>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22270;&#34920;%20&#22312;%202024&#24180;&#20915;&#31639;&#20998;&#26512;&#25253;&#21578;&#24635;&#24037;&#20250;&#65288;&#34892;&#25919;&#65289;.doc"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15\xwechat_files\wxid_j3wyrhkou2n121_b56f\msg\file\2026-10\Sheet_20261015(1).csv"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15\xwechat_files\wxid_j3wyrhkou2n121_b56f\msg\file\2026-10\Sheet_20261015(2).csv"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15\xwechat_files\wxid_j3wyrhkou2n121_b56f\msg\file\2026-10\Sheet_20261015(3).csv"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15\xwechat_files\wxid_j3wyrhkou2n121_b56f\msg\file\2026-10\Sheet_20261014(3).csv"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15\xwechat_files\wxid_j3wyrhkou2n121_b56f\msg\file\2026-10\Sheet_20261014(5).csv"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r>
              <a:t>收入支出预算</a:t>
            </a:r>
            <a:endParaRPr sz="1400" b="0" i="0" u="none" strike="noStrike" baseline="0">
              <a:solidFill>
                <a:srgbClr val="333333">
                  <a:alpha val="100000"/>
                </a:srgbClr>
              </a:solidFill>
              <a:latin typeface="宋体" panose="02010600030101010101" charset="-122"/>
              <a:ea typeface="宋体" panose="02010600030101010101" charset="-122"/>
              <a:cs typeface="宋体" panose="02010600030101010101" charset="-122"/>
            </a:endParaRPr>
          </a:p>
        </c:rich>
      </c:tx>
      <c:layout/>
      <c:overlay val="0"/>
    </c:title>
    <c:autoTitleDeleted val="0"/>
    <c:plotArea>
      <c:layout>
        <c:manualLayout>
          <c:layoutTarget val="inner"/>
          <c:xMode val="edge"/>
          <c:yMode val="edge"/>
          <c:x val="0.105773184601925"/>
          <c:y val="0.140439932318105"/>
          <c:w val="0.894226815398075"/>
          <c:h val="0.666987755972128"/>
        </c:manualLayout>
      </c:layout>
      <c:barChart>
        <c:barDir val="col"/>
        <c:grouping val="clustered"/>
        <c:varyColors val="0"/>
        <c:ser>
          <c:idx val="0"/>
          <c:order val="0"/>
          <c:tx>
            <c:strRef>
              <c:f>'[图表 在 2024年决算分析报告总工会（行政）.doc]Sheet1'!$B$3</c:f>
              <c:strCache>
                <c:ptCount val="1"/>
                <c:pt idx="0">
                  <c:v>2024</c:v>
                </c:pt>
              </c:strCache>
            </c:strRef>
          </c:tx>
          <c:spPr>
            <a:solidFill>
              <a:schemeClr val="accent1">
                <a:alpha val="100000"/>
              </a:schemeClr>
            </a:solidFill>
            <a:ln w="3175">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 在 2024年决算分析报告总工会（行政）.doc]Sheet1'!$C$2:$D$2</c:f>
              <c:strCache>
                <c:ptCount val="2"/>
                <c:pt idx="0">
                  <c:v>预算收入</c:v>
                </c:pt>
                <c:pt idx="1">
                  <c:v>预算支出</c:v>
                </c:pt>
              </c:strCache>
            </c:strRef>
          </c:cat>
          <c:val>
            <c:numRef>
              <c:f>'[图表 在 2024年决算分析报告总工会（行政）.doc]Sheet1'!$C$3:$D$3</c:f>
              <c:numCache>
                <c:formatCode>General</c:formatCode>
                <c:ptCount val="2"/>
                <c:pt idx="0">
                  <c:v>106.93</c:v>
                </c:pt>
                <c:pt idx="1">
                  <c:v>105.73</c:v>
                </c:pt>
              </c:numCache>
            </c:numRef>
          </c:val>
        </c:ser>
        <c:ser>
          <c:idx val="1"/>
          <c:order val="1"/>
          <c:tx>
            <c:strRef>
              <c:f>'[图表 在 2024年决算分析报告总工会（行政）.doc]Sheet1'!$B$4</c:f>
              <c:strCache>
                <c:ptCount val="1"/>
                <c:pt idx="0">
                  <c:v>2025</c:v>
                </c:pt>
              </c:strCache>
            </c:strRef>
          </c:tx>
          <c:spPr>
            <a:solidFill>
              <a:schemeClr val="accent2">
                <a:alpha val="100000"/>
              </a:schemeClr>
            </a:solidFill>
            <a:ln w="3175">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 在 2024年决算分析报告总工会（行政）.doc]Sheet1'!$C$2:$D$2</c:f>
              <c:strCache>
                <c:ptCount val="2"/>
                <c:pt idx="0">
                  <c:v>预算收入</c:v>
                </c:pt>
                <c:pt idx="1">
                  <c:v>预算支出</c:v>
                </c:pt>
              </c:strCache>
            </c:strRef>
          </c:cat>
          <c:val>
            <c:numRef>
              <c:f>'[图表 在 2024年决算分析报告总工会（行政）.doc]Sheet1'!$C$4:$D$4</c:f>
              <c:numCache>
                <c:formatCode>General</c:formatCode>
                <c:ptCount val="2"/>
                <c:pt idx="0">
                  <c:v>126.05</c:v>
                </c:pt>
                <c:pt idx="1">
                  <c:v>124.85</c:v>
                </c:pt>
              </c:numCache>
            </c:numRef>
          </c:val>
        </c:ser>
        <c:dLbls>
          <c:showLegendKey val="0"/>
          <c:showVal val="0"/>
          <c:showCatName val="0"/>
          <c:showSerName val="0"/>
          <c:showPercent val="0"/>
          <c:showBubbleSize val="0"/>
        </c:dLbls>
        <c:gapWidth val="219"/>
        <c:overlap val="-27"/>
        <c:axId val="329681113"/>
        <c:axId val="385181042"/>
      </c:barChart>
      <c:catAx>
        <c:axId val="32968111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385181042"/>
        <c:crosses val="autoZero"/>
        <c:auto val="1"/>
        <c:lblAlgn val="ctr"/>
        <c:lblOffset val="100"/>
        <c:noMultiLvlLbl val="0"/>
      </c:catAx>
      <c:valAx>
        <c:axId val="38518104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dash"/>
            <a:round/>
          </a:ln>
        </c:spPr>
        <c:txPr>
          <a:bodyPr rot="0" spcFirstLastPara="0" vertOverflow="ellipsis" vert="horz" wrap="square" anchor="ctr" anchorCtr="1"/>
          <a:lstStyle/>
          <a:p>
            <a:pPr>
              <a:defRPr lang="zh-CN" sz="900" b="0" i="0" u="none" strike="noStrike" kern="1200" baseline="0">
                <a:solidFill>
                  <a:srgbClr val="333333">
                    <a:alpha val="100000"/>
                  </a:srgbClr>
                </a:solidFill>
                <a:latin typeface="宋体" panose="02010600030101010101" charset="-122"/>
                <a:ea typeface="宋体" panose="02010600030101010101" charset="-122"/>
                <a:cs typeface="宋体" panose="02010600030101010101" charset="-122"/>
              </a:defRPr>
            </a:pPr>
          </a:p>
        </c:txPr>
        <c:crossAx val="329681113"/>
        <c:crosses val="autoZero"/>
        <c:crossBetween val="between"/>
      </c:valAx>
      <c:spPr>
        <a:noFill/>
        <a:ln w="3175">
          <a:noFill/>
        </a:ln>
      </c:spPr>
    </c:plotArea>
    <c:legend>
      <c:legendPos val="r"/>
      <c:layout>
        <c:manualLayout>
          <c:xMode val="edge"/>
          <c:yMode val="edge"/>
          <c:x val="0.44375"/>
          <c:y val="0.9045"/>
          <c:w val="0.178"/>
          <c:h val="0.05675"/>
        </c:manualLayout>
      </c:layout>
      <c:overlay val="0"/>
      <c:spPr>
        <a:noFill/>
        <a:ln w="3175">
          <a:noFill/>
        </a:ln>
      </c:spPr>
      <c:txPr>
        <a:bodyPr rot="0" spcFirstLastPara="0" vertOverflow="ellipsis" vert="horz" wrap="square" anchor="ctr" anchorCtr="1"/>
        <a:lstStyle/>
        <a:p>
          <a:pPr>
            <a:defRPr lang="zh-CN" sz="825" b="0" i="0" u="none" strike="noStrike" kern="1200" baseline="0">
              <a:solidFill>
                <a:srgbClr val="333333"/>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wrap="square" anchor="ctr" anchorCtr="1"/>
    <a:lstStyle/>
    <a:p>
      <a:pPr>
        <a:defRPr lang="zh-CN" sz="10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'Sheet_20261015(1).csv'!$B$1</c:f>
              <c:strCache>
                <c:ptCount val="1"/>
                <c:pt idx="0">
                  <c:v>金额（万元）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'Sheet_20261015(1).csv'!$A$2:$A$4</c:f>
              <c:strCache>
                <c:ptCount val="3"/>
                <c:pt idx="0">
                  <c:v>一般公共预算财政拨款收入</c:v>
                </c:pt>
                <c:pt idx="1">
                  <c:v>政府性基金预算财政拨款收入</c:v>
                </c:pt>
                <c:pt idx="2">
                  <c:v>年初结转和结余收入</c:v>
                </c:pt>
              </c:strCache>
            </c:strRef>
          </c:cat>
          <c:val>
            <c:numRef>
              <c:f>'Sheet_20261015(1).csv'!$B$2:$B$4</c:f>
              <c:numCache>
                <c:formatCode>General</c:formatCode>
                <c:ptCount val="3"/>
                <c:pt idx="0">
                  <c:v>114.92</c:v>
                </c:pt>
                <c:pt idx="1">
                  <c:v>9.93</c:v>
                </c:pt>
                <c:pt idx="2">
                  <c:v>1.2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'Sheet_20261015(2).csv'!$B$1</c:f>
              <c:strCache>
                <c:ptCount val="1"/>
                <c:pt idx="0">
                  <c:v>金额（万元）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'Sheet_20261015(2).csv'!$A$2:$A$3</c:f>
              <c:strCache>
                <c:ptCount val="2"/>
                <c:pt idx="0">
                  <c:v>基本支出</c:v>
                </c:pt>
                <c:pt idx="1">
                  <c:v>项目支出</c:v>
                </c:pt>
              </c:strCache>
            </c:strRef>
          </c:cat>
          <c:val>
            <c:numRef>
              <c:f>'Sheet_20261015(2).csv'!$B$2:$B$3</c:f>
              <c:numCache>
                <c:formatCode>General</c:formatCode>
                <c:ptCount val="2"/>
                <c:pt idx="0">
                  <c:v>114.92</c:v>
                </c:pt>
                <c:pt idx="1">
                  <c:v>10.93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财政拨款收入总计变动表</a:t>
            </a:r>
          </a:p>
        </c:rich>
      </c:tx>
      <c:layout>
        <c:manualLayout>
          <c:xMode val="edge"/>
          <c:yMode val="edge"/>
          <c:x val="0.40365398956003"/>
          <c:y val="0.0111524163568773"/>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'Sheet_20261015(3).csv'!$A$1:$C$1</c:f>
              <c:strCache>
                <c:ptCount val="3"/>
                <c:pt idx="1">
                  <c:v>财政拨款收入（万元）</c:v>
                </c:pt>
                <c:pt idx="2">
                  <c:v>财政拨款支出（万元）</c:v>
                </c:pt>
              </c:strCache>
            </c:strRef>
          </c:cat>
          <c:val>
            <c:numRef>
              <c:f>'Sheet_20261015(3).csv'!$A$2:$C$2</c:f>
              <c:numCache>
                <c:formatCode>General</c:formatCode>
                <c:ptCount val="3"/>
                <c:pt idx="0">
                  <c:v>2024</c:v>
                </c:pt>
                <c:pt idx="1">
                  <c:v>105.73</c:v>
                </c:pt>
                <c:pt idx="2">
                  <c:v>105.73</c:v>
                </c:pt>
              </c:numCache>
            </c:numRef>
          </c:val>
        </c:ser>
        <c:ser>
          <c:idx val="1"/>
          <c:order val="1"/>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'Sheet_20261015(3).csv'!$A$1:$C$1</c:f>
              <c:strCache>
                <c:ptCount val="3"/>
                <c:pt idx="1">
                  <c:v>财政拨款收入（万元）</c:v>
                </c:pt>
                <c:pt idx="2">
                  <c:v>财政拨款支出（万元）</c:v>
                </c:pt>
              </c:strCache>
            </c:strRef>
          </c:cat>
          <c:val>
            <c:numRef>
              <c:f>'Sheet_20261015(3).csv'!$A$3:$C$3</c:f>
              <c:numCache>
                <c:formatCode>General</c:formatCode>
                <c:ptCount val="3"/>
                <c:pt idx="0">
                  <c:v>2025</c:v>
                </c:pt>
                <c:pt idx="1">
                  <c:v>124.85</c:v>
                </c:pt>
                <c:pt idx="2">
                  <c:v>124.85</c:v>
                </c:pt>
              </c:numCache>
            </c:numRef>
          </c:val>
        </c:ser>
        <c:dLbls>
          <c:showLegendKey val="0"/>
          <c:showVal val="1"/>
          <c:showCatName val="0"/>
          <c:showSerName val="0"/>
          <c:showPercent val="0"/>
          <c:showBubbleSize val="0"/>
        </c:dLbls>
        <c:gapWidth val="219"/>
        <c:overlap val="-27"/>
        <c:axId val="716821439"/>
        <c:axId val="226332301"/>
      </c:barChart>
      <c:catAx>
        <c:axId val="71682143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6332301"/>
        <c:crosses val="autoZero"/>
        <c:auto val="1"/>
        <c:lblAlgn val="ctr"/>
        <c:lblOffset val="100"/>
        <c:noMultiLvlLbl val="0"/>
      </c:catAx>
      <c:valAx>
        <c:axId val="22633230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68214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baseline="0">
                <a:solidFill>
                  <a:schemeClr val="tx1">
                    <a:lumMod val="65000"/>
                    <a:lumOff val="35000"/>
                  </a:schemeClr>
                </a:solidFill>
                <a:latin typeface="+mn-lt"/>
                <a:ea typeface="+mn-ea"/>
                <a:cs typeface="+mn-cs"/>
              </a:defRPr>
            </a:pPr>
            <a:r>
              <a:t>一般公共预算财政支出决算变动情况</a:t>
            </a:r>
          </a:p>
        </c:rich>
      </c:tx>
      <c:layout/>
      <c:overlay val="0"/>
      <c:spPr>
        <a:noFill/>
        <a:ln>
          <a:noFill/>
        </a:ln>
        <a:effectLst/>
      </c:sp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'Sheet_20261014(3).csv'!$A$1:$B$1</c:f>
              <c:strCache>
                <c:ptCount val="2"/>
                <c:pt idx="1">
                  <c:v>一般公共预算财政拨款支出（万元）</c:v>
                </c:pt>
              </c:strCache>
            </c:strRef>
          </c:cat>
          <c:val>
            <c:numRef>
              <c:f>'Sheet_20261014(3).csv'!$A$2:$B$2</c:f>
              <c:numCache>
                <c:formatCode>General</c:formatCode>
                <c:ptCount val="2"/>
                <c:pt idx="0">
                  <c:v>2024</c:v>
                </c:pt>
                <c:pt idx="1">
                  <c:v>105.73</c:v>
                </c:pt>
              </c:numCache>
            </c:numRef>
          </c:val>
        </c:ser>
        <c: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'Sheet_20261014(3).csv'!$A$1:$B$1</c:f>
              <c:strCache>
                <c:ptCount val="2"/>
                <c:pt idx="1">
                  <c:v>一般公共预算财政拨款支出（万元）</c:v>
                </c:pt>
              </c:strCache>
            </c:strRef>
          </c:cat>
          <c:val>
            <c:numRef>
              <c:f>'Sheet_20261014(3).csv'!$A$3:$B$3</c:f>
              <c:numCache>
                <c:formatCode>General</c:formatCode>
                <c:ptCount val="2"/>
                <c:pt idx="0">
                  <c:v>2025</c:v>
                </c:pt>
                <c:pt idx="1">
                  <c:v>124.85</c:v>
                </c:pt>
              </c:numCache>
            </c:numRef>
          </c:val>
        </c:ser>
        <c:dLbls>
          <c:showLegendKey val="0"/>
          <c:showVal val="1"/>
          <c:showCatName val="0"/>
          <c:showSerName val="0"/>
          <c:showPercent val="0"/>
          <c:showBubbleSize val="0"/>
        </c:dLbls>
        <c:gapWidth val="100"/>
        <c:overlap val="-24"/>
        <c:axId val="114438736"/>
        <c:axId val="619976614"/>
      </c:barChart>
      <c:catAx>
        <c:axId val="114438736"/>
        <c:scaling>
          <c:orientation val="minMax"/>
        </c:scaling>
        <c:delete val="0"/>
        <c:axPos val="b"/>
        <c:majorTickMark val="none"/>
        <c:minorTickMark val="none"/>
        <c:tickLblPos val="nextTo"/>
        <c:spPr>
          <a:noFill/>
          <a:ln w="12700"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9976614"/>
        <c:crosses val="autoZero"/>
        <c:auto val="1"/>
        <c:lblAlgn val="ctr"/>
        <c:lblOffset val="100"/>
        <c:noMultiLvlLbl val="0"/>
      </c:catAx>
      <c:valAx>
        <c:axId val="61997661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44387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95464171967625"/>
          <c:y val="0.00966183574879227"/>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'Sheet_20261014(5).csv'!$B$1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'Sheet_20261014(5).csv'!$A$2:$A$4</c:f>
              <c:strCache>
                <c:ptCount val="3"/>
                <c:pt idx="0">
                  <c:v>社会保障和就业支出</c:v>
                </c:pt>
                <c:pt idx="1">
                  <c:v>卫生健康支出</c:v>
                </c:pt>
                <c:pt idx="2">
                  <c:v>住房保障支出</c:v>
                </c:pt>
              </c:strCache>
            </c:strRef>
          </c:cat>
          <c:val>
            <c:numRef>
              <c:f>'Sheet_20261014(5).csv'!$B$2:$B$4</c:f>
              <c:numCache>
                <c:formatCode>General</c:formatCode>
                <c:ptCount val="3"/>
                <c:pt idx="0">
                  <c:v>100.31</c:v>
                </c:pt>
                <c:pt idx="1">
                  <c:v>5.84</c:v>
                </c:pt>
                <c:pt idx="2">
                  <c:v>8.77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31</Pages>
  <Words>1299</Words>
  <Characters>7410</Characters>
  <Lines>61</Lines>
  <Paragraphs>17</Paragraphs>
  <TotalTime>38</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2026-08-04T01:27:00Z</cp:lastPrinted>
  <dcterms:modified xsi:type="dcterms:W3CDTF">2026-10-16T16:19:39Z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ies>
</file>