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D7FDA">
      <w:pPr>
        <w:rPr>
          <w:rFonts w:ascii="黑体" w:hAnsi="黑体" w:eastAsia="黑体" w:cs="Times New Roman"/>
          <w:sz w:val="44"/>
          <w:szCs w:val="44"/>
        </w:rPr>
      </w:pPr>
    </w:p>
    <w:p w14:paraId="2F4034D1">
      <w:pPr>
        <w:rPr>
          <w:rFonts w:ascii="黑体" w:hAnsi="黑体" w:eastAsia="黑体" w:cs="Times New Roman"/>
          <w:sz w:val="44"/>
          <w:szCs w:val="44"/>
        </w:rPr>
      </w:pPr>
    </w:p>
    <w:p w14:paraId="39510839">
      <w:pPr>
        <w:rPr>
          <w:rFonts w:ascii="黑体" w:hAnsi="黑体" w:eastAsia="黑体" w:cs="Times New Roman"/>
          <w:sz w:val="44"/>
          <w:szCs w:val="44"/>
        </w:rPr>
      </w:pPr>
    </w:p>
    <w:p w14:paraId="3C65B0E7">
      <w:pPr>
        <w:rPr>
          <w:rFonts w:ascii="黑体" w:hAnsi="黑体" w:eastAsia="黑体" w:cs="Times New Roman"/>
          <w:sz w:val="44"/>
          <w:szCs w:val="44"/>
        </w:rPr>
      </w:pPr>
    </w:p>
    <w:p w14:paraId="2E675E4E">
      <w:pPr>
        <w:rPr>
          <w:rFonts w:ascii="黑体" w:hAnsi="黑体" w:eastAsia="黑体" w:cs="Times New Roman"/>
          <w:sz w:val="44"/>
          <w:szCs w:val="44"/>
        </w:rPr>
      </w:pPr>
      <w:bookmarkStart w:id="0" w:name="_GoBack"/>
      <w:bookmarkEnd w:id="0"/>
    </w:p>
    <w:p w14:paraId="68FD0F6D">
      <w:pPr>
        <w:jc w:val="center"/>
        <w:rPr>
          <w:rFonts w:hint="eastAsia" w:ascii="黑体" w:hAnsi="黑体" w:eastAsia="黑体" w:cs="黑体"/>
          <w:sz w:val="72"/>
          <w:szCs w:val="72"/>
        </w:rPr>
      </w:pPr>
      <w:r>
        <w:rPr>
          <w:rFonts w:hint="eastAsia" w:ascii="黑体" w:hAnsi="黑体" w:eastAsia="黑体" w:cs="黑体"/>
          <w:sz w:val="72"/>
          <w:szCs w:val="72"/>
        </w:rPr>
        <w:t>壤塘县红十字会</w:t>
      </w:r>
    </w:p>
    <w:p w14:paraId="37D6D886">
      <w:pPr>
        <w:jc w:val="center"/>
        <w:rPr>
          <w:rFonts w:ascii="黑体" w:hAnsi="黑体" w:eastAsia="黑体" w:cs="Times New Roman"/>
          <w:sz w:val="72"/>
          <w:szCs w:val="72"/>
        </w:rPr>
      </w:pPr>
      <w:r>
        <w:rPr>
          <w:rFonts w:ascii="黑体" w:hAnsi="黑体" w:eastAsia="黑体" w:cs="黑体"/>
          <w:sz w:val="72"/>
          <w:szCs w:val="72"/>
        </w:rPr>
        <w:t>202</w:t>
      </w:r>
      <w:r>
        <w:rPr>
          <w:rFonts w:hint="eastAsia" w:ascii="黑体" w:hAnsi="黑体" w:eastAsia="黑体" w:cs="黑体"/>
          <w:sz w:val="72"/>
          <w:szCs w:val="72"/>
          <w:lang w:val="en-US" w:eastAsia="zh-CN"/>
        </w:rPr>
        <w:t>2</w:t>
      </w:r>
      <w:r>
        <w:rPr>
          <w:rFonts w:ascii="黑体" w:hAnsi="黑体" w:eastAsia="黑体" w:cs="黑体"/>
          <w:sz w:val="72"/>
          <w:szCs w:val="72"/>
        </w:rPr>
        <w:t>年</w:t>
      </w:r>
      <w:r>
        <w:rPr>
          <w:rFonts w:hint="eastAsia" w:ascii="黑体" w:hAnsi="黑体" w:eastAsia="黑体" w:cs="黑体"/>
          <w:sz w:val="72"/>
          <w:szCs w:val="72"/>
        </w:rPr>
        <w:t>部门预算</w:t>
      </w:r>
    </w:p>
    <w:p w14:paraId="1E45DDA9">
      <w:pPr>
        <w:jc w:val="center"/>
        <w:rPr>
          <w:rFonts w:ascii="黑体" w:hAnsi="黑体" w:eastAsia="黑体" w:cs="Times New Roman"/>
          <w:sz w:val="44"/>
          <w:szCs w:val="44"/>
        </w:rPr>
      </w:pPr>
    </w:p>
    <w:p w14:paraId="755D92AC">
      <w:pPr>
        <w:jc w:val="center"/>
        <w:rPr>
          <w:rFonts w:ascii="黑体" w:hAnsi="黑体" w:eastAsia="黑体" w:cs="Times New Roman"/>
          <w:sz w:val="44"/>
          <w:szCs w:val="44"/>
        </w:rPr>
      </w:pPr>
    </w:p>
    <w:p w14:paraId="464E3D45">
      <w:pPr>
        <w:jc w:val="center"/>
        <w:rPr>
          <w:rFonts w:ascii="黑体" w:hAnsi="黑体" w:eastAsia="黑体" w:cs="Times New Roman"/>
          <w:sz w:val="44"/>
          <w:szCs w:val="44"/>
        </w:rPr>
      </w:pPr>
    </w:p>
    <w:p w14:paraId="1C5C7A67">
      <w:pPr>
        <w:jc w:val="center"/>
        <w:rPr>
          <w:rFonts w:ascii="黑体" w:hAnsi="黑体" w:eastAsia="黑体" w:cs="Times New Roman"/>
          <w:sz w:val="44"/>
          <w:szCs w:val="44"/>
        </w:rPr>
      </w:pPr>
    </w:p>
    <w:p w14:paraId="39F2A09B">
      <w:pPr>
        <w:jc w:val="center"/>
        <w:rPr>
          <w:rFonts w:ascii="黑体" w:hAnsi="黑体" w:eastAsia="黑体" w:cs="Times New Roman"/>
          <w:sz w:val="44"/>
          <w:szCs w:val="44"/>
        </w:rPr>
      </w:pPr>
    </w:p>
    <w:p w14:paraId="5D542F45">
      <w:pPr>
        <w:jc w:val="center"/>
        <w:rPr>
          <w:rFonts w:ascii="黑体" w:hAnsi="黑体" w:eastAsia="黑体" w:cs="Times New Roman"/>
          <w:sz w:val="44"/>
          <w:szCs w:val="44"/>
        </w:rPr>
      </w:pPr>
    </w:p>
    <w:p w14:paraId="7DAF6933">
      <w:pPr>
        <w:jc w:val="center"/>
        <w:rPr>
          <w:rFonts w:ascii="黑体" w:hAnsi="黑体" w:eastAsia="黑体" w:cs="Times New Roman"/>
          <w:sz w:val="44"/>
          <w:szCs w:val="44"/>
        </w:rPr>
      </w:pPr>
    </w:p>
    <w:p w14:paraId="55A47817">
      <w:pPr>
        <w:jc w:val="center"/>
        <w:rPr>
          <w:rFonts w:ascii="黑体" w:hAnsi="黑体" w:eastAsia="黑体" w:cs="Times New Roman"/>
          <w:sz w:val="44"/>
          <w:szCs w:val="44"/>
        </w:rPr>
      </w:pPr>
    </w:p>
    <w:p w14:paraId="688A04D3">
      <w:pPr>
        <w:jc w:val="center"/>
        <w:rPr>
          <w:rFonts w:ascii="黑体" w:hAnsi="黑体" w:eastAsia="黑体" w:cs="Times New Roman"/>
          <w:sz w:val="44"/>
          <w:szCs w:val="44"/>
        </w:rPr>
      </w:pPr>
    </w:p>
    <w:p w14:paraId="26BFFF66">
      <w:pPr>
        <w:jc w:val="center"/>
        <w:rPr>
          <w:rFonts w:ascii="黑体" w:hAnsi="黑体" w:eastAsia="黑体" w:cs="Times New Roman"/>
          <w:sz w:val="44"/>
          <w:szCs w:val="44"/>
        </w:rPr>
      </w:pPr>
    </w:p>
    <w:p w14:paraId="26DBC2F0">
      <w:pPr>
        <w:rPr>
          <w:rFonts w:ascii="黑体" w:hAnsi="黑体" w:eastAsia="黑体" w:cs="Times New Roman"/>
          <w:sz w:val="44"/>
          <w:szCs w:val="44"/>
        </w:rPr>
      </w:pPr>
    </w:p>
    <w:p w14:paraId="62A1A87B">
      <w:pPr>
        <w:rPr>
          <w:rFonts w:ascii="黑体" w:hAnsi="黑体" w:eastAsia="黑体" w:cs="Times New Roman"/>
          <w:sz w:val="44"/>
          <w:szCs w:val="44"/>
        </w:rPr>
      </w:pPr>
    </w:p>
    <w:p w14:paraId="30F15DE6">
      <w:pPr>
        <w:rPr>
          <w:rFonts w:ascii="黑体" w:hAnsi="黑体" w:eastAsia="黑体" w:cs="Times New Roman"/>
          <w:sz w:val="44"/>
          <w:szCs w:val="44"/>
        </w:rPr>
      </w:pPr>
    </w:p>
    <w:p w14:paraId="4CDCEDC8">
      <w:pPr>
        <w:widowControl/>
        <w:shd w:val="clear" w:color="auto" w:fill="FFFFFF"/>
        <w:spacing w:before="100" w:beforeAutospacing="1" w:after="100" w:afterAutospacing="1" w:line="290" w:lineRule="atLeast"/>
        <w:ind w:right="300"/>
        <w:jc w:val="left"/>
        <w:rPr>
          <w:rFonts w:ascii="??" w:hAnsi="??" w:cs="??"/>
          <w:kern w:val="0"/>
          <w:sz w:val="12"/>
          <w:szCs w:val="12"/>
        </w:rPr>
      </w:pPr>
    </w:p>
    <w:p w14:paraId="7CA48E98">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0"/>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一、</w:t>
      </w:r>
      <w:r>
        <w:rPr>
          <w:rFonts w:hint="eastAsia" w:ascii="黑体" w:hAnsi="黑体" w:eastAsia="黑体" w:cs="黑体"/>
          <w:kern w:val="2"/>
          <w:sz w:val="32"/>
          <w:szCs w:val="32"/>
        </w:rPr>
        <w:t>基本职能及主要工作</w:t>
      </w:r>
    </w:p>
    <w:p w14:paraId="3997F26B">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1"/>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（一）壤塘县红十字会职能简介</w:t>
      </w:r>
    </w:p>
    <w:p w14:paraId="32A78D44">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640" w:firstLineChars="200"/>
        <w:jc w:val="left"/>
        <w:textAlignment w:val="auto"/>
        <w:rPr>
          <w:rFonts w:ascii="仿宋_GB2312" w:hAnsi="黑体" w:eastAsia="仿宋_GB2312" w:cs="仿宋_GB2312"/>
          <w:sz w:val="32"/>
          <w:szCs w:val="32"/>
        </w:rPr>
      </w:pPr>
      <w:r>
        <w:rPr>
          <w:rFonts w:hint="eastAsia" w:ascii="仿宋_GB2312" w:hAnsi="黑体" w:eastAsia="仿宋_GB2312" w:cs="仿宋_GB2312"/>
          <w:sz w:val="32"/>
          <w:szCs w:val="32"/>
        </w:rPr>
        <w:t>1.传播国际红十字运动知识和国际人道法；宣传、执行《中华人民共和国红十字会</w:t>
      </w:r>
      <w:r>
        <w:rPr>
          <w:rFonts w:hint="eastAsia" w:ascii="仿宋_GB2312" w:hAnsi="黑体" w:eastAsia="仿宋_GB2312" w:cs="仿宋_GB2312"/>
          <w:sz w:val="32"/>
          <w:szCs w:val="32"/>
          <w:lang w:eastAsia="zh-CN"/>
        </w:rPr>
        <w:t>法</w:t>
      </w:r>
      <w:r>
        <w:rPr>
          <w:rFonts w:hint="eastAsia" w:ascii="仿宋_GB2312" w:hAnsi="黑体" w:eastAsia="仿宋_GB2312" w:cs="仿宋_GB2312"/>
          <w:sz w:val="32"/>
          <w:szCs w:val="32"/>
        </w:rPr>
        <w:t>》、</w:t>
      </w:r>
      <w:r>
        <w:rPr>
          <w:rFonts w:hint="eastAsia" w:ascii="仿宋_GB2312" w:hAnsi="黑体" w:eastAsia="仿宋_GB2312" w:cs="仿宋_GB2312"/>
          <w:sz w:val="32"/>
          <w:szCs w:val="32"/>
          <w:lang w:eastAsia="zh-CN"/>
        </w:rPr>
        <w:t>《中华人民共和国红十字标志使用办法》</w:t>
      </w:r>
      <w:r>
        <w:rPr>
          <w:rFonts w:hint="eastAsia" w:ascii="仿宋_GB2312" w:hAnsi="黑体" w:eastAsia="仿宋_GB2312" w:cs="仿宋_GB2312"/>
          <w:sz w:val="32"/>
          <w:szCs w:val="32"/>
        </w:rPr>
        <w:t>等法律、法规。</w:t>
      </w:r>
    </w:p>
    <w:p w14:paraId="776E9EC0">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640" w:firstLineChars="200"/>
        <w:jc w:val="left"/>
        <w:textAlignment w:val="auto"/>
        <w:rPr>
          <w:rFonts w:ascii="仿宋_GB2312" w:hAnsi="黑体" w:eastAsia="仿宋_GB2312" w:cs="仿宋_GB2312"/>
          <w:sz w:val="32"/>
          <w:szCs w:val="32"/>
        </w:rPr>
      </w:pPr>
      <w:r>
        <w:rPr>
          <w:rFonts w:hint="eastAsia" w:ascii="仿宋_GB2312" w:hAnsi="黑体" w:eastAsia="仿宋_GB2312" w:cs="仿宋_GB2312"/>
          <w:sz w:val="32"/>
          <w:szCs w:val="32"/>
        </w:rPr>
        <w:t>2.开展备灾救灾工作，在自然灾害和突发事件中，开展对受害者的救助和帮助。</w:t>
      </w:r>
    </w:p>
    <w:p w14:paraId="50A8DD9A">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640" w:firstLineChars="200"/>
        <w:jc w:val="left"/>
        <w:textAlignment w:val="auto"/>
        <w:rPr>
          <w:rFonts w:ascii="仿宋_GB2312" w:hAnsi="黑体" w:eastAsia="仿宋_GB2312" w:cs="仿宋_GB2312"/>
          <w:sz w:val="32"/>
          <w:szCs w:val="32"/>
        </w:rPr>
      </w:pPr>
      <w:r>
        <w:rPr>
          <w:rFonts w:hint="eastAsia" w:ascii="仿宋_GB2312" w:hAnsi="黑体" w:eastAsia="仿宋_GB2312" w:cs="仿宋_GB2312"/>
          <w:sz w:val="32"/>
          <w:szCs w:val="32"/>
        </w:rPr>
        <w:t>3.开展人道领域内的社区服务、社会公益服务活动及卫生救护、防病常识的宣传和普及。</w:t>
      </w:r>
    </w:p>
    <w:p w14:paraId="4B2A46FA">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640" w:firstLineChars="200"/>
        <w:jc w:val="left"/>
        <w:textAlignment w:val="auto"/>
        <w:rPr>
          <w:rFonts w:ascii="仿宋_GB2312" w:hAnsi="黑体" w:eastAsia="仿宋_GB2312" w:cs="仿宋_GB2312"/>
          <w:sz w:val="32"/>
          <w:szCs w:val="32"/>
        </w:rPr>
      </w:pPr>
      <w:r>
        <w:rPr>
          <w:rFonts w:hint="eastAsia" w:ascii="仿宋_GB2312" w:hAnsi="黑体" w:eastAsia="仿宋_GB2312" w:cs="仿宋_GB2312"/>
          <w:sz w:val="32"/>
          <w:szCs w:val="32"/>
        </w:rPr>
        <w:t>4.开展艾滋病预防及吸毒危害的宣传教育工作，提高公民自我防护意识和能力。</w:t>
      </w:r>
    </w:p>
    <w:p w14:paraId="0A5E63B5">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640" w:firstLineChars="200"/>
        <w:jc w:val="left"/>
        <w:textAlignment w:val="auto"/>
        <w:rPr>
          <w:rFonts w:ascii="仿宋_GB2312" w:hAnsi="黑体" w:eastAsia="仿宋_GB2312" w:cs="仿宋_GB2312"/>
          <w:sz w:val="32"/>
          <w:szCs w:val="32"/>
        </w:rPr>
      </w:pPr>
      <w:r>
        <w:rPr>
          <w:rFonts w:hint="eastAsia" w:ascii="仿宋_GB2312" w:hAnsi="黑体" w:eastAsia="仿宋_GB2312" w:cs="仿宋_GB2312"/>
          <w:sz w:val="32"/>
          <w:szCs w:val="32"/>
        </w:rPr>
        <w:t>5.组织会员、志愿工作者开展社会服务活动。参与本地区的医疗服务救助工作和扶贫助学工作。</w:t>
      </w:r>
    </w:p>
    <w:p w14:paraId="0781A361">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640" w:firstLineChars="200"/>
        <w:jc w:val="left"/>
        <w:textAlignment w:val="auto"/>
        <w:rPr>
          <w:rFonts w:ascii="仿宋_GB2312" w:hAnsi="黑体" w:eastAsia="仿宋_GB2312" w:cs="仿宋_GB2312"/>
          <w:sz w:val="32"/>
          <w:szCs w:val="32"/>
        </w:rPr>
      </w:pPr>
      <w:r>
        <w:rPr>
          <w:rFonts w:hint="eastAsia" w:ascii="仿宋_GB2312" w:hAnsi="黑体" w:eastAsia="仿宋_GB2312" w:cs="仿宋_GB2312"/>
          <w:sz w:val="32"/>
          <w:szCs w:val="32"/>
        </w:rPr>
        <w:t>6.开展红十字会品牌项目活动，积极推动“三救、三献”工作。</w:t>
      </w:r>
    </w:p>
    <w:p w14:paraId="5CD5FA2C">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cs="仿宋_GB2312"/>
          <w:sz w:val="32"/>
          <w:szCs w:val="32"/>
        </w:rPr>
      </w:pPr>
      <w:r>
        <w:rPr>
          <w:rFonts w:hint="eastAsia" w:ascii="仿宋_GB2312" w:hAnsi="黑体" w:eastAsia="仿宋_GB2312" w:cs="仿宋_GB2312"/>
          <w:sz w:val="32"/>
          <w:szCs w:val="32"/>
        </w:rPr>
        <w:t>7.依照国际红十字会的基本原则，完成上级红会及县委</w:t>
      </w:r>
      <w:r>
        <w:rPr>
          <w:rFonts w:hint="eastAsia" w:ascii="仿宋_GB2312" w:hAnsi="黑体" w:eastAsia="仿宋_GB2312" w:cs="仿宋_GB2312"/>
          <w:sz w:val="32"/>
          <w:szCs w:val="32"/>
          <w:lang w:eastAsia="zh-CN"/>
        </w:rPr>
        <w:t>、</w:t>
      </w:r>
      <w:r>
        <w:rPr>
          <w:rFonts w:hint="eastAsia" w:ascii="仿宋_GB2312" w:hAnsi="黑体" w:eastAsia="仿宋_GB2312" w:cs="仿宋_GB2312"/>
          <w:sz w:val="32"/>
          <w:szCs w:val="32"/>
        </w:rPr>
        <w:t>县人民政府委托的其他事项。</w:t>
      </w:r>
    </w:p>
    <w:p w14:paraId="1CE8ECB6">
      <w:pPr>
        <w:pStyle w:val="14"/>
        <w:keepNext w:val="0"/>
        <w:keepLines w:val="0"/>
        <w:pageBreakBefore w:val="0"/>
        <w:kinsoku/>
        <w:wordWrap/>
        <w:overflowPunct/>
        <w:topLinePunct w:val="0"/>
        <w:autoSpaceDE/>
        <w:autoSpaceDN/>
        <w:bidi w:val="0"/>
        <w:adjustRightInd/>
        <w:snapToGrid/>
        <w:spacing w:before="0" w:line="560" w:lineRule="exact"/>
        <w:textAlignment w:val="auto"/>
        <w:outlineLvl w:val="1"/>
        <w:rPr>
          <w:rFonts w:hint="eastAsia" w:ascii="楷体_GB2312" w:hAnsi="黑体" w:eastAsia="楷体_GB2312" w:cs="楷体_GB2312"/>
          <w:b/>
          <w:bCs/>
          <w:color w:val="FF0000"/>
          <w:kern w:val="2"/>
          <w:sz w:val="32"/>
          <w:szCs w:val="32"/>
        </w:rPr>
      </w:pPr>
      <w:r>
        <w:rPr>
          <w:rFonts w:hint="eastAsia" w:ascii="楷体_GB2312" w:hAnsi="黑体" w:eastAsia="楷体_GB2312" w:cs="楷体_GB2312"/>
          <w:b/>
          <w:bCs/>
          <w:color w:val="FF0000"/>
          <w:kern w:val="2"/>
          <w:sz w:val="32"/>
          <w:szCs w:val="32"/>
        </w:rPr>
        <w:t>（二）壤塘县红十字会202</w:t>
      </w:r>
      <w:r>
        <w:rPr>
          <w:rFonts w:hint="eastAsia" w:ascii="楷体_GB2312" w:hAnsi="黑体" w:eastAsia="楷体_GB2312" w:cs="楷体_GB2312"/>
          <w:b/>
          <w:bCs/>
          <w:color w:val="FF0000"/>
          <w:kern w:val="2"/>
          <w:sz w:val="32"/>
          <w:szCs w:val="32"/>
          <w:lang w:val="en-US" w:eastAsia="zh-CN"/>
        </w:rPr>
        <w:t>2</w:t>
      </w:r>
      <w:r>
        <w:rPr>
          <w:rFonts w:hint="eastAsia" w:ascii="楷体_GB2312" w:hAnsi="黑体" w:eastAsia="楷体_GB2312" w:cs="楷体_GB2312"/>
          <w:b/>
          <w:bCs/>
          <w:color w:val="FF0000"/>
          <w:kern w:val="2"/>
          <w:sz w:val="32"/>
          <w:szCs w:val="32"/>
        </w:rPr>
        <w:t>年重点工作</w:t>
      </w:r>
    </w:p>
    <w:p w14:paraId="4A43741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sz w:val="32"/>
          <w:szCs w:val="32"/>
          <w:lang w:val="en-US" w:eastAsia="zh-CN"/>
        </w:rPr>
        <w:t>一月份</w:t>
      </w:r>
    </w:p>
    <w:p w14:paraId="2BA17846">
      <w:pPr>
        <w:keepNext w:val="0"/>
        <w:keepLines w:val="0"/>
        <w:pageBreakBefore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开展“红十字会博爱送万家”暨“送温暖”活动。  </w:t>
      </w:r>
    </w:p>
    <w:p w14:paraId="0B1321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2.慰问我县失独老人、孤儿、五保户，给他们送去春节的问候。</w:t>
      </w:r>
    </w:p>
    <w:p w14:paraId="327922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三月份</w:t>
      </w:r>
    </w:p>
    <w:p w14:paraId="7975E2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1.做好2022年志愿者招募工作。</w:t>
      </w:r>
    </w:p>
    <w:p w14:paraId="60FB07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按照要求规范</w:t>
      </w:r>
      <w:r>
        <w:rPr>
          <w:rFonts w:hint="eastAsia" w:ascii="仿宋_GB2312" w:hAnsi="仿宋_GB2312" w:eastAsia="仿宋_GB2312" w:cs="仿宋_GB2312"/>
          <w:sz w:val="32"/>
          <w:szCs w:val="32"/>
          <w:lang w:eastAsia="zh-CN"/>
        </w:rPr>
        <w:t>捐赠</w:t>
      </w:r>
      <w:r>
        <w:rPr>
          <w:rFonts w:hint="eastAsia" w:ascii="仿宋_GB2312" w:hAnsi="仿宋_GB2312" w:eastAsia="仿宋_GB2312" w:cs="仿宋_GB2312"/>
          <w:sz w:val="32"/>
          <w:szCs w:val="32"/>
        </w:rPr>
        <w:t>款物管理，做好</w:t>
      </w:r>
      <w:r>
        <w:rPr>
          <w:rFonts w:hint="eastAsia" w:ascii="仿宋_GB2312" w:hAnsi="仿宋_GB2312" w:eastAsia="仿宋_GB2312" w:cs="仿宋_GB2312"/>
          <w:sz w:val="32"/>
          <w:szCs w:val="32"/>
          <w:lang w:eastAsia="zh-CN"/>
        </w:rPr>
        <w:t>疫情捐赠物资</w:t>
      </w:r>
      <w:r>
        <w:rPr>
          <w:rFonts w:hint="eastAsia" w:ascii="仿宋_GB2312" w:hAnsi="仿宋_GB2312" w:eastAsia="仿宋_GB2312" w:cs="仿宋_GB2312"/>
          <w:sz w:val="32"/>
          <w:szCs w:val="32"/>
        </w:rPr>
        <w:t>公示公开，遵照捐赠意愿，及时汇缴和分配好捐赠资金和物资。</w:t>
      </w:r>
    </w:p>
    <w:p w14:paraId="3318DB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3.到联系村、联系户开展“三月群众月”相关慰问工作。</w:t>
      </w:r>
    </w:p>
    <w:p w14:paraId="325119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四月份</w:t>
      </w:r>
    </w:p>
    <w:p w14:paraId="3AE13331">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开展红十字会志愿者培训班。</w:t>
      </w:r>
    </w:p>
    <w:p w14:paraId="72D8FE99">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开展红十字会小学生自救互救、防灾避险知识大讲堂。</w:t>
      </w:r>
    </w:p>
    <w:p w14:paraId="1808FB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五月份</w:t>
      </w:r>
    </w:p>
    <w:p w14:paraId="3328A950">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开展“5.8”红十字纪念日活动。</w:t>
      </w:r>
    </w:p>
    <w:p w14:paraId="48441664">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开展5月12日“防灾减灾”知识宣传活动。</w:t>
      </w:r>
    </w:p>
    <w:p w14:paraId="1F938F3A">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开展“防震减灾”应急演练。</w:t>
      </w:r>
    </w:p>
    <w:p w14:paraId="72C5ADDF">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开展壤塘县红十字会“2020年救护员培训”第一期工作。</w:t>
      </w:r>
    </w:p>
    <w:p w14:paraId="2457AA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六月份</w:t>
      </w:r>
    </w:p>
    <w:p w14:paraId="56B1B8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1.开展壤塘县红十字会“应急救护知识”进学校活动。</w:t>
      </w:r>
    </w:p>
    <w:p w14:paraId="116C7E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2.开展壤塘县红十字会“2020年救护员培训”第二期工作。</w:t>
      </w:r>
    </w:p>
    <w:p w14:paraId="264334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3.开展失独老人慰问活动。</w:t>
      </w:r>
    </w:p>
    <w:p w14:paraId="50734A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七月份</w:t>
      </w:r>
    </w:p>
    <w:p w14:paraId="34B11A0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社区开展“七.一”老党员慰问活动。</w:t>
      </w:r>
    </w:p>
    <w:p w14:paraId="34B291F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开展壤塘县红十字会“应急救护知识”进学校活动。</w:t>
      </w:r>
    </w:p>
    <w:p w14:paraId="7A7ADBD8">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开展壤塘县红十字会“应急救护知识”进寺庙活动。</w:t>
      </w:r>
    </w:p>
    <w:p w14:paraId="45C108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19E86D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八月份</w:t>
      </w:r>
    </w:p>
    <w:p w14:paraId="287CD11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开展各乡镇防灾避险宣讲。</w:t>
      </w:r>
    </w:p>
    <w:p w14:paraId="0DC8F537">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开展中小学防灾避险逃生演练活动。</w:t>
      </w:r>
    </w:p>
    <w:p w14:paraId="2FB73F42">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开展全县青少年应急救护知识竞赛活动。</w:t>
      </w:r>
    </w:p>
    <w:p w14:paraId="524330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九月份</w:t>
      </w:r>
    </w:p>
    <w:p w14:paraId="670F21E8">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全县应急救护知识“五进”常态化开展。</w:t>
      </w:r>
    </w:p>
    <w:p w14:paraId="050175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十月份</w:t>
      </w:r>
    </w:p>
    <w:p w14:paraId="7B241216">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开展“扶贫日”爱心捐赠活动。</w:t>
      </w:r>
    </w:p>
    <w:p w14:paraId="2437C1DA">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全县应急救护知识“五进”常态化开展。</w:t>
      </w:r>
    </w:p>
    <w:p w14:paraId="431A6F17">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慰问敬老院老人。</w:t>
      </w:r>
    </w:p>
    <w:p w14:paraId="1FDE03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黑体" w:eastAsia="楷体_GB2312" w:cs="楷体_GB2312"/>
          <w:b/>
          <w:bCs/>
          <w:color w:val="FF0000"/>
          <w:kern w:val="2"/>
          <w:sz w:val="32"/>
          <w:szCs w:val="32"/>
        </w:rPr>
      </w:pPr>
      <w:r>
        <w:rPr>
          <w:rFonts w:hint="eastAsia" w:ascii="仿宋_GB2312" w:hAnsi="仿宋_GB2312" w:eastAsia="仿宋_GB2312" w:cs="仿宋_GB2312"/>
          <w:sz w:val="32"/>
          <w:szCs w:val="32"/>
          <w:lang w:val="en-US" w:eastAsia="zh-CN"/>
        </w:rPr>
        <w:t>十二月份常态化开展以上工作</w:t>
      </w:r>
    </w:p>
    <w:p w14:paraId="1BD5CF2D">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0"/>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二、</w:t>
      </w:r>
      <w:r>
        <w:rPr>
          <w:rFonts w:hint="eastAsia" w:ascii="黑体" w:hAnsi="黑体" w:eastAsia="黑体" w:cs="黑体"/>
          <w:kern w:val="2"/>
          <w:sz w:val="32"/>
          <w:szCs w:val="32"/>
        </w:rPr>
        <w:t>部门预算单位构成</w:t>
      </w:r>
    </w:p>
    <w:p w14:paraId="7E005866">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int="eastAsia" w:hAnsi="黑体" w:cs="Times New Roman"/>
          <w:kern w:val="2"/>
          <w:sz w:val="32"/>
          <w:szCs w:val="32"/>
        </w:rPr>
      </w:pPr>
      <w:r>
        <w:rPr>
          <w:rFonts w:hint="eastAsia" w:hAnsi="黑体"/>
          <w:kern w:val="2"/>
          <w:sz w:val="32"/>
          <w:szCs w:val="32"/>
        </w:rPr>
        <w:t>壤塘县红十字会属一级预算单位。</w:t>
      </w:r>
    </w:p>
    <w:p w14:paraId="0B3B8ED7">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0"/>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三、</w:t>
      </w:r>
      <w:r>
        <w:rPr>
          <w:rFonts w:hint="eastAsia" w:ascii="黑体" w:hAnsi="黑体" w:eastAsia="黑体" w:cs="黑体"/>
          <w:kern w:val="2"/>
          <w:sz w:val="32"/>
          <w:szCs w:val="32"/>
        </w:rPr>
        <w:t>收支预算情况说明</w:t>
      </w:r>
    </w:p>
    <w:p w14:paraId="772AA73C">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int="eastAsia" w:hAnsi="黑体"/>
          <w:kern w:val="2"/>
          <w:sz w:val="32"/>
          <w:szCs w:val="32"/>
        </w:rPr>
        <w:t>按照综合预算的原则，壤塘县红十字会所有收入和支出均纳入部门预算管理。收入包括：一般公共预算拨款收入</w:t>
      </w:r>
      <w:r>
        <w:rPr>
          <w:rFonts w:hint="eastAsia" w:hAnsi="黑体" w:cs="Times New Roman"/>
          <w:kern w:val="2"/>
          <w:sz w:val="32"/>
          <w:szCs w:val="32"/>
        </w:rPr>
        <w:t>61.32</w:t>
      </w:r>
      <w:r>
        <w:rPr>
          <w:rFonts w:hint="eastAsia" w:hAnsi="黑体"/>
          <w:kern w:val="2"/>
          <w:sz w:val="32"/>
          <w:szCs w:val="32"/>
        </w:rPr>
        <w:t>万</w:t>
      </w:r>
      <w:r>
        <w:rPr>
          <w:rFonts w:hint="eastAsia" w:hAnsi="黑体"/>
          <w:kern w:val="2"/>
          <w:sz w:val="32"/>
          <w:szCs w:val="32"/>
          <w:lang w:val="en-US" w:eastAsia="zh-CN"/>
        </w:rPr>
        <w:t>元</w:t>
      </w:r>
      <w:r>
        <w:rPr>
          <w:rFonts w:hint="eastAsia" w:hAnsi="黑体"/>
          <w:kern w:val="2"/>
          <w:sz w:val="32"/>
          <w:szCs w:val="32"/>
        </w:rPr>
        <w:t>；支出包括：社会保障和就业支出</w:t>
      </w:r>
      <w:r>
        <w:rPr>
          <w:rFonts w:hint="eastAsia" w:hAnsi="黑体" w:cs="Times New Roman"/>
          <w:kern w:val="2"/>
          <w:sz w:val="32"/>
          <w:szCs w:val="32"/>
        </w:rPr>
        <w:t>52.65</w:t>
      </w:r>
      <w:r>
        <w:rPr>
          <w:rFonts w:hint="eastAsia" w:hAnsi="黑体"/>
          <w:kern w:val="2"/>
          <w:sz w:val="32"/>
          <w:szCs w:val="32"/>
        </w:rPr>
        <w:t>万元，卫生健康支出</w:t>
      </w:r>
      <w:r>
        <w:rPr>
          <w:rFonts w:hint="eastAsia" w:hAnsi="黑体" w:cs="Times New Roman"/>
          <w:kern w:val="2"/>
          <w:sz w:val="32"/>
          <w:szCs w:val="32"/>
        </w:rPr>
        <w:t>3.20</w:t>
      </w:r>
      <w:r>
        <w:rPr>
          <w:rFonts w:hint="eastAsia" w:hAnsi="黑体"/>
          <w:kern w:val="2"/>
          <w:sz w:val="32"/>
          <w:szCs w:val="32"/>
        </w:rPr>
        <w:t>万元，住房保障支出</w:t>
      </w:r>
      <w:r>
        <w:rPr>
          <w:rFonts w:hint="eastAsia" w:hAnsi="黑体" w:cs="Times New Roman"/>
          <w:kern w:val="2"/>
          <w:sz w:val="32"/>
          <w:szCs w:val="32"/>
        </w:rPr>
        <w:t>5.47</w:t>
      </w:r>
      <w:r>
        <w:rPr>
          <w:rFonts w:hint="eastAsia" w:hAnsi="黑体"/>
          <w:kern w:val="2"/>
          <w:sz w:val="32"/>
          <w:szCs w:val="32"/>
        </w:rPr>
        <w:t>万元。壤塘县红十字会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收支总预算</w:t>
      </w:r>
      <w:r>
        <w:rPr>
          <w:rFonts w:hint="eastAsia" w:hAnsi="黑体" w:cs="Times New Roman"/>
          <w:kern w:val="2"/>
          <w:sz w:val="32"/>
          <w:szCs w:val="32"/>
        </w:rPr>
        <w:t>61.32</w:t>
      </w:r>
      <w:r>
        <w:rPr>
          <w:rFonts w:hint="eastAsia" w:hAnsi="黑体"/>
          <w:kern w:val="2"/>
          <w:sz w:val="32"/>
          <w:szCs w:val="32"/>
        </w:rPr>
        <w:t>万元</w:t>
      </w:r>
      <w:r>
        <w:rPr>
          <w:rFonts w:hAnsi="黑体"/>
          <w:kern w:val="2"/>
          <w:sz w:val="32"/>
          <w:szCs w:val="32"/>
        </w:rPr>
        <w:t>,</w:t>
      </w:r>
      <w:r>
        <w:rPr>
          <w:rFonts w:hint="eastAsia" w:hAnsi="黑体"/>
          <w:kern w:val="2"/>
          <w:sz w:val="32"/>
          <w:szCs w:val="32"/>
        </w:rPr>
        <w:t>　比</w:t>
      </w:r>
      <w:r>
        <w:rPr>
          <w:rFonts w:hAnsi="黑体"/>
          <w:kern w:val="2"/>
          <w:sz w:val="32"/>
          <w:szCs w:val="32"/>
        </w:rPr>
        <w:t>20</w:t>
      </w:r>
      <w:r>
        <w:rPr>
          <w:rFonts w:hint="eastAsia" w:hAnsi="黑体"/>
          <w:kern w:val="2"/>
          <w:sz w:val="32"/>
          <w:szCs w:val="32"/>
        </w:rPr>
        <w:t>2</w:t>
      </w:r>
      <w:r>
        <w:rPr>
          <w:rFonts w:hint="eastAsia" w:hAnsi="黑体"/>
          <w:kern w:val="2"/>
          <w:sz w:val="32"/>
          <w:szCs w:val="32"/>
          <w:lang w:val="en-US" w:eastAsia="zh-CN"/>
        </w:rPr>
        <w:t>1</w:t>
      </w:r>
      <w:r>
        <w:rPr>
          <w:rFonts w:hAnsi="黑体"/>
          <w:kern w:val="2"/>
          <w:sz w:val="32"/>
          <w:szCs w:val="32"/>
        </w:rPr>
        <w:t>年</w:t>
      </w:r>
      <w:r>
        <w:rPr>
          <w:rFonts w:hint="eastAsia" w:hAnsi="黑体"/>
          <w:kern w:val="2"/>
          <w:sz w:val="32"/>
          <w:szCs w:val="32"/>
        </w:rPr>
        <w:t>收支预算总数</w:t>
      </w:r>
      <w:r>
        <w:rPr>
          <w:rFonts w:hint="eastAsia" w:hAnsi="黑体"/>
          <w:kern w:val="2"/>
          <w:sz w:val="32"/>
          <w:szCs w:val="32"/>
          <w:lang w:val="en-US" w:eastAsia="zh-CN"/>
        </w:rPr>
        <w:t>增加13.32</w:t>
      </w:r>
      <w:r>
        <w:rPr>
          <w:rFonts w:hint="eastAsia" w:hAnsi="黑体"/>
          <w:kern w:val="2"/>
          <w:sz w:val="32"/>
          <w:szCs w:val="32"/>
        </w:rPr>
        <w:t>万元，主要原因</w:t>
      </w:r>
      <w:r>
        <w:rPr>
          <w:rFonts w:hAnsi="黑体"/>
          <w:kern w:val="2"/>
          <w:sz w:val="32"/>
          <w:szCs w:val="32"/>
        </w:rPr>
        <w:t>:202</w:t>
      </w:r>
      <w:r>
        <w:rPr>
          <w:rFonts w:hint="eastAsia" w:hAnsi="黑体"/>
          <w:kern w:val="2"/>
          <w:sz w:val="32"/>
          <w:szCs w:val="32"/>
          <w:lang w:val="en-US" w:eastAsia="zh-CN"/>
        </w:rPr>
        <w:t>2</w:t>
      </w:r>
      <w:r>
        <w:rPr>
          <w:rFonts w:hint="eastAsia" w:hAnsi="黑体"/>
          <w:kern w:val="2"/>
          <w:sz w:val="32"/>
          <w:szCs w:val="32"/>
        </w:rPr>
        <w:t>人员经费预算</w:t>
      </w:r>
      <w:r>
        <w:rPr>
          <w:rFonts w:hint="eastAsia" w:hAnsi="黑体"/>
          <w:kern w:val="2"/>
          <w:sz w:val="32"/>
          <w:szCs w:val="32"/>
          <w:lang w:val="en-US" w:eastAsia="zh-CN"/>
        </w:rPr>
        <w:t>增加</w:t>
      </w:r>
      <w:r>
        <w:rPr>
          <w:rFonts w:hint="eastAsia" w:hAnsi="黑体"/>
          <w:kern w:val="2"/>
          <w:sz w:val="32"/>
          <w:szCs w:val="32"/>
        </w:rPr>
        <w:t>。</w:t>
      </w:r>
    </w:p>
    <w:p w14:paraId="41864B41">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1"/>
        <w:rPr>
          <w:rFonts w:hint="eastAsia" w:ascii="楷体_GB2312" w:hAnsi="黑体" w:eastAsia="楷体_GB2312" w:cs="楷体_GB2312"/>
          <w:b/>
          <w:bCs/>
          <w:kern w:val="2"/>
          <w:sz w:val="32"/>
          <w:szCs w:val="32"/>
        </w:rPr>
      </w:pP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lang w:val="en-US" w:eastAsia="zh-CN"/>
        </w:rPr>
        <w:t>一</w:t>
      </w: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rPr>
        <w:t>收入预算情况</w:t>
      </w:r>
    </w:p>
    <w:p w14:paraId="378D345B">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Ansi="黑体" w:cs="Times New Roman"/>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收入预算</w:t>
      </w:r>
      <w:r>
        <w:rPr>
          <w:rFonts w:hint="eastAsia" w:hAnsi="黑体" w:cs="Times New Roman"/>
          <w:kern w:val="2"/>
          <w:sz w:val="32"/>
          <w:szCs w:val="32"/>
        </w:rPr>
        <w:t>61.32</w:t>
      </w:r>
      <w:r>
        <w:rPr>
          <w:rFonts w:hint="eastAsia" w:hAnsi="黑体"/>
          <w:kern w:val="2"/>
          <w:sz w:val="32"/>
          <w:szCs w:val="32"/>
        </w:rPr>
        <w:t>万元；一般公共预算拨款收入</w:t>
      </w:r>
      <w:r>
        <w:rPr>
          <w:rFonts w:hint="eastAsia" w:hAnsi="黑体" w:cs="Times New Roman"/>
          <w:kern w:val="2"/>
          <w:sz w:val="32"/>
          <w:szCs w:val="32"/>
        </w:rPr>
        <w:t>61.32</w:t>
      </w:r>
      <w:r>
        <w:rPr>
          <w:rFonts w:hint="eastAsia" w:hAnsi="黑体"/>
          <w:kern w:val="2"/>
          <w:sz w:val="32"/>
          <w:szCs w:val="32"/>
        </w:rPr>
        <w:t>万元，占</w:t>
      </w:r>
      <w:r>
        <w:rPr>
          <w:rFonts w:hAnsi="黑体" w:cs="Times New Roman"/>
          <w:kern w:val="2"/>
          <w:sz w:val="32"/>
          <w:szCs w:val="32"/>
        </w:rPr>
        <w:t>100</w:t>
      </w:r>
      <w:r>
        <w:rPr>
          <w:rFonts w:hAnsi="黑体"/>
          <w:kern w:val="2"/>
          <w:sz w:val="32"/>
          <w:szCs w:val="32"/>
        </w:rPr>
        <w:t>%</w:t>
      </w:r>
      <w:r>
        <w:rPr>
          <w:rFonts w:hint="eastAsia" w:hAnsi="黑体"/>
          <w:kern w:val="2"/>
          <w:sz w:val="32"/>
          <w:szCs w:val="32"/>
        </w:rPr>
        <w:t>。</w:t>
      </w:r>
    </w:p>
    <w:p w14:paraId="56F3AC42">
      <w:pPr>
        <w:pStyle w:val="14"/>
        <w:keepNext w:val="0"/>
        <w:keepLines w:val="0"/>
        <w:pageBreakBefore w:val="0"/>
        <w:kinsoku/>
        <w:wordWrap/>
        <w:overflowPunct/>
        <w:topLinePunct w:val="0"/>
        <w:autoSpaceDE/>
        <w:autoSpaceDN/>
        <w:bidi w:val="0"/>
        <w:adjustRightInd/>
        <w:snapToGrid/>
        <w:spacing w:before="0" w:line="560" w:lineRule="exact"/>
        <w:textAlignment w:val="auto"/>
        <w:outlineLvl w:val="1"/>
        <w:rPr>
          <w:rFonts w:hAnsi="黑体" w:cs="Times New Roman"/>
          <w:kern w:val="2"/>
          <w:sz w:val="32"/>
          <w:szCs w:val="32"/>
        </w:rPr>
      </w:pPr>
      <w:r>
        <w:rPr>
          <w:rFonts w:hint="eastAsia" w:ascii="楷体_GB2312" w:hAnsi="黑体" w:eastAsia="楷体_GB2312" w:cs="楷体_GB2312"/>
          <w:b/>
          <w:bCs/>
          <w:kern w:val="2"/>
          <w:sz w:val="32"/>
          <w:szCs w:val="32"/>
        </w:rPr>
        <w:t>（二）支出预算情况</w:t>
      </w:r>
    </w:p>
    <w:p w14:paraId="4842F7EB">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Ansi="黑体" w:cs="Times New Roman"/>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支出预算</w:t>
      </w:r>
      <w:r>
        <w:rPr>
          <w:rFonts w:hint="eastAsia" w:hAnsi="黑体" w:cs="Times New Roman"/>
          <w:kern w:val="2"/>
          <w:sz w:val="32"/>
          <w:szCs w:val="32"/>
        </w:rPr>
        <w:t>61.32</w:t>
      </w:r>
      <w:r>
        <w:rPr>
          <w:rFonts w:hint="eastAsia" w:hAnsi="黑体"/>
          <w:kern w:val="2"/>
          <w:sz w:val="32"/>
          <w:szCs w:val="32"/>
        </w:rPr>
        <w:t>万元，其中：基本支出</w:t>
      </w:r>
      <w:r>
        <w:rPr>
          <w:rFonts w:hint="eastAsia" w:hAnsi="黑体" w:cs="Times New Roman"/>
          <w:kern w:val="2"/>
          <w:sz w:val="32"/>
          <w:szCs w:val="32"/>
        </w:rPr>
        <w:t>61.32</w:t>
      </w:r>
      <w:r>
        <w:rPr>
          <w:rFonts w:hint="eastAsia" w:hAnsi="黑体"/>
          <w:kern w:val="2"/>
          <w:sz w:val="32"/>
          <w:szCs w:val="32"/>
        </w:rPr>
        <w:t>万元，占</w:t>
      </w:r>
      <w:r>
        <w:rPr>
          <w:rFonts w:hAnsi="黑体" w:cs="Times New Roman"/>
          <w:kern w:val="2"/>
          <w:sz w:val="32"/>
          <w:szCs w:val="32"/>
        </w:rPr>
        <w:t>100</w:t>
      </w:r>
      <w:r>
        <w:rPr>
          <w:rFonts w:hAnsi="黑体"/>
          <w:kern w:val="2"/>
          <w:sz w:val="32"/>
          <w:szCs w:val="32"/>
        </w:rPr>
        <w:t>%</w:t>
      </w:r>
      <w:r>
        <w:rPr>
          <w:rFonts w:hint="eastAsia" w:hAnsi="黑体"/>
          <w:kern w:val="2"/>
          <w:sz w:val="32"/>
          <w:szCs w:val="32"/>
        </w:rPr>
        <w:t>。</w:t>
      </w:r>
    </w:p>
    <w:p w14:paraId="5A7F428F">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0"/>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四、</w:t>
      </w:r>
      <w:r>
        <w:rPr>
          <w:rFonts w:hint="eastAsia" w:ascii="黑体" w:hAnsi="黑体" w:eastAsia="黑体" w:cs="黑体"/>
          <w:kern w:val="2"/>
          <w:sz w:val="32"/>
          <w:szCs w:val="32"/>
        </w:rPr>
        <w:t>财政拨款收支预算情况说明</w:t>
      </w:r>
    </w:p>
    <w:p w14:paraId="44C2EF88">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Ansi="黑体"/>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财政拨款收支总预算</w:t>
      </w:r>
      <w:r>
        <w:rPr>
          <w:rFonts w:hint="eastAsia" w:hAnsi="黑体" w:cs="Times New Roman"/>
          <w:kern w:val="2"/>
          <w:sz w:val="32"/>
          <w:szCs w:val="32"/>
        </w:rPr>
        <w:t>61.32</w:t>
      </w:r>
      <w:r>
        <w:rPr>
          <w:rFonts w:hint="eastAsia" w:hAnsi="黑体"/>
          <w:kern w:val="2"/>
          <w:sz w:val="32"/>
          <w:szCs w:val="32"/>
        </w:rPr>
        <w:t>万元</w:t>
      </w:r>
      <w:r>
        <w:rPr>
          <w:rFonts w:hAnsi="黑体"/>
          <w:kern w:val="2"/>
          <w:sz w:val="32"/>
          <w:szCs w:val="32"/>
        </w:rPr>
        <w:t>,</w:t>
      </w:r>
      <w:r>
        <w:rPr>
          <w:rFonts w:hint="eastAsia" w:hAnsi="黑体"/>
          <w:kern w:val="2"/>
          <w:sz w:val="32"/>
          <w:szCs w:val="32"/>
        </w:rPr>
        <w:t>比</w:t>
      </w:r>
      <w:r>
        <w:rPr>
          <w:rFonts w:hAnsi="黑体"/>
          <w:kern w:val="2"/>
          <w:sz w:val="32"/>
          <w:szCs w:val="32"/>
        </w:rPr>
        <w:t>202</w:t>
      </w:r>
      <w:r>
        <w:rPr>
          <w:rFonts w:hint="eastAsia" w:hAnsi="黑体"/>
          <w:kern w:val="2"/>
          <w:sz w:val="32"/>
          <w:szCs w:val="32"/>
          <w:lang w:val="en-US" w:eastAsia="zh-CN"/>
        </w:rPr>
        <w:t>1</w:t>
      </w:r>
      <w:r>
        <w:rPr>
          <w:rFonts w:hAnsi="黑体"/>
          <w:kern w:val="2"/>
          <w:sz w:val="32"/>
          <w:szCs w:val="32"/>
        </w:rPr>
        <w:t>年</w:t>
      </w:r>
      <w:r>
        <w:rPr>
          <w:rFonts w:hint="eastAsia" w:hAnsi="黑体"/>
          <w:kern w:val="2"/>
          <w:sz w:val="32"/>
          <w:szCs w:val="32"/>
        </w:rPr>
        <w:t>财政拨款收支总预算</w:t>
      </w:r>
      <w:r>
        <w:rPr>
          <w:rFonts w:hint="eastAsia" w:hAnsi="黑体"/>
          <w:kern w:val="2"/>
          <w:sz w:val="32"/>
          <w:szCs w:val="32"/>
          <w:lang w:val="en-US" w:eastAsia="zh-CN"/>
        </w:rPr>
        <w:t>增加13.32万元</w:t>
      </w:r>
      <w:r>
        <w:rPr>
          <w:rFonts w:hint="eastAsia" w:hAnsi="黑体"/>
          <w:kern w:val="2"/>
          <w:sz w:val="32"/>
          <w:szCs w:val="32"/>
        </w:rPr>
        <w:t>，主要原因</w:t>
      </w:r>
      <w:r>
        <w:rPr>
          <w:rFonts w:hAnsi="黑体"/>
          <w:kern w:val="2"/>
          <w:sz w:val="32"/>
          <w:szCs w:val="32"/>
        </w:rPr>
        <w:t>: 202</w:t>
      </w:r>
      <w:r>
        <w:rPr>
          <w:rFonts w:hint="eastAsia" w:hAnsi="黑体"/>
          <w:kern w:val="2"/>
          <w:sz w:val="32"/>
          <w:szCs w:val="32"/>
          <w:lang w:val="en-US" w:eastAsia="zh-CN"/>
        </w:rPr>
        <w:t>2</w:t>
      </w:r>
      <w:r>
        <w:rPr>
          <w:rFonts w:hint="eastAsia" w:hAnsi="黑体"/>
          <w:kern w:val="2"/>
          <w:sz w:val="32"/>
          <w:szCs w:val="32"/>
        </w:rPr>
        <w:t>人员经费预算</w:t>
      </w:r>
      <w:r>
        <w:rPr>
          <w:rFonts w:hint="eastAsia" w:hAnsi="黑体"/>
          <w:kern w:val="2"/>
          <w:sz w:val="32"/>
          <w:szCs w:val="32"/>
          <w:lang w:val="en-US" w:eastAsia="zh-CN"/>
        </w:rPr>
        <w:t>增加</w:t>
      </w:r>
      <w:r>
        <w:rPr>
          <w:rFonts w:hint="eastAsia" w:hAnsi="黑体"/>
          <w:kern w:val="2"/>
          <w:sz w:val="32"/>
          <w:szCs w:val="32"/>
        </w:rPr>
        <w:t>。</w:t>
      </w:r>
    </w:p>
    <w:p w14:paraId="52BAE3FD">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Ansi="黑体" w:cs="Times New Roman"/>
          <w:kern w:val="2"/>
          <w:sz w:val="32"/>
          <w:szCs w:val="32"/>
        </w:rPr>
      </w:pPr>
      <w:r>
        <w:rPr>
          <w:rFonts w:hint="eastAsia" w:hAnsi="黑体"/>
          <w:kern w:val="2"/>
          <w:sz w:val="32"/>
          <w:szCs w:val="32"/>
        </w:rPr>
        <w:t>收入包括：本年一般公共预算拨款收入</w:t>
      </w:r>
      <w:r>
        <w:rPr>
          <w:rFonts w:hint="eastAsia" w:hAnsi="黑体" w:cs="Times New Roman"/>
          <w:kern w:val="2"/>
          <w:sz w:val="32"/>
          <w:szCs w:val="32"/>
        </w:rPr>
        <w:t>61.32</w:t>
      </w:r>
      <w:r>
        <w:rPr>
          <w:rFonts w:hint="eastAsia" w:hAnsi="黑体"/>
          <w:kern w:val="2"/>
          <w:sz w:val="32"/>
          <w:szCs w:val="32"/>
        </w:rPr>
        <w:t>万元。</w:t>
      </w:r>
      <w:r>
        <w:rPr>
          <w:rFonts w:hAnsi="黑体" w:cs="Times New Roman"/>
          <w:kern w:val="2"/>
          <w:sz w:val="32"/>
          <w:szCs w:val="32"/>
        </w:rPr>
        <w:t xml:space="preserve"> </w:t>
      </w:r>
      <w:r>
        <w:rPr>
          <w:rFonts w:hAnsi="黑体" w:cs="Times New Roman"/>
          <w:kern w:val="2"/>
          <w:sz w:val="32"/>
          <w:szCs w:val="32"/>
        </w:rPr>
        <w:br w:type="textWrapping"/>
      </w:r>
      <w:r>
        <w:rPr>
          <w:rFonts w:hint="eastAsia" w:hAnsi="黑体"/>
          <w:kern w:val="2"/>
          <w:sz w:val="32"/>
          <w:szCs w:val="32"/>
        </w:rPr>
        <w:t>　　支出包括：社会保障和就业支出52.65万元，卫生健康支出3.20万元，住房保障支出5.47万元。</w:t>
      </w:r>
    </w:p>
    <w:p w14:paraId="3F40B990">
      <w:pPr>
        <w:pStyle w:val="14"/>
        <w:keepNext w:val="0"/>
        <w:keepLines w:val="0"/>
        <w:pageBreakBefore w:val="0"/>
        <w:kinsoku/>
        <w:wordWrap/>
        <w:overflowPunct/>
        <w:topLinePunct w:val="0"/>
        <w:autoSpaceDE/>
        <w:autoSpaceDN/>
        <w:bidi w:val="0"/>
        <w:adjustRightInd/>
        <w:snapToGrid/>
        <w:spacing w:before="0" w:line="560" w:lineRule="exact"/>
        <w:textAlignment w:val="auto"/>
        <w:outlineLvl w:val="0"/>
        <w:rPr>
          <w:rFonts w:ascii="??" w:hAnsi="??" w:eastAsia="宋体" w:cs="Times New Roman"/>
          <w:sz w:val="16"/>
          <w:szCs w:val="16"/>
        </w:rPr>
      </w:pPr>
      <w:r>
        <w:rPr>
          <w:rFonts w:hint="eastAsia" w:ascii="黑体" w:hAnsi="黑体" w:eastAsia="黑体" w:cs="黑体"/>
          <w:kern w:val="2"/>
          <w:sz w:val="32"/>
          <w:szCs w:val="32"/>
        </w:rPr>
        <w:t>五、一般公共预算当年拨款情况说明</w:t>
      </w:r>
    </w:p>
    <w:p w14:paraId="74AE86D2">
      <w:pPr>
        <w:pStyle w:val="14"/>
        <w:keepNext w:val="0"/>
        <w:keepLines w:val="0"/>
        <w:pageBreakBefore w:val="0"/>
        <w:kinsoku/>
        <w:wordWrap/>
        <w:overflowPunct/>
        <w:topLinePunct w:val="0"/>
        <w:autoSpaceDE/>
        <w:autoSpaceDN/>
        <w:bidi w:val="0"/>
        <w:adjustRightInd/>
        <w:snapToGrid/>
        <w:spacing w:before="0" w:line="560" w:lineRule="exact"/>
        <w:textAlignment w:val="auto"/>
        <w:outlineLvl w:val="1"/>
        <w:rPr>
          <w:rFonts w:hAnsi="黑体" w:cs="Times New Roman"/>
          <w:kern w:val="2"/>
          <w:sz w:val="32"/>
          <w:szCs w:val="32"/>
        </w:rPr>
      </w:pPr>
      <w:r>
        <w:rPr>
          <w:rFonts w:hint="eastAsia" w:ascii="楷体_GB2312" w:hAnsi="黑体" w:eastAsia="楷体_GB2312" w:cs="楷体_GB2312"/>
          <w:b/>
          <w:bCs/>
          <w:kern w:val="2"/>
          <w:sz w:val="32"/>
          <w:szCs w:val="32"/>
        </w:rPr>
        <w:t>（一）一般公共预算当年拨款规模变化情况</w:t>
      </w:r>
    </w:p>
    <w:p w14:paraId="106EF1F4">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一般公共预算当年拨款61.32万元，比</w:t>
      </w:r>
      <w:r>
        <w:rPr>
          <w:rFonts w:hAnsi="黑体"/>
          <w:kern w:val="2"/>
          <w:sz w:val="32"/>
          <w:szCs w:val="32"/>
        </w:rPr>
        <w:t>202</w:t>
      </w:r>
      <w:r>
        <w:rPr>
          <w:rFonts w:hint="eastAsia" w:hAnsi="黑体"/>
          <w:kern w:val="2"/>
          <w:sz w:val="32"/>
          <w:szCs w:val="32"/>
          <w:lang w:val="en-US" w:eastAsia="zh-CN"/>
        </w:rPr>
        <w:t>1</w:t>
      </w:r>
      <w:r>
        <w:rPr>
          <w:rFonts w:hAnsi="黑体"/>
          <w:kern w:val="2"/>
          <w:sz w:val="32"/>
          <w:szCs w:val="32"/>
        </w:rPr>
        <w:t>年</w:t>
      </w:r>
      <w:r>
        <w:rPr>
          <w:rFonts w:hint="eastAsia" w:hAnsi="黑体"/>
          <w:kern w:val="2"/>
          <w:sz w:val="32"/>
          <w:szCs w:val="32"/>
        </w:rPr>
        <w:t>预算数</w:t>
      </w:r>
      <w:r>
        <w:rPr>
          <w:rFonts w:hint="eastAsia" w:hAnsi="黑体"/>
          <w:kern w:val="2"/>
          <w:sz w:val="32"/>
          <w:szCs w:val="32"/>
          <w:lang w:val="en-US" w:eastAsia="zh-CN"/>
        </w:rPr>
        <w:t>增加13.32</w:t>
      </w:r>
      <w:r>
        <w:rPr>
          <w:rFonts w:hint="eastAsia" w:hAnsi="黑体"/>
          <w:kern w:val="2"/>
          <w:sz w:val="32"/>
          <w:szCs w:val="32"/>
        </w:rPr>
        <w:t>万元，主要是基本支出</w:t>
      </w:r>
      <w:r>
        <w:rPr>
          <w:rFonts w:hint="eastAsia" w:hAnsi="黑体"/>
          <w:kern w:val="2"/>
          <w:sz w:val="32"/>
          <w:szCs w:val="32"/>
          <w:lang w:val="en-US" w:eastAsia="zh-CN"/>
        </w:rPr>
        <w:t>增加13.32</w:t>
      </w:r>
      <w:r>
        <w:rPr>
          <w:rFonts w:hint="eastAsia" w:hAnsi="黑体"/>
          <w:kern w:val="2"/>
          <w:sz w:val="32"/>
          <w:szCs w:val="32"/>
        </w:rPr>
        <w:t>万元，主要原因</w:t>
      </w:r>
      <w:r>
        <w:rPr>
          <w:rFonts w:hAnsi="黑体"/>
          <w:kern w:val="2"/>
          <w:sz w:val="32"/>
          <w:szCs w:val="32"/>
        </w:rPr>
        <w:t>: 202</w:t>
      </w:r>
      <w:r>
        <w:rPr>
          <w:rFonts w:hint="eastAsia" w:hAnsi="黑体"/>
          <w:kern w:val="2"/>
          <w:sz w:val="32"/>
          <w:szCs w:val="32"/>
          <w:lang w:val="en-US" w:eastAsia="zh-CN"/>
        </w:rPr>
        <w:t>2</w:t>
      </w:r>
      <w:r>
        <w:rPr>
          <w:rFonts w:hint="eastAsia" w:hAnsi="黑体"/>
          <w:kern w:val="2"/>
          <w:sz w:val="32"/>
          <w:szCs w:val="32"/>
        </w:rPr>
        <w:t>人员经费预算</w:t>
      </w:r>
      <w:r>
        <w:rPr>
          <w:rFonts w:hint="eastAsia" w:hAnsi="黑体"/>
          <w:kern w:val="2"/>
          <w:sz w:val="32"/>
          <w:szCs w:val="32"/>
          <w:lang w:val="en-US" w:eastAsia="zh-CN"/>
        </w:rPr>
        <w:t>增加</w:t>
      </w:r>
      <w:r>
        <w:rPr>
          <w:rFonts w:hint="eastAsia" w:hAnsi="黑体"/>
          <w:kern w:val="2"/>
          <w:sz w:val="32"/>
          <w:szCs w:val="32"/>
        </w:rPr>
        <w:t>。</w:t>
      </w:r>
    </w:p>
    <w:p w14:paraId="15E14DD4">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1"/>
        <w:rPr>
          <w:rFonts w:hint="eastAsia" w:ascii="楷体_GB2312" w:hAnsi="黑体" w:eastAsia="楷体_GB2312" w:cs="楷体_GB2312"/>
          <w:b/>
          <w:bCs/>
          <w:kern w:val="2"/>
          <w:sz w:val="32"/>
          <w:szCs w:val="32"/>
        </w:rPr>
      </w:pP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lang w:val="en-US" w:eastAsia="zh-CN"/>
        </w:rPr>
        <w:t>二</w:t>
      </w: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rPr>
        <w:t>一般公共预算当年拨款结构情况</w:t>
      </w:r>
    </w:p>
    <w:p w14:paraId="09942C65">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int="eastAsia" w:hAnsi="黑体"/>
          <w:kern w:val="2"/>
          <w:sz w:val="32"/>
          <w:szCs w:val="32"/>
        </w:rPr>
        <w:t>社会保障和就业支出52.65万元，</w:t>
      </w:r>
      <w:r>
        <w:rPr>
          <w:rFonts w:hint="eastAsia" w:hAnsi="黑体"/>
          <w:kern w:val="2"/>
          <w:sz w:val="32"/>
          <w:szCs w:val="32"/>
          <w:lang w:val="en-US" w:eastAsia="zh-CN"/>
        </w:rPr>
        <w:t>占85.86%；</w:t>
      </w:r>
      <w:r>
        <w:rPr>
          <w:rFonts w:hint="eastAsia" w:hAnsi="黑体"/>
          <w:kern w:val="2"/>
          <w:sz w:val="32"/>
          <w:szCs w:val="32"/>
        </w:rPr>
        <w:t>卫生健康支出3.20万元，</w:t>
      </w:r>
      <w:r>
        <w:rPr>
          <w:rFonts w:hint="eastAsia" w:hAnsi="黑体"/>
          <w:kern w:val="2"/>
          <w:sz w:val="32"/>
          <w:szCs w:val="32"/>
          <w:lang w:val="en-US" w:eastAsia="zh-CN"/>
        </w:rPr>
        <w:t>占5.22%；</w:t>
      </w:r>
      <w:r>
        <w:rPr>
          <w:rFonts w:hint="eastAsia" w:hAnsi="黑体"/>
          <w:kern w:val="2"/>
          <w:sz w:val="32"/>
          <w:szCs w:val="32"/>
        </w:rPr>
        <w:t>住房保障支出5.47万元</w:t>
      </w:r>
      <w:r>
        <w:rPr>
          <w:rFonts w:hint="eastAsia" w:hAnsi="黑体"/>
          <w:kern w:val="2"/>
          <w:sz w:val="32"/>
          <w:szCs w:val="32"/>
          <w:lang w:eastAsia="zh-CN"/>
        </w:rPr>
        <w:t>，</w:t>
      </w:r>
      <w:r>
        <w:rPr>
          <w:rFonts w:hint="eastAsia" w:hAnsi="黑体"/>
          <w:kern w:val="2"/>
          <w:sz w:val="32"/>
          <w:szCs w:val="32"/>
          <w:lang w:val="en-US" w:eastAsia="zh-CN"/>
        </w:rPr>
        <w:t>占8.92%</w:t>
      </w:r>
      <w:r>
        <w:rPr>
          <w:rFonts w:hint="eastAsia" w:hAnsi="黑体"/>
          <w:kern w:val="2"/>
          <w:sz w:val="32"/>
          <w:szCs w:val="32"/>
        </w:rPr>
        <w:t>。</w:t>
      </w:r>
    </w:p>
    <w:p w14:paraId="1E9004FF">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1"/>
        <w:rPr>
          <w:rFonts w:hint="eastAsia" w:ascii="楷体_GB2312" w:hAnsi="黑体" w:eastAsia="楷体_GB2312" w:cs="楷体_GB2312"/>
          <w:b/>
          <w:bCs/>
          <w:kern w:val="2"/>
          <w:sz w:val="32"/>
          <w:szCs w:val="32"/>
        </w:rPr>
      </w:pP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lang w:val="en-US" w:eastAsia="zh-CN"/>
        </w:rPr>
        <w:t>三</w:t>
      </w: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rPr>
        <w:t>一般公共预算当年拨款具体使用情况</w:t>
      </w:r>
    </w:p>
    <w:p w14:paraId="68CFE921">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Ansi="黑体"/>
          <w:kern w:val="2"/>
          <w:sz w:val="32"/>
          <w:szCs w:val="32"/>
        </w:rPr>
      </w:pPr>
      <w:r>
        <w:rPr>
          <w:rFonts w:hint="eastAsia" w:hAnsi="黑体"/>
          <w:kern w:val="2"/>
          <w:sz w:val="32"/>
          <w:szCs w:val="32"/>
        </w:rPr>
        <w:t>1</w:t>
      </w:r>
      <w:r>
        <w:rPr>
          <w:rFonts w:hAnsi="黑体"/>
          <w:kern w:val="2"/>
          <w:sz w:val="32"/>
          <w:szCs w:val="32"/>
        </w:rPr>
        <w:t>.208</w:t>
      </w:r>
      <w:r>
        <w:rPr>
          <w:rFonts w:hint="eastAsia" w:hAnsi="黑体"/>
          <w:kern w:val="2"/>
          <w:sz w:val="32"/>
          <w:szCs w:val="32"/>
        </w:rPr>
        <w:t>（类）</w:t>
      </w:r>
      <w:r>
        <w:rPr>
          <w:rFonts w:hAnsi="黑体"/>
          <w:kern w:val="2"/>
          <w:sz w:val="32"/>
          <w:szCs w:val="32"/>
        </w:rPr>
        <w:t>16</w:t>
      </w:r>
      <w:r>
        <w:rPr>
          <w:rFonts w:hint="eastAsia" w:hAnsi="黑体"/>
          <w:kern w:val="2"/>
          <w:sz w:val="32"/>
          <w:szCs w:val="32"/>
        </w:rPr>
        <w:t>（款）</w:t>
      </w:r>
      <w:r>
        <w:rPr>
          <w:rFonts w:hAnsi="黑体"/>
          <w:kern w:val="2"/>
          <w:sz w:val="32"/>
          <w:szCs w:val="32"/>
        </w:rPr>
        <w:t>01</w:t>
      </w:r>
      <w:r>
        <w:rPr>
          <w:rFonts w:hint="eastAsia" w:hAnsi="黑体"/>
          <w:kern w:val="2"/>
          <w:sz w:val="32"/>
          <w:szCs w:val="32"/>
        </w:rPr>
        <w:t>（项）：行政运行</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预算数为44.20万元，主要用于</w:t>
      </w:r>
      <w:r>
        <w:rPr>
          <w:rFonts w:hAnsi="黑体"/>
          <w:kern w:val="2"/>
          <w:sz w:val="32"/>
          <w:szCs w:val="32"/>
        </w:rPr>
        <w:t xml:space="preserve"> :</w:t>
      </w:r>
      <w:r>
        <w:rPr>
          <w:rFonts w:hint="eastAsia" w:hAnsi="黑体"/>
          <w:kern w:val="2"/>
          <w:sz w:val="32"/>
          <w:szCs w:val="32"/>
        </w:rPr>
        <w:t>202</w:t>
      </w:r>
      <w:r>
        <w:rPr>
          <w:rFonts w:hint="eastAsia" w:hAnsi="黑体"/>
          <w:kern w:val="2"/>
          <w:sz w:val="32"/>
          <w:szCs w:val="32"/>
          <w:lang w:val="en-US" w:eastAsia="zh-CN"/>
        </w:rPr>
        <w:t>2</w:t>
      </w:r>
      <w:r>
        <w:rPr>
          <w:rFonts w:hint="eastAsia" w:hAnsi="黑体"/>
          <w:kern w:val="2"/>
          <w:sz w:val="32"/>
          <w:szCs w:val="32"/>
        </w:rPr>
        <w:t>年单位职工工资福利支出（基本工资、津补贴、绩效工资等）、日常公用经费支出（办公费、邮电费、劳务费等）、工会经费和公务用车运行维护费。</w:t>
      </w:r>
    </w:p>
    <w:p w14:paraId="29DBE873">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Ansi="黑体"/>
          <w:kern w:val="2"/>
          <w:sz w:val="32"/>
          <w:szCs w:val="32"/>
        </w:rPr>
      </w:pPr>
      <w:r>
        <w:rPr>
          <w:rFonts w:hAnsi="黑体"/>
          <w:kern w:val="2"/>
          <w:sz w:val="32"/>
          <w:szCs w:val="32"/>
        </w:rPr>
        <w:t>2.</w:t>
      </w:r>
      <w:r>
        <w:rPr>
          <w:rFonts w:hint="eastAsia" w:hAnsi="黑体"/>
          <w:kern w:val="2"/>
          <w:sz w:val="32"/>
          <w:szCs w:val="32"/>
        </w:rPr>
        <w:t>208（类）05（款）05（项）机关事业单位基本养老保险缴费支出</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预算数为5.63万元，主要用于</w:t>
      </w:r>
      <w:r>
        <w:rPr>
          <w:rFonts w:hAnsi="黑体"/>
          <w:kern w:val="2"/>
          <w:sz w:val="32"/>
          <w:szCs w:val="32"/>
        </w:rPr>
        <w:t xml:space="preserve"> :</w:t>
      </w:r>
      <w:r>
        <w:rPr>
          <w:rFonts w:hint="eastAsia" w:hAnsi="黑体"/>
          <w:kern w:val="2"/>
          <w:sz w:val="32"/>
          <w:szCs w:val="32"/>
        </w:rPr>
        <w:t>202</w:t>
      </w:r>
      <w:r>
        <w:rPr>
          <w:rFonts w:hint="eastAsia" w:hAnsi="黑体"/>
          <w:kern w:val="2"/>
          <w:sz w:val="32"/>
          <w:szCs w:val="32"/>
          <w:lang w:val="en-US" w:eastAsia="zh-CN"/>
        </w:rPr>
        <w:t>2</w:t>
      </w:r>
      <w:r>
        <w:rPr>
          <w:rFonts w:hint="eastAsia" w:hAnsi="黑体"/>
          <w:kern w:val="2"/>
          <w:sz w:val="32"/>
          <w:szCs w:val="32"/>
        </w:rPr>
        <w:t>年单位养老保险支出。</w:t>
      </w:r>
    </w:p>
    <w:p w14:paraId="1BC3A44F">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Ansi="黑体"/>
          <w:kern w:val="2"/>
          <w:sz w:val="32"/>
          <w:szCs w:val="32"/>
        </w:rPr>
      </w:pPr>
      <w:r>
        <w:rPr>
          <w:rFonts w:hAnsi="黑体"/>
          <w:kern w:val="2"/>
          <w:sz w:val="32"/>
          <w:szCs w:val="32"/>
        </w:rPr>
        <w:t>3.</w:t>
      </w:r>
      <w:r>
        <w:rPr>
          <w:rFonts w:hint="eastAsia" w:hAnsi="黑体"/>
          <w:kern w:val="2"/>
          <w:sz w:val="32"/>
          <w:szCs w:val="32"/>
        </w:rPr>
        <w:t>208（类）05（款）06（项）机关事业单位职业年金缴费支出</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预算数为5.63万元，主要用于</w:t>
      </w:r>
      <w:r>
        <w:rPr>
          <w:rFonts w:hAnsi="黑体"/>
          <w:kern w:val="2"/>
          <w:sz w:val="32"/>
          <w:szCs w:val="32"/>
        </w:rPr>
        <w:t xml:space="preserve"> :</w:t>
      </w:r>
      <w:r>
        <w:rPr>
          <w:rFonts w:hint="eastAsia" w:hAnsi="黑体"/>
          <w:kern w:val="2"/>
          <w:sz w:val="32"/>
          <w:szCs w:val="32"/>
        </w:rPr>
        <w:t>202</w:t>
      </w:r>
      <w:r>
        <w:rPr>
          <w:rFonts w:hint="eastAsia" w:hAnsi="黑体"/>
          <w:kern w:val="2"/>
          <w:sz w:val="32"/>
          <w:szCs w:val="32"/>
          <w:lang w:val="en-US" w:eastAsia="zh-CN"/>
        </w:rPr>
        <w:t>2</w:t>
      </w:r>
      <w:r>
        <w:rPr>
          <w:rFonts w:hint="eastAsia" w:hAnsi="黑体"/>
          <w:kern w:val="2"/>
          <w:sz w:val="32"/>
          <w:szCs w:val="32"/>
        </w:rPr>
        <w:t>年单位职业年金支出。</w:t>
      </w:r>
    </w:p>
    <w:p w14:paraId="46257A7F">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Ansi="黑体"/>
          <w:kern w:val="2"/>
          <w:sz w:val="32"/>
          <w:szCs w:val="32"/>
        </w:rPr>
        <w:t>4.</w:t>
      </w:r>
      <w:r>
        <w:rPr>
          <w:rFonts w:hint="eastAsia" w:hAnsi="黑体"/>
          <w:kern w:val="2"/>
          <w:sz w:val="32"/>
          <w:szCs w:val="32"/>
        </w:rPr>
        <w:t>210（类）11（款）01（项）行政单位医疗</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预算数为2.47万元，主要用于</w:t>
      </w:r>
      <w:r>
        <w:rPr>
          <w:rFonts w:hAnsi="黑体"/>
          <w:kern w:val="2"/>
          <w:sz w:val="32"/>
          <w:szCs w:val="32"/>
        </w:rPr>
        <w:t xml:space="preserve"> :</w:t>
      </w:r>
      <w:r>
        <w:rPr>
          <w:rFonts w:hint="eastAsia" w:hAnsi="黑体"/>
          <w:kern w:val="2"/>
          <w:sz w:val="32"/>
          <w:szCs w:val="32"/>
        </w:rPr>
        <w:t>202</w:t>
      </w:r>
      <w:r>
        <w:rPr>
          <w:rFonts w:hint="eastAsia" w:hAnsi="黑体"/>
          <w:kern w:val="2"/>
          <w:sz w:val="32"/>
          <w:szCs w:val="32"/>
          <w:lang w:val="en-US" w:eastAsia="zh-CN"/>
        </w:rPr>
        <w:t>2</w:t>
      </w:r>
      <w:r>
        <w:rPr>
          <w:rFonts w:hint="eastAsia" w:hAnsi="黑体"/>
          <w:kern w:val="2"/>
          <w:sz w:val="32"/>
          <w:szCs w:val="32"/>
        </w:rPr>
        <w:t>年单位行政医疗支出。</w:t>
      </w:r>
    </w:p>
    <w:p w14:paraId="387A1623">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Ansi="黑体"/>
          <w:kern w:val="2"/>
          <w:sz w:val="32"/>
          <w:szCs w:val="32"/>
        </w:rPr>
        <w:t xml:space="preserve"> 5.</w:t>
      </w:r>
      <w:r>
        <w:rPr>
          <w:rFonts w:hint="eastAsia" w:hAnsi="黑体"/>
          <w:kern w:val="2"/>
          <w:sz w:val="32"/>
          <w:szCs w:val="32"/>
        </w:rPr>
        <w:t>210（类）11（款）03（项）公务员医疗补助</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预算数为0.73万元，主要用于</w:t>
      </w:r>
      <w:r>
        <w:rPr>
          <w:rFonts w:hAnsi="黑体"/>
          <w:kern w:val="2"/>
          <w:sz w:val="32"/>
          <w:szCs w:val="32"/>
        </w:rPr>
        <w:t xml:space="preserve"> :</w:t>
      </w:r>
      <w:r>
        <w:rPr>
          <w:rFonts w:hint="eastAsia" w:hAnsi="黑体"/>
          <w:kern w:val="2"/>
          <w:sz w:val="32"/>
          <w:szCs w:val="32"/>
        </w:rPr>
        <w:t>202</w:t>
      </w:r>
      <w:r>
        <w:rPr>
          <w:rFonts w:hint="eastAsia" w:hAnsi="黑体"/>
          <w:kern w:val="2"/>
          <w:sz w:val="32"/>
          <w:szCs w:val="32"/>
          <w:lang w:val="en-US" w:eastAsia="zh-CN"/>
        </w:rPr>
        <w:t>2</w:t>
      </w:r>
      <w:r>
        <w:rPr>
          <w:rFonts w:hint="eastAsia" w:hAnsi="黑体"/>
          <w:kern w:val="2"/>
          <w:sz w:val="32"/>
          <w:szCs w:val="32"/>
        </w:rPr>
        <w:t>年单位公务员医疗补助支出。</w:t>
      </w:r>
    </w:p>
    <w:p w14:paraId="709A3DCB">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Ansi="黑体"/>
          <w:kern w:val="2"/>
          <w:sz w:val="32"/>
          <w:szCs w:val="32"/>
        </w:rPr>
        <w:t>6.</w:t>
      </w:r>
      <w:r>
        <w:rPr>
          <w:rFonts w:hint="eastAsia" w:hAnsi="黑体"/>
          <w:kern w:val="2"/>
          <w:sz w:val="32"/>
          <w:szCs w:val="32"/>
        </w:rPr>
        <w:t>221（类）02（款）01（项）住房公积金</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预算数为5.47万元，主要用于</w:t>
      </w:r>
      <w:r>
        <w:rPr>
          <w:rFonts w:hAnsi="黑体"/>
          <w:kern w:val="2"/>
          <w:sz w:val="32"/>
          <w:szCs w:val="32"/>
        </w:rPr>
        <w:t xml:space="preserve"> :</w:t>
      </w:r>
      <w:r>
        <w:rPr>
          <w:rFonts w:hint="eastAsia" w:hAnsi="黑体"/>
          <w:kern w:val="2"/>
          <w:sz w:val="32"/>
          <w:szCs w:val="32"/>
        </w:rPr>
        <w:t>202</w:t>
      </w:r>
      <w:r>
        <w:rPr>
          <w:rFonts w:hint="eastAsia" w:hAnsi="黑体"/>
          <w:kern w:val="2"/>
          <w:sz w:val="32"/>
          <w:szCs w:val="32"/>
          <w:lang w:val="en-US" w:eastAsia="zh-CN"/>
        </w:rPr>
        <w:t>2</w:t>
      </w:r>
      <w:r>
        <w:rPr>
          <w:rFonts w:hint="eastAsia" w:hAnsi="黑体"/>
          <w:kern w:val="2"/>
          <w:sz w:val="32"/>
          <w:szCs w:val="32"/>
        </w:rPr>
        <w:t>年单位住房公积金支出。</w:t>
      </w:r>
    </w:p>
    <w:p w14:paraId="4CA33467">
      <w:pPr>
        <w:pStyle w:val="14"/>
        <w:keepNext w:val="0"/>
        <w:keepLines w:val="0"/>
        <w:pageBreakBefore w:val="0"/>
        <w:kinsoku/>
        <w:wordWrap/>
        <w:overflowPunct/>
        <w:topLinePunct w:val="0"/>
        <w:autoSpaceDE/>
        <w:autoSpaceDN/>
        <w:bidi w:val="0"/>
        <w:adjustRightInd/>
        <w:snapToGrid/>
        <w:spacing w:before="0" w:line="560" w:lineRule="exact"/>
        <w:textAlignment w:val="auto"/>
        <w:outlineLvl w:val="0"/>
        <w:rPr>
          <w:rFonts w:ascii="??" w:hAnsi="??" w:eastAsia="宋体" w:cs="Times New Roman"/>
          <w:b/>
          <w:bCs/>
          <w:sz w:val="16"/>
          <w:szCs w:val="16"/>
        </w:rPr>
      </w:pPr>
      <w:r>
        <w:rPr>
          <w:rFonts w:ascii="??" w:hAnsi="??" w:eastAsia="宋体" w:cs="??"/>
          <w:b/>
          <w:bCs/>
          <w:sz w:val="16"/>
          <w:szCs w:val="16"/>
        </w:rPr>
        <w:t xml:space="preserve"> </w:t>
      </w:r>
      <w:r>
        <w:rPr>
          <w:rFonts w:hint="eastAsia" w:ascii="黑体" w:hAnsi="黑体" w:eastAsia="黑体" w:cs="黑体"/>
          <w:kern w:val="2"/>
          <w:sz w:val="32"/>
          <w:szCs w:val="32"/>
        </w:rPr>
        <w:t>六、一般公共预算基本支出情况说明</w:t>
      </w:r>
    </w:p>
    <w:p w14:paraId="37556377">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Ansi="黑体" w:cs="Times New Roman"/>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一般公共预算基本支出61.32万元，其中：人员经费53.01万元，主要包括：基本工资、津贴补贴、奖金、其他社会保障缴费、绩效工资、机关事业单位基本养老保险缴费、职业年金缴费、其他工资福利支出、离休费、奖励金、住房公积金、其他对个人和家庭的补助支出。公用经费8.30万元，主要包括：办公费、印刷费、手续费、水费、电费、邮电费、差旅费、维修（护）费、租赁费、会议费、培训费、劳务费、工会经费、福利费、其他交通工具运行维护费、其他商品和服务支出。</w:t>
      </w:r>
    </w:p>
    <w:p w14:paraId="27603D44">
      <w:pPr>
        <w:pStyle w:val="14"/>
        <w:keepNext w:val="0"/>
        <w:keepLines w:val="0"/>
        <w:pageBreakBefore w:val="0"/>
        <w:kinsoku/>
        <w:wordWrap/>
        <w:overflowPunct/>
        <w:topLinePunct w:val="0"/>
        <w:autoSpaceDE/>
        <w:autoSpaceDN/>
        <w:bidi w:val="0"/>
        <w:adjustRightInd/>
        <w:snapToGrid/>
        <w:spacing w:before="0" w:line="560" w:lineRule="exact"/>
        <w:textAlignment w:val="auto"/>
        <w:outlineLvl w:val="0"/>
        <w:rPr>
          <w:rFonts w:ascii="??" w:hAnsi="??" w:eastAsia="宋体" w:cs="Times New Roman"/>
          <w:sz w:val="16"/>
          <w:szCs w:val="16"/>
        </w:rPr>
      </w:pPr>
      <w:r>
        <w:rPr>
          <w:rFonts w:hint="eastAsia" w:ascii="黑体" w:hAnsi="黑体" w:eastAsia="黑体" w:cs="黑体"/>
          <w:kern w:val="2"/>
          <w:sz w:val="32"/>
          <w:szCs w:val="32"/>
        </w:rPr>
        <w:t>七、</w:t>
      </w:r>
      <w:r>
        <w:rPr>
          <w:rFonts w:ascii="黑体" w:hAnsi="黑体" w:eastAsia="黑体" w:cs="Times New Roman"/>
          <w:kern w:val="2"/>
          <w:sz w:val="32"/>
          <w:szCs w:val="32"/>
        </w:rPr>
        <w:t>“</w:t>
      </w:r>
      <w:r>
        <w:rPr>
          <w:rFonts w:hint="eastAsia" w:ascii="黑体" w:hAnsi="黑体" w:eastAsia="黑体" w:cs="黑体"/>
          <w:kern w:val="2"/>
          <w:sz w:val="32"/>
          <w:szCs w:val="32"/>
        </w:rPr>
        <w:t>三公</w:t>
      </w:r>
      <w:r>
        <w:rPr>
          <w:rFonts w:ascii="黑体" w:hAnsi="黑体" w:eastAsia="黑体" w:cs="Times New Roman"/>
          <w:kern w:val="2"/>
          <w:sz w:val="32"/>
          <w:szCs w:val="32"/>
        </w:rPr>
        <w:t>”</w:t>
      </w:r>
      <w:r>
        <w:rPr>
          <w:rFonts w:hint="eastAsia" w:ascii="黑体" w:hAnsi="黑体" w:eastAsia="黑体" w:cs="黑体"/>
          <w:kern w:val="2"/>
          <w:sz w:val="32"/>
          <w:szCs w:val="32"/>
        </w:rPr>
        <w:t>经费财政拨款预算安排情况说明</w:t>
      </w:r>
    </w:p>
    <w:p w14:paraId="6E9511B5">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Ansi="黑体" w:cs="Times New Roman"/>
          <w:kern w:val="2"/>
          <w:sz w:val="32"/>
          <w:szCs w:val="32"/>
        </w:rPr>
        <w:t>“</w:t>
      </w:r>
      <w:r>
        <w:rPr>
          <w:rFonts w:hint="eastAsia" w:hAnsi="黑体"/>
          <w:kern w:val="2"/>
          <w:sz w:val="32"/>
          <w:szCs w:val="32"/>
        </w:rPr>
        <w:t>三公</w:t>
      </w:r>
      <w:r>
        <w:rPr>
          <w:rFonts w:hAnsi="黑体" w:cs="Times New Roman"/>
          <w:kern w:val="2"/>
          <w:sz w:val="32"/>
          <w:szCs w:val="32"/>
        </w:rPr>
        <w:t>”</w:t>
      </w:r>
      <w:r>
        <w:rPr>
          <w:rFonts w:hint="eastAsia" w:hAnsi="黑体"/>
          <w:kern w:val="2"/>
          <w:sz w:val="32"/>
          <w:szCs w:val="32"/>
        </w:rPr>
        <w:t>经费财政拨款预算数</w:t>
      </w:r>
      <w:r>
        <w:rPr>
          <w:rFonts w:hAnsi="黑体"/>
          <w:kern w:val="2"/>
          <w:sz w:val="32"/>
          <w:szCs w:val="32"/>
        </w:rPr>
        <w:t>4</w:t>
      </w:r>
      <w:r>
        <w:rPr>
          <w:rFonts w:hint="eastAsia" w:hAnsi="黑体"/>
          <w:kern w:val="2"/>
          <w:sz w:val="32"/>
          <w:szCs w:val="32"/>
          <w:lang w:val="en-US" w:eastAsia="zh-CN"/>
        </w:rPr>
        <w:t>.06</w:t>
      </w:r>
      <w:r>
        <w:rPr>
          <w:rFonts w:hint="eastAsia" w:hAnsi="黑体"/>
          <w:kern w:val="2"/>
          <w:sz w:val="32"/>
          <w:szCs w:val="32"/>
        </w:rPr>
        <w:t>万元，其中：公务用车运行维护费</w:t>
      </w:r>
      <w:r>
        <w:rPr>
          <w:rFonts w:hAnsi="黑体"/>
          <w:kern w:val="2"/>
          <w:sz w:val="32"/>
          <w:szCs w:val="32"/>
        </w:rPr>
        <w:t>4</w:t>
      </w:r>
      <w:r>
        <w:rPr>
          <w:rFonts w:hint="eastAsia" w:hAnsi="黑体"/>
          <w:kern w:val="2"/>
          <w:sz w:val="32"/>
          <w:szCs w:val="32"/>
        </w:rPr>
        <w:t>万元</w:t>
      </w:r>
      <w:r>
        <w:rPr>
          <w:rFonts w:hint="eastAsia" w:hAnsi="黑体"/>
          <w:kern w:val="2"/>
          <w:sz w:val="32"/>
          <w:szCs w:val="32"/>
          <w:lang w:eastAsia="zh-CN"/>
        </w:rPr>
        <w:t>，</w:t>
      </w:r>
      <w:r>
        <w:rPr>
          <w:rFonts w:hint="eastAsia" w:hAnsi="黑体"/>
          <w:kern w:val="2"/>
          <w:sz w:val="32"/>
          <w:szCs w:val="32"/>
          <w:lang w:val="en-US" w:eastAsia="zh-CN"/>
        </w:rPr>
        <w:t>公务接待费0.06万元</w:t>
      </w:r>
      <w:r>
        <w:rPr>
          <w:rFonts w:hint="eastAsia" w:hAnsi="黑体"/>
          <w:kern w:val="2"/>
          <w:sz w:val="32"/>
          <w:szCs w:val="32"/>
        </w:rPr>
        <w:t>。</w:t>
      </w:r>
    </w:p>
    <w:p w14:paraId="5C9C99D1">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0"/>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八、</w:t>
      </w:r>
      <w:r>
        <w:rPr>
          <w:rFonts w:hint="eastAsia" w:ascii="黑体" w:hAnsi="黑体" w:eastAsia="黑体" w:cs="黑体"/>
          <w:kern w:val="2"/>
          <w:sz w:val="32"/>
          <w:szCs w:val="32"/>
        </w:rPr>
        <w:t>政府性基金预算支出情况说明</w:t>
      </w:r>
    </w:p>
    <w:p w14:paraId="63D51727">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无政府性基金预算拨款。</w:t>
      </w:r>
    </w:p>
    <w:p w14:paraId="0C3C8C45">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0"/>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九、</w:t>
      </w:r>
      <w:r>
        <w:rPr>
          <w:rFonts w:hint="eastAsia" w:ascii="黑体" w:hAnsi="黑体" w:eastAsia="黑体" w:cs="黑体"/>
          <w:kern w:val="2"/>
          <w:sz w:val="32"/>
          <w:szCs w:val="32"/>
        </w:rPr>
        <w:t>其他重要事项的情况说明</w:t>
      </w:r>
    </w:p>
    <w:p w14:paraId="10613BC2">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1"/>
        <w:rPr>
          <w:rFonts w:hint="eastAsia" w:ascii="楷体_GB2312" w:hAnsi="黑体" w:eastAsia="楷体_GB2312" w:cs="楷体_GB2312"/>
          <w:b/>
          <w:bCs/>
          <w:kern w:val="2"/>
          <w:sz w:val="32"/>
          <w:szCs w:val="32"/>
          <w:lang w:val="en-US" w:eastAsia="zh-CN"/>
        </w:rPr>
      </w:pP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lang w:val="en-US" w:eastAsia="zh-CN"/>
        </w:rPr>
        <w:t>一</w:t>
      </w: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rPr>
        <w:t>机关运行经</w:t>
      </w:r>
      <w:r>
        <w:rPr>
          <w:rFonts w:hint="eastAsia" w:ascii="楷体_GB2312" w:hAnsi="黑体" w:eastAsia="楷体_GB2312" w:cs="楷体_GB2312"/>
          <w:b/>
          <w:bCs/>
          <w:kern w:val="2"/>
          <w:sz w:val="32"/>
          <w:szCs w:val="32"/>
          <w:lang w:val="en-US" w:eastAsia="zh-CN"/>
        </w:rPr>
        <w:t>费</w:t>
      </w:r>
    </w:p>
    <w:p w14:paraId="2E3D4BAF">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int="eastAsia" w:hAnsi="黑体"/>
          <w:kern w:val="2"/>
          <w:sz w:val="32"/>
          <w:szCs w:val="32"/>
        </w:rPr>
      </w:pPr>
      <w:r>
        <w:rPr>
          <w:rFonts w:hint="eastAsia" w:hAnsi="黑体"/>
          <w:kern w:val="2"/>
          <w:sz w:val="32"/>
          <w:szCs w:val="32"/>
        </w:rPr>
        <w:t>壤塘县红十字会</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机关运行经费财政拨款预算为</w:t>
      </w:r>
      <w:r>
        <w:rPr>
          <w:rFonts w:hAnsi="黑体"/>
          <w:kern w:val="2"/>
          <w:sz w:val="32"/>
          <w:szCs w:val="32"/>
        </w:rPr>
        <w:t>8</w:t>
      </w:r>
      <w:r>
        <w:rPr>
          <w:rFonts w:hint="eastAsia" w:hAnsi="黑体"/>
          <w:kern w:val="2"/>
          <w:sz w:val="32"/>
          <w:szCs w:val="32"/>
          <w:lang w:val="en-US" w:eastAsia="zh-CN"/>
        </w:rPr>
        <w:t>.3</w:t>
      </w:r>
      <w:r>
        <w:rPr>
          <w:rFonts w:hint="eastAsia" w:hAnsi="黑体"/>
          <w:kern w:val="2"/>
          <w:sz w:val="32"/>
          <w:szCs w:val="32"/>
        </w:rPr>
        <w:t>万元，比</w:t>
      </w:r>
      <w:r>
        <w:rPr>
          <w:rFonts w:hAnsi="黑体"/>
          <w:kern w:val="2"/>
          <w:sz w:val="32"/>
          <w:szCs w:val="32"/>
        </w:rPr>
        <w:t>202</w:t>
      </w:r>
      <w:r>
        <w:rPr>
          <w:rFonts w:hint="eastAsia" w:hAnsi="黑体"/>
          <w:kern w:val="2"/>
          <w:sz w:val="32"/>
          <w:szCs w:val="32"/>
          <w:lang w:val="en-US" w:eastAsia="zh-CN"/>
        </w:rPr>
        <w:t>1</w:t>
      </w:r>
      <w:r>
        <w:rPr>
          <w:rFonts w:hAnsi="黑体"/>
          <w:kern w:val="2"/>
          <w:sz w:val="32"/>
          <w:szCs w:val="32"/>
        </w:rPr>
        <w:t>年</w:t>
      </w:r>
      <w:r>
        <w:rPr>
          <w:rFonts w:hint="eastAsia" w:hAnsi="黑体"/>
          <w:kern w:val="2"/>
          <w:sz w:val="32"/>
          <w:szCs w:val="32"/>
        </w:rPr>
        <w:t>预算增加</w:t>
      </w:r>
      <w:r>
        <w:rPr>
          <w:rFonts w:hAnsi="黑体"/>
          <w:kern w:val="2"/>
          <w:sz w:val="32"/>
          <w:szCs w:val="32"/>
        </w:rPr>
        <w:t>0</w:t>
      </w:r>
      <w:r>
        <w:rPr>
          <w:rFonts w:hint="eastAsia" w:hAnsi="黑体"/>
          <w:kern w:val="2"/>
          <w:sz w:val="32"/>
          <w:szCs w:val="32"/>
          <w:lang w:val="en-US" w:eastAsia="zh-CN"/>
        </w:rPr>
        <w:t>.3</w:t>
      </w:r>
      <w:r>
        <w:rPr>
          <w:rFonts w:hint="eastAsia" w:hAnsi="黑体"/>
          <w:kern w:val="2"/>
          <w:sz w:val="32"/>
          <w:szCs w:val="32"/>
        </w:rPr>
        <w:t>万元，增长</w:t>
      </w:r>
      <w:r>
        <w:rPr>
          <w:rFonts w:hint="eastAsia" w:hAnsi="黑体"/>
          <w:kern w:val="2"/>
          <w:sz w:val="32"/>
          <w:szCs w:val="32"/>
          <w:lang w:val="en-US" w:eastAsia="zh-CN"/>
        </w:rPr>
        <w:t>3.75</w:t>
      </w:r>
      <w:r>
        <w:rPr>
          <w:rFonts w:hAnsi="黑体"/>
          <w:kern w:val="2"/>
          <w:sz w:val="32"/>
          <w:szCs w:val="32"/>
        </w:rPr>
        <w:t>%</w:t>
      </w:r>
      <w:r>
        <w:rPr>
          <w:rFonts w:hint="eastAsia" w:hAnsi="黑体"/>
          <w:kern w:val="2"/>
          <w:sz w:val="32"/>
          <w:szCs w:val="32"/>
        </w:rPr>
        <w:t>。</w:t>
      </w:r>
    </w:p>
    <w:p w14:paraId="1C620633">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1"/>
        <w:rPr>
          <w:rFonts w:hAnsi="黑体" w:cs="Times New Roman"/>
          <w:kern w:val="2"/>
          <w:sz w:val="32"/>
          <w:szCs w:val="32"/>
        </w:rPr>
      </w:pPr>
      <w:r>
        <w:rPr>
          <w:rFonts w:hint="eastAsia" w:ascii="楷体_GB2312" w:hAnsi="黑体" w:eastAsia="楷体_GB2312" w:cs="楷体_GB2312"/>
          <w:b/>
          <w:bCs/>
          <w:kern w:val="2"/>
          <w:sz w:val="32"/>
          <w:szCs w:val="32"/>
        </w:rPr>
        <w:t>（二）政府采购情况</w:t>
      </w:r>
    </w:p>
    <w:p w14:paraId="2696050D">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Ansi="黑体"/>
          <w:kern w:val="2"/>
          <w:sz w:val="32"/>
          <w:szCs w:val="32"/>
        </w:rPr>
      </w:pP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壤塘县红十字会未安排政府采购预算。</w:t>
      </w:r>
    </w:p>
    <w:p w14:paraId="5CE0EEEA">
      <w:pPr>
        <w:pStyle w:val="14"/>
        <w:keepNext w:val="0"/>
        <w:keepLines w:val="0"/>
        <w:pageBreakBefore w:val="0"/>
        <w:kinsoku/>
        <w:wordWrap/>
        <w:overflowPunct/>
        <w:topLinePunct w:val="0"/>
        <w:autoSpaceDE/>
        <w:autoSpaceDN/>
        <w:bidi w:val="0"/>
        <w:adjustRightInd/>
        <w:snapToGrid/>
        <w:spacing w:before="0" w:line="560" w:lineRule="exact"/>
        <w:textAlignment w:val="auto"/>
        <w:outlineLvl w:val="1"/>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（三）国有资产占有使用情况</w:t>
      </w:r>
    </w:p>
    <w:p w14:paraId="697C7A67">
      <w:pPr>
        <w:pStyle w:val="14"/>
        <w:keepNext w:val="0"/>
        <w:keepLines w:val="0"/>
        <w:pageBreakBefore w:val="0"/>
        <w:kinsoku/>
        <w:wordWrap/>
        <w:overflowPunct/>
        <w:topLinePunct w:val="0"/>
        <w:autoSpaceDE/>
        <w:autoSpaceDN/>
        <w:bidi w:val="0"/>
        <w:adjustRightInd/>
        <w:snapToGrid/>
        <w:spacing w:before="0" w:line="560" w:lineRule="exact"/>
        <w:ind w:firstLine="643" w:firstLineChars="200"/>
        <w:textAlignment w:val="auto"/>
        <w:rPr>
          <w:rFonts w:hint="eastAsia"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无</w:t>
      </w:r>
    </w:p>
    <w:p w14:paraId="74A23946">
      <w:pPr>
        <w:pStyle w:val="14"/>
        <w:keepNext w:val="0"/>
        <w:keepLines w:val="0"/>
        <w:pageBreakBefore w:val="0"/>
        <w:numPr>
          <w:ilvl w:val="0"/>
          <w:numId w:val="0"/>
        </w:numPr>
        <w:kinsoku/>
        <w:wordWrap/>
        <w:overflowPunct/>
        <w:topLinePunct w:val="0"/>
        <w:autoSpaceDE/>
        <w:autoSpaceDN/>
        <w:bidi w:val="0"/>
        <w:adjustRightInd/>
        <w:snapToGrid/>
        <w:spacing w:before="0" w:line="560" w:lineRule="exact"/>
        <w:textAlignment w:val="auto"/>
        <w:outlineLvl w:val="1"/>
        <w:rPr>
          <w:rFonts w:hint="eastAsia" w:ascii="楷体_GB2312" w:hAnsi="黑体" w:eastAsia="楷体_GB2312" w:cs="楷体_GB2312"/>
          <w:b/>
          <w:bCs/>
          <w:kern w:val="2"/>
          <w:sz w:val="32"/>
          <w:szCs w:val="32"/>
        </w:rPr>
      </w:pP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lang w:val="en-US" w:eastAsia="zh-CN"/>
        </w:rPr>
        <w:t>四</w:t>
      </w:r>
      <w:r>
        <w:rPr>
          <w:rFonts w:hint="eastAsia" w:ascii="楷体_GB2312" w:hAnsi="黑体" w:eastAsia="楷体_GB2312" w:cs="楷体_GB2312"/>
          <w:b/>
          <w:bCs/>
          <w:kern w:val="2"/>
          <w:sz w:val="32"/>
          <w:szCs w:val="32"/>
          <w:lang w:eastAsia="zh-CN"/>
        </w:rPr>
        <w:t>）</w:t>
      </w:r>
      <w:r>
        <w:rPr>
          <w:rFonts w:hint="eastAsia" w:ascii="楷体_GB2312" w:hAnsi="黑体" w:eastAsia="楷体_GB2312" w:cs="楷体_GB2312"/>
          <w:b/>
          <w:bCs/>
          <w:kern w:val="2"/>
          <w:sz w:val="32"/>
          <w:szCs w:val="32"/>
        </w:rPr>
        <w:t>绩效目标设置情况</w:t>
      </w:r>
    </w:p>
    <w:p w14:paraId="77AB5BC5">
      <w:pPr>
        <w:pStyle w:val="14"/>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ascii="楷体_GB2312" w:hAnsi="黑体" w:eastAsia="楷体_GB2312" w:cs="楷体_GB2312"/>
          <w:b/>
          <w:bCs/>
          <w:kern w:val="2"/>
          <w:sz w:val="32"/>
          <w:szCs w:val="32"/>
        </w:rPr>
      </w:pP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壤塘县红十字会通用项目和专用项目均按要求实行绩效目标管理。</w:t>
      </w:r>
    </w:p>
    <w:p w14:paraId="4EB1B8AD">
      <w:pPr>
        <w:pStyle w:val="14"/>
        <w:keepNext w:val="0"/>
        <w:keepLines w:val="0"/>
        <w:pageBreakBefore w:val="0"/>
        <w:kinsoku/>
        <w:wordWrap/>
        <w:overflowPunct/>
        <w:topLinePunct w:val="0"/>
        <w:autoSpaceDE/>
        <w:autoSpaceDN/>
        <w:bidi w:val="0"/>
        <w:adjustRightInd/>
        <w:snapToGrid/>
        <w:spacing w:before="0" w:line="560" w:lineRule="exact"/>
        <w:textAlignment w:val="auto"/>
        <w:outlineLvl w:val="0"/>
        <w:rPr>
          <w:rFonts w:hint="eastAsia" w:ascii="??" w:hAnsi="??" w:eastAsia="宋体" w:cs="Times New Roman"/>
          <w:sz w:val="16"/>
          <w:szCs w:val="16"/>
        </w:rPr>
      </w:pPr>
      <w:r>
        <w:rPr>
          <w:rFonts w:hint="eastAsia" w:ascii="黑体" w:hAnsi="黑体" w:eastAsia="黑体" w:cs="黑体"/>
          <w:kern w:val="2"/>
          <w:sz w:val="32"/>
          <w:szCs w:val="32"/>
        </w:rPr>
        <w:t>十、名词解释</w:t>
      </w:r>
    </w:p>
    <w:p w14:paraId="1333D811">
      <w:pPr>
        <w:pStyle w:val="14"/>
        <w:keepNext w:val="0"/>
        <w:keepLines w:val="0"/>
        <w:pageBreakBefore w:val="0"/>
        <w:kinsoku/>
        <w:wordWrap/>
        <w:overflowPunct/>
        <w:topLinePunct w:val="0"/>
        <w:autoSpaceDE/>
        <w:autoSpaceDN/>
        <w:bidi w:val="0"/>
        <w:adjustRightInd/>
        <w:snapToGrid/>
        <w:spacing w:before="0" w:line="560" w:lineRule="exact"/>
        <w:ind w:firstLine="640" w:firstLineChars="200"/>
        <w:textAlignment w:val="auto"/>
        <w:rPr>
          <w:rFonts w:hAnsi="黑体" w:cs="Times New Roman"/>
          <w:kern w:val="2"/>
          <w:sz w:val="32"/>
          <w:szCs w:val="32"/>
        </w:rPr>
      </w:pPr>
      <w:r>
        <w:rPr>
          <w:rFonts w:hint="eastAsia" w:hAnsi="黑体"/>
          <w:kern w:val="2"/>
          <w:sz w:val="32"/>
          <w:szCs w:val="32"/>
        </w:rPr>
        <w:t>（一）财政拨款收入：指由财政拨款形成的部门收入。按现行管理制度，部门预算中反映的财政拨款仅包括一般公共预算拨款和政府性基金预算拨款。</w:t>
      </w:r>
      <w:r>
        <w:rPr>
          <w:rFonts w:hAnsi="黑体" w:cs="Times New Roman"/>
          <w:kern w:val="2"/>
          <w:sz w:val="32"/>
          <w:szCs w:val="32"/>
        </w:rPr>
        <w:br w:type="textWrapping"/>
      </w:r>
      <w:r>
        <w:rPr>
          <w:rFonts w:hint="eastAsia" w:hAnsi="黑体"/>
          <w:kern w:val="2"/>
          <w:sz w:val="32"/>
          <w:szCs w:val="32"/>
        </w:rPr>
        <w:t>　　（二）事业收入：指所属事业单位开展专业业务活动及辅助活动所取得的收入。</w:t>
      </w:r>
      <w:r>
        <w:rPr>
          <w:rFonts w:hAnsi="黑体" w:cs="Times New Roman"/>
          <w:kern w:val="2"/>
          <w:sz w:val="32"/>
          <w:szCs w:val="32"/>
        </w:rPr>
        <w:br w:type="textWrapping"/>
      </w:r>
      <w:r>
        <w:rPr>
          <w:rFonts w:hint="eastAsia" w:hAnsi="黑体"/>
          <w:kern w:val="2"/>
          <w:sz w:val="32"/>
          <w:szCs w:val="32"/>
        </w:rPr>
        <w:t>　　（三）事业单位经营收入：指所属事业单位在专业业务活动及其辅助活动之外开展非独立核算经营活动取得的收入。</w:t>
      </w:r>
      <w:r>
        <w:rPr>
          <w:rFonts w:hAnsi="黑体" w:cs="Times New Roman"/>
          <w:kern w:val="2"/>
          <w:sz w:val="32"/>
          <w:szCs w:val="32"/>
        </w:rPr>
        <w:br w:type="textWrapping"/>
      </w:r>
      <w:r>
        <w:rPr>
          <w:rFonts w:hint="eastAsia" w:hAnsi="黑体"/>
          <w:kern w:val="2"/>
          <w:sz w:val="32"/>
          <w:szCs w:val="32"/>
        </w:rPr>
        <w:t>　　（四）其他收入：指除上述</w:t>
      </w:r>
      <w:r>
        <w:rPr>
          <w:rFonts w:hAnsi="黑体" w:cs="Times New Roman"/>
          <w:kern w:val="2"/>
          <w:sz w:val="32"/>
          <w:szCs w:val="32"/>
        </w:rPr>
        <w:t>“</w:t>
      </w:r>
      <w:r>
        <w:rPr>
          <w:rFonts w:hint="eastAsia" w:hAnsi="黑体"/>
          <w:kern w:val="2"/>
          <w:sz w:val="32"/>
          <w:szCs w:val="32"/>
        </w:rPr>
        <w:t>财政拨款收入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事业单位经营收入</w:t>
      </w:r>
      <w:r>
        <w:rPr>
          <w:rFonts w:hAnsi="黑体" w:cs="Times New Roman"/>
          <w:kern w:val="2"/>
          <w:sz w:val="32"/>
          <w:szCs w:val="32"/>
        </w:rPr>
        <w:t>”</w:t>
      </w:r>
      <w:r>
        <w:rPr>
          <w:rFonts w:hint="eastAsia" w:hAnsi="黑体"/>
          <w:kern w:val="2"/>
          <w:sz w:val="32"/>
          <w:szCs w:val="32"/>
        </w:rPr>
        <w:t>等以外的收入，主要是所属行政事业单位按规定动用的售房收入、存款利息收入等。</w:t>
      </w:r>
      <w:r>
        <w:rPr>
          <w:rFonts w:hAnsi="黑体" w:cs="Times New Roman"/>
          <w:kern w:val="2"/>
          <w:sz w:val="32"/>
          <w:szCs w:val="32"/>
        </w:rPr>
        <w:br w:type="textWrapping"/>
      </w:r>
      <w:r>
        <w:rPr>
          <w:rFonts w:hint="eastAsia" w:hAnsi="黑体"/>
          <w:kern w:val="2"/>
          <w:sz w:val="32"/>
          <w:szCs w:val="32"/>
        </w:rPr>
        <w:t>　　（五）用事业基金弥补收支差额：指所属事业单位在预计用当年的</w:t>
      </w:r>
      <w:r>
        <w:rPr>
          <w:rFonts w:hAnsi="黑体" w:cs="Times New Roman"/>
          <w:kern w:val="2"/>
          <w:sz w:val="32"/>
          <w:szCs w:val="32"/>
        </w:rPr>
        <w:t>“</w:t>
      </w:r>
      <w:r>
        <w:rPr>
          <w:rFonts w:hint="eastAsia" w:hAnsi="黑体"/>
          <w:kern w:val="2"/>
          <w:sz w:val="32"/>
          <w:szCs w:val="32"/>
        </w:rPr>
        <w:t>财政拨款收入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事业单位经营收入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其他收入</w:t>
      </w:r>
      <w:r>
        <w:rPr>
          <w:rFonts w:hAnsi="黑体" w:cs="Times New Roman"/>
          <w:kern w:val="2"/>
          <w:sz w:val="32"/>
          <w:szCs w:val="32"/>
        </w:rPr>
        <w:t>”</w:t>
      </w:r>
      <w:r>
        <w:rPr>
          <w:rFonts w:hint="eastAsia" w:hAnsi="黑体"/>
          <w:kern w:val="2"/>
          <w:sz w:val="32"/>
          <w:szCs w:val="32"/>
        </w:rPr>
        <w:t>不足以安排当年支出的情况下，使用以前年度积累的事业基金弥补本年度收支缺口的资金。</w:t>
      </w:r>
      <w:r>
        <w:rPr>
          <w:rFonts w:hAnsi="黑体" w:cs="Times New Roman"/>
          <w:kern w:val="2"/>
          <w:sz w:val="32"/>
          <w:szCs w:val="32"/>
        </w:rPr>
        <w:br w:type="textWrapping"/>
      </w:r>
      <w:r>
        <w:rPr>
          <w:rFonts w:hint="eastAsia" w:hAnsi="黑体"/>
          <w:kern w:val="2"/>
          <w:sz w:val="32"/>
          <w:szCs w:val="32"/>
        </w:rPr>
        <w:t>　　（六）上年结转：指所属行政事业单位以前年度尚未完成、结转至本年按原规定用途继续使用的资金和以前年度已完成项目剩余资金经批准用于新用途使用的资金。</w:t>
      </w:r>
    </w:p>
    <w:p w14:paraId="6B6E047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cs="Times New Roman"/>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22D0DC"/>
    <w:multiLevelType w:val="singleLevel"/>
    <w:tmpl w:val="9422D0DC"/>
    <w:lvl w:ilvl="0" w:tentative="0">
      <w:start w:val="1"/>
      <w:numFmt w:val="decimal"/>
      <w:lvlText w:val="%1."/>
      <w:lvlJc w:val="left"/>
      <w:pPr>
        <w:tabs>
          <w:tab w:val="left" w:pos="312"/>
        </w:tabs>
      </w:pPr>
    </w:lvl>
  </w:abstractNum>
  <w:abstractNum w:abstractNumId="1">
    <w:nsid w:val="A1900F54"/>
    <w:multiLevelType w:val="singleLevel"/>
    <w:tmpl w:val="A1900F54"/>
    <w:lvl w:ilvl="0" w:tentative="0">
      <w:start w:val="1"/>
      <w:numFmt w:val="decimal"/>
      <w:lvlText w:val="%1."/>
      <w:lvlJc w:val="left"/>
      <w:pPr>
        <w:tabs>
          <w:tab w:val="left" w:pos="312"/>
        </w:tabs>
      </w:pPr>
    </w:lvl>
  </w:abstractNum>
  <w:abstractNum w:abstractNumId="2">
    <w:nsid w:val="B6DBD64E"/>
    <w:multiLevelType w:val="singleLevel"/>
    <w:tmpl w:val="B6DBD64E"/>
    <w:lvl w:ilvl="0" w:tentative="0">
      <w:start w:val="1"/>
      <w:numFmt w:val="decimal"/>
      <w:lvlText w:val="%1."/>
      <w:lvlJc w:val="left"/>
      <w:pPr>
        <w:tabs>
          <w:tab w:val="left" w:pos="312"/>
        </w:tabs>
      </w:pPr>
    </w:lvl>
  </w:abstractNum>
  <w:abstractNum w:abstractNumId="3">
    <w:nsid w:val="D9560913"/>
    <w:multiLevelType w:val="singleLevel"/>
    <w:tmpl w:val="D9560913"/>
    <w:lvl w:ilvl="0" w:tentative="0">
      <w:start w:val="1"/>
      <w:numFmt w:val="decimal"/>
      <w:lvlText w:val="%1."/>
      <w:lvlJc w:val="left"/>
      <w:pPr>
        <w:tabs>
          <w:tab w:val="left" w:pos="312"/>
        </w:tabs>
      </w:pPr>
    </w:lvl>
  </w:abstractNum>
  <w:abstractNum w:abstractNumId="4">
    <w:nsid w:val="FA016299"/>
    <w:multiLevelType w:val="singleLevel"/>
    <w:tmpl w:val="FA016299"/>
    <w:lvl w:ilvl="0" w:tentative="0">
      <w:start w:val="1"/>
      <w:numFmt w:val="decimal"/>
      <w:lvlText w:val="%1."/>
      <w:lvlJc w:val="left"/>
      <w:pPr>
        <w:tabs>
          <w:tab w:val="left" w:pos="312"/>
        </w:tabs>
      </w:pPr>
    </w:lvl>
  </w:abstractNum>
  <w:abstractNum w:abstractNumId="5">
    <w:nsid w:val="0CE14B09"/>
    <w:multiLevelType w:val="singleLevel"/>
    <w:tmpl w:val="0CE14B09"/>
    <w:lvl w:ilvl="0" w:tentative="0">
      <w:start w:val="1"/>
      <w:numFmt w:val="decimal"/>
      <w:lvlText w:val="%1."/>
      <w:lvlJc w:val="left"/>
      <w:pPr>
        <w:tabs>
          <w:tab w:val="left" w:pos="312"/>
        </w:tabs>
      </w:pPr>
    </w:lvl>
  </w:abstractNum>
  <w:abstractNum w:abstractNumId="6">
    <w:nsid w:val="3543E8E8"/>
    <w:multiLevelType w:val="singleLevel"/>
    <w:tmpl w:val="3543E8E8"/>
    <w:lvl w:ilvl="0" w:tentative="0">
      <w:start w:val="1"/>
      <w:numFmt w:val="decimal"/>
      <w:lvlText w:val="%1."/>
      <w:lvlJc w:val="left"/>
      <w:pPr>
        <w:tabs>
          <w:tab w:val="left" w:pos="312"/>
        </w:tabs>
      </w:pPr>
    </w:lvl>
  </w:abstractNum>
  <w:abstractNum w:abstractNumId="7">
    <w:nsid w:val="3EBB3C91"/>
    <w:multiLevelType w:val="multilevel"/>
    <w:tmpl w:val="3EBB3C91"/>
    <w:lvl w:ilvl="0" w:tentative="0">
      <w:start w:val="1"/>
      <w:numFmt w:val="chineseCountingThousand"/>
      <w:suff w:val="space"/>
      <w:lvlText w:val="%1. "/>
      <w:lvlJc w:val="left"/>
      <w:pPr>
        <w:ind w:left="907" w:hanging="907"/>
      </w:pPr>
    </w:lvl>
    <w:lvl w:ilvl="1" w:tentative="0">
      <w:start w:val="1"/>
      <w:numFmt w:val="decimal"/>
      <w:suff w:val="space"/>
      <w:lvlText w:val="%1.%2 "/>
      <w:lvlJc w:val="left"/>
      <w:pPr>
        <w:ind w:left="794" w:hanging="794"/>
      </w:pPr>
    </w:lvl>
    <w:lvl w:ilvl="2" w:tentative="0">
      <w:start w:val="0"/>
      <w:numFmt w:val="decimal"/>
      <w:lvlText w:val=""/>
      <w:lvlJc w:val="left"/>
      <w:pPr>
        <w:tabs>
          <w:tab w:val="left" w:pos="360"/>
        </w:tabs>
      </w:pPr>
    </w:lvl>
    <w:lvl w:ilvl="3" w:tentative="0">
      <w:start w:val="0"/>
      <w:numFmt w:val="decimal"/>
      <w:lvlText w:val=""/>
      <w:lvlJc w:val="left"/>
      <w:pPr>
        <w:tabs>
          <w:tab w:val="left" w:pos="360"/>
        </w:tabs>
      </w:pPr>
    </w:lvl>
    <w:lvl w:ilvl="4" w:tentative="0">
      <w:start w:val="0"/>
      <w:numFmt w:val="decimal"/>
      <w:pStyle w:val="16"/>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7"/>
  </w:num>
  <w:num w:numId="2">
    <w:abstractNumId w:val="2"/>
  </w:num>
  <w:num w:numId="3">
    <w:abstractNumId w:val="1"/>
  </w:num>
  <w:num w:numId="4">
    <w:abstractNumId w:val="5"/>
  </w:num>
  <w:num w:numId="5">
    <w:abstractNumId w:val="3"/>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854"/>
    <w:rsid w:val="00002FEA"/>
    <w:rsid w:val="00021436"/>
    <w:rsid w:val="00082EF4"/>
    <w:rsid w:val="00085137"/>
    <w:rsid w:val="00097A74"/>
    <w:rsid w:val="000C252B"/>
    <w:rsid w:val="00105B15"/>
    <w:rsid w:val="001A196D"/>
    <w:rsid w:val="001F13F4"/>
    <w:rsid w:val="002026C1"/>
    <w:rsid w:val="00212DBB"/>
    <w:rsid w:val="00215415"/>
    <w:rsid w:val="00260082"/>
    <w:rsid w:val="00264016"/>
    <w:rsid w:val="002946BD"/>
    <w:rsid w:val="002F6713"/>
    <w:rsid w:val="00316466"/>
    <w:rsid w:val="00352854"/>
    <w:rsid w:val="003762A5"/>
    <w:rsid w:val="004103CC"/>
    <w:rsid w:val="0043059D"/>
    <w:rsid w:val="00432B62"/>
    <w:rsid w:val="00471829"/>
    <w:rsid w:val="0047755A"/>
    <w:rsid w:val="00484AEB"/>
    <w:rsid w:val="00487381"/>
    <w:rsid w:val="004A7CFC"/>
    <w:rsid w:val="00527A2C"/>
    <w:rsid w:val="0059475F"/>
    <w:rsid w:val="00681CB7"/>
    <w:rsid w:val="006F18F1"/>
    <w:rsid w:val="007B3677"/>
    <w:rsid w:val="007C7CD1"/>
    <w:rsid w:val="00844940"/>
    <w:rsid w:val="00882412"/>
    <w:rsid w:val="008B37C0"/>
    <w:rsid w:val="008C1FFD"/>
    <w:rsid w:val="008D3923"/>
    <w:rsid w:val="008E0406"/>
    <w:rsid w:val="008F63EB"/>
    <w:rsid w:val="009272A9"/>
    <w:rsid w:val="009544A0"/>
    <w:rsid w:val="00986E64"/>
    <w:rsid w:val="00987B5A"/>
    <w:rsid w:val="009C5F76"/>
    <w:rsid w:val="00A55379"/>
    <w:rsid w:val="00B35F0F"/>
    <w:rsid w:val="00B713B0"/>
    <w:rsid w:val="00BB34A8"/>
    <w:rsid w:val="00BE2508"/>
    <w:rsid w:val="00C0348B"/>
    <w:rsid w:val="00C451EA"/>
    <w:rsid w:val="00C8183B"/>
    <w:rsid w:val="00D20EAB"/>
    <w:rsid w:val="00D522F6"/>
    <w:rsid w:val="00E14DF7"/>
    <w:rsid w:val="00EF71D0"/>
    <w:rsid w:val="00F517FB"/>
    <w:rsid w:val="00F743F0"/>
    <w:rsid w:val="00F806C0"/>
    <w:rsid w:val="00F80C32"/>
    <w:rsid w:val="00FA701D"/>
    <w:rsid w:val="00FB255B"/>
    <w:rsid w:val="00FF11B9"/>
    <w:rsid w:val="070658B7"/>
    <w:rsid w:val="079D730C"/>
    <w:rsid w:val="2D6746B9"/>
    <w:rsid w:val="2D6E6766"/>
    <w:rsid w:val="32EF104E"/>
    <w:rsid w:val="36E06A61"/>
    <w:rsid w:val="3F5C5E47"/>
    <w:rsid w:val="46BA7D8E"/>
    <w:rsid w:val="4FE02015"/>
    <w:rsid w:val="64925CCD"/>
    <w:rsid w:val="74720980"/>
    <w:rsid w:val="7905473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7">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1"/>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6">
    <w:name w:val="Table Grid"/>
    <w:basedOn w:val="5"/>
    <w:unhideWhenUsed/>
    <w:qFormat/>
    <w:locked/>
    <w:uiPriority w:val="9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mphasis"/>
    <w:basedOn w:val="7"/>
    <w:qFormat/>
    <w:uiPriority w:val="99"/>
  </w:style>
  <w:style w:type="character" w:customStyle="1" w:styleId="9">
    <w:name w:val="页眉 Char"/>
    <w:link w:val="3"/>
    <w:semiHidden/>
    <w:qFormat/>
    <w:locked/>
    <w:uiPriority w:val="99"/>
    <w:rPr>
      <w:sz w:val="18"/>
      <w:szCs w:val="18"/>
    </w:rPr>
  </w:style>
  <w:style w:type="character" w:customStyle="1" w:styleId="10">
    <w:name w:val="NormalCharacter"/>
    <w:semiHidden/>
    <w:qFormat/>
    <w:uiPriority w:val="0"/>
  </w:style>
  <w:style w:type="character" w:customStyle="1" w:styleId="11">
    <w:name w:val="页脚 Char"/>
    <w:link w:val="2"/>
    <w:semiHidden/>
    <w:qFormat/>
    <w:locked/>
    <w:uiPriority w:val="99"/>
    <w:rPr>
      <w:sz w:val="18"/>
      <w:szCs w:val="18"/>
    </w:rPr>
  </w:style>
  <w:style w:type="character" w:customStyle="1" w:styleId="12">
    <w:name w:val="默认段落字体1"/>
    <w:qFormat/>
    <w:uiPriority w:val="99"/>
    <w:rPr>
      <w:sz w:val="22"/>
      <w:szCs w:val="22"/>
    </w:rPr>
  </w:style>
  <w:style w:type="paragraph" w:customStyle="1" w:styleId="13">
    <w:name w:val="UserStyle_0"/>
    <w:qFormat/>
    <w:uiPriority w:val="0"/>
    <w:pPr>
      <w:spacing w:line="300" w:lineRule="auto"/>
      <w:textAlignment w:val="baseline"/>
    </w:pPr>
    <w:rPr>
      <w:rFonts w:ascii="Arial" w:hAnsi="Arial" w:eastAsia="宋体" w:cs="Times New Roman"/>
      <w:sz w:val="21"/>
      <w:szCs w:val="21"/>
      <w:lang w:val="en-US" w:eastAsia="zh-CN" w:bidi="ar-SA"/>
    </w:rPr>
  </w:style>
  <w:style w:type="paragraph" w:customStyle="1" w:styleId="14">
    <w:name w:val="正文文本1"/>
    <w:basedOn w:val="1"/>
    <w:qFormat/>
    <w:uiPriority w:val="99"/>
    <w:pPr>
      <w:spacing w:before="93"/>
    </w:pPr>
    <w:rPr>
      <w:rFonts w:ascii="仿宋_GB2312" w:hAnsi="仿宋_GB2312" w:eastAsia="仿宋_GB2312" w:cs="仿宋_GB2312"/>
      <w:kern w:val="0"/>
      <w:sz w:val="30"/>
      <w:szCs w:val="30"/>
    </w:rPr>
  </w:style>
  <w:style w:type="paragraph" w:customStyle="1" w:styleId="15">
    <w:name w:val="List Paragraph"/>
    <w:basedOn w:val="1"/>
    <w:qFormat/>
    <w:uiPriority w:val="99"/>
    <w:pPr>
      <w:ind w:firstLine="420" w:firstLineChars="200"/>
    </w:pPr>
  </w:style>
  <w:style w:type="paragraph" w:customStyle="1" w:styleId="16">
    <w:name w:val="UserStyle_1"/>
    <w:basedOn w:val="1"/>
    <w:next w:val="13"/>
    <w:qFormat/>
    <w:uiPriority w:val="0"/>
    <w:pPr>
      <w:keepNext/>
      <w:keepLines/>
      <w:widowControl w:val="0"/>
      <w:numPr>
        <w:ilvl w:val="4"/>
        <w:numId w:val="1"/>
      </w:numPr>
      <w:tabs>
        <w:tab w:val="left" w:pos="3600"/>
      </w:tabs>
      <w:spacing w:before="280" w:after="156" w:line="377" w:lineRule="auto"/>
      <w:ind w:left="3600" w:hanging="360"/>
      <w:textAlignment w:val="auto"/>
    </w:pPr>
    <w:rPr>
      <w:rFonts w:ascii="Arial" w:hAnsi="Arial" w:eastAsia="黑体" w:cs="Times New Roman"/>
      <w:b/>
      <w:sz w:val="24"/>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8</Pages>
  <Words>405</Words>
  <Characters>2312</Characters>
  <Lines>19</Lines>
  <Paragraphs>5</Paragraphs>
  <TotalTime>22</TotalTime>
  <ScaleCrop>false</ScaleCrop>
  <LinksUpToDate>false</LinksUpToDate>
  <CharactersWithSpaces>2712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2017-12-15T09:50:00Z</dcterms:created>
  <dc:creator>薛永萍</dc:creator>
  <cp:lastModifiedBy>可乐.</cp:lastModifiedBy>
  <cp:lastPrinted>2002-01-01T00:08:00Z</cp:lastPrinted>
  <dcterms:modified xsi:type="dcterms:W3CDTF">2026-10-20T19:21:33Z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1FE1EDAE95B04A0A89CC9E81FA9F45D2</vt:lpwstr>
  </property>
</Properties>
</file>