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560" w:lineRule="exact"/>
      </w:pPr>
      <w:bookmarkStart w:id="18" w:name="_GoBack"/>
      <w:bookmarkEnd w:id="18"/>
    </w:p>
    <w:p>
      <w:pPr>
        <w:spacing w:before="0" w:after="0" w:line="560" w:lineRule="exact"/>
      </w:pPr>
    </w:p>
    <w:p>
      <w:pPr>
        <w:spacing w:before="0" w:after="0" w:line="720" w:lineRule="exact"/>
        <w:jc w:val="center"/>
        <w:rPr>
          <w:rFonts w:hint="eastAsia" w:ascii="Times New Roman" w:hAnsi="Times New Roman" w:eastAsia="方正小标宋简体"/>
          <w:b w:val="0"/>
          <w:sz w:val="52"/>
          <w:szCs w:val="52"/>
        </w:rPr>
      </w:pPr>
      <w:r>
        <w:rPr>
          <w:rFonts w:hint="eastAsia" w:ascii="Times New Roman" w:hAnsi="Times New Roman" w:eastAsia="方正小标宋简体"/>
          <w:b w:val="0"/>
          <w:sz w:val="52"/>
          <w:szCs w:val="52"/>
        </w:rPr>
        <w:t>阿坝州壤塘县</w:t>
      </w:r>
    </w:p>
    <w:p>
      <w:pPr>
        <w:spacing w:before="0" w:after="0" w:line="720" w:lineRule="exact"/>
        <w:jc w:val="center"/>
        <w:rPr>
          <w:sz w:val="52"/>
          <w:szCs w:val="52"/>
        </w:rPr>
      </w:pPr>
      <w:r>
        <w:rPr>
          <w:rFonts w:hint="eastAsia" w:ascii="Times New Roman" w:hAnsi="Times New Roman" w:eastAsia="方正小标宋简体"/>
          <w:b w:val="0"/>
          <w:sz w:val="52"/>
          <w:szCs w:val="52"/>
        </w:rPr>
        <w:t>2025年度壤塘县卫生健康局</w:t>
      </w:r>
    </w:p>
    <w:p>
      <w:pPr>
        <w:spacing w:before="0" w:after="360" w:line="720" w:lineRule="exact"/>
        <w:jc w:val="center"/>
        <w:rPr>
          <w:sz w:val="52"/>
          <w:szCs w:val="52"/>
        </w:rPr>
      </w:pPr>
      <w:r>
        <w:rPr>
          <w:rFonts w:hint="eastAsia" w:ascii="Times New Roman" w:hAnsi="Times New Roman" w:eastAsia="方正小标宋简体"/>
          <w:b w:val="0"/>
          <w:sz w:val="52"/>
          <w:szCs w:val="52"/>
        </w:rPr>
        <w:t>部门决算公开</w:t>
      </w:r>
    </w:p>
    <w:p>
      <w:pPr>
        <w:spacing w:before="0" w:after="0" w:line="560" w:lineRule="exact"/>
      </w:pPr>
    </w:p>
    <w:p>
      <w:pPr>
        <w:spacing w:before="0" w:after="0" w:line="560" w:lineRule="exact"/>
      </w:pPr>
    </w:p>
    <w:p>
      <w:pPr>
        <w:spacing w:before="0" w:after="0" w:line="560" w:lineRule="exact"/>
        <w:jc w:val="center"/>
        <w:rPr>
          <w:rFonts w:hint="eastAsia" w:ascii="Times New Roman" w:hAnsi="Times New Roman" w:eastAsia="仿宋"/>
          <w:b w:val="0"/>
          <w:sz w:val="32"/>
        </w:rPr>
      </w:pPr>
    </w:p>
    <w:p>
      <w:pPr>
        <w:spacing w:before="0" w:after="0" w:line="560" w:lineRule="exact"/>
        <w:jc w:val="center"/>
        <w:rPr>
          <w:rFonts w:hint="eastAsia" w:ascii="Times New Roman" w:hAnsi="Times New Roman" w:eastAsia="仿宋"/>
          <w:b w:val="0"/>
          <w:sz w:val="32"/>
        </w:rPr>
      </w:pPr>
    </w:p>
    <w:p>
      <w:pPr>
        <w:spacing w:before="0" w:after="0" w:line="560" w:lineRule="exact"/>
        <w:jc w:val="center"/>
        <w:rPr>
          <w:rFonts w:hint="eastAsia" w:ascii="Times New Roman" w:hAnsi="Times New Roman" w:eastAsia="仿宋"/>
          <w:b w:val="0"/>
          <w:sz w:val="32"/>
        </w:rPr>
      </w:pPr>
    </w:p>
    <w:p>
      <w:pPr>
        <w:spacing w:before="0" w:after="0" w:line="560" w:lineRule="exact"/>
        <w:jc w:val="center"/>
        <w:rPr>
          <w:rFonts w:hint="eastAsia" w:ascii="Times New Roman" w:hAnsi="Times New Roman" w:eastAsia="仿宋"/>
          <w:b w:val="0"/>
          <w:sz w:val="32"/>
        </w:rPr>
      </w:pPr>
    </w:p>
    <w:p>
      <w:pPr>
        <w:spacing w:before="0" w:after="0" w:line="560" w:lineRule="exact"/>
        <w:jc w:val="center"/>
        <w:rPr>
          <w:rFonts w:hint="eastAsia" w:ascii="Times New Roman" w:hAnsi="Times New Roman" w:eastAsia="仿宋"/>
          <w:b w:val="0"/>
          <w:sz w:val="32"/>
        </w:rPr>
      </w:pPr>
    </w:p>
    <w:p>
      <w:pPr>
        <w:spacing w:before="0" w:after="0" w:line="560" w:lineRule="exact"/>
        <w:jc w:val="center"/>
        <w:rPr>
          <w:rFonts w:hint="eastAsia" w:ascii="Times New Roman" w:hAnsi="Times New Roman" w:eastAsia="仿宋"/>
          <w:b w:val="0"/>
          <w:sz w:val="32"/>
        </w:rPr>
      </w:pPr>
    </w:p>
    <w:p>
      <w:pPr>
        <w:spacing w:before="0" w:after="0" w:line="560" w:lineRule="exact"/>
        <w:jc w:val="center"/>
        <w:rPr>
          <w:rFonts w:hint="eastAsia" w:ascii="Times New Roman" w:hAnsi="Times New Roman" w:eastAsia="仿宋"/>
          <w:b w:val="0"/>
          <w:sz w:val="32"/>
        </w:rPr>
      </w:pPr>
    </w:p>
    <w:p>
      <w:pPr>
        <w:spacing w:before="0" w:after="0" w:line="560" w:lineRule="exact"/>
        <w:jc w:val="center"/>
        <w:rPr>
          <w:rFonts w:hint="eastAsia" w:ascii="Times New Roman" w:hAnsi="Times New Roman" w:eastAsia="仿宋"/>
          <w:b w:val="0"/>
          <w:sz w:val="32"/>
        </w:rPr>
      </w:pPr>
    </w:p>
    <w:p>
      <w:pPr>
        <w:spacing w:before="0" w:after="0" w:line="560" w:lineRule="exact"/>
        <w:jc w:val="center"/>
        <w:rPr>
          <w:rFonts w:hint="eastAsia" w:ascii="Times New Roman" w:hAnsi="Times New Roman" w:eastAsia="仿宋"/>
          <w:b w:val="0"/>
          <w:sz w:val="32"/>
        </w:rPr>
      </w:pPr>
    </w:p>
    <w:p>
      <w:pPr>
        <w:spacing w:before="0" w:after="0" w:line="560" w:lineRule="exact"/>
        <w:jc w:val="center"/>
        <w:rPr>
          <w:rFonts w:hint="eastAsia" w:ascii="Times New Roman" w:hAnsi="Times New Roman" w:eastAsia="仿宋"/>
          <w:b w:val="0"/>
          <w:sz w:val="32"/>
        </w:rPr>
      </w:pPr>
    </w:p>
    <w:p>
      <w:pPr>
        <w:spacing w:before="0" w:after="0" w:line="560" w:lineRule="exact"/>
        <w:jc w:val="center"/>
        <w:rPr>
          <w:rFonts w:hint="eastAsia" w:ascii="Times New Roman" w:hAnsi="Times New Roman" w:eastAsia="仿宋"/>
          <w:b w:val="0"/>
          <w:sz w:val="32"/>
        </w:rPr>
      </w:pPr>
    </w:p>
    <w:p>
      <w:pPr>
        <w:spacing w:before="0" w:after="0" w:line="560" w:lineRule="exact"/>
        <w:jc w:val="center"/>
        <w:rPr>
          <w:rFonts w:hint="eastAsia" w:ascii="Times New Roman" w:hAnsi="Times New Roman" w:eastAsia="仿宋"/>
          <w:b w:val="0"/>
          <w:sz w:val="32"/>
        </w:rPr>
      </w:pPr>
    </w:p>
    <w:p>
      <w:pPr>
        <w:spacing w:before="0" w:after="0" w:line="560" w:lineRule="exact"/>
        <w:jc w:val="center"/>
        <w:rPr>
          <w:rFonts w:hint="eastAsia" w:ascii="Times New Roman" w:hAnsi="Times New Roman" w:eastAsia="仿宋"/>
          <w:b w:val="0"/>
          <w:sz w:val="32"/>
        </w:rPr>
      </w:pPr>
    </w:p>
    <w:p>
      <w:pPr>
        <w:spacing w:before="0" w:after="0" w:line="560" w:lineRule="exact"/>
        <w:jc w:val="center"/>
        <w:rPr>
          <w:rFonts w:hint="eastAsia" w:ascii="Times New Roman" w:hAnsi="Times New Roman" w:eastAsia="仿宋"/>
          <w:b w:val="0"/>
          <w:sz w:val="32"/>
        </w:rPr>
      </w:pPr>
    </w:p>
    <w:p>
      <w:r>
        <w:br w:type="page"/>
      </w:r>
    </w:p>
    <w:p>
      <w:pPr>
        <w:spacing w:before="0" w:after="160" w:line="640" w:lineRule="exact"/>
        <w:jc w:val="center"/>
        <w:rPr>
          <w:rFonts w:hint="eastAsia" w:ascii="Times New Roman" w:hAnsi="Times New Roman" w:eastAsia="黑体"/>
          <w:b w:val="0"/>
          <w:sz w:val="44"/>
        </w:rPr>
      </w:pPr>
      <w:r>
        <w:rPr>
          <w:rFonts w:hint="eastAsia" w:ascii="Times New Roman" w:hAnsi="Times New Roman" w:eastAsia="黑体"/>
          <w:b w:val="0"/>
          <w:sz w:val="44"/>
        </w:rPr>
        <w:t>目  录</w:t>
      </w:r>
    </w:p>
    <w:p>
      <w:pPr>
        <w:spacing w:before="0" w:after="0" w:line="560" w:lineRule="exact"/>
        <w:jc w:val="center"/>
        <w:rPr>
          <w:rFonts w:hint="eastAsia" w:ascii="Times New Roman" w:hAnsi="Times New Roman" w:eastAsia="黑体"/>
          <w:b w:val="0"/>
          <w:sz w:val="44"/>
        </w:rPr>
      </w:pPr>
      <w:r>
        <w:rPr>
          <w:rFonts w:hint="eastAsia" w:ascii="Times New Roman" w:hAnsi="Times New Roman" w:eastAsia="仿宋"/>
          <w:b w:val="0"/>
          <w:sz w:val="32"/>
        </w:rPr>
        <w:t xml:space="preserve">公开时间：2026年 </w:t>
      </w:r>
      <w:r>
        <w:rPr>
          <w:rFonts w:hint="eastAsia"/>
          <w:b w:val="0"/>
          <w:sz w:val="32"/>
          <w:lang w:val="en-US" w:eastAsia="zh-CN"/>
        </w:rPr>
        <w:t>10</w:t>
      </w:r>
      <w:r>
        <w:rPr>
          <w:rFonts w:hint="eastAsia" w:ascii="Times New Roman" w:hAnsi="Times New Roman" w:eastAsia="仿宋"/>
          <w:b w:val="0"/>
          <w:sz w:val="32"/>
        </w:rPr>
        <w:t xml:space="preserve">月 </w:t>
      </w:r>
      <w:r>
        <w:rPr>
          <w:rFonts w:hint="eastAsia"/>
          <w:b w:val="0"/>
          <w:sz w:val="32"/>
          <w:lang w:val="en-US" w:eastAsia="zh-CN"/>
        </w:rPr>
        <w:t>22</w:t>
      </w:r>
      <w:r>
        <w:rPr>
          <w:rFonts w:hint="eastAsia" w:ascii="Times New Roman" w:hAnsi="Times New Roman" w:eastAsia="仿宋"/>
          <w:b w:val="0"/>
          <w:sz w:val="32"/>
        </w:rPr>
        <w:t xml:space="preserve"> 日</w:t>
      </w:r>
    </w:p>
    <w:p>
      <w:pPr>
        <w:spacing w:before="0" w:after="0"/>
        <w:ind w:firstLine="0"/>
        <w:rPr>
          <w:sz w:val="28"/>
        </w:rPr>
      </w:pPr>
      <w:r>
        <w:fldChar w:fldCharType="begin"/>
      </w:r>
      <w:r>
        <w:instrText xml:space="preserve"> TOC \o "1-2" \h \z \u </w:instrText>
      </w:r>
      <w:r>
        <w:fldChar w:fldCharType="separate"/>
      </w:r>
    </w:p>
    <w:p>
      <w:pPr>
        <w:tabs>
          <w:tab w:val="right" w:leader="dot" w:pos="8296"/>
        </w:tabs>
        <w:spacing w:before="0" w:after="0"/>
        <w:ind w:firstLine="0"/>
        <w:rPr>
          <w:sz w:val="28"/>
        </w:rPr>
      </w:pPr>
      <w:r>
        <w:rPr>
          <w:rFonts w:hint="eastAsia" w:ascii="Times New Roman" w:hAnsi="Times New Roman" w:eastAsia="黑体"/>
          <w:sz w:val="28"/>
        </w:rPr>
        <w:t>第一部分  部门概况</w:t>
      </w:r>
      <w:r>
        <w:rPr>
          <w:rFonts w:ascii="Times New Roman" w:hAnsi="Times New Roman" w:eastAsia="Times New Roman"/>
          <w:sz w:val="28"/>
        </w:rPr>
        <w:tab/>
      </w:r>
      <w:r>
        <w:rPr>
          <w:rFonts w:ascii="Times New Roman" w:hAnsi="Times New Roman" w:eastAsia="Times New Roman"/>
          <w:sz w:val="28"/>
        </w:rPr>
        <w:t>1</w:t>
      </w:r>
    </w:p>
    <w:p>
      <w:pPr>
        <w:tabs>
          <w:tab w:val="right" w:leader="dot" w:pos="8296"/>
        </w:tabs>
        <w:spacing w:before="0" w:after="0"/>
        <w:ind w:firstLine="0"/>
        <w:rPr>
          <w:sz w:val="28"/>
        </w:rPr>
      </w:pPr>
      <w:r>
        <w:rPr>
          <w:rFonts w:hint="eastAsia" w:ascii="Times New Roman" w:hAnsi="Times New Roman" w:eastAsia="仿宋"/>
          <w:sz w:val="28"/>
        </w:rPr>
        <w:t>一、部门职责</w:t>
      </w:r>
      <w:r>
        <w:rPr>
          <w:rFonts w:ascii="Times New Roman" w:hAnsi="Times New Roman" w:eastAsia="Times New Roman"/>
          <w:sz w:val="28"/>
        </w:rPr>
        <w:tab/>
      </w:r>
      <w:r>
        <w:rPr>
          <w:rFonts w:ascii="Times New Roman" w:hAnsi="Times New Roman" w:eastAsia="Times New Roman"/>
          <w:sz w:val="28"/>
        </w:rPr>
        <w:t>1</w:t>
      </w:r>
    </w:p>
    <w:p>
      <w:pPr>
        <w:tabs>
          <w:tab w:val="right" w:leader="dot" w:pos="8296"/>
        </w:tabs>
        <w:spacing w:before="0" w:after="0"/>
        <w:ind w:firstLine="0"/>
        <w:rPr>
          <w:sz w:val="28"/>
        </w:rPr>
      </w:pPr>
      <w:r>
        <w:rPr>
          <w:rFonts w:hint="eastAsia" w:ascii="Times New Roman" w:hAnsi="Times New Roman" w:eastAsia="仿宋"/>
          <w:sz w:val="28"/>
        </w:rPr>
        <w:t>二、机构设置</w:t>
      </w:r>
      <w:r>
        <w:rPr>
          <w:rFonts w:ascii="Times New Roman" w:hAnsi="Times New Roman" w:eastAsia="Times New Roman"/>
          <w:sz w:val="28"/>
        </w:rPr>
        <w:tab/>
      </w:r>
      <w:r>
        <w:rPr>
          <w:rFonts w:ascii="Times New Roman" w:hAnsi="Times New Roman" w:eastAsia="Times New Roman"/>
          <w:sz w:val="28"/>
        </w:rPr>
        <w:t>3</w:t>
      </w:r>
    </w:p>
    <w:p>
      <w:pPr>
        <w:tabs>
          <w:tab w:val="right" w:leader="dot" w:pos="8296"/>
        </w:tabs>
        <w:spacing w:before="0" w:after="0"/>
        <w:ind w:firstLine="0"/>
        <w:rPr>
          <w:sz w:val="28"/>
        </w:rPr>
      </w:pPr>
      <w:r>
        <w:rPr>
          <w:rFonts w:hint="eastAsia" w:ascii="Times New Roman" w:hAnsi="Times New Roman" w:eastAsia="黑体"/>
          <w:sz w:val="28"/>
        </w:rPr>
        <w:t>第二部分  2025年度部门决算情况说明</w:t>
      </w:r>
      <w:r>
        <w:rPr>
          <w:rFonts w:ascii="Times New Roman" w:hAnsi="Times New Roman" w:eastAsia="Times New Roman"/>
          <w:sz w:val="28"/>
        </w:rPr>
        <w:tab/>
      </w:r>
      <w:r>
        <w:rPr>
          <w:rFonts w:ascii="Times New Roman" w:hAnsi="Times New Roman" w:eastAsia="Times New Roman"/>
          <w:sz w:val="28"/>
        </w:rPr>
        <w:t>5</w:t>
      </w:r>
    </w:p>
    <w:p>
      <w:pPr>
        <w:tabs>
          <w:tab w:val="right" w:leader="dot" w:pos="8296"/>
        </w:tabs>
        <w:spacing w:before="0" w:after="0"/>
        <w:ind w:firstLine="0"/>
        <w:rPr>
          <w:sz w:val="28"/>
        </w:rPr>
      </w:pPr>
      <w:r>
        <w:rPr>
          <w:rFonts w:hint="eastAsia" w:ascii="Times New Roman" w:hAnsi="Times New Roman" w:eastAsia="仿宋"/>
          <w:sz w:val="28"/>
        </w:rPr>
        <w:t>一、收入支出决算总体情况说明</w:t>
      </w:r>
      <w:r>
        <w:rPr>
          <w:rFonts w:ascii="Times New Roman" w:hAnsi="Times New Roman" w:eastAsia="Times New Roman"/>
          <w:sz w:val="28"/>
        </w:rPr>
        <w:tab/>
      </w:r>
      <w:r>
        <w:rPr>
          <w:rFonts w:ascii="Times New Roman" w:hAnsi="Times New Roman" w:eastAsia="Times New Roman"/>
          <w:sz w:val="28"/>
        </w:rPr>
        <w:t>5</w:t>
      </w:r>
    </w:p>
    <w:p>
      <w:pPr>
        <w:tabs>
          <w:tab w:val="right" w:leader="dot" w:pos="8296"/>
        </w:tabs>
        <w:spacing w:before="0" w:after="0"/>
        <w:ind w:firstLine="0"/>
        <w:rPr>
          <w:sz w:val="28"/>
        </w:rPr>
      </w:pPr>
      <w:r>
        <w:rPr>
          <w:rFonts w:hint="eastAsia" w:ascii="Times New Roman" w:hAnsi="Times New Roman" w:eastAsia="仿宋"/>
          <w:sz w:val="28"/>
        </w:rPr>
        <w:t>二、收入决算情况说明</w:t>
      </w:r>
      <w:r>
        <w:rPr>
          <w:rFonts w:ascii="Times New Roman" w:hAnsi="Times New Roman" w:eastAsia="Times New Roman"/>
          <w:sz w:val="28"/>
        </w:rPr>
        <w:tab/>
      </w:r>
      <w:r>
        <w:rPr>
          <w:rFonts w:ascii="Times New Roman" w:hAnsi="Times New Roman" w:eastAsia="Times New Roman"/>
          <w:sz w:val="28"/>
        </w:rPr>
        <w:t>5</w:t>
      </w:r>
    </w:p>
    <w:p>
      <w:pPr>
        <w:tabs>
          <w:tab w:val="right" w:leader="dot" w:pos="8296"/>
        </w:tabs>
        <w:spacing w:before="0" w:after="0"/>
        <w:ind w:firstLine="0"/>
        <w:rPr>
          <w:sz w:val="28"/>
        </w:rPr>
      </w:pPr>
      <w:r>
        <w:rPr>
          <w:rFonts w:hint="eastAsia" w:ascii="Times New Roman" w:hAnsi="Times New Roman" w:eastAsia="仿宋"/>
          <w:sz w:val="28"/>
        </w:rPr>
        <w:t>三、支出决算情况说明</w:t>
      </w:r>
      <w:r>
        <w:rPr>
          <w:rFonts w:ascii="Times New Roman" w:hAnsi="Times New Roman" w:eastAsia="Times New Roman"/>
          <w:sz w:val="28"/>
        </w:rPr>
        <w:tab/>
      </w:r>
      <w:r>
        <w:rPr>
          <w:rFonts w:ascii="Times New Roman" w:hAnsi="Times New Roman" w:eastAsia="Times New Roman"/>
          <w:sz w:val="28"/>
        </w:rPr>
        <w:t>6</w:t>
      </w:r>
    </w:p>
    <w:p>
      <w:pPr>
        <w:tabs>
          <w:tab w:val="right" w:leader="dot" w:pos="8296"/>
        </w:tabs>
        <w:spacing w:before="0" w:after="0"/>
        <w:ind w:firstLine="0"/>
        <w:rPr>
          <w:sz w:val="28"/>
        </w:rPr>
      </w:pPr>
      <w:r>
        <w:rPr>
          <w:rFonts w:hint="eastAsia" w:ascii="Times New Roman" w:hAnsi="Times New Roman" w:eastAsia="仿宋"/>
          <w:sz w:val="28"/>
        </w:rPr>
        <w:t>四、财政拨款收入支出决算总体情况说明</w:t>
      </w:r>
      <w:r>
        <w:rPr>
          <w:rFonts w:ascii="Times New Roman" w:hAnsi="Times New Roman" w:eastAsia="Times New Roman"/>
          <w:sz w:val="28"/>
        </w:rPr>
        <w:tab/>
      </w:r>
      <w:r>
        <w:rPr>
          <w:rFonts w:ascii="Times New Roman" w:hAnsi="Times New Roman" w:eastAsia="Times New Roman"/>
          <w:sz w:val="28"/>
        </w:rPr>
        <w:t>7</w:t>
      </w:r>
    </w:p>
    <w:p>
      <w:pPr>
        <w:tabs>
          <w:tab w:val="right" w:leader="dot" w:pos="8296"/>
        </w:tabs>
        <w:spacing w:before="0" w:after="0"/>
        <w:ind w:firstLine="0"/>
        <w:rPr>
          <w:sz w:val="28"/>
        </w:rPr>
      </w:pPr>
      <w:r>
        <w:rPr>
          <w:rFonts w:hint="eastAsia" w:ascii="Times New Roman" w:hAnsi="Times New Roman" w:eastAsia="仿宋"/>
          <w:sz w:val="28"/>
        </w:rPr>
        <w:t>五、一般公共预算财政拨款支出决算情况说明</w:t>
      </w:r>
      <w:r>
        <w:rPr>
          <w:rFonts w:ascii="Times New Roman" w:hAnsi="Times New Roman" w:eastAsia="Times New Roman"/>
          <w:sz w:val="28"/>
        </w:rPr>
        <w:tab/>
      </w:r>
      <w:r>
        <w:rPr>
          <w:rFonts w:ascii="Times New Roman" w:hAnsi="Times New Roman" w:eastAsia="Times New Roman"/>
          <w:sz w:val="28"/>
        </w:rPr>
        <w:t>7</w:t>
      </w:r>
    </w:p>
    <w:p>
      <w:pPr>
        <w:tabs>
          <w:tab w:val="right" w:leader="dot" w:pos="8296"/>
        </w:tabs>
        <w:spacing w:before="0" w:after="0"/>
        <w:ind w:firstLine="0"/>
        <w:rPr>
          <w:sz w:val="28"/>
        </w:rPr>
      </w:pPr>
      <w:r>
        <w:rPr>
          <w:rFonts w:hint="eastAsia" w:ascii="Times New Roman" w:hAnsi="Times New Roman" w:eastAsia="仿宋"/>
          <w:sz w:val="28"/>
        </w:rPr>
        <w:t>六、一般公共预算财政拨款基本支出决算情况说明</w:t>
      </w:r>
      <w:r>
        <w:rPr>
          <w:rFonts w:ascii="Times New Roman" w:hAnsi="Times New Roman" w:eastAsia="Times New Roman"/>
          <w:sz w:val="28"/>
        </w:rPr>
        <w:tab/>
      </w:r>
      <w:r>
        <w:rPr>
          <w:rFonts w:ascii="Times New Roman" w:hAnsi="Times New Roman" w:eastAsia="Times New Roman"/>
          <w:sz w:val="28"/>
        </w:rPr>
        <w:t>11</w:t>
      </w:r>
    </w:p>
    <w:p>
      <w:pPr>
        <w:tabs>
          <w:tab w:val="right" w:leader="dot" w:pos="8296"/>
        </w:tabs>
        <w:spacing w:before="0" w:after="0"/>
        <w:ind w:firstLine="0"/>
        <w:rPr>
          <w:sz w:val="28"/>
        </w:rPr>
      </w:pPr>
      <w:r>
        <w:rPr>
          <w:rFonts w:hint="eastAsia" w:ascii="Times New Roman" w:hAnsi="Times New Roman" w:eastAsia="仿宋"/>
          <w:sz w:val="28"/>
        </w:rPr>
        <w:t>七、财政拨款“三公”经费支出决算情况说明</w:t>
      </w:r>
      <w:r>
        <w:rPr>
          <w:rFonts w:ascii="Times New Roman" w:hAnsi="Times New Roman" w:eastAsia="Times New Roman"/>
          <w:sz w:val="28"/>
        </w:rPr>
        <w:tab/>
      </w:r>
      <w:r>
        <w:rPr>
          <w:rFonts w:ascii="Times New Roman" w:hAnsi="Times New Roman" w:eastAsia="Times New Roman"/>
          <w:sz w:val="28"/>
        </w:rPr>
        <w:t>11</w:t>
      </w:r>
    </w:p>
    <w:p>
      <w:pPr>
        <w:tabs>
          <w:tab w:val="right" w:leader="dot" w:pos="8296"/>
        </w:tabs>
        <w:spacing w:before="0" w:after="0"/>
        <w:ind w:firstLine="0"/>
        <w:rPr>
          <w:sz w:val="28"/>
        </w:rPr>
      </w:pPr>
      <w:r>
        <w:rPr>
          <w:rFonts w:hint="eastAsia" w:ascii="Times New Roman" w:hAnsi="Times New Roman" w:eastAsia="仿宋"/>
          <w:sz w:val="28"/>
        </w:rPr>
        <w:t>八、政府性基金预算支出决算情况说明</w:t>
      </w:r>
      <w:r>
        <w:rPr>
          <w:rFonts w:ascii="Times New Roman" w:hAnsi="Times New Roman" w:eastAsia="Times New Roman"/>
          <w:sz w:val="28"/>
        </w:rPr>
        <w:tab/>
      </w:r>
      <w:r>
        <w:rPr>
          <w:rFonts w:ascii="Times New Roman" w:hAnsi="Times New Roman" w:eastAsia="Times New Roman"/>
          <w:sz w:val="28"/>
        </w:rPr>
        <w:t>12</w:t>
      </w:r>
    </w:p>
    <w:p>
      <w:pPr>
        <w:tabs>
          <w:tab w:val="right" w:leader="dot" w:pos="8296"/>
        </w:tabs>
        <w:spacing w:before="0" w:after="0"/>
        <w:ind w:firstLine="0"/>
        <w:rPr>
          <w:sz w:val="28"/>
        </w:rPr>
      </w:pPr>
      <w:r>
        <w:rPr>
          <w:rFonts w:hint="eastAsia" w:ascii="Times New Roman" w:hAnsi="Times New Roman" w:eastAsia="仿宋"/>
          <w:sz w:val="28"/>
        </w:rPr>
        <w:t>九、国有资本经营预算支出决算情况说明</w:t>
      </w:r>
      <w:r>
        <w:rPr>
          <w:rFonts w:ascii="Times New Roman" w:hAnsi="Times New Roman" w:eastAsia="Times New Roman"/>
          <w:sz w:val="28"/>
        </w:rPr>
        <w:tab/>
      </w:r>
      <w:r>
        <w:rPr>
          <w:rFonts w:ascii="Times New Roman" w:hAnsi="Times New Roman" w:eastAsia="Times New Roman"/>
          <w:sz w:val="28"/>
        </w:rPr>
        <w:t>13</w:t>
      </w:r>
    </w:p>
    <w:p>
      <w:pPr>
        <w:tabs>
          <w:tab w:val="right" w:leader="dot" w:pos="8296"/>
        </w:tabs>
        <w:spacing w:before="0" w:after="0"/>
        <w:ind w:firstLine="0"/>
        <w:rPr>
          <w:sz w:val="28"/>
        </w:rPr>
      </w:pPr>
      <w:r>
        <w:rPr>
          <w:rFonts w:hint="eastAsia" w:ascii="Times New Roman" w:hAnsi="Times New Roman" w:eastAsia="仿宋"/>
          <w:sz w:val="28"/>
        </w:rPr>
        <w:t>十、其他重要事项的情况说明</w:t>
      </w:r>
      <w:r>
        <w:rPr>
          <w:rFonts w:ascii="Times New Roman" w:hAnsi="Times New Roman" w:eastAsia="Times New Roman"/>
          <w:sz w:val="28"/>
        </w:rPr>
        <w:tab/>
      </w:r>
      <w:r>
        <w:rPr>
          <w:rFonts w:ascii="Times New Roman" w:hAnsi="Times New Roman" w:eastAsia="Times New Roman"/>
          <w:sz w:val="28"/>
        </w:rPr>
        <w:t>13</w:t>
      </w:r>
    </w:p>
    <w:p>
      <w:pPr>
        <w:tabs>
          <w:tab w:val="right" w:leader="dot" w:pos="8296"/>
        </w:tabs>
        <w:spacing w:before="0" w:after="0"/>
        <w:ind w:firstLine="0"/>
        <w:rPr>
          <w:sz w:val="28"/>
        </w:rPr>
      </w:pPr>
      <w:r>
        <w:rPr>
          <w:rFonts w:hint="eastAsia" w:ascii="Times New Roman" w:hAnsi="Times New Roman" w:eastAsia="黑体"/>
          <w:sz w:val="28"/>
        </w:rPr>
        <w:t>第三部分  名词解释</w:t>
      </w:r>
      <w:r>
        <w:rPr>
          <w:rFonts w:ascii="Times New Roman" w:hAnsi="Times New Roman" w:eastAsia="Times New Roman"/>
          <w:sz w:val="28"/>
        </w:rPr>
        <w:tab/>
      </w:r>
      <w:r>
        <w:rPr>
          <w:rFonts w:ascii="Times New Roman" w:hAnsi="Times New Roman" w:eastAsia="Times New Roman"/>
          <w:sz w:val="28"/>
        </w:rPr>
        <w:t>15</w:t>
      </w:r>
    </w:p>
    <w:p>
      <w:pPr>
        <w:tabs>
          <w:tab w:val="right" w:leader="dot" w:pos="8296"/>
        </w:tabs>
        <w:spacing w:before="0" w:after="0"/>
        <w:ind w:firstLine="0"/>
        <w:rPr>
          <w:sz w:val="28"/>
        </w:rPr>
      </w:pPr>
      <w:r>
        <w:rPr>
          <w:rFonts w:hint="eastAsia" w:ascii="Times New Roman" w:hAnsi="Times New Roman" w:eastAsia="黑体"/>
          <w:sz w:val="28"/>
        </w:rPr>
        <w:t>第四部分  附件</w:t>
      </w:r>
      <w:r>
        <w:rPr>
          <w:rFonts w:ascii="Times New Roman" w:hAnsi="Times New Roman" w:eastAsia="Times New Roman"/>
          <w:sz w:val="28"/>
        </w:rPr>
        <w:tab/>
      </w:r>
      <w:r>
        <w:rPr>
          <w:rFonts w:ascii="Times New Roman" w:hAnsi="Times New Roman" w:eastAsia="Times New Roman"/>
          <w:sz w:val="28"/>
        </w:rPr>
        <w:t>17</w:t>
      </w:r>
    </w:p>
    <w:p>
      <w:pPr>
        <w:tabs>
          <w:tab w:val="right" w:leader="dot" w:pos="8296"/>
        </w:tabs>
        <w:spacing w:before="0" w:after="0"/>
        <w:ind w:firstLine="0"/>
        <w:rPr>
          <w:rFonts w:hint="eastAsia" w:eastAsia="宋体"/>
          <w:sz w:val="28"/>
          <w:lang w:val="en-US" w:eastAsia="zh-CN"/>
        </w:rPr>
      </w:pPr>
      <w:r>
        <w:rPr>
          <w:rFonts w:hint="eastAsia" w:ascii="Times New Roman" w:hAnsi="Times New Roman" w:eastAsia="黑体"/>
          <w:sz w:val="28"/>
        </w:rPr>
        <w:t>第五部分  附表</w:t>
      </w:r>
      <w:r>
        <w:rPr>
          <w:rFonts w:ascii="Times New Roman" w:hAnsi="Times New Roman" w:eastAsia="Times New Roman"/>
          <w:sz w:val="28"/>
        </w:rPr>
        <w:tab/>
      </w:r>
      <w:r>
        <w:rPr>
          <w:rFonts w:ascii="Times New Roman" w:hAnsi="Times New Roman" w:eastAsia="Times New Roman"/>
          <w:sz w:val="28"/>
        </w:rPr>
        <w:t>9</w:t>
      </w:r>
      <w:r>
        <w:rPr>
          <w:rFonts w:hint="eastAsia" w:eastAsia="宋体"/>
          <w:sz w:val="28"/>
          <w:lang w:val="en-US" w:eastAsia="zh-CN"/>
        </w:rPr>
        <w:t>1</w:t>
      </w:r>
    </w:p>
    <w:p>
      <w:pPr>
        <w:tabs>
          <w:tab w:val="right" w:leader="dot" w:pos="8296"/>
        </w:tabs>
        <w:spacing w:before="0" w:after="0"/>
        <w:ind w:firstLine="0"/>
        <w:rPr>
          <w:rFonts w:hint="eastAsia" w:eastAsia="宋体"/>
          <w:sz w:val="28"/>
          <w:lang w:val="en-US" w:eastAsia="zh-CN"/>
        </w:rPr>
      </w:pPr>
      <w:r>
        <w:rPr>
          <w:rFonts w:hint="eastAsia" w:ascii="Times New Roman" w:hAnsi="Times New Roman" w:eastAsia="仿宋"/>
          <w:sz w:val="28"/>
        </w:rPr>
        <w:t>一、收入支出决算总表</w:t>
      </w:r>
      <w:r>
        <w:rPr>
          <w:rFonts w:ascii="Times New Roman" w:hAnsi="Times New Roman" w:eastAsia="Times New Roman"/>
          <w:sz w:val="28"/>
        </w:rPr>
        <w:tab/>
      </w:r>
      <w:r>
        <w:rPr>
          <w:rFonts w:ascii="Times New Roman" w:hAnsi="Times New Roman" w:eastAsia="Times New Roman"/>
          <w:sz w:val="28"/>
        </w:rPr>
        <w:t>9</w:t>
      </w:r>
      <w:r>
        <w:rPr>
          <w:rFonts w:hint="eastAsia" w:eastAsia="宋体"/>
          <w:sz w:val="28"/>
          <w:lang w:val="en-US" w:eastAsia="zh-CN"/>
        </w:rPr>
        <w:t>1</w:t>
      </w:r>
    </w:p>
    <w:p>
      <w:pPr>
        <w:tabs>
          <w:tab w:val="right" w:leader="dot" w:pos="8296"/>
        </w:tabs>
        <w:spacing w:before="0" w:after="0"/>
        <w:ind w:firstLine="0"/>
        <w:rPr>
          <w:rFonts w:hint="eastAsia" w:eastAsia="宋体"/>
          <w:sz w:val="28"/>
          <w:lang w:val="en-US" w:eastAsia="zh-CN"/>
        </w:rPr>
      </w:pPr>
      <w:r>
        <w:rPr>
          <w:rFonts w:hint="eastAsia" w:ascii="Times New Roman" w:hAnsi="Times New Roman" w:eastAsia="仿宋"/>
          <w:sz w:val="28"/>
        </w:rPr>
        <w:t>二、收入决算表</w:t>
      </w:r>
      <w:r>
        <w:rPr>
          <w:rFonts w:ascii="Times New Roman" w:hAnsi="Times New Roman" w:eastAsia="Times New Roman"/>
          <w:sz w:val="28"/>
        </w:rPr>
        <w:tab/>
      </w:r>
      <w:r>
        <w:rPr>
          <w:rFonts w:ascii="Times New Roman" w:hAnsi="Times New Roman" w:eastAsia="Times New Roman"/>
          <w:sz w:val="28"/>
        </w:rPr>
        <w:t>9</w:t>
      </w:r>
      <w:r>
        <w:rPr>
          <w:rFonts w:hint="eastAsia" w:eastAsia="宋体"/>
          <w:sz w:val="28"/>
          <w:lang w:val="en-US" w:eastAsia="zh-CN"/>
        </w:rPr>
        <w:t>1</w:t>
      </w:r>
    </w:p>
    <w:p>
      <w:pPr>
        <w:tabs>
          <w:tab w:val="right" w:leader="dot" w:pos="8296"/>
        </w:tabs>
        <w:spacing w:before="0" w:after="0"/>
        <w:ind w:firstLine="0"/>
        <w:rPr>
          <w:rFonts w:hint="eastAsia" w:eastAsia="宋体"/>
          <w:sz w:val="28"/>
          <w:lang w:val="en-US" w:eastAsia="zh-CN"/>
        </w:rPr>
      </w:pPr>
      <w:r>
        <w:rPr>
          <w:rFonts w:hint="eastAsia" w:ascii="Times New Roman" w:hAnsi="Times New Roman" w:eastAsia="仿宋"/>
          <w:sz w:val="28"/>
        </w:rPr>
        <w:t>三、支出决算表</w:t>
      </w:r>
      <w:r>
        <w:rPr>
          <w:rFonts w:ascii="Times New Roman" w:hAnsi="Times New Roman" w:eastAsia="Times New Roman"/>
          <w:sz w:val="28"/>
        </w:rPr>
        <w:tab/>
      </w:r>
      <w:r>
        <w:rPr>
          <w:rFonts w:ascii="Times New Roman" w:hAnsi="Times New Roman" w:eastAsia="Times New Roman"/>
          <w:sz w:val="28"/>
        </w:rPr>
        <w:t>9</w:t>
      </w:r>
      <w:r>
        <w:rPr>
          <w:rFonts w:hint="eastAsia" w:eastAsia="宋体"/>
          <w:sz w:val="28"/>
          <w:lang w:val="en-US" w:eastAsia="zh-CN"/>
        </w:rPr>
        <w:t>1</w:t>
      </w:r>
    </w:p>
    <w:p>
      <w:pPr>
        <w:tabs>
          <w:tab w:val="right" w:leader="dot" w:pos="8296"/>
        </w:tabs>
        <w:spacing w:before="0" w:after="0"/>
        <w:ind w:firstLine="0"/>
        <w:rPr>
          <w:rFonts w:hint="eastAsia" w:eastAsia="宋体"/>
          <w:sz w:val="28"/>
          <w:lang w:val="en-US" w:eastAsia="zh-CN"/>
        </w:rPr>
      </w:pPr>
      <w:r>
        <w:rPr>
          <w:rFonts w:hint="eastAsia" w:ascii="Times New Roman" w:hAnsi="Times New Roman" w:eastAsia="仿宋"/>
          <w:sz w:val="28"/>
        </w:rPr>
        <w:t>四、财政拨款收入支出决算总表</w:t>
      </w:r>
      <w:r>
        <w:rPr>
          <w:rFonts w:ascii="Times New Roman" w:hAnsi="Times New Roman" w:eastAsia="Times New Roman"/>
          <w:sz w:val="28"/>
        </w:rPr>
        <w:tab/>
      </w:r>
      <w:r>
        <w:rPr>
          <w:rFonts w:ascii="Times New Roman" w:hAnsi="Times New Roman" w:eastAsia="Times New Roman"/>
          <w:sz w:val="28"/>
        </w:rPr>
        <w:t>9</w:t>
      </w:r>
      <w:r>
        <w:rPr>
          <w:rFonts w:hint="eastAsia" w:eastAsia="宋体"/>
          <w:sz w:val="28"/>
          <w:lang w:val="en-US" w:eastAsia="zh-CN"/>
        </w:rPr>
        <w:t>1</w:t>
      </w:r>
    </w:p>
    <w:p>
      <w:pPr>
        <w:tabs>
          <w:tab w:val="right" w:leader="dot" w:pos="8296"/>
        </w:tabs>
        <w:spacing w:before="0" w:after="0"/>
        <w:ind w:firstLine="0"/>
        <w:rPr>
          <w:rFonts w:hint="eastAsia" w:eastAsia="宋体"/>
          <w:sz w:val="28"/>
          <w:lang w:val="en-US" w:eastAsia="zh-CN"/>
        </w:rPr>
      </w:pPr>
      <w:r>
        <w:rPr>
          <w:rFonts w:hint="eastAsia" w:ascii="Times New Roman" w:hAnsi="Times New Roman" w:eastAsia="仿宋"/>
          <w:sz w:val="28"/>
        </w:rPr>
        <w:t>五、一般公共预算财政拨款支出决算表</w:t>
      </w:r>
      <w:r>
        <w:rPr>
          <w:rFonts w:ascii="Times New Roman" w:hAnsi="Times New Roman" w:eastAsia="Times New Roman"/>
          <w:sz w:val="28"/>
        </w:rPr>
        <w:tab/>
      </w:r>
      <w:r>
        <w:rPr>
          <w:rFonts w:ascii="Times New Roman" w:hAnsi="Times New Roman" w:eastAsia="Times New Roman"/>
          <w:sz w:val="28"/>
        </w:rPr>
        <w:t>9</w:t>
      </w:r>
      <w:r>
        <w:rPr>
          <w:rFonts w:hint="eastAsia" w:eastAsia="宋体"/>
          <w:sz w:val="28"/>
          <w:lang w:val="en-US" w:eastAsia="zh-CN"/>
        </w:rPr>
        <w:t>1</w:t>
      </w:r>
    </w:p>
    <w:p>
      <w:pPr>
        <w:tabs>
          <w:tab w:val="right" w:leader="dot" w:pos="8296"/>
        </w:tabs>
        <w:spacing w:before="0" w:after="0"/>
        <w:ind w:firstLine="0"/>
        <w:rPr>
          <w:rFonts w:hint="eastAsia" w:eastAsia="宋体"/>
          <w:sz w:val="28"/>
          <w:lang w:val="en-US" w:eastAsia="zh-CN"/>
        </w:rPr>
      </w:pPr>
      <w:r>
        <w:rPr>
          <w:rFonts w:hint="eastAsia" w:ascii="Times New Roman" w:hAnsi="Times New Roman" w:eastAsia="仿宋"/>
          <w:sz w:val="28"/>
        </w:rPr>
        <w:t>六、一般公共预算财政拨款基本支出决算明细表</w:t>
      </w:r>
      <w:r>
        <w:rPr>
          <w:rFonts w:ascii="Times New Roman" w:hAnsi="Times New Roman" w:eastAsia="Times New Roman"/>
          <w:sz w:val="28"/>
        </w:rPr>
        <w:tab/>
      </w:r>
      <w:r>
        <w:rPr>
          <w:rFonts w:ascii="Times New Roman" w:hAnsi="Times New Roman" w:eastAsia="Times New Roman"/>
          <w:sz w:val="28"/>
        </w:rPr>
        <w:t>9</w:t>
      </w:r>
      <w:r>
        <w:rPr>
          <w:rFonts w:hint="eastAsia" w:eastAsia="宋体"/>
          <w:sz w:val="28"/>
          <w:lang w:val="en-US" w:eastAsia="zh-CN"/>
        </w:rPr>
        <w:t>1</w:t>
      </w:r>
    </w:p>
    <w:p>
      <w:pPr>
        <w:tabs>
          <w:tab w:val="right" w:leader="dot" w:pos="8296"/>
        </w:tabs>
        <w:spacing w:before="0" w:after="0"/>
        <w:ind w:firstLine="0"/>
        <w:rPr>
          <w:rFonts w:hint="eastAsia" w:eastAsia="宋体"/>
          <w:sz w:val="28"/>
          <w:lang w:val="en-US" w:eastAsia="zh-CN"/>
        </w:rPr>
      </w:pPr>
      <w:r>
        <w:rPr>
          <w:rFonts w:hint="eastAsia" w:ascii="Times New Roman" w:hAnsi="Times New Roman" w:eastAsia="仿宋"/>
          <w:sz w:val="28"/>
        </w:rPr>
        <w:t>七、一般公共预算财政拨款项目支出决算表</w:t>
      </w:r>
      <w:r>
        <w:rPr>
          <w:rFonts w:ascii="Times New Roman" w:hAnsi="Times New Roman" w:eastAsia="Times New Roman"/>
          <w:sz w:val="28"/>
        </w:rPr>
        <w:tab/>
      </w:r>
      <w:r>
        <w:rPr>
          <w:rFonts w:ascii="Times New Roman" w:hAnsi="Times New Roman" w:eastAsia="Times New Roman"/>
          <w:sz w:val="28"/>
        </w:rPr>
        <w:t>9</w:t>
      </w:r>
      <w:r>
        <w:rPr>
          <w:rFonts w:hint="eastAsia" w:eastAsia="宋体"/>
          <w:sz w:val="28"/>
          <w:lang w:val="en-US" w:eastAsia="zh-CN"/>
        </w:rPr>
        <w:t>1</w:t>
      </w:r>
    </w:p>
    <w:p>
      <w:pPr>
        <w:tabs>
          <w:tab w:val="right" w:leader="dot" w:pos="8296"/>
        </w:tabs>
        <w:spacing w:before="0" w:after="0"/>
        <w:ind w:firstLine="0"/>
        <w:rPr>
          <w:rFonts w:hint="eastAsia" w:eastAsia="宋体"/>
          <w:sz w:val="28"/>
          <w:lang w:val="en-US" w:eastAsia="zh-CN"/>
        </w:rPr>
      </w:pPr>
      <w:r>
        <w:rPr>
          <w:rFonts w:hint="eastAsia" w:ascii="Times New Roman" w:hAnsi="Times New Roman" w:eastAsia="仿宋"/>
          <w:sz w:val="28"/>
        </w:rPr>
        <w:t>八、政府性基金预算财政拨款收入支出决算表</w:t>
      </w:r>
      <w:r>
        <w:rPr>
          <w:rFonts w:ascii="Times New Roman" w:hAnsi="Times New Roman" w:eastAsia="Times New Roman"/>
          <w:sz w:val="28"/>
        </w:rPr>
        <w:tab/>
      </w:r>
      <w:r>
        <w:rPr>
          <w:rFonts w:ascii="Times New Roman" w:hAnsi="Times New Roman" w:eastAsia="Times New Roman"/>
          <w:sz w:val="28"/>
        </w:rPr>
        <w:t>9</w:t>
      </w:r>
      <w:r>
        <w:rPr>
          <w:rFonts w:hint="eastAsia" w:eastAsia="宋体"/>
          <w:sz w:val="28"/>
          <w:lang w:val="en-US" w:eastAsia="zh-CN"/>
        </w:rPr>
        <w:t>1</w:t>
      </w:r>
    </w:p>
    <w:p>
      <w:pPr>
        <w:tabs>
          <w:tab w:val="right" w:leader="dot" w:pos="8296"/>
        </w:tabs>
        <w:spacing w:before="0" w:after="0"/>
        <w:ind w:firstLine="0"/>
        <w:rPr>
          <w:rFonts w:hint="eastAsia" w:eastAsia="宋体"/>
          <w:sz w:val="28"/>
          <w:lang w:val="en-US" w:eastAsia="zh-CN"/>
        </w:rPr>
      </w:pPr>
      <w:r>
        <w:rPr>
          <w:rFonts w:hint="eastAsia" w:ascii="Times New Roman" w:hAnsi="Times New Roman" w:eastAsia="仿宋"/>
          <w:sz w:val="28"/>
        </w:rPr>
        <w:t>九、国有资本经营预算财政拨款收入支出决算表</w:t>
      </w:r>
      <w:r>
        <w:rPr>
          <w:rFonts w:ascii="Times New Roman" w:hAnsi="Times New Roman" w:eastAsia="Times New Roman"/>
          <w:sz w:val="28"/>
        </w:rPr>
        <w:tab/>
      </w:r>
      <w:r>
        <w:rPr>
          <w:rFonts w:ascii="Times New Roman" w:hAnsi="Times New Roman" w:eastAsia="Times New Roman"/>
          <w:sz w:val="28"/>
        </w:rPr>
        <w:t>9</w:t>
      </w:r>
      <w:r>
        <w:rPr>
          <w:rFonts w:hint="eastAsia" w:eastAsia="宋体"/>
          <w:sz w:val="28"/>
          <w:lang w:val="en-US" w:eastAsia="zh-CN"/>
        </w:rPr>
        <w:t>1</w:t>
      </w:r>
    </w:p>
    <w:p>
      <w:pPr>
        <w:tabs>
          <w:tab w:val="right" w:leader="dot" w:pos="8296"/>
        </w:tabs>
        <w:spacing w:before="0" w:after="0"/>
        <w:ind w:firstLine="0"/>
        <w:rPr>
          <w:rFonts w:hint="eastAsia" w:eastAsia="宋体"/>
          <w:sz w:val="28"/>
          <w:lang w:val="en-US" w:eastAsia="zh-CN"/>
        </w:rPr>
      </w:pPr>
      <w:r>
        <w:rPr>
          <w:rFonts w:hint="eastAsia" w:ascii="Times New Roman" w:hAnsi="Times New Roman" w:eastAsia="仿宋"/>
          <w:sz w:val="28"/>
        </w:rPr>
        <w:t>十、国有资本经营预算财政拨款支出决算表</w:t>
      </w:r>
      <w:r>
        <w:rPr>
          <w:rFonts w:ascii="Times New Roman" w:hAnsi="Times New Roman" w:eastAsia="Times New Roman"/>
          <w:sz w:val="28"/>
        </w:rPr>
        <w:tab/>
      </w:r>
      <w:r>
        <w:rPr>
          <w:rFonts w:ascii="Times New Roman" w:hAnsi="Times New Roman" w:eastAsia="Times New Roman"/>
          <w:sz w:val="28"/>
        </w:rPr>
        <w:t>9</w:t>
      </w:r>
      <w:r>
        <w:rPr>
          <w:rFonts w:hint="eastAsia" w:eastAsia="宋体"/>
          <w:sz w:val="28"/>
          <w:lang w:val="en-US" w:eastAsia="zh-CN"/>
        </w:rPr>
        <w:t>1</w:t>
      </w:r>
    </w:p>
    <w:p>
      <w:pPr>
        <w:tabs>
          <w:tab w:val="right" w:leader="dot" w:pos="8296"/>
        </w:tabs>
        <w:spacing w:before="0" w:after="0"/>
        <w:ind w:firstLine="0"/>
        <w:rPr>
          <w:rFonts w:hint="eastAsia" w:eastAsia="宋体"/>
          <w:sz w:val="28"/>
          <w:lang w:val="en-US" w:eastAsia="zh-CN"/>
        </w:rPr>
      </w:pPr>
      <w:r>
        <w:rPr>
          <w:rFonts w:hint="eastAsia" w:ascii="Times New Roman" w:hAnsi="Times New Roman" w:eastAsia="仿宋"/>
          <w:sz w:val="28"/>
        </w:rPr>
        <w:t>十一、财政拨款“三公”经费支出决算表</w:t>
      </w:r>
      <w:r>
        <w:rPr>
          <w:rFonts w:ascii="Times New Roman" w:hAnsi="Times New Roman" w:eastAsia="Times New Roman"/>
          <w:sz w:val="28"/>
        </w:rPr>
        <w:tab/>
      </w:r>
      <w:r>
        <w:rPr>
          <w:rFonts w:ascii="Times New Roman" w:hAnsi="Times New Roman" w:eastAsia="Times New Roman"/>
          <w:sz w:val="28"/>
        </w:rPr>
        <w:t>9</w:t>
      </w:r>
      <w:r>
        <w:rPr>
          <w:rFonts w:hint="eastAsia" w:eastAsia="宋体"/>
          <w:sz w:val="28"/>
          <w:lang w:val="en-US" w:eastAsia="zh-CN"/>
        </w:rPr>
        <w:t>1</w:t>
      </w:r>
    </w:p>
    <w:p>
      <w:pPr>
        <w:spacing w:before="0" w:after="0"/>
        <w:ind w:firstLine="0"/>
        <w:rPr>
          <w:sz w:val="28"/>
        </w:rPr>
      </w:pPr>
      <w:r>
        <w:fldChar w:fldCharType="end"/>
      </w:r>
    </w:p>
    <w:p>
      <w:pPr>
        <w:sectPr>
          <w:footerReference r:id="rId5" w:type="default"/>
          <w:pgSz w:w="11906" w:h="16838"/>
          <w:pgMar w:top="1440" w:right="1800" w:bottom="1440" w:left="1800" w:header="720" w:footer="720" w:gutter="0"/>
          <w:pgNumType w:fmt="upperRoman" w:start="1"/>
          <w:cols w:space="720" w:num="1"/>
          <w:docGrid w:linePitch="360" w:charSpace="0"/>
        </w:sectPr>
      </w:pPr>
    </w:p>
    <w:p>
      <w:pPr>
        <w:pStyle w:val="3"/>
        <w:spacing w:before="120" w:after="120"/>
        <w:jc w:val="center"/>
      </w:pPr>
      <w:r>
        <w:rPr>
          <w:rFonts w:hint="eastAsia" w:ascii="Times New Roman" w:hAnsi="Times New Roman" w:eastAsia="黑体"/>
          <w:b w:val="0"/>
          <w:sz w:val="32"/>
        </w:rPr>
        <w:t>第一部分  部门概况</w:t>
      </w:r>
    </w:p>
    <w:p>
      <w:pPr>
        <w:pStyle w:val="4"/>
        <w:spacing w:before="120" w:after="120"/>
      </w:pPr>
      <w:r>
        <w:rPr>
          <w:rFonts w:hint="eastAsia" w:ascii="Times New Roman" w:hAnsi="Times New Roman" w:eastAsia="黑体"/>
          <w:b w:val="0"/>
          <w:sz w:val="32"/>
        </w:rPr>
        <w:t>一、部门职责</w:t>
      </w:r>
    </w:p>
    <w:p>
      <w:pPr>
        <w:pStyle w:val="34"/>
        <w:widowControl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1.贯彻执行党和国家关于卫生计生工作的方针、政策、法律、法规以及省、州、</w:t>
      </w:r>
      <w:r>
        <w:rPr>
          <w:rFonts w:hint="eastAsia" w:ascii="仿宋" w:hAnsi="仿宋" w:eastAsia="仿宋" w:cs="仿宋_GB2312"/>
          <w:sz w:val="32"/>
          <w:szCs w:val="32"/>
        </w:rPr>
        <w:t>县关于卫生计生工作的决策部署，制定全县卫生计生事业发展规划，统筹规划全县卫生计生资源配置，指导全县卫生计生工作。</w:t>
      </w:r>
    </w:p>
    <w:p>
      <w:pPr>
        <w:pStyle w:val="34"/>
        <w:widowControl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2.贯彻实施党和国家医药卫生体制改革政策和国家药物政策及国家基本药物制度，执行国家基本药物目录以及我省药品增补目录，执行基本药物采购、配送、使用的政策措施。贯彻中西医并重的方针，发展我县中藏医事业。</w:t>
      </w:r>
    </w:p>
    <w:p>
      <w:pPr>
        <w:pStyle w:val="34"/>
        <w:widowControl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3.贯彻实施职责范围内的职业卫生、放射卫生、环境卫生、学校卫生、公共场所卫生、饮用水卫生管理规范、标准和政策措施，组织开展相关监测、调查、评估和监督。</w:t>
      </w:r>
    </w:p>
    <w:p>
      <w:pPr>
        <w:pStyle w:val="34"/>
        <w:widowControl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4.负责制定全县卫生应急预案、突发公共卫生事件监测和风险评估，组织和指导全县突发公共卫生事件预防控制和各类突发公共事件的医疗卫生救援。</w:t>
      </w:r>
    </w:p>
    <w:p>
      <w:pPr>
        <w:pStyle w:val="34"/>
        <w:widowControl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5.组织实施促进全县出生人口性别平衡的政策措施，组织监测计划生育发展动态，负责全县计划生育相关数据采集和分析研究，提出发布计划生育安全预警预报信息建议，制定计划生育技术服务管理制度并监督实施，制定优生优育和提高出生人口素质的政策措施并组织实施，推动实施计划生育生殖健康促进计划，降低出生缺陷人口数量。</w:t>
      </w:r>
    </w:p>
    <w:p>
      <w:pPr>
        <w:pStyle w:val="34"/>
        <w:widowControl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6.实施“三项制度”，组织建立计划生育利益导向、计划生育特殊困难家庭扶助和促进计划生育家庭发展等机制，负责协调推进有关部门、群众团体履行计划生育工作相关职责，建立与经济社会发展政策的衔接机制，提出稳定低生育水平政策措施。</w:t>
      </w:r>
    </w:p>
    <w:p>
      <w:pPr>
        <w:pStyle w:val="34"/>
        <w:widowControl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7.制定我县实施流动人口计划生育服务管理制度并组织落实，推动建立流动人口卫生计生信息共享与公共服务工作机制。</w:t>
      </w:r>
    </w:p>
    <w:p>
      <w:pPr>
        <w:pStyle w:val="34"/>
        <w:widowControl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8.负责组织拟订并实施基层卫生和妇幼卫生、计划生育服务发展规划和政策措施，指导全县基层卫生和妇幼卫生、计划生育服务体系建设，推进基本公共卫生计生服务均等化，完善乡村医生管理制度。</w:t>
      </w:r>
    </w:p>
    <w:p>
      <w:pPr>
        <w:pStyle w:val="34"/>
        <w:widowControl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9.组织实施全县医疗机构及医疗服务全行业管理办法及医疗服务、医疗技术、医疗质量、医疗安全管的规范、标准，会同有关部门贯彻执行国家卫生计生专业技术人员准入、资格标准。制定和实施卫生计生专业技术人员执业规则和服务规范，建立医疗服务评价和监督管理体系。</w:t>
      </w:r>
    </w:p>
    <w:p>
      <w:pPr>
        <w:widowControl w:val="0"/>
        <w:spacing w:line="600" w:lineRule="exact"/>
        <w:ind w:firstLine="640" w:firstLineChars="200"/>
        <w:jc w:val="both"/>
        <w:rPr>
          <w:rFonts w:hint="eastAsia" w:ascii="仿宋" w:hAnsi="仿宋" w:eastAsia="仿宋" w:cs="宋体"/>
          <w:sz w:val="32"/>
          <w:szCs w:val="32"/>
          <w:lang w:bidi="ar"/>
        </w:rPr>
      </w:pPr>
      <w:r>
        <w:rPr>
          <w:rFonts w:hint="eastAsia" w:ascii="仿宋" w:hAnsi="仿宋" w:eastAsia="仿宋" w:cs="Times New Roman"/>
          <w:sz w:val="32"/>
          <w:szCs w:val="32"/>
          <w:lang w:bidi="ar"/>
        </w:rPr>
        <w:t>10.</w:t>
      </w:r>
      <w:r>
        <w:rPr>
          <w:rFonts w:hint="eastAsia" w:ascii="仿宋" w:hAnsi="仿宋" w:eastAsia="仿宋" w:cs="宋体"/>
          <w:sz w:val="32"/>
          <w:szCs w:val="32"/>
          <w:lang w:bidi="ar"/>
        </w:rPr>
        <w:t>负责卫生计生政策宣传、全民健康教育、健康促进等工作。依法组织实施统计调查，开展全县人口基础信息库建设。</w:t>
      </w:r>
    </w:p>
    <w:p>
      <w:pPr>
        <w:pStyle w:val="4"/>
        <w:spacing w:before="120" w:after="120"/>
      </w:pPr>
      <w:r>
        <w:rPr>
          <w:rFonts w:hint="eastAsia" w:ascii="Times New Roman" w:hAnsi="Times New Roman" w:eastAsia="黑体"/>
          <w:b w:val="0"/>
          <w:sz w:val="32"/>
        </w:rPr>
        <w:t>二、机构设置</w:t>
      </w:r>
    </w:p>
    <w:p>
      <w:pPr>
        <w:widowControl w:val="0"/>
        <w:spacing w:line="600" w:lineRule="exact"/>
        <w:ind w:firstLine="640" w:firstLineChars="200"/>
        <w:jc w:val="both"/>
        <w:rPr>
          <w:rFonts w:hint="eastAsia" w:ascii="仿宋" w:hAnsi="仿宋" w:eastAsia="仿宋"/>
          <w:sz w:val="32"/>
        </w:rPr>
      </w:pPr>
      <w:r>
        <w:rPr>
          <w:rFonts w:hint="eastAsia" w:ascii="仿宋" w:hAnsi="仿宋" w:eastAsia="仿宋" w:cs="仿宋"/>
          <w:sz w:val="32"/>
          <w:szCs w:val="32"/>
          <w:lang w:bidi="ar"/>
        </w:rPr>
        <w:t>壤塘县卫生健康局下属二级预算单位</w:t>
      </w:r>
      <w:r>
        <w:rPr>
          <w:rFonts w:hint="eastAsia" w:ascii="仿宋" w:hAnsi="仿宋" w:eastAsia="仿宋" w:cs="Times New Roman"/>
          <w:sz w:val="32"/>
          <w:szCs w:val="32"/>
          <w:lang w:bidi="ar"/>
        </w:rPr>
        <w:t>17</w:t>
      </w:r>
      <w:r>
        <w:rPr>
          <w:rFonts w:hint="eastAsia" w:ascii="仿宋" w:hAnsi="仿宋" w:eastAsia="仿宋" w:cs="仿宋"/>
          <w:sz w:val="32"/>
          <w:szCs w:val="32"/>
          <w:lang w:bidi="ar"/>
        </w:rPr>
        <w:t>个，其中行政单位</w:t>
      </w:r>
      <w:r>
        <w:rPr>
          <w:rFonts w:hint="eastAsia" w:ascii="仿宋" w:hAnsi="仿宋" w:eastAsia="仿宋" w:cs="Times New Roman"/>
          <w:sz w:val="32"/>
          <w:szCs w:val="32"/>
          <w:lang w:bidi="ar"/>
        </w:rPr>
        <w:t>0</w:t>
      </w:r>
      <w:r>
        <w:rPr>
          <w:rFonts w:hint="eastAsia" w:ascii="仿宋" w:hAnsi="仿宋" w:eastAsia="仿宋" w:cs="仿宋"/>
          <w:sz w:val="32"/>
          <w:szCs w:val="32"/>
          <w:lang w:bidi="ar"/>
        </w:rPr>
        <w:t>个，参照公务员法管理的事业单位</w:t>
      </w:r>
      <w:r>
        <w:rPr>
          <w:rFonts w:hint="eastAsia" w:ascii="仿宋" w:hAnsi="仿宋" w:eastAsia="仿宋" w:cs="Times New Roman"/>
          <w:sz w:val="32"/>
          <w:szCs w:val="32"/>
          <w:lang w:bidi="ar"/>
        </w:rPr>
        <w:t>0</w:t>
      </w:r>
      <w:r>
        <w:rPr>
          <w:rFonts w:hint="eastAsia" w:ascii="仿宋" w:hAnsi="仿宋" w:eastAsia="仿宋" w:cs="仿宋"/>
          <w:sz w:val="32"/>
          <w:szCs w:val="32"/>
          <w:lang w:bidi="ar"/>
        </w:rPr>
        <w:t>个，其他事业单位</w:t>
      </w:r>
      <w:r>
        <w:rPr>
          <w:rFonts w:hint="eastAsia" w:ascii="仿宋" w:hAnsi="仿宋" w:eastAsia="仿宋" w:cs="Times New Roman"/>
          <w:sz w:val="32"/>
          <w:szCs w:val="32"/>
          <w:lang w:bidi="ar"/>
        </w:rPr>
        <w:t>17</w:t>
      </w:r>
      <w:r>
        <w:rPr>
          <w:rFonts w:hint="eastAsia" w:ascii="仿宋" w:hAnsi="仿宋" w:eastAsia="仿宋" w:cs="仿宋"/>
          <w:sz w:val="32"/>
          <w:szCs w:val="32"/>
          <w:lang w:bidi="ar"/>
        </w:rPr>
        <w:t>个。</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仿宋"/>
          <w:sz w:val="32"/>
          <w:szCs w:val="32"/>
        </w:rPr>
        <w:t>纳入壤塘县卫生健康局</w:t>
      </w:r>
      <w:r>
        <w:rPr>
          <w:rFonts w:hint="eastAsia" w:ascii="仿宋" w:hAnsi="仿宋" w:eastAsia="仿宋" w:cs="Times New Roman"/>
          <w:sz w:val="32"/>
          <w:szCs w:val="32"/>
        </w:rPr>
        <w:t>2024</w:t>
      </w:r>
      <w:r>
        <w:rPr>
          <w:rFonts w:hint="eastAsia" w:ascii="仿宋" w:hAnsi="仿宋" w:eastAsia="仿宋" w:cs="仿宋"/>
          <w:sz w:val="32"/>
          <w:szCs w:val="32"/>
        </w:rPr>
        <w:t>年度部门决算编制范围的二级预算单位包括：</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bookmarkStart w:id="0" w:name="_Toc15306277"/>
      <w:bookmarkEnd w:id="0"/>
      <w:r>
        <w:rPr>
          <w:rFonts w:hint="eastAsia" w:ascii="仿宋" w:hAnsi="仿宋" w:eastAsia="仿宋" w:cs="Times New Roman"/>
          <w:sz w:val="32"/>
          <w:szCs w:val="32"/>
        </w:rPr>
        <w:t>1.</w:t>
      </w:r>
      <w:bookmarkStart w:id="1" w:name="_Toc15377203"/>
      <w:bookmarkEnd w:id="1"/>
      <w:bookmarkStart w:id="2" w:name="_Toc15378450"/>
      <w:bookmarkEnd w:id="2"/>
      <w:bookmarkStart w:id="3" w:name="_Toc15377434"/>
      <w:bookmarkEnd w:id="3"/>
      <w:bookmarkStart w:id="4" w:name="_Toc79163608"/>
      <w:r>
        <w:rPr>
          <w:rFonts w:hint="eastAsia" w:ascii="仿宋" w:hAnsi="仿宋" w:eastAsia="仿宋" w:cs="仿宋"/>
          <w:sz w:val="32"/>
          <w:szCs w:val="32"/>
        </w:rPr>
        <w:t>壤塘县</w:t>
      </w:r>
      <w:bookmarkEnd w:id="4"/>
      <w:r>
        <w:rPr>
          <w:rFonts w:hint="eastAsia" w:ascii="仿宋" w:hAnsi="仿宋" w:eastAsia="仿宋" w:cs="仿宋"/>
          <w:sz w:val="32"/>
          <w:szCs w:val="32"/>
        </w:rPr>
        <w:t>人民医院；</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2.</w:t>
      </w:r>
      <w:r>
        <w:rPr>
          <w:rFonts w:hint="eastAsia" w:ascii="仿宋" w:hAnsi="仿宋" w:eastAsia="仿宋" w:cs="仿宋"/>
          <w:sz w:val="32"/>
          <w:szCs w:val="32"/>
        </w:rPr>
        <w:t>壤塘县疾病预防控制中心；</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3.</w:t>
      </w:r>
      <w:r>
        <w:rPr>
          <w:rFonts w:hint="eastAsia" w:ascii="仿宋" w:hAnsi="仿宋" w:eastAsia="仿宋" w:cs="仿宋"/>
          <w:sz w:val="32"/>
          <w:szCs w:val="32"/>
        </w:rPr>
        <w:t>壤塘县妇幼保健计划生育服务中心；</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4.</w:t>
      </w:r>
      <w:r>
        <w:rPr>
          <w:rFonts w:hint="eastAsia" w:ascii="仿宋" w:hAnsi="仿宋" w:eastAsia="仿宋" w:cs="仿宋"/>
          <w:sz w:val="32"/>
          <w:szCs w:val="32"/>
        </w:rPr>
        <w:t>壤塘县藏医院；</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5.</w:t>
      </w:r>
      <w:r>
        <w:rPr>
          <w:rFonts w:hint="eastAsia" w:ascii="仿宋" w:hAnsi="仿宋" w:eastAsia="仿宋" w:cs="仿宋"/>
          <w:sz w:val="32"/>
          <w:szCs w:val="32"/>
        </w:rPr>
        <w:t>壤塘县上寨中心卫生院；</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6.</w:t>
      </w:r>
      <w:r>
        <w:rPr>
          <w:rFonts w:hint="eastAsia" w:ascii="仿宋" w:hAnsi="仿宋" w:eastAsia="仿宋" w:cs="仿宋"/>
          <w:sz w:val="32"/>
          <w:szCs w:val="32"/>
        </w:rPr>
        <w:t>壤塘县蒲西乡卫生院；</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7.</w:t>
      </w:r>
      <w:r>
        <w:rPr>
          <w:rFonts w:hint="eastAsia" w:ascii="仿宋" w:hAnsi="仿宋" w:eastAsia="仿宋" w:cs="仿宋"/>
          <w:sz w:val="32"/>
          <w:szCs w:val="32"/>
        </w:rPr>
        <w:t>壤塘县宗科乡卫生院；</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8.</w:t>
      </w:r>
      <w:r>
        <w:rPr>
          <w:rFonts w:hint="eastAsia" w:ascii="仿宋" w:hAnsi="仿宋" w:eastAsia="仿宋" w:cs="仿宋"/>
          <w:sz w:val="32"/>
          <w:szCs w:val="32"/>
        </w:rPr>
        <w:t>壤塘县石里乡卫生院；</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9.</w:t>
      </w:r>
      <w:r>
        <w:rPr>
          <w:rFonts w:hint="eastAsia" w:ascii="仿宋" w:hAnsi="仿宋" w:eastAsia="仿宋" w:cs="仿宋"/>
          <w:sz w:val="32"/>
          <w:szCs w:val="32"/>
        </w:rPr>
        <w:t>壤塘县吾依乡卫生院；</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10.</w:t>
      </w:r>
      <w:r>
        <w:rPr>
          <w:rFonts w:hint="eastAsia" w:ascii="仿宋" w:hAnsi="仿宋" w:eastAsia="仿宋" w:cs="仿宋"/>
          <w:sz w:val="32"/>
          <w:szCs w:val="32"/>
        </w:rPr>
        <w:t>壤塘县岗木达乡卫生院；</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11.</w:t>
      </w:r>
      <w:r>
        <w:rPr>
          <w:rFonts w:hint="eastAsia" w:ascii="仿宋" w:hAnsi="仿宋" w:eastAsia="仿宋" w:cs="仿宋"/>
          <w:sz w:val="32"/>
          <w:szCs w:val="32"/>
        </w:rPr>
        <w:t>壤塘县上杜柯乡卫生院；</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12.</w:t>
      </w:r>
      <w:r>
        <w:rPr>
          <w:rFonts w:hint="eastAsia" w:ascii="仿宋" w:hAnsi="仿宋" w:eastAsia="仿宋" w:cs="仿宋"/>
          <w:sz w:val="32"/>
          <w:szCs w:val="32"/>
        </w:rPr>
        <w:t>壤塘县南木达中心卫生院；</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13.</w:t>
      </w:r>
      <w:r>
        <w:rPr>
          <w:rFonts w:hint="eastAsia" w:ascii="仿宋" w:hAnsi="仿宋" w:eastAsia="仿宋" w:cs="仿宋"/>
          <w:sz w:val="32"/>
          <w:szCs w:val="32"/>
        </w:rPr>
        <w:t>壤塘县尕多乡卫生院；</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14.</w:t>
      </w:r>
      <w:r>
        <w:rPr>
          <w:rFonts w:hint="eastAsia" w:ascii="仿宋" w:hAnsi="仿宋" w:eastAsia="仿宋" w:cs="仿宋"/>
          <w:sz w:val="32"/>
          <w:szCs w:val="32"/>
        </w:rPr>
        <w:t>壤塘县茸木达乡卫生院；</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15.</w:t>
      </w:r>
      <w:r>
        <w:rPr>
          <w:rFonts w:hint="eastAsia" w:ascii="仿宋" w:hAnsi="仿宋" w:eastAsia="仿宋" w:cs="仿宋"/>
          <w:sz w:val="32"/>
          <w:szCs w:val="32"/>
        </w:rPr>
        <w:t>壤塘县中壤塘镇卫生院；</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16.</w:t>
      </w:r>
      <w:r>
        <w:rPr>
          <w:rFonts w:hint="eastAsia" w:ascii="仿宋" w:hAnsi="仿宋" w:eastAsia="仿宋" w:cs="仿宋"/>
          <w:sz w:val="32"/>
          <w:szCs w:val="32"/>
        </w:rPr>
        <w:t>壤塘县上壤塘乡卫生院；</w:t>
      </w:r>
    </w:p>
    <w:p>
      <w:pPr>
        <w:pStyle w:val="34"/>
        <w:widowControl w:val="0"/>
        <w:adjustRightInd w:val="0"/>
        <w:spacing w:beforeAutospacing="0" w:afterAutospacing="0" w:line="600" w:lineRule="exact"/>
        <w:ind w:firstLine="640" w:firstLineChars="200"/>
        <w:jc w:val="both"/>
        <w:rPr>
          <w:rFonts w:hint="eastAsia" w:ascii="仿宋" w:hAnsi="仿宋" w:eastAsia="仿宋"/>
          <w:sz w:val="32"/>
        </w:rPr>
      </w:pPr>
      <w:r>
        <w:rPr>
          <w:rFonts w:hint="eastAsia" w:ascii="仿宋" w:hAnsi="仿宋" w:eastAsia="仿宋" w:cs="Times New Roman"/>
          <w:sz w:val="32"/>
          <w:szCs w:val="32"/>
        </w:rPr>
        <w:t>17.</w:t>
      </w:r>
      <w:r>
        <w:rPr>
          <w:rFonts w:hint="eastAsia" w:ascii="仿宋" w:hAnsi="仿宋" w:eastAsia="仿宋" w:cs="仿宋"/>
          <w:sz w:val="32"/>
          <w:szCs w:val="32"/>
        </w:rPr>
        <w:t>壤塘县岗木达镇社区卫生服务中心。</w:t>
      </w:r>
    </w:p>
    <w:p>
      <w:r>
        <w:br w:type="page"/>
      </w:r>
    </w:p>
    <w:p>
      <w:pPr>
        <w:pStyle w:val="3"/>
        <w:spacing w:before="120" w:after="120"/>
        <w:jc w:val="center"/>
      </w:pPr>
      <w:r>
        <w:rPr>
          <w:rFonts w:hint="eastAsia" w:ascii="Times New Roman" w:hAnsi="Times New Roman" w:eastAsia="黑体"/>
          <w:b w:val="0"/>
          <w:sz w:val="32"/>
        </w:rPr>
        <w:t>第二部分  2025年度部门决算情况说明</w:t>
      </w:r>
    </w:p>
    <w:p>
      <w:pPr>
        <w:pStyle w:val="4"/>
        <w:spacing w:before="120" w:after="120"/>
      </w:pPr>
      <w:r>
        <w:rPr>
          <w:rFonts w:hint="eastAsia" w:ascii="Times New Roman" w:hAnsi="Times New Roman" w:eastAsia="黑体"/>
          <w:b w:val="0"/>
          <w:sz w:val="32"/>
        </w:rPr>
        <w:t>一、收入支出决算总体情况说明</w:t>
      </w:r>
    </w:p>
    <w:p>
      <w:pPr>
        <w:spacing w:before="0" w:after="0" w:line="560" w:lineRule="exact"/>
        <w:ind w:firstLine="640"/>
      </w:pPr>
      <w:r>
        <w:rPr>
          <w:rFonts w:hint="eastAsia" w:ascii="Times New Roman" w:hAnsi="Times New Roman" w:eastAsia="仿宋"/>
          <w:b w:val="0"/>
          <w:sz w:val="32"/>
        </w:rPr>
        <w:t>2025年度收入、支出总计均为4646.99万元。与上年度相比，收入总计增加2247.52万元，增长93.67%；支出总计增加2247.52万元，增长93.67%。其中：本年收入合计4646.99万元，年初结转和结余0万元；本年支出合计4646.99万元，年末结转和结余0万元。</w:t>
      </w:r>
    </w:p>
    <w:p>
      <w:pPr>
        <w:spacing w:before="0" w:after="0" w:line="560" w:lineRule="exact"/>
        <w:ind w:firstLine="640"/>
      </w:pPr>
      <w:r>
        <w:rPr>
          <w:rFonts w:hint="eastAsia" w:ascii="Times New Roman" w:hAnsi="Times New Roman" w:eastAsia="仿宋"/>
          <w:b w:val="0"/>
          <w:sz w:val="32"/>
        </w:rPr>
        <w:t>主要变动原因：一是政府性基金预算财政拨款收入（专项债券资金及彩票公益金）由上年0万元增加到2200万元，相应安排支出2200万元；二是基本支出随人员经费正常增长小幅增加，项目支出因新增债券资金及托育服务等项目投入增加较多。</w:t>
      </w:r>
    </w:p>
    <w:p>
      <w:pPr>
        <w:spacing w:before="120" w:after="120"/>
        <w:jc w:val="center"/>
      </w:pPr>
      <w:r>
        <w:drawing>
          <wp:inline distT="0" distB="0" distL="0" distR="0">
            <wp:extent cx="3815715" cy="2519680"/>
            <wp:effectExtent l="0" t="0" r="0" b="0"/>
            <wp:docPr id="2"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1"/>
                    <pic:cNvPicPr>
                      <a:picLocks noChangeAspect="1"/>
                    </pic:cNvPicPr>
                  </pic:nvPicPr>
                  <pic:blipFill>
                    <a:blip r:embed="rId8"/>
                    <a:stretch>
                      <a:fillRect/>
                    </a:stretch>
                  </pic:blipFill>
                  <pic:spPr>
                    <a:xfrm>
                      <a:off x="0" y="0"/>
                      <a:ext cx="3816000" cy="2520000"/>
                    </a:xfrm>
                    <a:prstGeom prst="rect">
                      <a:avLst/>
                    </a:prstGeom>
                  </pic:spPr>
                </pic:pic>
              </a:graphicData>
            </a:graphic>
          </wp:inline>
        </w:drawing>
      </w:r>
    </w:p>
    <w:p>
      <w:pPr>
        <w:pStyle w:val="4"/>
        <w:spacing w:before="120" w:after="120"/>
      </w:pPr>
      <w:r>
        <w:rPr>
          <w:rFonts w:hint="eastAsia" w:ascii="Times New Roman" w:hAnsi="Times New Roman" w:eastAsia="黑体"/>
          <w:b w:val="0"/>
          <w:sz w:val="32"/>
        </w:rPr>
        <w:t>二、收入决算情况说明</w:t>
      </w:r>
    </w:p>
    <w:p>
      <w:pPr>
        <w:spacing w:before="0" w:after="0" w:line="560" w:lineRule="exact"/>
        <w:ind w:firstLine="640"/>
      </w:pPr>
      <w:r>
        <w:rPr>
          <w:rFonts w:hint="eastAsia" w:ascii="Times New Roman" w:hAnsi="Times New Roman" w:eastAsia="仿宋"/>
          <w:b w:val="0"/>
          <w:sz w:val="32"/>
        </w:rPr>
        <w:t>2025年度本年收入合计4646.99万元，比上年增加2247.52万元，增长93.67%。其中：一般公共预算财政拨款收入2446.99万元，占52.66%；政府性基金预算财政拨款收入2200万元，占47.34%；国有资本经营预算财政拨款收入0万元；上级补助收入0万元；事业收入0万元；经营收入0万元；附属单位上缴收入0万元；其他收入0万元。收入增长的主要原因：本年新增政府性基金预算财政拨款收入2200万元（其中其他地方自行试点项目收益专项债券收入安排的支出2000万元、用于城乡医疗救助的彩票公益金支出200万元），一般公共预算财政拨款收入较上年增加47.52万元，增长1.98%。</w:t>
      </w:r>
    </w:p>
    <w:p>
      <w:pPr>
        <w:spacing w:before="120" w:after="120"/>
        <w:jc w:val="center"/>
      </w:pPr>
      <w:r>
        <w:drawing>
          <wp:inline distT="0" distB="0" distL="0" distR="0">
            <wp:extent cx="4175760" cy="1943735"/>
            <wp:effectExtent l="0" t="0" r="0" b="0"/>
            <wp:docPr id="5"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2"/>
                    <pic:cNvPicPr>
                      <a:picLocks noChangeAspect="1"/>
                    </pic:cNvPicPr>
                  </pic:nvPicPr>
                  <pic:blipFill>
                    <a:blip r:embed="rId9"/>
                    <a:stretch>
                      <a:fillRect/>
                    </a:stretch>
                  </pic:blipFill>
                  <pic:spPr>
                    <a:xfrm>
                      <a:off x="0" y="0"/>
                      <a:ext cx="4176000" cy="1944000"/>
                    </a:xfrm>
                    <a:prstGeom prst="rect">
                      <a:avLst/>
                    </a:prstGeom>
                  </pic:spPr>
                </pic:pic>
              </a:graphicData>
            </a:graphic>
          </wp:inline>
        </w:drawing>
      </w:r>
    </w:p>
    <w:p>
      <w:pPr>
        <w:pStyle w:val="4"/>
        <w:spacing w:before="120" w:after="120"/>
      </w:pPr>
      <w:r>
        <w:rPr>
          <w:rFonts w:hint="eastAsia" w:ascii="Times New Roman" w:hAnsi="Times New Roman" w:eastAsia="黑体"/>
          <w:b w:val="0"/>
          <w:sz w:val="32"/>
        </w:rPr>
        <w:t>三、支出决算情况说明</w:t>
      </w:r>
    </w:p>
    <w:p>
      <w:pPr>
        <w:spacing w:before="0" w:after="0" w:line="560" w:lineRule="exact"/>
        <w:ind w:firstLine="640"/>
      </w:pPr>
      <w:r>
        <w:rPr>
          <w:rFonts w:hint="eastAsia" w:ascii="Times New Roman" w:hAnsi="Times New Roman" w:eastAsia="仿宋"/>
          <w:b w:val="0"/>
          <w:sz w:val="32"/>
        </w:rPr>
        <w:t>2025年度本年支出合计4646.99万元，比上年增加2247.52万元，增长93.67%。其中：基本支出505.19万元，占10.87%，比上年增加47.43万元，增长10.36%；项目支出4141.80万元，占89.13%，比上年增加2200.09万元，增长113.31%；上缴上级支出0万元；经营支出0万元；对附属单位补助支出0万元。支出增长的主要</w:t>
      </w:r>
      <w:r>
        <w:rPr>
          <w:rFonts w:hint="eastAsia"/>
          <w:b w:val="0"/>
          <w:sz w:val="32"/>
          <w:lang w:eastAsia="zh-CN"/>
        </w:rPr>
        <w:t>原因</w:t>
      </w:r>
      <w:r>
        <w:rPr>
          <w:rFonts w:hint="eastAsia" w:ascii="Times New Roman" w:hAnsi="Times New Roman" w:eastAsia="仿宋"/>
          <w:b w:val="0"/>
          <w:sz w:val="32"/>
        </w:rPr>
        <w:t>政府性基金预算安排的项目支出增加2200万元。</w:t>
      </w:r>
    </w:p>
    <w:p>
      <w:pPr>
        <w:spacing w:before="120" w:after="120"/>
        <w:jc w:val="center"/>
      </w:pPr>
      <w:r>
        <w:drawing>
          <wp:inline distT="0" distB="0" distL="0" distR="0">
            <wp:extent cx="4175760" cy="1943735"/>
            <wp:effectExtent l="0" t="0" r="0" b="0"/>
            <wp:docPr id="8"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3"/>
                    <pic:cNvPicPr>
                      <a:picLocks noChangeAspect="1"/>
                    </pic:cNvPicPr>
                  </pic:nvPicPr>
                  <pic:blipFill>
                    <a:blip r:embed="rId10"/>
                    <a:stretch>
                      <a:fillRect/>
                    </a:stretch>
                  </pic:blipFill>
                  <pic:spPr>
                    <a:xfrm>
                      <a:off x="0" y="0"/>
                      <a:ext cx="4176000" cy="1944000"/>
                    </a:xfrm>
                    <a:prstGeom prst="rect">
                      <a:avLst/>
                    </a:prstGeom>
                  </pic:spPr>
                </pic:pic>
              </a:graphicData>
            </a:graphic>
          </wp:inline>
        </w:drawing>
      </w:r>
    </w:p>
    <w:p>
      <w:pPr>
        <w:pStyle w:val="4"/>
        <w:spacing w:before="120" w:after="120"/>
      </w:pPr>
      <w:r>
        <w:rPr>
          <w:rFonts w:hint="eastAsia" w:ascii="Times New Roman" w:hAnsi="Times New Roman" w:eastAsia="黑体"/>
          <w:b w:val="0"/>
          <w:sz w:val="32"/>
        </w:rPr>
        <w:t>四、财政拨款收入支出决算总体情况说明</w:t>
      </w:r>
    </w:p>
    <w:p>
      <w:pPr>
        <w:spacing w:before="0" w:after="0" w:line="560" w:lineRule="exact"/>
        <w:ind w:firstLine="640"/>
      </w:pPr>
      <w:r>
        <w:rPr>
          <w:rFonts w:hint="eastAsia" w:ascii="Times New Roman" w:hAnsi="Times New Roman" w:eastAsia="仿宋"/>
          <w:b w:val="0"/>
          <w:sz w:val="32"/>
        </w:rPr>
        <w:t>2025年度财政拨款收入、支出总计均为4646.99万元。与上年度相比，财政拨款收入、支出总计各增加2247.52万元，增长93.67%。其中：一般公共预算财政拨款2446.99万元，较上年增加47.52万元，增长1.98%；政府性基金预算财政拨款2200万元，上年为0万元，属本年新增；国有资本经营预算财政拨款0万元。主要变动</w:t>
      </w:r>
      <w:r>
        <w:rPr>
          <w:rFonts w:hint="eastAsia"/>
          <w:b w:val="0"/>
          <w:sz w:val="32"/>
          <w:lang w:eastAsia="zh-CN"/>
        </w:rPr>
        <w:t>原因</w:t>
      </w:r>
      <w:r>
        <w:rPr>
          <w:rFonts w:hint="eastAsia" w:ascii="Times New Roman" w:hAnsi="Times New Roman" w:eastAsia="仿宋"/>
          <w:b w:val="0"/>
          <w:sz w:val="32"/>
        </w:rPr>
        <w:t>本年新增政府性基金预算财政拨款2200万元（专项债券资金及彩票公益金），用于城乡医疗救助及其他卫生健康项目支出。</w:t>
      </w:r>
    </w:p>
    <w:p>
      <w:pPr>
        <w:spacing w:before="120" w:after="120"/>
        <w:jc w:val="center"/>
      </w:pPr>
      <w:r>
        <w:drawing>
          <wp:inline distT="0" distB="0" distL="0" distR="0">
            <wp:extent cx="4031615" cy="2519680"/>
            <wp:effectExtent l="0" t="0" r="0" b="0"/>
            <wp:docPr id="11"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4"/>
                    <pic:cNvPicPr>
                      <a:picLocks noChangeAspect="1"/>
                    </pic:cNvPicPr>
                  </pic:nvPicPr>
                  <pic:blipFill>
                    <a:blip r:embed="rId11"/>
                    <a:stretch>
                      <a:fillRect/>
                    </a:stretch>
                  </pic:blipFill>
                  <pic:spPr>
                    <a:xfrm>
                      <a:off x="0" y="0"/>
                      <a:ext cx="4031999" cy="2520000"/>
                    </a:xfrm>
                    <a:prstGeom prst="rect">
                      <a:avLst/>
                    </a:prstGeom>
                  </pic:spPr>
                </pic:pic>
              </a:graphicData>
            </a:graphic>
          </wp:inline>
        </w:drawing>
      </w:r>
    </w:p>
    <w:p>
      <w:pPr>
        <w:pStyle w:val="4"/>
        <w:spacing w:before="120" w:after="120"/>
      </w:pPr>
      <w:r>
        <w:rPr>
          <w:rFonts w:hint="eastAsia" w:ascii="Times New Roman" w:hAnsi="Times New Roman" w:eastAsia="黑体"/>
          <w:b w:val="0"/>
          <w:sz w:val="32"/>
        </w:rPr>
        <w:t>五、一般公共预算财政拨款支出决算情况说明</w:t>
      </w:r>
    </w:p>
    <w:p>
      <w:pPr>
        <w:spacing w:before="0" w:after="0" w:line="560" w:lineRule="exact"/>
        <w:ind w:firstLine="640"/>
      </w:pPr>
      <w:r>
        <w:rPr>
          <w:rFonts w:hint="eastAsia" w:ascii="Times New Roman" w:hAnsi="Times New Roman" w:eastAsia="楷体"/>
          <w:b w:val="0"/>
          <w:sz w:val="32"/>
        </w:rPr>
        <w:t>（一）一般公共预算财政拨款支出决算总体情况</w:t>
      </w:r>
    </w:p>
    <w:p>
      <w:pPr>
        <w:spacing w:before="0" w:after="0" w:line="560" w:lineRule="exact"/>
        <w:ind w:firstLine="640"/>
      </w:pPr>
      <w:r>
        <w:rPr>
          <w:rFonts w:hint="eastAsia" w:ascii="Times New Roman" w:hAnsi="Times New Roman" w:eastAsia="仿宋"/>
          <w:b w:val="0"/>
          <w:sz w:val="32"/>
        </w:rPr>
        <w:t>2025年度一般公共预算财政拨款支出2446.99万元，占本年支出合计的52.66%。与上年度相比，一般公共预算财政拨款支出增加47.52万元，增长1.98%。主要变动</w:t>
      </w:r>
      <w:r>
        <w:rPr>
          <w:rFonts w:hint="eastAsia"/>
          <w:b w:val="0"/>
          <w:sz w:val="32"/>
          <w:lang w:eastAsia="zh-CN"/>
        </w:rPr>
        <w:t>原因</w:t>
      </w:r>
      <w:r>
        <w:rPr>
          <w:rFonts w:hint="eastAsia" w:ascii="Times New Roman" w:hAnsi="Times New Roman" w:eastAsia="仿宋"/>
          <w:b w:val="0"/>
          <w:sz w:val="32"/>
        </w:rPr>
        <w:t>基本支出中人员经费随工资政策调整及社保缴费基数变化增加47.43万元，项目支出中农林水支出（</w:t>
      </w:r>
      <w:r>
        <w:rPr>
          <w:rFonts w:hint="eastAsia"/>
          <w:b w:val="0"/>
          <w:sz w:val="32"/>
          <w:lang w:eastAsia="zh-CN"/>
        </w:rPr>
        <w:t>巩固拓展脱贫攻坚成果</w:t>
      </w:r>
      <w:r>
        <w:rPr>
          <w:rFonts w:hint="eastAsia" w:ascii="Times New Roman" w:hAnsi="Times New Roman" w:eastAsia="仿宋"/>
          <w:b w:val="0"/>
          <w:sz w:val="32"/>
        </w:rPr>
        <w:t>果衔接乡村振兴）增加300万元，卫生健康支出相应减少。</w:t>
      </w:r>
    </w:p>
    <w:p>
      <w:pPr>
        <w:spacing w:before="120" w:after="120"/>
        <w:jc w:val="center"/>
      </w:pPr>
      <w:r>
        <w:drawing>
          <wp:inline distT="0" distB="0" distL="0" distR="0">
            <wp:extent cx="3455670" cy="2591435"/>
            <wp:effectExtent l="0" t="0" r="0" b="0"/>
            <wp:docPr id="14"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5"/>
                    <pic:cNvPicPr>
                      <a:picLocks noChangeAspect="1"/>
                    </pic:cNvPicPr>
                  </pic:nvPicPr>
                  <pic:blipFill>
                    <a:blip r:embed="rId12"/>
                    <a:stretch>
                      <a:fillRect/>
                    </a:stretch>
                  </pic:blipFill>
                  <pic:spPr>
                    <a:xfrm>
                      <a:off x="0" y="0"/>
                      <a:ext cx="3456000" cy="2592000"/>
                    </a:xfrm>
                    <a:prstGeom prst="rect">
                      <a:avLst/>
                    </a:prstGeom>
                  </pic:spPr>
                </pic:pic>
              </a:graphicData>
            </a:graphic>
          </wp:inline>
        </w:drawing>
      </w:r>
    </w:p>
    <w:p>
      <w:pPr>
        <w:spacing w:before="0" w:after="0" w:line="560" w:lineRule="exact"/>
        <w:ind w:firstLine="640"/>
      </w:pPr>
      <w:r>
        <w:rPr>
          <w:rFonts w:hint="eastAsia" w:ascii="Times New Roman" w:hAnsi="Times New Roman" w:eastAsia="楷体"/>
          <w:b w:val="0"/>
          <w:sz w:val="32"/>
        </w:rPr>
        <w:t>（二）一般公共预算财政拨款支出决算结构情况</w:t>
      </w:r>
    </w:p>
    <w:p>
      <w:pPr>
        <w:spacing w:before="0" w:after="0" w:line="560" w:lineRule="exact"/>
        <w:ind w:firstLine="640"/>
      </w:pPr>
      <w:r>
        <w:rPr>
          <w:rFonts w:hint="eastAsia" w:ascii="Times New Roman" w:hAnsi="Times New Roman" w:eastAsia="仿宋"/>
          <w:b w:val="0"/>
          <w:sz w:val="32"/>
        </w:rPr>
        <w:t>2025年度一般公共预算财政拨款支出2446.99万元，主要用于以下方面：社会保障和就业支出71.84万元，占2.94%，比上年增加11.79万元，增长19.63%；卫生健康支出2036.87万元，占83.24%，比上年减少267.65万元，下降11.61%；农林水支出300万元，占12.26%，上年为0万元，属本年新增；住房保障支出38.29万元，占1.57%，比上年增加7.27万元，增长23.44%。上述结构变化的主要</w:t>
      </w:r>
      <w:r>
        <w:rPr>
          <w:rFonts w:hint="eastAsia"/>
          <w:b w:val="0"/>
          <w:sz w:val="32"/>
          <w:lang w:eastAsia="zh-CN"/>
        </w:rPr>
        <w:t>原因</w:t>
      </w:r>
      <w:r>
        <w:rPr>
          <w:rFonts w:hint="eastAsia" w:ascii="Times New Roman" w:hAnsi="Times New Roman" w:eastAsia="仿宋"/>
          <w:b w:val="0"/>
          <w:sz w:val="32"/>
        </w:rPr>
        <w:t>本年安排</w:t>
      </w:r>
      <w:r>
        <w:rPr>
          <w:rFonts w:hint="eastAsia"/>
          <w:b w:val="0"/>
          <w:sz w:val="32"/>
          <w:lang w:eastAsia="zh-CN"/>
        </w:rPr>
        <w:t>巩固拓展脱贫攻坚成果</w:t>
      </w:r>
      <w:r>
        <w:rPr>
          <w:rFonts w:hint="eastAsia" w:ascii="Times New Roman" w:hAnsi="Times New Roman" w:eastAsia="仿宋"/>
          <w:b w:val="0"/>
          <w:sz w:val="32"/>
        </w:rPr>
        <w:t>果衔接乡村振兴资金300万元，同时卫生健康支出内部结构随项目安排调整有所减少。（仅罗列本部门涉及的全部功能分类科目，至类级）</w:t>
      </w:r>
    </w:p>
    <w:p>
      <w:pPr>
        <w:spacing w:before="120" w:after="120"/>
        <w:jc w:val="center"/>
      </w:pPr>
      <w:r>
        <w:drawing>
          <wp:inline distT="0" distB="0" distL="0" distR="0">
            <wp:extent cx="4247515" cy="2123440"/>
            <wp:effectExtent l="0" t="0" r="0" b="0"/>
            <wp:docPr id="17"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6"/>
                    <pic:cNvPicPr>
                      <a:picLocks noChangeAspect="1"/>
                    </pic:cNvPicPr>
                  </pic:nvPicPr>
                  <pic:blipFill>
                    <a:blip r:embed="rId13"/>
                    <a:stretch>
                      <a:fillRect/>
                    </a:stretch>
                  </pic:blipFill>
                  <pic:spPr>
                    <a:xfrm>
                      <a:off x="0" y="0"/>
                      <a:ext cx="4248000" cy="2124000"/>
                    </a:xfrm>
                    <a:prstGeom prst="rect">
                      <a:avLst/>
                    </a:prstGeom>
                  </pic:spPr>
                </pic:pic>
              </a:graphicData>
            </a:graphic>
          </wp:inline>
        </w:drawing>
      </w:r>
    </w:p>
    <w:p>
      <w:pPr>
        <w:spacing w:before="0" w:after="0" w:line="560" w:lineRule="exact"/>
        <w:ind w:firstLine="640"/>
      </w:pPr>
      <w:r>
        <w:rPr>
          <w:rFonts w:hint="eastAsia" w:ascii="Times New Roman" w:hAnsi="Times New Roman" w:eastAsia="楷体"/>
          <w:b w:val="0"/>
          <w:sz w:val="32"/>
        </w:rPr>
        <w:t>（三）一般公共预算财政拨款支出决算具体情况</w:t>
      </w:r>
    </w:p>
    <w:p>
      <w:pPr>
        <w:spacing w:before="0" w:after="0" w:line="560" w:lineRule="exact"/>
        <w:ind w:firstLine="640"/>
      </w:pPr>
      <w:r>
        <w:rPr>
          <w:rFonts w:hint="eastAsia" w:ascii="Times New Roman" w:hAnsi="Times New Roman" w:eastAsia="仿宋"/>
          <w:b w:val="0"/>
          <w:sz w:val="32"/>
        </w:rPr>
        <w:t>2025年度一般公共预算支出决算数为2446.99万元。按功能分类科目（至项级）具体情况如下：（注：公开报表未列示全年预算数，本报告仅列示支出决算数）</w:t>
      </w:r>
    </w:p>
    <w:p>
      <w:pPr>
        <w:spacing w:before="0" w:after="0" w:line="560" w:lineRule="exact"/>
        <w:ind w:firstLine="640"/>
      </w:pPr>
      <w:r>
        <w:rPr>
          <w:rFonts w:hint="eastAsia" w:ascii="Times New Roman" w:hAnsi="Times New Roman" w:eastAsia="仿宋"/>
          <w:b w:val="0"/>
          <w:sz w:val="32"/>
        </w:rPr>
        <w:t>1.社会保障和就业（类）行政事业单位养老（款）机关事业单位基本养老保险缴费支出（项）：支出决算为47.84万元。</w:t>
      </w:r>
    </w:p>
    <w:p>
      <w:pPr>
        <w:spacing w:before="0" w:after="0" w:line="560" w:lineRule="exact"/>
        <w:ind w:firstLine="640"/>
      </w:pPr>
      <w:r>
        <w:rPr>
          <w:rFonts w:hint="eastAsia" w:ascii="Times New Roman" w:hAnsi="Times New Roman" w:eastAsia="仿宋"/>
          <w:b w:val="0"/>
          <w:sz w:val="32"/>
        </w:rPr>
        <w:t>2.社会保障和就业（类）行政事业单位养老（款）机关事业单位职业年金缴费支出（项）：支出决算为24万元。</w:t>
      </w:r>
    </w:p>
    <w:p>
      <w:pPr>
        <w:spacing w:before="0" w:after="0" w:line="560" w:lineRule="exact"/>
        <w:ind w:firstLine="640"/>
      </w:pPr>
      <w:r>
        <w:rPr>
          <w:rFonts w:hint="eastAsia" w:ascii="Times New Roman" w:hAnsi="Times New Roman" w:eastAsia="仿宋"/>
          <w:b w:val="0"/>
          <w:sz w:val="32"/>
        </w:rPr>
        <w:t>3.卫生健康（类）卫生健康管理事务（款）行政运行（项）：支出决算为369.79万元。</w:t>
      </w:r>
    </w:p>
    <w:p>
      <w:pPr>
        <w:spacing w:before="0" w:after="0" w:line="560" w:lineRule="exact"/>
        <w:ind w:firstLine="640"/>
      </w:pPr>
      <w:r>
        <w:rPr>
          <w:rFonts w:hint="eastAsia" w:ascii="Times New Roman" w:hAnsi="Times New Roman" w:eastAsia="仿宋"/>
          <w:b w:val="0"/>
          <w:sz w:val="32"/>
        </w:rPr>
        <w:t>4.卫生健康（类）卫生健康管理事务（款）一般行政管理事务（项）：支出决算为34.42万元。</w:t>
      </w:r>
    </w:p>
    <w:p>
      <w:pPr>
        <w:spacing w:before="0" w:after="0" w:line="560" w:lineRule="exact"/>
        <w:ind w:firstLine="640"/>
      </w:pPr>
      <w:r>
        <w:rPr>
          <w:rFonts w:hint="eastAsia" w:ascii="Times New Roman" w:hAnsi="Times New Roman" w:eastAsia="仿宋"/>
          <w:b w:val="0"/>
          <w:sz w:val="32"/>
        </w:rPr>
        <w:t>5.卫生健康（类）卫生健康管理事务（款）其他卫生健康管理事务支出（项）：支出决算为156.27万元。</w:t>
      </w:r>
    </w:p>
    <w:p>
      <w:pPr>
        <w:spacing w:before="0" w:after="0" w:line="560" w:lineRule="exact"/>
        <w:ind w:firstLine="640"/>
      </w:pPr>
      <w:r>
        <w:rPr>
          <w:rFonts w:hint="eastAsia" w:ascii="Times New Roman" w:hAnsi="Times New Roman" w:eastAsia="仿宋"/>
          <w:b w:val="0"/>
          <w:sz w:val="32"/>
        </w:rPr>
        <w:t>6.卫生健康（类）公立医院（款）其他公立医院支出（项）：支出决算为195.67万元。</w:t>
      </w:r>
    </w:p>
    <w:p>
      <w:pPr>
        <w:spacing w:before="0" w:after="0" w:line="560" w:lineRule="exact"/>
        <w:ind w:firstLine="640"/>
      </w:pPr>
      <w:r>
        <w:rPr>
          <w:rFonts w:hint="eastAsia" w:ascii="Times New Roman" w:hAnsi="Times New Roman" w:eastAsia="仿宋"/>
          <w:b w:val="0"/>
          <w:sz w:val="32"/>
        </w:rPr>
        <w:t>7.卫生健康（类）基层医疗卫生机构（款）其他基层医疗卫生机构支出（项）：支出决算为195万元。</w:t>
      </w:r>
    </w:p>
    <w:p>
      <w:pPr>
        <w:spacing w:before="0" w:after="0" w:line="560" w:lineRule="exact"/>
        <w:ind w:firstLine="640"/>
      </w:pPr>
      <w:r>
        <w:rPr>
          <w:rFonts w:hint="eastAsia" w:ascii="Times New Roman" w:hAnsi="Times New Roman" w:eastAsia="仿宋"/>
          <w:b w:val="0"/>
          <w:sz w:val="32"/>
        </w:rPr>
        <w:t>8.卫生健康（类）公共卫生（款）基本公共卫生服务（项）：支出决算为37.56万元。</w:t>
      </w:r>
    </w:p>
    <w:p>
      <w:pPr>
        <w:spacing w:before="0" w:after="0" w:line="560" w:lineRule="exact"/>
        <w:ind w:firstLine="640"/>
      </w:pPr>
      <w:r>
        <w:rPr>
          <w:rFonts w:hint="eastAsia" w:ascii="Times New Roman" w:hAnsi="Times New Roman" w:eastAsia="仿宋"/>
          <w:b w:val="0"/>
          <w:sz w:val="32"/>
        </w:rPr>
        <w:t>9.卫生健康（类）公共卫生（款）重大公共卫生服务（项）：支出决算为1.28万元。</w:t>
      </w:r>
    </w:p>
    <w:p>
      <w:pPr>
        <w:spacing w:before="0" w:after="0" w:line="560" w:lineRule="exact"/>
        <w:ind w:firstLine="640"/>
      </w:pPr>
      <w:r>
        <w:rPr>
          <w:rFonts w:hint="eastAsia" w:ascii="Times New Roman" w:hAnsi="Times New Roman" w:eastAsia="仿宋"/>
          <w:b w:val="0"/>
          <w:sz w:val="32"/>
        </w:rPr>
        <w:t>10.卫生健康（类）公共卫生（款）其他公共卫生支出（项）：支出决算为311.46万元。</w:t>
      </w:r>
    </w:p>
    <w:p>
      <w:pPr>
        <w:spacing w:before="0" w:after="0" w:line="560" w:lineRule="exact"/>
        <w:ind w:firstLine="640"/>
      </w:pPr>
      <w:r>
        <w:rPr>
          <w:rFonts w:hint="eastAsia" w:ascii="Times New Roman" w:hAnsi="Times New Roman" w:eastAsia="仿宋"/>
          <w:b w:val="0"/>
          <w:sz w:val="32"/>
        </w:rPr>
        <w:t>11.卫生健康（类）计划生育事务（款）计划生育服务（项）：支出决算为51.57万元。</w:t>
      </w:r>
    </w:p>
    <w:p>
      <w:pPr>
        <w:spacing w:before="0" w:after="0" w:line="560" w:lineRule="exact"/>
        <w:ind w:firstLine="640"/>
      </w:pPr>
      <w:r>
        <w:rPr>
          <w:rFonts w:hint="eastAsia" w:ascii="Times New Roman" w:hAnsi="Times New Roman" w:eastAsia="仿宋"/>
          <w:b w:val="0"/>
          <w:sz w:val="32"/>
        </w:rPr>
        <w:t>12.卫生健康（类）计划生育事务（款）其他计划生育事务支出（项）：支出决算为90.73万元。</w:t>
      </w:r>
    </w:p>
    <w:p>
      <w:pPr>
        <w:spacing w:before="0" w:after="0" w:line="560" w:lineRule="exact"/>
        <w:ind w:firstLine="640"/>
      </w:pPr>
      <w:r>
        <w:rPr>
          <w:rFonts w:hint="eastAsia" w:ascii="Times New Roman" w:hAnsi="Times New Roman" w:eastAsia="仿宋"/>
          <w:b w:val="0"/>
          <w:sz w:val="32"/>
        </w:rPr>
        <w:t>13.卫生健康（类）行政事业单位医疗（款）行政单位医疗（项）：支出决算为19.79万元。</w:t>
      </w:r>
    </w:p>
    <w:p>
      <w:pPr>
        <w:spacing w:before="0" w:after="0" w:line="560" w:lineRule="exact"/>
        <w:ind w:firstLine="640"/>
      </w:pPr>
      <w:r>
        <w:rPr>
          <w:rFonts w:hint="eastAsia" w:ascii="Times New Roman" w:hAnsi="Times New Roman" w:eastAsia="仿宋"/>
          <w:b w:val="0"/>
          <w:sz w:val="32"/>
        </w:rPr>
        <w:t>14.卫生健康（类）行政事业单位医疗（款）公务员医疗补助（项）：支出决算为5.49万元。</w:t>
      </w:r>
    </w:p>
    <w:p>
      <w:pPr>
        <w:spacing w:before="0" w:after="0" w:line="560" w:lineRule="exact"/>
        <w:ind w:firstLine="640"/>
      </w:pPr>
      <w:r>
        <w:rPr>
          <w:rFonts w:hint="eastAsia" w:ascii="Times New Roman" w:hAnsi="Times New Roman" w:eastAsia="仿宋"/>
          <w:b w:val="0"/>
          <w:sz w:val="32"/>
        </w:rPr>
        <w:t>15.卫生健康（类）医疗救助（款）其他医疗救助支出（项）：支出决算为143.49万元。</w:t>
      </w:r>
    </w:p>
    <w:p>
      <w:pPr>
        <w:spacing w:before="0" w:after="0" w:line="560" w:lineRule="exact"/>
        <w:ind w:firstLine="640"/>
      </w:pPr>
      <w:r>
        <w:rPr>
          <w:rFonts w:hint="eastAsia" w:ascii="Times New Roman" w:hAnsi="Times New Roman" w:eastAsia="仿宋"/>
          <w:b w:val="0"/>
          <w:sz w:val="32"/>
        </w:rPr>
        <w:t>16.卫生健康（类）托育服务（款）其他托育服务支出（项）：支出决算为273.48万元。</w:t>
      </w:r>
    </w:p>
    <w:p>
      <w:pPr>
        <w:spacing w:before="0" w:after="0" w:line="560" w:lineRule="exact"/>
        <w:ind w:firstLine="640"/>
      </w:pPr>
      <w:r>
        <w:rPr>
          <w:rFonts w:hint="eastAsia" w:ascii="Times New Roman" w:hAnsi="Times New Roman" w:eastAsia="仿宋"/>
          <w:b w:val="0"/>
          <w:sz w:val="32"/>
        </w:rPr>
        <w:t>17.卫生健康（类）其他卫生健康支出（款）其他卫生健康支出（项）：支出决算为150.89万元。</w:t>
      </w:r>
    </w:p>
    <w:p>
      <w:pPr>
        <w:spacing w:before="0" w:after="0" w:line="560" w:lineRule="exact"/>
        <w:ind w:firstLine="640"/>
      </w:pPr>
      <w:r>
        <w:rPr>
          <w:rFonts w:hint="eastAsia" w:ascii="Times New Roman" w:hAnsi="Times New Roman" w:eastAsia="仿宋"/>
          <w:b w:val="0"/>
          <w:sz w:val="32"/>
        </w:rPr>
        <w:t>18.农林水（类）</w:t>
      </w:r>
      <w:r>
        <w:rPr>
          <w:rFonts w:hint="eastAsia"/>
          <w:b w:val="0"/>
          <w:sz w:val="32"/>
          <w:lang w:eastAsia="zh-CN"/>
        </w:rPr>
        <w:t>巩固拓展脱贫攻坚成果</w:t>
      </w:r>
      <w:r>
        <w:rPr>
          <w:rFonts w:hint="eastAsia" w:ascii="Times New Roman" w:hAnsi="Times New Roman" w:eastAsia="仿宋"/>
          <w:b w:val="0"/>
          <w:sz w:val="32"/>
        </w:rPr>
        <w:t>果衔接乡村振兴（款）其他</w:t>
      </w:r>
      <w:r>
        <w:rPr>
          <w:rFonts w:hint="eastAsia"/>
          <w:b w:val="0"/>
          <w:sz w:val="32"/>
          <w:lang w:eastAsia="zh-CN"/>
        </w:rPr>
        <w:t>巩固拓展脱贫攻坚成果</w:t>
      </w:r>
      <w:r>
        <w:rPr>
          <w:rFonts w:hint="eastAsia" w:ascii="Times New Roman" w:hAnsi="Times New Roman" w:eastAsia="仿宋"/>
          <w:b w:val="0"/>
          <w:sz w:val="32"/>
        </w:rPr>
        <w:t>果衔接乡村振兴支出（项）：支出决算为300万元。</w:t>
      </w:r>
    </w:p>
    <w:p>
      <w:pPr>
        <w:spacing w:before="0" w:after="0" w:line="560" w:lineRule="exact"/>
        <w:ind w:firstLine="640"/>
      </w:pPr>
      <w:r>
        <w:rPr>
          <w:rFonts w:hint="eastAsia" w:ascii="Times New Roman" w:hAnsi="Times New Roman" w:eastAsia="仿宋"/>
          <w:b w:val="0"/>
          <w:sz w:val="32"/>
        </w:rPr>
        <w:t>19.住房保障（类）住房改革（款）住房公积金（项）：支出决算为34.69万元。</w:t>
      </w:r>
    </w:p>
    <w:p>
      <w:pPr>
        <w:spacing w:before="0" w:after="0" w:line="560" w:lineRule="exact"/>
        <w:ind w:firstLine="640"/>
      </w:pPr>
      <w:r>
        <w:rPr>
          <w:rFonts w:hint="eastAsia" w:ascii="Times New Roman" w:hAnsi="Times New Roman" w:eastAsia="仿宋"/>
          <w:b w:val="0"/>
          <w:sz w:val="32"/>
        </w:rPr>
        <w:t>20.住房保障（类）住房改革（款）购房补贴（项）：支出决算为3.6万元。</w:t>
      </w:r>
    </w:p>
    <w:p>
      <w:pPr>
        <w:pStyle w:val="4"/>
        <w:spacing w:before="120" w:after="120"/>
      </w:pPr>
      <w:r>
        <w:rPr>
          <w:rFonts w:hint="eastAsia" w:ascii="Times New Roman" w:hAnsi="Times New Roman" w:eastAsia="黑体"/>
          <w:b w:val="0"/>
          <w:sz w:val="32"/>
        </w:rPr>
        <w:t>六、一般公共预算财政拨款基本支出决算情况说明</w:t>
      </w:r>
    </w:p>
    <w:p>
      <w:pPr>
        <w:spacing w:before="0" w:after="0" w:line="560" w:lineRule="exact"/>
        <w:ind w:firstLine="640"/>
      </w:pPr>
      <w:r>
        <w:rPr>
          <w:rFonts w:hint="eastAsia" w:ascii="Times New Roman" w:hAnsi="Times New Roman" w:eastAsia="仿宋"/>
          <w:b w:val="0"/>
          <w:sz w:val="32"/>
        </w:rPr>
        <w:t>2025年度一般公共预算财政拨款基本支出505.19万元，其中：</w:t>
      </w:r>
    </w:p>
    <w:p>
      <w:pPr>
        <w:spacing w:before="0" w:after="0" w:line="560" w:lineRule="exact"/>
        <w:ind w:firstLine="640"/>
      </w:pPr>
      <w:r>
        <w:rPr>
          <w:rFonts w:hint="eastAsia" w:ascii="Times New Roman" w:hAnsi="Times New Roman" w:eastAsia="仿宋"/>
          <w:b w:val="0"/>
          <w:sz w:val="32"/>
        </w:rPr>
        <w:t>人员经费475.82万元，主要包括：基本工资、津贴补贴、奖金、机关事业单位基本养老保险缴费、职业年金缴费、职工基本医疗保险缴费、公务员医疗补助缴费、其他社会保障缴费、住房公积金、生活补助、医疗费补助、奖励金、其他对个人和家庭的补助支出等。</w:t>
      </w:r>
    </w:p>
    <w:p>
      <w:pPr>
        <w:spacing w:before="0" w:after="0" w:line="560" w:lineRule="exact"/>
        <w:ind w:firstLine="640"/>
      </w:pPr>
      <w:r>
        <w:rPr>
          <w:rFonts w:hint="eastAsia" w:ascii="Times New Roman" w:hAnsi="Times New Roman" w:eastAsia="仿宋"/>
          <w:b w:val="0"/>
          <w:sz w:val="32"/>
        </w:rPr>
        <w:t>公用经费29.37万元，主要包括：办公费、水费、电费、邮电费、物业管理费、差旅费、劳务费、公务用车运行维护费、其他商品和服务支出等。</w:t>
      </w:r>
    </w:p>
    <w:p>
      <w:pPr>
        <w:spacing w:before="0" w:after="0" w:line="560" w:lineRule="exact"/>
        <w:ind w:firstLine="640"/>
      </w:pPr>
      <w:r>
        <w:rPr>
          <w:rFonts w:hint="eastAsia" w:ascii="Times New Roman" w:hAnsi="Times New Roman" w:eastAsia="仿宋"/>
          <w:b w:val="0"/>
          <w:sz w:val="32"/>
        </w:rPr>
        <w:t>（注：仅罗列本部门实际支出涉及的经济分类科目）</w:t>
      </w:r>
    </w:p>
    <w:p>
      <w:pPr>
        <w:pStyle w:val="4"/>
        <w:spacing w:before="120" w:after="120"/>
      </w:pPr>
      <w:r>
        <w:rPr>
          <w:rFonts w:hint="eastAsia" w:ascii="Times New Roman" w:hAnsi="Times New Roman" w:eastAsia="黑体"/>
          <w:b w:val="0"/>
          <w:sz w:val="32"/>
        </w:rPr>
        <w:t>七、财政拨款“三公”经费支出决算情况说明</w:t>
      </w:r>
    </w:p>
    <w:p>
      <w:pPr>
        <w:spacing w:before="0" w:after="0" w:line="560" w:lineRule="exact"/>
        <w:ind w:firstLine="640"/>
      </w:pPr>
      <w:r>
        <w:rPr>
          <w:rFonts w:hint="eastAsia" w:ascii="Times New Roman" w:hAnsi="Times New Roman" w:eastAsia="楷体"/>
          <w:b w:val="0"/>
          <w:sz w:val="32"/>
        </w:rPr>
        <w:t>（一）财政拨款“三公”经费支出决算总体情况说明</w:t>
      </w:r>
    </w:p>
    <w:p>
      <w:pPr>
        <w:spacing w:before="0" w:after="0" w:line="560" w:lineRule="exact"/>
        <w:ind w:firstLine="640"/>
      </w:pPr>
      <w:r>
        <w:rPr>
          <w:rFonts w:hint="eastAsia" w:ascii="Times New Roman" w:hAnsi="Times New Roman" w:eastAsia="仿宋"/>
          <w:b w:val="0"/>
          <w:sz w:val="32"/>
        </w:rPr>
        <w:t>2025年度财政拨款“三公”经费支出决算为7.99万元，完成预算的100%，较上年度减少4.49万元，下降35.98%。决算数等于预算数的主要</w:t>
      </w:r>
      <w:r>
        <w:rPr>
          <w:rFonts w:hint="eastAsia"/>
          <w:b w:val="0"/>
          <w:sz w:val="32"/>
          <w:lang w:eastAsia="zh-CN"/>
        </w:rPr>
        <w:t>原因</w:t>
      </w:r>
      <w:r>
        <w:rPr>
          <w:rFonts w:hint="eastAsia" w:ascii="Times New Roman" w:hAnsi="Times New Roman" w:eastAsia="仿宋"/>
          <w:b w:val="0"/>
          <w:sz w:val="32"/>
        </w:rPr>
        <w:t>：严格执行预算，按标准据实支出；较上年下降的主要</w:t>
      </w:r>
      <w:r>
        <w:rPr>
          <w:rFonts w:hint="eastAsia"/>
          <w:b w:val="0"/>
          <w:sz w:val="32"/>
          <w:lang w:eastAsia="zh-CN"/>
        </w:rPr>
        <w:t>原因</w:t>
      </w:r>
      <w:r>
        <w:rPr>
          <w:rFonts w:hint="eastAsia" w:ascii="Times New Roman" w:hAnsi="Times New Roman" w:eastAsia="仿宋"/>
          <w:b w:val="0"/>
          <w:sz w:val="32"/>
        </w:rPr>
        <w:t>严格落实过“紧日子”要求，压减公务用车运行维护支出。</w:t>
      </w:r>
    </w:p>
    <w:p>
      <w:pPr>
        <w:spacing w:before="0" w:after="0" w:line="560" w:lineRule="exact"/>
        <w:ind w:firstLine="640"/>
      </w:pPr>
      <w:r>
        <w:rPr>
          <w:rFonts w:hint="eastAsia" w:ascii="Times New Roman" w:hAnsi="Times New Roman" w:eastAsia="楷体"/>
          <w:b w:val="0"/>
          <w:sz w:val="32"/>
        </w:rPr>
        <w:t>（二）财政拨款“三公”经费支出决算具体情况说明</w:t>
      </w:r>
    </w:p>
    <w:p>
      <w:pPr>
        <w:spacing w:before="0" w:after="0" w:line="560" w:lineRule="exact"/>
        <w:ind w:firstLine="640"/>
      </w:pPr>
      <w:r>
        <w:rPr>
          <w:rFonts w:hint="eastAsia" w:ascii="Times New Roman" w:hAnsi="Times New Roman" w:eastAsia="仿宋"/>
          <w:b w:val="0"/>
          <w:sz w:val="32"/>
        </w:rPr>
        <w:t>2025年度财政拨款“三公”经费支出决算中，因公出国（境）费支出决算0万元；公务用车购置及运行维护费支出决算7.99万元，占100%；公务接待费支出决算0万元。具体情况如下：</w:t>
      </w:r>
    </w:p>
    <w:p>
      <w:pPr>
        <w:spacing w:before="120" w:after="120"/>
        <w:jc w:val="center"/>
      </w:pPr>
      <w:r>
        <w:drawing>
          <wp:inline distT="0" distB="0" distL="0" distR="0">
            <wp:extent cx="4247515" cy="2123440"/>
            <wp:effectExtent l="0" t="0" r="0" b="0"/>
            <wp:docPr id="20"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7"/>
                    <pic:cNvPicPr>
                      <a:picLocks noChangeAspect="1"/>
                    </pic:cNvPicPr>
                  </pic:nvPicPr>
                  <pic:blipFill>
                    <a:blip r:embed="rId14"/>
                    <a:stretch>
                      <a:fillRect/>
                    </a:stretch>
                  </pic:blipFill>
                  <pic:spPr>
                    <a:xfrm>
                      <a:off x="0" y="0"/>
                      <a:ext cx="4248000" cy="2124000"/>
                    </a:xfrm>
                    <a:prstGeom prst="rect">
                      <a:avLst/>
                    </a:prstGeom>
                  </pic:spPr>
                </pic:pic>
              </a:graphicData>
            </a:graphic>
          </wp:inline>
        </w:drawing>
      </w:r>
    </w:p>
    <w:p>
      <w:pPr>
        <w:spacing w:before="0" w:after="0" w:line="560" w:lineRule="exact"/>
        <w:ind w:firstLine="640"/>
      </w:pPr>
      <w:r>
        <w:rPr>
          <w:rFonts w:hint="eastAsia" w:ascii="Times New Roman" w:hAnsi="Times New Roman" w:eastAsia="仿宋"/>
          <w:b w:val="0"/>
          <w:sz w:val="32"/>
        </w:rPr>
        <w:t>1.因公出国（境）经费支出0万元。</w:t>
      </w:r>
    </w:p>
    <w:p>
      <w:pPr>
        <w:spacing w:before="0" w:after="0" w:line="560" w:lineRule="exact"/>
        <w:ind w:firstLine="640"/>
      </w:pPr>
      <w:r>
        <w:rPr>
          <w:rFonts w:hint="eastAsia" w:ascii="Times New Roman" w:hAnsi="Times New Roman" w:eastAsia="仿宋"/>
          <w:b w:val="0"/>
          <w:sz w:val="32"/>
        </w:rPr>
        <w:t>2.公务用车购置及运行维护费支出7.99万元，其中：公务用车购置支出0万元；公务用车运行维护费支出7.99万元，主要用于单位公务用车所需的燃料费、维修费、过路过桥费、保险费等支出。</w:t>
      </w:r>
    </w:p>
    <w:p>
      <w:pPr>
        <w:spacing w:before="0" w:after="0" w:line="560" w:lineRule="exact"/>
        <w:ind w:firstLine="640"/>
      </w:pPr>
      <w:r>
        <w:rPr>
          <w:rFonts w:hint="eastAsia" w:ascii="Times New Roman" w:hAnsi="Times New Roman" w:eastAsia="仿宋"/>
          <w:b w:val="0"/>
          <w:sz w:val="32"/>
        </w:rPr>
        <w:t>3.公务接待费支出0万元。</w:t>
      </w:r>
    </w:p>
    <w:p>
      <w:pPr>
        <w:pStyle w:val="4"/>
        <w:spacing w:before="120" w:after="120"/>
      </w:pPr>
      <w:r>
        <w:rPr>
          <w:rFonts w:hint="eastAsia" w:ascii="Times New Roman" w:hAnsi="Times New Roman" w:eastAsia="黑体"/>
          <w:b w:val="0"/>
          <w:sz w:val="32"/>
        </w:rPr>
        <w:t>八、政府性基金预算支出决算情况说明</w:t>
      </w:r>
    </w:p>
    <w:p>
      <w:pPr>
        <w:spacing w:before="0" w:after="0" w:line="560" w:lineRule="exact"/>
        <w:ind w:firstLine="640"/>
      </w:pPr>
      <w:r>
        <w:rPr>
          <w:rFonts w:hint="eastAsia" w:ascii="Times New Roman" w:hAnsi="Times New Roman" w:eastAsia="仿宋"/>
          <w:b w:val="0"/>
          <w:sz w:val="32"/>
        </w:rPr>
        <w:t>2025年度政府性基金预算财政拨款支出2200万元，占本年支出合计的47.34%。与上年度相比，政府性基金预算财政拨款支出增加2200万元，上年支出为0万元，本年属新增安排。主要变动</w:t>
      </w:r>
      <w:r>
        <w:rPr>
          <w:rFonts w:hint="eastAsia"/>
          <w:b w:val="0"/>
          <w:sz w:val="32"/>
          <w:lang w:eastAsia="zh-CN"/>
        </w:rPr>
        <w:t>原因</w:t>
      </w:r>
      <w:r>
        <w:rPr>
          <w:rFonts w:hint="eastAsia" w:ascii="Times New Roman" w:hAnsi="Times New Roman" w:eastAsia="仿宋"/>
          <w:b w:val="0"/>
          <w:sz w:val="32"/>
        </w:rPr>
        <w:t>本年新增地方政府专项债券资金2000万元（其他地方自行试点项目收益专项债券收入安排的支出）和用于城乡医疗救助的彩票公益金200万元。其中：其他地方自行试点项目收益专项债券收入安排的支出2000万元，用于城乡医疗救助的彩票公益金支出200万元。</w:t>
      </w:r>
    </w:p>
    <w:p>
      <w:pPr>
        <w:pStyle w:val="4"/>
        <w:spacing w:before="120" w:after="120"/>
      </w:pPr>
      <w:r>
        <w:rPr>
          <w:rFonts w:hint="eastAsia" w:ascii="Times New Roman" w:hAnsi="Times New Roman" w:eastAsia="黑体"/>
          <w:b w:val="0"/>
          <w:sz w:val="32"/>
        </w:rPr>
        <w:t>九、国有资本经营预算支出决算情况说明</w:t>
      </w:r>
    </w:p>
    <w:p>
      <w:pPr>
        <w:spacing w:before="0" w:after="0" w:line="560" w:lineRule="exact"/>
        <w:ind w:firstLine="640"/>
      </w:pPr>
      <w:r>
        <w:rPr>
          <w:rFonts w:hint="eastAsia" w:ascii="Times New Roman" w:hAnsi="Times New Roman" w:eastAsia="仿宋"/>
          <w:b w:val="0"/>
          <w:sz w:val="32"/>
        </w:rPr>
        <w:t>2025年度国有资本经营预算财政拨款支出0万元，占本年支出合计的0%。与上年度相比持平，上年决算数同为0万元。</w:t>
      </w:r>
    </w:p>
    <w:p>
      <w:pPr>
        <w:pStyle w:val="4"/>
        <w:spacing w:before="120" w:after="120"/>
      </w:pPr>
      <w:r>
        <w:rPr>
          <w:rFonts w:hint="eastAsia" w:ascii="Times New Roman" w:hAnsi="Times New Roman" w:eastAsia="黑体"/>
          <w:b w:val="0"/>
          <w:sz w:val="32"/>
        </w:rPr>
        <w:t>十、其他重要事项的情况说明</w:t>
      </w:r>
    </w:p>
    <w:p>
      <w:pPr>
        <w:spacing w:before="0" w:after="0" w:line="560" w:lineRule="exact"/>
        <w:ind w:firstLine="640"/>
      </w:pPr>
      <w:r>
        <w:rPr>
          <w:rFonts w:hint="eastAsia" w:ascii="Times New Roman" w:hAnsi="Times New Roman" w:eastAsia="楷体"/>
          <w:b w:val="0"/>
          <w:sz w:val="32"/>
        </w:rPr>
        <w:t>（一）机关运行经费支出情况</w:t>
      </w:r>
    </w:p>
    <w:p>
      <w:pPr>
        <w:spacing w:before="0" w:after="0" w:line="560" w:lineRule="exact"/>
        <w:ind w:firstLine="640"/>
      </w:pPr>
      <w:r>
        <w:rPr>
          <w:rFonts w:hint="eastAsia" w:ascii="Times New Roman" w:hAnsi="Times New Roman" w:eastAsia="仿宋"/>
          <w:b w:val="0"/>
          <w:sz w:val="32"/>
        </w:rPr>
        <w:t>2025年度，壤塘县卫生健康局机关运行经费支出29.37万元，比上年度增加6.79万元，增长30.07%。主要</w:t>
      </w:r>
      <w:r>
        <w:rPr>
          <w:rFonts w:hint="eastAsia"/>
          <w:b w:val="0"/>
          <w:sz w:val="32"/>
          <w:lang w:eastAsia="zh-CN"/>
        </w:rPr>
        <w:t>原因</w:t>
      </w:r>
      <w:r>
        <w:rPr>
          <w:rFonts w:hint="eastAsia" w:ascii="Times New Roman" w:hAnsi="Times New Roman" w:eastAsia="仿宋"/>
          <w:b w:val="0"/>
          <w:sz w:val="32"/>
        </w:rPr>
        <w:t>本年机关办公、水电物业、差旅及公务用车运行维护等日常公用支出随业务量恢复有所增加。（注：机关运行经费即一般公共预算财政拨款基本支出中的公用经费）</w:t>
      </w:r>
    </w:p>
    <w:p>
      <w:pPr>
        <w:spacing w:before="0" w:after="0" w:line="560" w:lineRule="exact"/>
        <w:ind w:firstLine="640"/>
      </w:pPr>
      <w:r>
        <w:rPr>
          <w:rFonts w:hint="eastAsia" w:ascii="Times New Roman" w:hAnsi="Times New Roman" w:eastAsia="楷体"/>
          <w:b w:val="0"/>
          <w:sz w:val="32"/>
        </w:rPr>
        <w:t>（二）政府采购支出情况</w:t>
      </w:r>
    </w:p>
    <w:p>
      <w:pPr>
        <w:spacing w:before="0" w:after="0" w:line="560" w:lineRule="exact"/>
        <w:ind w:firstLine="640"/>
      </w:pPr>
      <w:r>
        <w:rPr>
          <w:rFonts w:hint="eastAsia" w:ascii="Times New Roman" w:hAnsi="Times New Roman" w:eastAsia="仿宋"/>
          <w:b w:val="0"/>
          <w:sz w:val="32"/>
        </w:rPr>
        <w:t>2025年度，壤塘县卫生健康局政府采购支出总额0万元，其中：政府采购货物支出0万元、政府采购工程支出0万元、政府采购服务支出0万元，与上年度持平。授予中小企业合同金额0万元，占政府采购支出总额的0%，其中：授予小微企业合同金额0万元，占政府采购支出总额的0%。</w:t>
      </w:r>
    </w:p>
    <w:p>
      <w:pPr>
        <w:spacing w:before="0" w:after="0" w:line="560" w:lineRule="exact"/>
        <w:ind w:firstLine="640"/>
      </w:pPr>
      <w:r>
        <w:rPr>
          <w:rFonts w:hint="eastAsia" w:ascii="Times New Roman" w:hAnsi="Times New Roman" w:eastAsia="楷体"/>
          <w:b w:val="0"/>
          <w:sz w:val="32"/>
        </w:rPr>
        <w:t>（三）国有资产占有使用情况</w:t>
      </w:r>
    </w:p>
    <w:p>
      <w:pPr>
        <w:spacing w:before="0" w:after="0" w:line="560" w:lineRule="exact"/>
        <w:ind w:firstLine="640"/>
      </w:pPr>
      <w:r>
        <w:rPr>
          <w:rFonts w:hint="eastAsia" w:ascii="Times New Roman" w:hAnsi="Times New Roman" w:eastAsia="仿宋"/>
          <w:b w:val="0"/>
          <w:sz w:val="32"/>
        </w:rPr>
        <w:t>截至2025年12月31日，壤塘县卫生健康局共有车辆2辆，与上年度持平，其中：副部（省）级及以上领导用车0辆、主要负责人用车0辆、机要通信用车0辆、应急保障用车0辆、执法执勤用车0辆、特种专业技术用车0辆、离退休干部服务用车0辆、其他用车2辆，其他用车主要用于下乡督导、出差等公务活动。单价100万元（含）以上设备（不含车辆）0台（套），与上年度持平。</w:t>
      </w:r>
    </w:p>
    <w:p>
      <w:pPr>
        <w:spacing w:before="0" w:after="0" w:line="560" w:lineRule="exact"/>
        <w:ind w:firstLine="640"/>
      </w:pPr>
      <w:r>
        <w:rPr>
          <w:rFonts w:hint="eastAsia" w:ascii="Times New Roman" w:hAnsi="Times New Roman" w:eastAsia="楷体"/>
          <w:b w:val="0"/>
          <w:sz w:val="32"/>
        </w:rPr>
        <w:t>（四）预算绩效管理情况</w:t>
      </w:r>
    </w:p>
    <w:p>
      <w:pPr>
        <w:spacing w:before="0" w:after="0" w:line="560" w:lineRule="exact"/>
        <w:ind w:firstLine="640"/>
      </w:pPr>
      <w:r>
        <w:rPr>
          <w:rFonts w:hint="eastAsia" w:ascii="Times New Roman" w:hAnsi="Times New Roman" w:eastAsia="仿宋"/>
          <w:b w:val="0"/>
          <w:sz w:val="32"/>
        </w:rPr>
        <w:t>根据预算绩效管理要求，壤塘县卫生健康局在2025年度组织开展部门预算绩效自评工作，形成部门预算（含部门预算项目）绩效自评报告及专项预算项目绩效自评报告，绩效自评报告详见附件。</w:t>
      </w:r>
    </w:p>
    <w:p>
      <w:r>
        <w:br w:type="page"/>
      </w:r>
    </w:p>
    <w:p>
      <w:pPr>
        <w:pStyle w:val="3"/>
        <w:spacing w:before="120" w:after="120"/>
        <w:jc w:val="center"/>
      </w:pPr>
      <w:r>
        <w:rPr>
          <w:rFonts w:hint="eastAsia" w:ascii="Times New Roman" w:hAnsi="Times New Roman" w:eastAsia="黑体"/>
          <w:b w:val="0"/>
          <w:sz w:val="32"/>
        </w:rPr>
        <w:t>第三部分  名词解释</w:t>
      </w:r>
    </w:p>
    <w:p>
      <w:pPr>
        <w:spacing w:before="0" w:after="0" w:line="560" w:lineRule="exact"/>
        <w:ind w:firstLine="640"/>
      </w:pPr>
      <w:r>
        <w:rPr>
          <w:rFonts w:hint="eastAsia" w:ascii="Times New Roman" w:hAnsi="Times New Roman" w:eastAsia="仿宋"/>
          <w:b w:val="0"/>
          <w:sz w:val="32"/>
        </w:rPr>
        <w:t>1.财政拨款收入：指单位从同级财政部门取得的财政预算资金。</w:t>
      </w:r>
    </w:p>
    <w:p>
      <w:pPr>
        <w:spacing w:before="0" w:after="0" w:line="560" w:lineRule="exact"/>
        <w:ind w:firstLine="640"/>
      </w:pPr>
      <w:r>
        <w:rPr>
          <w:rFonts w:hint="eastAsia" w:ascii="Times New Roman" w:hAnsi="Times New Roman" w:eastAsia="仿宋"/>
          <w:b w:val="0"/>
          <w:sz w:val="32"/>
        </w:rPr>
        <w:t>2.事业收入：指事业单位开展专业业务活动及辅助活动取得的收入。</w:t>
      </w:r>
    </w:p>
    <w:p>
      <w:pPr>
        <w:spacing w:before="0" w:after="0" w:line="560" w:lineRule="exact"/>
        <w:ind w:firstLine="640"/>
      </w:pPr>
      <w:r>
        <w:rPr>
          <w:rFonts w:hint="eastAsia" w:ascii="Times New Roman" w:hAnsi="Times New Roman" w:eastAsia="仿宋"/>
          <w:b w:val="0"/>
          <w:sz w:val="32"/>
        </w:rPr>
        <w:t>3.经营收入：指事业单位在专业业务活动及其辅助活动之外开展非独立核算经营活动取得的收入。</w:t>
      </w:r>
    </w:p>
    <w:p>
      <w:pPr>
        <w:spacing w:before="0" w:after="0" w:line="560" w:lineRule="exact"/>
        <w:ind w:firstLine="640"/>
      </w:pPr>
      <w:r>
        <w:rPr>
          <w:rFonts w:hint="eastAsia" w:ascii="Times New Roman" w:hAnsi="Times New Roman" w:eastAsia="仿宋"/>
          <w:b w:val="0"/>
          <w:sz w:val="32"/>
        </w:rPr>
        <w:t>4.其他收入：指单位取得的除上述收入以外的各项收入。</w:t>
      </w:r>
    </w:p>
    <w:p>
      <w:pPr>
        <w:spacing w:before="0" w:after="0" w:line="560" w:lineRule="exact"/>
        <w:ind w:firstLine="640"/>
      </w:pPr>
      <w:r>
        <w:rPr>
          <w:rFonts w:hint="eastAsia" w:ascii="Times New Roman" w:hAnsi="Times New Roman" w:eastAsia="仿宋"/>
          <w:b w:val="0"/>
          <w:sz w:val="32"/>
        </w:rPr>
        <w:t>5.年初结转和结余：指以前年度尚未完成、结转到本年按有关规定继续使用的资金。</w:t>
      </w:r>
    </w:p>
    <w:p>
      <w:pPr>
        <w:spacing w:before="0" w:after="0" w:line="560" w:lineRule="exact"/>
        <w:ind w:firstLine="640"/>
      </w:pPr>
      <w:r>
        <w:rPr>
          <w:rFonts w:hint="eastAsia" w:ascii="Times New Roman" w:hAnsi="Times New Roman" w:eastAsia="仿宋"/>
          <w:b w:val="0"/>
          <w:sz w:val="32"/>
        </w:rPr>
        <w:t>6.年末结转和结余：指单位按有关规定结转到下年或以后年度继续使用的资金。</w:t>
      </w:r>
    </w:p>
    <w:p>
      <w:pPr>
        <w:spacing w:before="0" w:after="0" w:line="560" w:lineRule="exact"/>
        <w:ind w:firstLine="640"/>
      </w:pPr>
      <w:r>
        <w:rPr>
          <w:rFonts w:hint="eastAsia" w:ascii="Times New Roman" w:hAnsi="Times New Roman" w:eastAsia="仿宋"/>
          <w:b w:val="0"/>
          <w:sz w:val="32"/>
        </w:rPr>
        <w:t>7.社会保障和就业（类）行政事业单位养老（款）：指反映机关事业单位基本养老保险缴费支出、职业年金缴费支出等行政事业单位养老方面的支出。</w:t>
      </w:r>
    </w:p>
    <w:p>
      <w:pPr>
        <w:spacing w:before="0" w:after="0" w:line="560" w:lineRule="exact"/>
        <w:ind w:firstLine="640"/>
      </w:pPr>
      <w:r>
        <w:rPr>
          <w:rFonts w:hint="eastAsia" w:ascii="Times New Roman" w:hAnsi="Times New Roman" w:eastAsia="仿宋"/>
          <w:b w:val="0"/>
          <w:sz w:val="32"/>
        </w:rPr>
        <w:t>8.卫生健康（类）：指反映政府卫生健康方面的支出，包括卫生健康管理事务、公立医院、基层医疗卫生机构、公共卫生、计划生育事务、行政事业单位医疗、医疗救助、托育服务及其他卫生健康支出等。</w:t>
      </w:r>
    </w:p>
    <w:p>
      <w:pPr>
        <w:spacing w:before="0" w:after="0" w:line="560" w:lineRule="exact"/>
        <w:ind w:firstLine="640"/>
      </w:pPr>
      <w:r>
        <w:rPr>
          <w:rFonts w:hint="eastAsia" w:ascii="Times New Roman" w:hAnsi="Times New Roman" w:eastAsia="仿宋"/>
          <w:b w:val="0"/>
          <w:sz w:val="32"/>
        </w:rPr>
        <w:t>9.农林水（类）</w:t>
      </w:r>
      <w:r>
        <w:rPr>
          <w:rFonts w:hint="eastAsia"/>
          <w:b w:val="0"/>
          <w:sz w:val="32"/>
          <w:lang w:eastAsia="zh-CN"/>
        </w:rPr>
        <w:t>巩固拓展脱贫攻坚成果</w:t>
      </w:r>
      <w:r>
        <w:rPr>
          <w:rFonts w:hint="eastAsia" w:ascii="Times New Roman" w:hAnsi="Times New Roman" w:eastAsia="仿宋"/>
          <w:b w:val="0"/>
          <w:sz w:val="32"/>
        </w:rPr>
        <w:t>果衔接乡村振兴（款）：指反映巩固拓展脱贫攻坚成果同乡村振兴有效衔接方面的支出。</w:t>
      </w:r>
    </w:p>
    <w:p>
      <w:pPr>
        <w:spacing w:before="0" w:after="0" w:line="560" w:lineRule="exact"/>
        <w:ind w:firstLine="640"/>
      </w:pPr>
      <w:r>
        <w:rPr>
          <w:rFonts w:hint="eastAsia" w:ascii="Times New Roman" w:hAnsi="Times New Roman" w:eastAsia="仿宋"/>
          <w:b w:val="0"/>
          <w:sz w:val="32"/>
        </w:rPr>
        <w:t>10.住房保障（类）住房改革（款）：指反映住房公积金、购房补贴等住房改革方面的支出。</w:t>
      </w:r>
    </w:p>
    <w:p>
      <w:pPr>
        <w:spacing w:before="0" w:after="0" w:line="560" w:lineRule="exact"/>
        <w:ind w:firstLine="640"/>
      </w:pPr>
      <w:r>
        <w:rPr>
          <w:rFonts w:hint="eastAsia" w:ascii="Times New Roman" w:hAnsi="Times New Roman" w:eastAsia="仿宋"/>
          <w:b w:val="0"/>
          <w:sz w:val="32"/>
        </w:rPr>
        <w:t>11.基本支出：指为保障机构正常运转、完成日常工作任务而发生的人员支出和公用支出。</w:t>
      </w:r>
    </w:p>
    <w:p>
      <w:pPr>
        <w:spacing w:before="0" w:after="0" w:line="560" w:lineRule="exact"/>
        <w:ind w:firstLine="640"/>
      </w:pPr>
      <w:r>
        <w:rPr>
          <w:rFonts w:hint="eastAsia" w:ascii="Times New Roman" w:hAnsi="Times New Roman" w:eastAsia="仿宋"/>
          <w:b w:val="0"/>
          <w:sz w:val="32"/>
        </w:rPr>
        <w:t>12.项目支出：指在基本支出之外为完成特定行政任务和事业发展目标所发生的支出。</w:t>
      </w:r>
    </w:p>
    <w:p>
      <w:pPr>
        <w:spacing w:before="0" w:after="0" w:line="560" w:lineRule="exact"/>
        <w:ind w:firstLine="640"/>
      </w:pPr>
      <w:r>
        <w:rPr>
          <w:rFonts w:hint="eastAsia" w:ascii="Times New Roman" w:hAnsi="Times New Roman" w:eastAsia="仿宋"/>
          <w:b w:val="0"/>
          <w:sz w:val="32"/>
        </w:rPr>
        <w:t>13.经营支出：指事业单位在专业业务活动及其辅助活动之外开展非独立核算经营活动发生的支出。</w:t>
      </w:r>
    </w:p>
    <w:p>
      <w:pPr>
        <w:spacing w:before="0" w:after="0" w:line="560" w:lineRule="exact"/>
        <w:ind w:firstLine="640"/>
      </w:pPr>
      <w:r>
        <w:rPr>
          <w:rFonts w:hint="eastAsia" w:ascii="Times New Roman" w:hAnsi="Times New Roman" w:eastAsia="仿宋"/>
          <w:b w:val="0"/>
          <w:sz w:val="32"/>
        </w:rPr>
        <w:t>14.“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before="0" w:after="0" w:line="560" w:lineRule="exact"/>
        <w:ind w:firstLine="640"/>
      </w:pPr>
      <w:r>
        <w:rPr>
          <w:rFonts w:hint="eastAsia" w:ascii="Times New Roman" w:hAnsi="Times New Roman" w:eastAsia="仿宋"/>
          <w:b w:val="0"/>
          <w:sz w:val="32"/>
        </w:rPr>
        <w:t>15.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
        <w:br w:type="page"/>
      </w:r>
    </w:p>
    <w:p>
      <w:pPr>
        <w:pStyle w:val="3"/>
        <w:spacing w:before="120" w:after="120"/>
        <w:jc w:val="center"/>
      </w:pPr>
      <w:r>
        <w:rPr>
          <w:rFonts w:hint="eastAsia" w:ascii="Times New Roman" w:hAnsi="Times New Roman" w:eastAsia="黑体"/>
          <w:b w:val="0"/>
          <w:sz w:val="32"/>
        </w:rPr>
        <w:t>第四部分  附件</w:t>
      </w:r>
    </w:p>
    <w:p>
      <w:pPr>
        <w:keepNext w:val="0"/>
        <w:keepLines w:val="0"/>
        <w:pageBreakBefore w:val="0"/>
        <w:kinsoku/>
        <w:wordWrap/>
        <w:overflowPunct/>
        <w:topLinePunct w:val="0"/>
        <w:autoSpaceDE/>
        <w:autoSpaceDN/>
        <w:bidi w:val="0"/>
        <w:spacing w:line="560" w:lineRule="exact"/>
        <w:contextualSpacing/>
        <w:textAlignment w:val="auto"/>
        <w:rPr>
          <w:rFonts w:hint="eastAsia" w:eastAsia="黑体"/>
          <w:szCs w:val="32"/>
          <w:lang w:val="en-US" w:eastAsia="zh-CN"/>
        </w:rPr>
      </w:pPr>
      <w:r>
        <w:rPr>
          <w:rFonts w:hint="eastAsia" w:eastAsia="黑体"/>
          <w:szCs w:val="32"/>
          <w:lang w:val="zh-CN"/>
        </w:rPr>
        <w:t>附件</w:t>
      </w:r>
      <w:r>
        <w:rPr>
          <w:rFonts w:hint="eastAsia" w:eastAsia="黑体"/>
          <w:szCs w:val="32"/>
          <w:lang w:val="en-US" w:eastAsia="zh-CN"/>
        </w:rPr>
        <w:t>1</w:t>
      </w:r>
    </w:p>
    <w:p>
      <w:pPr>
        <w:keepNext w:val="0"/>
        <w:keepLines w:val="0"/>
        <w:pageBreakBefore w:val="0"/>
        <w:widowControl/>
        <w:kinsoku/>
        <w:wordWrap/>
        <w:overflowPunct/>
        <w:topLinePunct w:val="0"/>
        <w:autoSpaceDE/>
        <w:autoSpaceDN/>
        <w:bidi w:val="0"/>
        <w:spacing w:line="560" w:lineRule="exact"/>
        <w:contextualSpacing/>
        <w:jc w:val="left"/>
        <w:textAlignment w:val="auto"/>
        <w:rPr>
          <w:rFonts w:eastAsia="宋体"/>
          <w:b/>
          <w:sz w:val="44"/>
          <w:szCs w:val="44"/>
          <w:shd w:val="clear" w:color="auto" w:fill="FFFFFF"/>
        </w:rPr>
      </w:pPr>
    </w:p>
    <w:p>
      <w:pPr>
        <w:widowControl/>
        <w:spacing w:line="560" w:lineRule="exact"/>
        <w:contextualSpacing/>
        <w:jc w:val="center"/>
        <w:rPr>
          <w:rFonts w:hint="eastAsia" w:ascii="Times New Roman" w:hAnsi="Times New Roman" w:eastAsia="方正小标宋_GBK" w:cs="Times New Roman"/>
          <w:b w:val="0"/>
          <w:bCs/>
          <w:sz w:val="44"/>
          <w:szCs w:val="44"/>
          <w:shd w:val="clear" w:color="auto" w:fill="FFFFFF"/>
          <w:lang w:val="en-US" w:eastAsia="zh-CN"/>
        </w:rPr>
      </w:pPr>
      <w:r>
        <w:rPr>
          <w:rFonts w:hint="default" w:ascii="Times New Roman" w:hAnsi="Times New Roman" w:eastAsia="方正小标宋_GBK" w:cs="Times New Roman"/>
          <w:b w:val="0"/>
          <w:bCs/>
          <w:sz w:val="44"/>
          <w:szCs w:val="44"/>
          <w:shd w:val="clear" w:color="auto" w:fill="FFFFFF"/>
          <w:lang w:eastAsia="zh-CN"/>
        </w:rPr>
        <w:t>壤塘县</w:t>
      </w:r>
      <w:r>
        <w:rPr>
          <w:rFonts w:hint="eastAsia" w:ascii="Times New Roman" w:hAnsi="Times New Roman" w:eastAsia="方正小标宋_GBK" w:cs="Times New Roman"/>
          <w:b w:val="0"/>
          <w:bCs/>
          <w:sz w:val="44"/>
          <w:szCs w:val="44"/>
          <w:shd w:val="clear" w:color="auto" w:fill="FFFFFF"/>
          <w:lang w:val="en-US" w:eastAsia="zh-CN"/>
        </w:rPr>
        <w:t>卫生健康局</w:t>
      </w:r>
    </w:p>
    <w:p>
      <w:pPr>
        <w:widowControl/>
        <w:spacing w:line="560" w:lineRule="exact"/>
        <w:contextualSpacing/>
        <w:jc w:val="center"/>
        <w:rPr>
          <w:rFonts w:hint="default" w:ascii="Times New Roman" w:hAnsi="Times New Roman" w:eastAsia="方正小标宋_GBK" w:cs="Times New Roman"/>
          <w:b w:val="0"/>
          <w:bCs/>
          <w:sz w:val="44"/>
          <w:szCs w:val="44"/>
          <w:shd w:val="clear" w:color="auto" w:fill="FFFFFF"/>
        </w:rPr>
      </w:pPr>
      <w:r>
        <w:rPr>
          <w:rFonts w:hint="default" w:ascii="Times New Roman" w:hAnsi="Times New Roman" w:eastAsia="方正小标宋_GBK" w:cs="Times New Roman"/>
          <w:b w:val="0"/>
          <w:bCs/>
          <w:sz w:val="44"/>
          <w:szCs w:val="44"/>
          <w:shd w:val="clear" w:color="auto" w:fill="FFFFFF"/>
        </w:rPr>
        <w:t>2</w:t>
      </w:r>
      <w:r>
        <w:rPr>
          <w:rFonts w:hint="default" w:ascii="Times New Roman" w:hAnsi="Times New Roman" w:eastAsia="方正小标宋_GBK" w:cs="Times New Roman"/>
          <w:b w:val="0"/>
          <w:bCs/>
          <w:sz w:val="44"/>
          <w:szCs w:val="44"/>
          <w:shd w:val="clear" w:color="auto" w:fill="FFFFFF"/>
          <w:lang w:val="en-US" w:eastAsia="zh-CN"/>
        </w:rPr>
        <w:t>025</w:t>
      </w:r>
      <w:r>
        <w:rPr>
          <w:rFonts w:hint="default" w:ascii="Times New Roman" w:hAnsi="Times New Roman" w:eastAsia="方正小标宋_GBK" w:cs="Times New Roman"/>
          <w:b w:val="0"/>
          <w:bCs/>
          <w:sz w:val="44"/>
          <w:szCs w:val="44"/>
          <w:shd w:val="clear" w:color="auto" w:fill="FFFFFF"/>
        </w:rPr>
        <w:t>年</w:t>
      </w:r>
      <w:r>
        <w:rPr>
          <w:rFonts w:hint="default" w:ascii="Times New Roman" w:hAnsi="Times New Roman" w:eastAsia="方正小标宋_GBK" w:cs="Times New Roman"/>
          <w:b w:val="0"/>
          <w:bCs/>
          <w:sz w:val="44"/>
          <w:szCs w:val="44"/>
          <w:shd w:val="clear" w:color="auto" w:fill="FFFFFF"/>
          <w:lang w:eastAsia="zh-CN"/>
        </w:rPr>
        <w:t>度</w:t>
      </w:r>
      <w:r>
        <w:rPr>
          <w:rFonts w:hint="default" w:ascii="Times New Roman" w:hAnsi="Times New Roman" w:eastAsia="方正小标宋_GBK" w:cs="Times New Roman"/>
          <w:b w:val="0"/>
          <w:bCs/>
          <w:sz w:val="44"/>
          <w:szCs w:val="44"/>
          <w:shd w:val="clear" w:color="auto" w:fill="FFFFFF"/>
        </w:rPr>
        <w:t>部门</w:t>
      </w:r>
      <w:r>
        <w:rPr>
          <w:rFonts w:hint="default" w:ascii="Times New Roman" w:hAnsi="Times New Roman" w:eastAsia="方正小标宋_GBK" w:cs="Times New Roman"/>
          <w:b w:val="0"/>
          <w:bCs/>
          <w:sz w:val="44"/>
          <w:szCs w:val="44"/>
          <w:shd w:val="clear" w:color="auto" w:fill="FFFFFF"/>
          <w:lang w:eastAsia="zh-CN"/>
        </w:rPr>
        <w:t>预算</w:t>
      </w:r>
      <w:r>
        <w:rPr>
          <w:rFonts w:hint="default" w:ascii="Times New Roman" w:hAnsi="Times New Roman" w:eastAsia="方正小标宋_GBK" w:cs="Times New Roman"/>
          <w:b w:val="0"/>
          <w:bCs/>
          <w:sz w:val="44"/>
          <w:szCs w:val="44"/>
          <w:shd w:val="clear" w:color="auto" w:fill="FFFFFF"/>
        </w:rPr>
        <w:t>绩效评价</w:t>
      </w:r>
      <w:r>
        <w:rPr>
          <w:rFonts w:hint="default" w:ascii="Times New Roman" w:hAnsi="Times New Roman" w:eastAsia="方正小标宋_GBK" w:cs="Times New Roman"/>
          <w:b w:val="0"/>
          <w:bCs/>
          <w:sz w:val="44"/>
          <w:szCs w:val="44"/>
          <w:shd w:val="clear" w:color="auto" w:fill="FFFFFF"/>
          <w:lang w:eastAsia="zh-CN"/>
        </w:rPr>
        <w:t>自评</w:t>
      </w:r>
      <w:r>
        <w:rPr>
          <w:rFonts w:hint="default" w:ascii="Times New Roman" w:hAnsi="Times New Roman" w:eastAsia="方正小标宋_GBK" w:cs="Times New Roman"/>
          <w:b w:val="0"/>
          <w:bCs/>
          <w:sz w:val="44"/>
          <w:szCs w:val="44"/>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contextualSpacing/>
        <w:jc w:val="left"/>
        <w:textAlignment w:val="auto"/>
        <w:rPr>
          <w:rFonts w:eastAsia="黑体"/>
          <w:color w:val="000000"/>
          <w:kern w:val="0"/>
          <w:sz w:val="24"/>
          <w:szCs w:val="32"/>
          <w:shd w:val="clear" w:color="auto" w:fill="FFFFFF"/>
        </w:rPr>
      </w:pP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szCs w:val="32"/>
        </w:rPr>
      </w:pPr>
      <w:r>
        <w:rPr>
          <w:rFonts w:hint="eastAsia" w:eastAsia="黑体"/>
          <w:color w:val="000000"/>
          <w:kern w:val="0"/>
          <w:szCs w:val="32"/>
          <w:shd w:val="clear" w:color="auto" w:fill="FFFFFF"/>
          <w:lang w:val="zh-CN"/>
        </w:rPr>
        <w:t>一、部门（单位）基本情况</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szCs w:val="32"/>
        </w:rPr>
      </w:pPr>
      <w:r>
        <w:rPr>
          <w:rFonts w:hint="eastAsia" w:eastAsia="楷体_GB2312"/>
          <w:b/>
          <w:bCs/>
          <w:color w:val="000000"/>
          <w:kern w:val="0"/>
          <w:szCs w:val="32"/>
          <w:shd w:val="clear" w:color="auto" w:fill="FFFFFF"/>
          <w:lang w:val="zh-CN"/>
        </w:rPr>
        <w:t>（一）机构组成。</w:t>
      </w:r>
      <w:r>
        <w:rPr>
          <w:rFonts w:hint="eastAsia"/>
          <w:szCs w:val="32"/>
          <w:lang w:val="zh-CN"/>
        </w:rPr>
        <w:t>壤塘县卫生健康局</w:t>
      </w:r>
      <w:r>
        <w:rPr>
          <w:rFonts w:hint="eastAsia"/>
          <w:szCs w:val="32"/>
        </w:rPr>
        <w:t>内设</w:t>
      </w:r>
      <w:r>
        <w:rPr>
          <w:rFonts w:hint="eastAsia"/>
          <w:szCs w:val="32"/>
          <w:lang w:eastAsia="zh-CN"/>
        </w:rPr>
        <w:t>办公室、基建股、规财股、卫生股、计生股、人事股。</w:t>
      </w:r>
    </w:p>
    <w:p>
      <w:pPr>
        <w:pStyle w:val="168"/>
        <w:keepNext w:val="0"/>
        <w:keepLines w:val="0"/>
        <w:pageBreakBefore w:val="0"/>
        <w:kinsoku/>
        <w:wordWrap/>
        <w:overflowPunct/>
        <w:topLinePunct w:val="0"/>
        <w:autoSpaceDE/>
        <w:autoSpaceDN/>
        <w:bidi w:val="0"/>
        <w:spacing w:before="0" w:line="560" w:lineRule="exact"/>
        <w:ind w:firstLine="590" w:firstLineChars="196"/>
        <w:textAlignment w:val="auto"/>
        <w:rPr>
          <w:rFonts w:cs="Times New Roman"/>
          <w:bCs/>
          <w:sz w:val="32"/>
          <w:szCs w:val="32"/>
        </w:rPr>
      </w:pPr>
      <w:r>
        <w:rPr>
          <w:rFonts w:hint="eastAsia" w:eastAsia="楷体_GB2312"/>
          <w:b/>
          <w:bCs/>
          <w:color w:val="000000"/>
          <w:kern w:val="0"/>
          <w:szCs w:val="32"/>
          <w:shd w:val="clear" w:color="auto" w:fill="FFFFFF"/>
          <w:lang w:val="zh-CN"/>
        </w:rPr>
        <w:t>（二）</w:t>
      </w:r>
      <w:r>
        <w:rPr>
          <w:rFonts w:hint="eastAsia" w:ascii="Times New Roman" w:hAnsi="Times New Roman" w:eastAsia="楷体_GB2312" w:cs="Times New Roman"/>
          <w:b/>
          <w:bCs/>
          <w:color w:val="000000"/>
          <w:kern w:val="0"/>
          <w:sz w:val="32"/>
          <w:szCs w:val="32"/>
          <w:shd w:val="clear" w:color="auto" w:fill="FFFFFF"/>
          <w:lang w:val="zh-CN" w:eastAsia="zh-CN" w:bidi="ar-SA"/>
        </w:rPr>
        <w:t>机构职能。</w:t>
      </w:r>
      <w:r>
        <w:rPr>
          <w:rFonts w:hint="eastAsia" w:cs="Times New Roman"/>
          <w:bCs/>
          <w:sz w:val="32"/>
          <w:szCs w:val="32"/>
        </w:rPr>
        <w:t>1.贯彻执行党和国家关于卫生计生工作的方针、政策、法律、法规以及省、州、县关于卫生计生工作的决策部署，制定全县卫生计生事业发展规划，统筹规划全县卫生计生资源配置，指导全县卫生计生工作。</w:t>
      </w:r>
    </w:p>
    <w:p>
      <w:pPr>
        <w:pStyle w:val="168"/>
        <w:keepNext w:val="0"/>
        <w:keepLines w:val="0"/>
        <w:pageBreakBefore w:val="0"/>
        <w:kinsoku/>
        <w:wordWrap/>
        <w:overflowPunct/>
        <w:topLinePunct w:val="0"/>
        <w:autoSpaceDE/>
        <w:autoSpaceDN/>
        <w:bidi w:val="0"/>
        <w:spacing w:before="0" w:line="560" w:lineRule="exact"/>
        <w:ind w:firstLine="627" w:firstLineChars="196"/>
        <w:textAlignment w:val="auto"/>
        <w:rPr>
          <w:rFonts w:cs="Times New Roman"/>
          <w:bCs/>
          <w:sz w:val="32"/>
          <w:szCs w:val="32"/>
        </w:rPr>
      </w:pPr>
      <w:r>
        <w:rPr>
          <w:rFonts w:hint="eastAsia" w:cs="Times New Roman"/>
          <w:bCs/>
          <w:sz w:val="32"/>
          <w:szCs w:val="32"/>
        </w:rPr>
        <w:t>2.贯彻实施党和国家医药卫生体制改革政策和国家药物政策及国家基本药物制度，执行国家基本药物目录以及我省药品增补目录，执行基本药物采购、配送、使用的政策措施。贯彻中西医并重的方针，发展我县中藏医事业。</w:t>
      </w:r>
    </w:p>
    <w:p>
      <w:pPr>
        <w:pStyle w:val="168"/>
        <w:keepNext w:val="0"/>
        <w:keepLines w:val="0"/>
        <w:pageBreakBefore w:val="0"/>
        <w:kinsoku/>
        <w:wordWrap/>
        <w:overflowPunct/>
        <w:topLinePunct w:val="0"/>
        <w:autoSpaceDE/>
        <w:autoSpaceDN/>
        <w:bidi w:val="0"/>
        <w:spacing w:before="0" w:line="560" w:lineRule="exact"/>
        <w:ind w:firstLine="627" w:firstLineChars="196"/>
        <w:textAlignment w:val="auto"/>
        <w:rPr>
          <w:rFonts w:cs="Times New Roman"/>
          <w:bCs/>
          <w:sz w:val="32"/>
          <w:szCs w:val="32"/>
        </w:rPr>
      </w:pPr>
      <w:r>
        <w:rPr>
          <w:rFonts w:hint="eastAsia" w:cs="Times New Roman"/>
          <w:bCs/>
          <w:sz w:val="32"/>
          <w:szCs w:val="32"/>
        </w:rPr>
        <w:t>3.贯彻实施职责范围内的职业卫生、放射卫生、环境卫生、学校卫生、公共场所卫生、饮用水卫生管理规范、标准和政策措施，组织开展相关监测、调查、评估和监督。</w:t>
      </w:r>
    </w:p>
    <w:p>
      <w:pPr>
        <w:pStyle w:val="168"/>
        <w:keepNext w:val="0"/>
        <w:keepLines w:val="0"/>
        <w:pageBreakBefore w:val="0"/>
        <w:kinsoku/>
        <w:wordWrap/>
        <w:overflowPunct/>
        <w:topLinePunct w:val="0"/>
        <w:autoSpaceDE/>
        <w:autoSpaceDN/>
        <w:bidi w:val="0"/>
        <w:spacing w:before="0" w:line="560" w:lineRule="exact"/>
        <w:ind w:firstLine="627" w:firstLineChars="196"/>
        <w:textAlignment w:val="auto"/>
        <w:rPr>
          <w:rFonts w:cs="Times New Roman"/>
          <w:bCs/>
          <w:sz w:val="32"/>
          <w:szCs w:val="32"/>
        </w:rPr>
      </w:pPr>
      <w:r>
        <w:rPr>
          <w:rFonts w:hint="eastAsia" w:cs="Times New Roman"/>
          <w:bCs/>
          <w:sz w:val="32"/>
          <w:szCs w:val="32"/>
        </w:rPr>
        <w:t>4.负责制定全县卫生应急预案、突发公共卫生事件监测和风险评估，组织和指导全县突发公共卫生事件预防控制和各类突发公共事件的医疗卫生救援。</w:t>
      </w:r>
    </w:p>
    <w:p>
      <w:pPr>
        <w:pStyle w:val="168"/>
        <w:keepNext w:val="0"/>
        <w:keepLines w:val="0"/>
        <w:pageBreakBefore w:val="0"/>
        <w:kinsoku/>
        <w:wordWrap/>
        <w:overflowPunct/>
        <w:topLinePunct w:val="0"/>
        <w:autoSpaceDE/>
        <w:autoSpaceDN/>
        <w:bidi w:val="0"/>
        <w:spacing w:before="0" w:line="560" w:lineRule="exact"/>
        <w:ind w:firstLine="627" w:firstLineChars="196"/>
        <w:textAlignment w:val="auto"/>
        <w:rPr>
          <w:rFonts w:cs="Times New Roman"/>
          <w:bCs/>
          <w:sz w:val="32"/>
          <w:szCs w:val="32"/>
        </w:rPr>
      </w:pPr>
      <w:r>
        <w:rPr>
          <w:rFonts w:hint="eastAsia" w:cs="Times New Roman"/>
          <w:bCs/>
          <w:sz w:val="32"/>
          <w:szCs w:val="32"/>
        </w:rPr>
        <w:t>5.组织实施促进全县出生人口性别平衡的政策措施，组织监测计划生育发展动态，负责全县计划生育相关数据采集和分析研究，提出发布计划生育安全预警预报信息建议，制定计划生育技术服务管理制度并监督实施，制定优生优育和提高出生人口素质的政策措施并组织实施，推动实施计划生育生殖健康促进计划，降低出生缺陷人口数量。</w:t>
      </w:r>
    </w:p>
    <w:p>
      <w:pPr>
        <w:pStyle w:val="168"/>
        <w:keepNext w:val="0"/>
        <w:keepLines w:val="0"/>
        <w:pageBreakBefore w:val="0"/>
        <w:kinsoku/>
        <w:wordWrap/>
        <w:overflowPunct/>
        <w:topLinePunct w:val="0"/>
        <w:autoSpaceDE/>
        <w:autoSpaceDN/>
        <w:bidi w:val="0"/>
        <w:spacing w:before="0" w:line="560" w:lineRule="exact"/>
        <w:ind w:firstLine="627" w:firstLineChars="196"/>
        <w:textAlignment w:val="auto"/>
        <w:rPr>
          <w:rFonts w:cs="Times New Roman"/>
          <w:bCs/>
          <w:sz w:val="32"/>
          <w:szCs w:val="32"/>
        </w:rPr>
      </w:pPr>
      <w:r>
        <w:rPr>
          <w:rFonts w:hint="eastAsia" w:cs="Times New Roman"/>
          <w:bCs/>
          <w:sz w:val="32"/>
          <w:szCs w:val="32"/>
        </w:rPr>
        <w:t>6.实施“三项制度”，组织建立计划生育利益导向、计划生育特殊困难家庭扶助和促进计划生育家庭发展等机制，负责协调推进有关部门、群众团体履行计划生育工作相关职责，建立与经济社会发展政策的衔接机制，提出稳定低生育水平政策措施。</w:t>
      </w:r>
    </w:p>
    <w:p>
      <w:pPr>
        <w:pStyle w:val="168"/>
        <w:keepNext w:val="0"/>
        <w:keepLines w:val="0"/>
        <w:pageBreakBefore w:val="0"/>
        <w:kinsoku/>
        <w:wordWrap/>
        <w:overflowPunct/>
        <w:topLinePunct w:val="0"/>
        <w:autoSpaceDE/>
        <w:autoSpaceDN/>
        <w:bidi w:val="0"/>
        <w:spacing w:before="0" w:line="560" w:lineRule="exact"/>
        <w:ind w:firstLine="627" w:firstLineChars="196"/>
        <w:textAlignment w:val="auto"/>
        <w:rPr>
          <w:rFonts w:cs="Times New Roman"/>
          <w:bCs/>
          <w:sz w:val="32"/>
          <w:szCs w:val="32"/>
        </w:rPr>
      </w:pPr>
      <w:r>
        <w:rPr>
          <w:rFonts w:hint="eastAsia" w:cs="Times New Roman"/>
          <w:bCs/>
          <w:sz w:val="32"/>
          <w:szCs w:val="32"/>
        </w:rPr>
        <w:t>7.制定我县实施流动人口计划生育服务管理制度并组织落实，推动建立流动人口卫生计生信息共享与公共服务工作机制。</w:t>
      </w:r>
    </w:p>
    <w:p>
      <w:pPr>
        <w:pStyle w:val="168"/>
        <w:keepNext w:val="0"/>
        <w:keepLines w:val="0"/>
        <w:pageBreakBefore w:val="0"/>
        <w:kinsoku/>
        <w:wordWrap/>
        <w:overflowPunct/>
        <w:topLinePunct w:val="0"/>
        <w:autoSpaceDE/>
        <w:autoSpaceDN/>
        <w:bidi w:val="0"/>
        <w:spacing w:before="0" w:line="560" w:lineRule="exact"/>
        <w:ind w:firstLine="627" w:firstLineChars="196"/>
        <w:textAlignment w:val="auto"/>
        <w:rPr>
          <w:rFonts w:cs="Times New Roman"/>
          <w:bCs/>
          <w:sz w:val="32"/>
          <w:szCs w:val="32"/>
        </w:rPr>
      </w:pPr>
      <w:r>
        <w:rPr>
          <w:rFonts w:hint="eastAsia" w:cs="Times New Roman"/>
          <w:bCs/>
          <w:sz w:val="32"/>
          <w:szCs w:val="32"/>
        </w:rPr>
        <w:t>8.负责组织拟订并实施基层卫生和妇幼卫生、计划生育服务发展规划和政策措施，指导全县基层卫生和妇幼卫生、计划生育服务体系建设，推进基本公共卫生计生服务均等化，完善乡村医生管理制度。</w:t>
      </w:r>
    </w:p>
    <w:p>
      <w:pPr>
        <w:pStyle w:val="168"/>
        <w:keepNext w:val="0"/>
        <w:keepLines w:val="0"/>
        <w:pageBreakBefore w:val="0"/>
        <w:kinsoku/>
        <w:wordWrap/>
        <w:overflowPunct/>
        <w:topLinePunct w:val="0"/>
        <w:autoSpaceDE/>
        <w:autoSpaceDN/>
        <w:bidi w:val="0"/>
        <w:spacing w:before="0" w:line="560" w:lineRule="exact"/>
        <w:ind w:firstLine="627" w:firstLineChars="196"/>
        <w:textAlignment w:val="auto"/>
        <w:rPr>
          <w:rFonts w:cs="Times New Roman"/>
          <w:bCs/>
          <w:sz w:val="32"/>
          <w:szCs w:val="32"/>
        </w:rPr>
      </w:pPr>
      <w:r>
        <w:rPr>
          <w:rFonts w:hint="eastAsia" w:cs="Times New Roman"/>
          <w:bCs/>
          <w:sz w:val="32"/>
          <w:szCs w:val="32"/>
        </w:rPr>
        <w:t>9.组织实施全县医疗机构及医疗服务全行业管理办法及医疗服务、医疗技术、医疗质量、医疗安全管的规范、标准，会同有关部门贯彻执行国家卫生计生专业技术人员准入、资格标准。制定和实施卫生计生专业技术人员执业规则和服务规范，建立医疗服务评价和监督管理体系。</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eastAsia="楷体_GB2312"/>
          <w:b/>
          <w:bCs/>
          <w:color w:val="000000"/>
          <w:kern w:val="0"/>
          <w:szCs w:val="32"/>
          <w:shd w:val="clear" w:color="auto" w:fill="FFFFFF"/>
          <w:lang w:val="zh-CN"/>
        </w:rPr>
      </w:pPr>
      <w:r>
        <w:rPr>
          <w:rFonts w:hint="eastAsia" w:cs="Times New Roman"/>
          <w:bCs/>
          <w:sz w:val="32"/>
          <w:szCs w:val="32"/>
        </w:rPr>
        <w:t>10.负责卫生计生政策宣传、全民健康教育、健康促进等工作。依法组织实施统计调查，开展全县人口基础信息库建设。</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szCs w:val="32"/>
        </w:rPr>
      </w:pPr>
      <w:r>
        <w:rPr>
          <w:rFonts w:hint="eastAsia" w:eastAsia="楷体_GB2312"/>
          <w:b/>
          <w:bCs/>
          <w:color w:val="000000"/>
          <w:kern w:val="0"/>
          <w:szCs w:val="32"/>
          <w:shd w:val="clear" w:color="auto" w:fill="FFFFFF"/>
          <w:lang w:val="zh-CN"/>
        </w:rPr>
        <w:t>（三）人员概况。</w:t>
      </w:r>
      <w:r>
        <w:rPr>
          <w:szCs w:val="32"/>
        </w:rPr>
        <w:t>202</w:t>
      </w:r>
      <w:r>
        <w:rPr>
          <w:rFonts w:hint="eastAsia"/>
          <w:szCs w:val="32"/>
        </w:rPr>
        <w:t>5年末，</w:t>
      </w:r>
      <w:r>
        <w:rPr>
          <w:rFonts w:hint="eastAsia" w:ascii="Times New Roman" w:hAnsi="Times New Roman" w:eastAsia="仿宋_GB2312" w:cs="Times New Roman"/>
          <w:sz w:val="32"/>
          <w:szCs w:val="32"/>
        </w:rPr>
        <w:t>202</w:t>
      </w:r>
      <w:r>
        <w:rPr>
          <w:rFonts w:hint="eastAsia" w:ascii="Times New Roman" w:hAnsi="Times New Roman" w:cs="Times New Roman"/>
          <w:sz w:val="32"/>
          <w:szCs w:val="32"/>
          <w:lang w:val="en-US" w:eastAsia="zh-CN"/>
        </w:rPr>
        <w:t>5</w:t>
      </w:r>
      <w:r>
        <w:rPr>
          <w:rFonts w:hint="eastAsia" w:ascii="Times New Roman" w:hAnsi="Times New Roman" w:eastAsia="仿宋_GB2312" w:cs="Times New Roman"/>
          <w:sz w:val="32"/>
          <w:szCs w:val="32"/>
        </w:rPr>
        <w:t>年12月底职工人数</w:t>
      </w:r>
      <w:r>
        <w:rPr>
          <w:rFonts w:hint="eastAsia" w:cs="Times New Roman"/>
          <w:sz w:val="32"/>
          <w:szCs w:val="32"/>
          <w:lang w:val="en-US" w:eastAsia="zh-CN"/>
        </w:rPr>
        <w:t>27</w:t>
      </w:r>
      <w:r>
        <w:rPr>
          <w:rFonts w:hint="eastAsia" w:ascii="Times New Roman" w:hAnsi="Times New Roman" w:eastAsia="仿宋_GB2312" w:cs="Times New Roman"/>
          <w:sz w:val="32"/>
          <w:szCs w:val="32"/>
        </w:rPr>
        <w:t>人，其中：</w:t>
      </w:r>
      <w:r>
        <w:rPr>
          <w:rFonts w:hint="eastAsia" w:ascii="仿宋_GB2312" w:hAnsi="仿宋" w:eastAsia="仿宋_GB2312"/>
          <w:sz w:val="32"/>
          <w:szCs w:val="32"/>
          <w:lang w:val="en-US" w:eastAsia="zh-CN"/>
        </w:rPr>
        <w:t>行政人员</w:t>
      </w:r>
      <w:r>
        <w:rPr>
          <w:rFonts w:hint="eastAsia" w:ascii="仿宋_GB2312" w:hAnsi="仿宋"/>
          <w:sz w:val="32"/>
          <w:szCs w:val="32"/>
          <w:lang w:val="en-US" w:eastAsia="zh-CN"/>
        </w:rPr>
        <w:t>4</w:t>
      </w:r>
      <w:r>
        <w:rPr>
          <w:rFonts w:hint="eastAsia" w:ascii="仿宋_GB2312" w:hAnsi="仿宋" w:eastAsia="仿宋_GB2312"/>
          <w:sz w:val="32"/>
          <w:szCs w:val="32"/>
          <w:lang w:val="en-US" w:eastAsia="zh-CN"/>
        </w:rPr>
        <w:t>人，参照公务员管理人员</w:t>
      </w:r>
      <w:r>
        <w:rPr>
          <w:rFonts w:hint="eastAsia" w:ascii="仿宋_GB2312" w:hAnsi="仿宋"/>
          <w:sz w:val="32"/>
          <w:szCs w:val="32"/>
          <w:lang w:val="en-US" w:eastAsia="zh-CN"/>
        </w:rPr>
        <w:t>8</w:t>
      </w:r>
      <w:r>
        <w:rPr>
          <w:rFonts w:hint="eastAsia" w:ascii="仿宋_GB2312" w:hAnsi="仿宋" w:eastAsia="仿宋_GB2312"/>
          <w:sz w:val="32"/>
          <w:szCs w:val="32"/>
          <w:lang w:val="en-US" w:eastAsia="zh-CN"/>
        </w:rPr>
        <w:t>人</w:t>
      </w:r>
      <w:r>
        <w:rPr>
          <w:rFonts w:hint="eastAsia" w:ascii="Times New Roman" w:hAnsi="Times New Roman" w:eastAsia="仿宋_GB2312" w:cs="Times New Roman"/>
          <w:sz w:val="32"/>
          <w:szCs w:val="32"/>
        </w:rPr>
        <w:t>，事业人员1</w:t>
      </w:r>
      <w:r>
        <w:rPr>
          <w:rFonts w:hint="eastAsia" w:cs="Times New Roman"/>
          <w:sz w:val="32"/>
          <w:szCs w:val="32"/>
          <w:lang w:val="en-US" w:eastAsia="zh-CN"/>
        </w:rPr>
        <w:t>2</w:t>
      </w:r>
      <w:r>
        <w:rPr>
          <w:rFonts w:hint="eastAsia" w:ascii="Times New Roman" w:hAnsi="Times New Roman" w:eastAsia="仿宋_GB2312" w:cs="Times New Roman"/>
          <w:sz w:val="32"/>
          <w:szCs w:val="32"/>
        </w:rPr>
        <w:t>人，机关工人2人，事业工人1人。</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eastAsia="黑体"/>
          <w:color w:val="000000"/>
          <w:kern w:val="0"/>
          <w:szCs w:val="32"/>
          <w:shd w:val="clear" w:color="auto" w:fill="FFFFFF"/>
        </w:rPr>
      </w:pPr>
      <w:r>
        <w:rPr>
          <w:rFonts w:hint="eastAsia" w:eastAsia="黑体"/>
          <w:color w:val="000000"/>
          <w:kern w:val="0"/>
          <w:szCs w:val="32"/>
          <w:shd w:val="clear" w:color="auto" w:fill="FFFFFF"/>
        </w:rPr>
        <w:t>二、部门资金收支情况</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hint="default"/>
          <w:szCs w:val="32"/>
          <w:lang w:val="en-US" w:eastAsia="zh-CN"/>
        </w:rPr>
      </w:pPr>
      <w:r>
        <w:rPr>
          <w:rFonts w:hint="eastAsia" w:eastAsia="楷体_GB2312"/>
          <w:b/>
          <w:bCs/>
          <w:color w:val="000000"/>
          <w:kern w:val="0"/>
          <w:szCs w:val="32"/>
          <w:shd w:val="clear" w:color="auto" w:fill="FFFFFF"/>
          <w:lang w:val="zh-CN"/>
        </w:rPr>
        <w:t>（一）收入情况。</w:t>
      </w:r>
      <w:r>
        <w:rPr>
          <w:rFonts w:ascii="Times New Roman" w:hAnsi="Times New Roman" w:cs="Times New Roman"/>
          <w:szCs w:val="32"/>
        </w:rPr>
        <w:t>202</w:t>
      </w:r>
      <w:r>
        <w:rPr>
          <w:rFonts w:hint="eastAsia" w:ascii="Times New Roman" w:hAnsi="Times New Roman" w:cs="Times New Roman"/>
          <w:szCs w:val="32"/>
        </w:rPr>
        <w:t>5</w:t>
      </w:r>
      <w:r>
        <w:rPr>
          <w:rFonts w:hint="eastAsia"/>
          <w:szCs w:val="32"/>
        </w:rPr>
        <w:t>年年初预算收入</w:t>
      </w:r>
      <w:r>
        <w:rPr>
          <w:rFonts w:hint="eastAsia"/>
          <w:szCs w:val="32"/>
          <w:lang w:val="en-US" w:eastAsia="zh-CN"/>
        </w:rPr>
        <w:t>49287204.61元。其中一般公共预算财政拨款收入27287204.61元，政府性基金预算财政拨款收入22000000元。</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both"/>
        <w:textAlignment w:val="auto"/>
        <w:rPr>
          <w:rFonts w:hint="default"/>
          <w:szCs w:val="32"/>
          <w:lang w:val="en-US" w:eastAsia="zh-CN"/>
        </w:rPr>
      </w:pPr>
      <w:r>
        <w:rPr>
          <w:rFonts w:hint="eastAsia" w:eastAsia="楷体_GB2312"/>
          <w:b/>
          <w:bCs/>
          <w:color w:val="000000"/>
          <w:kern w:val="0"/>
          <w:szCs w:val="32"/>
          <w:shd w:val="clear" w:color="auto" w:fill="FFFFFF"/>
          <w:lang w:val="zh-CN"/>
        </w:rPr>
        <w:t>（二）支出情况。</w:t>
      </w:r>
      <w:r>
        <w:rPr>
          <w:szCs w:val="32"/>
        </w:rPr>
        <w:t>202</w:t>
      </w:r>
      <w:r>
        <w:rPr>
          <w:rFonts w:hint="eastAsia"/>
          <w:szCs w:val="32"/>
        </w:rPr>
        <w:t>5年支</w:t>
      </w:r>
      <w:r>
        <w:rPr>
          <w:rFonts w:hint="eastAsia"/>
          <w:szCs w:val="32"/>
          <w:lang w:eastAsia="zh-CN"/>
        </w:rPr>
        <w:t>出</w:t>
      </w:r>
      <w:r>
        <w:rPr>
          <w:rFonts w:hint="eastAsia"/>
          <w:szCs w:val="32"/>
          <w:lang w:val="en-US" w:eastAsia="zh-CN"/>
        </w:rPr>
        <w:t>49287204.61元。其中项目支出41417990.92元，基本支出7869213.69元</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color w:val="000000"/>
          <w:kern w:val="0"/>
          <w:szCs w:val="32"/>
          <w:shd w:val="clear" w:color="auto" w:fill="FFFFFF"/>
          <w:lang w:val="zh-CN"/>
        </w:rPr>
      </w:pPr>
      <w:r>
        <w:rPr>
          <w:rFonts w:hint="eastAsia" w:eastAsia="楷体_GB2312"/>
          <w:b/>
          <w:bCs/>
          <w:color w:val="000000"/>
          <w:kern w:val="0"/>
          <w:szCs w:val="32"/>
          <w:shd w:val="clear" w:color="auto" w:fill="FFFFFF"/>
          <w:lang w:val="zh-CN"/>
        </w:rPr>
        <w:t>（三）</w:t>
      </w:r>
      <w:r>
        <w:rPr>
          <w:rFonts w:hint="eastAsia" w:eastAsia="楷体_GB2312"/>
          <w:b/>
          <w:szCs w:val="32"/>
        </w:rPr>
        <w:t>结余分配和结转结余情况。</w:t>
      </w:r>
      <w:r>
        <w:rPr>
          <w:rFonts w:hint="eastAsia" w:ascii="Times New Roman" w:hAnsi="Times New Roman" w:cs="Times New Roman"/>
          <w:szCs w:val="32"/>
          <w:lang w:val="zh-CN"/>
        </w:rPr>
        <w:t>2025</w:t>
      </w:r>
      <w:r>
        <w:rPr>
          <w:rFonts w:hint="eastAsia"/>
          <w:szCs w:val="32"/>
        </w:rPr>
        <w:t>年</w:t>
      </w:r>
      <w:r>
        <w:rPr>
          <w:rFonts w:hint="eastAsia"/>
          <w:szCs w:val="32"/>
          <w:lang w:eastAsia="zh-CN"/>
        </w:rPr>
        <w:t>无结余。</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eastAsia="黑体"/>
          <w:color w:val="000000" w:themeColor="text1"/>
          <w:kern w:val="0"/>
          <w:szCs w:val="32"/>
          <w:shd w:val="clear" w:color="auto" w:fill="FFFFFF"/>
          <w14:textFill>
            <w14:solidFill>
              <w14:schemeClr w14:val="tx1"/>
            </w14:solidFill>
          </w14:textFill>
        </w:rPr>
      </w:pPr>
      <w:r>
        <w:rPr>
          <w:rFonts w:hint="eastAsia" w:eastAsia="黑体"/>
          <w:color w:val="000000"/>
          <w:kern w:val="0"/>
          <w:szCs w:val="32"/>
          <w:shd w:val="clear" w:color="auto" w:fill="FFFFFF"/>
        </w:rPr>
        <w:t>三、部门预算绩效分析</w:t>
      </w:r>
    </w:p>
    <w:p>
      <w:pPr>
        <w:keepNext w:val="0"/>
        <w:keepLines w:val="0"/>
        <w:pageBreakBefore w:val="0"/>
        <w:kinsoku/>
        <w:wordWrap/>
        <w:overflowPunct/>
        <w:topLinePunct w:val="0"/>
        <w:autoSpaceDE/>
        <w:autoSpaceDN/>
        <w:bidi w:val="0"/>
        <w:adjustRightInd w:val="0"/>
        <w:snapToGrid w:val="0"/>
        <w:spacing w:line="560" w:lineRule="exact"/>
        <w:ind w:firstLine="642" w:firstLineChars="200"/>
        <w:contextualSpacing/>
        <w:jc w:val="left"/>
        <w:textAlignment w:val="auto"/>
        <w:rPr>
          <w:color w:val="000000"/>
          <w:kern w:val="0"/>
          <w:szCs w:val="32"/>
          <w:shd w:val="clear" w:color="auto" w:fill="FFFFFF"/>
          <w:lang w:val="zh-CN"/>
        </w:rPr>
      </w:pPr>
      <w:r>
        <w:rPr>
          <w:rFonts w:hint="eastAsia" w:eastAsia="楷体_GB2312"/>
          <w:b/>
          <w:bCs/>
          <w:color w:val="000000"/>
          <w:kern w:val="0"/>
          <w:szCs w:val="32"/>
          <w:shd w:val="clear" w:color="auto" w:fill="FFFFFF"/>
          <w:lang w:val="zh-CN"/>
        </w:rPr>
        <w:t>（一）部门预算总体绩效分析。</w:t>
      </w:r>
      <w:r>
        <w:rPr>
          <w:rFonts w:hint="eastAsia"/>
          <w:color w:val="000000"/>
          <w:kern w:val="0"/>
          <w:szCs w:val="32"/>
          <w:shd w:val="clear" w:color="auto" w:fill="FFFFFF"/>
          <w:lang w:val="zh-CN"/>
        </w:rPr>
        <w:t>根据部门预算绩效评价指标体系“总体绩效”涉及二、三级指标进行逐项绩效分析并评分，依次包括履职效能、预算管理、财务管理、资产管理、采购管理等情况。</w:t>
      </w:r>
    </w:p>
    <w:p>
      <w:pPr>
        <w:keepNext w:val="0"/>
        <w:keepLines w:val="0"/>
        <w:pageBreakBefore w:val="0"/>
        <w:kinsoku/>
        <w:wordWrap/>
        <w:overflowPunct/>
        <w:topLinePunct w:val="0"/>
        <w:autoSpaceDE/>
        <w:autoSpaceDN/>
        <w:bidi w:val="0"/>
        <w:adjustRightInd w:val="0"/>
        <w:snapToGrid w:val="0"/>
        <w:spacing w:line="560" w:lineRule="exact"/>
        <w:ind w:firstLine="642" w:firstLineChars="200"/>
        <w:contextualSpacing/>
        <w:jc w:val="left"/>
        <w:textAlignment w:val="auto"/>
        <w:rPr>
          <w:color w:val="000000"/>
          <w:kern w:val="0"/>
          <w:szCs w:val="32"/>
          <w:shd w:val="clear" w:color="auto" w:fill="FFFFFF"/>
          <w:lang w:val="zh-CN"/>
        </w:rPr>
      </w:pPr>
      <w:r>
        <w:rPr>
          <w:rFonts w:eastAsia="楷体_GB2312"/>
          <w:b/>
          <w:bCs/>
          <w:color w:val="000000"/>
          <w:kern w:val="0"/>
          <w:szCs w:val="32"/>
          <w:shd w:val="clear" w:color="auto" w:fill="FFFFFF"/>
        </w:rPr>
        <w:t>1.</w:t>
      </w:r>
      <w:r>
        <w:rPr>
          <w:rFonts w:hint="eastAsia" w:eastAsia="楷体_GB2312"/>
          <w:b/>
          <w:bCs/>
          <w:color w:val="000000"/>
          <w:kern w:val="0"/>
          <w:szCs w:val="32"/>
          <w:shd w:val="clear" w:color="auto" w:fill="FFFFFF"/>
          <w:lang w:val="zh-CN"/>
        </w:rPr>
        <w:t>履职效能（</w:t>
      </w:r>
      <w:r>
        <w:rPr>
          <w:rFonts w:hint="eastAsia" w:eastAsia="楷体_GB2312"/>
          <w:b/>
          <w:bCs/>
          <w:color w:val="000000"/>
          <w:kern w:val="0"/>
          <w:szCs w:val="32"/>
          <w:shd w:val="clear" w:color="auto" w:fill="FFFFFF"/>
          <w:lang w:val="en-US" w:eastAsia="zh-CN"/>
        </w:rPr>
        <w:t>12分</w:t>
      </w:r>
      <w:r>
        <w:rPr>
          <w:rFonts w:hint="eastAsia" w:eastAsia="楷体_GB2312"/>
          <w:b/>
          <w:bCs/>
          <w:color w:val="000000"/>
          <w:kern w:val="0"/>
          <w:szCs w:val="32"/>
          <w:shd w:val="clear" w:color="auto" w:fill="FFFFFF"/>
          <w:lang w:val="zh-CN"/>
        </w:rPr>
        <w:t>）。卫生股</w:t>
      </w:r>
      <w:r>
        <w:rPr>
          <w:rFonts w:hint="eastAsia" w:ascii="Times New Roman" w:hAnsi="Times New Roman" w:eastAsia="楷体_GB2312" w:cs="Times New Roman"/>
          <w:b/>
          <w:bCs/>
          <w:color w:val="000000"/>
          <w:kern w:val="0"/>
          <w:szCs w:val="32"/>
          <w:shd w:val="clear" w:color="auto" w:fill="FFFFFF"/>
          <w:lang w:val="zh-CN"/>
        </w:rPr>
        <w:t>围绕核心职能，</w:t>
      </w:r>
      <w:r>
        <w:rPr>
          <w:rFonts w:hint="eastAsia" w:ascii="Times New Roman" w:hAnsi="Times New Roman" w:eastAsia="楷体_GB2312" w:cs="Times New Roman"/>
          <w:color w:val="000000"/>
          <w:kern w:val="0"/>
          <w:szCs w:val="32"/>
          <w:shd w:val="clear" w:color="auto" w:fill="FFFFFF"/>
          <w:lang w:val="zh-CN"/>
        </w:rPr>
        <w:t>有效完成年度重点任务。一是传染病防控方面</w:t>
      </w:r>
      <w:r>
        <w:rPr>
          <w:rFonts w:hint="eastAsia" w:ascii="Times New Roman" w:hAnsi="Times New Roman" w:eastAsia="楷体_GB2312" w:cs="Times New Roman"/>
          <w:color w:val="000000"/>
          <w:kern w:val="0"/>
          <w:szCs w:val="32"/>
          <w:shd w:val="clear" w:color="auto" w:fill="FFFFFF"/>
          <w:lang w:val="zh-CN" w:eastAsia="zh-CN"/>
        </w:rPr>
        <w:t>无重大</w:t>
      </w:r>
      <w:r>
        <w:rPr>
          <w:rFonts w:hint="eastAsia" w:ascii="Times New Roman" w:hAnsi="Times New Roman" w:eastAsia="楷体_GB2312" w:cs="Times New Roman"/>
          <w:color w:val="000000"/>
          <w:kern w:val="0"/>
          <w:szCs w:val="32"/>
          <w:shd w:val="clear" w:color="auto" w:fill="FFFFFF"/>
          <w:lang w:val="zh-CN"/>
        </w:rPr>
        <w:t>突发公共卫生事件</w:t>
      </w:r>
      <w:r>
        <w:rPr>
          <w:rFonts w:hint="eastAsia" w:ascii="Times New Roman" w:hAnsi="Times New Roman" w:eastAsia="楷体_GB2312" w:cs="Times New Roman"/>
          <w:color w:val="000000"/>
          <w:kern w:val="0"/>
          <w:szCs w:val="32"/>
          <w:shd w:val="clear" w:color="auto" w:fill="FFFFFF"/>
          <w:lang w:val="zh-CN" w:eastAsia="zh-CN"/>
        </w:rPr>
        <w:t>，</w:t>
      </w:r>
      <w:r>
        <w:rPr>
          <w:rFonts w:hint="eastAsia" w:ascii="Times New Roman" w:hAnsi="Times New Roman" w:eastAsia="楷体_GB2312" w:cs="Times New Roman"/>
          <w:color w:val="000000"/>
          <w:kern w:val="0"/>
          <w:szCs w:val="32"/>
          <w:shd w:val="clear" w:color="auto" w:fill="FFFFFF"/>
          <w:lang w:val="zh-CN"/>
        </w:rPr>
        <w:t>未发生聚集性疫情扩散。二是免疫规划方面，适龄儿童疫苗接种率达到</w:t>
      </w:r>
      <w:r>
        <w:rPr>
          <w:rFonts w:hint="eastAsia" w:ascii="Times New Roman" w:hAnsi="Times New Roman" w:eastAsia="楷体_GB2312" w:cs="Times New Roman"/>
          <w:color w:val="000000"/>
          <w:kern w:val="0"/>
          <w:szCs w:val="32"/>
          <w:shd w:val="clear" w:color="auto" w:fill="FFFFFF"/>
          <w:lang w:val="en-US" w:eastAsia="zh-CN"/>
        </w:rPr>
        <w:t>90%</w:t>
      </w:r>
      <w:r>
        <w:rPr>
          <w:rFonts w:hint="eastAsia" w:ascii="Times New Roman" w:hAnsi="Times New Roman" w:eastAsia="楷体_GB2312" w:cs="Times New Roman"/>
          <w:color w:val="000000"/>
          <w:kern w:val="0"/>
          <w:szCs w:val="32"/>
          <w:shd w:val="clear" w:color="auto" w:fill="FFFFFF"/>
          <w:lang w:val="zh-CN"/>
        </w:rPr>
        <w:t>目标数值。三是慢性病与健康管理方面，高血压、糖尿病患者规范管理率</w:t>
      </w:r>
      <w:r>
        <w:rPr>
          <w:rFonts w:hint="eastAsia" w:ascii="Times New Roman" w:hAnsi="Times New Roman" w:eastAsia="楷体_GB2312" w:cs="Times New Roman"/>
          <w:color w:val="000000"/>
          <w:kern w:val="0"/>
          <w:szCs w:val="32"/>
          <w:shd w:val="clear" w:color="auto" w:fill="FFFFFF"/>
          <w:lang w:val="en-US" w:eastAsia="zh-CN"/>
        </w:rPr>
        <w:t>79%</w:t>
      </w:r>
      <w:r>
        <w:rPr>
          <w:rFonts w:hint="eastAsia" w:ascii="Times New Roman" w:hAnsi="Times New Roman" w:eastAsia="楷体_GB2312" w:cs="Times New Roman"/>
          <w:color w:val="000000"/>
          <w:kern w:val="0"/>
          <w:szCs w:val="32"/>
          <w:shd w:val="clear" w:color="auto" w:fill="FFFFFF"/>
          <w:lang w:val="zh-CN"/>
        </w:rPr>
        <w:t>均优于年度目。标总体看，卫生股履职效能良好，但在重点人群随访深度上仍有提升空间（</w:t>
      </w:r>
      <w:r>
        <w:rPr>
          <w:rFonts w:hint="eastAsia" w:ascii="Times New Roman" w:hAnsi="Times New Roman" w:eastAsia="楷体_GB2312" w:cs="Times New Roman"/>
          <w:color w:val="000000"/>
          <w:kern w:val="0"/>
          <w:szCs w:val="32"/>
          <w:shd w:val="clear" w:color="auto" w:fill="FFFFFF"/>
          <w:lang w:val="en-US" w:eastAsia="zh-CN"/>
        </w:rPr>
        <w:t>4分</w:t>
      </w:r>
      <w:r>
        <w:rPr>
          <w:rFonts w:hint="eastAsia" w:ascii="Times New Roman" w:hAnsi="Times New Roman" w:eastAsia="楷体_GB2312" w:cs="Times New Roman"/>
          <w:color w:val="000000"/>
          <w:kern w:val="0"/>
          <w:szCs w:val="32"/>
          <w:shd w:val="clear" w:color="auto" w:fill="FFFFFF"/>
          <w:lang w:val="zh-CN"/>
        </w:rPr>
        <w:t>）。计生</w:t>
      </w:r>
      <w:r>
        <w:rPr>
          <w:rFonts w:hint="eastAsia" w:ascii="Times New Roman" w:hAnsi="Times New Roman" w:eastAsia="楷体_GB2312" w:cs="Times New Roman"/>
          <w:color w:val="000000"/>
          <w:kern w:val="0"/>
          <w:szCs w:val="32"/>
          <w:shd w:val="clear" w:color="auto" w:fill="FFFFFF"/>
          <w:lang w:val="zh-CN" w:eastAsia="zh-CN"/>
        </w:rPr>
        <w:t>股对</w:t>
      </w:r>
      <w:r>
        <w:rPr>
          <w:rFonts w:hint="eastAsia" w:ascii="Times New Roman" w:hAnsi="Times New Roman" w:eastAsia="楷体_GB2312" w:cs="Times New Roman"/>
          <w:color w:val="000000"/>
          <w:kern w:val="0"/>
          <w:szCs w:val="32"/>
          <w:shd w:val="clear" w:color="auto" w:fill="FFFFFF"/>
          <w:lang w:val="zh-CN"/>
        </w:rPr>
        <w:t>奖扶、特扶对象资格确认准确率</w:t>
      </w:r>
      <w:r>
        <w:rPr>
          <w:rFonts w:hint="eastAsia" w:ascii="Times New Roman" w:hAnsi="Times New Roman" w:eastAsia="楷体_GB2312" w:cs="Times New Roman"/>
          <w:color w:val="000000"/>
          <w:kern w:val="0"/>
          <w:szCs w:val="32"/>
          <w:shd w:val="clear" w:color="auto" w:fill="FFFFFF"/>
          <w:lang w:val="en-US" w:eastAsia="zh-CN"/>
        </w:rPr>
        <w:t>100%</w:t>
      </w:r>
      <w:r>
        <w:rPr>
          <w:rFonts w:hint="eastAsia" w:ascii="Times New Roman" w:hAnsi="Times New Roman" w:eastAsia="楷体_GB2312" w:cs="Times New Roman"/>
          <w:color w:val="000000"/>
          <w:kern w:val="0"/>
          <w:szCs w:val="32"/>
          <w:shd w:val="clear" w:color="auto" w:fill="FFFFFF"/>
          <w:lang w:val="zh-CN" w:eastAsia="zh-CN"/>
        </w:rPr>
        <w:t>，确保</w:t>
      </w:r>
      <w:r>
        <w:rPr>
          <w:rFonts w:hint="eastAsia" w:ascii="Times New Roman" w:hAnsi="Times New Roman" w:eastAsia="楷体_GB2312" w:cs="Times New Roman"/>
          <w:color w:val="000000"/>
          <w:kern w:val="0"/>
          <w:szCs w:val="32"/>
          <w:shd w:val="clear" w:color="auto" w:fill="FFFFFF"/>
          <w:lang w:val="zh-CN"/>
        </w:rPr>
        <w:t>资金足额发放到位。</w:t>
      </w:r>
      <w:r>
        <w:rPr>
          <w:rFonts w:hint="eastAsia" w:ascii="Times New Roman" w:hAnsi="Times New Roman" w:eastAsia="楷体_GB2312" w:cs="Times New Roman"/>
          <w:color w:val="000000"/>
          <w:kern w:val="0"/>
          <w:szCs w:val="32"/>
          <w:shd w:val="clear" w:color="auto" w:fill="FFFFFF"/>
          <w:lang w:val="zh-CN" w:eastAsia="zh-CN"/>
        </w:rPr>
        <w:t>及时确保</w:t>
      </w:r>
      <w:r>
        <w:rPr>
          <w:rFonts w:hint="eastAsia" w:ascii="Times New Roman" w:hAnsi="Times New Roman" w:eastAsia="楷体_GB2312" w:cs="Times New Roman"/>
          <w:color w:val="000000"/>
          <w:kern w:val="0"/>
          <w:szCs w:val="32"/>
          <w:shd w:val="clear" w:color="auto" w:fill="FFFFFF"/>
          <w:lang w:val="zh-CN"/>
        </w:rPr>
        <w:t>人口监测率</w:t>
      </w:r>
      <w:r>
        <w:rPr>
          <w:rFonts w:hint="eastAsia" w:ascii="Times New Roman" w:hAnsi="Times New Roman" w:eastAsia="楷体_GB2312" w:cs="Times New Roman"/>
          <w:color w:val="000000"/>
          <w:kern w:val="0"/>
          <w:szCs w:val="32"/>
          <w:shd w:val="clear" w:color="auto" w:fill="FFFFFF"/>
          <w:lang w:val="en-US" w:eastAsia="zh-CN"/>
        </w:rPr>
        <w:t>100%</w:t>
      </w:r>
      <w:r>
        <w:rPr>
          <w:rFonts w:hint="eastAsia" w:ascii="Times New Roman" w:hAnsi="Times New Roman" w:eastAsia="楷体_GB2312" w:cs="Times New Roman"/>
          <w:color w:val="000000"/>
          <w:kern w:val="0"/>
          <w:szCs w:val="32"/>
          <w:shd w:val="clear" w:color="auto" w:fill="FFFFFF"/>
          <w:lang w:val="zh-CN"/>
        </w:rPr>
        <w:t>。目标人群满意度</w:t>
      </w:r>
      <w:r>
        <w:rPr>
          <w:rFonts w:hint="eastAsia" w:ascii="Times New Roman" w:hAnsi="Times New Roman" w:eastAsia="楷体_GB2312" w:cs="Times New Roman"/>
          <w:color w:val="000000"/>
          <w:kern w:val="0"/>
          <w:szCs w:val="32"/>
          <w:shd w:val="clear" w:color="auto" w:fill="FFFFFF"/>
          <w:lang w:val="zh-CN" w:eastAsia="zh-CN"/>
        </w:rPr>
        <w:t>高</w:t>
      </w:r>
      <w:r>
        <w:rPr>
          <w:rFonts w:hint="eastAsia" w:ascii="Times New Roman" w:hAnsi="Times New Roman" w:eastAsia="楷体_GB2312" w:cs="Times New Roman"/>
          <w:color w:val="000000"/>
          <w:kern w:val="0"/>
          <w:szCs w:val="32"/>
          <w:shd w:val="clear" w:color="auto" w:fill="FFFFFF"/>
          <w:lang w:val="zh-CN"/>
        </w:rPr>
        <w:t>。履职效果较好，但优生指导精细化水平仍有提升空间</w:t>
      </w:r>
      <w:r>
        <w:rPr>
          <w:rFonts w:hint="eastAsia" w:ascii="Times New Roman" w:hAnsi="Times New Roman" w:eastAsia="楷体_GB2312" w:cs="Times New Roman"/>
          <w:color w:val="000000"/>
          <w:kern w:val="0"/>
          <w:szCs w:val="32"/>
          <w:shd w:val="clear" w:color="auto" w:fill="FFFFFF"/>
          <w:lang w:val="zh-CN" w:eastAsia="zh-CN"/>
        </w:rPr>
        <w:t>（</w:t>
      </w:r>
      <w:r>
        <w:rPr>
          <w:rFonts w:hint="eastAsia" w:ascii="Times New Roman" w:hAnsi="Times New Roman" w:eastAsia="楷体_GB2312" w:cs="Times New Roman"/>
          <w:color w:val="000000"/>
          <w:kern w:val="0"/>
          <w:szCs w:val="32"/>
          <w:shd w:val="clear" w:color="auto" w:fill="FFFFFF"/>
          <w:lang w:val="en-US" w:eastAsia="zh-CN"/>
        </w:rPr>
        <w:t>4分</w:t>
      </w:r>
      <w:r>
        <w:rPr>
          <w:rFonts w:hint="eastAsia" w:ascii="Times New Roman" w:hAnsi="Times New Roman" w:eastAsia="楷体_GB2312" w:cs="Times New Roman"/>
          <w:color w:val="000000"/>
          <w:kern w:val="0"/>
          <w:szCs w:val="32"/>
          <w:shd w:val="clear" w:color="auto" w:fill="FFFFFF"/>
          <w:lang w:val="zh-CN" w:eastAsia="zh-CN"/>
        </w:rPr>
        <w:t>）。</w:t>
      </w:r>
      <w:r>
        <w:rPr>
          <w:rFonts w:hint="eastAsia" w:ascii="Times New Roman" w:hAnsi="Times New Roman" w:eastAsia="楷体_GB2312" w:cs="Times New Roman"/>
          <w:color w:val="000000"/>
          <w:kern w:val="0"/>
          <w:szCs w:val="32"/>
          <w:shd w:val="clear" w:color="auto" w:fill="FFFFFF"/>
          <w:lang w:val="zh-CN"/>
        </w:rPr>
        <w:t>基建</w:t>
      </w:r>
      <w:r>
        <w:rPr>
          <w:rFonts w:hint="eastAsia" w:ascii="Times New Roman" w:hAnsi="Times New Roman" w:eastAsia="楷体_GB2312" w:cs="Times New Roman"/>
          <w:color w:val="000000"/>
          <w:kern w:val="0"/>
          <w:szCs w:val="32"/>
          <w:shd w:val="clear" w:color="auto" w:fill="FFFFFF"/>
          <w:lang w:val="zh-CN" w:eastAsia="zh-CN"/>
        </w:rPr>
        <w:t>股</w:t>
      </w:r>
      <w:r>
        <w:rPr>
          <w:rFonts w:hint="eastAsia" w:ascii="Times New Roman" w:hAnsi="Times New Roman" w:eastAsia="楷体_GB2312" w:cs="Times New Roman"/>
          <w:color w:val="000000"/>
          <w:kern w:val="0"/>
          <w:szCs w:val="32"/>
          <w:shd w:val="clear" w:color="auto" w:fill="FFFFFF"/>
          <w:lang w:val="zh-CN"/>
        </w:rPr>
        <w:t>全年推进重点建设项目</w:t>
      </w:r>
      <w:r>
        <w:rPr>
          <w:rFonts w:hint="eastAsia" w:ascii="Times New Roman" w:hAnsi="Times New Roman" w:eastAsia="楷体_GB2312" w:cs="Times New Roman"/>
          <w:color w:val="000000"/>
          <w:kern w:val="0"/>
          <w:szCs w:val="32"/>
          <w:shd w:val="clear" w:color="auto" w:fill="FFFFFF"/>
          <w:lang w:val="en-US" w:eastAsia="zh-CN"/>
        </w:rPr>
        <w:t>5</w:t>
      </w:r>
      <w:r>
        <w:rPr>
          <w:rFonts w:hint="eastAsia" w:ascii="Times New Roman" w:hAnsi="Times New Roman" w:eastAsia="楷体_GB2312" w:cs="Times New Roman"/>
          <w:color w:val="000000"/>
          <w:kern w:val="0"/>
          <w:szCs w:val="32"/>
          <w:shd w:val="clear" w:color="auto" w:fill="FFFFFF"/>
          <w:lang w:val="zh-CN"/>
        </w:rPr>
        <w:t>个，工程质量验收合格率100%，未发生安全事故。政府采购规范，资金支付合规。项目按期交付使用，服务对象满意度</w:t>
      </w:r>
      <w:r>
        <w:rPr>
          <w:rFonts w:hint="eastAsia" w:ascii="Times New Roman" w:hAnsi="Times New Roman" w:eastAsia="楷体_GB2312" w:cs="Times New Roman"/>
          <w:color w:val="000000"/>
          <w:kern w:val="0"/>
          <w:szCs w:val="32"/>
          <w:shd w:val="clear" w:color="auto" w:fill="FFFFFF"/>
          <w:lang w:val="zh-CN" w:eastAsia="zh-CN"/>
        </w:rPr>
        <w:t>高</w:t>
      </w:r>
      <w:r>
        <w:rPr>
          <w:rFonts w:hint="eastAsia" w:ascii="Times New Roman" w:hAnsi="Times New Roman" w:eastAsia="楷体_GB2312" w:cs="Times New Roman"/>
          <w:color w:val="000000"/>
          <w:kern w:val="0"/>
          <w:szCs w:val="32"/>
          <w:shd w:val="clear" w:color="auto" w:fill="FFFFFF"/>
          <w:lang w:val="zh-CN"/>
        </w:rPr>
        <w:t>。履职效果良好，但在项目前期论证和变更管理上需进一步优化（</w:t>
      </w:r>
      <w:r>
        <w:rPr>
          <w:rFonts w:hint="eastAsia" w:ascii="Times New Roman" w:hAnsi="Times New Roman" w:eastAsia="楷体_GB2312" w:cs="Times New Roman"/>
          <w:color w:val="000000"/>
          <w:kern w:val="0"/>
          <w:szCs w:val="32"/>
          <w:shd w:val="clear" w:color="auto" w:fill="FFFFFF"/>
          <w:lang w:val="en-US" w:eastAsia="zh-CN"/>
        </w:rPr>
        <w:t>4分</w:t>
      </w:r>
      <w:r>
        <w:rPr>
          <w:rFonts w:hint="eastAsia" w:ascii="Times New Roman" w:hAnsi="Times New Roman" w:eastAsia="楷体_GB2312" w:cs="Times New Roman"/>
          <w:color w:val="000000"/>
          <w:kern w:val="0"/>
          <w:szCs w:val="32"/>
          <w:shd w:val="clear" w:color="auto" w:fill="FFFFFF"/>
          <w:lang w:val="zh-CN"/>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eastAsia="楷体_GB2312"/>
          <w:color w:val="000000"/>
          <w:kern w:val="0"/>
          <w:szCs w:val="32"/>
          <w:shd w:val="clear" w:color="auto" w:fill="FFFFFF"/>
          <w:lang w:val="zh-CN"/>
        </w:rPr>
      </w:pPr>
      <w:r>
        <w:rPr>
          <w:rFonts w:eastAsia="楷体_GB2312"/>
          <w:color w:val="000000"/>
          <w:kern w:val="0"/>
          <w:szCs w:val="32"/>
          <w:shd w:val="clear" w:color="auto" w:fill="FFFFFF"/>
        </w:rPr>
        <w:t>2</w:t>
      </w:r>
      <w:r>
        <w:rPr>
          <w:rFonts w:eastAsia="楷体_GB2312"/>
          <w:b/>
          <w:bCs/>
          <w:color w:val="000000"/>
          <w:kern w:val="0"/>
          <w:szCs w:val="32"/>
          <w:shd w:val="clear" w:color="auto" w:fill="FFFFFF"/>
        </w:rPr>
        <w:t>.</w:t>
      </w:r>
      <w:r>
        <w:rPr>
          <w:rFonts w:hint="eastAsia" w:eastAsia="楷体_GB2312"/>
          <w:b/>
          <w:bCs/>
          <w:color w:val="000000"/>
          <w:kern w:val="0"/>
          <w:szCs w:val="32"/>
          <w:shd w:val="clear" w:color="auto" w:fill="FFFFFF"/>
          <w:lang w:val="zh-CN"/>
        </w:rPr>
        <w:t>预算管理（</w:t>
      </w:r>
      <w:r>
        <w:rPr>
          <w:rFonts w:hint="eastAsia" w:eastAsia="楷体_GB2312"/>
          <w:b/>
          <w:bCs/>
          <w:color w:val="000000"/>
          <w:kern w:val="0"/>
          <w:szCs w:val="32"/>
          <w:shd w:val="clear" w:color="auto" w:fill="FFFFFF"/>
          <w:lang w:val="en-US" w:eastAsia="zh-CN"/>
        </w:rPr>
        <w:t>22分</w:t>
      </w:r>
      <w:r>
        <w:rPr>
          <w:rFonts w:hint="eastAsia" w:eastAsia="楷体_GB2312"/>
          <w:b/>
          <w:bCs/>
          <w:color w:val="000000"/>
          <w:kern w:val="0"/>
          <w:szCs w:val="32"/>
          <w:shd w:val="clear" w:color="auto" w:fill="FFFFFF"/>
          <w:lang w:val="zh-CN"/>
        </w:rPr>
        <w:t>）。预算编制质量：</w:t>
      </w:r>
      <w:r>
        <w:rPr>
          <w:rFonts w:hint="eastAsia" w:eastAsia="楷体_GB2312"/>
          <w:color w:val="000000"/>
          <w:kern w:val="0"/>
          <w:szCs w:val="32"/>
          <w:shd w:val="clear" w:color="auto" w:fill="FFFFFF"/>
          <w:lang w:val="zh-CN"/>
        </w:rPr>
        <w:t>收入预算测算依据充分，项目支出细化到具体用途；但存在个别科目归类不够精准（</w:t>
      </w:r>
      <w:r>
        <w:rPr>
          <w:rFonts w:hint="eastAsia" w:eastAsia="楷体_GB2312"/>
          <w:color w:val="000000"/>
          <w:kern w:val="0"/>
          <w:szCs w:val="32"/>
          <w:shd w:val="clear" w:color="auto" w:fill="FFFFFF"/>
          <w:lang w:val="en-US" w:eastAsia="zh-CN"/>
        </w:rPr>
        <w:t>6分</w:t>
      </w:r>
      <w:r>
        <w:rPr>
          <w:rFonts w:hint="eastAsia" w:eastAsia="楷体_GB2312"/>
          <w:color w:val="000000"/>
          <w:kern w:val="0"/>
          <w:szCs w:val="32"/>
          <w:shd w:val="clear" w:color="auto" w:fill="FFFFFF"/>
          <w:lang w:val="zh-CN"/>
        </w:rPr>
        <w:t>）。</w:t>
      </w:r>
      <w:r>
        <w:rPr>
          <w:rFonts w:hint="eastAsia" w:eastAsia="楷体_GB2312"/>
          <w:b/>
          <w:bCs/>
          <w:color w:val="000000"/>
          <w:kern w:val="0"/>
          <w:szCs w:val="32"/>
          <w:shd w:val="clear" w:color="auto" w:fill="FFFFFF"/>
          <w:lang w:val="zh-CN"/>
        </w:rPr>
        <w:t>单位收入统筹：</w:t>
      </w:r>
      <w:r>
        <w:rPr>
          <w:rFonts w:hint="eastAsia" w:eastAsia="楷体_GB2312"/>
          <w:color w:val="000000"/>
          <w:kern w:val="0"/>
          <w:szCs w:val="32"/>
          <w:shd w:val="clear" w:color="auto" w:fill="FFFFFF"/>
          <w:lang w:val="zh-CN"/>
        </w:rPr>
        <w:t>收入全部纳入预算管理，无截留、坐支行为（4分）。</w:t>
      </w:r>
      <w:r>
        <w:rPr>
          <w:rFonts w:hint="eastAsia" w:eastAsia="楷体_GB2312"/>
          <w:b/>
          <w:bCs/>
          <w:color w:val="000000"/>
          <w:kern w:val="0"/>
          <w:szCs w:val="32"/>
          <w:shd w:val="clear" w:color="auto" w:fill="FFFFFF"/>
          <w:lang w:val="zh-CN"/>
        </w:rPr>
        <w:t>支出执行管理：</w:t>
      </w:r>
      <w:r>
        <w:rPr>
          <w:rFonts w:hint="eastAsia" w:eastAsia="楷体_GB2312"/>
          <w:color w:val="000000"/>
          <w:kern w:val="0"/>
          <w:szCs w:val="32"/>
          <w:shd w:val="clear" w:color="auto" w:fill="FFFFFF"/>
          <w:lang w:val="zh-CN"/>
        </w:rPr>
        <w:t>全年支出按预定进度进行支出（</w:t>
      </w:r>
      <w:r>
        <w:rPr>
          <w:rFonts w:hint="eastAsia" w:eastAsia="楷体_GB2312"/>
          <w:color w:val="000000"/>
          <w:kern w:val="0"/>
          <w:szCs w:val="32"/>
          <w:shd w:val="clear" w:color="auto" w:fill="FFFFFF"/>
          <w:lang w:val="en-US" w:eastAsia="zh-CN"/>
        </w:rPr>
        <w:t>5分</w:t>
      </w:r>
      <w:r>
        <w:rPr>
          <w:rFonts w:hint="eastAsia" w:eastAsia="楷体_GB2312"/>
          <w:color w:val="000000"/>
          <w:kern w:val="0"/>
          <w:szCs w:val="32"/>
          <w:shd w:val="clear" w:color="auto" w:fill="FFFFFF"/>
          <w:lang w:val="zh-CN"/>
        </w:rPr>
        <w:t>）。</w:t>
      </w:r>
      <w:r>
        <w:rPr>
          <w:rFonts w:hint="eastAsia" w:eastAsia="楷体_GB2312"/>
          <w:b/>
          <w:bCs/>
          <w:color w:val="000000"/>
          <w:kern w:val="0"/>
          <w:szCs w:val="32"/>
          <w:shd w:val="clear" w:color="auto" w:fill="FFFFFF"/>
          <w:lang w:val="zh-CN"/>
        </w:rPr>
        <w:t>预算年终结余：</w:t>
      </w:r>
      <w:r>
        <w:rPr>
          <w:rFonts w:hint="eastAsia" w:eastAsia="楷体_GB2312"/>
          <w:color w:val="000000"/>
          <w:kern w:val="0"/>
          <w:szCs w:val="32"/>
          <w:shd w:val="clear" w:color="auto" w:fill="FFFFFF"/>
          <w:lang w:val="zh-CN"/>
        </w:rPr>
        <w:t>年末无结转结余（</w:t>
      </w:r>
      <w:r>
        <w:rPr>
          <w:rFonts w:hint="eastAsia" w:eastAsia="楷体_GB2312"/>
          <w:color w:val="000000"/>
          <w:kern w:val="0"/>
          <w:szCs w:val="32"/>
          <w:shd w:val="clear" w:color="auto" w:fill="FFFFFF"/>
          <w:lang w:val="en-US" w:eastAsia="zh-CN"/>
        </w:rPr>
        <w:t>2分</w:t>
      </w:r>
      <w:r>
        <w:rPr>
          <w:rFonts w:hint="eastAsia" w:eastAsia="楷体_GB2312"/>
          <w:color w:val="000000"/>
          <w:kern w:val="0"/>
          <w:szCs w:val="32"/>
          <w:shd w:val="clear" w:color="auto" w:fill="FFFFFF"/>
          <w:lang w:val="zh-CN"/>
        </w:rPr>
        <w:t>）。</w:t>
      </w:r>
      <w:r>
        <w:rPr>
          <w:rFonts w:hint="eastAsia" w:eastAsia="楷体_GB2312"/>
          <w:b/>
          <w:bCs/>
          <w:color w:val="000000"/>
          <w:kern w:val="0"/>
          <w:szCs w:val="32"/>
          <w:shd w:val="clear" w:color="auto" w:fill="FFFFFF"/>
          <w:lang w:val="zh-CN"/>
        </w:rPr>
        <w:t>严控一般性支出：</w:t>
      </w:r>
      <w:r>
        <w:rPr>
          <w:rFonts w:hint="eastAsia" w:eastAsia="楷体_GB2312"/>
          <w:color w:val="000000"/>
          <w:kern w:val="0"/>
          <w:szCs w:val="32"/>
          <w:shd w:val="clear" w:color="auto" w:fill="FFFFFF"/>
          <w:lang w:val="zh-CN"/>
        </w:rPr>
        <w:t>“三公”经费实际无上涨，符合过“紧日子”要求（</w:t>
      </w:r>
      <w:r>
        <w:rPr>
          <w:rFonts w:hint="eastAsia" w:eastAsia="楷体_GB2312"/>
          <w:color w:val="000000"/>
          <w:kern w:val="0"/>
          <w:szCs w:val="32"/>
          <w:shd w:val="clear" w:color="auto" w:fill="FFFFFF"/>
          <w:lang w:val="en-US" w:eastAsia="zh-CN"/>
        </w:rPr>
        <w:t>5分</w:t>
      </w:r>
      <w:r>
        <w:rPr>
          <w:rFonts w:hint="eastAsia" w:eastAsia="楷体_GB2312"/>
          <w:color w:val="000000"/>
          <w:kern w:val="0"/>
          <w:szCs w:val="32"/>
          <w:shd w:val="clear" w:color="auto" w:fill="FFFFFF"/>
          <w:lang w:val="zh-CN"/>
        </w:rPr>
        <w:t>）。</w:t>
      </w:r>
    </w:p>
    <w:p>
      <w:pPr>
        <w:keepNext w:val="0"/>
        <w:keepLines w:val="0"/>
        <w:pageBreakBefore w:val="0"/>
        <w:kinsoku/>
        <w:wordWrap/>
        <w:overflowPunct/>
        <w:topLinePunct w:val="0"/>
        <w:autoSpaceDE/>
        <w:autoSpaceDN/>
        <w:bidi w:val="0"/>
        <w:adjustRightInd w:val="0"/>
        <w:snapToGrid w:val="0"/>
        <w:spacing w:line="560" w:lineRule="exact"/>
        <w:ind w:firstLine="642" w:firstLineChars="200"/>
        <w:contextualSpacing/>
        <w:jc w:val="left"/>
        <w:textAlignment w:val="auto"/>
        <w:rPr>
          <w:rFonts w:eastAsia="楷体_GB2312"/>
          <w:color w:val="000000"/>
          <w:kern w:val="0"/>
          <w:szCs w:val="32"/>
          <w:shd w:val="clear" w:color="auto" w:fill="FFFFFF"/>
          <w:lang w:val="zh-CN"/>
        </w:rPr>
      </w:pPr>
      <w:r>
        <w:rPr>
          <w:rFonts w:eastAsia="楷体_GB2312"/>
          <w:b/>
          <w:bCs/>
          <w:color w:val="000000"/>
          <w:kern w:val="0"/>
          <w:szCs w:val="32"/>
          <w:shd w:val="clear" w:color="auto" w:fill="FFFFFF"/>
        </w:rPr>
        <w:t>3.</w:t>
      </w:r>
      <w:r>
        <w:rPr>
          <w:rFonts w:hint="eastAsia" w:eastAsia="楷体_GB2312"/>
          <w:b/>
          <w:bCs/>
          <w:color w:val="000000"/>
          <w:kern w:val="0"/>
          <w:szCs w:val="32"/>
          <w:shd w:val="clear" w:color="auto" w:fill="FFFFFF"/>
          <w:lang w:val="zh-CN"/>
        </w:rPr>
        <w:t>财务管理（</w:t>
      </w:r>
      <w:r>
        <w:rPr>
          <w:rFonts w:hint="eastAsia" w:eastAsia="楷体_GB2312"/>
          <w:b/>
          <w:bCs/>
          <w:color w:val="000000"/>
          <w:kern w:val="0"/>
          <w:szCs w:val="32"/>
          <w:shd w:val="clear" w:color="auto" w:fill="FFFFFF"/>
          <w:lang w:val="en-US" w:eastAsia="zh-CN"/>
        </w:rPr>
        <w:t>8分</w:t>
      </w:r>
      <w:r>
        <w:rPr>
          <w:rFonts w:hint="eastAsia" w:eastAsia="楷体_GB2312"/>
          <w:b/>
          <w:bCs/>
          <w:color w:val="000000"/>
          <w:kern w:val="0"/>
          <w:szCs w:val="32"/>
          <w:shd w:val="clear" w:color="auto" w:fill="FFFFFF"/>
          <w:lang w:val="zh-CN"/>
        </w:rPr>
        <w:t>）。财务管理制度：</w:t>
      </w:r>
      <w:r>
        <w:rPr>
          <w:rFonts w:hint="eastAsia" w:eastAsia="楷体_GB2312"/>
          <w:color w:val="000000"/>
          <w:kern w:val="0"/>
          <w:szCs w:val="32"/>
          <w:shd w:val="clear" w:color="auto" w:fill="FFFFFF"/>
          <w:lang w:val="zh-CN"/>
        </w:rPr>
        <w:t>已建立内控、收支、报销、合同管理等制度，并认真按制度落实但制度需更新完善（</w:t>
      </w:r>
      <w:r>
        <w:rPr>
          <w:rFonts w:hint="eastAsia" w:eastAsia="楷体_GB2312"/>
          <w:color w:val="000000"/>
          <w:kern w:val="0"/>
          <w:szCs w:val="32"/>
          <w:shd w:val="clear" w:color="auto" w:fill="FFFFFF"/>
          <w:lang w:val="en-US" w:eastAsia="zh-CN"/>
        </w:rPr>
        <w:t>3分</w:t>
      </w:r>
      <w:r>
        <w:rPr>
          <w:rFonts w:hint="eastAsia" w:eastAsia="楷体_GB2312"/>
          <w:color w:val="000000"/>
          <w:kern w:val="0"/>
          <w:szCs w:val="32"/>
          <w:shd w:val="clear" w:color="auto" w:fill="FFFFFF"/>
          <w:lang w:val="zh-CN"/>
        </w:rPr>
        <w:t>）。</w:t>
      </w:r>
      <w:r>
        <w:rPr>
          <w:rFonts w:hint="eastAsia" w:eastAsia="楷体_GB2312"/>
          <w:b/>
          <w:bCs/>
          <w:color w:val="000000"/>
          <w:kern w:val="0"/>
          <w:szCs w:val="32"/>
          <w:shd w:val="clear" w:color="auto" w:fill="FFFFFF"/>
          <w:lang w:val="zh-CN"/>
        </w:rPr>
        <w:t>财务岗位设置：</w:t>
      </w:r>
      <w:r>
        <w:rPr>
          <w:rFonts w:hint="eastAsia" w:eastAsia="楷体_GB2312"/>
          <w:color w:val="000000"/>
          <w:kern w:val="0"/>
          <w:szCs w:val="32"/>
          <w:shd w:val="clear" w:color="auto" w:fill="FFFFFF"/>
          <w:lang w:val="zh-CN"/>
        </w:rPr>
        <w:t>实现不相容岗位分离（出纳、会计、审核分设）但未设置轮岗制度（</w:t>
      </w:r>
      <w:r>
        <w:rPr>
          <w:rFonts w:hint="eastAsia" w:eastAsia="楷体_GB2312"/>
          <w:color w:val="000000"/>
          <w:kern w:val="0"/>
          <w:szCs w:val="32"/>
          <w:shd w:val="clear" w:color="auto" w:fill="FFFFFF"/>
          <w:lang w:val="en-US" w:eastAsia="zh-CN"/>
        </w:rPr>
        <w:t>1分</w:t>
      </w:r>
      <w:r>
        <w:rPr>
          <w:rFonts w:hint="eastAsia" w:eastAsia="楷体_GB2312"/>
          <w:color w:val="000000"/>
          <w:kern w:val="0"/>
          <w:szCs w:val="32"/>
          <w:shd w:val="clear" w:color="auto" w:fill="FFFFFF"/>
          <w:lang w:val="zh-CN"/>
        </w:rPr>
        <w:t>）。</w:t>
      </w:r>
      <w:r>
        <w:rPr>
          <w:rFonts w:hint="eastAsia" w:eastAsia="楷体_GB2312"/>
          <w:b/>
          <w:bCs/>
          <w:color w:val="000000"/>
          <w:kern w:val="0"/>
          <w:szCs w:val="32"/>
          <w:shd w:val="clear" w:color="auto" w:fill="FFFFFF"/>
          <w:lang w:val="zh-CN"/>
        </w:rPr>
        <w:t>资金使用规范：</w:t>
      </w:r>
      <w:r>
        <w:rPr>
          <w:rFonts w:hint="eastAsia" w:eastAsia="楷体_GB2312"/>
          <w:color w:val="000000"/>
          <w:kern w:val="0"/>
          <w:szCs w:val="32"/>
          <w:shd w:val="clear" w:color="auto" w:fill="FFFFFF"/>
          <w:lang w:val="zh-CN"/>
        </w:rPr>
        <w:t>通过全年抽查支付凭证，未发现违规报销、虚列支出（</w:t>
      </w:r>
      <w:r>
        <w:rPr>
          <w:rFonts w:hint="eastAsia" w:eastAsia="楷体_GB2312"/>
          <w:color w:val="000000"/>
          <w:kern w:val="0"/>
          <w:szCs w:val="32"/>
          <w:shd w:val="clear" w:color="auto" w:fill="FFFFFF"/>
          <w:lang w:val="en-US" w:eastAsia="zh-CN"/>
        </w:rPr>
        <w:t>4分</w:t>
      </w:r>
      <w:r>
        <w:rPr>
          <w:rFonts w:hint="eastAsia" w:eastAsia="楷体_GB2312"/>
          <w:color w:val="000000"/>
          <w:kern w:val="0"/>
          <w:szCs w:val="32"/>
          <w:shd w:val="clear" w:color="auto" w:fill="FFFFFF"/>
          <w:lang w:val="zh-CN"/>
        </w:rPr>
        <w:t>）。</w:t>
      </w:r>
    </w:p>
    <w:p>
      <w:pPr>
        <w:keepNext w:val="0"/>
        <w:keepLines w:val="0"/>
        <w:pageBreakBefore w:val="0"/>
        <w:kinsoku/>
        <w:wordWrap/>
        <w:overflowPunct/>
        <w:topLinePunct w:val="0"/>
        <w:autoSpaceDE/>
        <w:autoSpaceDN/>
        <w:bidi w:val="0"/>
        <w:adjustRightInd w:val="0"/>
        <w:snapToGrid w:val="0"/>
        <w:spacing w:line="560" w:lineRule="exact"/>
        <w:ind w:firstLine="642" w:firstLineChars="200"/>
        <w:contextualSpacing/>
        <w:jc w:val="left"/>
        <w:textAlignment w:val="auto"/>
        <w:rPr>
          <w:rFonts w:eastAsia="楷体_GB2312"/>
          <w:color w:val="000000"/>
          <w:kern w:val="0"/>
          <w:szCs w:val="32"/>
          <w:shd w:val="clear" w:color="auto" w:fill="FFFFFF"/>
          <w:lang w:val="zh-CN"/>
        </w:rPr>
      </w:pPr>
      <w:r>
        <w:rPr>
          <w:rFonts w:eastAsia="楷体_GB2312"/>
          <w:b/>
          <w:bCs/>
          <w:color w:val="000000"/>
          <w:kern w:val="0"/>
          <w:szCs w:val="32"/>
          <w:shd w:val="clear" w:color="auto" w:fill="FFFFFF"/>
        </w:rPr>
        <w:t>4.</w:t>
      </w:r>
      <w:r>
        <w:rPr>
          <w:rFonts w:hint="eastAsia" w:eastAsia="楷体_GB2312"/>
          <w:b/>
          <w:bCs/>
          <w:color w:val="000000"/>
          <w:kern w:val="0"/>
          <w:szCs w:val="32"/>
          <w:shd w:val="clear" w:color="auto" w:fill="FFFFFF"/>
          <w:lang w:val="zh-CN"/>
        </w:rPr>
        <w:t>资产管理（</w:t>
      </w:r>
      <w:r>
        <w:rPr>
          <w:rFonts w:hint="eastAsia" w:eastAsia="楷体_GB2312"/>
          <w:b/>
          <w:bCs/>
          <w:color w:val="000000"/>
          <w:kern w:val="0"/>
          <w:szCs w:val="32"/>
          <w:shd w:val="clear" w:color="auto" w:fill="FFFFFF"/>
          <w:lang w:val="en-US" w:eastAsia="zh-CN"/>
        </w:rPr>
        <w:t>8分</w:t>
      </w:r>
      <w:r>
        <w:rPr>
          <w:rFonts w:hint="eastAsia" w:eastAsia="楷体_GB2312"/>
          <w:b/>
          <w:bCs/>
          <w:color w:val="000000"/>
          <w:kern w:val="0"/>
          <w:szCs w:val="32"/>
          <w:shd w:val="clear" w:color="auto" w:fill="FFFFFF"/>
          <w:lang w:val="zh-CN"/>
        </w:rPr>
        <w:t>）。人均资产变化率：</w:t>
      </w:r>
      <w:r>
        <w:rPr>
          <w:rFonts w:hint="eastAsia" w:eastAsia="楷体_GB2312"/>
          <w:color w:val="000000"/>
          <w:kern w:val="0"/>
          <w:szCs w:val="32"/>
          <w:shd w:val="clear" w:color="auto" w:fill="FFFFFF"/>
          <w:lang w:val="zh-CN"/>
        </w:rPr>
        <w:t>年度人均资产（固定资产原值/在职人数）无变化，主要因无新购入资产（</w:t>
      </w:r>
      <w:r>
        <w:rPr>
          <w:rFonts w:hint="eastAsia" w:eastAsia="楷体_GB2312"/>
          <w:color w:val="000000"/>
          <w:kern w:val="0"/>
          <w:szCs w:val="32"/>
          <w:shd w:val="clear" w:color="auto" w:fill="FFFFFF"/>
          <w:lang w:val="en-US" w:eastAsia="zh-CN"/>
        </w:rPr>
        <w:t>2分</w:t>
      </w:r>
      <w:r>
        <w:rPr>
          <w:rFonts w:hint="eastAsia" w:eastAsia="楷体_GB2312"/>
          <w:color w:val="000000"/>
          <w:kern w:val="0"/>
          <w:szCs w:val="32"/>
          <w:shd w:val="clear" w:color="auto" w:fill="FFFFFF"/>
          <w:lang w:val="zh-CN"/>
        </w:rPr>
        <w:t>）。</w:t>
      </w:r>
      <w:r>
        <w:rPr>
          <w:rFonts w:hint="eastAsia" w:eastAsia="楷体_GB2312"/>
          <w:b/>
          <w:bCs/>
          <w:color w:val="000000"/>
          <w:kern w:val="0"/>
          <w:szCs w:val="32"/>
          <w:shd w:val="clear" w:color="auto" w:fill="FFFFFF"/>
          <w:lang w:val="zh-CN"/>
        </w:rPr>
        <w:t>资产利用率：</w:t>
      </w:r>
      <w:r>
        <w:rPr>
          <w:rFonts w:hint="eastAsia" w:eastAsia="楷体_GB2312"/>
          <w:color w:val="000000"/>
          <w:kern w:val="0"/>
          <w:szCs w:val="32"/>
          <w:shd w:val="clear" w:color="auto" w:fill="FFFFFF"/>
          <w:lang w:val="zh-CN"/>
        </w:rPr>
        <w:t>通用设备（电脑、打印机）在用率，办公用房使用率</w:t>
      </w:r>
      <w:r>
        <w:rPr>
          <w:rFonts w:hint="eastAsia" w:eastAsia="楷体_GB2312"/>
          <w:color w:val="000000"/>
          <w:kern w:val="0"/>
          <w:szCs w:val="32"/>
          <w:shd w:val="clear" w:color="auto" w:fill="FFFFFF"/>
          <w:lang w:val="en-US" w:eastAsia="zh-CN"/>
        </w:rPr>
        <w:t>90%以上（3分）。</w:t>
      </w:r>
      <w:r>
        <w:rPr>
          <w:rFonts w:hint="eastAsia" w:eastAsia="楷体_GB2312"/>
          <w:b/>
          <w:bCs/>
          <w:color w:val="000000"/>
          <w:kern w:val="0"/>
          <w:szCs w:val="32"/>
          <w:shd w:val="clear" w:color="auto" w:fill="FFFFFF"/>
          <w:lang w:val="zh-CN"/>
        </w:rPr>
        <w:t>资产盘活率</w:t>
      </w:r>
      <w:r>
        <w:rPr>
          <w:rFonts w:hint="eastAsia" w:eastAsia="楷体_GB2312"/>
          <w:color w:val="000000"/>
          <w:kern w:val="0"/>
          <w:szCs w:val="32"/>
          <w:shd w:val="clear" w:color="auto" w:fill="FFFFFF"/>
          <w:lang w:val="zh-CN"/>
        </w:rPr>
        <w:t>：无闲置资产，无需盘活（</w:t>
      </w:r>
      <w:r>
        <w:rPr>
          <w:rFonts w:hint="eastAsia" w:eastAsia="楷体_GB2312"/>
          <w:color w:val="000000"/>
          <w:kern w:val="0"/>
          <w:szCs w:val="32"/>
          <w:shd w:val="clear" w:color="auto" w:fill="FFFFFF"/>
          <w:lang w:val="en-US" w:eastAsia="zh-CN"/>
        </w:rPr>
        <w:t>3分</w:t>
      </w:r>
      <w:r>
        <w:rPr>
          <w:rFonts w:hint="eastAsia" w:eastAsia="楷体_GB2312"/>
          <w:color w:val="000000"/>
          <w:kern w:val="0"/>
          <w:szCs w:val="32"/>
          <w:shd w:val="clear" w:color="auto" w:fill="FFFFFF"/>
          <w:lang w:val="zh-CN"/>
        </w:rPr>
        <w:t>）。</w:t>
      </w:r>
    </w:p>
    <w:p>
      <w:pPr>
        <w:keepNext w:val="0"/>
        <w:keepLines w:val="0"/>
        <w:pageBreakBefore w:val="0"/>
        <w:kinsoku/>
        <w:wordWrap/>
        <w:overflowPunct/>
        <w:topLinePunct w:val="0"/>
        <w:autoSpaceDE/>
        <w:autoSpaceDN/>
        <w:bidi w:val="0"/>
        <w:adjustRightInd w:val="0"/>
        <w:snapToGrid w:val="0"/>
        <w:spacing w:line="560" w:lineRule="exact"/>
        <w:ind w:firstLine="642" w:firstLineChars="200"/>
        <w:contextualSpacing/>
        <w:jc w:val="left"/>
        <w:textAlignment w:val="auto"/>
        <w:rPr>
          <w:rFonts w:eastAsia="楷体_GB2312"/>
          <w:color w:val="000000"/>
          <w:kern w:val="0"/>
          <w:szCs w:val="32"/>
          <w:shd w:val="clear" w:color="auto" w:fill="FFFFFF"/>
          <w:lang w:val="zh-CN"/>
        </w:rPr>
      </w:pPr>
      <w:r>
        <w:rPr>
          <w:rFonts w:eastAsia="楷体_GB2312"/>
          <w:b/>
          <w:bCs/>
          <w:color w:val="000000"/>
          <w:kern w:val="0"/>
          <w:szCs w:val="32"/>
          <w:shd w:val="clear" w:color="auto" w:fill="FFFFFF"/>
        </w:rPr>
        <w:t>5.</w:t>
      </w:r>
      <w:r>
        <w:rPr>
          <w:rFonts w:hint="eastAsia" w:eastAsia="楷体_GB2312"/>
          <w:b/>
          <w:bCs/>
          <w:color w:val="000000"/>
          <w:kern w:val="0"/>
          <w:szCs w:val="32"/>
          <w:shd w:val="clear" w:color="auto" w:fill="FFFFFF"/>
          <w:lang w:val="zh-CN"/>
        </w:rPr>
        <w:t>采购管理（</w:t>
      </w:r>
      <w:r>
        <w:rPr>
          <w:rFonts w:hint="eastAsia" w:eastAsia="楷体_GB2312"/>
          <w:b/>
          <w:bCs/>
          <w:color w:val="000000"/>
          <w:kern w:val="0"/>
          <w:szCs w:val="32"/>
          <w:shd w:val="clear" w:color="auto" w:fill="FFFFFF"/>
          <w:lang w:val="en-US" w:eastAsia="zh-CN"/>
        </w:rPr>
        <w:t>6分</w:t>
      </w:r>
      <w:r>
        <w:rPr>
          <w:rFonts w:hint="eastAsia" w:eastAsia="楷体_GB2312"/>
          <w:b/>
          <w:bCs/>
          <w:color w:val="000000"/>
          <w:kern w:val="0"/>
          <w:szCs w:val="32"/>
          <w:shd w:val="clear" w:color="auto" w:fill="FFFFFF"/>
          <w:lang w:val="zh-CN"/>
        </w:rPr>
        <w:t>）。支持中小企业发展：</w:t>
      </w:r>
      <w:r>
        <w:rPr>
          <w:rFonts w:hint="eastAsia" w:eastAsia="楷体_GB2312"/>
          <w:color w:val="000000"/>
          <w:kern w:val="0"/>
          <w:szCs w:val="32"/>
          <w:shd w:val="clear" w:color="auto" w:fill="FFFFFF"/>
          <w:lang w:val="zh-CN"/>
        </w:rPr>
        <w:t>采购项目总额中，授予中小企业合同占比政策要求（</w:t>
      </w:r>
      <w:r>
        <w:rPr>
          <w:rFonts w:hint="eastAsia" w:eastAsia="楷体_GB2312"/>
          <w:color w:val="000000"/>
          <w:kern w:val="0"/>
          <w:szCs w:val="32"/>
          <w:shd w:val="clear" w:color="auto" w:fill="FFFFFF"/>
          <w:lang w:val="en-US" w:eastAsia="zh-CN"/>
        </w:rPr>
        <w:t>3分</w:t>
      </w:r>
      <w:r>
        <w:rPr>
          <w:rFonts w:hint="eastAsia" w:eastAsia="楷体_GB2312"/>
          <w:color w:val="000000"/>
          <w:kern w:val="0"/>
          <w:szCs w:val="32"/>
          <w:shd w:val="clear" w:color="auto" w:fill="FFFFFF"/>
          <w:lang w:val="zh-CN"/>
        </w:rPr>
        <w:t>）。</w:t>
      </w:r>
      <w:r>
        <w:rPr>
          <w:rFonts w:hint="eastAsia" w:eastAsia="楷体_GB2312"/>
          <w:b/>
          <w:bCs/>
          <w:color w:val="000000"/>
          <w:kern w:val="0"/>
          <w:szCs w:val="32"/>
          <w:shd w:val="clear" w:color="auto" w:fill="FFFFFF"/>
          <w:lang w:val="zh-CN"/>
        </w:rPr>
        <w:t>采购执行率：</w:t>
      </w:r>
      <w:r>
        <w:rPr>
          <w:rFonts w:hint="eastAsia" w:eastAsia="楷体_GB2312"/>
          <w:color w:val="000000"/>
          <w:kern w:val="0"/>
          <w:szCs w:val="32"/>
          <w:shd w:val="clear" w:color="auto" w:fill="FFFFFF"/>
          <w:lang w:val="zh-CN"/>
        </w:rPr>
        <w:t>年度采购计划实际完成采购合同金额</w:t>
      </w:r>
      <w:r>
        <w:rPr>
          <w:rFonts w:hint="eastAsia" w:eastAsia="楷体_GB2312"/>
          <w:color w:val="000000"/>
          <w:kern w:val="0"/>
          <w:szCs w:val="32"/>
          <w:shd w:val="clear" w:color="auto" w:fill="FFFFFF"/>
          <w:lang w:val="en-US" w:eastAsia="zh-CN"/>
        </w:rPr>
        <w:t>90%以上（3分）。</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color w:val="000000"/>
          <w:kern w:val="0"/>
          <w:szCs w:val="32"/>
          <w:shd w:val="clear" w:color="auto" w:fill="FFFFFF"/>
        </w:rPr>
      </w:pPr>
      <w:r>
        <w:rPr>
          <w:rFonts w:hint="eastAsia" w:eastAsia="楷体_GB2312"/>
          <w:b/>
          <w:bCs/>
          <w:color w:val="000000"/>
          <w:kern w:val="0"/>
          <w:szCs w:val="32"/>
          <w:shd w:val="clear" w:color="auto" w:fill="FFFFFF"/>
          <w:lang w:val="zh-CN"/>
        </w:rPr>
        <w:t>（二）部门预算项目绩效分析。</w:t>
      </w:r>
    </w:p>
    <w:p>
      <w:pPr>
        <w:keepNext w:val="0"/>
        <w:keepLines w:val="0"/>
        <w:pageBreakBefore w:val="0"/>
        <w:kinsoku/>
        <w:wordWrap/>
        <w:overflowPunct/>
        <w:topLinePunct w:val="0"/>
        <w:autoSpaceDE/>
        <w:autoSpaceDN/>
        <w:bidi w:val="0"/>
        <w:adjustRightInd w:val="0"/>
        <w:snapToGrid w:val="0"/>
        <w:spacing w:line="560" w:lineRule="exact"/>
        <w:ind w:firstLine="642" w:firstLineChars="200"/>
        <w:contextualSpacing/>
        <w:jc w:val="left"/>
        <w:textAlignment w:val="auto"/>
        <w:rPr>
          <w:rFonts w:hint="eastAsia" w:ascii="Times New Roman" w:hAnsi="Times New Roman" w:eastAsia="楷体_GB2312" w:cs="Times New Roman"/>
          <w:color w:val="000000"/>
          <w:kern w:val="0"/>
          <w:szCs w:val="32"/>
          <w:shd w:val="clear" w:color="auto" w:fill="FFFFFF"/>
          <w:lang w:eastAsia="zh-CN"/>
        </w:rPr>
      </w:pPr>
      <w:r>
        <w:rPr>
          <w:rFonts w:eastAsia="楷体_GB2312"/>
          <w:b/>
          <w:bCs/>
          <w:color w:val="000000"/>
          <w:kern w:val="0"/>
          <w:szCs w:val="32"/>
          <w:shd w:val="clear" w:color="auto" w:fill="FFFFFF"/>
        </w:rPr>
        <w:t>1.</w:t>
      </w:r>
      <w:r>
        <w:rPr>
          <w:rFonts w:hint="eastAsia" w:eastAsia="楷体_GB2312"/>
          <w:b/>
          <w:bCs/>
          <w:color w:val="000000"/>
          <w:kern w:val="0"/>
          <w:szCs w:val="32"/>
          <w:shd w:val="clear" w:color="auto" w:fill="FFFFFF"/>
          <w:lang w:val="zh-CN"/>
        </w:rPr>
        <w:t>项目</w:t>
      </w:r>
      <w:r>
        <w:rPr>
          <w:rFonts w:hint="eastAsia" w:ascii="Times New Roman" w:hAnsi="Times New Roman" w:eastAsia="楷体_GB2312" w:cs="Times New Roman"/>
          <w:b/>
          <w:bCs/>
          <w:color w:val="000000"/>
          <w:kern w:val="0"/>
          <w:szCs w:val="32"/>
          <w:shd w:val="clear" w:color="auto" w:fill="FFFFFF"/>
          <w:lang w:val="zh-CN"/>
        </w:rPr>
        <w:t>决策（</w:t>
      </w:r>
      <w:r>
        <w:rPr>
          <w:rFonts w:hint="eastAsia" w:ascii="Times New Roman" w:hAnsi="Times New Roman" w:eastAsia="楷体_GB2312" w:cs="Times New Roman"/>
          <w:b/>
          <w:bCs/>
          <w:color w:val="000000"/>
          <w:kern w:val="0"/>
          <w:szCs w:val="32"/>
          <w:shd w:val="clear" w:color="auto" w:fill="FFFFFF"/>
          <w:lang w:val="en-US" w:eastAsia="zh-CN"/>
        </w:rPr>
        <w:t>10分</w:t>
      </w:r>
      <w:r>
        <w:rPr>
          <w:rFonts w:hint="eastAsia" w:ascii="Times New Roman" w:hAnsi="Times New Roman" w:eastAsia="楷体_GB2312" w:cs="Times New Roman"/>
          <w:b/>
          <w:bCs/>
          <w:color w:val="000000"/>
          <w:kern w:val="0"/>
          <w:szCs w:val="32"/>
          <w:shd w:val="clear" w:color="auto" w:fill="FFFFFF"/>
          <w:lang w:val="zh-CN"/>
        </w:rPr>
        <w:t>）。决策程序：</w:t>
      </w:r>
      <w:r>
        <w:rPr>
          <w:rFonts w:hint="eastAsia" w:ascii="Times New Roman" w:hAnsi="Times New Roman" w:eastAsia="楷体_GB2312" w:cs="Times New Roman"/>
          <w:color w:val="000000"/>
          <w:kern w:val="0"/>
          <w:szCs w:val="32"/>
          <w:shd w:val="clear" w:color="auto" w:fill="FFFFFF"/>
          <w:lang w:val="zh-CN"/>
        </w:rPr>
        <w:t>项目经科室申报、专家论证，立项依据充分。但前期调研不够充分（</w:t>
      </w:r>
      <w:r>
        <w:rPr>
          <w:rFonts w:hint="eastAsia" w:ascii="Times New Roman" w:hAnsi="Times New Roman" w:eastAsia="楷体_GB2312" w:cs="Times New Roman"/>
          <w:color w:val="000000"/>
          <w:kern w:val="0"/>
          <w:szCs w:val="32"/>
          <w:shd w:val="clear" w:color="auto" w:fill="FFFFFF"/>
          <w:lang w:val="en-US" w:eastAsia="zh-CN"/>
        </w:rPr>
        <w:t>3分</w:t>
      </w:r>
      <w:r>
        <w:rPr>
          <w:rFonts w:hint="eastAsia" w:ascii="Times New Roman" w:hAnsi="Times New Roman" w:eastAsia="楷体_GB2312" w:cs="Times New Roman"/>
          <w:color w:val="000000"/>
          <w:kern w:val="0"/>
          <w:szCs w:val="32"/>
          <w:shd w:val="clear" w:color="auto" w:fill="FFFFFF"/>
          <w:lang w:val="zh-CN"/>
        </w:rPr>
        <w:t>）。</w:t>
      </w:r>
      <w:r>
        <w:rPr>
          <w:rFonts w:hint="eastAsia" w:ascii="Times New Roman" w:hAnsi="Times New Roman" w:eastAsia="楷体_GB2312" w:cs="Times New Roman"/>
          <w:b/>
          <w:bCs/>
          <w:color w:val="000000"/>
          <w:kern w:val="0"/>
          <w:szCs w:val="32"/>
          <w:shd w:val="clear" w:color="auto" w:fill="FFFFFF"/>
          <w:lang w:val="zh-CN"/>
        </w:rPr>
        <w:t>目标设置：</w:t>
      </w:r>
      <w:r>
        <w:rPr>
          <w:rFonts w:hint="eastAsia" w:ascii="Times New Roman" w:hAnsi="Times New Roman" w:eastAsia="楷体_GB2312" w:cs="Times New Roman"/>
          <w:color w:val="000000"/>
          <w:kern w:val="0"/>
          <w:szCs w:val="32"/>
          <w:shd w:val="clear" w:color="auto" w:fill="FFFFFF"/>
        </w:rPr>
        <w:t>效益</w:t>
      </w:r>
      <w:r>
        <w:rPr>
          <w:rFonts w:hint="eastAsia" w:ascii="Times New Roman" w:hAnsi="Times New Roman" w:eastAsia="楷体_GB2312" w:cs="Times New Roman"/>
          <w:color w:val="000000"/>
          <w:kern w:val="0"/>
          <w:szCs w:val="32"/>
          <w:shd w:val="clear" w:color="auto" w:fill="FFFFFF"/>
          <w:lang w:eastAsia="zh-CN"/>
        </w:rPr>
        <w:t>指标、满</w:t>
      </w:r>
      <w:r>
        <w:rPr>
          <w:rFonts w:hint="eastAsia" w:ascii="Times New Roman" w:hAnsi="Times New Roman" w:eastAsia="楷体_GB2312" w:cs="Times New Roman"/>
          <w:color w:val="000000"/>
          <w:kern w:val="0"/>
          <w:szCs w:val="32"/>
          <w:shd w:val="clear" w:color="auto" w:fill="FFFFFF"/>
        </w:rPr>
        <w:t>意度指标</w:t>
      </w:r>
      <w:r>
        <w:rPr>
          <w:rFonts w:hint="eastAsia" w:ascii="Times New Roman" w:hAnsi="Times New Roman" w:eastAsia="楷体_GB2312" w:cs="Times New Roman"/>
          <w:color w:val="000000"/>
          <w:kern w:val="0"/>
          <w:szCs w:val="32"/>
          <w:shd w:val="clear" w:color="auto" w:fill="FFFFFF"/>
          <w:lang w:eastAsia="zh-CN"/>
        </w:rPr>
        <w:t>等各项指标</w:t>
      </w:r>
      <w:r>
        <w:rPr>
          <w:rFonts w:hint="eastAsia" w:ascii="Times New Roman" w:hAnsi="Times New Roman" w:eastAsia="楷体_GB2312" w:cs="Times New Roman"/>
          <w:color w:val="000000"/>
          <w:kern w:val="0"/>
          <w:szCs w:val="32"/>
          <w:shd w:val="clear" w:color="auto" w:fill="FFFFFF"/>
        </w:rPr>
        <w:t>量化清晰</w:t>
      </w:r>
      <w:r>
        <w:rPr>
          <w:rFonts w:hint="eastAsia" w:ascii="Times New Roman" w:hAnsi="Times New Roman" w:eastAsia="楷体_GB2312" w:cs="Times New Roman"/>
          <w:color w:val="000000"/>
          <w:kern w:val="0"/>
          <w:szCs w:val="32"/>
          <w:shd w:val="clear" w:color="auto" w:fill="FFFFFF"/>
          <w:lang w:eastAsia="zh-CN"/>
        </w:rPr>
        <w:t>（</w:t>
      </w:r>
      <w:r>
        <w:rPr>
          <w:rFonts w:hint="eastAsia" w:ascii="Times New Roman" w:hAnsi="Times New Roman" w:eastAsia="楷体_GB2312" w:cs="Times New Roman"/>
          <w:color w:val="000000"/>
          <w:kern w:val="0"/>
          <w:szCs w:val="32"/>
          <w:shd w:val="clear" w:color="auto" w:fill="FFFFFF"/>
          <w:lang w:val="en-US" w:eastAsia="zh-CN"/>
        </w:rPr>
        <w:t>3分</w:t>
      </w:r>
      <w:r>
        <w:rPr>
          <w:rFonts w:hint="eastAsia" w:ascii="Times New Roman" w:hAnsi="Times New Roman" w:eastAsia="楷体_GB2312" w:cs="Times New Roman"/>
          <w:color w:val="000000"/>
          <w:kern w:val="0"/>
          <w:szCs w:val="32"/>
          <w:shd w:val="clear" w:color="auto" w:fill="FFFFFF"/>
          <w:lang w:eastAsia="zh-CN"/>
        </w:rPr>
        <w:t>）</w:t>
      </w:r>
      <w:r>
        <w:rPr>
          <w:rFonts w:hint="eastAsia" w:ascii="Times New Roman" w:hAnsi="Times New Roman" w:eastAsia="楷体_GB2312" w:cs="Times New Roman"/>
          <w:b/>
          <w:bCs/>
          <w:color w:val="000000"/>
          <w:kern w:val="0"/>
          <w:szCs w:val="32"/>
          <w:shd w:val="clear" w:color="auto" w:fill="FFFFFF"/>
        </w:rPr>
        <w:t>。</w:t>
      </w:r>
      <w:r>
        <w:rPr>
          <w:rFonts w:hint="eastAsia" w:ascii="Times New Roman" w:hAnsi="Times New Roman" w:eastAsia="楷体_GB2312" w:cs="Times New Roman"/>
          <w:b/>
          <w:bCs/>
          <w:color w:val="000000"/>
          <w:kern w:val="0"/>
          <w:szCs w:val="32"/>
          <w:shd w:val="clear" w:color="auto" w:fill="FFFFFF"/>
          <w:lang w:eastAsia="zh-CN"/>
        </w:rPr>
        <w:t>项目入库：</w:t>
      </w:r>
      <w:r>
        <w:rPr>
          <w:rFonts w:hint="eastAsia" w:ascii="Times New Roman" w:hAnsi="Times New Roman" w:eastAsia="楷体_GB2312" w:cs="Times New Roman"/>
          <w:color w:val="000000"/>
          <w:kern w:val="0"/>
          <w:szCs w:val="32"/>
          <w:shd w:val="clear" w:color="auto" w:fill="FFFFFF"/>
          <w:lang w:eastAsia="zh-CN"/>
        </w:rPr>
        <w:t>已纳入部门项目库和财政年度预算项目库，入库评审材料完整（</w:t>
      </w:r>
      <w:r>
        <w:rPr>
          <w:rFonts w:hint="eastAsia" w:ascii="Times New Roman" w:hAnsi="Times New Roman" w:eastAsia="楷体_GB2312" w:cs="Times New Roman"/>
          <w:color w:val="000000"/>
          <w:kern w:val="0"/>
          <w:szCs w:val="32"/>
          <w:shd w:val="clear" w:color="auto" w:fill="FFFFFF"/>
          <w:lang w:val="en-US" w:eastAsia="zh-CN"/>
        </w:rPr>
        <w:t>4分</w:t>
      </w:r>
      <w:r>
        <w:rPr>
          <w:rFonts w:hint="eastAsia" w:ascii="Times New Roman" w:hAnsi="Times New Roman" w:eastAsia="楷体_GB2312" w:cs="Times New Roman"/>
          <w:color w:val="000000"/>
          <w:kern w:val="0"/>
          <w:szCs w:val="32"/>
          <w:shd w:val="clear" w:color="auto" w:fill="FFFFFF"/>
          <w:lang w:eastAsia="zh-CN"/>
        </w:rPr>
        <w:t>）。</w:t>
      </w:r>
    </w:p>
    <w:p>
      <w:pPr>
        <w:keepNext w:val="0"/>
        <w:keepLines w:val="0"/>
        <w:pageBreakBefore w:val="0"/>
        <w:kinsoku/>
        <w:wordWrap/>
        <w:overflowPunct/>
        <w:topLinePunct w:val="0"/>
        <w:autoSpaceDE/>
        <w:autoSpaceDN/>
        <w:bidi w:val="0"/>
        <w:adjustRightInd w:val="0"/>
        <w:snapToGrid w:val="0"/>
        <w:spacing w:line="560" w:lineRule="exact"/>
        <w:ind w:firstLine="642" w:firstLineChars="200"/>
        <w:contextualSpacing/>
        <w:jc w:val="left"/>
        <w:textAlignment w:val="auto"/>
        <w:rPr>
          <w:rFonts w:hint="eastAsia" w:eastAsia="楷体_GB2312"/>
          <w:color w:val="000000"/>
          <w:kern w:val="0"/>
          <w:szCs w:val="32"/>
          <w:shd w:val="clear" w:color="auto" w:fill="FFFFFF"/>
          <w:lang w:val="zh-CN"/>
        </w:rPr>
      </w:pPr>
      <w:r>
        <w:rPr>
          <w:rFonts w:hint="eastAsia" w:eastAsia="楷体_GB2312"/>
          <w:b/>
          <w:bCs/>
          <w:color w:val="000000"/>
          <w:kern w:val="0"/>
          <w:szCs w:val="32"/>
          <w:shd w:val="clear" w:color="auto" w:fill="FFFFFF"/>
        </w:rPr>
        <w:t>2.项目执行</w:t>
      </w:r>
      <w:r>
        <w:rPr>
          <w:rFonts w:hint="eastAsia" w:eastAsia="楷体_GB2312"/>
          <w:b/>
          <w:bCs/>
          <w:color w:val="000000"/>
          <w:kern w:val="0"/>
          <w:szCs w:val="32"/>
          <w:shd w:val="clear" w:color="auto" w:fill="FFFFFF"/>
          <w:lang w:eastAsia="zh-CN"/>
        </w:rPr>
        <w:t>（</w:t>
      </w:r>
      <w:r>
        <w:rPr>
          <w:rFonts w:hint="eastAsia" w:eastAsia="楷体_GB2312"/>
          <w:b/>
          <w:bCs/>
          <w:color w:val="000000"/>
          <w:kern w:val="0"/>
          <w:szCs w:val="32"/>
          <w:shd w:val="clear" w:color="auto" w:fill="FFFFFF"/>
          <w:lang w:val="en-US" w:eastAsia="zh-CN"/>
        </w:rPr>
        <w:t>9分</w:t>
      </w:r>
      <w:r>
        <w:rPr>
          <w:rFonts w:hint="eastAsia" w:eastAsia="楷体_GB2312"/>
          <w:b/>
          <w:bCs/>
          <w:color w:val="000000"/>
          <w:kern w:val="0"/>
          <w:szCs w:val="32"/>
          <w:shd w:val="clear" w:color="auto" w:fill="FFFFFF"/>
          <w:lang w:eastAsia="zh-CN"/>
        </w:rPr>
        <w:t>）</w:t>
      </w:r>
      <w:r>
        <w:rPr>
          <w:rFonts w:hint="eastAsia" w:eastAsia="楷体_GB2312"/>
          <w:b/>
          <w:bCs/>
          <w:color w:val="000000"/>
          <w:kern w:val="0"/>
          <w:szCs w:val="32"/>
          <w:shd w:val="clear" w:color="auto" w:fill="FFFFFF"/>
          <w:lang w:val="zh-CN"/>
        </w:rPr>
        <w:t>。</w:t>
      </w:r>
      <w:r>
        <w:rPr>
          <w:rFonts w:hint="eastAsia"/>
          <w:b/>
          <w:bCs/>
          <w:color w:val="000000"/>
          <w:kern w:val="0"/>
          <w:szCs w:val="32"/>
          <w:shd w:val="clear" w:color="auto" w:fill="FFFFFF"/>
          <w:lang w:val="zh-CN"/>
        </w:rPr>
        <w:t>资金执行动向：</w:t>
      </w:r>
      <w:r>
        <w:rPr>
          <w:rFonts w:hint="eastAsia" w:eastAsia="楷体_GB2312"/>
          <w:color w:val="000000"/>
          <w:kern w:val="0"/>
          <w:szCs w:val="32"/>
          <w:shd w:val="clear" w:color="auto" w:fill="FFFFFF"/>
          <w:lang w:val="zh-CN"/>
        </w:rPr>
        <w:t>资金支出进度与业务进度基本匹配（</w:t>
      </w:r>
      <w:r>
        <w:rPr>
          <w:rFonts w:hint="eastAsia" w:eastAsia="楷体_GB2312"/>
          <w:color w:val="000000"/>
          <w:kern w:val="0"/>
          <w:szCs w:val="32"/>
          <w:shd w:val="clear" w:color="auto" w:fill="FFFFFF"/>
          <w:lang w:val="en-US" w:eastAsia="zh-CN"/>
        </w:rPr>
        <w:t>3分</w:t>
      </w:r>
      <w:r>
        <w:rPr>
          <w:rFonts w:hint="eastAsia" w:eastAsia="楷体_GB2312"/>
          <w:color w:val="000000"/>
          <w:kern w:val="0"/>
          <w:szCs w:val="32"/>
          <w:shd w:val="clear" w:color="auto" w:fill="FFFFFF"/>
          <w:lang w:val="zh-CN"/>
        </w:rPr>
        <w:t>）。</w:t>
      </w:r>
      <w:r>
        <w:rPr>
          <w:rFonts w:hint="eastAsia" w:eastAsia="楷体_GB2312"/>
          <w:b/>
          <w:bCs/>
          <w:color w:val="000000"/>
          <w:kern w:val="0"/>
          <w:szCs w:val="32"/>
          <w:shd w:val="clear" w:color="auto" w:fill="FFFFFF"/>
          <w:lang w:val="zh-CN"/>
        </w:rPr>
        <w:t>项目调整：</w:t>
      </w:r>
      <w:r>
        <w:rPr>
          <w:rFonts w:hint="eastAsia" w:eastAsia="楷体_GB2312"/>
          <w:color w:val="000000"/>
          <w:kern w:val="0"/>
          <w:szCs w:val="32"/>
          <w:shd w:val="clear" w:color="auto" w:fill="FFFFFF"/>
          <w:lang w:val="zh-CN"/>
        </w:rPr>
        <w:t>未发生预算调整、内容调整或周期调整，按计划实施（</w:t>
      </w:r>
      <w:r>
        <w:rPr>
          <w:rFonts w:hint="eastAsia" w:eastAsia="楷体_GB2312"/>
          <w:color w:val="000000"/>
          <w:kern w:val="0"/>
          <w:szCs w:val="32"/>
          <w:shd w:val="clear" w:color="auto" w:fill="FFFFFF"/>
          <w:lang w:val="en-US" w:eastAsia="zh-CN"/>
        </w:rPr>
        <w:t>3分</w:t>
      </w:r>
      <w:r>
        <w:rPr>
          <w:rFonts w:hint="eastAsia" w:eastAsia="楷体_GB2312"/>
          <w:color w:val="000000"/>
          <w:kern w:val="0"/>
          <w:szCs w:val="32"/>
          <w:shd w:val="clear" w:color="auto" w:fill="FFFFFF"/>
          <w:lang w:val="zh-CN"/>
        </w:rPr>
        <w:t>）。</w:t>
      </w:r>
      <w:r>
        <w:rPr>
          <w:rFonts w:hint="eastAsia" w:eastAsia="楷体_GB2312"/>
          <w:b/>
          <w:bCs/>
          <w:color w:val="000000"/>
          <w:kern w:val="0"/>
          <w:szCs w:val="32"/>
          <w:shd w:val="clear" w:color="auto" w:fill="FFFFFF"/>
          <w:lang w:val="zh-CN"/>
        </w:rPr>
        <w:t>执行结果：</w:t>
      </w:r>
      <w:r>
        <w:rPr>
          <w:rFonts w:hint="eastAsia" w:eastAsia="楷体_GB2312"/>
          <w:color w:val="000000"/>
          <w:kern w:val="0"/>
          <w:szCs w:val="32"/>
          <w:shd w:val="clear" w:color="auto" w:fill="FFFFFF"/>
          <w:lang w:val="zh-CN"/>
        </w:rPr>
        <w:t>采购设备按期到货并验收合格；培训按期完成目标（</w:t>
      </w:r>
      <w:r>
        <w:rPr>
          <w:rFonts w:hint="eastAsia" w:eastAsia="楷体_GB2312"/>
          <w:color w:val="000000"/>
          <w:kern w:val="0"/>
          <w:szCs w:val="32"/>
          <w:shd w:val="clear" w:color="auto" w:fill="FFFFFF"/>
          <w:lang w:val="en-US" w:eastAsia="zh-CN"/>
        </w:rPr>
        <w:t>3分</w:t>
      </w:r>
      <w:r>
        <w:rPr>
          <w:rFonts w:hint="eastAsia" w:eastAsia="楷体_GB2312"/>
          <w:color w:val="000000"/>
          <w:kern w:val="0"/>
          <w:szCs w:val="32"/>
          <w:shd w:val="clear" w:color="auto" w:fill="FFFFFF"/>
          <w:lang w:val="zh-CN"/>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textAlignment w:val="auto"/>
        <w:rPr>
          <w:b/>
          <w:szCs w:val="32"/>
        </w:rPr>
      </w:pPr>
      <w:r>
        <w:rPr>
          <w:rFonts w:eastAsia="楷体_GB2312"/>
          <w:color w:val="000000"/>
          <w:kern w:val="0"/>
          <w:szCs w:val="32"/>
          <w:shd w:val="clear" w:color="auto" w:fill="FFFFFF"/>
        </w:rPr>
        <w:t>3.</w:t>
      </w:r>
      <w:r>
        <w:rPr>
          <w:rFonts w:hint="eastAsia" w:eastAsia="楷体_GB2312"/>
          <w:b/>
          <w:bCs/>
          <w:color w:val="000000"/>
          <w:kern w:val="0"/>
          <w:szCs w:val="32"/>
          <w:shd w:val="clear" w:color="auto" w:fill="FFFFFF"/>
          <w:lang w:val="zh-CN"/>
        </w:rPr>
        <w:t>目标实现（</w:t>
      </w:r>
      <w:r>
        <w:rPr>
          <w:rFonts w:hint="eastAsia" w:eastAsia="楷体_GB2312"/>
          <w:b/>
          <w:bCs/>
          <w:color w:val="000000"/>
          <w:kern w:val="0"/>
          <w:szCs w:val="32"/>
          <w:shd w:val="clear" w:color="auto" w:fill="FFFFFF"/>
          <w:lang w:val="en-US" w:eastAsia="zh-CN"/>
        </w:rPr>
        <w:t>8分</w:t>
      </w:r>
      <w:r>
        <w:rPr>
          <w:rFonts w:hint="eastAsia" w:eastAsia="楷体_GB2312"/>
          <w:b/>
          <w:bCs/>
          <w:color w:val="000000"/>
          <w:kern w:val="0"/>
          <w:szCs w:val="32"/>
          <w:shd w:val="clear" w:color="auto" w:fill="FFFFFF"/>
          <w:lang w:val="zh-CN"/>
        </w:rPr>
        <w:t>）。</w:t>
      </w:r>
      <w:r>
        <w:rPr>
          <w:rFonts w:hint="eastAsia"/>
          <w:b/>
          <w:bCs/>
          <w:color w:val="000000"/>
          <w:kern w:val="0"/>
          <w:szCs w:val="32"/>
          <w:shd w:val="clear" w:color="auto" w:fill="FFFFFF"/>
          <w:lang w:val="zh-CN"/>
        </w:rPr>
        <w:t>目标完成：</w:t>
      </w:r>
      <w:r>
        <w:rPr>
          <w:rFonts w:hint="eastAsia"/>
          <w:color w:val="000000"/>
          <w:kern w:val="0"/>
          <w:szCs w:val="32"/>
          <w:shd w:val="clear" w:color="auto" w:fill="FFFFFF"/>
          <w:lang w:val="zh-CN"/>
        </w:rPr>
        <w:t>设备采购完成并顺利验收培训顺利完成（</w:t>
      </w:r>
      <w:r>
        <w:rPr>
          <w:rFonts w:hint="eastAsia"/>
          <w:color w:val="000000"/>
          <w:kern w:val="0"/>
          <w:szCs w:val="32"/>
          <w:shd w:val="clear" w:color="auto" w:fill="FFFFFF"/>
          <w:lang w:val="en-US" w:eastAsia="zh-CN"/>
        </w:rPr>
        <w:t>4分</w:t>
      </w:r>
      <w:r>
        <w:rPr>
          <w:rFonts w:hint="eastAsia"/>
          <w:color w:val="000000"/>
          <w:kern w:val="0"/>
          <w:szCs w:val="32"/>
          <w:shd w:val="clear" w:color="auto" w:fill="FFFFFF"/>
          <w:lang w:val="zh-CN"/>
        </w:rPr>
        <w:t>）。</w:t>
      </w:r>
      <w:r>
        <w:rPr>
          <w:rFonts w:hint="eastAsia"/>
          <w:b/>
          <w:bCs/>
          <w:color w:val="000000"/>
          <w:kern w:val="0"/>
          <w:szCs w:val="32"/>
          <w:shd w:val="clear" w:color="auto" w:fill="FFFFFF"/>
          <w:lang w:val="zh-CN"/>
        </w:rPr>
        <w:t>目标偏离：</w:t>
      </w:r>
      <w:r>
        <w:rPr>
          <w:rFonts w:hint="eastAsia" w:ascii="Times New Roman" w:hAnsi="Times New Roman" w:cs="Times New Roman"/>
          <w:color w:val="000000"/>
          <w:kern w:val="0"/>
          <w:szCs w:val="32"/>
          <w:shd w:val="clear" w:color="auto" w:fill="FFFFFF"/>
          <w:lang w:val="zh-CN"/>
        </w:rPr>
        <w:t>个别指标存在偏离（</w:t>
      </w:r>
      <w:r>
        <w:rPr>
          <w:rFonts w:hint="eastAsia" w:ascii="Times New Roman" w:hAnsi="Times New Roman" w:cs="Times New Roman"/>
          <w:color w:val="000000"/>
          <w:kern w:val="0"/>
          <w:szCs w:val="32"/>
          <w:shd w:val="clear" w:color="auto" w:fill="FFFFFF"/>
          <w:lang w:val="en-US" w:eastAsia="zh-CN"/>
        </w:rPr>
        <w:t>2分</w:t>
      </w:r>
      <w:r>
        <w:rPr>
          <w:rFonts w:hint="eastAsia" w:ascii="Times New Roman" w:hAnsi="Times New Roman" w:cs="Times New Roman"/>
          <w:color w:val="000000"/>
          <w:kern w:val="0"/>
          <w:szCs w:val="32"/>
          <w:shd w:val="clear" w:color="auto" w:fill="FFFFFF"/>
          <w:lang w:val="zh-CN"/>
        </w:rPr>
        <w:t>）。</w:t>
      </w:r>
      <w:r>
        <w:rPr>
          <w:rFonts w:hint="eastAsia" w:ascii="Times New Roman" w:hAnsi="Times New Roman" w:cs="Times New Roman"/>
          <w:b/>
          <w:bCs/>
          <w:color w:val="000000"/>
          <w:kern w:val="0"/>
          <w:szCs w:val="32"/>
          <w:shd w:val="clear" w:color="auto" w:fill="FFFFFF"/>
          <w:lang w:val="zh-CN"/>
        </w:rPr>
        <w:t>实现效果：</w:t>
      </w:r>
      <w:r>
        <w:rPr>
          <w:rFonts w:hint="eastAsia" w:ascii="Times New Roman" w:hAnsi="Times New Roman" w:cs="Times New Roman"/>
          <w:color w:val="000000"/>
          <w:kern w:val="0"/>
          <w:szCs w:val="32"/>
          <w:shd w:val="clear" w:color="auto" w:fill="FFFFFF"/>
          <w:lang w:val="zh-CN"/>
        </w:rPr>
        <w:t>各项目实施显著提升区域基本公共卫生能力但对成果巩固能力不足（</w:t>
      </w:r>
      <w:r>
        <w:rPr>
          <w:rFonts w:hint="eastAsia" w:ascii="Times New Roman" w:hAnsi="Times New Roman" w:cs="Times New Roman"/>
          <w:color w:val="000000"/>
          <w:kern w:val="0"/>
          <w:szCs w:val="32"/>
          <w:shd w:val="clear" w:color="auto" w:fill="FFFFFF"/>
          <w:lang w:val="en-US" w:eastAsia="zh-CN"/>
        </w:rPr>
        <w:t>2分</w:t>
      </w:r>
      <w:r>
        <w:rPr>
          <w:rFonts w:hint="eastAsia" w:ascii="Times New Roman" w:hAnsi="Times New Roman" w:cs="Times New Roman"/>
          <w:color w:val="000000"/>
          <w:kern w:val="0"/>
          <w:szCs w:val="32"/>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eastAsia="黑体"/>
          <w:color w:val="000000"/>
          <w:kern w:val="0"/>
          <w:szCs w:val="32"/>
          <w:shd w:val="clear" w:color="auto" w:fill="FFFFFF"/>
        </w:rPr>
      </w:pPr>
      <w:r>
        <w:rPr>
          <w:rFonts w:hint="eastAsia" w:eastAsia="黑体"/>
          <w:color w:val="000000"/>
          <w:kern w:val="0"/>
          <w:szCs w:val="32"/>
          <w:shd w:val="clear" w:color="auto" w:fill="FFFFFF"/>
        </w:rPr>
        <w:t>四、评价结论及建议</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lang w:val="zh-CN"/>
        </w:rPr>
        <w:t>（一）评价结论</w:t>
      </w:r>
    </w:p>
    <w:p>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Times New Roman" w:hAnsi="Times New Roman" w:cs="Times New Roman"/>
          <w:color w:val="000000"/>
          <w:kern w:val="0"/>
          <w:szCs w:val="32"/>
          <w:shd w:val="clear" w:color="auto" w:fill="FFFFFF"/>
          <w:lang w:val="zh-CN"/>
        </w:rPr>
      </w:pPr>
      <w:r>
        <w:rPr>
          <w:rFonts w:hint="eastAsia" w:ascii="Times New Roman" w:hAnsi="Times New Roman" w:cs="Times New Roman"/>
          <w:color w:val="000000"/>
          <w:kern w:val="0"/>
          <w:szCs w:val="32"/>
          <w:shd w:val="clear" w:color="auto" w:fill="FFFFFF"/>
          <w:lang w:val="zh-CN" w:eastAsia="zh-CN"/>
        </w:rPr>
        <w:t>壤塘县卫生健康局</w:t>
      </w:r>
      <w:r>
        <w:rPr>
          <w:rFonts w:hint="eastAsia" w:ascii="Times New Roman" w:hAnsi="Times New Roman" w:cs="Times New Roman"/>
          <w:color w:val="000000"/>
          <w:kern w:val="0"/>
          <w:szCs w:val="32"/>
          <w:shd w:val="clear" w:color="auto" w:fill="FFFFFF"/>
          <w:lang w:val="zh-CN"/>
        </w:rPr>
        <w:t>加强依法行政，强化政府主导，部门协调，认真实施计划生育利益导向制。保持</w:t>
      </w:r>
      <w:r>
        <w:rPr>
          <w:rFonts w:hint="eastAsia" w:ascii="Times New Roman" w:hAnsi="Times New Roman" w:cs="Times New Roman"/>
          <w:color w:val="000000"/>
          <w:kern w:val="0"/>
          <w:szCs w:val="32"/>
          <w:shd w:val="clear" w:color="auto" w:fill="FFFFFF"/>
          <w:lang w:val="zh-CN" w:eastAsia="zh-CN"/>
        </w:rPr>
        <w:t>卫生</w:t>
      </w:r>
      <w:r>
        <w:rPr>
          <w:rFonts w:hint="eastAsia" w:ascii="Times New Roman" w:hAnsi="Times New Roman" w:cs="Times New Roman"/>
          <w:color w:val="000000"/>
          <w:kern w:val="0"/>
          <w:szCs w:val="32"/>
          <w:shd w:val="clear" w:color="auto" w:fill="FFFFFF"/>
          <w:lang w:val="zh-CN"/>
        </w:rPr>
        <w:t>行政管理和技术服务队伍的稳定，提升人民群众的获得感，让人民群众从计生服务工作中得到实惠。我局严格按照年初预算批复认真组织实施,严格执行财经纪律相关管理规定，做到各项收支安排使用符合事业发展计划和财政政策的要求，确保了单位正常运行和重大项目的实施，较好地完成了202</w:t>
      </w:r>
      <w:r>
        <w:rPr>
          <w:rFonts w:hint="eastAsia" w:cs="Times New Roman"/>
          <w:color w:val="000000"/>
          <w:kern w:val="0"/>
          <w:szCs w:val="32"/>
          <w:shd w:val="clear" w:color="auto" w:fill="FFFFFF"/>
          <w:lang w:val="en-US" w:eastAsia="zh-CN"/>
        </w:rPr>
        <w:t>5</w:t>
      </w:r>
      <w:r>
        <w:rPr>
          <w:rFonts w:hint="eastAsia" w:ascii="Times New Roman" w:hAnsi="Times New Roman" w:cs="Times New Roman"/>
          <w:color w:val="000000"/>
          <w:kern w:val="0"/>
          <w:szCs w:val="32"/>
          <w:shd w:val="clear" w:color="auto" w:fill="FFFFFF"/>
          <w:lang w:val="zh-CN"/>
        </w:rPr>
        <w:t>年部门预算编制和决算汇总工作，202</w:t>
      </w:r>
      <w:r>
        <w:rPr>
          <w:rFonts w:hint="eastAsia" w:ascii="Times New Roman" w:hAnsi="Times New Roman" w:cs="Times New Roman"/>
          <w:color w:val="000000"/>
          <w:kern w:val="0"/>
          <w:szCs w:val="32"/>
          <w:shd w:val="clear" w:color="auto" w:fill="FFFFFF"/>
          <w:lang w:val="en-US" w:eastAsia="zh-CN"/>
        </w:rPr>
        <w:t>5</w:t>
      </w:r>
      <w:r>
        <w:rPr>
          <w:rFonts w:hint="eastAsia" w:ascii="Times New Roman" w:hAnsi="Times New Roman" w:cs="Times New Roman"/>
          <w:color w:val="000000"/>
          <w:kern w:val="0"/>
          <w:szCs w:val="32"/>
          <w:shd w:val="clear" w:color="auto" w:fill="FFFFFF"/>
          <w:lang w:val="zh-CN"/>
        </w:rPr>
        <w:t>年目标任务基本完成，</w:t>
      </w:r>
      <w:r>
        <w:rPr>
          <w:rFonts w:hint="eastAsia" w:ascii="Times New Roman" w:hAnsi="Times New Roman" w:cs="Times New Roman"/>
          <w:color w:val="000000"/>
          <w:kern w:val="0"/>
          <w:szCs w:val="32"/>
          <w:shd w:val="clear" w:color="auto" w:fill="FFFFFF"/>
          <w:lang w:val="zh-CN" w:eastAsia="zh-CN"/>
        </w:rPr>
        <w:t>自评得分</w:t>
      </w:r>
      <w:r>
        <w:rPr>
          <w:rFonts w:hint="eastAsia" w:ascii="Times New Roman" w:hAnsi="Times New Roman" w:cs="Times New Roman"/>
          <w:color w:val="000000"/>
          <w:kern w:val="0"/>
          <w:szCs w:val="32"/>
          <w:shd w:val="clear" w:color="auto" w:fill="FFFFFF"/>
          <w:lang w:val="en-US" w:eastAsia="zh-CN"/>
        </w:rPr>
        <w:t>83分，</w:t>
      </w:r>
      <w:r>
        <w:rPr>
          <w:rFonts w:hint="eastAsia" w:ascii="Times New Roman" w:hAnsi="Times New Roman" w:cs="Times New Roman"/>
          <w:color w:val="000000"/>
          <w:kern w:val="0"/>
          <w:szCs w:val="32"/>
          <w:shd w:val="clear" w:color="auto" w:fill="FFFFFF"/>
          <w:lang w:val="zh-CN"/>
        </w:rPr>
        <w:t>预算执行情况较好。</w:t>
      </w:r>
    </w:p>
    <w:p>
      <w:pPr>
        <w:keepNext w:val="0"/>
        <w:keepLines w:val="0"/>
        <w:pageBreakBefore w:val="0"/>
        <w:tabs>
          <w:tab w:val="right" w:pos="8844"/>
        </w:tabs>
        <w:kinsoku/>
        <w:wordWrap/>
        <w:overflowPunct/>
        <w:topLinePunct w:val="0"/>
        <w:autoSpaceDE/>
        <w:autoSpaceDN/>
        <w:bidi w:val="0"/>
        <w:spacing w:line="560" w:lineRule="exact"/>
        <w:ind w:firstLine="642" w:firstLineChars="200"/>
        <w:textAlignment w:val="auto"/>
        <w:rPr>
          <w:rFonts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lang w:val="zh-CN"/>
        </w:rPr>
        <w:t>（二）存在问题。</w:t>
      </w:r>
    </w:p>
    <w:p>
      <w:pPr>
        <w:keepNext w:val="0"/>
        <w:keepLines w:val="0"/>
        <w:pageBreakBefore w:val="0"/>
        <w:tabs>
          <w:tab w:val="right" w:pos="8844"/>
        </w:tabs>
        <w:kinsoku/>
        <w:wordWrap/>
        <w:overflowPunct/>
        <w:topLinePunct w:val="0"/>
        <w:autoSpaceDE/>
        <w:autoSpaceDN/>
        <w:bidi w:val="0"/>
        <w:spacing w:line="560" w:lineRule="exact"/>
        <w:ind w:firstLine="642"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b/>
          <w:sz w:val="32"/>
          <w:szCs w:val="32"/>
        </w:rPr>
        <w:t>1.部分项目资金支付进度滞后</w:t>
      </w:r>
      <w:r>
        <w:rPr>
          <w:rFonts w:hint="eastAsia" w:ascii="Times New Roman" w:hAnsi="Times New Roman" w:cs="Times New Roman"/>
          <w:b/>
          <w:sz w:val="32"/>
          <w:szCs w:val="32"/>
          <w:lang w:eastAsia="zh-CN"/>
        </w:rPr>
        <w:t>，</w:t>
      </w:r>
      <w:r>
        <w:rPr>
          <w:rFonts w:hint="eastAsia" w:ascii="Times New Roman" w:hAnsi="Times New Roman" w:eastAsia="仿宋_GB2312" w:cs="Times New Roman"/>
          <w:sz w:val="32"/>
          <w:szCs w:val="32"/>
        </w:rPr>
        <w:t>个别项目前期论证不充分，实施方案调整导致启动延迟，资金沉淀至下半年才形成支出；二是合同付款条款与业务进度衔接不紧；内部财务与业务科室沟通不够，发现滞后时已临近关账。</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eastAsia="楷体_GB2312"/>
          <w:b/>
          <w:bCs/>
          <w:color w:val="000000"/>
          <w:kern w:val="0"/>
          <w:szCs w:val="32"/>
          <w:shd w:val="clear" w:color="auto" w:fill="FFFFFF"/>
        </w:rPr>
      </w:pPr>
      <w:r>
        <w:rPr>
          <w:rFonts w:hint="eastAsia" w:ascii="Times New Roman" w:hAnsi="Times New Roman" w:eastAsia="仿宋_GB2312" w:cs="Times New Roman"/>
          <w:b/>
          <w:sz w:val="32"/>
          <w:szCs w:val="32"/>
        </w:rPr>
        <w:t>2.内控制度需进一步完善，</w:t>
      </w:r>
      <w:r>
        <w:rPr>
          <w:rFonts w:hint="eastAsia" w:ascii="Times New Roman" w:hAnsi="Times New Roman" w:eastAsia="仿宋_GB2312" w:cs="Times New Roman"/>
          <w:sz w:val="32"/>
          <w:szCs w:val="32"/>
        </w:rPr>
        <w:t>随着资金管理改革的进一步推进，我单位内部机构进行了相应的优化，建立健全了财务管理制度、固定资产管理制度、费用报销规程等制度，但仍需进一步强化财务约束监督体制。</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lang w:val="zh-CN"/>
        </w:rPr>
        <w:t>（三）改进建议</w:t>
      </w:r>
      <w:bookmarkStart w:id="5" w:name="_Hlk110546638"/>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1.科学合理编制预算，严格执行预算。进一步提高预算编制到位率，做准做全基本支出预算，做全项目支出预算，加强预算支出的审核、跟踪及预算执行情况分析，提高预算编制严谨性和可控性。</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2.进一步加强项目资金管理。严格实行项目管理程序化，实现项目申报、实施、拨付、评价全流程监督与控制，规范专项资金管理，提高专项资金的使用效益。</w:t>
      </w:r>
    </w:p>
    <w:bookmarkEnd w:id="5"/>
    <w:p>
      <w:pPr>
        <w:spacing w:line="578" w:lineRule="exact"/>
        <w:jc w:val="left"/>
        <w:rPr>
          <w:rFonts w:eastAsia="黑体"/>
        </w:rPr>
      </w:pPr>
      <w:r>
        <w:rPr>
          <w:color w:val="000000"/>
          <w:kern w:val="0"/>
          <w:szCs w:val="32"/>
          <w:shd w:val="clear" w:color="auto" w:fill="FFFFFF"/>
        </w:rPr>
        <w:br w:type="page"/>
      </w:r>
      <w:r>
        <w:rPr>
          <w:rFonts w:hint="eastAsia" w:eastAsia="黑体"/>
        </w:rPr>
        <w:t>附表1</w:t>
      </w:r>
    </w:p>
    <w:p>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37"/>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XX履职效果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bl>
    <w:p>
      <w:pPr>
        <w:pStyle w:val="144"/>
        <w:spacing w:line="20" w:lineRule="exact"/>
      </w:pPr>
    </w:p>
    <w:p>
      <w:pPr>
        <w:spacing w:line="20" w:lineRule="exact"/>
        <w:rPr>
          <w:rFonts w:eastAsia="黑体"/>
        </w:rPr>
      </w:pPr>
      <w:r>
        <w:rPr>
          <w:rFonts w:eastAsia="黑体"/>
        </w:rPr>
        <w:br w:type="page"/>
      </w:r>
    </w:p>
    <w:p>
      <w:pPr>
        <w:spacing w:line="578" w:lineRule="exact"/>
        <w:jc w:val="left"/>
        <w:rPr>
          <w:rFonts w:eastAsia="黑体"/>
        </w:rPr>
      </w:pPr>
      <w:r>
        <w:rPr>
          <w:rFonts w:hint="eastAsia" w:eastAsia="黑体"/>
        </w:rPr>
        <w:t>附表2</w:t>
      </w:r>
    </w:p>
    <w:p>
      <w:pPr>
        <w:widowControl/>
        <w:spacing w:line="578"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部门整体支出绩效目标完成情况自评表</w:t>
      </w:r>
    </w:p>
    <w:tbl>
      <w:tblPr>
        <w:tblStyle w:val="37"/>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阿坝州</w:t>
            </w:r>
            <w:r>
              <w:rPr>
                <w:rFonts w:hint="eastAsia" w:ascii="宋体" w:hAnsi="宋体" w:eastAsia="宋体" w:cs="宋体"/>
                <w:color w:val="000000"/>
                <w:kern w:val="0"/>
                <w:sz w:val="24"/>
                <w:lang w:eastAsia="zh-CN"/>
              </w:rPr>
              <w:t>壤塘县卫生健康局</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4928.720461</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2728.720461</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2200</w:t>
            </w:r>
          </w:p>
        </w:tc>
      </w:tr>
      <w:tr>
        <w:tblPrEx>
          <w:tblCellMar>
            <w:top w:w="0" w:type="dxa"/>
            <w:left w:w="108" w:type="dxa"/>
            <w:bottom w:w="0" w:type="dxa"/>
            <w:right w:w="108" w:type="dxa"/>
          </w:tblCellMar>
        </w:tblPrEx>
        <w:trPr>
          <w:trHeight w:val="313"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4928.720461</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2728.720461</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2200</w:t>
            </w: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eastAsia" w:ascii="宋体" w:hAnsi="宋体" w:eastAsia="宋体" w:cs="宋体"/>
                <w:color w:val="000000"/>
                <w:kern w:val="0"/>
                <w:sz w:val="24"/>
                <w:lang w:val="en-US" w:eastAsia="zh-CN"/>
              </w:rPr>
            </w:pPr>
          </w:p>
        </w:tc>
      </w:tr>
      <w:tr>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777" w:type="dxa"/>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2025年</w:t>
            </w:r>
          </w:p>
        </w:tc>
        <w:tc>
          <w:tcPr>
            <w:tcW w:w="1931"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121.44%</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120.3%</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120.6%</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123.95%</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123.95%</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15.1</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15.1%</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19.12%</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14.9%</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15.1</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50.6</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50.6</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良</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良</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各项奖励金发放人数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重精以奖代补发放137人，育儿补贴发放2464人</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137人，2464人</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完成疫苗接种慢病登记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育苗接种率</w:t>
            </w:r>
            <w:r>
              <w:rPr>
                <w:rFonts w:hint="eastAsia" w:ascii="宋体" w:hAnsi="宋体" w:eastAsia="宋体" w:cs="宋体"/>
                <w:color w:val="000000"/>
                <w:kern w:val="0"/>
                <w:sz w:val="24"/>
                <w:lang w:val="en-US" w:eastAsia="zh-CN"/>
              </w:rPr>
              <w:t>90%，慢病登记率79%，大于65%标准</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lang w:val="en-US" w:eastAsia="zh-CN"/>
              </w:rPr>
              <w:t>90%</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tabs>
                <w:tab w:val="left" w:pos="453"/>
              </w:tabs>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项目完成及安全事故</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当年</w:t>
            </w:r>
            <w:r>
              <w:rPr>
                <w:rFonts w:hint="eastAsia" w:ascii="宋体" w:hAnsi="宋体" w:eastAsia="宋体" w:cs="宋体"/>
                <w:color w:val="000000"/>
                <w:kern w:val="0"/>
                <w:sz w:val="24"/>
                <w:lang w:val="en-US" w:eastAsia="zh-CN"/>
              </w:rPr>
              <w:t>5各项目，已全部施工完毕，无安全事故发生</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各预算项目完成时间</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各预算项目在当年完成既定目标</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1年</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确保稳定，不发生重大卫生事件</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确保重精病人稳定确保无重大公共卫生事件发生</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lang w:val="en-US" w:eastAsia="zh-CN"/>
              </w:rPr>
              <w:t>95%</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提高基层专业技术人员积极性</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p>
          <w:p>
            <w:pPr>
              <w:tabs>
                <w:tab w:val="left" w:pos="1083"/>
              </w:tabs>
              <w:bidi w:val="0"/>
              <w:jc w:val="center"/>
              <w:rPr>
                <w:rFonts w:hint="eastAsia" w:ascii="Times New Roman" w:hAnsi="Times New Roman" w:eastAsia="仿宋_GB2312" w:cs="Times New Roman"/>
                <w:kern w:val="2"/>
                <w:sz w:val="32"/>
                <w:szCs w:val="24"/>
                <w:lang w:val="en-US" w:eastAsia="zh-CN" w:bidi="ar-SA"/>
              </w:rPr>
            </w:pPr>
            <w:r>
              <w:rPr>
                <w:rFonts w:hint="eastAsia" w:ascii="宋体" w:hAnsi="宋体" w:eastAsia="宋体" w:cs="宋体"/>
                <w:color w:val="000000"/>
                <w:kern w:val="0"/>
                <w:sz w:val="24"/>
                <w:lang w:val="en-US" w:eastAsia="zh-CN"/>
              </w:rPr>
              <w:t>通过不断加大对基层医疗机构投入，不断提高基层医务人员专业性</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lang w:val="en-US" w:eastAsia="zh-CN"/>
              </w:rPr>
              <w:t>95%</w:t>
            </w:r>
          </w:p>
        </w:tc>
      </w:tr>
      <w:tr>
        <w:tblPrEx>
          <w:tblCellMar>
            <w:top w:w="0" w:type="dxa"/>
            <w:left w:w="108" w:type="dxa"/>
            <w:bottom w:w="0" w:type="dxa"/>
            <w:right w:w="108" w:type="dxa"/>
          </w:tblCellMar>
        </w:tblPrEx>
        <w:trPr>
          <w:trHeight w:val="881"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eastAsia="zh-CN"/>
              </w:rPr>
              <w:t>可持续影响指标</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eastAsia="zh-CN"/>
              </w:rPr>
              <w:t>居民健康水平</w:t>
            </w:r>
          </w:p>
        </w:tc>
        <w:tc>
          <w:tcPr>
            <w:tcW w:w="475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eastAsia="zh-CN"/>
              </w:rPr>
              <w:t>居民健康水平，本地医疗水平及医疗保障水平不断提高</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lang w:val="en-US" w:eastAsia="zh-CN"/>
              </w:rPr>
              <w:t>90%</w:t>
            </w:r>
          </w:p>
        </w:tc>
      </w:tr>
    </w:tbl>
    <w:p>
      <w:pPr>
        <w:rPr>
          <w:rFonts w:eastAsia="黑体"/>
          <w:sz w:val="24"/>
        </w:rPr>
      </w:pPr>
    </w:p>
    <w:p>
      <w:pPr>
        <w:rPr>
          <w:rFonts w:eastAsia="黑体"/>
        </w:rPr>
      </w:pPr>
      <w:r>
        <w:rPr>
          <w:rFonts w:eastAsia="黑体"/>
        </w:rPr>
        <w:br w:type="page"/>
      </w:r>
    </w:p>
    <w:p>
      <w:pPr>
        <w:pStyle w:val="30"/>
        <w:spacing w:after="0" w:line="578" w:lineRule="exact"/>
        <w:ind w:left="0" w:leftChars="0" w:firstLine="0" w:firstLineChars="0"/>
        <w:rPr>
          <w:rFonts w:ascii="Times New Roman" w:eastAsia="黑体"/>
          <w:szCs w:val="24"/>
        </w:rPr>
      </w:pPr>
      <w:r>
        <w:rPr>
          <w:rFonts w:hint="eastAsia" w:ascii="Times New Roman" w:eastAsia="黑体"/>
          <w:szCs w:val="24"/>
        </w:rPr>
        <w:t>附表3</w:t>
      </w: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部门预算项目支出绩效评价表</w:t>
      </w:r>
    </w:p>
    <w:p>
      <w:pPr>
        <w:widowControl/>
        <w:spacing w:line="578" w:lineRule="exact"/>
        <w:jc w:val="center"/>
        <w:textAlignment w:val="center"/>
        <w:rPr>
          <w:rFonts w:eastAsia="方正小标宋简体"/>
          <w:color w:val="000000"/>
          <w:kern w:val="0"/>
          <w:szCs w:val="32"/>
        </w:rPr>
      </w:pPr>
      <w:r>
        <w:rPr>
          <w:rFonts w:hint="eastAsia" w:eastAsia="方正小标宋简体"/>
          <w:color w:val="000000"/>
          <w:kern w:val="0"/>
          <w:szCs w:val="32"/>
        </w:rPr>
        <w:t>（2025年度）</w:t>
      </w:r>
    </w:p>
    <w:tbl>
      <w:tblPr>
        <w:tblStyle w:val="37"/>
        <w:tblW w:w="896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7"/>
        <w:gridCol w:w="1118"/>
        <w:gridCol w:w="1745"/>
        <w:gridCol w:w="1217"/>
        <w:gridCol w:w="360"/>
        <w:gridCol w:w="360"/>
        <w:gridCol w:w="1003"/>
        <w:gridCol w:w="360"/>
        <w:gridCol w:w="645"/>
        <w:gridCol w:w="645"/>
        <w:gridCol w:w="360"/>
        <w:gridCol w:w="4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8968" w:type="dxa"/>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黑体" w:hAnsi="黑体" w:eastAsia="黑体" w:cs="黑体"/>
                <w:b/>
                <w:bCs/>
                <w:i w:val="0"/>
                <w:iCs w:val="0"/>
                <w:color w:val="000000"/>
                <w:sz w:val="30"/>
                <w:szCs w:val="30"/>
                <w:u w:val="none"/>
              </w:rPr>
            </w:pPr>
            <w:r>
              <w:rPr>
                <w:rFonts w:hint="eastAsia" w:ascii="黑体" w:hAnsi="黑体" w:eastAsia="黑体" w:cs="黑体"/>
                <w:b/>
                <w:bCs/>
                <w:i w:val="0"/>
                <w:iCs w:val="0"/>
                <w:color w:val="000000"/>
                <w:kern w:val="0"/>
                <w:sz w:val="30"/>
                <w:szCs w:val="30"/>
                <w:u w:val="none"/>
                <w:lang w:val="en-US" w:eastAsia="zh-CN" w:bidi="ar"/>
              </w:rPr>
              <w:t>部门项目支出绩效目标表（2025年度）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17"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11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74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217"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6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6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003"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6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64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64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6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438"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4"/>
                <w:szCs w:val="1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717"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单位名称</w:t>
            </w:r>
          </w:p>
        </w:tc>
        <w:tc>
          <w:tcPr>
            <w:tcW w:w="1118"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745"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预算数</w:t>
            </w:r>
          </w:p>
        </w:tc>
        <w:tc>
          <w:tcPr>
            <w:tcW w:w="1217"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年度目标</w:t>
            </w:r>
          </w:p>
        </w:tc>
        <w:tc>
          <w:tcPr>
            <w:tcW w:w="360"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360"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1003"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360"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指标性质</w:t>
            </w:r>
          </w:p>
        </w:tc>
        <w:tc>
          <w:tcPr>
            <w:tcW w:w="645"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645"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度量单位</w:t>
            </w:r>
          </w:p>
        </w:tc>
        <w:tc>
          <w:tcPr>
            <w:tcW w:w="360"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权重</w:t>
            </w:r>
          </w:p>
        </w:tc>
        <w:tc>
          <w:tcPr>
            <w:tcW w:w="438"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指标方向性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117-县卫生局</w:t>
            </w:r>
          </w:p>
        </w:tc>
        <w:tc>
          <w:tcPr>
            <w:tcW w:w="1118"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eastAsia" w:ascii="黑体" w:hAnsi="黑体" w:eastAsia="黑体" w:cs="黑体"/>
                <w:i w:val="0"/>
                <w:iCs w:val="0"/>
                <w:color w:val="000000"/>
                <w:sz w:val="18"/>
                <w:szCs w:val="18"/>
                <w:u w:val="none"/>
              </w:rPr>
            </w:pPr>
          </w:p>
        </w:tc>
        <w:tc>
          <w:tcPr>
            <w:tcW w:w="1745"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4,974.04</w:t>
            </w:r>
          </w:p>
        </w:tc>
        <w:tc>
          <w:tcPr>
            <w:tcW w:w="1217"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eastAsia" w:ascii="黑体" w:hAnsi="黑体" w:eastAsia="黑体" w:cs="黑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eastAsia" w:ascii="黑体" w:hAnsi="黑体" w:eastAsia="黑体" w:cs="黑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eastAsia" w:ascii="黑体" w:hAnsi="黑体" w:eastAsia="黑体" w:cs="黑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eastAsia" w:ascii="黑体" w:hAnsi="黑体" w:eastAsia="黑体" w:cs="黑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eastAsia" w:ascii="黑体" w:hAnsi="黑体" w:eastAsia="黑体" w:cs="黑体"/>
                <w:i w:val="0"/>
                <w:iCs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eastAsia" w:ascii="黑体" w:hAnsi="黑体" w:eastAsia="黑体" w:cs="黑体"/>
                <w:i w:val="0"/>
                <w:iCs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eastAsia" w:ascii="黑体" w:hAnsi="黑体" w:eastAsia="黑体" w:cs="黑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eastAsia" w:ascii="黑体" w:hAnsi="黑体" w:eastAsia="黑体" w:cs="黑体"/>
                <w:i w:val="0"/>
                <w:iCs w:val="0"/>
                <w:color w:val="000000"/>
                <w:sz w:val="18"/>
                <w:szCs w:val="18"/>
                <w:u w:val="none"/>
              </w:rPr>
            </w:pPr>
          </w:p>
        </w:tc>
        <w:tc>
          <w:tcPr>
            <w:tcW w:w="438" w:type="dxa"/>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eastAsia" w:ascii="黑体" w:hAnsi="黑体" w:eastAsia="黑体" w:cs="黑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117001-壤塘县卫生健康局</w:t>
            </w: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51323021T000000047988-基药补助</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12.49</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共同财政事权转移支付方式安排，用于支持基层医疗卫生机构实施国家基本药物制度、推进基层医疗卫生机构综合改革的转移支付资金。实施期限根据医疗卫生领域中央与地方财政事权和支出责任划分改革方案的调整相应进行调整。</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政府办基层医疗卫生机构实施国家基本药物制度覆盖率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全县基本药物补助覆盖率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加强药品价格管控，降低群众看病成本</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乡村医生收入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国家基本药物制度在基层持续实施</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群众对药品价格的满意度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51323021T000000047996-基本公卫补助</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29.56</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基本公共卫生服务项目主要通过乡镇卫生院、村卫生室和县卫生健康局指定的县级医疗卫生单位全年免费为城乡居民提供。县级医疗卫生单位、专业公共卫生单位参与基本公共卫生服务技术指导和监督管理服务</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考核基层医疗次数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督导基层医疗次数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培训基层医疗专业人员次数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城乡居民公共卫生服务差距</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基本公共卫生服务水平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群众对基本公卫项目政策满意率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51323021T000000048020-计生事业费</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51.57</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(一)对本行政区域的优化生育工作负总责，把优化生育、母婴安全工作纳入重要议事日程，及时解决工作中的突出问题，确保优化生育、妇幼健康目标的实现。</w:t>
            </w:r>
            <w:r>
              <w:rPr>
                <w:rFonts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(二)加强优化生育队伍建设，保障优化生育工作经费的投入，优化生育事业经费均高于当年本县财政经常性收入增长幅度。</w:t>
            </w:r>
            <w:r>
              <w:rPr>
                <w:rFonts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(三)加强依法行政，强化政府主导、部门协调，认真实施优化生育利益导向制度，保持优化生育行政管理和技术服务队伍的稳定。</w:t>
            </w:r>
            <w:r>
              <w:rPr>
                <w:rFonts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(四)加强贯彻落实优化生育政策力度，深化优化生育优质服务，重视家庭发展，大力发展托育服务、推动相关经济社会政策配套衔接，切实减轻家庭生育养育负担。</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全县住院分娩率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两项制度准确率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5岁以下儿童死亡率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群众生育政策知晓率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人口可持续高质量发展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全县孕情监测覆盖率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群众生育政策满意率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51323022T000006109944-县乡村卫生人才能力提升培训</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3.62</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对社区卫生服务中心、乡镇卫生院骨干人员及乡村医师进行培训。基层医疗机构医疗水平提升。       </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社区卫生服务中心、乡镇卫生院骨干人员培训人数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乡村医生培训人数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项目完成时间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培训学员通过率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医务人员能力</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参训人员满意度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财政投入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3.24</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51323022T000006499353-医疗废物规范化处置</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66.42</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加强各个医院医疗废物处置工作，预防医疗机构交叉感染，防治疾病传播，加强环境保护，</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医疗机构覆盖率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每月医疗废物回收次数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医疗废物回收以及处置工作开展时间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避免环境污染，减少环境治理资金投入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预防疾病传播，减少对环境的破坏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控制传染病的流行、避免环境污染</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县内各个医疗机构对医疗废物处置的满意度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51323023T000009522824-医疗服务与保障能力提升（壤塘县上寨卫生院急救中心改造项目）</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完成建设壤塘县上寨卫生院急救中心改造项目       </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按照相关要求保证上寨中心卫生院急救中心工程质量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工程按照立项要求完成验收时效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县域基层医疗卫生机构收入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促进我县医疗水平提升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带动县域医疗卫生机构基础能力提升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项目使医疗卫生机构能力稳步提升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县域医疗卫生机构</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县域内受益群众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51323024T000010342598-严重精神障碍患者监护人以奖代补县级配套资金</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18.84</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引导监护人承担好严重精神障碍患者的监护责任，进一步加强严重精神障碍患者的监护。</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严重精神障碍患者监护人以奖代补人数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严重精神障碍患者规范管理率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确保我县严重精神障碍患者稳定，不发生祸乱行为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全县重精患者健康不断提高</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重精病人及家属满意度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该项目投入资金成本</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191800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51323024T000011089505-医疗服务与保障能力提升卫生监督机构能力建设</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40.48</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通过实施项目建设，合理配置卫生监督机构现场快速检测设备、执法设备，满足现代科学执法工作需求。        </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监督相关单位快速检测设备、执法设备配置工作进度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完成统筹协调，定期召开疫情分析会议，收集汇总工作数据，并对2023年工作开展情况进行督查监管。</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项目完成时间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5"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提高卫生监督队伍素质，提高卫生监督能力，全面推进卫生监督执法行动深入开展，切实保护人民群众健康权益，促进地方经济发展。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加强执法监督能力，打造健康生活环境，吸引更多的各类人才到地方发展,为地方经济的提升提供源源不断的人力资源。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提高卫生监督执法能力，人民群众在健康的居住环境、饮食环境和就医环境下,更好地推动地方经济的可持续发展。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51323024T000011590887-壤塘县严重精神障碍患者监护人以奖代补项目</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8.36</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1确保我县重性精神病患者管理项目顺利开展，逐步建立综合预防和控制重性精神病患者危险行为的有效机制。</w:t>
            </w:r>
            <w:r>
              <w:rPr>
                <w:rFonts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2持续对全县严重精神障碍患者进行管理，减少严重精神障碍患者肇事肇祸，维护社会安全稳定。</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严重精神障碍患者监护人以奖代补1项目标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严重精神障碍患者规范管理率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促进我县严重精神障碍患者管理能力水平提升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确保我县严重精神障碍患者稳定，不发生祸乱行为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项目使严重精神障碍患者管理能力稳步提升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县域内受益群众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该项目投入资金</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187600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51323024T000011761446-中央补助资金医疗卫生机构能力建设县域医疗卫生机构建设—工程</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15.53</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完成基层卫生院业务用房改造及医疗设施设备采购</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按照相关要求保证卫生机构业务科室改造及设施设备购置机建设质量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工程及采购按照立项、政府采购备案要求要求完成验收时效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带动县域医疗卫生机构基础能力提升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促进我县医疗水平提升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县域基层医疗卫生机构收入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带动县域医疗卫生机构基础能力提升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县域内受益群众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县域医疗卫生机构</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51323024T000011853207-壤塘县包虫病防治项目</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做好包虫病防治工作，负责统筹协调，健康教育，定期召开疫情分析会议，收集汇总工作数据，并对2025年工作开展情况进行督查监管。</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宣传人数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包虫病完成时间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带动县域包虫病防治能力提升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项目使包虫病防治能力稳步提升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患者对包虫病治理的满意度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县域内受益群众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包虫病项目所需费用</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51323024T000011983294-普惠托育服务专项行动县级</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该资金全部用于2024年壤塘县南木达中心幼儿园改建55个普惠性托位。</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改建普惠性托位</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“十四五”规划千人口托位达标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提振人口生育意愿，减轻群众生育负担</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人口均衡可持续发展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普惠托育人员满意度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普惠托育项目托位省级补助标准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资金投入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51323024T000012007722-壤塘县上寨中心卫生院手术室建设项目</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该资金全部用于完成建设壤塘县上寨中心卫生院手术室建设</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手术室建设面积</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平方米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按照相关要求保证上寨中心卫生院手术室建设及设施设备购置机建设质量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工程及采购按照立项、政府采购备案要求要求完成验收时效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促进我县医疗水平提升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县域基层医疗卫生机构收入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带动县域医疗卫生机构基础能力提升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项目使医疗卫生机构能力稳步提升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县域内受益群众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县域医疗卫生机构</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51323025T000012834217-独生子女父母奖励金</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独生子女父母优先分享改革发展的成果，稳定家庭功能</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独生子女父母奖励</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符合条件申报对象覆盖率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奖励和扶助资金到位率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社会稳定水平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全县人口环境均衡发展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计划生育优生优育政策、特殊家庭关怀满意度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独生子女父母奖励标准女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独生子女父母奖励标准男</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51323025T000012970506-临聘人员的服务费</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23.11</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将临聘人员由壤巴拉万祥人力资源管理咨询有限责任公司统一管理</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全系统临聘人员74人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减轻全县临聘人员的管理难度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减轻医院负担，实现全县统一化。</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为以后临聘人员统一一个制度管理实现简约化</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临聘人员的满意度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全县医疗卫生机构人员管理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51323025T000013098291-壤塘县医疗卫生事业发展大会</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3.55</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召开2024年壤塘县医疗卫生事业发展大会</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顺利召开2024年壤塘县医疗卫生事业发展大会</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提高医疗卫生事业收入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提升壤塘县医疗卫生事业高质量发展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深化壤塘县医疗卫生事业改革</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基层专业技术人员</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医疗机构满意度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51323025T000013178979-壤塘县医疗设备采购项目</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采购64排CT一台</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按照相关要求保证设备安装质量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采购按照政府采购备案要求要求完成验收时效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县域医疗卫生机构收入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促进我县医疗水平提升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带动县域医疗卫生机构基础能力提升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项目使医疗卫生机构能力稳步提升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县域医疗卫生机构</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县域内受益群众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51323025T000013300411-按人口因素分配</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按人口因素分配公卫资金，用于 为辖区内居民提供各项健康保障。</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督导次数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督导工作县内覆盖率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基层卫生工作不断提升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可持续发展指标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健全基层公共卫生服务体系</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群众对公卫工作开展满意度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公卫工作开展所需经费</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14175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51323025T000013381240-卫健局争取向上单位突出单位奖励</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有关单位要以先进为榜样，坚定信心、鼓足干劲，锐意进取、真抓实干，合力共为、奋勇争先，守正创新、踔厉奋发，以更加有力的举措、更加务实的作风，坚定不移深入推进向上争取项目工作，力争推动更多项目、资金、政策和荣誉落地壤塘，为加快推动全县经济社会高质量发展作出新的更大贡献。</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项目完成时限</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车辆维修费</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元/千瓦时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预期服务对象对经费保障的满意度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受益群众满意度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资金使用</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51323025T000013711221-农村部分计划生育家庭奖励扶助</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实施农村计划生育家庭奖励扶助制度，解决农村独生子女和双女家庭的养老问题，提高家 庭发展能力。</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国家农村部分计划生育家庭奖励扶助 人数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社会稳定水平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家庭发展能力</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全县人口环境均衡发展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年度计生工作目标考核及“十四五”计生发展研究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计划生育优生优育政策、特殊家庭关怀满意度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农村部分计划生育家庭奖励扶助金发放标准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51323025T000013711250-农村部分计划生育家庭奖励扶助金</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实施农村计划生育家庭奖励扶助制度，解决农村独生子女和双女家庭的养老问题，提高家 庭发展能力。</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国家农村部分计划生育家庭奖励扶助 人数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家庭发展能力</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社会稳定水平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全县人口环境均衡发展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年度计生工作目标考核及“十四五”计生发展研究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计划生育优生优育政策、特殊家庭关怀满意度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农村部分计划生育家庭奖励扶助金发放标准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51323025T000013711282-独生子女伤残、死亡家庭扶助特别扶助</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实施计划生育家庭特别扶助制度，缓解计划生育困难家庭在生产、生活、医疗和养老等方 面的特殊困难，保障和改善民生，促进社会和谐稳定。</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扶助独生子女死亡家庭人数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扶助独生子女伤残家庭人数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全县人口环境均衡发展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年度计生工作目标考核及“十四五”计生发展研究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优育政策、特殊家庭关怀满意度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独生子女死亡家庭扶助金发放标准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独生子女伤残家庭扶助金发放标准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51323025T000013711300-独生子女伤残、死亡家庭扶助特别扶助金</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实施计划生育家庭特别扶助制度，缓解计划生育困难家庭在生产、生活、医疗和养老等方 面的特殊困难，保障和改善民生，促进社会和谐稳定。</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扶助独生子女死亡家庭人数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扶助独生子女伤残家庭人数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全县人口环境均衡发展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年度计生工作目标考核及“十四五”计生发展研究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计划生育优生优育政策、特殊家庭关怀满意度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独生子女伤残家庭扶助金发放标准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独生子女死亡家庭扶助金发放标准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51323025T000013717065-人口因素分配（人口监测和计生）</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(一)把母婴安全、优化生育工作纳入乡镇人民政府重要议事日程，及时解决工作中的突出问题，确保妇幼重点指标目标的实现。</w:t>
            </w:r>
            <w:r>
              <w:rPr>
                <w:rFonts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(二)加强贯彻落实优化生育政策宣传力度，深化优质服务，重视家庭发展，推动相关经济社会政策配套衔接，切实减轻家庭生育养育负担。</w:t>
            </w:r>
            <w:r>
              <w:rPr>
                <w:rFonts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（三）严格执行乡孕情监测工作制度，落实村级孕情报告奖励措施，鼓励孕产妇主动产检住院分娩，力争2025年我县孕产妇0死亡，5岁以下儿童死亡率有效降低。</w:t>
            </w:r>
            <w:r>
              <w:rPr>
                <w:rFonts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（四）群众优化生育政策知晓率达95%，住院分娩率达90以上。</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入户动员、政策宣传，计划生育政策宣传覆盖率达</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群众政策知晓率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5岁以下儿童死亡率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0.06</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群众生育政策满意度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妇幼健康教育普及率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住院分娩率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群众政策满意度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51323025T000013717106-人口因素（双随机公开）</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为进一步加强公共卫生、传染病防治、职业卫生、医疗卫生、饮用水卫生等监督执法工作，规范各经营单位营业活动，保障人民群众广大权益。 </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监督指导相关单位卫生管理情况</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完成统筹协调，定期开展相关法律知识宣传，并对双随机抽查任务进行监督检查，购买第三方检测服务。</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规范市场秩序，减轻经营单位负担，提升监管效率，促使经营单位诚信经营，提高群众满意度。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规范各经营单位营业行为，加强各单位从业人员卫生管理，提升服务水平，使监管程序规范，提高群众满意度。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规范市场营业行为，加强各单位从业人员卫生管理，提升服务水平，使监管程序规范，提升群众法律知晓率，提高群众满意度。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51323025T000013717113-人口因素（基层卫生）</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针对基层卫生工作进行指导、培训等</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督导次数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督导完成率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基层卫生工作不断提升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受益对象满意度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财政投入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51323025T000013717160-人口因素（爱国卫生）</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进一步推动爱国卫生运动的顺利进行，促进公民健康意识、身体素质全面提升，努力打造健康宜居环境</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宣传册数量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册</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宣传活动完成时间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促进医疗服务能力稳步提升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促进公民健康意识、身体素质全面提升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人民群众满意度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公民对爱国卫生运动宣传的满意度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宣传活动所需费用</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51323025T000013717185-人口因素（地方病防治）</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完成地方病防治，提高居民身体健康素质</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地方防治覆盖率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项目完成所需时间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完成地方病防治，提高居民身体健康素质</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提升患者生存率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患者对项目的满意度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项目完成所需成本</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51323025T000013749471-阿坝州壤塘县域基层医疗卫生机构能力建设项目</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阿坝州壤塘县域基层医疗卫生机构能力建设采购项目</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按照相关要求保证壤塘县域基层医疗卫生机构能力建设设施设备购置机建设质量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工程及采购按照立项、政府采购备案要求要求完成验收时效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县域基层医疗卫生机构收入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促进我县医疗水平提升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带动县域医疗卫生机构基础能力提升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项目使医疗卫生机构能力稳步提升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县域内受益群众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县域医疗卫生机构</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51323025T000013759791-雪莲花头雁行动</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2023年“雪莲花”头雁行动（7名专业技术人员到绵阳404医院进修学习1年）</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7名专业专技人员赴绵阳404医院进修学习</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每个人带着问题去</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提高专业技术人员的技术水平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提高基层专业技术人员积极性</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医疗机构满意度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基层专业技术人员</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51323025T000013804792-阿坝州计生事业费</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5.96</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目标：1.实行计划生育的育龄夫妻免费提供避孕、节育技术服务，做好药具管理。目标  </w:t>
            </w:r>
            <w:r>
              <w:rPr>
                <w:rFonts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2.为符合生育政策、计划怀孕的城乡夫妇免费提供优生健康教育、病史询问、体格检查、临床实验室检查、影像学检查、风险评估、咨询指导等19项孕前优生检查服务。    </w:t>
            </w:r>
            <w:r>
              <w:rPr>
                <w:rFonts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3.完成年度全州计生统计、人口监测、生育政策宣传、年度计生工作目标考核等工作。</w:t>
            </w:r>
            <w:r>
              <w:rPr>
                <w:rFonts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4.持续推进计生家庭发展、帮扶、协会、失独家庭稳控、“三个覆盖”及“三结合”等工作。                                                                                        </w:t>
            </w:r>
            <w:r>
              <w:rPr>
                <w:rFonts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5.提升计生技术服务能力，加强产儿科急救中心建设等工作。</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免费计划生育基本技术服务落实率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生育秩序整治重点县政策外生育率不断下降</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免费孕前优生健康检查目标人群覆盖率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失独家庭温控覆盖率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提供计划生育技术服务水平不断提高</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普及计划生育政策知晓率，优化生育政策促进人口长期均衡发展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51323025T000013863911-壤塘县人民医院（包虫病、大骨节病）康复诊疗中心建设项目</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新建业务用房8000平方米，其中：包虫病业务用房4000平方米，大骨节病业务用房4000平方米</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新建包虫病、大骨节病业务用房</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工程完成率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县域基层医疗卫生机构收入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促进我县医疗水平提升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项目使医疗卫生机构能力稳步提升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县域医疗卫生机构</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县域内受益群众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51323025T000013882992-独生子女父母奖励费</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独生子女父母优先分享改革发展的成果，稳定家庭功能</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独生子女父母奖励</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社会稳定水平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家庭发展能力</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全县人口环境均衡发展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年度计生工作目标考核及“十四五”计生发展研究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计划生育优生优育政策、特殊家庭关怀满意度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独生子女父母奖励费</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51323025T000013973509-“三州”住院医师业务能力提升项目</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选1名卫生人才到帮扶医院进修半年，提高专业技术人员的技能水平</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壤塘县派1名医生培训</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促进我县医疗水平提升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提高专业技术人员的技能水平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项目使医疗卫生机构能力稳步提升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资金投入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51323025T000013973568-名族地区优秀人才激励项目</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51323025T000013973617-三州巡回医疗服务能力提升项目</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将改善当地农牧民群众的就医条件，不但能在很大程度上改善医疗卫生机构就医条件和工作条件，为广大农牧民患者提供更好、更多、更安全便捷的医疗技术服务，带来实实在在的好处，以适应广大人民群众不断增长的医疗需求。</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按照相关要求保证设备安装质量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采购按照政府采购备案要求要求完成验收时效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促进我县医疗水平提升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县域医疗卫生机构收入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带动县域医疗卫生机构基础能力提升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项目使医疗卫生机构能力稳步提升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县域内受益群众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县域医疗卫生机构</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51323025T000014009278-温州考察学习</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一步推进全县基层卫生人才队伍建设，优化卫生人才资源，提高全县基层医疗的技术水平和服务能力，以全面增强执政本领为重点，整合资源，创新内容，改进方式，提高质量，聚焦专业知识、专业能力、专业作风、专业精神，加强思想淬炼、政治历练、实践锻炼、专业训练，全面提升执行力和治理能力。</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派出20人人赴浙江温州医科大学学习</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加强专业技术人员积极心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高专业技术人员的技能水平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此项目使医疗卫生专业技术人员视野开阔</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资金投入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51323025T000014015606-退休奖励</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激励医务人才安心从医，提高工作人员积极性，吸引优秀人才到基层服务</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1名退休人员</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各级医疗卫生机构一线从事医疗服务、公共卫生服务连续工作</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提高工作人员积极性</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吸引优秀人才到基层服务</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资金投入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51323025T000014015663-5.12护士节奖励</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激励医务人才安心从医，提高工作人员积极性，吸引优秀人才到基层服务</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护理人员</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卫健系统护理人员全覆盖</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按人均不少于300元的标准发放慰问金</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元/人·次</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提高工作人员积极性</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资金投入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51323025T000014052285-阿坝州困难农牧民群众大病救助基金</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43.49</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一步管好用好困难农牧民群众大病救助专项资金，严守专款专用管理要求，规范救助对象识别、审核上报、资金拨付全流程闭环管理，切实减轻我县石榴籽户困难农牧民群众大病医疗负担，防范因病致贫、因病返贫风险。</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困难农牧民群众救助对象</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50000元以上的救助比例</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10000-50000元的救助比例</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救助对象资金兑现时间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减少困难农牧民群众因病致贫家庭经济支出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户</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降低因病致贫风险</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户</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帮扶对象满意度指标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发挥救助基金兜底，维护农牧民群众身心健康</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户</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救助对象救助金额（307633元）的拨付比例</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51323026T000014095348-托幼一体化服务</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《中华人民共和国卫生行业标准托育机构质量评估标准WS/T821-2023》建设标准，完善南木达中心幼儿园、岗木达乡幼儿园、上寨中心校幼儿园三个普惠托育点完善相关设施设备采购及人员配备保障运行工作。</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对标托幼一体化服务完善设施设备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对标托幼一体化服务完善人员配备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“十四五”规划千人口托位达标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提振人口生育意愿，减轻群众生育负担</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人口均衡可持续发展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托育一体化服务省级补助标准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元/个</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托育一体化服务州级补助标准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元/个</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51323026T000014170094-卫生扶贫救助基金.</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扶贫救助基金救助程序按贫困人口就诊地点分为两部分，第一部分为在县域内就诊的贫困患者。县域内建档立卡贫困人口住院实行先诊疗后结算制度，不缴纳住院预付款，各医疗机构设立“一站式”服务窗口，实现“医疗机构多跑路、让贫困患者少跑路”。</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对脱贫人口县内外住院及门诊费用进行兜底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提高脱贫人口医疗保障水平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减少群众医疗支出，保障群众生活水平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对脱贫人口县内外住院及门诊费用进行兜底，保证个人自付费用控制在5%以内</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贫困人口及时得到救治</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全县脱贫户医疗费用兜底，避免群众因病返贫</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脱贫户对于该项工作满意度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按照规定及时给与群众医疗报销</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51323026T000014264733-壤塘县蒲西乡卫生院业务用房建设项目缺口资金</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45.09</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将改善当地农牧民群众的就医条件，不但能在很大程度上改善就医条件和工作条件，为广大农牧民患者提供更好、更多、更安全便捷的医疗技术服务，带来实实在在的好处，以适应广大人民群众不断增长的医疗需求，发挥更好的社会效益和经济效益，为构建和谐社会和推动我县卫生事业的发展作出积极贡献。</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按照相关要求保证项目质量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按照相关要求完成验收时效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县域医疗卫生机构收入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促进我县医疗水平提升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带动县域医疗卫生机构基础能力提升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项目使医疗卫生机构能力稳步提升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县域内受益群众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县域医疗卫生机构</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51323026T000014266650-8.19医师节慰问金</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4.35</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构建激励长效机制，营造卫生健康单位医务人才热爱卫生健康事业、长期坚守基层、热衷服务基层群众的良好氛围，具有良好的医德医风。充分调动医务人才主动学习的积极性，促进医务人才通过提高技术水平、提供优质服务获得回报。</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医疗机构覆盖率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卫健系统医务人员（除护士外）全覆盖</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充分调动医务人才主动学习的积极性，促进医务人才通过提高技术水平、提供优质服务获得回报。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资金投入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提高工作人员积极性</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51323026T000014292824-2020年疫情防控物资采购借款</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20.96</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核销2020年卫建局疫情防控物资借款</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购买口罩数量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购买空气消毒机数量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购买防护服数量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核销20.96万元疫情借款</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20.96</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2025年内核销完毕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顺利完成疫情防控任务</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持续保障群众生命健康安全</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51323026T000014361922-石榴籽健康保障现场会</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17.37</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进一步加强公共卫生、传染病防治、职业卫生、医疗卫生、饮用水卫生等监督执法工作，规范各经营单位营业活动，保障人民群众广大权益。</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筹办现场会相关事项</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高质量完成现场会各点位筹备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推广我县石榴籽健康保障行动经验成效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打造全州健康保障行动典范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资金投入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380000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51323026T000014406842-州级计划生育事业经费人口统计及人口监测工作</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严格执行国家优化生育政策，通过精准落实经费保障与项目实施，实现人口数量科学调控、人口素质稳步提升、人口结构持续优化，最终推动全县人口长期均衡发展。</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免费计划生育基本技术服务落实率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符合政策生育率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免费孕前优生健康检查目标人群覆盖率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失独家庭稳控覆盖率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提供计划生育技术服务水平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普及计划生育政策知晓率，优化生育政策促进人口长期均衡发展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计划生育政策、技术服务知晓率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51323026T000014406846-州级计划生育事业经费，计划生育基层基础、家庭发展、药具管理及培训督导补助</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严格执行国家优化生育政策，通过精准落实经费保障与项目实施，实现人口数量科学调控、人口素质稳步提升、人口结构持续优化，最终推动全县人口长期均衡发展。</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免费孕前优生健康检查目标人群覆盖率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免费计划生育基本技术服务落实率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符合政策生育率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失独家庭稳控覆盖率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提供计划生育技术服务水平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普及计划生育政策知晓率，优化生育政策促进人口长期均衡发展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计划生育政策、技术服务知晓率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51323026T000014406862-州级计划生育事业经费计划生育协会工作</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严格执行国家优化生育政策，通过精准落实经费保障与项目实施，实现人口数量科学调控、人口素质稳步提升、人口结构持续优化，最终推动全县人口长期均衡发展。</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符合政策生育率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免费计划生育基本技术服务落实率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免费孕前优生健康检查目标人群覆盖率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失独家庭稳控覆盖率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提供计划生育技术服务水平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普及计划生育政策知晓率，优化生育政策促进人口长期均衡发展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计划生育政策、技术服务知晓率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51323026T000014406876-州级计划生育事业经费失独家庭稳控及“三个覆盖”特别关怀</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严格执行国家优化生育政策，通过精准落实经费保障与项目实施，实现人口数量科学调控、人口素质稳步提升、人口结构持续优化，最终推动全县人口长期均衡发展。</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免费孕前优生健康检查目标人群覆盖率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免费计划生育基本技术服务落实率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符合政策生育率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失独家庭稳控覆盖率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提供计划生育技术服务水平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普及计划生育政策知晓率，优化生育政策促进人口长期均衡发展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计划生育政策、技术服务知晓率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51323026T000014407124-州级计划生育事业经费阿坝州实施《四川省计划生育条例》变通规定宣传贯彻</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严格执行国家优化生育政策，通过精准落实经费保障与项目实施，实现人口数量科学调控、人口素质稳步提升、人口结构持续优化，最终推动全县人口长期均衡发展。</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符合政策生育率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免费计划生育基本技术服务落实率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免费孕前优生健康检查目标人群覆盖率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失独家庭稳控覆盖率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提供计划生育技术服务水平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普及计划生育政策知晓率，优化生育政策促进人口长期均衡发展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计划生育政策、技术服务知晓率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51323026T000014414366-基层医疗卫生机构能力建设（绩效资金）</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0.75</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保障服务安全，提高服务质量，确保血液透析医师、护士和技师具备相应的资质和技能。</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按照相关要求保证壤塘县域基层医疗卫生机构能力建设设施设备购置机建设质量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程及采购按照立项、政府采购备案要求要求完成验收时效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县域基层医疗卫生机构收入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促进我县医疗水平提升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带动县域医疗卫生机构基础能力提升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项目使医疗卫生机构能力稳步提升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县域内受益群众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县域医疗卫生机构</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51323026T000014421116-农村部分计划生育家庭奖励扶助、独生子女伤残、死亡家庭扶助特别扶助人员</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4.08</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目标1:实施农村计划生育家庭奖励扶助制度，解决农村独生子女和双女家庭的养老问题，提高家庭发展能力。</w:t>
            </w:r>
            <w:r>
              <w:rPr>
                <w:rFonts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目标2:实施计划生育家庭特别扶助制度，缓解计划生有困难家庭在生产、生活、医疗和养老等方面的特殊困难，保障和改善民生，促进社会和谐稳定。</w:t>
            </w:r>
            <w:r>
              <w:rPr>
                <w:rFonts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目标3:落实独生子女父母奖励金，做好政策衔接。</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国家农村部分计划生育家庭奖励扶助 人数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扶助独生子女伤残家庭人数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扶助独生子女死亡家庭人数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符合条件申报对象覆盖率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全县人口环境均衡发展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独生子女伤残家庭扶助金发放标准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独生子女死亡家庭扶助金发放标准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51323026T000014421132-农村部分计划生育家庭奖励扶助、独生子女伤残、死亡家庭扶助奖励扶助人员</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目标1:实施农村计划生育家庭奖励扶助制度，解决农村独生子女和双女家庭的养老问题，提高家庭发展能力。</w:t>
            </w:r>
            <w:r>
              <w:rPr>
                <w:rFonts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目标2:实施计划生育家庭特别扶助制度，缓解计划生有困难家庭在生产、生活、医疗和养老等方面的特殊困难，保障和改善民生，促进社会和谐稳定。</w:t>
            </w:r>
            <w:r>
              <w:rPr>
                <w:rFonts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目标3:落实独生子女父母奖励金，做好政策衔接。</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国家农村部分计划生育家庭奖励扶助人数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扶助独生子女死亡家庭人数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扶助独生子女伤残家庭人数</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符合条件申报对象覆盖率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全县人口环境均衡发展</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独生子女伤残家庭扶助金发放标准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独生子女死亡家庭扶助金发放标准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51323026T000014556180-“石榴籽”工程“健康保障”行动现场会点位改造资金</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18.42</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为进一步加强公共卫生、传染病防治、职业卫生、医疗卫生、饮用水卫生等监督执法工作，规范各经营单位营业活动，保障人民群众广大权益。</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筹办现场会相关事项</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高质量完成现场会各点位筹备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推广我县石榴籽健康保障行动经验成效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保障人民群众广大权益</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打造全州健康保障行动典范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51323026T000014801184-育儿补贴补助资金</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9.12</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通过实施育儿补贴项目，支持降低家庭生育养育成本，推动完善生育支持政策体系，促进人口高质量发展。</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完成及时性</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符合条件的申领人育儿补贴实 际发放率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育儿补贴发放频次</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政策知晓率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促进降低家庭生育养育成本，构 建生育友好型社会</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育儿补贴领取对象满意度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育儿补贴国家基础标准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51323026T000014866837-育儿补贴补助资金.</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905.08</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通过实施育儿补贴项目，支持降低家庭生育养育成本，推动完善生育支持政策体系，促进人口高质量发展。</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符合条件的申领人育儿补贴实 际发放率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完成及时性</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育儿补贴发放频次</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政策知晓率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促进降低家庭生育养育成本，构 建生育友好型社会</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育儿补贴领取对象满意度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育儿补贴领取对象满意度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51323026T000014912339-壤塘县困难农牧民群众大病救助基金</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减轻其重特大疾病医疗费用负担，防范因病致贫返贫风险，强化民生拖底保障，助力乡村振兴战略实施。</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符合条件救助对象申请受理率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基金使用合规率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救助审批流程时间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个工作日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完成上年度资金发放时间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2027</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救助基金年度筹集到位率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受助群众满意度</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每年财政投入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51323026T000015283062-公共卫生服务补助资金支持国定脱贫县乡镇卫生院基本设备配备</w:t>
            </w:r>
          </w:p>
        </w:tc>
        <w:tc>
          <w:tcPr>
            <w:tcW w:w="17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进一步提升我县乡镇卫生院（社区卫生服务中心）服务能力</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按照相关要求保证设备安装质量</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采购按照政府采购备案要求要求完成验收时效</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促进我县乡镇卫生院医疗水平提升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县域医疗卫生机构收入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带动县域医疗卫生机构基础能力提升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项目使医疗卫生机构能力稳步提升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7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县域内受益群众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bl>
    <w:p>
      <w:pPr>
        <w:pStyle w:val="144"/>
        <w:spacing w:before="0" w:after="0" w:line="578" w:lineRule="exact"/>
        <w:ind w:firstLine="640" w:firstLineChars="200"/>
        <w:rPr>
          <w:rFonts w:ascii="Times New Roman" w:hAnsi="Times New Roman" w:eastAsia="仿宋_GB2312"/>
          <w:b w:val="0"/>
          <w:color w:val="000000"/>
          <w:kern w:val="0"/>
          <w:sz w:val="32"/>
          <w:szCs w:val="32"/>
          <w:shd w:val="clear" w:color="auto" w:fill="FFFFFF"/>
        </w:rPr>
      </w:pPr>
    </w:p>
    <w:p>
      <w:pPr>
        <w:pStyle w:val="144"/>
        <w:spacing w:before="0" w:after="0" w:line="578" w:lineRule="exact"/>
        <w:ind w:firstLine="481" w:firstLineChars="200"/>
      </w:pPr>
    </w:p>
    <w:p>
      <w:pPr>
        <w:keepNext w:val="0"/>
        <w:keepLines w:val="0"/>
        <w:pageBreakBefore w:val="0"/>
        <w:widowControl w:val="0"/>
        <w:kinsoku/>
        <w:wordWrap/>
        <w:overflowPunct/>
        <w:topLinePunct w:val="0"/>
        <w:autoSpaceDE/>
        <w:autoSpaceDN/>
        <w:bidi w:val="0"/>
        <w:spacing w:line="578" w:lineRule="exact"/>
        <w:ind w:left="0" w:leftChars="0"/>
        <w:textAlignment w:val="auto"/>
        <w:rPr>
          <w:rFonts w:hint="eastAsia" w:ascii="Times New Roman" w:hAnsi="Times New Roman" w:eastAsia="黑体" w:cs="Times New Roman"/>
          <w:highlight w:val="none"/>
          <w:lang w:val="en-US" w:eastAsia="zh-CN"/>
        </w:rPr>
      </w:pPr>
      <w:r>
        <w:br w:type="page"/>
      </w:r>
      <w:r>
        <w:rPr>
          <w:rFonts w:hint="default" w:ascii="Times New Roman" w:hAnsi="Times New Roman" w:eastAsia="黑体" w:cs="Times New Roman"/>
          <w:highlight w:val="none"/>
        </w:rPr>
        <w:t>附件</w:t>
      </w:r>
      <w:r>
        <w:rPr>
          <w:rFonts w:hint="eastAsia" w:ascii="Times New Roman" w:hAnsi="Times New Roman" w:eastAsia="黑体" w:cs="Times New Roman"/>
          <w:highlight w:val="none"/>
          <w:lang w:val="en-US" w:eastAsia="zh-CN"/>
        </w:rPr>
        <w:t>2</w:t>
      </w:r>
    </w:p>
    <w:p>
      <w:pPr>
        <w:pStyle w:val="140"/>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0"/>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壤塘县</w:t>
      </w:r>
      <w:r>
        <w:rPr>
          <w:rFonts w:hint="eastAsia" w:ascii="Times New Roman" w:hAnsi="Times New Roman" w:eastAsia="方正小标宋简体" w:cs="Times New Roman"/>
          <w:color w:val="auto"/>
          <w:kern w:val="2"/>
          <w:sz w:val="44"/>
          <w:szCs w:val="44"/>
          <w:highlight w:val="none"/>
          <w:lang w:val="en-US" w:eastAsia="zh-CN"/>
        </w:rPr>
        <w:t>卫生健康局</w:t>
      </w:r>
      <w:r>
        <w:rPr>
          <w:rFonts w:hint="default" w:ascii="Times New Roman" w:hAnsi="Times New Roman" w:eastAsia="方正小标宋简体" w:cs="Times New Roman"/>
          <w:color w:val="auto"/>
          <w:kern w:val="2"/>
          <w:sz w:val="44"/>
          <w:szCs w:val="44"/>
          <w:highlight w:val="none"/>
          <w:lang w:val="en-US" w:eastAsia="zh-CN"/>
        </w:rPr>
        <w:t>2025年</w:t>
      </w:r>
      <w:r>
        <w:rPr>
          <w:rFonts w:hint="eastAsia" w:ascii="Times New Roman" w:hAnsi="Times New Roman" w:eastAsia="方正小标宋简体" w:cs="Times New Roman"/>
          <w:color w:val="auto"/>
          <w:kern w:val="2"/>
          <w:sz w:val="44"/>
          <w:szCs w:val="44"/>
          <w:highlight w:val="none"/>
          <w:lang w:val="en-US" w:eastAsia="zh-CN"/>
        </w:rPr>
        <w:t>基本公共卫生补助</w:t>
      </w:r>
      <w:r>
        <w:rPr>
          <w:rFonts w:hint="default" w:ascii="Times New Roman" w:hAnsi="Times New Roman" w:eastAsia="方正小标宋简体" w:cs="Times New Roman"/>
          <w:color w:val="auto"/>
          <w:kern w:val="2"/>
          <w:sz w:val="44"/>
          <w:szCs w:val="44"/>
          <w:highlight w:val="none"/>
          <w:lang w:val="en-US" w:eastAsia="zh-CN"/>
        </w:rPr>
        <w:t>预算绩效自评报告</w:t>
      </w:r>
    </w:p>
    <w:p>
      <w:pPr>
        <w:pStyle w:val="140"/>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highlight w:val="none"/>
          <w:lang w:val="zh-CN"/>
        </w:rPr>
      </w:pP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eastAsia" w:ascii="仿宋_GB2312" w:hAnsi="仿宋_GB2312" w:eastAsia="仿宋_GB2312" w:cs="仿宋_GB2312"/>
          <w:sz w:val="32"/>
          <w:szCs w:val="32"/>
        </w:rPr>
        <w:t>根据《国家基本公共卫生服务规范(第三版)》的要求，结合深化医药卫生体制改革实际情况，进一步提升全县基本公共卫生服务水平，提高广大群众的受益面和受益水平，确保基本公共卫生服务各项工作有序、有效开展</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仿宋_GB2312" w:hAnsi="仿宋_GB2312" w:eastAsia="仿宋_GB2312" w:cs="仿宋_GB2312"/>
          <w:sz w:val="32"/>
          <w:szCs w:val="32"/>
        </w:rPr>
        <w:t>基本公共卫生服务项目在全县得到普及;</w:t>
      </w:r>
      <w:r>
        <w:rPr>
          <w:rFonts w:hint="eastAsia" w:ascii="仿宋_GB2312" w:hAnsi="仿宋_GB2312" w:cs="仿宋_GB2312"/>
          <w:sz w:val="32"/>
          <w:szCs w:val="32"/>
          <w:lang w:eastAsia="zh-CN"/>
        </w:rPr>
        <w:t>全县</w:t>
      </w:r>
      <w:r>
        <w:rPr>
          <w:rFonts w:hint="eastAsia" w:ascii="仿宋_GB2312" w:hAnsi="仿宋_GB2312" w:eastAsia="仿宋_GB2312" w:cs="仿宋_GB2312"/>
          <w:sz w:val="32"/>
          <w:szCs w:val="32"/>
        </w:rPr>
        <w:t>基本公共卫生服务水平和城乡居民受益度、受益面进一步提升</w:t>
      </w:r>
      <w:r>
        <w:rPr>
          <w:rFonts w:hint="eastAsia" w:ascii="仿宋_GB2312" w:hAnsi="仿宋_GB2312" w:cs="仿宋_GB2312"/>
          <w:sz w:val="32"/>
          <w:szCs w:val="32"/>
          <w:lang w:eastAsia="zh-CN"/>
        </w:rPr>
        <w:t>。</w:t>
      </w:r>
    </w:p>
    <w:p>
      <w:pPr>
        <w:snapToGrid w:val="0"/>
        <w:spacing w:line="600" w:lineRule="exact"/>
        <w:ind w:firstLine="660"/>
        <w:rPr>
          <w:rFonts w:hint="default" w:ascii="Times New Roman" w:hAnsi="Times New Roman" w:cs="Times New Roman"/>
          <w:color w:val="auto"/>
          <w:kern w:val="0"/>
          <w:sz w:val="32"/>
          <w:szCs w:val="32"/>
          <w:highlight w:val="none"/>
          <w:u w:val="none"/>
          <w:shd w:val="clear" w:color="auto" w:fill="FFFFFF"/>
          <w:lang w:val="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eastAsia" w:ascii="仿宋_GB2312" w:hAnsi="仿宋_GB2312" w:eastAsia="仿宋_GB2312" w:cs="仿宋_GB2312"/>
          <w:sz w:val="32"/>
          <w:szCs w:val="32"/>
          <w:lang w:val="en-US" w:eastAsia="zh-CN"/>
        </w:rPr>
        <w:t>县级配套资金用于均等化指导中心公用经费、公车运行、人员经费等费用，及用于各项目实施单位缺口资金。</w:t>
      </w:r>
    </w:p>
    <w:p>
      <w:pPr>
        <w:keepNext w:val="0"/>
        <w:keepLines w:val="0"/>
        <w:pageBreakBefore w:val="0"/>
        <w:widowControl w:val="0"/>
        <w:kinsoku/>
        <w:wordWrap/>
        <w:overflowPunct/>
        <w:topLinePunct w:val="0"/>
        <w:autoSpaceDE/>
        <w:autoSpaceDN/>
        <w:bidi w:val="0"/>
        <w:adjustRightInd w:val="0"/>
        <w:snapToGrid w:val="0"/>
        <w:spacing w:line="578" w:lineRule="exact"/>
        <w:ind w:firstLine="642" w:firstLineChars="200"/>
        <w:textAlignment w:val="auto"/>
        <w:outlineLvl w:val="9"/>
        <w:rPr>
          <w:rFonts w:hint="eastAsia" w:ascii="仿宋_GB2312" w:hAnsi="仿宋_GB2312" w:eastAsia="仿宋_GB2312" w:cs="仿宋_GB2312"/>
          <w:b w:val="0"/>
          <w:bCs/>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r>
        <w:rPr>
          <w:rFonts w:hint="eastAsia" w:ascii="仿宋_GB2312" w:hAnsi="仿宋_GB2312" w:eastAsia="仿宋_GB2312" w:cs="仿宋_GB2312"/>
          <w:b w:val="0"/>
          <w:bCs/>
          <w:color w:val="auto"/>
          <w:sz w:val="32"/>
          <w:szCs w:val="32"/>
          <w:highlight w:val="none"/>
          <w:u w:val="none"/>
          <w:lang w:val="zh-CN" w:eastAsia="zh-CN"/>
        </w:rPr>
        <w:t>整体绩效目标：严格遵循《国家基本公共卫生服务规范 (第三版)》要求，全面提升县域基本公共卫生服务水平，扩大群众受益面，保障项目各项工作有序落地。</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b w:val="0"/>
          <w:bCs/>
          <w:color w:val="auto"/>
          <w:sz w:val="32"/>
          <w:szCs w:val="32"/>
          <w:highlight w:val="none"/>
          <w:u w:val="none"/>
          <w:lang w:val="zh-CN" w:eastAsia="zh-CN"/>
        </w:rPr>
      </w:pPr>
      <w:r>
        <w:rPr>
          <w:rFonts w:hint="eastAsia" w:ascii="仿宋_GB2312" w:hAnsi="仿宋_GB2312" w:eastAsia="仿宋_GB2312" w:cs="仿宋_GB2312"/>
          <w:b w:val="0"/>
          <w:bCs/>
          <w:color w:val="auto"/>
          <w:sz w:val="32"/>
          <w:szCs w:val="32"/>
          <w:highlight w:val="none"/>
          <w:u w:val="none"/>
          <w:lang w:val="zh-CN" w:eastAsia="zh-CN"/>
        </w:rPr>
        <w:t>区域绩效目标：以壤塘县全域为实施范围，推动城乡基本公共卫生服务均等化，持续缩小城乡服务差距，实现服务全覆盖，夯实基层公共卫生服务基础。</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b w:val="0"/>
          <w:bCs/>
          <w:color w:val="auto"/>
          <w:sz w:val="32"/>
          <w:szCs w:val="32"/>
          <w:highlight w:val="none"/>
          <w:u w:val="none"/>
          <w:lang w:val="zh-CN" w:eastAsia="zh-CN"/>
        </w:rPr>
      </w:pPr>
      <w:r>
        <w:rPr>
          <w:rFonts w:hint="eastAsia" w:ascii="仿宋_GB2312" w:hAnsi="仿宋_GB2312" w:eastAsia="仿宋_GB2312" w:cs="仿宋_GB2312"/>
          <w:b w:val="0"/>
          <w:bCs/>
          <w:color w:val="auto"/>
          <w:sz w:val="32"/>
          <w:szCs w:val="32"/>
          <w:highlight w:val="none"/>
          <w:u w:val="none"/>
          <w:lang w:val="zh-CN" w:eastAsia="zh-CN"/>
        </w:rPr>
        <w:t>具体绩效目标：设置4大类可量化、可考核指标，总分100 分：</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b w:val="0"/>
          <w:bCs/>
          <w:color w:val="auto"/>
          <w:sz w:val="32"/>
          <w:szCs w:val="32"/>
          <w:highlight w:val="none"/>
          <w:u w:val="none"/>
          <w:lang w:val="zh-CN" w:eastAsia="zh-CN"/>
        </w:rPr>
      </w:pPr>
      <w:r>
        <w:rPr>
          <w:rFonts w:hint="eastAsia" w:ascii="仿宋_GB2312" w:hAnsi="仿宋_GB2312" w:eastAsia="仿宋_GB2312" w:cs="仿宋_GB2312"/>
          <w:b w:val="0"/>
          <w:bCs/>
          <w:color w:val="auto"/>
          <w:sz w:val="32"/>
          <w:szCs w:val="32"/>
          <w:highlight w:val="none"/>
          <w:u w:val="none"/>
          <w:lang w:val="zh-CN" w:eastAsia="zh-CN"/>
        </w:rPr>
        <w:t>产出指标（50分）：完成≥1 次业务培训、≥2 次工作督导、≥2 次绩效考核，全部工作于 2025 年 12 月 31 日前完成；</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b w:val="0"/>
          <w:bCs/>
          <w:color w:val="auto"/>
          <w:sz w:val="32"/>
          <w:szCs w:val="32"/>
          <w:highlight w:val="none"/>
          <w:u w:val="none"/>
          <w:lang w:val="zh-CN" w:eastAsia="zh-CN"/>
        </w:rPr>
      </w:pPr>
      <w:r>
        <w:rPr>
          <w:rFonts w:hint="eastAsia" w:ascii="仿宋_GB2312" w:hAnsi="仿宋_GB2312" w:eastAsia="仿宋_GB2312" w:cs="仿宋_GB2312"/>
          <w:b w:val="0"/>
          <w:bCs/>
          <w:color w:val="auto"/>
          <w:sz w:val="32"/>
          <w:szCs w:val="32"/>
          <w:highlight w:val="none"/>
          <w:u w:val="none"/>
          <w:lang w:val="zh-CN" w:eastAsia="zh-CN"/>
        </w:rPr>
        <w:t>效益指标（30 分）：持续缩小城乡公共卫生服务差距，稳步提升县域基本公共卫生服务水平；</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b w:val="0"/>
          <w:bCs/>
          <w:color w:val="auto"/>
          <w:sz w:val="32"/>
          <w:szCs w:val="32"/>
          <w:highlight w:val="none"/>
          <w:u w:val="none"/>
          <w:lang w:val="zh-CN" w:eastAsia="zh-CN"/>
        </w:rPr>
      </w:pPr>
      <w:r>
        <w:rPr>
          <w:rFonts w:hint="eastAsia" w:ascii="仿宋_GB2312" w:hAnsi="仿宋_GB2312" w:eastAsia="仿宋_GB2312" w:cs="仿宋_GB2312"/>
          <w:b w:val="0"/>
          <w:bCs/>
          <w:color w:val="auto"/>
          <w:sz w:val="32"/>
          <w:szCs w:val="32"/>
          <w:highlight w:val="none"/>
          <w:u w:val="none"/>
          <w:lang w:val="zh-CN" w:eastAsia="zh-CN"/>
        </w:rPr>
        <w:t>满意度指标（10 分）：持续提升受益群众服务满意度；</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b w:val="0"/>
          <w:bCs/>
          <w:color w:val="auto"/>
          <w:sz w:val="32"/>
          <w:szCs w:val="32"/>
          <w:highlight w:val="none"/>
          <w:u w:val="none"/>
          <w:lang w:val="zh-CN" w:eastAsia="zh-CN"/>
        </w:rPr>
      </w:pPr>
      <w:r>
        <w:rPr>
          <w:rFonts w:hint="eastAsia" w:ascii="仿宋_GB2312" w:hAnsi="仿宋_GB2312" w:eastAsia="仿宋_GB2312" w:cs="仿宋_GB2312"/>
          <w:b w:val="0"/>
          <w:bCs/>
          <w:color w:val="auto"/>
          <w:sz w:val="32"/>
          <w:szCs w:val="32"/>
          <w:highlight w:val="none"/>
          <w:u w:val="none"/>
          <w:lang w:val="zh-CN" w:eastAsia="zh-CN"/>
        </w:rPr>
        <w:t>预算执行率（10 分）：财政资金按预算规范执行、专款专用。</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pPr>
        <w:numPr>
          <w:ilvl w:val="0"/>
          <w:numId w:val="0"/>
        </w:numPr>
        <w:adjustRightInd w:val="0"/>
        <w:snapToGrid w:val="0"/>
        <w:spacing w:line="560" w:lineRule="exact"/>
        <w:ind w:firstLine="642" w:firstLineChars="200"/>
        <w:rPr>
          <w:rFonts w:hint="default" w:ascii="Times New Roman" w:hAnsi="Times New Roman" w:eastAsia="仿宋_GB2312" w:cs="Times New Roman"/>
          <w:szCs w:val="32"/>
        </w:rPr>
      </w:pPr>
      <w:r>
        <w:rPr>
          <w:rFonts w:hint="default" w:ascii="Times New Roman" w:hAnsi="Times New Roman" w:eastAsia="楷体_GB2312" w:cs="Times New Roman"/>
          <w:b/>
          <w:color w:val="auto"/>
          <w:sz w:val="32"/>
          <w:szCs w:val="32"/>
          <w:highlight w:val="none"/>
          <w:u w:val="none"/>
          <w:lang w:val="zh-CN"/>
        </w:rPr>
        <w:t>（一）评价目的。</w:t>
      </w:r>
      <w:r>
        <w:rPr>
          <w:rFonts w:hint="eastAsia" w:ascii="仿宋_GB2312" w:hAnsi="仿宋_GB2312" w:cs="仿宋_GB2312"/>
          <w:sz w:val="32"/>
          <w:szCs w:val="32"/>
          <w:lang w:eastAsia="zh-CN"/>
        </w:rPr>
        <w:t>通过此次绩效自评，整体评估我县国家基公卫项目实施情况，发现问题，及时整改，</w:t>
      </w:r>
      <w:r>
        <w:rPr>
          <w:rFonts w:hint="eastAsia" w:ascii="仿宋_GB2312" w:hAnsi="仿宋_GB2312" w:eastAsia="仿宋_GB2312" w:cs="仿宋_GB2312"/>
          <w:sz w:val="32"/>
          <w:szCs w:val="32"/>
        </w:rPr>
        <w:t>进一步提升全县基本公共卫生服务水平，提高广大群众的受益面和受益水平，确保基本公共卫生服务各项工作有序、有效开展</w:t>
      </w:r>
      <w:r>
        <w:rPr>
          <w:rFonts w:hint="eastAsia" w:ascii="仿宋_GB2312" w:hAnsi="仿宋_GB2312" w:cs="仿宋_GB2312"/>
          <w:sz w:val="32"/>
          <w:szCs w:val="32"/>
          <w:lang w:val="en-US" w:eastAsia="zh-CN"/>
        </w:rPr>
        <w:t>12项基公卫</w:t>
      </w:r>
      <w:r>
        <w:rPr>
          <w:rFonts w:hint="eastAsia" w:ascii="仿宋_GB2312" w:hAnsi="仿宋_GB2312" w:eastAsia="仿宋_GB2312" w:cs="仿宋_GB2312"/>
          <w:sz w:val="32"/>
          <w:szCs w:val="32"/>
          <w:lang w:eastAsia="zh-CN"/>
        </w:rPr>
        <w:t>内容</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default" w:ascii="Times New Roman" w:hAnsi="Times New Roman" w:cs="Times New Roman"/>
          <w:szCs w:val="32"/>
          <w:lang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eastAsia" w:ascii="仿宋_GB2312" w:hAnsi="仿宋_GB2312" w:eastAsia="仿宋_GB2312" w:cs="仿宋_GB2312"/>
          <w:b w:val="0"/>
          <w:bCs/>
          <w:color w:val="auto"/>
          <w:sz w:val="32"/>
          <w:szCs w:val="32"/>
          <w:highlight w:val="none"/>
          <w:u w:val="none"/>
          <w:lang w:val="en-US" w:eastAsia="zh-CN"/>
        </w:rPr>
        <w:t>202</w:t>
      </w:r>
      <w:r>
        <w:rPr>
          <w:rFonts w:hint="eastAsia" w:ascii="仿宋_GB2312" w:hAnsi="仿宋_GB2312" w:cs="仿宋_GB2312"/>
          <w:b w:val="0"/>
          <w:bCs/>
          <w:color w:val="auto"/>
          <w:sz w:val="32"/>
          <w:szCs w:val="32"/>
          <w:highlight w:val="none"/>
          <w:u w:val="none"/>
          <w:lang w:val="en-US" w:eastAsia="zh-CN"/>
        </w:rPr>
        <w:t>5年我县基公卫县级配套年初预算资金31.185万元，调整后资金到位29.56万元，资金拨付</w:t>
      </w:r>
      <w:r>
        <w:rPr>
          <w:rFonts w:hint="eastAsia" w:ascii="仿宋_GB2312" w:hAnsi="仿宋_GB2312" w:cs="仿宋_GB2312"/>
          <w:b w:val="0"/>
          <w:bCs/>
          <w:color w:val="FF0000"/>
          <w:sz w:val="32"/>
          <w:szCs w:val="32"/>
          <w:highlight w:val="none"/>
          <w:u w:val="none"/>
          <w:lang w:val="en-US" w:eastAsia="zh-CN"/>
        </w:rPr>
        <w:t>100%</w:t>
      </w:r>
      <w:r>
        <w:rPr>
          <w:rFonts w:hint="eastAsia" w:ascii="仿宋_GB2312" w:hAnsi="仿宋_GB2312" w:cs="仿宋_GB2312"/>
          <w:b w:val="0"/>
          <w:bCs/>
          <w:color w:val="auto"/>
          <w:sz w:val="32"/>
          <w:szCs w:val="32"/>
          <w:highlight w:val="none"/>
          <w:u w:val="none"/>
          <w:lang w:val="en-US" w:eastAsia="zh-CN"/>
        </w:rPr>
        <w:t>，健康档案建档率99%，老年人健康体检率100%，重点人群管理率80%，肺结核病患者管理率90%，中医药管理率81%</w:t>
      </w:r>
      <w:r>
        <w:rPr>
          <w:rFonts w:hint="eastAsia" w:cs="Times New Roman"/>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default" w:ascii="Times New Roman" w:hAnsi="Times New Roman" w:cs="Times New Roman"/>
          <w:szCs w:val="32"/>
          <w:lang w:val="en-US" w:eastAsia="zh-CN"/>
        </w:rPr>
      </w:pPr>
      <w:r>
        <w:rPr>
          <w:rFonts w:hint="default" w:ascii="Times New Roman" w:hAnsi="Times New Roman" w:eastAsia="楷体_GB2312" w:cs="Times New Roman"/>
          <w:b/>
          <w:color w:val="auto"/>
          <w:sz w:val="32"/>
          <w:szCs w:val="32"/>
          <w:highlight w:val="none"/>
          <w:u w:val="none"/>
          <w:lang w:val="zh-CN"/>
        </w:rPr>
        <w:t>（三）评价选点。</w:t>
      </w:r>
      <w:r>
        <w:rPr>
          <w:rFonts w:hint="eastAsia" w:ascii="仿宋_GB2312" w:hAnsi="仿宋_GB2312" w:eastAsia="仿宋_GB2312" w:cs="仿宋_GB2312"/>
          <w:b w:val="0"/>
          <w:bCs/>
          <w:color w:val="auto"/>
          <w:sz w:val="32"/>
          <w:szCs w:val="32"/>
          <w:highlight w:val="none"/>
          <w:u w:val="none"/>
          <w:lang w:val="zh-CN"/>
        </w:rPr>
        <w:t>卫健局</w:t>
      </w:r>
      <w:r>
        <w:rPr>
          <w:rFonts w:hint="eastAsia" w:ascii="仿宋_GB2312" w:hAnsi="仿宋_GB2312" w:cs="仿宋_GB2312"/>
          <w:b w:val="0"/>
          <w:bCs/>
          <w:color w:val="auto"/>
          <w:sz w:val="32"/>
          <w:szCs w:val="32"/>
          <w:highlight w:val="none"/>
          <w:u w:val="none"/>
          <w:lang w:val="zh-CN"/>
        </w:rPr>
        <w:t>及</w:t>
      </w:r>
      <w:r>
        <w:rPr>
          <w:rFonts w:hint="eastAsia" w:cs="Times New Roman"/>
          <w:szCs w:val="32"/>
          <w:lang w:val="zh-CN" w:eastAsia="zh-CN"/>
        </w:rPr>
        <w:t>全县</w:t>
      </w:r>
      <w:r>
        <w:rPr>
          <w:rFonts w:hint="eastAsia" w:cs="Times New Roman"/>
          <w:szCs w:val="32"/>
          <w:lang w:val="en-US" w:eastAsia="zh-CN"/>
        </w:rPr>
        <w:t>13所基层医疗机构均完成年度考核。</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eastAsia="仿宋_GB2312" w:cs="Times New Roman"/>
          <w:szCs w:val="32"/>
        </w:rPr>
      </w:pPr>
      <w:r>
        <w:rPr>
          <w:rFonts w:hint="default" w:ascii="Times New Roman" w:hAnsi="Times New Roman" w:eastAsia="楷体_GB2312" w:cs="Times New Roman"/>
          <w:b/>
          <w:color w:val="auto"/>
          <w:sz w:val="32"/>
          <w:szCs w:val="32"/>
          <w:highlight w:val="none"/>
          <w:u w:val="none"/>
          <w:lang w:val="zh-CN"/>
        </w:rPr>
        <w:t>（四）评价方法。</w:t>
      </w:r>
      <w:r>
        <w:rPr>
          <w:rFonts w:hint="eastAsia" w:eastAsia="仿宋_GB2312" w:cs="Times New Roman"/>
          <w:szCs w:val="32"/>
        </w:rPr>
        <w:t>根据项目情况和评价重点，</w:t>
      </w:r>
      <w:r>
        <w:rPr>
          <w:rFonts w:hint="eastAsia" w:cs="Times New Roman"/>
          <w:szCs w:val="32"/>
          <w:lang w:eastAsia="zh-CN"/>
        </w:rPr>
        <w:t>我局组织县妇保院、县疾控等均等化指导中心成员单位及项目管理人员对</w:t>
      </w:r>
      <w:r>
        <w:rPr>
          <w:rFonts w:hint="eastAsia" w:cs="Times New Roman"/>
          <w:szCs w:val="32"/>
          <w:lang w:val="en-US" w:eastAsia="zh-CN"/>
        </w:rPr>
        <w:t>2025年国家基公卫工作实施单位进行项目评价</w:t>
      </w:r>
      <w:r>
        <w:rPr>
          <w:rFonts w:hint="eastAsia" w:eastAsia="仿宋_GB2312" w:cs="Times New Roman"/>
          <w:szCs w:val="32"/>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Cs/>
          <w:lang w:eastAsia="zh-CN"/>
        </w:rPr>
      </w:pPr>
      <w:r>
        <w:rPr>
          <w:rFonts w:hint="default" w:ascii="Times New Roman" w:hAnsi="Times New Roman" w:eastAsia="楷体_GB2312" w:cs="Times New Roman"/>
          <w:b/>
          <w:color w:val="auto"/>
          <w:sz w:val="32"/>
          <w:szCs w:val="32"/>
          <w:highlight w:val="none"/>
          <w:u w:val="none"/>
          <w:lang w:val="zh-CN"/>
        </w:rPr>
        <w:t>（五）评价组织。</w:t>
      </w:r>
      <w:r>
        <w:rPr>
          <w:rFonts w:hint="eastAsia" w:cs="Times New Roman"/>
          <w:szCs w:val="32"/>
          <w:lang w:eastAsia="zh-CN"/>
        </w:rPr>
        <w:t>由县均等化指导中心成员单位组成，按照成员单位职能职责落实</w:t>
      </w:r>
      <w:r>
        <w:rPr>
          <w:rFonts w:hint="default" w:ascii="Times New Roman" w:hAnsi="Times New Roman" w:cs="Times New Roman"/>
          <w:szCs w:val="32"/>
          <w:lang w:eastAsia="zh-CN"/>
        </w:rPr>
        <w:t>。</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Cs w:val="32"/>
          <w:lang w:val="en-US" w:eastAsia="zh-CN"/>
        </w:rPr>
      </w:pPr>
      <w:r>
        <w:rPr>
          <w:rFonts w:hint="default" w:ascii="Times New Roman" w:hAnsi="Times New Roman" w:eastAsia="仿宋_GB2312" w:cs="Times New Roman"/>
          <w:szCs w:val="32"/>
          <w:lang w:val="zh-CN" w:eastAsia="zh-CN"/>
        </w:rPr>
        <w:t>根据项目预算绩效评价指标体系“通用指标”“专用指标”“个性指标”涉及二、三级指标进行逐项绩效分析并评分</w:t>
      </w:r>
      <w:r>
        <w:rPr>
          <w:rFonts w:hint="default" w:ascii="Times New Roman" w:hAnsi="Times New Roman" w:cs="Times New Roman"/>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_GB2312" w:hAnsi="仿宋_GB2312" w:eastAsia="仿宋_GB2312" w:cs="仿宋_GB2312"/>
          <w:color w:val="auto"/>
          <w:szCs w:val="32"/>
          <w:lang w:eastAsia="zh-CN"/>
        </w:rPr>
      </w:pPr>
      <w:r>
        <w:rPr>
          <w:rFonts w:hint="default" w:ascii="Times New Roman" w:hAnsi="Times New Roman" w:eastAsia="楷体_GB2312" w:cs="Times New Roman"/>
          <w:color w:val="auto"/>
          <w:szCs w:val="32"/>
          <w:lang w:val="en-US" w:eastAsia="zh-CN"/>
        </w:rPr>
        <w:t>1.</w:t>
      </w:r>
      <w:r>
        <w:rPr>
          <w:rFonts w:hint="default" w:ascii="Times New Roman" w:hAnsi="Times New Roman" w:eastAsia="楷体_GB2312" w:cs="Times New Roman"/>
          <w:color w:val="auto"/>
          <w:szCs w:val="32"/>
          <w:lang w:eastAsia="zh-CN"/>
        </w:rPr>
        <w:t>项目决策。</w:t>
      </w:r>
      <w:r>
        <w:rPr>
          <w:rFonts w:hint="eastAsia" w:ascii="仿宋_GB2312" w:hAnsi="仿宋_GB2312" w:eastAsia="仿宋_GB2312" w:cs="仿宋_GB2312"/>
          <w:color w:val="auto"/>
          <w:szCs w:val="32"/>
          <w:lang w:eastAsia="zh-CN"/>
        </w:rPr>
        <w:t>决策程序上广纳民意，精准对接需求。规划论证中契合地理、人口、经济能高效开展。资金投向合理精准，助力项目各环节落实，全面提升项目绩效。</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楷体_GB2312" w:cs="Times New Roman"/>
          <w:color w:val="auto"/>
          <w:szCs w:val="32"/>
          <w:lang w:val="en-US" w:eastAsia="zh-CN"/>
        </w:rPr>
        <w:t>2.</w:t>
      </w:r>
      <w:r>
        <w:rPr>
          <w:rFonts w:hint="default" w:ascii="Times New Roman" w:hAnsi="Times New Roman" w:eastAsia="楷体_GB2312" w:cs="Times New Roman"/>
          <w:color w:val="auto"/>
          <w:szCs w:val="32"/>
          <w:lang w:eastAsia="zh-CN"/>
        </w:rPr>
        <w:t>项目管理。</w:t>
      </w:r>
      <w:r>
        <w:rPr>
          <w:rFonts w:hint="eastAsia" w:ascii="仿宋_GB2312" w:hAnsi="仿宋_GB2312" w:eastAsia="仿宋_GB2312" w:cs="仿宋_GB2312"/>
          <w:color w:val="auto"/>
          <w:szCs w:val="32"/>
          <w:lang w:eastAsia="zh-CN"/>
        </w:rPr>
        <w:t>制定完善且贴合实际的制度办法，规范流程、明确职责。科学分配提升使用效率。绩效监管保障项目按质推进。</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3.项目实施。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lang w:val="en-US" w:eastAsia="zh-CN"/>
        </w:rPr>
        <w:t>执行进度达标：项目年度预算总额 31.185 万元，全部为县级财政拨款，年度内预算执行率 100%，无预算结余、无超预算支出，预算执行进度与项目实施进度完全匹配，无资金沉淀、执行滞后问题。</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lang w:val="en-US" w:eastAsia="zh-CN"/>
        </w:rPr>
        <w:t>执行合规性强：严格按照预算批复的用途、范围执行，无擅自调整预算、超范围支出情况，预算调整全程履行规范审批流程，完全符合财政预算管理要求。</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lang w:val="en-US" w:eastAsia="zh-CN"/>
        </w:rPr>
        <w:t>执行精准度高：预算资金优先保障培训、督导、考核等核心业务支出，投向与项目绩效目标高度契合，无低效、无效支出，预算资源配置精准匹配项目核心需求。</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lang w:val="en-US" w:eastAsia="zh-CN"/>
        </w:rPr>
        <w:t>使用合规规范：资金使用严格执行国库集中支付、财务审批制度，全程专款专用，无挤占、挪用、截留、滞留资金的情况，所有支出均有完整财务凭证与审批流程，符合财政资金使用管理规定。</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lang w:val="en-US" w:eastAsia="zh-CN"/>
        </w:rPr>
        <w:t>支出结构合理：资金严格限定在项目批复的基本公共卫生服务相关工作范围，主要用于业务培训、工作督导、绩效考核等核心业务支出，无违规开支、铺张浪费情况，支出结构与项目核心任务高度匹配。</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hAnsi="仿宋_GB2312" w:eastAsia="仿宋_GB2312" w:cs="仿宋_GB2312"/>
          <w:color w:val="auto"/>
          <w:szCs w:val="32"/>
          <w:lang w:eastAsia="zh-CN"/>
        </w:rPr>
      </w:pPr>
      <w:r>
        <w:rPr>
          <w:rFonts w:hint="eastAsia" w:ascii="仿宋_GB2312" w:hAnsi="仿宋_GB2312" w:eastAsia="仿宋_GB2312" w:cs="仿宋_GB2312"/>
          <w:color w:val="auto"/>
          <w:szCs w:val="32"/>
          <w:lang w:val="en-US" w:eastAsia="zh-CN"/>
        </w:rPr>
        <w:t>资金效益充分：资金投放精准对应项目核心工作，每一笔支出均支撑具体任务落地，实现了财政资金使用效益最大化，为项目绩效目标全面完成提供了坚实的资金保障。</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4.项目结果。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lang w:val="en-US" w:eastAsia="zh-CN"/>
        </w:rPr>
        <w:t>产出目标全面完成：年初设定的产出指标全部达标，年度内完成业务培训 1 次、工作督导 2 次、绩效考核 2 次，均达到年度指标值要求，项目核心业务工作无遗漏、无缺项，100% 按要求落地。</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lang w:val="en-US" w:eastAsia="zh-CN"/>
        </w:rPr>
        <w:t>效益目标有效达成：项目实施后，壤塘县城乡居民基本公共卫生服务差距持续缩小，基层公共卫生服务能力稳步提升，县域基本公共卫生服务体系持续完善，社会效益与可持续影响目标全面实现。</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lang w:val="en-US" w:eastAsia="zh-CN"/>
        </w:rPr>
        <w:t>满意度目标稳步提升：通过项目实施，基本公共卫生服务质量持续优化，受益群众对服务的认可度、满意度稳步提升，顺利达成年度满意度目标。</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lang w:val="en-US" w:eastAsia="zh-CN"/>
        </w:rPr>
        <w:t>管理目标全面落实：项目预算资金执行率 100%，资金使用规范合规，项目管理全程闭环，各项管理类目标全部落实到位。</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lang w:val="en-US" w:eastAsia="zh-CN"/>
        </w:rPr>
        <w:t>整体时效完全达标：项目全部工作任务均在 2025 年 12 月 31 日前完成，严格按照年度计划节点推进，无逾期完成、跨年实施的情况，整体完成时效完全符合年度项目管理要求。</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lang w:val="en-US" w:eastAsia="zh-CN"/>
        </w:rPr>
        <w:t>节点管控全程到位：项目实施过程中，对培训、督导、考核等核心工作设置了明确的时间节点，各项工作按计划有序推进，核心工作节点完成率 100%，无工作滞后、延期的情况。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hAnsi="仿宋_GB2312" w:eastAsia="仿宋_GB2312" w:cs="仿宋_GB2312"/>
          <w:color w:val="auto"/>
          <w:szCs w:val="32"/>
          <w:lang w:eastAsia="zh-CN"/>
        </w:rPr>
      </w:pPr>
      <w:r>
        <w:rPr>
          <w:rFonts w:hint="eastAsia" w:ascii="仿宋_GB2312" w:hAnsi="仿宋_GB2312" w:eastAsia="仿宋_GB2312" w:cs="仿宋_GB2312"/>
          <w:color w:val="auto"/>
          <w:szCs w:val="32"/>
          <w:lang w:val="en-US" w:eastAsia="zh-CN"/>
        </w:rPr>
        <w:t>时效管理规范有序：建立了项目进度定期跟踪机制，按月度核查工作进度与资金执行进度，及时纠正进度偏差，确保项目全流程按时间节点高效推进，时效管理全程规范、可控。</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楷体_GB2312" w:cs="Times New Roman"/>
          <w:color w:val="auto"/>
          <w:szCs w:val="32"/>
          <w:lang w:val="zh-CN" w:eastAsia="zh-CN"/>
        </w:rPr>
        <w:t>民生保障</w:t>
      </w:r>
      <w:r>
        <w:rPr>
          <w:rFonts w:hint="default" w:ascii="Times New Roman" w:hAnsi="Times New Roman" w:eastAsia="楷体_GB2312" w:cs="Times New Roman"/>
          <w:color w:val="auto"/>
          <w:szCs w:val="32"/>
          <w:lang w:val="en-US" w:eastAsia="zh-CN"/>
        </w:rPr>
        <w:t>类</w:t>
      </w:r>
      <w:r>
        <w:rPr>
          <w:rFonts w:hint="default" w:ascii="Times New Roman" w:hAnsi="Times New Roman" w:eastAsia="楷体_GB2312" w:cs="Times New Roman"/>
          <w:color w:val="auto"/>
          <w:szCs w:val="32"/>
          <w:lang w:val="zh-CN" w:eastAsia="zh-CN"/>
        </w:rPr>
        <w:t>。</w:t>
      </w:r>
      <w:r>
        <w:rPr>
          <w:rFonts w:hint="eastAsia" w:cs="Times New Roman"/>
          <w:szCs w:val="32"/>
          <w:lang w:val="zh-CN" w:eastAsia="zh-CN"/>
        </w:rPr>
        <w:t>免费为群众提供国家基公卫服务，提升群众健康水平，减少群众外出就医，从而减轻群众就医负担。</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eastAsia" w:cs="Times New Roman"/>
          <w:color w:val="auto"/>
          <w:szCs w:val="32"/>
          <w:lang w:val="en-US" w:eastAsia="zh-CN"/>
        </w:rPr>
        <w:t>12项国家基公卫目标完成率100%</w:t>
      </w:r>
      <w:r>
        <w:rPr>
          <w:rFonts w:hint="default" w:ascii="Times New Roman" w:hAnsi="Times New Roman" w:cs="Times New Roman"/>
          <w:color w:val="auto"/>
          <w:szCs w:val="32"/>
          <w:lang w:val="zh-CN" w:eastAsia="zh-CN"/>
        </w:rPr>
        <w:t>。</w:t>
      </w:r>
    </w:p>
    <w:p>
      <w:pPr>
        <w:pStyle w:val="19"/>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pStyle w:val="19"/>
        <w:keepNext w:val="0"/>
        <w:keepLines w:val="0"/>
        <w:pageBreakBefore w:val="0"/>
        <w:widowControl w:val="0"/>
        <w:numPr>
          <w:ilvl w:val="0"/>
          <w:numId w:val="0"/>
        </w:numPr>
        <w:tabs>
          <w:tab w:val="left" w:pos="2160"/>
        </w:tabs>
        <w:kinsoku/>
        <w:wordWrap/>
        <w:overflowPunct/>
        <w:topLinePunct w:val="0"/>
        <w:autoSpaceDE/>
        <w:autoSpaceDN/>
        <w:bidi w:val="0"/>
        <w:adjustRightInd/>
        <w:snapToGrid w:val="0"/>
        <w:spacing w:line="560" w:lineRule="exact"/>
        <w:ind w:firstLine="64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2025年我县常住人口4.5万人，国家基本公共卫生服务项目12项内容我县扎实有效推进，截至2025年12月31日，我县此项目顺利开展完成，资金使用效果较好，群众健康得到有效保障。自评得分89分。</w:t>
      </w:r>
    </w:p>
    <w:p>
      <w:pPr>
        <w:pStyle w:val="19"/>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cs="Times New Roman"/>
          <w:color w:val="auto"/>
          <w:sz w:val="32"/>
          <w:szCs w:val="32"/>
          <w:highlight w:val="none"/>
          <w:u w:val="none"/>
          <w:lang w:eastAsia="zh-CN"/>
        </w:rPr>
        <w:t>五、</w:t>
      </w:r>
      <w:r>
        <w:rPr>
          <w:rFonts w:hint="default" w:ascii="Times New Roman" w:hAnsi="Times New Roman" w:eastAsia="黑体" w:cs="Times New Roman"/>
          <w:color w:val="auto"/>
          <w:sz w:val="32"/>
          <w:szCs w:val="32"/>
          <w:highlight w:val="none"/>
          <w:u w:val="none"/>
          <w:lang w:eastAsia="zh-CN"/>
        </w:rPr>
        <w:t>存在主要问题</w:t>
      </w:r>
    </w:p>
    <w:p>
      <w:pPr>
        <w:pStyle w:val="19"/>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Times New Roman" w:eastAsia="仿宋_GB2312" w:cs="Times New Roman"/>
          <w:b w:val="0"/>
          <w:bCs w:val="0"/>
          <w:kern w:val="0"/>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1.培训次数</w:t>
      </w:r>
    </w:p>
    <w:p>
      <w:pPr>
        <w:pStyle w:val="19"/>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Times New Roman" w:eastAsia="仿宋_GB2312" w:cs="Times New Roman"/>
          <w:b w:val="0"/>
          <w:bCs w:val="0"/>
          <w:kern w:val="0"/>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虽按要求完成年度培训，但培训过程管控、台账资料归档、人员签到及成效管理不够规范，精细化管理不到位，导致未得满分。</w:t>
      </w:r>
    </w:p>
    <w:p>
      <w:pPr>
        <w:pStyle w:val="19"/>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Times New Roman" w:eastAsia="仿宋_GB2312" w:cs="Times New Roman"/>
          <w:b w:val="0"/>
          <w:bCs w:val="0"/>
          <w:kern w:val="0"/>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2.城乡居民公共卫生服务差距</w:t>
      </w:r>
    </w:p>
    <w:p>
      <w:pPr>
        <w:pStyle w:val="19"/>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Times New Roman" w:eastAsia="仿宋_GB2312" w:cs="Times New Roman"/>
          <w:b w:val="0"/>
          <w:bCs w:val="0"/>
          <w:kern w:val="0"/>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未完成原因：城乡公共卫生资源配置不均衡，基层医疗卫生人才短缺、服务能力偏弱，农村地区服务供给薄弱，差距缩小成效未达预期。</w:t>
      </w:r>
    </w:p>
    <w:p>
      <w:pPr>
        <w:pStyle w:val="19"/>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Times New Roman" w:eastAsia="仿宋_GB2312" w:cs="Times New Roman"/>
          <w:b w:val="0"/>
          <w:bCs w:val="0"/>
          <w:kern w:val="0"/>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3.基本公共卫生服务水平</w:t>
      </w:r>
    </w:p>
    <w:p>
      <w:pPr>
        <w:pStyle w:val="19"/>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基层公共卫生服务规范化落实不到位，重点人群健康管理、家庭医生签约等服务质效有待提升，整体服务水平提升缓慢。</w:t>
      </w:r>
    </w:p>
    <w:p>
      <w:pPr>
        <w:pStyle w:val="19"/>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pPr>
        <w:pStyle w:val="19"/>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Times New Roman" w:eastAsia="仿宋_GB2312" w:cs="Times New Roman"/>
          <w:b w:val="0"/>
          <w:bCs w:val="0"/>
          <w:kern w:val="0"/>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1.培训次数：健全培训全流程管理制度，完善培训签到、课件、影像、总结等台账资料，强化参训人员管理，规范培训过程，提升培训管理质效。</w:t>
      </w:r>
    </w:p>
    <w:p>
      <w:pPr>
        <w:pStyle w:val="19"/>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Times New Roman" w:eastAsia="仿宋_GB2312" w:cs="Times New Roman"/>
          <w:b w:val="0"/>
          <w:bCs w:val="0"/>
          <w:kern w:val="0"/>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2.城乡居民公共卫生服务差距：推动优质医疗资源下沉，加强基层公卫人才队伍建设，优化城乡服务布局，补齐农村服务短板，持续缩小城乡服务差距。</w:t>
      </w:r>
    </w:p>
    <w:p>
      <w:pPr>
        <w:pStyle w:val="19"/>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3.基本公共卫生服务水平：强化基层业务督导考核，细化服务标准，开展业务技能培训，做实做细重点人群健康服务，稳步提升基本公共卫生服务整体水平。</w:t>
      </w:r>
    </w:p>
    <w:p/>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黑体" w:hAnsi="黑体" w:eastAsia="黑体" w:cs="黑体"/>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黑体" w:hAnsi="黑体" w:eastAsia="黑体" w:cs="黑体"/>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黑体" w:hAnsi="黑体" w:eastAsia="黑体" w:cs="黑体"/>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黑体" w:hAnsi="黑体" w:eastAsia="黑体" w:cs="黑体"/>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宋体" w:hAnsi="宋体" w:eastAsia="黑体"/>
          <w:b/>
          <w:szCs w:val="21"/>
          <w:lang w:val="en-US" w:eastAsia="zh-CN"/>
        </w:rPr>
      </w:pPr>
      <w:r>
        <w:rPr>
          <w:rFonts w:hint="eastAsia" w:ascii="黑体" w:hAnsi="黑体" w:eastAsia="黑体" w:cs="黑体"/>
          <w:sz w:val="44"/>
          <w:szCs w:val="44"/>
          <w:lang w:eastAsia="zh-CN"/>
        </w:rPr>
        <w:t>壤塘县卫生健康局</w:t>
      </w:r>
      <w:r>
        <w:rPr>
          <w:rFonts w:hint="eastAsia" w:ascii="黑体" w:hAnsi="黑体" w:eastAsia="黑体" w:cs="黑体"/>
          <w:sz w:val="44"/>
          <w:szCs w:val="44"/>
          <w:lang w:val="en-US" w:eastAsia="zh-CN"/>
        </w:rPr>
        <w:t>2025年</w:t>
      </w:r>
      <w:r>
        <w:rPr>
          <w:rFonts w:hint="eastAsia" w:ascii="黑体" w:hAnsi="黑体" w:eastAsia="黑体" w:cs="黑体"/>
          <w:sz w:val="44"/>
          <w:szCs w:val="44"/>
          <w:lang w:eastAsia="zh-CN"/>
        </w:rPr>
        <w:t>州级</w:t>
      </w:r>
      <w:r>
        <w:rPr>
          <w:rFonts w:hint="eastAsia" w:ascii="黑体" w:hAnsi="黑体" w:eastAsia="黑体" w:cs="黑体"/>
          <w:sz w:val="44"/>
          <w:szCs w:val="44"/>
        </w:rPr>
        <w:t>计划生育事业</w:t>
      </w:r>
      <w:r>
        <w:rPr>
          <w:rFonts w:hint="eastAsia" w:ascii="黑体" w:hAnsi="黑体" w:eastAsia="黑体" w:cs="黑体"/>
          <w:sz w:val="44"/>
          <w:szCs w:val="44"/>
          <w:lang w:eastAsia="zh-CN"/>
        </w:rPr>
        <w:t>经费</w:t>
      </w:r>
      <w:r>
        <w:rPr>
          <w:rFonts w:hint="eastAsia" w:ascii="黑体" w:hAnsi="黑体" w:eastAsia="黑体" w:cs="黑体"/>
          <w:b w:val="0"/>
          <w:bCs w:val="0"/>
          <w:sz w:val="44"/>
          <w:szCs w:val="44"/>
          <w:lang w:eastAsia="zh-CN"/>
        </w:rPr>
        <w:t>事</w:t>
      </w:r>
      <w:r>
        <w:rPr>
          <w:rFonts w:hint="eastAsia" w:ascii="黑体" w:hAnsi="黑体" w:eastAsia="黑体" w:cs="黑体"/>
          <w:b w:val="0"/>
          <w:bCs w:val="0"/>
          <w:sz w:val="44"/>
          <w:szCs w:val="44"/>
          <w:lang w:val="en-US" w:eastAsia="zh-CN"/>
        </w:rPr>
        <w:t>预算</w:t>
      </w:r>
      <w:r>
        <w:rPr>
          <w:rFonts w:hint="eastAsia" w:ascii="黑体" w:hAnsi="黑体" w:eastAsia="黑体" w:cs="黑体"/>
          <w:b w:val="0"/>
          <w:bCs w:val="0"/>
          <w:sz w:val="44"/>
          <w:szCs w:val="44"/>
        </w:rPr>
        <w:t>绩效</w:t>
      </w:r>
      <w:r>
        <w:rPr>
          <w:rFonts w:hint="eastAsia" w:ascii="黑体" w:hAnsi="黑体" w:eastAsia="黑体" w:cs="黑体"/>
          <w:b w:val="0"/>
          <w:bCs w:val="0"/>
          <w:sz w:val="44"/>
          <w:szCs w:val="44"/>
          <w:lang w:val="en-US" w:eastAsia="zh-CN"/>
        </w:rPr>
        <w:t>自评报告</w:t>
      </w:r>
    </w:p>
    <w:p>
      <w:pPr>
        <w:adjustRightInd w:val="0"/>
        <w:snapToGrid w:val="0"/>
        <w:spacing w:line="520" w:lineRule="exact"/>
        <w:rPr>
          <w:rFonts w:hint="eastAsia"/>
          <w:b/>
          <w:bCs/>
          <w:sz w:val="28"/>
        </w:rPr>
      </w:pPr>
    </w:p>
    <w:p>
      <w:pPr>
        <w:adjustRightInd w:val="0"/>
        <w:snapToGrid w:val="0"/>
        <w:spacing w:line="520" w:lineRule="exact"/>
        <w:ind w:firstLine="642" w:firstLineChars="200"/>
        <w:rPr>
          <w:rFonts w:hint="eastAsia" w:ascii="仿宋_GB2312" w:hAnsi="宋体" w:eastAsia="仿宋_GB2312" w:cs="Times New Roman"/>
          <w:b/>
          <w:bCs/>
          <w:kern w:val="2"/>
          <w:sz w:val="32"/>
          <w:szCs w:val="32"/>
          <w:lang w:val="en-US" w:eastAsia="zh-CN" w:bidi="ar"/>
        </w:rPr>
      </w:pPr>
      <w:r>
        <w:rPr>
          <w:rFonts w:hint="eastAsia" w:ascii="仿宋_GB2312" w:hAnsi="宋体" w:eastAsia="仿宋_GB2312" w:cs="Times New Roman"/>
          <w:b/>
          <w:bCs/>
          <w:kern w:val="2"/>
          <w:sz w:val="32"/>
          <w:szCs w:val="32"/>
          <w:lang w:val="en-US" w:eastAsia="zh-CN" w:bidi="ar"/>
        </w:rPr>
        <w:t>一、重大政策或项目基本情况（背景、主要内容等）</w:t>
      </w:r>
    </w:p>
    <w:p>
      <w:pPr>
        <w:adjustRightInd w:val="0"/>
        <w:snapToGrid w:val="0"/>
        <w:spacing w:line="520" w:lineRule="exact"/>
        <w:ind w:firstLine="640" w:firstLineChars="200"/>
        <w:rPr>
          <w:rFonts w:hint="eastAsia" w:ascii="仿宋_GB2312" w:hAnsi="宋体" w:eastAsia="仿宋_GB2312" w:cs="Times New Roman"/>
          <w:kern w:val="2"/>
          <w:sz w:val="32"/>
          <w:szCs w:val="32"/>
          <w:lang w:val="en-US" w:eastAsia="zh-CN" w:bidi="ar"/>
        </w:rPr>
      </w:pPr>
      <w:r>
        <w:rPr>
          <w:rFonts w:hint="eastAsia" w:ascii="仿宋_GB2312" w:hAnsi="宋体" w:eastAsia="仿宋_GB2312" w:cs="Times New Roman"/>
          <w:kern w:val="2"/>
          <w:sz w:val="32"/>
          <w:szCs w:val="32"/>
          <w:lang w:val="en-US" w:eastAsia="zh-CN" w:bidi="ar"/>
        </w:rPr>
        <w:t>已下达我单位2025年州级计划生育事业经费51.57万元，该项目资金主要实施内容如下：</w:t>
      </w:r>
    </w:p>
    <w:p>
      <w:pPr>
        <w:adjustRightInd w:val="0"/>
        <w:snapToGrid w:val="0"/>
        <w:spacing w:line="520" w:lineRule="exact"/>
        <w:ind w:firstLine="640" w:firstLineChars="200"/>
        <w:rPr>
          <w:rFonts w:hint="default" w:ascii="仿宋_GB2312" w:hAnsi="宋体" w:eastAsia="仿宋_GB2312" w:cs="Times New Roman"/>
          <w:kern w:val="2"/>
          <w:sz w:val="32"/>
          <w:szCs w:val="32"/>
          <w:lang w:val="en-US" w:eastAsia="zh-CN" w:bidi="ar"/>
        </w:rPr>
      </w:pPr>
      <w:r>
        <w:rPr>
          <w:rFonts w:hint="eastAsia" w:ascii="仿宋_GB2312" w:hAnsi="宋体" w:eastAsia="仿宋_GB2312" w:cs="Times New Roman"/>
          <w:kern w:val="2"/>
          <w:sz w:val="32"/>
          <w:szCs w:val="32"/>
          <w:lang w:val="en-US" w:eastAsia="zh-CN" w:bidi="ar"/>
        </w:rPr>
        <w:t>1.免费计划生育基本技术服务落实率达100%</w:t>
      </w:r>
    </w:p>
    <w:p>
      <w:pPr>
        <w:adjustRightInd w:val="0"/>
        <w:snapToGrid w:val="0"/>
        <w:spacing w:line="520" w:lineRule="exact"/>
        <w:ind w:firstLine="640" w:firstLineChars="200"/>
        <w:rPr>
          <w:rFonts w:hint="default" w:ascii="仿宋_GB2312" w:hAnsi="宋体" w:eastAsia="仿宋_GB2312" w:cs="Times New Roman"/>
          <w:kern w:val="2"/>
          <w:sz w:val="32"/>
          <w:szCs w:val="32"/>
          <w:lang w:val="en-US" w:eastAsia="zh-CN" w:bidi="ar"/>
        </w:rPr>
      </w:pPr>
      <w:r>
        <w:rPr>
          <w:rFonts w:hint="eastAsia" w:ascii="仿宋_GB2312" w:hAnsi="宋体" w:eastAsia="仿宋_GB2312" w:cs="Times New Roman"/>
          <w:kern w:val="2"/>
          <w:sz w:val="32"/>
          <w:szCs w:val="32"/>
          <w:lang w:val="en-US" w:eastAsia="zh-CN" w:bidi="ar"/>
        </w:rPr>
        <w:t>2.免费孕前优生健康检查目标人群覆盖率达100%</w:t>
      </w:r>
    </w:p>
    <w:p>
      <w:pPr>
        <w:adjustRightInd w:val="0"/>
        <w:snapToGrid w:val="0"/>
        <w:spacing w:line="520" w:lineRule="exact"/>
        <w:ind w:firstLine="640" w:firstLineChars="200"/>
        <w:rPr>
          <w:rFonts w:hint="eastAsia" w:ascii="仿宋_GB2312" w:hAnsi="宋体" w:eastAsia="仿宋_GB2312" w:cs="Times New Roman"/>
          <w:kern w:val="2"/>
          <w:sz w:val="32"/>
          <w:szCs w:val="32"/>
          <w:lang w:val="en-US" w:eastAsia="zh-CN" w:bidi="ar"/>
        </w:rPr>
      </w:pPr>
      <w:r>
        <w:rPr>
          <w:rFonts w:hint="eastAsia" w:ascii="仿宋_GB2312" w:hAnsi="宋体" w:eastAsia="仿宋_GB2312" w:cs="Times New Roman"/>
          <w:kern w:val="2"/>
          <w:sz w:val="32"/>
          <w:szCs w:val="32"/>
          <w:lang w:val="en-US" w:eastAsia="zh-CN" w:bidi="ar"/>
        </w:rPr>
        <w:t>3.失独家庭慰问关怀覆盖率100%</w:t>
      </w:r>
    </w:p>
    <w:p>
      <w:pPr>
        <w:adjustRightInd w:val="0"/>
        <w:snapToGrid w:val="0"/>
        <w:spacing w:line="520" w:lineRule="exact"/>
        <w:ind w:firstLine="640" w:firstLineChars="200"/>
        <w:rPr>
          <w:rFonts w:hint="eastAsia" w:ascii="仿宋_GB2312" w:hAnsi="宋体" w:eastAsia="仿宋_GB2312" w:cs="Times New Roman"/>
          <w:kern w:val="2"/>
          <w:sz w:val="32"/>
          <w:szCs w:val="32"/>
          <w:lang w:val="en-US" w:eastAsia="zh-CN" w:bidi="ar"/>
        </w:rPr>
      </w:pPr>
      <w:r>
        <w:rPr>
          <w:rFonts w:hint="eastAsia" w:ascii="仿宋_GB2312" w:hAnsi="宋体" w:eastAsia="仿宋_GB2312" w:cs="Times New Roman"/>
          <w:kern w:val="2"/>
          <w:sz w:val="32"/>
          <w:szCs w:val="32"/>
          <w:lang w:val="en-US" w:eastAsia="zh-CN" w:bidi="ar"/>
        </w:rPr>
        <w:t>4.完成时间12月底</w:t>
      </w:r>
    </w:p>
    <w:p>
      <w:pPr>
        <w:adjustRightInd w:val="0"/>
        <w:snapToGrid w:val="0"/>
        <w:spacing w:line="520" w:lineRule="exact"/>
        <w:ind w:firstLine="640" w:firstLineChars="200"/>
        <w:rPr>
          <w:rFonts w:hint="eastAsia" w:ascii="仿宋_GB2312" w:hAnsi="宋体" w:eastAsia="仿宋_GB2312" w:cs="Times New Roman"/>
          <w:kern w:val="2"/>
          <w:sz w:val="32"/>
          <w:szCs w:val="32"/>
          <w:lang w:val="en-US" w:eastAsia="zh-CN" w:bidi="ar"/>
        </w:rPr>
      </w:pPr>
      <w:r>
        <w:rPr>
          <w:rFonts w:hint="eastAsia" w:ascii="仿宋_GB2312" w:hAnsi="宋体" w:eastAsia="仿宋_GB2312" w:cs="Times New Roman"/>
          <w:kern w:val="2"/>
          <w:sz w:val="32"/>
          <w:szCs w:val="32"/>
          <w:lang w:val="en-US" w:eastAsia="zh-CN" w:bidi="ar"/>
        </w:rPr>
        <w:t>5.优化生育政策服务宣传知晓率95%</w:t>
      </w:r>
    </w:p>
    <w:p>
      <w:pPr>
        <w:adjustRightInd w:val="0"/>
        <w:snapToGrid w:val="0"/>
        <w:spacing w:line="520" w:lineRule="exact"/>
        <w:ind w:firstLine="640" w:firstLineChars="200"/>
        <w:rPr>
          <w:rFonts w:hint="eastAsia" w:ascii="仿宋_GB2312" w:hAnsi="宋体" w:eastAsia="仿宋_GB2312" w:cs="Times New Roman"/>
          <w:kern w:val="2"/>
          <w:sz w:val="32"/>
          <w:szCs w:val="32"/>
          <w:lang w:val="en-US" w:eastAsia="zh-CN" w:bidi="ar"/>
        </w:rPr>
      </w:pPr>
      <w:r>
        <w:rPr>
          <w:rFonts w:hint="eastAsia" w:ascii="仿宋_GB2312" w:hAnsi="宋体" w:eastAsia="仿宋_GB2312" w:cs="Times New Roman"/>
          <w:kern w:val="2"/>
          <w:sz w:val="32"/>
          <w:szCs w:val="32"/>
          <w:lang w:val="en-US" w:eastAsia="zh-CN" w:bidi="ar"/>
        </w:rPr>
        <w:t>6.危急重症孕产妇、新生儿救治中心建设</w:t>
      </w:r>
    </w:p>
    <w:p>
      <w:pPr>
        <w:adjustRightInd w:val="0"/>
        <w:snapToGrid w:val="0"/>
        <w:spacing w:line="520" w:lineRule="exact"/>
        <w:ind w:firstLine="640" w:firstLineChars="200"/>
        <w:rPr>
          <w:rFonts w:hint="eastAsia" w:ascii="仿宋_GB2312" w:hAnsi="宋体" w:eastAsia="仿宋_GB2312" w:cs="Times New Roman"/>
          <w:kern w:val="2"/>
          <w:sz w:val="32"/>
          <w:szCs w:val="32"/>
          <w:lang w:val="en-US" w:eastAsia="zh-CN" w:bidi="ar"/>
        </w:rPr>
      </w:pPr>
      <w:r>
        <w:rPr>
          <w:rFonts w:hint="eastAsia" w:ascii="仿宋_GB2312" w:hAnsi="宋体" w:eastAsia="仿宋_GB2312" w:cs="Times New Roman"/>
          <w:kern w:val="2"/>
          <w:sz w:val="32"/>
          <w:szCs w:val="32"/>
          <w:lang w:val="en-US" w:eastAsia="zh-CN" w:bidi="ar"/>
        </w:rPr>
        <w:t>7不断提升计划生育政策、技术服务知晓率、提供计划生育技术服务水平、普及计划生育政策知晓率，优化生育政策促进人口长期均衡发展。</w:t>
      </w:r>
    </w:p>
    <w:p>
      <w:pPr>
        <w:adjustRightInd w:val="0"/>
        <w:snapToGrid w:val="0"/>
        <w:spacing w:line="520" w:lineRule="exact"/>
        <w:ind w:firstLine="642" w:firstLineChars="200"/>
        <w:rPr>
          <w:rFonts w:hint="eastAsia" w:ascii="仿宋_GB2312" w:hAnsi="宋体" w:eastAsia="仿宋_GB2312" w:cs="Times New Roman"/>
          <w:kern w:val="2"/>
          <w:sz w:val="32"/>
          <w:szCs w:val="32"/>
          <w:lang w:val="en-US" w:eastAsia="zh-CN" w:bidi="ar"/>
        </w:rPr>
      </w:pPr>
      <w:r>
        <w:rPr>
          <w:rFonts w:hint="eastAsia" w:ascii="仿宋_GB2312" w:hAnsi="宋体" w:eastAsia="仿宋_GB2312"/>
          <w:b/>
          <w:bCs/>
          <w:sz w:val="32"/>
          <w:szCs w:val="32"/>
        </w:rPr>
        <w:t>二、立项必要性</w:t>
      </w:r>
      <w:r>
        <w:rPr>
          <w:rFonts w:hint="eastAsia" w:ascii="仿宋_GB2312" w:hAnsi="宋体" w:eastAsia="仿宋_GB2312"/>
          <w:b/>
          <w:bCs/>
          <w:sz w:val="32"/>
          <w:szCs w:val="32"/>
          <w:lang w:eastAsia="zh-CN"/>
        </w:rPr>
        <w:t>：</w:t>
      </w:r>
      <w:r>
        <w:rPr>
          <w:rFonts w:hint="eastAsia" w:ascii="仿宋_GB2312" w:eastAsia="仿宋_GB2312"/>
          <w:sz w:val="32"/>
          <w:szCs w:val="32"/>
        </w:rPr>
        <w:t>根据文件要求，及时组织项目实施，做好资金安排；同时按照《中共中央 国务院关于全面实施预算绩效管理的意见》文件要求，科学合理的编制绩效目标，预算执行过程中务必对照绩效目标做好资金监控，确保年度目标如期实现。</w:t>
      </w:r>
    </w:p>
    <w:p>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 xml:space="preserve">1.实行计划生育的育龄夫妻免费提供避孕、节育技术服务，做好药具管理。目标  </w:t>
      </w:r>
    </w:p>
    <w:p>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 xml:space="preserve">2.为符合生育政策、计划怀孕的城乡夫妇免费提供优生健康教育、病史询问、体格检查、临床实验室检查、影像学检查、风险评估、咨询指导等19项孕前优生检查服务。    </w:t>
      </w:r>
    </w:p>
    <w:p>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3.完成年度全州计生统计、人口监测、生育政策宣传、年度计生工作目标考核等工作。</w:t>
      </w:r>
    </w:p>
    <w:p>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 xml:space="preserve"> 4.持续推进计生家庭</w:t>
      </w:r>
      <w:r>
        <w:rPr>
          <w:rFonts w:hint="eastAsia" w:ascii="仿宋_GB2312" w:hAnsi="宋体" w:eastAsia="仿宋_GB2312"/>
          <w:sz w:val="32"/>
          <w:szCs w:val="32"/>
          <w:lang w:eastAsia="zh-CN"/>
        </w:rPr>
        <w:t>健康</w:t>
      </w:r>
      <w:r>
        <w:rPr>
          <w:rFonts w:hint="eastAsia" w:ascii="仿宋_GB2312" w:hAnsi="宋体" w:eastAsia="仿宋_GB2312"/>
          <w:sz w:val="32"/>
          <w:szCs w:val="32"/>
        </w:rPr>
        <w:t xml:space="preserve">发展、帮扶、协会、失独家庭稳控、“三个覆盖”及“三结合”等工作。                                                                                        </w:t>
      </w:r>
    </w:p>
    <w:p>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 xml:space="preserve"> 5.提升计生技术服务能力，加强产儿科急救中心建设等工作。</w:t>
      </w:r>
    </w:p>
    <w:p>
      <w:pPr>
        <w:keepNext w:val="0"/>
        <w:keepLines w:val="0"/>
        <w:widowControl/>
        <w:suppressLineNumbers w:val="0"/>
        <w:ind w:firstLine="642" w:firstLineChars="200"/>
        <w:jc w:val="left"/>
        <w:rPr>
          <w:rFonts w:hint="eastAsia" w:ascii="仿宋_GB2312" w:hAnsi="宋体" w:eastAsia="仿宋_GB2312"/>
          <w:sz w:val="32"/>
          <w:szCs w:val="32"/>
          <w:lang w:eastAsia="zh-CN"/>
        </w:rPr>
      </w:pPr>
      <w:r>
        <w:rPr>
          <w:rFonts w:hint="eastAsia" w:ascii="仿宋_GB2312" w:hAnsi="宋体" w:eastAsia="仿宋_GB2312"/>
          <w:b/>
          <w:bCs/>
          <w:sz w:val="32"/>
          <w:szCs w:val="32"/>
        </w:rPr>
        <w:t>三、投入经济性</w:t>
      </w:r>
      <w:r>
        <w:rPr>
          <w:rFonts w:hint="eastAsia" w:ascii="仿宋_GB2312" w:hAnsi="宋体" w:eastAsia="仿宋_GB2312"/>
          <w:b/>
          <w:bCs/>
          <w:sz w:val="32"/>
          <w:szCs w:val="32"/>
          <w:lang w:eastAsia="zh-CN"/>
        </w:rPr>
        <w:t>：</w:t>
      </w:r>
      <w:r>
        <w:rPr>
          <w:rFonts w:hint="eastAsia" w:ascii="仿宋_GB2312" w:hAnsi="宋体" w:eastAsia="仿宋_GB2312" w:cs="Times New Roman"/>
          <w:kern w:val="2"/>
          <w:sz w:val="32"/>
          <w:szCs w:val="32"/>
          <w:lang w:val="en-US" w:eastAsia="zh-CN" w:bidi="ar"/>
        </w:rPr>
        <w:t>下达资金总计51.57</w:t>
      </w:r>
      <w:r>
        <w:rPr>
          <w:rFonts w:hint="default" w:ascii="仿宋_GB2312" w:hAnsi="宋体" w:eastAsia="仿宋_GB2312" w:cs="Times New Roman"/>
          <w:kern w:val="2"/>
          <w:sz w:val="32"/>
          <w:szCs w:val="32"/>
          <w:lang w:val="en-US" w:eastAsia="zh-CN" w:bidi="ar"/>
        </w:rPr>
        <w:t>万元，与</w:t>
      </w:r>
      <w:r>
        <w:rPr>
          <w:rFonts w:hint="eastAsia" w:ascii="仿宋_GB2312" w:hAnsi="宋体" w:eastAsia="仿宋_GB2312" w:cs="Times New Roman"/>
          <w:kern w:val="2"/>
          <w:sz w:val="32"/>
          <w:szCs w:val="32"/>
          <w:lang w:val="en-US" w:eastAsia="zh-CN" w:bidi="ar"/>
        </w:rPr>
        <w:t>我县实际确认目标</w:t>
      </w:r>
      <w:r>
        <w:rPr>
          <w:rFonts w:hint="default" w:ascii="仿宋_GB2312" w:hAnsi="宋体" w:eastAsia="仿宋_GB2312" w:cs="Times New Roman"/>
          <w:kern w:val="2"/>
          <w:sz w:val="32"/>
          <w:szCs w:val="32"/>
          <w:lang w:val="en-US" w:eastAsia="zh-CN" w:bidi="ar"/>
        </w:rPr>
        <w:t>相匹配，预算明细清晰明确，预算遵循勤俭办事、量力而行的原则，测算依据充分，符合相关支出标准。</w:t>
      </w:r>
    </w:p>
    <w:p>
      <w:pPr>
        <w:keepNext w:val="0"/>
        <w:keepLines w:val="0"/>
        <w:widowControl/>
        <w:suppressLineNumbers w:val="0"/>
        <w:ind w:firstLine="642" w:firstLineChars="200"/>
        <w:jc w:val="left"/>
        <w:rPr>
          <w:rFonts w:hint="eastAsia" w:ascii="仿宋_GB2312" w:hAnsi="宋体" w:eastAsia="仿宋_GB2312"/>
          <w:sz w:val="32"/>
          <w:szCs w:val="32"/>
        </w:rPr>
      </w:pPr>
      <w:r>
        <w:rPr>
          <w:rFonts w:hint="eastAsia" w:ascii="仿宋_GB2312" w:hAnsi="宋体" w:eastAsia="仿宋_GB2312"/>
          <w:b/>
          <w:bCs/>
          <w:sz w:val="32"/>
          <w:szCs w:val="32"/>
          <w:lang w:eastAsia="zh-CN"/>
        </w:rPr>
        <w:t>四、</w:t>
      </w:r>
      <w:r>
        <w:rPr>
          <w:rFonts w:hint="eastAsia" w:ascii="仿宋_GB2312" w:hAnsi="宋体" w:eastAsia="仿宋_GB2312"/>
          <w:b/>
          <w:bCs/>
          <w:sz w:val="32"/>
          <w:szCs w:val="32"/>
        </w:rPr>
        <w:t>绩效目标合理性</w:t>
      </w:r>
      <w:r>
        <w:rPr>
          <w:rFonts w:hint="eastAsia" w:ascii="仿宋_GB2312" w:hAnsi="宋体" w:eastAsia="仿宋_GB2312"/>
          <w:b/>
          <w:bCs/>
          <w:sz w:val="32"/>
          <w:szCs w:val="32"/>
          <w:lang w:eastAsia="zh-CN"/>
        </w:rPr>
        <w:t>：</w:t>
      </w:r>
      <w:r>
        <w:rPr>
          <w:rFonts w:hint="eastAsia" w:ascii="仿宋_GB2312" w:hAnsi="宋体" w:eastAsia="仿宋_GB2312" w:cs="仿宋_GB2312"/>
          <w:i w:val="0"/>
          <w:iCs w:val="0"/>
          <w:caps w:val="0"/>
          <w:color w:val="333333"/>
          <w:spacing w:val="0"/>
          <w:kern w:val="0"/>
          <w:sz w:val="32"/>
          <w:szCs w:val="32"/>
          <w:shd w:val="clear" w:color="auto" w:fill="FFFFFF"/>
          <w:lang w:val="en-US" w:eastAsia="zh-CN" w:bidi="ar"/>
        </w:rPr>
        <w:t>绩</w:t>
      </w:r>
      <w:r>
        <w:rPr>
          <w:rFonts w:hint="eastAsia" w:ascii="仿宋_GB2312" w:hAnsi="宋体" w:eastAsia="仿宋_GB2312" w:cs="Times New Roman"/>
          <w:kern w:val="2"/>
          <w:sz w:val="32"/>
          <w:szCs w:val="32"/>
          <w:lang w:val="en-US" w:eastAsia="zh-CN" w:bidi="ar"/>
        </w:rPr>
        <w:t>效目标填报格式规范，内容完整、准确、翔实，无缺项、错页；绩效目标明确，内容具体，能反映主要内容；绩效指标细化、量化，便于监控和评价，难以量化的，定性描述充分、具体；与上年度上半年项目支出预算基本一致，预算收支基本平衡，略有结余，符合事业发展规律。</w:t>
      </w:r>
    </w:p>
    <w:p>
      <w:pPr>
        <w:keepNext w:val="0"/>
        <w:keepLines w:val="0"/>
        <w:widowControl/>
        <w:suppressLineNumbers w:val="0"/>
        <w:ind w:firstLine="642" w:firstLineChars="200"/>
        <w:jc w:val="left"/>
        <w:rPr>
          <w:rFonts w:hint="eastAsia" w:ascii="仿宋_GB2312" w:hAnsi="宋体" w:eastAsia="仿宋_GB2312"/>
          <w:sz w:val="32"/>
          <w:szCs w:val="32"/>
        </w:rPr>
      </w:pPr>
      <w:r>
        <w:rPr>
          <w:rFonts w:hint="eastAsia" w:ascii="仿宋_GB2312" w:hAnsi="宋体" w:eastAsia="仿宋_GB2312"/>
          <w:b/>
          <w:bCs/>
          <w:sz w:val="32"/>
          <w:szCs w:val="32"/>
          <w:lang w:eastAsia="zh-CN"/>
        </w:rPr>
        <w:t>五</w:t>
      </w:r>
      <w:r>
        <w:rPr>
          <w:rFonts w:hint="eastAsia" w:ascii="仿宋_GB2312" w:hAnsi="宋体" w:eastAsia="仿宋_GB2312"/>
          <w:b/>
          <w:bCs/>
          <w:sz w:val="32"/>
          <w:szCs w:val="32"/>
        </w:rPr>
        <w:t>、实施方案可行性</w:t>
      </w:r>
      <w:r>
        <w:rPr>
          <w:rFonts w:hint="eastAsia" w:ascii="仿宋_GB2312" w:hAnsi="宋体" w:eastAsia="仿宋_GB2312"/>
          <w:b/>
          <w:bCs/>
          <w:sz w:val="32"/>
          <w:szCs w:val="32"/>
          <w:lang w:eastAsia="zh-CN"/>
        </w:rPr>
        <w:t>：</w:t>
      </w:r>
      <w:r>
        <w:rPr>
          <w:rFonts w:hint="eastAsia" w:ascii="仿宋_GB2312" w:hAnsi="宋体" w:eastAsia="仿宋_GB2312" w:cs="Times New Roman"/>
          <w:kern w:val="2"/>
          <w:sz w:val="32"/>
          <w:szCs w:val="32"/>
          <w:lang w:val="en-US" w:eastAsia="zh-CN" w:bidi="ar"/>
        </w:rPr>
        <w:t>实施方案明确，包括上半年规划内容、发放范围、时间节点等；实施方案合理，经充分调查研究和论证；具有适用项目的完整管理制度等。</w:t>
      </w:r>
    </w:p>
    <w:p>
      <w:pPr>
        <w:adjustRightInd w:val="0"/>
        <w:snapToGrid w:val="0"/>
        <w:spacing w:line="520" w:lineRule="exact"/>
        <w:ind w:firstLine="642" w:firstLineChars="200"/>
        <w:rPr>
          <w:rFonts w:hint="eastAsia" w:ascii="仿宋_GB2312" w:hAnsi="宋体" w:eastAsia="仿宋_GB2312"/>
          <w:sz w:val="32"/>
          <w:szCs w:val="32"/>
        </w:rPr>
      </w:pPr>
      <w:r>
        <w:rPr>
          <w:rFonts w:hint="eastAsia" w:ascii="仿宋_GB2312" w:hAnsi="宋体" w:eastAsia="仿宋_GB2312"/>
          <w:b/>
          <w:bCs/>
          <w:sz w:val="32"/>
          <w:szCs w:val="32"/>
          <w:lang w:eastAsia="zh-CN"/>
        </w:rPr>
        <w:t>六</w:t>
      </w:r>
      <w:r>
        <w:rPr>
          <w:rFonts w:hint="eastAsia" w:ascii="仿宋_GB2312" w:hAnsi="宋体" w:eastAsia="仿宋_GB2312"/>
          <w:b/>
          <w:bCs/>
          <w:sz w:val="32"/>
          <w:szCs w:val="32"/>
        </w:rPr>
        <w:t>、筹资合规性</w:t>
      </w:r>
      <w:r>
        <w:rPr>
          <w:rFonts w:hint="eastAsia" w:ascii="仿宋_GB2312" w:hAnsi="宋体" w:eastAsia="仿宋_GB2312"/>
          <w:sz w:val="32"/>
          <w:szCs w:val="32"/>
        </w:rPr>
        <w:t>（</w:t>
      </w:r>
      <w:r>
        <w:rPr>
          <w:rFonts w:hint="eastAsia" w:ascii="仿宋_GB2312" w:hAnsi="宋体" w:eastAsia="仿宋_GB2312"/>
          <w:sz w:val="32"/>
          <w:szCs w:val="32"/>
          <w:lang w:eastAsia="zh-CN"/>
        </w:rPr>
        <w:t>主要说明资金来源渠道的合法合规性，评估内容</w:t>
      </w:r>
      <w:r>
        <w:rPr>
          <w:rFonts w:hint="eastAsia" w:ascii="仿宋_GB2312" w:hAnsi="宋体" w:eastAsia="仿宋_GB2312"/>
          <w:sz w:val="32"/>
          <w:szCs w:val="32"/>
        </w:rPr>
        <w:t>政策</w:t>
      </w:r>
      <w:r>
        <w:rPr>
          <w:rFonts w:hint="eastAsia" w:ascii="仿宋_GB2312" w:hAnsi="宋体" w:eastAsia="仿宋_GB2312"/>
          <w:sz w:val="32"/>
          <w:szCs w:val="32"/>
          <w:lang w:eastAsia="zh-CN"/>
        </w:rPr>
        <w:t>或</w:t>
      </w:r>
      <w:r>
        <w:rPr>
          <w:rFonts w:hint="eastAsia" w:ascii="仿宋_GB2312" w:hAnsi="宋体" w:eastAsia="仿宋_GB2312"/>
          <w:sz w:val="32"/>
          <w:szCs w:val="32"/>
        </w:rPr>
        <w:t>项目</w:t>
      </w:r>
      <w:r>
        <w:rPr>
          <w:rFonts w:hint="eastAsia" w:ascii="仿宋_GB2312" w:hAnsi="宋体" w:eastAsia="仿宋_GB2312"/>
          <w:sz w:val="32"/>
          <w:szCs w:val="32"/>
          <w:lang w:eastAsia="zh-CN"/>
        </w:rPr>
        <w:t>具有公共性，属于公共财政支持范围，符合法律法规规定，结构是否合理，项目资金来源明确。</w:t>
      </w:r>
    </w:p>
    <w:p>
      <w:pPr>
        <w:adjustRightInd w:val="0"/>
        <w:snapToGrid w:val="0"/>
        <w:spacing w:line="520" w:lineRule="exact"/>
        <w:ind w:firstLine="642" w:firstLineChars="200"/>
        <w:rPr>
          <w:rFonts w:hint="eastAsia" w:ascii="仿宋_GB2312" w:hAnsi="宋体" w:eastAsia="仿宋_GB2312"/>
          <w:sz w:val="32"/>
          <w:szCs w:val="32"/>
        </w:rPr>
      </w:pPr>
      <w:r>
        <w:rPr>
          <w:rFonts w:hint="eastAsia" w:ascii="仿宋_GB2312" w:hAnsi="宋体" w:eastAsia="仿宋_GB2312"/>
          <w:b/>
          <w:bCs/>
          <w:sz w:val="32"/>
          <w:szCs w:val="32"/>
          <w:lang w:eastAsia="zh-CN"/>
        </w:rPr>
        <w:t>七</w:t>
      </w:r>
      <w:r>
        <w:rPr>
          <w:rFonts w:hint="eastAsia" w:ascii="仿宋_GB2312" w:hAnsi="宋体" w:eastAsia="仿宋_GB2312"/>
          <w:b/>
          <w:bCs/>
          <w:sz w:val="32"/>
          <w:szCs w:val="32"/>
        </w:rPr>
        <w:t>、可持续性</w:t>
      </w:r>
      <w:r>
        <w:rPr>
          <w:rFonts w:hint="eastAsia" w:ascii="仿宋_GB2312" w:hAnsi="宋体" w:eastAsia="仿宋_GB2312"/>
          <w:b/>
          <w:bCs/>
          <w:sz w:val="32"/>
          <w:szCs w:val="32"/>
          <w:lang w:eastAsia="zh-CN"/>
        </w:rPr>
        <w:t>分析</w:t>
      </w:r>
      <w:r>
        <w:rPr>
          <w:rFonts w:hint="eastAsia" w:ascii="仿宋_GB2312" w:hAnsi="宋体" w:eastAsia="仿宋_GB2312"/>
          <w:sz w:val="32"/>
          <w:szCs w:val="32"/>
          <w:lang w:eastAsia="zh-CN"/>
        </w:rPr>
        <w:t>该项目有进一步实施的必要，对财力支持、组织管理机构、运行机制和预期产出及效果可持续进行分析。</w:t>
      </w:r>
    </w:p>
    <w:p>
      <w:pPr>
        <w:numPr>
          <w:ilvl w:val="0"/>
          <w:numId w:val="7"/>
        </w:numPr>
        <w:ind w:firstLine="642" w:firstLineChars="200"/>
        <w:rPr>
          <w:rFonts w:hint="eastAsia" w:ascii="仿宋_GB2312" w:hAnsi="宋体" w:eastAsia="仿宋_GB2312"/>
          <w:b/>
          <w:bCs/>
          <w:sz w:val="32"/>
          <w:szCs w:val="32"/>
        </w:rPr>
      </w:pPr>
      <w:r>
        <w:rPr>
          <w:rFonts w:hint="eastAsia" w:ascii="仿宋_GB2312" w:hAnsi="宋体" w:eastAsia="仿宋_GB2312"/>
          <w:b/>
          <w:bCs/>
          <w:sz w:val="32"/>
          <w:szCs w:val="32"/>
        </w:rPr>
        <w:t>其他</w:t>
      </w:r>
      <w:r>
        <w:rPr>
          <w:rFonts w:hint="eastAsia" w:ascii="仿宋_GB2312" w:hAnsi="宋体" w:eastAsia="仿宋_GB2312"/>
          <w:b/>
          <w:bCs/>
          <w:sz w:val="32"/>
          <w:szCs w:val="32"/>
          <w:lang w:eastAsia="zh-CN"/>
        </w:rPr>
        <w:t>需要说明的</w:t>
      </w:r>
      <w:r>
        <w:rPr>
          <w:rFonts w:hint="eastAsia" w:ascii="仿宋_GB2312" w:hAnsi="宋体" w:eastAsia="仿宋_GB2312"/>
          <w:b/>
          <w:bCs/>
          <w:sz w:val="32"/>
          <w:szCs w:val="32"/>
        </w:rPr>
        <w:t>内容</w:t>
      </w:r>
    </w:p>
    <w:p>
      <w:pPr>
        <w:numPr>
          <w:ilvl w:val="0"/>
          <w:numId w:val="0"/>
        </w:numPr>
        <w:ind w:firstLine="960" w:firstLineChars="300"/>
        <w:rPr>
          <w:rFonts w:hint="eastAsia" w:ascii="仿宋_GB2312" w:hAnsi="宋体" w:eastAsia="仿宋_GB2312"/>
          <w:b/>
          <w:bCs/>
          <w:sz w:val="32"/>
          <w:szCs w:val="32"/>
        </w:rPr>
      </w:pPr>
      <w:r>
        <w:rPr>
          <w:rFonts w:hint="eastAsia" w:ascii="仿宋_GB2312" w:hAnsi="宋体" w:eastAsia="仿宋_GB2312"/>
          <w:b w:val="0"/>
          <w:bCs w:val="0"/>
          <w:sz w:val="32"/>
          <w:szCs w:val="32"/>
          <w:lang w:eastAsia="zh-CN"/>
        </w:rPr>
        <w:t>无</w:t>
      </w:r>
    </w:p>
    <w:p>
      <w:pPr>
        <w:ind w:firstLine="642"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
          <w:bCs w:val="0"/>
          <w:sz w:val="32"/>
          <w:szCs w:val="32"/>
          <w:lang w:eastAsia="zh-CN"/>
        </w:rPr>
        <w:t>九</w:t>
      </w:r>
      <w:r>
        <w:rPr>
          <w:rFonts w:hint="eastAsia" w:ascii="仿宋_GB2312" w:hAnsi="仿宋_GB2312" w:eastAsia="仿宋_GB2312" w:cs="仿宋_GB2312"/>
          <w:b/>
          <w:bCs w:val="0"/>
          <w:sz w:val="32"/>
          <w:szCs w:val="32"/>
        </w:rPr>
        <w:t>、综合评</w:t>
      </w:r>
      <w:r>
        <w:rPr>
          <w:rFonts w:hint="eastAsia" w:ascii="仿宋_GB2312" w:hAnsi="仿宋_GB2312" w:eastAsia="仿宋_GB2312" w:cs="仿宋_GB2312"/>
          <w:b/>
          <w:bCs w:val="0"/>
          <w:sz w:val="32"/>
          <w:szCs w:val="32"/>
          <w:lang w:eastAsia="zh-CN"/>
        </w:rPr>
        <w:t>估</w:t>
      </w:r>
      <w:r>
        <w:rPr>
          <w:rFonts w:hint="eastAsia" w:ascii="仿宋_GB2312" w:hAnsi="仿宋_GB2312" w:eastAsia="仿宋_GB2312" w:cs="仿宋_GB2312"/>
          <w:b/>
          <w:bCs w:val="0"/>
          <w:sz w:val="32"/>
          <w:szCs w:val="32"/>
        </w:rPr>
        <w:t>结论</w:t>
      </w:r>
      <w:r>
        <w:rPr>
          <w:rFonts w:hint="eastAsia" w:ascii="仿宋_GB2312" w:hAnsi="仿宋_GB2312" w:eastAsia="仿宋_GB2312" w:cs="仿宋_GB2312"/>
          <w:b/>
          <w:bCs w:val="0"/>
          <w:sz w:val="32"/>
          <w:szCs w:val="32"/>
          <w:lang w:eastAsia="zh-CN"/>
        </w:rPr>
        <w:t>：</w:t>
      </w:r>
      <w:r>
        <w:rPr>
          <w:rFonts w:hint="eastAsia" w:ascii="仿宋_GB2312" w:hAnsi="仿宋_GB2312" w:eastAsia="仿宋_GB2312" w:cs="仿宋_GB2312"/>
          <w:bCs/>
          <w:sz w:val="32"/>
          <w:szCs w:val="32"/>
        </w:rPr>
        <w:t>评</w:t>
      </w:r>
      <w:r>
        <w:rPr>
          <w:rFonts w:hint="eastAsia" w:ascii="仿宋_GB2312" w:hAnsi="仿宋_GB2312" w:eastAsia="仿宋_GB2312" w:cs="仿宋_GB2312"/>
          <w:bCs/>
          <w:sz w:val="32"/>
          <w:szCs w:val="32"/>
          <w:lang w:eastAsia="zh-CN"/>
        </w:rPr>
        <w:t>估总</w:t>
      </w:r>
      <w:r>
        <w:rPr>
          <w:rFonts w:hint="eastAsia" w:ascii="仿宋_GB2312" w:hAnsi="仿宋_GB2312" w:eastAsia="仿宋_GB2312" w:cs="仿宋_GB2312"/>
          <w:bCs/>
          <w:sz w:val="32"/>
          <w:szCs w:val="32"/>
        </w:rPr>
        <w:t>得分</w:t>
      </w:r>
      <w:r>
        <w:rPr>
          <w:rFonts w:hint="eastAsia" w:ascii="仿宋_GB2312" w:hAnsi="仿宋_GB2312" w:eastAsia="仿宋_GB2312" w:cs="仿宋_GB2312"/>
          <w:bCs/>
          <w:sz w:val="32"/>
          <w:szCs w:val="32"/>
          <w:lang w:val="en-US" w:eastAsia="zh-CN"/>
        </w:rPr>
        <w:t>89分</w:t>
      </w:r>
      <w:r>
        <w:rPr>
          <w:rFonts w:hint="eastAsia" w:ascii="仿宋_GB2312" w:hAnsi="仿宋_GB2312" w:eastAsia="仿宋_GB2312" w:cs="仿宋_GB2312"/>
          <w:bCs/>
          <w:sz w:val="32"/>
          <w:szCs w:val="32"/>
          <w:lang w:eastAsia="zh-CN"/>
        </w:rPr>
        <w:t>、评估等级优、</w:t>
      </w:r>
      <w:r>
        <w:rPr>
          <w:rFonts w:hint="eastAsia" w:ascii="仿宋_GB2312" w:hAnsi="仿宋_GB2312" w:eastAsia="仿宋_GB2312" w:cs="仿宋_GB2312"/>
          <w:bCs/>
          <w:sz w:val="32"/>
          <w:szCs w:val="32"/>
          <w:lang w:val="en-US" w:eastAsia="zh-CN"/>
        </w:rPr>
        <w:t>预期产出和效果能够满足需求、不需要核减预算安排、望继续</w:t>
      </w:r>
      <w:r>
        <w:rPr>
          <w:rFonts w:hint="eastAsia" w:ascii="仿宋_GB2312" w:hAnsi="仿宋_GB2312" w:eastAsia="仿宋_GB2312" w:cs="仿宋_GB2312"/>
          <w:bCs/>
          <w:sz w:val="32"/>
          <w:szCs w:val="32"/>
          <w:lang w:eastAsia="zh-CN"/>
        </w:rPr>
        <w:t>支持该</w:t>
      </w:r>
      <w:r>
        <w:rPr>
          <w:rFonts w:hint="eastAsia" w:ascii="仿宋_GB2312" w:hAnsi="仿宋_GB2312" w:eastAsia="仿宋_GB2312" w:cs="仿宋_GB2312"/>
          <w:bCs/>
          <w:sz w:val="32"/>
          <w:szCs w:val="32"/>
        </w:rPr>
        <w:t>政策</w:t>
      </w:r>
      <w:r>
        <w:rPr>
          <w:rFonts w:hint="eastAsia" w:ascii="仿宋_GB2312" w:hAnsi="仿宋_GB2312" w:eastAsia="仿宋_GB2312" w:cs="仿宋_GB2312"/>
          <w:bCs/>
          <w:sz w:val="32"/>
          <w:szCs w:val="32"/>
          <w:lang w:eastAsia="zh-CN"/>
        </w:rPr>
        <w:t>出台、持续、保留该</w:t>
      </w:r>
      <w:r>
        <w:rPr>
          <w:rFonts w:hint="eastAsia" w:ascii="仿宋_GB2312" w:hAnsi="仿宋_GB2312" w:eastAsia="仿宋_GB2312" w:cs="仿宋_GB2312"/>
          <w:bCs/>
          <w:sz w:val="32"/>
          <w:szCs w:val="32"/>
        </w:rPr>
        <w:t>项目</w:t>
      </w:r>
      <w:r>
        <w:rPr>
          <w:rFonts w:hint="eastAsia" w:ascii="仿宋_GB2312" w:hAnsi="仿宋_GB2312" w:eastAsia="仿宋_GB2312" w:cs="仿宋_GB2312"/>
          <w:bCs/>
          <w:sz w:val="32"/>
          <w:szCs w:val="32"/>
          <w:lang w:eastAsia="zh-CN"/>
        </w:rPr>
        <w:t>。</w:t>
      </w:r>
    </w:p>
    <w:p>
      <w:pPr>
        <w:numPr>
          <w:ilvl w:val="0"/>
          <w:numId w:val="0"/>
        </w:numPr>
        <w:ind w:left="630" w:leftChars="0"/>
        <w:rPr>
          <w:rFonts w:hint="default" w:ascii="Times New Roman" w:hAnsi="Times New Roman" w:eastAsia="黑体" w:cs="Times New Roman"/>
          <w:color w:val="auto"/>
          <w:sz w:val="32"/>
          <w:szCs w:val="32"/>
          <w:highlight w:val="none"/>
          <w:u w:val="none"/>
          <w:lang w:eastAsia="zh-CN"/>
        </w:rPr>
      </w:pPr>
      <w:r>
        <w:rPr>
          <w:rFonts w:hint="eastAsia" w:ascii="Times New Roman" w:hAnsi="Times New Roman" w:eastAsia="黑体" w:cs="Times New Roman"/>
          <w:color w:val="auto"/>
          <w:sz w:val="32"/>
          <w:szCs w:val="32"/>
          <w:highlight w:val="none"/>
          <w:u w:val="none"/>
          <w:lang w:val="en-US" w:eastAsia="zh-CN"/>
        </w:rPr>
        <w:t>十、</w:t>
      </w:r>
      <w:r>
        <w:rPr>
          <w:rFonts w:hint="default" w:ascii="Times New Roman" w:hAnsi="Times New Roman" w:eastAsia="黑体" w:cs="Times New Roman"/>
          <w:color w:val="auto"/>
          <w:sz w:val="32"/>
          <w:szCs w:val="32"/>
          <w:highlight w:val="none"/>
          <w:u w:val="none"/>
          <w:lang w:eastAsia="zh-CN"/>
        </w:rPr>
        <w:t>存在主要问题</w:t>
      </w:r>
    </w:p>
    <w:p>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1、偏远牧区点位信号薄弱、人员分散，入户摸排动员难度较大；部分群众优生体检意识不足，主动参检积极性偏低，摸排动员、随访督促工作存在疏漏，致使目标人群覆盖率未达既定标准。</w:t>
      </w:r>
    </w:p>
    <w:p>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2、政策宣传形式较为单一，偏远牧区线下宣讲频次不足，线上宣传触达有限；政策解读精细化程度不足，群众对生育配套、计生帮扶政策理解不透彻，政策知晓度提升幅度未达预期。</w:t>
      </w:r>
    </w:p>
    <w:p>
      <w:pPr>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3、基层计生服务细节有待完善，咨询接待、随访帮扶等服务流程不够优化；群众诉求收集反馈渠道不够畅通，部分群众疑问、诉求未能及时回应处置，造成服务对象满意度偏低。</w:t>
      </w:r>
    </w:p>
    <w:p>
      <w:pPr>
        <w:numPr>
          <w:ilvl w:val="0"/>
          <w:numId w:val="0"/>
        </w:numPr>
        <w:ind w:left="630" w:leftChars="0"/>
        <w:rPr>
          <w:rFonts w:hint="default" w:ascii="Times New Roman" w:hAnsi="Times New Roman" w:eastAsia="黑体" w:cs="Times New Roman"/>
          <w:color w:val="auto"/>
          <w:sz w:val="32"/>
          <w:szCs w:val="32"/>
          <w:highlight w:val="none"/>
          <w:u w:val="none"/>
          <w:lang w:val="en-US" w:eastAsia="zh-CN"/>
        </w:rPr>
      </w:pPr>
      <w:r>
        <w:rPr>
          <w:rFonts w:hint="eastAsia" w:ascii="Times New Roman" w:hAnsi="Times New Roman" w:eastAsia="黑体" w:cs="Times New Roman"/>
          <w:color w:val="auto"/>
          <w:sz w:val="32"/>
          <w:szCs w:val="32"/>
          <w:highlight w:val="none"/>
          <w:u w:val="none"/>
          <w:lang w:val="en-US" w:eastAsia="zh-CN"/>
        </w:rPr>
        <w:t>十一、改进意见</w:t>
      </w:r>
    </w:p>
    <w:p>
      <w:pPr>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 xml:space="preserve">   1、</w:t>
      </w:r>
      <w:r>
        <w:rPr>
          <w:rFonts w:hint="eastAsia" w:ascii="仿宋_GB2312" w:hAnsi="宋体" w:eastAsia="仿宋_GB2312"/>
          <w:b/>
          <w:bCs/>
          <w:sz w:val="32"/>
          <w:szCs w:val="32"/>
          <w:lang w:val="en-US" w:eastAsia="zh-CN"/>
        </w:rPr>
        <w:t>提升孕前优生检查覆盖率</w:t>
      </w:r>
      <w:r>
        <w:rPr>
          <w:rFonts w:hint="eastAsia" w:ascii="仿宋_GB2312" w:hAnsi="宋体" w:eastAsia="仿宋_GB2312"/>
          <w:sz w:val="32"/>
          <w:szCs w:val="32"/>
          <w:lang w:val="en-US" w:eastAsia="zh-CN"/>
        </w:rPr>
        <w:t>。针对偏远牧区人员分散特点，组建流动体检服务队上门服务，分片开展入户动员宣传，普及优生检查益处；建立未参检人员台账，实行专人跟踪督促，补齐摸排动员短板，力争覆盖率达标。</w:t>
      </w:r>
    </w:p>
    <w:p>
      <w:pPr>
        <w:ind w:firstLine="642" w:firstLineChars="200"/>
        <w:rPr>
          <w:rFonts w:hint="eastAsia" w:ascii="仿宋_GB2312" w:hAnsi="宋体" w:eastAsia="仿宋_GB2312"/>
          <w:sz w:val="32"/>
          <w:szCs w:val="32"/>
          <w:lang w:val="en-US" w:eastAsia="zh-CN"/>
        </w:rPr>
      </w:pPr>
      <w:r>
        <w:rPr>
          <w:rFonts w:hint="eastAsia" w:ascii="仿宋_GB2312" w:hAnsi="宋体" w:eastAsia="仿宋_GB2312"/>
          <w:b/>
          <w:bCs/>
          <w:sz w:val="32"/>
          <w:szCs w:val="32"/>
          <w:lang w:val="en-US" w:eastAsia="zh-CN"/>
        </w:rPr>
        <w:t>2、提高计生政策知晓普及度。</w:t>
      </w:r>
      <w:r>
        <w:rPr>
          <w:rFonts w:hint="eastAsia" w:ascii="仿宋_GB2312" w:hAnsi="宋体" w:eastAsia="仿宋_GB2312"/>
          <w:sz w:val="32"/>
          <w:szCs w:val="32"/>
          <w:lang w:val="en-US" w:eastAsia="zh-CN"/>
        </w:rPr>
        <w:t>丰富宣传形式，依托村社广播、入户宣讲、牧民座谈会开展线下常态化宣传，用通俗语言解读生育配套、帮扶政策；针对牧区线上信号短板，集中时段推送线上宣传内容，分层分类做好政策解读，稳步提升群众知晓率。</w:t>
      </w:r>
    </w:p>
    <w:p>
      <w:pPr>
        <w:ind w:firstLine="642" w:firstLineChars="200"/>
        <w:rPr>
          <w:rFonts w:hint="default" w:ascii="仿宋_GB2312" w:hAnsi="宋体" w:eastAsia="仿宋_GB2312"/>
          <w:sz w:val="32"/>
          <w:szCs w:val="32"/>
          <w:lang w:val="en-US" w:eastAsia="zh-CN"/>
        </w:rPr>
      </w:pPr>
      <w:r>
        <w:rPr>
          <w:rFonts w:hint="eastAsia" w:ascii="仿宋_GB2312" w:hAnsi="宋体" w:eastAsia="仿宋_GB2312"/>
          <w:b/>
          <w:bCs/>
          <w:sz w:val="32"/>
          <w:szCs w:val="32"/>
          <w:lang w:val="en-US" w:eastAsia="zh-CN"/>
        </w:rPr>
        <w:t>3、优化服务提升群众满意度。</w:t>
      </w:r>
      <w:r>
        <w:rPr>
          <w:rFonts w:hint="eastAsia" w:ascii="仿宋_GB2312" w:hAnsi="宋体" w:eastAsia="仿宋_GB2312"/>
          <w:sz w:val="32"/>
          <w:szCs w:val="32"/>
          <w:lang w:val="en-US" w:eastAsia="zh-CN"/>
        </w:rPr>
        <w:t>规范计生服务流程，开展基层服务人员业务培训；搭建线上线下诉求反馈渠道，落实诉求登记、限时办理、回访闭环机制，及时回应解决群众咨询与诉求，补齐服务短板，提升服务满意度。</w:t>
      </w:r>
    </w:p>
    <w:p/>
    <w:p>
      <w:pPr>
        <w:pStyle w:val="3"/>
        <w:spacing w:before="120" w:after="120"/>
        <w:jc w:val="center"/>
        <w:rPr>
          <w:rFonts w:hint="eastAsia" w:ascii="Times New Roman" w:hAnsi="Times New Roman" w:eastAsia="黑体"/>
          <w:b w:val="0"/>
          <w:sz w:val="32"/>
        </w:rPr>
      </w:pPr>
    </w:p>
    <w:p>
      <w:pPr>
        <w:pStyle w:val="3"/>
        <w:spacing w:before="120" w:after="120"/>
        <w:jc w:val="center"/>
        <w:rPr>
          <w:rFonts w:hint="eastAsia" w:ascii="Times New Roman" w:hAnsi="Times New Roman" w:eastAsia="黑体"/>
          <w:b w:val="0"/>
          <w:sz w:val="32"/>
        </w:rPr>
      </w:pPr>
    </w:p>
    <w:p>
      <w:pPr>
        <w:pStyle w:val="3"/>
        <w:spacing w:before="120" w:after="120"/>
        <w:jc w:val="center"/>
        <w:rPr>
          <w:rFonts w:hint="eastAsia" w:ascii="Times New Roman" w:hAnsi="Times New Roman" w:eastAsia="黑体"/>
          <w:b w:val="0"/>
          <w:sz w:val="32"/>
        </w:rPr>
      </w:pPr>
    </w:p>
    <w:p>
      <w:pPr>
        <w:pStyle w:val="3"/>
        <w:spacing w:before="120" w:after="120"/>
        <w:jc w:val="center"/>
        <w:rPr>
          <w:rFonts w:hint="eastAsia" w:ascii="Times New Roman" w:hAnsi="Times New Roman" w:eastAsia="黑体"/>
          <w:b w:val="0"/>
          <w:sz w:val="32"/>
        </w:rPr>
      </w:pPr>
    </w:p>
    <w:p>
      <w:pPr>
        <w:rPr>
          <w:rFonts w:hint="eastAsia" w:ascii="Times New Roman" w:hAnsi="Times New Roman" w:eastAsia="黑体"/>
          <w:b w:val="0"/>
          <w:sz w:val="32"/>
        </w:rPr>
      </w:pPr>
    </w:p>
    <w:p>
      <w:pPr>
        <w:rPr>
          <w:rFonts w:hint="eastAsia" w:ascii="Times New Roman" w:hAnsi="Times New Roman" w:eastAsia="黑体"/>
          <w:b w:val="0"/>
          <w:sz w:val="32"/>
        </w:rPr>
      </w:pPr>
    </w:p>
    <w:p>
      <w:pPr>
        <w:rPr>
          <w:rFonts w:hint="eastAsia" w:ascii="Times New Roman" w:hAnsi="Times New Roman" w:eastAsia="黑体"/>
          <w:b w:val="0"/>
          <w:sz w:val="32"/>
        </w:rPr>
      </w:pPr>
    </w:p>
    <w:p>
      <w:pPr>
        <w:pStyle w:val="3"/>
        <w:spacing w:before="120" w:after="120"/>
        <w:jc w:val="center"/>
      </w:pPr>
      <w:r>
        <w:rPr>
          <w:rFonts w:hint="eastAsia" w:ascii="Times New Roman" w:hAnsi="Times New Roman" w:eastAsia="黑体"/>
          <w:b w:val="0"/>
          <w:sz w:val="32"/>
        </w:rPr>
        <w:t>第五部分  附表</w:t>
      </w:r>
    </w:p>
    <w:p>
      <w:pPr>
        <w:pStyle w:val="3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3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 w:name="_Toc15396620"/>
      <w:r>
        <w:rPr>
          <w:rFonts w:hint="eastAsia" w:ascii="Times New Roman" w:hAnsi="Times New Roman" w:eastAsia="仿宋_GB2312" w:cs="仿宋_GB2312"/>
          <w:color w:val="auto"/>
          <w:sz w:val="32"/>
          <w:szCs w:val="32"/>
          <w:highlight w:val="none"/>
        </w:rPr>
        <w:t>二、收入决算表</w:t>
      </w:r>
      <w:bookmarkEnd w:id="6"/>
    </w:p>
    <w:p>
      <w:pPr>
        <w:pStyle w:val="3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 w:name="_Toc15396621"/>
      <w:r>
        <w:rPr>
          <w:rFonts w:hint="eastAsia" w:ascii="Times New Roman" w:hAnsi="Times New Roman" w:eastAsia="仿宋_GB2312" w:cs="仿宋_GB2312"/>
          <w:color w:val="auto"/>
          <w:sz w:val="32"/>
          <w:szCs w:val="32"/>
          <w:highlight w:val="none"/>
        </w:rPr>
        <w:t>三、支出决算表</w:t>
      </w:r>
      <w:bookmarkEnd w:id="7"/>
    </w:p>
    <w:p>
      <w:pPr>
        <w:pStyle w:val="3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 w:name="_Toc15396622"/>
      <w:r>
        <w:rPr>
          <w:rFonts w:hint="eastAsia" w:ascii="Times New Roman" w:hAnsi="Times New Roman" w:eastAsia="仿宋_GB2312" w:cs="仿宋_GB2312"/>
          <w:color w:val="auto"/>
          <w:sz w:val="32"/>
          <w:szCs w:val="32"/>
          <w:highlight w:val="none"/>
        </w:rPr>
        <w:t>四、财政拨款收入支出决算总表</w:t>
      </w:r>
      <w:bookmarkEnd w:id="8"/>
    </w:p>
    <w:p>
      <w:pPr>
        <w:pStyle w:val="3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 w:name="_Toc15396623"/>
      <w:r>
        <w:rPr>
          <w:rFonts w:hint="eastAsia" w:ascii="Times New Roman" w:hAnsi="Times New Roman" w:eastAsia="仿宋_GB2312" w:cs="仿宋_GB2312"/>
          <w:color w:val="auto"/>
          <w:sz w:val="32"/>
          <w:szCs w:val="32"/>
          <w:highlight w:val="none"/>
        </w:rPr>
        <w:t>五、财政拨款支出决算明细表</w:t>
      </w:r>
      <w:bookmarkEnd w:id="9"/>
      <w:bookmarkStart w:id="10" w:name="_Toc15396624"/>
    </w:p>
    <w:p>
      <w:pPr>
        <w:pStyle w:val="3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10"/>
    </w:p>
    <w:p>
      <w:pPr>
        <w:pStyle w:val="3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 w:name="_Toc15396625"/>
      <w:r>
        <w:rPr>
          <w:rFonts w:hint="eastAsia" w:ascii="Times New Roman" w:hAnsi="Times New Roman" w:eastAsia="仿宋_GB2312" w:cs="仿宋_GB2312"/>
          <w:color w:val="auto"/>
          <w:sz w:val="32"/>
          <w:szCs w:val="32"/>
          <w:highlight w:val="none"/>
        </w:rPr>
        <w:t>七、一般公共预算财政拨款支出决算明细表</w:t>
      </w:r>
      <w:bookmarkEnd w:id="11"/>
    </w:p>
    <w:p>
      <w:pPr>
        <w:pStyle w:val="3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 w:name="_Toc15396626"/>
      <w:r>
        <w:rPr>
          <w:rFonts w:hint="eastAsia" w:ascii="Times New Roman" w:hAnsi="Times New Roman" w:eastAsia="仿宋_GB2312" w:cs="仿宋_GB2312"/>
          <w:color w:val="auto"/>
          <w:sz w:val="32"/>
          <w:szCs w:val="32"/>
          <w:highlight w:val="none"/>
        </w:rPr>
        <w:t>八、一般公共预算财政拨款基本支出决算表</w:t>
      </w:r>
      <w:bookmarkEnd w:id="12"/>
    </w:p>
    <w:p>
      <w:pPr>
        <w:pStyle w:val="3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 w:name="_Toc15396627"/>
      <w:r>
        <w:rPr>
          <w:rFonts w:hint="eastAsia" w:ascii="Times New Roman" w:hAnsi="Times New Roman" w:eastAsia="仿宋_GB2312" w:cs="仿宋_GB2312"/>
          <w:color w:val="auto"/>
          <w:sz w:val="32"/>
          <w:szCs w:val="32"/>
          <w:highlight w:val="none"/>
        </w:rPr>
        <w:t>九、一般公共预算财政拨款项目支出决算表</w:t>
      </w:r>
      <w:bookmarkEnd w:id="13"/>
    </w:p>
    <w:p>
      <w:pPr>
        <w:pStyle w:val="3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4" w:name="_Toc15396628"/>
      <w:r>
        <w:rPr>
          <w:rFonts w:hint="eastAsia" w:ascii="Times New Roman" w:hAnsi="Times New Roman" w:eastAsia="仿宋_GB2312" w:cs="仿宋_GB2312"/>
          <w:color w:val="auto"/>
          <w:sz w:val="32"/>
          <w:szCs w:val="32"/>
          <w:highlight w:val="none"/>
        </w:rPr>
        <w:t>十、</w:t>
      </w:r>
      <w:bookmarkEnd w:id="14"/>
      <w:r>
        <w:rPr>
          <w:rFonts w:hint="eastAsia" w:ascii="Times New Roman" w:hAnsi="Times New Roman" w:eastAsia="仿宋_GB2312" w:cs="仿宋_GB2312"/>
          <w:color w:val="auto"/>
          <w:sz w:val="32"/>
          <w:szCs w:val="32"/>
          <w:highlight w:val="none"/>
        </w:rPr>
        <w:t>政府性基金预算财政拨款收入支出决算表</w:t>
      </w:r>
    </w:p>
    <w:p>
      <w:pPr>
        <w:pStyle w:val="3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5" w:name="_Toc15396629"/>
      <w:r>
        <w:rPr>
          <w:rFonts w:hint="eastAsia" w:ascii="Times New Roman" w:hAnsi="Times New Roman" w:eastAsia="仿宋_GB2312" w:cs="仿宋_GB2312"/>
          <w:color w:val="auto"/>
          <w:sz w:val="32"/>
          <w:szCs w:val="32"/>
          <w:highlight w:val="none"/>
        </w:rPr>
        <w:t>十一、</w:t>
      </w:r>
      <w:bookmarkEnd w:id="1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3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6" w:name="_Toc15396630"/>
      <w:r>
        <w:rPr>
          <w:rFonts w:hint="eastAsia" w:ascii="Times New Roman" w:hAnsi="Times New Roman" w:eastAsia="仿宋_GB2312" w:cs="仿宋_GB2312"/>
          <w:color w:val="auto"/>
          <w:sz w:val="32"/>
          <w:szCs w:val="32"/>
          <w:highlight w:val="none"/>
        </w:rPr>
        <w:t>十二、</w:t>
      </w:r>
      <w:bookmarkEnd w:id="16"/>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3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7" w:name="_Toc15396631"/>
      <w:r>
        <w:rPr>
          <w:rFonts w:hint="eastAsia" w:ascii="Times New Roman" w:hAnsi="Times New Roman" w:eastAsia="仿宋_GB2312" w:cs="仿宋_GB2312"/>
          <w:color w:val="auto"/>
          <w:sz w:val="32"/>
          <w:szCs w:val="32"/>
          <w:highlight w:val="none"/>
        </w:rPr>
        <w:t>十三、</w:t>
      </w:r>
      <w:bookmarkEnd w:id="17"/>
      <w:r>
        <w:rPr>
          <w:rFonts w:hint="eastAsia" w:ascii="Times New Roman" w:hAnsi="Times New Roman" w:eastAsia="仿宋_GB2312" w:cs="仿宋_GB2312"/>
          <w:color w:val="auto"/>
          <w:sz w:val="32"/>
          <w:szCs w:val="32"/>
          <w:highlight w:val="none"/>
          <w:lang w:eastAsia="zh-CN"/>
        </w:rPr>
        <w:t>财政拨款“三公”经费支出决算表</w:t>
      </w:r>
    </w:p>
    <w:p>
      <w:pPr>
        <w:spacing w:before="160" w:after="80" w:line="400" w:lineRule="exact"/>
        <w:jc w:val="center"/>
      </w:pPr>
    </w:p>
    <w:p>
      <w:pPr>
        <w:spacing w:before="0" w:after="0" w:line="560" w:lineRule="exact"/>
        <w:ind w:firstLine="640"/>
      </w:pPr>
    </w:p>
    <w:sectPr>
      <w:footerReference r:id="rId6" w:type="default"/>
      <w:pgSz w:w="11906" w:h="16838"/>
      <w:pgMar w:top="1440" w:right="1800" w:bottom="1440" w:left="1800" w:header="720" w:footer="720" w:gutter="0"/>
      <w:pgNumType w:fmt="decimal"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auto"/>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ＭＳ 明朝">
    <w:altName w:val="仿宋"/>
    <w:panose1 w:val="00000000000000000000"/>
    <w:charset w:val="80"/>
    <w:family w:val="roman"/>
    <w:pitch w:val="default"/>
    <w:sig w:usb0="00000000" w:usb1="00000000" w:usb2="00000010" w:usb3="00000000" w:csb0="00020000" w:csb1="00000000"/>
  </w:font>
  <w:font w:name="仿宋">
    <w:panose1 w:val="02010609060101010101"/>
    <w:charset w:val="86"/>
    <w:family w:val="auto"/>
    <w:pitch w:val="default"/>
    <w:sig w:usb0="800002BF" w:usb1="38CF7CFA" w:usb2="00000016" w:usb3="00000000" w:csb0="00040001" w:csb1="00000000"/>
  </w:font>
  <w:font w:name="ＭＳ 明朝">
    <w:altName w:val="仿宋"/>
    <w:panose1 w:val="00000000000000000000"/>
    <w:charset w:val="86"/>
    <w:family w:val="auto"/>
    <w:pitch w:val="default"/>
    <w:sig w:usb0="00000000" w:usb1="00000000" w:usb2="00000000" w:usb3="00000000" w:csb0="00000000" w:csb1="00000000"/>
  </w:font>
  <w:font w:name="ＭＳ ゴシック">
    <w:altName w:val="仿宋"/>
    <w:panose1 w:val="00000000000000000000"/>
    <w:charset w:val="00"/>
    <w:family w:val="auto"/>
    <w:pitch w:val="default"/>
    <w:sig w:usb0="00000000" w:usb1="00000000" w:usb2="00000000" w:usb3="00000000" w:csb0="00000000" w:csb1="00000000"/>
  </w:font>
  <w:font w:name="Courier">
    <w:altName w:val="DejaVu Math TeX Gyre"/>
    <w:panose1 w:val="020005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仿宋_GB2312">
    <w:panose1 w:val="02010609030101010101"/>
    <w:charset w:val="86"/>
    <w:family w:val="modern"/>
    <w:pitch w:val="default"/>
    <w:sig w:usb0="00000001" w:usb1="080E0000" w:usb2="00000000" w:usb3="00000000" w:csb0="00040000" w:csb1="00000000"/>
  </w:font>
  <w:font w:name="Angsana New">
    <w:altName w:val="Noto Serif Thai"/>
    <w:panose1 w:val="02020603050405020304"/>
    <w:charset w:val="DE"/>
    <w:family w:val="roman"/>
    <w:pitch w:val="default"/>
    <w:sig w:usb0="00000000" w:usb1="00000000" w:usb2="00000000" w:usb3="00000000" w:csb0="00010001" w:csb1="00000000"/>
  </w:font>
  <w:font w:name="Noto Serif Thai">
    <w:panose1 w:val="02020502060505020204"/>
    <w:charset w:val="00"/>
    <w:family w:val="auto"/>
    <w:pitch w:val="default"/>
    <w:sig w:usb0="81000063" w:usb1="00002000" w:usb2="00000000" w:usb3="00000000" w:csb0="00010000" w:csb1="00000000"/>
  </w:font>
  <w:font w:name="??">
    <w:altName w:val="宋体"/>
    <w:panose1 w:val="00000000000000000000"/>
    <w:charset w:val="00"/>
    <w:family w:val="roman"/>
    <w:pitch w:val="default"/>
    <w:sig w:usb0="00000000" w:usb1="00000000" w:usb2="00000000"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方正小标宋_GBK">
    <w:panose1 w:val="03000502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ＭＳ 明朝">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ascii="Times New Roman" w:hAnsi="Times New Roman"/>
        <w:sz w:val="21"/>
      </w:rPr>
    </w:pPr>
    <w:r>
      <w:fldChar w:fldCharType="begin"/>
    </w:r>
    <w:r>
      <w:instrText xml:space="preserve"> PAGE </w:instrText>
    </w:r>
    <w:r>
      <w:fldChar w:fldCharType="separate"/>
    </w:r>
    <w:r>
      <w:rPr>
        <w:rFonts w:ascii="Times New Roman" w:hAnsi="Times New Roman"/>
        <w:sz w:val="21"/>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ascii="Times New Roman" w:hAnsi="Times New Roman"/>
        <w:sz w:val="21"/>
      </w:rPr>
    </w:pPr>
    <w:r>
      <w:fldChar w:fldCharType="begin"/>
    </w:r>
    <w:r>
      <w:instrText xml:space="preserve"> PAGE </w:instrText>
    </w:r>
    <w:r>
      <w:fldChar w:fldCharType="separate"/>
    </w:r>
    <w:r>
      <w:rPr>
        <w:rFonts w:ascii="Times New Roman" w:hAnsi="Times New Roman"/>
        <w:sz w:val="21"/>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EA5329"/>
    <w:multiLevelType w:val="singleLevel"/>
    <w:tmpl w:val="BFEA5329"/>
    <w:lvl w:ilvl="0" w:tentative="0">
      <w:start w:val="8"/>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D596C9F"/>
    <w:rsid w:val="15CB18D5"/>
    <w:rsid w:val="46BFA955"/>
    <w:rsid w:val="53837388"/>
    <w:rsid w:val="54B729A1"/>
    <w:rsid w:val="55365E33"/>
    <w:rsid w:val="5EFA20EE"/>
    <w:rsid w:val="708D78E6"/>
    <w:rsid w:val="7BF3D1D1"/>
  </w:rsids>
  <m:mathPr>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仿宋" w:cstheme="minorBidi"/>
      <w:sz w:val="32"/>
      <w:szCs w:val="22"/>
      <w:lang w:val="en-US" w:eastAsia="en-US" w:bidi="ar-SA"/>
    </w:rPr>
  </w:style>
  <w:style w:type="paragraph" w:styleId="3">
    <w:name w:val="heading 1"/>
    <w:basedOn w:val="1"/>
    <w:next w:val="1"/>
    <w:link w:val="17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7"/>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69"/>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48"/>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49"/>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9"/>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2"/>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61"/>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7">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2">
    <w:name w:val="macro"/>
    <w:link w:val="15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70"/>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50"/>
    <w:unhideWhenUsed/>
    <w:qFormat/>
    <w:uiPriority w:val="99"/>
    <w:pPr>
      <w:spacing w:after="120"/>
    </w:pPr>
  </w:style>
  <w:style w:type="paragraph" w:styleId="20">
    <w:name w:val="Body Text Indent"/>
    <w:basedOn w:val="1"/>
    <w:qFormat/>
    <w:uiPriority w:val="0"/>
    <w:pPr>
      <w:spacing w:after="120"/>
      <w:ind w:leftChars="200"/>
    </w:pPr>
    <w:rPr>
      <w:rFonts w:ascii="仿宋_GB2312"/>
      <w:szCs w:val="32"/>
    </w:r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62"/>
    <w:unhideWhenUsed/>
    <w:qFormat/>
    <w:uiPriority w:val="99"/>
    <w:pPr>
      <w:tabs>
        <w:tab w:val="center" w:pos="4680"/>
        <w:tab w:val="right" w:pos="9360"/>
      </w:tabs>
      <w:spacing w:after="0" w:line="240" w:lineRule="auto"/>
    </w:pPr>
  </w:style>
  <w:style w:type="paragraph" w:styleId="26">
    <w:name w:val="header"/>
    <w:basedOn w:val="1"/>
    <w:link w:val="157"/>
    <w:unhideWhenUsed/>
    <w:qFormat/>
    <w:uiPriority w:val="99"/>
    <w:pPr>
      <w:tabs>
        <w:tab w:val="center" w:pos="4680"/>
        <w:tab w:val="right" w:pos="9360"/>
      </w:tabs>
      <w:spacing w:after="0" w:line="240" w:lineRule="auto"/>
    </w:pPr>
  </w:style>
  <w:style w:type="paragraph" w:styleId="27">
    <w:name w:val="Subtitle"/>
    <w:basedOn w:val="1"/>
    <w:next w:val="1"/>
    <w:link w:val="15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footnote text"/>
    <w:basedOn w:val="1"/>
    <w:next w:val="30"/>
    <w:semiHidden/>
    <w:qFormat/>
    <w:uiPriority w:val="0"/>
    <w:pPr>
      <w:snapToGrid w:val="0"/>
      <w:jc w:val="left"/>
    </w:pPr>
    <w:rPr>
      <w:sz w:val="18"/>
      <w:szCs w:val="18"/>
    </w:rPr>
  </w:style>
  <w:style w:type="paragraph" w:styleId="30">
    <w:name w:val="Body Text First Indent 2"/>
    <w:basedOn w:val="20"/>
    <w:unhideWhenUsed/>
    <w:qFormat/>
    <w:uiPriority w:val="99"/>
    <w:pPr>
      <w:ind w:firstLine="420" w:firstLineChars="200"/>
    </w:pPr>
  </w:style>
  <w:style w:type="paragraph" w:styleId="31">
    <w:name w:val="toc 2"/>
    <w:basedOn w:val="1"/>
    <w:next w:val="1"/>
    <w:unhideWhenUsed/>
    <w:qFormat/>
    <w:uiPriority w:val="39"/>
    <w:pPr>
      <w:tabs>
        <w:tab w:val="right" w:leader="dot" w:pos="8296"/>
      </w:tabs>
      <w:ind w:left="420" w:leftChars="200"/>
    </w:pPr>
  </w:style>
  <w:style w:type="paragraph" w:styleId="32">
    <w:name w:val="Body Text 2"/>
    <w:basedOn w:val="1"/>
    <w:link w:val="143"/>
    <w:unhideWhenUsed/>
    <w:qFormat/>
    <w:uiPriority w:val="99"/>
    <w:pPr>
      <w:spacing w:after="120" w:line="480" w:lineRule="auto"/>
    </w:pPr>
  </w:style>
  <w:style w:type="paragraph" w:styleId="33">
    <w:name w:val="List Continue 2"/>
    <w:basedOn w:val="1"/>
    <w:unhideWhenUsed/>
    <w:qFormat/>
    <w:uiPriority w:val="99"/>
    <w:pPr>
      <w:spacing w:after="120"/>
      <w:ind w:left="720"/>
      <w:contextualSpacing/>
    </w:pPr>
  </w:style>
  <w:style w:type="paragraph" w:styleId="34">
    <w:name w:val="Normal (Web)"/>
    <w:basedOn w:val="1"/>
    <w:qFormat/>
    <w:uiPriority w:val="0"/>
    <w:pPr>
      <w:spacing w:beforeAutospacing="1" w:afterAutospacing="1"/>
    </w:pPr>
    <w:rPr>
      <w:rFonts w:cs="Angsana New"/>
      <w:kern w:val="0"/>
      <w:sz w:val="24"/>
      <w:lang w:bidi="th-TH"/>
    </w:rPr>
  </w:style>
  <w:style w:type="paragraph" w:styleId="35">
    <w:name w:val="List Continue 3"/>
    <w:basedOn w:val="1"/>
    <w:unhideWhenUsed/>
    <w:qFormat/>
    <w:uiPriority w:val="99"/>
    <w:pPr>
      <w:spacing w:after="120"/>
      <w:ind w:left="1080"/>
      <w:contextualSpacing/>
    </w:pPr>
  </w:style>
  <w:style w:type="paragraph" w:styleId="36">
    <w:name w:val="Title"/>
    <w:basedOn w:val="1"/>
    <w:next w:val="1"/>
    <w:link w:val="146"/>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8">
    <w:name w:val="Table Grid"/>
    <w:basedOn w:val="3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9">
    <w:name w:val="Light Shading"/>
    <w:basedOn w:val="37"/>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0">
    <w:name w:val="Light Shading Accent 1"/>
    <w:basedOn w:val="37"/>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1">
    <w:name w:val="Light Shading Accent 2"/>
    <w:basedOn w:val="37"/>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2">
    <w:name w:val="Light Shading Accent 3"/>
    <w:basedOn w:val="37"/>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3">
    <w:name w:val="Light Shading Accent 4"/>
    <w:basedOn w:val="37"/>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4">
    <w:name w:val="Light Shading Accent 5"/>
    <w:basedOn w:val="37"/>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5">
    <w:name w:val="Light Shading Accent 6"/>
    <w:basedOn w:val="37"/>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6">
    <w:name w:val="Light List"/>
    <w:basedOn w:val="37"/>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7">
    <w:name w:val="Light List Accent 1"/>
    <w:basedOn w:val="37"/>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8">
    <w:name w:val="Light List Accent 2"/>
    <w:basedOn w:val="37"/>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9">
    <w:name w:val="Light List Accent 3"/>
    <w:basedOn w:val="37"/>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0">
    <w:name w:val="Light List Accent 4"/>
    <w:basedOn w:val="37"/>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1">
    <w:name w:val="Light List Accent 5"/>
    <w:basedOn w:val="37"/>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2">
    <w:name w:val="Light List Accent 6"/>
    <w:basedOn w:val="37"/>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3">
    <w:name w:val="Light Grid"/>
    <w:basedOn w:val="37"/>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4">
    <w:name w:val="Light Grid Accent 1"/>
    <w:basedOn w:val="37"/>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5">
    <w:name w:val="Light Grid Accent 2"/>
    <w:basedOn w:val="37"/>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6">
    <w:name w:val="Light Grid Accent 3"/>
    <w:basedOn w:val="37"/>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7">
    <w:name w:val="Light Grid Accent 4"/>
    <w:basedOn w:val="37"/>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8">
    <w:name w:val="Light Grid Accent 5"/>
    <w:basedOn w:val="37"/>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9">
    <w:name w:val="Light Grid Accent 6"/>
    <w:basedOn w:val="37"/>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0">
    <w:name w:val="Medium Shading 1"/>
    <w:basedOn w:val="37"/>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1">
    <w:name w:val="Medium Shading 1 Accent 1"/>
    <w:basedOn w:val="37"/>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2">
    <w:name w:val="Medium Shading 1 Accent 2"/>
    <w:basedOn w:val="37"/>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3">
    <w:name w:val="Medium Shading 1 Accent 3"/>
    <w:basedOn w:val="37"/>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4">
    <w:name w:val="Medium Shading 1 Accent 4"/>
    <w:basedOn w:val="37"/>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5">
    <w:name w:val="Medium Shading 1 Accent 5"/>
    <w:basedOn w:val="37"/>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6">
    <w:name w:val="Medium Shading 1 Accent 6"/>
    <w:basedOn w:val="37"/>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7">
    <w:name w:val="Medium Shading 2"/>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1"/>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2"/>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3"/>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4"/>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5"/>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6"/>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List 1"/>
    <w:basedOn w:val="37"/>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5">
    <w:name w:val="Medium List 1 Accent 1"/>
    <w:basedOn w:val="37"/>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6">
    <w:name w:val="Medium List 1 Accent 2"/>
    <w:basedOn w:val="37"/>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7">
    <w:name w:val="Medium List 1 Accent 3"/>
    <w:basedOn w:val="37"/>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8">
    <w:name w:val="Medium List 1 Accent 4"/>
    <w:basedOn w:val="37"/>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9">
    <w:name w:val="Medium List 1 Accent 5"/>
    <w:basedOn w:val="37"/>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0">
    <w:name w:val="Medium List 1 Accent 6"/>
    <w:basedOn w:val="37"/>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1">
    <w:name w:val="Medium List 2"/>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1"/>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2"/>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3"/>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4"/>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5"/>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6"/>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Grid 1"/>
    <w:basedOn w:val="37"/>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9">
    <w:name w:val="Medium Grid 1 Accent 1"/>
    <w:basedOn w:val="37"/>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0">
    <w:name w:val="Medium Grid 1 Accent 2"/>
    <w:basedOn w:val="37"/>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1">
    <w:name w:val="Medium Grid 1 Accent 3"/>
    <w:basedOn w:val="37"/>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2">
    <w:name w:val="Medium Grid 1 Accent 4"/>
    <w:basedOn w:val="37"/>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3">
    <w:name w:val="Medium Grid 1 Accent 5"/>
    <w:basedOn w:val="37"/>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4">
    <w:name w:val="Medium Grid 1 Accent 6"/>
    <w:basedOn w:val="37"/>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5">
    <w:name w:val="Medium Grid 2"/>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6">
    <w:name w:val="Medium Grid 2 Accent 1"/>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7">
    <w:name w:val="Medium Grid 2 Accent 2"/>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8">
    <w:name w:val="Medium Grid 2 Accent 3"/>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9">
    <w:name w:val="Medium Grid 2 Accent 4"/>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0">
    <w:name w:val="Medium Grid 2 Accent 5"/>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1">
    <w:name w:val="Medium Grid 2 Accent 6"/>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2">
    <w:name w:val="Medium Grid 3"/>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3">
    <w:name w:val="Medium Grid 3 Accent 1"/>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4">
    <w:name w:val="Medium Grid 3 Accent 2"/>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5">
    <w:name w:val="Medium Grid 3 Accent 3"/>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6">
    <w:name w:val="Medium Grid 3 Accent 4"/>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7">
    <w:name w:val="Medium Grid 3 Accent 5"/>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8">
    <w:name w:val="Medium Grid 3 Accent 6"/>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9">
    <w:name w:val="Dark List"/>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0">
    <w:name w:val="Dark List Accent 1"/>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1">
    <w:name w:val="Dark List Accent 2"/>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2">
    <w:name w:val="Dark List Accent 3"/>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3">
    <w:name w:val="Dark List Accent 4"/>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4">
    <w:name w:val="Dark List Accent 5"/>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5">
    <w:name w:val="Dark List Accent 6"/>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6">
    <w:name w:val="Colorful Shading"/>
    <w:basedOn w:val="37"/>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1"/>
    <w:basedOn w:val="37"/>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2"/>
    <w:basedOn w:val="37"/>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3"/>
    <w:basedOn w:val="37"/>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0">
    <w:name w:val="Colorful Shading Accent 4"/>
    <w:basedOn w:val="37"/>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5"/>
    <w:basedOn w:val="37"/>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6"/>
    <w:basedOn w:val="37"/>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List"/>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4">
    <w:name w:val="Colorful List Accent 1"/>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5">
    <w:name w:val="Colorful List Accent 2"/>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6">
    <w:name w:val="Colorful List Accent 3"/>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7">
    <w:name w:val="Colorful List Accent 4"/>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8">
    <w:name w:val="Colorful List Accent 5"/>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9">
    <w:name w:val="Colorful List Accent 6"/>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0">
    <w:name w:val="Colorful Grid"/>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1">
    <w:name w:val="Colorful Grid Accent 1"/>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2">
    <w:name w:val="Colorful Grid Accent 2"/>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Colorful Grid Accent 3"/>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4">
    <w:name w:val="Colorful Grid Accent 4"/>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5">
    <w:name w:val="Colorful Grid Accent 5"/>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6">
    <w:name w:val="Colorful Grid Accent 6"/>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8">
    <w:name w:val="Strong"/>
    <w:basedOn w:val="137"/>
    <w:qFormat/>
    <w:uiPriority w:val="22"/>
    <w:rPr>
      <w:b/>
      <w:bCs/>
    </w:rPr>
  </w:style>
  <w:style w:type="character" w:styleId="139">
    <w:name w:val="Emphasis"/>
    <w:basedOn w:val="137"/>
    <w:qFormat/>
    <w:uiPriority w:val="20"/>
    <w:rPr>
      <w:i/>
      <w:iCs/>
    </w:rPr>
  </w:style>
  <w:style w:type="paragraph" w:customStyle="1" w:styleId="140">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141">
    <w:name w:val="Subtle Emphasis"/>
    <w:basedOn w:val="137"/>
    <w:qFormat/>
    <w:uiPriority w:val="19"/>
    <w:rPr>
      <w:i/>
      <w:iCs/>
      <w:color w:val="808080" w:themeColor="text1" w:themeTint="80"/>
      <w14:textFill>
        <w14:solidFill>
          <w14:schemeClr w14:val="tx1">
            <w14:lumMod w14:val="50000"/>
            <w14:lumOff w14:val="50000"/>
          </w14:schemeClr>
        </w14:solidFill>
      </w14:textFill>
    </w:rPr>
  </w:style>
  <w:style w:type="paragraph" w:styleId="142">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3">
    <w:name w:val="Body Text 2 Char"/>
    <w:basedOn w:val="137"/>
    <w:link w:val="32"/>
    <w:qFormat/>
    <w:uiPriority w:val="99"/>
  </w:style>
  <w:style w:type="paragraph" w:customStyle="1" w:styleId="144">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45">
    <w:name w:val="Book Title"/>
    <w:basedOn w:val="137"/>
    <w:qFormat/>
    <w:uiPriority w:val="33"/>
    <w:rPr>
      <w:b/>
      <w:bCs/>
      <w:smallCaps/>
      <w:spacing w:val="5"/>
    </w:rPr>
  </w:style>
  <w:style w:type="character" w:customStyle="1" w:styleId="146">
    <w:name w:val="Title Char"/>
    <w:basedOn w:val="137"/>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7">
    <w:name w:val="Heading 2 Char"/>
    <w:basedOn w:val="137"/>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8">
    <w:name w:val="Heading 4 Char"/>
    <w:basedOn w:val="137"/>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49">
    <w:name w:val="Heading 5 Char"/>
    <w:basedOn w:val="137"/>
    <w:link w:val="7"/>
    <w:semiHidden/>
    <w:qFormat/>
    <w:uiPriority w:val="9"/>
    <w:rPr>
      <w:rFonts w:asciiTheme="majorHAnsi" w:hAnsiTheme="majorHAnsi" w:eastAsiaTheme="majorEastAsia" w:cstheme="majorBidi"/>
      <w:color w:val="254061" w:themeColor="accent1" w:themeShade="80"/>
    </w:rPr>
  </w:style>
  <w:style w:type="character" w:customStyle="1" w:styleId="150">
    <w:name w:val="Body Text Char"/>
    <w:basedOn w:val="137"/>
    <w:link w:val="19"/>
    <w:qFormat/>
    <w:uiPriority w:val="99"/>
  </w:style>
  <w:style w:type="paragraph" w:styleId="151">
    <w:name w:val="Quote"/>
    <w:basedOn w:val="1"/>
    <w:next w:val="1"/>
    <w:link w:val="163"/>
    <w:qFormat/>
    <w:uiPriority w:val="29"/>
    <w:rPr>
      <w:i/>
      <w:iCs/>
      <w:color w:val="000000" w:themeColor="text1"/>
      <w14:textFill>
        <w14:solidFill>
          <w14:schemeClr w14:val="tx1"/>
        </w14:solidFill>
      </w14:textFill>
    </w:rPr>
  </w:style>
  <w:style w:type="character" w:customStyle="1" w:styleId="152">
    <w:name w:val="Heading 7 Char"/>
    <w:basedOn w:val="137"/>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3">
    <w:name w:val="Subtitle Char"/>
    <w:basedOn w:val="137"/>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154">
    <w:name w:val="Intense Reference"/>
    <w:basedOn w:val="137"/>
    <w:qFormat/>
    <w:uiPriority w:val="32"/>
    <w:rPr>
      <w:b/>
      <w:bCs/>
      <w:smallCaps/>
      <w:color w:val="C0504D" w:themeColor="accent2"/>
      <w:spacing w:val="5"/>
      <w:u w:val="single"/>
      <w14:textFill>
        <w14:solidFill>
          <w14:schemeClr w14:val="accent2"/>
        </w14:solidFill>
      </w14:textFill>
    </w:rPr>
  </w:style>
  <w:style w:type="character" w:customStyle="1" w:styleId="155">
    <w:name w:val="Intense Quote Char"/>
    <w:basedOn w:val="137"/>
    <w:link w:val="156"/>
    <w:qFormat/>
    <w:uiPriority w:val="30"/>
    <w:rPr>
      <w:b/>
      <w:bCs/>
      <w:i/>
      <w:iCs/>
      <w:color w:val="4F81BD" w:themeColor="accent1"/>
      <w14:textFill>
        <w14:solidFill>
          <w14:schemeClr w14:val="accent1"/>
        </w14:solidFill>
      </w14:textFill>
    </w:rPr>
  </w:style>
  <w:style w:type="paragraph" w:styleId="156">
    <w:name w:val="Intense Quote"/>
    <w:basedOn w:val="1"/>
    <w:next w:val="1"/>
    <w:link w:val="155"/>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Header Char"/>
    <w:basedOn w:val="137"/>
    <w:link w:val="26"/>
    <w:qFormat/>
    <w:uiPriority w:val="99"/>
  </w:style>
  <w:style w:type="character" w:customStyle="1" w:styleId="158">
    <w:name w:val="Macro Text Char"/>
    <w:basedOn w:val="137"/>
    <w:link w:val="2"/>
    <w:qFormat/>
    <w:uiPriority w:val="99"/>
    <w:rPr>
      <w:rFonts w:ascii="Courier" w:hAnsi="Courier"/>
      <w:sz w:val="20"/>
      <w:szCs w:val="20"/>
    </w:rPr>
  </w:style>
  <w:style w:type="character" w:customStyle="1" w:styleId="159">
    <w:name w:val="Heading 6 Char"/>
    <w:basedOn w:val="137"/>
    <w:link w:val="8"/>
    <w:semiHidden/>
    <w:qFormat/>
    <w:uiPriority w:val="9"/>
    <w:rPr>
      <w:rFonts w:asciiTheme="majorHAnsi" w:hAnsiTheme="majorHAnsi" w:eastAsiaTheme="majorEastAsia" w:cstheme="majorBidi"/>
      <w:i/>
      <w:iCs/>
      <w:color w:val="254061" w:themeColor="accent1" w:themeShade="80"/>
    </w:rPr>
  </w:style>
  <w:style w:type="paragraph" w:styleId="160">
    <w:name w:val="List Paragraph"/>
    <w:basedOn w:val="1"/>
    <w:qFormat/>
    <w:uiPriority w:val="34"/>
    <w:pPr>
      <w:ind w:left="720"/>
      <w:contextualSpacing/>
    </w:pPr>
  </w:style>
  <w:style w:type="character" w:customStyle="1" w:styleId="161">
    <w:name w:val="Heading 8 Char"/>
    <w:basedOn w:val="137"/>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2">
    <w:name w:val="Footer Char"/>
    <w:basedOn w:val="137"/>
    <w:link w:val="25"/>
    <w:qFormat/>
    <w:uiPriority w:val="99"/>
  </w:style>
  <w:style w:type="character" w:customStyle="1" w:styleId="163">
    <w:name w:val="Quote Char"/>
    <w:basedOn w:val="137"/>
    <w:link w:val="151"/>
    <w:qFormat/>
    <w:uiPriority w:val="29"/>
    <w:rPr>
      <w:i/>
      <w:iCs/>
      <w:color w:val="000000" w:themeColor="text1"/>
      <w14:textFill>
        <w14:solidFill>
          <w14:schemeClr w14:val="tx1"/>
        </w14:solidFill>
      </w14:textFill>
    </w:rPr>
  </w:style>
  <w:style w:type="character" w:customStyle="1" w:styleId="164">
    <w:name w:val="Intense Emphasis"/>
    <w:basedOn w:val="137"/>
    <w:qFormat/>
    <w:uiPriority w:val="21"/>
    <w:rPr>
      <w:b/>
      <w:bCs/>
      <w:i/>
      <w:iCs/>
      <w:color w:val="4F81BD" w:themeColor="accent1"/>
      <w14:textFill>
        <w14:solidFill>
          <w14:schemeClr w14:val="accent1"/>
        </w14:solidFill>
      </w14:textFill>
    </w:rPr>
  </w:style>
  <w:style w:type="paragraph" w:customStyle="1" w:styleId="165">
    <w:name w:val="TOC Heading"/>
    <w:basedOn w:val="3"/>
    <w:next w:val="1"/>
    <w:semiHidden/>
    <w:unhideWhenUsed/>
    <w:qFormat/>
    <w:uiPriority w:val="39"/>
    <w:pPr>
      <w:outlineLvl w:val="9"/>
    </w:pPr>
  </w:style>
  <w:style w:type="character" w:customStyle="1" w:styleId="166">
    <w:name w:val="Subtle Reference"/>
    <w:basedOn w:val="137"/>
    <w:qFormat/>
    <w:uiPriority w:val="31"/>
    <w:rPr>
      <w:smallCaps/>
      <w:color w:val="C0504D" w:themeColor="accent2"/>
      <w:u w:val="single"/>
      <w14:textFill>
        <w14:solidFill>
          <w14:schemeClr w14:val="accent2"/>
        </w14:solidFill>
      </w14:textFill>
    </w:rPr>
  </w:style>
  <w:style w:type="character" w:customStyle="1" w:styleId="167">
    <w:name w:val="Heading 9 Char"/>
    <w:basedOn w:val="137"/>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68">
    <w:name w:val="正文文本1"/>
    <w:basedOn w:val="1"/>
    <w:qFormat/>
    <w:uiPriority w:val="99"/>
    <w:pPr>
      <w:spacing w:before="93"/>
    </w:pPr>
    <w:rPr>
      <w:rFonts w:ascii="仿宋_GB2312" w:hAnsi="仿宋_GB2312" w:eastAsia="仿宋_GB2312" w:cs="仿宋_GB2312"/>
      <w:kern w:val="0"/>
      <w:sz w:val="30"/>
      <w:szCs w:val="30"/>
    </w:rPr>
  </w:style>
  <w:style w:type="character" w:customStyle="1" w:styleId="169">
    <w:name w:val="Heading 3 Char"/>
    <w:basedOn w:val="137"/>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70">
    <w:name w:val="Body Text 3 Char"/>
    <w:basedOn w:val="137"/>
    <w:link w:val="17"/>
    <w:qFormat/>
    <w:uiPriority w:val="99"/>
    <w:rPr>
      <w:sz w:val="16"/>
      <w:szCs w:val="16"/>
    </w:rPr>
  </w:style>
  <w:style w:type="character" w:customStyle="1" w:styleId="171">
    <w:name w:val="Heading 1 Char"/>
    <w:basedOn w:val="137"/>
    <w:link w:val="3"/>
    <w:qFormat/>
    <w:uiPriority w:val="9"/>
    <w:rPr>
      <w:rFonts w:asciiTheme="majorHAnsi" w:hAnsiTheme="majorHAnsi" w:eastAsiaTheme="majorEastAsia" w:cstheme="majorBidi"/>
      <w:b/>
      <w:bCs/>
      <w:color w:val="376092" w:themeColor="accent1" w:themeShade="BF"/>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93</Pages>
  <Words>25</Words>
  <Characters>28</Characters>
  <TotalTime>2</TotalTime>
  <ScaleCrop>false</ScaleCrop>
  <LinksUpToDate>false</LinksUpToDate>
  <CharactersWithSpaces>30</CharactersWithSpaces>
  <Application>WPS Office_11.8.2.1132_F1E327BC-269C-435d-A152-05C5408002CA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2026-10-22T03:32:00Z</dcterms:created>
  <dc:creator>13678</dc:creator>
  <cp:lastModifiedBy>user</cp:lastModifiedBy>
  <dcterms:modified xsi:type="dcterms:W3CDTF">2026-10-23T15:36:13Z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eyJoZGlkIjoiNzI3ODU3ZjE1MzczOGJlNmNkODc0MjFjYzE2MzNiM2EiLCJ1c2VySWQiOiI4NjA2OTc4MzUifQ==</vt:lpwstr>
  </property>
  <property fmtid="{D5CDD505-2E9C-101B-9397-08002B2CF9AE}" pid="3" name="KSOProductBuildVer">
    <vt:lpwstr>2052-11.8.2.1132</vt:lpwstr>
  </property>
  <property fmtid="{D5CDD505-2E9C-101B-9397-08002B2CF9AE}" pid="4" name="ICV">
    <vt:lpwstr>4F2E8CEFB1C04F2BABD72593A7B35706_12</vt:lpwstr>
  </property>
</Properties>
</file>