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colors7.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charts/style7.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5"/>
        <w:rPr>
          <w:rFonts w:hint="eastAsia" w:ascii="Times New Roman" w:hAnsi="Times New Roman" w:eastAsia="方正小标宋简体" w:cs="Times New Roman"/>
          <w:color w:val="auto"/>
          <w:kern w:val="2"/>
          <w:sz w:val="72"/>
          <w:szCs w:val="72"/>
          <w:highlight w:val="none"/>
          <w:lang w:val="en-US" w:eastAsia="zh-CN" w:bidi="ar-SA"/>
        </w:rPr>
      </w:pPr>
      <w:bookmarkStart w:id="0" w:name="_Toc15377425"/>
      <w:bookmarkStart w:id="1" w:name="_Toc15378441"/>
      <w:bookmarkStart w:id="2" w:name="_Toc15396475"/>
      <w:bookmarkStart w:id="3" w:name="_Toc15396597"/>
      <w:bookmarkStart w:id="4" w:name="_Toc15306267"/>
      <w:bookmarkStart w:id="5" w:name="_Toc15377193"/>
    </w:p>
    <w:p>
      <w:pPr>
        <w:pStyle w:val="5"/>
        <w:rPr>
          <w:rFonts w:hint="eastAsia" w:ascii="Times New Roman" w:hAnsi="Times New Roman" w:eastAsia="方正小标宋简体" w:cs="Times New Roman"/>
          <w:color w:val="auto"/>
          <w:kern w:val="2"/>
          <w:sz w:val="72"/>
          <w:szCs w:val="72"/>
          <w:highlight w:val="none"/>
          <w:lang w:val="en-US" w:eastAsia="zh-CN" w:bidi="ar-SA"/>
        </w:rPr>
      </w:pPr>
      <w:bookmarkStart w:id="107" w:name="_GoBack"/>
      <w:bookmarkEnd w:id="107"/>
    </w:p>
    <w:p>
      <w:pPr>
        <w:pStyle w:val="5"/>
        <w:rPr>
          <w:rFonts w:hint="eastAsia" w:ascii="Times New Roman" w:hAnsi="Times New Roman" w:eastAsia="方正小标宋简体" w:cs="Times New Roman"/>
          <w:color w:val="auto"/>
          <w:kern w:val="2"/>
          <w:sz w:val="72"/>
          <w:szCs w:val="72"/>
          <w:highlight w:val="none"/>
          <w:lang w:val="en-US" w:eastAsia="zh-CN" w:bidi="ar-SA"/>
        </w:rPr>
      </w:pPr>
    </w:p>
    <w:p>
      <w:pPr>
        <w:pStyle w:val="5"/>
        <w:jc w:val="center"/>
        <w:rPr>
          <w:rFonts w:hint="eastAsia" w:ascii="Times New Roman" w:eastAsia="方正小标宋简体" w:cs="Times New Roman"/>
          <w:color w:val="auto"/>
          <w:kern w:val="2"/>
          <w:sz w:val="44"/>
          <w:szCs w:val="44"/>
          <w:highlight w:val="none"/>
          <w:lang w:val="en-US" w:eastAsia="zh-CN" w:bidi="ar-SA"/>
        </w:rPr>
      </w:pPr>
      <w:r>
        <w:rPr>
          <w:rFonts w:hint="eastAsia" w:ascii="Times New Roman" w:eastAsia="方正小标宋简体" w:cs="Times New Roman"/>
          <w:color w:val="auto"/>
          <w:kern w:val="2"/>
          <w:sz w:val="44"/>
          <w:szCs w:val="44"/>
          <w:highlight w:val="none"/>
          <w:lang w:val="en-US" w:eastAsia="zh-CN" w:bidi="ar-SA"/>
        </w:rPr>
        <w:t>阿坝州壤塘县</w:t>
      </w:r>
    </w:p>
    <w:p>
      <w:pPr>
        <w:pStyle w:val="5"/>
        <w:jc w:val="center"/>
        <w:rPr>
          <w:rFonts w:hint="eastAsia" w:ascii="Times New Roman" w:eastAsia="方正小标宋简体" w:cs="Times New Roman"/>
          <w:color w:val="auto"/>
          <w:kern w:val="2"/>
          <w:sz w:val="44"/>
          <w:szCs w:val="44"/>
          <w:highlight w:val="none"/>
          <w:lang w:val="en-US" w:eastAsia="zh-CN" w:bidi="ar-SA"/>
        </w:rPr>
      </w:pPr>
      <w:r>
        <w:rPr>
          <w:rFonts w:hint="eastAsia" w:ascii="Times New Roman" w:eastAsia="方正小标宋简体" w:cs="Times New Roman"/>
          <w:color w:val="auto"/>
          <w:kern w:val="2"/>
          <w:sz w:val="44"/>
          <w:szCs w:val="44"/>
          <w:highlight w:val="none"/>
          <w:lang w:val="en-US" w:eastAsia="zh-CN" w:bidi="ar-SA"/>
        </w:rPr>
        <w:t>2025年度壤塘县妇幼保健院</w:t>
      </w:r>
    </w:p>
    <w:p>
      <w:pPr>
        <w:pStyle w:val="5"/>
        <w:jc w:val="center"/>
        <w:rPr>
          <w:rFonts w:ascii="Times New Roman" w:hAnsi="Times New Roman"/>
        </w:rPr>
        <w:sectPr>
          <w:headerReference r:id="rId3" w:type="default"/>
          <w:footerReference r:id="rId4" w:type="default"/>
          <w:pgSz w:w="11906" w:h="16838"/>
          <w:pgMar w:top="1440" w:right="1800" w:bottom="1440" w:left="1800" w:header="851" w:footer="992" w:gutter="0"/>
          <w:pgNumType w:fmt="decimal" w:start="1"/>
          <w:cols w:space="425" w:num="1"/>
          <w:titlePg/>
          <w:docGrid w:type="lines" w:linePitch="312" w:charSpace="0"/>
        </w:sectPr>
      </w:pPr>
      <w:r>
        <w:rPr>
          <w:rFonts w:hint="eastAsia" w:ascii="Times New Roman" w:eastAsia="方正小标宋简体" w:cs="Times New Roman"/>
          <w:color w:val="auto"/>
          <w:kern w:val="2"/>
          <w:sz w:val="44"/>
          <w:szCs w:val="44"/>
          <w:highlight w:val="none"/>
          <w:lang w:val="en-US" w:eastAsia="zh-CN" w:bidi="ar-SA"/>
        </w:rPr>
        <w:t>部门</w:t>
      </w:r>
      <w:r>
        <w:rPr>
          <w:rFonts w:hint="eastAsia" w:ascii="Times New Roman" w:hAnsi="Times New Roman" w:eastAsia="方正小标宋简体" w:cs="Times New Roman"/>
          <w:color w:val="auto"/>
          <w:kern w:val="2"/>
          <w:sz w:val="44"/>
          <w:szCs w:val="44"/>
          <w:highlight w:val="none"/>
          <w:lang w:val="en-US" w:eastAsia="zh-CN" w:bidi="ar-SA"/>
        </w:rPr>
        <w:t>决算公开</w:t>
      </w:r>
    </w:p>
    <w:bookmarkEnd w:id="0"/>
    <w:bookmarkEnd w:id="1"/>
    <w:bookmarkEnd w:id="2"/>
    <w:bookmarkEnd w:id="3"/>
    <w:bookmarkEnd w:id="4"/>
    <w:bookmarkEnd w:id="5"/>
    <w:p>
      <w:pPr>
        <w:widowControl/>
        <w:jc w:val="center"/>
        <w:rPr>
          <w:rFonts w:ascii="Times New Roman" w:hAnsi="Times New Roman" w:eastAsia="黑体"/>
          <w:color w:val="auto"/>
          <w:sz w:val="48"/>
          <w:szCs w:val="48"/>
          <w:highlight w:val="none"/>
        </w:rPr>
      </w:pPr>
      <w:r>
        <w:rPr>
          <w:rFonts w:hint="eastAsia" w:ascii="Times New Roman" w:hAnsi="Times New Roman" w:eastAsia="黑体"/>
          <w:color w:val="auto"/>
          <w:sz w:val="48"/>
          <w:szCs w:val="48"/>
          <w:highlight w:val="none"/>
        </w:rPr>
        <w:t>目录</w:t>
      </w:r>
    </w:p>
    <w:p>
      <w:pPr>
        <w:pStyle w:val="12"/>
        <w:rPr>
          <w:rFonts w:hint="eastAsia" w:ascii="Times New Roman" w:hAnsi="Times New Roman" w:eastAsia="仿宋_GB2312" w:cs="仿宋_GB2312"/>
          <w:color w:val="auto"/>
          <w:sz w:val="32"/>
          <w:szCs w:val="32"/>
          <w:highlight w:val="none"/>
        </w:rPr>
      </w:pPr>
    </w:p>
    <w:p>
      <w:pPr>
        <w:pStyle w:val="12"/>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公开时间：20</w:t>
      </w:r>
      <w:r>
        <w:rPr>
          <w:rFonts w:hint="eastAsia" w:ascii="Times New Roman" w:hAnsi="Times New Roman" w:eastAsia="仿宋_GB2312" w:cs="仿宋_GB2312"/>
          <w:color w:val="auto"/>
          <w:sz w:val="32"/>
          <w:szCs w:val="32"/>
          <w:highlight w:val="none"/>
          <w:lang w:val="en-US" w:eastAsia="zh-CN"/>
        </w:rPr>
        <w:t>26</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val="en-US" w:eastAsia="zh-CN"/>
        </w:rPr>
        <w:t xml:space="preserve"> 10</w:t>
      </w:r>
      <w:r>
        <w:rPr>
          <w:rFonts w:hint="eastAsia" w:ascii="Times New Roman" w:hAnsi="Times New Roman" w:eastAsia="仿宋_GB2312" w:cs="仿宋_GB2312"/>
          <w:color w:val="auto"/>
          <w:sz w:val="32"/>
          <w:szCs w:val="32"/>
          <w:highlight w:val="none"/>
        </w:rPr>
        <w:t>月</w:t>
      </w:r>
      <w:r>
        <w:rPr>
          <w:rFonts w:hint="eastAsia" w:ascii="Times New Roman" w:hAnsi="Times New Roman" w:eastAsia="仿宋_GB2312" w:cs="仿宋_GB2312"/>
          <w:color w:val="auto"/>
          <w:sz w:val="32"/>
          <w:szCs w:val="32"/>
          <w:highlight w:val="none"/>
          <w:lang w:val="en-US" w:eastAsia="zh-CN"/>
        </w:rPr>
        <w:t xml:space="preserve"> 27 </w:t>
      </w:r>
      <w:r>
        <w:rPr>
          <w:rFonts w:hint="eastAsia" w:ascii="Times New Roman" w:hAnsi="Times New Roman" w:eastAsia="仿宋_GB2312" w:cs="仿宋_GB2312"/>
          <w:color w:val="auto"/>
          <w:sz w:val="32"/>
          <w:szCs w:val="32"/>
          <w:highlight w:val="none"/>
        </w:rPr>
        <w:t>日</w:t>
      </w:r>
    </w:p>
    <w:p>
      <w:pPr>
        <w:widowControl/>
        <w:jc w:val="center"/>
        <w:rPr>
          <w:rFonts w:ascii="Times New Roman" w:hAnsi="Times New Roman" w:eastAsia="黑体" w:cstheme="minorBidi"/>
          <w:color w:val="auto"/>
          <w:sz w:val="28"/>
          <w:szCs w:val="28"/>
          <w:highlight w:val="none"/>
        </w:rPr>
      </w:pPr>
    </w:p>
    <w:sdt>
      <w:sdtPr>
        <w:rPr>
          <w:rFonts w:ascii="宋体" w:hAnsi="宋体" w:eastAsia="宋体" w:cs="Times New Roman"/>
          <w:kern w:val="2"/>
          <w:sz w:val="21"/>
          <w:szCs w:val="24"/>
          <w:lang w:val="en-US" w:eastAsia="zh-CN" w:bidi="ar-SA"/>
        </w:rPr>
        <w:id w:val="147483079"/>
        <w15:color w:val="DBDBDB"/>
        <w:docPartObj>
          <w:docPartGallery w:val="Table of Contents"/>
          <w:docPartUnique/>
        </w:docPartObj>
      </w:sdtPr>
      <w:sdtEndPr>
        <w:rPr>
          <w:rFonts w:ascii="宋体" w:hAnsi="宋体" w:eastAsia="宋体" w:cs="Times New Roman"/>
          <w:kern w:val="2"/>
          <w:sz w:val="21"/>
          <w:szCs w:val="24"/>
          <w:lang w:val="en-US" w:eastAsia="zh-CN" w:bidi="ar-SA"/>
        </w:rPr>
      </w:sdtEndPr>
      <w:sdtContent>
        <w:p>
          <w:pPr>
            <w:spacing w:before="0" w:beforeLines="0" w:after="0" w:afterLines="0" w:line="240" w:lineRule="auto"/>
            <w:ind w:left="0" w:leftChars="0" w:right="0" w:rightChars="0" w:firstLine="0" w:firstLineChars="0"/>
            <w:jc w:val="center"/>
          </w:pPr>
        </w:p>
        <w:p>
          <w:pPr>
            <w:pStyle w:val="37"/>
            <w:tabs>
              <w:tab w:val="right" w:leader="dot" w:pos="8306"/>
            </w:tabs>
            <w:rPr>
              <w:rFonts w:hint="eastAsia" w:ascii="Times New Roman" w:hAnsi="Times New Roman" w:eastAsia="仿宋_GB2312" w:cs="仿宋_GB2312"/>
              <w:color w:val="auto"/>
              <w:kern w:val="2"/>
              <w:sz w:val="32"/>
              <w:szCs w:val="32"/>
              <w:highlight w:val="none"/>
              <w:lang w:val="en-US" w:eastAsia="zh-CN" w:bidi="ar-SA"/>
            </w:rPr>
          </w:pPr>
          <w:r>
            <w:fldChar w:fldCharType="begin"/>
          </w:r>
          <w:r>
            <w:instrText xml:space="preserve">TOC \o "1-2" \h \u </w:instrText>
          </w:r>
          <w:r>
            <w:fldChar w:fldCharType="separate"/>
          </w:r>
          <w:r>
            <w:rPr>
              <w:rFonts w:hint="eastAsia" w:ascii="Times New Roman" w:hAnsi="Times New Roman" w:eastAsia="仿宋_GB2312" w:cs="仿宋_GB2312"/>
              <w:color w:val="auto"/>
              <w:kern w:val="2"/>
              <w:sz w:val="32"/>
              <w:szCs w:val="32"/>
              <w:highlight w:val="none"/>
              <w:lang w:val="en-US" w:eastAsia="zh-CN" w:bidi="ar-SA"/>
            </w:rPr>
            <w:fldChar w:fldCharType="begin"/>
          </w:r>
          <w:r>
            <w:rPr>
              <w:rFonts w:hint="eastAsia" w:ascii="Times New Roman" w:hAnsi="Times New Roman" w:eastAsia="仿宋_GB2312" w:cs="仿宋_GB2312"/>
              <w:color w:val="auto"/>
              <w:kern w:val="2"/>
              <w:sz w:val="32"/>
              <w:szCs w:val="32"/>
              <w:highlight w:val="none"/>
              <w:lang w:val="en-US" w:eastAsia="zh-CN" w:bidi="ar-SA"/>
            </w:rPr>
            <w:instrText xml:space="preserve"> HYPERLINK \l _Toc23655 </w:instrText>
          </w:r>
          <w:r>
            <w:rPr>
              <w:rFonts w:hint="eastAsia" w:ascii="Times New Roman" w:hAnsi="Times New Roman" w:eastAsia="仿宋_GB2312" w:cs="仿宋_GB2312"/>
              <w:color w:val="auto"/>
              <w:kern w:val="2"/>
              <w:sz w:val="32"/>
              <w:szCs w:val="32"/>
              <w:highlight w:val="none"/>
              <w:lang w:val="en-US" w:eastAsia="zh-CN" w:bidi="ar-SA"/>
            </w:rPr>
            <w:fldChar w:fldCharType="separate"/>
          </w:r>
          <w:r>
            <w:rPr>
              <w:rFonts w:hint="eastAsia" w:ascii="Times New Roman" w:hAnsi="Times New Roman" w:eastAsia="仿宋_GB2312" w:cs="仿宋_GB2312"/>
              <w:color w:val="auto"/>
              <w:kern w:val="2"/>
              <w:sz w:val="32"/>
              <w:szCs w:val="32"/>
              <w:highlight w:val="none"/>
              <w:lang w:val="en-US" w:eastAsia="zh-CN" w:bidi="ar-SA"/>
            </w:rPr>
            <w:t>第一部分  部门概况</w:t>
          </w:r>
          <w:r>
            <w:rPr>
              <w:rFonts w:hint="eastAsia" w:ascii="Times New Roman" w:hAnsi="Times New Roman" w:eastAsia="仿宋_GB2312" w:cs="仿宋_GB2312"/>
              <w:color w:val="auto"/>
              <w:kern w:val="2"/>
              <w:sz w:val="32"/>
              <w:szCs w:val="32"/>
              <w:highlight w:val="none"/>
              <w:lang w:val="en-US" w:eastAsia="zh-CN" w:bidi="ar-SA"/>
            </w:rPr>
            <w:tab/>
          </w:r>
          <w:r>
            <w:rPr>
              <w:rFonts w:hint="eastAsia" w:ascii="Times New Roman" w:hAnsi="Times New Roman" w:eastAsia="仿宋_GB2312" w:cs="仿宋_GB2312"/>
              <w:color w:val="auto"/>
              <w:kern w:val="2"/>
              <w:sz w:val="32"/>
              <w:szCs w:val="32"/>
              <w:highlight w:val="none"/>
              <w:lang w:val="en-US" w:eastAsia="zh-CN" w:bidi="ar-SA"/>
            </w:rPr>
            <w:fldChar w:fldCharType="begin"/>
          </w:r>
          <w:r>
            <w:rPr>
              <w:rFonts w:hint="eastAsia" w:ascii="Times New Roman" w:hAnsi="Times New Roman" w:eastAsia="仿宋_GB2312" w:cs="仿宋_GB2312"/>
              <w:color w:val="auto"/>
              <w:kern w:val="2"/>
              <w:sz w:val="32"/>
              <w:szCs w:val="32"/>
              <w:highlight w:val="none"/>
              <w:lang w:val="en-US" w:eastAsia="zh-CN" w:bidi="ar-SA"/>
            </w:rPr>
            <w:instrText xml:space="preserve"> PAGEREF _Toc23655 \h </w:instrText>
          </w:r>
          <w:r>
            <w:rPr>
              <w:rFonts w:hint="eastAsia" w:ascii="Times New Roman" w:hAnsi="Times New Roman" w:eastAsia="仿宋_GB2312" w:cs="仿宋_GB2312"/>
              <w:color w:val="auto"/>
              <w:kern w:val="2"/>
              <w:sz w:val="32"/>
              <w:szCs w:val="32"/>
              <w:highlight w:val="none"/>
              <w:lang w:val="en-US" w:eastAsia="zh-CN" w:bidi="ar-SA"/>
            </w:rPr>
            <w:fldChar w:fldCharType="separate"/>
          </w:r>
          <w:r>
            <w:rPr>
              <w:rFonts w:hint="eastAsia" w:ascii="Times New Roman" w:hAnsi="Times New Roman"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fldChar w:fldCharType="end"/>
          </w:r>
          <w:r>
            <w:rPr>
              <w:rFonts w:hint="eastAsia" w:ascii="Times New Roman" w:hAnsi="Times New Roman" w:eastAsia="仿宋_GB2312" w:cs="仿宋_GB2312"/>
              <w:color w:val="auto"/>
              <w:kern w:val="2"/>
              <w:sz w:val="32"/>
              <w:szCs w:val="32"/>
              <w:highlight w:val="none"/>
              <w:lang w:val="en-US" w:eastAsia="zh-CN" w:bidi="ar-SA"/>
            </w:rPr>
            <w:fldChar w:fldCharType="end"/>
          </w:r>
        </w:p>
        <w:p>
          <w:pPr>
            <w:pStyle w:val="37"/>
            <w:tabs>
              <w:tab w:val="right" w:leader="dot" w:pos="8306"/>
            </w:tabs>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fldChar w:fldCharType="begin"/>
          </w:r>
          <w:r>
            <w:rPr>
              <w:rFonts w:hint="eastAsia" w:ascii="Times New Roman" w:hAnsi="Times New Roman" w:eastAsia="仿宋_GB2312" w:cs="仿宋_GB2312"/>
              <w:color w:val="auto"/>
              <w:kern w:val="2"/>
              <w:sz w:val="32"/>
              <w:szCs w:val="32"/>
              <w:highlight w:val="none"/>
              <w:lang w:val="en-US" w:eastAsia="zh-CN" w:bidi="ar-SA"/>
            </w:rPr>
            <w:instrText xml:space="preserve"> HYPERLINK \l _Toc10566 </w:instrText>
          </w:r>
          <w:r>
            <w:rPr>
              <w:rFonts w:hint="eastAsia" w:ascii="Times New Roman" w:hAnsi="Times New Roman" w:eastAsia="仿宋_GB2312" w:cs="仿宋_GB2312"/>
              <w:color w:val="auto"/>
              <w:kern w:val="2"/>
              <w:sz w:val="32"/>
              <w:szCs w:val="32"/>
              <w:highlight w:val="none"/>
              <w:lang w:val="en-US" w:eastAsia="zh-CN" w:bidi="ar-SA"/>
            </w:rPr>
            <w:fldChar w:fldCharType="separate"/>
          </w:r>
          <w:r>
            <w:rPr>
              <w:rFonts w:hint="eastAsia" w:ascii="Times New Roman" w:hAnsi="Times New Roman" w:eastAsia="仿宋_GB2312" w:cs="仿宋_GB2312"/>
              <w:color w:val="auto"/>
              <w:kern w:val="2"/>
              <w:sz w:val="32"/>
              <w:szCs w:val="32"/>
              <w:highlight w:val="none"/>
              <w:lang w:val="en-US" w:eastAsia="zh-CN" w:bidi="ar-SA"/>
            </w:rPr>
            <w:t>一、部门职责</w:t>
          </w:r>
          <w:r>
            <w:rPr>
              <w:rFonts w:hint="eastAsia" w:ascii="Times New Roman" w:hAnsi="Times New Roman" w:eastAsia="仿宋_GB2312" w:cs="仿宋_GB2312"/>
              <w:color w:val="auto"/>
              <w:kern w:val="2"/>
              <w:sz w:val="32"/>
              <w:szCs w:val="32"/>
              <w:highlight w:val="none"/>
              <w:lang w:val="en-US" w:eastAsia="zh-CN" w:bidi="ar-SA"/>
            </w:rPr>
            <w:tab/>
          </w:r>
          <w:r>
            <w:rPr>
              <w:rFonts w:hint="eastAsia" w:ascii="Times New Roman" w:hAnsi="Times New Roman" w:eastAsia="仿宋_GB2312" w:cs="仿宋_GB2312"/>
              <w:color w:val="auto"/>
              <w:kern w:val="2"/>
              <w:sz w:val="32"/>
              <w:szCs w:val="32"/>
              <w:highlight w:val="none"/>
              <w:lang w:val="en-US" w:eastAsia="zh-CN" w:bidi="ar-SA"/>
            </w:rPr>
            <w:fldChar w:fldCharType="begin"/>
          </w:r>
          <w:r>
            <w:rPr>
              <w:rFonts w:hint="eastAsia" w:ascii="Times New Roman" w:hAnsi="Times New Roman" w:eastAsia="仿宋_GB2312" w:cs="仿宋_GB2312"/>
              <w:color w:val="auto"/>
              <w:kern w:val="2"/>
              <w:sz w:val="32"/>
              <w:szCs w:val="32"/>
              <w:highlight w:val="none"/>
              <w:lang w:val="en-US" w:eastAsia="zh-CN" w:bidi="ar-SA"/>
            </w:rPr>
            <w:instrText xml:space="preserve"> PAGEREF _Toc10566 \h </w:instrText>
          </w:r>
          <w:r>
            <w:rPr>
              <w:rFonts w:hint="eastAsia" w:ascii="Times New Roman" w:hAnsi="Times New Roman" w:eastAsia="仿宋_GB2312" w:cs="仿宋_GB2312"/>
              <w:color w:val="auto"/>
              <w:kern w:val="2"/>
              <w:sz w:val="32"/>
              <w:szCs w:val="32"/>
              <w:highlight w:val="none"/>
              <w:lang w:val="en-US" w:eastAsia="zh-CN" w:bidi="ar-SA"/>
            </w:rPr>
            <w:fldChar w:fldCharType="separate"/>
          </w:r>
          <w:r>
            <w:rPr>
              <w:rFonts w:hint="eastAsia" w:ascii="Times New Roman" w:hAnsi="Times New Roman"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fldChar w:fldCharType="end"/>
          </w:r>
          <w:r>
            <w:rPr>
              <w:rFonts w:hint="eastAsia" w:ascii="Times New Roman" w:hAnsi="Times New Roman" w:eastAsia="仿宋_GB2312" w:cs="仿宋_GB2312"/>
              <w:color w:val="auto"/>
              <w:kern w:val="2"/>
              <w:sz w:val="32"/>
              <w:szCs w:val="32"/>
              <w:highlight w:val="none"/>
              <w:lang w:val="en-US" w:eastAsia="zh-CN" w:bidi="ar-SA"/>
            </w:rPr>
            <w:fldChar w:fldCharType="end"/>
          </w:r>
        </w:p>
        <w:p>
          <w:pPr>
            <w:pStyle w:val="37"/>
            <w:tabs>
              <w:tab w:val="right" w:leader="dot" w:pos="8306"/>
            </w:tabs>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fldChar w:fldCharType="begin"/>
          </w:r>
          <w:r>
            <w:rPr>
              <w:rFonts w:hint="eastAsia" w:ascii="Times New Roman" w:hAnsi="Times New Roman" w:eastAsia="仿宋_GB2312" w:cs="仿宋_GB2312"/>
              <w:color w:val="auto"/>
              <w:kern w:val="2"/>
              <w:sz w:val="32"/>
              <w:szCs w:val="32"/>
              <w:highlight w:val="none"/>
              <w:lang w:val="en-US" w:eastAsia="zh-CN" w:bidi="ar-SA"/>
            </w:rPr>
            <w:instrText xml:space="preserve"> HYPERLINK \l _Toc29572 </w:instrText>
          </w:r>
          <w:r>
            <w:rPr>
              <w:rFonts w:hint="eastAsia" w:ascii="Times New Roman" w:hAnsi="Times New Roman" w:eastAsia="仿宋_GB2312" w:cs="仿宋_GB2312"/>
              <w:color w:val="auto"/>
              <w:kern w:val="2"/>
              <w:sz w:val="32"/>
              <w:szCs w:val="32"/>
              <w:highlight w:val="none"/>
              <w:lang w:val="en-US" w:eastAsia="zh-CN" w:bidi="ar-SA"/>
            </w:rPr>
            <w:fldChar w:fldCharType="separate"/>
          </w:r>
          <w:r>
            <w:rPr>
              <w:rFonts w:hint="eastAsia" w:ascii="Times New Roman" w:hAnsi="Times New Roman" w:eastAsia="仿宋_GB2312" w:cs="仿宋_GB2312"/>
              <w:color w:val="auto"/>
              <w:kern w:val="2"/>
              <w:sz w:val="32"/>
              <w:szCs w:val="32"/>
              <w:highlight w:val="none"/>
              <w:lang w:val="en-US" w:eastAsia="zh-CN" w:bidi="ar-SA"/>
            </w:rPr>
            <w:t>二、机构设置</w:t>
          </w:r>
          <w:r>
            <w:rPr>
              <w:rFonts w:hint="eastAsia" w:ascii="Times New Roman" w:hAnsi="Times New Roman" w:eastAsia="仿宋_GB2312" w:cs="仿宋_GB2312"/>
              <w:color w:val="auto"/>
              <w:kern w:val="2"/>
              <w:sz w:val="32"/>
              <w:szCs w:val="32"/>
              <w:highlight w:val="none"/>
              <w:lang w:val="en-US" w:eastAsia="zh-CN" w:bidi="ar-SA"/>
            </w:rPr>
            <w:tab/>
          </w:r>
          <w:r>
            <w:rPr>
              <w:rFonts w:hint="eastAsia" w:ascii="Times New Roman" w:hAnsi="Times New Roman" w:eastAsia="仿宋_GB2312" w:cs="仿宋_GB2312"/>
              <w:color w:val="auto"/>
              <w:kern w:val="2"/>
              <w:sz w:val="32"/>
              <w:szCs w:val="32"/>
              <w:highlight w:val="none"/>
              <w:lang w:val="en-US" w:eastAsia="zh-CN" w:bidi="ar-SA"/>
            </w:rPr>
            <w:fldChar w:fldCharType="begin"/>
          </w:r>
          <w:r>
            <w:rPr>
              <w:rFonts w:hint="eastAsia" w:ascii="Times New Roman" w:hAnsi="Times New Roman" w:eastAsia="仿宋_GB2312" w:cs="仿宋_GB2312"/>
              <w:color w:val="auto"/>
              <w:kern w:val="2"/>
              <w:sz w:val="32"/>
              <w:szCs w:val="32"/>
              <w:highlight w:val="none"/>
              <w:lang w:val="en-US" w:eastAsia="zh-CN" w:bidi="ar-SA"/>
            </w:rPr>
            <w:instrText xml:space="preserve"> PAGEREF _Toc29572 \h </w:instrText>
          </w:r>
          <w:r>
            <w:rPr>
              <w:rFonts w:hint="eastAsia" w:ascii="Times New Roman" w:hAnsi="Times New Roman" w:eastAsia="仿宋_GB2312" w:cs="仿宋_GB2312"/>
              <w:color w:val="auto"/>
              <w:kern w:val="2"/>
              <w:sz w:val="32"/>
              <w:szCs w:val="32"/>
              <w:highlight w:val="none"/>
              <w:lang w:val="en-US" w:eastAsia="zh-CN" w:bidi="ar-SA"/>
            </w:rPr>
            <w:fldChar w:fldCharType="separate"/>
          </w:r>
          <w:r>
            <w:rPr>
              <w:rFonts w:hint="eastAsia" w:ascii="Times New Roman" w:hAnsi="Times New Roman"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fldChar w:fldCharType="end"/>
          </w:r>
          <w:r>
            <w:rPr>
              <w:rFonts w:hint="eastAsia" w:ascii="Times New Roman" w:hAnsi="Times New Roman" w:eastAsia="仿宋_GB2312" w:cs="仿宋_GB2312"/>
              <w:color w:val="auto"/>
              <w:kern w:val="2"/>
              <w:sz w:val="32"/>
              <w:szCs w:val="32"/>
              <w:highlight w:val="none"/>
              <w:lang w:val="en-US" w:eastAsia="zh-CN" w:bidi="ar-SA"/>
            </w:rPr>
            <w:fldChar w:fldCharType="end"/>
          </w:r>
        </w:p>
        <w:p>
          <w:pPr>
            <w:pStyle w:val="37"/>
            <w:tabs>
              <w:tab w:val="right" w:leader="dot" w:pos="8306"/>
            </w:tabs>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fldChar w:fldCharType="begin"/>
          </w:r>
          <w:r>
            <w:rPr>
              <w:rFonts w:hint="eastAsia" w:ascii="Times New Roman" w:hAnsi="Times New Roman" w:eastAsia="仿宋_GB2312" w:cs="仿宋_GB2312"/>
              <w:color w:val="auto"/>
              <w:kern w:val="2"/>
              <w:sz w:val="32"/>
              <w:szCs w:val="32"/>
              <w:highlight w:val="none"/>
              <w:lang w:val="en-US" w:eastAsia="zh-CN" w:bidi="ar-SA"/>
            </w:rPr>
            <w:instrText xml:space="preserve"> HYPERLINK \l _Toc1174 </w:instrText>
          </w:r>
          <w:r>
            <w:rPr>
              <w:rFonts w:hint="eastAsia" w:ascii="Times New Roman" w:hAnsi="Times New Roman" w:eastAsia="仿宋_GB2312" w:cs="仿宋_GB2312"/>
              <w:color w:val="auto"/>
              <w:kern w:val="2"/>
              <w:sz w:val="32"/>
              <w:szCs w:val="32"/>
              <w:highlight w:val="none"/>
              <w:lang w:val="en-US" w:eastAsia="zh-CN" w:bidi="ar-SA"/>
            </w:rPr>
            <w:fldChar w:fldCharType="separate"/>
          </w:r>
          <w:r>
            <w:rPr>
              <w:rFonts w:hint="eastAsia" w:ascii="Times New Roman" w:hAnsi="Times New Roman" w:eastAsia="仿宋_GB2312" w:cs="仿宋_GB2312"/>
              <w:color w:val="auto"/>
              <w:kern w:val="2"/>
              <w:sz w:val="32"/>
              <w:szCs w:val="32"/>
              <w:highlight w:val="none"/>
              <w:lang w:val="en-US" w:eastAsia="zh-CN" w:bidi="ar-SA"/>
            </w:rPr>
            <w:t>第二部分  2025年度部门决算情况说明</w:t>
          </w:r>
          <w:r>
            <w:rPr>
              <w:rFonts w:hint="eastAsia" w:ascii="Times New Roman" w:hAnsi="Times New Roman" w:eastAsia="仿宋_GB2312" w:cs="仿宋_GB2312"/>
              <w:color w:val="auto"/>
              <w:kern w:val="2"/>
              <w:sz w:val="32"/>
              <w:szCs w:val="32"/>
              <w:highlight w:val="none"/>
              <w:lang w:val="en-US" w:eastAsia="zh-CN" w:bidi="ar-SA"/>
            </w:rPr>
            <w:tab/>
          </w:r>
          <w:r>
            <w:rPr>
              <w:rFonts w:hint="eastAsia" w:ascii="Times New Roman" w:hAnsi="Times New Roman" w:eastAsia="仿宋_GB2312" w:cs="仿宋_GB2312"/>
              <w:color w:val="auto"/>
              <w:kern w:val="2"/>
              <w:sz w:val="32"/>
              <w:szCs w:val="32"/>
              <w:highlight w:val="none"/>
              <w:lang w:val="en-US" w:eastAsia="zh-CN" w:bidi="ar-SA"/>
            </w:rPr>
            <w:fldChar w:fldCharType="begin"/>
          </w:r>
          <w:r>
            <w:rPr>
              <w:rFonts w:hint="eastAsia" w:ascii="Times New Roman" w:hAnsi="Times New Roman" w:eastAsia="仿宋_GB2312" w:cs="仿宋_GB2312"/>
              <w:color w:val="auto"/>
              <w:kern w:val="2"/>
              <w:sz w:val="32"/>
              <w:szCs w:val="32"/>
              <w:highlight w:val="none"/>
              <w:lang w:val="en-US" w:eastAsia="zh-CN" w:bidi="ar-SA"/>
            </w:rPr>
            <w:instrText xml:space="preserve"> PAGEREF _Toc1174 \h </w:instrText>
          </w:r>
          <w:r>
            <w:rPr>
              <w:rFonts w:hint="eastAsia" w:ascii="Times New Roman" w:hAnsi="Times New Roman" w:eastAsia="仿宋_GB2312" w:cs="仿宋_GB2312"/>
              <w:color w:val="auto"/>
              <w:kern w:val="2"/>
              <w:sz w:val="32"/>
              <w:szCs w:val="32"/>
              <w:highlight w:val="none"/>
              <w:lang w:val="en-US" w:eastAsia="zh-CN" w:bidi="ar-SA"/>
            </w:rPr>
            <w:fldChar w:fldCharType="separate"/>
          </w:r>
          <w:r>
            <w:rPr>
              <w:rFonts w:hint="eastAsia" w:ascii="Times New Roman" w:hAnsi="Times New Roman" w:eastAsia="仿宋_GB2312" w:cs="仿宋_GB2312"/>
              <w:color w:val="auto"/>
              <w:kern w:val="2"/>
              <w:sz w:val="32"/>
              <w:szCs w:val="32"/>
              <w:highlight w:val="none"/>
              <w:lang w:val="en-US" w:eastAsia="zh-CN" w:bidi="ar-SA"/>
            </w:rPr>
            <w:t>2</w:t>
          </w:r>
          <w:r>
            <w:rPr>
              <w:rFonts w:hint="eastAsia" w:ascii="Times New Roman" w:hAnsi="Times New Roman" w:eastAsia="仿宋_GB2312" w:cs="仿宋_GB2312"/>
              <w:color w:val="auto"/>
              <w:kern w:val="2"/>
              <w:sz w:val="32"/>
              <w:szCs w:val="32"/>
              <w:highlight w:val="none"/>
              <w:lang w:val="en-US" w:eastAsia="zh-CN" w:bidi="ar-SA"/>
            </w:rPr>
            <w:fldChar w:fldCharType="end"/>
          </w:r>
          <w:r>
            <w:rPr>
              <w:rFonts w:hint="eastAsia" w:ascii="Times New Roman" w:hAnsi="Times New Roman" w:eastAsia="仿宋_GB2312" w:cs="仿宋_GB2312"/>
              <w:color w:val="auto"/>
              <w:kern w:val="2"/>
              <w:sz w:val="32"/>
              <w:szCs w:val="32"/>
              <w:highlight w:val="none"/>
              <w:lang w:val="en-US" w:eastAsia="zh-CN" w:bidi="ar-SA"/>
            </w:rPr>
            <w:fldChar w:fldCharType="end"/>
          </w:r>
        </w:p>
        <w:p>
          <w:pPr>
            <w:pStyle w:val="37"/>
            <w:tabs>
              <w:tab w:val="right" w:leader="dot" w:pos="8306"/>
            </w:tabs>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fldChar w:fldCharType="begin"/>
          </w:r>
          <w:r>
            <w:rPr>
              <w:rFonts w:hint="eastAsia" w:ascii="Times New Roman" w:hAnsi="Times New Roman" w:eastAsia="仿宋_GB2312" w:cs="仿宋_GB2312"/>
              <w:color w:val="auto"/>
              <w:kern w:val="2"/>
              <w:sz w:val="32"/>
              <w:szCs w:val="32"/>
              <w:highlight w:val="none"/>
              <w:lang w:val="en-US" w:eastAsia="zh-CN" w:bidi="ar-SA"/>
            </w:rPr>
            <w:instrText xml:space="preserve"> HYPERLINK \l _Toc11415 </w:instrText>
          </w:r>
          <w:r>
            <w:rPr>
              <w:rFonts w:hint="eastAsia" w:ascii="Times New Roman" w:hAnsi="Times New Roman" w:eastAsia="仿宋_GB2312" w:cs="仿宋_GB2312"/>
              <w:color w:val="auto"/>
              <w:kern w:val="2"/>
              <w:sz w:val="32"/>
              <w:szCs w:val="32"/>
              <w:highlight w:val="none"/>
              <w:lang w:val="en-US" w:eastAsia="zh-CN" w:bidi="ar-SA"/>
            </w:rPr>
            <w:fldChar w:fldCharType="separate"/>
          </w:r>
          <w:r>
            <w:rPr>
              <w:rFonts w:hint="eastAsia" w:ascii="Times New Roman" w:hAnsi="Times New Roman" w:eastAsia="仿宋_GB2312" w:cs="仿宋_GB2312"/>
              <w:color w:val="auto"/>
              <w:kern w:val="2"/>
              <w:sz w:val="32"/>
              <w:szCs w:val="32"/>
              <w:highlight w:val="none"/>
              <w:lang w:val="en-US" w:eastAsia="zh-CN" w:bidi="ar-SA"/>
            </w:rPr>
            <w:t>一、收入支出决算总体情况说明</w:t>
          </w:r>
          <w:r>
            <w:rPr>
              <w:rFonts w:hint="eastAsia" w:ascii="Times New Roman" w:hAnsi="Times New Roman" w:eastAsia="仿宋_GB2312" w:cs="仿宋_GB2312"/>
              <w:color w:val="auto"/>
              <w:kern w:val="2"/>
              <w:sz w:val="32"/>
              <w:szCs w:val="32"/>
              <w:highlight w:val="none"/>
              <w:lang w:val="en-US" w:eastAsia="zh-CN" w:bidi="ar-SA"/>
            </w:rPr>
            <w:tab/>
          </w:r>
          <w:r>
            <w:rPr>
              <w:rFonts w:hint="eastAsia" w:ascii="Times New Roman" w:hAnsi="Times New Roman" w:eastAsia="仿宋_GB2312" w:cs="仿宋_GB2312"/>
              <w:color w:val="auto"/>
              <w:kern w:val="2"/>
              <w:sz w:val="32"/>
              <w:szCs w:val="32"/>
              <w:highlight w:val="none"/>
              <w:lang w:val="en-US" w:eastAsia="zh-CN" w:bidi="ar-SA"/>
            </w:rPr>
            <w:fldChar w:fldCharType="begin"/>
          </w:r>
          <w:r>
            <w:rPr>
              <w:rFonts w:hint="eastAsia" w:ascii="Times New Roman" w:hAnsi="Times New Roman" w:eastAsia="仿宋_GB2312" w:cs="仿宋_GB2312"/>
              <w:color w:val="auto"/>
              <w:kern w:val="2"/>
              <w:sz w:val="32"/>
              <w:szCs w:val="32"/>
              <w:highlight w:val="none"/>
              <w:lang w:val="en-US" w:eastAsia="zh-CN" w:bidi="ar-SA"/>
            </w:rPr>
            <w:instrText xml:space="preserve"> PAGEREF _Toc11415 \h </w:instrText>
          </w:r>
          <w:r>
            <w:rPr>
              <w:rFonts w:hint="eastAsia" w:ascii="Times New Roman" w:hAnsi="Times New Roman" w:eastAsia="仿宋_GB2312" w:cs="仿宋_GB2312"/>
              <w:color w:val="auto"/>
              <w:kern w:val="2"/>
              <w:sz w:val="32"/>
              <w:szCs w:val="32"/>
              <w:highlight w:val="none"/>
              <w:lang w:val="en-US" w:eastAsia="zh-CN" w:bidi="ar-SA"/>
            </w:rPr>
            <w:fldChar w:fldCharType="separate"/>
          </w:r>
          <w:r>
            <w:rPr>
              <w:rFonts w:hint="eastAsia" w:ascii="Times New Roman" w:hAnsi="Times New Roman" w:eastAsia="仿宋_GB2312" w:cs="仿宋_GB2312"/>
              <w:color w:val="auto"/>
              <w:kern w:val="2"/>
              <w:sz w:val="32"/>
              <w:szCs w:val="32"/>
              <w:highlight w:val="none"/>
              <w:lang w:val="en-US" w:eastAsia="zh-CN" w:bidi="ar-SA"/>
            </w:rPr>
            <w:t>2</w:t>
          </w:r>
          <w:r>
            <w:rPr>
              <w:rFonts w:hint="eastAsia" w:ascii="Times New Roman" w:hAnsi="Times New Roman" w:eastAsia="仿宋_GB2312" w:cs="仿宋_GB2312"/>
              <w:color w:val="auto"/>
              <w:kern w:val="2"/>
              <w:sz w:val="32"/>
              <w:szCs w:val="32"/>
              <w:highlight w:val="none"/>
              <w:lang w:val="en-US" w:eastAsia="zh-CN" w:bidi="ar-SA"/>
            </w:rPr>
            <w:fldChar w:fldCharType="end"/>
          </w:r>
          <w:r>
            <w:rPr>
              <w:rFonts w:hint="eastAsia" w:ascii="Times New Roman" w:hAnsi="Times New Roman" w:eastAsia="仿宋_GB2312" w:cs="仿宋_GB2312"/>
              <w:color w:val="auto"/>
              <w:kern w:val="2"/>
              <w:sz w:val="32"/>
              <w:szCs w:val="32"/>
              <w:highlight w:val="none"/>
              <w:lang w:val="en-US" w:eastAsia="zh-CN" w:bidi="ar-SA"/>
            </w:rPr>
            <w:fldChar w:fldCharType="end"/>
          </w:r>
        </w:p>
        <w:p>
          <w:pPr>
            <w:pStyle w:val="37"/>
            <w:tabs>
              <w:tab w:val="right" w:leader="dot" w:pos="8306"/>
            </w:tabs>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fldChar w:fldCharType="begin"/>
          </w:r>
          <w:r>
            <w:rPr>
              <w:rFonts w:hint="eastAsia" w:ascii="Times New Roman" w:hAnsi="Times New Roman" w:eastAsia="仿宋_GB2312" w:cs="仿宋_GB2312"/>
              <w:color w:val="auto"/>
              <w:kern w:val="2"/>
              <w:sz w:val="32"/>
              <w:szCs w:val="32"/>
              <w:highlight w:val="none"/>
              <w:lang w:val="en-US" w:eastAsia="zh-CN" w:bidi="ar-SA"/>
            </w:rPr>
            <w:instrText xml:space="preserve"> HYPERLINK \l _Toc17547 </w:instrText>
          </w:r>
          <w:r>
            <w:rPr>
              <w:rFonts w:hint="eastAsia" w:ascii="Times New Roman" w:hAnsi="Times New Roman" w:eastAsia="仿宋_GB2312" w:cs="仿宋_GB2312"/>
              <w:color w:val="auto"/>
              <w:kern w:val="2"/>
              <w:sz w:val="32"/>
              <w:szCs w:val="32"/>
              <w:highlight w:val="none"/>
              <w:lang w:val="en-US" w:eastAsia="zh-CN" w:bidi="ar-SA"/>
            </w:rPr>
            <w:fldChar w:fldCharType="separate"/>
          </w:r>
          <w:r>
            <w:rPr>
              <w:rFonts w:hint="eastAsia" w:ascii="Times New Roman" w:hAnsi="Times New Roman" w:eastAsia="仿宋_GB2312" w:cs="仿宋_GB2312"/>
              <w:color w:val="auto"/>
              <w:kern w:val="2"/>
              <w:sz w:val="32"/>
              <w:szCs w:val="32"/>
              <w:highlight w:val="none"/>
              <w:lang w:val="en-US" w:eastAsia="zh-CN" w:bidi="ar-SA"/>
            </w:rPr>
            <w:t>二、收入决算情况说明</w:t>
          </w:r>
          <w:r>
            <w:rPr>
              <w:rFonts w:hint="eastAsia" w:ascii="Times New Roman" w:hAnsi="Times New Roman" w:eastAsia="仿宋_GB2312" w:cs="仿宋_GB2312"/>
              <w:color w:val="auto"/>
              <w:kern w:val="2"/>
              <w:sz w:val="32"/>
              <w:szCs w:val="32"/>
              <w:highlight w:val="none"/>
              <w:lang w:val="en-US" w:eastAsia="zh-CN" w:bidi="ar-SA"/>
            </w:rPr>
            <w:tab/>
          </w:r>
          <w:r>
            <w:rPr>
              <w:rFonts w:hint="eastAsia" w:ascii="Times New Roman" w:hAnsi="Times New Roman" w:eastAsia="仿宋_GB2312" w:cs="仿宋_GB2312"/>
              <w:color w:val="auto"/>
              <w:kern w:val="2"/>
              <w:sz w:val="32"/>
              <w:szCs w:val="32"/>
              <w:highlight w:val="none"/>
              <w:lang w:val="en-US" w:eastAsia="zh-CN" w:bidi="ar-SA"/>
            </w:rPr>
            <w:fldChar w:fldCharType="begin"/>
          </w:r>
          <w:r>
            <w:rPr>
              <w:rFonts w:hint="eastAsia" w:ascii="Times New Roman" w:hAnsi="Times New Roman" w:eastAsia="仿宋_GB2312" w:cs="仿宋_GB2312"/>
              <w:color w:val="auto"/>
              <w:kern w:val="2"/>
              <w:sz w:val="32"/>
              <w:szCs w:val="32"/>
              <w:highlight w:val="none"/>
              <w:lang w:val="en-US" w:eastAsia="zh-CN" w:bidi="ar-SA"/>
            </w:rPr>
            <w:instrText xml:space="preserve"> PAGEREF _Toc17547 \h </w:instrText>
          </w:r>
          <w:r>
            <w:rPr>
              <w:rFonts w:hint="eastAsia" w:ascii="Times New Roman" w:hAnsi="Times New Roman" w:eastAsia="仿宋_GB2312" w:cs="仿宋_GB2312"/>
              <w:color w:val="auto"/>
              <w:kern w:val="2"/>
              <w:sz w:val="32"/>
              <w:szCs w:val="32"/>
              <w:highlight w:val="none"/>
              <w:lang w:val="en-US" w:eastAsia="zh-CN" w:bidi="ar-SA"/>
            </w:rPr>
            <w:fldChar w:fldCharType="separate"/>
          </w:r>
          <w:r>
            <w:rPr>
              <w:rFonts w:hint="eastAsia" w:ascii="Times New Roman" w:hAnsi="Times New Roman" w:eastAsia="仿宋_GB2312" w:cs="仿宋_GB2312"/>
              <w:color w:val="auto"/>
              <w:kern w:val="2"/>
              <w:sz w:val="32"/>
              <w:szCs w:val="32"/>
              <w:highlight w:val="none"/>
              <w:lang w:val="en-US" w:eastAsia="zh-CN" w:bidi="ar-SA"/>
            </w:rPr>
            <w:t>3</w:t>
          </w:r>
          <w:r>
            <w:rPr>
              <w:rFonts w:hint="eastAsia" w:ascii="Times New Roman" w:hAnsi="Times New Roman" w:eastAsia="仿宋_GB2312" w:cs="仿宋_GB2312"/>
              <w:color w:val="auto"/>
              <w:kern w:val="2"/>
              <w:sz w:val="32"/>
              <w:szCs w:val="32"/>
              <w:highlight w:val="none"/>
              <w:lang w:val="en-US" w:eastAsia="zh-CN" w:bidi="ar-SA"/>
            </w:rPr>
            <w:fldChar w:fldCharType="end"/>
          </w:r>
          <w:r>
            <w:rPr>
              <w:rFonts w:hint="eastAsia" w:ascii="Times New Roman" w:hAnsi="Times New Roman" w:eastAsia="仿宋_GB2312" w:cs="仿宋_GB2312"/>
              <w:color w:val="auto"/>
              <w:kern w:val="2"/>
              <w:sz w:val="32"/>
              <w:szCs w:val="32"/>
              <w:highlight w:val="none"/>
              <w:lang w:val="en-US" w:eastAsia="zh-CN" w:bidi="ar-SA"/>
            </w:rPr>
            <w:fldChar w:fldCharType="end"/>
          </w:r>
        </w:p>
        <w:p>
          <w:pPr>
            <w:pStyle w:val="37"/>
            <w:tabs>
              <w:tab w:val="right" w:leader="dot" w:pos="8306"/>
            </w:tabs>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fldChar w:fldCharType="begin"/>
          </w:r>
          <w:r>
            <w:rPr>
              <w:rFonts w:hint="eastAsia" w:ascii="Times New Roman" w:hAnsi="Times New Roman" w:eastAsia="仿宋_GB2312" w:cs="仿宋_GB2312"/>
              <w:color w:val="auto"/>
              <w:kern w:val="2"/>
              <w:sz w:val="32"/>
              <w:szCs w:val="32"/>
              <w:highlight w:val="none"/>
              <w:lang w:val="en-US" w:eastAsia="zh-CN" w:bidi="ar-SA"/>
            </w:rPr>
            <w:instrText xml:space="preserve"> HYPERLINK \l _Toc21182 </w:instrText>
          </w:r>
          <w:r>
            <w:rPr>
              <w:rFonts w:hint="eastAsia" w:ascii="Times New Roman" w:hAnsi="Times New Roman" w:eastAsia="仿宋_GB2312" w:cs="仿宋_GB2312"/>
              <w:color w:val="auto"/>
              <w:kern w:val="2"/>
              <w:sz w:val="32"/>
              <w:szCs w:val="32"/>
              <w:highlight w:val="none"/>
              <w:lang w:val="en-US" w:eastAsia="zh-CN" w:bidi="ar-SA"/>
            </w:rPr>
            <w:fldChar w:fldCharType="separate"/>
          </w:r>
          <w:r>
            <w:rPr>
              <w:rFonts w:hint="eastAsia" w:ascii="Times New Roman" w:hAnsi="Times New Roman" w:eastAsia="仿宋_GB2312" w:cs="仿宋_GB2312"/>
              <w:color w:val="auto"/>
              <w:kern w:val="2"/>
              <w:sz w:val="32"/>
              <w:szCs w:val="32"/>
              <w:highlight w:val="none"/>
              <w:lang w:val="en-US" w:eastAsia="zh-CN" w:bidi="ar-SA"/>
            </w:rPr>
            <w:t>三、支出决算情况说明</w:t>
          </w:r>
          <w:r>
            <w:rPr>
              <w:rFonts w:hint="eastAsia" w:ascii="Times New Roman" w:hAnsi="Times New Roman" w:eastAsia="仿宋_GB2312" w:cs="仿宋_GB2312"/>
              <w:color w:val="auto"/>
              <w:kern w:val="2"/>
              <w:sz w:val="32"/>
              <w:szCs w:val="32"/>
              <w:highlight w:val="none"/>
              <w:lang w:val="en-US" w:eastAsia="zh-CN" w:bidi="ar-SA"/>
            </w:rPr>
            <w:tab/>
          </w:r>
          <w:r>
            <w:rPr>
              <w:rFonts w:hint="eastAsia" w:ascii="Times New Roman" w:hAnsi="Times New Roman" w:eastAsia="仿宋_GB2312" w:cs="仿宋_GB2312"/>
              <w:color w:val="auto"/>
              <w:kern w:val="2"/>
              <w:sz w:val="32"/>
              <w:szCs w:val="32"/>
              <w:highlight w:val="none"/>
              <w:lang w:val="en-US" w:eastAsia="zh-CN" w:bidi="ar-SA"/>
            </w:rPr>
            <w:fldChar w:fldCharType="begin"/>
          </w:r>
          <w:r>
            <w:rPr>
              <w:rFonts w:hint="eastAsia" w:ascii="Times New Roman" w:hAnsi="Times New Roman" w:eastAsia="仿宋_GB2312" w:cs="仿宋_GB2312"/>
              <w:color w:val="auto"/>
              <w:kern w:val="2"/>
              <w:sz w:val="32"/>
              <w:szCs w:val="32"/>
              <w:highlight w:val="none"/>
              <w:lang w:val="en-US" w:eastAsia="zh-CN" w:bidi="ar-SA"/>
            </w:rPr>
            <w:instrText xml:space="preserve"> PAGEREF _Toc21182 \h </w:instrText>
          </w:r>
          <w:r>
            <w:rPr>
              <w:rFonts w:hint="eastAsia" w:ascii="Times New Roman" w:hAnsi="Times New Roman" w:eastAsia="仿宋_GB2312" w:cs="仿宋_GB2312"/>
              <w:color w:val="auto"/>
              <w:kern w:val="2"/>
              <w:sz w:val="32"/>
              <w:szCs w:val="32"/>
              <w:highlight w:val="none"/>
              <w:lang w:val="en-US" w:eastAsia="zh-CN" w:bidi="ar-SA"/>
            </w:rPr>
            <w:fldChar w:fldCharType="separate"/>
          </w:r>
          <w:r>
            <w:rPr>
              <w:rFonts w:hint="eastAsia" w:ascii="Times New Roman" w:hAnsi="Times New Roman" w:eastAsia="仿宋_GB2312" w:cs="仿宋_GB2312"/>
              <w:color w:val="auto"/>
              <w:kern w:val="2"/>
              <w:sz w:val="32"/>
              <w:szCs w:val="32"/>
              <w:highlight w:val="none"/>
              <w:lang w:val="en-US" w:eastAsia="zh-CN" w:bidi="ar-SA"/>
            </w:rPr>
            <w:t>3</w:t>
          </w:r>
          <w:r>
            <w:rPr>
              <w:rFonts w:hint="eastAsia" w:ascii="Times New Roman" w:hAnsi="Times New Roman" w:eastAsia="仿宋_GB2312" w:cs="仿宋_GB2312"/>
              <w:color w:val="auto"/>
              <w:kern w:val="2"/>
              <w:sz w:val="32"/>
              <w:szCs w:val="32"/>
              <w:highlight w:val="none"/>
              <w:lang w:val="en-US" w:eastAsia="zh-CN" w:bidi="ar-SA"/>
            </w:rPr>
            <w:fldChar w:fldCharType="end"/>
          </w:r>
          <w:r>
            <w:rPr>
              <w:rFonts w:hint="eastAsia" w:ascii="Times New Roman" w:hAnsi="Times New Roman" w:eastAsia="仿宋_GB2312" w:cs="仿宋_GB2312"/>
              <w:color w:val="auto"/>
              <w:kern w:val="2"/>
              <w:sz w:val="32"/>
              <w:szCs w:val="32"/>
              <w:highlight w:val="none"/>
              <w:lang w:val="en-US" w:eastAsia="zh-CN" w:bidi="ar-SA"/>
            </w:rPr>
            <w:fldChar w:fldCharType="end"/>
          </w:r>
        </w:p>
        <w:p>
          <w:pPr>
            <w:pStyle w:val="37"/>
            <w:tabs>
              <w:tab w:val="right" w:leader="dot" w:pos="8306"/>
            </w:tabs>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fldChar w:fldCharType="begin"/>
          </w:r>
          <w:r>
            <w:rPr>
              <w:rFonts w:hint="eastAsia" w:ascii="Times New Roman" w:hAnsi="Times New Roman" w:eastAsia="仿宋_GB2312" w:cs="仿宋_GB2312"/>
              <w:color w:val="auto"/>
              <w:kern w:val="2"/>
              <w:sz w:val="32"/>
              <w:szCs w:val="32"/>
              <w:highlight w:val="none"/>
              <w:lang w:val="en-US" w:eastAsia="zh-CN" w:bidi="ar-SA"/>
            </w:rPr>
            <w:instrText xml:space="preserve"> HYPERLINK \l _Toc4453 </w:instrText>
          </w:r>
          <w:r>
            <w:rPr>
              <w:rFonts w:hint="eastAsia" w:ascii="Times New Roman" w:hAnsi="Times New Roman" w:eastAsia="仿宋_GB2312" w:cs="仿宋_GB2312"/>
              <w:color w:val="auto"/>
              <w:kern w:val="2"/>
              <w:sz w:val="32"/>
              <w:szCs w:val="32"/>
              <w:highlight w:val="none"/>
              <w:lang w:val="en-US" w:eastAsia="zh-CN" w:bidi="ar-SA"/>
            </w:rPr>
            <w:fldChar w:fldCharType="separate"/>
          </w:r>
          <w:r>
            <w:rPr>
              <w:rFonts w:hint="eastAsia" w:ascii="Times New Roman" w:hAnsi="Times New Roman" w:eastAsia="仿宋_GB2312" w:cs="仿宋_GB2312"/>
              <w:color w:val="auto"/>
              <w:kern w:val="2"/>
              <w:sz w:val="32"/>
              <w:szCs w:val="32"/>
              <w:highlight w:val="none"/>
              <w:lang w:val="en-US" w:eastAsia="zh-CN" w:bidi="ar-SA"/>
            </w:rPr>
            <w:t>四、财政拨款收入支出决算总体情况说明</w:t>
          </w:r>
          <w:r>
            <w:rPr>
              <w:rFonts w:hint="eastAsia" w:ascii="Times New Roman" w:hAnsi="Times New Roman" w:eastAsia="仿宋_GB2312" w:cs="仿宋_GB2312"/>
              <w:color w:val="auto"/>
              <w:kern w:val="2"/>
              <w:sz w:val="32"/>
              <w:szCs w:val="32"/>
              <w:highlight w:val="none"/>
              <w:lang w:val="en-US" w:eastAsia="zh-CN" w:bidi="ar-SA"/>
            </w:rPr>
            <w:tab/>
          </w:r>
          <w:r>
            <w:rPr>
              <w:rFonts w:hint="eastAsia" w:ascii="Times New Roman" w:hAnsi="Times New Roman" w:eastAsia="仿宋_GB2312" w:cs="仿宋_GB2312"/>
              <w:color w:val="auto"/>
              <w:kern w:val="2"/>
              <w:sz w:val="32"/>
              <w:szCs w:val="32"/>
              <w:highlight w:val="none"/>
              <w:lang w:val="en-US" w:eastAsia="zh-CN" w:bidi="ar-SA"/>
            </w:rPr>
            <w:fldChar w:fldCharType="begin"/>
          </w:r>
          <w:r>
            <w:rPr>
              <w:rFonts w:hint="eastAsia" w:ascii="Times New Roman" w:hAnsi="Times New Roman" w:eastAsia="仿宋_GB2312" w:cs="仿宋_GB2312"/>
              <w:color w:val="auto"/>
              <w:kern w:val="2"/>
              <w:sz w:val="32"/>
              <w:szCs w:val="32"/>
              <w:highlight w:val="none"/>
              <w:lang w:val="en-US" w:eastAsia="zh-CN" w:bidi="ar-SA"/>
            </w:rPr>
            <w:instrText xml:space="preserve"> PAGEREF _Toc4453 \h </w:instrText>
          </w:r>
          <w:r>
            <w:rPr>
              <w:rFonts w:hint="eastAsia" w:ascii="Times New Roman" w:hAnsi="Times New Roman" w:eastAsia="仿宋_GB2312" w:cs="仿宋_GB2312"/>
              <w:color w:val="auto"/>
              <w:kern w:val="2"/>
              <w:sz w:val="32"/>
              <w:szCs w:val="32"/>
              <w:highlight w:val="none"/>
              <w:lang w:val="en-US" w:eastAsia="zh-CN" w:bidi="ar-SA"/>
            </w:rPr>
            <w:fldChar w:fldCharType="separate"/>
          </w:r>
          <w:r>
            <w:rPr>
              <w:rFonts w:hint="eastAsia" w:ascii="Times New Roman" w:hAnsi="Times New Roman"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fldChar w:fldCharType="end"/>
          </w:r>
          <w:r>
            <w:rPr>
              <w:rFonts w:hint="eastAsia" w:ascii="Times New Roman" w:hAnsi="Times New Roman" w:eastAsia="仿宋_GB2312" w:cs="仿宋_GB2312"/>
              <w:color w:val="auto"/>
              <w:kern w:val="2"/>
              <w:sz w:val="32"/>
              <w:szCs w:val="32"/>
              <w:highlight w:val="none"/>
              <w:lang w:val="en-US" w:eastAsia="zh-CN" w:bidi="ar-SA"/>
            </w:rPr>
            <w:fldChar w:fldCharType="end"/>
          </w:r>
        </w:p>
        <w:p>
          <w:pPr>
            <w:pStyle w:val="37"/>
            <w:tabs>
              <w:tab w:val="right" w:leader="dot" w:pos="8306"/>
            </w:tabs>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fldChar w:fldCharType="begin"/>
          </w:r>
          <w:r>
            <w:rPr>
              <w:rFonts w:hint="eastAsia" w:ascii="Times New Roman" w:hAnsi="Times New Roman" w:eastAsia="仿宋_GB2312" w:cs="仿宋_GB2312"/>
              <w:color w:val="auto"/>
              <w:kern w:val="2"/>
              <w:sz w:val="32"/>
              <w:szCs w:val="32"/>
              <w:highlight w:val="none"/>
              <w:lang w:val="en-US" w:eastAsia="zh-CN" w:bidi="ar-SA"/>
            </w:rPr>
            <w:instrText xml:space="preserve"> HYPERLINK \l _Toc4908 </w:instrText>
          </w:r>
          <w:r>
            <w:rPr>
              <w:rFonts w:hint="eastAsia" w:ascii="Times New Roman" w:hAnsi="Times New Roman" w:eastAsia="仿宋_GB2312" w:cs="仿宋_GB2312"/>
              <w:color w:val="auto"/>
              <w:kern w:val="2"/>
              <w:sz w:val="32"/>
              <w:szCs w:val="32"/>
              <w:highlight w:val="none"/>
              <w:lang w:val="en-US" w:eastAsia="zh-CN" w:bidi="ar-SA"/>
            </w:rPr>
            <w:fldChar w:fldCharType="separate"/>
          </w:r>
          <w:r>
            <w:rPr>
              <w:rFonts w:hint="eastAsia" w:ascii="Times New Roman" w:hAnsi="Times New Roman" w:eastAsia="仿宋_GB2312" w:cs="仿宋_GB2312"/>
              <w:color w:val="auto"/>
              <w:kern w:val="2"/>
              <w:sz w:val="32"/>
              <w:szCs w:val="32"/>
              <w:highlight w:val="none"/>
              <w:lang w:val="en-US" w:eastAsia="zh-CN" w:bidi="ar-SA"/>
            </w:rPr>
            <w:t>五、一般公共预算财政拨款支出决算情况说明</w:t>
          </w:r>
          <w:r>
            <w:rPr>
              <w:rFonts w:hint="eastAsia" w:ascii="Times New Roman" w:hAnsi="Times New Roman" w:eastAsia="仿宋_GB2312" w:cs="仿宋_GB2312"/>
              <w:color w:val="auto"/>
              <w:kern w:val="2"/>
              <w:sz w:val="32"/>
              <w:szCs w:val="32"/>
              <w:highlight w:val="none"/>
              <w:lang w:val="en-US" w:eastAsia="zh-CN" w:bidi="ar-SA"/>
            </w:rPr>
            <w:tab/>
          </w:r>
          <w:r>
            <w:rPr>
              <w:rFonts w:hint="eastAsia" w:ascii="Times New Roman" w:hAnsi="Times New Roman" w:eastAsia="仿宋_GB2312" w:cs="仿宋_GB2312"/>
              <w:color w:val="auto"/>
              <w:kern w:val="2"/>
              <w:sz w:val="32"/>
              <w:szCs w:val="32"/>
              <w:highlight w:val="none"/>
              <w:lang w:val="en-US" w:eastAsia="zh-CN" w:bidi="ar-SA"/>
            </w:rPr>
            <w:fldChar w:fldCharType="begin"/>
          </w:r>
          <w:r>
            <w:rPr>
              <w:rFonts w:hint="eastAsia" w:ascii="Times New Roman" w:hAnsi="Times New Roman" w:eastAsia="仿宋_GB2312" w:cs="仿宋_GB2312"/>
              <w:color w:val="auto"/>
              <w:kern w:val="2"/>
              <w:sz w:val="32"/>
              <w:szCs w:val="32"/>
              <w:highlight w:val="none"/>
              <w:lang w:val="en-US" w:eastAsia="zh-CN" w:bidi="ar-SA"/>
            </w:rPr>
            <w:instrText xml:space="preserve"> PAGEREF _Toc4908 \h </w:instrText>
          </w:r>
          <w:r>
            <w:rPr>
              <w:rFonts w:hint="eastAsia" w:ascii="Times New Roman" w:hAnsi="Times New Roman" w:eastAsia="仿宋_GB2312" w:cs="仿宋_GB2312"/>
              <w:color w:val="auto"/>
              <w:kern w:val="2"/>
              <w:sz w:val="32"/>
              <w:szCs w:val="32"/>
              <w:highlight w:val="none"/>
              <w:lang w:val="en-US" w:eastAsia="zh-CN" w:bidi="ar-SA"/>
            </w:rPr>
            <w:fldChar w:fldCharType="separate"/>
          </w:r>
          <w:r>
            <w:rPr>
              <w:rFonts w:hint="eastAsia" w:ascii="Times New Roman" w:hAnsi="Times New Roman"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fldChar w:fldCharType="end"/>
          </w:r>
          <w:r>
            <w:rPr>
              <w:rFonts w:hint="eastAsia" w:ascii="Times New Roman" w:hAnsi="Times New Roman" w:eastAsia="仿宋_GB2312" w:cs="仿宋_GB2312"/>
              <w:color w:val="auto"/>
              <w:kern w:val="2"/>
              <w:sz w:val="32"/>
              <w:szCs w:val="32"/>
              <w:highlight w:val="none"/>
              <w:lang w:val="en-US" w:eastAsia="zh-CN" w:bidi="ar-SA"/>
            </w:rPr>
            <w:fldChar w:fldCharType="end"/>
          </w:r>
        </w:p>
        <w:p>
          <w:pPr>
            <w:pStyle w:val="37"/>
            <w:tabs>
              <w:tab w:val="right" w:leader="dot" w:pos="8306"/>
            </w:tabs>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fldChar w:fldCharType="begin"/>
          </w:r>
          <w:r>
            <w:rPr>
              <w:rFonts w:hint="eastAsia" w:ascii="Times New Roman" w:hAnsi="Times New Roman" w:eastAsia="仿宋_GB2312" w:cs="仿宋_GB2312"/>
              <w:color w:val="auto"/>
              <w:kern w:val="2"/>
              <w:sz w:val="32"/>
              <w:szCs w:val="32"/>
              <w:highlight w:val="none"/>
              <w:lang w:val="en-US" w:eastAsia="zh-CN" w:bidi="ar-SA"/>
            </w:rPr>
            <w:instrText xml:space="preserve"> HYPERLINK \l _Toc23166 </w:instrText>
          </w:r>
          <w:r>
            <w:rPr>
              <w:rFonts w:hint="eastAsia" w:ascii="Times New Roman" w:hAnsi="Times New Roman" w:eastAsia="仿宋_GB2312" w:cs="仿宋_GB2312"/>
              <w:color w:val="auto"/>
              <w:kern w:val="2"/>
              <w:sz w:val="32"/>
              <w:szCs w:val="32"/>
              <w:highlight w:val="none"/>
              <w:lang w:val="en-US" w:eastAsia="zh-CN" w:bidi="ar-SA"/>
            </w:rPr>
            <w:fldChar w:fldCharType="separate"/>
          </w:r>
          <w:r>
            <w:rPr>
              <w:rFonts w:hint="eastAsia" w:ascii="Times New Roman" w:hAnsi="Times New Roman" w:eastAsia="仿宋_GB2312" w:cs="仿宋_GB2312"/>
              <w:color w:val="auto"/>
              <w:kern w:val="2"/>
              <w:sz w:val="32"/>
              <w:szCs w:val="32"/>
              <w:highlight w:val="none"/>
              <w:lang w:val="en-US" w:eastAsia="zh-CN" w:bidi="ar-SA"/>
            </w:rPr>
            <w:t>六、一般公共预算财政拨款基本支出决算情况说明</w:t>
          </w:r>
          <w:r>
            <w:rPr>
              <w:rFonts w:hint="eastAsia" w:ascii="Times New Roman" w:hAnsi="Times New Roman" w:eastAsia="仿宋_GB2312" w:cs="仿宋_GB2312"/>
              <w:color w:val="auto"/>
              <w:kern w:val="2"/>
              <w:sz w:val="32"/>
              <w:szCs w:val="32"/>
              <w:highlight w:val="none"/>
              <w:lang w:val="en-US" w:eastAsia="zh-CN" w:bidi="ar-SA"/>
            </w:rPr>
            <w:tab/>
          </w:r>
          <w:r>
            <w:rPr>
              <w:rFonts w:hint="eastAsia" w:ascii="Times New Roman" w:hAnsi="Times New Roman" w:eastAsia="仿宋_GB2312" w:cs="仿宋_GB2312"/>
              <w:color w:val="auto"/>
              <w:kern w:val="2"/>
              <w:sz w:val="32"/>
              <w:szCs w:val="32"/>
              <w:highlight w:val="none"/>
              <w:lang w:val="en-US" w:eastAsia="zh-CN" w:bidi="ar-SA"/>
            </w:rPr>
            <w:fldChar w:fldCharType="begin"/>
          </w:r>
          <w:r>
            <w:rPr>
              <w:rFonts w:hint="eastAsia" w:ascii="Times New Roman" w:hAnsi="Times New Roman" w:eastAsia="仿宋_GB2312" w:cs="仿宋_GB2312"/>
              <w:color w:val="auto"/>
              <w:kern w:val="2"/>
              <w:sz w:val="32"/>
              <w:szCs w:val="32"/>
              <w:highlight w:val="none"/>
              <w:lang w:val="en-US" w:eastAsia="zh-CN" w:bidi="ar-SA"/>
            </w:rPr>
            <w:instrText xml:space="preserve"> PAGEREF _Toc23166 \h </w:instrText>
          </w:r>
          <w:r>
            <w:rPr>
              <w:rFonts w:hint="eastAsia" w:ascii="Times New Roman" w:hAnsi="Times New Roman" w:eastAsia="仿宋_GB2312" w:cs="仿宋_GB2312"/>
              <w:color w:val="auto"/>
              <w:kern w:val="2"/>
              <w:sz w:val="32"/>
              <w:szCs w:val="32"/>
              <w:highlight w:val="none"/>
              <w:lang w:val="en-US" w:eastAsia="zh-CN" w:bidi="ar-SA"/>
            </w:rPr>
            <w:fldChar w:fldCharType="separate"/>
          </w:r>
          <w:r>
            <w:rPr>
              <w:rFonts w:hint="eastAsia" w:ascii="Times New Roman" w:hAnsi="Times New Roman" w:eastAsia="仿宋_GB2312" w:cs="仿宋_GB2312"/>
              <w:color w:val="auto"/>
              <w:kern w:val="2"/>
              <w:sz w:val="32"/>
              <w:szCs w:val="32"/>
              <w:highlight w:val="none"/>
              <w:lang w:val="en-US" w:eastAsia="zh-CN" w:bidi="ar-SA"/>
            </w:rPr>
            <w:t>7</w:t>
          </w:r>
          <w:r>
            <w:rPr>
              <w:rFonts w:hint="eastAsia" w:ascii="Times New Roman" w:hAnsi="Times New Roman" w:eastAsia="仿宋_GB2312" w:cs="仿宋_GB2312"/>
              <w:color w:val="auto"/>
              <w:kern w:val="2"/>
              <w:sz w:val="32"/>
              <w:szCs w:val="32"/>
              <w:highlight w:val="none"/>
              <w:lang w:val="en-US" w:eastAsia="zh-CN" w:bidi="ar-SA"/>
            </w:rPr>
            <w:fldChar w:fldCharType="end"/>
          </w:r>
          <w:r>
            <w:rPr>
              <w:rFonts w:hint="eastAsia" w:ascii="Times New Roman" w:hAnsi="Times New Roman" w:eastAsia="仿宋_GB2312" w:cs="仿宋_GB2312"/>
              <w:color w:val="auto"/>
              <w:kern w:val="2"/>
              <w:sz w:val="32"/>
              <w:szCs w:val="32"/>
              <w:highlight w:val="none"/>
              <w:lang w:val="en-US" w:eastAsia="zh-CN" w:bidi="ar-SA"/>
            </w:rPr>
            <w:fldChar w:fldCharType="end"/>
          </w:r>
        </w:p>
        <w:p>
          <w:pPr>
            <w:pStyle w:val="37"/>
            <w:tabs>
              <w:tab w:val="right" w:leader="dot" w:pos="8306"/>
            </w:tabs>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fldChar w:fldCharType="begin"/>
          </w:r>
          <w:r>
            <w:rPr>
              <w:rFonts w:hint="eastAsia" w:ascii="Times New Roman" w:hAnsi="Times New Roman" w:eastAsia="仿宋_GB2312" w:cs="仿宋_GB2312"/>
              <w:color w:val="auto"/>
              <w:kern w:val="2"/>
              <w:sz w:val="32"/>
              <w:szCs w:val="32"/>
              <w:highlight w:val="none"/>
              <w:lang w:val="en-US" w:eastAsia="zh-CN" w:bidi="ar-SA"/>
            </w:rPr>
            <w:instrText xml:space="preserve"> HYPERLINK \l _Toc7302 </w:instrText>
          </w:r>
          <w:r>
            <w:rPr>
              <w:rFonts w:hint="eastAsia" w:ascii="Times New Roman" w:hAnsi="Times New Roman" w:eastAsia="仿宋_GB2312" w:cs="仿宋_GB2312"/>
              <w:color w:val="auto"/>
              <w:kern w:val="2"/>
              <w:sz w:val="32"/>
              <w:szCs w:val="32"/>
              <w:highlight w:val="none"/>
              <w:lang w:val="en-US" w:eastAsia="zh-CN" w:bidi="ar-SA"/>
            </w:rPr>
            <w:fldChar w:fldCharType="separate"/>
          </w:r>
          <w:r>
            <w:rPr>
              <w:rFonts w:hint="eastAsia" w:ascii="Times New Roman" w:hAnsi="Times New Roman" w:eastAsia="仿宋_GB2312" w:cs="仿宋_GB2312"/>
              <w:color w:val="auto"/>
              <w:kern w:val="2"/>
              <w:sz w:val="32"/>
              <w:szCs w:val="32"/>
              <w:highlight w:val="none"/>
              <w:lang w:val="en-US" w:eastAsia="zh-CN" w:bidi="ar-SA"/>
            </w:rPr>
            <w:t>七、财政拨款“三公”经费支出决算情况说明</w:t>
          </w:r>
          <w:r>
            <w:rPr>
              <w:rFonts w:hint="eastAsia" w:ascii="Times New Roman" w:hAnsi="Times New Roman" w:eastAsia="仿宋_GB2312" w:cs="仿宋_GB2312"/>
              <w:color w:val="auto"/>
              <w:kern w:val="2"/>
              <w:sz w:val="32"/>
              <w:szCs w:val="32"/>
              <w:highlight w:val="none"/>
              <w:lang w:val="en-US" w:eastAsia="zh-CN" w:bidi="ar-SA"/>
            </w:rPr>
            <w:tab/>
          </w:r>
          <w:r>
            <w:rPr>
              <w:rFonts w:hint="eastAsia" w:ascii="Times New Roman" w:hAnsi="Times New Roman" w:eastAsia="仿宋_GB2312" w:cs="仿宋_GB2312"/>
              <w:color w:val="auto"/>
              <w:kern w:val="2"/>
              <w:sz w:val="32"/>
              <w:szCs w:val="32"/>
              <w:highlight w:val="none"/>
              <w:lang w:val="en-US" w:eastAsia="zh-CN" w:bidi="ar-SA"/>
            </w:rPr>
            <w:fldChar w:fldCharType="begin"/>
          </w:r>
          <w:r>
            <w:rPr>
              <w:rFonts w:hint="eastAsia" w:ascii="Times New Roman" w:hAnsi="Times New Roman" w:eastAsia="仿宋_GB2312" w:cs="仿宋_GB2312"/>
              <w:color w:val="auto"/>
              <w:kern w:val="2"/>
              <w:sz w:val="32"/>
              <w:szCs w:val="32"/>
              <w:highlight w:val="none"/>
              <w:lang w:val="en-US" w:eastAsia="zh-CN" w:bidi="ar-SA"/>
            </w:rPr>
            <w:instrText xml:space="preserve"> PAGEREF _Toc7302 \h </w:instrText>
          </w:r>
          <w:r>
            <w:rPr>
              <w:rFonts w:hint="eastAsia" w:ascii="Times New Roman" w:hAnsi="Times New Roman" w:eastAsia="仿宋_GB2312" w:cs="仿宋_GB2312"/>
              <w:color w:val="auto"/>
              <w:kern w:val="2"/>
              <w:sz w:val="32"/>
              <w:szCs w:val="32"/>
              <w:highlight w:val="none"/>
              <w:lang w:val="en-US" w:eastAsia="zh-CN" w:bidi="ar-SA"/>
            </w:rPr>
            <w:fldChar w:fldCharType="separate"/>
          </w:r>
          <w:r>
            <w:rPr>
              <w:rFonts w:hint="eastAsia" w:ascii="Times New Roman" w:hAnsi="Times New Roman" w:eastAsia="仿宋_GB2312" w:cs="仿宋_GB2312"/>
              <w:color w:val="auto"/>
              <w:kern w:val="2"/>
              <w:sz w:val="32"/>
              <w:szCs w:val="32"/>
              <w:highlight w:val="none"/>
              <w:lang w:val="en-US" w:eastAsia="zh-CN" w:bidi="ar-SA"/>
            </w:rPr>
            <w:t>9</w:t>
          </w:r>
          <w:r>
            <w:rPr>
              <w:rFonts w:hint="eastAsia" w:ascii="Times New Roman" w:hAnsi="Times New Roman" w:eastAsia="仿宋_GB2312" w:cs="仿宋_GB2312"/>
              <w:color w:val="auto"/>
              <w:kern w:val="2"/>
              <w:sz w:val="32"/>
              <w:szCs w:val="32"/>
              <w:highlight w:val="none"/>
              <w:lang w:val="en-US" w:eastAsia="zh-CN" w:bidi="ar-SA"/>
            </w:rPr>
            <w:fldChar w:fldCharType="end"/>
          </w:r>
          <w:r>
            <w:rPr>
              <w:rFonts w:hint="eastAsia" w:ascii="Times New Roman" w:hAnsi="Times New Roman" w:eastAsia="仿宋_GB2312" w:cs="仿宋_GB2312"/>
              <w:color w:val="auto"/>
              <w:kern w:val="2"/>
              <w:sz w:val="32"/>
              <w:szCs w:val="32"/>
              <w:highlight w:val="none"/>
              <w:lang w:val="en-US" w:eastAsia="zh-CN" w:bidi="ar-SA"/>
            </w:rPr>
            <w:fldChar w:fldCharType="end"/>
          </w:r>
        </w:p>
        <w:p>
          <w:pPr>
            <w:pStyle w:val="37"/>
            <w:tabs>
              <w:tab w:val="right" w:leader="dot" w:pos="8306"/>
            </w:tabs>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fldChar w:fldCharType="begin"/>
          </w:r>
          <w:r>
            <w:rPr>
              <w:rFonts w:hint="eastAsia" w:ascii="Times New Roman" w:hAnsi="Times New Roman" w:eastAsia="仿宋_GB2312" w:cs="仿宋_GB2312"/>
              <w:color w:val="auto"/>
              <w:kern w:val="2"/>
              <w:sz w:val="32"/>
              <w:szCs w:val="32"/>
              <w:highlight w:val="none"/>
              <w:lang w:val="en-US" w:eastAsia="zh-CN" w:bidi="ar-SA"/>
            </w:rPr>
            <w:instrText xml:space="preserve"> HYPERLINK \l _Toc21675 </w:instrText>
          </w:r>
          <w:r>
            <w:rPr>
              <w:rFonts w:hint="eastAsia" w:ascii="Times New Roman" w:hAnsi="Times New Roman" w:eastAsia="仿宋_GB2312" w:cs="仿宋_GB2312"/>
              <w:color w:val="auto"/>
              <w:kern w:val="2"/>
              <w:sz w:val="32"/>
              <w:szCs w:val="32"/>
              <w:highlight w:val="none"/>
              <w:lang w:val="en-US" w:eastAsia="zh-CN" w:bidi="ar-SA"/>
            </w:rPr>
            <w:fldChar w:fldCharType="separate"/>
          </w:r>
          <w:r>
            <w:rPr>
              <w:rFonts w:hint="eastAsia" w:ascii="Times New Roman" w:hAnsi="Times New Roman" w:eastAsia="仿宋_GB2312" w:cs="仿宋_GB2312"/>
              <w:color w:val="auto"/>
              <w:kern w:val="2"/>
              <w:sz w:val="32"/>
              <w:szCs w:val="32"/>
              <w:highlight w:val="none"/>
              <w:lang w:val="en-US" w:eastAsia="zh-CN" w:bidi="ar-SA"/>
            </w:rPr>
            <w:t>八、政府性基金预算支出决算情况说明</w:t>
          </w:r>
          <w:r>
            <w:rPr>
              <w:rFonts w:hint="eastAsia" w:ascii="Times New Roman" w:hAnsi="Times New Roman" w:eastAsia="仿宋_GB2312" w:cs="仿宋_GB2312"/>
              <w:color w:val="auto"/>
              <w:kern w:val="2"/>
              <w:sz w:val="32"/>
              <w:szCs w:val="32"/>
              <w:highlight w:val="none"/>
              <w:lang w:val="en-US" w:eastAsia="zh-CN" w:bidi="ar-SA"/>
            </w:rPr>
            <w:tab/>
          </w:r>
          <w:r>
            <w:rPr>
              <w:rFonts w:hint="eastAsia" w:ascii="Times New Roman" w:hAnsi="Times New Roman" w:eastAsia="仿宋_GB2312" w:cs="仿宋_GB2312"/>
              <w:color w:val="auto"/>
              <w:kern w:val="2"/>
              <w:sz w:val="32"/>
              <w:szCs w:val="32"/>
              <w:highlight w:val="none"/>
              <w:lang w:val="en-US" w:eastAsia="zh-CN" w:bidi="ar-SA"/>
            </w:rPr>
            <w:fldChar w:fldCharType="begin"/>
          </w:r>
          <w:r>
            <w:rPr>
              <w:rFonts w:hint="eastAsia" w:ascii="Times New Roman" w:hAnsi="Times New Roman" w:eastAsia="仿宋_GB2312" w:cs="仿宋_GB2312"/>
              <w:color w:val="auto"/>
              <w:kern w:val="2"/>
              <w:sz w:val="32"/>
              <w:szCs w:val="32"/>
              <w:highlight w:val="none"/>
              <w:lang w:val="en-US" w:eastAsia="zh-CN" w:bidi="ar-SA"/>
            </w:rPr>
            <w:instrText xml:space="preserve"> PAGEREF _Toc21675 \h </w:instrText>
          </w:r>
          <w:r>
            <w:rPr>
              <w:rFonts w:hint="eastAsia" w:ascii="Times New Roman" w:hAnsi="Times New Roman" w:eastAsia="仿宋_GB2312" w:cs="仿宋_GB2312"/>
              <w:color w:val="auto"/>
              <w:kern w:val="2"/>
              <w:sz w:val="32"/>
              <w:szCs w:val="32"/>
              <w:highlight w:val="none"/>
              <w:lang w:val="en-US" w:eastAsia="zh-CN" w:bidi="ar-SA"/>
            </w:rPr>
            <w:fldChar w:fldCharType="separate"/>
          </w:r>
          <w:r>
            <w:rPr>
              <w:rFonts w:hint="eastAsia" w:ascii="Times New Roman" w:hAnsi="Times New Roman" w:eastAsia="仿宋_GB2312" w:cs="仿宋_GB2312"/>
              <w:color w:val="auto"/>
              <w:kern w:val="2"/>
              <w:sz w:val="32"/>
              <w:szCs w:val="32"/>
              <w:highlight w:val="none"/>
              <w:lang w:val="en-US" w:eastAsia="zh-CN" w:bidi="ar-SA"/>
            </w:rPr>
            <w:t>11</w:t>
          </w:r>
          <w:r>
            <w:rPr>
              <w:rFonts w:hint="eastAsia" w:ascii="Times New Roman" w:hAnsi="Times New Roman" w:eastAsia="仿宋_GB2312" w:cs="仿宋_GB2312"/>
              <w:color w:val="auto"/>
              <w:kern w:val="2"/>
              <w:sz w:val="32"/>
              <w:szCs w:val="32"/>
              <w:highlight w:val="none"/>
              <w:lang w:val="en-US" w:eastAsia="zh-CN" w:bidi="ar-SA"/>
            </w:rPr>
            <w:fldChar w:fldCharType="end"/>
          </w:r>
          <w:r>
            <w:rPr>
              <w:rFonts w:hint="eastAsia" w:ascii="Times New Roman" w:hAnsi="Times New Roman" w:eastAsia="仿宋_GB2312" w:cs="仿宋_GB2312"/>
              <w:color w:val="auto"/>
              <w:kern w:val="2"/>
              <w:sz w:val="32"/>
              <w:szCs w:val="32"/>
              <w:highlight w:val="none"/>
              <w:lang w:val="en-US" w:eastAsia="zh-CN" w:bidi="ar-SA"/>
            </w:rPr>
            <w:fldChar w:fldCharType="end"/>
          </w:r>
        </w:p>
        <w:p>
          <w:pPr>
            <w:pStyle w:val="37"/>
            <w:tabs>
              <w:tab w:val="right" w:leader="dot" w:pos="8306"/>
            </w:tabs>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fldChar w:fldCharType="begin"/>
          </w:r>
          <w:r>
            <w:rPr>
              <w:rFonts w:hint="eastAsia" w:ascii="Times New Roman" w:hAnsi="Times New Roman" w:eastAsia="仿宋_GB2312" w:cs="仿宋_GB2312"/>
              <w:color w:val="auto"/>
              <w:kern w:val="2"/>
              <w:sz w:val="32"/>
              <w:szCs w:val="32"/>
              <w:highlight w:val="none"/>
              <w:lang w:val="en-US" w:eastAsia="zh-CN" w:bidi="ar-SA"/>
            </w:rPr>
            <w:instrText xml:space="preserve"> HYPERLINK \l _Toc7925 </w:instrText>
          </w:r>
          <w:r>
            <w:rPr>
              <w:rFonts w:hint="eastAsia" w:ascii="Times New Roman" w:hAnsi="Times New Roman" w:eastAsia="仿宋_GB2312" w:cs="仿宋_GB2312"/>
              <w:color w:val="auto"/>
              <w:kern w:val="2"/>
              <w:sz w:val="32"/>
              <w:szCs w:val="32"/>
              <w:highlight w:val="none"/>
              <w:lang w:val="en-US" w:eastAsia="zh-CN" w:bidi="ar-SA"/>
            </w:rPr>
            <w:fldChar w:fldCharType="separate"/>
          </w:r>
          <w:r>
            <w:rPr>
              <w:rFonts w:hint="eastAsia" w:ascii="Times New Roman" w:hAnsi="Times New Roman" w:eastAsia="仿宋_GB2312" w:cs="仿宋_GB2312"/>
              <w:color w:val="auto"/>
              <w:kern w:val="2"/>
              <w:sz w:val="32"/>
              <w:szCs w:val="32"/>
              <w:highlight w:val="none"/>
              <w:lang w:val="en-US" w:eastAsia="zh-CN" w:bidi="ar-SA"/>
            </w:rPr>
            <w:t>九、国有资本经营预算支出决算情况说明</w:t>
          </w:r>
          <w:r>
            <w:rPr>
              <w:rFonts w:hint="eastAsia" w:ascii="Times New Roman" w:hAnsi="Times New Roman" w:eastAsia="仿宋_GB2312" w:cs="仿宋_GB2312"/>
              <w:color w:val="auto"/>
              <w:kern w:val="2"/>
              <w:sz w:val="32"/>
              <w:szCs w:val="32"/>
              <w:highlight w:val="none"/>
              <w:lang w:val="en-US" w:eastAsia="zh-CN" w:bidi="ar-SA"/>
            </w:rPr>
            <w:tab/>
          </w:r>
          <w:r>
            <w:rPr>
              <w:rFonts w:hint="eastAsia" w:ascii="Times New Roman" w:hAnsi="Times New Roman" w:eastAsia="仿宋_GB2312" w:cs="仿宋_GB2312"/>
              <w:color w:val="auto"/>
              <w:kern w:val="2"/>
              <w:sz w:val="32"/>
              <w:szCs w:val="32"/>
              <w:highlight w:val="none"/>
              <w:lang w:val="en-US" w:eastAsia="zh-CN" w:bidi="ar-SA"/>
            </w:rPr>
            <w:fldChar w:fldCharType="begin"/>
          </w:r>
          <w:r>
            <w:rPr>
              <w:rFonts w:hint="eastAsia" w:ascii="Times New Roman" w:hAnsi="Times New Roman" w:eastAsia="仿宋_GB2312" w:cs="仿宋_GB2312"/>
              <w:color w:val="auto"/>
              <w:kern w:val="2"/>
              <w:sz w:val="32"/>
              <w:szCs w:val="32"/>
              <w:highlight w:val="none"/>
              <w:lang w:val="en-US" w:eastAsia="zh-CN" w:bidi="ar-SA"/>
            </w:rPr>
            <w:instrText xml:space="preserve"> PAGEREF _Toc7925 \h </w:instrText>
          </w:r>
          <w:r>
            <w:rPr>
              <w:rFonts w:hint="eastAsia" w:ascii="Times New Roman" w:hAnsi="Times New Roman" w:eastAsia="仿宋_GB2312" w:cs="仿宋_GB2312"/>
              <w:color w:val="auto"/>
              <w:kern w:val="2"/>
              <w:sz w:val="32"/>
              <w:szCs w:val="32"/>
              <w:highlight w:val="none"/>
              <w:lang w:val="en-US" w:eastAsia="zh-CN" w:bidi="ar-SA"/>
            </w:rPr>
            <w:fldChar w:fldCharType="separate"/>
          </w:r>
          <w:r>
            <w:rPr>
              <w:rFonts w:hint="eastAsia" w:ascii="Times New Roman" w:hAnsi="Times New Roman" w:eastAsia="仿宋_GB2312" w:cs="仿宋_GB2312"/>
              <w:color w:val="auto"/>
              <w:kern w:val="2"/>
              <w:sz w:val="32"/>
              <w:szCs w:val="32"/>
              <w:highlight w:val="none"/>
              <w:lang w:val="en-US" w:eastAsia="zh-CN" w:bidi="ar-SA"/>
            </w:rPr>
            <w:t>11</w:t>
          </w:r>
          <w:r>
            <w:rPr>
              <w:rFonts w:hint="eastAsia" w:ascii="Times New Roman" w:hAnsi="Times New Roman" w:eastAsia="仿宋_GB2312" w:cs="仿宋_GB2312"/>
              <w:color w:val="auto"/>
              <w:kern w:val="2"/>
              <w:sz w:val="32"/>
              <w:szCs w:val="32"/>
              <w:highlight w:val="none"/>
              <w:lang w:val="en-US" w:eastAsia="zh-CN" w:bidi="ar-SA"/>
            </w:rPr>
            <w:fldChar w:fldCharType="end"/>
          </w:r>
          <w:r>
            <w:rPr>
              <w:rFonts w:hint="eastAsia" w:ascii="Times New Roman" w:hAnsi="Times New Roman" w:eastAsia="仿宋_GB2312" w:cs="仿宋_GB2312"/>
              <w:color w:val="auto"/>
              <w:kern w:val="2"/>
              <w:sz w:val="32"/>
              <w:szCs w:val="32"/>
              <w:highlight w:val="none"/>
              <w:lang w:val="en-US" w:eastAsia="zh-CN" w:bidi="ar-SA"/>
            </w:rPr>
            <w:fldChar w:fldCharType="end"/>
          </w:r>
        </w:p>
        <w:p>
          <w:pPr>
            <w:pStyle w:val="37"/>
            <w:tabs>
              <w:tab w:val="right" w:leader="dot" w:pos="8306"/>
            </w:tabs>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fldChar w:fldCharType="begin"/>
          </w:r>
          <w:r>
            <w:rPr>
              <w:rFonts w:hint="eastAsia" w:ascii="Times New Roman" w:hAnsi="Times New Roman" w:eastAsia="仿宋_GB2312" w:cs="仿宋_GB2312"/>
              <w:color w:val="auto"/>
              <w:kern w:val="2"/>
              <w:sz w:val="32"/>
              <w:szCs w:val="32"/>
              <w:highlight w:val="none"/>
              <w:lang w:val="en-US" w:eastAsia="zh-CN" w:bidi="ar-SA"/>
            </w:rPr>
            <w:instrText xml:space="preserve"> HYPERLINK \l _Toc24471 </w:instrText>
          </w:r>
          <w:r>
            <w:rPr>
              <w:rFonts w:hint="eastAsia" w:ascii="Times New Roman" w:hAnsi="Times New Roman" w:eastAsia="仿宋_GB2312" w:cs="仿宋_GB2312"/>
              <w:color w:val="auto"/>
              <w:kern w:val="2"/>
              <w:sz w:val="32"/>
              <w:szCs w:val="32"/>
              <w:highlight w:val="none"/>
              <w:lang w:val="en-US" w:eastAsia="zh-CN" w:bidi="ar-SA"/>
            </w:rPr>
            <w:fldChar w:fldCharType="separate"/>
          </w:r>
          <w:r>
            <w:rPr>
              <w:rFonts w:hint="eastAsia" w:ascii="Times New Roman" w:hAnsi="Times New Roman" w:eastAsia="仿宋_GB2312" w:cs="仿宋_GB2312"/>
              <w:color w:val="auto"/>
              <w:kern w:val="2"/>
              <w:sz w:val="32"/>
              <w:szCs w:val="32"/>
              <w:highlight w:val="none"/>
              <w:lang w:val="en-US" w:eastAsia="zh-CN" w:bidi="ar-SA"/>
            </w:rPr>
            <w:t>十、其他重要事项的情况说明</w:t>
          </w:r>
          <w:r>
            <w:rPr>
              <w:rFonts w:hint="eastAsia" w:ascii="Times New Roman" w:hAnsi="Times New Roman" w:eastAsia="仿宋_GB2312" w:cs="仿宋_GB2312"/>
              <w:color w:val="auto"/>
              <w:kern w:val="2"/>
              <w:sz w:val="32"/>
              <w:szCs w:val="32"/>
              <w:highlight w:val="none"/>
              <w:lang w:val="en-US" w:eastAsia="zh-CN" w:bidi="ar-SA"/>
            </w:rPr>
            <w:tab/>
          </w:r>
          <w:r>
            <w:rPr>
              <w:rFonts w:hint="eastAsia" w:ascii="Times New Roman" w:hAnsi="Times New Roman" w:eastAsia="仿宋_GB2312" w:cs="仿宋_GB2312"/>
              <w:color w:val="auto"/>
              <w:kern w:val="2"/>
              <w:sz w:val="32"/>
              <w:szCs w:val="32"/>
              <w:highlight w:val="none"/>
              <w:lang w:val="en-US" w:eastAsia="zh-CN" w:bidi="ar-SA"/>
            </w:rPr>
            <w:fldChar w:fldCharType="begin"/>
          </w:r>
          <w:r>
            <w:rPr>
              <w:rFonts w:hint="eastAsia" w:ascii="Times New Roman" w:hAnsi="Times New Roman" w:eastAsia="仿宋_GB2312" w:cs="仿宋_GB2312"/>
              <w:color w:val="auto"/>
              <w:kern w:val="2"/>
              <w:sz w:val="32"/>
              <w:szCs w:val="32"/>
              <w:highlight w:val="none"/>
              <w:lang w:val="en-US" w:eastAsia="zh-CN" w:bidi="ar-SA"/>
            </w:rPr>
            <w:instrText xml:space="preserve"> PAGEREF _Toc24471 \h </w:instrText>
          </w:r>
          <w:r>
            <w:rPr>
              <w:rFonts w:hint="eastAsia" w:ascii="Times New Roman" w:hAnsi="Times New Roman" w:eastAsia="仿宋_GB2312" w:cs="仿宋_GB2312"/>
              <w:color w:val="auto"/>
              <w:kern w:val="2"/>
              <w:sz w:val="32"/>
              <w:szCs w:val="32"/>
              <w:highlight w:val="none"/>
              <w:lang w:val="en-US" w:eastAsia="zh-CN" w:bidi="ar-SA"/>
            </w:rPr>
            <w:fldChar w:fldCharType="separate"/>
          </w:r>
          <w:r>
            <w:rPr>
              <w:rFonts w:hint="eastAsia" w:ascii="Times New Roman" w:hAnsi="Times New Roman" w:eastAsia="仿宋_GB2312" w:cs="仿宋_GB2312"/>
              <w:color w:val="auto"/>
              <w:kern w:val="2"/>
              <w:sz w:val="32"/>
              <w:szCs w:val="32"/>
              <w:highlight w:val="none"/>
              <w:lang w:val="en-US" w:eastAsia="zh-CN" w:bidi="ar-SA"/>
            </w:rPr>
            <w:t>11</w:t>
          </w:r>
          <w:r>
            <w:rPr>
              <w:rFonts w:hint="eastAsia" w:ascii="Times New Roman" w:hAnsi="Times New Roman" w:eastAsia="仿宋_GB2312" w:cs="仿宋_GB2312"/>
              <w:color w:val="auto"/>
              <w:kern w:val="2"/>
              <w:sz w:val="32"/>
              <w:szCs w:val="32"/>
              <w:highlight w:val="none"/>
              <w:lang w:val="en-US" w:eastAsia="zh-CN" w:bidi="ar-SA"/>
            </w:rPr>
            <w:fldChar w:fldCharType="end"/>
          </w:r>
          <w:r>
            <w:rPr>
              <w:rFonts w:hint="eastAsia" w:ascii="Times New Roman" w:hAnsi="Times New Roman" w:eastAsia="仿宋_GB2312" w:cs="仿宋_GB2312"/>
              <w:color w:val="auto"/>
              <w:kern w:val="2"/>
              <w:sz w:val="32"/>
              <w:szCs w:val="32"/>
              <w:highlight w:val="none"/>
              <w:lang w:val="en-US" w:eastAsia="zh-CN" w:bidi="ar-SA"/>
            </w:rPr>
            <w:fldChar w:fldCharType="end"/>
          </w:r>
        </w:p>
        <w:p>
          <w:pPr>
            <w:pStyle w:val="37"/>
            <w:tabs>
              <w:tab w:val="right" w:leader="dot" w:pos="8306"/>
            </w:tabs>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fldChar w:fldCharType="begin"/>
          </w:r>
          <w:r>
            <w:rPr>
              <w:rFonts w:hint="eastAsia" w:ascii="Times New Roman" w:hAnsi="Times New Roman" w:eastAsia="仿宋_GB2312" w:cs="仿宋_GB2312"/>
              <w:color w:val="auto"/>
              <w:kern w:val="2"/>
              <w:sz w:val="32"/>
              <w:szCs w:val="32"/>
              <w:highlight w:val="none"/>
              <w:lang w:val="en-US" w:eastAsia="zh-CN" w:bidi="ar-SA"/>
            </w:rPr>
            <w:instrText xml:space="preserve"> HYPERLINK \l _Toc6174 </w:instrText>
          </w:r>
          <w:r>
            <w:rPr>
              <w:rFonts w:hint="eastAsia" w:ascii="Times New Roman" w:hAnsi="Times New Roman" w:eastAsia="仿宋_GB2312" w:cs="仿宋_GB2312"/>
              <w:color w:val="auto"/>
              <w:kern w:val="2"/>
              <w:sz w:val="32"/>
              <w:szCs w:val="32"/>
              <w:highlight w:val="none"/>
              <w:lang w:val="en-US" w:eastAsia="zh-CN" w:bidi="ar-SA"/>
            </w:rPr>
            <w:fldChar w:fldCharType="separate"/>
          </w:r>
          <w:r>
            <w:rPr>
              <w:rFonts w:hint="eastAsia" w:ascii="Times New Roman" w:hAnsi="Times New Roman" w:eastAsia="仿宋_GB2312" w:cs="仿宋_GB2312"/>
              <w:color w:val="auto"/>
              <w:kern w:val="2"/>
              <w:sz w:val="32"/>
              <w:szCs w:val="32"/>
              <w:highlight w:val="none"/>
              <w:lang w:val="en-US" w:eastAsia="zh-CN" w:bidi="ar-SA"/>
            </w:rPr>
            <w:t>第三部分  名词解释</w:t>
          </w:r>
          <w:r>
            <w:rPr>
              <w:rFonts w:hint="eastAsia" w:ascii="Times New Roman" w:hAnsi="Times New Roman" w:eastAsia="仿宋_GB2312" w:cs="仿宋_GB2312"/>
              <w:color w:val="auto"/>
              <w:kern w:val="2"/>
              <w:sz w:val="32"/>
              <w:szCs w:val="32"/>
              <w:highlight w:val="none"/>
              <w:lang w:val="en-US" w:eastAsia="zh-CN" w:bidi="ar-SA"/>
            </w:rPr>
            <w:tab/>
          </w:r>
          <w:r>
            <w:rPr>
              <w:rFonts w:hint="eastAsia" w:ascii="Times New Roman" w:hAnsi="Times New Roman" w:eastAsia="仿宋_GB2312" w:cs="仿宋_GB2312"/>
              <w:color w:val="auto"/>
              <w:kern w:val="2"/>
              <w:sz w:val="32"/>
              <w:szCs w:val="32"/>
              <w:highlight w:val="none"/>
              <w:lang w:val="en-US" w:eastAsia="zh-CN" w:bidi="ar-SA"/>
            </w:rPr>
            <w:fldChar w:fldCharType="begin"/>
          </w:r>
          <w:r>
            <w:rPr>
              <w:rFonts w:hint="eastAsia" w:ascii="Times New Roman" w:hAnsi="Times New Roman" w:eastAsia="仿宋_GB2312" w:cs="仿宋_GB2312"/>
              <w:color w:val="auto"/>
              <w:kern w:val="2"/>
              <w:sz w:val="32"/>
              <w:szCs w:val="32"/>
              <w:highlight w:val="none"/>
              <w:lang w:val="en-US" w:eastAsia="zh-CN" w:bidi="ar-SA"/>
            </w:rPr>
            <w:instrText xml:space="preserve"> PAGEREF _Toc6174 \h </w:instrText>
          </w:r>
          <w:r>
            <w:rPr>
              <w:rFonts w:hint="eastAsia" w:ascii="Times New Roman" w:hAnsi="Times New Roman" w:eastAsia="仿宋_GB2312" w:cs="仿宋_GB2312"/>
              <w:color w:val="auto"/>
              <w:kern w:val="2"/>
              <w:sz w:val="32"/>
              <w:szCs w:val="32"/>
              <w:highlight w:val="none"/>
              <w:lang w:val="en-US" w:eastAsia="zh-CN" w:bidi="ar-SA"/>
            </w:rPr>
            <w:fldChar w:fldCharType="separate"/>
          </w:r>
          <w:r>
            <w:rPr>
              <w:rFonts w:hint="eastAsia" w:ascii="Times New Roman" w:hAnsi="Times New Roman" w:eastAsia="仿宋_GB2312" w:cs="仿宋_GB2312"/>
              <w:color w:val="auto"/>
              <w:kern w:val="2"/>
              <w:sz w:val="32"/>
              <w:szCs w:val="32"/>
              <w:highlight w:val="none"/>
              <w:lang w:val="en-US" w:eastAsia="zh-CN" w:bidi="ar-SA"/>
            </w:rPr>
            <w:t>12</w:t>
          </w:r>
          <w:r>
            <w:rPr>
              <w:rFonts w:hint="eastAsia" w:ascii="Times New Roman" w:hAnsi="Times New Roman" w:eastAsia="仿宋_GB2312" w:cs="仿宋_GB2312"/>
              <w:color w:val="auto"/>
              <w:kern w:val="2"/>
              <w:sz w:val="32"/>
              <w:szCs w:val="32"/>
              <w:highlight w:val="none"/>
              <w:lang w:val="en-US" w:eastAsia="zh-CN" w:bidi="ar-SA"/>
            </w:rPr>
            <w:fldChar w:fldCharType="end"/>
          </w:r>
          <w:r>
            <w:rPr>
              <w:rFonts w:hint="eastAsia" w:ascii="Times New Roman" w:hAnsi="Times New Roman" w:eastAsia="仿宋_GB2312" w:cs="仿宋_GB2312"/>
              <w:color w:val="auto"/>
              <w:kern w:val="2"/>
              <w:sz w:val="32"/>
              <w:szCs w:val="32"/>
              <w:highlight w:val="none"/>
              <w:lang w:val="en-US" w:eastAsia="zh-CN" w:bidi="ar-SA"/>
            </w:rPr>
            <w:fldChar w:fldCharType="end"/>
          </w:r>
        </w:p>
        <w:p>
          <w:pPr>
            <w:pStyle w:val="37"/>
            <w:tabs>
              <w:tab w:val="right" w:leader="dot" w:pos="8306"/>
            </w:tabs>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fldChar w:fldCharType="begin"/>
          </w:r>
          <w:r>
            <w:rPr>
              <w:rFonts w:hint="eastAsia" w:ascii="Times New Roman" w:hAnsi="Times New Roman" w:eastAsia="仿宋_GB2312" w:cs="仿宋_GB2312"/>
              <w:color w:val="auto"/>
              <w:kern w:val="2"/>
              <w:sz w:val="32"/>
              <w:szCs w:val="32"/>
              <w:highlight w:val="none"/>
              <w:lang w:val="en-US" w:eastAsia="zh-CN" w:bidi="ar-SA"/>
            </w:rPr>
            <w:instrText xml:space="preserve"> HYPERLINK \l _Toc13431 </w:instrText>
          </w:r>
          <w:r>
            <w:rPr>
              <w:rFonts w:hint="eastAsia" w:ascii="Times New Roman" w:hAnsi="Times New Roman" w:eastAsia="仿宋_GB2312" w:cs="仿宋_GB2312"/>
              <w:color w:val="auto"/>
              <w:kern w:val="2"/>
              <w:sz w:val="32"/>
              <w:szCs w:val="32"/>
              <w:highlight w:val="none"/>
              <w:lang w:val="en-US" w:eastAsia="zh-CN" w:bidi="ar-SA"/>
            </w:rPr>
            <w:fldChar w:fldCharType="separate"/>
          </w:r>
          <w:r>
            <w:rPr>
              <w:rFonts w:hint="eastAsia" w:ascii="Times New Roman" w:hAnsi="Times New Roman" w:eastAsia="仿宋_GB2312" w:cs="仿宋_GB2312"/>
              <w:color w:val="auto"/>
              <w:kern w:val="2"/>
              <w:sz w:val="32"/>
              <w:szCs w:val="32"/>
              <w:highlight w:val="none"/>
              <w:lang w:val="en-US" w:eastAsia="zh-CN" w:bidi="ar-SA"/>
            </w:rPr>
            <w:t>第四部分  附件</w:t>
          </w:r>
          <w:r>
            <w:rPr>
              <w:rFonts w:hint="eastAsia" w:ascii="Times New Roman" w:hAnsi="Times New Roman" w:eastAsia="仿宋_GB2312" w:cs="仿宋_GB2312"/>
              <w:color w:val="auto"/>
              <w:kern w:val="2"/>
              <w:sz w:val="32"/>
              <w:szCs w:val="32"/>
              <w:highlight w:val="none"/>
              <w:lang w:val="en-US" w:eastAsia="zh-CN" w:bidi="ar-SA"/>
            </w:rPr>
            <w:tab/>
          </w:r>
          <w:r>
            <w:rPr>
              <w:rFonts w:hint="eastAsia" w:ascii="Times New Roman" w:hAnsi="Times New Roman" w:eastAsia="仿宋_GB2312" w:cs="仿宋_GB2312"/>
              <w:color w:val="auto"/>
              <w:kern w:val="2"/>
              <w:sz w:val="32"/>
              <w:szCs w:val="32"/>
              <w:highlight w:val="none"/>
              <w:lang w:val="en-US" w:eastAsia="zh-CN" w:bidi="ar-SA"/>
            </w:rPr>
            <w:fldChar w:fldCharType="begin"/>
          </w:r>
          <w:r>
            <w:rPr>
              <w:rFonts w:hint="eastAsia" w:ascii="Times New Roman" w:hAnsi="Times New Roman" w:eastAsia="仿宋_GB2312" w:cs="仿宋_GB2312"/>
              <w:color w:val="auto"/>
              <w:kern w:val="2"/>
              <w:sz w:val="32"/>
              <w:szCs w:val="32"/>
              <w:highlight w:val="none"/>
              <w:lang w:val="en-US" w:eastAsia="zh-CN" w:bidi="ar-SA"/>
            </w:rPr>
            <w:instrText xml:space="preserve"> PAGEREF _Toc13431 \h </w:instrText>
          </w:r>
          <w:r>
            <w:rPr>
              <w:rFonts w:hint="eastAsia" w:ascii="Times New Roman" w:hAnsi="Times New Roman" w:eastAsia="仿宋_GB2312" w:cs="仿宋_GB2312"/>
              <w:color w:val="auto"/>
              <w:kern w:val="2"/>
              <w:sz w:val="32"/>
              <w:szCs w:val="32"/>
              <w:highlight w:val="none"/>
              <w:lang w:val="en-US" w:eastAsia="zh-CN" w:bidi="ar-SA"/>
            </w:rPr>
            <w:fldChar w:fldCharType="separate"/>
          </w:r>
          <w:r>
            <w:rPr>
              <w:rFonts w:hint="eastAsia" w:ascii="Times New Roman" w:hAnsi="Times New Roman" w:eastAsia="仿宋_GB2312" w:cs="仿宋_GB2312"/>
              <w:color w:val="auto"/>
              <w:kern w:val="2"/>
              <w:sz w:val="32"/>
              <w:szCs w:val="32"/>
              <w:highlight w:val="none"/>
              <w:lang w:val="en-US" w:eastAsia="zh-CN" w:bidi="ar-SA"/>
            </w:rPr>
            <w:t>15</w:t>
          </w:r>
          <w:r>
            <w:rPr>
              <w:rFonts w:hint="eastAsia" w:ascii="Times New Roman" w:hAnsi="Times New Roman" w:eastAsia="仿宋_GB2312" w:cs="仿宋_GB2312"/>
              <w:color w:val="auto"/>
              <w:kern w:val="2"/>
              <w:sz w:val="32"/>
              <w:szCs w:val="32"/>
              <w:highlight w:val="none"/>
              <w:lang w:val="en-US" w:eastAsia="zh-CN" w:bidi="ar-SA"/>
            </w:rPr>
            <w:fldChar w:fldCharType="end"/>
          </w:r>
          <w:r>
            <w:rPr>
              <w:rFonts w:hint="eastAsia" w:ascii="Times New Roman" w:hAnsi="Times New Roman" w:eastAsia="仿宋_GB2312" w:cs="仿宋_GB2312"/>
              <w:color w:val="auto"/>
              <w:kern w:val="2"/>
              <w:sz w:val="32"/>
              <w:szCs w:val="32"/>
              <w:highlight w:val="none"/>
              <w:lang w:val="en-US" w:eastAsia="zh-CN" w:bidi="ar-SA"/>
            </w:rPr>
            <w:fldChar w:fldCharType="end"/>
          </w:r>
        </w:p>
        <w:p>
          <w:pPr>
            <w:pStyle w:val="37"/>
            <w:tabs>
              <w:tab w:val="right" w:leader="dot" w:pos="8306"/>
            </w:tabs>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fldChar w:fldCharType="begin"/>
          </w:r>
          <w:r>
            <w:rPr>
              <w:rFonts w:hint="eastAsia" w:ascii="Times New Roman" w:hAnsi="Times New Roman" w:eastAsia="仿宋_GB2312" w:cs="仿宋_GB2312"/>
              <w:color w:val="auto"/>
              <w:kern w:val="2"/>
              <w:sz w:val="32"/>
              <w:szCs w:val="32"/>
              <w:highlight w:val="none"/>
              <w:lang w:val="en-US" w:eastAsia="zh-CN" w:bidi="ar-SA"/>
            </w:rPr>
            <w:instrText xml:space="preserve"> HYPERLINK \l _Toc11794 </w:instrText>
          </w:r>
          <w:r>
            <w:rPr>
              <w:rFonts w:hint="eastAsia" w:ascii="Times New Roman" w:hAnsi="Times New Roman" w:eastAsia="仿宋_GB2312" w:cs="仿宋_GB2312"/>
              <w:color w:val="auto"/>
              <w:kern w:val="2"/>
              <w:sz w:val="32"/>
              <w:szCs w:val="32"/>
              <w:highlight w:val="none"/>
              <w:lang w:val="en-US" w:eastAsia="zh-CN" w:bidi="ar-SA"/>
            </w:rPr>
            <w:fldChar w:fldCharType="separate"/>
          </w:r>
          <w:r>
            <w:rPr>
              <w:rFonts w:hint="eastAsia" w:ascii="Times New Roman" w:hAnsi="Times New Roman" w:eastAsia="仿宋_GB2312" w:cs="仿宋_GB2312"/>
              <w:color w:val="auto"/>
              <w:kern w:val="2"/>
              <w:sz w:val="32"/>
              <w:szCs w:val="32"/>
              <w:highlight w:val="none"/>
              <w:lang w:val="zh-CN" w:eastAsia="zh-CN" w:bidi="ar-SA"/>
            </w:rPr>
            <w:t>附件</w:t>
          </w:r>
          <w:r>
            <w:rPr>
              <w:rFonts w:hint="eastAsia" w:ascii="Times New Roman" w:hAnsi="Times New Roman"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ab/>
          </w:r>
          <w:r>
            <w:rPr>
              <w:rFonts w:hint="eastAsia" w:ascii="Times New Roman" w:hAnsi="Times New Roman" w:eastAsia="仿宋_GB2312" w:cs="仿宋_GB2312"/>
              <w:color w:val="auto"/>
              <w:kern w:val="2"/>
              <w:sz w:val="32"/>
              <w:szCs w:val="32"/>
              <w:highlight w:val="none"/>
              <w:lang w:val="en-US" w:eastAsia="zh-CN" w:bidi="ar-SA"/>
            </w:rPr>
            <w:fldChar w:fldCharType="begin"/>
          </w:r>
          <w:r>
            <w:rPr>
              <w:rFonts w:hint="eastAsia" w:ascii="Times New Roman" w:hAnsi="Times New Roman" w:eastAsia="仿宋_GB2312" w:cs="仿宋_GB2312"/>
              <w:color w:val="auto"/>
              <w:kern w:val="2"/>
              <w:sz w:val="32"/>
              <w:szCs w:val="32"/>
              <w:highlight w:val="none"/>
              <w:lang w:val="en-US" w:eastAsia="zh-CN" w:bidi="ar-SA"/>
            </w:rPr>
            <w:instrText xml:space="preserve"> PAGEREF _Toc11794 \h </w:instrText>
          </w:r>
          <w:r>
            <w:rPr>
              <w:rFonts w:hint="eastAsia" w:ascii="Times New Roman" w:hAnsi="Times New Roman" w:eastAsia="仿宋_GB2312" w:cs="仿宋_GB2312"/>
              <w:color w:val="auto"/>
              <w:kern w:val="2"/>
              <w:sz w:val="32"/>
              <w:szCs w:val="32"/>
              <w:highlight w:val="none"/>
              <w:lang w:val="en-US" w:eastAsia="zh-CN" w:bidi="ar-SA"/>
            </w:rPr>
            <w:fldChar w:fldCharType="separate"/>
          </w:r>
          <w:r>
            <w:rPr>
              <w:rFonts w:hint="eastAsia" w:ascii="Times New Roman" w:hAnsi="Times New Roman" w:eastAsia="仿宋_GB2312" w:cs="仿宋_GB2312"/>
              <w:color w:val="auto"/>
              <w:kern w:val="2"/>
              <w:sz w:val="32"/>
              <w:szCs w:val="32"/>
              <w:highlight w:val="none"/>
              <w:lang w:val="en-US" w:eastAsia="zh-CN" w:bidi="ar-SA"/>
            </w:rPr>
            <w:t>15</w:t>
          </w:r>
          <w:r>
            <w:rPr>
              <w:rFonts w:hint="eastAsia" w:ascii="Times New Roman" w:hAnsi="Times New Roman" w:eastAsia="仿宋_GB2312" w:cs="仿宋_GB2312"/>
              <w:color w:val="auto"/>
              <w:kern w:val="2"/>
              <w:sz w:val="32"/>
              <w:szCs w:val="32"/>
              <w:highlight w:val="none"/>
              <w:lang w:val="en-US" w:eastAsia="zh-CN" w:bidi="ar-SA"/>
            </w:rPr>
            <w:fldChar w:fldCharType="end"/>
          </w:r>
          <w:r>
            <w:rPr>
              <w:rFonts w:hint="eastAsia" w:ascii="Times New Roman" w:hAnsi="Times New Roman" w:eastAsia="仿宋_GB2312" w:cs="仿宋_GB2312"/>
              <w:color w:val="auto"/>
              <w:kern w:val="2"/>
              <w:sz w:val="32"/>
              <w:szCs w:val="32"/>
              <w:highlight w:val="none"/>
              <w:lang w:val="en-US" w:eastAsia="zh-CN" w:bidi="ar-SA"/>
            </w:rPr>
            <w:fldChar w:fldCharType="end"/>
          </w:r>
        </w:p>
        <w:p>
          <w:pPr>
            <w:pStyle w:val="37"/>
            <w:tabs>
              <w:tab w:val="right" w:leader="dot" w:pos="8306"/>
            </w:tabs>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fldChar w:fldCharType="begin"/>
          </w:r>
          <w:r>
            <w:rPr>
              <w:rFonts w:hint="eastAsia" w:ascii="Times New Roman" w:hAnsi="Times New Roman" w:eastAsia="仿宋_GB2312" w:cs="仿宋_GB2312"/>
              <w:color w:val="auto"/>
              <w:kern w:val="2"/>
              <w:sz w:val="32"/>
              <w:szCs w:val="32"/>
              <w:highlight w:val="none"/>
              <w:lang w:val="en-US" w:eastAsia="zh-CN" w:bidi="ar-SA"/>
            </w:rPr>
            <w:instrText xml:space="preserve"> HYPERLINK \l _Toc568 </w:instrText>
          </w:r>
          <w:r>
            <w:rPr>
              <w:rFonts w:hint="eastAsia" w:ascii="Times New Roman" w:hAnsi="Times New Roman" w:eastAsia="仿宋_GB2312" w:cs="仿宋_GB2312"/>
              <w:color w:val="auto"/>
              <w:kern w:val="2"/>
              <w:sz w:val="32"/>
              <w:szCs w:val="32"/>
              <w:highlight w:val="none"/>
              <w:lang w:val="en-US" w:eastAsia="zh-CN" w:bidi="ar-SA"/>
            </w:rPr>
            <w:fldChar w:fldCharType="separate"/>
          </w:r>
          <w:r>
            <w:rPr>
              <w:rFonts w:hint="eastAsia" w:ascii="Times New Roman" w:hAnsi="Times New Roman" w:eastAsia="仿宋_GB2312" w:cs="仿宋_GB2312"/>
              <w:color w:val="auto"/>
              <w:kern w:val="2"/>
              <w:sz w:val="32"/>
              <w:szCs w:val="32"/>
              <w:highlight w:val="none"/>
              <w:lang w:val="zh-CN" w:eastAsia="zh-CN" w:bidi="ar-SA"/>
            </w:rPr>
            <w:t>附件</w:t>
          </w:r>
          <w:r>
            <w:rPr>
              <w:rFonts w:hint="eastAsia" w:ascii="Times New Roman" w:hAnsi="Times New Roman" w:eastAsia="仿宋_GB2312" w:cs="仿宋_GB2312"/>
              <w:color w:val="auto"/>
              <w:kern w:val="2"/>
              <w:sz w:val="32"/>
              <w:szCs w:val="32"/>
              <w:highlight w:val="none"/>
              <w:lang w:val="en-US" w:eastAsia="zh-CN" w:bidi="ar-SA"/>
            </w:rPr>
            <w:t>2</w:t>
          </w:r>
          <w:r>
            <w:rPr>
              <w:rFonts w:hint="eastAsia" w:ascii="Times New Roman" w:hAnsi="Times New Roman" w:eastAsia="仿宋_GB2312" w:cs="仿宋_GB2312"/>
              <w:color w:val="auto"/>
              <w:kern w:val="2"/>
              <w:sz w:val="32"/>
              <w:szCs w:val="32"/>
              <w:highlight w:val="none"/>
              <w:lang w:val="en-US" w:eastAsia="zh-CN" w:bidi="ar-SA"/>
            </w:rPr>
            <w:tab/>
          </w:r>
          <w:r>
            <w:rPr>
              <w:rFonts w:hint="eastAsia" w:ascii="Times New Roman" w:hAnsi="Times New Roman" w:eastAsia="仿宋_GB2312" w:cs="仿宋_GB2312"/>
              <w:color w:val="auto"/>
              <w:kern w:val="2"/>
              <w:sz w:val="32"/>
              <w:szCs w:val="32"/>
              <w:highlight w:val="none"/>
              <w:lang w:val="en-US" w:eastAsia="zh-CN" w:bidi="ar-SA"/>
            </w:rPr>
            <w:fldChar w:fldCharType="begin"/>
          </w:r>
          <w:r>
            <w:rPr>
              <w:rFonts w:hint="eastAsia" w:ascii="Times New Roman" w:hAnsi="Times New Roman" w:eastAsia="仿宋_GB2312" w:cs="仿宋_GB2312"/>
              <w:color w:val="auto"/>
              <w:kern w:val="2"/>
              <w:sz w:val="32"/>
              <w:szCs w:val="32"/>
              <w:highlight w:val="none"/>
              <w:lang w:val="en-US" w:eastAsia="zh-CN" w:bidi="ar-SA"/>
            </w:rPr>
            <w:instrText xml:space="preserve"> PAGEREF _Toc568 \h </w:instrText>
          </w:r>
          <w:r>
            <w:rPr>
              <w:rFonts w:hint="eastAsia" w:ascii="Times New Roman" w:hAnsi="Times New Roman" w:eastAsia="仿宋_GB2312" w:cs="仿宋_GB2312"/>
              <w:color w:val="auto"/>
              <w:kern w:val="2"/>
              <w:sz w:val="32"/>
              <w:szCs w:val="32"/>
              <w:highlight w:val="none"/>
              <w:lang w:val="en-US" w:eastAsia="zh-CN" w:bidi="ar-SA"/>
            </w:rPr>
            <w:fldChar w:fldCharType="separate"/>
          </w:r>
          <w:r>
            <w:rPr>
              <w:rFonts w:hint="eastAsia" w:ascii="Times New Roman" w:hAnsi="Times New Roman" w:eastAsia="仿宋_GB2312" w:cs="仿宋_GB2312"/>
              <w:color w:val="auto"/>
              <w:kern w:val="2"/>
              <w:sz w:val="32"/>
              <w:szCs w:val="32"/>
              <w:highlight w:val="none"/>
              <w:lang w:val="en-US" w:eastAsia="zh-CN" w:bidi="ar-SA"/>
            </w:rPr>
            <w:t>25</w:t>
          </w:r>
          <w:r>
            <w:rPr>
              <w:rFonts w:hint="eastAsia" w:ascii="Times New Roman" w:hAnsi="Times New Roman" w:eastAsia="仿宋_GB2312" w:cs="仿宋_GB2312"/>
              <w:color w:val="auto"/>
              <w:kern w:val="2"/>
              <w:sz w:val="32"/>
              <w:szCs w:val="32"/>
              <w:highlight w:val="none"/>
              <w:lang w:val="en-US" w:eastAsia="zh-CN" w:bidi="ar-SA"/>
            </w:rPr>
            <w:fldChar w:fldCharType="end"/>
          </w:r>
          <w:r>
            <w:rPr>
              <w:rFonts w:hint="eastAsia" w:ascii="Times New Roman" w:hAnsi="Times New Roman" w:eastAsia="仿宋_GB2312" w:cs="仿宋_GB2312"/>
              <w:color w:val="auto"/>
              <w:kern w:val="2"/>
              <w:sz w:val="32"/>
              <w:szCs w:val="32"/>
              <w:highlight w:val="none"/>
              <w:lang w:val="en-US" w:eastAsia="zh-CN" w:bidi="ar-SA"/>
            </w:rPr>
            <w:fldChar w:fldCharType="end"/>
          </w:r>
        </w:p>
        <w:p>
          <w:pPr>
            <w:pStyle w:val="37"/>
            <w:tabs>
              <w:tab w:val="right" w:leader="dot" w:pos="8306"/>
            </w:tabs>
          </w:pPr>
          <w:r>
            <w:rPr>
              <w:rFonts w:hint="eastAsia" w:ascii="Times New Roman" w:hAnsi="Times New Roman" w:eastAsia="仿宋_GB2312" w:cs="仿宋_GB2312"/>
              <w:color w:val="auto"/>
              <w:kern w:val="2"/>
              <w:sz w:val="32"/>
              <w:szCs w:val="32"/>
              <w:highlight w:val="none"/>
              <w:lang w:val="en-US" w:eastAsia="zh-CN" w:bidi="ar-SA"/>
            </w:rPr>
            <w:fldChar w:fldCharType="begin"/>
          </w:r>
          <w:r>
            <w:rPr>
              <w:rFonts w:hint="eastAsia" w:ascii="Times New Roman" w:hAnsi="Times New Roman" w:eastAsia="仿宋_GB2312" w:cs="仿宋_GB2312"/>
              <w:color w:val="auto"/>
              <w:kern w:val="2"/>
              <w:sz w:val="32"/>
              <w:szCs w:val="32"/>
              <w:highlight w:val="none"/>
              <w:lang w:val="en-US" w:eastAsia="zh-CN" w:bidi="ar-SA"/>
            </w:rPr>
            <w:instrText xml:space="preserve"> HYPERLINK \l _Toc32229 </w:instrText>
          </w:r>
          <w:r>
            <w:rPr>
              <w:rFonts w:hint="eastAsia" w:ascii="Times New Roman" w:hAnsi="Times New Roman" w:eastAsia="仿宋_GB2312" w:cs="仿宋_GB2312"/>
              <w:color w:val="auto"/>
              <w:kern w:val="2"/>
              <w:sz w:val="32"/>
              <w:szCs w:val="32"/>
              <w:highlight w:val="none"/>
              <w:lang w:val="en-US" w:eastAsia="zh-CN" w:bidi="ar-SA"/>
            </w:rPr>
            <w:fldChar w:fldCharType="separate"/>
          </w:r>
          <w:r>
            <w:rPr>
              <w:rFonts w:hint="eastAsia" w:ascii="Times New Roman" w:hAnsi="Times New Roman" w:eastAsia="仿宋_GB2312" w:cs="仿宋_GB2312"/>
              <w:color w:val="auto"/>
              <w:kern w:val="2"/>
              <w:sz w:val="32"/>
              <w:szCs w:val="32"/>
              <w:highlight w:val="none"/>
              <w:lang w:val="en-US" w:eastAsia="zh-CN" w:bidi="ar-SA"/>
            </w:rPr>
            <w:t>第五部分 附表</w:t>
          </w:r>
          <w:r>
            <w:rPr>
              <w:rFonts w:hint="eastAsia" w:ascii="Times New Roman" w:hAnsi="Times New Roman" w:eastAsia="仿宋_GB2312" w:cs="仿宋_GB2312"/>
              <w:color w:val="auto"/>
              <w:kern w:val="2"/>
              <w:sz w:val="32"/>
              <w:szCs w:val="32"/>
              <w:highlight w:val="none"/>
              <w:lang w:val="en-US" w:eastAsia="zh-CN" w:bidi="ar-SA"/>
            </w:rPr>
            <w:tab/>
          </w:r>
          <w:r>
            <w:rPr>
              <w:rFonts w:hint="eastAsia" w:ascii="Times New Roman" w:hAnsi="Times New Roman" w:eastAsia="仿宋_GB2312" w:cs="仿宋_GB2312"/>
              <w:color w:val="auto"/>
              <w:kern w:val="2"/>
              <w:sz w:val="32"/>
              <w:szCs w:val="32"/>
              <w:highlight w:val="none"/>
              <w:lang w:val="en-US" w:eastAsia="zh-CN" w:bidi="ar-SA"/>
            </w:rPr>
            <w:fldChar w:fldCharType="begin"/>
          </w:r>
          <w:r>
            <w:rPr>
              <w:rFonts w:hint="eastAsia" w:ascii="Times New Roman" w:hAnsi="Times New Roman" w:eastAsia="仿宋_GB2312" w:cs="仿宋_GB2312"/>
              <w:color w:val="auto"/>
              <w:kern w:val="2"/>
              <w:sz w:val="32"/>
              <w:szCs w:val="32"/>
              <w:highlight w:val="none"/>
              <w:lang w:val="en-US" w:eastAsia="zh-CN" w:bidi="ar-SA"/>
            </w:rPr>
            <w:instrText xml:space="preserve"> PAGEREF _Toc32229 \h </w:instrText>
          </w:r>
          <w:r>
            <w:rPr>
              <w:rFonts w:hint="eastAsia" w:ascii="Times New Roman" w:hAnsi="Times New Roman" w:eastAsia="仿宋_GB2312" w:cs="仿宋_GB2312"/>
              <w:color w:val="auto"/>
              <w:kern w:val="2"/>
              <w:sz w:val="32"/>
              <w:szCs w:val="32"/>
              <w:highlight w:val="none"/>
              <w:lang w:val="en-US" w:eastAsia="zh-CN" w:bidi="ar-SA"/>
            </w:rPr>
            <w:fldChar w:fldCharType="separate"/>
          </w:r>
          <w:r>
            <w:rPr>
              <w:rFonts w:hint="eastAsia" w:ascii="Times New Roman" w:hAnsi="Times New Roman" w:eastAsia="仿宋_GB2312" w:cs="仿宋_GB2312"/>
              <w:color w:val="auto"/>
              <w:kern w:val="2"/>
              <w:sz w:val="32"/>
              <w:szCs w:val="32"/>
              <w:highlight w:val="none"/>
              <w:lang w:val="en-US" w:eastAsia="zh-CN" w:bidi="ar-SA"/>
            </w:rPr>
            <w:t>35</w:t>
          </w:r>
          <w:r>
            <w:rPr>
              <w:rFonts w:hint="eastAsia" w:ascii="Times New Roman" w:hAnsi="Times New Roman" w:eastAsia="仿宋_GB2312" w:cs="仿宋_GB2312"/>
              <w:color w:val="auto"/>
              <w:kern w:val="2"/>
              <w:sz w:val="32"/>
              <w:szCs w:val="32"/>
              <w:highlight w:val="none"/>
              <w:lang w:val="en-US" w:eastAsia="zh-CN" w:bidi="ar-SA"/>
            </w:rPr>
            <w:fldChar w:fldCharType="end"/>
          </w:r>
          <w:r>
            <w:rPr>
              <w:rFonts w:hint="eastAsia" w:ascii="Times New Roman" w:hAnsi="Times New Roman" w:eastAsia="仿宋_GB2312" w:cs="仿宋_GB2312"/>
              <w:color w:val="auto"/>
              <w:kern w:val="2"/>
              <w:sz w:val="32"/>
              <w:szCs w:val="32"/>
              <w:highlight w:val="none"/>
              <w:lang w:val="en-US" w:eastAsia="zh-CN" w:bidi="ar-SA"/>
            </w:rPr>
            <w:fldChar w:fldCharType="end"/>
          </w:r>
        </w:p>
        <w:p>
          <w:pPr>
            <w:sectPr>
              <w:footerReference r:id="rId5" w:type="default"/>
              <w:pgSz w:w="11906" w:h="16838"/>
              <w:pgMar w:top="1440" w:right="1800" w:bottom="1440" w:left="1800" w:header="851" w:footer="992" w:gutter="0"/>
              <w:pgNumType w:fmt="decimal" w:start="1"/>
              <w:cols w:space="425" w:num="1"/>
              <w:docGrid w:type="lines" w:linePitch="312" w:charSpace="0"/>
            </w:sectPr>
          </w:pPr>
          <w:r>
            <w:fldChar w:fldCharType="end"/>
          </w:r>
        </w:p>
      </w:sdtContent>
    </w:sdt>
    <w:p/>
    <w:p>
      <w:pPr>
        <w:keepNext w:val="0"/>
        <w:keepLines w:val="0"/>
        <w:pageBreakBefore w:val="0"/>
        <w:widowControl/>
        <w:kinsoku/>
        <w:wordWrap/>
        <w:overflowPunct/>
        <w:topLinePunct w:val="0"/>
        <w:autoSpaceDE/>
        <w:autoSpaceDN/>
        <w:bidi w:val="0"/>
        <w:spacing w:line="560" w:lineRule="exact"/>
        <w:jc w:val="left"/>
        <w:textAlignment w:val="auto"/>
        <w:rPr>
          <w:rFonts w:hint="eastAsia" w:ascii="Times New Roman" w:hAnsi="Times New Roman" w:eastAsia="仿宋_GB2312" w:cs="仿宋_GB2312"/>
          <w:bCs/>
          <w:color w:val="auto"/>
          <w:kern w:val="44"/>
          <w:sz w:val="32"/>
          <w:szCs w:val="32"/>
          <w:highlight w:val="none"/>
        </w:rPr>
      </w:pPr>
    </w:p>
    <w:p>
      <w:pPr>
        <w:pStyle w:val="2"/>
        <w:jc w:val="center"/>
        <w:rPr>
          <w:rStyle w:val="30"/>
          <w:rFonts w:hint="eastAsia" w:ascii="Times New Roman" w:hAnsi="Times New Roman" w:eastAsia="方正小标宋简体" w:cs="方正小标宋简体"/>
          <w:b/>
          <w:bCs w:val="0"/>
          <w:color w:val="auto"/>
          <w:highlight w:val="none"/>
        </w:rPr>
      </w:pPr>
      <w:bookmarkStart w:id="6" w:name="_Toc23655"/>
      <w:r>
        <w:rPr>
          <w:rFonts w:hint="eastAsia" w:ascii="Times New Roman" w:hAnsi="Times New Roman" w:eastAsia="方正小标宋简体" w:cs="方正小标宋简体"/>
          <w:b w:val="0"/>
          <w:color w:val="auto"/>
          <w:highlight w:val="none"/>
        </w:rPr>
        <w:t>第一部分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Style w:val="30"/>
          <w:rFonts w:hint="eastAsia" w:ascii="Times New Roman" w:hAnsi="Times New Roman" w:eastAsia="方正小标宋简体" w:cs="方正小标宋简体"/>
          <w:b w:val="0"/>
          <w:bCs w:val="0"/>
          <w:color w:val="auto"/>
          <w:highlight w:val="none"/>
        </w:rPr>
        <w:t>部门概况</w:t>
      </w:r>
      <w:bookmarkEnd w:id="6"/>
    </w:p>
    <w:p>
      <w:pPr>
        <w:widowControl/>
        <w:jc w:val="left"/>
        <w:rPr>
          <w:rFonts w:ascii="Times New Roman" w:hAnsi="Times New Roman" w:eastAsia="黑体"/>
          <w:color w:val="auto"/>
          <w:sz w:val="32"/>
          <w:szCs w:val="32"/>
          <w:highlight w:val="none"/>
        </w:rPr>
      </w:pPr>
    </w:p>
    <w:p>
      <w:pPr>
        <w:pStyle w:val="3"/>
        <w:ind w:firstLine="640" w:firstLineChars="200"/>
        <w:rPr>
          <w:rFonts w:hint="eastAsia" w:ascii="Times New Roman" w:hAnsi="Times New Roman" w:eastAsia="黑体"/>
          <w:b w:val="0"/>
          <w:color w:val="auto"/>
          <w:highlight w:val="none"/>
          <w:lang w:eastAsia="zh-CN"/>
        </w:rPr>
      </w:pPr>
      <w:bookmarkStart w:id="7" w:name="_Toc15396600"/>
      <w:bookmarkStart w:id="8" w:name="_Toc15377197"/>
      <w:bookmarkStart w:id="9" w:name="_Toc10566"/>
      <w:r>
        <w:rPr>
          <w:rFonts w:hint="eastAsia" w:ascii="Times New Roman" w:hAnsi="Times New Roman" w:eastAsia="黑体"/>
          <w:b w:val="0"/>
          <w:color w:val="auto"/>
          <w:highlight w:val="none"/>
        </w:rPr>
        <w:t>一、</w:t>
      </w:r>
      <w:bookmarkEnd w:id="7"/>
      <w:bookmarkEnd w:id="8"/>
      <w:r>
        <w:rPr>
          <w:rFonts w:hint="eastAsia" w:ascii="Times New Roman" w:hAnsi="Times New Roman" w:eastAsia="黑体"/>
          <w:b w:val="0"/>
          <w:color w:val="auto"/>
          <w:highlight w:val="none"/>
          <w:lang w:eastAsia="zh-CN"/>
        </w:rPr>
        <w:t>部门职责</w:t>
      </w:r>
      <w:bookmarkEnd w:id="9"/>
    </w:p>
    <w:p>
      <w:pPr>
        <w:pageBreakBefore w:val="0"/>
        <w:kinsoku/>
        <w:wordWrap/>
        <w:overflowPunct/>
        <w:topLinePunct w:val="0"/>
        <w:bidi w:val="0"/>
        <w:spacing w:line="560" w:lineRule="exact"/>
        <w:ind w:firstLine="640" w:firstLineChars="200"/>
        <w:outlineLvl w:val="1"/>
        <w:rPr>
          <w:rFonts w:hint="eastAsia" w:ascii="仿宋_GB2312" w:eastAsia="仿宋_GB2312"/>
          <w:sz w:val="32"/>
          <w:szCs w:val="32"/>
          <w:lang w:val="en-US" w:eastAsia="zh-CN"/>
        </w:rPr>
      </w:pPr>
      <w:bookmarkStart w:id="10" w:name="_Toc12981"/>
      <w:bookmarkStart w:id="11" w:name="_Toc12449"/>
      <w:r>
        <w:rPr>
          <w:rFonts w:hint="eastAsia" w:ascii="仿宋_GB2312" w:eastAsia="仿宋_GB2312"/>
          <w:sz w:val="32"/>
          <w:szCs w:val="32"/>
          <w:lang w:val="en-US" w:eastAsia="zh-CN"/>
        </w:rPr>
        <w:t>1.在上级业务主管部门和中心领导下，按照妇幼保健工作规范，负责做好孕产妇保健管理、儿童保健管理和计生指导服务等工作，并不断提高妇幼保健工作质量；</w:t>
      </w:r>
      <w:bookmarkEnd w:id="10"/>
      <w:bookmarkEnd w:id="11"/>
    </w:p>
    <w:p>
      <w:pPr>
        <w:pageBreakBefore w:val="0"/>
        <w:kinsoku/>
        <w:wordWrap/>
        <w:overflowPunct/>
        <w:topLinePunct w:val="0"/>
        <w:bidi w:val="0"/>
        <w:spacing w:line="560" w:lineRule="exact"/>
        <w:ind w:firstLine="640" w:firstLineChars="200"/>
        <w:outlineLvl w:val="1"/>
        <w:rPr>
          <w:rFonts w:hint="eastAsia" w:ascii="仿宋_GB2312" w:eastAsia="仿宋_GB2312"/>
          <w:sz w:val="32"/>
          <w:szCs w:val="32"/>
          <w:lang w:val="en-US" w:eastAsia="zh-CN"/>
        </w:rPr>
      </w:pPr>
      <w:bookmarkStart w:id="12" w:name="_Toc27610"/>
      <w:bookmarkStart w:id="13" w:name="_Toc17587"/>
      <w:r>
        <w:rPr>
          <w:rFonts w:hint="eastAsia" w:ascii="仿宋_GB2312" w:eastAsia="仿宋_GB2312"/>
          <w:sz w:val="32"/>
          <w:szCs w:val="32"/>
          <w:lang w:val="en-US" w:eastAsia="zh-CN"/>
        </w:rPr>
        <w:t>2.加强与社区、妇联、计生、疾病控制等部门联系，动态掌握辖区孕产妇、0-6岁儿童基本情况；</w:t>
      </w:r>
      <w:bookmarkEnd w:id="12"/>
      <w:bookmarkEnd w:id="13"/>
    </w:p>
    <w:p>
      <w:pPr>
        <w:pageBreakBefore w:val="0"/>
        <w:kinsoku/>
        <w:wordWrap/>
        <w:overflowPunct/>
        <w:topLinePunct w:val="0"/>
        <w:bidi w:val="0"/>
        <w:spacing w:line="560" w:lineRule="exact"/>
        <w:ind w:firstLine="640" w:firstLineChars="200"/>
        <w:outlineLvl w:val="1"/>
        <w:rPr>
          <w:rFonts w:hint="eastAsia" w:ascii="仿宋_GB2312" w:eastAsia="仿宋_GB2312"/>
          <w:sz w:val="32"/>
          <w:szCs w:val="32"/>
          <w:lang w:val="en-US" w:eastAsia="zh-CN"/>
        </w:rPr>
      </w:pPr>
      <w:bookmarkStart w:id="14" w:name="_Toc18571"/>
      <w:bookmarkStart w:id="15" w:name="_Toc24981"/>
      <w:r>
        <w:rPr>
          <w:rFonts w:hint="eastAsia" w:ascii="仿宋_GB2312" w:eastAsia="仿宋_GB2312"/>
          <w:sz w:val="32"/>
          <w:szCs w:val="32"/>
          <w:lang w:val="en-US" w:eastAsia="zh-CN"/>
        </w:rPr>
        <w:t>3.大力宣传孕产妇保健、儿童保健及计生指导服务的益处，提高知晓率。</w:t>
      </w:r>
      <w:bookmarkEnd w:id="14"/>
      <w:bookmarkEnd w:id="15"/>
    </w:p>
    <w:p>
      <w:pPr>
        <w:pageBreakBefore w:val="0"/>
        <w:kinsoku/>
        <w:wordWrap/>
        <w:overflowPunct/>
        <w:topLinePunct w:val="0"/>
        <w:bidi w:val="0"/>
        <w:spacing w:line="560" w:lineRule="exact"/>
        <w:ind w:firstLine="640" w:firstLineChars="200"/>
        <w:outlineLvl w:val="1"/>
        <w:rPr>
          <w:rFonts w:hint="eastAsia" w:ascii="仿宋_GB2312" w:eastAsia="仿宋_GB2312"/>
          <w:sz w:val="32"/>
          <w:szCs w:val="32"/>
          <w:lang w:val="en-US" w:eastAsia="zh-CN"/>
        </w:rPr>
      </w:pPr>
      <w:bookmarkStart w:id="16" w:name="_Toc14113"/>
      <w:bookmarkStart w:id="17" w:name="_Toc376"/>
      <w:r>
        <w:rPr>
          <w:rFonts w:hint="eastAsia" w:ascii="仿宋_GB2312" w:eastAsia="仿宋_GB2312"/>
          <w:sz w:val="32"/>
          <w:szCs w:val="32"/>
          <w:lang w:val="en-US" w:eastAsia="zh-CN"/>
        </w:rPr>
        <w:t>4.认真做好妇幼保健服务，按时完成保健服务管理。加强高危孕妇和体弱儿管理，及时规范上报有关数据；</w:t>
      </w:r>
      <w:bookmarkEnd w:id="16"/>
      <w:bookmarkEnd w:id="17"/>
    </w:p>
    <w:p>
      <w:pPr>
        <w:ind w:firstLine="640" w:firstLineChars="200"/>
        <w:rPr>
          <w:rFonts w:hint="eastAsia"/>
          <w:lang w:eastAsia="zh-CN"/>
        </w:rPr>
      </w:pPr>
      <w:r>
        <w:rPr>
          <w:rFonts w:hint="eastAsia" w:ascii="仿宋_GB2312" w:eastAsia="仿宋_GB2312"/>
          <w:sz w:val="32"/>
          <w:szCs w:val="32"/>
          <w:lang w:val="en-US" w:eastAsia="zh-CN"/>
        </w:rPr>
        <w:t>5.按时参加专业技术培训与例会，及时布置、督促、检查乡村两级妇幼保健工作。</w:t>
      </w:r>
    </w:p>
    <w:p>
      <w:pPr>
        <w:pStyle w:val="3"/>
        <w:ind w:firstLine="640" w:firstLineChars="200"/>
        <w:rPr>
          <w:rFonts w:hint="eastAsia" w:ascii="Times New Roman" w:hAnsi="Times New Roman" w:eastAsia="黑体"/>
          <w:b w:val="0"/>
          <w:color w:val="auto"/>
          <w:highlight w:val="none"/>
        </w:rPr>
      </w:pPr>
      <w:bookmarkStart w:id="18" w:name="_Toc15377200"/>
      <w:bookmarkStart w:id="19" w:name="_Toc29572"/>
      <w:bookmarkStart w:id="20" w:name="_Toc15396601"/>
      <w:r>
        <w:rPr>
          <w:rFonts w:hint="eastAsia" w:ascii="Times New Roman" w:hAnsi="Times New Roman" w:eastAsia="黑体"/>
          <w:b w:val="0"/>
          <w:color w:val="auto"/>
          <w:highlight w:val="none"/>
        </w:rPr>
        <w:t>二、机构设置</w:t>
      </w:r>
      <w:bookmarkEnd w:id="18"/>
      <w:bookmarkEnd w:id="19"/>
      <w:bookmarkEnd w:id="20"/>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1"/>
        <w:rPr>
          <w:rFonts w:hint="eastAsia" w:ascii="仿宋_GB2312" w:eastAsia="仿宋_GB2312"/>
          <w:sz w:val="32"/>
          <w:szCs w:val="32"/>
          <w:lang w:val="zh-CN" w:eastAsia="zh-CN"/>
        </w:rPr>
      </w:pPr>
      <w:bookmarkStart w:id="21" w:name="_Toc18522"/>
      <w:bookmarkStart w:id="22" w:name="_Toc25595"/>
      <w:r>
        <w:rPr>
          <w:rFonts w:hint="eastAsia" w:ascii="仿宋_GB2312" w:eastAsia="仿宋_GB2312"/>
          <w:sz w:val="32"/>
          <w:szCs w:val="32"/>
          <w:lang w:val="zh-CN" w:eastAsia="zh-CN"/>
        </w:rPr>
        <w:t>壤塘县妇幼保健院是壤塘县卫生健康局下属二级预算单位，所需经费全部由财政拨款解决。其中内设机构办公室、妇女保健科、基层保健科、孕产保健科、医务科、财务科、儿童保健部等。</w:t>
      </w:r>
      <w:bookmarkEnd w:id="21"/>
      <w:bookmarkEnd w:id="22"/>
    </w:p>
    <w:p>
      <w:pPr>
        <w:snapToGrid w:val="0"/>
        <w:spacing w:line="520" w:lineRule="exact"/>
        <w:ind w:firstLine="640" w:firstLineChars="200"/>
        <w:rPr>
          <w:rFonts w:hint="eastAsia" w:ascii="仿宋_GB2312" w:hAnsi="仿宋" w:eastAsia="仿宋_GB2312"/>
          <w:sz w:val="32"/>
          <w:szCs w:val="32"/>
        </w:rPr>
      </w:pPr>
      <w:r>
        <w:rPr>
          <w:rFonts w:hint="eastAsia" w:ascii="仿宋_GB2312" w:eastAsia="仿宋_GB2312"/>
          <w:sz w:val="32"/>
          <w:szCs w:val="32"/>
          <w:lang w:val="zh-CN" w:eastAsia="zh-CN"/>
        </w:rPr>
        <w:t>人员情况：总编制</w:t>
      </w:r>
      <w:r>
        <w:rPr>
          <w:rFonts w:hint="eastAsia" w:ascii="仿宋_GB2312" w:eastAsia="仿宋_GB2312"/>
          <w:sz w:val="32"/>
          <w:szCs w:val="32"/>
          <w:lang w:val="en-US" w:eastAsia="zh-CN"/>
        </w:rPr>
        <w:t>49</w:t>
      </w:r>
      <w:r>
        <w:rPr>
          <w:rFonts w:hint="eastAsia" w:ascii="仿宋_GB2312" w:eastAsia="仿宋_GB2312"/>
          <w:sz w:val="32"/>
          <w:szCs w:val="32"/>
          <w:lang w:val="zh-CN" w:eastAsia="zh-CN"/>
        </w:rPr>
        <w:t>名（包含壤塘县岗木达镇社区卫生服务中心）,事业编制</w:t>
      </w:r>
      <w:r>
        <w:rPr>
          <w:rFonts w:hint="eastAsia" w:ascii="仿宋_GB2312" w:eastAsia="仿宋_GB2312"/>
          <w:sz w:val="32"/>
          <w:szCs w:val="32"/>
          <w:lang w:val="en-US" w:eastAsia="zh-CN"/>
        </w:rPr>
        <w:t>49</w:t>
      </w:r>
      <w:r>
        <w:rPr>
          <w:rFonts w:hint="eastAsia" w:ascii="仿宋_GB2312" w:eastAsia="仿宋_GB2312"/>
          <w:sz w:val="32"/>
          <w:szCs w:val="32"/>
          <w:lang w:val="zh-CN" w:eastAsia="zh-CN"/>
        </w:rPr>
        <w:t>名。截</w:t>
      </w:r>
      <w:r>
        <w:rPr>
          <w:rFonts w:hint="eastAsia" w:ascii="仿宋_GB2312" w:eastAsia="仿宋_GB2312"/>
          <w:sz w:val="32"/>
          <w:szCs w:val="32"/>
          <w:lang w:val="en-US" w:eastAsia="zh-CN"/>
        </w:rPr>
        <w:t>至2025</w:t>
      </w:r>
      <w:r>
        <w:rPr>
          <w:rFonts w:hint="eastAsia" w:ascii="仿宋_GB2312" w:eastAsia="仿宋_GB2312"/>
          <w:sz w:val="32"/>
          <w:szCs w:val="32"/>
          <w:lang w:val="zh-CN" w:eastAsia="zh-CN"/>
        </w:rPr>
        <w:t>年12月底，在职人员总数</w:t>
      </w:r>
      <w:r>
        <w:rPr>
          <w:rFonts w:hint="eastAsia" w:ascii="仿宋_GB2312" w:eastAsia="仿宋_GB2312"/>
          <w:sz w:val="32"/>
          <w:szCs w:val="32"/>
          <w:lang w:val="en-US" w:eastAsia="zh-CN"/>
        </w:rPr>
        <w:t>41</w:t>
      </w:r>
      <w:r>
        <w:rPr>
          <w:rFonts w:hint="eastAsia" w:ascii="仿宋_GB2312" w:eastAsia="仿宋_GB2312"/>
          <w:sz w:val="32"/>
          <w:szCs w:val="32"/>
          <w:lang w:val="zh-CN" w:eastAsia="zh-CN"/>
        </w:rPr>
        <w:t>名，其中：事业人员</w:t>
      </w:r>
      <w:r>
        <w:rPr>
          <w:rFonts w:hint="eastAsia" w:ascii="仿宋_GB2312" w:eastAsia="仿宋_GB2312"/>
          <w:sz w:val="32"/>
          <w:szCs w:val="32"/>
          <w:lang w:val="en-US" w:eastAsia="zh-CN"/>
        </w:rPr>
        <w:t>41</w:t>
      </w:r>
      <w:r>
        <w:rPr>
          <w:rFonts w:hint="eastAsia" w:ascii="仿宋_GB2312" w:eastAsia="仿宋_GB2312"/>
          <w:sz w:val="32"/>
          <w:szCs w:val="32"/>
          <w:lang w:val="zh-CN" w:eastAsia="zh-CN"/>
        </w:rPr>
        <w:t>名，退休人员</w:t>
      </w:r>
      <w:r>
        <w:rPr>
          <w:rFonts w:hint="eastAsia" w:ascii="仿宋_GB2312" w:eastAsia="仿宋_GB2312"/>
          <w:sz w:val="32"/>
          <w:szCs w:val="32"/>
          <w:lang w:val="en-US" w:eastAsia="zh-CN"/>
        </w:rPr>
        <w:t>8人，</w:t>
      </w:r>
      <w:r>
        <w:rPr>
          <w:rFonts w:hint="eastAsia" w:ascii="仿宋_GB2312" w:hAnsi="仿宋" w:eastAsia="仿宋_GB2312"/>
          <w:sz w:val="32"/>
          <w:szCs w:val="32"/>
        </w:rPr>
        <w:t>遗属1人。</w:t>
      </w:r>
    </w:p>
    <w:p>
      <w:pPr>
        <w:pStyle w:val="2"/>
        <w:jc w:val="center"/>
        <w:rPr>
          <w:rFonts w:hint="eastAsia" w:ascii="Times New Roman" w:hAnsi="Times New Roman" w:eastAsia="方正小标宋简体" w:cs="方正小标宋简体"/>
          <w:b w:val="0"/>
          <w:color w:val="auto"/>
          <w:highlight w:val="none"/>
        </w:rPr>
      </w:pPr>
      <w:bookmarkStart w:id="23" w:name="_Toc15377204"/>
      <w:bookmarkStart w:id="24" w:name="_Toc1174"/>
      <w:bookmarkStart w:id="25" w:name="_Toc15396602"/>
      <w:r>
        <w:rPr>
          <w:rFonts w:hint="eastAsia" w:ascii="Times New Roman" w:hAnsi="Times New Roman" w:eastAsia="方正小标宋简体" w:cs="方正小标宋简体"/>
          <w:b w:val="0"/>
          <w:color w:val="auto"/>
          <w:highlight w:val="none"/>
        </w:rPr>
        <w:t>第二部分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Fonts w:hint="eastAsia" w:ascii="Times New Roman" w:hAnsi="Times New Roman" w:eastAsia="方正小标宋简体" w:cs="方正小标宋简体"/>
          <w:b w:val="0"/>
          <w:color w:val="auto"/>
          <w:highlight w:val="none"/>
          <w:lang w:val="en-US" w:eastAsia="zh-CN"/>
        </w:rPr>
        <w:t>2025年度</w:t>
      </w:r>
      <w:r>
        <w:rPr>
          <w:rFonts w:hint="eastAsia" w:ascii="Times New Roman" w:hAnsi="Times New Roman" w:eastAsia="方正小标宋简体" w:cs="方正小标宋简体"/>
          <w:b w:val="0"/>
          <w:color w:val="auto"/>
          <w:highlight w:val="none"/>
        </w:rPr>
        <w:t>部门决算情况说明</w:t>
      </w:r>
      <w:bookmarkEnd w:id="23"/>
      <w:bookmarkEnd w:id="24"/>
      <w:bookmarkEnd w:id="25"/>
    </w:p>
    <w:p>
      <w:pPr>
        <w:rPr>
          <w:rFonts w:ascii="Times New Roman" w:hAnsi="Times New Roman"/>
          <w:color w:val="auto"/>
          <w:highlight w:val="none"/>
        </w:rPr>
      </w:pPr>
    </w:p>
    <w:p>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31"/>
          <w:rFonts w:hint="eastAsia" w:ascii="Times New Roman" w:hAnsi="Times New Roman" w:eastAsia="黑体"/>
          <w:b w:val="0"/>
          <w:color w:val="auto"/>
          <w:highlight w:val="none"/>
        </w:rPr>
      </w:pPr>
      <w:bookmarkStart w:id="26" w:name="_Toc15396603"/>
      <w:bookmarkStart w:id="27" w:name="_Toc11415"/>
      <w:bookmarkStart w:id="28" w:name="_Toc15377205"/>
      <w:r>
        <w:rPr>
          <w:rFonts w:hint="eastAsia" w:ascii="Times New Roman" w:hAnsi="Times New Roman" w:eastAsia="黑体"/>
          <w:color w:val="auto"/>
          <w:sz w:val="32"/>
          <w:szCs w:val="32"/>
          <w:highlight w:val="none"/>
          <w:lang w:eastAsia="zh-CN"/>
        </w:rPr>
        <w:t>一、</w:t>
      </w:r>
      <w:r>
        <w:rPr>
          <w:rFonts w:hint="eastAsia" w:ascii="Times New Roman" w:hAnsi="Times New Roman" w:eastAsia="黑体"/>
          <w:color w:val="auto"/>
          <w:sz w:val="32"/>
          <w:szCs w:val="32"/>
          <w:highlight w:val="none"/>
        </w:rPr>
        <w:t>收</w:t>
      </w:r>
      <w:r>
        <w:rPr>
          <w:rStyle w:val="31"/>
          <w:rFonts w:hint="eastAsia" w:ascii="Times New Roman" w:hAnsi="Times New Roman" w:eastAsia="黑体"/>
          <w:b w:val="0"/>
          <w:color w:val="auto"/>
          <w:highlight w:val="none"/>
        </w:rPr>
        <w:t>入支出决算总体情况说明</w:t>
      </w:r>
      <w:bookmarkEnd w:id="26"/>
      <w:bookmarkEnd w:id="27"/>
      <w:bookmarkEnd w:id="28"/>
    </w:p>
    <w:p>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30" w:firstLineChars="300"/>
        <w:textAlignment w:val="auto"/>
        <w:outlineLvl w:val="1"/>
        <w:rPr>
          <w:rFonts w:hint="eastAsia" w:ascii="仿宋" w:hAnsi="仿宋" w:eastAsia="仿宋" w:cs="Times New Roman"/>
          <w:color w:val="auto"/>
          <w:sz w:val="32"/>
          <w:szCs w:val="32"/>
          <w:highlight w:val="none"/>
          <w:lang w:eastAsia="zh-CN"/>
        </w:rPr>
      </w:pPr>
      <w:bookmarkStart w:id="29" w:name="_Toc14245"/>
      <w:bookmarkStart w:id="30" w:name="_Toc4452"/>
      <w:r>
        <w:drawing>
          <wp:anchor distT="0" distB="0" distL="114300" distR="114300" simplePos="0" relativeHeight="251661312" behindDoc="0" locked="0" layoutInCell="1" allowOverlap="1">
            <wp:simplePos x="0" y="0"/>
            <wp:positionH relativeFrom="column">
              <wp:posOffset>204470</wp:posOffset>
            </wp:positionH>
            <wp:positionV relativeFrom="paragraph">
              <wp:posOffset>1795145</wp:posOffset>
            </wp:positionV>
            <wp:extent cx="4724400" cy="2695575"/>
            <wp:effectExtent l="4445" t="4445" r="14605" b="5080"/>
            <wp:wrapSquare wrapText="bothSides"/>
            <wp:docPr id="3"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anchor>
        </w:drawing>
      </w: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w:t>
      </w:r>
      <w:r>
        <w:rPr>
          <w:rFonts w:hint="eastAsia" w:ascii="Times New Roman" w:hAnsi="Times New Roman" w:eastAsia="仿宋_GB2312" w:cs="仿宋_GB2312"/>
          <w:color w:val="auto"/>
          <w:sz w:val="32"/>
          <w:szCs w:val="32"/>
          <w:highlight w:val="none"/>
          <w:lang w:eastAsia="zh-CN"/>
        </w:rPr>
        <w:t>均为</w:t>
      </w:r>
      <w:r>
        <w:rPr>
          <w:rFonts w:hint="eastAsia" w:eastAsia="仿宋_GB2312" w:cs="仿宋_GB2312"/>
          <w:color w:val="auto"/>
          <w:sz w:val="32"/>
          <w:szCs w:val="32"/>
          <w:highlight w:val="none"/>
          <w:lang w:val="en-US" w:eastAsia="zh-CN"/>
        </w:rPr>
        <w:t>1192.58</w:t>
      </w:r>
      <w:r>
        <w:rPr>
          <w:rFonts w:hint="eastAsia" w:ascii="Times New Roman" w:hAnsi="Times New Roman" w:eastAsia="仿宋_GB2312" w:cs="仿宋_GB2312"/>
          <w:color w:val="auto"/>
          <w:sz w:val="32"/>
          <w:szCs w:val="32"/>
          <w:highlight w:val="none"/>
        </w:rPr>
        <w:t>万元。与</w:t>
      </w:r>
      <w:r>
        <w:rPr>
          <w:rFonts w:hint="eastAsia" w:eastAsia="仿宋_GB2312" w:cs="仿宋_GB2312"/>
          <w:color w:val="auto"/>
          <w:sz w:val="32"/>
          <w:szCs w:val="32"/>
          <w:highlight w:val="none"/>
          <w:lang w:eastAsia="zh-CN"/>
        </w:rPr>
        <w:t>上</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eastAsia="zh-CN"/>
        </w:rPr>
        <w:t>度</w:t>
      </w:r>
      <w:r>
        <w:rPr>
          <w:rFonts w:hint="eastAsia" w:ascii="Times New Roman" w:hAnsi="Times New Roman" w:eastAsia="仿宋_GB2312" w:cs="仿宋_GB2312"/>
          <w:color w:val="auto"/>
          <w:sz w:val="32"/>
          <w:szCs w:val="32"/>
          <w:highlight w:val="none"/>
        </w:rPr>
        <w:t>相比，</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总计各减少</w:t>
      </w:r>
      <w:r>
        <w:rPr>
          <w:rFonts w:hint="eastAsia" w:eastAsia="仿宋_GB2312" w:cs="仿宋_GB2312"/>
          <w:color w:val="auto"/>
          <w:sz w:val="32"/>
          <w:szCs w:val="32"/>
          <w:highlight w:val="none"/>
          <w:lang w:val="en-US" w:eastAsia="zh-CN"/>
        </w:rPr>
        <w:t>105.78</w:t>
      </w:r>
      <w:r>
        <w:rPr>
          <w:rFonts w:hint="eastAsia" w:ascii="Times New Roman" w:hAnsi="Times New Roman" w:eastAsia="仿宋_GB2312" w:cs="仿宋_GB2312"/>
          <w:color w:val="auto"/>
          <w:sz w:val="32"/>
          <w:szCs w:val="32"/>
          <w:highlight w:val="none"/>
        </w:rPr>
        <w:t>万元，下降</w:t>
      </w:r>
      <w:r>
        <w:rPr>
          <w:rFonts w:hint="eastAsia" w:eastAsia="仿宋_GB2312" w:cs="仿宋_GB2312"/>
          <w:color w:val="auto"/>
          <w:sz w:val="32"/>
          <w:szCs w:val="32"/>
          <w:highlight w:val="none"/>
          <w:lang w:val="en-US" w:eastAsia="zh-CN"/>
        </w:rPr>
        <w:t>8.15</w:t>
      </w:r>
      <w:r>
        <w:rPr>
          <w:rFonts w:hint="eastAsia" w:ascii="Times New Roman" w:hAnsi="Times New Roman" w:eastAsia="仿宋_GB2312" w:cs="仿宋_GB2312"/>
          <w:color w:val="auto"/>
          <w:sz w:val="32"/>
          <w:szCs w:val="32"/>
          <w:highlight w:val="none"/>
        </w:rPr>
        <w:t>%。主要变动原因</w:t>
      </w:r>
      <w:r>
        <w:rPr>
          <w:rFonts w:hint="eastAsia" w:eastAsia="仿宋_GB2312" w:cs="仿宋_GB2312"/>
          <w:color w:val="auto"/>
          <w:sz w:val="32"/>
          <w:szCs w:val="32"/>
          <w:highlight w:val="none"/>
          <w:lang w:eastAsia="zh-CN"/>
        </w:rPr>
        <w:t>：</w:t>
      </w:r>
      <w:r>
        <w:rPr>
          <w:rFonts w:hint="eastAsia" w:ascii="仿宋" w:hAnsi="仿宋" w:eastAsia="仿宋" w:cs="Times New Roman"/>
          <w:color w:val="auto"/>
          <w:sz w:val="32"/>
          <w:szCs w:val="32"/>
          <w:highlight w:val="none"/>
        </w:rPr>
        <w:t>医共体资源整合，部分费用由</w:t>
      </w:r>
      <w:r>
        <w:rPr>
          <w:rFonts w:hint="eastAsia" w:ascii="仿宋" w:hAnsi="仿宋" w:eastAsia="仿宋" w:cs="Times New Roman"/>
          <w:color w:val="auto"/>
          <w:sz w:val="32"/>
          <w:szCs w:val="32"/>
          <w:highlight w:val="none"/>
          <w:lang w:val="en-US" w:eastAsia="zh-CN"/>
        </w:rPr>
        <w:t>壤塘县人民医院</w:t>
      </w:r>
      <w:r>
        <w:rPr>
          <w:rFonts w:hint="eastAsia" w:ascii="仿宋" w:hAnsi="仿宋" w:eastAsia="仿宋" w:cs="Times New Roman"/>
          <w:color w:val="auto"/>
          <w:sz w:val="32"/>
          <w:szCs w:val="32"/>
          <w:highlight w:val="none"/>
        </w:rPr>
        <w:t>支付</w:t>
      </w:r>
      <w:r>
        <w:rPr>
          <w:rFonts w:hint="eastAsia" w:ascii="仿宋" w:hAnsi="仿宋" w:eastAsia="仿宋" w:cs="Times New Roman"/>
          <w:color w:val="auto"/>
          <w:sz w:val="32"/>
          <w:szCs w:val="32"/>
          <w:highlight w:val="none"/>
          <w:lang w:eastAsia="zh-CN"/>
        </w:rPr>
        <w:t>。</w:t>
      </w:r>
      <w:bookmarkEnd w:id="29"/>
      <w:bookmarkEnd w:id="30"/>
    </w:p>
    <w:p>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textAlignment w:val="auto"/>
        <w:outlineLvl w:val="1"/>
        <w:rPr>
          <w:rFonts w:hint="eastAsia" w:ascii="仿宋" w:hAnsi="仿宋" w:eastAsia="仿宋" w:cs="Times New Roman"/>
          <w:color w:val="auto"/>
          <w:sz w:val="32"/>
          <w:szCs w:val="32"/>
          <w:highlight w:val="none"/>
          <w:lang w:eastAsia="zh-CN"/>
        </w:rPr>
      </w:pPr>
    </w:p>
    <w:p>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rPr>
      </w:pPr>
      <w:bookmarkStart w:id="31" w:name="_Toc13638"/>
      <w:bookmarkStart w:id="32" w:name="_Toc437"/>
      <w:r>
        <w:rPr>
          <w:rFonts w:hint="eastAsia" w:ascii="Times New Roman" w:hAnsi="Times New Roman" w:eastAsia="仿宋_GB2312" w:cs="仿宋_GB2312"/>
          <w:color w:val="auto"/>
          <w:sz w:val="32"/>
          <w:szCs w:val="32"/>
          <w:highlight w:val="none"/>
        </w:rPr>
        <w:t>（图1：</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决算总计变动情况图）</w:t>
      </w:r>
      <w:bookmarkEnd w:id="31"/>
      <w:bookmarkEnd w:id="32"/>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Times New Roman" w:hAnsi="Times New Roman" w:eastAsia="仿宋_GB2312" w:cs="仿宋_GB2312"/>
          <w:color w:val="auto"/>
          <w:sz w:val="32"/>
          <w:szCs w:val="32"/>
          <w:highlight w:val="none"/>
        </w:rPr>
      </w:pPr>
    </w:p>
    <w:p>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bookmarkStart w:id="33" w:name="_Toc15396604"/>
      <w:bookmarkStart w:id="34" w:name="_Toc15377206"/>
      <w:bookmarkStart w:id="35" w:name="_Toc17547"/>
      <w:r>
        <w:rPr>
          <w:rFonts w:hint="eastAsia" w:ascii="Times New Roman" w:hAnsi="Times New Roman" w:eastAsia="黑体"/>
          <w:color w:val="auto"/>
          <w:sz w:val="32"/>
          <w:szCs w:val="32"/>
          <w:highlight w:val="none"/>
          <w:lang w:eastAsia="zh-CN"/>
        </w:rPr>
        <w:t>二、收入决算情况说明</w:t>
      </w:r>
      <w:bookmarkEnd w:id="33"/>
      <w:bookmarkEnd w:id="34"/>
      <w:bookmarkEnd w:id="35"/>
    </w:p>
    <w:p>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eastAsia="仿宋_GB2312" w:cs="仿宋_GB2312"/>
          <w:color w:val="auto"/>
          <w:sz w:val="32"/>
          <w:szCs w:val="32"/>
          <w:highlight w:val="none"/>
          <w:lang w:eastAsia="zh-CN"/>
        </w:rPr>
      </w:pPr>
      <w:bookmarkStart w:id="36" w:name="_Toc19507"/>
      <w:bookmarkStart w:id="37" w:name="_Toc12521"/>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本年收入合计</w:t>
      </w:r>
      <w:r>
        <w:rPr>
          <w:rFonts w:hint="eastAsia" w:eastAsia="仿宋_GB2312" w:cs="仿宋_GB2312"/>
          <w:color w:val="auto"/>
          <w:sz w:val="32"/>
          <w:szCs w:val="32"/>
          <w:highlight w:val="none"/>
          <w:lang w:val="en-US" w:eastAsia="zh-CN"/>
        </w:rPr>
        <w:t>1187.74</w:t>
      </w:r>
      <w:r>
        <w:rPr>
          <w:rFonts w:hint="eastAsia" w:ascii="Times New Roman" w:hAnsi="Times New Roman" w:eastAsia="仿宋_GB2312" w:cs="仿宋_GB2312"/>
          <w:color w:val="auto"/>
          <w:sz w:val="32"/>
          <w:szCs w:val="32"/>
          <w:highlight w:val="none"/>
          <w:lang w:eastAsia="zh-CN"/>
        </w:rPr>
        <w:t>万元，其中：一般公共预算财政拨款收入</w:t>
      </w:r>
      <w:r>
        <w:rPr>
          <w:rFonts w:hint="eastAsia" w:eastAsia="仿宋_GB2312" w:cs="仿宋_GB2312"/>
          <w:color w:val="auto"/>
          <w:sz w:val="32"/>
          <w:szCs w:val="32"/>
          <w:highlight w:val="none"/>
          <w:lang w:val="en-US" w:eastAsia="zh-CN"/>
        </w:rPr>
        <w:t>1161.39</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97.78</w:t>
      </w:r>
      <w:r>
        <w:rPr>
          <w:rFonts w:hint="eastAsia" w:ascii="Times New Roman" w:hAnsi="Times New Roman" w:eastAsia="仿宋_GB2312" w:cs="仿宋_GB2312"/>
          <w:color w:val="auto"/>
          <w:sz w:val="32"/>
          <w:szCs w:val="32"/>
          <w:highlight w:val="none"/>
          <w:lang w:eastAsia="zh-CN"/>
        </w:rPr>
        <w:t>%；政府性基金预算财政拨款收入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%；国有资本经营预算财政拨款收入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%；上级补助收入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%；事业收入</w:t>
      </w:r>
      <w:r>
        <w:rPr>
          <w:rFonts w:hint="eastAsia" w:eastAsia="仿宋_GB2312" w:cs="仿宋_GB2312"/>
          <w:color w:val="auto"/>
          <w:sz w:val="32"/>
          <w:szCs w:val="32"/>
          <w:highlight w:val="none"/>
          <w:lang w:val="en-US" w:eastAsia="zh-CN"/>
        </w:rPr>
        <w:t>26.35</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2.22</w:t>
      </w:r>
      <w:r>
        <w:rPr>
          <w:rFonts w:hint="eastAsia" w:ascii="Times New Roman" w:hAnsi="Times New Roman" w:eastAsia="仿宋_GB2312" w:cs="仿宋_GB2312"/>
          <w:color w:val="auto"/>
          <w:sz w:val="32"/>
          <w:szCs w:val="32"/>
          <w:highlight w:val="none"/>
          <w:lang w:eastAsia="zh-CN"/>
        </w:rPr>
        <w:t>%</w:t>
      </w:r>
      <w:r>
        <w:rPr>
          <w:rFonts w:hint="eastAsia" w:eastAsia="仿宋_GB2312" w:cs="仿宋_GB2312"/>
          <w:color w:val="auto"/>
          <w:sz w:val="32"/>
          <w:szCs w:val="32"/>
          <w:highlight w:val="none"/>
          <w:lang w:eastAsia="zh-CN"/>
        </w:rPr>
        <w:t>；</w:t>
      </w:r>
      <w:r>
        <w:rPr>
          <w:rFonts w:hint="eastAsia" w:ascii="Times New Roman" w:hAnsi="Times New Roman" w:eastAsia="仿宋_GB2312" w:cs="仿宋_GB2312"/>
          <w:color w:val="auto"/>
          <w:sz w:val="32"/>
          <w:szCs w:val="32"/>
          <w:highlight w:val="none"/>
          <w:lang w:eastAsia="zh-CN"/>
        </w:rPr>
        <w:t>经营收入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%；附属单位上缴收入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%；其他收入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w:t>
      </w:r>
      <w:r>
        <w:rPr>
          <w:rFonts w:hint="eastAsia" w:eastAsia="仿宋_GB2312" w:cs="仿宋_GB2312"/>
          <w:color w:val="auto"/>
          <w:sz w:val="32"/>
          <w:szCs w:val="32"/>
          <w:highlight w:val="none"/>
          <w:lang w:eastAsia="zh-CN"/>
        </w:rPr>
        <w:t>。</w:t>
      </w:r>
      <w:bookmarkEnd w:id="36"/>
      <w:bookmarkEnd w:id="37"/>
    </w:p>
    <w:p>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420" w:firstLineChars="200"/>
        <w:jc w:val="center"/>
        <w:textAlignment w:val="auto"/>
        <w:outlineLvl w:val="1"/>
        <w:rPr>
          <w:rFonts w:hint="eastAsia" w:ascii="Times New Roman" w:hAnsi="Times New Roman" w:eastAsia="仿宋_GB2312" w:cs="仿宋_GB2312"/>
          <w:color w:val="auto"/>
          <w:sz w:val="32"/>
          <w:szCs w:val="32"/>
          <w:highlight w:val="none"/>
          <w:lang w:eastAsia="zh-CN"/>
        </w:rPr>
      </w:pPr>
      <w:bookmarkStart w:id="38" w:name="_Toc17759"/>
      <w:bookmarkStart w:id="39" w:name="_Toc26520"/>
      <w:r>
        <w:drawing>
          <wp:anchor distT="0" distB="0" distL="114300" distR="114300" simplePos="0" relativeHeight="251662336" behindDoc="0" locked="0" layoutInCell="1" allowOverlap="1">
            <wp:simplePos x="0" y="0"/>
            <wp:positionH relativeFrom="column">
              <wp:posOffset>471170</wp:posOffset>
            </wp:positionH>
            <wp:positionV relativeFrom="paragraph">
              <wp:posOffset>261620</wp:posOffset>
            </wp:positionV>
            <wp:extent cx="4347845" cy="2087880"/>
            <wp:effectExtent l="4445" t="4445" r="10160" b="22225"/>
            <wp:wrapSquare wrapText="bothSides"/>
            <wp:docPr id="4"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anchor>
        </w:drawing>
      </w:r>
      <w:r>
        <w:rPr>
          <w:rFonts w:hint="eastAsia" w:ascii="Times New Roman" w:hAnsi="Times New Roman" w:eastAsia="仿宋_GB2312" w:cs="仿宋_GB2312"/>
          <w:color w:val="auto"/>
          <w:sz w:val="32"/>
          <w:szCs w:val="32"/>
          <w:highlight w:val="none"/>
          <w:lang w:eastAsia="zh-CN"/>
        </w:rPr>
        <w:t>（图2：收入决算结构图）</w:t>
      </w:r>
      <w:bookmarkEnd w:id="38"/>
      <w:bookmarkEnd w:id="39"/>
    </w:p>
    <w:p>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420" w:firstLineChars="200"/>
        <w:textAlignment w:val="auto"/>
        <w:outlineLvl w:val="1"/>
        <w:rPr>
          <w:rStyle w:val="31"/>
          <w:rFonts w:hint="eastAsia" w:ascii="Times New Roman" w:hAnsi="Times New Roman" w:eastAsia="黑体"/>
          <w:b w:val="0"/>
          <w:color w:val="auto"/>
          <w:highlight w:val="none"/>
        </w:rPr>
      </w:pPr>
      <w:bookmarkStart w:id="40" w:name="_Toc15396605"/>
      <w:bookmarkStart w:id="41" w:name="_Toc21182"/>
      <w:bookmarkStart w:id="42" w:name="_Toc15377207"/>
      <w:r>
        <w:drawing>
          <wp:anchor distT="0" distB="0" distL="114300" distR="114300" simplePos="0" relativeHeight="251666432" behindDoc="0" locked="0" layoutInCell="1" allowOverlap="1">
            <wp:simplePos x="0" y="0"/>
            <wp:positionH relativeFrom="column">
              <wp:posOffset>528320</wp:posOffset>
            </wp:positionH>
            <wp:positionV relativeFrom="paragraph">
              <wp:posOffset>2070735</wp:posOffset>
            </wp:positionV>
            <wp:extent cx="4141470" cy="2019935"/>
            <wp:effectExtent l="4445" t="4445" r="6985" b="13970"/>
            <wp:wrapTopAndBottom/>
            <wp:docPr id="1"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anchor>
        </w:drawing>
      </w:r>
      <w:r>
        <w:rPr>
          <w:rFonts w:hint="eastAsia" w:ascii="Times New Roman" w:hAnsi="Times New Roman" w:eastAsia="黑体"/>
          <w:color w:val="auto"/>
          <w:sz w:val="32"/>
          <w:szCs w:val="32"/>
          <w:highlight w:val="none"/>
          <w:lang w:eastAsia="zh-CN"/>
        </w:rPr>
        <w:t>三、</w:t>
      </w:r>
      <w:r>
        <w:rPr>
          <w:rFonts w:hint="eastAsia" w:ascii="Times New Roman" w:hAnsi="Times New Roman" w:eastAsia="黑体"/>
          <w:color w:val="auto"/>
          <w:sz w:val="32"/>
          <w:szCs w:val="32"/>
          <w:highlight w:val="none"/>
        </w:rPr>
        <w:t>支</w:t>
      </w:r>
      <w:r>
        <w:rPr>
          <w:rStyle w:val="31"/>
          <w:rFonts w:hint="eastAsia" w:ascii="Times New Roman" w:hAnsi="Times New Roman" w:eastAsia="黑体"/>
          <w:b w:val="0"/>
          <w:color w:val="auto"/>
          <w:highlight w:val="none"/>
        </w:rPr>
        <w:t>出决算情况说明</w:t>
      </w:r>
      <w:bookmarkEnd w:id="40"/>
      <w:bookmarkEnd w:id="41"/>
      <w:bookmarkEnd w:id="42"/>
    </w:p>
    <w:p>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bookmarkStart w:id="43" w:name="_Toc31108"/>
      <w:bookmarkStart w:id="44" w:name="_Toc1033"/>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本年支出合计</w:t>
      </w:r>
      <w:r>
        <w:rPr>
          <w:rFonts w:hint="eastAsia" w:ascii="仿宋_GB2312" w:hAnsi="仿宋_GB2312" w:eastAsia="仿宋_GB2312" w:cs="仿宋_GB2312"/>
          <w:sz w:val="32"/>
          <w:szCs w:val="32"/>
        </w:rPr>
        <w:t>1170.62</w:t>
      </w:r>
      <w:r>
        <w:rPr>
          <w:rFonts w:hint="eastAsia" w:ascii="Times New Roman" w:hAnsi="Times New Roman" w:eastAsia="仿宋_GB2312" w:cs="仿宋_GB2312"/>
          <w:color w:val="auto"/>
          <w:sz w:val="32"/>
          <w:szCs w:val="32"/>
          <w:highlight w:val="none"/>
          <w:lang w:eastAsia="zh-CN"/>
        </w:rPr>
        <w:t>万元，其中：基本支出1097.43万元，占</w:t>
      </w:r>
      <w:r>
        <w:rPr>
          <w:rFonts w:hint="eastAsia" w:eastAsia="仿宋_GB2312" w:cs="仿宋_GB2312"/>
          <w:color w:val="auto"/>
          <w:sz w:val="32"/>
          <w:szCs w:val="32"/>
          <w:highlight w:val="none"/>
          <w:lang w:val="en-US" w:eastAsia="zh-CN"/>
        </w:rPr>
        <w:t>93.75</w:t>
      </w:r>
      <w:r>
        <w:rPr>
          <w:rFonts w:hint="eastAsia" w:ascii="Times New Roman" w:hAnsi="Times New Roman" w:eastAsia="仿宋_GB2312" w:cs="仿宋_GB2312"/>
          <w:color w:val="auto"/>
          <w:sz w:val="32"/>
          <w:szCs w:val="32"/>
          <w:highlight w:val="none"/>
          <w:lang w:eastAsia="zh-CN"/>
        </w:rPr>
        <w:t>%；项目支出73.19万元，占</w:t>
      </w:r>
      <w:r>
        <w:rPr>
          <w:rFonts w:hint="eastAsia" w:eastAsia="仿宋_GB2312" w:cs="仿宋_GB2312"/>
          <w:color w:val="auto"/>
          <w:sz w:val="32"/>
          <w:szCs w:val="32"/>
          <w:highlight w:val="none"/>
          <w:lang w:val="en-US" w:eastAsia="zh-CN"/>
        </w:rPr>
        <w:t>6.25</w:t>
      </w:r>
      <w:r>
        <w:rPr>
          <w:rFonts w:hint="eastAsia" w:ascii="Times New Roman" w:hAnsi="Times New Roman" w:eastAsia="仿宋_GB2312" w:cs="仿宋_GB2312"/>
          <w:color w:val="auto"/>
          <w:sz w:val="32"/>
          <w:szCs w:val="32"/>
          <w:highlight w:val="none"/>
          <w:lang w:eastAsia="zh-CN"/>
        </w:rPr>
        <w:t>%</w:t>
      </w:r>
      <w:r>
        <w:rPr>
          <w:rFonts w:hint="eastAsia" w:eastAsia="仿宋_GB2312" w:cs="仿宋_GB2312"/>
          <w:color w:val="auto"/>
          <w:sz w:val="32"/>
          <w:szCs w:val="32"/>
          <w:highlight w:val="none"/>
          <w:lang w:eastAsia="zh-CN"/>
        </w:rPr>
        <w:t>；</w:t>
      </w:r>
      <w:r>
        <w:rPr>
          <w:rFonts w:hint="eastAsia" w:ascii="Times New Roman" w:hAnsi="Times New Roman" w:eastAsia="仿宋_GB2312" w:cs="仿宋_GB2312"/>
          <w:color w:val="auto"/>
          <w:sz w:val="32"/>
          <w:szCs w:val="32"/>
          <w:highlight w:val="none"/>
          <w:lang w:eastAsia="zh-CN"/>
        </w:rPr>
        <w:t>上缴上级支出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%；经营支出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%；对附属单位补助支出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w:t>
      </w:r>
      <w:bookmarkEnd w:id="43"/>
      <w:bookmarkEnd w:id="44"/>
    </w:p>
    <w:p>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center"/>
        <w:textAlignment w:val="auto"/>
        <w:outlineLvl w:val="1"/>
        <w:rPr>
          <w:rFonts w:hint="eastAsia" w:ascii="Times New Roman" w:hAnsi="Times New Roman" w:eastAsia="仿宋_GB2312" w:cs="仿宋_GB2312"/>
          <w:color w:val="auto"/>
          <w:sz w:val="32"/>
          <w:szCs w:val="32"/>
          <w:highlight w:val="none"/>
          <w:lang w:eastAsia="zh-CN"/>
        </w:rPr>
      </w:pPr>
      <w:bookmarkStart w:id="45" w:name="_Toc4249"/>
      <w:bookmarkStart w:id="46" w:name="_Toc30431"/>
      <w:r>
        <w:rPr>
          <w:rFonts w:hint="eastAsia" w:ascii="Times New Roman" w:hAnsi="Times New Roman" w:eastAsia="仿宋_GB2312" w:cs="仿宋_GB2312"/>
          <w:color w:val="auto"/>
          <w:sz w:val="32"/>
          <w:szCs w:val="32"/>
          <w:highlight w:val="none"/>
          <w:lang w:eastAsia="zh-CN"/>
        </w:rPr>
        <w:t>（图3：支出决算结构图）</w:t>
      </w:r>
      <w:bookmarkEnd w:id="45"/>
      <w:bookmarkEnd w:id="46"/>
    </w:p>
    <w:p>
      <w:pPr>
        <w:ind w:firstLine="800" w:firstLineChars="250"/>
        <w:rPr>
          <w:rFonts w:hint="eastAsia" w:ascii="Times New Roman" w:hAnsi="Times New Roman" w:eastAsia="仿宋_GB2312" w:cs="仿宋_GB2312"/>
          <w:color w:val="auto"/>
          <w:sz w:val="32"/>
          <w:szCs w:val="32"/>
          <w:highlight w:val="none"/>
          <w:lang w:eastAsia="zh-CN"/>
        </w:rPr>
      </w:pPr>
    </w:p>
    <w:p>
      <w:pPr>
        <w:spacing w:line="600" w:lineRule="exact"/>
        <w:ind w:firstLine="640" w:firstLineChars="200"/>
        <w:outlineLvl w:val="1"/>
        <w:rPr>
          <w:rStyle w:val="31"/>
          <w:rFonts w:ascii="Times New Roman" w:hAnsi="Times New Roman" w:eastAsia="黑体"/>
          <w:b w:val="0"/>
          <w:color w:val="auto"/>
          <w:highlight w:val="none"/>
        </w:rPr>
      </w:pPr>
      <w:bookmarkStart w:id="47" w:name="_Toc15377208"/>
      <w:bookmarkStart w:id="48" w:name="_Toc4453"/>
      <w:bookmarkStart w:id="49" w:name="_Toc15396606"/>
      <w:r>
        <w:rPr>
          <w:rFonts w:hint="eastAsia" w:ascii="Times New Roman" w:hAnsi="Times New Roman" w:eastAsia="黑体"/>
          <w:color w:val="auto"/>
          <w:sz w:val="32"/>
          <w:szCs w:val="32"/>
          <w:highlight w:val="none"/>
        </w:rPr>
        <w:t>四、财</w:t>
      </w:r>
      <w:r>
        <w:rPr>
          <w:rStyle w:val="31"/>
          <w:rFonts w:hint="eastAsia" w:ascii="Times New Roman" w:hAnsi="Times New Roman" w:eastAsia="黑体"/>
          <w:b w:val="0"/>
          <w:color w:val="auto"/>
          <w:highlight w:val="none"/>
        </w:rPr>
        <w:t>政拨款收入支出决算总体情况说明</w:t>
      </w:r>
      <w:bookmarkEnd w:id="47"/>
      <w:bookmarkEnd w:id="48"/>
      <w:bookmarkEnd w:id="49"/>
    </w:p>
    <w:p>
      <w:pPr>
        <w:spacing w:line="600" w:lineRule="exact"/>
        <w:ind w:firstLine="640"/>
        <w:rPr>
          <w:rFonts w:hint="default" w:ascii="仿宋_GB2312" w:hAnsi="仿宋_GB2312" w:eastAsia="仿宋_GB2312" w:cs="仿宋_GB2312"/>
          <w:sz w:val="32"/>
          <w:szCs w:val="32"/>
          <w:lang w:val="en-US" w:eastAsia="zh-CN"/>
        </w:rPr>
      </w:pPr>
      <w:r>
        <w:drawing>
          <wp:anchor distT="0" distB="0" distL="114300" distR="114300" simplePos="0" relativeHeight="251663360" behindDoc="0" locked="0" layoutInCell="1" allowOverlap="1">
            <wp:simplePos x="0" y="0"/>
            <wp:positionH relativeFrom="column">
              <wp:posOffset>331470</wp:posOffset>
            </wp:positionH>
            <wp:positionV relativeFrom="paragraph">
              <wp:posOffset>1734820</wp:posOffset>
            </wp:positionV>
            <wp:extent cx="4534535" cy="3305175"/>
            <wp:effectExtent l="106045" t="86995" r="102870" b="113030"/>
            <wp:wrapSquare wrapText="bothSides"/>
            <wp:docPr id="11" name="图表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anchor>
        </w:drawing>
      </w: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财政拨款收入、支出总计均为</w:t>
      </w:r>
      <w:r>
        <w:rPr>
          <w:rFonts w:hint="eastAsia" w:eastAsia="仿宋_GB2312" w:cs="仿宋_GB2312"/>
          <w:color w:val="auto"/>
          <w:kern w:val="2"/>
          <w:sz w:val="32"/>
          <w:szCs w:val="32"/>
          <w:highlight w:val="none"/>
          <w:lang w:val="en-US" w:eastAsia="zh-CN" w:bidi="ar-SA"/>
        </w:rPr>
        <w:t>1161.39</w:t>
      </w:r>
      <w:r>
        <w:rPr>
          <w:rFonts w:hint="eastAsia" w:ascii="Times New Roman" w:hAnsi="Times New Roman" w:eastAsia="仿宋_GB2312" w:cs="仿宋_GB2312"/>
          <w:color w:val="auto"/>
          <w:kern w:val="2"/>
          <w:sz w:val="32"/>
          <w:szCs w:val="32"/>
          <w:highlight w:val="none"/>
          <w:lang w:val="en-US" w:eastAsia="zh-CN" w:bidi="ar-SA"/>
        </w:rPr>
        <w:t>万元。与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年度相比，财政拨款收入、支出总计各减少</w:t>
      </w:r>
      <w:r>
        <w:rPr>
          <w:rFonts w:hint="eastAsia" w:eastAsia="仿宋_GB2312" w:cs="仿宋_GB2312"/>
          <w:color w:val="auto"/>
          <w:kern w:val="2"/>
          <w:sz w:val="32"/>
          <w:szCs w:val="32"/>
          <w:highlight w:val="none"/>
          <w:lang w:val="en-US" w:eastAsia="zh-CN" w:bidi="ar-SA"/>
        </w:rPr>
        <w:t>104.31</w:t>
      </w:r>
      <w:r>
        <w:rPr>
          <w:rFonts w:hint="eastAsia" w:ascii="Times New Roman" w:hAnsi="Times New Roman" w:eastAsia="仿宋_GB2312" w:cs="仿宋_GB2312"/>
          <w:color w:val="auto"/>
          <w:kern w:val="2"/>
          <w:sz w:val="32"/>
          <w:szCs w:val="32"/>
          <w:highlight w:val="none"/>
          <w:lang w:val="en-US" w:eastAsia="zh-CN" w:bidi="ar-SA"/>
        </w:rPr>
        <w:t>万元，下降</w:t>
      </w:r>
      <w:r>
        <w:rPr>
          <w:rFonts w:hint="eastAsia" w:eastAsia="仿宋_GB2312" w:cs="仿宋_GB2312"/>
          <w:color w:val="auto"/>
          <w:kern w:val="2"/>
          <w:sz w:val="32"/>
          <w:szCs w:val="32"/>
          <w:highlight w:val="none"/>
          <w:lang w:val="en-US" w:eastAsia="zh-CN" w:bidi="ar-SA"/>
        </w:rPr>
        <w:t>8.24</w:t>
      </w:r>
      <w:r>
        <w:rPr>
          <w:rFonts w:hint="eastAsia" w:ascii="Times New Roman" w:hAnsi="Times New Roman" w:eastAsia="仿宋_GB2312" w:cs="仿宋_GB2312"/>
          <w:color w:val="auto"/>
          <w:kern w:val="2"/>
          <w:sz w:val="32"/>
          <w:szCs w:val="32"/>
          <w:highlight w:val="none"/>
          <w:lang w:val="en-US" w:eastAsia="zh-CN" w:bidi="ar-SA"/>
        </w:rPr>
        <w:t>%。主要变动原因</w:t>
      </w:r>
      <w:r>
        <w:rPr>
          <w:rFonts w:hint="eastAsia" w:eastAsia="仿宋_GB2312" w:cs="仿宋_GB2312"/>
          <w:color w:val="auto"/>
          <w:kern w:val="2"/>
          <w:sz w:val="32"/>
          <w:szCs w:val="32"/>
          <w:highlight w:val="none"/>
          <w:lang w:val="en-US" w:eastAsia="zh-CN" w:bidi="ar-SA"/>
        </w:rPr>
        <w:t>：2025年</w:t>
      </w:r>
      <w:r>
        <w:rPr>
          <w:rFonts w:hint="eastAsia" w:ascii="仿宋_GB2312" w:hAnsi="仿宋_GB2312" w:eastAsia="仿宋_GB2312" w:cs="仿宋_GB2312"/>
          <w:sz w:val="32"/>
          <w:szCs w:val="32"/>
        </w:rPr>
        <w:t>有人</w:t>
      </w:r>
      <w:r>
        <w:rPr>
          <w:rFonts w:hint="eastAsia" w:ascii="仿宋_GB2312" w:hAnsi="仿宋_GB2312" w:eastAsia="仿宋_GB2312" w:cs="仿宋_GB2312"/>
          <w:sz w:val="32"/>
          <w:szCs w:val="32"/>
          <w:lang w:val="en-US" w:eastAsia="zh-CN"/>
        </w:rPr>
        <w:t>员</w:t>
      </w:r>
      <w:r>
        <w:rPr>
          <w:rFonts w:hint="eastAsia" w:ascii="仿宋_GB2312" w:hAnsi="仿宋_GB2312" w:eastAsia="仿宋_GB2312" w:cs="仿宋_GB2312"/>
          <w:sz w:val="32"/>
          <w:szCs w:val="32"/>
        </w:rPr>
        <w:t>减少</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人员经费减少。</w:t>
      </w:r>
    </w:p>
    <w:p>
      <w:p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（图4：财政拨款收、支决算总计变动情况）</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0" w:firstLineChars="200"/>
        <w:outlineLvl w:val="1"/>
        <w:rPr>
          <w:rStyle w:val="31"/>
          <w:rFonts w:ascii="Times New Roman" w:hAnsi="Times New Roman" w:eastAsia="黑体"/>
          <w:b w:val="0"/>
          <w:color w:val="auto"/>
          <w:highlight w:val="none"/>
        </w:rPr>
      </w:pPr>
      <w:bookmarkStart w:id="50" w:name="_Toc15377209"/>
      <w:bookmarkStart w:id="51" w:name="_Toc15396607"/>
      <w:bookmarkStart w:id="52" w:name="_Toc4908"/>
      <w:r>
        <w:rPr>
          <w:rFonts w:hint="eastAsia" w:ascii="Times New Roman" w:hAnsi="Times New Roman" w:eastAsia="黑体"/>
          <w:color w:val="auto"/>
          <w:sz w:val="32"/>
          <w:szCs w:val="32"/>
          <w:highlight w:val="none"/>
        </w:rPr>
        <w:t>五、</w:t>
      </w:r>
      <w:r>
        <w:rPr>
          <w:rFonts w:hint="eastAsia" w:ascii="Times New Roman" w:hAnsi="Times New Roman" w:eastAsia="黑体"/>
          <w:b/>
          <w:color w:val="auto"/>
          <w:sz w:val="32"/>
          <w:szCs w:val="32"/>
          <w:highlight w:val="none"/>
        </w:rPr>
        <w:t>一</w:t>
      </w:r>
      <w:r>
        <w:rPr>
          <w:rStyle w:val="31"/>
          <w:rFonts w:hint="eastAsia" w:ascii="Times New Roman" w:hAnsi="Times New Roman" w:eastAsia="黑体"/>
          <w:b w:val="0"/>
          <w:color w:val="auto"/>
          <w:highlight w:val="none"/>
        </w:rPr>
        <w:t>般公共预算财政拨款支出决算情况说明</w:t>
      </w:r>
      <w:bookmarkEnd w:id="50"/>
      <w:bookmarkEnd w:id="51"/>
      <w:bookmarkEnd w:id="52"/>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53" w:name="_Toc15377210"/>
      <w:r>
        <w:rPr>
          <w:rFonts w:hint="eastAsia" w:ascii="Times New Roman" w:hAnsi="Times New Roman" w:eastAsia="楷体_GB2312" w:cs="楷体_GB2312"/>
          <w:b/>
          <w:color w:val="auto"/>
          <w:sz w:val="32"/>
          <w:szCs w:val="32"/>
          <w:highlight w:val="none"/>
        </w:rPr>
        <w:t>（一）一般公共预算财政拨款支出决算总体情况</w:t>
      </w:r>
      <w:bookmarkEnd w:id="53"/>
    </w:p>
    <w:p>
      <w:pPr>
        <w:spacing w:line="600" w:lineRule="exact"/>
        <w:ind w:firstLine="640"/>
        <w:rPr>
          <w:rFonts w:hint="default" w:ascii="仿宋_GB2312" w:hAnsi="仿宋_GB2312" w:eastAsia="仿宋_GB2312" w:cs="仿宋_GB2312"/>
          <w:sz w:val="32"/>
          <w:szCs w:val="32"/>
          <w:lang w:val="en-US" w:eastAsia="zh-CN"/>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eastAsia="仿宋_GB2312" w:cs="仿宋_GB2312"/>
          <w:color w:val="auto"/>
          <w:kern w:val="2"/>
          <w:sz w:val="32"/>
          <w:szCs w:val="32"/>
          <w:highlight w:val="none"/>
          <w:lang w:val="en-US" w:eastAsia="zh-CN" w:bidi="ar-SA"/>
        </w:rPr>
        <w:t>1161.39</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eastAsia="仿宋_GB2312" w:cs="仿宋_GB2312"/>
          <w:color w:val="auto"/>
          <w:kern w:val="2"/>
          <w:sz w:val="32"/>
          <w:szCs w:val="32"/>
          <w:highlight w:val="none"/>
          <w:lang w:val="en-US" w:eastAsia="zh-CN" w:bidi="ar-SA"/>
        </w:rPr>
        <w:t>99.21</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年度相比，一般公共预算财政拨款支出减少</w:t>
      </w:r>
      <w:r>
        <w:rPr>
          <w:rFonts w:hint="eastAsia" w:eastAsia="仿宋_GB2312" w:cs="仿宋_GB2312"/>
          <w:color w:val="auto"/>
          <w:kern w:val="2"/>
          <w:sz w:val="32"/>
          <w:szCs w:val="32"/>
          <w:highlight w:val="none"/>
          <w:lang w:val="en-US" w:eastAsia="zh-CN" w:bidi="ar-SA"/>
        </w:rPr>
        <w:t>104.31</w:t>
      </w:r>
      <w:r>
        <w:rPr>
          <w:rFonts w:hint="eastAsia" w:ascii="Times New Roman" w:hAnsi="Times New Roman" w:eastAsia="仿宋_GB2312" w:cs="仿宋_GB2312"/>
          <w:color w:val="auto"/>
          <w:kern w:val="2"/>
          <w:sz w:val="32"/>
          <w:szCs w:val="32"/>
          <w:highlight w:val="none"/>
          <w:lang w:val="en-US" w:eastAsia="zh-CN" w:bidi="ar-SA"/>
        </w:rPr>
        <w:t>万元，下降</w:t>
      </w:r>
      <w:r>
        <w:rPr>
          <w:rFonts w:hint="eastAsia" w:eastAsia="仿宋_GB2312" w:cs="仿宋_GB2312"/>
          <w:color w:val="auto"/>
          <w:kern w:val="2"/>
          <w:sz w:val="32"/>
          <w:szCs w:val="32"/>
          <w:highlight w:val="none"/>
          <w:lang w:val="en-US" w:eastAsia="zh-CN" w:bidi="ar-SA"/>
        </w:rPr>
        <w:t>8.24</w:t>
      </w:r>
      <w:r>
        <w:rPr>
          <w:rFonts w:hint="eastAsia" w:ascii="Times New Roman" w:hAnsi="Times New Roman" w:eastAsia="仿宋_GB2312" w:cs="仿宋_GB2312"/>
          <w:color w:val="auto"/>
          <w:kern w:val="2"/>
          <w:sz w:val="32"/>
          <w:szCs w:val="32"/>
          <w:highlight w:val="none"/>
          <w:lang w:val="en-US" w:eastAsia="zh-CN" w:bidi="ar-SA"/>
        </w:rPr>
        <w:t>%。主要变动原因</w:t>
      </w:r>
      <w:r>
        <w:rPr>
          <w:rFonts w:hint="eastAsia" w:eastAsia="仿宋_GB2312" w:cs="仿宋_GB2312"/>
          <w:color w:val="auto"/>
          <w:kern w:val="2"/>
          <w:sz w:val="32"/>
          <w:szCs w:val="32"/>
          <w:highlight w:val="none"/>
          <w:lang w:val="en-US" w:eastAsia="zh-CN" w:bidi="ar-SA"/>
        </w:rPr>
        <w:t>：2025年</w:t>
      </w:r>
      <w:r>
        <w:rPr>
          <w:rFonts w:hint="eastAsia" w:ascii="仿宋_GB2312" w:hAnsi="仿宋_GB2312" w:eastAsia="仿宋_GB2312" w:cs="仿宋_GB2312"/>
          <w:sz w:val="32"/>
          <w:szCs w:val="32"/>
        </w:rPr>
        <w:t>有人</w:t>
      </w:r>
      <w:r>
        <w:rPr>
          <w:rFonts w:hint="eastAsia" w:ascii="仿宋_GB2312" w:hAnsi="仿宋_GB2312" w:eastAsia="仿宋_GB2312" w:cs="仿宋_GB2312"/>
          <w:sz w:val="32"/>
          <w:szCs w:val="32"/>
          <w:lang w:val="en-US" w:eastAsia="zh-CN"/>
        </w:rPr>
        <w:t>员</w:t>
      </w:r>
      <w:r>
        <w:rPr>
          <w:rFonts w:hint="eastAsia" w:ascii="仿宋_GB2312" w:hAnsi="仿宋_GB2312" w:eastAsia="仿宋_GB2312" w:cs="仿宋_GB2312"/>
          <w:sz w:val="32"/>
          <w:szCs w:val="32"/>
        </w:rPr>
        <w:t>减少</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人员经费减少。</w:t>
      </w:r>
    </w:p>
    <w:p>
      <w:pPr>
        <w:spacing w:line="600" w:lineRule="exact"/>
        <w:rPr>
          <w:rFonts w:hint="eastAsia" w:ascii="Times New Roman" w:hAnsi="Times New Roman" w:eastAsia="仿宋_GB2312" w:cs="仿宋_GB2312"/>
          <w:color w:val="auto"/>
          <w:kern w:val="2"/>
          <w:sz w:val="32"/>
          <w:szCs w:val="32"/>
          <w:highlight w:val="none"/>
          <w:lang w:val="en-US" w:eastAsia="zh-CN" w:bidi="ar-SA"/>
        </w:rPr>
      </w:pPr>
      <w:r>
        <w:drawing>
          <wp:anchor distT="0" distB="0" distL="114300" distR="114300" simplePos="0" relativeHeight="251664384" behindDoc="0" locked="0" layoutInCell="1" allowOverlap="1">
            <wp:simplePos x="0" y="0"/>
            <wp:positionH relativeFrom="column">
              <wp:posOffset>569595</wp:posOffset>
            </wp:positionH>
            <wp:positionV relativeFrom="paragraph">
              <wp:posOffset>125095</wp:posOffset>
            </wp:positionV>
            <wp:extent cx="3800475" cy="2295525"/>
            <wp:effectExtent l="106045" t="86995" r="93980" b="113030"/>
            <wp:wrapSquare wrapText="bothSides"/>
            <wp:docPr id="10"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anchor>
        </w:drawing>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（图5：一般公共预算财政拨款支出决算变动情况）</w:t>
      </w:r>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54" w:name="_Toc15377211"/>
      <w:r>
        <w:rPr>
          <w:rFonts w:hint="eastAsia" w:ascii="Times New Roman" w:hAnsi="Times New Roman" w:eastAsia="楷体_GB2312" w:cs="楷体_GB2312"/>
          <w:b/>
          <w:color w:val="auto"/>
          <w:sz w:val="32"/>
          <w:szCs w:val="32"/>
          <w:highlight w:val="none"/>
        </w:rPr>
        <w:t>（二）一般公共预算财政拨款支出决算结构情况</w:t>
      </w:r>
      <w:bookmarkEnd w:id="54"/>
    </w:p>
    <w:p>
      <w:pPr>
        <w:spacing w:line="600" w:lineRule="exact"/>
        <w:ind w:firstLine="640"/>
        <w:rPr>
          <w:rFonts w:hint="eastAsia" w:eastAsia="仿宋_GB2312" w:cs="仿宋_GB2312"/>
          <w:color w:val="auto"/>
          <w:kern w:val="2"/>
          <w:sz w:val="32"/>
          <w:szCs w:val="32"/>
          <w:highlight w:val="none"/>
          <w:lang w:val="en-US" w:eastAsia="zh-CN" w:bidi="ar-SA"/>
        </w:rPr>
      </w:pPr>
      <w:r>
        <w:drawing>
          <wp:anchor distT="0" distB="0" distL="114300" distR="114300" simplePos="0" relativeHeight="251665408" behindDoc="0" locked="0" layoutInCell="1" allowOverlap="1">
            <wp:simplePos x="0" y="0"/>
            <wp:positionH relativeFrom="column">
              <wp:posOffset>530225</wp:posOffset>
            </wp:positionH>
            <wp:positionV relativeFrom="paragraph">
              <wp:posOffset>2532380</wp:posOffset>
            </wp:positionV>
            <wp:extent cx="4008120" cy="2257425"/>
            <wp:effectExtent l="47625" t="9525" r="59055" b="95250"/>
            <wp:wrapSquare wrapText="bothSides"/>
            <wp:docPr id="8"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anchor>
        </w:drawing>
      </w: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eastAsia="仿宋_GB2312" w:cs="仿宋_GB2312"/>
          <w:color w:val="auto"/>
          <w:kern w:val="2"/>
          <w:sz w:val="32"/>
          <w:szCs w:val="32"/>
          <w:highlight w:val="none"/>
          <w:lang w:val="en-US" w:eastAsia="zh-CN" w:bidi="ar-SA"/>
        </w:rPr>
        <w:t>1161.39</w:t>
      </w:r>
      <w:r>
        <w:rPr>
          <w:rFonts w:hint="eastAsia" w:ascii="Times New Roman" w:hAnsi="Times New Roman" w:eastAsia="仿宋_GB2312" w:cs="仿宋_GB2312"/>
          <w:color w:val="auto"/>
          <w:kern w:val="2"/>
          <w:sz w:val="32"/>
          <w:szCs w:val="32"/>
          <w:highlight w:val="none"/>
          <w:lang w:val="en-US" w:eastAsia="zh-CN" w:bidi="ar-SA"/>
        </w:rPr>
        <w:t>万元，主要用于以下方面</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一般公共服务支出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%；教育支出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%；科学技术支出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%；文化旅游体育与传媒支出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%；社会保障和就业支出</w:t>
      </w:r>
      <w:r>
        <w:rPr>
          <w:rFonts w:hint="eastAsia" w:eastAsia="仿宋_GB2312" w:cs="仿宋_GB2312"/>
          <w:color w:val="auto"/>
          <w:kern w:val="2"/>
          <w:sz w:val="32"/>
          <w:szCs w:val="32"/>
          <w:highlight w:val="none"/>
          <w:lang w:val="en-US" w:eastAsia="zh-CN" w:bidi="ar-SA"/>
        </w:rPr>
        <w:t>163.61</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14.09</w:t>
      </w:r>
      <w:r>
        <w:rPr>
          <w:rFonts w:hint="eastAsia" w:ascii="Times New Roman" w:hAnsi="Times New Roman" w:eastAsia="仿宋_GB2312" w:cs="仿宋_GB2312"/>
          <w:color w:val="auto"/>
          <w:kern w:val="2"/>
          <w:sz w:val="32"/>
          <w:szCs w:val="32"/>
          <w:highlight w:val="none"/>
          <w:lang w:val="en-US" w:eastAsia="zh-CN" w:bidi="ar-SA"/>
        </w:rPr>
        <w:t>%；卫生健康支出</w:t>
      </w:r>
      <w:r>
        <w:rPr>
          <w:rFonts w:hint="eastAsia" w:eastAsia="仿宋_GB2312" w:cs="仿宋_GB2312"/>
          <w:color w:val="auto"/>
          <w:kern w:val="2"/>
          <w:sz w:val="32"/>
          <w:szCs w:val="32"/>
          <w:highlight w:val="none"/>
          <w:lang w:val="en-US" w:eastAsia="zh-CN" w:bidi="ar-SA"/>
        </w:rPr>
        <w:t>920.32</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79.24</w:t>
      </w:r>
      <w:r>
        <w:rPr>
          <w:rFonts w:hint="eastAsia" w:ascii="Times New Roman" w:hAnsi="Times New Roman" w:eastAsia="仿宋_GB2312" w:cs="仿宋_GB2312"/>
          <w:color w:val="auto"/>
          <w:kern w:val="2"/>
          <w:sz w:val="32"/>
          <w:szCs w:val="32"/>
          <w:highlight w:val="none"/>
          <w:lang w:val="en-US" w:eastAsia="zh-CN" w:bidi="ar-SA"/>
        </w:rPr>
        <w:t>%；住房保障支出</w:t>
      </w:r>
      <w:r>
        <w:rPr>
          <w:rFonts w:hint="eastAsia" w:eastAsia="仿宋_GB2312" w:cs="仿宋_GB2312"/>
          <w:color w:val="auto"/>
          <w:kern w:val="2"/>
          <w:sz w:val="32"/>
          <w:szCs w:val="32"/>
          <w:highlight w:val="none"/>
          <w:lang w:val="en-US" w:eastAsia="zh-CN" w:bidi="ar-SA"/>
        </w:rPr>
        <w:t>77.46</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6.67</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pPr>
        <w:spacing w:line="600" w:lineRule="exact"/>
        <w:ind w:firstLine="640"/>
        <w:rPr>
          <w:rFonts w:hint="eastAsia" w:eastAsia="仿宋_GB2312" w:cs="仿宋_GB2312"/>
          <w:color w:val="auto"/>
          <w:kern w:val="2"/>
          <w:sz w:val="32"/>
          <w:szCs w:val="32"/>
          <w:highlight w:val="none"/>
          <w:lang w:val="en-US" w:eastAsia="zh-CN" w:bidi="ar-SA"/>
        </w:rPr>
      </w:pP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（图6：一般公共预算财政拨款支出决算结构）</w:t>
      </w:r>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55" w:name="_Toc15377212"/>
      <w:r>
        <w:rPr>
          <w:rFonts w:hint="eastAsia" w:ascii="Times New Roman" w:hAnsi="Times New Roman" w:eastAsia="楷体_GB2312" w:cs="楷体_GB2312"/>
          <w:b/>
          <w:color w:val="auto"/>
          <w:sz w:val="32"/>
          <w:szCs w:val="32"/>
          <w:highlight w:val="none"/>
        </w:rPr>
        <w:t>（三）一般公共预算财政拨款支出决算具体情况</w:t>
      </w:r>
      <w:bookmarkEnd w:id="55"/>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bookmarkStart w:id="56" w:name="_Toc15377213"/>
      <w:bookmarkStart w:id="57" w:name="_Toc15378460"/>
      <w:bookmarkStart w:id="58" w:name="_Toc15377444"/>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一般公共预算支出决算数为</w:t>
      </w:r>
      <w:r>
        <w:rPr>
          <w:rFonts w:hint="eastAsia" w:eastAsia="仿宋_GB2312" w:cs="仿宋_GB2312"/>
          <w:color w:val="auto"/>
          <w:kern w:val="2"/>
          <w:sz w:val="32"/>
          <w:szCs w:val="32"/>
          <w:highlight w:val="none"/>
          <w:lang w:val="en-US" w:eastAsia="zh-CN" w:bidi="ar-SA"/>
        </w:rPr>
        <w:t>1161.39万元</w:t>
      </w:r>
      <w:r>
        <w:rPr>
          <w:rFonts w:hint="eastAsia" w:ascii="Times New Roman" w:hAnsi="Times New Roman" w:eastAsia="仿宋_GB2312" w:cs="仿宋_GB2312"/>
          <w:color w:val="auto"/>
          <w:kern w:val="2"/>
          <w:sz w:val="32"/>
          <w:szCs w:val="32"/>
          <w:highlight w:val="none"/>
          <w:lang w:val="en-US" w:eastAsia="zh-CN" w:bidi="ar-SA"/>
        </w:rPr>
        <w:t>，完成预算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%。其中：</w:t>
      </w:r>
      <w:bookmarkEnd w:id="56"/>
      <w:bookmarkEnd w:id="57"/>
      <w:bookmarkEnd w:id="58"/>
    </w:p>
    <w:p>
      <w:pPr>
        <w:pageBreakBefore w:val="0"/>
        <w:kinsoku/>
        <w:wordWrap/>
        <w:overflowPunct/>
        <w:topLinePunct w:val="0"/>
        <w:bidi w:val="0"/>
        <w:spacing w:line="560" w:lineRule="exact"/>
        <w:ind w:firstLine="640" w:firstLineChars="200"/>
        <w:rPr>
          <w:rStyle w:val="19"/>
          <w:rFonts w:ascii="仿宋" w:hAnsi="仿宋" w:eastAsia="仿宋"/>
          <w:b w:val="0"/>
          <w:bCs w:val="0"/>
          <w:color w:val="000000"/>
          <w:sz w:val="32"/>
          <w:szCs w:val="32"/>
        </w:rPr>
      </w:pPr>
      <w:bookmarkStart w:id="59" w:name="_Toc15377214"/>
      <w:bookmarkStart w:id="60" w:name="_Toc15396608"/>
      <w:r>
        <w:rPr>
          <w:rStyle w:val="19"/>
          <w:rFonts w:hint="eastAsia" w:ascii="仿宋" w:hAnsi="仿宋" w:eastAsia="仿宋"/>
          <w:b w:val="0"/>
          <w:bCs w:val="0"/>
          <w:color w:val="000000"/>
          <w:sz w:val="32"/>
          <w:szCs w:val="32"/>
        </w:rPr>
        <w:t>1</w:t>
      </w:r>
      <w:r>
        <w:rPr>
          <w:rStyle w:val="19"/>
          <w:rFonts w:ascii="仿宋" w:hAnsi="仿宋" w:eastAsia="仿宋"/>
          <w:b w:val="0"/>
          <w:bCs w:val="0"/>
          <w:color w:val="000000"/>
          <w:sz w:val="32"/>
          <w:szCs w:val="32"/>
        </w:rPr>
        <w:t>.</w:t>
      </w:r>
      <w:r>
        <w:rPr>
          <w:rStyle w:val="19"/>
          <w:rFonts w:hint="eastAsia" w:ascii="仿宋" w:hAnsi="仿宋" w:eastAsia="仿宋"/>
          <w:b w:val="0"/>
          <w:bCs w:val="0"/>
          <w:color w:val="000000"/>
          <w:sz w:val="32"/>
          <w:szCs w:val="32"/>
        </w:rPr>
        <w:t>社会保障和就业支出（208）行政事业单位养老支出（05）机关事业单位基本养老保险缴费支出（05）</w:t>
      </w:r>
      <w:r>
        <w:rPr>
          <w:rStyle w:val="19"/>
          <w:rFonts w:ascii="仿宋" w:hAnsi="仿宋" w:eastAsia="仿宋"/>
          <w:b w:val="0"/>
          <w:bCs w:val="0"/>
          <w:color w:val="000000"/>
          <w:sz w:val="32"/>
          <w:szCs w:val="32"/>
        </w:rPr>
        <w:t xml:space="preserve">: </w:t>
      </w:r>
      <w:r>
        <w:rPr>
          <w:rStyle w:val="19"/>
          <w:rFonts w:hint="eastAsia" w:ascii="仿宋" w:hAnsi="仿宋" w:eastAsia="仿宋"/>
          <w:b w:val="0"/>
          <w:bCs w:val="0"/>
          <w:color w:val="000000"/>
          <w:sz w:val="32"/>
          <w:szCs w:val="32"/>
        </w:rPr>
        <w:t>支出决算为</w:t>
      </w:r>
      <w:r>
        <w:rPr>
          <w:rStyle w:val="19"/>
          <w:rFonts w:hint="eastAsia" w:ascii="仿宋" w:hAnsi="仿宋" w:eastAsia="仿宋"/>
          <w:b w:val="0"/>
          <w:bCs w:val="0"/>
          <w:color w:val="000000"/>
          <w:sz w:val="32"/>
          <w:szCs w:val="32"/>
          <w:lang w:val="en-US" w:eastAsia="zh-CN"/>
        </w:rPr>
        <w:t>109.07</w:t>
      </w:r>
      <w:r>
        <w:rPr>
          <w:rStyle w:val="19"/>
          <w:rFonts w:hint="eastAsia" w:ascii="仿宋" w:hAnsi="仿宋" w:eastAsia="仿宋"/>
          <w:b w:val="0"/>
          <w:bCs w:val="0"/>
          <w:color w:val="000000"/>
          <w:sz w:val="32"/>
          <w:szCs w:val="32"/>
        </w:rPr>
        <w:t>万元，完成预算100</w:t>
      </w:r>
      <w:r>
        <w:rPr>
          <w:rStyle w:val="19"/>
          <w:rFonts w:ascii="仿宋" w:hAnsi="仿宋" w:eastAsia="仿宋"/>
          <w:b w:val="0"/>
          <w:bCs w:val="0"/>
          <w:color w:val="000000"/>
          <w:sz w:val="32"/>
          <w:szCs w:val="32"/>
        </w:rPr>
        <w:t>%</w:t>
      </w:r>
      <w:r>
        <w:rPr>
          <w:rStyle w:val="19"/>
          <w:rFonts w:hint="eastAsia" w:ascii="仿宋" w:hAnsi="仿宋" w:eastAsia="仿宋"/>
          <w:b w:val="0"/>
          <w:bCs w:val="0"/>
          <w:color w:val="000000"/>
          <w:sz w:val="32"/>
          <w:szCs w:val="32"/>
        </w:rPr>
        <w:t>，</w:t>
      </w:r>
      <w:r>
        <w:rPr>
          <w:rFonts w:hint="eastAsia" w:ascii="仿宋_GB2312" w:eastAsia="仿宋_GB2312"/>
          <w:b w:val="0"/>
          <w:bCs w:val="0"/>
          <w:sz w:val="32"/>
          <w:szCs w:val="32"/>
        </w:rPr>
        <w:t>决算数与预算数持平</w:t>
      </w:r>
      <w:r>
        <w:rPr>
          <w:rStyle w:val="19"/>
          <w:rFonts w:hint="eastAsia" w:ascii="仿宋" w:hAnsi="仿宋" w:eastAsia="仿宋"/>
          <w:b w:val="0"/>
          <w:bCs w:val="0"/>
          <w:color w:val="000000"/>
          <w:sz w:val="32"/>
          <w:szCs w:val="32"/>
        </w:rPr>
        <w:t>。</w:t>
      </w:r>
    </w:p>
    <w:p>
      <w:pPr>
        <w:pageBreakBefore w:val="0"/>
        <w:kinsoku/>
        <w:wordWrap/>
        <w:overflowPunct/>
        <w:topLinePunct w:val="0"/>
        <w:bidi w:val="0"/>
        <w:spacing w:line="560" w:lineRule="exact"/>
        <w:ind w:firstLine="640" w:firstLineChars="200"/>
        <w:rPr>
          <w:rStyle w:val="19"/>
          <w:rFonts w:hint="eastAsia" w:ascii="仿宋" w:hAnsi="仿宋" w:eastAsia="仿宋"/>
          <w:b w:val="0"/>
          <w:bCs w:val="0"/>
          <w:color w:val="000000"/>
          <w:sz w:val="32"/>
          <w:szCs w:val="32"/>
        </w:rPr>
      </w:pPr>
      <w:r>
        <w:rPr>
          <w:rStyle w:val="19"/>
          <w:rFonts w:hint="eastAsia" w:ascii="仿宋" w:hAnsi="仿宋" w:eastAsia="仿宋"/>
          <w:b w:val="0"/>
          <w:bCs w:val="0"/>
          <w:color w:val="000000"/>
          <w:sz w:val="32"/>
          <w:szCs w:val="32"/>
        </w:rPr>
        <w:t>2</w:t>
      </w:r>
      <w:r>
        <w:rPr>
          <w:rStyle w:val="19"/>
          <w:rFonts w:ascii="仿宋" w:hAnsi="仿宋" w:eastAsia="仿宋"/>
          <w:b w:val="0"/>
          <w:bCs w:val="0"/>
          <w:color w:val="000000"/>
          <w:sz w:val="32"/>
          <w:szCs w:val="32"/>
        </w:rPr>
        <w:t>.</w:t>
      </w:r>
      <w:r>
        <w:rPr>
          <w:rStyle w:val="19"/>
          <w:rFonts w:hint="eastAsia" w:ascii="仿宋" w:hAnsi="仿宋" w:eastAsia="仿宋"/>
          <w:b w:val="0"/>
          <w:bCs w:val="0"/>
          <w:color w:val="000000"/>
          <w:sz w:val="32"/>
          <w:szCs w:val="32"/>
        </w:rPr>
        <w:t>社会保障和就业支出（208）行政事业单位养老支出（05）机关事业单位职业年金缴费支出（06）</w:t>
      </w:r>
      <w:r>
        <w:rPr>
          <w:rStyle w:val="19"/>
          <w:rFonts w:ascii="仿宋" w:hAnsi="仿宋" w:eastAsia="仿宋"/>
          <w:b w:val="0"/>
          <w:bCs w:val="0"/>
          <w:color w:val="000000"/>
          <w:sz w:val="32"/>
          <w:szCs w:val="32"/>
        </w:rPr>
        <w:t xml:space="preserve">: </w:t>
      </w:r>
      <w:r>
        <w:rPr>
          <w:rStyle w:val="19"/>
          <w:rFonts w:hint="eastAsia" w:ascii="仿宋" w:hAnsi="仿宋" w:eastAsia="仿宋"/>
          <w:b w:val="0"/>
          <w:bCs w:val="0"/>
          <w:color w:val="000000"/>
          <w:sz w:val="32"/>
          <w:szCs w:val="32"/>
        </w:rPr>
        <w:t>支出决算为</w:t>
      </w:r>
      <w:r>
        <w:rPr>
          <w:rStyle w:val="19"/>
          <w:rFonts w:hint="eastAsia" w:ascii="仿宋" w:hAnsi="仿宋" w:eastAsia="仿宋"/>
          <w:b w:val="0"/>
          <w:bCs w:val="0"/>
          <w:color w:val="000000"/>
          <w:sz w:val="32"/>
          <w:szCs w:val="32"/>
          <w:lang w:val="en-US" w:eastAsia="zh-CN"/>
        </w:rPr>
        <w:t>54.54</w:t>
      </w:r>
      <w:r>
        <w:rPr>
          <w:rStyle w:val="19"/>
          <w:rFonts w:hint="eastAsia" w:ascii="仿宋" w:hAnsi="仿宋" w:eastAsia="仿宋"/>
          <w:b w:val="0"/>
          <w:bCs w:val="0"/>
          <w:color w:val="000000"/>
          <w:sz w:val="32"/>
          <w:szCs w:val="32"/>
        </w:rPr>
        <w:t>万元，完成预算100</w:t>
      </w:r>
      <w:r>
        <w:rPr>
          <w:rStyle w:val="19"/>
          <w:rFonts w:ascii="仿宋" w:hAnsi="仿宋" w:eastAsia="仿宋"/>
          <w:b w:val="0"/>
          <w:bCs w:val="0"/>
          <w:color w:val="000000"/>
          <w:sz w:val="32"/>
          <w:szCs w:val="32"/>
        </w:rPr>
        <w:t>%</w:t>
      </w:r>
      <w:r>
        <w:rPr>
          <w:rStyle w:val="19"/>
          <w:rFonts w:hint="eastAsia" w:ascii="仿宋" w:hAnsi="仿宋" w:eastAsia="仿宋"/>
          <w:b w:val="0"/>
          <w:bCs w:val="0"/>
          <w:color w:val="000000"/>
          <w:sz w:val="32"/>
          <w:szCs w:val="32"/>
        </w:rPr>
        <w:t>，</w:t>
      </w:r>
      <w:r>
        <w:rPr>
          <w:rFonts w:hint="eastAsia" w:ascii="仿宋_GB2312" w:eastAsia="仿宋_GB2312"/>
          <w:b w:val="0"/>
          <w:bCs w:val="0"/>
          <w:sz w:val="32"/>
          <w:szCs w:val="32"/>
        </w:rPr>
        <w:t>决算数与预算数持平</w:t>
      </w:r>
      <w:r>
        <w:rPr>
          <w:rStyle w:val="19"/>
          <w:rFonts w:hint="eastAsia" w:ascii="仿宋" w:hAnsi="仿宋" w:eastAsia="仿宋"/>
          <w:b w:val="0"/>
          <w:bCs w:val="0"/>
          <w:color w:val="000000"/>
          <w:sz w:val="32"/>
          <w:szCs w:val="32"/>
        </w:rPr>
        <w:t>。</w:t>
      </w:r>
    </w:p>
    <w:p>
      <w:pPr>
        <w:pageBreakBefore w:val="0"/>
        <w:kinsoku/>
        <w:wordWrap/>
        <w:overflowPunct/>
        <w:topLinePunct w:val="0"/>
        <w:bidi w:val="0"/>
        <w:spacing w:line="560" w:lineRule="exact"/>
        <w:ind w:firstLine="640" w:firstLineChars="200"/>
        <w:rPr>
          <w:rStyle w:val="19"/>
          <w:rFonts w:ascii="仿宋" w:hAnsi="仿宋" w:eastAsia="仿宋"/>
          <w:b w:val="0"/>
          <w:bCs w:val="0"/>
          <w:color w:val="000000"/>
          <w:sz w:val="32"/>
          <w:szCs w:val="32"/>
        </w:rPr>
      </w:pPr>
      <w:r>
        <w:rPr>
          <w:rStyle w:val="19"/>
          <w:rFonts w:hint="eastAsia" w:ascii="仿宋" w:hAnsi="仿宋" w:eastAsia="仿宋"/>
          <w:b w:val="0"/>
          <w:bCs w:val="0"/>
          <w:color w:val="000000"/>
          <w:sz w:val="32"/>
          <w:szCs w:val="32"/>
          <w:lang w:val="en-US" w:eastAsia="zh-CN"/>
        </w:rPr>
        <w:t>3</w:t>
      </w:r>
      <w:r>
        <w:rPr>
          <w:rStyle w:val="19"/>
          <w:rFonts w:ascii="仿宋" w:hAnsi="仿宋" w:eastAsia="仿宋"/>
          <w:b w:val="0"/>
          <w:bCs w:val="0"/>
          <w:color w:val="000000"/>
          <w:sz w:val="32"/>
          <w:szCs w:val="32"/>
        </w:rPr>
        <w:t>.</w:t>
      </w:r>
      <w:r>
        <w:rPr>
          <w:rFonts w:hint="eastAsia" w:ascii="仿宋" w:hAnsi="仿宋" w:eastAsia="仿宋"/>
          <w:b w:val="0"/>
          <w:bCs w:val="0"/>
          <w:color w:val="000000"/>
          <w:sz w:val="32"/>
          <w:szCs w:val="32"/>
        </w:rPr>
        <w:t>卫生健康支出</w:t>
      </w:r>
      <w:r>
        <w:rPr>
          <w:rStyle w:val="19"/>
          <w:rFonts w:hint="eastAsia" w:ascii="仿宋" w:hAnsi="仿宋" w:eastAsia="仿宋"/>
          <w:b w:val="0"/>
          <w:bCs w:val="0"/>
          <w:color w:val="000000"/>
          <w:sz w:val="32"/>
          <w:szCs w:val="32"/>
        </w:rPr>
        <w:t>（210）公立医院（</w:t>
      </w:r>
      <w:r>
        <w:rPr>
          <w:rStyle w:val="19"/>
          <w:rFonts w:hint="eastAsia" w:ascii="仿宋" w:hAnsi="仿宋" w:eastAsia="仿宋"/>
          <w:b w:val="0"/>
          <w:bCs w:val="0"/>
          <w:color w:val="000000"/>
          <w:sz w:val="32"/>
          <w:szCs w:val="32"/>
          <w:lang w:val="en-US" w:eastAsia="zh-CN"/>
        </w:rPr>
        <w:t>02</w:t>
      </w:r>
      <w:r>
        <w:rPr>
          <w:rStyle w:val="19"/>
          <w:rFonts w:hint="eastAsia" w:ascii="仿宋" w:hAnsi="仿宋" w:eastAsia="仿宋"/>
          <w:b w:val="0"/>
          <w:bCs w:val="0"/>
          <w:color w:val="000000"/>
          <w:sz w:val="32"/>
          <w:szCs w:val="32"/>
        </w:rPr>
        <w:t>）妇幼保健医院（</w:t>
      </w:r>
      <w:r>
        <w:rPr>
          <w:rStyle w:val="19"/>
          <w:rFonts w:hint="eastAsia" w:ascii="仿宋" w:hAnsi="仿宋" w:eastAsia="仿宋"/>
          <w:b w:val="0"/>
          <w:bCs w:val="0"/>
          <w:color w:val="000000"/>
          <w:sz w:val="32"/>
          <w:szCs w:val="32"/>
          <w:lang w:val="en-US" w:eastAsia="zh-CN"/>
        </w:rPr>
        <w:t>06</w:t>
      </w:r>
      <w:r>
        <w:rPr>
          <w:rStyle w:val="19"/>
          <w:rFonts w:hint="eastAsia" w:ascii="仿宋" w:hAnsi="仿宋" w:eastAsia="仿宋"/>
          <w:b w:val="0"/>
          <w:bCs w:val="0"/>
          <w:color w:val="000000"/>
          <w:sz w:val="32"/>
          <w:szCs w:val="32"/>
        </w:rPr>
        <w:t>）</w:t>
      </w:r>
      <w:r>
        <w:rPr>
          <w:rStyle w:val="19"/>
          <w:rFonts w:ascii="仿宋" w:hAnsi="仿宋" w:eastAsia="仿宋"/>
          <w:b w:val="0"/>
          <w:bCs w:val="0"/>
          <w:color w:val="000000"/>
          <w:sz w:val="32"/>
          <w:szCs w:val="32"/>
        </w:rPr>
        <w:t>:</w:t>
      </w:r>
      <w:r>
        <w:rPr>
          <w:rStyle w:val="19"/>
          <w:rFonts w:hint="eastAsia" w:ascii="仿宋" w:hAnsi="仿宋" w:eastAsia="仿宋"/>
          <w:b w:val="0"/>
          <w:bCs w:val="0"/>
          <w:color w:val="000000"/>
          <w:sz w:val="32"/>
          <w:szCs w:val="32"/>
        </w:rPr>
        <w:t>支出决算为</w:t>
      </w:r>
      <w:r>
        <w:rPr>
          <w:rStyle w:val="19"/>
          <w:rFonts w:hint="eastAsia" w:ascii="仿宋" w:hAnsi="仿宋" w:eastAsia="仿宋"/>
          <w:b w:val="0"/>
          <w:bCs w:val="0"/>
          <w:color w:val="000000"/>
          <w:sz w:val="32"/>
          <w:szCs w:val="32"/>
          <w:lang w:val="en-US" w:eastAsia="zh-CN"/>
        </w:rPr>
        <w:t>0.67</w:t>
      </w:r>
      <w:r>
        <w:rPr>
          <w:rStyle w:val="19"/>
          <w:rFonts w:hint="eastAsia" w:ascii="仿宋" w:hAnsi="仿宋" w:eastAsia="仿宋"/>
          <w:b w:val="0"/>
          <w:bCs w:val="0"/>
          <w:color w:val="000000"/>
          <w:sz w:val="32"/>
          <w:szCs w:val="32"/>
        </w:rPr>
        <w:t>万元，完成预算100</w:t>
      </w:r>
      <w:r>
        <w:rPr>
          <w:rStyle w:val="19"/>
          <w:rFonts w:ascii="仿宋" w:hAnsi="仿宋" w:eastAsia="仿宋"/>
          <w:b w:val="0"/>
          <w:bCs w:val="0"/>
          <w:color w:val="000000"/>
          <w:sz w:val="32"/>
          <w:szCs w:val="32"/>
        </w:rPr>
        <w:t>%</w:t>
      </w:r>
      <w:r>
        <w:rPr>
          <w:rStyle w:val="19"/>
          <w:rFonts w:hint="eastAsia" w:ascii="仿宋" w:hAnsi="仿宋" w:eastAsia="仿宋"/>
          <w:b w:val="0"/>
          <w:bCs w:val="0"/>
          <w:color w:val="000000"/>
          <w:sz w:val="32"/>
          <w:szCs w:val="32"/>
        </w:rPr>
        <w:t>，</w:t>
      </w:r>
      <w:r>
        <w:rPr>
          <w:rFonts w:hint="eastAsia" w:ascii="仿宋_GB2312" w:eastAsia="仿宋_GB2312"/>
          <w:b w:val="0"/>
          <w:bCs w:val="0"/>
          <w:sz w:val="32"/>
          <w:szCs w:val="32"/>
        </w:rPr>
        <w:t>决算数与预算数持平</w:t>
      </w:r>
      <w:r>
        <w:rPr>
          <w:rStyle w:val="19"/>
          <w:rFonts w:hint="eastAsia" w:ascii="仿宋" w:hAnsi="仿宋" w:eastAsia="仿宋"/>
          <w:b w:val="0"/>
          <w:bCs w:val="0"/>
          <w:color w:val="000000"/>
          <w:sz w:val="32"/>
          <w:szCs w:val="32"/>
        </w:rPr>
        <w:t>。</w:t>
      </w:r>
    </w:p>
    <w:p>
      <w:pPr>
        <w:pageBreakBefore w:val="0"/>
        <w:kinsoku/>
        <w:wordWrap/>
        <w:overflowPunct/>
        <w:topLinePunct w:val="0"/>
        <w:bidi w:val="0"/>
        <w:spacing w:line="560" w:lineRule="exact"/>
        <w:ind w:firstLine="640" w:firstLineChars="200"/>
        <w:rPr>
          <w:rStyle w:val="19"/>
          <w:rFonts w:hint="eastAsia" w:ascii="仿宋" w:hAnsi="仿宋" w:eastAsia="仿宋"/>
          <w:b w:val="0"/>
          <w:bCs w:val="0"/>
          <w:color w:val="000000"/>
          <w:sz w:val="32"/>
          <w:szCs w:val="32"/>
        </w:rPr>
      </w:pPr>
      <w:r>
        <w:rPr>
          <w:rStyle w:val="19"/>
          <w:rFonts w:hint="eastAsia" w:ascii="仿宋" w:hAnsi="仿宋" w:eastAsia="仿宋"/>
          <w:b w:val="0"/>
          <w:bCs w:val="0"/>
          <w:color w:val="000000"/>
          <w:sz w:val="32"/>
          <w:szCs w:val="32"/>
          <w:lang w:val="en-US" w:eastAsia="zh-CN"/>
        </w:rPr>
        <w:t>4</w:t>
      </w:r>
      <w:r>
        <w:rPr>
          <w:rStyle w:val="19"/>
          <w:rFonts w:ascii="仿宋" w:hAnsi="仿宋" w:eastAsia="仿宋"/>
          <w:b w:val="0"/>
          <w:bCs w:val="0"/>
          <w:color w:val="000000"/>
          <w:sz w:val="32"/>
          <w:szCs w:val="32"/>
        </w:rPr>
        <w:t>.</w:t>
      </w:r>
      <w:r>
        <w:rPr>
          <w:rFonts w:hint="eastAsia" w:ascii="仿宋" w:hAnsi="仿宋" w:eastAsia="仿宋"/>
          <w:b w:val="0"/>
          <w:bCs w:val="0"/>
          <w:color w:val="000000"/>
          <w:sz w:val="32"/>
          <w:szCs w:val="32"/>
        </w:rPr>
        <w:t>卫生健康支出</w:t>
      </w:r>
      <w:r>
        <w:rPr>
          <w:rStyle w:val="19"/>
          <w:rFonts w:hint="eastAsia" w:ascii="仿宋" w:hAnsi="仿宋" w:eastAsia="仿宋"/>
          <w:b w:val="0"/>
          <w:bCs w:val="0"/>
          <w:color w:val="000000"/>
          <w:sz w:val="32"/>
          <w:szCs w:val="32"/>
        </w:rPr>
        <w:t>（210）公共卫生（04）妇幼保健机构（</w:t>
      </w:r>
      <w:r>
        <w:rPr>
          <w:rStyle w:val="19"/>
          <w:rFonts w:hint="eastAsia" w:ascii="仿宋" w:hAnsi="仿宋" w:eastAsia="仿宋"/>
          <w:b w:val="0"/>
          <w:bCs w:val="0"/>
          <w:color w:val="000000"/>
          <w:sz w:val="32"/>
          <w:szCs w:val="32"/>
          <w:lang w:val="en-US" w:eastAsia="zh-CN"/>
        </w:rPr>
        <w:t>03</w:t>
      </w:r>
      <w:r>
        <w:rPr>
          <w:rStyle w:val="19"/>
          <w:rFonts w:hint="eastAsia" w:ascii="仿宋" w:hAnsi="仿宋" w:eastAsia="仿宋"/>
          <w:b w:val="0"/>
          <w:bCs w:val="0"/>
          <w:color w:val="000000"/>
          <w:sz w:val="32"/>
          <w:szCs w:val="32"/>
        </w:rPr>
        <w:t>）</w:t>
      </w:r>
      <w:r>
        <w:rPr>
          <w:rStyle w:val="19"/>
          <w:rFonts w:ascii="仿宋" w:hAnsi="仿宋" w:eastAsia="仿宋"/>
          <w:b w:val="0"/>
          <w:bCs w:val="0"/>
          <w:color w:val="000000"/>
          <w:sz w:val="32"/>
          <w:szCs w:val="32"/>
        </w:rPr>
        <w:t>:</w:t>
      </w:r>
      <w:r>
        <w:rPr>
          <w:rStyle w:val="19"/>
          <w:rFonts w:hint="eastAsia" w:ascii="仿宋" w:hAnsi="仿宋" w:eastAsia="仿宋"/>
          <w:b w:val="0"/>
          <w:bCs w:val="0"/>
          <w:color w:val="000000"/>
          <w:sz w:val="32"/>
          <w:szCs w:val="32"/>
        </w:rPr>
        <w:t>支出决算为</w:t>
      </w:r>
      <w:r>
        <w:rPr>
          <w:rStyle w:val="19"/>
          <w:rFonts w:hint="eastAsia" w:ascii="仿宋" w:hAnsi="仿宋" w:eastAsia="仿宋"/>
          <w:b w:val="0"/>
          <w:bCs w:val="0"/>
          <w:color w:val="000000"/>
          <w:sz w:val="32"/>
          <w:szCs w:val="32"/>
          <w:lang w:val="en-US" w:eastAsia="zh-CN"/>
        </w:rPr>
        <w:t>792.94</w:t>
      </w:r>
      <w:r>
        <w:rPr>
          <w:rStyle w:val="19"/>
          <w:rFonts w:hint="eastAsia" w:ascii="仿宋" w:hAnsi="仿宋" w:eastAsia="仿宋"/>
          <w:b w:val="0"/>
          <w:bCs w:val="0"/>
          <w:color w:val="000000"/>
          <w:sz w:val="32"/>
          <w:szCs w:val="32"/>
        </w:rPr>
        <w:t>万元，完成预算100</w:t>
      </w:r>
      <w:r>
        <w:rPr>
          <w:rStyle w:val="19"/>
          <w:rFonts w:ascii="仿宋" w:hAnsi="仿宋" w:eastAsia="仿宋"/>
          <w:b w:val="0"/>
          <w:bCs w:val="0"/>
          <w:color w:val="000000"/>
          <w:sz w:val="32"/>
          <w:szCs w:val="32"/>
        </w:rPr>
        <w:t>%</w:t>
      </w:r>
      <w:r>
        <w:rPr>
          <w:rStyle w:val="19"/>
          <w:rFonts w:hint="eastAsia" w:ascii="仿宋" w:hAnsi="仿宋" w:eastAsia="仿宋"/>
          <w:b w:val="0"/>
          <w:bCs w:val="0"/>
          <w:color w:val="000000"/>
          <w:sz w:val="32"/>
          <w:szCs w:val="32"/>
        </w:rPr>
        <w:t>，</w:t>
      </w:r>
      <w:r>
        <w:rPr>
          <w:rFonts w:hint="eastAsia" w:ascii="仿宋_GB2312" w:eastAsia="仿宋_GB2312"/>
          <w:b w:val="0"/>
          <w:bCs w:val="0"/>
          <w:sz w:val="32"/>
          <w:szCs w:val="32"/>
        </w:rPr>
        <w:t>决算数与预算数持平</w:t>
      </w:r>
      <w:r>
        <w:rPr>
          <w:rStyle w:val="19"/>
          <w:rFonts w:hint="eastAsia" w:ascii="仿宋" w:hAnsi="仿宋" w:eastAsia="仿宋"/>
          <w:b w:val="0"/>
          <w:bCs w:val="0"/>
          <w:color w:val="000000"/>
          <w:sz w:val="32"/>
          <w:szCs w:val="32"/>
        </w:rPr>
        <w:t>。</w:t>
      </w:r>
    </w:p>
    <w:p>
      <w:pPr>
        <w:pageBreakBefore w:val="0"/>
        <w:kinsoku/>
        <w:wordWrap/>
        <w:overflowPunct/>
        <w:topLinePunct w:val="0"/>
        <w:bidi w:val="0"/>
        <w:spacing w:line="560" w:lineRule="exact"/>
        <w:ind w:firstLine="640" w:firstLineChars="200"/>
        <w:rPr>
          <w:rStyle w:val="19"/>
          <w:rFonts w:hint="eastAsia" w:ascii="仿宋" w:hAnsi="仿宋" w:eastAsia="仿宋"/>
          <w:b w:val="0"/>
          <w:bCs w:val="0"/>
          <w:color w:val="000000"/>
          <w:sz w:val="32"/>
          <w:szCs w:val="32"/>
        </w:rPr>
      </w:pPr>
      <w:r>
        <w:rPr>
          <w:rStyle w:val="19"/>
          <w:rFonts w:hint="eastAsia" w:ascii="仿宋" w:hAnsi="仿宋" w:eastAsia="仿宋"/>
          <w:b w:val="0"/>
          <w:bCs w:val="0"/>
          <w:color w:val="000000"/>
          <w:sz w:val="32"/>
          <w:szCs w:val="32"/>
          <w:lang w:val="en-US" w:eastAsia="zh-CN"/>
        </w:rPr>
        <w:t>5</w:t>
      </w:r>
      <w:r>
        <w:rPr>
          <w:rStyle w:val="19"/>
          <w:rFonts w:ascii="仿宋" w:hAnsi="仿宋" w:eastAsia="仿宋"/>
          <w:b w:val="0"/>
          <w:bCs w:val="0"/>
          <w:color w:val="000000"/>
          <w:sz w:val="32"/>
          <w:szCs w:val="32"/>
        </w:rPr>
        <w:t>.</w:t>
      </w:r>
      <w:r>
        <w:rPr>
          <w:rFonts w:hint="eastAsia" w:ascii="仿宋" w:hAnsi="仿宋" w:eastAsia="仿宋"/>
          <w:b w:val="0"/>
          <w:bCs w:val="0"/>
          <w:color w:val="000000"/>
          <w:sz w:val="32"/>
          <w:szCs w:val="32"/>
        </w:rPr>
        <w:t>卫生健康支出</w:t>
      </w:r>
      <w:r>
        <w:rPr>
          <w:rStyle w:val="19"/>
          <w:rFonts w:hint="eastAsia" w:ascii="仿宋" w:hAnsi="仿宋" w:eastAsia="仿宋"/>
          <w:b w:val="0"/>
          <w:bCs w:val="0"/>
          <w:color w:val="000000"/>
          <w:sz w:val="32"/>
          <w:szCs w:val="32"/>
        </w:rPr>
        <w:t>（210）公共卫生（04）基本公共卫生服务（</w:t>
      </w:r>
      <w:r>
        <w:rPr>
          <w:rStyle w:val="19"/>
          <w:rFonts w:hint="eastAsia" w:ascii="仿宋" w:hAnsi="仿宋" w:eastAsia="仿宋"/>
          <w:b w:val="0"/>
          <w:bCs w:val="0"/>
          <w:color w:val="000000"/>
          <w:sz w:val="32"/>
          <w:szCs w:val="32"/>
          <w:lang w:val="en-US" w:eastAsia="zh-CN"/>
        </w:rPr>
        <w:t>08</w:t>
      </w:r>
      <w:r>
        <w:rPr>
          <w:rStyle w:val="19"/>
          <w:rFonts w:hint="eastAsia" w:ascii="仿宋" w:hAnsi="仿宋" w:eastAsia="仿宋"/>
          <w:b w:val="0"/>
          <w:bCs w:val="0"/>
          <w:color w:val="000000"/>
          <w:sz w:val="32"/>
          <w:szCs w:val="32"/>
        </w:rPr>
        <w:t>）</w:t>
      </w:r>
      <w:r>
        <w:rPr>
          <w:rStyle w:val="19"/>
          <w:rFonts w:ascii="仿宋" w:hAnsi="仿宋" w:eastAsia="仿宋"/>
          <w:b w:val="0"/>
          <w:bCs w:val="0"/>
          <w:color w:val="000000"/>
          <w:sz w:val="32"/>
          <w:szCs w:val="32"/>
        </w:rPr>
        <w:t>:</w:t>
      </w:r>
      <w:r>
        <w:rPr>
          <w:rStyle w:val="19"/>
          <w:rFonts w:hint="eastAsia" w:ascii="仿宋" w:hAnsi="仿宋" w:eastAsia="仿宋"/>
          <w:b w:val="0"/>
          <w:bCs w:val="0"/>
          <w:color w:val="000000"/>
          <w:sz w:val="32"/>
          <w:szCs w:val="32"/>
        </w:rPr>
        <w:t>支出决算为</w:t>
      </w:r>
      <w:r>
        <w:rPr>
          <w:rStyle w:val="19"/>
          <w:rFonts w:hint="eastAsia" w:ascii="仿宋" w:hAnsi="仿宋" w:eastAsia="仿宋"/>
          <w:b w:val="0"/>
          <w:bCs w:val="0"/>
          <w:color w:val="000000"/>
          <w:sz w:val="32"/>
          <w:szCs w:val="32"/>
          <w:lang w:val="en-US" w:eastAsia="zh-CN"/>
        </w:rPr>
        <w:t>34.69</w:t>
      </w:r>
      <w:r>
        <w:rPr>
          <w:rStyle w:val="19"/>
          <w:rFonts w:hint="eastAsia" w:ascii="仿宋" w:hAnsi="仿宋" w:eastAsia="仿宋"/>
          <w:b w:val="0"/>
          <w:bCs w:val="0"/>
          <w:color w:val="000000"/>
          <w:sz w:val="32"/>
          <w:szCs w:val="32"/>
        </w:rPr>
        <w:t>万元，完成预算100</w:t>
      </w:r>
      <w:r>
        <w:rPr>
          <w:rStyle w:val="19"/>
          <w:rFonts w:ascii="仿宋" w:hAnsi="仿宋" w:eastAsia="仿宋"/>
          <w:b w:val="0"/>
          <w:bCs w:val="0"/>
          <w:color w:val="000000"/>
          <w:sz w:val="32"/>
          <w:szCs w:val="32"/>
        </w:rPr>
        <w:t>%</w:t>
      </w:r>
      <w:r>
        <w:rPr>
          <w:rStyle w:val="19"/>
          <w:rFonts w:hint="eastAsia" w:ascii="仿宋" w:hAnsi="仿宋" w:eastAsia="仿宋"/>
          <w:b w:val="0"/>
          <w:bCs w:val="0"/>
          <w:color w:val="000000"/>
          <w:sz w:val="32"/>
          <w:szCs w:val="32"/>
        </w:rPr>
        <w:t>，</w:t>
      </w:r>
      <w:r>
        <w:rPr>
          <w:rFonts w:hint="eastAsia" w:ascii="仿宋_GB2312" w:eastAsia="仿宋_GB2312"/>
          <w:b w:val="0"/>
          <w:bCs w:val="0"/>
          <w:sz w:val="32"/>
          <w:szCs w:val="32"/>
        </w:rPr>
        <w:t>决算数与预算数持平</w:t>
      </w:r>
      <w:r>
        <w:rPr>
          <w:rStyle w:val="19"/>
          <w:rFonts w:hint="eastAsia" w:ascii="仿宋" w:hAnsi="仿宋" w:eastAsia="仿宋"/>
          <w:b w:val="0"/>
          <w:bCs w:val="0"/>
          <w:color w:val="000000"/>
          <w:sz w:val="32"/>
          <w:szCs w:val="32"/>
        </w:rPr>
        <w:t>。</w:t>
      </w:r>
    </w:p>
    <w:p>
      <w:pPr>
        <w:pageBreakBefore w:val="0"/>
        <w:kinsoku/>
        <w:wordWrap/>
        <w:overflowPunct/>
        <w:topLinePunct w:val="0"/>
        <w:bidi w:val="0"/>
        <w:spacing w:line="560" w:lineRule="exact"/>
        <w:ind w:firstLine="640" w:firstLineChars="200"/>
        <w:rPr>
          <w:rStyle w:val="19"/>
          <w:rFonts w:ascii="仿宋" w:hAnsi="仿宋" w:eastAsia="仿宋"/>
          <w:b w:val="0"/>
          <w:bCs w:val="0"/>
          <w:color w:val="000000"/>
          <w:sz w:val="32"/>
          <w:szCs w:val="32"/>
        </w:rPr>
      </w:pPr>
      <w:r>
        <w:rPr>
          <w:rStyle w:val="19"/>
          <w:rFonts w:hint="eastAsia" w:ascii="仿宋" w:hAnsi="仿宋" w:eastAsia="仿宋"/>
          <w:b w:val="0"/>
          <w:bCs w:val="0"/>
          <w:color w:val="000000"/>
          <w:sz w:val="32"/>
          <w:szCs w:val="32"/>
          <w:lang w:val="en-US" w:eastAsia="zh-CN"/>
        </w:rPr>
        <w:t>6</w:t>
      </w:r>
      <w:r>
        <w:rPr>
          <w:rStyle w:val="19"/>
          <w:rFonts w:ascii="仿宋" w:hAnsi="仿宋" w:eastAsia="仿宋"/>
          <w:b w:val="0"/>
          <w:bCs w:val="0"/>
          <w:color w:val="000000"/>
          <w:sz w:val="32"/>
          <w:szCs w:val="32"/>
        </w:rPr>
        <w:t>.</w:t>
      </w:r>
      <w:r>
        <w:rPr>
          <w:rFonts w:hint="eastAsia" w:ascii="仿宋" w:hAnsi="仿宋" w:eastAsia="仿宋"/>
          <w:b w:val="0"/>
          <w:bCs w:val="0"/>
          <w:color w:val="000000"/>
          <w:sz w:val="32"/>
          <w:szCs w:val="32"/>
        </w:rPr>
        <w:t>卫生健康支出</w:t>
      </w:r>
      <w:r>
        <w:rPr>
          <w:rStyle w:val="19"/>
          <w:rFonts w:hint="eastAsia" w:ascii="仿宋" w:hAnsi="仿宋" w:eastAsia="仿宋"/>
          <w:b w:val="0"/>
          <w:bCs w:val="0"/>
          <w:color w:val="000000"/>
          <w:sz w:val="32"/>
          <w:szCs w:val="32"/>
        </w:rPr>
        <w:t>（210）公共卫生（</w:t>
      </w:r>
      <w:r>
        <w:rPr>
          <w:rStyle w:val="19"/>
          <w:rFonts w:hint="eastAsia" w:ascii="仿宋" w:hAnsi="仿宋" w:eastAsia="仿宋"/>
          <w:b w:val="0"/>
          <w:bCs w:val="0"/>
          <w:color w:val="000000"/>
          <w:sz w:val="32"/>
          <w:szCs w:val="32"/>
          <w:lang w:val="en-US" w:eastAsia="zh-CN"/>
        </w:rPr>
        <w:t>04</w:t>
      </w:r>
      <w:r>
        <w:rPr>
          <w:rStyle w:val="19"/>
          <w:rFonts w:hint="eastAsia" w:ascii="仿宋" w:hAnsi="仿宋" w:eastAsia="仿宋"/>
          <w:b w:val="0"/>
          <w:bCs w:val="0"/>
          <w:color w:val="000000"/>
          <w:sz w:val="32"/>
          <w:szCs w:val="32"/>
        </w:rPr>
        <w:t>）重大公共卫生服务（</w:t>
      </w:r>
      <w:r>
        <w:rPr>
          <w:rStyle w:val="19"/>
          <w:rFonts w:hint="eastAsia" w:ascii="仿宋" w:hAnsi="仿宋" w:eastAsia="仿宋"/>
          <w:b w:val="0"/>
          <w:bCs w:val="0"/>
          <w:color w:val="000000"/>
          <w:sz w:val="32"/>
          <w:szCs w:val="32"/>
          <w:lang w:val="en-US" w:eastAsia="zh-CN"/>
        </w:rPr>
        <w:t>09</w:t>
      </w:r>
      <w:r>
        <w:rPr>
          <w:rStyle w:val="19"/>
          <w:rFonts w:hint="eastAsia" w:ascii="仿宋" w:hAnsi="仿宋" w:eastAsia="仿宋"/>
          <w:b w:val="0"/>
          <w:bCs w:val="0"/>
          <w:color w:val="000000"/>
          <w:sz w:val="32"/>
          <w:szCs w:val="32"/>
        </w:rPr>
        <w:t>）</w:t>
      </w:r>
      <w:r>
        <w:rPr>
          <w:rStyle w:val="19"/>
          <w:rFonts w:ascii="仿宋" w:hAnsi="仿宋" w:eastAsia="仿宋"/>
          <w:b w:val="0"/>
          <w:bCs w:val="0"/>
          <w:color w:val="000000"/>
          <w:sz w:val="32"/>
          <w:szCs w:val="32"/>
        </w:rPr>
        <w:t>:</w:t>
      </w:r>
      <w:r>
        <w:rPr>
          <w:rStyle w:val="19"/>
          <w:rFonts w:hint="eastAsia" w:ascii="仿宋" w:hAnsi="仿宋" w:eastAsia="仿宋"/>
          <w:b w:val="0"/>
          <w:bCs w:val="0"/>
          <w:color w:val="000000"/>
          <w:sz w:val="32"/>
          <w:szCs w:val="32"/>
        </w:rPr>
        <w:t>支出决算为</w:t>
      </w:r>
      <w:r>
        <w:rPr>
          <w:rStyle w:val="19"/>
          <w:rFonts w:hint="eastAsia" w:ascii="仿宋" w:hAnsi="仿宋" w:eastAsia="仿宋"/>
          <w:b w:val="0"/>
          <w:bCs w:val="0"/>
          <w:color w:val="000000"/>
          <w:sz w:val="32"/>
          <w:szCs w:val="32"/>
          <w:lang w:val="en-US" w:eastAsia="zh-CN"/>
        </w:rPr>
        <w:t>21.81</w:t>
      </w:r>
      <w:r>
        <w:rPr>
          <w:rStyle w:val="19"/>
          <w:rFonts w:hint="eastAsia" w:ascii="仿宋" w:hAnsi="仿宋" w:eastAsia="仿宋"/>
          <w:b w:val="0"/>
          <w:bCs w:val="0"/>
          <w:color w:val="000000"/>
          <w:sz w:val="32"/>
          <w:szCs w:val="32"/>
        </w:rPr>
        <w:t>万元，完成预算100</w:t>
      </w:r>
      <w:r>
        <w:rPr>
          <w:rStyle w:val="19"/>
          <w:rFonts w:ascii="仿宋" w:hAnsi="仿宋" w:eastAsia="仿宋"/>
          <w:b w:val="0"/>
          <w:bCs w:val="0"/>
          <w:color w:val="000000"/>
          <w:sz w:val="32"/>
          <w:szCs w:val="32"/>
        </w:rPr>
        <w:t>%</w:t>
      </w:r>
      <w:r>
        <w:rPr>
          <w:rStyle w:val="19"/>
          <w:rFonts w:hint="eastAsia" w:ascii="仿宋" w:hAnsi="仿宋" w:eastAsia="仿宋"/>
          <w:b w:val="0"/>
          <w:bCs w:val="0"/>
          <w:color w:val="000000"/>
          <w:sz w:val="32"/>
          <w:szCs w:val="32"/>
        </w:rPr>
        <w:t>，</w:t>
      </w:r>
      <w:r>
        <w:rPr>
          <w:rFonts w:hint="eastAsia" w:ascii="仿宋_GB2312" w:eastAsia="仿宋_GB2312"/>
          <w:b w:val="0"/>
          <w:bCs w:val="0"/>
          <w:sz w:val="32"/>
          <w:szCs w:val="32"/>
        </w:rPr>
        <w:t>决算数与预算数持平</w:t>
      </w:r>
      <w:r>
        <w:rPr>
          <w:rStyle w:val="19"/>
          <w:rFonts w:hint="eastAsia" w:ascii="仿宋" w:hAnsi="仿宋" w:eastAsia="仿宋"/>
          <w:b w:val="0"/>
          <w:bCs w:val="0"/>
          <w:color w:val="000000"/>
          <w:sz w:val="32"/>
          <w:szCs w:val="32"/>
        </w:rPr>
        <w:t>。</w:t>
      </w:r>
    </w:p>
    <w:p>
      <w:pPr>
        <w:pageBreakBefore w:val="0"/>
        <w:kinsoku/>
        <w:wordWrap/>
        <w:overflowPunct/>
        <w:topLinePunct w:val="0"/>
        <w:bidi w:val="0"/>
        <w:spacing w:line="560" w:lineRule="exact"/>
        <w:ind w:firstLine="640" w:firstLineChars="200"/>
        <w:rPr>
          <w:rStyle w:val="19"/>
          <w:rFonts w:ascii="仿宋" w:hAnsi="仿宋" w:eastAsia="仿宋"/>
          <w:b w:val="0"/>
          <w:bCs w:val="0"/>
          <w:color w:val="000000"/>
          <w:sz w:val="32"/>
          <w:szCs w:val="32"/>
        </w:rPr>
      </w:pPr>
      <w:r>
        <w:rPr>
          <w:rStyle w:val="19"/>
          <w:rFonts w:hint="eastAsia" w:ascii="仿宋" w:hAnsi="仿宋" w:eastAsia="仿宋"/>
          <w:b w:val="0"/>
          <w:bCs w:val="0"/>
          <w:color w:val="000000"/>
          <w:sz w:val="32"/>
          <w:szCs w:val="32"/>
          <w:lang w:val="en-US" w:eastAsia="zh-CN"/>
        </w:rPr>
        <w:t>7</w:t>
      </w:r>
      <w:r>
        <w:rPr>
          <w:rStyle w:val="19"/>
          <w:rFonts w:ascii="仿宋" w:hAnsi="仿宋" w:eastAsia="仿宋"/>
          <w:b w:val="0"/>
          <w:bCs w:val="0"/>
          <w:color w:val="000000"/>
          <w:sz w:val="32"/>
          <w:szCs w:val="32"/>
        </w:rPr>
        <w:t>.</w:t>
      </w:r>
      <w:r>
        <w:rPr>
          <w:rFonts w:hint="eastAsia" w:ascii="仿宋" w:hAnsi="仿宋" w:eastAsia="仿宋"/>
          <w:b w:val="0"/>
          <w:bCs w:val="0"/>
          <w:color w:val="000000"/>
          <w:sz w:val="32"/>
          <w:szCs w:val="32"/>
        </w:rPr>
        <w:t>卫生健康支出</w:t>
      </w:r>
      <w:r>
        <w:rPr>
          <w:rStyle w:val="19"/>
          <w:rFonts w:hint="eastAsia" w:ascii="仿宋" w:hAnsi="仿宋" w:eastAsia="仿宋"/>
          <w:b w:val="0"/>
          <w:bCs w:val="0"/>
          <w:color w:val="000000"/>
          <w:sz w:val="32"/>
          <w:szCs w:val="32"/>
        </w:rPr>
        <w:t>（210）计划生育事务（</w:t>
      </w:r>
      <w:r>
        <w:rPr>
          <w:rStyle w:val="19"/>
          <w:rFonts w:hint="eastAsia" w:ascii="仿宋" w:hAnsi="仿宋" w:eastAsia="仿宋"/>
          <w:b w:val="0"/>
          <w:bCs w:val="0"/>
          <w:color w:val="000000"/>
          <w:sz w:val="32"/>
          <w:szCs w:val="32"/>
          <w:lang w:val="en-US" w:eastAsia="zh-CN"/>
        </w:rPr>
        <w:t>07</w:t>
      </w:r>
      <w:r>
        <w:rPr>
          <w:rStyle w:val="19"/>
          <w:rFonts w:hint="eastAsia" w:ascii="仿宋" w:hAnsi="仿宋" w:eastAsia="仿宋"/>
          <w:b w:val="0"/>
          <w:bCs w:val="0"/>
          <w:color w:val="000000"/>
          <w:sz w:val="32"/>
          <w:szCs w:val="32"/>
        </w:rPr>
        <w:t>）其他计划生育事务支出（99）</w:t>
      </w:r>
      <w:r>
        <w:rPr>
          <w:rStyle w:val="19"/>
          <w:rFonts w:ascii="仿宋" w:hAnsi="仿宋" w:eastAsia="仿宋"/>
          <w:b w:val="0"/>
          <w:bCs w:val="0"/>
          <w:color w:val="000000"/>
          <w:sz w:val="32"/>
          <w:szCs w:val="32"/>
        </w:rPr>
        <w:t>:</w:t>
      </w:r>
      <w:r>
        <w:rPr>
          <w:rStyle w:val="19"/>
          <w:rFonts w:hint="eastAsia" w:ascii="仿宋" w:hAnsi="仿宋" w:eastAsia="仿宋"/>
          <w:b w:val="0"/>
          <w:bCs w:val="0"/>
          <w:color w:val="000000"/>
          <w:sz w:val="32"/>
          <w:szCs w:val="32"/>
        </w:rPr>
        <w:t>支出决算为</w:t>
      </w:r>
      <w:r>
        <w:rPr>
          <w:rStyle w:val="19"/>
          <w:rFonts w:hint="eastAsia" w:ascii="仿宋" w:hAnsi="仿宋" w:eastAsia="仿宋"/>
          <w:b w:val="0"/>
          <w:bCs w:val="0"/>
          <w:color w:val="000000"/>
          <w:sz w:val="32"/>
          <w:szCs w:val="32"/>
          <w:lang w:val="en-US" w:eastAsia="zh-CN"/>
        </w:rPr>
        <w:t>12.38</w:t>
      </w:r>
      <w:r>
        <w:rPr>
          <w:rStyle w:val="19"/>
          <w:rFonts w:hint="eastAsia" w:ascii="仿宋" w:hAnsi="仿宋" w:eastAsia="仿宋"/>
          <w:b w:val="0"/>
          <w:bCs w:val="0"/>
          <w:color w:val="000000"/>
          <w:sz w:val="32"/>
          <w:szCs w:val="32"/>
        </w:rPr>
        <w:t>万元，完成预算100</w:t>
      </w:r>
      <w:r>
        <w:rPr>
          <w:rStyle w:val="19"/>
          <w:rFonts w:ascii="仿宋" w:hAnsi="仿宋" w:eastAsia="仿宋"/>
          <w:b w:val="0"/>
          <w:bCs w:val="0"/>
          <w:color w:val="000000"/>
          <w:sz w:val="32"/>
          <w:szCs w:val="32"/>
        </w:rPr>
        <w:t>%</w:t>
      </w:r>
      <w:r>
        <w:rPr>
          <w:rStyle w:val="19"/>
          <w:rFonts w:hint="eastAsia" w:ascii="仿宋" w:hAnsi="仿宋" w:eastAsia="仿宋"/>
          <w:b w:val="0"/>
          <w:bCs w:val="0"/>
          <w:color w:val="000000"/>
          <w:sz w:val="32"/>
          <w:szCs w:val="32"/>
        </w:rPr>
        <w:t>，</w:t>
      </w:r>
      <w:r>
        <w:rPr>
          <w:rFonts w:hint="eastAsia" w:ascii="仿宋_GB2312" w:eastAsia="仿宋_GB2312"/>
          <w:b w:val="0"/>
          <w:bCs w:val="0"/>
          <w:sz w:val="32"/>
          <w:szCs w:val="32"/>
        </w:rPr>
        <w:t>决算数与预算数持平</w:t>
      </w:r>
      <w:r>
        <w:rPr>
          <w:rStyle w:val="19"/>
          <w:rFonts w:hint="eastAsia" w:ascii="仿宋" w:hAnsi="仿宋" w:eastAsia="仿宋"/>
          <w:b w:val="0"/>
          <w:bCs w:val="0"/>
          <w:color w:val="000000"/>
          <w:sz w:val="32"/>
          <w:szCs w:val="32"/>
        </w:rPr>
        <w:t>。</w:t>
      </w:r>
    </w:p>
    <w:p>
      <w:pPr>
        <w:pageBreakBefore w:val="0"/>
        <w:kinsoku/>
        <w:wordWrap/>
        <w:overflowPunct/>
        <w:topLinePunct w:val="0"/>
        <w:bidi w:val="0"/>
        <w:spacing w:line="560" w:lineRule="exact"/>
        <w:ind w:firstLine="640" w:firstLineChars="200"/>
        <w:rPr>
          <w:rStyle w:val="19"/>
          <w:rFonts w:hint="eastAsia" w:ascii="仿宋" w:hAnsi="仿宋" w:eastAsia="仿宋"/>
          <w:b w:val="0"/>
          <w:bCs w:val="0"/>
          <w:color w:val="000000"/>
          <w:sz w:val="32"/>
          <w:szCs w:val="32"/>
        </w:rPr>
      </w:pPr>
      <w:r>
        <w:rPr>
          <w:rStyle w:val="19"/>
          <w:rFonts w:hint="eastAsia" w:ascii="仿宋" w:hAnsi="仿宋" w:eastAsia="仿宋"/>
          <w:b w:val="0"/>
          <w:bCs w:val="0"/>
          <w:color w:val="000000"/>
          <w:sz w:val="32"/>
          <w:szCs w:val="32"/>
          <w:lang w:val="en-US" w:eastAsia="zh-CN"/>
        </w:rPr>
        <w:t>8</w:t>
      </w:r>
      <w:r>
        <w:rPr>
          <w:rStyle w:val="19"/>
          <w:rFonts w:ascii="仿宋" w:hAnsi="仿宋" w:eastAsia="仿宋"/>
          <w:b w:val="0"/>
          <w:bCs w:val="0"/>
          <w:color w:val="000000"/>
          <w:sz w:val="32"/>
          <w:szCs w:val="32"/>
        </w:rPr>
        <w:t>.</w:t>
      </w:r>
      <w:r>
        <w:rPr>
          <w:rFonts w:hint="eastAsia" w:ascii="仿宋" w:hAnsi="仿宋" w:eastAsia="仿宋"/>
          <w:b w:val="0"/>
          <w:bCs w:val="0"/>
          <w:color w:val="000000"/>
          <w:sz w:val="32"/>
          <w:szCs w:val="32"/>
        </w:rPr>
        <w:t>卫生健康支出</w:t>
      </w:r>
      <w:r>
        <w:rPr>
          <w:rStyle w:val="19"/>
          <w:rFonts w:hint="eastAsia" w:ascii="仿宋" w:hAnsi="仿宋" w:eastAsia="仿宋"/>
          <w:b w:val="0"/>
          <w:bCs w:val="0"/>
          <w:color w:val="000000"/>
          <w:sz w:val="32"/>
          <w:szCs w:val="32"/>
        </w:rPr>
        <w:t>（210）行政事业单位医疗（</w:t>
      </w:r>
      <w:r>
        <w:rPr>
          <w:rStyle w:val="19"/>
          <w:rFonts w:hint="eastAsia" w:ascii="仿宋" w:hAnsi="仿宋" w:eastAsia="仿宋"/>
          <w:b w:val="0"/>
          <w:bCs w:val="0"/>
          <w:color w:val="000000"/>
          <w:sz w:val="32"/>
          <w:szCs w:val="32"/>
          <w:lang w:val="en-US" w:eastAsia="zh-CN"/>
        </w:rPr>
        <w:t>11</w:t>
      </w:r>
      <w:r>
        <w:rPr>
          <w:rStyle w:val="19"/>
          <w:rFonts w:hint="eastAsia" w:ascii="仿宋" w:hAnsi="仿宋" w:eastAsia="仿宋"/>
          <w:b w:val="0"/>
          <w:bCs w:val="0"/>
          <w:color w:val="000000"/>
          <w:sz w:val="32"/>
          <w:szCs w:val="32"/>
        </w:rPr>
        <w:t>）事业单位医疗（</w:t>
      </w:r>
      <w:r>
        <w:rPr>
          <w:rStyle w:val="19"/>
          <w:rFonts w:hint="eastAsia" w:ascii="仿宋" w:hAnsi="仿宋" w:eastAsia="仿宋"/>
          <w:b w:val="0"/>
          <w:bCs w:val="0"/>
          <w:color w:val="000000"/>
          <w:sz w:val="32"/>
          <w:szCs w:val="32"/>
          <w:lang w:val="en-US" w:eastAsia="zh-CN"/>
        </w:rPr>
        <w:t>02</w:t>
      </w:r>
      <w:r>
        <w:rPr>
          <w:rStyle w:val="19"/>
          <w:rFonts w:hint="eastAsia" w:ascii="仿宋" w:hAnsi="仿宋" w:eastAsia="仿宋"/>
          <w:b w:val="0"/>
          <w:bCs w:val="0"/>
          <w:color w:val="000000"/>
          <w:sz w:val="32"/>
          <w:szCs w:val="32"/>
        </w:rPr>
        <w:t>）</w:t>
      </w:r>
      <w:r>
        <w:rPr>
          <w:rStyle w:val="19"/>
          <w:rFonts w:ascii="仿宋" w:hAnsi="仿宋" w:eastAsia="仿宋"/>
          <w:b w:val="0"/>
          <w:bCs w:val="0"/>
          <w:color w:val="000000"/>
          <w:sz w:val="32"/>
          <w:szCs w:val="32"/>
        </w:rPr>
        <w:t>:</w:t>
      </w:r>
      <w:r>
        <w:rPr>
          <w:rStyle w:val="19"/>
          <w:rFonts w:hint="eastAsia" w:ascii="仿宋" w:hAnsi="仿宋" w:eastAsia="仿宋"/>
          <w:b w:val="0"/>
          <w:bCs w:val="0"/>
          <w:color w:val="000000"/>
          <w:sz w:val="32"/>
          <w:szCs w:val="32"/>
        </w:rPr>
        <w:t>支出决算为</w:t>
      </w:r>
      <w:r>
        <w:rPr>
          <w:rStyle w:val="19"/>
          <w:rFonts w:hint="eastAsia" w:ascii="仿宋" w:hAnsi="仿宋" w:eastAsia="仿宋"/>
          <w:b w:val="0"/>
          <w:bCs w:val="0"/>
          <w:color w:val="000000"/>
          <w:sz w:val="32"/>
          <w:szCs w:val="32"/>
          <w:lang w:val="en-US" w:eastAsia="zh-CN"/>
        </w:rPr>
        <w:t>45.11</w:t>
      </w:r>
      <w:r>
        <w:rPr>
          <w:rStyle w:val="19"/>
          <w:rFonts w:hint="eastAsia" w:ascii="仿宋" w:hAnsi="仿宋" w:eastAsia="仿宋"/>
          <w:b w:val="0"/>
          <w:bCs w:val="0"/>
          <w:color w:val="000000"/>
          <w:sz w:val="32"/>
          <w:szCs w:val="32"/>
        </w:rPr>
        <w:t>万元，完成预算100</w:t>
      </w:r>
      <w:r>
        <w:rPr>
          <w:rStyle w:val="19"/>
          <w:rFonts w:ascii="仿宋" w:hAnsi="仿宋" w:eastAsia="仿宋"/>
          <w:b w:val="0"/>
          <w:bCs w:val="0"/>
          <w:color w:val="000000"/>
          <w:sz w:val="32"/>
          <w:szCs w:val="32"/>
        </w:rPr>
        <w:t>%</w:t>
      </w:r>
      <w:r>
        <w:rPr>
          <w:rStyle w:val="19"/>
          <w:rFonts w:hint="eastAsia" w:ascii="仿宋" w:hAnsi="仿宋" w:eastAsia="仿宋"/>
          <w:b w:val="0"/>
          <w:bCs w:val="0"/>
          <w:color w:val="000000"/>
          <w:sz w:val="32"/>
          <w:szCs w:val="32"/>
        </w:rPr>
        <w:t>，</w:t>
      </w:r>
      <w:r>
        <w:rPr>
          <w:rFonts w:hint="eastAsia" w:ascii="仿宋_GB2312" w:eastAsia="仿宋_GB2312"/>
          <w:b w:val="0"/>
          <w:bCs w:val="0"/>
          <w:sz w:val="32"/>
          <w:szCs w:val="32"/>
        </w:rPr>
        <w:t>决算数与预算数持平</w:t>
      </w:r>
      <w:r>
        <w:rPr>
          <w:rStyle w:val="19"/>
          <w:rFonts w:hint="eastAsia" w:ascii="仿宋" w:hAnsi="仿宋" w:eastAsia="仿宋"/>
          <w:b w:val="0"/>
          <w:bCs w:val="0"/>
          <w:color w:val="000000"/>
          <w:sz w:val="32"/>
          <w:szCs w:val="32"/>
        </w:rPr>
        <w:t>。</w:t>
      </w:r>
    </w:p>
    <w:p>
      <w:pPr>
        <w:pageBreakBefore w:val="0"/>
        <w:kinsoku/>
        <w:wordWrap/>
        <w:overflowPunct/>
        <w:topLinePunct w:val="0"/>
        <w:bidi w:val="0"/>
        <w:spacing w:line="560" w:lineRule="exact"/>
        <w:ind w:firstLine="640" w:firstLineChars="200"/>
        <w:rPr>
          <w:rStyle w:val="19"/>
          <w:rFonts w:hint="eastAsia" w:ascii="仿宋" w:hAnsi="仿宋" w:eastAsia="仿宋"/>
          <w:b w:val="0"/>
          <w:bCs w:val="0"/>
          <w:color w:val="000000"/>
          <w:sz w:val="32"/>
          <w:szCs w:val="32"/>
        </w:rPr>
      </w:pPr>
      <w:r>
        <w:rPr>
          <w:rFonts w:hint="eastAsia" w:ascii="仿宋" w:hAnsi="仿宋" w:eastAsia="仿宋" w:cs="Times New Roman"/>
          <w:b w:val="0"/>
          <w:bCs w:val="0"/>
          <w:color w:val="000000"/>
          <w:sz w:val="32"/>
          <w:szCs w:val="32"/>
          <w:lang w:val="en-US" w:eastAsia="zh-CN"/>
        </w:rPr>
        <w:t>9.</w:t>
      </w:r>
      <w:r>
        <w:rPr>
          <w:rFonts w:hint="eastAsia" w:ascii="仿宋" w:hAnsi="仿宋" w:eastAsia="仿宋"/>
          <w:b w:val="0"/>
          <w:bCs w:val="0"/>
          <w:color w:val="000000"/>
          <w:sz w:val="32"/>
          <w:szCs w:val="32"/>
        </w:rPr>
        <w:t>卫生健康支出</w:t>
      </w:r>
      <w:r>
        <w:rPr>
          <w:rStyle w:val="19"/>
          <w:rFonts w:hint="eastAsia" w:ascii="仿宋" w:hAnsi="仿宋" w:eastAsia="仿宋"/>
          <w:b w:val="0"/>
          <w:bCs w:val="0"/>
          <w:color w:val="000000"/>
          <w:sz w:val="32"/>
          <w:szCs w:val="32"/>
        </w:rPr>
        <w:t>（210）行政事业单位医疗（</w:t>
      </w:r>
      <w:r>
        <w:rPr>
          <w:rStyle w:val="19"/>
          <w:rFonts w:hint="eastAsia" w:ascii="仿宋" w:hAnsi="仿宋" w:eastAsia="仿宋"/>
          <w:b w:val="0"/>
          <w:bCs w:val="0"/>
          <w:color w:val="000000"/>
          <w:sz w:val="32"/>
          <w:szCs w:val="32"/>
          <w:lang w:val="en-US" w:eastAsia="zh-CN"/>
        </w:rPr>
        <w:t>11</w:t>
      </w:r>
      <w:r>
        <w:rPr>
          <w:rStyle w:val="19"/>
          <w:rFonts w:hint="eastAsia" w:ascii="仿宋" w:hAnsi="仿宋" w:eastAsia="仿宋"/>
          <w:b w:val="0"/>
          <w:bCs w:val="0"/>
          <w:color w:val="000000"/>
          <w:sz w:val="32"/>
          <w:szCs w:val="32"/>
        </w:rPr>
        <w:t>）其他行政事业单位医疗支出（</w:t>
      </w:r>
      <w:r>
        <w:rPr>
          <w:rStyle w:val="19"/>
          <w:rFonts w:hint="eastAsia" w:ascii="仿宋" w:hAnsi="仿宋" w:eastAsia="仿宋"/>
          <w:b w:val="0"/>
          <w:bCs w:val="0"/>
          <w:color w:val="000000"/>
          <w:sz w:val="32"/>
          <w:szCs w:val="32"/>
          <w:lang w:val="en-US" w:eastAsia="zh-CN"/>
        </w:rPr>
        <w:t>99</w:t>
      </w:r>
      <w:r>
        <w:rPr>
          <w:rStyle w:val="19"/>
          <w:rFonts w:hint="eastAsia" w:ascii="仿宋" w:hAnsi="仿宋" w:eastAsia="仿宋"/>
          <w:b w:val="0"/>
          <w:bCs w:val="0"/>
          <w:color w:val="000000"/>
          <w:sz w:val="32"/>
          <w:szCs w:val="32"/>
        </w:rPr>
        <w:t>）</w:t>
      </w:r>
      <w:r>
        <w:rPr>
          <w:rStyle w:val="19"/>
          <w:rFonts w:ascii="仿宋" w:hAnsi="仿宋" w:eastAsia="仿宋"/>
          <w:b w:val="0"/>
          <w:bCs w:val="0"/>
          <w:color w:val="000000"/>
          <w:sz w:val="32"/>
          <w:szCs w:val="32"/>
        </w:rPr>
        <w:t>:</w:t>
      </w:r>
      <w:r>
        <w:rPr>
          <w:rStyle w:val="19"/>
          <w:rFonts w:hint="eastAsia" w:ascii="仿宋" w:hAnsi="仿宋" w:eastAsia="仿宋"/>
          <w:b w:val="0"/>
          <w:bCs w:val="0"/>
          <w:color w:val="000000"/>
          <w:sz w:val="32"/>
          <w:szCs w:val="32"/>
        </w:rPr>
        <w:t>支出决算为</w:t>
      </w:r>
      <w:r>
        <w:rPr>
          <w:rStyle w:val="19"/>
          <w:rFonts w:hint="eastAsia" w:ascii="仿宋" w:hAnsi="仿宋" w:eastAsia="仿宋"/>
          <w:b w:val="0"/>
          <w:bCs w:val="0"/>
          <w:color w:val="000000"/>
          <w:sz w:val="32"/>
          <w:szCs w:val="32"/>
          <w:lang w:val="en-US" w:eastAsia="zh-CN"/>
        </w:rPr>
        <w:t>9.08</w:t>
      </w:r>
      <w:r>
        <w:rPr>
          <w:rStyle w:val="19"/>
          <w:rFonts w:hint="eastAsia" w:ascii="仿宋" w:hAnsi="仿宋" w:eastAsia="仿宋"/>
          <w:b w:val="0"/>
          <w:bCs w:val="0"/>
          <w:color w:val="000000"/>
          <w:sz w:val="32"/>
          <w:szCs w:val="32"/>
        </w:rPr>
        <w:t>万元，完成预算100</w:t>
      </w:r>
      <w:r>
        <w:rPr>
          <w:rStyle w:val="19"/>
          <w:rFonts w:ascii="仿宋" w:hAnsi="仿宋" w:eastAsia="仿宋"/>
          <w:b w:val="0"/>
          <w:bCs w:val="0"/>
          <w:color w:val="000000"/>
          <w:sz w:val="32"/>
          <w:szCs w:val="32"/>
        </w:rPr>
        <w:t>%</w:t>
      </w:r>
      <w:r>
        <w:rPr>
          <w:rStyle w:val="19"/>
          <w:rFonts w:hint="eastAsia" w:ascii="仿宋" w:hAnsi="仿宋" w:eastAsia="仿宋"/>
          <w:b w:val="0"/>
          <w:bCs w:val="0"/>
          <w:color w:val="000000"/>
          <w:sz w:val="32"/>
          <w:szCs w:val="32"/>
        </w:rPr>
        <w:t>，</w:t>
      </w:r>
      <w:r>
        <w:rPr>
          <w:rFonts w:hint="eastAsia" w:ascii="仿宋_GB2312" w:eastAsia="仿宋_GB2312"/>
          <w:b w:val="0"/>
          <w:bCs w:val="0"/>
          <w:sz w:val="32"/>
          <w:szCs w:val="32"/>
        </w:rPr>
        <w:t>决算数与预算数持平</w:t>
      </w:r>
      <w:r>
        <w:rPr>
          <w:rStyle w:val="19"/>
          <w:rFonts w:hint="eastAsia" w:ascii="仿宋" w:hAnsi="仿宋" w:eastAsia="仿宋"/>
          <w:b w:val="0"/>
          <w:bCs w:val="0"/>
          <w:color w:val="000000"/>
          <w:sz w:val="32"/>
          <w:szCs w:val="32"/>
        </w:rPr>
        <w:t>。</w:t>
      </w:r>
    </w:p>
    <w:p>
      <w:pPr>
        <w:pageBreakBefore w:val="0"/>
        <w:kinsoku/>
        <w:wordWrap/>
        <w:overflowPunct/>
        <w:topLinePunct w:val="0"/>
        <w:bidi w:val="0"/>
        <w:spacing w:line="560" w:lineRule="exact"/>
        <w:ind w:firstLine="640" w:firstLineChars="200"/>
        <w:rPr>
          <w:rStyle w:val="19"/>
          <w:rFonts w:hint="eastAsia" w:ascii="仿宋" w:hAnsi="仿宋" w:eastAsia="仿宋"/>
          <w:b w:val="0"/>
          <w:bCs w:val="0"/>
          <w:color w:val="000000"/>
          <w:sz w:val="32"/>
          <w:szCs w:val="32"/>
        </w:rPr>
      </w:pPr>
      <w:r>
        <w:rPr>
          <w:rFonts w:hint="eastAsia" w:ascii="仿宋" w:hAnsi="仿宋" w:eastAsia="仿宋" w:cs="Times New Roman"/>
          <w:b w:val="0"/>
          <w:bCs w:val="0"/>
          <w:color w:val="000000"/>
          <w:sz w:val="32"/>
          <w:szCs w:val="32"/>
          <w:lang w:val="en-US" w:eastAsia="zh-CN"/>
        </w:rPr>
        <w:t>10.</w:t>
      </w:r>
      <w:r>
        <w:rPr>
          <w:rFonts w:hint="eastAsia" w:ascii="仿宋" w:hAnsi="仿宋" w:eastAsia="仿宋"/>
          <w:b w:val="0"/>
          <w:bCs w:val="0"/>
          <w:color w:val="000000"/>
          <w:sz w:val="32"/>
          <w:szCs w:val="32"/>
        </w:rPr>
        <w:t>卫生健康支出</w:t>
      </w:r>
      <w:r>
        <w:rPr>
          <w:rStyle w:val="19"/>
          <w:rFonts w:hint="eastAsia" w:ascii="仿宋" w:hAnsi="仿宋" w:eastAsia="仿宋"/>
          <w:b w:val="0"/>
          <w:bCs w:val="0"/>
          <w:color w:val="000000"/>
          <w:sz w:val="32"/>
          <w:szCs w:val="32"/>
        </w:rPr>
        <w:t>（210）其他卫生健康支出（</w:t>
      </w:r>
      <w:r>
        <w:rPr>
          <w:rStyle w:val="19"/>
          <w:rFonts w:hint="eastAsia" w:ascii="仿宋" w:hAnsi="仿宋" w:eastAsia="仿宋"/>
          <w:b w:val="0"/>
          <w:bCs w:val="0"/>
          <w:color w:val="000000"/>
          <w:sz w:val="32"/>
          <w:szCs w:val="32"/>
          <w:lang w:val="en-US" w:eastAsia="zh-CN"/>
        </w:rPr>
        <w:t>99</w:t>
      </w:r>
      <w:r>
        <w:rPr>
          <w:rStyle w:val="19"/>
          <w:rFonts w:hint="eastAsia" w:ascii="仿宋" w:hAnsi="仿宋" w:eastAsia="仿宋"/>
          <w:b w:val="0"/>
          <w:bCs w:val="0"/>
          <w:color w:val="000000"/>
          <w:sz w:val="32"/>
          <w:szCs w:val="32"/>
        </w:rPr>
        <w:t>）其他卫生健康支出（</w:t>
      </w:r>
      <w:r>
        <w:rPr>
          <w:rStyle w:val="19"/>
          <w:rFonts w:hint="eastAsia" w:ascii="仿宋" w:hAnsi="仿宋" w:eastAsia="仿宋"/>
          <w:b w:val="0"/>
          <w:bCs w:val="0"/>
          <w:color w:val="000000"/>
          <w:sz w:val="32"/>
          <w:szCs w:val="32"/>
          <w:lang w:val="en-US" w:eastAsia="zh-CN"/>
        </w:rPr>
        <w:t>99</w:t>
      </w:r>
      <w:r>
        <w:rPr>
          <w:rStyle w:val="19"/>
          <w:rFonts w:hint="eastAsia" w:ascii="仿宋" w:hAnsi="仿宋" w:eastAsia="仿宋"/>
          <w:b w:val="0"/>
          <w:bCs w:val="0"/>
          <w:color w:val="000000"/>
          <w:sz w:val="32"/>
          <w:szCs w:val="32"/>
        </w:rPr>
        <w:t>）</w:t>
      </w:r>
      <w:r>
        <w:rPr>
          <w:rStyle w:val="19"/>
          <w:rFonts w:ascii="仿宋" w:hAnsi="仿宋" w:eastAsia="仿宋"/>
          <w:b w:val="0"/>
          <w:bCs w:val="0"/>
          <w:color w:val="000000"/>
          <w:sz w:val="32"/>
          <w:szCs w:val="32"/>
        </w:rPr>
        <w:t>:</w:t>
      </w:r>
      <w:r>
        <w:rPr>
          <w:rStyle w:val="19"/>
          <w:rFonts w:hint="eastAsia" w:ascii="仿宋" w:hAnsi="仿宋" w:eastAsia="仿宋"/>
          <w:b w:val="0"/>
          <w:bCs w:val="0"/>
          <w:color w:val="000000"/>
          <w:sz w:val="32"/>
          <w:szCs w:val="32"/>
        </w:rPr>
        <w:t>支出决算为</w:t>
      </w:r>
      <w:r>
        <w:rPr>
          <w:rStyle w:val="19"/>
          <w:rFonts w:hint="eastAsia" w:ascii="仿宋" w:hAnsi="仿宋" w:eastAsia="仿宋"/>
          <w:b w:val="0"/>
          <w:bCs w:val="0"/>
          <w:color w:val="000000"/>
          <w:sz w:val="32"/>
          <w:szCs w:val="32"/>
          <w:lang w:val="en-US" w:eastAsia="zh-CN"/>
        </w:rPr>
        <w:t>3.64</w:t>
      </w:r>
      <w:r>
        <w:rPr>
          <w:rStyle w:val="19"/>
          <w:rFonts w:hint="eastAsia" w:ascii="仿宋" w:hAnsi="仿宋" w:eastAsia="仿宋"/>
          <w:b w:val="0"/>
          <w:bCs w:val="0"/>
          <w:color w:val="000000"/>
          <w:sz w:val="32"/>
          <w:szCs w:val="32"/>
        </w:rPr>
        <w:t>万元，完成预算100</w:t>
      </w:r>
      <w:r>
        <w:rPr>
          <w:rStyle w:val="19"/>
          <w:rFonts w:ascii="仿宋" w:hAnsi="仿宋" w:eastAsia="仿宋"/>
          <w:b w:val="0"/>
          <w:bCs w:val="0"/>
          <w:color w:val="000000"/>
          <w:sz w:val="32"/>
          <w:szCs w:val="32"/>
        </w:rPr>
        <w:t>%</w:t>
      </w:r>
      <w:r>
        <w:rPr>
          <w:rStyle w:val="19"/>
          <w:rFonts w:hint="eastAsia" w:ascii="仿宋" w:hAnsi="仿宋" w:eastAsia="仿宋"/>
          <w:b w:val="0"/>
          <w:bCs w:val="0"/>
          <w:color w:val="000000"/>
          <w:sz w:val="32"/>
          <w:szCs w:val="32"/>
        </w:rPr>
        <w:t>，</w:t>
      </w:r>
      <w:r>
        <w:rPr>
          <w:rFonts w:hint="eastAsia" w:ascii="仿宋_GB2312" w:eastAsia="仿宋_GB2312"/>
          <w:b w:val="0"/>
          <w:bCs w:val="0"/>
          <w:sz w:val="32"/>
          <w:szCs w:val="32"/>
        </w:rPr>
        <w:t>决算数与预算数持平</w:t>
      </w:r>
      <w:r>
        <w:rPr>
          <w:rStyle w:val="19"/>
          <w:rFonts w:hint="eastAsia" w:ascii="仿宋" w:hAnsi="仿宋" w:eastAsia="仿宋"/>
          <w:b w:val="0"/>
          <w:bCs w:val="0"/>
          <w:color w:val="000000"/>
          <w:sz w:val="32"/>
          <w:szCs w:val="32"/>
        </w:rPr>
        <w:t>。</w:t>
      </w:r>
    </w:p>
    <w:p>
      <w:pPr>
        <w:pageBreakBefore w:val="0"/>
        <w:kinsoku/>
        <w:wordWrap/>
        <w:overflowPunct/>
        <w:topLinePunct w:val="0"/>
        <w:bidi w:val="0"/>
        <w:spacing w:line="560" w:lineRule="exact"/>
        <w:ind w:firstLine="640" w:firstLineChars="200"/>
        <w:rPr>
          <w:rStyle w:val="19"/>
          <w:rFonts w:hint="eastAsia" w:ascii="仿宋" w:hAnsi="仿宋" w:eastAsia="仿宋"/>
          <w:b w:val="0"/>
          <w:bCs w:val="0"/>
          <w:color w:val="000000"/>
          <w:sz w:val="32"/>
          <w:szCs w:val="32"/>
        </w:rPr>
      </w:pPr>
      <w:r>
        <w:rPr>
          <w:rStyle w:val="19"/>
          <w:rFonts w:hint="eastAsia" w:ascii="仿宋" w:hAnsi="仿宋" w:eastAsia="仿宋"/>
          <w:b w:val="0"/>
          <w:bCs w:val="0"/>
          <w:color w:val="000000"/>
          <w:sz w:val="32"/>
          <w:szCs w:val="32"/>
          <w:lang w:val="en-US" w:eastAsia="zh-CN"/>
        </w:rPr>
        <w:t>11</w:t>
      </w:r>
      <w:r>
        <w:rPr>
          <w:rStyle w:val="19"/>
          <w:rFonts w:ascii="仿宋" w:hAnsi="仿宋" w:eastAsia="仿宋"/>
          <w:b w:val="0"/>
          <w:bCs w:val="0"/>
          <w:color w:val="000000"/>
          <w:sz w:val="32"/>
          <w:szCs w:val="32"/>
        </w:rPr>
        <w:t>.</w:t>
      </w:r>
      <w:r>
        <w:rPr>
          <w:rFonts w:hint="eastAsia" w:ascii="仿宋" w:hAnsi="仿宋" w:eastAsia="仿宋"/>
          <w:b w:val="0"/>
          <w:bCs w:val="0"/>
          <w:color w:val="000000"/>
          <w:sz w:val="32"/>
          <w:szCs w:val="32"/>
        </w:rPr>
        <w:t>住房保障支出</w:t>
      </w:r>
      <w:r>
        <w:rPr>
          <w:rStyle w:val="19"/>
          <w:rFonts w:hint="eastAsia" w:ascii="仿宋" w:hAnsi="仿宋" w:eastAsia="仿宋"/>
          <w:b w:val="0"/>
          <w:bCs w:val="0"/>
          <w:color w:val="000000"/>
          <w:sz w:val="32"/>
          <w:szCs w:val="32"/>
        </w:rPr>
        <w:t>（221）住房改革支出（02）住房公积金（01）</w:t>
      </w:r>
      <w:r>
        <w:rPr>
          <w:rStyle w:val="19"/>
          <w:rFonts w:ascii="仿宋" w:hAnsi="仿宋" w:eastAsia="仿宋"/>
          <w:b w:val="0"/>
          <w:bCs w:val="0"/>
          <w:color w:val="000000"/>
          <w:sz w:val="32"/>
          <w:szCs w:val="32"/>
        </w:rPr>
        <w:t>:</w:t>
      </w:r>
      <w:r>
        <w:rPr>
          <w:rStyle w:val="19"/>
          <w:rFonts w:hint="eastAsia" w:ascii="仿宋" w:hAnsi="仿宋" w:eastAsia="仿宋"/>
          <w:b w:val="0"/>
          <w:bCs w:val="0"/>
          <w:color w:val="000000"/>
          <w:sz w:val="32"/>
          <w:szCs w:val="32"/>
        </w:rPr>
        <w:t>支出决算为</w:t>
      </w:r>
      <w:r>
        <w:rPr>
          <w:rStyle w:val="19"/>
          <w:rFonts w:hint="eastAsia" w:ascii="仿宋" w:hAnsi="仿宋" w:eastAsia="仿宋"/>
          <w:b w:val="0"/>
          <w:bCs w:val="0"/>
          <w:color w:val="000000"/>
          <w:sz w:val="32"/>
          <w:szCs w:val="32"/>
          <w:lang w:val="en-US" w:eastAsia="zh-CN"/>
        </w:rPr>
        <w:t>77.46</w:t>
      </w:r>
      <w:r>
        <w:rPr>
          <w:rStyle w:val="19"/>
          <w:rFonts w:hint="eastAsia" w:ascii="仿宋" w:hAnsi="仿宋" w:eastAsia="仿宋"/>
          <w:b w:val="0"/>
          <w:bCs w:val="0"/>
          <w:color w:val="000000"/>
          <w:sz w:val="32"/>
          <w:szCs w:val="32"/>
        </w:rPr>
        <w:t>万元，完成预算100</w:t>
      </w:r>
      <w:r>
        <w:rPr>
          <w:rStyle w:val="19"/>
          <w:rFonts w:ascii="仿宋" w:hAnsi="仿宋" w:eastAsia="仿宋"/>
          <w:b w:val="0"/>
          <w:bCs w:val="0"/>
          <w:color w:val="000000"/>
          <w:sz w:val="32"/>
          <w:szCs w:val="32"/>
        </w:rPr>
        <w:t>%</w:t>
      </w:r>
      <w:r>
        <w:rPr>
          <w:rStyle w:val="19"/>
          <w:rFonts w:hint="eastAsia" w:ascii="仿宋" w:hAnsi="仿宋" w:eastAsia="仿宋"/>
          <w:b w:val="0"/>
          <w:bCs w:val="0"/>
          <w:color w:val="000000"/>
          <w:sz w:val="32"/>
          <w:szCs w:val="32"/>
        </w:rPr>
        <w:t>，</w:t>
      </w:r>
      <w:r>
        <w:rPr>
          <w:rFonts w:hint="eastAsia" w:ascii="仿宋_GB2312" w:eastAsia="仿宋_GB2312"/>
          <w:b w:val="0"/>
          <w:bCs w:val="0"/>
          <w:sz w:val="32"/>
          <w:szCs w:val="32"/>
        </w:rPr>
        <w:t>决算数与预算数持平</w:t>
      </w:r>
      <w:r>
        <w:rPr>
          <w:rStyle w:val="19"/>
          <w:rFonts w:hint="eastAsia" w:ascii="仿宋" w:hAnsi="仿宋" w:eastAsia="仿宋"/>
          <w:b w:val="0"/>
          <w:bCs w:val="0"/>
          <w:color w:val="000000"/>
          <w:sz w:val="32"/>
          <w:szCs w:val="32"/>
        </w:rPr>
        <w:t>。</w:t>
      </w:r>
    </w:p>
    <w:p>
      <w:pPr>
        <w:tabs>
          <w:tab w:val="right" w:pos="8306"/>
        </w:tabs>
        <w:spacing w:line="600" w:lineRule="exact"/>
        <w:ind w:firstLine="640"/>
        <w:outlineLvl w:val="1"/>
        <w:rPr>
          <w:rStyle w:val="31"/>
          <w:rFonts w:ascii="Times New Roman" w:hAnsi="Times New Roman"/>
          <w:color w:val="auto"/>
          <w:highlight w:val="none"/>
        </w:rPr>
      </w:pPr>
      <w:bookmarkStart w:id="61" w:name="_Toc23166"/>
      <w:r>
        <w:rPr>
          <w:rFonts w:hint="eastAsia" w:ascii="Times New Roman" w:hAnsi="Times New Roman" w:eastAsia="黑体"/>
          <w:color w:val="auto"/>
          <w:sz w:val="32"/>
          <w:szCs w:val="32"/>
          <w:highlight w:val="none"/>
        </w:rPr>
        <w:t>六</w:t>
      </w:r>
      <w:r>
        <w:rPr>
          <w:rFonts w:hint="eastAsia" w:ascii="Times New Roman" w:hAnsi="Times New Roman" w:eastAsia="黑体"/>
          <w:b/>
          <w:color w:val="auto"/>
          <w:sz w:val="32"/>
          <w:szCs w:val="32"/>
          <w:highlight w:val="none"/>
        </w:rPr>
        <w:t>、一</w:t>
      </w:r>
      <w:r>
        <w:rPr>
          <w:rStyle w:val="31"/>
          <w:rFonts w:hint="eastAsia" w:ascii="Times New Roman" w:hAnsi="Times New Roman" w:eastAsia="黑体"/>
          <w:b w:val="0"/>
          <w:color w:val="auto"/>
          <w:highlight w:val="none"/>
        </w:rPr>
        <w:t>般公共预算财政拨款基本支出决算情况说明</w:t>
      </w:r>
      <w:bookmarkEnd w:id="59"/>
      <w:bookmarkEnd w:id="60"/>
      <w:bookmarkEnd w:id="61"/>
      <w:r>
        <w:rPr>
          <w:rStyle w:val="31"/>
          <w:rFonts w:ascii="Times New Roman" w:hAnsi="Times New Roman" w:eastAsia="黑体"/>
          <w:b w:val="0"/>
          <w:color w:val="auto"/>
          <w:highlight w:val="none"/>
        </w:rPr>
        <w:tab/>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一般公共预算财政拨款基本支出</w:t>
      </w:r>
      <w:r>
        <w:rPr>
          <w:rFonts w:hint="eastAsia" w:eastAsia="仿宋_GB2312" w:cs="仿宋_GB2312"/>
          <w:color w:val="auto"/>
          <w:kern w:val="2"/>
          <w:sz w:val="32"/>
          <w:szCs w:val="32"/>
          <w:highlight w:val="none"/>
          <w:lang w:val="en-US" w:eastAsia="zh-CN" w:bidi="ar-SA"/>
        </w:rPr>
        <w:t>1088.21</w:t>
      </w:r>
      <w:r>
        <w:rPr>
          <w:rFonts w:hint="eastAsia" w:ascii="Times New Roman" w:hAnsi="Times New Roman" w:eastAsia="仿宋_GB2312" w:cs="仿宋_GB2312"/>
          <w:color w:val="auto"/>
          <w:kern w:val="2"/>
          <w:sz w:val="32"/>
          <w:szCs w:val="32"/>
          <w:highlight w:val="none"/>
          <w:lang w:val="en-US" w:eastAsia="zh-CN" w:bidi="ar-SA"/>
        </w:rPr>
        <w:t>万元，其中：</w:t>
      </w:r>
    </w:p>
    <w:p>
      <w:pPr>
        <w:spacing w:line="600" w:lineRule="exact"/>
        <w:ind w:firstLine="640"/>
        <w:rPr>
          <w:rFonts w:hint="eastAsia"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人员经费</w:t>
      </w:r>
      <w:r>
        <w:rPr>
          <w:rFonts w:hint="eastAsia" w:eastAsia="仿宋_GB2312" w:cs="仿宋_GB2312"/>
          <w:color w:val="auto"/>
          <w:kern w:val="2"/>
          <w:sz w:val="32"/>
          <w:szCs w:val="32"/>
          <w:highlight w:val="none"/>
          <w:lang w:val="en-US" w:eastAsia="zh-CN" w:bidi="ar-SA"/>
        </w:rPr>
        <w:t>1031.34</w:t>
      </w:r>
      <w:r>
        <w:rPr>
          <w:rFonts w:hint="eastAsia" w:ascii="Times New Roman" w:hAnsi="Times New Roman" w:eastAsia="仿宋_GB2312" w:cs="仿宋_GB2312"/>
          <w:color w:val="auto"/>
          <w:kern w:val="2"/>
          <w:sz w:val="32"/>
          <w:szCs w:val="32"/>
          <w:highlight w:val="none"/>
          <w:lang w:val="en-US" w:eastAsia="zh-CN" w:bidi="ar-SA"/>
        </w:rPr>
        <w:t>万元，主要包括：基本工资、津贴补贴、奖金、伙食补助费、绩效工资、机关事业单位基本养老保险缴费、职业年金缴费、其他社会保障缴费、其他工资福利支出、离休费、退休费、抚恤金、生活补助、医疗费补助、奖励金、住房公积金、其他对个人和家庭的补助支出等</w:t>
      </w:r>
      <w:r>
        <w:rPr>
          <w:rFonts w:hint="eastAsia" w:eastAsia="仿宋_GB2312" w:cs="仿宋_GB2312"/>
          <w:color w:val="auto"/>
          <w:kern w:val="2"/>
          <w:sz w:val="32"/>
          <w:szCs w:val="32"/>
          <w:highlight w:val="none"/>
          <w:lang w:val="en-US" w:eastAsia="zh-CN" w:bidi="ar-SA"/>
        </w:rPr>
        <w:t>。</w:t>
      </w:r>
    </w:p>
    <w:tbl>
      <w:tblPr>
        <w:tblStyle w:val="17"/>
        <w:tblW w:w="801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1"/>
        <w:gridCol w:w="1226"/>
        <w:gridCol w:w="3951"/>
        <w:gridCol w:w="211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47" w:type="dxa"/>
            <w:gridSpan w:val="2"/>
            <w:noWrap w:val="0"/>
            <w:vAlign w:val="top"/>
          </w:tcPr>
          <w:p>
            <w:pPr>
              <w:pageBreakBefore w:val="0"/>
              <w:kinsoku/>
              <w:wordWrap/>
              <w:overflowPunct/>
              <w:topLinePunct w:val="0"/>
              <w:bidi w:val="0"/>
              <w:spacing w:line="560" w:lineRule="exact"/>
              <w:jc w:val="center"/>
              <w:rPr>
                <w:rFonts w:ascii="仿宋" w:hAnsi="仿宋" w:eastAsia="仿宋"/>
                <w:color w:val="000000"/>
                <w:sz w:val="32"/>
                <w:szCs w:val="32"/>
              </w:rPr>
            </w:pPr>
            <w:r>
              <w:rPr>
                <w:rFonts w:hint="eastAsia" w:ascii="仿宋" w:hAnsi="仿宋" w:eastAsia="仿宋"/>
                <w:color w:val="000000"/>
                <w:sz w:val="32"/>
                <w:szCs w:val="32"/>
              </w:rPr>
              <w:t>经济分类科目编码</w:t>
            </w:r>
          </w:p>
        </w:tc>
        <w:tc>
          <w:tcPr>
            <w:tcW w:w="3951" w:type="dxa"/>
            <w:noWrap w:val="0"/>
            <w:vAlign w:val="top"/>
          </w:tcPr>
          <w:p>
            <w:pPr>
              <w:pageBreakBefore w:val="0"/>
              <w:kinsoku/>
              <w:wordWrap/>
              <w:overflowPunct/>
              <w:topLinePunct w:val="0"/>
              <w:bidi w:val="0"/>
              <w:spacing w:line="560" w:lineRule="exact"/>
              <w:jc w:val="center"/>
              <w:rPr>
                <w:rFonts w:ascii="仿宋" w:hAnsi="仿宋" w:eastAsia="仿宋"/>
                <w:color w:val="000000"/>
                <w:sz w:val="32"/>
                <w:szCs w:val="32"/>
              </w:rPr>
            </w:pPr>
            <w:r>
              <w:rPr>
                <w:rFonts w:hint="eastAsia" w:ascii="仿宋" w:hAnsi="仿宋" w:eastAsia="仿宋"/>
                <w:color w:val="000000"/>
                <w:sz w:val="32"/>
                <w:szCs w:val="32"/>
              </w:rPr>
              <w:t>科目名称</w:t>
            </w:r>
          </w:p>
        </w:tc>
        <w:tc>
          <w:tcPr>
            <w:tcW w:w="2113" w:type="dxa"/>
            <w:noWrap w:val="0"/>
            <w:vAlign w:val="top"/>
          </w:tcPr>
          <w:p>
            <w:pPr>
              <w:pageBreakBefore w:val="0"/>
              <w:kinsoku/>
              <w:wordWrap/>
              <w:overflowPunct/>
              <w:topLinePunct w:val="0"/>
              <w:bidi w:val="0"/>
              <w:spacing w:line="560" w:lineRule="exact"/>
              <w:jc w:val="center"/>
              <w:rPr>
                <w:rFonts w:ascii="仿宋" w:hAnsi="仿宋" w:eastAsia="仿宋"/>
                <w:color w:val="000000"/>
                <w:sz w:val="32"/>
                <w:szCs w:val="32"/>
              </w:rPr>
            </w:pPr>
            <w:r>
              <w:rPr>
                <w:rFonts w:hint="eastAsia" w:ascii="仿宋" w:hAnsi="仿宋" w:eastAsia="仿宋"/>
                <w:color w:val="000000"/>
                <w:sz w:val="32"/>
                <w:szCs w:val="32"/>
              </w:rPr>
              <w:t>支出数（万元）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1" w:type="dxa"/>
            <w:noWrap w:val="0"/>
            <w:vAlign w:val="top"/>
          </w:tcPr>
          <w:p>
            <w:pPr>
              <w:pageBreakBefore w:val="0"/>
              <w:kinsoku/>
              <w:wordWrap/>
              <w:overflowPunct/>
              <w:topLinePunct w:val="0"/>
              <w:bidi w:val="0"/>
              <w:spacing w:line="560" w:lineRule="exact"/>
              <w:jc w:val="center"/>
              <w:rPr>
                <w:rFonts w:ascii="仿宋" w:hAnsi="仿宋" w:eastAsia="仿宋"/>
                <w:color w:val="000000"/>
                <w:sz w:val="32"/>
                <w:szCs w:val="32"/>
              </w:rPr>
            </w:pPr>
            <w:r>
              <w:rPr>
                <w:rFonts w:hint="eastAsia" w:ascii="仿宋" w:hAnsi="仿宋" w:eastAsia="仿宋"/>
                <w:color w:val="000000"/>
                <w:sz w:val="32"/>
                <w:szCs w:val="32"/>
              </w:rPr>
              <w:t>类</w:t>
            </w:r>
          </w:p>
        </w:tc>
        <w:tc>
          <w:tcPr>
            <w:tcW w:w="1226" w:type="dxa"/>
            <w:noWrap w:val="0"/>
            <w:vAlign w:val="top"/>
          </w:tcPr>
          <w:p>
            <w:pPr>
              <w:pageBreakBefore w:val="0"/>
              <w:kinsoku/>
              <w:wordWrap/>
              <w:overflowPunct/>
              <w:topLinePunct w:val="0"/>
              <w:bidi w:val="0"/>
              <w:spacing w:line="560" w:lineRule="exact"/>
              <w:jc w:val="center"/>
              <w:rPr>
                <w:rFonts w:ascii="仿宋" w:hAnsi="仿宋" w:eastAsia="仿宋"/>
                <w:color w:val="000000"/>
                <w:sz w:val="32"/>
                <w:szCs w:val="32"/>
              </w:rPr>
            </w:pPr>
            <w:r>
              <w:rPr>
                <w:rFonts w:hint="eastAsia" w:ascii="仿宋" w:hAnsi="仿宋" w:eastAsia="仿宋"/>
                <w:color w:val="000000"/>
                <w:sz w:val="32"/>
                <w:szCs w:val="32"/>
              </w:rPr>
              <w:t>款</w:t>
            </w:r>
          </w:p>
        </w:tc>
        <w:tc>
          <w:tcPr>
            <w:tcW w:w="3951" w:type="dxa"/>
            <w:noWrap w:val="0"/>
            <w:vAlign w:val="top"/>
          </w:tcPr>
          <w:p>
            <w:pPr>
              <w:pageBreakBefore w:val="0"/>
              <w:kinsoku/>
              <w:wordWrap/>
              <w:overflowPunct/>
              <w:topLinePunct w:val="0"/>
              <w:bidi w:val="0"/>
              <w:spacing w:line="560" w:lineRule="exact"/>
              <w:jc w:val="center"/>
              <w:rPr>
                <w:rFonts w:ascii="仿宋" w:hAnsi="仿宋" w:eastAsia="仿宋"/>
                <w:color w:val="000000"/>
                <w:sz w:val="32"/>
                <w:szCs w:val="32"/>
              </w:rPr>
            </w:pPr>
          </w:p>
        </w:tc>
        <w:tc>
          <w:tcPr>
            <w:tcW w:w="2113" w:type="dxa"/>
            <w:noWrap w:val="0"/>
            <w:vAlign w:val="top"/>
          </w:tcPr>
          <w:p>
            <w:pPr>
              <w:pageBreakBefore w:val="0"/>
              <w:kinsoku/>
              <w:wordWrap/>
              <w:overflowPunct/>
              <w:topLinePunct w:val="0"/>
              <w:bidi w:val="0"/>
              <w:spacing w:line="560" w:lineRule="exact"/>
              <w:jc w:val="center"/>
              <w:rPr>
                <w:rFonts w:ascii="仿宋" w:hAnsi="仿宋" w:eastAsia="仿宋"/>
                <w:color w:val="000000"/>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1" w:type="dxa"/>
            <w:noWrap w:val="0"/>
            <w:vAlign w:val="top"/>
          </w:tcPr>
          <w:p>
            <w:pPr>
              <w:pageBreakBefore w:val="0"/>
              <w:kinsoku/>
              <w:wordWrap/>
              <w:overflowPunct/>
              <w:topLinePunct w:val="0"/>
              <w:bidi w:val="0"/>
              <w:spacing w:line="560" w:lineRule="exact"/>
              <w:jc w:val="center"/>
              <w:rPr>
                <w:rFonts w:ascii="仿宋" w:hAnsi="仿宋" w:eastAsia="仿宋"/>
                <w:color w:val="000000"/>
                <w:sz w:val="32"/>
                <w:szCs w:val="32"/>
              </w:rPr>
            </w:pPr>
            <w:r>
              <w:rPr>
                <w:rFonts w:hint="eastAsia" w:ascii="仿宋" w:hAnsi="仿宋" w:eastAsia="仿宋"/>
                <w:color w:val="000000"/>
                <w:sz w:val="32"/>
                <w:szCs w:val="32"/>
              </w:rPr>
              <w:t>301</w:t>
            </w:r>
          </w:p>
        </w:tc>
        <w:tc>
          <w:tcPr>
            <w:tcW w:w="1226" w:type="dxa"/>
            <w:noWrap w:val="0"/>
            <w:vAlign w:val="top"/>
          </w:tcPr>
          <w:p>
            <w:pPr>
              <w:pageBreakBefore w:val="0"/>
              <w:kinsoku/>
              <w:wordWrap/>
              <w:overflowPunct/>
              <w:topLinePunct w:val="0"/>
              <w:bidi w:val="0"/>
              <w:spacing w:line="560" w:lineRule="exact"/>
              <w:jc w:val="center"/>
              <w:rPr>
                <w:rFonts w:ascii="仿宋" w:hAnsi="仿宋" w:eastAsia="仿宋"/>
                <w:color w:val="000000"/>
                <w:sz w:val="32"/>
                <w:szCs w:val="32"/>
              </w:rPr>
            </w:pPr>
            <w:r>
              <w:rPr>
                <w:rFonts w:hint="eastAsia" w:ascii="仿宋" w:hAnsi="仿宋" w:eastAsia="仿宋"/>
                <w:color w:val="000000"/>
                <w:sz w:val="32"/>
                <w:szCs w:val="32"/>
              </w:rPr>
              <w:t>01</w:t>
            </w:r>
          </w:p>
        </w:tc>
        <w:tc>
          <w:tcPr>
            <w:tcW w:w="3951" w:type="dxa"/>
            <w:noWrap w:val="0"/>
            <w:vAlign w:val="top"/>
          </w:tcPr>
          <w:p>
            <w:pPr>
              <w:pageBreakBefore w:val="0"/>
              <w:kinsoku/>
              <w:wordWrap/>
              <w:overflowPunct/>
              <w:topLinePunct w:val="0"/>
              <w:bidi w:val="0"/>
              <w:spacing w:line="560" w:lineRule="exact"/>
              <w:jc w:val="center"/>
              <w:rPr>
                <w:rFonts w:ascii="仿宋" w:hAnsi="仿宋" w:eastAsia="仿宋"/>
                <w:color w:val="000000"/>
                <w:sz w:val="32"/>
                <w:szCs w:val="32"/>
              </w:rPr>
            </w:pPr>
            <w:r>
              <w:rPr>
                <w:rFonts w:hint="eastAsia" w:ascii="仿宋" w:hAnsi="仿宋" w:eastAsia="仿宋"/>
                <w:color w:val="000000"/>
                <w:sz w:val="32"/>
                <w:szCs w:val="32"/>
              </w:rPr>
              <w:t>基本工资</w:t>
            </w:r>
          </w:p>
        </w:tc>
        <w:tc>
          <w:tcPr>
            <w:tcW w:w="2113" w:type="dxa"/>
            <w:noWrap w:val="0"/>
            <w:vAlign w:val="top"/>
          </w:tcPr>
          <w:p>
            <w:pPr>
              <w:pageBreakBefore w:val="0"/>
              <w:kinsoku/>
              <w:wordWrap/>
              <w:overflowPunct/>
              <w:topLinePunct w:val="0"/>
              <w:bidi w:val="0"/>
              <w:spacing w:line="560" w:lineRule="exact"/>
              <w:jc w:val="center"/>
              <w:rPr>
                <w:rFonts w:hint="default" w:ascii="仿宋" w:hAnsi="仿宋" w:eastAsia="仿宋"/>
                <w:color w:val="000000"/>
                <w:sz w:val="32"/>
                <w:szCs w:val="32"/>
                <w:lang w:val="en-US" w:eastAsia="zh-CN"/>
              </w:rPr>
            </w:pPr>
            <w:r>
              <w:rPr>
                <w:rFonts w:hint="eastAsia" w:ascii="仿宋" w:hAnsi="仿宋" w:eastAsia="仿宋"/>
                <w:color w:val="000000"/>
                <w:sz w:val="32"/>
                <w:szCs w:val="32"/>
                <w:lang w:val="en-US" w:eastAsia="zh-CN"/>
              </w:rPr>
              <w:t>191.75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1" w:type="dxa"/>
            <w:noWrap w:val="0"/>
            <w:vAlign w:val="top"/>
          </w:tcPr>
          <w:p>
            <w:pPr>
              <w:pageBreakBefore w:val="0"/>
              <w:kinsoku/>
              <w:wordWrap/>
              <w:overflowPunct/>
              <w:topLinePunct w:val="0"/>
              <w:bidi w:val="0"/>
              <w:spacing w:line="560" w:lineRule="exact"/>
              <w:jc w:val="center"/>
              <w:rPr>
                <w:rFonts w:ascii="仿宋" w:hAnsi="仿宋" w:eastAsia="仿宋"/>
                <w:color w:val="000000"/>
                <w:sz w:val="32"/>
                <w:szCs w:val="32"/>
              </w:rPr>
            </w:pPr>
            <w:r>
              <w:rPr>
                <w:rFonts w:hint="eastAsia" w:ascii="仿宋" w:hAnsi="仿宋" w:eastAsia="仿宋"/>
                <w:color w:val="000000"/>
                <w:sz w:val="32"/>
                <w:szCs w:val="32"/>
              </w:rPr>
              <w:t>301</w:t>
            </w:r>
          </w:p>
        </w:tc>
        <w:tc>
          <w:tcPr>
            <w:tcW w:w="1226" w:type="dxa"/>
            <w:noWrap w:val="0"/>
            <w:vAlign w:val="top"/>
          </w:tcPr>
          <w:p>
            <w:pPr>
              <w:pageBreakBefore w:val="0"/>
              <w:kinsoku/>
              <w:wordWrap/>
              <w:overflowPunct/>
              <w:topLinePunct w:val="0"/>
              <w:bidi w:val="0"/>
              <w:spacing w:line="560" w:lineRule="exact"/>
              <w:jc w:val="center"/>
              <w:rPr>
                <w:rFonts w:ascii="仿宋" w:hAnsi="仿宋" w:eastAsia="仿宋"/>
                <w:color w:val="000000"/>
                <w:sz w:val="32"/>
                <w:szCs w:val="32"/>
              </w:rPr>
            </w:pPr>
            <w:r>
              <w:rPr>
                <w:rFonts w:hint="eastAsia" w:ascii="仿宋" w:hAnsi="仿宋" w:eastAsia="仿宋"/>
                <w:color w:val="000000"/>
                <w:sz w:val="32"/>
                <w:szCs w:val="32"/>
              </w:rPr>
              <w:t>02</w:t>
            </w:r>
          </w:p>
        </w:tc>
        <w:tc>
          <w:tcPr>
            <w:tcW w:w="3951" w:type="dxa"/>
            <w:noWrap w:val="0"/>
            <w:vAlign w:val="top"/>
          </w:tcPr>
          <w:p>
            <w:pPr>
              <w:pageBreakBefore w:val="0"/>
              <w:kinsoku/>
              <w:wordWrap/>
              <w:overflowPunct/>
              <w:topLinePunct w:val="0"/>
              <w:bidi w:val="0"/>
              <w:spacing w:line="560" w:lineRule="exact"/>
              <w:jc w:val="center"/>
              <w:rPr>
                <w:rFonts w:ascii="仿宋" w:hAnsi="仿宋" w:eastAsia="仿宋"/>
                <w:color w:val="000000"/>
                <w:sz w:val="32"/>
                <w:szCs w:val="32"/>
              </w:rPr>
            </w:pPr>
            <w:r>
              <w:rPr>
                <w:rFonts w:hint="eastAsia" w:ascii="仿宋" w:hAnsi="仿宋" w:eastAsia="仿宋"/>
                <w:color w:val="000000"/>
                <w:sz w:val="32"/>
                <w:szCs w:val="32"/>
              </w:rPr>
              <w:t>津贴补贴</w:t>
            </w:r>
          </w:p>
        </w:tc>
        <w:tc>
          <w:tcPr>
            <w:tcW w:w="2113" w:type="dxa"/>
            <w:noWrap w:val="0"/>
            <w:vAlign w:val="top"/>
          </w:tcPr>
          <w:p>
            <w:pPr>
              <w:pageBreakBefore w:val="0"/>
              <w:kinsoku/>
              <w:wordWrap/>
              <w:overflowPunct/>
              <w:topLinePunct w:val="0"/>
              <w:bidi w:val="0"/>
              <w:spacing w:line="560" w:lineRule="exact"/>
              <w:jc w:val="center"/>
              <w:rPr>
                <w:rFonts w:hint="default" w:ascii="仿宋" w:hAnsi="仿宋" w:eastAsia="仿宋"/>
                <w:color w:val="000000"/>
                <w:sz w:val="32"/>
                <w:szCs w:val="32"/>
                <w:lang w:val="en-US" w:eastAsia="zh-CN"/>
              </w:rPr>
            </w:pPr>
            <w:r>
              <w:rPr>
                <w:rFonts w:hint="eastAsia" w:ascii="仿宋" w:hAnsi="仿宋" w:eastAsia="仿宋"/>
                <w:color w:val="000000"/>
                <w:sz w:val="32"/>
                <w:szCs w:val="32"/>
                <w:lang w:val="en-US" w:eastAsia="zh-CN"/>
              </w:rPr>
              <w:t>150.30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1" w:type="dxa"/>
            <w:noWrap w:val="0"/>
            <w:vAlign w:val="top"/>
          </w:tcPr>
          <w:p>
            <w:pPr>
              <w:pageBreakBefore w:val="0"/>
              <w:kinsoku/>
              <w:wordWrap/>
              <w:overflowPunct/>
              <w:topLinePunct w:val="0"/>
              <w:bidi w:val="0"/>
              <w:spacing w:line="560" w:lineRule="exact"/>
              <w:jc w:val="center"/>
              <w:rPr>
                <w:rFonts w:hint="default" w:ascii="仿宋" w:hAnsi="仿宋" w:eastAsia="仿宋"/>
                <w:color w:val="000000"/>
                <w:sz w:val="32"/>
                <w:szCs w:val="32"/>
                <w:lang w:val="en-US" w:eastAsia="zh-CN"/>
              </w:rPr>
            </w:pPr>
            <w:r>
              <w:rPr>
                <w:rFonts w:hint="eastAsia" w:ascii="仿宋" w:hAnsi="仿宋" w:eastAsia="仿宋"/>
                <w:color w:val="000000"/>
                <w:sz w:val="32"/>
                <w:szCs w:val="32"/>
                <w:lang w:val="en-US" w:eastAsia="zh-CN"/>
              </w:rPr>
              <w:t>301</w:t>
            </w:r>
          </w:p>
        </w:tc>
        <w:tc>
          <w:tcPr>
            <w:tcW w:w="1226" w:type="dxa"/>
            <w:noWrap w:val="0"/>
            <w:vAlign w:val="top"/>
          </w:tcPr>
          <w:p>
            <w:pPr>
              <w:pageBreakBefore w:val="0"/>
              <w:kinsoku/>
              <w:wordWrap/>
              <w:overflowPunct/>
              <w:topLinePunct w:val="0"/>
              <w:bidi w:val="0"/>
              <w:spacing w:line="560" w:lineRule="exact"/>
              <w:jc w:val="center"/>
              <w:rPr>
                <w:rFonts w:hint="default" w:ascii="仿宋" w:hAnsi="仿宋" w:eastAsia="仿宋"/>
                <w:color w:val="000000"/>
                <w:sz w:val="32"/>
                <w:szCs w:val="32"/>
                <w:lang w:val="en-US" w:eastAsia="zh-CN"/>
              </w:rPr>
            </w:pPr>
            <w:r>
              <w:rPr>
                <w:rFonts w:hint="eastAsia" w:ascii="仿宋" w:hAnsi="仿宋" w:eastAsia="仿宋"/>
                <w:color w:val="000000"/>
                <w:sz w:val="32"/>
                <w:szCs w:val="32"/>
                <w:lang w:val="en-US" w:eastAsia="zh-CN"/>
              </w:rPr>
              <w:t>03</w:t>
            </w:r>
          </w:p>
        </w:tc>
        <w:tc>
          <w:tcPr>
            <w:tcW w:w="3951" w:type="dxa"/>
            <w:noWrap w:val="0"/>
            <w:vAlign w:val="top"/>
          </w:tcPr>
          <w:p>
            <w:pPr>
              <w:pageBreakBefore w:val="0"/>
              <w:kinsoku/>
              <w:wordWrap/>
              <w:overflowPunct/>
              <w:topLinePunct w:val="0"/>
              <w:bidi w:val="0"/>
              <w:spacing w:line="560" w:lineRule="exact"/>
              <w:jc w:val="center"/>
              <w:rPr>
                <w:rFonts w:hint="eastAsia" w:ascii="仿宋" w:hAnsi="仿宋" w:eastAsia="仿宋"/>
                <w:color w:val="000000"/>
                <w:sz w:val="32"/>
                <w:szCs w:val="32"/>
                <w:lang w:eastAsia="zh-CN"/>
              </w:rPr>
            </w:pPr>
            <w:r>
              <w:rPr>
                <w:rFonts w:hint="eastAsia" w:ascii="仿宋" w:hAnsi="仿宋" w:eastAsia="仿宋"/>
                <w:color w:val="000000"/>
                <w:sz w:val="32"/>
                <w:szCs w:val="32"/>
                <w:lang w:eastAsia="zh-CN"/>
              </w:rPr>
              <w:t>奖金</w:t>
            </w:r>
          </w:p>
        </w:tc>
        <w:tc>
          <w:tcPr>
            <w:tcW w:w="2113" w:type="dxa"/>
            <w:noWrap w:val="0"/>
            <w:vAlign w:val="top"/>
          </w:tcPr>
          <w:p>
            <w:pPr>
              <w:pageBreakBefore w:val="0"/>
              <w:kinsoku/>
              <w:wordWrap/>
              <w:overflowPunct/>
              <w:topLinePunct w:val="0"/>
              <w:bidi w:val="0"/>
              <w:spacing w:line="560" w:lineRule="exact"/>
              <w:jc w:val="center"/>
              <w:rPr>
                <w:rFonts w:hint="default" w:ascii="仿宋" w:hAnsi="仿宋" w:eastAsia="仿宋"/>
                <w:color w:val="000000"/>
                <w:sz w:val="32"/>
                <w:szCs w:val="32"/>
                <w:lang w:val="en-US" w:eastAsia="zh-CN"/>
              </w:rPr>
            </w:pPr>
            <w:r>
              <w:rPr>
                <w:rFonts w:hint="eastAsia" w:ascii="仿宋" w:hAnsi="仿宋" w:eastAsia="仿宋"/>
                <w:color w:val="000000"/>
                <w:sz w:val="32"/>
                <w:szCs w:val="32"/>
                <w:lang w:val="en-US" w:eastAsia="zh-CN"/>
              </w:rPr>
              <w:t>214.38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1" w:type="dxa"/>
            <w:noWrap w:val="0"/>
            <w:vAlign w:val="top"/>
          </w:tcPr>
          <w:p>
            <w:pPr>
              <w:pageBreakBefore w:val="0"/>
              <w:kinsoku/>
              <w:wordWrap/>
              <w:overflowPunct/>
              <w:topLinePunct w:val="0"/>
              <w:bidi w:val="0"/>
              <w:spacing w:line="560" w:lineRule="exact"/>
              <w:jc w:val="center"/>
              <w:rPr>
                <w:rFonts w:ascii="仿宋" w:hAnsi="仿宋" w:eastAsia="仿宋"/>
                <w:color w:val="000000"/>
                <w:sz w:val="32"/>
                <w:szCs w:val="32"/>
              </w:rPr>
            </w:pPr>
            <w:r>
              <w:rPr>
                <w:rFonts w:hint="eastAsia" w:ascii="仿宋" w:hAnsi="仿宋" w:eastAsia="仿宋"/>
                <w:color w:val="000000"/>
                <w:sz w:val="32"/>
                <w:szCs w:val="32"/>
              </w:rPr>
              <w:t>301</w:t>
            </w:r>
          </w:p>
        </w:tc>
        <w:tc>
          <w:tcPr>
            <w:tcW w:w="1226" w:type="dxa"/>
            <w:noWrap w:val="0"/>
            <w:vAlign w:val="top"/>
          </w:tcPr>
          <w:p>
            <w:pPr>
              <w:pageBreakBefore w:val="0"/>
              <w:kinsoku/>
              <w:wordWrap/>
              <w:overflowPunct/>
              <w:topLinePunct w:val="0"/>
              <w:bidi w:val="0"/>
              <w:spacing w:line="560" w:lineRule="exact"/>
              <w:jc w:val="center"/>
              <w:rPr>
                <w:rFonts w:ascii="仿宋" w:hAnsi="仿宋" w:eastAsia="仿宋"/>
                <w:color w:val="000000"/>
                <w:sz w:val="32"/>
                <w:szCs w:val="32"/>
              </w:rPr>
            </w:pPr>
            <w:r>
              <w:rPr>
                <w:rFonts w:hint="eastAsia" w:ascii="仿宋" w:hAnsi="仿宋" w:eastAsia="仿宋"/>
                <w:color w:val="000000"/>
                <w:sz w:val="32"/>
                <w:szCs w:val="32"/>
              </w:rPr>
              <w:t>07</w:t>
            </w:r>
          </w:p>
        </w:tc>
        <w:tc>
          <w:tcPr>
            <w:tcW w:w="3951" w:type="dxa"/>
            <w:noWrap w:val="0"/>
            <w:vAlign w:val="top"/>
          </w:tcPr>
          <w:p>
            <w:pPr>
              <w:pageBreakBefore w:val="0"/>
              <w:kinsoku/>
              <w:wordWrap/>
              <w:overflowPunct/>
              <w:topLinePunct w:val="0"/>
              <w:bidi w:val="0"/>
              <w:spacing w:line="560" w:lineRule="exact"/>
              <w:jc w:val="center"/>
              <w:rPr>
                <w:rFonts w:ascii="仿宋" w:hAnsi="仿宋" w:eastAsia="仿宋"/>
                <w:color w:val="000000"/>
                <w:sz w:val="32"/>
                <w:szCs w:val="32"/>
              </w:rPr>
            </w:pPr>
            <w:r>
              <w:rPr>
                <w:rFonts w:hint="eastAsia" w:ascii="仿宋" w:hAnsi="仿宋" w:eastAsia="仿宋"/>
                <w:color w:val="000000"/>
                <w:sz w:val="32"/>
                <w:szCs w:val="32"/>
              </w:rPr>
              <w:t>绩效工资</w:t>
            </w:r>
          </w:p>
        </w:tc>
        <w:tc>
          <w:tcPr>
            <w:tcW w:w="2113" w:type="dxa"/>
            <w:noWrap w:val="0"/>
            <w:vAlign w:val="top"/>
          </w:tcPr>
          <w:p>
            <w:pPr>
              <w:pageBreakBefore w:val="0"/>
              <w:kinsoku/>
              <w:wordWrap/>
              <w:overflowPunct/>
              <w:topLinePunct w:val="0"/>
              <w:bidi w:val="0"/>
              <w:spacing w:line="560" w:lineRule="exact"/>
              <w:jc w:val="center"/>
              <w:rPr>
                <w:rFonts w:hint="default" w:ascii="仿宋" w:hAnsi="仿宋" w:eastAsia="仿宋"/>
                <w:color w:val="000000"/>
                <w:sz w:val="32"/>
                <w:szCs w:val="32"/>
                <w:lang w:val="en-US" w:eastAsia="zh-CN"/>
              </w:rPr>
            </w:pPr>
            <w:r>
              <w:rPr>
                <w:rFonts w:hint="eastAsia" w:ascii="仿宋" w:hAnsi="仿宋" w:eastAsia="仿宋"/>
                <w:color w:val="000000"/>
                <w:sz w:val="32"/>
                <w:szCs w:val="32"/>
                <w:lang w:val="en-US" w:eastAsia="zh-CN"/>
              </w:rPr>
              <w:t>130.72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7" w:hRule="atLeast"/>
        </w:trPr>
        <w:tc>
          <w:tcPr>
            <w:tcW w:w="721" w:type="dxa"/>
            <w:noWrap w:val="0"/>
            <w:vAlign w:val="top"/>
          </w:tcPr>
          <w:p>
            <w:pPr>
              <w:pageBreakBefore w:val="0"/>
              <w:kinsoku/>
              <w:wordWrap/>
              <w:overflowPunct/>
              <w:topLinePunct w:val="0"/>
              <w:bidi w:val="0"/>
              <w:spacing w:line="560" w:lineRule="exact"/>
              <w:jc w:val="center"/>
              <w:rPr>
                <w:rFonts w:ascii="仿宋" w:hAnsi="仿宋" w:eastAsia="仿宋"/>
                <w:color w:val="000000"/>
                <w:sz w:val="32"/>
                <w:szCs w:val="32"/>
              </w:rPr>
            </w:pPr>
            <w:r>
              <w:rPr>
                <w:rFonts w:hint="eastAsia" w:ascii="仿宋" w:hAnsi="仿宋" w:eastAsia="仿宋"/>
                <w:color w:val="000000"/>
                <w:sz w:val="32"/>
                <w:szCs w:val="32"/>
              </w:rPr>
              <w:t>301</w:t>
            </w:r>
          </w:p>
        </w:tc>
        <w:tc>
          <w:tcPr>
            <w:tcW w:w="1226" w:type="dxa"/>
            <w:noWrap w:val="0"/>
            <w:vAlign w:val="top"/>
          </w:tcPr>
          <w:p>
            <w:pPr>
              <w:pageBreakBefore w:val="0"/>
              <w:kinsoku/>
              <w:wordWrap/>
              <w:overflowPunct/>
              <w:topLinePunct w:val="0"/>
              <w:bidi w:val="0"/>
              <w:spacing w:line="560" w:lineRule="exact"/>
              <w:jc w:val="center"/>
              <w:rPr>
                <w:rFonts w:ascii="仿宋" w:hAnsi="仿宋" w:eastAsia="仿宋"/>
                <w:color w:val="000000"/>
                <w:sz w:val="32"/>
                <w:szCs w:val="32"/>
              </w:rPr>
            </w:pPr>
            <w:r>
              <w:rPr>
                <w:rFonts w:hint="eastAsia" w:ascii="仿宋" w:hAnsi="仿宋" w:eastAsia="仿宋"/>
                <w:color w:val="000000"/>
                <w:sz w:val="32"/>
                <w:szCs w:val="32"/>
              </w:rPr>
              <w:t>08</w:t>
            </w:r>
          </w:p>
        </w:tc>
        <w:tc>
          <w:tcPr>
            <w:tcW w:w="3951" w:type="dxa"/>
            <w:noWrap w:val="0"/>
            <w:vAlign w:val="top"/>
          </w:tcPr>
          <w:p>
            <w:pPr>
              <w:pageBreakBefore w:val="0"/>
              <w:kinsoku/>
              <w:wordWrap/>
              <w:overflowPunct/>
              <w:topLinePunct w:val="0"/>
              <w:bidi w:val="0"/>
              <w:spacing w:line="560" w:lineRule="exact"/>
              <w:jc w:val="center"/>
              <w:rPr>
                <w:rFonts w:ascii="仿宋" w:hAnsi="仿宋" w:eastAsia="仿宋"/>
                <w:color w:val="000000"/>
                <w:sz w:val="32"/>
                <w:szCs w:val="32"/>
              </w:rPr>
            </w:pPr>
            <w:r>
              <w:rPr>
                <w:rFonts w:hint="eastAsia" w:ascii="仿宋" w:hAnsi="仿宋" w:eastAsia="仿宋"/>
                <w:color w:val="000000"/>
                <w:sz w:val="32"/>
                <w:szCs w:val="32"/>
              </w:rPr>
              <w:t>机关事业单位基本养老保险缴费</w:t>
            </w:r>
          </w:p>
        </w:tc>
        <w:tc>
          <w:tcPr>
            <w:tcW w:w="2113" w:type="dxa"/>
            <w:noWrap w:val="0"/>
            <w:vAlign w:val="top"/>
          </w:tcPr>
          <w:p>
            <w:pPr>
              <w:pageBreakBefore w:val="0"/>
              <w:kinsoku/>
              <w:wordWrap/>
              <w:overflowPunct/>
              <w:topLinePunct w:val="0"/>
              <w:bidi w:val="0"/>
              <w:spacing w:line="560" w:lineRule="exact"/>
              <w:jc w:val="center"/>
              <w:rPr>
                <w:rFonts w:hint="default" w:ascii="仿宋" w:hAnsi="仿宋" w:eastAsia="仿宋"/>
                <w:color w:val="000000"/>
                <w:sz w:val="32"/>
                <w:szCs w:val="32"/>
                <w:lang w:val="en-US" w:eastAsia="zh-CN"/>
              </w:rPr>
            </w:pPr>
            <w:r>
              <w:rPr>
                <w:rFonts w:hint="eastAsia" w:ascii="仿宋" w:hAnsi="仿宋" w:eastAsia="仿宋"/>
                <w:color w:val="000000"/>
                <w:sz w:val="32"/>
                <w:szCs w:val="32"/>
                <w:lang w:val="en-US" w:eastAsia="zh-CN"/>
              </w:rPr>
              <w:t>109.07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1" w:type="dxa"/>
            <w:noWrap w:val="0"/>
            <w:vAlign w:val="top"/>
          </w:tcPr>
          <w:p>
            <w:pPr>
              <w:pageBreakBefore w:val="0"/>
              <w:kinsoku/>
              <w:wordWrap/>
              <w:overflowPunct/>
              <w:topLinePunct w:val="0"/>
              <w:bidi w:val="0"/>
              <w:spacing w:line="560" w:lineRule="exact"/>
              <w:jc w:val="center"/>
              <w:rPr>
                <w:rFonts w:ascii="仿宋" w:hAnsi="仿宋" w:eastAsia="仿宋"/>
                <w:color w:val="000000"/>
                <w:sz w:val="32"/>
                <w:szCs w:val="32"/>
              </w:rPr>
            </w:pPr>
            <w:r>
              <w:rPr>
                <w:rFonts w:hint="eastAsia" w:ascii="仿宋" w:hAnsi="仿宋" w:eastAsia="仿宋"/>
                <w:color w:val="000000"/>
                <w:sz w:val="32"/>
                <w:szCs w:val="32"/>
              </w:rPr>
              <w:t>301</w:t>
            </w:r>
          </w:p>
        </w:tc>
        <w:tc>
          <w:tcPr>
            <w:tcW w:w="1226" w:type="dxa"/>
            <w:noWrap w:val="0"/>
            <w:vAlign w:val="top"/>
          </w:tcPr>
          <w:p>
            <w:pPr>
              <w:pageBreakBefore w:val="0"/>
              <w:kinsoku/>
              <w:wordWrap/>
              <w:overflowPunct/>
              <w:topLinePunct w:val="0"/>
              <w:bidi w:val="0"/>
              <w:spacing w:line="560" w:lineRule="exact"/>
              <w:jc w:val="center"/>
              <w:rPr>
                <w:rFonts w:ascii="仿宋" w:hAnsi="仿宋" w:eastAsia="仿宋"/>
                <w:color w:val="000000"/>
                <w:sz w:val="32"/>
                <w:szCs w:val="32"/>
              </w:rPr>
            </w:pPr>
            <w:r>
              <w:rPr>
                <w:rFonts w:hint="eastAsia" w:ascii="仿宋" w:hAnsi="仿宋" w:eastAsia="仿宋"/>
                <w:color w:val="000000"/>
                <w:sz w:val="32"/>
                <w:szCs w:val="32"/>
              </w:rPr>
              <w:t>09</w:t>
            </w:r>
          </w:p>
        </w:tc>
        <w:tc>
          <w:tcPr>
            <w:tcW w:w="3951" w:type="dxa"/>
            <w:noWrap w:val="0"/>
            <w:vAlign w:val="top"/>
          </w:tcPr>
          <w:p>
            <w:pPr>
              <w:pageBreakBefore w:val="0"/>
              <w:kinsoku/>
              <w:wordWrap/>
              <w:overflowPunct/>
              <w:topLinePunct w:val="0"/>
              <w:bidi w:val="0"/>
              <w:spacing w:line="560" w:lineRule="exact"/>
              <w:jc w:val="center"/>
              <w:rPr>
                <w:rFonts w:ascii="仿宋" w:hAnsi="仿宋" w:eastAsia="仿宋"/>
                <w:color w:val="000000"/>
                <w:sz w:val="32"/>
                <w:szCs w:val="32"/>
              </w:rPr>
            </w:pPr>
            <w:r>
              <w:rPr>
                <w:rFonts w:hint="eastAsia" w:ascii="仿宋" w:hAnsi="仿宋" w:eastAsia="仿宋"/>
                <w:color w:val="000000"/>
                <w:sz w:val="32"/>
                <w:szCs w:val="32"/>
              </w:rPr>
              <w:t>职业年金缴费</w:t>
            </w:r>
          </w:p>
        </w:tc>
        <w:tc>
          <w:tcPr>
            <w:tcW w:w="2113" w:type="dxa"/>
            <w:noWrap w:val="0"/>
            <w:vAlign w:val="top"/>
          </w:tcPr>
          <w:p>
            <w:pPr>
              <w:pageBreakBefore w:val="0"/>
              <w:kinsoku/>
              <w:wordWrap/>
              <w:overflowPunct/>
              <w:topLinePunct w:val="0"/>
              <w:bidi w:val="0"/>
              <w:spacing w:line="560" w:lineRule="exact"/>
              <w:jc w:val="center"/>
              <w:rPr>
                <w:rFonts w:hint="default" w:ascii="仿宋" w:hAnsi="仿宋" w:eastAsia="仿宋"/>
                <w:color w:val="000000"/>
                <w:sz w:val="32"/>
                <w:szCs w:val="32"/>
                <w:lang w:val="en-US" w:eastAsia="zh-CN"/>
              </w:rPr>
            </w:pPr>
            <w:r>
              <w:rPr>
                <w:rFonts w:hint="eastAsia" w:ascii="仿宋" w:hAnsi="仿宋" w:eastAsia="仿宋"/>
                <w:color w:val="000000"/>
                <w:sz w:val="32"/>
                <w:szCs w:val="32"/>
                <w:lang w:val="en-US" w:eastAsia="zh-CN"/>
              </w:rPr>
              <w:t>54.54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trPr>
        <w:tc>
          <w:tcPr>
            <w:tcW w:w="721" w:type="dxa"/>
            <w:noWrap w:val="0"/>
            <w:vAlign w:val="top"/>
          </w:tcPr>
          <w:p>
            <w:pPr>
              <w:pageBreakBefore w:val="0"/>
              <w:kinsoku/>
              <w:wordWrap/>
              <w:overflowPunct/>
              <w:topLinePunct w:val="0"/>
              <w:bidi w:val="0"/>
              <w:spacing w:line="560" w:lineRule="exact"/>
              <w:jc w:val="center"/>
              <w:rPr>
                <w:rFonts w:ascii="仿宋" w:hAnsi="仿宋" w:eastAsia="仿宋"/>
                <w:color w:val="000000"/>
                <w:sz w:val="32"/>
                <w:szCs w:val="32"/>
              </w:rPr>
            </w:pPr>
            <w:r>
              <w:rPr>
                <w:rFonts w:hint="eastAsia" w:ascii="仿宋" w:hAnsi="仿宋" w:eastAsia="仿宋"/>
                <w:color w:val="000000"/>
                <w:sz w:val="32"/>
                <w:szCs w:val="32"/>
              </w:rPr>
              <w:t>301</w:t>
            </w:r>
          </w:p>
        </w:tc>
        <w:tc>
          <w:tcPr>
            <w:tcW w:w="1226" w:type="dxa"/>
            <w:noWrap w:val="0"/>
            <w:vAlign w:val="top"/>
          </w:tcPr>
          <w:p>
            <w:pPr>
              <w:pageBreakBefore w:val="0"/>
              <w:kinsoku/>
              <w:wordWrap/>
              <w:overflowPunct/>
              <w:topLinePunct w:val="0"/>
              <w:bidi w:val="0"/>
              <w:spacing w:line="560" w:lineRule="exact"/>
              <w:jc w:val="center"/>
              <w:rPr>
                <w:rFonts w:ascii="仿宋" w:hAnsi="仿宋" w:eastAsia="仿宋"/>
                <w:color w:val="000000"/>
                <w:sz w:val="32"/>
                <w:szCs w:val="32"/>
              </w:rPr>
            </w:pPr>
            <w:r>
              <w:rPr>
                <w:rFonts w:hint="eastAsia" w:ascii="仿宋" w:hAnsi="仿宋" w:eastAsia="仿宋"/>
                <w:color w:val="000000"/>
                <w:sz w:val="32"/>
                <w:szCs w:val="32"/>
              </w:rPr>
              <w:t>10</w:t>
            </w:r>
          </w:p>
        </w:tc>
        <w:tc>
          <w:tcPr>
            <w:tcW w:w="3951" w:type="dxa"/>
            <w:noWrap w:val="0"/>
            <w:vAlign w:val="top"/>
          </w:tcPr>
          <w:p>
            <w:pPr>
              <w:pageBreakBefore w:val="0"/>
              <w:kinsoku/>
              <w:wordWrap/>
              <w:overflowPunct/>
              <w:topLinePunct w:val="0"/>
              <w:bidi w:val="0"/>
              <w:spacing w:line="560" w:lineRule="exact"/>
              <w:jc w:val="center"/>
              <w:rPr>
                <w:rFonts w:ascii="仿宋" w:hAnsi="仿宋" w:eastAsia="仿宋"/>
                <w:color w:val="000000"/>
                <w:sz w:val="32"/>
                <w:szCs w:val="32"/>
              </w:rPr>
            </w:pPr>
            <w:r>
              <w:rPr>
                <w:rFonts w:hint="eastAsia" w:ascii="仿宋" w:hAnsi="仿宋" w:eastAsia="仿宋"/>
                <w:color w:val="000000"/>
                <w:sz w:val="32"/>
                <w:szCs w:val="32"/>
              </w:rPr>
              <w:t>职工基本医疗保险缴费</w:t>
            </w:r>
          </w:p>
        </w:tc>
        <w:tc>
          <w:tcPr>
            <w:tcW w:w="2113" w:type="dxa"/>
            <w:noWrap w:val="0"/>
            <w:vAlign w:val="top"/>
          </w:tcPr>
          <w:p>
            <w:pPr>
              <w:pageBreakBefore w:val="0"/>
              <w:kinsoku/>
              <w:wordWrap/>
              <w:overflowPunct/>
              <w:topLinePunct w:val="0"/>
              <w:bidi w:val="0"/>
              <w:spacing w:line="560" w:lineRule="exact"/>
              <w:jc w:val="center"/>
              <w:rPr>
                <w:rFonts w:hint="default" w:ascii="仿宋" w:hAnsi="仿宋" w:eastAsia="仿宋"/>
                <w:color w:val="000000"/>
                <w:sz w:val="32"/>
                <w:szCs w:val="32"/>
                <w:lang w:val="en-US" w:eastAsia="zh-CN"/>
              </w:rPr>
            </w:pPr>
            <w:r>
              <w:rPr>
                <w:rFonts w:hint="eastAsia" w:ascii="仿宋" w:hAnsi="仿宋" w:eastAsia="仿宋"/>
                <w:color w:val="000000"/>
                <w:sz w:val="32"/>
                <w:szCs w:val="32"/>
                <w:lang w:val="en-US" w:eastAsia="zh-CN"/>
              </w:rPr>
              <w:t>45.11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1" w:type="dxa"/>
            <w:noWrap w:val="0"/>
            <w:vAlign w:val="top"/>
          </w:tcPr>
          <w:p>
            <w:pPr>
              <w:pageBreakBefore w:val="0"/>
              <w:kinsoku/>
              <w:wordWrap/>
              <w:overflowPunct/>
              <w:topLinePunct w:val="0"/>
              <w:bidi w:val="0"/>
              <w:spacing w:line="560" w:lineRule="exact"/>
              <w:jc w:val="center"/>
              <w:rPr>
                <w:rFonts w:ascii="仿宋" w:hAnsi="仿宋" w:eastAsia="仿宋"/>
                <w:color w:val="000000"/>
                <w:sz w:val="32"/>
                <w:szCs w:val="32"/>
              </w:rPr>
            </w:pPr>
            <w:r>
              <w:rPr>
                <w:rFonts w:hint="eastAsia" w:ascii="仿宋" w:hAnsi="仿宋" w:eastAsia="仿宋"/>
                <w:color w:val="000000"/>
                <w:sz w:val="32"/>
                <w:szCs w:val="32"/>
              </w:rPr>
              <w:t>301</w:t>
            </w:r>
          </w:p>
        </w:tc>
        <w:tc>
          <w:tcPr>
            <w:tcW w:w="1226" w:type="dxa"/>
            <w:noWrap w:val="0"/>
            <w:vAlign w:val="top"/>
          </w:tcPr>
          <w:p>
            <w:pPr>
              <w:pageBreakBefore w:val="0"/>
              <w:kinsoku/>
              <w:wordWrap/>
              <w:overflowPunct/>
              <w:topLinePunct w:val="0"/>
              <w:bidi w:val="0"/>
              <w:spacing w:line="560" w:lineRule="exact"/>
              <w:jc w:val="center"/>
              <w:rPr>
                <w:rFonts w:ascii="仿宋" w:hAnsi="仿宋" w:eastAsia="仿宋"/>
                <w:color w:val="000000"/>
                <w:sz w:val="32"/>
                <w:szCs w:val="32"/>
              </w:rPr>
            </w:pPr>
            <w:r>
              <w:rPr>
                <w:rFonts w:hint="eastAsia" w:ascii="仿宋" w:hAnsi="仿宋" w:eastAsia="仿宋"/>
                <w:color w:val="000000"/>
                <w:sz w:val="32"/>
                <w:szCs w:val="32"/>
              </w:rPr>
              <w:t>12</w:t>
            </w:r>
          </w:p>
        </w:tc>
        <w:tc>
          <w:tcPr>
            <w:tcW w:w="3951" w:type="dxa"/>
            <w:noWrap w:val="0"/>
            <w:vAlign w:val="top"/>
          </w:tcPr>
          <w:p>
            <w:pPr>
              <w:pageBreakBefore w:val="0"/>
              <w:kinsoku/>
              <w:wordWrap/>
              <w:overflowPunct/>
              <w:topLinePunct w:val="0"/>
              <w:bidi w:val="0"/>
              <w:spacing w:line="560" w:lineRule="exact"/>
              <w:jc w:val="center"/>
              <w:rPr>
                <w:rFonts w:ascii="仿宋" w:hAnsi="仿宋" w:eastAsia="仿宋"/>
                <w:color w:val="000000"/>
                <w:sz w:val="32"/>
                <w:szCs w:val="32"/>
              </w:rPr>
            </w:pPr>
            <w:r>
              <w:rPr>
                <w:rFonts w:hint="eastAsia" w:ascii="仿宋" w:hAnsi="仿宋" w:eastAsia="仿宋"/>
                <w:color w:val="000000"/>
                <w:sz w:val="32"/>
                <w:szCs w:val="32"/>
              </w:rPr>
              <w:t>其他社会保障缴费</w:t>
            </w:r>
          </w:p>
        </w:tc>
        <w:tc>
          <w:tcPr>
            <w:tcW w:w="2113" w:type="dxa"/>
            <w:noWrap w:val="0"/>
            <w:vAlign w:val="top"/>
          </w:tcPr>
          <w:p>
            <w:pPr>
              <w:pageBreakBefore w:val="0"/>
              <w:kinsoku/>
              <w:wordWrap/>
              <w:overflowPunct/>
              <w:topLinePunct w:val="0"/>
              <w:bidi w:val="0"/>
              <w:spacing w:line="560" w:lineRule="exact"/>
              <w:jc w:val="center"/>
              <w:rPr>
                <w:rFonts w:hint="default" w:ascii="仿宋" w:hAnsi="仿宋" w:eastAsia="仿宋"/>
                <w:color w:val="000000"/>
                <w:sz w:val="32"/>
                <w:szCs w:val="32"/>
                <w:lang w:val="en-US" w:eastAsia="zh-CN"/>
              </w:rPr>
            </w:pPr>
            <w:r>
              <w:rPr>
                <w:rFonts w:hint="eastAsia" w:ascii="仿宋" w:hAnsi="仿宋" w:eastAsia="仿宋"/>
                <w:color w:val="000000"/>
                <w:sz w:val="32"/>
                <w:szCs w:val="32"/>
                <w:lang w:val="en-US" w:eastAsia="zh-CN"/>
              </w:rPr>
              <w:t>14.34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1" w:type="dxa"/>
            <w:noWrap w:val="0"/>
            <w:vAlign w:val="top"/>
          </w:tcPr>
          <w:p>
            <w:pPr>
              <w:pageBreakBefore w:val="0"/>
              <w:kinsoku/>
              <w:wordWrap/>
              <w:overflowPunct/>
              <w:topLinePunct w:val="0"/>
              <w:bidi w:val="0"/>
              <w:spacing w:line="560" w:lineRule="exact"/>
              <w:jc w:val="center"/>
              <w:rPr>
                <w:rFonts w:ascii="仿宋" w:hAnsi="仿宋" w:eastAsia="仿宋"/>
                <w:color w:val="000000"/>
                <w:sz w:val="32"/>
                <w:szCs w:val="32"/>
              </w:rPr>
            </w:pPr>
            <w:r>
              <w:rPr>
                <w:rFonts w:hint="eastAsia" w:ascii="仿宋" w:hAnsi="仿宋" w:eastAsia="仿宋"/>
                <w:color w:val="000000"/>
                <w:sz w:val="32"/>
                <w:szCs w:val="32"/>
              </w:rPr>
              <w:t>301</w:t>
            </w:r>
          </w:p>
        </w:tc>
        <w:tc>
          <w:tcPr>
            <w:tcW w:w="1226" w:type="dxa"/>
            <w:noWrap w:val="0"/>
            <w:vAlign w:val="top"/>
          </w:tcPr>
          <w:p>
            <w:pPr>
              <w:pageBreakBefore w:val="0"/>
              <w:kinsoku/>
              <w:wordWrap/>
              <w:overflowPunct/>
              <w:topLinePunct w:val="0"/>
              <w:bidi w:val="0"/>
              <w:spacing w:line="560" w:lineRule="exact"/>
              <w:jc w:val="center"/>
              <w:rPr>
                <w:rFonts w:ascii="仿宋" w:hAnsi="仿宋" w:eastAsia="仿宋"/>
                <w:color w:val="000000"/>
                <w:sz w:val="32"/>
                <w:szCs w:val="32"/>
              </w:rPr>
            </w:pPr>
            <w:r>
              <w:rPr>
                <w:rFonts w:hint="eastAsia" w:ascii="仿宋" w:hAnsi="仿宋" w:eastAsia="仿宋"/>
                <w:color w:val="000000"/>
                <w:sz w:val="32"/>
                <w:szCs w:val="32"/>
              </w:rPr>
              <w:t>13</w:t>
            </w:r>
          </w:p>
        </w:tc>
        <w:tc>
          <w:tcPr>
            <w:tcW w:w="3951" w:type="dxa"/>
            <w:noWrap w:val="0"/>
            <w:vAlign w:val="top"/>
          </w:tcPr>
          <w:p>
            <w:pPr>
              <w:pageBreakBefore w:val="0"/>
              <w:kinsoku/>
              <w:wordWrap/>
              <w:overflowPunct/>
              <w:topLinePunct w:val="0"/>
              <w:bidi w:val="0"/>
              <w:spacing w:line="560" w:lineRule="exact"/>
              <w:jc w:val="center"/>
              <w:rPr>
                <w:rFonts w:ascii="仿宋" w:hAnsi="仿宋" w:eastAsia="仿宋"/>
                <w:color w:val="000000"/>
                <w:sz w:val="32"/>
                <w:szCs w:val="32"/>
              </w:rPr>
            </w:pPr>
            <w:r>
              <w:rPr>
                <w:rFonts w:hint="eastAsia" w:ascii="仿宋" w:hAnsi="仿宋" w:eastAsia="仿宋"/>
                <w:color w:val="000000"/>
                <w:sz w:val="32"/>
                <w:szCs w:val="32"/>
              </w:rPr>
              <w:t>住房公积金</w:t>
            </w:r>
          </w:p>
        </w:tc>
        <w:tc>
          <w:tcPr>
            <w:tcW w:w="2113" w:type="dxa"/>
            <w:noWrap w:val="0"/>
            <w:vAlign w:val="top"/>
          </w:tcPr>
          <w:p>
            <w:pPr>
              <w:pageBreakBefore w:val="0"/>
              <w:kinsoku/>
              <w:wordWrap/>
              <w:overflowPunct/>
              <w:topLinePunct w:val="0"/>
              <w:bidi w:val="0"/>
              <w:spacing w:line="560" w:lineRule="exact"/>
              <w:jc w:val="center"/>
              <w:rPr>
                <w:rFonts w:hint="default" w:ascii="仿宋" w:hAnsi="仿宋" w:eastAsia="仿宋"/>
                <w:color w:val="000000"/>
                <w:sz w:val="32"/>
                <w:szCs w:val="32"/>
                <w:lang w:val="en-US" w:eastAsia="zh-CN"/>
              </w:rPr>
            </w:pPr>
            <w:r>
              <w:rPr>
                <w:rFonts w:hint="eastAsia" w:ascii="仿宋" w:hAnsi="仿宋" w:eastAsia="仿宋"/>
                <w:color w:val="000000"/>
                <w:sz w:val="32"/>
                <w:szCs w:val="32"/>
                <w:lang w:val="en-US" w:eastAsia="zh-CN"/>
              </w:rPr>
              <w:t>77.46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1" w:type="dxa"/>
            <w:noWrap w:val="0"/>
            <w:vAlign w:val="top"/>
          </w:tcPr>
          <w:p>
            <w:pPr>
              <w:pageBreakBefore w:val="0"/>
              <w:kinsoku/>
              <w:wordWrap/>
              <w:overflowPunct/>
              <w:topLinePunct w:val="0"/>
              <w:bidi w:val="0"/>
              <w:spacing w:line="560" w:lineRule="exact"/>
              <w:jc w:val="center"/>
              <w:rPr>
                <w:rFonts w:hint="default" w:ascii="仿宋" w:hAnsi="仿宋" w:eastAsia="仿宋"/>
                <w:color w:val="000000"/>
                <w:sz w:val="32"/>
                <w:szCs w:val="32"/>
                <w:lang w:val="en-US" w:eastAsia="zh-CN"/>
              </w:rPr>
            </w:pPr>
            <w:r>
              <w:rPr>
                <w:rFonts w:hint="eastAsia" w:ascii="仿宋" w:hAnsi="仿宋" w:eastAsia="仿宋"/>
                <w:color w:val="000000"/>
                <w:sz w:val="32"/>
                <w:szCs w:val="32"/>
                <w:lang w:val="en-US" w:eastAsia="zh-CN"/>
              </w:rPr>
              <w:t>301</w:t>
            </w:r>
          </w:p>
        </w:tc>
        <w:tc>
          <w:tcPr>
            <w:tcW w:w="1226" w:type="dxa"/>
            <w:noWrap w:val="0"/>
            <w:vAlign w:val="top"/>
          </w:tcPr>
          <w:p>
            <w:pPr>
              <w:pageBreakBefore w:val="0"/>
              <w:kinsoku/>
              <w:wordWrap/>
              <w:overflowPunct/>
              <w:topLinePunct w:val="0"/>
              <w:bidi w:val="0"/>
              <w:spacing w:line="560" w:lineRule="exact"/>
              <w:jc w:val="center"/>
              <w:rPr>
                <w:rFonts w:hint="default" w:ascii="仿宋" w:hAnsi="仿宋" w:eastAsia="仿宋"/>
                <w:color w:val="000000"/>
                <w:sz w:val="32"/>
                <w:szCs w:val="32"/>
                <w:lang w:val="en-US" w:eastAsia="zh-CN"/>
              </w:rPr>
            </w:pPr>
            <w:r>
              <w:rPr>
                <w:rFonts w:hint="eastAsia" w:ascii="仿宋" w:hAnsi="仿宋" w:eastAsia="仿宋"/>
                <w:color w:val="000000"/>
                <w:sz w:val="32"/>
                <w:szCs w:val="32"/>
                <w:lang w:val="en-US" w:eastAsia="zh-CN"/>
              </w:rPr>
              <w:t>99</w:t>
            </w:r>
          </w:p>
        </w:tc>
        <w:tc>
          <w:tcPr>
            <w:tcW w:w="3951" w:type="dxa"/>
            <w:noWrap w:val="0"/>
            <w:vAlign w:val="top"/>
          </w:tcPr>
          <w:p>
            <w:pPr>
              <w:pageBreakBefore w:val="0"/>
              <w:kinsoku/>
              <w:wordWrap/>
              <w:overflowPunct/>
              <w:topLinePunct w:val="0"/>
              <w:bidi w:val="0"/>
              <w:spacing w:line="560" w:lineRule="exact"/>
              <w:jc w:val="center"/>
              <w:rPr>
                <w:rFonts w:hint="eastAsia" w:ascii="仿宋" w:hAnsi="仿宋" w:eastAsia="仿宋"/>
                <w:color w:val="000000"/>
                <w:sz w:val="32"/>
                <w:szCs w:val="32"/>
              </w:rPr>
            </w:pPr>
            <w:r>
              <w:rPr>
                <w:rFonts w:hint="eastAsia" w:ascii="仿宋" w:hAnsi="仿宋" w:eastAsia="仿宋"/>
                <w:color w:val="000000"/>
                <w:sz w:val="32"/>
                <w:szCs w:val="32"/>
              </w:rPr>
              <w:t xml:space="preserve">  其他工资福利支出</w:t>
            </w:r>
          </w:p>
        </w:tc>
        <w:tc>
          <w:tcPr>
            <w:tcW w:w="2113" w:type="dxa"/>
            <w:noWrap w:val="0"/>
            <w:vAlign w:val="top"/>
          </w:tcPr>
          <w:p>
            <w:pPr>
              <w:pageBreakBefore w:val="0"/>
              <w:kinsoku/>
              <w:wordWrap/>
              <w:overflowPunct/>
              <w:topLinePunct w:val="0"/>
              <w:bidi w:val="0"/>
              <w:spacing w:line="560" w:lineRule="exact"/>
              <w:jc w:val="center"/>
              <w:rPr>
                <w:rFonts w:hint="default" w:ascii="仿宋" w:hAnsi="仿宋" w:eastAsia="仿宋"/>
                <w:color w:val="000000"/>
                <w:sz w:val="32"/>
                <w:szCs w:val="32"/>
                <w:lang w:val="en-US" w:eastAsia="zh-CN"/>
              </w:rPr>
            </w:pPr>
            <w:r>
              <w:rPr>
                <w:rFonts w:hint="eastAsia" w:ascii="仿宋" w:hAnsi="仿宋" w:eastAsia="仿宋"/>
                <w:color w:val="000000"/>
                <w:sz w:val="32"/>
                <w:szCs w:val="32"/>
                <w:lang w:val="en-US" w:eastAsia="zh-CN"/>
              </w:rPr>
              <w:t>14.35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1" w:type="dxa"/>
            <w:noWrap w:val="0"/>
            <w:vAlign w:val="top"/>
          </w:tcPr>
          <w:p>
            <w:pPr>
              <w:pageBreakBefore w:val="0"/>
              <w:kinsoku/>
              <w:wordWrap/>
              <w:overflowPunct/>
              <w:topLinePunct w:val="0"/>
              <w:bidi w:val="0"/>
              <w:spacing w:line="560" w:lineRule="exact"/>
              <w:jc w:val="center"/>
              <w:rPr>
                <w:rFonts w:ascii="仿宋" w:hAnsi="仿宋" w:eastAsia="仿宋"/>
                <w:color w:val="000000"/>
                <w:sz w:val="32"/>
                <w:szCs w:val="32"/>
              </w:rPr>
            </w:pPr>
            <w:r>
              <w:rPr>
                <w:rFonts w:hint="eastAsia" w:ascii="仿宋" w:hAnsi="仿宋" w:eastAsia="仿宋"/>
                <w:color w:val="000000"/>
                <w:sz w:val="32"/>
                <w:szCs w:val="32"/>
              </w:rPr>
              <w:t>303</w:t>
            </w:r>
          </w:p>
        </w:tc>
        <w:tc>
          <w:tcPr>
            <w:tcW w:w="1226" w:type="dxa"/>
            <w:noWrap w:val="0"/>
            <w:vAlign w:val="top"/>
          </w:tcPr>
          <w:p>
            <w:pPr>
              <w:pageBreakBefore w:val="0"/>
              <w:kinsoku/>
              <w:wordWrap/>
              <w:overflowPunct/>
              <w:topLinePunct w:val="0"/>
              <w:bidi w:val="0"/>
              <w:spacing w:line="560" w:lineRule="exact"/>
              <w:jc w:val="center"/>
              <w:rPr>
                <w:rFonts w:ascii="仿宋" w:hAnsi="仿宋" w:eastAsia="仿宋"/>
                <w:color w:val="000000"/>
                <w:sz w:val="32"/>
                <w:szCs w:val="32"/>
              </w:rPr>
            </w:pPr>
            <w:r>
              <w:rPr>
                <w:rFonts w:hint="eastAsia" w:ascii="仿宋" w:hAnsi="仿宋" w:eastAsia="仿宋"/>
                <w:color w:val="000000"/>
                <w:sz w:val="32"/>
                <w:szCs w:val="32"/>
              </w:rPr>
              <w:t>05</w:t>
            </w:r>
          </w:p>
        </w:tc>
        <w:tc>
          <w:tcPr>
            <w:tcW w:w="3951" w:type="dxa"/>
            <w:noWrap w:val="0"/>
            <w:vAlign w:val="top"/>
          </w:tcPr>
          <w:p>
            <w:pPr>
              <w:pageBreakBefore w:val="0"/>
              <w:kinsoku/>
              <w:wordWrap/>
              <w:overflowPunct/>
              <w:topLinePunct w:val="0"/>
              <w:bidi w:val="0"/>
              <w:spacing w:line="560" w:lineRule="exact"/>
              <w:jc w:val="center"/>
              <w:rPr>
                <w:rFonts w:ascii="仿宋" w:hAnsi="仿宋" w:eastAsia="仿宋"/>
                <w:color w:val="000000"/>
                <w:sz w:val="32"/>
                <w:szCs w:val="32"/>
              </w:rPr>
            </w:pPr>
            <w:r>
              <w:rPr>
                <w:rFonts w:hint="eastAsia" w:ascii="仿宋" w:hAnsi="仿宋" w:eastAsia="仿宋"/>
                <w:color w:val="000000"/>
                <w:sz w:val="32"/>
                <w:szCs w:val="32"/>
              </w:rPr>
              <w:t>生活补助</w:t>
            </w:r>
          </w:p>
        </w:tc>
        <w:tc>
          <w:tcPr>
            <w:tcW w:w="2113" w:type="dxa"/>
            <w:noWrap w:val="0"/>
            <w:vAlign w:val="top"/>
          </w:tcPr>
          <w:p>
            <w:pPr>
              <w:pageBreakBefore w:val="0"/>
              <w:kinsoku/>
              <w:wordWrap/>
              <w:overflowPunct/>
              <w:topLinePunct w:val="0"/>
              <w:bidi w:val="0"/>
              <w:spacing w:line="560" w:lineRule="exact"/>
              <w:jc w:val="center"/>
              <w:rPr>
                <w:rFonts w:hint="default" w:ascii="仿宋" w:hAnsi="仿宋" w:eastAsia="仿宋"/>
                <w:color w:val="000000"/>
                <w:sz w:val="32"/>
                <w:szCs w:val="32"/>
                <w:lang w:val="en-US" w:eastAsia="zh-CN"/>
              </w:rPr>
            </w:pPr>
            <w:r>
              <w:rPr>
                <w:rFonts w:hint="eastAsia" w:ascii="仿宋" w:hAnsi="仿宋" w:eastAsia="仿宋"/>
                <w:color w:val="000000"/>
                <w:sz w:val="32"/>
                <w:szCs w:val="32"/>
                <w:lang w:val="en-US" w:eastAsia="zh-CN"/>
              </w:rPr>
              <w:t>23.50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1" w:type="dxa"/>
            <w:noWrap w:val="0"/>
            <w:vAlign w:val="top"/>
          </w:tcPr>
          <w:p>
            <w:pPr>
              <w:pageBreakBefore w:val="0"/>
              <w:kinsoku/>
              <w:wordWrap/>
              <w:overflowPunct/>
              <w:topLinePunct w:val="0"/>
              <w:bidi w:val="0"/>
              <w:spacing w:line="560" w:lineRule="exact"/>
              <w:jc w:val="center"/>
              <w:rPr>
                <w:rFonts w:ascii="仿宋" w:hAnsi="仿宋" w:eastAsia="仿宋"/>
                <w:color w:val="000000"/>
                <w:sz w:val="32"/>
                <w:szCs w:val="32"/>
              </w:rPr>
            </w:pPr>
            <w:r>
              <w:rPr>
                <w:rFonts w:hint="eastAsia" w:ascii="仿宋" w:hAnsi="仿宋" w:eastAsia="仿宋"/>
                <w:color w:val="000000"/>
                <w:sz w:val="32"/>
                <w:szCs w:val="32"/>
              </w:rPr>
              <w:t>303</w:t>
            </w:r>
          </w:p>
        </w:tc>
        <w:tc>
          <w:tcPr>
            <w:tcW w:w="1226" w:type="dxa"/>
            <w:noWrap w:val="0"/>
            <w:vAlign w:val="top"/>
          </w:tcPr>
          <w:p>
            <w:pPr>
              <w:pageBreakBefore w:val="0"/>
              <w:kinsoku/>
              <w:wordWrap/>
              <w:overflowPunct/>
              <w:topLinePunct w:val="0"/>
              <w:bidi w:val="0"/>
              <w:spacing w:line="560" w:lineRule="exact"/>
              <w:jc w:val="center"/>
              <w:rPr>
                <w:rFonts w:ascii="仿宋" w:hAnsi="仿宋" w:eastAsia="仿宋"/>
                <w:color w:val="000000"/>
                <w:sz w:val="32"/>
                <w:szCs w:val="32"/>
              </w:rPr>
            </w:pPr>
            <w:r>
              <w:rPr>
                <w:rFonts w:hint="eastAsia" w:ascii="仿宋" w:hAnsi="仿宋" w:eastAsia="仿宋"/>
                <w:color w:val="000000"/>
                <w:sz w:val="32"/>
                <w:szCs w:val="32"/>
              </w:rPr>
              <w:t>07</w:t>
            </w:r>
          </w:p>
        </w:tc>
        <w:tc>
          <w:tcPr>
            <w:tcW w:w="3951" w:type="dxa"/>
            <w:noWrap w:val="0"/>
            <w:vAlign w:val="top"/>
          </w:tcPr>
          <w:p>
            <w:pPr>
              <w:pageBreakBefore w:val="0"/>
              <w:kinsoku/>
              <w:wordWrap/>
              <w:overflowPunct/>
              <w:topLinePunct w:val="0"/>
              <w:bidi w:val="0"/>
              <w:spacing w:line="560" w:lineRule="exact"/>
              <w:jc w:val="center"/>
              <w:rPr>
                <w:rFonts w:ascii="仿宋" w:hAnsi="仿宋" w:eastAsia="仿宋"/>
                <w:color w:val="000000"/>
                <w:sz w:val="32"/>
                <w:szCs w:val="32"/>
              </w:rPr>
            </w:pPr>
            <w:r>
              <w:rPr>
                <w:rFonts w:hint="eastAsia" w:ascii="仿宋" w:hAnsi="仿宋" w:eastAsia="仿宋"/>
                <w:color w:val="000000"/>
                <w:sz w:val="32"/>
                <w:szCs w:val="32"/>
              </w:rPr>
              <w:t>医疗费补助</w:t>
            </w:r>
          </w:p>
        </w:tc>
        <w:tc>
          <w:tcPr>
            <w:tcW w:w="2113" w:type="dxa"/>
            <w:noWrap w:val="0"/>
            <w:vAlign w:val="top"/>
          </w:tcPr>
          <w:p>
            <w:pPr>
              <w:pageBreakBefore w:val="0"/>
              <w:kinsoku/>
              <w:wordWrap/>
              <w:overflowPunct/>
              <w:topLinePunct w:val="0"/>
              <w:bidi w:val="0"/>
              <w:spacing w:line="560" w:lineRule="exact"/>
              <w:jc w:val="center"/>
              <w:rPr>
                <w:rFonts w:hint="default" w:ascii="仿宋" w:hAnsi="仿宋" w:eastAsia="仿宋"/>
                <w:color w:val="000000"/>
                <w:sz w:val="32"/>
                <w:szCs w:val="32"/>
                <w:lang w:val="en-US" w:eastAsia="zh-CN"/>
              </w:rPr>
            </w:pPr>
            <w:r>
              <w:rPr>
                <w:rFonts w:hint="eastAsia" w:ascii="仿宋" w:hAnsi="仿宋" w:eastAsia="仿宋"/>
                <w:color w:val="000000"/>
                <w:sz w:val="32"/>
                <w:szCs w:val="32"/>
                <w:lang w:val="en-US" w:eastAsia="zh-CN"/>
              </w:rPr>
              <w:t>5.83</w:t>
            </w:r>
          </w:p>
        </w:tc>
      </w:tr>
    </w:tbl>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br w:type="textWrapping"/>
      </w:r>
      <w:r>
        <w:rPr>
          <w:rFonts w:hint="eastAsia" w:ascii="Times New Roman" w:hAnsi="Times New Roman" w:eastAsia="仿宋_GB2312" w:cs="仿宋_GB2312"/>
          <w:color w:val="auto"/>
          <w:kern w:val="2"/>
          <w:sz w:val="32"/>
          <w:szCs w:val="32"/>
          <w:highlight w:val="none"/>
          <w:lang w:val="en-US" w:eastAsia="zh-CN" w:bidi="ar-SA"/>
        </w:rPr>
        <w:t>　　公用经费</w:t>
      </w:r>
      <w:r>
        <w:rPr>
          <w:rFonts w:hint="eastAsia" w:eastAsia="仿宋_GB2312" w:cs="仿宋_GB2312"/>
          <w:color w:val="auto"/>
          <w:kern w:val="2"/>
          <w:sz w:val="32"/>
          <w:szCs w:val="32"/>
          <w:highlight w:val="none"/>
          <w:lang w:val="en-US" w:eastAsia="zh-CN" w:bidi="ar-SA"/>
        </w:rPr>
        <w:t>56.87</w:t>
      </w:r>
      <w:r>
        <w:rPr>
          <w:rFonts w:hint="eastAsia" w:ascii="Times New Roman" w:hAnsi="Times New Roman" w:eastAsia="仿宋_GB2312" w:cs="仿宋_GB2312"/>
          <w:color w:val="auto"/>
          <w:kern w:val="2"/>
          <w:sz w:val="32"/>
          <w:szCs w:val="32"/>
          <w:highlight w:val="none"/>
          <w:lang w:val="en-US" w:eastAsia="zh-CN" w:bidi="ar-SA"/>
        </w:rPr>
        <w:t>万元，主要包括：办公费、印刷费、咨询费、手续费、水费、电费、邮电费、取暖费、物业管理费、差旅费、因公出国（境）费用、维修（护）费、租赁费、会议费、培训费、公务接待费、劳务费、委托业务费、工会经费、福利费、公务用车运行维护费、其他交通费、税金及附加费用、其他商品和服务支出、办公设备购置、专用设备购置、信息网络及软件购置更新、其他资本性支出等。</w:t>
      </w:r>
    </w:p>
    <w:tbl>
      <w:tblPr>
        <w:tblStyle w:val="17"/>
        <w:tblW w:w="814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24"/>
        <w:gridCol w:w="1726"/>
        <w:gridCol w:w="3419"/>
        <w:gridCol w:w="187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2" w:hRule="atLeast"/>
        </w:trPr>
        <w:tc>
          <w:tcPr>
            <w:tcW w:w="2850" w:type="dxa"/>
            <w:gridSpan w:val="2"/>
            <w:noWrap w:val="0"/>
            <w:vAlign w:val="top"/>
          </w:tcPr>
          <w:p>
            <w:pPr>
              <w:pageBreakBefore w:val="0"/>
              <w:kinsoku/>
              <w:wordWrap/>
              <w:overflowPunct/>
              <w:topLinePunct w:val="0"/>
              <w:bidi w:val="0"/>
              <w:spacing w:line="560" w:lineRule="exact"/>
              <w:jc w:val="center"/>
              <w:rPr>
                <w:rFonts w:ascii="仿宋" w:hAnsi="仿宋" w:eastAsia="仿宋"/>
                <w:color w:val="000000"/>
                <w:sz w:val="32"/>
                <w:szCs w:val="32"/>
              </w:rPr>
            </w:pPr>
          </w:p>
          <w:p>
            <w:pPr>
              <w:pageBreakBefore w:val="0"/>
              <w:tabs>
                <w:tab w:val="left" w:pos="2597"/>
              </w:tabs>
              <w:kinsoku/>
              <w:wordWrap/>
              <w:overflowPunct/>
              <w:topLinePunct w:val="0"/>
              <w:bidi w:val="0"/>
              <w:spacing w:line="560" w:lineRule="exact"/>
              <w:jc w:val="center"/>
            </w:pPr>
            <w:r>
              <w:rPr>
                <w:rFonts w:hint="eastAsia" w:ascii="仿宋" w:hAnsi="仿宋" w:eastAsia="仿宋"/>
                <w:color w:val="000000"/>
                <w:sz w:val="32"/>
                <w:szCs w:val="32"/>
              </w:rPr>
              <w:t>经济分类科目编码</w:t>
            </w:r>
          </w:p>
        </w:tc>
        <w:tc>
          <w:tcPr>
            <w:tcW w:w="3419" w:type="dxa"/>
            <w:noWrap w:val="0"/>
            <w:vAlign w:val="top"/>
          </w:tcPr>
          <w:p>
            <w:pPr>
              <w:pageBreakBefore w:val="0"/>
              <w:kinsoku/>
              <w:wordWrap/>
              <w:overflowPunct/>
              <w:topLinePunct w:val="0"/>
              <w:bidi w:val="0"/>
              <w:spacing w:line="560" w:lineRule="exact"/>
              <w:jc w:val="center"/>
              <w:rPr>
                <w:rFonts w:ascii="仿宋" w:hAnsi="仿宋" w:eastAsia="仿宋"/>
                <w:color w:val="000000"/>
                <w:sz w:val="32"/>
                <w:szCs w:val="32"/>
              </w:rPr>
            </w:pPr>
          </w:p>
          <w:p>
            <w:pPr>
              <w:pageBreakBefore w:val="0"/>
              <w:kinsoku/>
              <w:wordWrap/>
              <w:overflowPunct/>
              <w:topLinePunct w:val="0"/>
              <w:bidi w:val="0"/>
              <w:spacing w:line="560" w:lineRule="exact"/>
              <w:jc w:val="center"/>
              <w:rPr>
                <w:rFonts w:ascii="仿宋" w:hAnsi="仿宋" w:eastAsia="仿宋"/>
                <w:color w:val="000000"/>
                <w:sz w:val="32"/>
                <w:szCs w:val="32"/>
              </w:rPr>
            </w:pPr>
            <w:r>
              <w:rPr>
                <w:rFonts w:hint="eastAsia" w:ascii="仿宋" w:hAnsi="仿宋" w:eastAsia="仿宋"/>
                <w:color w:val="000000"/>
                <w:sz w:val="32"/>
                <w:szCs w:val="32"/>
              </w:rPr>
              <w:t>科目名称</w:t>
            </w:r>
          </w:p>
        </w:tc>
        <w:tc>
          <w:tcPr>
            <w:tcW w:w="1871" w:type="dxa"/>
            <w:noWrap w:val="0"/>
            <w:vAlign w:val="top"/>
          </w:tcPr>
          <w:p>
            <w:pPr>
              <w:pageBreakBefore w:val="0"/>
              <w:kinsoku/>
              <w:wordWrap/>
              <w:overflowPunct/>
              <w:topLinePunct w:val="0"/>
              <w:bidi w:val="0"/>
              <w:spacing w:line="560" w:lineRule="exact"/>
              <w:jc w:val="center"/>
              <w:rPr>
                <w:rFonts w:ascii="仿宋" w:hAnsi="仿宋" w:eastAsia="仿宋"/>
                <w:color w:val="000000"/>
                <w:sz w:val="32"/>
                <w:szCs w:val="32"/>
              </w:rPr>
            </w:pPr>
            <w:r>
              <w:rPr>
                <w:rFonts w:hint="eastAsia" w:ascii="仿宋" w:hAnsi="仿宋" w:eastAsia="仿宋"/>
                <w:color w:val="000000"/>
                <w:sz w:val="32"/>
                <w:szCs w:val="32"/>
              </w:rPr>
              <w:t>支出数</w:t>
            </w:r>
          </w:p>
          <w:p>
            <w:pPr>
              <w:pageBreakBefore w:val="0"/>
              <w:kinsoku/>
              <w:wordWrap/>
              <w:overflowPunct/>
              <w:topLinePunct w:val="0"/>
              <w:bidi w:val="0"/>
              <w:spacing w:line="560" w:lineRule="exact"/>
              <w:jc w:val="center"/>
              <w:rPr>
                <w:rFonts w:ascii="仿宋" w:hAnsi="仿宋" w:eastAsia="仿宋"/>
                <w:color w:val="000000"/>
                <w:sz w:val="32"/>
                <w:szCs w:val="32"/>
              </w:rPr>
            </w:pPr>
            <w:r>
              <w:rPr>
                <w:rFonts w:hint="eastAsia" w:ascii="仿宋" w:hAnsi="仿宋" w:eastAsia="仿宋"/>
                <w:color w:val="000000"/>
                <w:sz w:val="32"/>
                <w:szCs w:val="32"/>
              </w:rPr>
              <w:t>（万元）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4" w:type="dxa"/>
            <w:noWrap w:val="0"/>
            <w:vAlign w:val="top"/>
          </w:tcPr>
          <w:p>
            <w:pPr>
              <w:pageBreakBefore w:val="0"/>
              <w:kinsoku/>
              <w:wordWrap/>
              <w:overflowPunct/>
              <w:topLinePunct w:val="0"/>
              <w:bidi w:val="0"/>
              <w:spacing w:line="560" w:lineRule="exact"/>
              <w:jc w:val="center"/>
              <w:rPr>
                <w:rFonts w:ascii="仿宋" w:hAnsi="仿宋" w:eastAsia="仿宋"/>
                <w:color w:val="000000"/>
                <w:sz w:val="32"/>
                <w:szCs w:val="32"/>
              </w:rPr>
            </w:pPr>
            <w:r>
              <w:rPr>
                <w:rFonts w:hint="eastAsia" w:ascii="仿宋" w:hAnsi="仿宋" w:eastAsia="仿宋"/>
                <w:color w:val="000000"/>
                <w:sz w:val="32"/>
                <w:szCs w:val="32"/>
              </w:rPr>
              <w:t>302</w:t>
            </w:r>
          </w:p>
        </w:tc>
        <w:tc>
          <w:tcPr>
            <w:tcW w:w="1726" w:type="dxa"/>
            <w:noWrap w:val="0"/>
            <w:vAlign w:val="top"/>
          </w:tcPr>
          <w:p>
            <w:pPr>
              <w:pageBreakBefore w:val="0"/>
              <w:kinsoku/>
              <w:wordWrap/>
              <w:overflowPunct/>
              <w:topLinePunct w:val="0"/>
              <w:bidi w:val="0"/>
              <w:spacing w:line="560" w:lineRule="exact"/>
              <w:jc w:val="center"/>
              <w:rPr>
                <w:rFonts w:ascii="仿宋" w:hAnsi="仿宋" w:eastAsia="仿宋"/>
                <w:color w:val="000000"/>
                <w:sz w:val="32"/>
                <w:szCs w:val="32"/>
              </w:rPr>
            </w:pPr>
            <w:r>
              <w:rPr>
                <w:rFonts w:hint="eastAsia" w:ascii="仿宋" w:hAnsi="仿宋" w:eastAsia="仿宋"/>
                <w:color w:val="000000"/>
                <w:sz w:val="32"/>
                <w:szCs w:val="32"/>
              </w:rPr>
              <w:t>01</w:t>
            </w:r>
          </w:p>
        </w:tc>
        <w:tc>
          <w:tcPr>
            <w:tcW w:w="3419" w:type="dxa"/>
            <w:noWrap w:val="0"/>
            <w:vAlign w:val="top"/>
          </w:tcPr>
          <w:p>
            <w:pPr>
              <w:pageBreakBefore w:val="0"/>
              <w:kinsoku/>
              <w:wordWrap/>
              <w:overflowPunct/>
              <w:topLinePunct w:val="0"/>
              <w:bidi w:val="0"/>
              <w:spacing w:line="560" w:lineRule="exact"/>
              <w:jc w:val="center"/>
              <w:rPr>
                <w:rFonts w:ascii="仿宋" w:hAnsi="仿宋" w:eastAsia="仿宋"/>
                <w:color w:val="000000"/>
                <w:sz w:val="32"/>
                <w:szCs w:val="32"/>
              </w:rPr>
            </w:pPr>
            <w:r>
              <w:rPr>
                <w:rFonts w:hint="eastAsia" w:ascii="仿宋" w:hAnsi="仿宋" w:eastAsia="仿宋"/>
                <w:color w:val="000000"/>
                <w:sz w:val="32"/>
                <w:szCs w:val="32"/>
              </w:rPr>
              <w:t>办公费</w:t>
            </w:r>
          </w:p>
        </w:tc>
        <w:tc>
          <w:tcPr>
            <w:tcW w:w="1871" w:type="dxa"/>
            <w:noWrap w:val="0"/>
            <w:vAlign w:val="top"/>
          </w:tcPr>
          <w:p>
            <w:pPr>
              <w:pageBreakBefore w:val="0"/>
              <w:kinsoku/>
              <w:wordWrap/>
              <w:overflowPunct/>
              <w:topLinePunct w:val="0"/>
              <w:bidi w:val="0"/>
              <w:spacing w:line="560" w:lineRule="exact"/>
              <w:jc w:val="center"/>
              <w:rPr>
                <w:rFonts w:hint="default" w:ascii="仿宋" w:hAnsi="仿宋" w:eastAsia="仿宋"/>
                <w:color w:val="000000"/>
                <w:sz w:val="32"/>
                <w:szCs w:val="32"/>
                <w:lang w:val="en-US" w:eastAsia="zh-CN"/>
              </w:rPr>
            </w:pPr>
            <w:r>
              <w:rPr>
                <w:rFonts w:hint="eastAsia" w:ascii="仿宋" w:hAnsi="仿宋" w:eastAsia="仿宋"/>
                <w:color w:val="000000"/>
                <w:sz w:val="32"/>
                <w:szCs w:val="32"/>
                <w:lang w:val="en-US" w:eastAsia="zh-CN"/>
              </w:rPr>
              <w:t>10.79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4" w:type="dxa"/>
            <w:noWrap w:val="0"/>
            <w:vAlign w:val="top"/>
          </w:tcPr>
          <w:p>
            <w:pPr>
              <w:pageBreakBefore w:val="0"/>
              <w:kinsoku/>
              <w:wordWrap/>
              <w:overflowPunct/>
              <w:topLinePunct w:val="0"/>
              <w:bidi w:val="0"/>
              <w:spacing w:line="560" w:lineRule="exact"/>
              <w:jc w:val="center"/>
              <w:rPr>
                <w:rFonts w:ascii="仿宋" w:hAnsi="仿宋" w:eastAsia="仿宋"/>
                <w:color w:val="000000"/>
                <w:sz w:val="32"/>
                <w:szCs w:val="32"/>
              </w:rPr>
            </w:pPr>
            <w:r>
              <w:rPr>
                <w:rFonts w:hint="eastAsia" w:ascii="仿宋" w:hAnsi="仿宋" w:eastAsia="仿宋"/>
                <w:color w:val="000000"/>
                <w:sz w:val="32"/>
                <w:szCs w:val="32"/>
                <w:lang w:val="en-US" w:eastAsia="zh-CN"/>
              </w:rPr>
              <w:t>302</w:t>
            </w:r>
          </w:p>
        </w:tc>
        <w:tc>
          <w:tcPr>
            <w:tcW w:w="1726" w:type="dxa"/>
            <w:noWrap w:val="0"/>
            <w:vAlign w:val="top"/>
          </w:tcPr>
          <w:p>
            <w:pPr>
              <w:pageBreakBefore w:val="0"/>
              <w:kinsoku/>
              <w:wordWrap/>
              <w:overflowPunct/>
              <w:topLinePunct w:val="0"/>
              <w:bidi w:val="0"/>
              <w:spacing w:line="560" w:lineRule="exact"/>
              <w:jc w:val="center"/>
              <w:rPr>
                <w:rFonts w:hint="eastAsia" w:ascii="仿宋" w:hAnsi="仿宋" w:eastAsia="仿宋"/>
                <w:color w:val="000000"/>
                <w:sz w:val="32"/>
                <w:szCs w:val="32"/>
                <w:lang w:eastAsia="zh-CN"/>
              </w:rPr>
            </w:pPr>
            <w:r>
              <w:rPr>
                <w:rFonts w:hint="eastAsia" w:ascii="仿宋" w:hAnsi="仿宋" w:eastAsia="仿宋"/>
                <w:color w:val="000000"/>
                <w:sz w:val="32"/>
                <w:szCs w:val="32"/>
              </w:rPr>
              <w:t>0</w:t>
            </w:r>
            <w:r>
              <w:rPr>
                <w:rFonts w:hint="eastAsia" w:ascii="仿宋" w:hAnsi="仿宋" w:eastAsia="仿宋"/>
                <w:color w:val="000000"/>
                <w:sz w:val="32"/>
                <w:szCs w:val="32"/>
                <w:lang w:val="en-US" w:eastAsia="zh-CN"/>
              </w:rPr>
              <w:t>5</w:t>
            </w:r>
          </w:p>
        </w:tc>
        <w:tc>
          <w:tcPr>
            <w:tcW w:w="3419" w:type="dxa"/>
            <w:noWrap w:val="0"/>
            <w:vAlign w:val="top"/>
          </w:tcPr>
          <w:p>
            <w:pPr>
              <w:pageBreakBefore w:val="0"/>
              <w:kinsoku/>
              <w:wordWrap/>
              <w:overflowPunct/>
              <w:topLinePunct w:val="0"/>
              <w:bidi w:val="0"/>
              <w:spacing w:line="560" w:lineRule="exact"/>
              <w:jc w:val="center"/>
              <w:rPr>
                <w:rFonts w:ascii="仿宋" w:hAnsi="仿宋" w:eastAsia="仿宋"/>
                <w:color w:val="000000"/>
                <w:sz w:val="32"/>
                <w:szCs w:val="32"/>
              </w:rPr>
            </w:pPr>
            <w:r>
              <w:rPr>
                <w:rFonts w:hint="eastAsia" w:ascii="仿宋" w:hAnsi="仿宋" w:eastAsia="仿宋"/>
                <w:color w:val="000000"/>
                <w:sz w:val="32"/>
                <w:szCs w:val="32"/>
                <w:lang w:val="en-US" w:eastAsia="zh-CN"/>
              </w:rPr>
              <w:t>水</w:t>
            </w:r>
            <w:r>
              <w:rPr>
                <w:rFonts w:hint="eastAsia" w:ascii="仿宋" w:hAnsi="仿宋" w:eastAsia="仿宋"/>
                <w:color w:val="000000"/>
                <w:sz w:val="32"/>
                <w:szCs w:val="32"/>
              </w:rPr>
              <w:t>费</w:t>
            </w:r>
          </w:p>
        </w:tc>
        <w:tc>
          <w:tcPr>
            <w:tcW w:w="1871" w:type="dxa"/>
            <w:noWrap w:val="0"/>
            <w:vAlign w:val="top"/>
          </w:tcPr>
          <w:p>
            <w:pPr>
              <w:pageBreakBefore w:val="0"/>
              <w:kinsoku/>
              <w:wordWrap/>
              <w:overflowPunct/>
              <w:topLinePunct w:val="0"/>
              <w:bidi w:val="0"/>
              <w:spacing w:line="560" w:lineRule="exact"/>
              <w:jc w:val="center"/>
              <w:rPr>
                <w:rFonts w:hint="default" w:ascii="仿宋" w:hAnsi="仿宋" w:eastAsia="仿宋"/>
                <w:color w:val="000000"/>
                <w:sz w:val="32"/>
                <w:szCs w:val="32"/>
                <w:lang w:val="en-US" w:eastAsia="zh-CN"/>
              </w:rPr>
            </w:pPr>
            <w:r>
              <w:rPr>
                <w:rFonts w:hint="eastAsia" w:ascii="仿宋" w:hAnsi="仿宋" w:eastAsia="仿宋"/>
                <w:color w:val="000000"/>
                <w:sz w:val="32"/>
                <w:szCs w:val="32"/>
                <w:lang w:val="en-US" w:eastAsia="zh-CN"/>
              </w:rPr>
              <w:t>0.05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4" w:type="dxa"/>
            <w:noWrap w:val="0"/>
            <w:vAlign w:val="top"/>
          </w:tcPr>
          <w:p>
            <w:pPr>
              <w:pageBreakBefore w:val="0"/>
              <w:kinsoku/>
              <w:wordWrap/>
              <w:overflowPunct/>
              <w:topLinePunct w:val="0"/>
              <w:bidi w:val="0"/>
              <w:spacing w:line="560" w:lineRule="exact"/>
              <w:jc w:val="center"/>
              <w:rPr>
                <w:rFonts w:ascii="仿宋" w:hAnsi="仿宋" w:eastAsia="仿宋"/>
                <w:color w:val="000000"/>
                <w:sz w:val="32"/>
                <w:szCs w:val="32"/>
              </w:rPr>
            </w:pPr>
            <w:r>
              <w:rPr>
                <w:rFonts w:hint="eastAsia" w:ascii="仿宋" w:hAnsi="仿宋" w:eastAsia="仿宋"/>
                <w:color w:val="000000"/>
                <w:sz w:val="32"/>
                <w:szCs w:val="32"/>
              </w:rPr>
              <w:t>302</w:t>
            </w:r>
          </w:p>
        </w:tc>
        <w:tc>
          <w:tcPr>
            <w:tcW w:w="1726" w:type="dxa"/>
            <w:noWrap w:val="0"/>
            <w:vAlign w:val="top"/>
          </w:tcPr>
          <w:p>
            <w:pPr>
              <w:pageBreakBefore w:val="0"/>
              <w:kinsoku/>
              <w:wordWrap/>
              <w:overflowPunct/>
              <w:topLinePunct w:val="0"/>
              <w:bidi w:val="0"/>
              <w:spacing w:line="560" w:lineRule="exact"/>
              <w:jc w:val="center"/>
              <w:rPr>
                <w:rFonts w:ascii="仿宋" w:hAnsi="仿宋" w:eastAsia="仿宋"/>
                <w:color w:val="000000"/>
                <w:sz w:val="32"/>
                <w:szCs w:val="32"/>
              </w:rPr>
            </w:pPr>
            <w:r>
              <w:rPr>
                <w:rFonts w:hint="eastAsia" w:ascii="仿宋" w:hAnsi="仿宋" w:eastAsia="仿宋"/>
                <w:color w:val="000000"/>
                <w:sz w:val="32"/>
                <w:szCs w:val="32"/>
                <w:lang w:val="en-US" w:eastAsia="zh-CN"/>
              </w:rPr>
              <w:t>06</w:t>
            </w:r>
          </w:p>
        </w:tc>
        <w:tc>
          <w:tcPr>
            <w:tcW w:w="3419" w:type="dxa"/>
            <w:noWrap w:val="0"/>
            <w:vAlign w:val="top"/>
          </w:tcPr>
          <w:p>
            <w:pPr>
              <w:pageBreakBefore w:val="0"/>
              <w:kinsoku/>
              <w:wordWrap/>
              <w:overflowPunct/>
              <w:topLinePunct w:val="0"/>
              <w:bidi w:val="0"/>
              <w:spacing w:line="560" w:lineRule="exact"/>
              <w:jc w:val="center"/>
              <w:rPr>
                <w:rFonts w:ascii="仿宋" w:hAnsi="仿宋" w:eastAsia="仿宋"/>
                <w:color w:val="000000"/>
                <w:sz w:val="32"/>
                <w:szCs w:val="32"/>
              </w:rPr>
            </w:pPr>
            <w:r>
              <w:rPr>
                <w:rFonts w:hint="eastAsia" w:ascii="仿宋" w:hAnsi="仿宋" w:eastAsia="仿宋"/>
                <w:color w:val="000000"/>
                <w:sz w:val="32"/>
                <w:szCs w:val="32"/>
                <w:lang w:val="en-US" w:eastAsia="zh-CN"/>
              </w:rPr>
              <w:t>电</w:t>
            </w:r>
            <w:r>
              <w:rPr>
                <w:rFonts w:hint="eastAsia" w:ascii="仿宋" w:hAnsi="仿宋" w:eastAsia="仿宋"/>
                <w:color w:val="000000"/>
                <w:sz w:val="32"/>
                <w:szCs w:val="32"/>
              </w:rPr>
              <w:t>费</w:t>
            </w:r>
          </w:p>
        </w:tc>
        <w:tc>
          <w:tcPr>
            <w:tcW w:w="1871" w:type="dxa"/>
            <w:noWrap w:val="0"/>
            <w:vAlign w:val="top"/>
          </w:tcPr>
          <w:p>
            <w:pPr>
              <w:pageBreakBefore w:val="0"/>
              <w:kinsoku/>
              <w:wordWrap/>
              <w:overflowPunct/>
              <w:topLinePunct w:val="0"/>
              <w:bidi w:val="0"/>
              <w:spacing w:line="560" w:lineRule="exact"/>
              <w:jc w:val="center"/>
              <w:rPr>
                <w:rFonts w:hint="default" w:ascii="仿宋" w:hAnsi="仿宋" w:eastAsia="仿宋"/>
                <w:color w:val="000000"/>
                <w:sz w:val="32"/>
                <w:szCs w:val="32"/>
                <w:lang w:val="en-US" w:eastAsia="zh-CN"/>
              </w:rPr>
            </w:pPr>
            <w:r>
              <w:rPr>
                <w:rFonts w:hint="eastAsia" w:ascii="仿宋" w:hAnsi="仿宋" w:eastAsia="仿宋"/>
                <w:color w:val="000000"/>
                <w:sz w:val="32"/>
                <w:szCs w:val="32"/>
                <w:lang w:val="en-US" w:eastAsia="zh-CN"/>
              </w:rPr>
              <w:t>8.09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4" w:type="dxa"/>
            <w:shd w:val="clear" w:color="auto" w:fill="auto"/>
            <w:noWrap w:val="0"/>
            <w:vAlign w:val="top"/>
          </w:tcPr>
          <w:p>
            <w:pPr>
              <w:pageBreakBefore w:val="0"/>
              <w:kinsoku/>
              <w:wordWrap/>
              <w:overflowPunct/>
              <w:topLinePunct w:val="0"/>
              <w:bidi w:val="0"/>
              <w:spacing w:line="560" w:lineRule="exact"/>
              <w:jc w:val="center"/>
              <w:rPr>
                <w:rFonts w:hint="default" w:ascii="仿宋" w:hAnsi="仿宋" w:eastAsia="仿宋" w:cs="Times New Roman"/>
                <w:color w:val="000000"/>
                <w:kern w:val="2"/>
                <w:sz w:val="32"/>
                <w:szCs w:val="32"/>
                <w:lang w:val="en-US" w:eastAsia="zh-CN" w:bidi="ar-SA"/>
              </w:rPr>
            </w:pPr>
            <w:r>
              <w:rPr>
                <w:rFonts w:hint="eastAsia" w:ascii="仿宋" w:hAnsi="仿宋" w:eastAsia="仿宋"/>
                <w:color w:val="000000"/>
                <w:sz w:val="32"/>
                <w:szCs w:val="32"/>
              </w:rPr>
              <w:t>302</w:t>
            </w:r>
          </w:p>
        </w:tc>
        <w:tc>
          <w:tcPr>
            <w:tcW w:w="1726" w:type="dxa"/>
            <w:shd w:val="clear" w:color="auto" w:fill="auto"/>
            <w:noWrap w:val="0"/>
            <w:vAlign w:val="top"/>
          </w:tcPr>
          <w:p>
            <w:pPr>
              <w:pageBreakBefore w:val="0"/>
              <w:kinsoku/>
              <w:wordWrap/>
              <w:overflowPunct/>
              <w:topLinePunct w:val="0"/>
              <w:bidi w:val="0"/>
              <w:spacing w:line="560" w:lineRule="exact"/>
              <w:jc w:val="center"/>
              <w:rPr>
                <w:rFonts w:hint="default" w:ascii="仿宋" w:hAnsi="仿宋" w:eastAsia="仿宋" w:cs="Times New Roman"/>
                <w:color w:val="000000"/>
                <w:kern w:val="2"/>
                <w:sz w:val="32"/>
                <w:szCs w:val="32"/>
                <w:lang w:val="en-US" w:eastAsia="zh-CN" w:bidi="ar-SA"/>
              </w:rPr>
            </w:pPr>
            <w:r>
              <w:rPr>
                <w:rFonts w:hint="eastAsia" w:ascii="仿宋" w:hAnsi="仿宋" w:eastAsia="仿宋"/>
                <w:color w:val="000000"/>
                <w:sz w:val="32"/>
                <w:szCs w:val="32"/>
                <w:lang w:val="en-US" w:eastAsia="zh-CN"/>
              </w:rPr>
              <w:t>07</w:t>
            </w:r>
          </w:p>
        </w:tc>
        <w:tc>
          <w:tcPr>
            <w:tcW w:w="3419" w:type="dxa"/>
            <w:shd w:val="clear" w:color="auto" w:fill="auto"/>
            <w:noWrap w:val="0"/>
            <w:vAlign w:val="top"/>
          </w:tcPr>
          <w:p>
            <w:pPr>
              <w:pageBreakBefore w:val="0"/>
              <w:kinsoku/>
              <w:wordWrap/>
              <w:overflowPunct/>
              <w:topLinePunct w:val="0"/>
              <w:bidi w:val="0"/>
              <w:spacing w:line="560" w:lineRule="exact"/>
              <w:jc w:val="center"/>
              <w:rPr>
                <w:rFonts w:hint="eastAsia" w:ascii="仿宋" w:hAnsi="仿宋" w:eastAsia="仿宋" w:cs="Times New Roman"/>
                <w:color w:val="000000"/>
                <w:kern w:val="2"/>
                <w:sz w:val="32"/>
                <w:szCs w:val="32"/>
                <w:lang w:val="en-US" w:eastAsia="zh-CN" w:bidi="ar-SA"/>
              </w:rPr>
            </w:pPr>
            <w:r>
              <w:rPr>
                <w:rFonts w:hint="eastAsia" w:ascii="仿宋" w:hAnsi="仿宋" w:eastAsia="仿宋"/>
                <w:color w:val="000000"/>
                <w:sz w:val="32"/>
                <w:szCs w:val="32"/>
                <w:lang w:val="en-US" w:eastAsia="zh-CN"/>
              </w:rPr>
              <w:t>邮电</w:t>
            </w:r>
            <w:r>
              <w:rPr>
                <w:rFonts w:hint="eastAsia" w:ascii="仿宋" w:hAnsi="仿宋" w:eastAsia="仿宋"/>
                <w:color w:val="000000"/>
                <w:sz w:val="32"/>
                <w:szCs w:val="32"/>
              </w:rPr>
              <w:t>费</w:t>
            </w:r>
          </w:p>
        </w:tc>
        <w:tc>
          <w:tcPr>
            <w:tcW w:w="1871" w:type="dxa"/>
            <w:shd w:val="clear" w:color="auto" w:fill="auto"/>
            <w:noWrap w:val="0"/>
            <w:vAlign w:val="top"/>
          </w:tcPr>
          <w:p>
            <w:pPr>
              <w:pageBreakBefore w:val="0"/>
              <w:kinsoku/>
              <w:wordWrap/>
              <w:overflowPunct/>
              <w:topLinePunct w:val="0"/>
              <w:bidi w:val="0"/>
              <w:spacing w:line="560" w:lineRule="exact"/>
              <w:jc w:val="center"/>
              <w:rPr>
                <w:rFonts w:hint="default" w:ascii="仿宋" w:hAnsi="仿宋" w:eastAsia="仿宋" w:cs="Times New Roman"/>
                <w:color w:val="000000"/>
                <w:kern w:val="2"/>
                <w:sz w:val="32"/>
                <w:szCs w:val="32"/>
                <w:lang w:val="en-US" w:eastAsia="zh-CN" w:bidi="ar-SA"/>
              </w:rPr>
            </w:pPr>
            <w:r>
              <w:rPr>
                <w:rFonts w:hint="eastAsia" w:ascii="仿宋" w:hAnsi="仿宋" w:eastAsia="仿宋"/>
                <w:color w:val="000000"/>
                <w:sz w:val="32"/>
                <w:szCs w:val="32"/>
                <w:lang w:val="en-US" w:eastAsia="zh-CN"/>
              </w:rPr>
              <w:t>3.15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4" w:type="dxa"/>
            <w:shd w:val="clear" w:color="auto" w:fill="auto"/>
            <w:noWrap w:val="0"/>
            <w:vAlign w:val="top"/>
          </w:tcPr>
          <w:p>
            <w:pPr>
              <w:pageBreakBefore w:val="0"/>
              <w:kinsoku/>
              <w:wordWrap/>
              <w:overflowPunct/>
              <w:topLinePunct w:val="0"/>
              <w:bidi w:val="0"/>
              <w:spacing w:line="560" w:lineRule="exact"/>
              <w:jc w:val="center"/>
              <w:rPr>
                <w:rFonts w:hint="default" w:ascii="仿宋" w:hAnsi="仿宋" w:eastAsia="仿宋" w:cs="Times New Roman"/>
                <w:color w:val="000000"/>
                <w:kern w:val="2"/>
                <w:sz w:val="32"/>
                <w:szCs w:val="32"/>
                <w:lang w:val="en-US" w:eastAsia="zh-CN" w:bidi="ar-SA"/>
              </w:rPr>
            </w:pPr>
            <w:r>
              <w:rPr>
                <w:rFonts w:hint="eastAsia" w:ascii="仿宋" w:hAnsi="仿宋" w:eastAsia="仿宋"/>
                <w:color w:val="000000"/>
                <w:sz w:val="32"/>
                <w:szCs w:val="32"/>
              </w:rPr>
              <w:t>302</w:t>
            </w:r>
          </w:p>
        </w:tc>
        <w:tc>
          <w:tcPr>
            <w:tcW w:w="1726" w:type="dxa"/>
            <w:shd w:val="clear" w:color="auto" w:fill="auto"/>
            <w:noWrap w:val="0"/>
            <w:vAlign w:val="top"/>
          </w:tcPr>
          <w:p>
            <w:pPr>
              <w:pageBreakBefore w:val="0"/>
              <w:kinsoku/>
              <w:wordWrap/>
              <w:overflowPunct/>
              <w:topLinePunct w:val="0"/>
              <w:bidi w:val="0"/>
              <w:spacing w:line="560" w:lineRule="exact"/>
              <w:jc w:val="center"/>
              <w:rPr>
                <w:rFonts w:hint="default" w:ascii="仿宋" w:hAnsi="仿宋" w:eastAsia="仿宋" w:cs="Times New Roman"/>
                <w:color w:val="000000"/>
                <w:kern w:val="2"/>
                <w:sz w:val="32"/>
                <w:szCs w:val="32"/>
                <w:lang w:val="en-US" w:eastAsia="zh-CN" w:bidi="ar-SA"/>
              </w:rPr>
            </w:pPr>
            <w:r>
              <w:rPr>
                <w:rFonts w:hint="eastAsia" w:ascii="仿宋" w:hAnsi="仿宋" w:eastAsia="仿宋"/>
                <w:color w:val="000000"/>
                <w:sz w:val="32"/>
                <w:szCs w:val="32"/>
                <w:lang w:val="en-US" w:eastAsia="zh-CN"/>
              </w:rPr>
              <w:t>08</w:t>
            </w:r>
          </w:p>
        </w:tc>
        <w:tc>
          <w:tcPr>
            <w:tcW w:w="3419" w:type="dxa"/>
            <w:shd w:val="clear" w:color="auto" w:fill="auto"/>
            <w:noWrap w:val="0"/>
            <w:vAlign w:val="top"/>
          </w:tcPr>
          <w:p>
            <w:pPr>
              <w:pageBreakBefore w:val="0"/>
              <w:kinsoku/>
              <w:wordWrap/>
              <w:overflowPunct/>
              <w:topLinePunct w:val="0"/>
              <w:bidi w:val="0"/>
              <w:spacing w:line="560" w:lineRule="exact"/>
              <w:jc w:val="center"/>
              <w:rPr>
                <w:rFonts w:hint="eastAsia" w:ascii="仿宋" w:hAnsi="仿宋" w:eastAsia="仿宋" w:cs="Times New Roman"/>
                <w:color w:val="000000"/>
                <w:kern w:val="2"/>
                <w:sz w:val="32"/>
                <w:szCs w:val="32"/>
                <w:lang w:val="en-US" w:eastAsia="zh-CN" w:bidi="ar-SA"/>
              </w:rPr>
            </w:pPr>
            <w:r>
              <w:rPr>
                <w:rFonts w:hint="eastAsia" w:ascii="仿宋" w:hAnsi="仿宋" w:eastAsia="仿宋"/>
                <w:color w:val="000000"/>
                <w:sz w:val="32"/>
                <w:szCs w:val="32"/>
              </w:rPr>
              <w:t>取暖费</w:t>
            </w:r>
          </w:p>
        </w:tc>
        <w:tc>
          <w:tcPr>
            <w:tcW w:w="1871" w:type="dxa"/>
            <w:shd w:val="clear" w:color="auto" w:fill="auto"/>
            <w:noWrap w:val="0"/>
            <w:vAlign w:val="top"/>
          </w:tcPr>
          <w:p>
            <w:pPr>
              <w:pageBreakBefore w:val="0"/>
              <w:kinsoku/>
              <w:wordWrap/>
              <w:overflowPunct/>
              <w:topLinePunct w:val="0"/>
              <w:bidi w:val="0"/>
              <w:spacing w:line="560" w:lineRule="exact"/>
              <w:jc w:val="center"/>
              <w:rPr>
                <w:rFonts w:hint="default" w:ascii="仿宋" w:hAnsi="仿宋" w:eastAsia="仿宋" w:cs="Times New Roman"/>
                <w:color w:val="000000"/>
                <w:kern w:val="2"/>
                <w:sz w:val="32"/>
                <w:szCs w:val="32"/>
                <w:lang w:val="en-US" w:eastAsia="zh-CN" w:bidi="ar-SA"/>
              </w:rPr>
            </w:pPr>
            <w:r>
              <w:rPr>
                <w:rFonts w:hint="eastAsia" w:ascii="仿宋" w:hAnsi="仿宋" w:eastAsia="仿宋"/>
                <w:color w:val="000000"/>
                <w:sz w:val="32"/>
                <w:szCs w:val="32"/>
                <w:lang w:val="en-US" w:eastAsia="zh-CN"/>
              </w:rPr>
              <w:t>3.71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4" w:type="dxa"/>
            <w:shd w:val="clear" w:color="auto" w:fill="auto"/>
            <w:noWrap w:val="0"/>
            <w:vAlign w:val="top"/>
          </w:tcPr>
          <w:p>
            <w:pPr>
              <w:pageBreakBefore w:val="0"/>
              <w:kinsoku/>
              <w:wordWrap/>
              <w:overflowPunct/>
              <w:topLinePunct w:val="0"/>
              <w:bidi w:val="0"/>
              <w:spacing w:line="560" w:lineRule="exact"/>
              <w:jc w:val="center"/>
              <w:rPr>
                <w:rFonts w:ascii="仿宋" w:hAnsi="仿宋" w:eastAsia="仿宋" w:cs="Times New Roman"/>
                <w:color w:val="000000"/>
                <w:kern w:val="2"/>
                <w:sz w:val="32"/>
                <w:szCs w:val="32"/>
                <w:lang w:val="en-US" w:eastAsia="zh-CN" w:bidi="ar-SA"/>
              </w:rPr>
            </w:pPr>
            <w:r>
              <w:rPr>
                <w:rFonts w:hint="eastAsia" w:ascii="仿宋" w:hAnsi="仿宋" w:eastAsia="仿宋"/>
                <w:color w:val="000000"/>
                <w:sz w:val="32"/>
                <w:szCs w:val="32"/>
              </w:rPr>
              <w:t>302</w:t>
            </w:r>
          </w:p>
        </w:tc>
        <w:tc>
          <w:tcPr>
            <w:tcW w:w="1726" w:type="dxa"/>
            <w:shd w:val="clear" w:color="auto" w:fill="auto"/>
            <w:noWrap w:val="0"/>
            <w:vAlign w:val="top"/>
          </w:tcPr>
          <w:p>
            <w:pPr>
              <w:pageBreakBefore w:val="0"/>
              <w:kinsoku/>
              <w:wordWrap/>
              <w:overflowPunct/>
              <w:topLinePunct w:val="0"/>
              <w:bidi w:val="0"/>
              <w:spacing w:line="560" w:lineRule="exact"/>
              <w:jc w:val="center"/>
              <w:rPr>
                <w:rFonts w:ascii="仿宋" w:hAnsi="仿宋" w:eastAsia="仿宋" w:cs="Times New Roman"/>
                <w:color w:val="000000"/>
                <w:kern w:val="2"/>
                <w:sz w:val="32"/>
                <w:szCs w:val="32"/>
                <w:lang w:val="en-US" w:eastAsia="zh-CN" w:bidi="ar-SA"/>
              </w:rPr>
            </w:pPr>
            <w:r>
              <w:rPr>
                <w:rFonts w:hint="eastAsia" w:ascii="仿宋" w:hAnsi="仿宋" w:eastAsia="仿宋"/>
                <w:color w:val="000000"/>
                <w:sz w:val="32"/>
                <w:szCs w:val="32"/>
              </w:rPr>
              <w:t>11</w:t>
            </w:r>
          </w:p>
        </w:tc>
        <w:tc>
          <w:tcPr>
            <w:tcW w:w="3419" w:type="dxa"/>
            <w:shd w:val="clear" w:color="auto" w:fill="auto"/>
            <w:noWrap w:val="0"/>
            <w:vAlign w:val="top"/>
          </w:tcPr>
          <w:p>
            <w:pPr>
              <w:pageBreakBefore w:val="0"/>
              <w:kinsoku/>
              <w:wordWrap/>
              <w:overflowPunct/>
              <w:topLinePunct w:val="0"/>
              <w:bidi w:val="0"/>
              <w:spacing w:line="560" w:lineRule="exact"/>
              <w:jc w:val="center"/>
              <w:rPr>
                <w:rFonts w:ascii="仿宋" w:hAnsi="仿宋" w:eastAsia="仿宋" w:cs="Times New Roman"/>
                <w:color w:val="000000"/>
                <w:kern w:val="2"/>
                <w:sz w:val="32"/>
                <w:szCs w:val="32"/>
                <w:lang w:val="en-US" w:eastAsia="zh-CN" w:bidi="ar-SA"/>
              </w:rPr>
            </w:pPr>
            <w:r>
              <w:rPr>
                <w:rFonts w:hint="eastAsia" w:ascii="仿宋" w:hAnsi="仿宋" w:eastAsia="仿宋"/>
                <w:color w:val="000000"/>
                <w:sz w:val="32"/>
                <w:szCs w:val="32"/>
              </w:rPr>
              <w:t>差旅费</w:t>
            </w:r>
          </w:p>
        </w:tc>
        <w:tc>
          <w:tcPr>
            <w:tcW w:w="1871" w:type="dxa"/>
            <w:shd w:val="clear" w:color="auto" w:fill="auto"/>
            <w:noWrap w:val="0"/>
            <w:vAlign w:val="top"/>
          </w:tcPr>
          <w:p>
            <w:pPr>
              <w:pageBreakBefore w:val="0"/>
              <w:kinsoku/>
              <w:wordWrap/>
              <w:overflowPunct/>
              <w:topLinePunct w:val="0"/>
              <w:bidi w:val="0"/>
              <w:spacing w:line="560" w:lineRule="exact"/>
              <w:jc w:val="center"/>
              <w:rPr>
                <w:rFonts w:hint="default" w:ascii="仿宋" w:hAnsi="仿宋" w:eastAsia="仿宋" w:cs="Times New Roman"/>
                <w:color w:val="000000"/>
                <w:kern w:val="2"/>
                <w:sz w:val="32"/>
                <w:szCs w:val="32"/>
                <w:lang w:val="en-US" w:eastAsia="zh-CN" w:bidi="ar-SA"/>
              </w:rPr>
            </w:pPr>
            <w:r>
              <w:rPr>
                <w:rFonts w:hint="eastAsia" w:ascii="仿宋" w:hAnsi="仿宋" w:eastAsia="仿宋"/>
                <w:color w:val="000000"/>
                <w:sz w:val="32"/>
                <w:szCs w:val="32"/>
                <w:lang w:val="en-US" w:eastAsia="zh-CN"/>
              </w:rPr>
              <w:t>5.84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4" w:type="dxa"/>
            <w:shd w:val="clear" w:color="auto" w:fill="auto"/>
            <w:noWrap w:val="0"/>
            <w:vAlign w:val="top"/>
          </w:tcPr>
          <w:p>
            <w:pPr>
              <w:pageBreakBefore w:val="0"/>
              <w:kinsoku/>
              <w:wordWrap/>
              <w:overflowPunct/>
              <w:topLinePunct w:val="0"/>
              <w:bidi w:val="0"/>
              <w:spacing w:line="560" w:lineRule="exact"/>
              <w:jc w:val="center"/>
              <w:rPr>
                <w:rFonts w:ascii="仿宋" w:hAnsi="仿宋" w:eastAsia="仿宋" w:cs="Times New Roman"/>
                <w:color w:val="000000"/>
                <w:kern w:val="2"/>
                <w:sz w:val="32"/>
                <w:szCs w:val="32"/>
                <w:lang w:val="en-US" w:eastAsia="zh-CN" w:bidi="ar-SA"/>
              </w:rPr>
            </w:pPr>
            <w:r>
              <w:rPr>
                <w:rFonts w:hint="eastAsia" w:ascii="仿宋" w:hAnsi="仿宋" w:eastAsia="仿宋"/>
                <w:color w:val="000000"/>
                <w:sz w:val="32"/>
                <w:szCs w:val="32"/>
              </w:rPr>
              <w:t>302</w:t>
            </w:r>
          </w:p>
        </w:tc>
        <w:tc>
          <w:tcPr>
            <w:tcW w:w="1726" w:type="dxa"/>
            <w:shd w:val="clear" w:color="auto" w:fill="auto"/>
            <w:noWrap w:val="0"/>
            <w:vAlign w:val="top"/>
          </w:tcPr>
          <w:p>
            <w:pPr>
              <w:pageBreakBefore w:val="0"/>
              <w:kinsoku/>
              <w:wordWrap/>
              <w:overflowPunct/>
              <w:topLinePunct w:val="0"/>
              <w:bidi w:val="0"/>
              <w:spacing w:line="560" w:lineRule="exact"/>
              <w:jc w:val="center"/>
              <w:rPr>
                <w:rFonts w:ascii="仿宋" w:hAnsi="仿宋" w:eastAsia="仿宋" w:cs="Times New Roman"/>
                <w:color w:val="000000"/>
                <w:kern w:val="2"/>
                <w:sz w:val="32"/>
                <w:szCs w:val="32"/>
                <w:lang w:val="en-US" w:eastAsia="zh-CN" w:bidi="ar-SA"/>
              </w:rPr>
            </w:pPr>
            <w:r>
              <w:rPr>
                <w:rFonts w:hint="eastAsia" w:ascii="仿宋" w:hAnsi="仿宋" w:eastAsia="仿宋"/>
                <w:color w:val="000000"/>
                <w:sz w:val="32"/>
                <w:szCs w:val="32"/>
              </w:rPr>
              <w:t>13</w:t>
            </w:r>
          </w:p>
        </w:tc>
        <w:tc>
          <w:tcPr>
            <w:tcW w:w="3419" w:type="dxa"/>
            <w:shd w:val="clear" w:color="auto" w:fill="auto"/>
            <w:noWrap w:val="0"/>
            <w:vAlign w:val="top"/>
          </w:tcPr>
          <w:p>
            <w:pPr>
              <w:pageBreakBefore w:val="0"/>
              <w:kinsoku/>
              <w:wordWrap/>
              <w:overflowPunct/>
              <w:topLinePunct w:val="0"/>
              <w:bidi w:val="0"/>
              <w:spacing w:line="560" w:lineRule="exact"/>
              <w:jc w:val="center"/>
              <w:rPr>
                <w:rFonts w:ascii="仿宋" w:hAnsi="仿宋" w:eastAsia="仿宋" w:cs="Times New Roman"/>
                <w:color w:val="000000"/>
                <w:kern w:val="2"/>
                <w:sz w:val="32"/>
                <w:szCs w:val="32"/>
                <w:lang w:val="en-US" w:eastAsia="zh-CN" w:bidi="ar-SA"/>
              </w:rPr>
            </w:pPr>
            <w:r>
              <w:rPr>
                <w:rFonts w:hint="eastAsia" w:ascii="仿宋" w:hAnsi="仿宋" w:eastAsia="仿宋"/>
                <w:color w:val="000000"/>
                <w:sz w:val="32"/>
                <w:szCs w:val="32"/>
              </w:rPr>
              <w:t>维修（护）费</w:t>
            </w:r>
          </w:p>
        </w:tc>
        <w:tc>
          <w:tcPr>
            <w:tcW w:w="1871" w:type="dxa"/>
            <w:shd w:val="clear" w:color="auto" w:fill="auto"/>
            <w:noWrap w:val="0"/>
            <w:vAlign w:val="top"/>
          </w:tcPr>
          <w:p>
            <w:pPr>
              <w:pageBreakBefore w:val="0"/>
              <w:kinsoku/>
              <w:wordWrap/>
              <w:overflowPunct/>
              <w:topLinePunct w:val="0"/>
              <w:bidi w:val="0"/>
              <w:spacing w:line="560" w:lineRule="exact"/>
              <w:jc w:val="center"/>
              <w:rPr>
                <w:rFonts w:hint="default" w:ascii="仿宋" w:hAnsi="仿宋" w:eastAsia="仿宋" w:cs="Times New Roman"/>
                <w:color w:val="000000"/>
                <w:kern w:val="2"/>
                <w:sz w:val="32"/>
                <w:szCs w:val="32"/>
                <w:lang w:val="en-US" w:eastAsia="zh-CN" w:bidi="ar-SA"/>
              </w:rPr>
            </w:pPr>
            <w:r>
              <w:rPr>
                <w:rFonts w:hint="eastAsia" w:ascii="仿宋" w:hAnsi="仿宋" w:eastAsia="仿宋"/>
                <w:color w:val="000000"/>
                <w:sz w:val="32"/>
                <w:szCs w:val="32"/>
                <w:lang w:val="en-US" w:eastAsia="zh-CN"/>
              </w:rPr>
              <w:t>4.95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4" w:type="dxa"/>
            <w:shd w:val="clear" w:color="auto" w:fill="auto"/>
            <w:noWrap w:val="0"/>
            <w:vAlign w:val="top"/>
          </w:tcPr>
          <w:p>
            <w:pPr>
              <w:pageBreakBefore w:val="0"/>
              <w:kinsoku/>
              <w:wordWrap/>
              <w:overflowPunct/>
              <w:topLinePunct w:val="0"/>
              <w:bidi w:val="0"/>
              <w:spacing w:line="560" w:lineRule="exact"/>
              <w:jc w:val="center"/>
              <w:rPr>
                <w:rFonts w:hint="eastAsia" w:ascii="仿宋" w:hAnsi="仿宋" w:eastAsia="仿宋" w:cs="Times New Roman"/>
                <w:color w:val="000000"/>
                <w:kern w:val="2"/>
                <w:sz w:val="32"/>
                <w:szCs w:val="32"/>
                <w:lang w:val="en-US" w:eastAsia="zh-CN" w:bidi="ar-SA"/>
              </w:rPr>
            </w:pPr>
            <w:r>
              <w:rPr>
                <w:rFonts w:hint="eastAsia" w:ascii="仿宋" w:hAnsi="仿宋" w:eastAsia="仿宋"/>
                <w:color w:val="000000"/>
                <w:sz w:val="32"/>
                <w:szCs w:val="32"/>
                <w:lang w:val="en-US" w:eastAsia="zh-CN"/>
              </w:rPr>
              <w:t>302</w:t>
            </w:r>
          </w:p>
        </w:tc>
        <w:tc>
          <w:tcPr>
            <w:tcW w:w="1726" w:type="dxa"/>
            <w:shd w:val="clear" w:color="auto" w:fill="auto"/>
            <w:noWrap w:val="0"/>
            <w:vAlign w:val="top"/>
          </w:tcPr>
          <w:p>
            <w:pPr>
              <w:pageBreakBefore w:val="0"/>
              <w:kinsoku/>
              <w:wordWrap/>
              <w:overflowPunct/>
              <w:topLinePunct w:val="0"/>
              <w:bidi w:val="0"/>
              <w:spacing w:line="560" w:lineRule="exact"/>
              <w:jc w:val="center"/>
              <w:rPr>
                <w:rFonts w:hint="eastAsia" w:ascii="仿宋" w:hAnsi="仿宋" w:eastAsia="仿宋" w:cs="Times New Roman"/>
                <w:color w:val="000000"/>
                <w:kern w:val="2"/>
                <w:sz w:val="32"/>
                <w:szCs w:val="32"/>
                <w:lang w:val="en-US" w:eastAsia="zh-CN" w:bidi="ar-SA"/>
              </w:rPr>
            </w:pPr>
            <w:r>
              <w:rPr>
                <w:rFonts w:hint="eastAsia" w:ascii="仿宋" w:hAnsi="仿宋" w:eastAsia="仿宋"/>
                <w:color w:val="000000"/>
                <w:sz w:val="32"/>
                <w:szCs w:val="32"/>
              </w:rPr>
              <w:t>26</w:t>
            </w:r>
          </w:p>
        </w:tc>
        <w:tc>
          <w:tcPr>
            <w:tcW w:w="3419" w:type="dxa"/>
            <w:shd w:val="clear" w:color="auto" w:fill="auto"/>
            <w:noWrap w:val="0"/>
            <w:vAlign w:val="top"/>
          </w:tcPr>
          <w:p>
            <w:pPr>
              <w:pageBreakBefore w:val="0"/>
              <w:kinsoku/>
              <w:wordWrap/>
              <w:overflowPunct/>
              <w:topLinePunct w:val="0"/>
              <w:bidi w:val="0"/>
              <w:spacing w:line="560" w:lineRule="exact"/>
              <w:jc w:val="center"/>
              <w:rPr>
                <w:rFonts w:hint="eastAsia" w:ascii="仿宋" w:hAnsi="仿宋" w:eastAsia="仿宋" w:cs="Times New Roman"/>
                <w:color w:val="000000"/>
                <w:kern w:val="2"/>
                <w:sz w:val="32"/>
                <w:szCs w:val="32"/>
                <w:lang w:val="en-US" w:eastAsia="zh-CN" w:bidi="ar-SA"/>
              </w:rPr>
            </w:pPr>
            <w:r>
              <w:rPr>
                <w:rFonts w:hint="eastAsia" w:ascii="仿宋" w:hAnsi="仿宋" w:eastAsia="仿宋"/>
                <w:color w:val="000000"/>
                <w:sz w:val="32"/>
                <w:szCs w:val="32"/>
              </w:rPr>
              <w:t>劳务费</w:t>
            </w:r>
          </w:p>
        </w:tc>
        <w:tc>
          <w:tcPr>
            <w:tcW w:w="1871" w:type="dxa"/>
            <w:shd w:val="clear" w:color="auto" w:fill="auto"/>
            <w:noWrap w:val="0"/>
            <w:vAlign w:val="top"/>
          </w:tcPr>
          <w:p>
            <w:pPr>
              <w:pageBreakBefore w:val="0"/>
              <w:kinsoku/>
              <w:wordWrap/>
              <w:overflowPunct/>
              <w:topLinePunct w:val="0"/>
              <w:bidi w:val="0"/>
              <w:spacing w:line="560" w:lineRule="exact"/>
              <w:jc w:val="center"/>
              <w:rPr>
                <w:rFonts w:hint="default" w:ascii="仿宋" w:hAnsi="仿宋" w:eastAsia="仿宋" w:cs="Times New Roman"/>
                <w:color w:val="000000"/>
                <w:kern w:val="2"/>
                <w:sz w:val="32"/>
                <w:szCs w:val="32"/>
                <w:lang w:val="en-US" w:eastAsia="zh-CN" w:bidi="ar-SA"/>
              </w:rPr>
            </w:pPr>
            <w:r>
              <w:rPr>
                <w:rFonts w:hint="eastAsia" w:ascii="仿宋" w:hAnsi="仿宋" w:eastAsia="仿宋"/>
                <w:color w:val="000000"/>
                <w:sz w:val="32"/>
                <w:szCs w:val="32"/>
                <w:lang w:val="en-US" w:eastAsia="zh-CN"/>
              </w:rPr>
              <w:t>5.40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4" w:type="dxa"/>
            <w:noWrap w:val="0"/>
            <w:vAlign w:val="top"/>
          </w:tcPr>
          <w:p>
            <w:pPr>
              <w:pageBreakBefore w:val="0"/>
              <w:tabs>
                <w:tab w:val="left" w:pos="1790"/>
              </w:tabs>
              <w:kinsoku/>
              <w:wordWrap/>
              <w:overflowPunct/>
              <w:topLinePunct w:val="0"/>
              <w:bidi w:val="0"/>
              <w:spacing w:line="560" w:lineRule="exact"/>
              <w:jc w:val="center"/>
              <w:rPr>
                <w:rFonts w:hint="eastAsia" w:ascii="仿宋" w:hAnsi="仿宋" w:eastAsia="仿宋"/>
                <w:color w:val="000000"/>
                <w:sz w:val="32"/>
                <w:szCs w:val="32"/>
                <w:lang w:val="en-US" w:eastAsia="zh-CN"/>
              </w:rPr>
            </w:pPr>
            <w:r>
              <w:rPr>
                <w:rFonts w:hint="eastAsia" w:ascii="仿宋" w:hAnsi="仿宋" w:eastAsia="仿宋"/>
                <w:color w:val="000000"/>
                <w:sz w:val="32"/>
                <w:szCs w:val="32"/>
                <w:lang w:val="en-US" w:eastAsia="zh-CN"/>
              </w:rPr>
              <w:t>302</w:t>
            </w:r>
          </w:p>
        </w:tc>
        <w:tc>
          <w:tcPr>
            <w:tcW w:w="1726" w:type="dxa"/>
            <w:noWrap w:val="0"/>
            <w:vAlign w:val="top"/>
          </w:tcPr>
          <w:p>
            <w:pPr>
              <w:pageBreakBefore w:val="0"/>
              <w:kinsoku/>
              <w:wordWrap/>
              <w:overflowPunct/>
              <w:topLinePunct w:val="0"/>
              <w:bidi w:val="0"/>
              <w:spacing w:line="560" w:lineRule="exact"/>
              <w:jc w:val="center"/>
              <w:rPr>
                <w:rFonts w:hint="eastAsia" w:ascii="仿宋" w:hAnsi="仿宋" w:eastAsia="仿宋"/>
                <w:color w:val="000000"/>
                <w:sz w:val="32"/>
                <w:szCs w:val="32"/>
              </w:rPr>
            </w:pPr>
            <w:r>
              <w:rPr>
                <w:rFonts w:hint="eastAsia" w:ascii="仿宋" w:hAnsi="仿宋" w:eastAsia="仿宋"/>
                <w:color w:val="000000"/>
                <w:sz w:val="32"/>
                <w:szCs w:val="32"/>
              </w:rPr>
              <w:t>31</w:t>
            </w:r>
          </w:p>
        </w:tc>
        <w:tc>
          <w:tcPr>
            <w:tcW w:w="3419" w:type="dxa"/>
            <w:noWrap w:val="0"/>
            <w:vAlign w:val="top"/>
          </w:tcPr>
          <w:p>
            <w:pPr>
              <w:pageBreakBefore w:val="0"/>
              <w:kinsoku/>
              <w:wordWrap/>
              <w:overflowPunct/>
              <w:topLinePunct w:val="0"/>
              <w:bidi w:val="0"/>
              <w:spacing w:line="560" w:lineRule="exact"/>
              <w:jc w:val="center"/>
              <w:rPr>
                <w:rFonts w:hint="eastAsia" w:ascii="仿宋" w:hAnsi="仿宋" w:eastAsia="仿宋"/>
                <w:color w:val="000000"/>
                <w:sz w:val="32"/>
                <w:szCs w:val="32"/>
              </w:rPr>
            </w:pPr>
            <w:r>
              <w:rPr>
                <w:rFonts w:hint="eastAsia" w:ascii="仿宋" w:hAnsi="仿宋" w:eastAsia="仿宋"/>
                <w:color w:val="000000"/>
                <w:sz w:val="32"/>
                <w:szCs w:val="32"/>
              </w:rPr>
              <w:t>公务用车运行维护费</w:t>
            </w:r>
          </w:p>
        </w:tc>
        <w:tc>
          <w:tcPr>
            <w:tcW w:w="1871" w:type="dxa"/>
            <w:noWrap w:val="0"/>
            <w:vAlign w:val="top"/>
          </w:tcPr>
          <w:p>
            <w:pPr>
              <w:pageBreakBefore w:val="0"/>
              <w:kinsoku/>
              <w:wordWrap/>
              <w:overflowPunct/>
              <w:topLinePunct w:val="0"/>
              <w:bidi w:val="0"/>
              <w:spacing w:line="560" w:lineRule="exact"/>
              <w:jc w:val="center"/>
              <w:rPr>
                <w:rFonts w:hint="default" w:ascii="仿宋" w:hAnsi="仿宋" w:eastAsia="仿宋"/>
                <w:color w:val="000000"/>
                <w:sz w:val="32"/>
                <w:szCs w:val="32"/>
                <w:lang w:val="en-US" w:eastAsia="zh-CN"/>
              </w:rPr>
            </w:pPr>
            <w:r>
              <w:rPr>
                <w:rFonts w:hint="eastAsia" w:ascii="仿宋" w:hAnsi="仿宋" w:eastAsia="仿宋"/>
                <w:color w:val="000000"/>
                <w:sz w:val="32"/>
                <w:szCs w:val="32"/>
                <w:lang w:val="en-US" w:eastAsia="zh-CN"/>
              </w:rPr>
              <w:t>4.48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4" w:type="dxa"/>
            <w:noWrap w:val="0"/>
            <w:vAlign w:val="top"/>
          </w:tcPr>
          <w:p>
            <w:pPr>
              <w:pageBreakBefore w:val="0"/>
              <w:tabs>
                <w:tab w:val="left" w:pos="1790"/>
              </w:tabs>
              <w:kinsoku/>
              <w:wordWrap/>
              <w:overflowPunct/>
              <w:topLinePunct w:val="0"/>
              <w:bidi w:val="0"/>
              <w:spacing w:line="560" w:lineRule="exact"/>
              <w:jc w:val="center"/>
              <w:rPr>
                <w:rFonts w:hint="default" w:ascii="仿宋" w:hAnsi="仿宋" w:eastAsia="仿宋"/>
                <w:color w:val="000000"/>
                <w:sz w:val="32"/>
                <w:szCs w:val="32"/>
                <w:lang w:val="en-US" w:eastAsia="zh-CN"/>
              </w:rPr>
            </w:pPr>
            <w:r>
              <w:rPr>
                <w:rFonts w:hint="eastAsia" w:ascii="仿宋" w:hAnsi="仿宋" w:eastAsia="仿宋"/>
                <w:color w:val="000000"/>
                <w:sz w:val="32"/>
                <w:szCs w:val="32"/>
                <w:lang w:val="en-US" w:eastAsia="zh-CN"/>
              </w:rPr>
              <w:t>302</w:t>
            </w:r>
          </w:p>
        </w:tc>
        <w:tc>
          <w:tcPr>
            <w:tcW w:w="1726" w:type="dxa"/>
            <w:noWrap w:val="0"/>
            <w:vAlign w:val="top"/>
          </w:tcPr>
          <w:p>
            <w:pPr>
              <w:pageBreakBefore w:val="0"/>
              <w:kinsoku/>
              <w:wordWrap/>
              <w:overflowPunct/>
              <w:topLinePunct w:val="0"/>
              <w:bidi w:val="0"/>
              <w:spacing w:line="560" w:lineRule="exact"/>
              <w:jc w:val="center"/>
              <w:rPr>
                <w:rFonts w:hint="default" w:ascii="仿宋" w:hAnsi="仿宋" w:eastAsia="仿宋"/>
                <w:color w:val="000000"/>
                <w:sz w:val="32"/>
                <w:szCs w:val="32"/>
                <w:lang w:val="en-US" w:eastAsia="zh-CN"/>
              </w:rPr>
            </w:pPr>
            <w:r>
              <w:rPr>
                <w:rFonts w:hint="eastAsia" w:ascii="仿宋" w:hAnsi="仿宋" w:eastAsia="仿宋"/>
                <w:color w:val="000000"/>
                <w:sz w:val="32"/>
                <w:szCs w:val="32"/>
                <w:lang w:val="en-US" w:eastAsia="zh-CN"/>
              </w:rPr>
              <w:t>99</w:t>
            </w:r>
          </w:p>
        </w:tc>
        <w:tc>
          <w:tcPr>
            <w:tcW w:w="3419" w:type="dxa"/>
            <w:noWrap w:val="0"/>
            <w:vAlign w:val="top"/>
          </w:tcPr>
          <w:p>
            <w:pPr>
              <w:pageBreakBefore w:val="0"/>
              <w:kinsoku/>
              <w:wordWrap/>
              <w:overflowPunct/>
              <w:topLinePunct w:val="0"/>
              <w:bidi w:val="0"/>
              <w:spacing w:line="560" w:lineRule="exact"/>
              <w:jc w:val="center"/>
              <w:rPr>
                <w:rFonts w:hint="eastAsia" w:ascii="仿宋" w:hAnsi="仿宋" w:eastAsia="仿宋"/>
                <w:color w:val="000000"/>
                <w:sz w:val="32"/>
                <w:szCs w:val="32"/>
              </w:rPr>
            </w:pPr>
            <w:r>
              <w:rPr>
                <w:rFonts w:hint="eastAsia" w:ascii="仿宋" w:hAnsi="仿宋" w:eastAsia="仿宋"/>
                <w:color w:val="000000"/>
                <w:sz w:val="32"/>
                <w:szCs w:val="32"/>
              </w:rPr>
              <w:t>其他商品和服务支出</w:t>
            </w:r>
          </w:p>
        </w:tc>
        <w:tc>
          <w:tcPr>
            <w:tcW w:w="1871" w:type="dxa"/>
            <w:noWrap w:val="0"/>
            <w:vAlign w:val="top"/>
          </w:tcPr>
          <w:p>
            <w:pPr>
              <w:pageBreakBefore w:val="0"/>
              <w:kinsoku/>
              <w:wordWrap/>
              <w:overflowPunct/>
              <w:topLinePunct w:val="0"/>
              <w:bidi w:val="0"/>
              <w:spacing w:line="560" w:lineRule="exact"/>
              <w:jc w:val="center"/>
              <w:rPr>
                <w:rFonts w:hint="default" w:ascii="仿宋" w:hAnsi="仿宋" w:eastAsia="仿宋"/>
                <w:color w:val="000000"/>
                <w:sz w:val="32"/>
                <w:szCs w:val="32"/>
                <w:lang w:val="en-US" w:eastAsia="zh-CN"/>
              </w:rPr>
            </w:pPr>
            <w:r>
              <w:rPr>
                <w:rFonts w:hint="eastAsia" w:ascii="仿宋" w:hAnsi="仿宋" w:eastAsia="仿宋"/>
                <w:color w:val="000000"/>
                <w:sz w:val="32"/>
                <w:szCs w:val="32"/>
                <w:lang w:val="en-US" w:eastAsia="zh-CN"/>
              </w:rPr>
              <w:t>10.42</w:t>
            </w:r>
          </w:p>
        </w:tc>
      </w:tr>
    </w:tbl>
    <w:p>
      <w:pPr>
        <w:spacing w:line="600" w:lineRule="exact"/>
        <w:outlineLvl w:val="1"/>
        <w:rPr>
          <w:rFonts w:hint="eastAsia" w:ascii="Times New Roman" w:hAnsi="Times New Roman" w:eastAsia="黑体"/>
          <w:color w:val="auto"/>
          <w:sz w:val="32"/>
          <w:szCs w:val="32"/>
          <w:highlight w:val="none"/>
        </w:rPr>
      </w:pPr>
      <w:bookmarkStart w:id="62" w:name="_Toc15377215"/>
      <w:bookmarkStart w:id="63" w:name="_Toc15396609"/>
    </w:p>
    <w:p>
      <w:pPr>
        <w:spacing w:line="600" w:lineRule="exact"/>
        <w:ind w:firstLine="640"/>
        <w:outlineLvl w:val="1"/>
        <w:rPr>
          <w:rStyle w:val="31"/>
          <w:rFonts w:ascii="Times New Roman" w:hAnsi="Times New Roman" w:eastAsia="黑体"/>
          <w:b w:val="0"/>
          <w:color w:val="auto"/>
          <w:highlight w:val="none"/>
        </w:rPr>
      </w:pPr>
      <w:bookmarkStart w:id="64" w:name="_Toc7302"/>
      <w:r>
        <w:rPr>
          <w:rFonts w:hint="eastAsia" w:ascii="Times New Roman" w:hAnsi="Times New Roman" w:eastAsia="黑体"/>
          <w:color w:val="auto"/>
          <w:sz w:val="32"/>
          <w:szCs w:val="32"/>
          <w:highlight w:val="none"/>
        </w:rPr>
        <w:t>七、</w:t>
      </w:r>
      <w:r>
        <w:rPr>
          <w:rStyle w:val="31"/>
          <w:rFonts w:hint="eastAsia" w:ascii="Times New Roman" w:hAnsi="Times New Roman" w:eastAsia="黑体"/>
          <w:b w:val="0"/>
          <w:color w:val="auto"/>
          <w:highlight w:val="none"/>
        </w:rPr>
        <w:t>财政拨款</w:t>
      </w:r>
      <w:r>
        <w:rPr>
          <w:rStyle w:val="31"/>
          <w:rFonts w:hint="eastAsia" w:ascii="Times New Roman" w:hAnsi="Times New Roman" w:eastAsia="黑体"/>
          <w:color w:val="auto"/>
          <w:highlight w:val="none"/>
        </w:rPr>
        <w:t>“</w:t>
      </w:r>
      <w:r>
        <w:rPr>
          <w:rStyle w:val="31"/>
          <w:rFonts w:hint="eastAsia" w:ascii="Times New Roman" w:hAnsi="Times New Roman" w:eastAsia="黑体"/>
          <w:b w:val="0"/>
          <w:color w:val="auto"/>
          <w:highlight w:val="none"/>
        </w:rPr>
        <w:t>三公”经费支出决算情况说明</w:t>
      </w:r>
      <w:bookmarkEnd w:id="62"/>
      <w:bookmarkEnd w:id="63"/>
      <w:bookmarkEnd w:id="64"/>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65" w:name="_Toc15377216"/>
      <w:r>
        <w:rPr>
          <w:rFonts w:hint="eastAsia" w:ascii="Times New Roman" w:hAnsi="Times New Roman" w:eastAsia="楷体_GB2312" w:cs="楷体_GB2312"/>
          <w:b/>
          <w:color w:val="auto"/>
          <w:sz w:val="32"/>
          <w:szCs w:val="32"/>
          <w:highlight w:val="none"/>
        </w:rPr>
        <w:t>（一）财政拨款“三公”经费支出决算总体情况说明</w:t>
      </w:r>
      <w:bookmarkEnd w:id="65"/>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财政拨款“三公”经费支出决算为</w:t>
      </w:r>
      <w:r>
        <w:rPr>
          <w:rFonts w:hint="eastAsia" w:eastAsia="仿宋_GB2312" w:cs="仿宋_GB2312"/>
          <w:color w:val="auto"/>
          <w:kern w:val="2"/>
          <w:sz w:val="32"/>
          <w:szCs w:val="32"/>
          <w:highlight w:val="none"/>
          <w:lang w:val="en-US" w:eastAsia="zh-CN" w:bidi="ar-SA"/>
        </w:rPr>
        <w:t>4.48</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66.87</w:t>
      </w:r>
      <w:r>
        <w:rPr>
          <w:rFonts w:hint="eastAsia" w:ascii="Times New Roman" w:hAnsi="Times New Roman" w:eastAsia="仿宋_GB2312" w:cs="仿宋_GB2312"/>
          <w:color w:val="auto"/>
          <w:kern w:val="2"/>
          <w:sz w:val="32"/>
          <w:szCs w:val="32"/>
          <w:highlight w:val="none"/>
          <w:lang w:val="en-US" w:eastAsia="zh-CN" w:bidi="ar-SA"/>
        </w:rPr>
        <w:t>%，较上年度减少</w:t>
      </w:r>
      <w:r>
        <w:rPr>
          <w:rFonts w:hint="eastAsia" w:eastAsia="仿宋_GB2312" w:cs="仿宋_GB2312"/>
          <w:color w:val="auto"/>
          <w:kern w:val="2"/>
          <w:sz w:val="32"/>
          <w:szCs w:val="32"/>
          <w:highlight w:val="none"/>
          <w:lang w:val="en-US" w:eastAsia="zh-CN" w:bidi="ar-SA"/>
        </w:rPr>
        <w:t>2.74</w:t>
      </w:r>
      <w:r>
        <w:rPr>
          <w:rFonts w:hint="eastAsia" w:ascii="Times New Roman" w:hAnsi="Times New Roman" w:eastAsia="仿宋_GB2312" w:cs="仿宋_GB2312"/>
          <w:color w:val="auto"/>
          <w:kern w:val="2"/>
          <w:sz w:val="32"/>
          <w:szCs w:val="32"/>
          <w:highlight w:val="none"/>
          <w:lang w:val="en-US" w:eastAsia="zh-CN" w:bidi="ar-SA"/>
        </w:rPr>
        <w:t>万元，下降</w:t>
      </w:r>
      <w:r>
        <w:rPr>
          <w:rFonts w:hint="eastAsia" w:eastAsia="仿宋_GB2312" w:cs="仿宋_GB2312"/>
          <w:color w:val="auto"/>
          <w:kern w:val="2"/>
          <w:sz w:val="32"/>
          <w:szCs w:val="32"/>
          <w:highlight w:val="none"/>
          <w:lang w:val="en-US" w:eastAsia="zh-CN" w:bidi="ar-SA"/>
        </w:rPr>
        <w:t>37.95</w:t>
      </w:r>
      <w:r>
        <w:rPr>
          <w:rFonts w:hint="eastAsia" w:ascii="Times New Roman" w:hAnsi="Times New Roman" w:eastAsia="仿宋_GB2312" w:cs="仿宋_GB2312"/>
          <w:color w:val="auto"/>
          <w:kern w:val="2"/>
          <w:sz w:val="32"/>
          <w:szCs w:val="32"/>
          <w:highlight w:val="none"/>
          <w:lang w:val="en-US" w:eastAsia="zh-CN" w:bidi="ar-SA"/>
        </w:rPr>
        <w:t>%。决算数小于预算数的主要原因是</w:t>
      </w:r>
      <w:r>
        <w:rPr>
          <w:rFonts w:hint="eastAsia" w:eastAsia="仿宋_GB2312" w:cs="仿宋_GB2312"/>
          <w:color w:val="auto"/>
          <w:kern w:val="2"/>
          <w:sz w:val="32"/>
          <w:szCs w:val="32"/>
          <w:highlight w:val="none"/>
          <w:lang w:val="en-US" w:eastAsia="zh-CN" w:bidi="ar-SA"/>
        </w:rPr>
        <w:t>医</w:t>
      </w:r>
      <w:r>
        <w:rPr>
          <w:rFonts w:hint="eastAsia" w:ascii="Times New Roman" w:hAnsi="Times New Roman" w:eastAsia="仿宋_GB2312" w:cs="仿宋_GB2312"/>
          <w:color w:val="auto"/>
          <w:kern w:val="2"/>
          <w:sz w:val="32"/>
          <w:szCs w:val="32"/>
          <w:highlight w:val="none"/>
          <w:lang w:val="en-US" w:eastAsia="zh-CN" w:bidi="ar-SA"/>
        </w:rPr>
        <w:t>共体建设，产生的费用部分由</w:t>
      </w:r>
      <w:r>
        <w:rPr>
          <w:rFonts w:hint="eastAsia" w:eastAsia="仿宋_GB2312" w:cs="仿宋_GB2312"/>
          <w:color w:val="auto"/>
          <w:kern w:val="2"/>
          <w:sz w:val="32"/>
          <w:szCs w:val="32"/>
          <w:highlight w:val="none"/>
          <w:lang w:val="en-US" w:eastAsia="zh-CN" w:bidi="ar-SA"/>
        </w:rPr>
        <w:t>壤塘县人民医院</w:t>
      </w:r>
      <w:r>
        <w:rPr>
          <w:rFonts w:hint="eastAsia" w:ascii="Times New Roman" w:hAnsi="Times New Roman" w:eastAsia="仿宋_GB2312" w:cs="仿宋_GB2312"/>
          <w:color w:val="auto"/>
          <w:kern w:val="2"/>
          <w:sz w:val="32"/>
          <w:szCs w:val="32"/>
          <w:highlight w:val="none"/>
          <w:lang w:val="en-US" w:eastAsia="zh-CN" w:bidi="ar-SA"/>
        </w:rPr>
        <w:t>承担，导致2025年保健院的支出减少。</w:t>
      </w:r>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66" w:name="_Toc15377217"/>
      <w:r>
        <w:rPr>
          <w:rFonts w:hint="eastAsia" w:ascii="Times New Roman" w:hAnsi="Times New Roman" w:eastAsia="楷体_GB2312" w:cs="楷体_GB2312"/>
          <w:b/>
          <w:color w:val="auto"/>
          <w:sz w:val="32"/>
          <w:szCs w:val="32"/>
          <w:highlight w:val="none"/>
        </w:rPr>
        <w:t>（二）财政拨款“三公”经费支出决算具体情况说明</w:t>
      </w:r>
      <w:bookmarkEnd w:id="66"/>
    </w:p>
    <w:p>
      <w:pPr>
        <w:spacing w:line="600" w:lineRule="exact"/>
        <w:ind w:firstLine="640" w:firstLineChars="200"/>
        <w:outlineLvl w:val="2"/>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2025年度财政拨款“三公”经费支出决算中，因公出国（境）费支出决0万元，占0%；公务用车购置及运行维护费支出决算4.48万元，占100%；公务接待费支出决算0万元，占0%。具体情况如下：</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drawing>
          <wp:anchor distT="0" distB="0" distL="114300" distR="114300" simplePos="0" relativeHeight="251660288" behindDoc="0" locked="0" layoutInCell="1" allowOverlap="1">
            <wp:simplePos x="0" y="0"/>
            <wp:positionH relativeFrom="column">
              <wp:posOffset>364490</wp:posOffset>
            </wp:positionH>
            <wp:positionV relativeFrom="page">
              <wp:posOffset>1231900</wp:posOffset>
            </wp:positionV>
            <wp:extent cx="4236085" cy="2571750"/>
            <wp:effectExtent l="4445" t="4445" r="7620" b="14605"/>
            <wp:wrapSquare wrapText="bothSides"/>
            <wp:docPr id="12"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anchor>
        </w:drawing>
      </w:r>
      <w:r>
        <w:rPr>
          <w:rFonts w:hint="eastAsia" w:ascii="Times New Roman" w:hAnsi="Times New Roman" w:eastAsia="仿宋_GB2312" w:cs="仿宋_GB2312"/>
          <w:color w:val="auto"/>
          <w:kern w:val="2"/>
          <w:sz w:val="32"/>
          <w:szCs w:val="32"/>
          <w:highlight w:val="none"/>
          <w:lang w:val="en-US" w:eastAsia="zh-CN" w:bidi="ar-SA"/>
        </w:rPr>
        <w:t>（图7：财政拨款“三公”经费支出结构）</w:t>
      </w:r>
    </w:p>
    <w:p>
      <w:pPr>
        <w:keepNext w:val="0"/>
        <w:keepLines w:val="0"/>
        <w:pageBreakBefore w:val="0"/>
        <w:widowControl w:val="0"/>
        <w:kinsoku/>
        <w:wordWrap/>
        <w:overflowPunct/>
        <w:topLinePunct w:val="0"/>
        <w:autoSpaceDE/>
        <w:autoSpaceDN/>
        <w:bidi w:val="0"/>
        <w:adjustRightInd/>
        <w:snapToGrid/>
        <w:spacing w:line="600" w:lineRule="exact"/>
        <w:ind w:firstLine="642" w:firstLineChars="200"/>
        <w:textAlignment w:val="auto"/>
        <w:rPr>
          <w:rFonts w:ascii="仿宋_GB2312" w:eastAsia="仿宋_GB2312"/>
          <w:b/>
          <w:color w:val="auto"/>
          <w:sz w:val="32"/>
          <w:szCs w:val="32"/>
          <w:highlight w:val="none"/>
        </w:rPr>
      </w:pPr>
      <w:r>
        <w:rPr>
          <w:rFonts w:hint="eastAsia" w:ascii="Times New Roman" w:hAnsi="Times New Roman" w:eastAsia="仿宋_GB2312" w:cs="仿宋_GB2312"/>
          <w:b/>
          <w:bCs/>
          <w:color w:val="auto"/>
          <w:kern w:val="2"/>
          <w:sz w:val="32"/>
          <w:szCs w:val="32"/>
          <w:highlight w:val="none"/>
          <w:lang w:val="en-US" w:eastAsia="zh-CN" w:bidi="ar-SA"/>
        </w:rPr>
        <w:t>1.因公出国（境）经费支出</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全年安排因公出国（境）团组</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次，出国（境）</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人。</w:t>
      </w:r>
      <w:r>
        <w:rPr>
          <w:rFonts w:hint="eastAsia" w:ascii="仿宋_GB2312" w:eastAsia="仿宋_GB2312"/>
          <w:color w:val="auto"/>
          <w:sz w:val="32"/>
          <w:szCs w:val="32"/>
          <w:highlight w:val="none"/>
        </w:rPr>
        <w:t>支出决算比</w:t>
      </w:r>
      <w:r>
        <w:rPr>
          <w:rFonts w:hint="eastAsia" w:ascii="仿宋_GB2312" w:eastAsia="仿宋_GB2312"/>
          <w:color w:val="auto"/>
          <w:sz w:val="32"/>
          <w:szCs w:val="32"/>
          <w:highlight w:val="none"/>
          <w:lang w:eastAsia="zh-CN"/>
        </w:rPr>
        <w:t>202</w:t>
      </w:r>
      <w:r>
        <w:rPr>
          <w:rFonts w:hint="eastAsia" w:ascii="仿宋_GB2312" w:eastAsia="仿宋_GB2312"/>
          <w:color w:val="auto"/>
          <w:sz w:val="32"/>
          <w:szCs w:val="32"/>
          <w:highlight w:val="none"/>
          <w:lang w:val="en-US" w:eastAsia="zh-CN"/>
        </w:rPr>
        <w:t>4</w:t>
      </w:r>
      <w:r>
        <w:rPr>
          <w:rFonts w:hint="eastAsia" w:ascii="仿宋_GB2312" w:eastAsia="仿宋_GB2312"/>
          <w:color w:val="auto"/>
          <w:sz w:val="32"/>
          <w:szCs w:val="32"/>
          <w:highlight w:val="none"/>
        </w:rPr>
        <w:t>年</w:t>
      </w:r>
      <w:r>
        <w:rPr>
          <w:rFonts w:hint="eastAsia" w:ascii="仿宋_GB2312" w:eastAsia="仿宋_GB2312"/>
          <w:color w:val="auto"/>
          <w:sz w:val="32"/>
          <w:szCs w:val="32"/>
          <w:highlight w:val="none"/>
          <w:lang w:eastAsia="zh-CN"/>
        </w:rPr>
        <w:t>度持平</w:t>
      </w:r>
      <w:r>
        <w:rPr>
          <w:rFonts w:hint="eastAsia" w:ascii="仿宋_GB2312" w:eastAsia="仿宋_GB2312"/>
          <w:color w:val="auto"/>
          <w:sz w:val="32"/>
          <w:szCs w:val="32"/>
          <w:highlight w:val="none"/>
        </w:rPr>
        <w:t>。主要原因是</w:t>
      </w:r>
      <w:r>
        <w:rPr>
          <w:rFonts w:hint="eastAsia" w:ascii="仿宋_GB2312" w:eastAsia="仿宋_GB2312"/>
          <w:color w:val="auto"/>
          <w:sz w:val="32"/>
          <w:szCs w:val="32"/>
          <w:highlight w:val="none"/>
          <w:lang w:eastAsia="zh-CN"/>
        </w:rPr>
        <w:t>我单位不涉及因公出国人员</w:t>
      </w:r>
      <w:r>
        <w:rPr>
          <w:rFonts w:hint="eastAsia" w:ascii="仿宋_GB2312" w:eastAsia="仿宋_GB2312"/>
          <w:color w:val="auto"/>
          <w:sz w:val="32"/>
          <w:szCs w:val="32"/>
          <w:highlight w:val="none"/>
        </w:rPr>
        <w:t>。</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2.公务用车购置及运行维护费支出</w:t>
      </w:r>
      <w:r>
        <w:rPr>
          <w:rFonts w:hint="eastAsia" w:eastAsia="仿宋_GB2312" w:cs="仿宋_GB2312"/>
          <w:b/>
          <w:bCs/>
          <w:color w:val="auto"/>
          <w:kern w:val="2"/>
          <w:sz w:val="32"/>
          <w:szCs w:val="32"/>
          <w:highlight w:val="none"/>
          <w:lang w:val="en-US" w:eastAsia="zh-CN" w:bidi="ar-SA"/>
        </w:rPr>
        <w:t>4.48</w:t>
      </w:r>
      <w:r>
        <w:rPr>
          <w:rFonts w:hint="eastAsia" w:ascii="Times New Roman" w:hAnsi="Times New Roman" w:eastAsia="仿宋_GB2312" w:cs="仿宋_GB2312"/>
          <w:b/>
          <w:bCs/>
          <w:color w:val="auto"/>
          <w:kern w:val="2"/>
          <w:sz w:val="32"/>
          <w:szCs w:val="32"/>
          <w:highlight w:val="none"/>
          <w:lang w:val="en-US" w:eastAsia="zh-CN" w:bidi="ar-SA"/>
        </w:rPr>
        <w:t>万元</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完成预算</w:t>
      </w:r>
      <w:r>
        <w:rPr>
          <w:rFonts w:hint="eastAsia" w:eastAsia="仿宋_GB2312" w:cs="仿宋_GB2312"/>
          <w:b/>
          <w:bCs/>
          <w:color w:val="auto"/>
          <w:kern w:val="2"/>
          <w:sz w:val="32"/>
          <w:szCs w:val="32"/>
          <w:highlight w:val="none"/>
          <w:lang w:val="en-US" w:eastAsia="zh-CN" w:bidi="ar-SA"/>
        </w:rPr>
        <w:t>66.87</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公务用车购置及运行维护费支出决算较上年度减少</w:t>
      </w:r>
      <w:r>
        <w:rPr>
          <w:rFonts w:hint="eastAsia" w:eastAsia="仿宋_GB2312" w:cs="仿宋_GB2312"/>
          <w:color w:val="auto"/>
          <w:kern w:val="2"/>
          <w:sz w:val="32"/>
          <w:szCs w:val="32"/>
          <w:highlight w:val="none"/>
          <w:lang w:val="en-US" w:eastAsia="zh-CN" w:bidi="ar-SA"/>
        </w:rPr>
        <w:t>2.74</w:t>
      </w:r>
      <w:r>
        <w:rPr>
          <w:rFonts w:hint="eastAsia" w:ascii="Times New Roman" w:hAnsi="Times New Roman" w:eastAsia="仿宋_GB2312" w:cs="仿宋_GB2312"/>
          <w:color w:val="auto"/>
          <w:kern w:val="2"/>
          <w:sz w:val="32"/>
          <w:szCs w:val="32"/>
          <w:highlight w:val="none"/>
          <w:lang w:val="en-US" w:eastAsia="zh-CN" w:bidi="ar-SA"/>
        </w:rPr>
        <w:t>万元，下降</w:t>
      </w:r>
      <w:r>
        <w:rPr>
          <w:rFonts w:hint="eastAsia" w:eastAsia="仿宋_GB2312" w:cs="仿宋_GB2312"/>
          <w:color w:val="auto"/>
          <w:kern w:val="2"/>
          <w:sz w:val="32"/>
          <w:szCs w:val="32"/>
          <w:highlight w:val="none"/>
          <w:lang w:val="en-US" w:eastAsia="zh-CN" w:bidi="ar-SA"/>
        </w:rPr>
        <w:t>37.95</w:t>
      </w:r>
      <w:r>
        <w:rPr>
          <w:rFonts w:hint="eastAsia" w:ascii="Times New Roman" w:hAnsi="Times New Roman" w:eastAsia="仿宋_GB2312" w:cs="仿宋_GB2312"/>
          <w:color w:val="auto"/>
          <w:kern w:val="2"/>
          <w:sz w:val="32"/>
          <w:szCs w:val="32"/>
          <w:highlight w:val="none"/>
          <w:lang w:val="en-US" w:eastAsia="zh-CN" w:bidi="ar-SA"/>
        </w:rPr>
        <w:t>%。主要原因</w:t>
      </w:r>
      <w:r>
        <w:rPr>
          <w:rFonts w:hint="eastAsia" w:eastAsia="仿宋_GB2312" w:cs="仿宋_GB2312"/>
          <w:color w:val="auto"/>
          <w:kern w:val="2"/>
          <w:sz w:val="32"/>
          <w:szCs w:val="32"/>
          <w:highlight w:val="none"/>
          <w:lang w:val="en-US" w:eastAsia="zh-CN" w:bidi="ar-SA"/>
        </w:rPr>
        <w:t>：医</w:t>
      </w:r>
      <w:r>
        <w:rPr>
          <w:rFonts w:hint="eastAsia" w:ascii="Times New Roman" w:hAnsi="Times New Roman" w:eastAsia="仿宋_GB2312" w:cs="仿宋_GB2312"/>
          <w:color w:val="auto"/>
          <w:kern w:val="2"/>
          <w:sz w:val="32"/>
          <w:szCs w:val="32"/>
          <w:highlight w:val="none"/>
          <w:lang w:val="en-US" w:eastAsia="zh-CN" w:bidi="ar-SA"/>
        </w:rPr>
        <w:t>共体建设，产生的费用部分由</w:t>
      </w:r>
      <w:r>
        <w:rPr>
          <w:rFonts w:hint="eastAsia" w:eastAsia="仿宋_GB2312" w:cs="仿宋_GB2312"/>
          <w:color w:val="auto"/>
          <w:kern w:val="2"/>
          <w:sz w:val="32"/>
          <w:szCs w:val="32"/>
          <w:highlight w:val="none"/>
          <w:lang w:val="en-US" w:eastAsia="zh-CN" w:bidi="ar-SA"/>
        </w:rPr>
        <w:t>壤塘县人民医院</w:t>
      </w:r>
      <w:r>
        <w:rPr>
          <w:rFonts w:hint="eastAsia" w:ascii="Times New Roman" w:hAnsi="Times New Roman" w:eastAsia="仿宋_GB2312" w:cs="仿宋_GB2312"/>
          <w:color w:val="auto"/>
          <w:kern w:val="2"/>
          <w:sz w:val="32"/>
          <w:szCs w:val="32"/>
          <w:highlight w:val="none"/>
          <w:lang w:val="en-US" w:eastAsia="zh-CN" w:bidi="ar-SA"/>
        </w:rPr>
        <w:t>承担，导致2025年保健院的支出减少</w:t>
      </w:r>
      <w:r>
        <w:rPr>
          <w:rFonts w:hint="eastAsia" w:eastAsia="仿宋_GB2312" w:cs="仿宋_GB2312"/>
          <w:color w:val="auto"/>
          <w:kern w:val="2"/>
          <w:sz w:val="32"/>
          <w:szCs w:val="32"/>
          <w:highlight w:val="none"/>
          <w:lang w:val="en-US" w:eastAsia="zh-CN" w:bidi="ar-SA"/>
        </w:rPr>
        <w:t>。</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其中：公务用车购置支出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万元。全年按规定更新购置公务用车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辆，其中：轿车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万元，越野车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万元，载客汽车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万元。截至202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年12月31日，单位共有公务用车</w:t>
      </w: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辆，其中：轿车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辆、越野车</w:t>
      </w: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辆、载客汽车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公务用车运行维护费支出</w:t>
      </w:r>
      <w:r>
        <w:rPr>
          <w:rFonts w:hint="eastAsia" w:eastAsia="仿宋_GB2312" w:cs="仿宋_GB2312"/>
          <w:color w:val="auto"/>
          <w:kern w:val="2"/>
          <w:sz w:val="32"/>
          <w:szCs w:val="32"/>
          <w:highlight w:val="none"/>
          <w:lang w:val="en-US" w:eastAsia="zh-CN" w:bidi="ar-SA"/>
        </w:rPr>
        <w:t>4.48</w:t>
      </w:r>
      <w:r>
        <w:rPr>
          <w:rFonts w:hint="eastAsia" w:ascii="Times New Roman" w:hAnsi="Times New Roman" w:eastAsia="仿宋_GB2312" w:cs="仿宋_GB2312"/>
          <w:color w:val="auto"/>
          <w:kern w:val="2"/>
          <w:sz w:val="32"/>
          <w:szCs w:val="32"/>
          <w:highlight w:val="none"/>
          <w:lang w:val="en-US" w:eastAsia="zh-CN" w:bidi="ar-SA"/>
        </w:rPr>
        <w:t>万元。主要用于</w:t>
      </w:r>
      <w:r>
        <w:rPr>
          <w:rFonts w:hint="eastAsia" w:ascii="仿宋_GB2312" w:eastAsia="仿宋_GB2312"/>
          <w:sz w:val="32"/>
          <w:szCs w:val="32"/>
          <w:lang w:val="en-US" w:eastAsia="zh-CN"/>
        </w:rPr>
        <w:t>下乡开展项目督导（艾滋病、梅毒和乙肝等）、项目培训、妇幼工作督导、开展义诊巡诊、“两癌”项目筛查及车辆保险</w:t>
      </w:r>
      <w:r>
        <w:rPr>
          <w:rFonts w:hint="eastAsia" w:ascii="仿宋_GB2312" w:eastAsia="仿宋_GB2312"/>
          <w:color w:val="auto"/>
          <w:sz w:val="32"/>
          <w:szCs w:val="32"/>
          <w:highlight w:val="none"/>
        </w:rPr>
        <w:t>等</w:t>
      </w:r>
      <w:r>
        <w:rPr>
          <w:rFonts w:hint="eastAsia" w:ascii="Times New Roman" w:hAnsi="Times New Roman" w:eastAsia="仿宋_GB2312" w:cs="仿宋_GB2312"/>
          <w:color w:val="auto"/>
          <w:kern w:val="2"/>
          <w:sz w:val="32"/>
          <w:szCs w:val="32"/>
          <w:highlight w:val="none"/>
          <w:lang w:val="en-US" w:eastAsia="zh-CN" w:bidi="ar-SA"/>
        </w:rPr>
        <w:t>所需的公务用车燃料费、维修费、过路过桥费、保险费等支出。</w:t>
      </w:r>
    </w:p>
    <w:p>
      <w:pPr>
        <w:spacing w:line="600" w:lineRule="exact"/>
        <w:ind w:firstLine="640"/>
        <w:rPr>
          <w:rFonts w:hint="eastAsia" w:ascii="仿宋_GB2312" w:eastAsia="仿宋_GB2312"/>
          <w:color w:val="auto"/>
          <w:sz w:val="32"/>
          <w:szCs w:val="32"/>
          <w:highlight w:val="none"/>
        </w:rPr>
      </w:pPr>
      <w:r>
        <w:rPr>
          <w:rFonts w:hint="eastAsia" w:ascii="Times New Roman" w:hAnsi="Times New Roman" w:eastAsia="仿宋_GB2312" w:cs="仿宋_GB2312"/>
          <w:b/>
          <w:bCs/>
          <w:color w:val="auto"/>
          <w:kern w:val="2"/>
          <w:sz w:val="32"/>
          <w:szCs w:val="32"/>
          <w:highlight w:val="none"/>
          <w:lang w:val="en-US" w:eastAsia="zh-CN" w:bidi="ar-SA"/>
        </w:rPr>
        <w:t>3.公务接待费支出</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公务接待费支出决算比</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w:t>
      </w:r>
      <w:r>
        <w:rPr>
          <w:rFonts w:hint="eastAsia" w:eastAsia="仿宋_GB2312" w:cs="仿宋_GB2312"/>
          <w:color w:val="auto"/>
          <w:kern w:val="2"/>
          <w:sz w:val="32"/>
          <w:szCs w:val="32"/>
          <w:highlight w:val="none"/>
          <w:lang w:val="en-US" w:eastAsia="zh-CN" w:bidi="ar-SA"/>
        </w:rPr>
        <w:t>持平</w:t>
      </w:r>
      <w:r>
        <w:rPr>
          <w:rFonts w:hint="eastAsia" w:ascii="Times New Roman" w:hAnsi="Times New Roman" w:eastAsia="仿宋_GB2312" w:cs="仿宋_GB2312"/>
          <w:color w:val="auto"/>
          <w:kern w:val="2"/>
          <w:sz w:val="32"/>
          <w:szCs w:val="32"/>
          <w:highlight w:val="none"/>
          <w:lang w:val="en-US" w:eastAsia="zh-CN" w:bidi="ar-SA"/>
        </w:rPr>
        <w:t>。主要原因是</w:t>
      </w:r>
      <w:r>
        <w:rPr>
          <w:rFonts w:hint="eastAsia" w:ascii="仿宋_GB2312" w:eastAsia="仿宋_GB2312"/>
          <w:color w:val="auto"/>
          <w:sz w:val="32"/>
          <w:szCs w:val="32"/>
          <w:highlight w:val="none"/>
          <w:lang w:val="en-US" w:eastAsia="zh-CN"/>
        </w:rPr>
        <w:t>2025年度我单位不涉及公务接待事务</w:t>
      </w:r>
      <w:r>
        <w:rPr>
          <w:rFonts w:hint="eastAsia" w:ascii="仿宋_GB2312" w:eastAsia="仿宋_GB2312"/>
          <w:color w:val="auto"/>
          <w:sz w:val="32"/>
          <w:szCs w:val="32"/>
          <w:highlight w:val="none"/>
        </w:rPr>
        <w:t>。</w:t>
      </w:r>
    </w:p>
    <w:p>
      <w:pPr>
        <w:spacing w:line="600" w:lineRule="exact"/>
        <w:ind w:firstLine="640"/>
        <w:outlineLvl w:val="1"/>
        <w:rPr>
          <w:rStyle w:val="31"/>
          <w:rFonts w:ascii="Times New Roman" w:hAnsi="Times New Roman" w:eastAsia="黑体"/>
          <w:color w:val="auto"/>
          <w:highlight w:val="none"/>
        </w:rPr>
      </w:pPr>
      <w:bookmarkStart w:id="67" w:name="_Toc15396610"/>
      <w:bookmarkStart w:id="68" w:name="_Toc21675"/>
      <w:bookmarkStart w:id="69" w:name="_Toc15377218"/>
      <w:r>
        <w:rPr>
          <w:rFonts w:hint="eastAsia" w:ascii="Times New Roman" w:hAnsi="Times New Roman" w:eastAsia="黑体"/>
          <w:color w:val="auto"/>
          <w:sz w:val="32"/>
          <w:szCs w:val="32"/>
          <w:highlight w:val="none"/>
        </w:rPr>
        <w:t>八、</w:t>
      </w:r>
      <w:r>
        <w:rPr>
          <w:rStyle w:val="31"/>
          <w:rFonts w:hint="eastAsia" w:ascii="Times New Roman" w:hAnsi="Times New Roman" w:eastAsia="黑体"/>
          <w:b w:val="0"/>
          <w:color w:val="auto"/>
          <w:highlight w:val="none"/>
        </w:rPr>
        <w:t>政府性基金预算支出决算情况说明</w:t>
      </w:r>
      <w:bookmarkEnd w:id="67"/>
      <w:bookmarkEnd w:id="68"/>
      <w:bookmarkEnd w:id="69"/>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政府性基金预算财政拨款支出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eastAsia="仿宋_GB2312" w:cs="仿宋_GB2312"/>
          <w:color w:val="auto"/>
          <w:kern w:val="2"/>
          <w:sz w:val="32"/>
          <w:szCs w:val="32"/>
          <w:highlight w:val="none"/>
          <w:lang w:val="en-US" w:eastAsia="zh-CN" w:bidi="ar-SA"/>
        </w:rPr>
        <w:t>。</w:t>
      </w:r>
    </w:p>
    <w:p>
      <w:pPr>
        <w:numPr>
          <w:ilvl w:val="0"/>
          <w:numId w:val="0"/>
        </w:numPr>
        <w:spacing w:line="600" w:lineRule="exact"/>
        <w:ind w:left="630" w:leftChars="0"/>
        <w:outlineLvl w:val="1"/>
        <w:rPr>
          <w:rStyle w:val="31"/>
          <w:rFonts w:ascii="Times New Roman" w:hAnsi="Times New Roman" w:eastAsia="黑体"/>
          <w:b w:val="0"/>
          <w:color w:val="auto"/>
          <w:highlight w:val="none"/>
        </w:rPr>
      </w:pPr>
      <w:bookmarkStart w:id="70" w:name="_Toc15396611"/>
      <w:bookmarkStart w:id="71" w:name="_Toc7925"/>
      <w:bookmarkStart w:id="72" w:name="_Toc15377219"/>
      <w:r>
        <w:rPr>
          <w:rStyle w:val="31"/>
          <w:rFonts w:hint="eastAsia" w:ascii="Times New Roman" w:hAnsi="Times New Roman" w:eastAsia="黑体"/>
          <w:b w:val="0"/>
          <w:color w:val="auto"/>
          <w:highlight w:val="none"/>
          <w:lang w:eastAsia="zh-CN"/>
        </w:rPr>
        <w:t>九、</w:t>
      </w:r>
      <w:r>
        <w:rPr>
          <w:rStyle w:val="31"/>
          <w:rFonts w:hint="eastAsia" w:ascii="Times New Roman" w:hAnsi="Times New Roman" w:eastAsia="黑体"/>
          <w:b w:val="0"/>
          <w:color w:val="auto"/>
          <w:highlight w:val="none"/>
        </w:rPr>
        <w:t>国有资本经营预算支出决算情况说明</w:t>
      </w:r>
      <w:bookmarkEnd w:id="70"/>
      <w:bookmarkEnd w:id="71"/>
      <w:bookmarkEnd w:id="72"/>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国有资本经营预算财政拨款支出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eastAsia="仿宋_GB2312" w:cs="仿宋_GB2312"/>
          <w:color w:val="auto"/>
          <w:kern w:val="2"/>
          <w:sz w:val="32"/>
          <w:szCs w:val="32"/>
          <w:highlight w:val="none"/>
          <w:lang w:val="en-US" w:eastAsia="zh-CN" w:bidi="ar-SA"/>
        </w:rPr>
        <w:t>。</w:t>
      </w:r>
    </w:p>
    <w:p>
      <w:pPr>
        <w:numPr>
          <w:ilvl w:val="0"/>
          <w:numId w:val="0"/>
        </w:numPr>
        <w:spacing w:line="600" w:lineRule="exact"/>
        <w:ind w:left="630" w:leftChars="0"/>
        <w:outlineLvl w:val="1"/>
        <w:rPr>
          <w:rStyle w:val="31"/>
          <w:rFonts w:hint="eastAsia" w:ascii="Times New Roman" w:hAnsi="Times New Roman" w:eastAsia="黑体"/>
          <w:b w:val="0"/>
          <w:color w:val="auto"/>
          <w:highlight w:val="none"/>
        </w:rPr>
      </w:pPr>
      <w:bookmarkStart w:id="73" w:name="_Toc15396612"/>
      <w:bookmarkStart w:id="74" w:name="_Toc15377221"/>
      <w:bookmarkStart w:id="75" w:name="_Toc24471"/>
      <w:r>
        <w:rPr>
          <w:rStyle w:val="31"/>
          <w:rFonts w:hint="eastAsia" w:ascii="Times New Roman" w:hAnsi="Times New Roman" w:eastAsia="黑体"/>
          <w:b w:val="0"/>
          <w:color w:val="auto"/>
          <w:highlight w:val="none"/>
          <w:lang w:eastAsia="zh-CN"/>
        </w:rPr>
        <w:t>十、</w:t>
      </w:r>
      <w:r>
        <w:rPr>
          <w:rStyle w:val="31"/>
          <w:rFonts w:hint="eastAsia" w:ascii="Times New Roman" w:hAnsi="Times New Roman" w:eastAsia="黑体"/>
          <w:b w:val="0"/>
          <w:color w:val="auto"/>
          <w:highlight w:val="none"/>
        </w:rPr>
        <w:t>其他重要事项的情况说明</w:t>
      </w:r>
      <w:bookmarkEnd w:id="73"/>
      <w:bookmarkEnd w:id="74"/>
      <w:bookmarkEnd w:id="75"/>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76" w:name="_Toc15377222"/>
      <w:r>
        <w:rPr>
          <w:rFonts w:hint="eastAsia" w:ascii="Times New Roman" w:hAnsi="Times New Roman" w:eastAsia="楷体_GB2312" w:cs="楷体_GB2312"/>
          <w:b/>
          <w:color w:val="auto"/>
          <w:sz w:val="32"/>
          <w:szCs w:val="32"/>
          <w:highlight w:val="none"/>
        </w:rPr>
        <w:t>（一）机关运行经费支出情况</w:t>
      </w:r>
      <w:bookmarkEnd w:id="76"/>
    </w:p>
    <w:p>
      <w:p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_GB2312" w:eastAsia="仿宋_GB2312"/>
          <w:sz w:val="32"/>
          <w:szCs w:val="32"/>
          <w:lang w:val="en-US" w:eastAsia="zh-CN"/>
        </w:rPr>
        <w:t>壤塘县妇幼保健院无机关运行经费。</w:t>
      </w:r>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77" w:name="_Toc15377223"/>
      <w:r>
        <w:rPr>
          <w:rFonts w:hint="eastAsia" w:ascii="Times New Roman" w:hAnsi="Times New Roman" w:eastAsia="楷体_GB2312" w:cs="楷体_GB2312"/>
          <w:b/>
          <w:color w:val="auto"/>
          <w:sz w:val="32"/>
          <w:szCs w:val="32"/>
          <w:highlight w:val="none"/>
        </w:rPr>
        <w:t>（二）政府采购支出情况</w:t>
      </w:r>
      <w:bookmarkEnd w:id="77"/>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_GB2312" w:eastAsia="仿宋_GB2312"/>
          <w:sz w:val="32"/>
          <w:szCs w:val="32"/>
          <w:lang w:val="en-US" w:eastAsia="zh-CN"/>
        </w:rPr>
        <w:t>壤塘县妇幼保健院</w:t>
      </w:r>
      <w:r>
        <w:rPr>
          <w:rFonts w:hint="eastAsia" w:ascii="仿宋_GB2312" w:eastAsia="仿宋_GB2312"/>
          <w:color w:val="auto"/>
          <w:sz w:val="32"/>
          <w:szCs w:val="32"/>
          <w:highlight w:val="none"/>
        </w:rPr>
        <w:t>政府采购支出总额</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万元，其中：政府采购货物支出</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万元、政府采购工程支出</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万元、政府采购服务支出</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万元。授予中小企业合同金额</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万元，占政府采购支出总额的</w:t>
      </w:r>
      <w:r>
        <w:rPr>
          <w:rFonts w:hint="eastAsia" w:ascii="仿宋_GB2312" w:eastAsia="仿宋_GB2312"/>
          <w:color w:val="auto"/>
          <w:sz w:val="32"/>
          <w:szCs w:val="32"/>
          <w:highlight w:val="none"/>
          <w:lang w:val="en-US" w:eastAsia="zh-CN"/>
        </w:rPr>
        <w:t>0</w:t>
      </w:r>
      <w:r>
        <w:rPr>
          <w:rFonts w:ascii="仿宋_GB2312" w:eastAsia="仿宋_GB2312"/>
          <w:color w:val="auto"/>
          <w:sz w:val="32"/>
          <w:szCs w:val="32"/>
          <w:highlight w:val="none"/>
        </w:rPr>
        <w:t>%</w:t>
      </w:r>
      <w:r>
        <w:rPr>
          <w:rFonts w:hint="eastAsia" w:ascii="仿宋_GB2312" w:eastAsia="仿宋_GB2312"/>
          <w:color w:val="auto"/>
          <w:sz w:val="32"/>
          <w:szCs w:val="32"/>
          <w:highlight w:val="none"/>
        </w:rPr>
        <w:t>，其中：授予小微企业合同金额</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万元，占政府采购支出总额的</w:t>
      </w:r>
      <w:r>
        <w:rPr>
          <w:rFonts w:hint="eastAsia" w:ascii="仿宋_GB2312" w:eastAsia="仿宋_GB2312"/>
          <w:color w:val="auto"/>
          <w:sz w:val="32"/>
          <w:szCs w:val="32"/>
          <w:highlight w:val="none"/>
          <w:lang w:val="en-US" w:eastAsia="zh-CN"/>
        </w:rPr>
        <w:t>0</w:t>
      </w:r>
      <w:r>
        <w:rPr>
          <w:rFonts w:ascii="仿宋_GB2312" w:eastAsia="仿宋_GB2312"/>
          <w:color w:val="auto"/>
          <w:sz w:val="32"/>
          <w:szCs w:val="32"/>
          <w:highlight w:val="none"/>
        </w:rPr>
        <w:t>%</w:t>
      </w:r>
      <w:r>
        <w:rPr>
          <w:rFonts w:hint="eastAsia" w:ascii="仿宋_GB2312" w:eastAsia="仿宋_GB2312"/>
          <w:color w:val="auto"/>
          <w:sz w:val="32"/>
          <w:szCs w:val="32"/>
          <w:highlight w:val="none"/>
        </w:rPr>
        <w:t>。</w:t>
      </w:r>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78" w:name="_Toc15377224"/>
      <w:r>
        <w:rPr>
          <w:rFonts w:hint="eastAsia" w:ascii="Times New Roman" w:hAnsi="Times New Roman" w:eastAsia="楷体_GB2312" w:cs="楷体_GB2312"/>
          <w:b/>
          <w:color w:val="auto"/>
          <w:sz w:val="32"/>
          <w:szCs w:val="32"/>
          <w:highlight w:val="none"/>
        </w:rPr>
        <w:t>（三）国有资产占有使用情况</w:t>
      </w:r>
      <w:bookmarkEnd w:id="78"/>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截</w:t>
      </w:r>
      <w:r>
        <w:rPr>
          <w:rFonts w:hint="eastAsia" w:eastAsia="仿宋_GB2312" w:cs="仿宋_GB2312"/>
          <w:color w:val="auto"/>
          <w:kern w:val="2"/>
          <w:sz w:val="32"/>
          <w:szCs w:val="32"/>
          <w:highlight w:val="none"/>
          <w:lang w:val="en-US" w:eastAsia="zh-CN" w:bidi="ar-SA"/>
        </w:rPr>
        <w:t>至</w:t>
      </w:r>
      <w:r>
        <w:rPr>
          <w:rFonts w:hint="eastAsia" w:ascii="Times New Roman" w:hAnsi="Times New Roman" w:eastAsia="仿宋_GB2312" w:cs="仿宋_GB2312"/>
          <w:color w:val="auto"/>
          <w:kern w:val="2"/>
          <w:sz w:val="32"/>
          <w:szCs w:val="32"/>
          <w:highlight w:val="none"/>
          <w:lang w:val="en-US" w:eastAsia="zh-CN" w:bidi="ar-SA"/>
        </w:rPr>
        <w:t>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w:t>
      </w:r>
      <w:r>
        <w:rPr>
          <w:rFonts w:hint="eastAsia" w:ascii="仿宋_GB2312" w:eastAsia="仿宋_GB2312"/>
          <w:sz w:val="32"/>
          <w:szCs w:val="32"/>
          <w:lang w:val="en-US" w:eastAsia="zh-CN"/>
        </w:rPr>
        <w:t>壤塘县妇幼保健院</w:t>
      </w:r>
      <w:r>
        <w:rPr>
          <w:rFonts w:hint="eastAsia" w:ascii="仿宋_GB2312" w:eastAsia="仿宋_GB2312"/>
          <w:color w:val="auto"/>
          <w:sz w:val="32"/>
          <w:szCs w:val="32"/>
          <w:highlight w:val="none"/>
        </w:rPr>
        <w:t>共有车辆</w:t>
      </w:r>
      <w:r>
        <w:rPr>
          <w:rFonts w:hint="eastAsia" w:ascii="仿宋_GB2312" w:eastAsia="仿宋_GB2312"/>
          <w:color w:val="auto"/>
          <w:sz w:val="32"/>
          <w:szCs w:val="32"/>
          <w:highlight w:val="none"/>
          <w:lang w:val="en-US" w:eastAsia="zh-CN"/>
        </w:rPr>
        <w:t>3</w:t>
      </w:r>
      <w:r>
        <w:rPr>
          <w:rFonts w:hint="eastAsia" w:ascii="仿宋_GB2312" w:eastAsia="仿宋_GB2312"/>
          <w:color w:val="auto"/>
          <w:sz w:val="32"/>
          <w:szCs w:val="32"/>
          <w:highlight w:val="none"/>
        </w:rPr>
        <w:t>辆，其中：主要领导干部用车</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辆、机要通信用车</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辆、应急保障用车</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辆、特种专业技术用车</w:t>
      </w:r>
      <w:r>
        <w:rPr>
          <w:rFonts w:hint="eastAsia" w:ascii="仿宋_GB2312" w:eastAsia="仿宋_GB2312"/>
          <w:color w:val="auto"/>
          <w:sz w:val="32"/>
          <w:szCs w:val="32"/>
          <w:highlight w:val="none"/>
          <w:lang w:val="en-US" w:eastAsia="zh-CN"/>
        </w:rPr>
        <w:t>2辆、</w:t>
      </w:r>
      <w:r>
        <w:rPr>
          <w:rFonts w:hint="eastAsia" w:ascii="仿宋_GB2312" w:eastAsia="仿宋_GB2312"/>
          <w:color w:val="auto"/>
          <w:sz w:val="32"/>
          <w:szCs w:val="32"/>
          <w:highlight w:val="none"/>
        </w:rPr>
        <w:t>其他用车</w:t>
      </w:r>
      <w:r>
        <w:rPr>
          <w:rFonts w:hint="eastAsia" w:ascii="仿宋_GB2312" w:eastAsia="仿宋_GB2312"/>
          <w:color w:val="auto"/>
          <w:sz w:val="32"/>
          <w:szCs w:val="32"/>
          <w:highlight w:val="none"/>
          <w:lang w:val="en-US" w:eastAsia="zh-CN"/>
        </w:rPr>
        <w:t>1</w:t>
      </w:r>
      <w:r>
        <w:rPr>
          <w:rFonts w:hint="eastAsia" w:ascii="仿宋_GB2312" w:eastAsia="仿宋_GB2312"/>
          <w:color w:val="auto"/>
          <w:sz w:val="32"/>
          <w:szCs w:val="32"/>
          <w:highlight w:val="none"/>
        </w:rPr>
        <w:t>辆</w:t>
      </w:r>
      <w:r>
        <w:rPr>
          <w:rFonts w:hint="eastAsia" w:ascii="仿宋_GB2312" w:eastAsia="仿宋_GB2312"/>
          <w:color w:val="auto"/>
          <w:sz w:val="32"/>
          <w:szCs w:val="32"/>
          <w:highlight w:val="none"/>
          <w:lang w:eastAsia="zh-CN"/>
        </w:rPr>
        <w:t>，</w:t>
      </w:r>
      <w:r>
        <w:rPr>
          <w:rFonts w:hint="eastAsia" w:ascii="仿宋_GB2312" w:eastAsia="仿宋_GB2312"/>
          <w:color w:val="auto"/>
          <w:sz w:val="32"/>
          <w:szCs w:val="32"/>
          <w:highlight w:val="none"/>
        </w:rPr>
        <w:t>其他用车主要是用于</w:t>
      </w:r>
      <w:r>
        <w:rPr>
          <w:rFonts w:hint="eastAsia" w:ascii="仿宋_GB2312" w:eastAsia="仿宋_GB2312"/>
          <w:sz w:val="32"/>
          <w:szCs w:val="32"/>
          <w:lang w:val="en-US" w:eastAsia="zh-CN"/>
        </w:rPr>
        <w:t>单位出差、下乡等工作的开展</w:t>
      </w:r>
      <w:r>
        <w:rPr>
          <w:rFonts w:hint="eastAsia" w:ascii="仿宋_GB2312" w:eastAsia="仿宋_GB2312"/>
          <w:color w:val="auto"/>
          <w:sz w:val="32"/>
          <w:szCs w:val="32"/>
          <w:highlight w:val="none"/>
          <w:lang w:eastAsia="zh-CN"/>
        </w:rPr>
        <w:t>。</w:t>
      </w:r>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（四）预算绩效管理情况</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根据预算绩效管理要求，</w:t>
      </w:r>
      <w:r>
        <w:rPr>
          <w:rFonts w:hint="eastAsia" w:eastAsia="仿宋_GB2312" w:cs="仿宋_GB2312"/>
          <w:color w:val="auto"/>
          <w:kern w:val="2"/>
          <w:sz w:val="32"/>
          <w:szCs w:val="32"/>
          <w:highlight w:val="none"/>
          <w:lang w:val="en-US" w:eastAsia="zh-CN" w:bidi="ar-SA"/>
        </w:rPr>
        <w:t>壤塘县妇幼保健院</w:t>
      </w:r>
      <w:r>
        <w:rPr>
          <w:rFonts w:hint="eastAsia" w:ascii="Times New Roman" w:hAnsi="Times New Roman" w:eastAsia="仿宋_GB2312" w:cs="仿宋_GB2312"/>
          <w:color w:val="auto"/>
          <w:kern w:val="2"/>
          <w:sz w:val="32"/>
          <w:szCs w:val="32"/>
          <w:highlight w:val="none"/>
          <w:lang w:val="en-US" w:eastAsia="zh-CN" w:bidi="ar-SA"/>
        </w:rPr>
        <w:t>在2025年度，组织对</w:t>
      </w:r>
      <w:r>
        <w:rPr>
          <w:rFonts w:hint="default" w:ascii="仿宋_GB2312" w:eastAsia="仿宋_GB2312"/>
          <w:color w:val="auto"/>
          <w:sz w:val="32"/>
          <w:szCs w:val="32"/>
          <w:lang w:val="en-US" w:eastAsia="zh-CN"/>
        </w:rPr>
        <w:t>卫生健康补助资金（农村妇女“两癌”筛查）</w:t>
      </w:r>
      <w:r>
        <w:rPr>
          <w:rFonts w:hint="eastAsia" w:ascii="Times New Roman" w:hAnsi="Times New Roman" w:eastAsia="仿宋_GB2312" w:cs="仿宋_GB2312"/>
          <w:color w:val="auto"/>
          <w:kern w:val="2"/>
          <w:sz w:val="32"/>
          <w:szCs w:val="32"/>
          <w:highlight w:val="none"/>
          <w:lang w:val="en-US" w:eastAsia="zh-CN" w:bidi="ar-SA"/>
        </w:rPr>
        <w:t>开展了事前绩效评估，对</w:t>
      </w: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个项目编制了绩效目标，预算执行过程中，选取</w:t>
      </w: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个项目开展绩效监控。</w:t>
      </w:r>
    </w:p>
    <w:p>
      <w:pPr>
        <w:spacing w:line="600" w:lineRule="exact"/>
        <w:ind w:firstLine="640"/>
        <w:rPr>
          <w:rFonts w:hint="default" w:ascii="仿宋_GB2312" w:eastAsia="仿宋_GB2312"/>
          <w:color w:val="auto"/>
          <w:sz w:val="32"/>
          <w:szCs w:val="32"/>
          <w:lang w:val="en-US" w:eastAsia="zh-CN"/>
        </w:rPr>
      </w:pPr>
      <w:r>
        <w:rPr>
          <w:rFonts w:hint="eastAsia" w:ascii="Times New Roman" w:hAnsi="Times New Roman" w:eastAsia="仿宋_GB2312" w:cs="仿宋_GB2312"/>
          <w:color w:val="auto"/>
          <w:kern w:val="2"/>
          <w:sz w:val="32"/>
          <w:szCs w:val="32"/>
          <w:highlight w:val="none"/>
          <w:lang w:val="en-US" w:eastAsia="zh-CN" w:bidi="ar-SA"/>
        </w:rPr>
        <w:t>组织对2025年度一般公共预算、政府性基金预算、国有资本经营预算、社会保险基金预算以及资本资产、债券资金等全面开展绩效自评，形成</w:t>
      </w:r>
      <w:r>
        <w:rPr>
          <w:rFonts w:hint="default" w:ascii="仿宋_GB2312" w:eastAsia="仿宋_GB2312"/>
          <w:color w:val="auto"/>
          <w:sz w:val="32"/>
          <w:szCs w:val="32"/>
          <w:lang w:val="en-US" w:eastAsia="zh-CN"/>
        </w:rPr>
        <w:t>卫生健康补助资金（农村妇女“两癌”筛查）</w:t>
      </w:r>
      <w:r>
        <w:rPr>
          <w:rFonts w:hint="eastAsia" w:ascii="Times New Roman" w:hAnsi="Times New Roman" w:eastAsia="仿宋_GB2312" w:cs="仿宋_GB2312"/>
          <w:color w:val="auto"/>
          <w:kern w:val="2"/>
          <w:sz w:val="32"/>
          <w:szCs w:val="32"/>
          <w:highlight w:val="none"/>
          <w:lang w:val="en-US" w:eastAsia="zh-CN" w:bidi="ar-SA"/>
        </w:rPr>
        <w:t>专项预算项目绩效自评报告，其中，</w:t>
      </w:r>
      <w:r>
        <w:rPr>
          <w:rFonts w:hint="default" w:ascii="仿宋_GB2312" w:eastAsia="仿宋_GB2312"/>
          <w:color w:val="auto"/>
          <w:sz w:val="32"/>
          <w:szCs w:val="32"/>
          <w:lang w:val="en-US" w:eastAsia="zh-CN"/>
        </w:rPr>
        <w:t>卫生健康补助资金（农村妇女“两癌”筛查）</w:t>
      </w:r>
      <w:r>
        <w:rPr>
          <w:rFonts w:hint="eastAsia" w:ascii="Times New Roman" w:hAnsi="Times New Roman" w:eastAsia="仿宋_GB2312" w:cs="仿宋_GB2312"/>
          <w:color w:val="auto"/>
          <w:kern w:val="2"/>
          <w:sz w:val="32"/>
          <w:szCs w:val="32"/>
          <w:highlight w:val="none"/>
          <w:lang w:val="en-US" w:eastAsia="zh-CN" w:bidi="ar-SA"/>
        </w:rPr>
        <w:t>专项预算项目绩效自评得分为</w:t>
      </w:r>
      <w:r>
        <w:rPr>
          <w:rFonts w:hint="eastAsia" w:eastAsia="仿宋_GB2312" w:cs="仿宋_GB2312"/>
          <w:color w:val="auto"/>
          <w:kern w:val="2"/>
          <w:sz w:val="32"/>
          <w:szCs w:val="32"/>
          <w:highlight w:val="none"/>
          <w:lang w:val="en-US" w:eastAsia="zh-CN" w:bidi="ar-SA"/>
        </w:rPr>
        <w:t>90</w:t>
      </w:r>
      <w:r>
        <w:rPr>
          <w:rFonts w:hint="eastAsia" w:ascii="Times New Roman" w:hAnsi="Times New Roman" w:eastAsia="仿宋_GB2312" w:cs="仿宋_GB2312"/>
          <w:color w:val="auto"/>
          <w:kern w:val="2"/>
          <w:sz w:val="32"/>
          <w:szCs w:val="32"/>
          <w:highlight w:val="none"/>
          <w:lang w:val="en-US" w:eastAsia="zh-CN" w:bidi="ar-SA"/>
        </w:rPr>
        <w:t>分，</w:t>
      </w:r>
      <w:r>
        <w:rPr>
          <w:rFonts w:hint="eastAsia" w:ascii="仿宋_GB2312" w:eastAsia="仿宋_GB2312"/>
          <w:color w:val="auto"/>
          <w:sz w:val="32"/>
          <w:szCs w:val="32"/>
          <w:lang w:val="en-US" w:eastAsia="zh-CN"/>
        </w:rPr>
        <w:t>该项目完成情况较好。</w:t>
      </w:r>
    </w:p>
    <w:p>
      <w:pPr>
        <w:pStyle w:val="2"/>
        <w:jc w:val="center"/>
        <w:rPr>
          <w:rFonts w:hint="eastAsia" w:ascii="Times New Roman" w:hAnsi="Times New Roman" w:eastAsia="方正小标宋简体" w:cs="方正小标宋简体"/>
          <w:b w:val="0"/>
          <w:color w:val="auto"/>
          <w:highlight w:val="none"/>
        </w:rPr>
      </w:pPr>
      <w:bookmarkStart w:id="79" w:name="_Toc15396613"/>
      <w:bookmarkStart w:id="80" w:name="_Toc6174"/>
      <w:bookmarkStart w:id="81" w:name="_Toc15377225"/>
      <w:r>
        <w:rPr>
          <w:rFonts w:hint="eastAsia" w:ascii="Times New Roman" w:hAnsi="Times New Roman" w:eastAsia="方正小标宋简体" w:cs="方正小标宋简体"/>
          <w:b w:val="0"/>
          <w:color w:val="auto"/>
          <w:highlight w:val="none"/>
        </w:rPr>
        <w:t>第</w:t>
      </w:r>
      <w:r>
        <w:rPr>
          <w:rFonts w:hint="eastAsia" w:ascii="Times New Roman" w:hAnsi="Times New Roman" w:eastAsia="方正小标宋简体" w:cs="方正小标宋简体"/>
          <w:b w:val="0"/>
          <w:color w:val="auto"/>
          <w:highlight w:val="none"/>
          <w:lang w:eastAsia="zh-CN"/>
        </w:rPr>
        <w:t>三</w:t>
      </w:r>
      <w:r>
        <w:rPr>
          <w:rFonts w:hint="eastAsia" w:ascii="Times New Roman" w:hAnsi="Times New Roman" w:eastAsia="方正小标宋简体" w:cs="方正小标宋简体"/>
          <w:b w:val="0"/>
          <w:color w:val="auto"/>
          <w:highlight w:val="none"/>
        </w:rPr>
        <w:t>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名词解释</w:t>
      </w:r>
      <w:bookmarkEnd w:id="79"/>
      <w:bookmarkEnd w:id="80"/>
      <w:bookmarkEnd w:id="81"/>
    </w:p>
    <w:p>
      <w:pPr>
        <w:spacing w:line="600" w:lineRule="exact"/>
        <w:jc w:val="left"/>
        <w:rPr>
          <w:rFonts w:ascii="Times New Roman" w:hAnsi="Times New Roman"/>
          <w:b/>
          <w:color w:val="auto"/>
          <w:sz w:val="44"/>
          <w:szCs w:val="44"/>
          <w:highlight w:val="none"/>
        </w:rPr>
      </w:pPr>
    </w:p>
    <w:p>
      <w:pPr>
        <w:pageBreakBefore w:val="0"/>
        <w:kinsoku/>
        <w:wordWrap/>
        <w:overflowPunct/>
        <w:topLinePunct w:val="0"/>
        <w:bidi w:val="0"/>
        <w:spacing w:line="560" w:lineRule="exact"/>
        <w:ind w:firstLine="640" w:firstLineChars="200"/>
        <w:rPr>
          <w:rFonts w:hint="eastAsia" w:ascii="仿宋_GB2312" w:eastAsia="仿宋_GB2312"/>
          <w:sz w:val="32"/>
          <w:szCs w:val="32"/>
          <w:lang w:val="en-US" w:eastAsia="zh-CN"/>
        </w:rPr>
      </w:pPr>
      <w:bookmarkStart w:id="82" w:name="_Toc15377226"/>
      <w:r>
        <w:rPr>
          <w:rFonts w:hint="eastAsia" w:ascii="仿宋_GB2312" w:eastAsia="仿宋_GB2312"/>
          <w:sz w:val="32"/>
          <w:szCs w:val="32"/>
          <w:lang w:val="en-US" w:eastAsia="zh-CN"/>
        </w:rPr>
        <w:t>1.财政拨款收入：指单位从同级财政部门取得的财政预算资金。</w:t>
      </w:r>
    </w:p>
    <w:p>
      <w:pPr>
        <w:pageBreakBefore w:val="0"/>
        <w:kinsoku/>
        <w:wordWrap/>
        <w:overflowPunct/>
        <w:topLinePunct w:val="0"/>
        <w:bidi w:val="0"/>
        <w:spacing w:line="560" w:lineRule="exact"/>
        <w:ind w:firstLine="640" w:firstLineChars="200"/>
        <w:rPr>
          <w:rFonts w:hint="eastAsia" w:ascii="仿宋_GB2312" w:eastAsia="仿宋_GB2312"/>
          <w:sz w:val="32"/>
          <w:szCs w:val="32"/>
          <w:lang w:val="en-US" w:eastAsia="zh-CN"/>
        </w:rPr>
      </w:pPr>
      <w:r>
        <w:rPr>
          <w:rFonts w:hint="eastAsia" w:ascii="仿宋_GB2312" w:eastAsia="仿宋_GB2312"/>
          <w:sz w:val="32"/>
          <w:szCs w:val="32"/>
          <w:lang w:val="en-US" w:eastAsia="zh-CN"/>
        </w:rPr>
        <w:t>2.事业收入：指事业单位开展专业业务活动及辅助活动取得的收入。</w:t>
      </w:r>
    </w:p>
    <w:p>
      <w:pPr>
        <w:pStyle w:val="28"/>
        <w:spacing w:line="560" w:lineRule="exact"/>
        <w:ind w:firstLine="640" w:firstLineChars="200"/>
        <w:rPr>
          <w:rFonts w:hint="eastAsia" w:ascii="仿宋_GB2312" w:eastAsia="仿宋_GB2312"/>
          <w:sz w:val="32"/>
          <w:szCs w:val="32"/>
          <w:lang w:val="en-US" w:eastAsia="zh-CN"/>
        </w:rPr>
      </w:pPr>
      <w:r>
        <w:rPr>
          <w:rFonts w:hint="eastAsia" w:ascii="仿宋_GB2312" w:eastAsia="仿宋_GB2312"/>
          <w:sz w:val="32"/>
          <w:szCs w:val="32"/>
          <w:lang w:val="en-US" w:eastAsia="zh-CN"/>
        </w:rPr>
        <w:t>3.社会保障和就业（208）行政事业单位离退休（05）机关事业单位基本养老保险缴费支出（05）：</w:t>
      </w:r>
      <w:r>
        <w:rPr>
          <w:rFonts w:hint="eastAsia" w:ascii="仿宋" w:hAnsi="仿宋" w:eastAsia="仿宋" w:cs="Times New Roman"/>
          <w:color w:val="auto"/>
          <w:kern w:val="2"/>
          <w:sz w:val="32"/>
          <w:szCs w:val="32"/>
          <w:highlight w:val="none"/>
          <w:lang w:val="en-US" w:eastAsia="zh-CN" w:bidi="ar-SA"/>
        </w:rPr>
        <w:t>指机关事业单位实施养老保险制度由单位缴纳的基本养老保险费支出。</w:t>
      </w:r>
    </w:p>
    <w:p>
      <w:pPr>
        <w:pageBreakBefore w:val="0"/>
        <w:kinsoku/>
        <w:wordWrap/>
        <w:overflowPunct/>
        <w:topLinePunct w:val="0"/>
        <w:bidi w:val="0"/>
        <w:spacing w:line="560" w:lineRule="exact"/>
        <w:ind w:firstLine="640" w:firstLineChars="200"/>
        <w:rPr>
          <w:rFonts w:hint="eastAsia" w:ascii="仿宋_GB2312" w:eastAsia="仿宋_GB2312"/>
          <w:sz w:val="32"/>
          <w:szCs w:val="32"/>
          <w:lang w:val="en-US" w:eastAsia="zh-CN"/>
        </w:rPr>
      </w:pPr>
      <w:r>
        <w:rPr>
          <w:rFonts w:hint="eastAsia" w:ascii="仿宋_GB2312" w:eastAsia="仿宋_GB2312"/>
          <w:sz w:val="32"/>
          <w:szCs w:val="32"/>
          <w:lang w:val="en-US" w:eastAsia="zh-CN"/>
        </w:rPr>
        <w:t>4.社会保障和就业（208）行政事业单位离退休（05）机关事业单位职业年金缴费支出（06）：指机关事业单位实施养老保险制度由单位实际缴纳的职业年金支出。</w:t>
      </w:r>
    </w:p>
    <w:p>
      <w:pPr>
        <w:pageBreakBefore w:val="0"/>
        <w:kinsoku/>
        <w:wordWrap/>
        <w:overflowPunct/>
        <w:topLinePunct w:val="0"/>
        <w:bidi w:val="0"/>
        <w:spacing w:line="560" w:lineRule="exact"/>
        <w:ind w:firstLine="640" w:firstLineChars="200"/>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5.卫生健康支出（210）公共卫生（04）妇幼保健机构（03）：指卫生健康部门所属妇幼保健机构的支出。</w:t>
      </w:r>
    </w:p>
    <w:p>
      <w:pPr>
        <w:pageBreakBefore w:val="0"/>
        <w:kinsoku/>
        <w:wordWrap/>
        <w:overflowPunct/>
        <w:topLinePunct w:val="0"/>
        <w:bidi w:val="0"/>
        <w:spacing w:line="560" w:lineRule="exact"/>
        <w:ind w:firstLine="640" w:firstLineChars="200"/>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6.卫生健康支出（210）公共卫生（04）基本公共卫生（08）：指基本公共卫生服务支出。</w:t>
      </w:r>
    </w:p>
    <w:p>
      <w:pPr>
        <w:pageBreakBefore w:val="0"/>
        <w:kinsoku/>
        <w:wordWrap/>
        <w:overflowPunct/>
        <w:topLinePunct w:val="0"/>
        <w:bidi w:val="0"/>
        <w:spacing w:line="560" w:lineRule="exact"/>
        <w:ind w:firstLine="640" w:firstLineChars="200"/>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7.卫生健康支出（210）公共卫生（04）重大公共卫生专项（09）：指重大疾病预防控制等重大公共卫生服务项目支出。</w:t>
      </w:r>
    </w:p>
    <w:p>
      <w:pPr>
        <w:pageBreakBefore w:val="0"/>
        <w:kinsoku/>
        <w:wordWrap/>
        <w:overflowPunct/>
        <w:topLinePunct w:val="0"/>
        <w:bidi w:val="0"/>
        <w:spacing w:line="560" w:lineRule="exact"/>
        <w:ind w:firstLine="640" w:firstLineChars="200"/>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8.卫生健康支出（210）公共卫生（04）其他公共卫生支出（99）：指其他用于公共卫生方面的支出。</w:t>
      </w:r>
    </w:p>
    <w:p>
      <w:pPr>
        <w:pageBreakBefore w:val="0"/>
        <w:kinsoku/>
        <w:wordWrap/>
        <w:overflowPunct/>
        <w:topLinePunct w:val="0"/>
        <w:bidi w:val="0"/>
        <w:spacing w:line="560" w:lineRule="exact"/>
        <w:ind w:firstLine="640" w:firstLineChars="200"/>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9.卫生健康支出（210）计划生育事务（07）计划生育服务（17）：指计划生育服务支出。</w:t>
      </w:r>
    </w:p>
    <w:p>
      <w:pPr>
        <w:pageBreakBefore w:val="0"/>
        <w:kinsoku/>
        <w:wordWrap/>
        <w:overflowPunct/>
        <w:topLinePunct w:val="0"/>
        <w:bidi w:val="0"/>
        <w:spacing w:line="560" w:lineRule="exact"/>
        <w:ind w:firstLine="640" w:firstLineChars="200"/>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10.卫生健康支出（210）行政事业单位医疗（11）事业单位医疗（02）：指反映财政部门集中安排的事业单位基本医疗保险缴费经费，未参加医疗保险的事业单位的公费医疗经费，按国家规定享受离休人员待遇的医疗经费。</w:t>
      </w:r>
    </w:p>
    <w:p>
      <w:pPr>
        <w:pageBreakBefore w:val="0"/>
        <w:kinsoku/>
        <w:wordWrap/>
        <w:overflowPunct/>
        <w:topLinePunct w:val="0"/>
        <w:bidi w:val="0"/>
        <w:spacing w:line="560" w:lineRule="exact"/>
        <w:ind w:firstLine="640" w:firstLineChars="200"/>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11.卫生健康支出（210）其他行政事业单位医疗支出（99）其他医疗卫生与计划生育支出（01）：指其他用于医疗卫生与计划生育方面的支出。</w:t>
      </w:r>
    </w:p>
    <w:p>
      <w:pPr>
        <w:pageBreakBefore w:val="0"/>
        <w:kinsoku/>
        <w:wordWrap/>
        <w:overflowPunct/>
        <w:topLinePunct w:val="0"/>
        <w:bidi w:val="0"/>
        <w:spacing w:line="560" w:lineRule="exact"/>
        <w:ind w:firstLine="640" w:firstLineChars="200"/>
        <w:rPr>
          <w:rFonts w:hint="eastAsia" w:ascii="仿宋_GB2312" w:eastAsia="仿宋_GB2312"/>
          <w:sz w:val="32"/>
          <w:szCs w:val="32"/>
          <w:lang w:val="en-US" w:eastAsia="zh-CN"/>
        </w:rPr>
      </w:pPr>
      <w:r>
        <w:rPr>
          <w:rFonts w:hint="eastAsia" w:ascii="仿宋_GB2312" w:eastAsia="仿宋_GB2312"/>
          <w:sz w:val="32"/>
          <w:szCs w:val="32"/>
          <w:lang w:val="en-US" w:eastAsia="zh-CN"/>
        </w:rPr>
        <w:t>12.住房保障（221）住房改革支出（02）住房公积金（01）：指反映行政事业单位按人力资源和社会保障部、财政部规定的基本工资和津补贴以及按规定比例为职工缴纳的住房公积金。</w:t>
      </w:r>
    </w:p>
    <w:p>
      <w:pPr>
        <w:pageBreakBefore w:val="0"/>
        <w:kinsoku/>
        <w:wordWrap/>
        <w:overflowPunct/>
        <w:topLinePunct w:val="0"/>
        <w:bidi w:val="0"/>
        <w:spacing w:line="560" w:lineRule="exact"/>
        <w:ind w:firstLine="640" w:firstLineChars="200"/>
        <w:rPr>
          <w:rFonts w:hint="eastAsia" w:ascii="仿宋_GB2312" w:eastAsia="仿宋_GB2312"/>
          <w:sz w:val="32"/>
          <w:szCs w:val="32"/>
          <w:lang w:val="en-US" w:eastAsia="zh-CN"/>
        </w:rPr>
      </w:pPr>
      <w:r>
        <w:rPr>
          <w:rFonts w:hint="eastAsia" w:ascii="仿宋_GB2312" w:eastAsia="仿宋_GB2312"/>
          <w:sz w:val="32"/>
          <w:szCs w:val="32"/>
          <w:lang w:val="en-US" w:eastAsia="zh-CN"/>
        </w:rPr>
        <w:t>13.基本支出：指为保障机构正常运转、完成日常工作任务而发生的人员支出和公用支出。</w:t>
      </w:r>
    </w:p>
    <w:p>
      <w:pPr>
        <w:pageBreakBefore w:val="0"/>
        <w:kinsoku/>
        <w:wordWrap/>
        <w:overflowPunct/>
        <w:topLinePunct w:val="0"/>
        <w:bidi w:val="0"/>
        <w:spacing w:line="560" w:lineRule="exact"/>
        <w:ind w:firstLine="640" w:firstLineChars="200"/>
        <w:rPr>
          <w:rFonts w:hint="eastAsia" w:ascii="仿宋_GB2312" w:eastAsia="仿宋_GB2312"/>
          <w:sz w:val="32"/>
          <w:szCs w:val="32"/>
          <w:lang w:val="en-US" w:eastAsia="zh-CN"/>
        </w:rPr>
      </w:pPr>
      <w:r>
        <w:rPr>
          <w:rFonts w:hint="eastAsia" w:ascii="仿宋_GB2312" w:eastAsia="仿宋_GB2312"/>
          <w:sz w:val="32"/>
          <w:szCs w:val="32"/>
          <w:lang w:val="en-US" w:eastAsia="zh-CN"/>
        </w:rPr>
        <w:t>14.项目支出：指在基本支出之外为完成特定行政任务和事业发展目标所发生的支出。</w:t>
      </w:r>
    </w:p>
    <w:p>
      <w:pPr>
        <w:pStyle w:val="28"/>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jc w:val="left"/>
        <w:textAlignment w:val="auto"/>
        <w:rPr>
          <w:rFonts w:hint="eastAsia" w:ascii="仿宋_GB2312" w:eastAsia="仿宋_GB2312"/>
          <w:sz w:val="32"/>
          <w:szCs w:val="32"/>
          <w:lang w:val="en-US" w:eastAsia="zh-CN"/>
        </w:rPr>
      </w:pPr>
      <w:r>
        <w:rPr>
          <w:rFonts w:hint="eastAsia" w:ascii="仿宋_GB2312" w:eastAsia="仿宋_GB2312"/>
          <w:sz w:val="32"/>
          <w:szCs w:val="32"/>
          <w:lang w:val="en-US" w:eastAsia="zh-CN"/>
        </w:rPr>
        <w:t>15.“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pPr>
        <w:pStyle w:val="2"/>
        <w:jc w:val="center"/>
        <w:rPr>
          <w:rStyle w:val="30"/>
          <w:rFonts w:hint="eastAsia" w:ascii="Times New Roman" w:hAnsi="Times New Roman" w:eastAsia="黑体"/>
          <w:b w:val="0"/>
          <w:bCs/>
          <w:color w:val="auto"/>
          <w:highlight w:val="none"/>
          <w:lang w:eastAsia="zh-CN"/>
        </w:rPr>
      </w:pPr>
      <w:r>
        <w:rPr>
          <w:rFonts w:hint="eastAsia" w:ascii="Times New Roman" w:hAnsi="Times New Roman" w:eastAsia="仿宋_GB2312" w:cs="仿宋_GB2312"/>
          <w:color w:val="auto"/>
          <w:kern w:val="2"/>
          <w:sz w:val="32"/>
          <w:szCs w:val="32"/>
          <w:highlight w:val="none"/>
          <w:lang w:val="en-US" w:eastAsia="zh-CN" w:bidi="ar-SA"/>
        </w:rPr>
        <w:br w:type="page"/>
      </w:r>
      <w:bookmarkStart w:id="83" w:name="_Toc13431"/>
      <w:bookmarkStart w:id="84" w:name="_Toc15396614"/>
      <w:r>
        <w:rPr>
          <w:rFonts w:hint="eastAsia" w:ascii="Times New Roman" w:hAnsi="Times New Roman" w:eastAsia="方正小标宋简体" w:cs="方正小标宋简体"/>
          <w:b w:val="0"/>
          <w:color w:val="auto"/>
          <w:highlight w:val="none"/>
        </w:rPr>
        <w:t>第四部分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附件</w:t>
      </w:r>
      <w:bookmarkEnd w:id="83"/>
      <w:bookmarkEnd w:id="84"/>
    </w:p>
    <w:p>
      <w:pPr>
        <w:keepNext w:val="0"/>
        <w:keepLines w:val="0"/>
        <w:pageBreakBefore w:val="0"/>
        <w:kinsoku/>
        <w:wordWrap/>
        <w:overflowPunct/>
        <w:topLinePunct w:val="0"/>
        <w:autoSpaceDE/>
        <w:autoSpaceDN/>
        <w:bidi w:val="0"/>
        <w:spacing w:line="572" w:lineRule="exact"/>
        <w:jc w:val="left"/>
        <w:textAlignment w:val="auto"/>
        <w:outlineLvl w:val="0"/>
        <w:rPr>
          <w:rFonts w:hint="eastAsia" w:ascii="Times New Roman" w:hAnsi="Times New Roman" w:eastAsia="黑体" w:cs="黑体"/>
          <w:color w:val="FF0000"/>
          <w:sz w:val="32"/>
          <w:szCs w:val="32"/>
          <w:highlight w:val="none"/>
        </w:rPr>
      </w:pPr>
    </w:p>
    <w:p>
      <w:pPr>
        <w:keepNext w:val="0"/>
        <w:keepLines w:val="0"/>
        <w:pageBreakBefore w:val="0"/>
        <w:kinsoku/>
        <w:wordWrap/>
        <w:overflowPunct/>
        <w:topLinePunct w:val="0"/>
        <w:autoSpaceDE/>
        <w:autoSpaceDN/>
        <w:bidi w:val="0"/>
        <w:spacing w:line="572" w:lineRule="exact"/>
        <w:jc w:val="left"/>
        <w:textAlignment w:val="auto"/>
        <w:outlineLvl w:val="0"/>
        <w:rPr>
          <w:rFonts w:hint="eastAsia" w:ascii="Times New Roman" w:hAnsi="Times New Roman" w:eastAsia="黑体" w:cs="黑体"/>
          <w:color w:val="auto"/>
          <w:sz w:val="32"/>
          <w:szCs w:val="32"/>
          <w:highlight w:val="none"/>
          <w:lang w:val="en-US" w:eastAsia="zh-CN"/>
        </w:rPr>
      </w:pPr>
      <w:bookmarkStart w:id="85" w:name="_Toc11794"/>
      <w:r>
        <w:rPr>
          <w:rFonts w:hint="eastAsia" w:ascii="Times New Roman" w:hAnsi="Times New Roman" w:eastAsia="黑体" w:cs="黑体"/>
          <w:color w:val="auto"/>
          <w:sz w:val="32"/>
          <w:szCs w:val="32"/>
          <w:highlight w:val="none"/>
          <w:lang w:val="zh-CN"/>
        </w:rPr>
        <w:t>附件</w:t>
      </w:r>
      <w:r>
        <w:rPr>
          <w:rFonts w:hint="eastAsia" w:ascii="Times New Roman" w:hAnsi="Times New Roman" w:eastAsia="黑体" w:cs="黑体"/>
          <w:color w:val="auto"/>
          <w:sz w:val="32"/>
          <w:szCs w:val="32"/>
          <w:highlight w:val="none"/>
          <w:lang w:val="en-US" w:eastAsia="zh-CN"/>
        </w:rPr>
        <w:t>1</w:t>
      </w:r>
      <w:bookmarkEnd w:id="85"/>
    </w:p>
    <w:p>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方正小标宋简体" w:cs="Times New Roman"/>
          <w:b w:val="0"/>
          <w:bCs/>
          <w:sz w:val="44"/>
          <w:szCs w:val="44"/>
          <w:highlight w:val="none"/>
          <w:shd w:val="clear" w:color="auto" w:fill="FFFFFF"/>
        </w:rPr>
      </w:pPr>
    </w:p>
    <w:p>
      <w:pPr>
        <w:widowControl/>
        <w:spacing w:line="578" w:lineRule="exact"/>
        <w:contextualSpacing/>
        <w:jc w:val="center"/>
        <w:rPr>
          <w:rFonts w:hint="eastAsia" w:eastAsia="方正小标宋简体"/>
          <w:bCs/>
          <w:sz w:val="44"/>
          <w:szCs w:val="44"/>
          <w:shd w:val="clear" w:color="auto" w:fill="FFFFFF"/>
          <w:lang w:eastAsia="zh-CN"/>
        </w:rPr>
      </w:pPr>
      <w:r>
        <w:rPr>
          <w:rFonts w:hint="eastAsia" w:eastAsia="方正小标宋简体"/>
          <w:bCs/>
          <w:sz w:val="44"/>
          <w:szCs w:val="44"/>
          <w:shd w:val="clear" w:color="auto" w:fill="FFFFFF"/>
          <w:lang w:eastAsia="zh-CN"/>
        </w:rPr>
        <w:t>壤塘县妇幼保健院</w:t>
      </w:r>
    </w:p>
    <w:p>
      <w:pPr>
        <w:widowControl/>
        <w:spacing w:line="578" w:lineRule="exact"/>
        <w:contextualSpacing/>
        <w:jc w:val="center"/>
        <w:rPr>
          <w:rFonts w:eastAsia="黑体"/>
          <w:color w:val="000000"/>
          <w:kern w:val="0"/>
          <w:sz w:val="24"/>
          <w:szCs w:val="32"/>
          <w:shd w:val="clear" w:color="auto" w:fill="FFFFFF"/>
        </w:rPr>
      </w:pPr>
      <w:r>
        <w:rPr>
          <w:rFonts w:hint="eastAsia" w:eastAsia="方正小标宋简体"/>
          <w:bCs/>
          <w:sz w:val="44"/>
          <w:szCs w:val="44"/>
          <w:shd w:val="clear" w:color="auto" w:fill="FFFFFF"/>
          <w:lang w:val="en-US" w:eastAsia="zh-CN"/>
        </w:rPr>
        <w:t>2025年</w:t>
      </w:r>
      <w:r>
        <w:rPr>
          <w:rFonts w:eastAsia="方正小标宋简体"/>
          <w:bCs/>
          <w:sz w:val="44"/>
          <w:szCs w:val="44"/>
          <w:shd w:val="clear" w:color="auto" w:fill="FFFFFF"/>
        </w:rPr>
        <w:t>预算绩效</w:t>
      </w:r>
      <w:r>
        <w:rPr>
          <w:rFonts w:hint="eastAsia" w:eastAsia="方正小标宋简体"/>
          <w:bCs/>
          <w:sz w:val="44"/>
          <w:szCs w:val="44"/>
          <w:shd w:val="clear" w:color="auto" w:fill="FFFFFF"/>
        </w:rPr>
        <w:t>自评</w:t>
      </w:r>
      <w:r>
        <w:rPr>
          <w:rFonts w:eastAsia="方正小标宋简体"/>
          <w:bCs/>
          <w:sz w:val="44"/>
          <w:szCs w:val="44"/>
          <w:shd w:val="clear" w:color="auto" w:fill="FFFFFF"/>
        </w:rPr>
        <w:t>报告</w:t>
      </w:r>
    </w:p>
    <w:p>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bookmarkStart w:id="86" w:name="_Toc13307"/>
      <w:r>
        <w:rPr>
          <w:rFonts w:hint="eastAsia" w:ascii="Times New Roman" w:hAnsi="Times New Roman" w:eastAsia="黑体"/>
          <w:color w:val="auto"/>
          <w:sz w:val="32"/>
          <w:szCs w:val="32"/>
          <w:highlight w:val="none"/>
          <w:lang w:val="zh-CN" w:eastAsia="zh-CN"/>
        </w:rPr>
        <w:t>一、部门基本情况</w:t>
      </w:r>
      <w:bookmarkEnd w:id="86"/>
    </w:p>
    <w:p>
      <w:pPr>
        <w:spacing w:line="600" w:lineRule="exact"/>
        <w:ind w:firstLine="642" w:firstLineChars="200"/>
        <w:outlineLvl w:val="2"/>
        <w:rPr>
          <w:rFonts w:hint="eastAsia" w:ascii="Times New Roman" w:hAnsi="Times New Roman" w:eastAsia="楷体_GB2312" w:cs="楷体_GB2312"/>
          <w:b/>
          <w:color w:val="auto"/>
          <w:sz w:val="32"/>
          <w:szCs w:val="32"/>
          <w:highlight w:val="none"/>
          <w:lang w:val="zh-CN"/>
        </w:rPr>
      </w:pPr>
      <w:r>
        <w:rPr>
          <w:rFonts w:hint="eastAsia" w:ascii="Times New Roman" w:hAnsi="Times New Roman" w:eastAsia="楷体_GB2312" w:cs="楷体_GB2312"/>
          <w:b/>
          <w:color w:val="auto"/>
          <w:sz w:val="32"/>
          <w:szCs w:val="32"/>
          <w:highlight w:val="none"/>
          <w:lang w:val="zh-CN"/>
        </w:rPr>
        <w:t>（一）机构组成。</w:t>
      </w:r>
    </w:p>
    <w:p>
      <w:pPr>
        <w:spacing w:line="600" w:lineRule="exact"/>
        <w:ind w:firstLine="640" w:firstLineChars="200"/>
        <w:outlineLvl w:val="2"/>
        <w:rPr>
          <w:rFonts w:hint="default"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本部门机构：壤塘县妇幼保健院是壤塘县卫生健康局下属二级预算单位，所需经费全部由财政拨款解决。其中内设机构办公室、妇女保健科、基层保健科、孕产保健科、医务科、财务科、儿童保健部等。</w:t>
      </w:r>
    </w:p>
    <w:p>
      <w:pPr>
        <w:spacing w:line="600" w:lineRule="exact"/>
        <w:ind w:firstLine="642" w:firstLineChars="200"/>
        <w:outlineLvl w:val="2"/>
        <w:rPr>
          <w:rFonts w:hint="eastAsia" w:ascii="Times New Roman" w:hAnsi="Times New Roman" w:eastAsia="楷体_GB2312" w:cs="楷体_GB2312"/>
          <w:b/>
          <w:color w:val="auto"/>
          <w:sz w:val="32"/>
          <w:szCs w:val="32"/>
          <w:highlight w:val="none"/>
          <w:lang w:val="zh-CN" w:eastAsia="zh-CN"/>
        </w:rPr>
      </w:pPr>
      <w:r>
        <w:rPr>
          <w:rFonts w:hint="eastAsia" w:ascii="Times New Roman" w:hAnsi="Times New Roman" w:eastAsia="楷体_GB2312" w:cs="楷体_GB2312"/>
          <w:b/>
          <w:color w:val="auto"/>
          <w:sz w:val="32"/>
          <w:szCs w:val="32"/>
          <w:highlight w:val="none"/>
          <w:lang w:val="zh-CN" w:eastAsia="zh-CN"/>
        </w:rPr>
        <w:t>（</w:t>
      </w:r>
      <w:r>
        <w:rPr>
          <w:rFonts w:hint="eastAsia" w:ascii="Times New Roman" w:hAnsi="Times New Roman" w:eastAsia="楷体_GB2312" w:cs="楷体_GB2312"/>
          <w:b/>
          <w:color w:val="auto"/>
          <w:sz w:val="32"/>
          <w:szCs w:val="32"/>
          <w:highlight w:val="none"/>
          <w:lang w:val="en-US" w:eastAsia="zh-CN"/>
        </w:rPr>
        <w:t>二</w:t>
      </w:r>
      <w:r>
        <w:rPr>
          <w:rFonts w:hint="eastAsia" w:ascii="Times New Roman" w:hAnsi="Times New Roman" w:eastAsia="楷体_GB2312" w:cs="楷体_GB2312"/>
          <w:b/>
          <w:color w:val="auto"/>
          <w:sz w:val="32"/>
          <w:szCs w:val="32"/>
          <w:highlight w:val="none"/>
          <w:lang w:val="zh-CN" w:eastAsia="zh-CN"/>
        </w:rPr>
        <w:t>）机构职能。</w:t>
      </w:r>
    </w:p>
    <w:p>
      <w:pPr>
        <w:spacing w:line="600" w:lineRule="exact"/>
        <w:ind w:firstLine="640" w:firstLineChars="200"/>
        <w:outlineLvl w:val="2"/>
        <w:rPr>
          <w:rFonts w:hint="eastAsia" w:eastAsia="仿宋_GB2312" w:cs="仿宋_GB2312"/>
          <w:color w:val="auto"/>
          <w:kern w:val="2"/>
          <w:sz w:val="32"/>
          <w:szCs w:val="32"/>
          <w:highlight w:val="none"/>
          <w:lang w:val="en-US" w:eastAsia="zh-CN" w:bidi="ar-SA"/>
        </w:rPr>
      </w:pPr>
      <w:r>
        <w:rPr>
          <w:rFonts w:hint="default" w:eastAsia="仿宋_GB2312" w:cs="仿宋_GB2312"/>
          <w:color w:val="auto"/>
          <w:kern w:val="2"/>
          <w:sz w:val="32"/>
          <w:szCs w:val="32"/>
          <w:highlight w:val="none"/>
          <w:lang w:val="en-US" w:eastAsia="zh-CN" w:bidi="ar-SA"/>
        </w:rPr>
        <w:t>1.坚持以群体保健工作为基础，面向基层、预防为主，为妇女儿童提供健康教育、预防保健等公共卫生服务。在切实履行公共卫生职责的同时，开展与妇女儿童健康密切相关的基本医疗服务。</w:t>
      </w:r>
    </w:p>
    <w:p>
      <w:pPr>
        <w:spacing w:line="600" w:lineRule="exact"/>
        <w:ind w:firstLine="640" w:firstLineChars="200"/>
        <w:outlineLvl w:val="2"/>
        <w:rPr>
          <w:rFonts w:hint="eastAsia" w:eastAsia="仿宋_GB2312" w:cs="仿宋_GB2312"/>
          <w:color w:val="auto"/>
          <w:kern w:val="2"/>
          <w:sz w:val="32"/>
          <w:szCs w:val="32"/>
          <w:highlight w:val="none"/>
          <w:lang w:val="zh-CN" w:eastAsia="zh-CN" w:bidi="ar-SA"/>
        </w:rPr>
      </w:pPr>
      <w:r>
        <w:rPr>
          <w:rFonts w:hint="default" w:eastAsia="仿宋_GB2312" w:cs="仿宋_GB2312"/>
          <w:color w:val="auto"/>
          <w:kern w:val="2"/>
          <w:sz w:val="32"/>
          <w:szCs w:val="32"/>
          <w:highlight w:val="none"/>
          <w:lang w:val="en-US" w:eastAsia="zh-CN" w:bidi="ar-SA"/>
        </w:rPr>
        <w:t>2.公共卫生服务:（1）掌握本辖区妇女儿童健康状况及影响因素，协助卫生行政部门制定妇幼卫生工作的相关政策、技术规范及各项规章制度;（2）负责指导和开展本辖区的妇幼保健健康教育与健康促进工作；组织实施本辖区母婴保健技术培训，对基层医疗保健机构开展业务指导，并提供技术支持;（3）负责本辖区孕产妇死亡、婴儿及5岁以下儿童死亡、出生缺陷监测、妇幼卫生服务及技术管理等信息的收集、统计、分析、质量控制和汇总上报;（4）开展妇女保健服务，包括青春期保健、婚前和孕前保健、孕产期保健、更年期保健、老年期保健。</w:t>
      </w:r>
    </w:p>
    <w:p>
      <w:pPr>
        <w:spacing w:line="600" w:lineRule="exact"/>
        <w:ind w:firstLine="642" w:firstLineChars="200"/>
        <w:outlineLvl w:val="2"/>
        <w:rPr>
          <w:rFonts w:hint="eastAsia" w:ascii="Times New Roman" w:hAnsi="Times New Roman" w:eastAsia="楷体_GB2312" w:cs="楷体_GB2312"/>
          <w:b/>
          <w:color w:val="auto"/>
          <w:sz w:val="32"/>
          <w:szCs w:val="32"/>
          <w:highlight w:val="none"/>
          <w:lang w:val="zh-CN" w:eastAsia="zh-CN"/>
        </w:rPr>
      </w:pPr>
      <w:r>
        <w:rPr>
          <w:rFonts w:hint="eastAsia" w:eastAsia="楷体_GB2312" w:cs="楷体_GB2312"/>
          <w:b/>
          <w:color w:val="auto"/>
          <w:sz w:val="32"/>
          <w:szCs w:val="32"/>
          <w:highlight w:val="none"/>
          <w:lang w:val="zh-CN" w:eastAsia="zh-CN"/>
        </w:rPr>
        <w:t>（</w:t>
      </w:r>
      <w:r>
        <w:rPr>
          <w:rFonts w:hint="eastAsia" w:eastAsia="楷体_GB2312" w:cs="楷体_GB2312"/>
          <w:b/>
          <w:color w:val="auto"/>
          <w:sz w:val="32"/>
          <w:szCs w:val="32"/>
          <w:highlight w:val="none"/>
          <w:lang w:val="en-US" w:eastAsia="zh-CN"/>
        </w:rPr>
        <w:t>三</w:t>
      </w:r>
      <w:r>
        <w:rPr>
          <w:rFonts w:hint="eastAsia" w:eastAsia="楷体_GB2312" w:cs="楷体_GB2312"/>
          <w:b/>
          <w:color w:val="auto"/>
          <w:sz w:val="32"/>
          <w:szCs w:val="32"/>
          <w:highlight w:val="none"/>
          <w:lang w:val="zh-CN" w:eastAsia="zh-CN"/>
        </w:rPr>
        <w:t>）</w:t>
      </w:r>
      <w:r>
        <w:rPr>
          <w:rFonts w:hint="eastAsia" w:ascii="Times New Roman" w:hAnsi="Times New Roman" w:eastAsia="楷体_GB2312" w:cs="楷体_GB2312"/>
          <w:b/>
          <w:color w:val="auto"/>
          <w:sz w:val="32"/>
          <w:szCs w:val="32"/>
          <w:highlight w:val="none"/>
          <w:lang w:val="zh-CN" w:eastAsia="zh-CN"/>
        </w:rPr>
        <w:t>人员概况。</w:t>
      </w:r>
    </w:p>
    <w:p>
      <w:pPr>
        <w:spacing w:line="600" w:lineRule="exact"/>
        <w:ind w:firstLine="640" w:firstLineChars="200"/>
        <w:outlineLvl w:val="2"/>
        <w:rPr>
          <w:rFonts w:hint="eastAsia" w:eastAsia="仿宋_GB2312" w:cs="仿宋_GB2312"/>
          <w:color w:val="auto"/>
          <w:kern w:val="2"/>
          <w:sz w:val="32"/>
          <w:szCs w:val="32"/>
          <w:highlight w:val="none"/>
          <w:lang w:val="en-US" w:eastAsia="zh-CN" w:bidi="ar-SA"/>
        </w:rPr>
      </w:pPr>
      <w:r>
        <w:rPr>
          <w:rFonts w:hint="default" w:eastAsia="仿宋_GB2312" w:cs="仿宋_GB2312"/>
          <w:color w:val="auto"/>
          <w:kern w:val="2"/>
          <w:sz w:val="32"/>
          <w:szCs w:val="32"/>
          <w:highlight w:val="none"/>
          <w:lang w:val="en-US" w:eastAsia="zh-CN" w:bidi="ar-SA"/>
        </w:rPr>
        <w:t>202</w:t>
      </w:r>
      <w:r>
        <w:rPr>
          <w:rFonts w:hint="eastAsia" w:eastAsia="仿宋_GB2312" w:cs="仿宋_GB2312"/>
          <w:color w:val="auto"/>
          <w:kern w:val="2"/>
          <w:sz w:val="32"/>
          <w:szCs w:val="32"/>
          <w:highlight w:val="none"/>
          <w:lang w:val="en-US" w:eastAsia="zh-CN" w:bidi="ar-SA"/>
        </w:rPr>
        <w:t>5</w:t>
      </w:r>
      <w:r>
        <w:rPr>
          <w:rFonts w:hint="default" w:eastAsia="仿宋_GB2312" w:cs="仿宋_GB2312"/>
          <w:color w:val="auto"/>
          <w:kern w:val="2"/>
          <w:sz w:val="32"/>
          <w:szCs w:val="32"/>
          <w:highlight w:val="none"/>
          <w:lang w:val="en-US" w:eastAsia="zh-CN" w:bidi="ar-SA"/>
        </w:rPr>
        <w:t>年末，总编制49名,事业编制49名（含壤塘县社区</w:t>
      </w:r>
      <w:r>
        <w:rPr>
          <w:rFonts w:hint="eastAsia" w:eastAsia="仿宋_GB2312" w:cs="仿宋_GB2312"/>
          <w:color w:val="auto"/>
          <w:kern w:val="2"/>
          <w:sz w:val="32"/>
          <w:szCs w:val="32"/>
          <w:highlight w:val="none"/>
          <w:lang w:val="en-US" w:eastAsia="zh-CN" w:bidi="ar-SA"/>
        </w:rPr>
        <w:t>医疗</w:t>
      </w:r>
      <w:r>
        <w:rPr>
          <w:rFonts w:hint="default" w:eastAsia="仿宋_GB2312" w:cs="仿宋_GB2312"/>
          <w:color w:val="auto"/>
          <w:kern w:val="2"/>
          <w:sz w:val="32"/>
          <w:szCs w:val="32"/>
          <w:highlight w:val="none"/>
          <w:lang w:val="en-US" w:eastAsia="zh-CN" w:bidi="ar-SA"/>
        </w:rPr>
        <w:t>卫生服务中心）。截</w:t>
      </w:r>
      <w:r>
        <w:rPr>
          <w:rFonts w:hint="eastAsia" w:eastAsia="仿宋_GB2312" w:cs="仿宋_GB2312"/>
          <w:color w:val="auto"/>
          <w:kern w:val="2"/>
          <w:sz w:val="32"/>
          <w:szCs w:val="32"/>
          <w:highlight w:val="none"/>
          <w:lang w:val="en-US" w:eastAsia="zh-CN" w:bidi="ar-SA"/>
        </w:rPr>
        <w:t>至</w:t>
      </w:r>
      <w:r>
        <w:rPr>
          <w:rFonts w:hint="default" w:eastAsia="仿宋_GB2312" w:cs="仿宋_GB2312"/>
          <w:color w:val="auto"/>
          <w:kern w:val="2"/>
          <w:sz w:val="32"/>
          <w:szCs w:val="32"/>
          <w:highlight w:val="none"/>
          <w:lang w:val="en-US" w:eastAsia="zh-CN" w:bidi="ar-SA"/>
        </w:rPr>
        <w:t>202</w:t>
      </w:r>
      <w:r>
        <w:rPr>
          <w:rFonts w:hint="eastAsia" w:eastAsia="仿宋_GB2312" w:cs="仿宋_GB2312"/>
          <w:color w:val="auto"/>
          <w:kern w:val="2"/>
          <w:sz w:val="32"/>
          <w:szCs w:val="32"/>
          <w:highlight w:val="none"/>
          <w:lang w:val="en-US" w:eastAsia="zh-CN" w:bidi="ar-SA"/>
        </w:rPr>
        <w:t>5</w:t>
      </w:r>
      <w:r>
        <w:rPr>
          <w:rFonts w:hint="default" w:eastAsia="仿宋_GB2312" w:cs="仿宋_GB2312"/>
          <w:color w:val="auto"/>
          <w:kern w:val="2"/>
          <w:sz w:val="32"/>
          <w:szCs w:val="32"/>
          <w:highlight w:val="none"/>
          <w:lang w:val="en-US" w:eastAsia="zh-CN" w:bidi="ar-SA"/>
        </w:rPr>
        <w:t>年12月底，在职人员总数4</w:t>
      </w:r>
      <w:r>
        <w:rPr>
          <w:rFonts w:hint="eastAsia" w:eastAsia="仿宋_GB2312" w:cs="仿宋_GB2312"/>
          <w:color w:val="auto"/>
          <w:kern w:val="2"/>
          <w:sz w:val="32"/>
          <w:szCs w:val="32"/>
          <w:highlight w:val="none"/>
          <w:lang w:val="en-US" w:eastAsia="zh-CN" w:bidi="ar-SA"/>
        </w:rPr>
        <w:t>1</w:t>
      </w:r>
      <w:r>
        <w:rPr>
          <w:rFonts w:hint="default" w:eastAsia="仿宋_GB2312" w:cs="仿宋_GB2312"/>
          <w:color w:val="auto"/>
          <w:kern w:val="2"/>
          <w:sz w:val="32"/>
          <w:szCs w:val="32"/>
          <w:highlight w:val="none"/>
          <w:lang w:val="en-US" w:eastAsia="zh-CN" w:bidi="ar-SA"/>
        </w:rPr>
        <w:t>名(含壤塘县社区</w:t>
      </w:r>
      <w:r>
        <w:rPr>
          <w:rFonts w:hint="eastAsia" w:eastAsia="仿宋_GB2312" w:cs="仿宋_GB2312"/>
          <w:color w:val="auto"/>
          <w:kern w:val="2"/>
          <w:sz w:val="32"/>
          <w:szCs w:val="32"/>
          <w:highlight w:val="none"/>
          <w:lang w:val="en-US" w:eastAsia="zh-CN" w:bidi="ar-SA"/>
        </w:rPr>
        <w:t>医疗</w:t>
      </w:r>
      <w:r>
        <w:rPr>
          <w:rFonts w:hint="default" w:eastAsia="仿宋_GB2312" w:cs="仿宋_GB2312"/>
          <w:color w:val="auto"/>
          <w:kern w:val="2"/>
          <w:sz w:val="32"/>
          <w:szCs w:val="32"/>
          <w:highlight w:val="none"/>
          <w:lang w:val="en-US" w:eastAsia="zh-CN" w:bidi="ar-SA"/>
        </w:rPr>
        <w:t>卫生服务中心)，事业人员</w:t>
      </w:r>
      <w:r>
        <w:rPr>
          <w:rFonts w:hint="eastAsia" w:eastAsia="仿宋_GB2312" w:cs="仿宋_GB2312"/>
          <w:color w:val="auto"/>
          <w:kern w:val="2"/>
          <w:sz w:val="32"/>
          <w:szCs w:val="32"/>
          <w:highlight w:val="none"/>
          <w:lang w:val="en-US" w:eastAsia="zh-CN" w:bidi="ar-SA"/>
        </w:rPr>
        <w:t>41</w:t>
      </w:r>
      <w:r>
        <w:rPr>
          <w:rFonts w:hint="default" w:eastAsia="仿宋_GB2312" w:cs="仿宋_GB2312"/>
          <w:color w:val="auto"/>
          <w:kern w:val="2"/>
          <w:sz w:val="32"/>
          <w:szCs w:val="32"/>
          <w:highlight w:val="none"/>
          <w:lang w:val="en-US" w:eastAsia="zh-CN" w:bidi="ar-SA"/>
        </w:rPr>
        <w:t>名；退休人员8人；遗属1人。</w:t>
      </w:r>
    </w:p>
    <w:p>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val="en-US" w:eastAsia="zh-CN"/>
        </w:rPr>
      </w:pPr>
      <w:bookmarkStart w:id="87" w:name="_Toc28167"/>
      <w:r>
        <w:rPr>
          <w:rFonts w:hint="eastAsia" w:ascii="Times New Roman" w:hAnsi="Times New Roman" w:eastAsia="黑体"/>
          <w:color w:val="auto"/>
          <w:sz w:val="32"/>
          <w:szCs w:val="32"/>
          <w:highlight w:val="none"/>
          <w:lang w:val="en-US" w:eastAsia="zh-CN"/>
        </w:rPr>
        <w:t>二、部门资金收支情况</w:t>
      </w:r>
      <w:bookmarkEnd w:id="87"/>
    </w:p>
    <w:p>
      <w:pPr>
        <w:spacing w:line="600" w:lineRule="exact"/>
        <w:ind w:firstLine="642" w:firstLineChars="200"/>
        <w:outlineLvl w:val="2"/>
        <w:rPr>
          <w:rFonts w:hint="eastAsia" w:ascii="Times New Roman" w:hAnsi="Times New Roman" w:eastAsia="楷体_GB2312" w:cs="楷体_GB2312"/>
          <w:b/>
          <w:color w:val="auto"/>
          <w:sz w:val="32"/>
          <w:szCs w:val="32"/>
          <w:highlight w:val="none"/>
          <w:lang w:val="en-US" w:eastAsia="zh-CN"/>
        </w:rPr>
      </w:pPr>
      <w:r>
        <w:rPr>
          <w:rFonts w:hint="eastAsia" w:ascii="Times New Roman" w:hAnsi="Times New Roman" w:eastAsia="楷体_GB2312" w:cs="楷体_GB2312"/>
          <w:b/>
          <w:color w:val="auto"/>
          <w:sz w:val="32"/>
          <w:szCs w:val="32"/>
          <w:highlight w:val="none"/>
          <w:lang w:val="zh-CN" w:eastAsia="zh-CN"/>
        </w:rPr>
        <w:t>（一）收入情况。</w:t>
      </w:r>
    </w:p>
    <w:p>
      <w:pPr>
        <w:spacing w:line="600" w:lineRule="exact"/>
        <w:ind w:firstLine="640" w:firstLineChars="200"/>
        <w:outlineLvl w:val="2"/>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壤塘县妇幼保健院</w:t>
      </w:r>
      <w:r>
        <w:rPr>
          <w:rFonts w:hint="default" w:eastAsia="仿宋_GB2312" w:cs="仿宋_GB2312"/>
          <w:color w:val="auto"/>
          <w:kern w:val="2"/>
          <w:sz w:val="32"/>
          <w:szCs w:val="32"/>
          <w:highlight w:val="none"/>
          <w:lang w:val="en-US" w:eastAsia="zh-CN" w:bidi="ar-SA"/>
        </w:rPr>
        <w:t>202</w:t>
      </w:r>
      <w:r>
        <w:rPr>
          <w:rFonts w:hint="eastAsia" w:eastAsia="仿宋_GB2312" w:cs="仿宋_GB2312"/>
          <w:color w:val="auto"/>
          <w:kern w:val="2"/>
          <w:sz w:val="32"/>
          <w:szCs w:val="32"/>
          <w:highlight w:val="none"/>
          <w:lang w:val="en-US" w:eastAsia="zh-CN" w:bidi="ar-SA"/>
        </w:rPr>
        <w:t>5</w:t>
      </w:r>
      <w:r>
        <w:rPr>
          <w:rFonts w:hint="default" w:eastAsia="仿宋_GB2312" w:cs="仿宋_GB2312"/>
          <w:color w:val="auto"/>
          <w:kern w:val="2"/>
          <w:sz w:val="32"/>
          <w:szCs w:val="32"/>
          <w:highlight w:val="none"/>
          <w:lang w:val="en-US" w:eastAsia="zh-CN" w:bidi="ar-SA"/>
        </w:rPr>
        <w:t>年财政拨款收入为1161</w:t>
      </w:r>
      <w:r>
        <w:rPr>
          <w:rFonts w:hint="eastAsia" w:eastAsia="仿宋_GB2312" w:cs="仿宋_GB2312"/>
          <w:color w:val="auto"/>
          <w:kern w:val="2"/>
          <w:sz w:val="32"/>
          <w:szCs w:val="32"/>
          <w:highlight w:val="none"/>
          <w:lang w:val="en-US" w:eastAsia="zh-CN" w:bidi="ar-SA"/>
        </w:rPr>
        <w:t>.</w:t>
      </w:r>
      <w:r>
        <w:rPr>
          <w:rFonts w:hint="default" w:eastAsia="仿宋_GB2312" w:cs="仿宋_GB2312"/>
          <w:color w:val="auto"/>
          <w:kern w:val="2"/>
          <w:sz w:val="32"/>
          <w:szCs w:val="32"/>
          <w:highlight w:val="none"/>
          <w:lang w:val="en-US" w:eastAsia="zh-CN" w:bidi="ar-SA"/>
        </w:rPr>
        <w:t>39</w:t>
      </w:r>
      <w:r>
        <w:rPr>
          <w:rFonts w:hint="eastAsia" w:eastAsia="仿宋_GB2312" w:cs="仿宋_GB2312"/>
          <w:color w:val="auto"/>
          <w:kern w:val="2"/>
          <w:sz w:val="32"/>
          <w:szCs w:val="32"/>
          <w:highlight w:val="none"/>
          <w:lang w:val="en-US" w:eastAsia="zh-CN" w:bidi="ar-SA"/>
        </w:rPr>
        <w:t>万</w:t>
      </w:r>
      <w:r>
        <w:rPr>
          <w:rFonts w:hint="default" w:eastAsia="仿宋_GB2312" w:cs="仿宋_GB2312"/>
          <w:color w:val="auto"/>
          <w:kern w:val="2"/>
          <w:sz w:val="32"/>
          <w:szCs w:val="32"/>
          <w:highlight w:val="none"/>
          <w:lang w:val="en-US" w:eastAsia="zh-CN" w:bidi="ar-SA"/>
        </w:rPr>
        <w:t>元，其中：社会保障和就业收入163</w:t>
      </w:r>
      <w:r>
        <w:rPr>
          <w:rFonts w:hint="eastAsia" w:eastAsia="仿宋_GB2312" w:cs="仿宋_GB2312"/>
          <w:color w:val="auto"/>
          <w:kern w:val="2"/>
          <w:sz w:val="32"/>
          <w:szCs w:val="32"/>
          <w:highlight w:val="none"/>
          <w:lang w:val="en-US" w:eastAsia="zh-CN" w:bidi="ar-SA"/>
        </w:rPr>
        <w:t>.</w:t>
      </w:r>
      <w:r>
        <w:rPr>
          <w:rFonts w:hint="default" w:eastAsia="仿宋_GB2312" w:cs="仿宋_GB2312"/>
          <w:color w:val="auto"/>
          <w:kern w:val="2"/>
          <w:sz w:val="32"/>
          <w:szCs w:val="32"/>
          <w:highlight w:val="none"/>
          <w:lang w:val="en-US" w:eastAsia="zh-CN" w:bidi="ar-SA"/>
        </w:rPr>
        <w:t>61</w:t>
      </w:r>
      <w:r>
        <w:rPr>
          <w:rFonts w:hint="eastAsia" w:eastAsia="仿宋_GB2312" w:cs="仿宋_GB2312"/>
          <w:color w:val="auto"/>
          <w:kern w:val="2"/>
          <w:sz w:val="32"/>
          <w:szCs w:val="32"/>
          <w:highlight w:val="none"/>
          <w:lang w:val="en-US" w:eastAsia="zh-CN" w:bidi="ar-SA"/>
        </w:rPr>
        <w:t>万</w:t>
      </w:r>
      <w:r>
        <w:rPr>
          <w:rFonts w:hint="default" w:eastAsia="仿宋_GB2312" w:cs="仿宋_GB2312"/>
          <w:color w:val="auto"/>
          <w:kern w:val="2"/>
          <w:sz w:val="32"/>
          <w:szCs w:val="32"/>
          <w:highlight w:val="none"/>
          <w:lang w:val="en-US" w:eastAsia="zh-CN" w:bidi="ar-SA"/>
        </w:rPr>
        <w:t>元；卫生健康收入920</w:t>
      </w:r>
      <w:r>
        <w:rPr>
          <w:rFonts w:hint="eastAsia" w:eastAsia="仿宋_GB2312" w:cs="仿宋_GB2312"/>
          <w:color w:val="auto"/>
          <w:kern w:val="2"/>
          <w:sz w:val="32"/>
          <w:szCs w:val="32"/>
          <w:highlight w:val="none"/>
          <w:lang w:val="en-US" w:eastAsia="zh-CN" w:bidi="ar-SA"/>
        </w:rPr>
        <w:t>.</w:t>
      </w:r>
      <w:r>
        <w:rPr>
          <w:rFonts w:hint="default" w:eastAsia="仿宋_GB2312" w:cs="仿宋_GB2312"/>
          <w:color w:val="auto"/>
          <w:kern w:val="2"/>
          <w:sz w:val="32"/>
          <w:szCs w:val="32"/>
          <w:highlight w:val="none"/>
          <w:lang w:val="en-US" w:eastAsia="zh-CN" w:bidi="ar-SA"/>
        </w:rPr>
        <w:t>3</w:t>
      </w:r>
      <w:r>
        <w:rPr>
          <w:rFonts w:hint="eastAsia" w:eastAsia="仿宋_GB2312" w:cs="仿宋_GB2312"/>
          <w:color w:val="auto"/>
          <w:kern w:val="2"/>
          <w:sz w:val="32"/>
          <w:szCs w:val="32"/>
          <w:highlight w:val="none"/>
          <w:lang w:val="en-US" w:eastAsia="zh-CN" w:bidi="ar-SA"/>
        </w:rPr>
        <w:t>2</w:t>
      </w:r>
      <w:r>
        <w:rPr>
          <w:rFonts w:hint="default" w:eastAsia="仿宋_GB2312" w:cs="仿宋_GB2312"/>
          <w:color w:val="auto"/>
          <w:kern w:val="2"/>
          <w:sz w:val="32"/>
          <w:szCs w:val="32"/>
          <w:highlight w:val="none"/>
          <w:lang w:val="en-US" w:eastAsia="zh-CN" w:bidi="ar-SA"/>
        </w:rPr>
        <w:t>元；住房保障收入77</w:t>
      </w:r>
      <w:r>
        <w:rPr>
          <w:rFonts w:hint="eastAsia" w:eastAsia="仿宋_GB2312" w:cs="仿宋_GB2312"/>
          <w:color w:val="auto"/>
          <w:kern w:val="2"/>
          <w:sz w:val="32"/>
          <w:szCs w:val="32"/>
          <w:highlight w:val="none"/>
          <w:lang w:val="en-US" w:eastAsia="zh-CN" w:bidi="ar-SA"/>
        </w:rPr>
        <w:t>.</w:t>
      </w:r>
      <w:r>
        <w:rPr>
          <w:rFonts w:hint="default" w:eastAsia="仿宋_GB2312" w:cs="仿宋_GB2312"/>
          <w:color w:val="auto"/>
          <w:kern w:val="2"/>
          <w:sz w:val="32"/>
          <w:szCs w:val="32"/>
          <w:highlight w:val="none"/>
          <w:lang w:val="en-US" w:eastAsia="zh-CN" w:bidi="ar-SA"/>
        </w:rPr>
        <w:t>46元。</w:t>
      </w:r>
    </w:p>
    <w:p>
      <w:pPr>
        <w:spacing w:line="600" w:lineRule="exact"/>
        <w:ind w:firstLine="642" w:firstLineChars="200"/>
        <w:outlineLvl w:val="2"/>
        <w:rPr>
          <w:rFonts w:hint="eastAsia" w:ascii="Times New Roman" w:hAnsi="Times New Roman" w:eastAsia="楷体_GB2312" w:cs="楷体_GB2312"/>
          <w:b/>
          <w:color w:val="auto"/>
          <w:sz w:val="32"/>
          <w:szCs w:val="32"/>
          <w:highlight w:val="none"/>
          <w:lang w:val="zh-CN" w:eastAsia="zh-CN"/>
        </w:rPr>
      </w:pPr>
      <w:r>
        <w:rPr>
          <w:rFonts w:hint="eastAsia" w:eastAsia="楷体_GB2312" w:cs="楷体_GB2312"/>
          <w:b/>
          <w:color w:val="auto"/>
          <w:sz w:val="32"/>
          <w:szCs w:val="32"/>
          <w:highlight w:val="none"/>
          <w:lang w:val="zh-CN" w:eastAsia="zh-CN"/>
        </w:rPr>
        <w:t>（</w:t>
      </w:r>
      <w:r>
        <w:rPr>
          <w:rFonts w:hint="eastAsia" w:eastAsia="楷体_GB2312" w:cs="楷体_GB2312"/>
          <w:b/>
          <w:color w:val="auto"/>
          <w:sz w:val="32"/>
          <w:szCs w:val="32"/>
          <w:highlight w:val="none"/>
          <w:lang w:val="en-US" w:eastAsia="zh-CN"/>
        </w:rPr>
        <w:t>二</w:t>
      </w:r>
      <w:r>
        <w:rPr>
          <w:rFonts w:hint="eastAsia" w:eastAsia="楷体_GB2312" w:cs="楷体_GB2312"/>
          <w:b/>
          <w:color w:val="auto"/>
          <w:sz w:val="32"/>
          <w:szCs w:val="32"/>
          <w:highlight w:val="none"/>
          <w:lang w:val="zh-CN" w:eastAsia="zh-CN"/>
        </w:rPr>
        <w:t>）</w:t>
      </w:r>
      <w:r>
        <w:rPr>
          <w:rFonts w:hint="eastAsia" w:ascii="Times New Roman" w:hAnsi="Times New Roman" w:eastAsia="楷体_GB2312" w:cs="楷体_GB2312"/>
          <w:b/>
          <w:color w:val="auto"/>
          <w:sz w:val="32"/>
          <w:szCs w:val="32"/>
          <w:highlight w:val="none"/>
          <w:lang w:val="zh-CN" w:eastAsia="zh-CN"/>
        </w:rPr>
        <w:t>支出情况。</w:t>
      </w:r>
    </w:p>
    <w:p>
      <w:pPr>
        <w:spacing w:line="600" w:lineRule="exact"/>
        <w:ind w:firstLine="640" w:firstLineChars="200"/>
        <w:outlineLvl w:val="2"/>
        <w:rPr>
          <w:rFonts w:hint="default"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壤塘县妇幼保健院2025年年初预算支出1052.11万元，其中社会保障和就业支出165.35万元，卫生健康支出803.90万元，住房保障支出82.86万元；决算报表支出1161.39万元，其中社会保障和就业支出163.61万元，卫生健康支920.32万元，住房保障支出77.46万元。</w:t>
      </w:r>
    </w:p>
    <w:p>
      <w:pPr>
        <w:spacing w:line="600" w:lineRule="exact"/>
        <w:ind w:firstLine="642" w:firstLineChars="200"/>
        <w:outlineLvl w:val="2"/>
        <w:rPr>
          <w:rFonts w:hint="eastAsia" w:eastAsia="楷体_GB2312" w:cs="楷体_GB2312"/>
          <w:b/>
          <w:color w:val="auto"/>
          <w:sz w:val="32"/>
          <w:szCs w:val="32"/>
          <w:highlight w:val="none"/>
          <w:lang w:val="en-US" w:eastAsia="zh-CN"/>
        </w:rPr>
      </w:pPr>
      <w:r>
        <w:rPr>
          <w:rFonts w:hint="eastAsia" w:eastAsia="楷体_GB2312" w:cs="楷体_GB2312"/>
          <w:b/>
          <w:color w:val="auto"/>
          <w:sz w:val="32"/>
          <w:szCs w:val="32"/>
          <w:highlight w:val="none"/>
          <w:lang w:val="en-US" w:eastAsia="zh-CN"/>
        </w:rPr>
        <w:t>（三）结余分配和结转结余情况。</w:t>
      </w:r>
    </w:p>
    <w:p>
      <w:pPr>
        <w:spacing w:line="600" w:lineRule="exact"/>
        <w:ind w:firstLine="640" w:firstLineChars="200"/>
        <w:outlineLvl w:val="2"/>
        <w:rPr>
          <w:rFonts w:hint="eastAsia" w:ascii="仿宋_GB2312" w:hAnsi="Calibri" w:eastAsia="仿宋_GB2312" w:cs="仿宋"/>
          <w:color w:val="000000"/>
          <w:kern w:val="0"/>
          <w:sz w:val="32"/>
          <w:szCs w:val="32"/>
          <w:lang w:val="zh-CN" w:eastAsia="zh-CN" w:bidi="ar-SA"/>
        </w:rPr>
      </w:pPr>
      <w:r>
        <w:rPr>
          <w:rFonts w:hint="eastAsia" w:eastAsia="仿宋_GB2312" w:cs="仿宋_GB2312"/>
          <w:color w:val="auto"/>
          <w:kern w:val="2"/>
          <w:sz w:val="32"/>
          <w:szCs w:val="32"/>
          <w:highlight w:val="none"/>
          <w:lang w:val="en-US" w:eastAsia="zh-CN" w:bidi="ar-SA"/>
        </w:rPr>
        <w:t>壤塘县妇幼保健院2025年决算年末结转和结余21.96万元。</w:t>
      </w:r>
    </w:p>
    <w:p>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val="en-US" w:eastAsia="zh-CN"/>
        </w:rPr>
      </w:pPr>
      <w:bookmarkStart w:id="88" w:name="_Toc12475"/>
      <w:r>
        <w:rPr>
          <w:rFonts w:hint="eastAsia" w:ascii="Times New Roman" w:hAnsi="Times New Roman" w:eastAsia="黑体"/>
          <w:color w:val="auto"/>
          <w:sz w:val="32"/>
          <w:szCs w:val="32"/>
          <w:highlight w:val="none"/>
          <w:lang w:val="en-US" w:eastAsia="zh-CN"/>
        </w:rPr>
        <w:t>三、部门预算绩效分析</w:t>
      </w:r>
      <w:bookmarkEnd w:id="88"/>
    </w:p>
    <w:p>
      <w:pPr>
        <w:spacing w:line="600" w:lineRule="exact"/>
        <w:ind w:firstLine="642" w:firstLineChars="200"/>
        <w:outlineLvl w:val="2"/>
        <w:rPr>
          <w:rFonts w:hint="eastAsia" w:ascii="Times New Roman" w:hAnsi="Times New Roman" w:eastAsia="楷体_GB2312" w:cs="楷体_GB2312"/>
          <w:b/>
          <w:color w:val="auto"/>
          <w:sz w:val="32"/>
          <w:szCs w:val="32"/>
          <w:highlight w:val="none"/>
          <w:lang w:val="zh-CN" w:eastAsia="zh-CN"/>
        </w:rPr>
      </w:pPr>
      <w:r>
        <w:rPr>
          <w:rFonts w:hint="eastAsia" w:ascii="Times New Roman" w:hAnsi="Times New Roman" w:eastAsia="楷体_GB2312" w:cs="楷体_GB2312"/>
          <w:b/>
          <w:color w:val="auto"/>
          <w:sz w:val="32"/>
          <w:szCs w:val="32"/>
          <w:highlight w:val="none"/>
          <w:lang w:val="zh-CN" w:eastAsia="zh-CN"/>
        </w:rPr>
        <w:t>（一）部门预算总体绩效分析。</w:t>
      </w:r>
    </w:p>
    <w:p>
      <w:pPr>
        <w:spacing w:line="600" w:lineRule="exact"/>
        <w:ind w:firstLine="640" w:firstLineChars="200"/>
        <w:outlineLvl w:val="2"/>
        <w:rPr>
          <w:rFonts w:hint="eastAsia" w:eastAsia="仿宋_GB2312" w:cs="仿宋_GB2312"/>
          <w:color w:val="auto"/>
          <w:kern w:val="2"/>
          <w:sz w:val="32"/>
          <w:szCs w:val="32"/>
          <w:highlight w:val="none"/>
          <w:lang w:val="zh-CN" w:eastAsia="zh-CN" w:bidi="ar-SA"/>
        </w:rPr>
      </w:pPr>
      <w:r>
        <w:rPr>
          <w:rFonts w:hint="eastAsia" w:eastAsia="仿宋_GB2312" w:cs="仿宋_GB2312"/>
          <w:color w:val="auto"/>
          <w:kern w:val="2"/>
          <w:sz w:val="32"/>
          <w:szCs w:val="32"/>
          <w:highlight w:val="none"/>
          <w:lang w:val="en-US" w:eastAsia="zh-CN" w:bidi="ar-SA"/>
        </w:rPr>
        <w:t>1.</w:t>
      </w:r>
      <w:r>
        <w:rPr>
          <w:rFonts w:hint="eastAsia" w:eastAsia="仿宋_GB2312" w:cs="仿宋_GB2312"/>
          <w:color w:val="auto"/>
          <w:kern w:val="2"/>
          <w:sz w:val="32"/>
          <w:szCs w:val="32"/>
          <w:highlight w:val="none"/>
          <w:lang w:val="zh-CN" w:eastAsia="zh-CN" w:bidi="ar-SA"/>
        </w:rPr>
        <w:t>履职效能。</w:t>
      </w:r>
    </w:p>
    <w:p>
      <w:pPr>
        <w:spacing w:line="600" w:lineRule="exact"/>
        <w:ind w:firstLine="640" w:firstLineChars="200"/>
        <w:outlineLvl w:val="2"/>
        <w:rPr>
          <w:rFonts w:hint="eastAsia" w:eastAsia="仿宋_GB2312" w:cs="仿宋_GB2312"/>
          <w:color w:val="auto"/>
          <w:kern w:val="2"/>
          <w:sz w:val="32"/>
          <w:szCs w:val="32"/>
          <w:highlight w:val="none"/>
          <w:lang w:val="zh-CN" w:eastAsia="zh-CN" w:bidi="ar-SA"/>
        </w:rPr>
      </w:pPr>
      <w:r>
        <w:rPr>
          <w:rFonts w:hint="eastAsia" w:eastAsia="仿宋_GB2312" w:cs="仿宋_GB2312"/>
          <w:color w:val="auto"/>
          <w:kern w:val="2"/>
          <w:sz w:val="32"/>
          <w:szCs w:val="32"/>
          <w:highlight w:val="none"/>
          <w:lang w:val="en-US" w:eastAsia="zh-CN" w:bidi="ar-SA"/>
        </w:rPr>
        <w:t>壤塘县妇幼保健院</w:t>
      </w:r>
      <w:r>
        <w:rPr>
          <w:rFonts w:hint="default" w:eastAsia="仿宋_GB2312" w:cs="仿宋_GB2312"/>
          <w:color w:val="auto"/>
          <w:kern w:val="2"/>
          <w:sz w:val="32"/>
          <w:szCs w:val="32"/>
          <w:highlight w:val="none"/>
          <w:lang w:val="en-US" w:eastAsia="zh-CN" w:bidi="ar-SA"/>
        </w:rPr>
        <w:t>以群体保健工作为基础，面向基层、预防为主，为妇女儿童提供健康教育、预防保健等公共卫生服务。</w:t>
      </w:r>
      <w:r>
        <w:rPr>
          <w:rFonts w:hint="eastAsia" w:eastAsia="仿宋_GB2312" w:cs="仿宋_GB2312"/>
          <w:color w:val="auto"/>
          <w:kern w:val="2"/>
          <w:sz w:val="32"/>
          <w:szCs w:val="32"/>
          <w:highlight w:val="none"/>
          <w:lang w:val="en-US" w:eastAsia="zh-CN" w:bidi="ar-SA"/>
        </w:rPr>
        <w:t>根据职能职责工作：（1）</w:t>
      </w:r>
      <w:r>
        <w:rPr>
          <w:rFonts w:hint="default" w:eastAsia="仿宋_GB2312" w:cs="仿宋_GB2312"/>
          <w:color w:val="auto"/>
          <w:kern w:val="2"/>
          <w:sz w:val="32"/>
          <w:szCs w:val="32"/>
          <w:highlight w:val="none"/>
          <w:lang w:val="en-US" w:eastAsia="zh-CN" w:bidi="ar-SA"/>
        </w:rPr>
        <w:t>农村育龄妇女“两癌”筛查</w:t>
      </w:r>
      <w:r>
        <w:rPr>
          <w:rFonts w:hint="eastAsia" w:eastAsia="仿宋_GB2312" w:cs="仿宋_GB2312"/>
          <w:color w:val="auto"/>
          <w:kern w:val="2"/>
          <w:sz w:val="32"/>
          <w:szCs w:val="32"/>
          <w:highlight w:val="none"/>
          <w:lang w:val="en-US" w:eastAsia="zh-CN" w:bidi="ar-SA"/>
        </w:rPr>
        <w:t>项目：2025年筛查</w:t>
      </w:r>
      <w:r>
        <w:rPr>
          <w:rFonts w:hint="default" w:eastAsia="仿宋_GB2312" w:cs="仿宋_GB2312"/>
          <w:color w:val="auto"/>
          <w:kern w:val="2"/>
          <w:sz w:val="32"/>
          <w:szCs w:val="32"/>
          <w:highlight w:val="none"/>
          <w:lang w:val="en-US" w:eastAsia="zh-CN" w:bidi="ar-SA"/>
        </w:rPr>
        <w:t>1</w:t>
      </w:r>
      <w:r>
        <w:rPr>
          <w:rFonts w:hint="eastAsia" w:eastAsia="仿宋_GB2312" w:cs="仿宋_GB2312"/>
          <w:color w:val="auto"/>
          <w:kern w:val="2"/>
          <w:sz w:val="32"/>
          <w:szCs w:val="32"/>
          <w:highlight w:val="none"/>
          <w:lang w:val="en-US" w:eastAsia="zh-CN" w:bidi="ar-SA"/>
        </w:rPr>
        <w:t>347</w:t>
      </w:r>
      <w:r>
        <w:rPr>
          <w:rFonts w:hint="default" w:eastAsia="仿宋_GB2312" w:cs="仿宋_GB2312"/>
          <w:color w:val="auto"/>
          <w:kern w:val="2"/>
          <w:sz w:val="32"/>
          <w:szCs w:val="32"/>
          <w:highlight w:val="none"/>
          <w:lang w:val="en-US" w:eastAsia="zh-CN" w:bidi="ar-SA"/>
        </w:rPr>
        <w:t>人</w:t>
      </w:r>
      <w:r>
        <w:rPr>
          <w:rFonts w:hint="eastAsia" w:eastAsia="仿宋_GB2312" w:cs="仿宋_GB2312"/>
          <w:color w:val="auto"/>
          <w:kern w:val="2"/>
          <w:sz w:val="32"/>
          <w:szCs w:val="32"/>
          <w:highlight w:val="none"/>
          <w:lang w:val="en-US" w:eastAsia="zh-CN" w:bidi="ar-SA"/>
        </w:rPr>
        <w:t>；（2）</w:t>
      </w:r>
      <w:r>
        <w:rPr>
          <w:rFonts w:hint="default" w:eastAsia="仿宋_GB2312" w:cs="仿宋_GB2312"/>
          <w:color w:val="auto"/>
          <w:kern w:val="2"/>
          <w:sz w:val="32"/>
          <w:szCs w:val="32"/>
          <w:highlight w:val="none"/>
          <w:lang w:val="en-US" w:eastAsia="zh-CN" w:bidi="ar-SA"/>
        </w:rPr>
        <w:t>孕产妇系统管理</w:t>
      </w:r>
      <w:r>
        <w:rPr>
          <w:rFonts w:hint="eastAsia" w:eastAsia="仿宋_GB2312" w:cs="仿宋_GB2312"/>
          <w:color w:val="auto"/>
          <w:kern w:val="2"/>
          <w:sz w:val="32"/>
          <w:szCs w:val="32"/>
          <w:highlight w:val="none"/>
          <w:lang w:val="en-US" w:eastAsia="zh-CN" w:bidi="ar-SA"/>
        </w:rPr>
        <w:t>：2025年孕产妇系统管理数184人，系统管理率89.30%；（3）</w:t>
      </w:r>
      <w:r>
        <w:rPr>
          <w:rFonts w:hint="default" w:eastAsia="仿宋_GB2312" w:cs="仿宋_GB2312"/>
          <w:color w:val="auto"/>
          <w:kern w:val="2"/>
          <w:sz w:val="32"/>
          <w:szCs w:val="32"/>
          <w:highlight w:val="none"/>
          <w:lang w:val="en-US" w:eastAsia="zh-CN" w:bidi="ar-SA"/>
        </w:rPr>
        <w:t>免费婚前医学健康检查：</w:t>
      </w:r>
      <w:r>
        <w:rPr>
          <w:rFonts w:hint="eastAsia" w:eastAsia="仿宋_GB2312" w:cs="仿宋_GB2312"/>
          <w:color w:val="auto"/>
          <w:kern w:val="2"/>
          <w:sz w:val="32"/>
          <w:szCs w:val="32"/>
          <w:highlight w:val="none"/>
          <w:lang w:val="en-US" w:eastAsia="zh-CN" w:bidi="ar-SA"/>
        </w:rPr>
        <w:t>2025年完成检查</w:t>
      </w:r>
      <w:r>
        <w:rPr>
          <w:rFonts w:hint="default" w:eastAsia="仿宋_GB2312" w:cs="仿宋_GB2312"/>
          <w:color w:val="auto"/>
          <w:kern w:val="2"/>
          <w:sz w:val="32"/>
          <w:szCs w:val="32"/>
          <w:highlight w:val="none"/>
          <w:lang w:val="en-US" w:eastAsia="zh-CN" w:bidi="ar-SA"/>
        </w:rPr>
        <w:t>191对</w:t>
      </w:r>
      <w:r>
        <w:rPr>
          <w:rFonts w:hint="eastAsia" w:eastAsia="仿宋_GB2312" w:cs="仿宋_GB2312"/>
          <w:color w:val="auto"/>
          <w:kern w:val="2"/>
          <w:sz w:val="32"/>
          <w:szCs w:val="32"/>
          <w:highlight w:val="none"/>
          <w:lang w:val="en-US" w:eastAsia="zh-CN" w:bidi="ar-SA"/>
        </w:rPr>
        <w:t>；（4）</w:t>
      </w:r>
      <w:r>
        <w:rPr>
          <w:rFonts w:hint="default" w:eastAsia="仿宋_GB2312" w:cs="仿宋_GB2312"/>
          <w:color w:val="auto"/>
          <w:kern w:val="2"/>
          <w:sz w:val="32"/>
          <w:szCs w:val="32"/>
          <w:highlight w:val="none"/>
          <w:lang w:val="en-US" w:eastAsia="zh-CN" w:bidi="ar-SA"/>
        </w:rPr>
        <w:t>免费孕前优生检查：</w:t>
      </w:r>
      <w:r>
        <w:rPr>
          <w:rFonts w:hint="eastAsia" w:eastAsia="仿宋_GB2312" w:cs="仿宋_GB2312"/>
          <w:color w:val="auto"/>
          <w:kern w:val="2"/>
          <w:sz w:val="32"/>
          <w:szCs w:val="32"/>
          <w:highlight w:val="none"/>
          <w:lang w:val="en-US" w:eastAsia="zh-CN" w:bidi="ar-SA"/>
        </w:rPr>
        <w:t>2025年完成检查112</w:t>
      </w:r>
      <w:r>
        <w:rPr>
          <w:rFonts w:hint="default" w:eastAsia="仿宋_GB2312" w:cs="仿宋_GB2312"/>
          <w:color w:val="auto"/>
          <w:kern w:val="2"/>
          <w:sz w:val="32"/>
          <w:szCs w:val="32"/>
          <w:highlight w:val="none"/>
          <w:lang w:val="en-US" w:eastAsia="zh-CN" w:bidi="ar-SA"/>
        </w:rPr>
        <w:t>对</w:t>
      </w:r>
      <w:r>
        <w:rPr>
          <w:rFonts w:hint="eastAsia" w:eastAsia="仿宋_GB2312" w:cs="仿宋_GB2312"/>
          <w:color w:val="auto"/>
          <w:kern w:val="2"/>
          <w:sz w:val="32"/>
          <w:szCs w:val="32"/>
          <w:highlight w:val="none"/>
          <w:lang w:val="en-US" w:eastAsia="zh-CN" w:bidi="ar-SA"/>
        </w:rPr>
        <w:t>；（5）</w:t>
      </w:r>
      <w:r>
        <w:rPr>
          <w:rFonts w:hint="default" w:eastAsia="仿宋_GB2312" w:cs="仿宋_GB2312"/>
          <w:color w:val="auto"/>
          <w:kern w:val="2"/>
          <w:sz w:val="32"/>
          <w:szCs w:val="32"/>
          <w:highlight w:val="none"/>
          <w:lang w:val="en-US" w:eastAsia="zh-CN" w:bidi="ar-SA"/>
        </w:rPr>
        <w:t>消除“母婴传播”工作：</w:t>
      </w:r>
      <w:r>
        <w:rPr>
          <w:rFonts w:hint="eastAsia" w:eastAsia="仿宋_GB2312" w:cs="仿宋_GB2312"/>
          <w:color w:val="auto"/>
          <w:kern w:val="2"/>
          <w:sz w:val="32"/>
          <w:szCs w:val="32"/>
          <w:highlight w:val="none"/>
          <w:lang w:val="en-US" w:eastAsia="zh-CN" w:bidi="ar-SA"/>
        </w:rPr>
        <w:t>2025</w:t>
      </w:r>
      <w:r>
        <w:rPr>
          <w:rFonts w:hint="default" w:eastAsia="仿宋_GB2312" w:cs="仿宋_GB2312"/>
          <w:color w:val="auto"/>
          <w:kern w:val="2"/>
          <w:sz w:val="32"/>
          <w:szCs w:val="32"/>
          <w:highlight w:val="none"/>
          <w:lang w:val="en-US" w:eastAsia="zh-CN" w:bidi="ar-SA"/>
        </w:rPr>
        <w:t>孕产妇“艾滋病、梅毒和乙肝”检测654人，检测率82.37%</w:t>
      </w:r>
      <w:r>
        <w:rPr>
          <w:rFonts w:hint="eastAsia" w:eastAsia="仿宋_GB2312" w:cs="仿宋_GB2312"/>
          <w:color w:val="auto"/>
          <w:kern w:val="2"/>
          <w:sz w:val="32"/>
          <w:szCs w:val="32"/>
          <w:highlight w:val="none"/>
          <w:lang w:val="en-US" w:eastAsia="zh-CN" w:bidi="ar-SA"/>
        </w:rPr>
        <w:t>；（6）</w:t>
      </w:r>
      <w:r>
        <w:rPr>
          <w:rFonts w:hint="default" w:eastAsia="仿宋_GB2312" w:cs="仿宋_GB2312"/>
          <w:color w:val="auto"/>
          <w:kern w:val="2"/>
          <w:sz w:val="32"/>
          <w:szCs w:val="32"/>
          <w:highlight w:val="none"/>
          <w:lang w:val="en-US" w:eastAsia="zh-CN" w:bidi="ar-SA"/>
        </w:rPr>
        <w:t>育龄妇女监测：</w:t>
      </w:r>
      <w:r>
        <w:rPr>
          <w:rFonts w:hint="eastAsia" w:eastAsia="仿宋_GB2312" w:cs="仿宋_GB2312"/>
          <w:color w:val="auto"/>
          <w:kern w:val="2"/>
          <w:sz w:val="32"/>
          <w:szCs w:val="32"/>
          <w:highlight w:val="none"/>
          <w:lang w:val="en-US" w:eastAsia="zh-CN" w:bidi="ar-SA"/>
        </w:rPr>
        <w:t>2025年</w:t>
      </w:r>
      <w:r>
        <w:rPr>
          <w:rFonts w:hint="default" w:eastAsia="仿宋_GB2312" w:cs="仿宋_GB2312"/>
          <w:color w:val="auto"/>
          <w:kern w:val="2"/>
          <w:sz w:val="32"/>
          <w:szCs w:val="32"/>
          <w:highlight w:val="none"/>
          <w:lang w:val="en-US" w:eastAsia="zh-CN" w:bidi="ar-SA"/>
        </w:rPr>
        <w:t>育龄妇女孕情监测10112人，接受艾滋病、梅毒、乙肝检测9109人，实现孕情监测与“艾滋病、梅毒和乙肝”筛查有效衔接。</w:t>
      </w:r>
    </w:p>
    <w:p>
      <w:pPr>
        <w:spacing w:line="600" w:lineRule="exact"/>
        <w:ind w:firstLine="640" w:firstLineChars="200"/>
        <w:outlineLvl w:val="2"/>
        <w:rPr>
          <w:rFonts w:hint="eastAsia" w:eastAsia="仿宋_GB2312" w:cs="仿宋_GB2312"/>
          <w:color w:val="auto"/>
          <w:kern w:val="2"/>
          <w:sz w:val="32"/>
          <w:szCs w:val="32"/>
          <w:highlight w:val="none"/>
          <w:lang w:val="zh-CN" w:eastAsia="zh-CN" w:bidi="ar-SA"/>
        </w:rPr>
      </w:pPr>
      <w:r>
        <w:rPr>
          <w:rFonts w:hint="eastAsia" w:eastAsia="仿宋_GB2312" w:cs="仿宋_GB2312"/>
          <w:color w:val="auto"/>
          <w:kern w:val="2"/>
          <w:sz w:val="32"/>
          <w:szCs w:val="32"/>
          <w:highlight w:val="none"/>
          <w:lang w:val="en-US" w:eastAsia="zh-CN" w:bidi="ar-SA"/>
        </w:rPr>
        <w:t>2.</w:t>
      </w:r>
      <w:r>
        <w:rPr>
          <w:rFonts w:hint="eastAsia" w:eastAsia="仿宋_GB2312" w:cs="仿宋_GB2312"/>
          <w:color w:val="auto"/>
          <w:kern w:val="2"/>
          <w:sz w:val="32"/>
          <w:szCs w:val="32"/>
          <w:highlight w:val="none"/>
          <w:lang w:val="zh-CN" w:eastAsia="zh-CN" w:bidi="ar-SA"/>
        </w:rPr>
        <w:t>预算管理。</w:t>
      </w:r>
    </w:p>
    <w:p>
      <w:pPr>
        <w:spacing w:line="600" w:lineRule="exact"/>
        <w:ind w:firstLine="640" w:firstLineChars="200"/>
        <w:outlineLvl w:val="2"/>
        <w:rPr>
          <w:rFonts w:hint="default"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（1）壤塘县妇幼保健院</w:t>
      </w:r>
      <w:r>
        <w:rPr>
          <w:rFonts w:hint="default" w:eastAsia="仿宋_GB2312" w:cs="仿宋_GB2312"/>
          <w:color w:val="auto"/>
          <w:kern w:val="2"/>
          <w:sz w:val="32"/>
          <w:szCs w:val="32"/>
          <w:highlight w:val="none"/>
          <w:lang w:val="en-US" w:eastAsia="zh-CN" w:bidi="ar-SA"/>
        </w:rPr>
        <w:t>202</w:t>
      </w:r>
      <w:r>
        <w:rPr>
          <w:rFonts w:hint="eastAsia" w:eastAsia="仿宋_GB2312" w:cs="仿宋_GB2312"/>
          <w:color w:val="auto"/>
          <w:kern w:val="2"/>
          <w:sz w:val="32"/>
          <w:szCs w:val="32"/>
          <w:highlight w:val="none"/>
          <w:lang w:val="en-US" w:eastAsia="zh-CN" w:bidi="ar-SA"/>
        </w:rPr>
        <w:t>5</w:t>
      </w:r>
      <w:r>
        <w:rPr>
          <w:rFonts w:hint="default" w:eastAsia="仿宋_GB2312" w:cs="仿宋_GB2312"/>
          <w:color w:val="auto"/>
          <w:kern w:val="2"/>
          <w:sz w:val="32"/>
          <w:szCs w:val="32"/>
          <w:highlight w:val="none"/>
          <w:lang w:val="en-US" w:eastAsia="zh-CN" w:bidi="ar-SA"/>
        </w:rPr>
        <w:t>年财政下达壤塘县</w:t>
      </w:r>
      <w:r>
        <w:rPr>
          <w:rFonts w:hint="eastAsia" w:eastAsia="仿宋_GB2312" w:cs="仿宋_GB2312"/>
          <w:color w:val="auto"/>
          <w:kern w:val="2"/>
          <w:sz w:val="32"/>
          <w:szCs w:val="32"/>
          <w:highlight w:val="none"/>
          <w:lang w:val="en-US" w:eastAsia="zh-CN" w:bidi="ar-SA"/>
        </w:rPr>
        <w:t>妇幼保健院</w:t>
      </w:r>
      <w:r>
        <w:rPr>
          <w:rFonts w:hint="default" w:eastAsia="仿宋_GB2312" w:cs="仿宋_GB2312"/>
          <w:color w:val="auto"/>
          <w:kern w:val="2"/>
          <w:sz w:val="32"/>
          <w:szCs w:val="32"/>
          <w:highlight w:val="none"/>
          <w:lang w:val="en-US" w:eastAsia="zh-CN" w:bidi="ar-SA"/>
        </w:rPr>
        <w:t>年初预算收入</w:t>
      </w:r>
      <w:r>
        <w:rPr>
          <w:rFonts w:hint="eastAsia" w:eastAsia="仿宋_GB2312" w:cs="仿宋_GB2312"/>
          <w:color w:val="auto"/>
          <w:kern w:val="2"/>
          <w:sz w:val="32"/>
          <w:szCs w:val="32"/>
          <w:highlight w:val="none"/>
          <w:lang w:val="en-US" w:eastAsia="zh-CN" w:bidi="ar-SA"/>
        </w:rPr>
        <w:t>1052.11</w:t>
      </w:r>
      <w:r>
        <w:rPr>
          <w:rFonts w:hint="default" w:eastAsia="仿宋_GB2312" w:cs="仿宋_GB2312"/>
          <w:color w:val="auto"/>
          <w:kern w:val="2"/>
          <w:sz w:val="32"/>
          <w:szCs w:val="32"/>
          <w:highlight w:val="none"/>
          <w:lang w:val="en-US" w:eastAsia="zh-CN" w:bidi="ar-SA"/>
        </w:rPr>
        <w:t>万元，执行期</w:t>
      </w:r>
      <w:r>
        <w:rPr>
          <w:rFonts w:hint="eastAsia" w:eastAsia="仿宋_GB2312" w:cs="仿宋_GB2312"/>
          <w:color w:val="auto"/>
          <w:kern w:val="2"/>
          <w:sz w:val="32"/>
          <w:szCs w:val="32"/>
          <w:highlight w:val="none"/>
          <w:lang w:val="en-US" w:eastAsia="zh-CN" w:bidi="ar-SA"/>
        </w:rPr>
        <w:t>间增加140.47万元（含当年上级下达专项资金、事业收入、上年结转结余）</w:t>
      </w:r>
      <w:r>
        <w:rPr>
          <w:rFonts w:hint="default" w:eastAsia="仿宋_GB2312" w:cs="仿宋_GB2312"/>
          <w:color w:val="auto"/>
          <w:kern w:val="2"/>
          <w:sz w:val="32"/>
          <w:szCs w:val="32"/>
          <w:highlight w:val="none"/>
          <w:lang w:val="en-US" w:eastAsia="zh-CN" w:bidi="ar-SA"/>
        </w:rPr>
        <w:t>；202</w:t>
      </w:r>
      <w:r>
        <w:rPr>
          <w:rFonts w:hint="eastAsia" w:eastAsia="仿宋_GB2312" w:cs="仿宋_GB2312"/>
          <w:color w:val="auto"/>
          <w:kern w:val="2"/>
          <w:sz w:val="32"/>
          <w:szCs w:val="32"/>
          <w:highlight w:val="none"/>
          <w:lang w:val="en-US" w:eastAsia="zh-CN" w:bidi="ar-SA"/>
        </w:rPr>
        <w:t>5</w:t>
      </w:r>
      <w:r>
        <w:rPr>
          <w:rFonts w:hint="default" w:eastAsia="仿宋_GB2312" w:cs="仿宋_GB2312"/>
          <w:color w:val="auto"/>
          <w:kern w:val="2"/>
          <w:sz w:val="32"/>
          <w:szCs w:val="32"/>
          <w:highlight w:val="none"/>
          <w:lang w:val="en-US" w:eastAsia="zh-CN" w:bidi="ar-SA"/>
        </w:rPr>
        <w:t>全年实际收入共计</w:t>
      </w:r>
      <w:r>
        <w:rPr>
          <w:rFonts w:hint="eastAsia" w:eastAsia="仿宋_GB2312" w:cs="仿宋_GB2312"/>
          <w:color w:val="auto"/>
          <w:kern w:val="2"/>
          <w:sz w:val="32"/>
          <w:szCs w:val="32"/>
          <w:highlight w:val="none"/>
          <w:lang w:val="en-US" w:eastAsia="zh-CN" w:bidi="ar-SA"/>
        </w:rPr>
        <w:t>1170.62</w:t>
      </w:r>
      <w:r>
        <w:rPr>
          <w:rFonts w:hint="default" w:eastAsia="仿宋_GB2312" w:cs="仿宋_GB2312"/>
          <w:color w:val="auto"/>
          <w:kern w:val="2"/>
          <w:sz w:val="32"/>
          <w:szCs w:val="32"/>
          <w:highlight w:val="none"/>
          <w:lang w:val="en-US" w:eastAsia="zh-CN" w:bidi="ar-SA"/>
        </w:rPr>
        <w:t>万元，年末结转结余</w:t>
      </w:r>
      <w:r>
        <w:rPr>
          <w:rFonts w:hint="eastAsia" w:eastAsia="仿宋_GB2312" w:cs="仿宋_GB2312"/>
          <w:color w:val="auto"/>
          <w:kern w:val="2"/>
          <w:sz w:val="32"/>
          <w:szCs w:val="32"/>
          <w:highlight w:val="none"/>
          <w:lang w:val="en-US" w:eastAsia="zh-CN" w:bidi="ar-SA"/>
        </w:rPr>
        <w:t>21.96万元。</w:t>
      </w:r>
      <w:r>
        <w:rPr>
          <w:rFonts w:hint="default" w:eastAsia="仿宋_GB2312" w:cs="仿宋_GB2312"/>
          <w:color w:val="auto"/>
          <w:kern w:val="2"/>
          <w:sz w:val="32"/>
          <w:szCs w:val="32"/>
          <w:highlight w:val="none"/>
          <w:lang w:val="en-US" w:eastAsia="zh-CN" w:bidi="ar-SA"/>
        </w:rPr>
        <w:t>预算编制准确率较高。严格按照预算编制方案科学合理编制本单位预算，提前做好情况摸底、数据收集、细化专项预算，按照人员经费逐人核定编制，公用经费按定额编制；根据“总量控制、计划管理”的要求从严控制经费，严格编制“三公”经费预算，科学编制项目支出</w:t>
      </w:r>
      <w:r>
        <w:rPr>
          <w:rFonts w:hint="eastAsia" w:eastAsia="仿宋_GB2312" w:cs="仿宋_GB2312"/>
          <w:color w:val="auto"/>
          <w:kern w:val="2"/>
          <w:sz w:val="32"/>
          <w:szCs w:val="32"/>
          <w:highlight w:val="none"/>
          <w:lang w:val="en-US" w:eastAsia="zh-CN" w:bidi="ar-SA"/>
        </w:rPr>
        <w:t>和</w:t>
      </w:r>
      <w:r>
        <w:rPr>
          <w:rFonts w:hint="default" w:eastAsia="仿宋_GB2312" w:cs="仿宋_GB2312"/>
          <w:color w:val="auto"/>
          <w:kern w:val="2"/>
          <w:sz w:val="32"/>
          <w:szCs w:val="32"/>
          <w:highlight w:val="none"/>
          <w:lang w:val="en-US" w:eastAsia="zh-CN" w:bidi="ar-SA"/>
        </w:rPr>
        <w:t>部门预算项目绩效目标，按时完成预算编制报送工作。</w:t>
      </w:r>
    </w:p>
    <w:p>
      <w:pPr>
        <w:spacing w:line="600" w:lineRule="exact"/>
        <w:ind w:firstLine="640" w:firstLineChars="200"/>
        <w:outlineLvl w:val="2"/>
        <w:rPr>
          <w:rFonts w:hint="default"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w:t>
      </w:r>
      <w:r>
        <w:rPr>
          <w:rFonts w:hint="default" w:eastAsia="仿宋_GB2312" w:cs="仿宋_GB2312"/>
          <w:color w:val="auto"/>
          <w:kern w:val="2"/>
          <w:sz w:val="32"/>
          <w:szCs w:val="32"/>
          <w:highlight w:val="none"/>
          <w:lang w:val="en-US" w:eastAsia="zh-CN" w:bidi="ar-SA"/>
        </w:rPr>
        <w:t>预算资金管理情况。资金拨付方面，严格按照要求使用和拨付，在拨付过程中严把审核关，有效地执行了内部财务管理制度，专项经费的拨款，严格按照各个科室提供的项目实施方案进行资金的拨付。保证资金及时足额用到项目中，预算资金按规定管理使用。202</w:t>
      </w:r>
      <w:r>
        <w:rPr>
          <w:rFonts w:hint="eastAsia" w:eastAsia="仿宋_GB2312" w:cs="仿宋_GB2312"/>
          <w:color w:val="auto"/>
          <w:kern w:val="2"/>
          <w:sz w:val="32"/>
          <w:szCs w:val="32"/>
          <w:highlight w:val="none"/>
          <w:lang w:val="en-US" w:eastAsia="zh-CN" w:bidi="ar-SA"/>
        </w:rPr>
        <w:t>5</w:t>
      </w:r>
      <w:r>
        <w:rPr>
          <w:rFonts w:hint="default" w:eastAsia="仿宋_GB2312" w:cs="仿宋_GB2312"/>
          <w:color w:val="auto"/>
          <w:kern w:val="2"/>
          <w:sz w:val="32"/>
          <w:szCs w:val="32"/>
          <w:highlight w:val="none"/>
          <w:lang w:val="en-US" w:eastAsia="zh-CN" w:bidi="ar-SA"/>
        </w:rPr>
        <w:t>年财政下达壤塘县</w:t>
      </w:r>
      <w:r>
        <w:rPr>
          <w:rFonts w:hint="eastAsia" w:eastAsia="仿宋_GB2312" w:cs="仿宋_GB2312"/>
          <w:color w:val="auto"/>
          <w:kern w:val="2"/>
          <w:sz w:val="32"/>
          <w:szCs w:val="32"/>
          <w:highlight w:val="none"/>
          <w:lang w:val="en-US" w:eastAsia="zh-CN" w:bidi="ar-SA"/>
        </w:rPr>
        <w:t>妇幼保健院年</w:t>
      </w:r>
      <w:r>
        <w:rPr>
          <w:rFonts w:hint="default" w:eastAsia="仿宋_GB2312" w:cs="仿宋_GB2312"/>
          <w:color w:val="auto"/>
          <w:kern w:val="2"/>
          <w:sz w:val="32"/>
          <w:szCs w:val="32"/>
          <w:highlight w:val="none"/>
          <w:lang w:val="en-US" w:eastAsia="zh-CN" w:bidi="ar-SA"/>
        </w:rPr>
        <w:t>初预算</w:t>
      </w:r>
      <w:r>
        <w:rPr>
          <w:rFonts w:hint="eastAsia" w:eastAsia="仿宋_GB2312" w:cs="仿宋_GB2312"/>
          <w:color w:val="auto"/>
          <w:kern w:val="2"/>
          <w:sz w:val="32"/>
          <w:szCs w:val="32"/>
          <w:highlight w:val="none"/>
          <w:lang w:val="en-US" w:eastAsia="zh-CN" w:bidi="ar-SA"/>
        </w:rPr>
        <w:t>支出1052.11</w:t>
      </w:r>
      <w:r>
        <w:rPr>
          <w:rFonts w:hint="default" w:eastAsia="仿宋_GB2312" w:cs="仿宋_GB2312"/>
          <w:color w:val="auto"/>
          <w:kern w:val="2"/>
          <w:sz w:val="32"/>
          <w:szCs w:val="32"/>
          <w:highlight w:val="none"/>
          <w:lang w:val="en-US" w:eastAsia="zh-CN" w:bidi="ar-SA"/>
        </w:rPr>
        <w:t>万元，执行期</w:t>
      </w:r>
      <w:r>
        <w:rPr>
          <w:rFonts w:hint="eastAsia" w:eastAsia="仿宋_GB2312" w:cs="仿宋_GB2312"/>
          <w:color w:val="auto"/>
          <w:kern w:val="2"/>
          <w:sz w:val="32"/>
          <w:szCs w:val="32"/>
          <w:highlight w:val="none"/>
          <w:lang w:val="en-US" w:eastAsia="zh-CN" w:bidi="ar-SA"/>
        </w:rPr>
        <w:t>间增加140.47万元（含当年上级下达专项资金、事业收入、上年结转结余）</w:t>
      </w:r>
      <w:r>
        <w:rPr>
          <w:rFonts w:hint="default" w:eastAsia="仿宋_GB2312" w:cs="仿宋_GB2312"/>
          <w:color w:val="auto"/>
          <w:kern w:val="2"/>
          <w:sz w:val="32"/>
          <w:szCs w:val="32"/>
          <w:highlight w:val="none"/>
          <w:lang w:val="en-US" w:eastAsia="zh-CN" w:bidi="ar-SA"/>
        </w:rPr>
        <w:t>。202</w:t>
      </w:r>
      <w:r>
        <w:rPr>
          <w:rFonts w:hint="eastAsia" w:eastAsia="仿宋_GB2312" w:cs="仿宋_GB2312"/>
          <w:color w:val="auto"/>
          <w:kern w:val="2"/>
          <w:sz w:val="32"/>
          <w:szCs w:val="32"/>
          <w:highlight w:val="none"/>
          <w:lang w:val="en-US" w:eastAsia="zh-CN" w:bidi="ar-SA"/>
        </w:rPr>
        <w:t>5</w:t>
      </w:r>
      <w:r>
        <w:rPr>
          <w:rFonts w:hint="default" w:eastAsia="仿宋_GB2312" w:cs="仿宋_GB2312"/>
          <w:color w:val="auto"/>
          <w:kern w:val="2"/>
          <w:sz w:val="32"/>
          <w:szCs w:val="32"/>
          <w:highlight w:val="none"/>
          <w:lang w:val="en-US" w:eastAsia="zh-CN" w:bidi="ar-SA"/>
        </w:rPr>
        <w:t>全年实际</w:t>
      </w:r>
      <w:r>
        <w:rPr>
          <w:rFonts w:hint="eastAsia" w:eastAsia="仿宋_GB2312" w:cs="仿宋_GB2312"/>
          <w:color w:val="auto"/>
          <w:kern w:val="2"/>
          <w:sz w:val="32"/>
          <w:szCs w:val="32"/>
          <w:highlight w:val="none"/>
          <w:lang w:val="en-US" w:eastAsia="zh-CN" w:bidi="ar-SA"/>
        </w:rPr>
        <w:t>支出</w:t>
      </w:r>
      <w:r>
        <w:rPr>
          <w:rFonts w:hint="default" w:eastAsia="仿宋_GB2312" w:cs="仿宋_GB2312"/>
          <w:color w:val="auto"/>
          <w:kern w:val="2"/>
          <w:sz w:val="32"/>
          <w:szCs w:val="32"/>
          <w:highlight w:val="none"/>
          <w:lang w:val="en-US" w:eastAsia="zh-CN" w:bidi="ar-SA"/>
        </w:rPr>
        <w:t>共计</w:t>
      </w:r>
      <w:r>
        <w:rPr>
          <w:rFonts w:hint="eastAsia" w:eastAsia="仿宋_GB2312" w:cs="仿宋_GB2312"/>
          <w:color w:val="auto"/>
          <w:kern w:val="2"/>
          <w:sz w:val="32"/>
          <w:szCs w:val="32"/>
          <w:highlight w:val="none"/>
          <w:lang w:val="en-US" w:eastAsia="zh-CN" w:bidi="ar-SA"/>
        </w:rPr>
        <w:t>1170.62</w:t>
      </w:r>
      <w:r>
        <w:rPr>
          <w:rFonts w:hint="default" w:eastAsia="仿宋_GB2312" w:cs="仿宋_GB2312"/>
          <w:color w:val="auto"/>
          <w:kern w:val="2"/>
          <w:sz w:val="32"/>
          <w:szCs w:val="32"/>
          <w:highlight w:val="none"/>
          <w:lang w:val="en-US" w:eastAsia="zh-CN" w:bidi="ar-SA"/>
        </w:rPr>
        <w:t>万元</w:t>
      </w:r>
      <w:r>
        <w:rPr>
          <w:rFonts w:hint="eastAsia" w:eastAsia="仿宋_GB2312" w:cs="仿宋_GB2312"/>
          <w:color w:val="auto"/>
          <w:kern w:val="2"/>
          <w:sz w:val="32"/>
          <w:szCs w:val="32"/>
          <w:highlight w:val="none"/>
          <w:lang w:val="en-US" w:eastAsia="zh-CN" w:bidi="ar-SA"/>
        </w:rPr>
        <w:t>，</w:t>
      </w:r>
      <w:r>
        <w:rPr>
          <w:rFonts w:hint="default" w:eastAsia="仿宋_GB2312" w:cs="仿宋_GB2312"/>
          <w:color w:val="auto"/>
          <w:kern w:val="2"/>
          <w:sz w:val="32"/>
          <w:szCs w:val="32"/>
          <w:highlight w:val="none"/>
          <w:lang w:val="en-US" w:eastAsia="zh-CN" w:bidi="ar-SA"/>
        </w:rPr>
        <w:t>年末结转和结余</w:t>
      </w:r>
      <w:r>
        <w:rPr>
          <w:rFonts w:hint="eastAsia" w:eastAsia="仿宋_GB2312" w:cs="仿宋_GB2312"/>
          <w:color w:val="auto"/>
          <w:kern w:val="2"/>
          <w:sz w:val="32"/>
          <w:szCs w:val="32"/>
          <w:highlight w:val="none"/>
          <w:lang w:val="en-US" w:eastAsia="zh-CN" w:bidi="ar-SA"/>
        </w:rPr>
        <w:t>21.96万元，</w:t>
      </w:r>
      <w:r>
        <w:rPr>
          <w:rFonts w:hint="default" w:eastAsia="仿宋_GB2312" w:cs="仿宋_GB2312"/>
          <w:color w:val="auto"/>
          <w:kern w:val="2"/>
          <w:sz w:val="32"/>
          <w:szCs w:val="32"/>
          <w:highlight w:val="none"/>
          <w:lang w:val="en-US" w:eastAsia="zh-CN" w:bidi="ar-SA"/>
        </w:rPr>
        <w:t>达到预期目标。</w:t>
      </w:r>
      <w:r>
        <w:rPr>
          <w:rFonts w:hint="eastAsia" w:eastAsia="仿宋_GB2312" w:cs="仿宋_GB2312"/>
          <w:color w:val="auto"/>
          <w:kern w:val="2"/>
          <w:sz w:val="32"/>
          <w:szCs w:val="32"/>
          <w:highlight w:val="none"/>
          <w:lang w:val="en-US" w:eastAsia="zh-CN" w:bidi="ar-SA"/>
        </w:rPr>
        <w:t>根据《部门预算绩效自评打分表》得分21分。</w:t>
      </w:r>
    </w:p>
    <w:p>
      <w:pPr>
        <w:spacing w:line="600" w:lineRule="exact"/>
        <w:ind w:firstLine="640" w:firstLineChars="200"/>
        <w:outlineLvl w:val="2"/>
        <w:rPr>
          <w:rFonts w:hint="default" w:eastAsia="仿宋_GB2312" w:cs="仿宋_GB2312"/>
          <w:color w:val="auto"/>
          <w:kern w:val="2"/>
          <w:sz w:val="32"/>
          <w:szCs w:val="32"/>
          <w:highlight w:val="none"/>
          <w:lang w:val="zh-CN" w:eastAsia="zh-CN" w:bidi="ar-SA"/>
        </w:rPr>
      </w:pPr>
      <w:r>
        <w:rPr>
          <w:rFonts w:hint="eastAsia" w:eastAsia="仿宋_GB2312" w:cs="仿宋_GB2312"/>
          <w:color w:val="auto"/>
          <w:kern w:val="2"/>
          <w:sz w:val="32"/>
          <w:szCs w:val="32"/>
          <w:highlight w:val="none"/>
          <w:lang w:val="en-US" w:eastAsia="zh-CN" w:bidi="ar-SA"/>
        </w:rPr>
        <w:t>3</w:t>
      </w:r>
      <w:r>
        <w:rPr>
          <w:rFonts w:hint="default" w:eastAsia="仿宋_GB2312" w:cs="仿宋_GB2312"/>
          <w:color w:val="auto"/>
          <w:kern w:val="2"/>
          <w:sz w:val="32"/>
          <w:szCs w:val="32"/>
          <w:highlight w:val="none"/>
          <w:lang w:val="zh-CN" w:eastAsia="zh-CN" w:bidi="ar-SA"/>
        </w:rPr>
        <w:t>财务管理。</w:t>
      </w:r>
    </w:p>
    <w:p>
      <w:pPr>
        <w:spacing w:line="600" w:lineRule="exact"/>
        <w:ind w:firstLine="640" w:firstLineChars="200"/>
        <w:outlineLvl w:val="2"/>
        <w:rPr>
          <w:rFonts w:hint="default"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单位在财务管理方面，已建立相关制度，比如收支管理制度将其明确各个岗位的权限范围比如（一）财务分管领导的主要工作职责：负责组织单位的财务管理和经济核算工作，建立健全单位内部财务管理的规章制度，认真贯彻国家的财经方针政策，执行会计制度和财务管理方法，负责协调单位财务人员各岗位工作等；（二）会计的岗位职责，每月编制记账凭证、会计报表，确保报表数字真实，计算正确及负责装订、管理会计档案，负责单位每年的预算、决算、内控报告等报告的编制及报送，掌握国家有关财务工作制度、政策、单位的会计核算和财务管理的各项规定，并正确执行；（三）出纳的岗位职责：办理现金收支和银行结算业务，严格按照我国有关现金管理和银行结算制度的规定，管好货币资金，不坐支现金，连续、及时地登记现金和银行存款日记账，保证数字清楚、内容准确，做到日清月结，保管好印章和票据；（四）法定代表人履行审核、审批权限；（五）其他领导班子成员按照职责分工行使审核权限（法定授权）。特殊情况下经单位负责人临时授权可履行审批权限（临时授权）等。根据《部门预算绩效自评打分表》得分9分。</w:t>
      </w:r>
    </w:p>
    <w:p>
      <w:pPr>
        <w:spacing w:line="600" w:lineRule="exact"/>
        <w:ind w:firstLine="640" w:firstLineChars="200"/>
        <w:outlineLvl w:val="2"/>
        <w:rPr>
          <w:rFonts w:hint="eastAsia" w:eastAsia="仿宋_GB2312" w:cs="仿宋_GB2312"/>
          <w:color w:val="auto"/>
          <w:kern w:val="2"/>
          <w:sz w:val="32"/>
          <w:szCs w:val="32"/>
          <w:highlight w:val="none"/>
          <w:lang w:val="zh-CN" w:eastAsia="zh-CN" w:bidi="ar-SA"/>
        </w:rPr>
      </w:pPr>
      <w:r>
        <w:rPr>
          <w:rFonts w:hint="eastAsia" w:eastAsia="仿宋_GB2312" w:cs="仿宋_GB2312"/>
          <w:color w:val="auto"/>
          <w:kern w:val="2"/>
          <w:sz w:val="32"/>
          <w:szCs w:val="32"/>
          <w:highlight w:val="none"/>
          <w:lang w:val="en-US" w:eastAsia="zh-CN" w:bidi="ar-SA"/>
        </w:rPr>
        <w:t>4.</w:t>
      </w:r>
      <w:r>
        <w:rPr>
          <w:rFonts w:hint="eastAsia" w:eastAsia="仿宋_GB2312" w:cs="仿宋_GB2312"/>
          <w:color w:val="auto"/>
          <w:kern w:val="2"/>
          <w:sz w:val="32"/>
          <w:szCs w:val="32"/>
          <w:highlight w:val="none"/>
          <w:lang w:val="zh-CN" w:eastAsia="zh-CN" w:bidi="ar-SA"/>
        </w:rPr>
        <w:t>资产管理。</w:t>
      </w:r>
    </w:p>
    <w:p>
      <w:pPr>
        <w:spacing w:line="600" w:lineRule="exact"/>
        <w:ind w:firstLine="640" w:firstLineChars="200"/>
        <w:outlineLvl w:val="2"/>
        <w:rPr>
          <w:rFonts w:hint="eastAsia" w:eastAsia="仿宋_GB2312" w:cs="仿宋_GB2312"/>
          <w:color w:val="auto"/>
          <w:kern w:val="2"/>
          <w:sz w:val="32"/>
          <w:szCs w:val="32"/>
          <w:highlight w:val="none"/>
          <w:lang w:val="zh-CN" w:eastAsia="zh-CN" w:bidi="ar-SA"/>
        </w:rPr>
      </w:pPr>
      <w:r>
        <w:rPr>
          <w:rFonts w:hint="default" w:eastAsia="仿宋_GB2312" w:cs="仿宋_GB2312"/>
          <w:color w:val="auto"/>
          <w:kern w:val="2"/>
          <w:sz w:val="32"/>
          <w:szCs w:val="32"/>
          <w:highlight w:val="none"/>
          <w:lang w:val="en-US" w:eastAsia="zh-CN" w:bidi="ar-SA"/>
        </w:rPr>
        <w:t>固定资产在用率</w:t>
      </w:r>
      <w:r>
        <w:rPr>
          <w:rFonts w:hint="eastAsia" w:eastAsia="仿宋_GB2312" w:cs="仿宋_GB2312"/>
          <w:color w:val="auto"/>
          <w:kern w:val="2"/>
          <w:sz w:val="32"/>
          <w:szCs w:val="32"/>
          <w:highlight w:val="none"/>
          <w:lang w:val="en-US" w:eastAsia="zh-CN" w:bidi="ar-SA"/>
        </w:rPr>
        <w:t>：</w:t>
      </w:r>
      <w:r>
        <w:rPr>
          <w:rFonts w:hint="default" w:eastAsia="仿宋_GB2312" w:cs="仿宋_GB2312"/>
          <w:color w:val="auto"/>
          <w:kern w:val="2"/>
          <w:sz w:val="32"/>
          <w:szCs w:val="32"/>
          <w:highlight w:val="none"/>
          <w:lang w:val="en-US" w:eastAsia="zh-CN" w:bidi="ar-SA"/>
        </w:rPr>
        <w:t>截</w:t>
      </w:r>
      <w:r>
        <w:rPr>
          <w:rFonts w:hint="eastAsia" w:eastAsia="仿宋_GB2312" w:cs="仿宋_GB2312"/>
          <w:color w:val="auto"/>
          <w:kern w:val="2"/>
          <w:sz w:val="32"/>
          <w:szCs w:val="32"/>
          <w:highlight w:val="none"/>
          <w:lang w:val="en-US" w:eastAsia="zh-CN" w:bidi="ar-SA"/>
        </w:rPr>
        <w:t>至</w:t>
      </w:r>
      <w:r>
        <w:rPr>
          <w:rFonts w:hint="default" w:eastAsia="仿宋_GB2312" w:cs="仿宋_GB2312"/>
          <w:color w:val="auto"/>
          <w:kern w:val="2"/>
          <w:sz w:val="32"/>
          <w:szCs w:val="32"/>
          <w:highlight w:val="none"/>
          <w:lang w:val="en-US" w:eastAsia="zh-CN" w:bidi="ar-SA"/>
        </w:rPr>
        <w:t>202</w:t>
      </w:r>
      <w:r>
        <w:rPr>
          <w:rFonts w:hint="eastAsia" w:eastAsia="仿宋_GB2312" w:cs="仿宋_GB2312"/>
          <w:color w:val="auto"/>
          <w:kern w:val="2"/>
          <w:sz w:val="32"/>
          <w:szCs w:val="32"/>
          <w:highlight w:val="none"/>
          <w:lang w:val="en-US" w:eastAsia="zh-CN" w:bidi="ar-SA"/>
        </w:rPr>
        <w:t>5</w:t>
      </w:r>
      <w:r>
        <w:rPr>
          <w:rFonts w:hint="default" w:eastAsia="仿宋_GB2312" w:cs="仿宋_GB2312"/>
          <w:color w:val="auto"/>
          <w:kern w:val="2"/>
          <w:sz w:val="32"/>
          <w:szCs w:val="32"/>
          <w:highlight w:val="none"/>
          <w:lang w:val="en-US" w:eastAsia="zh-CN" w:bidi="ar-SA"/>
        </w:rPr>
        <w:t>年12月31日，壤塘县妇幼保健院《行政单位资产管理系统》固定资产总计</w:t>
      </w:r>
      <w:r>
        <w:rPr>
          <w:rFonts w:hint="eastAsia" w:eastAsia="仿宋_GB2312" w:cs="仿宋_GB2312"/>
          <w:color w:val="auto"/>
          <w:kern w:val="2"/>
          <w:sz w:val="32"/>
          <w:szCs w:val="32"/>
          <w:highlight w:val="none"/>
          <w:lang w:val="en-US" w:eastAsia="zh-CN" w:bidi="ar-SA"/>
        </w:rPr>
        <w:t>983.73万</w:t>
      </w:r>
      <w:r>
        <w:rPr>
          <w:rFonts w:hint="default" w:eastAsia="仿宋_GB2312" w:cs="仿宋_GB2312"/>
          <w:color w:val="auto"/>
          <w:kern w:val="2"/>
          <w:sz w:val="32"/>
          <w:szCs w:val="32"/>
          <w:highlight w:val="none"/>
          <w:lang w:val="en-US" w:eastAsia="zh-CN" w:bidi="ar-SA"/>
        </w:rPr>
        <w:t>元，在用的固定资产总计</w:t>
      </w:r>
      <w:r>
        <w:rPr>
          <w:rFonts w:hint="eastAsia" w:eastAsia="仿宋_GB2312" w:cs="仿宋_GB2312"/>
          <w:color w:val="auto"/>
          <w:kern w:val="2"/>
          <w:sz w:val="32"/>
          <w:szCs w:val="32"/>
          <w:highlight w:val="none"/>
          <w:lang w:val="en-US" w:eastAsia="zh-CN" w:bidi="ar-SA"/>
        </w:rPr>
        <w:t>983.73</w:t>
      </w:r>
      <w:r>
        <w:rPr>
          <w:rFonts w:hint="default" w:eastAsia="仿宋_GB2312" w:cs="仿宋_GB2312"/>
          <w:color w:val="auto"/>
          <w:kern w:val="2"/>
          <w:sz w:val="32"/>
          <w:szCs w:val="32"/>
          <w:highlight w:val="none"/>
          <w:lang w:val="en-US" w:eastAsia="zh-CN" w:bidi="ar-SA"/>
        </w:rPr>
        <w:t>万元，固定资产在用率高。</w:t>
      </w:r>
      <w:r>
        <w:rPr>
          <w:rFonts w:hint="eastAsia" w:eastAsia="仿宋_GB2312" w:cs="仿宋_GB2312"/>
          <w:color w:val="auto"/>
          <w:kern w:val="2"/>
          <w:sz w:val="32"/>
          <w:szCs w:val="32"/>
          <w:highlight w:val="none"/>
          <w:lang w:val="en-US" w:eastAsia="zh-CN" w:bidi="ar-SA"/>
        </w:rPr>
        <w:t>根据《部门预算绩效自评打分表》得分9分。</w:t>
      </w:r>
    </w:p>
    <w:p>
      <w:pPr>
        <w:spacing w:line="600" w:lineRule="exact"/>
        <w:ind w:firstLine="640" w:firstLineChars="200"/>
        <w:outlineLvl w:val="2"/>
        <w:rPr>
          <w:rFonts w:hint="eastAsia" w:eastAsia="仿宋_GB2312" w:cs="仿宋_GB2312"/>
          <w:color w:val="auto"/>
          <w:kern w:val="2"/>
          <w:sz w:val="32"/>
          <w:szCs w:val="32"/>
          <w:highlight w:val="none"/>
          <w:lang w:val="zh-CN" w:eastAsia="zh-CN" w:bidi="ar-SA"/>
        </w:rPr>
      </w:pPr>
      <w:r>
        <w:rPr>
          <w:rFonts w:hint="eastAsia" w:eastAsia="仿宋_GB2312" w:cs="仿宋_GB2312"/>
          <w:color w:val="auto"/>
          <w:kern w:val="2"/>
          <w:sz w:val="32"/>
          <w:szCs w:val="32"/>
          <w:highlight w:val="none"/>
          <w:lang w:val="en-US" w:eastAsia="zh-CN" w:bidi="ar-SA"/>
        </w:rPr>
        <w:t>5.</w:t>
      </w:r>
      <w:r>
        <w:rPr>
          <w:rFonts w:hint="eastAsia" w:eastAsia="仿宋_GB2312" w:cs="仿宋_GB2312"/>
          <w:color w:val="auto"/>
          <w:kern w:val="2"/>
          <w:sz w:val="32"/>
          <w:szCs w:val="32"/>
          <w:highlight w:val="none"/>
          <w:lang w:val="zh-CN" w:eastAsia="zh-CN" w:bidi="ar-SA"/>
        </w:rPr>
        <w:t>采购管理。</w:t>
      </w:r>
    </w:p>
    <w:p>
      <w:pPr>
        <w:spacing w:line="600" w:lineRule="exact"/>
        <w:ind w:firstLine="640" w:firstLineChars="200"/>
        <w:outlineLvl w:val="2"/>
        <w:rPr>
          <w:rFonts w:hint="eastAsia" w:eastAsia="仿宋_GB2312" w:cs="仿宋_GB2312"/>
          <w:color w:val="auto"/>
          <w:kern w:val="2"/>
          <w:sz w:val="32"/>
          <w:szCs w:val="32"/>
          <w:highlight w:val="none"/>
          <w:lang w:val="zh-CN" w:eastAsia="zh-CN" w:bidi="ar-SA"/>
        </w:rPr>
      </w:pPr>
      <w:r>
        <w:rPr>
          <w:rFonts w:hint="eastAsia" w:eastAsia="仿宋_GB2312" w:cs="仿宋_GB2312"/>
          <w:color w:val="auto"/>
          <w:kern w:val="2"/>
          <w:sz w:val="32"/>
          <w:szCs w:val="32"/>
          <w:highlight w:val="none"/>
          <w:lang w:val="en-US" w:eastAsia="zh-CN" w:bidi="ar-SA"/>
        </w:rPr>
        <w:t>采购规范性。</w:t>
      </w:r>
      <w:r>
        <w:rPr>
          <w:rFonts w:hint="default" w:eastAsia="仿宋_GB2312" w:cs="仿宋_GB2312"/>
          <w:color w:val="auto"/>
          <w:kern w:val="2"/>
          <w:sz w:val="32"/>
          <w:szCs w:val="32"/>
          <w:highlight w:val="none"/>
          <w:lang w:val="en-US" w:eastAsia="zh-CN" w:bidi="ar-SA"/>
        </w:rPr>
        <w:t>壤塘县妇幼保健院202</w:t>
      </w:r>
      <w:r>
        <w:rPr>
          <w:rFonts w:hint="eastAsia" w:eastAsia="仿宋_GB2312" w:cs="仿宋_GB2312"/>
          <w:color w:val="auto"/>
          <w:kern w:val="2"/>
          <w:sz w:val="32"/>
          <w:szCs w:val="32"/>
          <w:highlight w:val="none"/>
          <w:lang w:val="en-US" w:eastAsia="zh-CN" w:bidi="ar-SA"/>
        </w:rPr>
        <w:t>5年度政府采购货物支出</w:t>
      </w:r>
      <w:r>
        <w:rPr>
          <w:rFonts w:hint="default" w:eastAsia="仿宋_GB2312" w:cs="仿宋_GB2312"/>
          <w:color w:val="auto"/>
          <w:kern w:val="2"/>
          <w:sz w:val="32"/>
          <w:szCs w:val="32"/>
          <w:highlight w:val="none"/>
          <w:lang w:val="en-US" w:eastAsia="zh-CN" w:bidi="ar-SA"/>
        </w:rPr>
        <w:t>0万元，政府采购工程支出0万元，政府采购服务支出0万元。</w:t>
      </w:r>
      <w:r>
        <w:rPr>
          <w:rFonts w:hint="eastAsia" w:eastAsia="仿宋_GB2312" w:cs="仿宋_GB2312"/>
          <w:color w:val="auto"/>
          <w:kern w:val="2"/>
          <w:sz w:val="32"/>
          <w:szCs w:val="32"/>
          <w:highlight w:val="none"/>
          <w:lang w:val="en-US" w:eastAsia="zh-CN" w:bidi="ar-SA"/>
        </w:rPr>
        <w:t>根据《部门预算绩效自评打分表》得分6分。</w:t>
      </w:r>
    </w:p>
    <w:p>
      <w:pPr>
        <w:spacing w:line="600" w:lineRule="exact"/>
        <w:ind w:firstLine="642" w:firstLineChars="200"/>
        <w:outlineLvl w:val="2"/>
        <w:rPr>
          <w:rFonts w:hint="eastAsia" w:ascii="Times New Roman" w:hAnsi="Times New Roman" w:eastAsia="楷体_GB2312" w:cs="楷体_GB2312"/>
          <w:b/>
          <w:color w:val="auto"/>
          <w:sz w:val="32"/>
          <w:szCs w:val="32"/>
          <w:highlight w:val="none"/>
          <w:lang w:val="en-US" w:eastAsia="zh-CN"/>
        </w:rPr>
      </w:pPr>
      <w:r>
        <w:rPr>
          <w:rFonts w:hint="eastAsia" w:ascii="Times New Roman" w:hAnsi="Times New Roman" w:eastAsia="楷体_GB2312" w:cs="楷体_GB2312"/>
          <w:b/>
          <w:color w:val="auto"/>
          <w:sz w:val="32"/>
          <w:szCs w:val="32"/>
          <w:highlight w:val="none"/>
          <w:lang w:val="zh-CN" w:eastAsia="zh-CN"/>
        </w:rPr>
        <w:t>（二）部门预算项目绩效分析。</w:t>
      </w:r>
    </w:p>
    <w:p>
      <w:pPr>
        <w:spacing w:line="600" w:lineRule="exact"/>
        <w:ind w:firstLine="640" w:firstLineChars="200"/>
        <w:outlineLvl w:val="2"/>
        <w:rPr>
          <w:rFonts w:hint="eastAsia" w:eastAsia="仿宋_GB2312" w:cs="仿宋_GB2312"/>
          <w:color w:val="auto"/>
          <w:kern w:val="2"/>
          <w:sz w:val="32"/>
          <w:szCs w:val="32"/>
          <w:highlight w:val="none"/>
          <w:lang w:val="zh-CN" w:eastAsia="zh-CN" w:bidi="ar-SA"/>
        </w:rPr>
      </w:pPr>
      <w:r>
        <w:rPr>
          <w:rFonts w:hint="eastAsia" w:eastAsia="仿宋_GB2312" w:cs="仿宋_GB2312"/>
          <w:color w:val="auto"/>
          <w:kern w:val="2"/>
          <w:sz w:val="32"/>
          <w:szCs w:val="32"/>
          <w:highlight w:val="none"/>
          <w:lang w:val="en-US" w:eastAsia="zh-CN" w:bidi="ar-SA"/>
        </w:rPr>
        <w:t>常年项目绩效分析。</w:t>
      </w:r>
      <w:r>
        <w:rPr>
          <w:rFonts w:hint="eastAsia" w:eastAsia="仿宋_GB2312" w:cs="仿宋_GB2312"/>
          <w:color w:val="auto"/>
          <w:kern w:val="2"/>
          <w:sz w:val="32"/>
          <w:szCs w:val="32"/>
          <w:highlight w:val="none"/>
          <w:lang w:val="zh-CN" w:eastAsia="zh-CN" w:bidi="ar-SA"/>
        </w:rPr>
        <w:t>该类项目总数</w:t>
      </w:r>
      <w:r>
        <w:rPr>
          <w:rFonts w:hint="eastAsia" w:eastAsia="仿宋_GB2312" w:cs="仿宋_GB2312"/>
          <w:color w:val="auto"/>
          <w:kern w:val="2"/>
          <w:sz w:val="32"/>
          <w:szCs w:val="32"/>
          <w:highlight w:val="none"/>
          <w:lang w:val="en-US" w:eastAsia="zh-CN" w:bidi="ar-SA"/>
        </w:rPr>
        <w:t>24</w:t>
      </w:r>
      <w:r>
        <w:rPr>
          <w:rFonts w:hint="eastAsia" w:eastAsia="仿宋_GB2312" w:cs="仿宋_GB2312"/>
          <w:color w:val="auto"/>
          <w:kern w:val="2"/>
          <w:sz w:val="32"/>
          <w:szCs w:val="32"/>
          <w:highlight w:val="none"/>
          <w:lang w:val="zh-CN" w:eastAsia="zh-CN" w:bidi="ar-SA"/>
        </w:rPr>
        <w:t>个，涉及预算总金额</w:t>
      </w:r>
      <w:r>
        <w:rPr>
          <w:rFonts w:hint="eastAsia" w:eastAsia="仿宋_GB2312" w:cs="仿宋_GB2312"/>
          <w:color w:val="auto"/>
          <w:kern w:val="2"/>
          <w:sz w:val="32"/>
          <w:szCs w:val="32"/>
          <w:highlight w:val="none"/>
          <w:lang w:val="en-US" w:eastAsia="zh-CN" w:bidi="ar-SA"/>
        </w:rPr>
        <w:t>1111.22</w:t>
      </w:r>
      <w:r>
        <w:rPr>
          <w:rFonts w:hint="eastAsia" w:eastAsia="仿宋_GB2312" w:cs="仿宋_GB2312"/>
          <w:color w:val="auto"/>
          <w:kern w:val="2"/>
          <w:sz w:val="32"/>
          <w:szCs w:val="32"/>
          <w:highlight w:val="none"/>
          <w:lang w:val="zh-CN" w:eastAsia="zh-CN" w:bidi="ar-SA"/>
        </w:rPr>
        <w:t>万元，1—1</w:t>
      </w:r>
      <w:r>
        <w:rPr>
          <w:rFonts w:hint="eastAsia" w:eastAsia="仿宋_GB2312" w:cs="仿宋_GB2312"/>
          <w:color w:val="auto"/>
          <w:kern w:val="2"/>
          <w:sz w:val="32"/>
          <w:szCs w:val="32"/>
          <w:highlight w:val="none"/>
          <w:lang w:val="en-US" w:eastAsia="zh-CN" w:bidi="ar-SA"/>
        </w:rPr>
        <w:t>2</w:t>
      </w:r>
      <w:r>
        <w:rPr>
          <w:rFonts w:hint="eastAsia" w:eastAsia="仿宋_GB2312" w:cs="仿宋_GB2312"/>
          <w:color w:val="auto"/>
          <w:kern w:val="2"/>
          <w:sz w:val="32"/>
          <w:szCs w:val="32"/>
          <w:highlight w:val="none"/>
          <w:lang w:val="zh-CN" w:eastAsia="zh-CN" w:bidi="ar-SA"/>
        </w:rPr>
        <w:t>月预算执行总体进度为</w:t>
      </w:r>
      <w:r>
        <w:rPr>
          <w:rFonts w:hint="eastAsia" w:eastAsia="仿宋_GB2312" w:cs="仿宋_GB2312"/>
          <w:color w:val="auto"/>
          <w:kern w:val="2"/>
          <w:sz w:val="32"/>
          <w:szCs w:val="32"/>
          <w:highlight w:val="none"/>
          <w:lang w:val="en-US" w:eastAsia="zh-CN" w:bidi="ar-SA"/>
        </w:rPr>
        <w:t>97.92</w:t>
      </w:r>
      <w:r>
        <w:rPr>
          <w:rFonts w:hint="eastAsia" w:eastAsia="仿宋_GB2312" w:cs="仿宋_GB2312"/>
          <w:color w:val="auto"/>
          <w:kern w:val="2"/>
          <w:sz w:val="32"/>
          <w:szCs w:val="32"/>
          <w:highlight w:val="none"/>
          <w:lang w:val="zh-CN" w:eastAsia="zh-CN" w:bidi="ar-SA"/>
        </w:rPr>
        <w:t>%，其中：预算结余率大于</w:t>
      </w:r>
      <w:r>
        <w:rPr>
          <w:rFonts w:hint="eastAsia" w:eastAsia="仿宋_GB2312" w:cs="仿宋_GB2312"/>
          <w:color w:val="auto"/>
          <w:kern w:val="2"/>
          <w:sz w:val="32"/>
          <w:szCs w:val="32"/>
          <w:highlight w:val="none"/>
          <w:lang w:val="en-US" w:eastAsia="zh-CN" w:bidi="ar-SA"/>
        </w:rPr>
        <w:t>10%</w:t>
      </w:r>
      <w:r>
        <w:rPr>
          <w:rFonts w:hint="eastAsia" w:eastAsia="仿宋_GB2312" w:cs="仿宋_GB2312"/>
          <w:color w:val="auto"/>
          <w:kern w:val="2"/>
          <w:sz w:val="32"/>
          <w:szCs w:val="32"/>
          <w:highlight w:val="none"/>
          <w:lang w:val="zh-CN" w:eastAsia="zh-CN" w:bidi="ar-SA"/>
        </w:rPr>
        <w:t>的项目共计</w:t>
      </w:r>
      <w:r>
        <w:rPr>
          <w:rFonts w:hint="eastAsia" w:eastAsia="仿宋_GB2312" w:cs="仿宋_GB2312"/>
          <w:color w:val="auto"/>
          <w:kern w:val="2"/>
          <w:sz w:val="32"/>
          <w:szCs w:val="32"/>
          <w:highlight w:val="none"/>
          <w:lang w:val="en-US" w:eastAsia="zh-CN" w:bidi="ar-SA"/>
        </w:rPr>
        <w:t>5</w:t>
      </w:r>
      <w:r>
        <w:rPr>
          <w:rFonts w:hint="eastAsia" w:eastAsia="仿宋_GB2312" w:cs="仿宋_GB2312"/>
          <w:color w:val="auto"/>
          <w:kern w:val="2"/>
          <w:sz w:val="32"/>
          <w:szCs w:val="32"/>
          <w:highlight w:val="none"/>
          <w:lang w:val="zh-CN" w:eastAsia="zh-CN" w:bidi="ar-SA"/>
        </w:rPr>
        <w:t>个。</w:t>
      </w:r>
    </w:p>
    <w:p>
      <w:pPr>
        <w:spacing w:line="600" w:lineRule="exact"/>
        <w:ind w:firstLine="640" w:firstLineChars="200"/>
        <w:outlineLvl w:val="2"/>
        <w:rPr>
          <w:rFonts w:hint="eastAsia" w:eastAsia="仿宋_GB2312" w:cs="仿宋_GB2312"/>
          <w:color w:val="auto"/>
          <w:kern w:val="2"/>
          <w:sz w:val="32"/>
          <w:szCs w:val="32"/>
          <w:highlight w:val="none"/>
          <w:lang w:val="zh-CN" w:eastAsia="zh-CN" w:bidi="ar-SA"/>
        </w:rPr>
      </w:pPr>
      <w:r>
        <w:rPr>
          <w:rFonts w:hint="eastAsia" w:eastAsia="仿宋_GB2312" w:cs="仿宋_GB2312"/>
          <w:color w:val="auto"/>
          <w:kern w:val="2"/>
          <w:sz w:val="32"/>
          <w:szCs w:val="32"/>
          <w:highlight w:val="none"/>
          <w:lang w:val="en-US" w:eastAsia="zh-CN" w:bidi="ar-SA"/>
        </w:rPr>
        <w:t>阶段（含一次性）项目绩效分析。</w:t>
      </w:r>
      <w:r>
        <w:rPr>
          <w:rFonts w:hint="eastAsia" w:eastAsia="仿宋_GB2312" w:cs="仿宋_GB2312"/>
          <w:color w:val="auto"/>
          <w:kern w:val="2"/>
          <w:sz w:val="32"/>
          <w:szCs w:val="32"/>
          <w:highlight w:val="none"/>
          <w:lang w:val="zh-CN" w:eastAsia="zh-CN" w:bidi="ar-SA"/>
        </w:rPr>
        <w:t>该类项目总数</w:t>
      </w:r>
      <w:r>
        <w:rPr>
          <w:rFonts w:hint="eastAsia" w:eastAsia="仿宋_GB2312" w:cs="仿宋_GB2312"/>
          <w:color w:val="auto"/>
          <w:kern w:val="2"/>
          <w:sz w:val="32"/>
          <w:szCs w:val="32"/>
          <w:highlight w:val="none"/>
          <w:lang w:val="en-US" w:eastAsia="zh-CN" w:bidi="ar-SA"/>
        </w:rPr>
        <w:t>10</w:t>
      </w:r>
      <w:r>
        <w:rPr>
          <w:rFonts w:hint="eastAsia" w:eastAsia="仿宋_GB2312" w:cs="仿宋_GB2312"/>
          <w:color w:val="auto"/>
          <w:kern w:val="2"/>
          <w:sz w:val="32"/>
          <w:szCs w:val="32"/>
          <w:highlight w:val="none"/>
          <w:lang w:val="zh-CN" w:eastAsia="zh-CN" w:bidi="ar-SA"/>
        </w:rPr>
        <w:t>个，涉及预算总金额</w:t>
      </w:r>
      <w:r>
        <w:rPr>
          <w:rFonts w:hint="eastAsia" w:eastAsia="仿宋_GB2312" w:cs="仿宋_GB2312"/>
          <w:color w:val="auto"/>
          <w:kern w:val="2"/>
          <w:sz w:val="32"/>
          <w:szCs w:val="32"/>
          <w:highlight w:val="none"/>
          <w:lang w:val="en-US" w:eastAsia="zh-CN" w:bidi="ar-SA"/>
        </w:rPr>
        <w:t>103.51</w:t>
      </w:r>
      <w:r>
        <w:rPr>
          <w:rFonts w:hint="eastAsia" w:eastAsia="仿宋_GB2312" w:cs="仿宋_GB2312"/>
          <w:color w:val="auto"/>
          <w:kern w:val="2"/>
          <w:sz w:val="32"/>
          <w:szCs w:val="32"/>
          <w:highlight w:val="none"/>
          <w:lang w:val="zh-CN" w:eastAsia="zh-CN" w:bidi="ar-SA"/>
        </w:rPr>
        <w:t>万元，1—1</w:t>
      </w:r>
      <w:r>
        <w:rPr>
          <w:rFonts w:hint="eastAsia" w:eastAsia="仿宋_GB2312" w:cs="仿宋_GB2312"/>
          <w:color w:val="auto"/>
          <w:kern w:val="2"/>
          <w:sz w:val="32"/>
          <w:szCs w:val="32"/>
          <w:highlight w:val="none"/>
          <w:lang w:val="en-US" w:eastAsia="zh-CN" w:bidi="ar-SA"/>
        </w:rPr>
        <w:t>2</w:t>
      </w:r>
      <w:r>
        <w:rPr>
          <w:rFonts w:hint="eastAsia" w:eastAsia="仿宋_GB2312" w:cs="仿宋_GB2312"/>
          <w:color w:val="auto"/>
          <w:kern w:val="2"/>
          <w:sz w:val="32"/>
          <w:szCs w:val="32"/>
          <w:highlight w:val="none"/>
          <w:lang w:val="zh-CN" w:eastAsia="zh-CN" w:bidi="ar-SA"/>
        </w:rPr>
        <w:t>月预算执行总体进度为</w:t>
      </w:r>
      <w:r>
        <w:rPr>
          <w:rFonts w:hint="eastAsia" w:eastAsia="仿宋_GB2312" w:cs="仿宋_GB2312"/>
          <w:color w:val="auto"/>
          <w:kern w:val="2"/>
          <w:sz w:val="32"/>
          <w:szCs w:val="32"/>
          <w:highlight w:val="none"/>
          <w:lang w:val="en-US" w:eastAsia="zh-CN" w:bidi="ar-SA"/>
        </w:rPr>
        <w:t>70.7%</w:t>
      </w:r>
      <w:r>
        <w:rPr>
          <w:rFonts w:hint="eastAsia" w:eastAsia="仿宋_GB2312" w:cs="仿宋_GB2312"/>
          <w:color w:val="auto"/>
          <w:kern w:val="2"/>
          <w:sz w:val="32"/>
          <w:szCs w:val="32"/>
          <w:highlight w:val="none"/>
          <w:lang w:val="zh-CN" w:eastAsia="zh-CN" w:bidi="ar-SA"/>
        </w:rPr>
        <w:t>，其中：预算结余率大于</w:t>
      </w:r>
      <w:r>
        <w:rPr>
          <w:rFonts w:hint="eastAsia" w:eastAsia="仿宋_GB2312" w:cs="仿宋_GB2312"/>
          <w:color w:val="auto"/>
          <w:kern w:val="2"/>
          <w:sz w:val="32"/>
          <w:szCs w:val="32"/>
          <w:highlight w:val="none"/>
          <w:lang w:val="en-US" w:eastAsia="zh-CN" w:bidi="ar-SA"/>
        </w:rPr>
        <w:t>10%</w:t>
      </w:r>
      <w:r>
        <w:rPr>
          <w:rFonts w:hint="eastAsia" w:eastAsia="仿宋_GB2312" w:cs="仿宋_GB2312"/>
          <w:color w:val="auto"/>
          <w:kern w:val="2"/>
          <w:sz w:val="32"/>
          <w:szCs w:val="32"/>
          <w:highlight w:val="none"/>
          <w:lang w:val="zh-CN" w:eastAsia="zh-CN" w:bidi="ar-SA"/>
        </w:rPr>
        <w:t>的项目共计</w:t>
      </w:r>
      <w:r>
        <w:rPr>
          <w:rFonts w:hint="eastAsia" w:eastAsia="仿宋_GB2312" w:cs="仿宋_GB2312"/>
          <w:color w:val="auto"/>
          <w:kern w:val="2"/>
          <w:sz w:val="32"/>
          <w:szCs w:val="32"/>
          <w:highlight w:val="none"/>
          <w:lang w:val="en-US" w:eastAsia="zh-CN" w:bidi="ar-SA"/>
        </w:rPr>
        <w:t>5</w:t>
      </w:r>
      <w:r>
        <w:rPr>
          <w:rFonts w:hint="eastAsia" w:eastAsia="仿宋_GB2312" w:cs="仿宋_GB2312"/>
          <w:color w:val="auto"/>
          <w:kern w:val="2"/>
          <w:sz w:val="32"/>
          <w:szCs w:val="32"/>
          <w:highlight w:val="none"/>
          <w:lang w:val="zh-CN" w:eastAsia="zh-CN" w:bidi="ar-SA"/>
        </w:rPr>
        <w:t>个。</w:t>
      </w:r>
    </w:p>
    <w:p>
      <w:pPr>
        <w:spacing w:line="600" w:lineRule="exact"/>
        <w:ind w:firstLine="640" w:firstLineChars="200"/>
        <w:outlineLvl w:val="2"/>
        <w:rPr>
          <w:rFonts w:hint="eastAsia" w:eastAsia="仿宋_GB2312" w:cs="仿宋_GB2312"/>
          <w:color w:val="auto"/>
          <w:kern w:val="2"/>
          <w:sz w:val="32"/>
          <w:szCs w:val="32"/>
          <w:highlight w:val="none"/>
          <w:lang w:val="zh-CN" w:eastAsia="zh-CN" w:bidi="ar-SA"/>
        </w:rPr>
      </w:pPr>
      <w:r>
        <w:rPr>
          <w:rFonts w:hint="eastAsia" w:eastAsia="仿宋_GB2312" w:cs="仿宋_GB2312"/>
          <w:color w:val="auto"/>
          <w:kern w:val="2"/>
          <w:sz w:val="32"/>
          <w:szCs w:val="32"/>
          <w:highlight w:val="none"/>
          <w:lang w:val="en-US" w:eastAsia="zh-CN" w:bidi="ar-SA"/>
        </w:rPr>
        <w:t>1.</w:t>
      </w:r>
      <w:r>
        <w:rPr>
          <w:rFonts w:hint="eastAsia" w:eastAsia="仿宋_GB2312" w:cs="仿宋_GB2312"/>
          <w:color w:val="auto"/>
          <w:kern w:val="2"/>
          <w:sz w:val="32"/>
          <w:szCs w:val="32"/>
          <w:highlight w:val="none"/>
          <w:lang w:val="zh-CN" w:eastAsia="zh-CN" w:bidi="ar-SA"/>
        </w:rPr>
        <w:t>项目决策。</w:t>
      </w:r>
    </w:p>
    <w:p>
      <w:pPr>
        <w:spacing w:line="600" w:lineRule="exact"/>
        <w:ind w:firstLine="640" w:firstLineChars="200"/>
        <w:outlineLvl w:val="2"/>
        <w:rPr>
          <w:rFonts w:hint="eastAsia" w:eastAsia="仿宋_GB2312" w:cs="仿宋_GB2312"/>
          <w:color w:val="auto"/>
          <w:kern w:val="2"/>
          <w:sz w:val="32"/>
          <w:szCs w:val="32"/>
          <w:highlight w:val="none"/>
          <w:lang w:val="zh-CN" w:eastAsia="zh-CN" w:bidi="ar-SA"/>
        </w:rPr>
      </w:pPr>
      <w:r>
        <w:rPr>
          <w:rFonts w:hint="eastAsia" w:eastAsia="仿宋_GB2312" w:cs="仿宋_GB2312"/>
          <w:color w:val="auto"/>
          <w:kern w:val="2"/>
          <w:sz w:val="32"/>
          <w:szCs w:val="32"/>
          <w:highlight w:val="none"/>
          <w:lang w:val="en-US" w:eastAsia="zh-CN" w:bidi="ar-SA"/>
        </w:rPr>
        <w:t>壤塘县妇幼保健院是财政全额拨款单位，涉及资金均为上级转移资金和壤塘县财政局根据需求进行保障。上级转移资金到壤塘县财政局后，壤塘县卫生健康局进行资金的分配，各个二级预算单位根据涉及的项目细化当年项目实施内容，结合上级部门指标要求和单位工作重点</w:t>
      </w:r>
      <w:r>
        <w:rPr>
          <w:rFonts w:hint="eastAsia" w:eastAsia="仿宋_GB2312" w:cs="仿宋_GB2312"/>
          <w:color w:val="auto"/>
          <w:kern w:val="2"/>
          <w:sz w:val="32"/>
          <w:szCs w:val="32"/>
          <w:highlight w:val="none"/>
          <w:lang w:val="zh-CN" w:eastAsia="zh-CN" w:bidi="ar-SA"/>
        </w:rPr>
        <w:t>科学合理、规范完整、量化细化设置项目绩效目标并在规定时间完成项目入库工作。</w:t>
      </w:r>
    </w:p>
    <w:p>
      <w:pPr>
        <w:spacing w:line="600" w:lineRule="exact"/>
        <w:ind w:firstLine="640" w:firstLineChars="200"/>
        <w:outlineLvl w:val="2"/>
        <w:rPr>
          <w:rFonts w:hint="eastAsia" w:eastAsia="仿宋_GB2312" w:cs="仿宋_GB2312"/>
          <w:color w:val="auto"/>
          <w:kern w:val="2"/>
          <w:sz w:val="32"/>
          <w:szCs w:val="32"/>
          <w:highlight w:val="none"/>
          <w:lang w:val="zh-CN" w:eastAsia="zh-CN" w:bidi="ar-SA"/>
        </w:rPr>
      </w:pPr>
      <w:r>
        <w:rPr>
          <w:rFonts w:hint="eastAsia" w:eastAsia="仿宋_GB2312" w:cs="仿宋_GB2312"/>
          <w:color w:val="auto"/>
          <w:kern w:val="2"/>
          <w:sz w:val="32"/>
          <w:szCs w:val="32"/>
          <w:highlight w:val="none"/>
          <w:lang w:val="en-US" w:eastAsia="zh-CN" w:bidi="ar-SA"/>
        </w:rPr>
        <w:t>2.</w:t>
      </w:r>
      <w:r>
        <w:rPr>
          <w:rFonts w:hint="eastAsia" w:eastAsia="仿宋_GB2312" w:cs="仿宋_GB2312"/>
          <w:color w:val="auto"/>
          <w:kern w:val="2"/>
          <w:sz w:val="32"/>
          <w:szCs w:val="32"/>
          <w:highlight w:val="none"/>
          <w:lang w:val="zh-CN" w:eastAsia="zh-CN" w:bidi="ar-SA"/>
        </w:rPr>
        <w:t>项目执行。</w:t>
      </w:r>
    </w:p>
    <w:p>
      <w:pPr>
        <w:spacing w:line="600" w:lineRule="exact"/>
        <w:ind w:firstLine="640" w:firstLineChars="200"/>
        <w:outlineLvl w:val="2"/>
        <w:rPr>
          <w:rFonts w:hint="default"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2025年壤塘县妇幼保健院项目专项资金下达103.51万元，截至2025年12月31日，实际拨付金额为73.19万元，资金拨付率70.70%。</w:t>
      </w:r>
    </w:p>
    <w:p>
      <w:pPr>
        <w:spacing w:line="600" w:lineRule="exact"/>
        <w:ind w:firstLine="640" w:firstLineChars="200"/>
        <w:outlineLvl w:val="2"/>
        <w:rPr>
          <w:rFonts w:hint="eastAsia" w:eastAsia="仿宋_GB2312" w:cs="仿宋_GB2312"/>
          <w:color w:val="auto"/>
          <w:kern w:val="2"/>
          <w:sz w:val="32"/>
          <w:szCs w:val="32"/>
          <w:highlight w:val="none"/>
          <w:lang w:val="zh-CN" w:eastAsia="zh-CN" w:bidi="ar-SA"/>
        </w:rPr>
      </w:pPr>
      <w:r>
        <w:rPr>
          <w:rFonts w:hint="eastAsia" w:eastAsia="仿宋_GB2312" w:cs="仿宋_GB2312"/>
          <w:color w:val="auto"/>
          <w:kern w:val="2"/>
          <w:sz w:val="32"/>
          <w:szCs w:val="32"/>
          <w:highlight w:val="none"/>
          <w:lang w:val="en-US" w:eastAsia="zh-CN" w:bidi="ar-SA"/>
        </w:rPr>
        <w:t>3.</w:t>
      </w:r>
      <w:r>
        <w:rPr>
          <w:rFonts w:hint="eastAsia" w:eastAsia="仿宋_GB2312" w:cs="仿宋_GB2312"/>
          <w:color w:val="auto"/>
          <w:kern w:val="2"/>
          <w:sz w:val="32"/>
          <w:szCs w:val="32"/>
          <w:highlight w:val="none"/>
          <w:lang w:val="zh-CN" w:eastAsia="zh-CN" w:bidi="ar-SA"/>
        </w:rPr>
        <w:t>目标实现。</w:t>
      </w:r>
    </w:p>
    <w:p>
      <w:pPr>
        <w:spacing w:line="600" w:lineRule="exact"/>
        <w:ind w:firstLine="640" w:firstLineChars="200"/>
        <w:outlineLvl w:val="2"/>
        <w:rPr>
          <w:rFonts w:hint="default" w:eastAsia="仿宋_GB2312" w:cs="仿宋_GB2312"/>
          <w:color w:val="auto"/>
          <w:kern w:val="2"/>
          <w:sz w:val="32"/>
          <w:szCs w:val="32"/>
          <w:highlight w:val="none"/>
          <w:lang w:val="en-US" w:eastAsia="zh-CN" w:bidi="ar-SA"/>
        </w:rPr>
      </w:pPr>
      <w:r>
        <w:rPr>
          <w:rFonts w:hint="default"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1</w:t>
      </w:r>
      <w:r>
        <w:rPr>
          <w:rFonts w:hint="default" w:eastAsia="仿宋_GB2312" w:cs="仿宋_GB2312"/>
          <w:color w:val="auto"/>
          <w:kern w:val="2"/>
          <w:sz w:val="32"/>
          <w:szCs w:val="32"/>
          <w:highlight w:val="none"/>
          <w:lang w:val="en-US" w:eastAsia="zh-CN" w:bidi="ar-SA"/>
        </w:rPr>
        <w:t>）重点民生项目</w:t>
      </w:r>
      <w:r>
        <w:rPr>
          <w:rFonts w:hint="eastAsia" w:eastAsia="仿宋_GB2312" w:cs="仿宋_GB2312"/>
          <w:color w:val="auto"/>
          <w:kern w:val="2"/>
          <w:sz w:val="32"/>
          <w:szCs w:val="32"/>
          <w:highlight w:val="none"/>
          <w:lang w:val="en-US" w:eastAsia="zh-CN" w:bidi="ar-SA"/>
        </w:rPr>
        <w:t>：</w:t>
      </w:r>
      <w:r>
        <w:rPr>
          <w:rFonts w:hint="default" w:eastAsia="仿宋_GB2312" w:cs="仿宋_GB2312"/>
          <w:color w:val="auto"/>
          <w:kern w:val="2"/>
          <w:sz w:val="32"/>
          <w:szCs w:val="32"/>
          <w:highlight w:val="none"/>
          <w:lang w:val="en-US" w:eastAsia="zh-CN" w:bidi="ar-SA"/>
        </w:rPr>
        <w:t>农村育龄妇女“两癌”筛查：</w:t>
      </w:r>
      <w:r>
        <w:rPr>
          <w:rFonts w:hint="eastAsia" w:eastAsia="仿宋_GB2312" w:cs="仿宋_GB2312"/>
          <w:color w:val="auto"/>
          <w:kern w:val="2"/>
          <w:sz w:val="32"/>
          <w:szCs w:val="32"/>
          <w:highlight w:val="none"/>
          <w:lang w:val="en-US" w:eastAsia="zh-CN" w:bidi="ar-SA"/>
        </w:rPr>
        <w:t>2025年筛查</w:t>
      </w:r>
      <w:r>
        <w:rPr>
          <w:rFonts w:hint="default" w:eastAsia="仿宋_GB2312" w:cs="仿宋_GB2312"/>
          <w:color w:val="auto"/>
          <w:kern w:val="2"/>
          <w:sz w:val="32"/>
          <w:szCs w:val="32"/>
          <w:highlight w:val="none"/>
          <w:lang w:val="en-US" w:eastAsia="zh-CN" w:bidi="ar-SA"/>
        </w:rPr>
        <w:t>1</w:t>
      </w:r>
      <w:r>
        <w:rPr>
          <w:rFonts w:hint="eastAsia" w:eastAsia="仿宋_GB2312" w:cs="仿宋_GB2312"/>
          <w:color w:val="auto"/>
          <w:kern w:val="2"/>
          <w:sz w:val="32"/>
          <w:szCs w:val="32"/>
          <w:highlight w:val="none"/>
          <w:lang w:val="en-US" w:eastAsia="zh-CN" w:bidi="ar-SA"/>
        </w:rPr>
        <w:t>347</w:t>
      </w:r>
      <w:r>
        <w:rPr>
          <w:rFonts w:hint="default" w:eastAsia="仿宋_GB2312" w:cs="仿宋_GB2312"/>
          <w:color w:val="auto"/>
          <w:kern w:val="2"/>
          <w:sz w:val="32"/>
          <w:szCs w:val="32"/>
          <w:highlight w:val="none"/>
          <w:lang w:val="en-US" w:eastAsia="zh-CN" w:bidi="ar-SA"/>
        </w:rPr>
        <w:t>人</w:t>
      </w:r>
      <w:r>
        <w:rPr>
          <w:rFonts w:hint="eastAsia" w:eastAsia="仿宋_GB2312" w:cs="仿宋_GB2312"/>
          <w:color w:val="auto"/>
          <w:kern w:val="2"/>
          <w:sz w:val="32"/>
          <w:szCs w:val="32"/>
          <w:highlight w:val="none"/>
          <w:lang w:val="en-US" w:eastAsia="zh-CN" w:bidi="ar-SA"/>
        </w:rPr>
        <w:t>。</w:t>
      </w:r>
      <w:r>
        <w:rPr>
          <w:rFonts w:hint="default" w:eastAsia="仿宋_GB2312" w:cs="仿宋_GB2312"/>
          <w:color w:val="auto"/>
          <w:kern w:val="2"/>
          <w:sz w:val="32"/>
          <w:szCs w:val="32"/>
          <w:highlight w:val="none"/>
          <w:lang w:val="en-US" w:eastAsia="zh-CN" w:bidi="ar-SA"/>
        </w:rPr>
        <w:t>中央、省、州、县级下达专项资金</w:t>
      </w:r>
      <w:r>
        <w:rPr>
          <w:rFonts w:hint="eastAsia" w:eastAsia="仿宋_GB2312" w:cs="仿宋_GB2312"/>
          <w:color w:val="auto"/>
          <w:kern w:val="2"/>
          <w:sz w:val="32"/>
          <w:szCs w:val="32"/>
          <w:highlight w:val="none"/>
          <w:lang w:val="en-US" w:eastAsia="zh-CN" w:bidi="ar-SA"/>
        </w:rPr>
        <w:t>22.56</w:t>
      </w:r>
      <w:r>
        <w:rPr>
          <w:rFonts w:hint="default" w:eastAsia="仿宋_GB2312" w:cs="仿宋_GB2312"/>
          <w:color w:val="auto"/>
          <w:kern w:val="2"/>
          <w:sz w:val="32"/>
          <w:szCs w:val="32"/>
          <w:highlight w:val="none"/>
          <w:lang w:val="en-US" w:eastAsia="zh-CN" w:bidi="ar-SA"/>
        </w:rPr>
        <w:t>万元，资金拨付率100%，切实保障了农村妇女健康权益。</w:t>
      </w:r>
    </w:p>
    <w:p>
      <w:pPr>
        <w:spacing w:line="600" w:lineRule="exact"/>
        <w:ind w:firstLine="640" w:firstLineChars="200"/>
        <w:outlineLvl w:val="2"/>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w:t>
      </w:r>
      <w:r>
        <w:rPr>
          <w:rFonts w:hint="default" w:eastAsia="仿宋_GB2312" w:cs="仿宋_GB2312"/>
          <w:color w:val="auto"/>
          <w:kern w:val="2"/>
          <w:sz w:val="32"/>
          <w:szCs w:val="32"/>
          <w:highlight w:val="none"/>
          <w:lang w:val="en-US" w:eastAsia="zh-CN" w:bidi="ar-SA"/>
        </w:rPr>
        <w:t>公共卫生项目</w:t>
      </w:r>
      <w:r>
        <w:rPr>
          <w:rFonts w:hint="eastAsia" w:eastAsia="仿宋_GB2312" w:cs="仿宋_GB2312"/>
          <w:color w:val="auto"/>
          <w:kern w:val="2"/>
          <w:sz w:val="32"/>
          <w:szCs w:val="32"/>
          <w:highlight w:val="none"/>
          <w:lang w:val="en-US" w:eastAsia="zh-CN" w:bidi="ar-SA"/>
        </w:rPr>
        <w:t>：</w:t>
      </w:r>
      <w:r>
        <w:rPr>
          <w:rFonts w:hint="default" w:eastAsia="仿宋_GB2312" w:cs="仿宋_GB2312"/>
          <w:color w:val="auto"/>
          <w:kern w:val="2"/>
          <w:sz w:val="32"/>
          <w:szCs w:val="32"/>
          <w:highlight w:val="none"/>
          <w:lang w:val="en-US" w:eastAsia="zh-CN" w:bidi="ar-SA"/>
        </w:rPr>
        <w:t>高危孕产妇管理：全年筛查并管理高危孕产妇265例，协同各乡镇卫生院对所有高危孕妇实施分色网格化管理，开展全程监测和追踪，高危管理率100%。孕产妇系统管理：</w:t>
      </w:r>
      <w:r>
        <w:rPr>
          <w:rFonts w:hint="eastAsia" w:eastAsia="仿宋_GB2312" w:cs="仿宋_GB2312"/>
          <w:color w:val="auto"/>
          <w:kern w:val="2"/>
          <w:sz w:val="32"/>
          <w:szCs w:val="32"/>
          <w:highlight w:val="none"/>
          <w:lang w:val="en-US" w:eastAsia="zh-CN" w:bidi="ar-SA"/>
        </w:rPr>
        <w:t>孕产妇系统管理数184人，系统管理率89.30%；</w:t>
      </w:r>
      <w:r>
        <w:rPr>
          <w:rFonts w:hint="default" w:eastAsia="仿宋_GB2312" w:cs="仿宋_GB2312"/>
          <w:color w:val="auto"/>
          <w:kern w:val="2"/>
          <w:sz w:val="32"/>
          <w:szCs w:val="32"/>
          <w:highlight w:val="none"/>
          <w:lang w:val="en-US" w:eastAsia="zh-CN" w:bidi="ar-SA"/>
        </w:rPr>
        <w:t>儿童健康管理：</w:t>
      </w:r>
      <w:r>
        <w:rPr>
          <w:rFonts w:hint="eastAsia" w:eastAsia="仿宋_GB2312" w:cs="仿宋_GB2312"/>
          <w:color w:val="auto"/>
          <w:kern w:val="2"/>
          <w:sz w:val="32"/>
          <w:szCs w:val="32"/>
          <w:highlight w:val="none"/>
          <w:lang w:val="en-US" w:eastAsia="zh-CN" w:bidi="ar-SA"/>
        </w:rPr>
        <w:t>3岁以下儿童数2086人，3岁以下儿童系统管理1912人，系统管理率91.65%；</w:t>
      </w:r>
      <w:r>
        <w:rPr>
          <w:rFonts w:hint="default" w:eastAsia="仿宋_GB2312" w:cs="仿宋_GB2312"/>
          <w:color w:val="auto"/>
          <w:kern w:val="2"/>
          <w:sz w:val="32"/>
          <w:szCs w:val="32"/>
          <w:highlight w:val="none"/>
          <w:lang w:val="en-US" w:eastAsia="zh-CN" w:bidi="ar-SA"/>
        </w:rPr>
        <w:t>免费婚前医学健康检查：</w:t>
      </w:r>
      <w:r>
        <w:rPr>
          <w:rFonts w:hint="eastAsia" w:eastAsia="仿宋_GB2312" w:cs="仿宋_GB2312"/>
          <w:color w:val="auto"/>
          <w:kern w:val="2"/>
          <w:sz w:val="32"/>
          <w:szCs w:val="32"/>
          <w:highlight w:val="none"/>
          <w:lang w:val="en-US" w:eastAsia="zh-CN" w:bidi="ar-SA"/>
        </w:rPr>
        <w:t>2025年检查</w:t>
      </w:r>
      <w:r>
        <w:rPr>
          <w:rFonts w:hint="default" w:eastAsia="仿宋_GB2312" w:cs="仿宋_GB2312"/>
          <w:color w:val="auto"/>
          <w:kern w:val="2"/>
          <w:sz w:val="32"/>
          <w:szCs w:val="32"/>
          <w:highlight w:val="none"/>
          <w:lang w:val="en-US" w:eastAsia="zh-CN" w:bidi="ar-SA"/>
        </w:rPr>
        <w:t>191对</w:t>
      </w:r>
      <w:r>
        <w:rPr>
          <w:rFonts w:hint="eastAsia" w:eastAsia="仿宋_GB2312" w:cs="仿宋_GB2312"/>
          <w:color w:val="auto"/>
          <w:kern w:val="2"/>
          <w:sz w:val="32"/>
          <w:szCs w:val="32"/>
          <w:highlight w:val="none"/>
          <w:lang w:val="en-US" w:eastAsia="zh-CN" w:bidi="ar-SA"/>
        </w:rPr>
        <w:t>；</w:t>
      </w:r>
      <w:r>
        <w:rPr>
          <w:rFonts w:hint="default" w:eastAsia="仿宋_GB2312" w:cs="仿宋_GB2312"/>
          <w:color w:val="auto"/>
          <w:kern w:val="2"/>
          <w:sz w:val="32"/>
          <w:szCs w:val="32"/>
          <w:highlight w:val="none"/>
          <w:lang w:val="en-US" w:eastAsia="zh-CN" w:bidi="ar-SA"/>
        </w:rPr>
        <w:t>免费孕前优生检查：</w:t>
      </w:r>
      <w:r>
        <w:rPr>
          <w:rFonts w:hint="eastAsia" w:eastAsia="仿宋_GB2312" w:cs="仿宋_GB2312"/>
          <w:color w:val="auto"/>
          <w:kern w:val="2"/>
          <w:sz w:val="32"/>
          <w:szCs w:val="32"/>
          <w:highlight w:val="none"/>
          <w:lang w:val="en-US" w:eastAsia="zh-CN" w:bidi="ar-SA"/>
        </w:rPr>
        <w:t>2025年检查</w:t>
      </w:r>
      <w:r>
        <w:rPr>
          <w:rFonts w:hint="default" w:eastAsia="仿宋_GB2312" w:cs="仿宋_GB2312"/>
          <w:color w:val="auto"/>
          <w:kern w:val="2"/>
          <w:sz w:val="32"/>
          <w:szCs w:val="32"/>
          <w:highlight w:val="none"/>
          <w:lang w:val="en-US" w:eastAsia="zh-CN" w:bidi="ar-SA"/>
        </w:rPr>
        <w:t>112对</w:t>
      </w:r>
      <w:r>
        <w:rPr>
          <w:rFonts w:hint="eastAsia" w:eastAsia="仿宋_GB2312" w:cs="仿宋_GB2312"/>
          <w:color w:val="auto"/>
          <w:kern w:val="2"/>
          <w:sz w:val="32"/>
          <w:szCs w:val="32"/>
          <w:highlight w:val="none"/>
          <w:lang w:val="en-US" w:eastAsia="zh-CN" w:bidi="ar-SA"/>
        </w:rPr>
        <w:t>，</w:t>
      </w:r>
      <w:r>
        <w:rPr>
          <w:rFonts w:hint="default" w:eastAsia="仿宋_GB2312" w:cs="仿宋_GB2312"/>
          <w:color w:val="auto"/>
          <w:kern w:val="2"/>
          <w:sz w:val="32"/>
          <w:szCs w:val="32"/>
          <w:highlight w:val="none"/>
          <w:lang w:val="en-US" w:eastAsia="zh-CN" w:bidi="ar-SA"/>
        </w:rPr>
        <w:t>为优生优育奠定坚实基础</w:t>
      </w:r>
      <w:r>
        <w:rPr>
          <w:rFonts w:hint="eastAsia" w:eastAsia="仿宋_GB2312" w:cs="仿宋_GB2312"/>
          <w:color w:val="auto"/>
          <w:kern w:val="2"/>
          <w:sz w:val="32"/>
          <w:szCs w:val="32"/>
          <w:highlight w:val="none"/>
          <w:lang w:val="en-US" w:eastAsia="zh-CN" w:bidi="ar-SA"/>
        </w:rPr>
        <w:t>；</w:t>
      </w:r>
      <w:r>
        <w:rPr>
          <w:rFonts w:hint="default" w:eastAsia="仿宋_GB2312" w:cs="仿宋_GB2312"/>
          <w:color w:val="auto"/>
          <w:kern w:val="2"/>
          <w:sz w:val="32"/>
          <w:szCs w:val="32"/>
          <w:highlight w:val="none"/>
          <w:lang w:val="en-US" w:eastAsia="zh-CN" w:bidi="ar-SA"/>
        </w:rPr>
        <w:t>消除“母婴传播”工作：</w:t>
      </w:r>
      <w:r>
        <w:rPr>
          <w:rFonts w:hint="eastAsia" w:eastAsia="仿宋_GB2312" w:cs="仿宋_GB2312"/>
          <w:color w:val="auto"/>
          <w:kern w:val="2"/>
          <w:sz w:val="32"/>
          <w:szCs w:val="32"/>
          <w:highlight w:val="none"/>
          <w:lang w:val="en-US" w:eastAsia="zh-CN" w:bidi="ar-SA"/>
        </w:rPr>
        <w:t>2025</w:t>
      </w:r>
      <w:r>
        <w:rPr>
          <w:rFonts w:hint="default" w:eastAsia="仿宋_GB2312" w:cs="仿宋_GB2312"/>
          <w:color w:val="auto"/>
          <w:kern w:val="2"/>
          <w:sz w:val="32"/>
          <w:szCs w:val="32"/>
          <w:highlight w:val="none"/>
          <w:lang w:val="en-US" w:eastAsia="zh-CN" w:bidi="ar-SA"/>
        </w:rPr>
        <w:t>孕产妇“艾滋病、梅毒和乙肝”检测654人，检测率82.37%</w:t>
      </w:r>
      <w:r>
        <w:rPr>
          <w:rFonts w:hint="eastAsia" w:eastAsia="仿宋_GB2312" w:cs="仿宋_GB2312"/>
          <w:color w:val="auto"/>
          <w:kern w:val="2"/>
          <w:sz w:val="32"/>
          <w:szCs w:val="32"/>
          <w:highlight w:val="none"/>
          <w:lang w:val="en-US" w:eastAsia="zh-CN" w:bidi="ar-SA"/>
        </w:rPr>
        <w:t>，</w:t>
      </w:r>
      <w:r>
        <w:rPr>
          <w:rFonts w:hint="default" w:eastAsia="仿宋_GB2312" w:cs="仿宋_GB2312"/>
          <w:color w:val="auto"/>
          <w:kern w:val="2"/>
          <w:sz w:val="32"/>
          <w:szCs w:val="32"/>
          <w:highlight w:val="none"/>
          <w:lang w:val="en-US" w:eastAsia="zh-CN" w:bidi="ar-SA"/>
        </w:rPr>
        <w:t>其中孕早期检测率62%，HIV单独检测率82.37%</w:t>
      </w:r>
      <w:r>
        <w:rPr>
          <w:rFonts w:hint="eastAsia" w:eastAsia="仿宋_GB2312" w:cs="仿宋_GB2312"/>
          <w:color w:val="auto"/>
          <w:kern w:val="2"/>
          <w:sz w:val="32"/>
          <w:szCs w:val="32"/>
          <w:highlight w:val="none"/>
          <w:lang w:val="en-US" w:eastAsia="zh-CN" w:bidi="ar-SA"/>
        </w:rPr>
        <w:t>；</w:t>
      </w:r>
      <w:r>
        <w:rPr>
          <w:rFonts w:hint="default" w:eastAsia="仿宋_GB2312" w:cs="仿宋_GB2312"/>
          <w:color w:val="auto"/>
          <w:kern w:val="2"/>
          <w:sz w:val="32"/>
          <w:szCs w:val="32"/>
          <w:highlight w:val="none"/>
          <w:lang w:val="en-US" w:eastAsia="zh-CN" w:bidi="ar-SA"/>
        </w:rPr>
        <w:t>育龄妇女监测：</w:t>
      </w:r>
      <w:r>
        <w:rPr>
          <w:rFonts w:hint="eastAsia" w:eastAsia="仿宋_GB2312" w:cs="仿宋_GB2312"/>
          <w:color w:val="auto"/>
          <w:kern w:val="2"/>
          <w:sz w:val="32"/>
          <w:szCs w:val="32"/>
          <w:highlight w:val="none"/>
          <w:lang w:val="en-US" w:eastAsia="zh-CN" w:bidi="ar-SA"/>
        </w:rPr>
        <w:t>2025年</w:t>
      </w:r>
      <w:r>
        <w:rPr>
          <w:rFonts w:hint="default" w:eastAsia="仿宋_GB2312" w:cs="仿宋_GB2312"/>
          <w:color w:val="auto"/>
          <w:kern w:val="2"/>
          <w:sz w:val="32"/>
          <w:szCs w:val="32"/>
          <w:highlight w:val="none"/>
          <w:lang w:val="en-US" w:eastAsia="zh-CN" w:bidi="ar-SA"/>
        </w:rPr>
        <w:t>育龄妇女孕情监测总数10112人，接受艾滋病、梅毒、乙肝检测人数9109人，</w:t>
      </w:r>
      <w:r>
        <w:rPr>
          <w:rFonts w:hint="eastAsia" w:eastAsia="仿宋_GB2312" w:cs="仿宋_GB2312"/>
          <w:color w:val="auto"/>
          <w:kern w:val="2"/>
          <w:sz w:val="32"/>
          <w:szCs w:val="32"/>
          <w:highlight w:val="none"/>
          <w:lang w:val="en-US" w:eastAsia="zh-CN" w:bidi="ar-SA"/>
        </w:rPr>
        <w:t>推动</w:t>
      </w:r>
      <w:r>
        <w:rPr>
          <w:rFonts w:hint="default" w:eastAsia="仿宋_GB2312" w:cs="仿宋_GB2312"/>
          <w:color w:val="auto"/>
          <w:kern w:val="2"/>
          <w:sz w:val="32"/>
          <w:szCs w:val="32"/>
          <w:highlight w:val="none"/>
          <w:lang w:val="en-US" w:eastAsia="zh-CN" w:bidi="ar-SA"/>
        </w:rPr>
        <w:t>孕情监测与“三病筛查”有效衔接。全年无HIV感染孕产妇，消除母婴传播工作取得阶段性成效。</w:t>
      </w:r>
      <w:r>
        <w:rPr>
          <w:rFonts w:hint="eastAsia" w:eastAsia="仿宋_GB2312" w:cs="仿宋_GB2312"/>
          <w:color w:val="auto"/>
          <w:kern w:val="2"/>
          <w:sz w:val="32"/>
          <w:szCs w:val="32"/>
          <w:highlight w:val="none"/>
          <w:lang w:val="en-US" w:eastAsia="zh-CN" w:bidi="ar-SA"/>
        </w:rPr>
        <w:t xml:space="preserve">根据《部门预算绩效自评打分表》得分30分。 </w:t>
      </w:r>
    </w:p>
    <w:p>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val="en-US" w:eastAsia="zh-CN"/>
        </w:rPr>
      </w:pPr>
      <w:bookmarkStart w:id="89" w:name="_Toc22914"/>
      <w:r>
        <w:rPr>
          <w:rFonts w:hint="eastAsia" w:ascii="Times New Roman" w:hAnsi="Times New Roman" w:eastAsia="黑体"/>
          <w:color w:val="auto"/>
          <w:sz w:val="32"/>
          <w:szCs w:val="32"/>
          <w:highlight w:val="none"/>
          <w:lang w:val="en-US" w:eastAsia="zh-CN"/>
        </w:rPr>
        <w:t>四、评价结论及建议</w:t>
      </w:r>
      <w:bookmarkEnd w:id="89"/>
    </w:p>
    <w:p>
      <w:pPr>
        <w:spacing w:line="600" w:lineRule="exact"/>
        <w:ind w:firstLine="642" w:firstLineChars="200"/>
        <w:outlineLvl w:val="2"/>
        <w:rPr>
          <w:rFonts w:hint="eastAsia" w:ascii="Times New Roman" w:hAnsi="Times New Roman" w:eastAsia="楷体_GB2312" w:cs="楷体_GB2312"/>
          <w:b/>
          <w:color w:val="auto"/>
          <w:sz w:val="32"/>
          <w:szCs w:val="32"/>
          <w:highlight w:val="none"/>
          <w:lang w:val="en-US" w:eastAsia="zh-CN"/>
        </w:rPr>
      </w:pPr>
      <w:r>
        <w:rPr>
          <w:rFonts w:hint="eastAsia" w:ascii="Times New Roman" w:hAnsi="Times New Roman" w:eastAsia="楷体_GB2312" w:cs="楷体_GB2312"/>
          <w:b/>
          <w:color w:val="auto"/>
          <w:sz w:val="32"/>
          <w:szCs w:val="32"/>
          <w:highlight w:val="none"/>
          <w:lang w:val="zh-CN" w:eastAsia="zh-CN"/>
        </w:rPr>
        <w:t>（一）评价结论。</w:t>
      </w:r>
    </w:p>
    <w:p>
      <w:pPr>
        <w:spacing w:line="600" w:lineRule="exact"/>
        <w:ind w:firstLine="640" w:firstLineChars="200"/>
        <w:outlineLvl w:val="2"/>
        <w:rPr>
          <w:rFonts w:hint="eastAsia" w:eastAsia="仿宋_GB2312" w:cs="仿宋_GB2312"/>
          <w:color w:val="auto"/>
          <w:kern w:val="2"/>
          <w:sz w:val="32"/>
          <w:szCs w:val="32"/>
          <w:highlight w:val="none"/>
          <w:lang w:val="en-US" w:eastAsia="zh-CN" w:bidi="ar-SA"/>
        </w:rPr>
      </w:pPr>
      <w:r>
        <w:rPr>
          <w:rFonts w:hint="default" w:eastAsia="仿宋_GB2312" w:cs="仿宋_GB2312"/>
          <w:color w:val="auto"/>
          <w:kern w:val="2"/>
          <w:sz w:val="32"/>
          <w:szCs w:val="32"/>
          <w:highlight w:val="none"/>
          <w:lang w:val="en-US" w:eastAsia="zh-CN" w:bidi="ar-SA"/>
        </w:rPr>
        <w:t>202</w:t>
      </w:r>
      <w:r>
        <w:rPr>
          <w:rFonts w:hint="eastAsia" w:eastAsia="仿宋_GB2312" w:cs="仿宋_GB2312"/>
          <w:color w:val="auto"/>
          <w:kern w:val="2"/>
          <w:sz w:val="32"/>
          <w:szCs w:val="32"/>
          <w:highlight w:val="none"/>
          <w:lang w:val="en-US" w:eastAsia="zh-CN" w:bidi="ar-SA"/>
        </w:rPr>
        <w:t>5</w:t>
      </w:r>
      <w:r>
        <w:rPr>
          <w:rFonts w:hint="default" w:eastAsia="仿宋_GB2312" w:cs="仿宋_GB2312"/>
          <w:color w:val="auto"/>
          <w:kern w:val="2"/>
          <w:sz w:val="32"/>
          <w:szCs w:val="32"/>
          <w:highlight w:val="none"/>
          <w:lang w:val="en-US" w:eastAsia="zh-CN" w:bidi="ar-SA"/>
        </w:rPr>
        <w:t>年部门预算编制规范，各项经费全部纳入预算安排，单位整体支出绩效较好，资金使用效率较高，有效保障了单位的正常运转和专项工作开展。自评得分</w:t>
      </w:r>
      <w:r>
        <w:rPr>
          <w:rFonts w:hint="eastAsia" w:eastAsia="仿宋_GB2312" w:cs="仿宋_GB2312"/>
          <w:color w:val="auto"/>
          <w:kern w:val="2"/>
          <w:sz w:val="32"/>
          <w:szCs w:val="32"/>
          <w:highlight w:val="none"/>
          <w:lang w:val="en-US" w:eastAsia="zh-CN" w:bidi="ar-SA"/>
        </w:rPr>
        <w:t>88</w:t>
      </w:r>
      <w:r>
        <w:rPr>
          <w:rFonts w:hint="default" w:eastAsia="仿宋_GB2312" w:cs="仿宋_GB2312"/>
          <w:color w:val="auto"/>
          <w:kern w:val="2"/>
          <w:sz w:val="32"/>
          <w:szCs w:val="32"/>
          <w:highlight w:val="none"/>
          <w:lang w:val="en-US" w:eastAsia="zh-CN" w:bidi="ar-SA"/>
        </w:rPr>
        <w:t>分。</w:t>
      </w:r>
    </w:p>
    <w:p>
      <w:pPr>
        <w:spacing w:line="600" w:lineRule="exact"/>
        <w:ind w:firstLine="642" w:firstLineChars="200"/>
        <w:outlineLvl w:val="2"/>
        <w:rPr>
          <w:rFonts w:hint="eastAsia" w:ascii="Times New Roman" w:hAnsi="Times New Roman" w:eastAsia="楷体_GB2312" w:cs="楷体_GB2312"/>
          <w:b/>
          <w:color w:val="auto"/>
          <w:sz w:val="32"/>
          <w:szCs w:val="32"/>
          <w:highlight w:val="none"/>
          <w:lang w:val="zh-CN" w:eastAsia="zh-CN"/>
        </w:rPr>
      </w:pPr>
      <w:r>
        <w:rPr>
          <w:rFonts w:hint="eastAsia" w:ascii="Times New Roman" w:hAnsi="Times New Roman" w:eastAsia="楷体_GB2312" w:cs="楷体_GB2312"/>
          <w:b/>
          <w:color w:val="auto"/>
          <w:sz w:val="32"/>
          <w:szCs w:val="32"/>
          <w:highlight w:val="none"/>
          <w:lang w:val="en-US" w:eastAsia="zh-CN"/>
        </w:rPr>
        <w:t>（二）</w:t>
      </w:r>
      <w:r>
        <w:rPr>
          <w:rFonts w:hint="eastAsia" w:ascii="Times New Roman" w:hAnsi="Times New Roman" w:eastAsia="楷体_GB2312" w:cs="楷体_GB2312"/>
          <w:b/>
          <w:color w:val="auto"/>
          <w:sz w:val="32"/>
          <w:szCs w:val="32"/>
          <w:highlight w:val="none"/>
          <w:lang w:val="zh-CN" w:eastAsia="zh-CN"/>
        </w:rPr>
        <w:t>存在问题。</w:t>
      </w:r>
    </w:p>
    <w:p>
      <w:pPr>
        <w:spacing w:line="600" w:lineRule="exact"/>
        <w:ind w:firstLine="640" w:firstLineChars="200"/>
        <w:outlineLvl w:val="2"/>
        <w:rPr>
          <w:rFonts w:hint="default" w:eastAsia="仿宋_GB2312" w:cs="仿宋_GB2312"/>
          <w:color w:val="auto"/>
          <w:kern w:val="2"/>
          <w:sz w:val="32"/>
          <w:szCs w:val="32"/>
          <w:highlight w:val="none"/>
          <w:lang w:val="en-US" w:eastAsia="zh-CN" w:bidi="ar-SA"/>
        </w:rPr>
      </w:pPr>
      <w:r>
        <w:rPr>
          <w:rFonts w:hint="default" w:eastAsia="仿宋_GB2312" w:cs="仿宋_GB2312"/>
          <w:color w:val="auto"/>
          <w:kern w:val="2"/>
          <w:sz w:val="32"/>
          <w:szCs w:val="32"/>
          <w:highlight w:val="none"/>
          <w:lang w:val="en-US" w:eastAsia="zh-CN" w:bidi="ar-SA"/>
        </w:rPr>
        <w:t>负责项目的人员更换，</w:t>
      </w:r>
      <w:r>
        <w:rPr>
          <w:rFonts w:hint="eastAsia" w:eastAsia="仿宋_GB2312" w:cs="仿宋_GB2312"/>
          <w:color w:val="auto"/>
          <w:kern w:val="2"/>
          <w:sz w:val="32"/>
          <w:szCs w:val="32"/>
          <w:highlight w:val="none"/>
          <w:lang w:val="en-US" w:eastAsia="zh-CN" w:bidi="ar-SA"/>
        </w:rPr>
        <w:t>对绩效管理的政策、绩效目标编制、绩效评价实施等方面的业务水平还有待进一步提高；未按时做好</w:t>
      </w:r>
      <w:r>
        <w:rPr>
          <w:rFonts w:hint="default" w:eastAsia="仿宋_GB2312" w:cs="仿宋_GB2312"/>
          <w:color w:val="auto"/>
          <w:kern w:val="2"/>
          <w:sz w:val="32"/>
          <w:szCs w:val="32"/>
          <w:highlight w:val="none"/>
          <w:lang w:val="en-US" w:eastAsia="zh-CN" w:bidi="ar-SA"/>
        </w:rPr>
        <w:t>绩效运行监控</w:t>
      </w:r>
      <w:r>
        <w:rPr>
          <w:rFonts w:hint="eastAsia" w:eastAsia="仿宋_GB2312" w:cs="仿宋_GB2312"/>
          <w:color w:val="auto"/>
          <w:kern w:val="2"/>
          <w:sz w:val="32"/>
          <w:szCs w:val="32"/>
          <w:highlight w:val="none"/>
          <w:lang w:val="en-US" w:eastAsia="zh-CN" w:bidi="ar-SA"/>
        </w:rPr>
        <w:t>工作。</w:t>
      </w:r>
    </w:p>
    <w:p>
      <w:pPr>
        <w:spacing w:line="600" w:lineRule="exact"/>
        <w:ind w:firstLine="642" w:firstLineChars="200"/>
        <w:outlineLvl w:val="2"/>
        <w:rPr>
          <w:rFonts w:hint="eastAsia" w:ascii="Times New Roman" w:hAnsi="Times New Roman" w:eastAsia="楷体_GB2312" w:cs="楷体_GB2312"/>
          <w:b/>
          <w:color w:val="auto"/>
          <w:sz w:val="32"/>
          <w:szCs w:val="32"/>
          <w:highlight w:val="none"/>
          <w:lang w:val="zh-CN" w:eastAsia="zh-CN"/>
        </w:rPr>
      </w:pPr>
      <w:r>
        <w:rPr>
          <w:rFonts w:hint="eastAsia" w:ascii="Times New Roman" w:hAnsi="Times New Roman" w:eastAsia="楷体_GB2312" w:cs="楷体_GB2312"/>
          <w:b/>
          <w:color w:val="auto"/>
          <w:sz w:val="32"/>
          <w:szCs w:val="32"/>
          <w:highlight w:val="none"/>
          <w:lang w:val="en-US" w:eastAsia="zh-CN"/>
        </w:rPr>
        <w:t>（三）</w:t>
      </w:r>
      <w:r>
        <w:rPr>
          <w:rFonts w:hint="eastAsia" w:ascii="Times New Roman" w:hAnsi="Times New Roman" w:eastAsia="楷体_GB2312" w:cs="楷体_GB2312"/>
          <w:b/>
          <w:color w:val="auto"/>
          <w:sz w:val="32"/>
          <w:szCs w:val="32"/>
          <w:highlight w:val="none"/>
          <w:lang w:val="zh-CN" w:eastAsia="zh-CN"/>
        </w:rPr>
        <w:t>改进建议。</w:t>
      </w:r>
      <w:bookmarkStart w:id="90" w:name="_Hlk110546638"/>
    </w:p>
    <w:bookmarkEnd w:id="90"/>
    <w:p>
      <w:pPr>
        <w:spacing w:line="600" w:lineRule="exact"/>
        <w:ind w:firstLine="640" w:firstLineChars="200"/>
        <w:outlineLvl w:val="2"/>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提高对预算绩效管理认识，加强学习，强化绩效结果运用，</w:t>
      </w:r>
      <w:r>
        <w:rPr>
          <w:rFonts w:hint="default" w:eastAsia="仿宋_GB2312" w:cs="仿宋_GB2312"/>
          <w:color w:val="auto"/>
          <w:kern w:val="2"/>
          <w:sz w:val="32"/>
          <w:szCs w:val="32"/>
          <w:highlight w:val="none"/>
          <w:lang w:val="en-US" w:eastAsia="zh-CN" w:bidi="ar-SA"/>
        </w:rPr>
        <w:t>加强单位相关人员对绩效目标的编制</w:t>
      </w:r>
      <w:r>
        <w:rPr>
          <w:rFonts w:hint="eastAsia" w:eastAsia="仿宋_GB2312" w:cs="仿宋_GB2312"/>
          <w:color w:val="auto"/>
          <w:kern w:val="2"/>
          <w:sz w:val="32"/>
          <w:szCs w:val="32"/>
          <w:highlight w:val="none"/>
          <w:lang w:val="en-US" w:eastAsia="zh-CN" w:bidi="ar-SA"/>
        </w:rPr>
        <w:t>的学习</w:t>
      </w:r>
      <w:r>
        <w:rPr>
          <w:rFonts w:hint="default"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安排</w:t>
      </w:r>
      <w:r>
        <w:rPr>
          <w:rFonts w:hint="default" w:eastAsia="仿宋_GB2312" w:cs="仿宋_GB2312"/>
          <w:color w:val="auto"/>
          <w:kern w:val="2"/>
          <w:sz w:val="32"/>
          <w:szCs w:val="32"/>
          <w:highlight w:val="none"/>
          <w:lang w:val="en-US" w:eastAsia="zh-CN" w:bidi="ar-SA"/>
        </w:rPr>
        <w:t>专人对绩效目标进行编制和管理</w:t>
      </w:r>
      <w:r>
        <w:rPr>
          <w:rFonts w:hint="eastAsia" w:eastAsia="仿宋_GB2312" w:cs="仿宋_GB2312"/>
          <w:color w:val="auto"/>
          <w:kern w:val="2"/>
          <w:sz w:val="32"/>
          <w:szCs w:val="32"/>
          <w:highlight w:val="none"/>
          <w:lang w:val="en-US" w:eastAsia="zh-CN" w:bidi="ar-SA"/>
        </w:rPr>
        <w:t>，按时保质保量的完成绩效运行监控工作。</w:t>
      </w:r>
    </w:p>
    <w:p>
      <w:pPr>
        <w:pStyle w:val="5"/>
        <w:rPr>
          <w:rFonts w:hint="default"/>
        </w:rPr>
      </w:pPr>
    </w:p>
    <w:p>
      <w:pPr>
        <w:pStyle w:val="5"/>
        <w:rPr>
          <w:rFonts w:hint="default"/>
        </w:rPr>
      </w:pPr>
    </w:p>
    <w:p>
      <w:pPr>
        <w:pStyle w:val="5"/>
        <w:rPr>
          <w:rFonts w:hint="default"/>
        </w:rPr>
      </w:pPr>
    </w:p>
    <w:p>
      <w:pPr>
        <w:pStyle w:val="5"/>
        <w:rPr>
          <w:rFonts w:hint="default"/>
        </w:rPr>
      </w:pPr>
    </w:p>
    <w:p>
      <w:pPr>
        <w:pStyle w:val="5"/>
        <w:rPr>
          <w:rFonts w:hint="default"/>
        </w:rPr>
      </w:pPr>
    </w:p>
    <w:p>
      <w:pPr>
        <w:pStyle w:val="5"/>
        <w:rPr>
          <w:rFonts w:hint="default"/>
        </w:rPr>
      </w:pPr>
    </w:p>
    <w:p>
      <w:pPr>
        <w:pStyle w:val="5"/>
        <w:rPr>
          <w:rFonts w:hint="default"/>
        </w:rPr>
      </w:pPr>
    </w:p>
    <w:p>
      <w:pPr>
        <w:widowControl/>
        <w:spacing w:line="578" w:lineRule="exact"/>
        <w:jc w:val="center"/>
        <w:textAlignment w:val="center"/>
        <w:rPr>
          <w:rFonts w:eastAsia="方正小标宋简体"/>
          <w:color w:val="000000"/>
          <w:kern w:val="0"/>
          <w:sz w:val="44"/>
          <w:szCs w:val="44"/>
        </w:rPr>
      </w:pPr>
    </w:p>
    <w:p>
      <w:pPr>
        <w:widowControl/>
        <w:spacing w:line="578" w:lineRule="exact"/>
        <w:jc w:val="center"/>
        <w:textAlignment w:val="center"/>
        <w:rPr>
          <w:rFonts w:eastAsia="方正小标宋简体"/>
          <w:color w:val="000000"/>
          <w:kern w:val="0"/>
          <w:sz w:val="44"/>
          <w:szCs w:val="44"/>
        </w:rPr>
      </w:pPr>
    </w:p>
    <w:p>
      <w:pPr>
        <w:widowControl/>
        <w:spacing w:line="578" w:lineRule="exact"/>
        <w:jc w:val="center"/>
        <w:textAlignment w:val="center"/>
        <w:rPr>
          <w:rFonts w:eastAsia="方正小标宋简体"/>
          <w:color w:val="000000"/>
          <w:kern w:val="0"/>
          <w:sz w:val="44"/>
          <w:szCs w:val="44"/>
        </w:rPr>
      </w:pPr>
    </w:p>
    <w:p>
      <w:pPr>
        <w:widowControl/>
        <w:spacing w:line="578" w:lineRule="exact"/>
        <w:jc w:val="center"/>
        <w:textAlignment w:val="center"/>
        <w:rPr>
          <w:rFonts w:eastAsia="方正小标宋简体"/>
          <w:color w:val="000000"/>
          <w:kern w:val="0"/>
          <w:sz w:val="44"/>
          <w:szCs w:val="44"/>
        </w:rPr>
      </w:pPr>
    </w:p>
    <w:p>
      <w:pPr>
        <w:widowControl/>
        <w:spacing w:line="578" w:lineRule="exact"/>
        <w:jc w:val="center"/>
        <w:textAlignment w:val="center"/>
        <w:rPr>
          <w:rFonts w:eastAsia="方正小标宋简体"/>
          <w:color w:val="000000"/>
          <w:kern w:val="0"/>
          <w:sz w:val="44"/>
          <w:szCs w:val="44"/>
        </w:rPr>
      </w:pPr>
    </w:p>
    <w:p>
      <w:pPr>
        <w:widowControl/>
        <w:spacing w:line="578" w:lineRule="exact"/>
        <w:jc w:val="center"/>
        <w:textAlignment w:val="center"/>
        <w:rPr>
          <w:rFonts w:eastAsia="方正小标宋简体"/>
          <w:color w:val="000000"/>
          <w:kern w:val="0"/>
          <w:sz w:val="44"/>
          <w:szCs w:val="44"/>
        </w:rPr>
      </w:pPr>
    </w:p>
    <w:p>
      <w:pPr>
        <w:widowControl/>
        <w:spacing w:line="578" w:lineRule="exact"/>
        <w:jc w:val="center"/>
        <w:textAlignment w:val="center"/>
        <w:rPr>
          <w:rFonts w:eastAsia="方正小标宋简体"/>
          <w:color w:val="000000"/>
          <w:kern w:val="0"/>
          <w:sz w:val="44"/>
          <w:szCs w:val="44"/>
        </w:rPr>
      </w:pPr>
    </w:p>
    <w:p>
      <w:pPr>
        <w:widowControl/>
        <w:spacing w:line="578" w:lineRule="exact"/>
        <w:jc w:val="center"/>
        <w:textAlignment w:val="center"/>
        <w:rPr>
          <w:rFonts w:eastAsia="方正小标宋简体"/>
          <w:color w:val="000000"/>
          <w:kern w:val="0"/>
          <w:sz w:val="44"/>
          <w:szCs w:val="44"/>
        </w:rPr>
      </w:pPr>
    </w:p>
    <w:p>
      <w:pPr>
        <w:widowControl/>
        <w:spacing w:line="578" w:lineRule="exact"/>
        <w:jc w:val="center"/>
        <w:textAlignment w:val="center"/>
        <w:rPr>
          <w:rFonts w:eastAsia="方正小标宋简体"/>
          <w:color w:val="000000"/>
          <w:kern w:val="0"/>
          <w:sz w:val="44"/>
          <w:szCs w:val="44"/>
        </w:rPr>
      </w:pPr>
    </w:p>
    <w:p>
      <w:pPr>
        <w:widowControl/>
        <w:spacing w:line="578" w:lineRule="exact"/>
        <w:jc w:val="center"/>
        <w:textAlignment w:val="center"/>
        <w:rPr>
          <w:rFonts w:eastAsia="方正小标宋简体"/>
          <w:color w:val="000000"/>
          <w:kern w:val="0"/>
          <w:sz w:val="44"/>
          <w:szCs w:val="44"/>
        </w:rPr>
      </w:pPr>
    </w:p>
    <w:p>
      <w:pPr>
        <w:widowControl/>
        <w:spacing w:line="578" w:lineRule="exact"/>
        <w:jc w:val="center"/>
        <w:textAlignment w:val="center"/>
        <w:rPr>
          <w:rFonts w:eastAsia="方正小标宋简体"/>
          <w:color w:val="000000"/>
          <w:kern w:val="0"/>
          <w:sz w:val="44"/>
          <w:szCs w:val="44"/>
        </w:rPr>
      </w:pPr>
    </w:p>
    <w:p>
      <w:pPr>
        <w:widowControl/>
        <w:spacing w:line="578" w:lineRule="exact"/>
        <w:jc w:val="center"/>
        <w:textAlignment w:val="center"/>
        <w:rPr>
          <w:rFonts w:eastAsia="方正小标宋简体"/>
          <w:color w:val="000000"/>
          <w:kern w:val="0"/>
          <w:sz w:val="44"/>
          <w:szCs w:val="44"/>
        </w:rPr>
      </w:pPr>
    </w:p>
    <w:p>
      <w:pPr>
        <w:widowControl/>
        <w:spacing w:line="578" w:lineRule="exact"/>
        <w:jc w:val="center"/>
        <w:textAlignment w:val="center"/>
        <w:rPr>
          <w:rFonts w:eastAsia="方正小标宋简体"/>
          <w:color w:val="000000"/>
          <w:kern w:val="0"/>
          <w:sz w:val="44"/>
          <w:szCs w:val="44"/>
        </w:rPr>
      </w:pPr>
    </w:p>
    <w:p>
      <w:pPr>
        <w:widowControl/>
        <w:spacing w:line="578" w:lineRule="exact"/>
        <w:jc w:val="center"/>
        <w:textAlignment w:val="center"/>
        <w:rPr>
          <w:rFonts w:eastAsia="方正小标宋简体"/>
          <w:color w:val="000000"/>
          <w:kern w:val="0"/>
          <w:sz w:val="44"/>
          <w:szCs w:val="44"/>
        </w:rPr>
      </w:pPr>
      <w:r>
        <w:rPr>
          <w:rFonts w:eastAsia="方正小标宋简体"/>
          <w:color w:val="000000"/>
          <w:kern w:val="0"/>
          <w:sz w:val="44"/>
          <w:szCs w:val="44"/>
        </w:rPr>
        <w:t>部门整体</w:t>
      </w:r>
      <w:r>
        <w:rPr>
          <w:rFonts w:hint="eastAsia" w:eastAsia="方正小标宋简体"/>
          <w:color w:val="000000"/>
          <w:kern w:val="0"/>
          <w:sz w:val="44"/>
          <w:szCs w:val="44"/>
        </w:rPr>
        <w:t>支出</w:t>
      </w:r>
      <w:r>
        <w:rPr>
          <w:rFonts w:eastAsia="方正小标宋简体"/>
          <w:color w:val="000000"/>
          <w:kern w:val="0"/>
          <w:sz w:val="44"/>
          <w:szCs w:val="44"/>
        </w:rPr>
        <w:t>绩效目标自评表</w:t>
      </w:r>
    </w:p>
    <w:tbl>
      <w:tblPr>
        <w:tblStyle w:val="16"/>
        <w:tblW w:w="9481" w:type="dxa"/>
        <w:jc w:val="center"/>
        <w:tblLayout w:type="fixed"/>
        <w:tblCellMar>
          <w:top w:w="0" w:type="dxa"/>
          <w:left w:w="108" w:type="dxa"/>
          <w:bottom w:w="0" w:type="dxa"/>
          <w:right w:w="108" w:type="dxa"/>
        </w:tblCellMar>
      </w:tblPr>
      <w:tblGrid>
        <w:gridCol w:w="431"/>
        <w:gridCol w:w="493"/>
        <w:gridCol w:w="1037"/>
        <w:gridCol w:w="1065"/>
        <w:gridCol w:w="1035"/>
        <w:gridCol w:w="1110"/>
        <w:gridCol w:w="945"/>
        <w:gridCol w:w="1005"/>
        <w:gridCol w:w="1035"/>
        <w:gridCol w:w="1305"/>
        <w:gridCol w:w="20"/>
      </w:tblGrid>
      <w:tr>
        <w:tblPrEx>
          <w:tblCellMar>
            <w:top w:w="0" w:type="dxa"/>
            <w:left w:w="108" w:type="dxa"/>
            <w:bottom w:w="0" w:type="dxa"/>
            <w:right w:w="108" w:type="dxa"/>
          </w:tblCellMar>
        </w:tblPrEx>
        <w:trPr>
          <w:gridAfter w:val="1"/>
          <w:wAfter w:w="20" w:type="dxa"/>
          <w:trHeight w:val="465" w:hRule="atLeast"/>
          <w:jc w:val="center"/>
        </w:trPr>
        <w:tc>
          <w:tcPr>
            <w:tcW w:w="1961" w:type="dxa"/>
            <w:gridSpan w:val="3"/>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textAlignment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br w:type="page"/>
            </w:r>
            <w:r>
              <w:rPr>
                <w:rFonts w:hint="eastAsia" w:ascii="宋体" w:hAnsi="宋体" w:eastAsia="宋体" w:cs="宋体"/>
                <w:color w:val="000000"/>
                <w:kern w:val="0"/>
                <w:sz w:val="18"/>
                <w:szCs w:val="18"/>
              </w:rPr>
              <w:t>部门名称</w:t>
            </w:r>
          </w:p>
        </w:tc>
        <w:tc>
          <w:tcPr>
            <w:tcW w:w="7500" w:type="dxa"/>
            <w:gridSpan w:val="7"/>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textAlignment w:val="center"/>
              <w:rPr>
                <w:rFonts w:hint="default"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rPr>
              <w:t>阿坝州</w:t>
            </w:r>
            <w:r>
              <w:rPr>
                <w:rFonts w:hint="eastAsia" w:ascii="宋体" w:hAnsi="宋体" w:eastAsia="宋体" w:cs="宋体"/>
                <w:color w:val="000000"/>
                <w:kern w:val="0"/>
                <w:sz w:val="18"/>
                <w:szCs w:val="18"/>
                <w:lang w:eastAsia="zh-CN"/>
              </w:rPr>
              <w:t>壤塘县妇幼保健院</w:t>
            </w:r>
            <w:r>
              <w:rPr>
                <w:rFonts w:hint="eastAsia" w:ascii="宋体" w:hAnsi="宋体" w:eastAsia="宋体" w:cs="宋体"/>
                <w:color w:val="000000"/>
                <w:kern w:val="0"/>
                <w:sz w:val="18"/>
                <w:szCs w:val="18"/>
                <w:lang w:val="en-US" w:eastAsia="zh-CN"/>
              </w:rPr>
              <w:t xml:space="preserve">                                 </w:t>
            </w:r>
          </w:p>
        </w:tc>
      </w:tr>
      <w:tr>
        <w:tblPrEx>
          <w:tblCellMar>
            <w:top w:w="0" w:type="dxa"/>
            <w:left w:w="108" w:type="dxa"/>
            <w:bottom w:w="0" w:type="dxa"/>
            <w:right w:w="108" w:type="dxa"/>
          </w:tblCellMar>
        </w:tblPrEx>
        <w:trPr>
          <w:gridAfter w:val="1"/>
          <w:wAfter w:w="20" w:type="dxa"/>
          <w:trHeight w:val="410" w:hRule="atLeast"/>
          <w:jc w:val="center"/>
        </w:trPr>
        <w:tc>
          <w:tcPr>
            <w:tcW w:w="1961" w:type="dxa"/>
            <w:gridSpan w:val="3"/>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textAlignment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年度部门整体预算</w:t>
            </w:r>
          </w:p>
        </w:tc>
        <w:tc>
          <w:tcPr>
            <w:tcW w:w="2100" w:type="dxa"/>
            <w:gridSpan w:val="2"/>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textAlignment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资金总额</w:t>
            </w:r>
          </w:p>
        </w:tc>
        <w:tc>
          <w:tcPr>
            <w:tcW w:w="2055" w:type="dxa"/>
            <w:gridSpan w:val="2"/>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textAlignment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财政拨款</w:t>
            </w:r>
          </w:p>
        </w:tc>
        <w:tc>
          <w:tcPr>
            <w:tcW w:w="3345" w:type="dxa"/>
            <w:gridSpan w:val="3"/>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textAlignment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其他资金</w:t>
            </w:r>
          </w:p>
        </w:tc>
      </w:tr>
      <w:tr>
        <w:tblPrEx>
          <w:tblCellMar>
            <w:top w:w="0" w:type="dxa"/>
            <w:left w:w="108" w:type="dxa"/>
            <w:bottom w:w="0" w:type="dxa"/>
            <w:right w:w="108" w:type="dxa"/>
          </w:tblCellMar>
        </w:tblPrEx>
        <w:trPr>
          <w:gridAfter w:val="1"/>
          <w:wAfter w:w="20" w:type="dxa"/>
          <w:trHeight w:val="380" w:hRule="atLeast"/>
          <w:jc w:val="center"/>
        </w:trPr>
        <w:tc>
          <w:tcPr>
            <w:tcW w:w="1961" w:type="dxa"/>
            <w:gridSpan w:val="3"/>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textAlignment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收入预算</w:t>
            </w:r>
          </w:p>
        </w:tc>
        <w:tc>
          <w:tcPr>
            <w:tcW w:w="2100" w:type="dxa"/>
            <w:gridSpan w:val="2"/>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textAlignment w:val="center"/>
              <w:rPr>
                <w:rFonts w:hint="default"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1187.74</w:t>
            </w:r>
          </w:p>
        </w:tc>
        <w:tc>
          <w:tcPr>
            <w:tcW w:w="2055" w:type="dxa"/>
            <w:gridSpan w:val="2"/>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textAlignment w:val="center"/>
              <w:rPr>
                <w:rFonts w:hint="default"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1161.39</w:t>
            </w:r>
          </w:p>
        </w:tc>
        <w:tc>
          <w:tcPr>
            <w:tcW w:w="3345" w:type="dxa"/>
            <w:gridSpan w:val="3"/>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textAlignment w:val="center"/>
              <w:rPr>
                <w:rFonts w:hint="default"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26.35</w:t>
            </w:r>
          </w:p>
        </w:tc>
      </w:tr>
      <w:tr>
        <w:tblPrEx>
          <w:tblCellMar>
            <w:top w:w="0" w:type="dxa"/>
            <w:left w:w="108" w:type="dxa"/>
            <w:bottom w:w="0" w:type="dxa"/>
            <w:right w:w="108" w:type="dxa"/>
          </w:tblCellMar>
        </w:tblPrEx>
        <w:trPr>
          <w:gridAfter w:val="1"/>
          <w:wAfter w:w="20" w:type="dxa"/>
          <w:trHeight w:val="441" w:hRule="atLeast"/>
          <w:jc w:val="center"/>
        </w:trPr>
        <w:tc>
          <w:tcPr>
            <w:tcW w:w="1961" w:type="dxa"/>
            <w:gridSpan w:val="3"/>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textAlignment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支出预算</w:t>
            </w:r>
          </w:p>
        </w:tc>
        <w:tc>
          <w:tcPr>
            <w:tcW w:w="2100" w:type="dxa"/>
            <w:gridSpan w:val="2"/>
            <w:tcBorders>
              <w:top w:val="single" w:color="auto" w:sz="4" w:space="0"/>
              <w:left w:val="single" w:color="auto" w:sz="4" w:space="0"/>
              <w:bottom w:val="single" w:color="auto" w:sz="4" w:space="0"/>
              <w:right w:val="single" w:color="auto" w:sz="4" w:space="0"/>
            </w:tcBorders>
            <w:noWrap/>
            <w:vAlign w:val="bottom"/>
          </w:tcPr>
          <w:p>
            <w:pPr>
              <w:widowControl/>
              <w:spacing w:line="240" w:lineRule="exact"/>
              <w:jc w:val="center"/>
              <w:textAlignment w:val="center"/>
              <w:rPr>
                <w:rFonts w:hint="default" w:ascii="Arial" w:hAnsi="Arial" w:eastAsia="等线" w:cs="Arial"/>
                <w:i w:val="0"/>
                <w:iCs w:val="0"/>
                <w:color w:val="000000"/>
                <w:kern w:val="2"/>
                <w:sz w:val="18"/>
                <w:szCs w:val="18"/>
                <w:u w:val="none"/>
                <w:lang w:val="en-US" w:eastAsia="zh-CN" w:bidi="ar-SA"/>
              </w:rPr>
            </w:pPr>
            <w:r>
              <w:rPr>
                <w:rFonts w:hint="default" w:ascii="宋体" w:hAnsi="宋体" w:eastAsia="宋体" w:cs="宋体"/>
                <w:color w:val="000000"/>
                <w:kern w:val="0"/>
                <w:sz w:val="18"/>
                <w:szCs w:val="18"/>
                <w:lang w:val="en-US" w:eastAsia="zh-CN"/>
              </w:rPr>
              <w:t>1170</w:t>
            </w:r>
            <w:r>
              <w:rPr>
                <w:rFonts w:hint="eastAsia" w:ascii="宋体" w:hAnsi="宋体" w:eastAsia="宋体" w:cs="宋体"/>
                <w:color w:val="000000"/>
                <w:kern w:val="0"/>
                <w:sz w:val="18"/>
                <w:szCs w:val="18"/>
                <w:lang w:val="en-US" w:eastAsia="zh-CN"/>
              </w:rPr>
              <w:t>.</w:t>
            </w:r>
            <w:r>
              <w:rPr>
                <w:rFonts w:hint="default" w:ascii="宋体" w:hAnsi="宋体" w:eastAsia="宋体" w:cs="宋体"/>
                <w:color w:val="000000"/>
                <w:kern w:val="0"/>
                <w:sz w:val="18"/>
                <w:szCs w:val="18"/>
                <w:lang w:val="en-US" w:eastAsia="zh-CN"/>
              </w:rPr>
              <w:t>61</w:t>
            </w:r>
          </w:p>
        </w:tc>
        <w:tc>
          <w:tcPr>
            <w:tcW w:w="2055" w:type="dxa"/>
            <w:gridSpan w:val="2"/>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textAlignment w:val="center"/>
              <w:rPr>
                <w:rFonts w:hint="default"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1161.39</w:t>
            </w:r>
          </w:p>
        </w:tc>
        <w:tc>
          <w:tcPr>
            <w:tcW w:w="3345" w:type="dxa"/>
            <w:gridSpan w:val="3"/>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textAlignment w:val="center"/>
              <w:rPr>
                <w:rFonts w:hint="default"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9.22</w:t>
            </w:r>
          </w:p>
        </w:tc>
      </w:tr>
      <w:tr>
        <w:tblPrEx>
          <w:tblCellMar>
            <w:top w:w="0" w:type="dxa"/>
            <w:left w:w="108" w:type="dxa"/>
            <w:bottom w:w="0" w:type="dxa"/>
            <w:right w:w="108" w:type="dxa"/>
          </w:tblCellMar>
        </w:tblPrEx>
        <w:trPr>
          <w:gridAfter w:val="1"/>
          <w:wAfter w:w="20" w:type="dxa"/>
          <w:trHeight w:val="546" w:hRule="atLeast"/>
          <w:jc w:val="center"/>
        </w:trPr>
        <w:tc>
          <w:tcPr>
            <w:tcW w:w="1961" w:type="dxa"/>
            <w:gridSpan w:val="3"/>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textAlignment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年度总体目标</w:t>
            </w:r>
          </w:p>
        </w:tc>
        <w:tc>
          <w:tcPr>
            <w:tcW w:w="7500" w:type="dxa"/>
            <w:gridSpan w:val="7"/>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textAlignment w:val="center"/>
              <w:rPr>
                <w:rFonts w:hint="eastAsia" w:ascii="宋体" w:hAnsi="宋体" w:eastAsia="宋体" w:cs="宋体"/>
                <w:color w:val="000000"/>
                <w:kern w:val="0"/>
                <w:sz w:val="18"/>
                <w:szCs w:val="18"/>
                <w:lang w:eastAsia="zh-CN"/>
              </w:rPr>
            </w:pPr>
            <w:r>
              <w:rPr>
                <w:rFonts w:hint="eastAsia" w:ascii="宋体" w:hAnsi="宋体" w:eastAsia="宋体" w:cs="宋体"/>
                <w:color w:val="000000"/>
                <w:kern w:val="0"/>
                <w:sz w:val="18"/>
                <w:szCs w:val="18"/>
                <w:lang w:eastAsia="zh-CN"/>
              </w:rPr>
              <w:t>按时缴纳保险公积金、发放职工工资和生活补助、项目资金根据完成情况按时完成支付。</w:t>
            </w:r>
          </w:p>
        </w:tc>
      </w:tr>
      <w:tr>
        <w:tblPrEx>
          <w:tblCellMar>
            <w:top w:w="0" w:type="dxa"/>
            <w:left w:w="108" w:type="dxa"/>
            <w:bottom w:w="0" w:type="dxa"/>
            <w:right w:w="108" w:type="dxa"/>
          </w:tblCellMar>
        </w:tblPrEx>
        <w:trPr>
          <w:gridAfter w:val="1"/>
          <w:wAfter w:w="20" w:type="dxa"/>
          <w:trHeight w:val="296" w:hRule="atLeast"/>
          <w:jc w:val="center"/>
        </w:trPr>
        <w:tc>
          <w:tcPr>
            <w:tcW w:w="431" w:type="dxa"/>
            <w:vMerge w:val="restart"/>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textAlignment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管理效率</w:t>
            </w:r>
          </w:p>
        </w:tc>
        <w:tc>
          <w:tcPr>
            <w:tcW w:w="493" w:type="dxa"/>
            <w:vMerge w:val="restart"/>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textAlignment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一级指标</w:t>
            </w:r>
          </w:p>
        </w:tc>
        <w:tc>
          <w:tcPr>
            <w:tcW w:w="1037" w:type="dxa"/>
            <w:vMerge w:val="restart"/>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textAlignment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二级指标</w:t>
            </w:r>
          </w:p>
        </w:tc>
        <w:tc>
          <w:tcPr>
            <w:tcW w:w="1065" w:type="dxa"/>
            <w:vMerge w:val="restart"/>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textAlignment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三级指标</w:t>
            </w:r>
          </w:p>
        </w:tc>
        <w:tc>
          <w:tcPr>
            <w:tcW w:w="1035" w:type="dxa"/>
            <w:vMerge w:val="restart"/>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textAlignment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指标值</w:t>
            </w:r>
          </w:p>
        </w:tc>
        <w:tc>
          <w:tcPr>
            <w:tcW w:w="4095" w:type="dxa"/>
            <w:gridSpan w:val="4"/>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textAlignment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指标设置参考值</w:t>
            </w:r>
          </w:p>
        </w:tc>
        <w:tc>
          <w:tcPr>
            <w:tcW w:w="1305" w:type="dxa"/>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textAlignment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指标实际完成值</w:t>
            </w:r>
          </w:p>
        </w:tc>
      </w:tr>
      <w:tr>
        <w:tblPrEx>
          <w:tblCellMar>
            <w:top w:w="0" w:type="dxa"/>
            <w:left w:w="108" w:type="dxa"/>
            <w:bottom w:w="0" w:type="dxa"/>
            <w:right w:w="108" w:type="dxa"/>
          </w:tblCellMar>
        </w:tblPrEx>
        <w:trPr>
          <w:trHeight w:val="565" w:hRule="atLeast"/>
          <w:jc w:val="center"/>
        </w:trPr>
        <w:tc>
          <w:tcPr>
            <w:tcW w:w="431" w:type="dxa"/>
            <w:vMerge w:val="continue"/>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textAlignment w:val="center"/>
              <w:rPr>
                <w:rFonts w:hint="eastAsia" w:ascii="宋体" w:hAnsi="宋体" w:eastAsia="宋体" w:cs="宋体"/>
                <w:color w:val="000000"/>
                <w:kern w:val="0"/>
                <w:sz w:val="18"/>
                <w:szCs w:val="18"/>
              </w:rPr>
            </w:pPr>
          </w:p>
        </w:tc>
        <w:tc>
          <w:tcPr>
            <w:tcW w:w="493" w:type="dxa"/>
            <w:vMerge w:val="continue"/>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textAlignment w:val="center"/>
              <w:rPr>
                <w:rFonts w:hint="eastAsia" w:ascii="宋体" w:hAnsi="宋体" w:eastAsia="宋体" w:cs="宋体"/>
                <w:color w:val="000000"/>
                <w:kern w:val="0"/>
                <w:sz w:val="18"/>
                <w:szCs w:val="18"/>
              </w:rPr>
            </w:pPr>
          </w:p>
        </w:tc>
        <w:tc>
          <w:tcPr>
            <w:tcW w:w="1037" w:type="dxa"/>
            <w:vMerge w:val="continue"/>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textAlignment w:val="center"/>
              <w:rPr>
                <w:rFonts w:hint="eastAsia" w:ascii="宋体" w:hAnsi="宋体" w:eastAsia="宋体" w:cs="宋体"/>
                <w:color w:val="000000"/>
                <w:kern w:val="0"/>
                <w:sz w:val="18"/>
                <w:szCs w:val="18"/>
              </w:rPr>
            </w:pPr>
          </w:p>
        </w:tc>
        <w:tc>
          <w:tcPr>
            <w:tcW w:w="1065" w:type="dxa"/>
            <w:vMerge w:val="continue"/>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textAlignment w:val="center"/>
              <w:rPr>
                <w:rFonts w:hint="eastAsia" w:ascii="宋体" w:hAnsi="宋体" w:eastAsia="宋体" w:cs="宋体"/>
                <w:color w:val="000000"/>
                <w:kern w:val="0"/>
                <w:sz w:val="18"/>
                <w:szCs w:val="18"/>
              </w:rPr>
            </w:pPr>
          </w:p>
        </w:tc>
        <w:tc>
          <w:tcPr>
            <w:tcW w:w="1035" w:type="dxa"/>
            <w:vMerge w:val="continue"/>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textAlignment w:val="center"/>
              <w:rPr>
                <w:rFonts w:hint="eastAsia" w:ascii="宋体" w:hAnsi="宋体" w:eastAsia="宋体" w:cs="宋体"/>
                <w:color w:val="000000"/>
                <w:kern w:val="0"/>
                <w:sz w:val="18"/>
                <w:szCs w:val="18"/>
              </w:rPr>
            </w:pPr>
          </w:p>
        </w:tc>
        <w:tc>
          <w:tcPr>
            <w:tcW w:w="1110" w:type="dxa"/>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textAlignment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三年</w:t>
            </w:r>
          </w:p>
          <w:p>
            <w:pPr>
              <w:widowControl/>
              <w:spacing w:line="240" w:lineRule="exact"/>
              <w:jc w:val="center"/>
              <w:textAlignment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均值</w:t>
            </w:r>
          </w:p>
        </w:tc>
        <w:tc>
          <w:tcPr>
            <w:tcW w:w="945" w:type="dxa"/>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textAlignment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2023年</w:t>
            </w:r>
          </w:p>
        </w:tc>
        <w:tc>
          <w:tcPr>
            <w:tcW w:w="1005" w:type="dxa"/>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textAlignment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2024年</w:t>
            </w:r>
          </w:p>
        </w:tc>
        <w:tc>
          <w:tcPr>
            <w:tcW w:w="1035" w:type="dxa"/>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textAlignment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2025年</w:t>
            </w:r>
          </w:p>
        </w:tc>
        <w:tc>
          <w:tcPr>
            <w:tcW w:w="1325" w:type="dxa"/>
            <w:gridSpan w:val="2"/>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textAlignment w:val="center"/>
              <w:rPr>
                <w:rFonts w:hint="eastAsia" w:ascii="宋体" w:hAnsi="宋体" w:eastAsia="宋体" w:cs="宋体"/>
                <w:color w:val="000000"/>
                <w:kern w:val="0"/>
                <w:sz w:val="18"/>
                <w:szCs w:val="18"/>
              </w:rPr>
            </w:pPr>
          </w:p>
        </w:tc>
      </w:tr>
      <w:tr>
        <w:tblPrEx>
          <w:tblCellMar>
            <w:top w:w="0" w:type="dxa"/>
            <w:left w:w="108" w:type="dxa"/>
            <w:bottom w:w="0" w:type="dxa"/>
            <w:right w:w="108" w:type="dxa"/>
          </w:tblCellMar>
        </w:tblPrEx>
        <w:trPr>
          <w:trHeight w:val="90" w:hRule="atLeast"/>
          <w:jc w:val="center"/>
        </w:trPr>
        <w:tc>
          <w:tcPr>
            <w:tcW w:w="431" w:type="dxa"/>
            <w:vMerge w:val="continue"/>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textAlignment w:val="center"/>
              <w:rPr>
                <w:rFonts w:hint="eastAsia" w:ascii="宋体" w:hAnsi="宋体" w:eastAsia="宋体" w:cs="宋体"/>
                <w:color w:val="000000"/>
                <w:kern w:val="0"/>
                <w:sz w:val="18"/>
                <w:szCs w:val="18"/>
              </w:rPr>
            </w:pPr>
          </w:p>
        </w:tc>
        <w:tc>
          <w:tcPr>
            <w:tcW w:w="493" w:type="dxa"/>
            <w:vMerge w:val="restart"/>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textAlignment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成本指标</w:t>
            </w:r>
          </w:p>
        </w:tc>
        <w:tc>
          <w:tcPr>
            <w:tcW w:w="1037" w:type="dxa"/>
            <w:vMerge w:val="restart"/>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textAlignment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预算管理</w:t>
            </w:r>
          </w:p>
        </w:tc>
        <w:tc>
          <w:tcPr>
            <w:tcW w:w="1065" w:type="dxa"/>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textAlignment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财政拨款预算编制偏离度</w:t>
            </w:r>
          </w:p>
        </w:tc>
        <w:tc>
          <w:tcPr>
            <w:tcW w:w="1035" w:type="dxa"/>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textAlignment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rPr>
              <w:t>30%</w:t>
            </w:r>
          </w:p>
        </w:tc>
        <w:tc>
          <w:tcPr>
            <w:tcW w:w="1110" w:type="dxa"/>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textAlignment w:val="center"/>
              <w:rPr>
                <w:rFonts w:hint="default"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34.77%</w:t>
            </w:r>
          </w:p>
        </w:tc>
        <w:tc>
          <w:tcPr>
            <w:tcW w:w="945" w:type="dxa"/>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textAlignment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rPr>
              <w:t>51.30</w:t>
            </w:r>
            <w:r>
              <w:rPr>
                <w:rFonts w:hint="eastAsia" w:ascii="宋体" w:hAnsi="宋体" w:eastAsia="宋体" w:cs="宋体"/>
                <w:color w:val="000000"/>
                <w:kern w:val="0"/>
                <w:sz w:val="18"/>
                <w:szCs w:val="18"/>
              </w:rPr>
              <w:t>%</w:t>
            </w:r>
          </w:p>
        </w:tc>
        <w:tc>
          <w:tcPr>
            <w:tcW w:w="1005" w:type="dxa"/>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textAlignment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rPr>
              <w:t>40.12</w:t>
            </w:r>
            <w:r>
              <w:rPr>
                <w:rFonts w:hint="eastAsia" w:ascii="宋体" w:hAnsi="宋体" w:eastAsia="宋体" w:cs="宋体"/>
                <w:color w:val="000000"/>
                <w:kern w:val="0"/>
                <w:sz w:val="18"/>
                <w:szCs w:val="18"/>
              </w:rPr>
              <w:t>%</w:t>
            </w:r>
          </w:p>
        </w:tc>
        <w:tc>
          <w:tcPr>
            <w:tcW w:w="1035" w:type="dxa"/>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textAlignment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rPr>
              <w:t>12.89</w:t>
            </w:r>
            <w:r>
              <w:rPr>
                <w:rFonts w:hint="eastAsia" w:ascii="宋体" w:hAnsi="宋体" w:eastAsia="宋体" w:cs="宋体"/>
                <w:color w:val="000000"/>
                <w:kern w:val="0"/>
                <w:sz w:val="18"/>
                <w:szCs w:val="18"/>
              </w:rPr>
              <w:t>%</w:t>
            </w:r>
          </w:p>
        </w:tc>
        <w:tc>
          <w:tcPr>
            <w:tcW w:w="1325" w:type="dxa"/>
            <w:gridSpan w:val="2"/>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textAlignment w:val="center"/>
              <w:rPr>
                <w:rFonts w:hint="eastAsia" w:ascii="宋体" w:hAnsi="宋体" w:eastAsia="宋体" w:cs="宋体"/>
                <w:color w:val="000000"/>
                <w:kern w:val="0"/>
                <w:sz w:val="18"/>
                <w:szCs w:val="18"/>
                <w:lang w:eastAsia="zh-CN"/>
              </w:rPr>
            </w:pPr>
            <w:r>
              <w:rPr>
                <w:rFonts w:hint="eastAsia" w:ascii="宋体" w:hAnsi="宋体" w:eastAsia="宋体" w:cs="宋体"/>
                <w:color w:val="000000"/>
                <w:kern w:val="0"/>
                <w:sz w:val="18"/>
                <w:szCs w:val="18"/>
                <w:lang w:val="en-US" w:eastAsia="zh-CN"/>
              </w:rPr>
              <w:t>12.89</w:t>
            </w:r>
            <w:r>
              <w:rPr>
                <w:rFonts w:hint="eastAsia" w:ascii="宋体" w:hAnsi="宋体" w:eastAsia="宋体" w:cs="宋体"/>
                <w:color w:val="000000"/>
                <w:kern w:val="0"/>
                <w:sz w:val="18"/>
                <w:szCs w:val="18"/>
              </w:rPr>
              <w:t>%</w:t>
            </w:r>
          </w:p>
        </w:tc>
      </w:tr>
      <w:tr>
        <w:tblPrEx>
          <w:tblCellMar>
            <w:top w:w="0" w:type="dxa"/>
            <w:left w:w="108" w:type="dxa"/>
            <w:bottom w:w="0" w:type="dxa"/>
            <w:right w:w="108" w:type="dxa"/>
          </w:tblCellMar>
        </w:tblPrEx>
        <w:trPr>
          <w:trHeight w:val="440" w:hRule="atLeast"/>
          <w:jc w:val="center"/>
        </w:trPr>
        <w:tc>
          <w:tcPr>
            <w:tcW w:w="431" w:type="dxa"/>
            <w:vMerge w:val="continue"/>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textAlignment w:val="center"/>
              <w:rPr>
                <w:rFonts w:hint="eastAsia" w:ascii="宋体" w:hAnsi="宋体" w:eastAsia="宋体" w:cs="宋体"/>
                <w:color w:val="000000"/>
                <w:kern w:val="0"/>
                <w:sz w:val="18"/>
                <w:szCs w:val="18"/>
              </w:rPr>
            </w:pPr>
          </w:p>
        </w:tc>
        <w:tc>
          <w:tcPr>
            <w:tcW w:w="493" w:type="dxa"/>
            <w:vMerge w:val="continue"/>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textAlignment w:val="center"/>
              <w:rPr>
                <w:rFonts w:hint="eastAsia" w:ascii="宋体" w:hAnsi="宋体" w:eastAsia="宋体" w:cs="宋体"/>
                <w:color w:val="000000"/>
                <w:kern w:val="0"/>
                <w:sz w:val="18"/>
                <w:szCs w:val="18"/>
              </w:rPr>
            </w:pPr>
          </w:p>
        </w:tc>
        <w:tc>
          <w:tcPr>
            <w:tcW w:w="1037" w:type="dxa"/>
            <w:vMerge w:val="continue"/>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textAlignment w:val="center"/>
              <w:rPr>
                <w:rFonts w:hint="eastAsia" w:ascii="宋体" w:hAnsi="宋体" w:eastAsia="宋体" w:cs="宋体"/>
                <w:color w:val="000000"/>
                <w:kern w:val="0"/>
                <w:sz w:val="18"/>
                <w:szCs w:val="18"/>
              </w:rPr>
            </w:pPr>
          </w:p>
        </w:tc>
        <w:tc>
          <w:tcPr>
            <w:tcW w:w="1065" w:type="dxa"/>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textAlignment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单位收入统筹度</w:t>
            </w:r>
          </w:p>
        </w:tc>
        <w:tc>
          <w:tcPr>
            <w:tcW w:w="1035" w:type="dxa"/>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textAlignment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rPr>
              <w:t>100</w:t>
            </w:r>
            <w:r>
              <w:rPr>
                <w:rFonts w:hint="eastAsia" w:ascii="宋体" w:hAnsi="宋体" w:eastAsia="宋体" w:cs="宋体"/>
                <w:color w:val="000000"/>
                <w:kern w:val="0"/>
                <w:sz w:val="18"/>
                <w:szCs w:val="18"/>
              </w:rPr>
              <w:t>%</w:t>
            </w:r>
          </w:p>
        </w:tc>
        <w:tc>
          <w:tcPr>
            <w:tcW w:w="1110" w:type="dxa"/>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textAlignment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rPr>
              <w:t>100</w:t>
            </w:r>
            <w:r>
              <w:rPr>
                <w:rFonts w:hint="eastAsia" w:ascii="宋体" w:hAnsi="宋体" w:eastAsia="宋体" w:cs="宋体"/>
                <w:color w:val="000000"/>
                <w:kern w:val="0"/>
                <w:sz w:val="18"/>
                <w:szCs w:val="18"/>
              </w:rPr>
              <w:t>%</w:t>
            </w:r>
          </w:p>
        </w:tc>
        <w:tc>
          <w:tcPr>
            <w:tcW w:w="945" w:type="dxa"/>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textAlignment w:val="center"/>
              <w:rPr>
                <w:rFonts w:hint="default"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100</w:t>
            </w:r>
            <w:r>
              <w:rPr>
                <w:rFonts w:hint="eastAsia" w:ascii="宋体" w:hAnsi="宋体" w:eastAsia="宋体" w:cs="宋体"/>
                <w:color w:val="000000"/>
                <w:kern w:val="0"/>
                <w:sz w:val="18"/>
                <w:szCs w:val="18"/>
              </w:rPr>
              <w:t>%</w:t>
            </w:r>
          </w:p>
        </w:tc>
        <w:tc>
          <w:tcPr>
            <w:tcW w:w="1005" w:type="dxa"/>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textAlignment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rPr>
              <w:t>100</w:t>
            </w:r>
            <w:r>
              <w:rPr>
                <w:rFonts w:hint="eastAsia" w:ascii="宋体" w:hAnsi="宋体" w:eastAsia="宋体" w:cs="宋体"/>
                <w:color w:val="000000"/>
                <w:kern w:val="0"/>
                <w:sz w:val="18"/>
                <w:szCs w:val="18"/>
              </w:rPr>
              <w:t>%</w:t>
            </w:r>
          </w:p>
        </w:tc>
        <w:tc>
          <w:tcPr>
            <w:tcW w:w="1035" w:type="dxa"/>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textAlignment w:val="center"/>
              <w:rPr>
                <w:rFonts w:hint="default"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100</w:t>
            </w:r>
            <w:r>
              <w:rPr>
                <w:rFonts w:hint="eastAsia" w:ascii="宋体" w:hAnsi="宋体" w:eastAsia="宋体" w:cs="宋体"/>
                <w:color w:val="000000"/>
                <w:kern w:val="0"/>
                <w:sz w:val="18"/>
                <w:szCs w:val="18"/>
              </w:rPr>
              <w:t>%</w:t>
            </w:r>
          </w:p>
        </w:tc>
        <w:tc>
          <w:tcPr>
            <w:tcW w:w="1325" w:type="dxa"/>
            <w:gridSpan w:val="2"/>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textAlignment w:val="center"/>
              <w:rPr>
                <w:rFonts w:hint="eastAsia" w:ascii="宋体" w:hAnsi="宋体" w:eastAsia="宋体" w:cs="宋体"/>
                <w:color w:val="000000"/>
                <w:kern w:val="0"/>
                <w:sz w:val="18"/>
                <w:szCs w:val="18"/>
                <w:lang w:eastAsia="zh-CN"/>
              </w:rPr>
            </w:pPr>
            <w:r>
              <w:rPr>
                <w:rFonts w:hint="eastAsia" w:ascii="宋体" w:hAnsi="宋体" w:eastAsia="宋体" w:cs="宋体"/>
                <w:color w:val="000000"/>
                <w:kern w:val="0"/>
                <w:sz w:val="18"/>
                <w:szCs w:val="18"/>
                <w:lang w:val="en-US" w:eastAsia="zh-CN"/>
              </w:rPr>
              <w:t>100</w:t>
            </w:r>
            <w:r>
              <w:rPr>
                <w:rFonts w:hint="eastAsia" w:ascii="宋体" w:hAnsi="宋体" w:eastAsia="宋体" w:cs="宋体"/>
                <w:color w:val="000000"/>
                <w:kern w:val="0"/>
                <w:sz w:val="18"/>
                <w:szCs w:val="18"/>
              </w:rPr>
              <w:t>%</w:t>
            </w:r>
          </w:p>
        </w:tc>
      </w:tr>
      <w:tr>
        <w:tblPrEx>
          <w:tblCellMar>
            <w:top w:w="0" w:type="dxa"/>
            <w:left w:w="108" w:type="dxa"/>
            <w:bottom w:w="0" w:type="dxa"/>
            <w:right w:w="108" w:type="dxa"/>
          </w:tblCellMar>
        </w:tblPrEx>
        <w:trPr>
          <w:trHeight w:val="455" w:hRule="atLeast"/>
          <w:jc w:val="center"/>
        </w:trPr>
        <w:tc>
          <w:tcPr>
            <w:tcW w:w="431" w:type="dxa"/>
            <w:vMerge w:val="continue"/>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textAlignment w:val="center"/>
              <w:rPr>
                <w:rFonts w:hint="eastAsia" w:ascii="宋体" w:hAnsi="宋体" w:eastAsia="宋体" w:cs="宋体"/>
                <w:color w:val="000000"/>
                <w:kern w:val="0"/>
                <w:sz w:val="18"/>
                <w:szCs w:val="18"/>
              </w:rPr>
            </w:pPr>
          </w:p>
        </w:tc>
        <w:tc>
          <w:tcPr>
            <w:tcW w:w="493" w:type="dxa"/>
            <w:vMerge w:val="continue"/>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textAlignment w:val="center"/>
              <w:rPr>
                <w:rFonts w:hint="eastAsia" w:ascii="宋体" w:hAnsi="宋体" w:eastAsia="宋体" w:cs="宋体"/>
                <w:color w:val="000000"/>
                <w:kern w:val="0"/>
                <w:sz w:val="18"/>
                <w:szCs w:val="18"/>
              </w:rPr>
            </w:pPr>
          </w:p>
        </w:tc>
        <w:tc>
          <w:tcPr>
            <w:tcW w:w="1037" w:type="dxa"/>
            <w:vMerge w:val="continue"/>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textAlignment w:val="center"/>
              <w:rPr>
                <w:rFonts w:hint="eastAsia" w:ascii="宋体" w:hAnsi="宋体" w:eastAsia="宋体" w:cs="宋体"/>
                <w:color w:val="000000"/>
                <w:kern w:val="0"/>
                <w:sz w:val="18"/>
                <w:szCs w:val="18"/>
              </w:rPr>
            </w:pPr>
          </w:p>
        </w:tc>
        <w:tc>
          <w:tcPr>
            <w:tcW w:w="1065" w:type="dxa"/>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textAlignment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预算年终结余率</w:t>
            </w:r>
          </w:p>
        </w:tc>
        <w:tc>
          <w:tcPr>
            <w:tcW w:w="1035" w:type="dxa"/>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textAlignment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rPr>
              <w:t>30</w:t>
            </w:r>
            <w:r>
              <w:rPr>
                <w:rFonts w:hint="eastAsia" w:ascii="宋体" w:hAnsi="宋体" w:eastAsia="宋体" w:cs="宋体"/>
                <w:color w:val="000000"/>
                <w:kern w:val="0"/>
                <w:sz w:val="18"/>
                <w:szCs w:val="18"/>
              </w:rPr>
              <w:t>%</w:t>
            </w:r>
          </w:p>
        </w:tc>
        <w:tc>
          <w:tcPr>
            <w:tcW w:w="1110" w:type="dxa"/>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textAlignment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rPr>
              <w:t>31.69</w:t>
            </w:r>
            <w:r>
              <w:rPr>
                <w:rFonts w:hint="eastAsia" w:ascii="宋体" w:hAnsi="宋体" w:eastAsia="宋体" w:cs="宋体"/>
                <w:color w:val="000000"/>
                <w:kern w:val="0"/>
                <w:sz w:val="18"/>
                <w:szCs w:val="18"/>
              </w:rPr>
              <w:t>%</w:t>
            </w:r>
          </w:p>
        </w:tc>
        <w:tc>
          <w:tcPr>
            <w:tcW w:w="945" w:type="dxa"/>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textAlignment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rPr>
              <w:t>0</w:t>
            </w:r>
          </w:p>
        </w:tc>
        <w:tc>
          <w:tcPr>
            <w:tcW w:w="1005" w:type="dxa"/>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textAlignment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rPr>
              <w:t>11.73</w:t>
            </w:r>
            <w:r>
              <w:rPr>
                <w:rFonts w:hint="eastAsia" w:ascii="宋体" w:hAnsi="宋体" w:eastAsia="宋体" w:cs="宋体"/>
                <w:color w:val="000000"/>
                <w:kern w:val="0"/>
                <w:sz w:val="18"/>
                <w:szCs w:val="18"/>
              </w:rPr>
              <w:t>%</w:t>
            </w:r>
          </w:p>
        </w:tc>
        <w:tc>
          <w:tcPr>
            <w:tcW w:w="1035" w:type="dxa"/>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textAlignment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rPr>
              <w:t>83.33</w:t>
            </w:r>
            <w:r>
              <w:rPr>
                <w:rFonts w:hint="eastAsia" w:ascii="宋体" w:hAnsi="宋体" w:eastAsia="宋体" w:cs="宋体"/>
                <w:color w:val="000000"/>
                <w:kern w:val="0"/>
                <w:sz w:val="18"/>
                <w:szCs w:val="18"/>
              </w:rPr>
              <w:t>%</w:t>
            </w:r>
          </w:p>
        </w:tc>
        <w:tc>
          <w:tcPr>
            <w:tcW w:w="1325" w:type="dxa"/>
            <w:gridSpan w:val="2"/>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textAlignment w:val="center"/>
              <w:rPr>
                <w:rFonts w:hint="default"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83.33</w:t>
            </w:r>
            <w:r>
              <w:rPr>
                <w:rFonts w:hint="eastAsia" w:ascii="宋体" w:hAnsi="宋体" w:eastAsia="宋体" w:cs="宋体"/>
                <w:color w:val="000000"/>
                <w:kern w:val="0"/>
                <w:sz w:val="18"/>
                <w:szCs w:val="18"/>
              </w:rPr>
              <w:t>%</w:t>
            </w:r>
          </w:p>
        </w:tc>
      </w:tr>
      <w:tr>
        <w:tblPrEx>
          <w:tblCellMar>
            <w:top w:w="0" w:type="dxa"/>
            <w:left w:w="108" w:type="dxa"/>
            <w:bottom w:w="0" w:type="dxa"/>
            <w:right w:w="108" w:type="dxa"/>
          </w:tblCellMar>
        </w:tblPrEx>
        <w:trPr>
          <w:gridAfter w:val="1"/>
          <w:wAfter w:w="20" w:type="dxa"/>
          <w:trHeight w:val="565" w:hRule="atLeast"/>
          <w:jc w:val="center"/>
        </w:trPr>
        <w:tc>
          <w:tcPr>
            <w:tcW w:w="431" w:type="dxa"/>
            <w:vMerge w:val="continue"/>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textAlignment w:val="center"/>
              <w:rPr>
                <w:rFonts w:hint="eastAsia" w:ascii="宋体" w:hAnsi="宋体" w:eastAsia="宋体" w:cs="宋体"/>
                <w:color w:val="000000"/>
                <w:kern w:val="0"/>
                <w:sz w:val="18"/>
                <w:szCs w:val="18"/>
              </w:rPr>
            </w:pPr>
          </w:p>
        </w:tc>
        <w:tc>
          <w:tcPr>
            <w:tcW w:w="493" w:type="dxa"/>
            <w:vMerge w:val="continue"/>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textAlignment w:val="center"/>
              <w:rPr>
                <w:rFonts w:hint="eastAsia" w:ascii="宋体" w:hAnsi="宋体" w:eastAsia="宋体" w:cs="宋体"/>
                <w:color w:val="000000"/>
                <w:kern w:val="0"/>
                <w:sz w:val="18"/>
                <w:szCs w:val="18"/>
              </w:rPr>
            </w:pPr>
          </w:p>
        </w:tc>
        <w:tc>
          <w:tcPr>
            <w:tcW w:w="1037" w:type="dxa"/>
            <w:vMerge w:val="continue"/>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textAlignment w:val="center"/>
              <w:rPr>
                <w:rFonts w:hint="eastAsia" w:ascii="宋体" w:hAnsi="宋体" w:eastAsia="宋体" w:cs="宋体"/>
                <w:color w:val="000000"/>
                <w:kern w:val="0"/>
                <w:sz w:val="18"/>
                <w:szCs w:val="18"/>
              </w:rPr>
            </w:pPr>
          </w:p>
        </w:tc>
        <w:tc>
          <w:tcPr>
            <w:tcW w:w="1065" w:type="dxa"/>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textAlignment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一般性支出金额</w:t>
            </w:r>
          </w:p>
        </w:tc>
        <w:tc>
          <w:tcPr>
            <w:tcW w:w="1035" w:type="dxa"/>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textAlignment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rPr>
              <w:t>6.70</w:t>
            </w:r>
            <w:r>
              <w:rPr>
                <w:rFonts w:hint="eastAsia" w:ascii="宋体" w:hAnsi="宋体" w:eastAsia="宋体" w:cs="宋体"/>
                <w:color w:val="000000"/>
                <w:kern w:val="0"/>
                <w:sz w:val="18"/>
                <w:szCs w:val="18"/>
              </w:rPr>
              <w:t>万元</w:t>
            </w:r>
          </w:p>
        </w:tc>
        <w:tc>
          <w:tcPr>
            <w:tcW w:w="4095" w:type="dxa"/>
            <w:gridSpan w:val="4"/>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textAlignment w:val="center"/>
              <w:rPr>
                <w:rFonts w:hint="default" w:ascii="宋体" w:hAnsi="宋体" w:eastAsia="宋体" w:cs="宋体"/>
                <w:color w:val="000000"/>
                <w:kern w:val="0"/>
                <w:sz w:val="18"/>
                <w:szCs w:val="18"/>
                <w:lang w:val="en-US" w:eastAsia="zh-CN"/>
              </w:rPr>
            </w:pPr>
            <w:r>
              <w:rPr>
                <w:rFonts w:hint="eastAsia" w:ascii="宋体" w:hAnsi="宋体" w:eastAsia="宋体" w:cs="宋体"/>
                <w:color w:val="000000"/>
                <w:kern w:val="0"/>
                <w:sz w:val="24"/>
              </w:rPr>
              <w:t>x</w:t>
            </w:r>
            <w:r>
              <w:rPr>
                <w:rFonts w:ascii="宋体" w:hAnsi="宋体" w:eastAsia="宋体" w:cs="宋体"/>
                <w:color w:val="000000"/>
                <w:kern w:val="0"/>
                <w:sz w:val="24"/>
              </w:rPr>
              <w:t>为上年一般性支出金额</w:t>
            </w:r>
          </w:p>
        </w:tc>
        <w:tc>
          <w:tcPr>
            <w:tcW w:w="1305" w:type="dxa"/>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textAlignment w:val="center"/>
              <w:rPr>
                <w:rFonts w:hint="eastAsia" w:ascii="宋体" w:hAnsi="宋体" w:eastAsia="宋体" w:cs="宋体"/>
                <w:color w:val="000000"/>
                <w:kern w:val="0"/>
                <w:sz w:val="18"/>
                <w:szCs w:val="18"/>
                <w:lang w:eastAsia="zh-CN"/>
              </w:rPr>
            </w:pPr>
            <w:r>
              <w:rPr>
                <w:rFonts w:hint="eastAsia" w:ascii="宋体" w:hAnsi="宋体" w:eastAsia="宋体" w:cs="宋体"/>
                <w:color w:val="000000"/>
                <w:kern w:val="0"/>
                <w:sz w:val="18"/>
                <w:szCs w:val="18"/>
                <w:lang w:val="en-US" w:eastAsia="zh-CN"/>
              </w:rPr>
              <w:t>2025年</w:t>
            </w:r>
            <w:r>
              <w:rPr>
                <w:rFonts w:hint="eastAsia" w:ascii="宋体" w:hAnsi="宋体" w:eastAsia="宋体" w:cs="宋体"/>
                <w:color w:val="000000"/>
                <w:kern w:val="0"/>
                <w:sz w:val="18"/>
                <w:szCs w:val="18"/>
              </w:rPr>
              <w:t>一般性支出金额</w:t>
            </w:r>
            <w:r>
              <w:rPr>
                <w:rFonts w:hint="eastAsia" w:ascii="宋体" w:hAnsi="宋体" w:eastAsia="宋体" w:cs="宋体"/>
                <w:color w:val="000000"/>
                <w:kern w:val="0"/>
                <w:sz w:val="18"/>
                <w:szCs w:val="18"/>
                <w:lang w:eastAsia="zh-CN"/>
              </w:rPr>
              <w:t>为</w:t>
            </w:r>
            <w:r>
              <w:rPr>
                <w:rFonts w:hint="eastAsia" w:ascii="宋体" w:hAnsi="宋体" w:eastAsia="宋体" w:cs="宋体"/>
                <w:color w:val="000000"/>
                <w:kern w:val="0"/>
                <w:sz w:val="18"/>
                <w:szCs w:val="18"/>
                <w:lang w:val="en-US" w:eastAsia="zh-CN"/>
              </w:rPr>
              <w:t>4.51万元</w:t>
            </w:r>
          </w:p>
        </w:tc>
      </w:tr>
      <w:tr>
        <w:tblPrEx>
          <w:tblCellMar>
            <w:top w:w="0" w:type="dxa"/>
            <w:left w:w="108" w:type="dxa"/>
            <w:bottom w:w="0" w:type="dxa"/>
            <w:right w:w="108" w:type="dxa"/>
          </w:tblCellMar>
        </w:tblPrEx>
        <w:trPr>
          <w:gridAfter w:val="1"/>
          <w:wAfter w:w="20" w:type="dxa"/>
          <w:trHeight w:val="440" w:hRule="atLeast"/>
          <w:jc w:val="center"/>
        </w:trPr>
        <w:tc>
          <w:tcPr>
            <w:tcW w:w="431" w:type="dxa"/>
            <w:vMerge w:val="continue"/>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textAlignment w:val="center"/>
              <w:rPr>
                <w:rFonts w:hint="eastAsia" w:ascii="宋体" w:hAnsi="宋体" w:eastAsia="宋体" w:cs="宋体"/>
                <w:color w:val="000000"/>
                <w:kern w:val="0"/>
                <w:sz w:val="18"/>
                <w:szCs w:val="18"/>
              </w:rPr>
            </w:pPr>
          </w:p>
        </w:tc>
        <w:tc>
          <w:tcPr>
            <w:tcW w:w="493" w:type="dxa"/>
            <w:vMerge w:val="continue"/>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textAlignment w:val="center"/>
              <w:rPr>
                <w:rFonts w:hint="eastAsia" w:ascii="宋体" w:hAnsi="宋体" w:eastAsia="宋体" w:cs="宋体"/>
                <w:color w:val="000000"/>
                <w:kern w:val="0"/>
                <w:sz w:val="18"/>
                <w:szCs w:val="18"/>
              </w:rPr>
            </w:pPr>
          </w:p>
        </w:tc>
        <w:tc>
          <w:tcPr>
            <w:tcW w:w="1037" w:type="dxa"/>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textAlignment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财务管理</w:t>
            </w:r>
          </w:p>
        </w:tc>
        <w:tc>
          <w:tcPr>
            <w:tcW w:w="1065" w:type="dxa"/>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textAlignment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财务管理规范</w:t>
            </w:r>
          </w:p>
        </w:tc>
        <w:tc>
          <w:tcPr>
            <w:tcW w:w="1035" w:type="dxa"/>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textAlignment w:val="center"/>
              <w:rPr>
                <w:rFonts w:hint="eastAsia" w:ascii="宋体" w:hAnsi="宋体" w:eastAsia="宋体" w:cs="宋体"/>
                <w:color w:val="000000"/>
                <w:kern w:val="0"/>
                <w:sz w:val="18"/>
                <w:szCs w:val="18"/>
                <w:lang w:eastAsia="zh-CN"/>
              </w:rPr>
            </w:pPr>
            <w:r>
              <w:rPr>
                <w:rFonts w:hint="eastAsia" w:ascii="宋体" w:hAnsi="宋体" w:eastAsia="宋体" w:cs="宋体"/>
                <w:color w:val="000000"/>
                <w:kern w:val="0"/>
                <w:sz w:val="18"/>
                <w:szCs w:val="18"/>
                <w:lang w:eastAsia="zh-CN"/>
              </w:rPr>
              <w:t>中</w:t>
            </w:r>
          </w:p>
        </w:tc>
        <w:tc>
          <w:tcPr>
            <w:tcW w:w="4095" w:type="dxa"/>
            <w:gridSpan w:val="4"/>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textAlignment w:val="center"/>
              <w:rPr>
                <w:rFonts w:hint="eastAsia" w:ascii="宋体" w:hAnsi="宋体" w:eastAsia="宋体" w:cs="宋体"/>
                <w:color w:val="000000"/>
                <w:kern w:val="0"/>
                <w:sz w:val="18"/>
                <w:szCs w:val="18"/>
                <w:lang w:eastAsia="zh-CN"/>
              </w:rPr>
            </w:pPr>
            <w:r>
              <w:rPr>
                <w:rFonts w:hint="eastAsia" w:ascii="宋体" w:hAnsi="宋体" w:eastAsia="宋体" w:cs="宋体"/>
                <w:color w:val="000000"/>
                <w:kern w:val="0"/>
                <w:sz w:val="18"/>
                <w:szCs w:val="18"/>
              </w:rPr>
              <w:t>x为“优”“良”“中”或“差”</w:t>
            </w:r>
          </w:p>
        </w:tc>
        <w:tc>
          <w:tcPr>
            <w:tcW w:w="1305" w:type="dxa"/>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textAlignment w:val="center"/>
              <w:rPr>
                <w:rFonts w:hint="eastAsia" w:ascii="宋体" w:hAnsi="宋体" w:eastAsia="宋体" w:cs="宋体"/>
                <w:color w:val="000000"/>
                <w:kern w:val="0"/>
                <w:sz w:val="18"/>
                <w:szCs w:val="18"/>
                <w:lang w:eastAsia="zh-CN"/>
              </w:rPr>
            </w:pPr>
            <w:r>
              <w:rPr>
                <w:rFonts w:hint="eastAsia" w:ascii="宋体" w:hAnsi="宋体" w:eastAsia="宋体" w:cs="宋体"/>
                <w:color w:val="000000"/>
                <w:kern w:val="0"/>
                <w:sz w:val="18"/>
                <w:szCs w:val="18"/>
                <w:lang w:eastAsia="zh-CN"/>
              </w:rPr>
              <w:t>良</w:t>
            </w:r>
          </w:p>
        </w:tc>
      </w:tr>
      <w:tr>
        <w:tblPrEx>
          <w:tblCellMar>
            <w:top w:w="0" w:type="dxa"/>
            <w:left w:w="108" w:type="dxa"/>
            <w:bottom w:w="0" w:type="dxa"/>
            <w:right w:w="108" w:type="dxa"/>
          </w:tblCellMar>
        </w:tblPrEx>
        <w:trPr>
          <w:trHeight w:val="90" w:hRule="atLeast"/>
          <w:jc w:val="center"/>
        </w:trPr>
        <w:tc>
          <w:tcPr>
            <w:tcW w:w="431" w:type="dxa"/>
            <w:vMerge w:val="continue"/>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textAlignment w:val="center"/>
              <w:rPr>
                <w:rFonts w:hint="eastAsia" w:ascii="宋体" w:hAnsi="宋体" w:eastAsia="宋体" w:cs="宋体"/>
                <w:color w:val="000000"/>
                <w:kern w:val="0"/>
                <w:sz w:val="18"/>
                <w:szCs w:val="18"/>
              </w:rPr>
            </w:pPr>
          </w:p>
        </w:tc>
        <w:tc>
          <w:tcPr>
            <w:tcW w:w="493" w:type="dxa"/>
            <w:vMerge w:val="continue"/>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textAlignment w:val="center"/>
              <w:rPr>
                <w:rFonts w:hint="eastAsia" w:ascii="宋体" w:hAnsi="宋体" w:eastAsia="宋体" w:cs="宋体"/>
                <w:color w:val="000000"/>
                <w:kern w:val="0"/>
                <w:sz w:val="18"/>
                <w:szCs w:val="18"/>
              </w:rPr>
            </w:pPr>
          </w:p>
        </w:tc>
        <w:tc>
          <w:tcPr>
            <w:tcW w:w="1037" w:type="dxa"/>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textAlignment w:val="center"/>
              <w:rPr>
                <w:rFonts w:hint="eastAsia" w:ascii="宋体" w:hAnsi="宋体" w:eastAsia="宋体" w:cs="宋体"/>
                <w:color w:val="000000"/>
                <w:kern w:val="0"/>
                <w:sz w:val="18"/>
                <w:szCs w:val="18"/>
                <w:highlight w:val="none"/>
              </w:rPr>
            </w:pPr>
            <w:r>
              <w:rPr>
                <w:rFonts w:hint="eastAsia" w:ascii="宋体" w:hAnsi="宋体" w:eastAsia="宋体" w:cs="宋体"/>
                <w:color w:val="000000"/>
                <w:kern w:val="0"/>
                <w:sz w:val="18"/>
                <w:szCs w:val="18"/>
                <w:highlight w:val="none"/>
              </w:rPr>
              <w:t>资产管理</w:t>
            </w:r>
          </w:p>
        </w:tc>
        <w:tc>
          <w:tcPr>
            <w:tcW w:w="1065" w:type="dxa"/>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textAlignment w:val="center"/>
              <w:rPr>
                <w:rFonts w:hint="eastAsia" w:ascii="宋体" w:hAnsi="宋体" w:eastAsia="宋体" w:cs="宋体"/>
                <w:color w:val="000000"/>
                <w:kern w:val="0"/>
                <w:sz w:val="18"/>
                <w:szCs w:val="18"/>
                <w:highlight w:val="none"/>
              </w:rPr>
            </w:pPr>
            <w:r>
              <w:rPr>
                <w:rFonts w:hint="eastAsia" w:ascii="宋体" w:hAnsi="宋体" w:eastAsia="宋体" w:cs="宋体"/>
                <w:color w:val="000000"/>
                <w:kern w:val="0"/>
                <w:sz w:val="18"/>
                <w:szCs w:val="18"/>
                <w:highlight w:val="none"/>
              </w:rPr>
              <w:t>资产配置预算偏离度</w:t>
            </w:r>
          </w:p>
        </w:tc>
        <w:tc>
          <w:tcPr>
            <w:tcW w:w="1035" w:type="dxa"/>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both"/>
              <w:textAlignment w:val="center"/>
              <w:rPr>
                <w:rFonts w:hint="eastAsia" w:ascii="宋体" w:hAnsi="宋体" w:eastAsia="宋体" w:cs="宋体"/>
                <w:color w:val="000000"/>
                <w:kern w:val="0"/>
                <w:sz w:val="18"/>
                <w:szCs w:val="18"/>
                <w:highlight w:val="none"/>
              </w:rPr>
            </w:pPr>
          </w:p>
        </w:tc>
        <w:tc>
          <w:tcPr>
            <w:tcW w:w="1110" w:type="dxa"/>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both"/>
              <w:textAlignment w:val="center"/>
              <w:rPr>
                <w:rFonts w:hint="eastAsia" w:ascii="宋体" w:hAnsi="宋体" w:eastAsia="宋体" w:cs="宋体"/>
                <w:color w:val="000000"/>
                <w:kern w:val="0"/>
                <w:sz w:val="18"/>
                <w:szCs w:val="18"/>
                <w:highlight w:val="none"/>
              </w:rPr>
            </w:pPr>
          </w:p>
        </w:tc>
        <w:tc>
          <w:tcPr>
            <w:tcW w:w="945" w:type="dxa"/>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both"/>
              <w:textAlignment w:val="center"/>
              <w:rPr>
                <w:rFonts w:hint="default" w:ascii="宋体" w:hAnsi="宋体" w:eastAsia="宋体" w:cs="宋体"/>
                <w:color w:val="000000"/>
                <w:kern w:val="0"/>
                <w:sz w:val="18"/>
                <w:szCs w:val="18"/>
                <w:highlight w:val="none"/>
                <w:lang w:val="en-US" w:eastAsia="zh-CN"/>
              </w:rPr>
            </w:pPr>
          </w:p>
        </w:tc>
        <w:tc>
          <w:tcPr>
            <w:tcW w:w="1005" w:type="dxa"/>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both"/>
              <w:textAlignment w:val="center"/>
              <w:rPr>
                <w:rFonts w:hint="default" w:ascii="宋体" w:hAnsi="宋体" w:eastAsia="宋体" w:cs="宋体"/>
                <w:color w:val="000000"/>
                <w:kern w:val="0"/>
                <w:sz w:val="18"/>
                <w:szCs w:val="18"/>
                <w:highlight w:val="none"/>
                <w:lang w:val="en-US" w:eastAsia="zh-CN"/>
              </w:rPr>
            </w:pPr>
          </w:p>
        </w:tc>
        <w:tc>
          <w:tcPr>
            <w:tcW w:w="1035" w:type="dxa"/>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both"/>
              <w:textAlignment w:val="center"/>
              <w:rPr>
                <w:rFonts w:hint="default" w:ascii="宋体" w:hAnsi="宋体" w:eastAsia="宋体" w:cs="宋体"/>
                <w:color w:val="000000"/>
                <w:kern w:val="0"/>
                <w:sz w:val="18"/>
                <w:szCs w:val="18"/>
                <w:highlight w:val="none"/>
                <w:lang w:val="en-US" w:eastAsia="zh-CN"/>
              </w:rPr>
            </w:pPr>
          </w:p>
        </w:tc>
        <w:tc>
          <w:tcPr>
            <w:tcW w:w="1325" w:type="dxa"/>
            <w:gridSpan w:val="2"/>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both"/>
              <w:textAlignment w:val="center"/>
              <w:rPr>
                <w:rFonts w:hint="default" w:ascii="宋体" w:hAnsi="宋体" w:eastAsia="宋体" w:cs="宋体"/>
                <w:color w:val="000000"/>
                <w:kern w:val="0"/>
                <w:sz w:val="18"/>
                <w:szCs w:val="18"/>
                <w:highlight w:val="none"/>
                <w:lang w:val="en-US" w:eastAsia="zh-CN"/>
              </w:rPr>
            </w:pPr>
          </w:p>
        </w:tc>
      </w:tr>
      <w:tr>
        <w:tblPrEx>
          <w:tblCellMar>
            <w:top w:w="0" w:type="dxa"/>
            <w:left w:w="108" w:type="dxa"/>
            <w:bottom w:w="0" w:type="dxa"/>
            <w:right w:w="108" w:type="dxa"/>
          </w:tblCellMar>
        </w:tblPrEx>
        <w:trPr>
          <w:trHeight w:val="90" w:hRule="atLeast"/>
          <w:jc w:val="center"/>
        </w:trPr>
        <w:tc>
          <w:tcPr>
            <w:tcW w:w="431" w:type="dxa"/>
            <w:vMerge w:val="continue"/>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textAlignment w:val="center"/>
              <w:rPr>
                <w:rFonts w:hint="eastAsia" w:ascii="宋体" w:hAnsi="宋体" w:eastAsia="宋体" w:cs="宋体"/>
                <w:color w:val="000000"/>
                <w:kern w:val="0"/>
                <w:sz w:val="18"/>
                <w:szCs w:val="18"/>
              </w:rPr>
            </w:pPr>
          </w:p>
        </w:tc>
        <w:tc>
          <w:tcPr>
            <w:tcW w:w="493" w:type="dxa"/>
            <w:vMerge w:val="continue"/>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textAlignment w:val="center"/>
              <w:rPr>
                <w:rFonts w:hint="eastAsia" w:ascii="宋体" w:hAnsi="宋体" w:eastAsia="宋体" w:cs="宋体"/>
                <w:color w:val="000000"/>
                <w:kern w:val="0"/>
                <w:sz w:val="18"/>
                <w:szCs w:val="18"/>
              </w:rPr>
            </w:pPr>
          </w:p>
        </w:tc>
        <w:tc>
          <w:tcPr>
            <w:tcW w:w="1037" w:type="dxa"/>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textAlignment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采购管理</w:t>
            </w:r>
          </w:p>
        </w:tc>
        <w:tc>
          <w:tcPr>
            <w:tcW w:w="1065" w:type="dxa"/>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textAlignment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采购执行率</w:t>
            </w:r>
          </w:p>
        </w:tc>
        <w:tc>
          <w:tcPr>
            <w:tcW w:w="1035" w:type="dxa"/>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textAlignment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rPr>
              <w:t>95</w:t>
            </w:r>
            <w:r>
              <w:rPr>
                <w:rFonts w:hint="eastAsia" w:ascii="宋体" w:hAnsi="宋体" w:eastAsia="宋体" w:cs="宋体"/>
                <w:color w:val="000000"/>
                <w:kern w:val="0"/>
                <w:sz w:val="18"/>
                <w:szCs w:val="18"/>
              </w:rPr>
              <w:t>%</w:t>
            </w:r>
          </w:p>
        </w:tc>
        <w:tc>
          <w:tcPr>
            <w:tcW w:w="1110" w:type="dxa"/>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textAlignment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rPr>
              <w:t>0</w:t>
            </w:r>
            <w:r>
              <w:rPr>
                <w:rFonts w:hint="eastAsia" w:ascii="宋体" w:hAnsi="宋体" w:eastAsia="宋体" w:cs="宋体"/>
                <w:color w:val="000000"/>
                <w:kern w:val="0"/>
                <w:sz w:val="18"/>
                <w:szCs w:val="18"/>
              </w:rPr>
              <w:t>%</w:t>
            </w:r>
          </w:p>
        </w:tc>
        <w:tc>
          <w:tcPr>
            <w:tcW w:w="945" w:type="dxa"/>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textAlignment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rPr>
              <w:t>0</w:t>
            </w:r>
            <w:r>
              <w:rPr>
                <w:rFonts w:hint="eastAsia" w:ascii="宋体" w:hAnsi="宋体" w:eastAsia="宋体" w:cs="宋体"/>
                <w:color w:val="000000"/>
                <w:kern w:val="0"/>
                <w:sz w:val="18"/>
                <w:szCs w:val="18"/>
              </w:rPr>
              <w:t>%</w:t>
            </w:r>
          </w:p>
        </w:tc>
        <w:tc>
          <w:tcPr>
            <w:tcW w:w="1005" w:type="dxa"/>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textAlignment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rPr>
              <w:t>0</w:t>
            </w:r>
            <w:r>
              <w:rPr>
                <w:rFonts w:hint="eastAsia" w:ascii="宋体" w:hAnsi="宋体" w:eastAsia="宋体" w:cs="宋体"/>
                <w:color w:val="000000"/>
                <w:kern w:val="0"/>
                <w:sz w:val="18"/>
                <w:szCs w:val="18"/>
              </w:rPr>
              <w:t>%</w:t>
            </w:r>
          </w:p>
        </w:tc>
        <w:tc>
          <w:tcPr>
            <w:tcW w:w="1035" w:type="dxa"/>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textAlignment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rPr>
              <w:t>0</w:t>
            </w:r>
            <w:r>
              <w:rPr>
                <w:rFonts w:hint="eastAsia" w:ascii="宋体" w:hAnsi="宋体" w:eastAsia="宋体" w:cs="宋体"/>
                <w:color w:val="000000"/>
                <w:kern w:val="0"/>
                <w:sz w:val="18"/>
                <w:szCs w:val="18"/>
              </w:rPr>
              <w:t>%</w:t>
            </w:r>
          </w:p>
        </w:tc>
        <w:tc>
          <w:tcPr>
            <w:tcW w:w="1325" w:type="dxa"/>
            <w:gridSpan w:val="2"/>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textAlignment w:val="center"/>
              <w:rPr>
                <w:rFonts w:hint="default"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2023年-2025年不涉及政府采购。</w:t>
            </w:r>
          </w:p>
        </w:tc>
      </w:tr>
      <w:tr>
        <w:tblPrEx>
          <w:tblCellMar>
            <w:top w:w="0" w:type="dxa"/>
            <w:left w:w="108" w:type="dxa"/>
            <w:bottom w:w="0" w:type="dxa"/>
            <w:right w:w="108" w:type="dxa"/>
          </w:tblCellMar>
        </w:tblPrEx>
        <w:trPr>
          <w:gridAfter w:val="1"/>
          <w:wAfter w:w="20" w:type="dxa"/>
          <w:trHeight w:val="680" w:hRule="atLeast"/>
          <w:jc w:val="center"/>
        </w:trPr>
        <w:tc>
          <w:tcPr>
            <w:tcW w:w="431" w:type="dxa"/>
            <w:vMerge w:val="restart"/>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textAlignment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履职效能</w:t>
            </w:r>
          </w:p>
        </w:tc>
        <w:tc>
          <w:tcPr>
            <w:tcW w:w="493" w:type="dxa"/>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textAlignment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一级指标</w:t>
            </w:r>
          </w:p>
        </w:tc>
        <w:tc>
          <w:tcPr>
            <w:tcW w:w="1037" w:type="dxa"/>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textAlignment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二级指标</w:t>
            </w:r>
          </w:p>
        </w:tc>
        <w:tc>
          <w:tcPr>
            <w:tcW w:w="5160" w:type="dxa"/>
            <w:gridSpan w:val="5"/>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textAlignment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三级指标</w:t>
            </w:r>
          </w:p>
        </w:tc>
        <w:tc>
          <w:tcPr>
            <w:tcW w:w="1035" w:type="dxa"/>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textAlignment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指标值</w:t>
            </w:r>
          </w:p>
        </w:tc>
        <w:tc>
          <w:tcPr>
            <w:tcW w:w="1305" w:type="dxa"/>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textAlignment w:val="center"/>
              <w:rPr>
                <w:rFonts w:hint="eastAsia" w:ascii="宋体" w:hAnsi="宋体" w:eastAsia="宋体" w:cs="宋体"/>
                <w:color w:val="000000"/>
                <w:kern w:val="0"/>
                <w:sz w:val="18"/>
                <w:szCs w:val="18"/>
              </w:rPr>
            </w:pPr>
          </w:p>
        </w:tc>
      </w:tr>
      <w:tr>
        <w:tblPrEx>
          <w:tblCellMar>
            <w:top w:w="0" w:type="dxa"/>
            <w:left w:w="108" w:type="dxa"/>
            <w:bottom w:w="0" w:type="dxa"/>
            <w:right w:w="108" w:type="dxa"/>
          </w:tblCellMar>
        </w:tblPrEx>
        <w:trPr>
          <w:gridAfter w:val="1"/>
          <w:wAfter w:w="20" w:type="dxa"/>
          <w:trHeight w:val="405" w:hRule="atLeast"/>
          <w:jc w:val="center"/>
        </w:trPr>
        <w:tc>
          <w:tcPr>
            <w:tcW w:w="431" w:type="dxa"/>
            <w:vMerge w:val="continue"/>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textAlignment w:val="center"/>
              <w:rPr>
                <w:rFonts w:hint="eastAsia" w:ascii="宋体" w:hAnsi="宋体" w:eastAsia="宋体" w:cs="宋体"/>
                <w:color w:val="000000"/>
                <w:kern w:val="0"/>
                <w:sz w:val="18"/>
                <w:szCs w:val="18"/>
              </w:rPr>
            </w:pPr>
          </w:p>
        </w:tc>
        <w:tc>
          <w:tcPr>
            <w:tcW w:w="493" w:type="dxa"/>
            <w:vMerge w:val="restart"/>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textAlignment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产出指标</w:t>
            </w:r>
          </w:p>
        </w:tc>
        <w:tc>
          <w:tcPr>
            <w:tcW w:w="1037" w:type="dxa"/>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textAlignment w:val="center"/>
              <w:rPr>
                <w:rFonts w:hint="eastAsia" w:ascii="宋体" w:hAnsi="宋体" w:eastAsia="宋体" w:cs="宋体"/>
                <w:color w:val="000000"/>
                <w:kern w:val="0"/>
                <w:sz w:val="18"/>
                <w:szCs w:val="18"/>
                <w:lang w:eastAsia="zh-CN"/>
              </w:rPr>
            </w:pPr>
            <w:r>
              <w:rPr>
                <w:rFonts w:hint="eastAsia" w:ascii="宋体" w:hAnsi="宋体" w:eastAsia="宋体" w:cs="宋体"/>
                <w:color w:val="000000"/>
                <w:kern w:val="0"/>
                <w:sz w:val="18"/>
                <w:szCs w:val="18"/>
                <w:lang w:eastAsia="zh-CN"/>
              </w:rPr>
              <w:t>数量指标</w:t>
            </w:r>
          </w:p>
        </w:tc>
        <w:tc>
          <w:tcPr>
            <w:tcW w:w="5160" w:type="dxa"/>
            <w:gridSpan w:val="5"/>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textAlignment w:val="center"/>
              <w:rPr>
                <w:rFonts w:hint="eastAsia"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rPr>
              <w:t>免费孕前优生优育检查</w:t>
            </w:r>
            <w:r>
              <w:rPr>
                <w:rFonts w:hint="eastAsia" w:ascii="宋体" w:hAnsi="宋体" w:eastAsia="宋体" w:cs="宋体"/>
                <w:color w:val="000000"/>
                <w:kern w:val="0"/>
                <w:sz w:val="18"/>
                <w:szCs w:val="18"/>
                <w:lang w:eastAsia="zh-CN"/>
              </w:rPr>
              <w:t>对数</w:t>
            </w:r>
          </w:p>
        </w:tc>
        <w:tc>
          <w:tcPr>
            <w:tcW w:w="1035" w:type="dxa"/>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textAlignment w:val="center"/>
              <w:rPr>
                <w:rFonts w:hint="eastAsia"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110对</w:t>
            </w:r>
          </w:p>
        </w:tc>
        <w:tc>
          <w:tcPr>
            <w:tcW w:w="1305" w:type="dxa"/>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textAlignment w:val="center"/>
              <w:rPr>
                <w:rFonts w:hint="default"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112对</w:t>
            </w:r>
          </w:p>
        </w:tc>
      </w:tr>
      <w:tr>
        <w:tblPrEx>
          <w:tblCellMar>
            <w:top w:w="0" w:type="dxa"/>
            <w:left w:w="108" w:type="dxa"/>
            <w:bottom w:w="0" w:type="dxa"/>
            <w:right w:w="108" w:type="dxa"/>
          </w:tblCellMar>
        </w:tblPrEx>
        <w:trPr>
          <w:gridAfter w:val="1"/>
          <w:wAfter w:w="20" w:type="dxa"/>
          <w:trHeight w:val="416" w:hRule="atLeast"/>
          <w:jc w:val="center"/>
        </w:trPr>
        <w:tc>
          <w:tcPr>
            <w:tcW w:w="431" w:type="dxa"/>
            <w:vMerge w:val="continue"/>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textAlignment w:val="center"/>
              <w:rPr>
                <w:rFonts w:hint="eastAsia" w:ascii="宋体" w:hAnsi="宋体" w:eastAsia="宋体" w:cs="宋体"/>
                <w:color w:val="000000"/>
                <w:kern w:val="0"/>
                <w:sz w:val="18"/>
                <w:szCs w:val="18"/>
              </w:rPr>
            </w:pPr>
          </w:p>
        </w:tc>
        <w:tc>
          <w:tcPr>
            <w:tcW w:w="493" w:type="dxa"/>
            <w:vMerge w:val="continue"/>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textAlignment w:val="center"/>
              <w:rPr>
                <w:rFonts w:hint="eastAsia" w:ascii="宋体" w:hAnsi="宋体" w:eastAsia="宋体" w:cs="宋体"/>
                <w:color w:val="000000"/>
                <w:kern w:val="0"/>
                <w:sz w:val="18"/>
                <w:szCs w:val="18"/>
              </w:rPr>
            </w:pPr>
          </w:p>
        </w:tc>
        <w:tc>
          <w:tcPr>
            <w:tcW w:w="1037" w:type="dxa"/>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textAlignment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eastAsia="zh-CN"/>
              </w:rPr>
              <w:t>数量指标</w:t>
            </w:r>
          </w:p>
        </w:tc>
        <w:tc>
          <w:tcPr>
            <w:tcW w:w="5160" w:type="dxa"/>
            <w:gridSpan w:val="5"/>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textAlignment w:val="center"/>
              <w:rPr>
                <w:rFonts w:hint="eastAsia"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rPr>
              <w:t>免费婚前医学健康检查</w:t>
            </w:r>
            <w:r>
              <w:rPr>
                <w:rFonts w:hint="eastAsia" w:ascii="宋体" w:hAnsi="宋体" w:eastAsia="宋体" w:cs="宋体"/>
                <w:color w:val="000000"/>
                <w:kern w:val="0"/>
                <w:sz w:val="18"/>
                <w:szCs w:val="18"/>
                <w:lang w:eastAsia="zh-CN"/>
              </w:rPr>
              <w:t>对数</w:t>
            </w:r>
          </w:p>
        </w:tc>
        <w:tc>
          <w:tcPr>
            <w:tcW w:w="1035" w:type="dxa"/>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textAlignment w:val="center"/>
              <w:rPr>
                <w:rFonts w:hint="eastAsia"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180对</w:t>
            </w:r>
          </w:p>
        </w:tc>
        <w:tc>
          <w:tcPr>
            <w:tcW w:w="1305" w:type="dxa"/>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textAlignment w:val="center"/>
              <w:rPr>
                <w:rFonts w:hint="default"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191对</w:t>
            </w:r>
          </w:p>
        </w:tc>
      </w:tr>
      <w:tr>
        <w:tblPrEx>
          <w:tblCellMar>
            <w:top w:w="0" w:type="dxa"/>
            <w:left w:w="108" w:type="dxa"/>
            <w:bottom w:w="0" w:type="dxa"/>
            <w:right w:w="108" w:type="dxa"/>
          </w:tblCellMar>
        </w:tblPrEx>
        <w:trPr>
          <w:gridAfter w:val="1"/>
          <w:wAfter w:w="20" w:type="dxa"/>
          <w:trHeight w:val="565" w:hRule="atLeast"/>
          <w:jc w:val="center"/>
        </w:trPr>
        <w:tc>
          <w:tcPr>
            <w:tcW w:w="431" w:type="dxa"/>
            <w:vMerge w:val="continue"/>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textAlignment w:val="center"/>
              <w:rPr>
                <w:rFonts w:hint="eastAsia" w:ascii="宋体" w:hAnsi="宋体" w:eastAsia="宋体" w:cs="宋体"/>
                <w:color w:val="000000"/>
                <w:kern w:val="0"/>
                <w:sz w:val="18"/>
                <w:szCs w:val="18"/>
              </w:rPr>
            </w:pPr>
          </w:p>
        </w:tc>
        <w:tc>
          <w:tcPr>
            <w:tcW w:w="493" w:type="dxa"/>
            <w:vMerge w:val="continue"/>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textAlignment w:val="center"/>
              <w:rPr>
                <w:rFonts w:hint="eastAsia" w:ascii="宋体" w:hAnsi="宋体" w:eastAsia="宋体" w:cs="宋体"/>
                <w:color w:val="000000"/>
                <w:kern w:val="0"/>
                <w:sz w:val="18"/>
                <w:szCs w:val="18"/>
              </w:rPr>
            </w:pPr>
          </w:p>
        </w:tc>
        <w:tc>
          <w:tcPr>
            <w:tcW w:w="1037" w:type="dxa"/>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textAlignment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eastAsia="zh-CN"/>
              </w:rPr>
              <w:t>数量指标</w:t>
            </w:r>
          </w:p>
        </w:tc>
        <w:tc>
          <w:tcPr>
            <w:tcW w:w="5160" w:type="dxa"/>
            <w:gridSpan w:val="5"/>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textAlignment w:val="center"/>
              <w:rPr>
                <w:rFonts w:hint="eastAsia"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rPr>
              <w:t>农村妇女“宫颈癌、乳腺癌”</w:t>
            </w:r>
            <w:r>
              <w:rPr>
                <w:rFonts w:hint="eastAsia" w:ascii="宋体" w:hAnsi="宋体" w:eastAsia="宋体" w:cs="宋体"/>
                <w:color w:val="000000"/>
                <w:kern w:val="0"/>
                <w:sz w:val="18"/>
                <w:szCs w:val="18"/>
                <w:lang w:eastAsia="zh-CN"/>
              </w:rPr>
              <w:t>筛查人数</w:t>
            </w:r>
          </w:p>
        </w:tc>
        <w:tc>
          <w:tcPr>
            <w:tcW w:w="1035" w:type="dxa"/>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textAlignment w:val="center"/>
              <w:rPr>
                <w:rFonts w:hint="eastAsia"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1200人</w:t>
            </w:r>
          </w:p>
        </w:tc>
        <w:tc>
          <w:tcPr>
            <w:tcW w:w="1305" w:type="dxa"/>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textAlignment w:val="center"/>
              <w:rPr>
                <w:rFonts w:hint="default"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1347人</w:t>
            </w:r>
          </w:p>
        </w:tc>
      </w:tr>
      <w:tr>
        <w:tblPrEx>
          <w:tblCellMar>
            <w:top w:w="0" w:type="dxa"/>
            <w:left w:w="108" w:type="dxa"/>
            <w:bottom w:w="0" w:type="dxa"/>
            <w:right w:w="108" w:type="dxa"/>
          </w:tblCellMar>
        </w:tblPrEx>
        <w:trPr>
          <w:gridAfter w:val="1"/>
          <w:wAfter w:w="20" w:type="dxa"/>
          <w:trHeight w:val="565" w:hRule="atLeast"/>
          <w:jc w:val="center"/>
        </w:trPr>
        <w:tc>
          <w:tcPr>
            <w:tcW w:w="431" w:type="dxa"/>
            <w:vMerge w:val="continue"/>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textAlignment w:val="center"/>
              <w:rPr>
                <w:rFonts w:hint="eastAsia" w:ascii="宋体" w:hAnsi="宋体" w:eastAsia="宋体" w:cs="宋体"/>
                <w:color w:val="000000"/>
                <w:kern w:val="0"/>
                <w:sz w:val="18"/>
                <w:szCs w:val="18"/>
              </w:rPr>
            </w:pPr>
          </w:p>
        </w:tc>
        <w:tc>
          <w:tcPr>
            <w:tcW w:w="493" w:type="dxa"/>
            <w:vMerge w:val="continue"/>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textAlignment w:val="center"/>
              <w:rPr>
                <w:rFonts w:hint="eastAsia" w:ascii="宋体" w:hAnsi="宋体" w:eastAsia="宋体" w:cs="宋体"/>
                <w:color w:val="000000"/>
                <w:kern w:val="0"/>
                <w:sz w:val="18"/>
                <w:szCs w:val="18"/>
              </w:rPr>
            </w:pPr>
          </w:p>
        </w:tc>
        <w:tc>
          <w:tcPr>
            <w:tcW w:w="1037" w:type="dxa"/>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textAlignment w:val="center"/>
              <w:rPr>
                <w:rFonts w:hint="eastAsia" w:ascii="宋体" w:hAnsi="宋体" w:eastAsia="宋体" w:cs="宋体"/>
                <w:color w:val="000000"/>
                <w:kern w:val="0"/>
                <w:sz w:val="18"/>
                <w:szCs w:val="18"/>
                <w:lang w:eastAsia="zh-CN"/>
              </w:rPr>
            </w:pPr>
            <w:r>
              <w:rPr>
                <w:rFonts w:hint="eastAsia" w:ascii="宋体" w:hAnsi="宋体" w:eastAsia="宋体" w:cs="宋体"/>
                <w:color w:val="000000"/>
                <w:kern w:val="0"/>
                <w:sz w:val="18"/>
                <w:szCs w:val="18"/>
                <w:lang w:eastAsia="zh-CN"/>
              </w:rPr>
              <w:t>质量指标</w:t>
            </w:r>
          </w:p>
        </w:tc>
        <w:tc>
          <w:tcPr>
            <w:tcW w:w="5160" w:type="dxa"/>
            <w:gridSpan w:val="5"/>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textAlignment w:val="center"/>
              <w:rPr>
                <w:rFonts w:hint="eastAsia" w:ascii="宋体" w:hAnsi="宋体" w:eastAsia="宋体" w:cs="宋体"/>
                <w:color w:val="000000"/>
                <w:kern w:val="0"/>
                <w:sz w:val="18"/>
                <w:szCs w:val="18"/>
                <w:lang w:eastAsia="zh-CN"/>
              </w:rPr>
            </w:pPr>
            <w:r>
              <w:rPr>
                <w:rFonts w:hint="eastAsia" w:ascii="宋体" w:hAnsi="宋体" w:eastAsia="宋体" w:cs="宋体"/>
                <w:color w:val="000000"/>
                <w:kern w:val="0"/>
                <w:sz w:val="18"/>
                <w:szCs w:val="18"/>
                <w:lang w:eastAsia="zh-CN"/>
              </w:rPr>
              <w:t>宫颈癌筛查早诊率</w:t>
            </w:r>
          </w:p>
        </w:tc>
        <w:tc>
          <w:tcPr>
            <w:tcW w:w="1035" w:type="dxa"/>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textAlignment w:val="center"/>
              <w:rPr>
                <w:rFonts w:hint="default"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90%</w:t>
            </w:r>
          </w:p>
        </w:tc>
        <w:tc>
          <w:tcPr>
            <w:tcW w:w="1305" w:type="dxa"/>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textAlignment w:val="center"/>
              <w:rPr>
                <w:rFonts w:hint="eastAsia"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90%</w:t>
            </w:r>
          </w:p>
        </w:tc>
      </w:tr>
      <w:tr>
        <w:tblPrEx>
          <w:tblCellMar>
            <w:top w:w="0" w:type="dxa"/>
            <w:left w:w="108" w:type="dxa"/>
            <w:bottom w:w="0" w:type="dxa"/>
            <w:right w:w="108" w:type="dxa"/>
          </w:tblCellMar>
        </w:tblPrEx>
        <w:trPr>
          <w:gridAfter w:val="1"/>
          <w:wAfter w:w="20" w:type="dxa"/>
          <w:trHeight w:val="565" w:hRule="atLeast"/>
          <w:jc w:val="center"/>
        </w:trPr>
        <w:tc>
          <w:tcPr>
            <w:tcW w:w="431" w:type="dxa"/>
            <w:vMerge w:val="continue"/>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textAlignment w:val="center"/>
              <w:rPr>
                <w:rFonts w:hint="eastAsia" w:ascii="宋体" w:hAnsi="宋体" w:eastAsia="宋体" w:cs="宋体"/>
                <w:color w:val="000000"/>
                <w:kern w:val="0"/>
                <w:sz w:val="18"/>
                <w:szCs w:val="18"/>
              </w:rPr>
            </w:pPr>
          </w:p>
        </w:tc>
        <w:tc>
          <w:tcPr>
            <w:tcW w:w="493" w:type="dxa"/>
            <w:vMerge w:val="continue"/>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textAlignment w:val="center"/>
              <w:rPr>
                <w:rFonts w:hint="eastAsia" w:ascii="宋体" w:hAnsi="宋体" w:eastAsia="宋体" w:cs="宋体"/>
                <w:color w:val="000000"/>
                <w:kern w:val="0"/>
                <w:sz w:val="18"/>
                <w:szCs w:val="18"/>
              </w:rPr>
            </w:pPr>
          </w:p>
        </w:tc>
        <w:tc>
          <w:tcPr>
            <w:tcW w:w="1037" w:type="dxa"/>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textAlignment w:val="center"/>
              <w:rPr>
                <w:rFonts w:hint="eastAsia" w:ascii="宋体" w:hAnsi="宋体" w:eastAsia="宋体" w:cs="宋体"/>
                <w:color w:val="000000"/>
                <w:kern w:val="0"/>
                <w:sz w:val="18"/>
                <w:szCs w:val="18"/>
                <w:lang w:eastAsia="zh-CN"/>
              </w:rPr>
            </w:pPr>
            <w:r>
              <w:rPr>
                <w:rFonts w:hint="eastAsia" w:ascii="宋体" w:hAnsi="宋体" w:eastAsia="宋体" w:cs="宋体"/>
                <w:color w:val="000000"/>
                <w:kern w:val="0"/>
                <w:sz w:val="18"/>
                <w:szCs w:val="18"/>
                <w:lang w:eastAsia="zh-CN"/>
              </w:rPr>
              <w:t>质量指标</w:t>
            </w:r>
          </w:p>
        </w:tc>
        <w:tc>
          <w:tcPr>
            <w:tcW w:w="5160" w:type="dxa"/>
            <w:gridSpan w:val="5"/>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textAlignment w:val="center"/>
              <w:rPr>
                <w:rFonts w:hint="eastAsia" w:ascii="宋体" w:hAnsi="宋体" w:eastAsia="宋体" w:cs="宋体"/>
                <w:color w:val="000000"/>
                <w:kern w:val="0"/>
                <w:sz w:val="18"/>
                <w:szCs w:val="18"/>
                <w:lang w:eastAsia="zh-CN"/>
              </w:rPr>
            </w:pPr>
            <w:r>
              <w:rPr>
                <w:rFonts w:hint="eastAsia" w:ascii="宋体" w:hAnsi="宋体" w:eastAsia="宋体" w:cs="宋体"/>
                <w:color w:val="000000"/>
                <w:kern w:val="0"/>
                <w:sz w:val="18"/>
                <w:szCs w:val="18"/>
                <w:lang w:eastAsia="zh-CN"/>
              </w:rPr>
              <w:t>高危孕产妇管理率</w:t>
            </w:r>
          </w:p>
        </w:tc>
        <w:tc>
          <w:tcPr>
            <w:tcW w:w="1035" w:type="dxa"/>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textAlignment w:val="center"/>
              <w:rPr>
                <w:rFonts w:hint="eastAsia" w:ascii="宋体" w:hAnsi="宋体" w:eastAsia="宋体" w:cs="宋体"/>
                <w:color w:val="000000"/>
                <w:kern w:val="0"/>
                <w:sz w:val="18"/>
                <w:szCs w:val="18"/>
                <w:lang w:val="en-US" w:eastAsia="zh-CN" w:bidi="ar-SA"/>
              </w:rPr>
            </w:pPr>
            <w:r>
              <w:rPr>
                <w:rFonts w:hint="eastAsia" w:ascii="宋体" w:hAnsi="宋体" w:eastAsia="宋体" w:cs="宋体"/>
                <w:color w:val="000000"/>
                <w:kern w:val="0"/>
                <w:sz w:val="18"/>
                <w:szCs w:val="18"/>
                <w:lang w:val="en-US" w:eastAsia="zh-CN"/>
              </w:rPr>
              <w:t>100%</w:t>
            </w:r>
          </w:p>
        </w:tc>
        <w:tc>
          <w:tcPr>
            <w:tcW w:w="1305" w:type="dxa"/>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textAlignment w:val="center"/>
              <w:rPr>
                <w:rFonts w:hint="eastAsia" w:ascii="宋体" w:hAnsi="宋体" w:eastAsia="宋体" w:cs="宋体"/>
                <w:color w:val="000000"/>
                <w:kern w:val="0"/>
                <w:sz w:val="18"/>
                <w:szCs w:val="18"/>
                <w:lang w:val="en-US" w:eastAsia="zh-CN" w:bidi="ar-SA"/>
              </w:rPr>
            </w:pPr>
            <w:r>
              <w:rPr>
                <w:rFonts w:hint="eastAsia" w:ascii="宋体" w:hAnsi="宋体" w:eastAsia="宋体" w:cs="宋体"/>
                <w:color w:val="000000"/>
                <w:kern w:val="0"/>
                <w:sz w:val="18"/>
                <w:szCs w:val="18"/>
                <w:lang w:val="en-US" w:eastAsia="zh-CN"/>
              </w:rPr>
              <w:t>100%</w:t>
            </w:r>
          </w:p>
        </w:tc>
      </w:tr>
      <w:tr>
        <w:tblPrEx>
          <w:tblCellMar>
            <w:top w:w="0" w:type="dxa"/>
            <w:left w:w="108" w:type="dxa"/>
            <w:bottom w:w="0" w:type="dxa"/>
            <w:right w:w="108" w:type="dxa"/>
          </w:tblCellMar>
        </w:tblPrEx>
        <w:trPr>
          <w:gridAfter w:val="1"/>
          <w:wAfter w:w="20" w:type="dxa"/>
          <w:trHeight w:val="565" w:hRule="atLeast"/>
          <w:jc w:val="center"/>
        </w:trPr>
        <w:tc>
          <w:tcPr>
            <w:tcW w:w="431" w:type="dxa"/>
            <w:vMerge w:val="continue"/>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textAlignment w:val="center"/>
              <w:rPr>
                <w:rFonts w:hint="eastAsia" w:ascii="宋体" w:hAnsi="宋体" w:eastAsia="宋体" w:cs="宋体"/>
                <w:color w:val="000000"/>
                <w:kern w:val="0"/>
                <w:sz w:val="18"/>
                <w:szCs w:val="18"/>
              </w:rPr>
            </w:pPr>
          </w:p>
        </w:tc>
        <w:tc>
          <w:tcPr>
            <w:tcW w:w="493" w:type="dxa"/>
            <w:vMerge w:val="continue"/>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textAlignment w:val="center"/>
              <w:rPr>
                <w:rFonts w:hint="eastAsia" w:ascii="宋体" w:hAnsi="宋体" w:eastAsia="宋体" w:cs="宋体"/>
                <w:color w:val="000000"/>
                <w:kern w:val="0"/>
                <w:sz w:val="18"/>
                <w:szCs w:val="18"/>
              </w:rPr>
            </w:pPr>
          </w:p>
        </w:tc>
        <w:tc>
          <w:tcPr>
            <w:tcW w:w="1037" w:type="dxa"/>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textAlignment w:val="center"/>
              <w:rPr>
                <w:rFonts w:hint="eastAsia" w:ascii="宋体" w:hAnsi="宋体" w:eastAsia="宋体" w:cs="宋体"/>
                <w:color w:val="000000"/>
                <w:kern w:val="0"/>
                <w:sz w:val="18"/>
                <w:szCs w:val="18"/>
                <w:lang w:eastAsia="zh-CN"/>
              </w:rPr>
            </w:pPr>
            <w:r>
              <w:rPr>
                <w:rFonts w:hint="eastAsia" w:ascii="宋体" w:hAnsi="宋体" w:eastAsia="宋体" w:cs="宋体"/>
                <w:color w:val="000000"/>
                <w:kern w:val="0"/>
                <w:sz w:val="18"/>
                <w:szCs w:val="18"/>
                <w:lang w:eastAsia="zh-CN"/>
              </w:rPr>
              <w:t>质量指标</w:t>
            </w:r>
          </w:p>
        </w:tc>
        <w:tc>
          <w:tcPr>
            <w:tcW w:w="5160" w:type="dxa"/>
            <w:gridSpan w:val="5"/>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textAlignment w:val="center"/>
              <w:rPr>
                <w:rFonts w:hint="eastAsia" w:ascii="宋体" w:hAnsi="宋体" w:eastAsia="宋体" w:cs="宋体"/>
                <w:color w:val="000000"/>
                <w:kern w:val="0"/>
                <w:sz w:val="18"/>
                <w:szCs w:val="18"/>
                <w:lang w:eastAsia="zh-CN"/>
              </w:rPr>
            </w:pPr>
            <w:r>
              <w:rPr>
                <w:rFonts w:hint="eastAsia" w:ascii="宋体" w:hAnsi="宋体" w:eastAsia="宋体" w:cs="宋体"/>
                <w:color w:val="000000"/>
                <w:kern w:val="0"/>
                <w:sz w:val="18"/>
                <w:szCs w:val="18"/>
                <w:lang w:eastAsia="zh-CN"/>
              </w:rPr>
              <w:t>住院分娩率</w:t>
            </w:r>
          </w:p>
        </w:tc>
        <w:tc>
          <w:tcPr>
            <w:tcW w:w="1035" w:type="dxa"/>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textAlignment w:val="center"/>
              <w:rPr>
                <w:rFonts w:hint="eastAsia" w:ascii="宋体" w:hAnsi="宋体" w:eastAsia="宋体" w:cs="宋体"/>
                <w:color w:val="000000"/>
                <w:kern w:val="0"/>
                <w:sz w:val="18"/>
                <w:szCs w:val="18"/>
                <w:lang w:val="en-US" w:eastAsia="zh-CN" w:bidi="ar-SA"/>
              </w:rPr>
            </w:pPr>
            <w:r>
              <w:rPr>
                <w:rFonts w:hint="eastAsia" w:ascii="宋体" w:hAnsi="宋体" w:eastAsia="宋体" w:cs="宋体"/>
                <w:color w:val="000000"/>
                <w:kern w:val="0"/>
                <w:sz w:val="18"/>
                <w:szCs w:val="18"/>
                <w:lang w:val="en-US" w:eastAsia="zh-CN"/>
              </w:rPr>
              <w:t>90%</w:t>
            </w:r>
          </w:p>
        </w:tc>
        <w:tc>
          <w:tcPr>
            <w:tcW w:w="1305" w:type="dxa"/>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textAlignment w:val="center"/>
              <w:rPr>
                <w:rFonts w:hint="eastAsia" w:ascii="宋体" w:hAnsi="宋体" w:eastAsia="宋体" w:cs="宋体"/>
                <w:color w:val="000000"/>
                <w:kern w:val="0"/>
                <w:sz w:val="18"/>
                <w:szCs w:val="18"/>
                <w:lang w:val="en-US" w:eastAsia="zh-CN" w:bidi="ar-SA"/>
              </w:rPr>
            </w:pPr>
            <w:r>
              <w:rPr>
                <w:rFonts w:hint="eastAsia" w:ascii="宋体" w:hAnsi="宋体" w:eastAsia="宋体" w:cs="宋体"/>
                <w:color w:val="000000"/>
                <w:kern w:val="0"/>
                <w:sz w:val="18"/>
                <w:szCs w:val="18"/>
                <w:lang w:val="en-US" w:eastAsia="zh-CN"/>
              </w:rPr>
              <w:t>91.04%</w:t>
            </w:r>
          </w:p>
        </w:tc>
      </w:tr>
      <w:tr>
        <w:tblPrEx>
          <w:tblCellMar>
            <w:top w:w="0" w:type="dxa"/>
            <w:left w:w="108" w:type="dxa"/>
            <w:bottom w:w="0" w:type="dxa"/>
            <w:right w:w="108" w:type="dxa"/>
          </w:tblCellMar>
        </w:tblPrEx>
        <w:trPr>
          <w:gridAfter w:val="1"/>
          <w:wAfter w:w="20" w:type="dxa"/>
          <w:trHeight w:val="565" w:hRule="atLeast"/>
          <w:jc w:val="center"/>
        </w:trPr>
        <w:tc>
          <w:tcPr>
            <w:tcW w:w="431" w:type="dxa"/>
            <w:vMerge w:val="continue"/>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textAlignment w:val="center"/>
              <w:rPr>
                <w:rFonts w:hint="eastAsia" w:ascii="宋体" w:hAnsi="宋体" w:eastAsia="宋体" w:cs="宋体"/>
                <w:color w:val="000000"/>
                <w:kern w:val="0"/>
                <w:sz w:val="18"/>
                <w:szCs w:val="18"/>
              </w:rPr>
            </w:pPr>
          </w:p>
        </w:tc>
        <w:tc>
          <w:tcPr>
            <w:tcW w:w="493" w:type="dxa"/>
            <w:vMerge w:val="continue"/>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textAlignment w:val="center"/>
              <w:rPr>
                <w:rFonts w:hint="eastAsia" w:ascii="宋体" w:hAnsi="宋体" w:eastAsia="宋体" w:cs="宋体"/>
                <w:color w:val="000000"/>
                <w:kern w:val="0"/>
                <w:sz w:val="18"/>
                <w:szCs w:val="18"/>
              </w:rPr>
            </w:pPr>
          </w:p>
        </w:tc>
        <w:tc>
          <w:tcPr>
            <w:tcW w:w="1037" w:type="dxa"/>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textAlignment w:val="center"/>
              <w:rPr>
                <w:rFonts w:hint="eastAsia" w:ascii="宋体" w:hAnsi="宋体" w:eastAsia="宋体" w:cs="宋体"/>
                <w:color w:val="000000"/>
                <w:kern w:val="0"/>
                <w:sz w:val="18"/>
                <w:szCs w:val="18"/>
                <w:lang w:eastAsia="zh-CN"/>
              </w:rPr>
            </w:pPr>
            <w:r>
              <w:rPr>
                <w:rFonts w:hint="eastAsia" w:ascii="宋体" w:hAnsi="宋体" w:eastAsia="宋体" w:cs="宋体"/>
                <w:color w:val="000000"/>
                <w:kern w:val="0"/>
                <w:sz w:val="18"/>
                <w:szCs w:val="18"/>
                <w:lang w:eastAsia="zh-CN"/>
              </w:rPr>
              <w:t>时效指标</w:t>
            </w:r>
          </w:p>
        </w:tc>
        <w:tc>
          <w:tcPr>
            <w:tcW w:w="5160" w:type="dxa"/>
            <w:gridSpan w:val="5"/>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textAlignment w:val="center"/>
              <w:rPr>
                <w:rFonts w:hint="eastAsia" w:ascii="宋体" w:hAnsi="宋体" w:eastAsia="宋体" w:cs="宋体"/>
                <w:color w:val="000000"/>
                <w:kern w:val="0"/>
                <w:sz w:val="18"/>
                <w:szCs w:val="18"/>
                <w:lang w:eastAsia="zh-CN"/>
              </w:rPr>
            </w:pPr>
            <w:r>
              <w:rPr>
                <w:rFonts w:hint="eastAsia" w:ascii="宋体" w:hAnsi="宋体" w:eastAsia="宋体" w:cs="宋体"/>
                <w:color w:val="000000"/>
                <w:kern w:val="0"/>
                <w:sz w:val="18"/>
                <w:szCs w:val="18"/>
                <w:lang w:eastAsia="zh-CN"/>
              </w:rPr>
              <w:t>工作开展时限</w:t>
            </w:r>
          </w:p>
        </w:tc>
        <w:tc>
          <w:tcPr>
            <w:tcW w:w="1035" w:type="dxa"/>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textAlignment w:val="center"/>
              <w:rPr>
                <w:rFonts w:hint="default"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≤12月</w:t>
            </w:r>
          </w:p>
        </w:tc>
        <w:tc>
          <w:tcPr>
            <w:tcW w:w="1305" w:type="dxa"/>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textAlignment w:val="center"/>
              <w:rPr>
                <w:rFonts w:hint="default"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12月</w:t>
            </w:r>
          </w:p>
        </w:tc>
      </w:tr>
      <w:tr>
        <w:tblPrEx>
          <w:tblCellMar>
            <w:top w:w="0" w:type="dxa"/>
            <w:left w:w="108" w:type="dxa"/>
            <w:bottom w:w="0" w:type="dxa"/>
            <w:right w:w="108" w:type="dxa"/>
          </w:tblCellMar>
        </w:tblPrEx>
        <w:trPr>
          <w:gridAfter w:val="1"/>
          <w:wAfter w:w="20" w:type="dxa"/>
          <w:trHeight w:val="596" w:hRule="atLeast"/>
          <w:jc w:val="center"/>
        </w:trPr>
        <w:tc>
          <w:tcPr>
            <w:tcW w:w="431" w:type="dxa"/>
            <w:vMerge w:val="continue"/>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textAlignment w:val="center"/>
              <w:rPr>
                <w:rFonts w:hint="eastAsia" w:ascii="宋体" w:hAnsi="宋体" w:eastAsia="宋体" w:cs="宋体"/>
                <w:color w:val="000000"/>
                <w:kern w:val="0"/>
                <w:sz w:val="18"/>
                <w:szCs w:val="18"/>
              </w:rPr>
            </w:pPr>
          </w:p>
        </w:tc>
        <w:tc>
          <w:tcPr>
            <w:tcW w:w="493" w:type="dxa"/>
            <w:vMerge w:val="restart"/>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textAlignment w:val="center"/>
              <w:rPr>
                <w:rFonts w:hint="eastAsia" w:ascii="宋体" w:hAnsi="宋体" w:eastAsia="宋体" w:cs="宋体"/>
                <w:color w:val="000000"/>
                <w:kern w:val="0"/>
                <w:sz w:val="18"/>
                <w:szCs w:val="18"/>
                <w:lang w:eastAsia="zh-CN"/>
              </w:rPr>
            </w:pPr>
            <w:r>
              <w:rPr>
                <w:rFonts w:hint="eastAsia" w:ascii="宋体" w:hAnsi="宋体" w:eastAsia="宋体" w:cs="宋体"/>
                <w:color w:val="000000"/>
                <w:kern w:val="0"/>
                <w:sz w:val="18"/>
                <w:szCs w:val="18"/>
                <w:lang w:eastAsia="zh-CN"/>
              </w:rPr>
              <w:t>效益指标</w:t>
            </w:r>
          </w:p>
        </w:tc>
        <w:tc>
          <w:tcPr>
            <w:tcW w:w="1037" w:type="dxa"/>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textAlignment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社会效益指标</w:t>
            </w:r>
          </w:p>
        </w:tc>
        <w:tc>
          <w:tcPr>
            <w:tcW w:w="5160" w:type="dxa"/>
            <w:gridSpan w:val="5"/>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textAlignment w:val="center"/>
              <w:rPr>
                <w:rFonts w:hint="eastAsia"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eastAsia="zh-CN"/>
              </w:rPr>
              <w:t>孕产妇死亡人数</w:t>
            </w:r>
          </w:p>
        </w:tc>
        <w:tc>
          <w:tcPr>
            <w:tcW w:w="1035" w:type="dxa"/>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textAlignment w:val="center"/>
              <w:rPr>
                <w:rFonts w:hint="eastAsia"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0人</w:t>
            </w:r>
          </w:p>
        </w:tc>
        <w:tc>
          <w:tcPr>
            <w:tcW w:w="1305" w:type="dxa"/>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textAlignment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rPr>
              <w:t>0人</w:t>
            </w:r>
          </w:p>
        </w:tc>
      </w:tr>
      <w:tr>
        <w:tblPrEx>
          <w:tblCellMar>
            <w:top w:w="0" w:type="dxa"/>
            <w:left w:w="108" w:type="dxa"/>
            <w:bottom w:w="0" w:type="dxa"/>
            <w:right w:w="108" w:type="dxa"/>
          </w:tblCellMar>
        </w:tblPrEx>
        <w:trPr>
          <w:gridAfter w:val="1"/>
          <w:wAfter w:w="20" w:type="dxa"/>
          <w:trHeight w:val="596" w:hRule="atLeast"/>
          <w:jc w:val="center"/>
        </w:trPr>
        <w:tc>
          <w:tcPr>
            <w:tcW w:w="431" w:type="dxa"/>
            <w:vMerge w:val="continue"/>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textAlignment w:val="center"/>
              <w:rPr>
                <w:rFonts w:hint="eastAsia" w:ascii="宋体" w:hAnsi="宋体" w:eastAsia="宋体" w:cs="宋体"/>
                <w:color w:val="000000"/>
                <w:kern w:val="0"/>
                <w:sz w:val="18"/>
                <w:szCs w:val="18"/>
              </w:rPr>
            </w:pPr>
          </w:p>
        </w:tc>
        <w:tc>
          <w:tcPr>
            <w:tcW w:w="493" w:type="dxa"/>
            <w:vMerge w:val="continue"/>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textAlignment w:val="center"/>
              <w:rPr>
                <w:rFonts w:hint="eastAsia" w:ascii="宋体" w:hAnsi="宋体" w:eastAsia="宋体" w:cs="宋体"/>
                <w:color w:val="000000"/>
                <w:kern w:val="0"/>
                <w:sz w:val="18"/>
                <w:szCs w:val="18"/>
              </w:rPr>
            </w:pPr>
          </w:p>
        </w:tc>
        <w:tc>
          <w:tcPr>
            <w:tcW w:w="1037" w:type="dxa"/>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textAlignment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社会效益指标</w:t>
            </w:r>
          </w:p>
        </w:tc>
        <w:tc>
          <w:tcPr>
            <w:tcW w:w="5160" w:type="dxa"/>
            <w:gridSpan w:val="5"/>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textAlignment w:val="center"/>
              <w:rPr>
                <w:rFonts w:hint="eastAsia" w:ascii="宋体" w:hAnsi="宋体" w:eastAsia="宋体" w:cs="宋体"/>
                <w:color w:val="000000"/>
                <w:kern w:val="0"/>
                <w:sz w:val="18"/>
                <w:szCs w:val="18"/>
                <w:lang w:eastAsia="zh-CN"/>
              </w:rPr>
            </w:pPr>
            <w:r>
              <w:rPr>
                <w:rFonts w:hint="eastAsia" w:ascii="宋体" w:hAnsi="宋体" w:eastAsia="宋体" w:cs="宋体"/>
                <w:color w:val="000000"/>
                <w:kern w:val="0"/>
                <w:sz w:val="18"/>
                <w:szCs w:val="18"/>
                <w:lang w:eastAsia="zh-CN"/>
              </w:rPr>
              <w:t>两癌筛查是否降低适龄妇女患病率</w:t>
            </w:r>
          </w:p>
        </w:tc>
        <w:tc>
          <w:tcPr>
            <w:tcW w:w="1035" w:type="dxa"/>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textAlignment w:val="center"/>
              <w:rPr>
                <w:rFonts w:hint="eastAsia" w:ascii="宋体" w:hAnsi="宋体" w:eastAsia="宋体" w:cs="宋体"/>
                <w:color w:val="000000"/>
                <w:kern w:val="0"/>
                <w:sz w:val="18"/>
                <w:szCs w:val="18"/>
                <w:lang w:eastAsia="zh-CN"/>
              </w:rPr>
            </w:pPr>
            <w:r>
              <w:rPr>
                <w:rFonts w:hint="eastAsia" w:ascii="宋体" w:hAnsi="宋体" w:eastAsia="宋体" w:cs="宋体"/>
                <w:color w:val="000000"/>
                <w:kern w:val="0"/>
                <w:sz w:val="18"/>
                <w:szCs w:val="18"/>
                <w:lang w:eastAsia="zh-CN"/>
              </w:rPr>
              <w:t>是</w:t>
            </w:r>
          </w:p>
        </w:tc>
        <w:tc>
          <w:tcPr>
            <w:tcW w:w="1305" w:type="dxa"/>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textAlignment w:val="center"/>
              <w:rPr>
                <w:rFonts w:hint="eastAsia" w:ascii="宋体" w:hAnsi="宋体" w:eastAsia="宋体" w:cs="宋体"/>
                <w:color w:val="000000"/>
                <w:kern w:val="0"/>
                <w:sz w:val="18"/>
                <w:szCs w:val="18"/>
                <w:lang w:eastAsia="zh-CN"/>
              </w:rPr>
            </w:pPr>
            <w:r>
              <w:rPr>
                <w:rFonts w:hint="eastAsia" w:ascii="宋体" w:hAnsi="宋体" w:eastAsia="宋体" w:cs="宋体"/>
                <w:color w:val="000000"/>
                <w:kern w:val="0"/>
                <w:sz w:val="18"/>
                <w:szCs w:val="18"/>
                <w:lang w:eastAsia="zh-CN"/>
              </w:rPr>
              <w:t>是</w:t>
            </w:r>
          </w:p>
        </w:tc>
      </w:tr>
    </w:tbl>
    <w:p>
      <w:pPr>
        <w:pStyle w:val="7"/>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ascii="Times New Roman" w:hAnsi="Times New Roman" w:eastAsia="仿宋_GB2312" w:cs="Times New Roman"/>
          <w:kern w:val="2"/>
          <w:sz w:val="32"/>
          <w:szCs w:val="32"/>
          <w:u w:val="none"/>
          <w:lang w:val="zh-CN" w:eastAsia="zh-CN" w:bidi="ar"/>
        </w:rPr>
      </w:pPr>
    </w:p>
    <w:p>
      <w:pPr>
        <w:pStyle w:val="7"/>
        <w:keepNext w:val="0"/>
        <w:keepLines w:val="0"/>
        <w:pageBreakBefore w:val="0"/>
        <w:numPr>
          <w:ilvl w:val="0"/>
          <w:numId w:val="0"/>
        </w:numPr>
        <w:kinsoku/>
        <w:wordWrap/>
        <w:overflowPunct/>
        <w:topLinePunct w:val="0"/>
        <w:autoSpaceDE/>
        <w:autoSpaceDN/>
        <w:bidi w:val="0"/>
        <w:spacing w:line="560" w:lineRule="exact"/>
        <w:textAlignment w:val="auto"/>
        <w:rPr>
          <w:rFonts w:hint="eastAsia" w:ascii="Times New Roman" w:hAnsi="Times New Roman" w:cs="Times New Roman"/>
          <w:sz w:val="32"/>
          <w:szCs w:val="32"/>
          <w:highlight w:val="yellow"/>
          <w:lang w:val="zh-CN" w:eastAsia="zh-CN"/>
        </w:rPr>
      </w:pPr>
    </w:p>
    <w:p>
      <w:pPr>
        <w:pStyle w:val="5"/>
        <w:rPr>
          <w:rFonts w:hint="eastAsia" w:ascii="Times New Roman" w:hAnsi="Times New Roman" w:cs="宋体"/>
          <w:color w:val="FF0000"/>
          <w:kern w:val="0"/>
          <w:sz w:val="32"/>
          <w:szCs w:val="32"/>
          <w:highlight w:val="yellow"/>
          <w:shd w:val="clear" w:color="auto" w:fill="FFFFFF"/>
          <w:lang w:val="zh-CN"/>
        </w:rPr>
      </w:pPr>
    </w:p>
    <w:p>
      <w:pPr>
        <w:rPr>
          <w:rFonts w:hint="eastAsia" w:ascii="Times New Roman" w:hAnsi="Times New Roman" w:eastAsia="黑体" w:cs="黑体"/>
          <w:color w:val="auto"/>
          <w:kern w:val="0"/>
          <w:sz w:val="32"/>
          <w:szCs w:val="32"/>
          <w:highlight w:val="none"/>
          <w:shd w:val="clear" w:color="auto" w:fill="FFFFFF"/>
          <w:lang w:val="zh-CN"/>
        </w:rPr>
      </w:pPr>
      <w:r>
        <w:rPr>
          <w:rFonts w:hint="eastAsia" w:ascii="Times New Roman" w:hAnsi="Times New Roman" w:eastAsia="黑体" w:cs="黑体"/>
          <w:color w:val="auto"/>
          <w:kern w:val="0"/>
          <w:sz w:val="32"/>
          <w:szCs w:val="32"/>
          <w:highlight w:val="none"/>
          <w:shd w:val="clear" w:color="auto" w:fill="FFFFFF"/>
          <w:lang w:val="zh-CN"/>
        </w:rPr>
        <w:br w:type="page"/>
      </w:r>
    </w:p>
    <w:p>
      <w:pPr>
        <w:keepNext w:val="0"/>
        <w:keepLines w:val="0"/>
        <w:pageBreakBefore w:val="0"/>
        <w:kinsoku/>
        <w:wordWrap/>
        <w:overflowPunct/>
        <w:topLinePunct w:val="0"/>
        <w:autoSpaceDE/>
        <w:autoSpaceDN/>
        <w:bidi w:val="0"/>
        <w:spacing w:line="572" w:lineRule="exact"/>
        <w:jc w:val="left"/>
        <w:textAlignment w:val="auto"/>
        <w:outlineLvl w:val="0"/>
        <w:rPr>
          <w:rFonts w:hint="eastAsia" w:ascii="Times New Roman" w:hAnsi="Times New Roman" w:eastAsia="黑体" w:cs="黑体"/>
          <w:color w:val="auto"/>
          <w:sz w:val="32"/>
          <w:szCs w:val="32"/>
          <w:highlight w:val="none"/>
          <w:lang w:val="en-US" w:eastAsia="zh-CN"/>
        </w:rPr>
      </w:pPr>
      <w:bookmarkStart w:id="91" w:name="_Toc568"/>
      <w:r>
        <w:rPr>
          <w:rFonts w:hint="eastAsia" w:ascii="Times New Roman" w:hAnsi="Times New Roman" w:eastAsia="黑体" w:cs="黑体"/>
          <w:color w:val="auto"/>
          <w:sz w:val="32"/>
          <w:szCs w:val="32"/>
          <w:highlight w:val="none"/>
          <w:lang w:val="zh-CN"/>
        </w:rPr>
        <w:t>附件</w:t>
      </w:r>
      <w:r>
        <w:rPr>
          <w:rFonts w:hint="eastAsia" w:ascii="Times New Roman" w:hAnsi="Times New Roman" w:eastAsia="黑体" w:cs="黑体"/>
          <w:color w:val="auto"/>
          <w:sz w:val="32"/>
          <w:szCs w:val="32"/>
          <w:highlight w:val="none"/>
          <w:lang w:val="en-US" w:eastAsia="zh-CN"/>
        </w:rPr>
        <w:t>2</w:t>
      </w:r>
      <w:bookmarkEnd w:id="91"/>
    </w:p>
    <w:p>
      <w:pPr>
        <w:pStyle w:val="36"/>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eastAsia" w:ascii="Times New Roman" w:hAnsi="Times New Roman" w:eastAsia="方正小标宋简体" w:cs="方正小标宋简体"/>
          <w:color w:val="auto"/>
          <w:kern w:val="2"/>
          <w:sz w:val="44"/>
          <w:szCs w:val="44"/>
          <w:highlight w:val="none"/>
          <w:lang w:val="en-US" w:eastAsia="zh-CN"/>
        </w:rPr>
      </w:pPr>
    </w:p>
    <w:p>
      <w:pPr>
        <w:pStyle w:val="2"/>
        <w:keepNext w:val="0"/>
        <w:keepLines w:val="0"/>
        <w:widowControl/>
        <w:suppressLineNumbers w:val="0"/>
        <w:ind w:left="1928" w:hanging="1766" w:hangingChars="400"/>
        <w:jc w:val="left"/>
      </w:pPr>
      <w:r>
        <w:t>壤塘县农村妇女 “两癌” 筛查专项预算</w:t>
      </w:r>
    </w:p>
    <w:p>
      <w:pPr>
        <w:pStyle w:val="2"/>
        <w:keepNext w:val="0"/>
        <w:keepLines w:val="0"/>
        <w:widowControl/>
        <w:suppressLineNumbers w:val="0"/>
        <w:ind w:left="1928" w:hanging="1766" w:hangingChars="400"/>
        <w:jc w:val="center"/>
        <w:rPr>
          <w:rFonts w:ascii="Times New Roman" w:hAnsi="Times New Roman"/>
          <w:color w:val="auto"/>
          <w:kern w:val="2"/>
          <w:sz w:val="32"/>
          <w:szCs w:val="32"/>
          <w:highlight w:val="none"/>
        </w:rPr>
      </w:pPr>
      <w:r>
        <w:t>项目绩效评价报告</w:t>
      </w:r>
    </w:p>
    <w:p>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val="zh-CN" w:eastAsia="zh-CN"/>
        </w:rPr>
      </w:pPr>
      <w:r>
        <w:rPr>
          <w:rFonts w:hint="eastAsia" w:ascii="Times New Roman" w:hAnsi="Times New Roman" w:eastAsia="黑体"/>
          <w:color w:val="auto"/>
          <w:sz w:val="32"/>
          <w:szCs w:val="32"/>
          <w:highlight w:val="none"/>
          <w:lang w:eastAsia="zh-CN"/>
        </w:rPr>
        <w:t>一、</w:t>
      </w:r>
      <w:r>
        <w:rPr>
          <w:rFonts w:hint="eastAsia" w:ascii="Times New Roman" w:hAnsi="Times New Roman" w:eastAsia="黑体"/>
          <w:color w:val="auto"/>
          <w:sz w:val="32"/>
          <w:szCs w:val="32"/>
          <w:highlight w:val="none"/>
          <w:lang w:val="zh-CN" w:eastAsia="zh-CN"/>
        </w:rPr>
        <w:t>项目概况</w:t>
      </w:r>
    </w:p>
    <w:p>
      <w:pPr>
        <w:spacing w:line="600" w:lineRule="exact"/>
        <w:ind w:firstLine="642" w:firstLineChars="200"/>
        <w:outlineLvl w:val="2"/>
        <w:rPr>
          <w:rFonts w:hint="eastAsia" w:ascii="Times New Roman" w:hAnsi="Times New Roman" w:eastAsia="楷体_GB2312" w:cs="楷体_GB2312"/>
          <w:b/>
          <w:color w:val="auto"/>
          <w:sz w:val="32"/>
          <w:szCs w:val="32"/>
          <w:highlight w:val="none"/>
          <w:lang w:val="zh-CN"/>
        </w:rPr>
      </w:pPr>
      <w:r>
        <w:rPr>
          <w:rFonts w:hint="eastAsia" w:ascii="Times New Roman" w:hAnsi="Times New Roman" w:eastAsia="楷体_GB2312" w:cs="楷体_GB2312"/>
          <w:b/>
          <w:color w:val="auto"/>
          <w:sz w:val="32"/>
          <w:szCs w:val="32"/>
          <w:highlight w:val="none"/>
          <w:lang w:val="zh-CN"/>
        </w:rPr>
        <w:t>（一）设立背景及基本情况。</w:t>
      </w:r>
    </w:p>
    <w:p>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1.根据关于印发 2025 年四川省农村适龄妇女和城镇低保对象、特困人员中适龄妇女免费“两癌”筛查项目实施方案的通知【川卫妇幼函〔2025〕72 号】;阿州财社（2025）23号</w:t>
      </w:r>
      <w:r>
        <w:rPr>
          <w:rFonts w:hint="eastAsia" w:eastAsia="仿宋_GB2312" w:cs="仿宋_GB2312"/>
          <w:color w:val="auto"/>
          <w:kern w:val="2"/>
          <w:sz w:val="32"/>
          <w:szCs w:val="32"/>
          <w:highlight w:val="none"/>
          <w:lang w:val="en-US" w:eastAsia="zh-CN" w:bidi="ar-SA"/>
        </w:rPr>
        <w:tab/>
      </w:r>
      <w:r>
        <w:rPr>
          <w:rFonts w:hint="eastAsia" w:eastAsia="仿宋_GB2312" w:cs="仿宋_GB2312"/>
          <w:color w:val="auto"/>
          <w:kern w:val="2"/>
          <w:sz w:val="32"/>
          <w:szCs w:val="32"/>
          <w:highlight w:val="none"/>
          <w:lang w:val="en-US" w:eastAsia="zh-CN" w:bidi="ar-SA"/>
        </w:rPr>
        <w:t>、阿州财社（2025）76号、壤财预拨（2025 ）493号资金文件共计下达我县中央、省州级、县级共计下达资金22.56万元。为切实保障牧区农牧民妇女身体健康，降低妇女恶性肿瘤发病率与死亡率，根据四川省卫生健康委员会、财政厅专项资金下达文件，立项实施本项目；项目资金申报严格按照省级卫生健康补助资金管理要求执行。</w:t>
      </w:r>
    </w:p>
    <w:p>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2.项目主要内容</w:t>
      </w:r>
    </w:p>
    <w:p>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对全县 35—64 周岁农村适龄妇女开展宫颈癌、乳腺癌免费筛查；包含人员摸排、健康宣教、现场采样、医学检查、病例随访、信息上报、质量控制等全流程工作。</w:t>
      </w:r>
    </w:p>
    <w:p>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 xml:space="preserve">3.主管部门与实施单位 </w:t>
      </w:r>
    </w:p>
    <w:p>
      <w:pPr>
        <w:spacing w:line="600" w:lineRule="exact"/>
        <w:ind w:firstLine="640"/>
        <w:rPr>
          <w:rFonts w:hint="eastAsia" w:eastAsia="仿宋_GB2312" w:cs="仿宋_GB2312"/>
          <w:color w:val="auto"/>
          <w:kern w:val="2"/>
          <w:sz w:val="32"/>
          <w:szCs w:val="32"/>
          <w:highlight w:val="none"/>
          <w:lang w:val="zh-CN" w:eastAsia="zh-CN" w:bidi="ar-SA"/>
        </w:rPr>
      </w:pPr>
      <w:r>
        <w:rPr>
          <w:rFonts w:hint="eastAsia" w:eastAsia="仿宋_GB2312" w:cs="仿宋_GB2312"/>
          <w:color w:val="auto"/>
          <w:kern w:val="2"/>
          <w:sz w:val="32"/>
          <w:szCs w:val="32"/>
          <w:highlight w:val="none"/>
          <w:lang w:val="en-US" w:eastAsia="zh-CN" w:bidi="ar-SA"/>
        </w:rPr>
        <w:t>主管部门：壤塘县卫生健康局；职能为统筹项目部署、资金监管、督导考核、技术质控。实施单位：壤塘县医共体总医院，承担筛查现场实施、标本检测、数据汇总、异常病例追踪管理。</w:t>
      </w:r>
    </w:p>
    <w:p>
      <w:pPr>
        <w:spacing w:line="600" w:lineRule="exact"/>
        <w:ind w:firstLine="642" w:firstLineChars="200"/>
        <w:outlineLvl w:val="2"/>
        <w:rPr>
          <w:rFonts w:hint="eastAsia" w:ascii="Times New Roman" w:hAnsi="Times New Roman" w:eastAsia="楷体_GB2312" w:cs="楷体_GB2312"/>
          <w:b/>
          <w:color w:val="auto"/>
          <w:sz w:val="32"/>
          <w:szCs w:val="32"/>
          <w:highlight w:val="none"/>
          <w:lang w:val="en-US" w:eastAsia="zh-CN"/>
        </w:rPr>
      </w:pPr>
      <w:r>
        <w:rPr>
          <w:rFonts w:hint="eastAsia" w:ascii="Times New Roman" w:hAnsi="Times New Roman" w:eastAsia="楷体_GB2312" w:cs="楷体_GB2312"/>
          <w:b/>
          <w:color w:val="auto"/>
          <w:sz w:val="32"/>
          <w:szCs w:val="32"/>
          <w:highlight w:val="none"/>
          <w:lang w:val="zh-CN"/>
        </w:rPr>
        <w:t>（二）</w:t>
      </w:r>
      <w:r>
        <w:rPr>
          <w:rFonts w:hint="default" w:ascii="Times New Roman" w:hAnsi="Times New Roman" w:eastAsia="楷体_GB2312" w:cs="楷体_GB2312"/>
          <w:b/>
          <w:color w:val="auto"/>
          <w:sz w:val="32"/>
          <w:szCs w:val="32"/>
          <w:highlight w:val="none"/>
          <w:lang w:val="en-US" w:eastAsia="zh-CN"/>
        </w:rPr>
        <w:t>实施目的及支持方向</w:t>
      </w:r>
      <w:r>
        <w:rPr>
          <w:rFonts w:hint="eastAsia" w:ascii="Times New Roman" w:hAnsi="Times New Roman" w:eastAsia="楷体_GB2312" w:cs="楷体_GB2312"/>
          <w:b/>
          <w:color w:val="auto"/>
          <w:sz w:val="32"/>
          <w:szCs w:val="32"/>
          <w:highlight w:val="none"/>
          <w:lang w:val="en-US" w:eastAsia="zh-CN"/>
        </w:rPr>
        <w:t>。</w:t>
      </w:r>
    </w:p>
    <w:p>
      <w:pPr>
        <w:spacing w:line="600" w:lineRule="exact"/>
        <w:ind w:firstLine="640"/>
        <w:rPr>
          <w:rFonts w:hint="eastAsia" w:eastAsia="仿宋_GB2312" w:cs="仿宋_GB2312"/>
          <w:color w:val="auto"/>
          <w:kern w:val="2"/>
          <w:sz w:val="32"/>
          <w:szCs w:val="32"/>
          <w:highlight w:val="none"/>
          <w:lang w:val="zh-CN" w:eastAsia="zh-CN" w:bidi="ar-SA"/>
        </w:rPr>
      </w:pPr>
      <w:r>
        <w:rPr>
          <w:rFonts w:hint="eastAsia" w:eastAsia="仿宋_GB2312" w:cs="仿宋_GB2312"/>
          <w:color w:val="auto"/>
          <w:kern w:val="2"/>
          <w:sz w:val="32"/>
          <w:szCs w:val="32"/>
          <w:highlight w:val="none"/>
          <w:lang w:val="en-US" w:eastAsia="zh-CN" w:bidi="ar-SA"/>
        </w:rPr>
        <w:t>1.</w:t>
      </w:r>
      <w:r>
        <w:rPr>
          <w:rFonts w:hint="eastAsia" w:eastAsia="仿宋_GB2312" w:cs="仿宋_GB2312"/>
          <w:color w:val="auto"/>
          <w:kern w:val="2"/>
          <w:sz w:val="32"/>
          <w:szCs w:val="32"/>
          <w:highlight w:val="none"/>
          <w:lang w:val="zh-CN" w:eastAsia="zh-CN" w:bidi="ar-SA"/>
        </w:rPr>
        <w:t>资金管理制度 严格执行《四川省卫生健康专项资金管理办法》，单位配套制定项目资金使用细则、财务核算制度、项目质控方案，做到专款专用、专账核算。</w:t>
      </w:r>
    </w:p>
    <w:p>
      <w:pPr>
        <w:spacing w:line="600" w:lineRule="exact"/>
        <w:ind w:firstLine="640"/>
        <w:rPr>
          <w:rFonts w:hint="eastAsia" w:eastAsia="仿宋_GB2312" w:cs="仿宋_GB2312"/>
          <w:color w:val="auto"/>
          <w:kern w:val="2"/>
          <w:sz w:val="32"/>
          <w:szCs w:val="32"/>
          <w:highlight w:val="none"/>
          <w:lang w:val="zh-CN" w:eastAsia="zh-CN" w:bidi="ar-SA"/>
        </w:rPr>
      </w:pPr>
      <w:r>
        <w:rPr>
          <w:rFonts w:hint="eastAsia" w:eastAsia="仿宋_GB2312" w:cs="仿宋_GB2312"/>
          <w:color w:val="auto"/>
          <w:kern w:val="2"/>
          <w:sz w:val="32"/>
          <w:szCs w:val="32"/>
          <w:highlight w:val="none"/>
          <w:lang w:val="en-US" w:eastAsia="zh-CN" w:bidi="ar-SA"/>
        </w:rPr>
        <w:t>2.</w:t>
      </w:r>
      <w:r>
        <w:rPr>
          <w:rFonts w:hint="eastAsia" w:eastAsia="仿宋_GB2312" w:cs="仿宋_GB2312"/>
          <w:color w:val="auto"/>
          <w:kern w:val="2"/>
          <w:sz w:val="32"/>
          <w:szCs w:val="32"/>
          <w:highlight w:val="none"/>
          <w:lang w:val="zh-CN" w:eastAsia="zh-CN" w:bidi="ar-SA"/>
        </w:rPr>
        <w:t>实施目的与工作任务总体目标：提高农村妇女 “两癌” 早诊早治率，筑牢农牧区妇幼健康防线，减少因病致贫、因病返贫。年度任务：完成省级筛查任务 1000 人、州级任务 200 人，全年合计筛查 1200 人。</w:t>
      </w:r>
    </w:p>
    <w:p>
      <w:pPr>
        <w:spacing w:line="600" w:lineRule="exact"/>
        <w:ind w:firstLine="640"/>
        <w:rPr>
          <w:rFonts w:hint="eastAsia" w:eastAsia="仿宋_GB2312" w:cs="仿宋_GB2312"/>
          <w:color w:val="auto"/>
          <w:kern w:val="2"/>
          <w:sz w:val="32"/>
          <w:szCs w:val="32"/>
          <w:highlight w:val="none"/>
          <w:lang w:val="zh-CN" w:eastAsia="zh-CN" w:bidi="ar-SA"/>
        </w:rPr>
      </w:pPr>
      <w:r>
        <w:rPr>
          <w:rFonts w:hint="eastAsia" w:eastAsia="仿宋_GB2312" w:cs="仿宋_GB2312"/>
          <w:color w:val="auto"/>
          <w:kern w:val="2"/>
          <w:sz w:val="32"/>
          <w:szCs w:val="32"/>
          <w:highlight w:val="none"/>
          <w:lang w:val="en-US" w:eastAsia="zh-CN" w:bidi="ar-SA"/>
        </w:rPr>
        <w:t>3.</w:t>
      </w:r>
      <w:r>
        <w:rPr>
          <w:rFonts w:hint="eastAsia" w:eastAsia="仿宋_GB2312" w:cs="仿宋_GB2312"/>
          <w:color w:val="auto"/>
          <w:kern w:val="2"/>
          <w:sz w:val="32"/>
          <w:szCs w:val="32"/>
          <w:highlight w:val="none"/>
          <w:lang w:val="zh-CN" w:eastAsia="zh-CN" w:bidi="ar-SA"/>
        </w:rPr>
        <w:t>支持方向：资金仅用于筛查耗材、检验检测、下乡体检、人员培训、宣传动员、质量控制等项目直接支出，严禁挤占、挪用。</w:t>
      </w:r>
    </w:p>
    <w:p>
      <w:pPr>
        <w:spacing w:line="600" w:lineRule="exact"/>
        <w:ind w:firstLine="642" w:firstLineChars="200"/>
        <w:outlineLvl w:val="2"/>
        <w:rPr>
          <w:rFonts w:hint="eastAsia" w:ascii="Times New Roman" w:hAnsi="Times New Roman" w:eastAsia="楷体_GB2312" w:cs="楷体_GB2312"/>
          <w:b/>
          <w:color w:val="auto"/>
          <w:sz w:val="32"/>
          <w:szCs w:val="32"/>
          <w:highlight w:val="none"/>
          <w:lang w:val="zh-CN" w:eastAsia="zh-CN"/>
        </w:rPr>
      </w:pPr>
      <w:r>
        <w:rPr>
          <w:rFonts w:hint="eastAsia" w:ascii="Times New Roman" w:hAnsi="Times New Roman" w:eastAsia="楷体_GB2312" w:cs="楷体_GB2312"/>
          <w:b/>
          <w:color w:val="auto"/>
          <w:sz w:val="32"/>
          <w:szCs w:val="32"/>
          <w:highlight w:val="none"/>
          <w:lang w:val="zh-CN" w:eastAsia="zh-CN"/>
        </w:rPr>
        <w:t>（三）</w:t>
      </w:r>
      <w:r>
        <w:rPr>
          <w:rFonts w:hint="default" w:ascii="Times New Roman" w:hAnsi="Times New Roman" w:eastAsia="楷体_GB2312" w:cs="楷体_GB2312"/>
          <w:b/>
          <w:color w:val="auto"/>
          <w:sz w:val="32"/>
          <w:szCs w:val="32"/>
          <w:highlight w:val="none"/>
          <w:lang w:val="en-US" w:eastAsia="zh-CN"/>
        </w:rPr>
        <w:t>预算安排及分配管理</w:t>
      </w:r>
      <w:r>
        <w:rPr>
          <w:rFonts w:hint="eastAsia" w:ascii="Times New Roman" w:hAnsi="Times New Roman" w:eastAsia="楷体_GB2312" w:cs="楷体_GB2312"/>
          <w:b/>
          <w:color w:val="auto"/>
          <w:sz w:val="32"/>
          <w:szCs w:val="32"/>
          <w:highlight w:val="none"/>
          <w:lang w:val="zh-CN" w:eastAsia="zh-CN"/>
        </w:rPr>
        <w:t>。</w:t>
      </w:r>
    </w:p>
    <w:p>
      <w:pPr>
        <w:spacing w:line="600" w:lineRule="exact"/>
        <w:ind w:firstLine="640"/>
        <w:rPr>
          <w:rFonts w:hint="eastAsia" w:eastAsia="仿宋_GB2312" w:cs="仿宋_GB2312"/>
          <w:color w:val="auto"/>
          <w:kern w:val="2"/>
          <w:sz w:val="32"/>
          <w:szCs w:val="32"/>
          <w:highlight w:val="none"/>
          <w:lang w:val="zh-CN" w:eastAsia="zh-CN" w:bidi="ar-SA"/>
        </w:rPr>
      </w:pPr>
      <w:r>
        <w:rPr>
          <w:rFonts w:hint="eastAsia" w:eastAsia="仿宋_GB2312" w:cs="仿宋_GB2312"/>
          <w:color w:val="auto"/>
          <w:kern w:val="2"/>
          <w:sz w:val="32"/>
          <w:szCs w:val="32"/>
          <w:highlight w:val="none"/>
          <w:lang w:val="en-US" w:eastAsia="zh-CN" w:bidi="ar-SA"/>
        </w:rPr>
        <w:t>1.</w:t>
      </w:r>
      <w:r>
        <w:rPr>
          <w:rFonts w:hint="eastAsia" w:eastAsia="仿宋_GB2312" w:cs="仿宋_GB2312"/>
          <w:color w:val="auto"/>
          <w:kern w:val="2"/>
          <w:sz w:val="32"/>
          <w:szCs w:val="32"/>
          <w:highlight w:val="none"/>
          <w:lang w:val="zh-CN" w:eastAsia="zh-CN" w:bidi="ar-SA"/>
        </w:rPr>
        <w:t>预算安排：年初预算为</w:t>
      </w:r>
      <w:r>
        <w:rPr>
          <w:rFonts w:hint="eastAsia" w:eastAsia="仿宋_GB2312" w:cs="仿宋_GB2312"/>
          <w:color w:val="auto"/>
          <w:kern w:val="2"/>
          <w:sz w:val="32"/>
          <w:szCs w:val="32"/>
          <w:highlight w:val="none"/>
          <w:lang w:val="en-US" w:eastAsia="zh-CN" w:bidi="ar-SA"/>
        </w:rPr>
        <w:t>22.56万元</w:t>
      </w:r>
      <w:r>
        <w:rPr>
          <w:rFonts w:hint="eastAsia" w:eastAsia="仿宋_GB2312" w:cs="仿宋_GB2312"/>
          <w:color w:val="auto"/>
          <w:kern w:val="2"/>
          <w:sz w:val="32"/>
          <w:szCs w:val="32"/>
          <w:highlight w:val="none"/>
          <w:lang w:val="zh-CN" w:eastAsia="zh-CN" w:bidi="ar-SA"/>
        </w:rPr>
        <w:t>，年度预算调整后安排财政专项资金22.</w:t>
      </w:r>
      <w:r>
        <w:rPr>
          <w:rFonts w:hint="eastAsia" w:eastAsia="仿宋_GB2312" w:cs="仿宋_GB2312"/>
          <w:color w:val="auto"/>
          <w:kern w:val="2"/>
          <w:sz w:val="32"/>
          <w:szCs w:val="32"/>
          <w:highlight w:val="none"/>
          <w:lang w:val="en-US" w:eastAsia="zh-CN" w:bidi="ar-SA"/>
        </w:rPr>
        <w:t>56</w:t>
      </w:r>
      <w:r>
        <w:rPr>
          <w:rFonts w:hint="eastAsia" w:eastAsia="仿宋_GB2312" w:cs="仿宋_GB2312"/>
          <w:color w:val="auto"/>
          <w:kern w:val="2"/>
          <w:sz w:val="32"/>
          <w:szCs w:val="32"/>
          <w:highlight w:val="none"/>
          <w:lang w:val="zh-CN" w:eastAsia="zh-CN" w:bidi="ar-SA"/>
        </w:rPr>
        <w:t>万元，为上级财政卫生健康补助资金</w:t>
      </w:r>
      <w:r>
        <w:rPr>
          <w:rFonts w:hint="eastAsia" w:eastAsia="仿宋_GB2312" w:cs="仿宋_GB2312"/>
          <w:color w:val="auto"/>
          <w:kern w:val="2"/>
          <w:sz w:val="32"/>
          <w:szCs w:val="32"/>
          <w:highlight w:val="none"/>
          <w:lang w:val="en-US" w:eastAsia="zh-CN" w:bidi="ar-SA"/>
        </w:rPr>
        <w:t>及县级配套预算下达</w:t>
      </w:r>
      <w:r>
        <w:rPr>
          <w:rFonts w:hint="eastAsia" w:eastAsia="仿宋_GB2312" w:cs="仿宋_GB2312"/>
          <w:color w:val="auto"/>
          <w:kern w:val="2"/>
          <w:sz w:val="32"/>
          <w:szCs w:val="32"/>
          <w:highlight w:val="none"/>
          <w:lang w:val="zh-CN" w:eastAsia="zh-CN" w:bidi="ar-SA"/>
        </w:rPr>
        <w:t>。</w:t>
      </w:r>
    </w:p>
    <w:p>
      <w:pPr>
        <w:spacing w:line="600" w:lineRule="exact"/>
        <w:ind w:firstLine="640"/>
        <w:rPr>
          <w:rFonts w:hint="eastAsia" w:eastAsia="仿宋_GB2312" w:cs="仿宋_GB2312"/>
          <w:color w:val="auto"/>
          <w:kern w:val="2"/>
          <w:sz w:val="32"/>
          <w:szCs w:val="32"/>
          <w:highlight w:val="none"/>
          <w:lang w:val="zh-CN" w:eastAsia="zh-CN" w:bidi="ar-SA"/>
        </w:rPr>
      </w:pPr>
      <w:r>
        <w:rPr>
          <w:rFonts w:hint="eastAsia" w:eastAsia="仿宋_GB2312" w:cs="仿宋_GB2312"/>
          <w:color w:val="auto"/>
          <w:kern w:val="2"/>
          <w:sz w:val="32"/>
          <w:szCs w:val="32"/>
          <w:highlight w:val="none"/>
          <w:lang w:val="en-US" w:eastAsia="zh-CN" w:bidi="ar-SA"/>
        </w:rPr>
        <w:t>2.</w:t>
      </w:r>
      <w:r>
        <w:rPr>
          <w:rFonts w:hint="eastAsia" w:eastAsia="仿宋_GB2312" w:cs="仿宋_GB2312"/>
          <w:color w:val="auto"/>
          <w:kern w:val="2"/>
          <w:sz w:val="32"/>
          <w:szCs w:val="32"/>
          <w:highlight w:val="none"/>
          <w:lang w:val="zh-CN" w:eastAsia="zh-CN" w:bidi="ar-SA"/>
        </w:rPr>
        <w:t>资金分配原则：按照 “任务量匹配、据实结算、专款专用” 原则，严格按照人均筛查成本核定费用，资金全部用于筛查业务支出，不列支人员公用经费。</w:t>
      </w:r>
    </w:p>
    <w:p>
      <w:pPr>
        <w:spacing w:line="600" w:lineRule="exact"/>
        <w:ind w:firstLine="640"/>
        <w:rPr>
          <w:rFonts w:hint="eastAsia" w:eastAsia="仿宋_GB2312" w:cs="仿宋_GB2312"/>
          <w:color w:val="auto"/>
          <w:kern w:val="2"/>
          <w:sz w:val="32"/>
          <w:szCs w:val="32"/>
          <w:highlight w:val="none"/>
          <w:lang w:val="zh-CN" w:eastAsia="zh-CN" w:bidi="ar-SA"/>
        </w:rPr>
      </w:pPr>
      <w:r>
        <w:rPr>
          <w:rFonts w:hint="eastAsia" w:eastAsia="仿宋_GB2312" w:cs="仿宋_GB2312"/>
          <w:color w:val="auto"/>
          <w:kern w:val="2"/>
          <w:sz w:val="32"/>
          <w:szCs w:val="32"/>
          <w:highlight w:val="none"/>
          <w:lang w:val="en-US" w:eastAsia="zh-CN" w:bidi="ar-SA"/>
        </w:rPr>
        <w:t>3.</w:t>
      </w:r>
      <w:r>
        <w:rPr>
          <w:rFonts w:hint="eastAsia" w:eastAsia="仿宋_GB2312" w:cs="仿宋_GB2312"/>
          <w:color w:val="auto"/>
          <w:kern w:val="2"/>
          <w:sz w:val="32"/>
          <w:szCs w:val="32"/>
          <w:highlight w:val="none"/>
          <w:lang w:val="zh-CN" w:eastAsia="zh-CN" w:bidi="ar-SA"/>
        </w:rPr>
        <w:t>资金执行情况：全年实际支出 22.</w:t>
      </w:r>
      <w:r>
        <w:rPr>
          <w:rFonts w:hint="eastAsia" w:eastAsia="仿宋_GB2312" w:cs="仿宋_GB2312"/>
          <w:color w:val="auto"/>
          <w:kern w:val="2"/>
          <w:sz w:val="32"/>
          <w:szCs w:val="32"/>
          <w:highlight w:val="none"/>
          <w:lang w:val="en-US" w:eastAsia="zh-CN" w:bidi="ar-SA"/>
        </w:rPr>
        <w:t>56</w:t>
      </w:r>
      <w:r>
        <w:rPr>
          <w:rFonts w:hint="eastAsia" w:eastAsia="仿宋_GB2312" w:cs="仿宋_GB2312"/>
          <w:color w:val="auto"/>
          <w:kern w:val="2"/>
          <w:sz w:val="32"/>
          <w:szCs w:val="32"/>
          <w:highlight w:val="none"/>
          <w:lang w:val="zh-CN" w:eastAsia="zh-CN" w:bidi="ar-SA"/>
        </w:rPr>
        <w:t xml:space="preserve"> 万元，预算执行率 100%，资金拨付及时，支出凭证完整，财务手续合规。</w:t>
      </w:r>
    </w:p>
    <w:p>
      <w:pPr>
        <w:spacing w:line="600" w:lineRule="exact"/>
        <w:ind w:firstLine="642" w:firstLineChars="200"/>
        <w:outlineLvl w:val="2"/>
        <w:rPr>
          <w:rFonts w:hint="eastAsia" w:ascii="Times New Roman" w:hAnsi="Times New Roman" w:eastAsia="楷体_GB2312" w:cs="楷体_GB2312"/>
          <w:b/>
          <w:color w:val="auto"/>
          <w:sz w:val="32"/>
          <w:szCs w:val="32"/>
          <w:highlight w:val="none"/>
          <w:lang w:val="zh-CN" w:eastAsia="zh-CN"/>
        </w:rPr>
      </w:pPr>
      <w:r>
        <w:rPr>
          <w:rFonts w:hint="eastAsia" w:eastAsia="楷体_GB2312" w:cs="楷体_GB2312"/>
          <w:b/>
          <w:color w:val="auto"/>
          <w:sz w:val="32"/>
          <w:szCs w:val="32"/>
          <w:highlight w:val="none"/>
          <w:lang w:val="zh-CN" w:eastAsia="zh-CN"/>
        </w:rPr>
        <w:t>（</w:t>
      </w:r>
      <w:r>
        <w:rPr>
          <w:rFonts w:hint="eastAsia" w:eastAsia="楷体_GB2312" w:cs="楷体_GB2312"/>
          <w:b/>
          <w:color w:val="auto"/>
          <w:sz w:val="32"/>
          <w:szCs w:val="32"/>
          <w:highlight w:val="none"/>
          <w:lang w:val="en-US" w:eastAsia="zh-CN"/>
        </w:rPr>
        <w:t>四</w:t>
      </w:r>
      <w:r>
        <w:rPr>
          <w:rFonts w:hint="eastAsia" w:eastAsia="楷体_GB2312" w:cs="楷体_GB2312"/>
          <w:b/>
          <w:color w:val="auto"/>
          <w:sz w:val="32"/>
          <w:szCs w:val="32"/>
          <w:highlight w:val="none"/>
          <w:lang w:val="zh-CN" w:eastAsia="zh-CN"/>
        </w:rPr>
        <w:t>）</w:t>
      </w:r>
      <w:r>
        <w:rPr>
          <w:rFonts w:hint="eastAsia" w:ascii="Times New Roman" w:hAnsi="Times New Roman" w:eastAsia="楷体_GB2312" w:cs="楷体_GB2312"/>
          <w:b/>
          <w:color w:val="auto"/>
          <w:sz w:val="32"/>
          <w:szCs w:val="32"/>
          <w:highlight w:val="none"/>
          <w:lang w:val="zh-CN" w:eastAsia="zh-CN"/>
        </w:rPr>
        <w:t>项目绩效目标设置。</w:t>
      </w:r>
    </w:p>
    <w:p>
      <w:pPr>
        <w:spacing w:line="600" w:lineRule="exact"/>
        <w:ind w:firstLine="640"/>
        <w:rPr>
          <w:rFonts w:hint="eastAsia" w:eastAsia="仿宋_GB2312" w:cs="仿宋_GB2312"/>
          <w:color w:val="auto"/>
          <w:kern w:val="2"/>
          <w:sz w:val="32"/>
          <w:szCs w:val="32"/>
          <w:highlight w:val="none"/>
          <w:lang w:val="zh-CN" w:eastAsia="zh-CN" w:bidi="ar-SA"/>
        </w:rPr>
      </w:pPr>
      <w:r>
        <w:rPr>
          <w:rFonts w:hint="eastAsia" w:eastAsia="仿宋_GB2312" w:cs="仿宋_GB2312"/>
          <w:color w:val="auto"/>
          <w:kern w:val="2"/>
          <w:sz w:val="32"/>
          <w:szCs w:val="32"/>
          <w:highlight w:val="none"/>
          <w:lang w:val="en-US" w:eastAsia="zh-CN" w:bidi="ar-SA"/>
        </w:rPr>
        <w:t>1.</w:t>
      </w:r>
      <w:r>
        <w:rPr>
          <w:rFonts w:hint="eastAsia" w:eastAsia="仿宋_GB2312" w:cs="仿宋_GB2312"/>
          <w:color w:val="auto"/>
          <w:kern w:val="2"/>
          <w:sz w:val="32"/>
          <w:szCs w:val="32"/>
          <w:highlight w:val="none"/>
          <w:lang w:val="zh-CN" w:eastAsia="zh-CN" w:bidi="ar-SA"/>
        </w:rPr>
        <w:t>整体绩效目标：按期完成 1200 名农村妇女“两癌”筛查任务，提升早诊水平，群众满意度达到 95% 以上，切实降低妇女癌症患病风险。</w:t>
      </w:r>
    </w:p>
    <w:p>
      <w:pPr>
        <w:spacing w:line="600" w:lineRule="exact"/>
        <w:ind w:firstLine="640"/>
        <w:rPr>
          <w:rFonts w:hint="eastAsia" w:eastAsia="仿宋_GB2312" w:cs="仿宋_GB2312"/>
          <w:color w:val="auto"/>
          <w:kern w:val="2"/>
          <w:sz w:val="32"/>
          <w:szCs w:val="32"/>
          <w:highlight w:val="none"/>
          <w:lang w:val="zh-CN" w:eastAsia="zh-CN" w:bidi="ar-SA"/>
        </w:rPr>
      </w:pPr>
      <w:r>
        <w:rPr>
          <w:rFonts w:hint="eastAsia" w:eastAsia="仿宋_GB2312" w:cs="仿宋_GB2312"/>
          <w:color w:val="auto"/>
          <w:kern w:val="2"/>
          <w:sz w:val="32"/>
          <w:szCs w:val="32"/>
          <w:highlight w:val="none"/>
          <w:lang w:val="en-US" w:eastAsia="zh-CN" w:bidi="ar-SA"/>
        </w:rPr>
        <w:t>2.</w:t>
      </w:r>
      <w:r>
        <w:rPr>
          <w:rFonts w:hint="eastAsia" w:eastAsia="仿宋_GB2312" w:cs="仿宋_GB2312"/>
          <w:color w:val="auto"/>
          <w:kern w:val="2"/>
          <w:sz w:val="32"/>
          <w:szCs w:val="32"/>
          <w:highlight w:val="none"/>
          <w:lang w:val="zh-CN" w:eastAsia="zh-CN" w:bidi="ar-SA"/>
        </w:rPr>
        <w:t>分项绩效目标产出目标：筛查人数 1200 人；7 个月内完成全部筛查；宫颈癌早诊率≥90%，乳腺癌早诊率≥70%。</w:t>
      </w:r>
    </w:p>
    <w:p>
      <w:pPr>
        <w:spacing w:line="600" w:lineRule="exact"/>
        <w:ind w:firstLine="640"/>
        <w:rPr>
          <w:rFonts w:hint="eastAsia" w:eastAsia="仿宋_GB2312" w:cs="仿宋_GB2312"/>
          <w:color w:val="auto"/>
          <w:kern w:val="2"/>
          <w:sz w:val="32"/>
          <w:szCs w:val="32"/>
          <w:highlight w:val="none"/>
          <w:lang w:val="zh-CN" w:eastAsia="zh-CN" w:bidi="ar-SA"/>
        </w:rPr>
      </w:pPr>
      <w:r>
        <w:rPr>
          <w:rFonts w:hint="eastAsia" w:eastAsia="仿宋_GB2312" w:cs="仿宋_GB2312"/>
          <w:color w:val="auto"/>
          <w:kern w:val="2"/>
          <w:sz w:val="32"/>
          <w:szCs w:val="32"/>
          <w:highlight w:val="none"/>
          <w:lang w:val="en-US" w:eastAsia="zh-CN" w:bidi="ar-SA"/>
        </w:rPr>
        <w:t>3.</w:t>
      </w:r>
      <w:r>
        <w:rPr>
          <w:rFonts w:hint="eastAsia" w:eastAsia="仿宋_GB2312" w:cs="仿宋_GB2312"/>
          <w:color w:val="auto"/>
          <w:kern w:val="2"/>
          <w:sz w:val="32"/>
          <w:szCs w:val="32"/>
          <w:highlight w:val="none"/>
          <w:lang w:val="zh-CN" w:eastAsia="zh-CN" w:bidi="ar-SA"/>
        </w:rPr>
        <w:t>效益目标：妇女“两癌”防治知晓率提升，有效降低癌症病死率。</w:t>
      </w:r>
    </w:p>
    <w:p>
      <w:pPr>
        <w:spacing w:line="600" w:lineRule="exact"/>
        <w:ind w:firstLine="640"/>
        <w:rPr>
          <w:rFonts w:hint="eastAsia" w:eastAsia="仿宋_GB2312" w:cs="仿宋_GB2312"/>
          <w:color w:val="auto"/>
          <w:kern w:val="2"/>
          <w:sz w:val="32"/>
          <w:szCs w:val="32"/>
          <w:highlight w:val="none"/>
          <w:lang w:val="zh-CN" w:eastAsia="zh-CN" w:bidi="ar-SA"/>
        </w:rPr>
      </w:pPr>
      <w:r>
        <w:rPr>
          <w:rFonts w:hint="eastAsia" w:eastAsia="仿宋_GB2312" w:cs="仿宋_GB2312"/>
          <w:color w:val="auto"/>
          <w:kern w:val="2"/>
          <w:sz w:val="32"/>
          <w:szCs w:val="32"/>
          <w:highlight w:val="none"/>
          <w:lang w:val="en-US" w:eastAsia="zh-CN" w:bidi="ar-SA"/>
        </w:rPr>
        <w:t>4.</w:t>
      </w:r>
      <w:r>
        <w:rPr>
          <w:rFonts w:hint="eastAsia" w:eastAsia="仿宋_GB2312" w:cs="仿宋_GB2312"/>
          <w:color w:val="auto"/>
          <w:kern w:val="2"/>
          <w:sz w:val="32"/>
          <w:szCs w:val="32"/>
          <w:highlight w:val="none"/>
          <w:lang w:val="zh-CN" w:eastAsia="zh-CN" w:bidi="ar-SA"/>
        </w:rPr>
        <w:t>满意度目标：农牧民群众服务满意度≥95%。</w:t>
      </w:r>
    </w:p>
    <w:p>
      <w:pPr>
        <w:spacing w:line="600" w:lineRule="exact"/>
        <w:ind w:firstLine="640"/>
        <w:rPr>
          <w:rFonts w:hint="default" w:eastAsia="仿宋_GB2312" w:cs="仿宋_GB2312"/>
          <w:color w:val="auto"/>
          <w:kern w:val="2"/>
          <w:sz w:val="32"/>
          <w:szCs w:val="32"/>
          <w:highlight w:val="none"/>
          <w:lang w:val="zh-CN" w:eastAsia="zh-CN" w:bidi="ar-SA"/>
        </w:rPr>
      </w:pPr>
      <w:r>
        <w:rPr>
          <w:rFonts w:hint="eastAsia" w:eastAsia="仿宋_GB2312" w:cs="仿宋_GB2312"/>
          <w:color w:val="auto"/>
          <w:kern w:val="2"/>
          <w:sz w:val="32"/>
          <w:szCs w:val="32"/>
          <w:highlight w:val="none"/>
          <w:lang w:val="zh-CN" w:eastAsia="zh-CN" w:bidi="ar-SA"/>
        </w:rPr>
        <w:t>自评工作开展情况 成立</w:t>
      </w:r>
      <w:r>
        <w:rPr>
          <w:rFonts w:hint="eastAsia" w:eastAsia="仿宋_GB2312" w:cs="仿宋_GB2312"/>
          <w:color w:val="auto"/>
          <w:kern w:val="2"/>
          <w:sz w:val="32"/>
          <w:szCs w:val="32"/>
          <w:highlight w:val="none"/>
          <w:lang w:val="en-US" w:eastAsia="zh-CN" w:bidi="ar-SA"/>
        </w:rPr>
        <w:t>了院内</w:t>
      </w:r>
      <w:r>
        <w:rPr>
          <w:rFonts w:hint="eastAsia" w:eastAsia="仿宋_GB2312" w:cs="仿宋_GB2312"/>
          <w:color w:val="auto"/>
          <w:kern w:val="2"/>
          <w:sz w:val="32"/>
          <w:szCs w:val="32"/>
          <w:highlight w:val="none"/>
          <w:lang w:val="zh-CN" w:eastAsia="zh-CN" w:bidi="ar-SA"/>
        </w:rPr>
        <w:t>绩效自评工作组，对照绩效指标逐项核对业务台账、财务凭证、筛查档案、问卷调查记录，形成自评资料，开展指标打分。</w:t>
      </w:r>
    </w:p>
    <w:p>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r>
        <w:rPr>
          <w:rFonts w:hint="eastAsia" w:ascii="Times New Roman" w:hAnsi="Times New Roman" w:eastAsia="黑体"/>
          <w:color w:val="auto"/>
          <w:sz w:val="32"/>
          <w:szCs w:val="32"/>
          <w:highlight w:val="none"/>
          <w:lang w:eastAsia="zh-CN"/>
        </w:rPr>
        <w:t>二、评价实施</w:t>
      </w:r>
    </w:p>
    <w:p>
      <w:pPr>
        <w:spacing w:line="600" w:lineRule="exact"/>
        <w:ind w:firstLine="642" w:firstLineChars="200"/>
        <w:outlineLvl w:val="2"/>
        <w:rPr>
          <w:rFonts w:hint="eastAsia" w:ascii="Times New Roman" w:hAnsi="Times New Roman" w:eastAsia="楷体_GB2312" w:cs="楷体_GB2312"/>
          <w:b/>
          <w:color w:val="auto"/>
          <w:sz w:val="32"/>
          <w:szCs w:val="32"/>
          <w:highlight w:val="none"/>
          <w:lang w:val="zh-CN" w:eastAsia="zh-CN"/>
        </w:rPr>
      </w:pPr>
      <w:r>
        <w:rPr>
          <w:rFonts w:hint="eastAsia" w:ascii="Times New Roman" w:hAnsi="Times New Roman" w:eastAsia="楷体_GB2312" w:cs="楷体_GB2312"/>
          <w:b/>
          <w:color w:val="auto"/>
          <w:sz w:val="32"/>
          <w:szCs w:val="32"/>
          <w:highlight w:val="none"/>
          <w:lang w:val="zh-CN" w:eastAsia="zh-CN"/>
        </w:rPr>
        <w:t>（一）评价目的</w:t>
      </w:r>
    </w:p>
    <w:p>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zh-CN" w:eastAsia="zh-CN" w:bidi="ar-SA"/>
        </w:rPr>
        <w:t>全面核查专项资金使用规范性、项目任务完成度；查找项目实施中的短板弱项；检验民生实事落地成效；优化后续资金安排与项目管理，提升财政资金使用效益。</w:t>
      </w:r>
    </w:p>
    <w:p>
      <w:pPr>
        <w:spacing w:line="600" w:lineRule="exact"/>
        <w:ind w:firstLine="642" w:firstLineChars="200"/>
        <w:outlineLvl w:val="2"/>
        <w:rPr>
          <w:rFonts w:hint="eastAsia" w:ascii="Times New Roman" w:hAnsi="Times New Roman" w:eastAsia="楷体_GB2312" w:cs="楷体_GB2312"/>
          <w:b/>
          <w:color w:val="auto"/>
          <w:sz w:val="32"/>
          <w:szCs w:val="32"/>
          <w:highlight w:val="none"/>
          <w:lang w:val="zh-CN" w:eastAsia="zh-CN"/>
        </w:rPr>
      </w:pPr>
      <w:r>
        <w:rPr>
          <w:rFonts w:hint="eastAsia" w:ascii="Times New Roman" w:hAnsi="Times New Roman" w:eastAsia="楷体_GB2312" w:cs="楷体_GB2312"/>
          <w:b/>
          <w:color w:val="auto"/>
          <w:sz w:val="32"/>
          <w:szCs w:val="32"/>
          <w:highlight w:val="none"/>
          <w:lang w:val="zh-CN" w:eastAsia="zh-CN"/>
        </w:rPr>
        <w:t>（</w:t>
      </w:r>
      <w:r>
        <w:rPr>
          <w:rFonts w:hint="eastAsia" w:ascii="Times New Roman" w:hAnsi="Times New Roman" w:eastAsia="楷体_GB2312" w:cs="楷体_GB2312"/>
          <w:b/>
          <w:color w:val="auto"/>
          <w:sz w:val="32"/>
          <w:szCs w:val="32"/>
          <w:highlight w:val="none"/>
          <w:lang w:val="en-US" w:eastAsia="zh-CN"/>
        </w:rPr>
        <w:t>二</w:t>
      </w:r>
      <w:r>
        <w:rPr>
          <w:rFonts w:hint="eastAsia" w:ascii="Times New Roman" w:hAnsi="Times New Roman" w:eastAsia="楷体_GB2312" w:cs="楷体_GB2312"/>
          <w:b/>
          <w:color w:val="auto"/>
          <w:sz w:val="32"/>
          <w:szCs w:val="32"/>
          <w:highlight w:val="none"/>
          <w:lang w:val="zh-CN" w:eastAsia="zh-CN"/>
        </w:rPr>
        <w:t>）预设问题及评价重点。</w:t>
      </w:r>
    </w:p>
    <w:p>
      <w:pPr>
        <w:spacing w:line="600" w:lineRule="exact"/>
        <w:ind w:firstLine="640"/>
      </w:pPr>
      <w:r>
        <w:rPr>
          <w:rFonts w:hint="eastAsia" w:eastAsia="仿宋_GB2312" w:cs="仿宋_GB2312"/>
          <w:color w:val="auto"/>
          <w:kern w:val="2"/>
          <w:sz w:val="32"/>
          <w:szCs w:val="32"/>
          <w:highlight w:val="none"/>
          <w:lang w:val="zh-CN" w:eastAsia="zh-CN" w:bidi="ar-SA"/>
        </w:rPr>
        <w:t>严格对照绩效指标体系，全覆盖</w:t>
      </w:r>
      <w:r>
        <w:rPr>
          <w:rFonts w:hint="eastAsia" w:ascii="Times New Roman" w:hAnsi="Times New Roman" w:eastAsia="仿宋_GB2312" w:cs="仿宋_GB2312"/>
          <w:b w:val="0"/>
          <w:bCs w:val="0"/>
          <w:kern w:val="0"/>
          <w:position w:val="0"/>
          <w:sz w:val="32"/>
          <w:szCs w:val="32"/>
          <w:highlight w:val="none"/>
          <w:lang w:val="zh-CN" w:eastAsia="zh-CN" w:bidi="ar-SA"/>
        </w:rPr>
        <w:t>核查资金申报、拨付、支出全过程；重点核查三项内容：一是筛查任务数量、完成时效、筛查质量；二是资金使用合规性，有无超范围开支；三是早诊率、群众满意度等核心效益指标完成情况，对未达标指标深入分析原因。</w:t>
      </w:r>
    </w:p>
    <w:p>
      <w:pPr>
        <w:spacing w:line="600" w:lineRule="exact"/>
        <w:ind w:firstLine="640"/>
        <w:rPr>
          <w:rFonts w:hint="eastAsia" w:eastAsia="仿宋_GB2312" w:cs="仿宋_GB2312"/>
          <w:color w:val="auto"/>
          <w:kern w:val="2"/>
          <w:sz w:val="32"/>
          <w:szCs w:val="32"/>
          <w:highlight w:val="none"/>
          <w:lang w:val="zh-CN" w:eastAsia="zh-CN" w:bidi="ar-SA"/>
        </w:rPr>
      </w:pPr>
      <w:r>
        <w:rPr>
          <w:rFonts w:hint="eastAsia" w:ascii="Times New Roman" w:hAnsi="Times New Roman" w:eastAsia="楷体_GB2312" w:cs="楷体_GB2312"/>
          <w:b/>
          <w:color w:val="auto"/>
          <w:sz w:val="32"/>
          <w:szCs w:val="32"/>
          <w:highlight w:val="none"/>
          <w:lang w:val="zh-CN" w:eastAsia="zh-CN"/>
        </w:rPr>
        <w:t>（</w:t>
      </w:r>
      <w:r>
        <w:rPr>
          <w:rFonts w:hint="eastAsia" w:ascii="Times New Roman" w:hAnsi="Times New Roman" w:eastAsia="楷体_GB2312" w:cs="楷体_GB2312"/>
          <w:b/>
          <w:color w:val="auto"/>
          <w:sz w:val="32"/>
          <w:szCs w:val="32"/>
          <w:highlight w:val="none"/>
          <w:lang w:val="en-US" w:eastAsia="zh-CN"/>
        </w:rPr>
        <w:t>三</w:t>
      </w:r>
      <w:r>
        <w:rPr>
          <w:rFonts w:hint="eastAsia" w:ascii="Times New Roman" w:hAnsi="Times New Roman" w:eastAsia="楷体_GB2312" w:cs="楷体_GB2312"/>
          <w:b/>
          <w:color w:val="auto"/>
          <w:sz w:val="32"/>
          <w:szCs w:val="32"/>
          <w:highlight w:val="none"/>
          <w:lang w:val="zh-CN" w:eastAsia="zh-CN"/>
        </w:rPr>
        <w:t>）评价选点。</w:t>
      </w:r>
    </w:p>
    <w:p>
      <w:pPr>
        <w:spacing w:line="600" w:lineRule="exact"/>
        <w:ind w:firstLine="640"/>
        <w:rPr>
          <w:rFonts w:hint="eastAsia" w:eastAsia="仿宋_GB2312" w:cs="仿宋_GB2312"/>
          <w:color w:val="auto"/>
          <w:kern w:val="2"/>
          <w:sz w:val="32"/>
          <w:szCs w:val="32"/>
          <w:highlight w:val="none"/>
          <w:lang w:val="zh-CN" w:eastAsia="zh-CN" w:bidi="ar-SA"/>
        </w:rPr>
      </w:pPr>
      <w:r>
        <w:rPr>
          <w:rFonts w:hint="eastAsia" w:eastAsia="仿宋_GB2312" w:cs="仿宋_GB2312"/>
          <w:color w:val="auto"/>
          <w:kern w:val="2"/>
          <w:sz w:val="32"/>
          <w:szCs w:val="32"/>
          <w:highlight w:val="none"/>
          <w:lang w:val="zh-CN" w:eastAsia="zh-CN" w:bidi="ar-SA"/>
        </w:rPr>
        <w:t>本项目仅在壤塘县本级实施，无乡镇资金分配点位；实地踏勘点位为</w:t>
      </w:r>
      <w:r>
        <w:rPr>
          <w:rFonts w:hint="eastAsia" w:eastAsia="仿宋_GB2312" w:cs="仿宋_GB2312"/>
          <w:color w:val="auto"/>
          <w:kern w:val="2"/>
          <w:sz w:val="32"/>
          <w:szCs w:val="32"/>
          <w:highlight w:val="none"/>
          <w:lang w:val="en-US" w:eastAsia="zh-CN" w:bidi="ar-SA"/>
        </w:rPr>
        <w:t>医共体总医院</w:t>
      </w:r>
      <w:r>
        <w:rPr>
          <w:rFonts w:hint="eastAsia" w:eastAsia="仿宋_GB2312" w:cs="仿宋_GB2312"/>
          <w:color w:val="auto"/>
          <w:kern w:val="2"/>
          <w:sz w:val="32"/>
          <w:szCs w:val="32"/>
          <w:highlight w:val="none"/>
          <w:lang w:val="zh-CN" w:eastAsia="zh-CN" w:bidi="ar-SA"/>
        </w:rPr>
        <w:t>筛查门诊、下乡流动筛查点位，现场查阅筛查档案、检验报告、财务账目；点位清单作为自评附件存档。</w:t>
      </w:r>
    </w:p>
    <w:p>
      <w:pPr>
        <w:spacing w:line="600" w:lineRule="exact"/>
        <w:ind w:firstLine="642" w:firstLineChars="200"/>
        <w:outlineLvl w:val="2"/>
        <w:rPr>
          <w:rFonts w:hint="eastAsia" w:ascii="Times New Roman" w:hAnsi="Times New Roman" w:eastAsia="楷体_GB2312" w:cs="楷体_GB2312"/>
          <w:b/>
          <w:color w:val="auto"/>
          <w:sz w:val="32"/>
          <w:szCs w:val="32"/>
          <w:highlight w:val="none"/>
          <w:lang w:val="zh-CN" w:eastAsia="zh-CN"/>
        </w:rPr>
      </w:pPr>
      <w:r>
        <w:rPr>
          <w:rFonts w:hint="eastAsia" w:ascii="Times New Roman" w:hAnsi="Times New Roman" w:eastAsia="楷体_GB2312" w:cs="楷体_GB2312"/>
          <w:b/>
          <w:color w:val="auto"/>
          <w:sz w:val="32"/>
          <w:szCs w:val="32"/>
          <w:highlight w:val="none"/>
          <w:lang w:val="zh-CN" w:eastAsia="zh-CN"/>
        </w:rPr>
        <w:t>（四）评价方法。</w:t>
      </w:r>
    </w:p>
    <w:p>
      <w:pPr>
        <w:spacing w:line="600" w:lineRule="exact"/>
        <w:ind w:firstLine="640"/>
        <w:rPr>
          <w:rFonts w:hint="eastAsia" w:eastAsia="仿宋_GB2312" w:cs="仿宋_GB2312"/>
          <w:color w:val="auto"/>
          <w:kern w:val="2"/>
          <w:sz w:val="32"/>
          <w:szCs w:val="32"/>
          <w:highlight w:val="none"/>
          <w:lang w:val="zh-CN" w:eastAsia="zh-CN" w:bidi="ar-SA"/>
        </w:rPr>
      </w:pPr>
      <w:r>
        <w:rPr>
          <w:rFonts w:hint="eastAsia" w:eastAsia="仿宋_GB2312" w:cs="仿宋_GB2312"/>
          <w:color w:val="auto"/>
          <w:kern w:val="2"/>
          <w:sz w:val="32"/>
          <w:szCs w:val="32"/>
          <w:highlight w:val="none"/>
          <w:lang w:val="en-US" w:eastAsia="zh-CN" w:bidi="ar-SA"/>
        </w:rPr>
        <w:t>1.</w:t>
      </w:r>
      <w:r>
        <w:rPr>
          <w:rFonts w:hint="eastAsia" w:eastAsia="仿宋_GB2312" w:cs="仿宋_GB2312"/>
          <w:color w:val="auto"/>
          <w:kern w:val="2"/>
          <w:sz w:val="32"/>
          <w:szCs w:val="32"/>
          <w:highlight w:val="none"/>
          <w:lang w:val="zh-CN" w:eastAsia="zh-CN" w:bidi="ar-SA"/>
        </w:rPr>
        <w:t>案卷研究法：查阅项目文件、实施方案、财务凭证、筛查台账、质控记录；</w:t>
      </w:r>
    </w:p>
    <w:p>
      <w:pPr>
        <w:spacing w:line="600" w:lineRule="exact"/>
        <w:ind w:firstLine="640"/>
        <w:rPr>
          <w:rFonts w:hint="eastAsia" w:eastAsia="仿宋_GB2312" w:cs="仿宋_GB2312"/>
          <w:color w:val="auto"/>
          <w:kern w:val="2"/>
          <w:sz w:val="32"/>
          <w:szCs w:val="32"/>
          <w:highlight w:val="none"/>
          <w:lang w:val="zh-CN" w:eastAsia="zh-CN" w:bidi="ar-SA"/>
        </w:rPr>
      </w:pPr>
      <w:r>
        <w:rPr>
          <w:rFonts w:hint="eastAsia" w:eastAsia="仿宋_GB2312" w:cs="仿宋_GB2312"/>
          <w:color w:val="auto"/>
          <w:kern w:val="2"/>
          <w:sz w:val="32"/>
          <w:szCs w:val="32"/>
          <w:highlight w:val="none"/>
          <w:lang w:val="en-US" w:eastAsia="zh-CN" w:bidi="ar-SA"/>
        </w:rPr>
        <w:t>2.</w:t>
      </w:r>
      <w:r>
        <w:rPr>
          <w:rFonts w:hint="eastAsia" w:eastAsia="仿宋_GB2312" w:cs="仿宋_GB2312"/>
          <w:color w:val="auto"/>
          <w:kern w:val="2"/>
          <w:sz w:val="32"/>
          <w:szCs w:val="32"/>
          <w:highlight w:val="none"/>
          <w:lang w:val="zh-CN" w:eastAsia="zh-CN" w:bidi="ar-SA"/>
        </w:rPr>
        <w:t>实地勘察法：现场核查筛查流程、设备配置、标本管理；</w:t>
      </w:r>
    </w:p>
    <w:p>
      <w:pPr>
        <w:spacing w:line="600" w:lineRule="exact"/>
        <w:ind w:firstLine="640"/>
        <w:rPr>
          <w:rFonts w:hint="eastAsia" w:eastAsia="仿宋_GB2312" w:cs="仿宋_GB2312"/>
          <w:color w:val="auto"/>
          <w:kern w:val="2"/>
          <w:sz w:val="32"/>
          <w:szCs w:val="32"/>
          <w:highlight w:val="none"/>
          <w:lang w:val="zh-CN" w:eastAsia="zh-CN" w:bidi="ar-SA"/>
        </w:rPr>
      </w:pPr>
      <w:r>
        <w:rPr>
          <w:rFonts w:hint="eastAsia" w:eastAsia="仿宋_GB2312" w:cs="仿宋_GB2312"/>
          <w:color w:val="auto"/>
          <w:kern w:val="2"/>
          <w:sz w:val="32"/>
          <w:szCs w:val="32"/>
          <w:highlight w:val="none"/>
          <w:lang w:val="en-US" w:eastAsia="zh-CN" w:bidi="ar-SA"/>
        </w:rPr>
        <w:t>3.</w:t>
      </w:r>
      <w:r>
        <w:rPr>
          <w:rFonts w:hint="eastAsia" w:eastAsia="仿宋_GB2312" w:cs="仿宋_GB2312"/>
          <w:color w:val="auto"/>
          <w:kern w:val="2"/>
          <w:sz w:val="32"/>
          <w:szCs w:val="32"/>
          <w:highlight w:val="none"/>
          <w:lang w:val="zh-CN" w:eastAsia="zh-CN" w:bidi="ar-SA"/>
        </w:rPr>
        <w:t>问卷调查法：随机抽取筛查妇女开展满意度回访；</w:t>
      </w:r>
    </w:p>
    <w:p>
      <w:pPr>
        <w:spacing w:line="600" w:lineRule="exact"/>
        <w:ind w:firstLine="640"/>
        <w:rPr>
          <w:rFonts w:hint="eastAsia" w:eastAsia="仿宋_GB2312" w:cs="仿宋_GB2312"/>
          <w:color w:val="auto"/>
          <w:kern w:val="2"/>
          <w:sz w:val="32"/>
          <w:szCs w:val="32"/>
          <w:highlight w:val="none"/>
          <w:lang w:val="zh-CN" w:eastAsia="zh-CN" w:bidi="ar-SA"/>
        </w:rPr>
      </w:pPr>
      <w:r>
        <w:rPr>
          <w:rFonts w:hint="eastAsia" w:eastAsia="仿宋_GB2312" w:cs="仿宋_GB2312"/>
          <w:color w:val="auto"/>
          <w:kern w:val="2"/>
          <w:sz w:val="32"/>
          <w:szCs w:val="32"/>
          <w:highlight w:val="none"/>
          <w:lang w:val="en-US" w:eastAsia="zh-CN" w:bidi="ar-SA"/>
        </w:rPr>
        <w:t>4.</w:t>
      </w:r>
      <w:r>
        <w:rPr>
          <w:rFonts w:hint="eastAsia" w:eastAsia="仿宋_GB2312" w:cs="仿宋_GB2312"/>
          <w:color w:val="auto"/>
          <w:kern w:val="2"/>
          <w:sz w:val="32"/>
          <w:szCs w:val="32"/>
          <w:highlight w:val="none"/>
          <w:lang w:val="zh-CN" w:eastAsia="zh-CN" w:bidi="ar-SA"/>
        </w:rPr>
        <w:t>座谈调研法：与医务、财务人员座谈，梳理技术短板与群众动员难点；</w:t>
      </w:r>
    </w:p>
    <w:p>
      <w:pPr>
        <w:spacing w:line="600" w:lineRule="exact"/>
        <w:ind w:firstLine="640"/>
        <w:rPr>
          <w:rFonts w:hint="eastAsia" w:eastAsia="仿宋_GB2312" w:cs="仿宋_GB2312"/>
          <w:color w:val="auto"/>
          <w:kern w:val="2"/>
          <w:sz w:val="32"/>
          <w:szCs w:val="32"/>
          <w:highlight w:val="none"/>
          <w:lang w:val="zh-CN" w:eastAsia="zh-CN" w:bidi="ar-SA"/>
        </w:rPr>
      </w:pPr>
      <w:r>
        <w:rPr>
          <w:rFonts w:hint="eastAsia" w:eastAsia="仿宋_GB2312" w:cs="仿宋_GB2312"/>
          <w:color w:val="auto"/>
          <w:kern w:val="2"/>
          <w:sz w:val="32"/>
          <w:szCs w:val="32"/>
          <w:highlight w:val="none"/>
          <w:lang w:val="en-US" w:eastAsia="zh-CN" w:bidi="ar-SA"/>
        </w:rPr>
        <w:t>5.</w:t>
      </w:r>
      <w:r>
        <w:rPr>
          <w:rFonts w:hint="eastAsia" w:eastAsia="仿宋_GB2312" w:cs="仿宋_GB2312"/>
          <w:color w:val="auto"/>
          <w:kern w:val="2"/>
          <w:sz w:val="32"/>
          <w:szCs w:val="32"/>
          <w:highlight w:val="none"/>
          <w:lang w:val="zh-CN" w:eastAsia="zh-CN" w:bidi="ar-SA"/>
        </w:rPr>
        <w:t>单位自评法：对照指标逐项自查打分。</w:t>
      </w:r>
    </w:p>
    <w:p>
      <w:pPr>
        <w:spacing w:line="600" w:lineRule="exact"/>
        <w:ind w:firstLine="642" w:firstLineChars="200"/>
        <w:outlineLvl w:val="2"/>
        <w:rPr>
          <w:rFonts w:hint="eastAsia" w:ascii="Times New Roman" w:hAnsi="Times New Roman" w:eastAsia="楷体_GB2312" w:cs="楷体_GB2312"/>
          <w:b/>
          <w:color w:val="auto"/>
          <w:sz w:val="32"/>
          <w:szCs w:val="32"/>
          <w:highlight w:val="none"/>
          <w:lang w:val="zh-CN" w:eastAsia="zh-CN"/>
        </w:rPr>
      </w:pPr>
      <w:r>
        <w:rPr>
          <w:rFonts w:hint="eastAsia" w:eastAsia="楷体_GB2312" w:cs="楷体_GB2312"/>
          <w:b/>
          <w:color w:val="auto"/>
          <w:sz w:val="32"/>
          <w:szCs w:val="32"/>
          <w:highlight w:val="none"/>
          <w:lang w:val="zh-CN" w:eastAsia="zh-CN"/>
        </w:rPr>
        <w:t>（</w:t>
      </w:r>
      <w:r>
        <w:rPr>
          <w:rFonts w:hint="eastAsia" w:eastAsia="楷体_GB2312" w:cs="楷体_GB2312"/>
          <w:b/>
          <w:color w:val="auto"/>
          <w:sz w:val="32"/>
          <w:szCs w:val="32"/>
          <w:highlight w:val="none"/>
          <w:lang w:val="en-US" w:eastAsia="zh-CN"/>
        </w:rPr>
        <w:t>五</w:t>
      </w:r>
      <w:r>
        <w:rPr>
          <w:rFonts w:hint="eastAsia" w:eastAsia="楷体_GB2312" w:cs="楷体_GB2312"/>
          <w:b/>
          <w:color w:val="auto"/>
          <w:sz w:val="32"/>
          <w:szCs w:val="32"/>
          <w:highlight w:val="none"/>
          <w:lang w:val="zh-CN" w:eastAsia="zh-CN"/>
        </w:rPr>
        <w:t>）</w:t>
      </w:r>
      <w:r>
        <w:rPr>
          <w:rFonts w:hint="eastAsia" w:ascii="Times New Roman" w:hAnsi="Times New Roman" w:eastAsia="楷体_GB2312" w:cs="楷体_GB2312"/>
          <w:b/>
          <w:color w:val="auto"/>
          <w:sz w:val="32"/>
          <w:szCs w:val="32"/>
          <w:highlight w:val="none"/>
          <w:lang w:val="zh-CN" w:eastAsia="zh-CN"/>
        </w:rPr>
        <w:t>评价组织。</w:t>
      </w:r>
    </w:p>
    <w:p>
      <w:pPr>
        <w:spacing w:line="600" w:lineRule="exact"/>
        <w:ind w:firstLine="640"/>
        <w:rPr>
          <w:rFonts w:hint="eastAsia" w:eastAsia="仿宋_GB2312" w:cs="仿宋_GB2312"/>
          <w:color w:val="auto"/>
          <w:kern w:val="2"/>
          <w:sz w:val="32"/>
          <w:szCs w:val="32"/>
          <w:highlight w:val="none"/>
          <w:lang w:val="zh-CN" w:eastAsia="zh-CN" w:bidi="ar-SA"/>
        </w:rPr>
      </w:pPr>
      <w:r>
        <w:rPr>
          <w:rFonts w:hint="eastAsia" w:eastAsia="仿宋_GB2312" w:cs="仿宋_GB2312"/>
          <w:color w:val="auto"/>
          <w:kern w:val="2"/>
          <w:sz w:val="32"/>
          <w:szCs w:val="32"/>
          <w:highlight w:val="none"/>
          <w:lang w:val="en-US" w:eastAsia="zh-CN" w:bidi="ar-SA"/>
        </w:rPr>
        <w:t>1.已</w:t>
      </w:r>
      <w:r>
        <w:rPr>
          <w:rFonts w:hint="eastAsia" w:eastAsia="仿宋_GB2312" w:cs="仿宋_GB2312"/>
          <w:color w:val="auto"/>
          <w:kern w:val="2"/>
          <w:sz w:val="32"/>
          <w:szCs w:val="32"/>
          <w:highlight w:val="none"/>
          <w:lang w:val="zh-CN" w:eastAsia="zh-CN" w:bidi="ar-SA"/>
        </w:rPr>
        <w:t>成立绩效评价小组，共 3 人：</w:t>
      </w:r>
    </w:p>
    <w:p>
      <w:pPr>
        <w:spacing w:line="600" w:lineRule="exact"/>
        <w:ind w:firstLine="640"/>
        <w:rPr>
          <w:rFonts w:hint="eastAsia" w:eastAsia="仿宋_GB2312" w:cs="仿宋_GB2312"/>
          <w:color w:val="auto"/>
          <w:kern w:val="2"/>
          <w:sz w:val="32"/>
          <w:szCs w:val="32"/>
          <w:highlight w:val="none"/>
          <w:lang w:val="zh-CN" w:eastAsia="zh-CN" w:bidi="ar-SA"/>
        </w:rPr>
      </w:pPr>
      <w:r>
        <w:rPr>
          <w:rFonts w:hint="eastAsia" w:eastAsia="仿宋_GB2312" w:cs="仿宋_GB2312"/>
          <w:color w:val="auto"/>
          <w:kern w:val="2"/>
          <w:sz w:val="32"/>
          <w:szCs w:val="32"/>
          <w:highlight w:val="none"/>
          <w:lang w:val="en-US" w:eastAsia="zh-CN" w:bidi="ar-SA"/>
        </w:rPr>
        <w:t>2.</w:t>
      </w:r>
      <w:r>
        <w:rPr>
          <w:rFonts w:hint="eastAsia" w:eastAsia="仿宋_GB2312" w:cs="仿宋_GB2312"/>
          <w:color w:val="auto"/>
          <w:kern w:val="2"/>
          <w:sz w:val="32"/>
          <w:szCs w:val="32"/>
          <w:highlight w:val="none"/>
          <w:lang w:val="zh-CN" w:eastAsia="zh-CN" w:bidi="ar-SA"/>
        </w:rPr>
        <w:t>组长（卫健局</w:t>
      </w:r>
      <w:r>
        <w:rPr>
          <w:rFonts w:hint="eastAsia" w:eastAsia="仿宋_GB2312" w:cs="仿宋_GB2312"/>
          <w:color w:val="auto"/>
          <w:kern w:val="2"/>
          <w:sz w:val="32"/>
          <w:szCs w:val="32"/>
          <w:highlight w:val="none"/>
          <w:lang w:val="en-US" w:eastAsia="zh-CN" w:bidi="ar-SA"/>
        </w:rPr>
        <w:t>妇幼股</w:t>
      </w:r>
      <w:r>
        <w:rPr>
          <w:rFonts w:hint="eastAsia" w:eastAsia="仿宋_GB2312" w:cs="仿宋_GB2312"/>
          <w:color w:val="auto"/>
          <w:kern w:val="2"/>
          <w:sz w:val="32"/>
          <w:szCs w:val="32"/>
          <w:highlight w:val="none"/>
          <w:lang w:val="zh-CN" w:eastAsia="zh-CN" w:bidi="ar-SA"/>
        </w:rPr>
        <w:t>管理人员）：统筹整体评价工作，审定自评结论；</w:t>
      </w:r>
    </w:p>
    <w:p>
      <w:pPr>
        <w:spacing w:line="600" w:lineRule="exact"/>
        <w:ind w:firstLine="640"/>
        <w:rPr>
          <w:rFonts w:hint="eastAsia" w:eastAsia="仿宋_GB2312" w:cs="仿宋_GB2312"/>
          <w:color w:val="auto"/>
          <w:kern w:val="2"/>
          <w:sz w:val="32"/>
          <w:szCs w:val="32"/>
          <w:highlight w:val="none"/>
          <w:lang w:val="zh-CN" w:eastAsia="zh-CN" w:bidi="ar-SA"/>
        </w:rPr>
      </w:pPr>
      <w:r>
        <w:rPr>
          <w:rFonts w:hint="eastAsia" w:eastAsia="仿宋_GB2312" w:cs="仿宋_GB2312"/>
          <w:color w:val="auto"/>
          <w:kern w:val="2"/>
          <w:sz w:val="32"/>
          <w:szCs w:val="32"/>
          <w:highlight w:val="none"/>
          <w:lang w:val="en-US" w:eastAsia="zh-CN" w:bidi="ar-SA"/>
        </w:rPr>
        <w:t>3.</w:t>
      </w:r>
      <w:r>
        <w:rPr>
          <w:rFonts w:hint="eastAsia" w:eastAsia="仿宋_GB2312" w:cs="仿宋_GB2312"/>
          <w:color w:val="auto"/>
          <w:kern w:val="2"/>
          <w:sz w:val="32"/>
          <w:szCs w:val="32"/>
          <w:highlight w:val="none"/>
          <w:lang w:val="zh-CN" w:eastAsia="zh-CN" w:bidi="ar-SA"/>
        </w:rPr>
        <w:t>业务人员（</w:t>
      </w:r>
      <w:r>
        <w:rPr>
          <w:rFonts w:hint="eastAsia" w:eastAsia="仿宋_GB2312" w:cs="仿宋_GB2312"/>
          <w:color w:val="auto"/>
          <w:kern w:val="2"/>
          <w:sz w:val="32"/>
          <w:szCs w:val="32"/>
          <w:highlight w:val="none"/>
          <w:lang w:val="en-US" w:eastAsia="zh-CN" w:bidi="ar-SA"/>
        </w:rPr>
        <w:t>总医院公卫中心</w:t>
      </w:r>
      <w:r>
        <w:rPr>
          <w:rFonts w:hint="eastAsia" w:eastAsia="仿宋_GB2312" w:cs="仿宋_GB2312"/>
          <w:color w:val="auto"/>
          <w:kern w:val="2"/>
          <w:sz w:val="32"/>
          <w:szCs w:val="32"/>
          <w:highlight w:val="none"/>
          <w:lang w:val="zh-CN" w:eastAsia="zh-CN" w:bidi="ar-SA"/>
        </w:rPr>
        <w:t>业务负责人）：负责核对筛查业务数据、质量指标、病例资料；</w:t>
      </w:r>
    </w:p>
    <w:p>
      <w:pPr>
        <w:spacing w:line="600" w:lineRule="exact"/>
        <w:ind w:firstLine="640"/>
        <w:rPr>
          <w:rFonts w:hint="eastAsia" w:eastAsia="仿宋_GB2312" w:cs="仿宋_GB2312"/>
          <w:color w:val="auto"/>
          <w:kern w:val="2"/>
          <w:sz w:val="32"/>
          <w:szCs w:val="32"/>
          <w:highlight w:val="none"/>
          <w:lang w:val="zh-CN" w:eastAsia="zh-CN" w:bidi="ar-SA"/>
        </w:rPr>
      </w:pPr>
      <w:r>
        <w:rPr>
          <w:rFonts w:hint="eastAsia" w:eastAsia="仿宋_GB2312" w:cs="仿宋_GB2312"/>
          <w:color w:val="auto"/>
          <w:kern w:val="2"/>
          <w:sz w:val="32"/>
          <w:szCs w:val="32"/>
          <w:highlight w:val="none"/>
          <w:lang w:val="en-US" w:eastAsia="zh-CN" w:bidi="ar-SA"/>
        </w:rPr>
        <w:t>4.</w:t>
      </w:r>
      <w:r>
        <w:rPr>
          <w:rFonts w:hint="eastAsia" w:eastAsia="仿宋_GB2312" w:cs="仿宋_GB2312"/>
          <w:color w:val="auto"/>
          <w:kern w:val="2"/>
          <w:sz w:val="32"/>
          <w:szCs w:val="32"/>
          <w:highlight w:val="none"/>
          <w:lang w:val="zh-CN" w:eastAsia="zh-CN" w:bidi="ar-SA"/>
        </w:rPr>
        <w:t>财务人员：</w:t>
      </w:r>
      <w:r>
        <w:rPr>
          <w:rFonts w:hint="eastAsia" w:eastAsia="仿宋_GB2312" w:cs="仿宋_GB2312"/>
          <w:color w:val="auto"/>
          <w:kern w:val="2"/>
          <w:sz w:val="32"/>
          <w:szCs w:val="32"/>
          <w:highlight w:val="none"/>
          <w:lang w:val="en-US" w:eastAsia="zh-CN" w:bidi="ar-SA"/>
        </w:rPr>
        <w:t>总医院财务科</w:t>
      </w:r>
      <w:r>
        <w:rPr>
          <w:rFonts w:hint="eastAsia" w:eastAsia="仿宋_GB2312" w:cs="仿宋_GB2312"/>
          <w:color w:val="auto"/>
          <w:kern w:val="2"/>
          <w:sz w:val="32"/>
          <w:szCs w:val="32"/>
          <w:highlight w:val="none"/>
          <w:lang w:val="zh-CN" w:eastAsia="zh-CN" w:bidi="ar-SA"/>
        </w:rPr>
        <w:t>负责审核资金预算、支出凭证、账务核算，核实预算执行进度。</w:t>
      </w:r>
    </w:p>
    <w:p>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val="zh-CN" w:eastAsia="zh-CN"/>
        </w:rPr>
      </w:pPr>
      <w:r>
        <w:rPr>
          <w:rFonts w:hint="eastAsia" w:ascii="Times New Roman" w:hAnsi="Times New Roman" w:eastAsia="黑体"/>
          <w:color w:val="auto"/>
          <w:sz w:val="32"/>
          <w:szCs w:val="32"/>
          <w:highlight w:val="none"/>
          <w:lang w:eastAsia="zh-CN"/>
        </w:rPr>
        <w:t>三、绩效分析</w:t>
      </w:r>
      <w:r>
        <w:rPr>
          <w:rFonts w:hint="eastAsia" w:ascii="Times New Roman" w:hAnsi="Times New Roman" w:eastAsia="黑体"/>
          <w:color w:val="auto"/>
          <w:sz w:val="32"/>
          <w:szCs w:val="32"/>
          <w:highlight w:val="none"/>
          <w:lang w:val="zh-CN" w:eastAsia="zh-CN"/>
        </w:rPr>
        <w:tab/>
      </w:r>
    </w:p>
    <w:p>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本次自评总分 90 分，按照通用指标、专用指标、个性指标逐项分析评分。</w:t>
      </w:r>
    </w:p>
    <w:p>
      <w:pPr>
        <w:spacing w:line="600" w:lineRule="exact"/>
        <w:ind w:firstLine="642" w:firstLineChars="200"/>
        <w:outlineLvl w:val="2"/>
        <w:rPr>
          <w:rFonts w:hint="eastAsia" w:ascii="Times New Roman" w:hAnsi="Times New Roman" w:eastAsia="楷体_GB2312" w:cs="楷体_GB2312"/>
          <w:b/>
          <w:color w:val="auto"/>
          <w:sz w:val="32"/>
          <w:szCs w:val="32"/>
          <w:highlight w:val="none"/>
          <w:lang w:val="en-US" w:eastAsia="zh-CN"/>
        </w:rPr>
      </w:pPr>
      <w:r>
        <w:rPr>
          <w:rFonts w:hint="eastAsia" w:ascii="Times New Roman" w:hAnsi="Times New Roman" w:eastAsia="楷体_GB2312" w:cs="楷体_GB2312"/>
          <w:b/>
          <w:color w:val="auto"/>
          <w:sz w:val="32"/>
          <w:szCs w:val="32"/>
          <w:highlight w:val="none"/>
          <w:lang w:val="en-US" w:eastAsia="zh-CN"/>
        </w:rPr>
        <w:t>（一）通用指标绩效分析</w:t>
      </w:r>
    </w:p>
    <w:p>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 项目决策（满分 15 分，得分 15 分）</w:t>
      </w:r>
    </w:p>
    <w:p>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决策程序：项目属于省级民生实事，立项文件齐全，申报流程规范，手续完备；</w:t>
      </w:r>
    </w:p>
    <w:p>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规划论证：项目结合我县牧区妇女健康现状制定实施方案，任务测算贴合本地实际；</w:t>
      </w:r>
    </w:p>
    <w:p>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资金投向：资金全部用于筛查业务，投向完全符合政策要求，无资金偏离情况。 结论：该项满分。</w:t>
      </w:r>
    </w:p>
    <w:p>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 项目管理（满分 15 分，得分 15 分）</w:t>
      </w:r>
    </w:p>
    <w:p>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制度办法：专项资金管理、项目质控、信息上报制度健全，执行到位；</w:t>
      </w:r>
    </w:p>
    <w:p>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分配管理：资金严格按照筛查人数据实结算，分配公平合理，无平均分配、随意调剂问题；</w:t>
      </w:r>
    </w:p>
    <w:p>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绩效监管：全程跟踪项目进度，按月统计筛查人数，同步管控资金支出，绩效监管到位。 结论：该项满分。</w:t>
      </w:r>
    </w:p>
    <w:p>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3. 项目实施（满分 10 分，得分 10 分）</w:t>
      </w:r>
    </w:p>
    <w:p>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预算执行：调整后预算 22.56 万元，实际支出 22.56万元，执行率 100%，资金及时足额支付；</w:t>
      </w:r>
    </w:p>
    <w:p>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资金使用：全部支出均为筛查耗材、检验、下乡服务等项目直接费用，票据齐全、账务清晰，无违规开支。 结论：该项满分。</w:t>
      </w:r>
    </w:p>
    <w:p>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4. 项目结果（满分 20 分，得分 14 分）</w:t>
      </w:r>
    </w:p>
    <w:p>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目标完成：年度筛查任务 1200 人，实际完成 1200 人，数量任务 100% 完成；宫颈癌早诊率仅 72%（目标≥90%）、乳腺癌早诊率 65%（目标≥70%），两项质量指标未达标；</w:t>
      </w:r>
    </w:p>
    <w:p>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完成时效：要求 7 个月内完成筛查，本年度 5 月就全部完成现场筛查工作，时效指标达标。 扣分原因：专业技术人员不足、群众主动就诊意愿不强，加之牧区妇女多胎多产、长期哺乳的生理特点，导致两项早诊率未达到预设目标，扣 6 分。</w:t>
      </w:r>
    </w:p>
    <w:p>
      <w:pPr>
        <w:spacing w:line="600" w:lineRule="exact"/>
        <w:ind w:firstLine="642" w:firstLineChars="200"/>
        <w:outlineLvl w:val="2"/>
        <w:rPr>
          <w:rFonts w:hint="eastAsia" w:ascii="Times New Roman" w:hAnsi="Times New Roman" w:eastAsia="楷体_GB2312" w:cs="楷体_GB2312"/>
          <w:b/>
          <w:color w:val="auto"/>
          <w:sz w:val="32"/>
          <w:szCs w:val="32"/>
          <w:highlight w:val="none"/>
          <w:lang w:val="en-US" w:eastAsia="zh-CN"/>
        </w:rPr>
      </w:pPr>
      <w:r>
        <w:rPr>
          <w:rFonts w:hint="eastAsia" w:ascii="Times New Roman" w:hAnsi="Times New Roman" w:eastAsia="楷体_GB2312" w:cs="楷体_GB2312"/>
          <w:b/>
          <w:color w:val="auto"/>
          <w:sz w:val="32"/>
          <w:szCs w:val="32"/>
          <w:highlight w:val="none"/>
          <w:lang w:val="en-US" w:eastAsia="zh-CN"/>
        </w:rPr>
        <w:t>（二）专用指标绩效分析（民生保障类，满分 20 分，得分 18 分）</w:t>
      </w:r>
    </w:p>
    <w:p>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1.本项目属于民生保障类项目，围绕 4 项内容开展分析：</w:t>
      </w:r>
    </w:p>
    <w:p>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2.区域均衡性：筛查覆盖全县农村牧区，不分乡镇均衡开展流动筛查，不存在区域遗漏，指标达标；</w:t>
      </w:r>
    </w:p>
    <w:p>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3.对象精准性：严格锁定 35—64 周岁农村户籍妇女，严格审核身份信息，筛查对象精准，无超范围人员，指标达标；</w:t>
      </w:r>
    </w:p>
    <w:p>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4.标准合理性：严格按照省级统一筛查单价结算费用，支出标准合规，无超标准开支，指标达标；</w:t>
      </w:r>
    </w:p>
    <w:p>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5.群众满意度：随机问卷调查，农牧民筛查满意度 98%，高于≥95% 的目标值，指标达标。 扣分说明：仅因早诊质量不达标扣 2 分，其余民生保障指标全部合格。</w:t>
      </w:r>
    </w:p>
    <w:p>
      <w:pPr>
        <w:spacing w:line="600" w:lineRule="exact"/>
        <w:ind w:firstLine="642" w:firstLineChars="200"/>
        <w:outlineLvl w:val="2"/>
        <w:rPr>
          <w:rFonts w:hint="eastAsia" w:ascii="Times New Roman" w:hAnsi="Times New Roman" w:eastAsia="楷体_GB2312" w:cs="楷体_GB2312"/>
          <w:b/>
          <w:color w:val="auto"/>
          <w:sz w:val="32"/>
          <w:szCs w:val="32"/>
          <w:highlight w:val="none"/>
          <w:lang w:val="en-US" w:eastAsia="zh-CN"/>
        </w:rPr>
      </w:pPr>
      <w:r>
        <w:rPr>
          <w:rFonts w:hint="eastAsia" w:ascii="Times New Roman" w:hAnsi="Times New Roman" w:eastAsia="楷体_GB2312" w:cs="楷体_GB2312"/>
          <w:b/>
          <w:color w:val="auto"/>
          <w:sz w:val="32"/>
          <w:szCs w:val="32"/>
          <w:highlight w:val="none"/>
          <w:lang w:val="en-US" w:eastAsia="zh-CN"/>
        </w:rPr>
        <w:t>（三）个性指标绩效分析（满分 10 分，得分 8 分）</w:t>
      </w:r>
    </w:p>
    <w:p>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本次自行设置 2 项个性指标：</w:t>
      </w:r>
    </w:p>
    <w:p>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1.筛查资料完整率：筛查登记表、检验报告、随访档案完整率 100%，得满分；</w:t>
      </w:r>
    </w:p>
    <w:p>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2.异常病例随访率：目标随访率≥90%，实际 82%，部分偏远牧区群众通讯不畅，随访跟进不及时，扣 2 分。</w:t>
      </w:r>
    </w:p>
    <w:p>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val="en-US" w:eastAsia="zh-CN"/>
        </w:rPr>
      </w:pPr>
      <w:r>
        <w:rPr>
          <w:rFonts w:hint="eastAsia" w:ascii="Times New Roman" w:hAnsi="Times New Roman" w:eastAsia="黑体"/>
          <w:color w:val="auto"/>
          <w:sz w:val="32"/>
          <w:szCs w:val="32"/>
          <w:highlight w:val="none"/>
          <w:lang w:val="en-US" w:eastAsia="zh-CN"/>
        </w:rPr>
        <w:t>四、评价结论</w:t>
      </w:r>
    </w:p>
    <w:p>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本项目综合自评总分90 分，绩效等级为 “良”。 项目立项程序规范、管理制度完善，资金执行率 100%，足额完成 1200 人的筛查数量任务，提前完成年度工作，筛查对象精准，农牧民群众满意度较高，较好完成省级民生实事工作。 短板集中在筛查质量：宫颈癌、乳腺癌早诊率未达到既定目标，偏远病例随访存在滞后。</w:t>
      </w:r>
    </w:p>
    <w:p>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val="en-US" w:eastAsia="zh-CN"/>
        </w:rPr>
      </w:pPr>
      <w:r>
        <w:rPr>
          <w:rFonts w:hint="eastAsia" w:ascii="Times New Roman" w:hAnsi="Times New Roman" w:eastAsia="黑体"/>
          <w:color w:val="auto"/>
          <w:sz w:val="32"/>
          <w:szCs w:val="32"/>
          <w:highlight w:val="none"/>
          <w:lang w:val="en-US" w:eastAsia="zh-CN"/>
        </w:rPr>
        <w:t>五、存在主要问题</w:t>
      </w:r>
    </w:p>
    <w:p>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1.专业技术力量薄弱：院内缺少妇科病理、乳腺超声专职技术人员，筛查判读能力不足，影响早期病变检出率，直接造成早诊率不达标临澧县人民...。</w:t>
      </w:r>
    </w:p>
    <w:p>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2.群众主动参与积极性不足：牧区群众健康意识薄弱，部分妇女抱有 “无病不体检” 观念，初筛阳性人员不愿进一步做复诊检查，导致早期病例漏检。</w:t>
      </w:r>
    </w:p>
    <w:p>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3.地域生理因素影响检出水平：本地农牧妇女普遍多胎多产、哺乳期长，乳腺增生等良性病变占比高，干扰早期乳腺癌筛查判读，拉低早诊率。</w:t>
      </w:r>
    </w:p>
    <w:p>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4.偏远病例随访难度大：牧区居住分散、通讯信号不稳定，部分筛查异常人员无法及时跟踪复查，异常病例随访率未达标。</w:t>
      </w:r>
    </w:p>
    <w:p>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val="en-US" w:eastAsia="zh-CN"/>
        </w:rPr>
      </w:pPr>
      <w:r>
        <w:rPr>
          <w:rFonts w:hint="eastAsia" w:ascii="Times New Roman" w:hAnsi="Times New Roman" w:eastAsia="黑体"/>
          <w:color w:val="auto"/>
          <w:sz w:val="32"/>
          <w:szCs w:val="32"/>
          <w:highlight w:val="none"/>
          <w:lang w:val="en-US" w:eastAsia="zh-CN"/>
        </w:rPr>
        <w:t>六、改进建议</w:t>
      </w:r>
    </w:p>
    <w:p>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1.补齐技术短板，提升早诊能力 积极对接州级妇幼保健机构，定期选派医务人员进修学习宫颈病理、乳腺超声诊断技术；聘请上级专家到我县开展现场带教、业务培训；建立外送检测协作机制，把疑难标本送往上级医疗机构复核，提高早期病变检出水平。</w:t>
      </w:r>
    </w:p>
    <w:p>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2.强化宣传动员，提高群众就诊意愿 结合牧区特点，采用藏汉双语标语、乡村广播、村干部入户动员等方式普及 “两癌” 防治知识；联合乡镇妇联、村社干部做好初筛阳性人员的思想引导，督促阳性群众及时到院复诊，减少早期病例漏诊。</w:t>
      </w:r>
    </w:p>
    <w:p>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3.优化筛查方案，适配牧区人群特点 针对本地妇女多胎多产、长期哺乳的生理特征，优化乳腺筛查诊断标准，完善良性病变与早期癌症的鉴别流程，减少误判，稳步提升乳腺癌早诊率。</w:t>
      </w:r>
    </w:p>
    <w:p>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4.健全随访机制，做好闭环管理 建立筛查异常人员台账，落实乡村医生一对一跟踪随访；对偏远牧区群众采取电话 + 上门相结合方式，畅通联络渠道；将随访完成情况纳入项目考核，保障异常病例随访率达标。</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pPr>
        <w:spacing w:line="600" w:lineRule="exact"/>
        <w:jc w:val="center"/>
        <w:outlineLvl w:val="0"/>
        <w:rPr>
          <w:rFonts w:hint="eastAsia" w:ascii="黑体" w:hAnsi="黑体" w:eastAsia="黑体"/>
          <w:color w:val="FF0000"/>
          <w:sz w:val="44"/>
          <w:szCs w:val="44"/>
          <w:highlight w:val="none"/>
        </w:rPr>
      </w:pPr>
      <w:bookmarkStart w:id="92" w:name="_Toc15396618"/>
      <w:r>
        <w:rPr>
          <w:rFonts w:hint="eastAsia" w:ascii="Times New Roman" w:hAnsi="Times New Roman" w:eastAsia="仿宋_GB2312" w:cs="仿宋_GB2312"/>
          <w:b w:val="0"/>
          <w:bCs w:val="0"/>
          <w:kern w:val="0"/>
          <w:position w:val="0"/>
          <w:sz w:val="32"/>
          <w:szCs w:val="32"/>
          <w:highlight w:val="none"/>
          <w:lang w:val="en-US" w:eastAsia="zh-CN" w:bidi="ar-SA"/>
        </w:rPr>
        <w:br w:type="page"/>
      </w:r>
      <w:r>
        <w:rPr>
          <w:rFonts w:hint="eastAsia" w:hAnsi="Times New Roman" w:cs="Times New Roman"/>
          <w:sz w:val="32"/>
          <w:szCs w:val="32"/>
          <w:highlight w:val="none"/>
          <w:lang w:val="en-US" w:eastAsia="zh-CN"/>
        </w:rPr>
        <w:t>部门预算项目支出绩效自评表（2025年度）</w:t>
      </w:r>
    </w:p>
    <w:tbl>
      <w:tblPr>
        <w:tblStyle w:val="16"/>
        <w:tblW w:w="4987"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08"/>
        <w:gridCol w:w="1003"/>
        <w:gridCol w:w="713"/>
        <w:gridCol w:w="1488"/>
        <w:gridCol w:w="558"/>
        <w:gridCol w:w="722"/>
        <w:gridCol w:w="404"/>
        <w:gridCol w:w="722"/>
        <w:gridCol w:w="508"/>
        <w:gridCol w:w="399"/>
        <w:gridCol w:w="127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w:t>
            </w:r>
            <w:r>
              <w:rPr>
                <w:rFonts w:hint="eastAsia" w:ascii="黑体" w:hAnsi="宋体" w:eastAsia="黑体" w:cs="黑体"/>
                <w:b/>
                <w:bCs/>
                <w:i w:val="0"/>
                <w:iCs w:val="0"/>
                <w:color w:val="000000"/>
                <w:kern w:val="0"/>
                <w:sz w:val="30"/>
                <w:szCs w:val="30"/>
                <w:u w:val="none"/>
                <w:lang w:val="en-US" w:eastAsia="zh-CN" w:bidi="ar"/>
              </w:rPr>
              <w:t>2025</w:t>
            </w:r>
            <w:r>
              <w:rPr>
                <w:rFonts w:hint="default" w:ascii="黑体" w:hAnsi="宋体" w:eastAsia="黑体" w:cs="黑体"/>
                <w:b/>
                <w:bCs/>
                <w:i w:val="0"/>
                <w:iCs w:val="0"/>
                <w:color w:val="000000"/>
                <w:kern w:val="0"/>
                <w:sz w:val="30"/>
                <w:szCs w:val="30"/>
                <w:u w:val="none"/>
                <w:lang w:val="en-US" w:eastAsia="zh-CN" w:bidi="ar"/>
              </w:rPr>
              <w:t>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1006" w:type="pct"/>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3993" w:type="pct"/>
            <w:gridSpan w:val="9"/>
            <w:tcBorders>
              <w:top w:val="single" w:color="000000" w:sz="4" w:space="0"/>
              <w:left w:val="single" w:color="000000" w:sz="4" w:space="0"/>
              <w:bottom w:val="single" w:color="000000" w:sz="4" w:space="0"/>
              <w:right w:val="single" w:color="000000" w:sz="4" w:space="0"/>
            </w:tcBorders>
            <w:noWrap w:val="0"/>
            <w:vAlign w:val="center"/>
          </w:tcPr>
          <w:p>
            <w:pPr>
              <w:rPr>
                <w:rFonts w:hint="eastAsia" w:ascii="宋体" w:hAnsi="宋体" w:eastAsia="宋体" w:cs="宋体"/>
                <w:i w:val="0"/>
                <w:iCs w:val="0"/>
                <w:color w:val="000000"/>
                <w:sz w:val="18"/>
                <w:szCs w:val="18"/>
                <w:u w:val="none"/>
              </w:rPr>
            </w:pPr>
            <w:r>
              <w:rPr>
                <w:rFonts w:hint="default" w:ascii="仿宋_GB2312" w:eastAsia="仿宋_GB2312"/>
                <w:color w:val="auto"/>
                <w:sz w:val="32"/>
                <w:szCs w:val="32"/>
                <w:lang w:val="en-US" w:eastAsia="zh-CN"/>
              </w:rPr>
              <w:t>卫生健康补助资金（农村妇女“两癌”筛查）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1006" w:type="pct"/>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285" w:type="pct"/>
            <w:gridSpan w:val="5"/>
            <w:tcBorders>
              <w:top w:val="single" w:color="000000" w:sz="4" w:space="0"/>
              <w:left w:val="single" w:color="000000" w:sz="4" w:space="0"/>
              <w:bottom w:val="single" w:color="000000" w:sz="4" w:space="0"/>
              <w:right w:val="single" w:color="000000" w:sz="4" w:space="0"/>
            </w:tcBorders>
            <w:noWrap w:val="0"/>
            <w:vAlign w:val="center"/>
          </w:tcPr>
          <w:p>
            <w:pP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壤塘县卫生健康局</w:t>
            </w:r>
          </w:p>
        </w:tc>
        <w:tc>
          <w:tcPr>
            <w:tcW w:w="424" w:type="pct"/>
            <w:tcBorders>
              <w:top w:val="nil"/>
              <w:left w:val="nil"/>
              <w:bottom w:val="nil"/>
              <w:right w:val="nil"/>
            </w:tcBorders>
            <w:noWrap w:val="0"/>
            <w:vAlign w:val="center"/>
          </w:tcPr>
          <w:p>
            <w:pPr>
              <w:keepNext w:val="0"/>
              <w:keepLines w:val="0"/>
              <w:widowControl/>
              <w:suppressLineNumbers w:val="0"/>
              <w:jc w:val="left"/>
              <w:textAlignment w:val="center"/>
              <w:rPr>
                <w:rFonts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实施单位 （盖章）</w:t>
            </w:r>
          </w:p>
        </w:tc>
        <w:tc>
          <w:tcPr>
            <w:tcW w:w="1283" w:type="pct"/>
            <w:gridSpan w:val="3"/>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壤塘县妇幼保健院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416" w:type="pct"/>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590" w:type="pct"/>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285" w:type="pct"/>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708" w:type="pct"/>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416" w:type="pct"/>
            <w:vMerge w:val="continue"/>
            <w:tcBorders>
              <w:top w:val="single" w:color="000000" w:sz="4" w:space="0"/>
              <w:left w:val="single" w:color="000000" w:sz="4" w:space="0"/>
              <w:bottom w:val="single" w:color="000000" w:sz="4" w:space="0"/>
              <w:right w:val="single" w:color="000000" w:sz="4" w:space="0"/>
            </w:tcBorders>
            <w:noWrap w:val="0"/>
            <w:vAlign w:val="center"/>
          </w:tcPr>
          <w:p>
            <w:pPr>
              <w:rPr>
                <w:rFonts w:hint="eastAsia" w:ascii="宋体" w:hAnsi="宋体" w:eastAsia="宋体" w:cs="宋体"/>
                <w:i w:val="0"/>
                <w:iCs w:val="0"/>
                <w:color w:val="000000"/>
                <w:sz w:val="18"/>
                <w:szCs w:val="18"/>
                <w:u w:val="none"/>
              </w:rPr>
            </w:pPr>
          </w:p>
        </w:tc>
        <w:tc>
          <w:tcPr>
            <w:tcW w:w="590" w:type="pct"/>
            <w:vMerge w:val="continue"/>
            <w:tcBorders>
              <w:top w:val="single" w:color="000000" w:sz="4" w:space="0"/>
              <w:left w:val="single" w:color="000000" w:sz="4" w:space="0"/>
              <w:bottom w:val="single" w:color="000000" w:sz="4" w:space="0"/>
              <w:right w:val="single" w:color="000000" w:sz="4" w:space="0"/>
            </w:tcBorders>
            <w:noWrap w:val="0"/>
            <w:vAlign w:val="center"/>
          </w:tcPr>
          <w:p>
            <w:pPr>
              <w:rPr>
                <w:rFonts w:hint="eastAsia" w:ascii="宋体" w:hAnsi="宋体" w:eastAsia="宋体" w:cs="宋体"/>
                <w:i w:val="0"/>
                <w:iCs w:val="0"/>
                <w:color w:val="000000"/>
                <w:sz w:val="18"/>
                <w:szCs w:val="18"/>
                <w:u w:val="none"/>
              </w:rPr>
            </w:pPr>
          </w:p>
        </w:tc>
        <w:tc>
          <w:tcPr>
            <w:tcW w:w="2285" w:type="pct"/>
            <w:gridSpan w:val="5"/>
            <w:tcBorders>
              <w:top w:val="single" w:color="000000" w:sz="4" w:space="0"/>
              <w:left w:val="single" w:color="000000" w:sz="4" w:space="0"/>
              <w:bottom w:val="single" w:color="000000" w:sz="4" w:space="0"/>
              <w:right w:val="single" w:color="000000" w:sz="4" w:space="0"/>
            </w:tcBorders>
            <w:noWrap w:val="0"/>
            <w:vAlign w:val="center"/>
          </w:tcPr>
          <w:p>
            <w:pP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根据年度任务，</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宫颈癌、乳腺癌</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筛查</w:t>
            </w:r>
            <w:r>
              <w:rPr>
                <w:rFonts w:hint="eastAsia" w:ascii="宋体" w:hAnsi="宋体" w:eastAsia="宋体" w:cs="宋体"/>
                <w:i w:val="0"/>
                <w:iCs w:val="0"/>
                <w:color w:val="000000"/>
                <w:kern w:val="0"/>
                <w:sz w:val="18"/>
                <w:szCs w:val="18"/>
                <w:u w:val="none"/>
                <w:lang w:val="en-US" w:eastAsia="zh-CN" w:bidi="ar"/>
              </w:rPr>
              <w:t>省级</w:t>
            </w:r>
            <w:r>
              <w:rPr>
                <w:rFonts w:ascii="宋体" w:hAnsi="宋体" w:eastAsia="宋体" w:cs="宋体"/>
                <w:i w:val="0"/>
                <w:iCs w:val="0"/>
                <w:color w:val="000000"/>
                <w:kern w:val="0"/>
                <w:sz w:val="18"/>
                <w:szCs w:val="18"/>
                <w:u w:val="none"/>
                <w:lang w:val="en-US" w:eastAsia="zh-CN" w:bidi="ar"/>
              </w:rPr>
              <w:t>任务数</w:t>
            </w:r>
            <w:r>
              <w:rPr>
                <w:rFonts w:hint="eastAsia" w:ascii="宋体" w:hAnsi="宋体" w:eastAsia="宋体" w:cs="宋体"/>
                <w:i w:val="0"/>
                <w:iCs w:val="0"/>
                <w:color w:val="000000"/>
                <w:kern w:val="0"/>
                <w:sz w:val="18"/>
                <w:szCs w:val="18"/>
                <w:u w:val="none"/>
                <w:lang w:val="en-US" w:eastAsia="zh-CN" w:bidi="ar"/>
              </w:rPr>
              <w:t>1000</w:t>
            </w:r>
            <w:r>
              <w:rPr>
                <w:rFonts w:ascii="宋体" w:hAnsi="宋体" w:eastAsia="宋体" w:cs="宋体"/>
                <w:i w:val="0"/>
                <w:iCs w:val="0"/>
                <w:color w:val="000000"/>
                <w:kern w:val="0"/>
                <w:sz w:val="18"/>
                <w:szCs w:val="18"/>
                <w:u w:val="none"/>
                <w:lang w:val="en-US" w:eastAsia="zh-CN" w:bidi="ar"/>
              </w:rPr>
              <w:t>人</w:t>
            </w:r>
            <w:r>
              <w:rPr>
                <w:rFonts w:hint="eastAsia" w:ascii="宋体" w:hAnsi="宋体" w:eastAsia="宋体" w:cs="宋体"/>
                <w:i w:val="0"/>
                <w:iCs w:val="0"/>
                <w:color w:val="000000"/>
                <w:kern w:val="0"/>
                <w:sz w:val="18"/>
                <w:szCs w:val="18"/>
                <w:u w:val="none"/>
                <w:lang w:val="en-US" w:eastAsia="zh-CN" w:bidi="ar"/>
              </w:rPr>
              <w:t>，州级任务200人，总任务数为1200人。</w:t>
            </w:r>
          </w:p>
        </w:tc>
        <w:tc>
          <w:tcPr>
            <w:tcW w:w="1708" w:type="pct"/>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黑体" w:hAnsi="黑体" w:eastAsia="黑体" w:cs="黑体"/>
                <w:i w:val="0"/>
                <w:iCs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截</w:t>
            </w:r>
            <w:r>
              <w:rPr>
                <w:rFonts w:hint="eastAsia" w:ascii="宋体" w:hAnsi="宋体" w:cs="宋体"/>
                <w:i w:val="0"/>
                <w:iCs w:val="0"/>
                <w:color w:val="000000"/>
                <w:kern w:val="0"/>
                <w:sz w:val="18"/>
                <w:szCs w:val="18"/>
                <w:u w:val="none"/>
                <w:lang w:val="en-US" w:eastAsia="zh-CN" w:bidi="ar"/>
              </w:rPr>
              <w:t>至</w:t>
            </w:r>
            <w:r>
              <w:rPr>
                <w:rFonts w:hint="eastAsia" w:ascii="宋体" w:hAnsi="宋体" w:eastAsia="宋体" w:cs="宋体"/>
                <w:i w:val="0"/>
                <w:iCs w:val="0"/>
                <w:color w:val="000000"/>
                <w:kern w:val="0"/>
                <w:sz w:val="18"/>
                <w:szCs w:val="18"/>
                <w:u w:val="none"/>
                <w:lang w:val="en-US" w:eastAsia="zh-CN" w:bidi="ar"/>
              </w:rPr>
              <w:t>年底，</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宫颈癌、乳腺癌</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筛查1200人。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3" w:hRule="atLeast"/>
        </w:trPr>
        <w:tc>
          <w:tcPr>
            <w:tcW w:w="416" w:type="pct"/>
            <w:vMerge w:val="continue"/>
            <w:tcBorders>
              <w:top w:val="single" w:color="000000" w:sz="4" w:space="0"/>
              <w:left w:val="single" w:color="000000" w:sz="4" w:space="0"/>
              <w:bottom w:val="single" w:color="000000" w:sz="4" w:space="0"/>
              <w:right w:val="single" w:color="000000" w:sz="4" w:space="0"/>
            </w:tcBorders>
            <w:noWrap w:val="0"/>
            <w:vAlign w:val="center"/>
          </w:tcPr>
          <w:p>
            <w:pPr>
              <w:rPr>
                <w:rFonts w:hint="eastAsia" w:ascii="宋体" w:hAnsi="宋体" w:eastAsia="宋体" w:cs="宋体"/>
                <w:i w:val="0"/>
                <w:iCs w:val="0"/>
                <w:color w:val="000000"/>
                <w:sz w:val="18"/>
                <w:szCs w:val="18"/>
                <w:u w:val="none"/>
              </w:rPr>
            </w:pPr>
          </w:p>
        </w:tc>
        <w:tc>
          <w:tcPr>
            <w:tcW w:w="59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3993" w:type="pct"/>
            <w:gridSpan w:val="9"/>
            <w:tcBorders>
              <w:top w:val="single" w:color="000000" w:sz="4" w:space="0"/>
              <w:left w:val="single" w:color="000000" w:sz="4" w:space="0"/>
              <w:bottom w:val="single" w:color="000000" w:sz="4" w:space="0"/>
              <w:right w:val="single" w:color="000000" w:sz="4" w:space="0"/>
            </w:tcBorders>
            <w:noWrap w:val="0"/>
            <w:vAlign w:val="center"/>
          </w:tcPr>
          <w:p>
            <w:pPr>
              <w:rPr>
                <w:rFonts w:hint="default" w:ascii="宋体" w:hAnsi="宋体" w:eastAsia="宋体" w:cs="宋体"/>
                <w:i w:val="0"/>
                <w:iCs w:val="0"/>
                <w:color w:val="000000"/>
                <w:sz w:val="18"/>
                <w:szCs w:val="18"/>
                <w:u w:val="none"/>
                <w:lang w:val="en-US"/>
              </w:rPr>
            </w:pPr>
            <w:r>
              <w:rPr>
                <w:rFonts w:ascii="宋体" w:hAnsi="宋体" w:eastAsia="宋体" w:cs="宋体"/>
                <w:i w:val="0"/>
                <w:iCs w:val="0"/>
                <w:color w:val="000000"/>
                <w:kern w:val="0"/>
                <w:sz w:val="18"/>
                <w:szCs w:val="18"/>
                <w:u w:val="none"/>
                <w:lang w:val="en-US" w:eastAsia="zh-CN" w:bidi="ar"/>
              </w:rPr>
              <w:t>对我县</w:t>
            </w:r>
            <w:r>
              <w:rPr>
                <w:rFonts w:hint="eastAsia" w:ascii="宋体" w:hAnsi="宋体" w:eastAsia="宋体" w:cs="宋体"/>
                <w:i w:val="0"/>
                <w:iCs w:val="0"/>
                <w:color w:val="000000"/>
                <w:kern w:val="0"/>
                <w:sz w:val="18"/>
                <w:szCs w:val="18"/>
                <w:u w:val="none"/>
                <w:lang w:val="en-US" w:eastAsia="zh-CN" w:bidi="ar"/>
              </w:rPr>
              <w:t>农村</w:t>
            </w:r>
            <w:r>
              <w:rPr>
                <w:rFonts w:ascii="宋体" w:hAnsi="宋体" w:eastAsia="宋体" w:cs="宋体"/>
                <w:i w:val="0"/>
                <w:iCs w:val="0"/>
                <w:color w:val="000000"/>
                <w:kern w:val="0"/>
                <w:sz w:val="18"/>
                <w:szCs w:val="18"/>
                <w:u w:val="none"/>
                <w:lang w:val="en-US" w:eastAsia="zh-CN" w:bidi="ar"/>
              </w:rPr>
              <w:t>适龄妇女进行</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宫颈癌、乳腺癌</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的免费筛查</w:t>
            </w:r>
            <w:r>
              <w:rPr>
                <w:rFonts w:hint="eastAsia" w:ascii="宋体" w:hAnsi="宋体" w:eastAsia="宋体" w:cs="宋体"/>
                <w:i w:val="0"/>
                <w:iCs w:val="0"/>
                <w:color w:val="000000"/>
                <w:kern w:val="0"/>
                <w:sz w:val="18"/>
                <w:szCs w:val="18"/>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416" w:type="pct"/>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59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41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875"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990" w:type="pct"/>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42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29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3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75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7" w:hRule="atLeast"/>
        </w:trPr>
        <w:tc>
          <w:tcPr>
            <w:tcW w:w="416"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59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419" w:type="pct"/>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 xml:space="preserve"> 0</w:t>
            </w:r>
          </w:p>
        </w:tc>
        <w:tc>
          <w:tcPr>
            <w:tcW w:w="875" w:type="pct"/>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22.56</w:t>
            </w:r>
          </w:p>
        </w:tc>
        <w:tc>
          <w:tcPr>
            <w:tcW w:w="990" w:type="pct"/>
            <w:gridSpan w:val="3"/>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22.56</w:t>
            </w:r>
          </w:p>
        </w:tc>
        <w:tc>
          <w:tcPr>
            <w:tcW w:w="424" w:type="pct"/>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100%</w:t>
            </w:r>
          </w:p>
        </w:tc>
        <w:tc>
          <w:tcPr>
            <w:tcW w:w="298" w:type="pct"/>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10</w:t>
            </w:r>
          </w:p>
        </w:tc>
        <w:tc>
          <w:tcPr>
            <w:tcW w:w="234" w:type="pct"/>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10</w:t>
            </w:r>
          </w:p>
        </w:tc>
        <w:tc>
          <w:tcPr>
            <w:tcW w:w="750" w:type="pct"/>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2" w:hRule="atLeast"/>
        </w:trPr>
        <w:tc>
          <w:tcPr>
            <w:tcW w:w="416"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59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419" w:type="pct"/>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0</w:t>
            </w:r>
          </w:p>
        </w:tc>
        <w:tc>
          <w:tcPr>
            <w:tcW w:w="875" w:type="pct"/>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22.56</w:t>
            </w:r>
          </w:p>
        </w:tc>
        <w:tc>
          <w:tcPr>
            <w:tcW w:w="990" w:type="pct"/>
            <w:gridSpan w:val="3"/>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22.56</w:t>
            </w:r>
          </w:p>
        </w:tc>
        <w:tc>
          <w:tcPr>
            <w:tcW w:w="424" w:type="pct"/>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100%</w:t>
            </w:r>
          </w:p>
        </w:tc>
        <w:tc>
          <w:tcPr>
            <w:tcW w:w="29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3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50" w:type="pct"/>
            <w:vMerge w:val="continue"/>
            <w:tcBorders>
              <w:top w:val="single" w:color="000000" w:sz="4" w:space="0"/>
              <w:left w:val="single" w:color="000000" w:sz="4" w:space="0"/>
              <w:bottom w:val="single" w:color="000000" w:sz="4" w:space="0"/>
              <w:right w:val="single" w:color="000000" w:sz="4" w:space="0"/>
            </w:tcBorders>
            <w:noWrap w:val="0"/>
            <w:vAlign w:val="center"/>
          </w:tcPr>
          <w:p>
            <w:pPr>
              <w:rPr>
                <w:rFonts w:hint="default"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9" w:hRule="atLeast"/>
        </w:trPr>
        <w:tc>
          <w:tcPr>
            <w:tcW w:w="416"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59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419" w:type="pct"/>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0</w:t>
            </w:r>
          </w:p>
        </w:tc>
        <w:tc>
          <w:tcPr>
            <w:tcW w:w="875" w:type="pct"/>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0</w:t>
            </w:r>
          </w:p>
        </w:tc>
        <w:tc>
          <w:tcPr>
            <w:tcW w:w="990" w:type="pct"/>
            <w:gridSpan w:val="3"/>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0</w:t>
            </w:r>
          </w:p>
        </w:tc>
        <w:tc>
          <w:tcPr>
            <w:tcW w:w="424" w:type="pct"/>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0</w:t>
            </w:r>
          </w:p>
        </w:tc>
        <w:tc>
          <w:tcPr>
            <w:tcW w:w="29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3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50" w:type="pct"/>
            <w:vMerge w:val="continue"/>
            <w:tcBorders>
              <w:top w:val="single" w:color="000000" w:sz="4" w:space="0"/>
              <w:left w:val="single" w:color="000000" w:sz="4" w:space="0"/>
              <w:bottom w:val="single" w:color="000000" w:sz="4" w:space="0"/>
              <w:right w:val="single" w:color="000000" w:sz="4" w:space="0"/>
            </w:tcBorders>
            <w:noWrap w:val="0"/>
            <w:vAlign w:val="center"/>
          </w:tcPr>
          <w:p>
            <w:pPr>
              <w:rPr>
                <w:rFonts w:hint="default"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416"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59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419" w:type="pct"/>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0</w:t>
            </w:r>
          </w:p>
        </w:tc>
        <w:tc>
          <w:tcPr>
            <w:tcW w:w="875" w:type="pct"/>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0</w:t>
            </w:r>
          </w:p>
        </w:tc>
        <w:tc>
          <w:tcPr>
            <w:tcW w:w="990" w:type="pct"/>
            <w:gridSpan w:val="3"/>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0</w:t>
            </w:r>
          </w:p>
        </w:tc>
        <w:tc>
          <w:tcPr>
            <w:tcW w:w="424" w:type="pct"/>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0</w:t>
            </w:r>
          </w:p>
        </w:tc>
        <w:tc>
          <w:tcPr>
            <w:tcW w:w="29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3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50" w:type="pct"/>
            <w:vMerge w:val="continue"/>
            <w:tcBorders>
              <w:top w:val="single" w:color="000000" w:sz="4" w:space="0"/>
              <w:left w:val="single" w:color="000000" w:sz="4" w:space="0"/>
              <w:bottom w:val="single" w:color="000000" w:sz="4" w:space="0"/>
              <w:right w:val="single" w:color="000000" w:sz="4" w:space="0"/>
            </w:tcBorders>
            <w:noWrap w:val="0"/>
            <w:vAlign w:val="center"/>
          </w:tcPr>
          <w:p>
            <w:pPr>
              <w:rPr>
                <w:rFonts w:hint="default"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9" w:hRule="atLeast"/>
        </w:trPr>
        <w:tc>
          <w:tcPr>
            <w:tcW w:w="416"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59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419" w:type="pct"/>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微软雅黑" w:hAnsi="微软雅黑" w:eastAsia="微软雅黑" w:cs="微软雅黑"/>
                <w:i/>
                <w:iCs/>
                <w:color w:val="000000"/>
                <w:sz w:val="16"/>
                <w:szCs w:val="16"/>
                <w:u w:val="none"/>
                <w:lang w:val="en-US" w:eastAsia="zh-CN"/>
              </w:rPr>
            </w:pPr>
            <w:r>
              <w:rPr>
                <w:rFonts w:hint="eastAsia" w:ascii="宋体" w:hAnsi="宋体" w:eastAsia="宋体" w:cs="宋体"/>
                <w:i w:val="0"/>
                <w:iCs w:val="0"/>
                <w:color w:val="000000"/>
                <w:sz w:val="18"/>
                <w:szCs w:val="18"/>
                <w:u w:val="none"/>
                <w:lang w:val="en-US" w:eastAsia="zh-CN"/>
              </w:rPr>
              <w:t>0</w:t>
            </w:r>
          </w:p>
        </w:tc>
        <w:tc>
          <w:tcPr>
            <w:tcW w:w="875" w:type="pct"/>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微软雅黑" w:hAnsi="微软雅黑" w:eastAsia="微软雅黑" w:cs="微软雅黑"/>
                <w:i/>
                <w:iCs/>
                <w:color w:val="000000"/>
                <w:sz w:val="16"/>
                <w:szCs w:val="16"/>
                <w:u w:val="none"/>
                <w:lang w:val="en-US" w:eastAsia="zh-CN"/>
              </w:rPr>
            </w:pPr>
            <w:r>
              <w:rPr>
                <w:rFonts w:hint="eastAsia" w:ascii="宋体" w:hAnsi="宋体" w:eastAsia="宋体" w:cs="宋体"/>
                <w:i w:val="0"/>
                <w:iCs w:val="0"/>
                <w:color w:val="000000"/>
                <w:sz w:val="18"/>
                <w:szCs w:val="18"/>
                <w:u w:val="none"/>
                <w:lang w:val="en-US" w:eastAsia="zh-CN"/>
              </w:rPr>
              <w:t>0</w:t>
            </w:r>
          </w:p>
        </w:tc>
        <w:tc>
          <w:tcPr>
            <w:tcW w:w="990" w:type="pct"/>
            <w:gridSpan w:val="3"/>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微软雅黑" w:hAnsi="微软雅黑" w:eastAsia="微软雅黑" w:cs="微软雅黑"/>
                <w:i/>
                <w:iCs/>
                <w:color w:val="000000"/>
                <w:sz w:val="16"/>
                <w:szCs w:val="16"/>
                <w:u w:val="none"/>
                <w:lang w:val="en-US" w:eastAsia="zh-CN"/>
              </w:rPr>
            </w:pPr>
            <w:r>
              <w:rPr>
                <w:rFonts w:hint="eastAsia" w:ascii="宋体" w:hAnsi="宋体" w:eastAsia="宋体" w:cs="宋体"/>
                <w:i w:val="0"/>
                <w:iCs w:val="0"/>
                <w:color w:val="000000"/>
                <w:sz w:val="18"/>
                <w:szCs w:val="18"/>
                <w:u w:val="none"/>
                <w:lang w:val="en-US" w:eastAsia="zh-CN"/>
              </w:rPr>
              <w:t>0</w:t>
            </w:r>
          </w:p>
        </w:tc>
        <w:tc>
          <w:tcPr>
            <w:tcW w:w="424" w:type="pct"/>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微软雅黑" w:hAnsi="微软雅黑" w:eastAsia="微软雅黑" w:cs="微软雅黑"/>
                <w:i/>
                <w:iCs/>
                <w:color w:val="000000"/>
                <w:sz w:val="16"/>
                <w:szCs w:val="16"/>
                <w:u w:val="none"/>
                <w:lang w:val="en-US" w:eastAsia="zh-CN"/>
              </w:rPr>
            </w:pPr>
            <w:r>
              <w:rPr>
                <w:rFonts w:hint="eastAsia" w:ascii="宋体" w:hAnsi="宋体" w:eastAsia="宋体" w:cs="宋体"/>
                <w:i w:val="0"/>
                <w:iCs w:val="0"/>
                <w:color w:val="000000"/>
                <w:sz w:val="18"/>
                <w:szCs w:val="18"/>
                <w:u w:val="none"/>
                <w:lang w:val="en-US" w:eastAsia="zh-CN"/>
              </w:rPr>
              <w:t>0</w:t>
            </w:r>
          </w:p>
        </w:tc>
        <w:tc>
          <w:tcPr>
            <w:tcW w:w="29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3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50" w:type="pct"/>
            <w:vMerge w:val="continue"/>
            <w:tcBorders>
              <w:top w:val="single" w:color="000000" w:sz="4" w:space="0"/>
              <w:left w:val="single" w:color="000000" w:sz="4" w:space="0"/>
              <w:bottom w:val="single" w:color="000000" w:sz="4" w:space="0"/>
              <w:right w:val="single" w:color="000000" w:sz="4" w:space="0"/>
            </w:tcBorders>
            <w:noWrap w:val="0"/>
            <w:vAlign w:val="center"/>
          </w:tcPr>
          <w:p>
            <w:pPr>
              <w:rPr>
                <w:rFonts w:hint="default"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416" w:type="pct"/>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59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41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875"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32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42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23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42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29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3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75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416"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590" w:type="pct"/>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41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875"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lang w:eastAsia="zh-CN"/>
              </w:rPr>
            </w:pPr>
            <w:r>
              <w:rPr>
                <w:rFonts w:hint="eastAsia" w:ascii="宋体" w:hAnsi="宋体" w:eastAsia="宋体" w:cs="宋体"/>
                <w:i w:val="0"/>
                <w:iCs w:val="0"/>
                <w:color w:val="000000"/>
                <w:sz w:val="18"/>
                <w:szCs w:val="18"/>
                <w:u w:val="none"/>
                <w:lang w:eastAsia="zh-CN"/>
              </w:rPr>
              <w:t>宫颈癌、乳腺癌筛查任务数</w:t>
            </w:r>
          </w:p>
        </w:tc>
        <w:tc>
          <w:tcPr>
            <w:tcW w:w="32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lang w:eastAsia="zh-CN"/>
              </w:rPr>
            </w:pPr>
            <w:r>
              <w:rPr>
                <w:rFonts w:hint="eastAsia" w:ascii="宋体" w:hAnsi="宋体" w:eastAsia="宋体" w:cs="宋体"/>
                <w:i w:val="0"/>
                <w:iCs w:val="0"/>
                <w:color w:val="000000"/>
                <w:sz w:val="18"/>
                <w:szCs w:val="18"/>
                <w:u w:val="none"/>
                <w:lang w:eastAsia="zh-CN"/>
              </w:rPr>
              <w:t>＝</w:t>
            </w:r>
          </w:p>
        </w:tc>
        <w:tc>
          <w:tcPr>
            <w:tcW w:w="42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1200</w:t>
            </w:r>
          </w:p>
        </w:tc>
        <w:tc>
          <w:tcPr>
            <w:tcW w:w="23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lang w:eastAsia="zh-CN"/>
              </w:rPr>
            </w:pPr>
            <w:r>
              <w:rPr>
                <w:rFonts w:hint="eastAsia" w:ascii="宋体" w:hAnsi="宋体" w:eastAsia="宋体" w:cs="宋体"/>
                <w:i w:val="0"/>
                <w:iCs w:val="0"/>
                <w:color w:val="000000"/>
                <w:sz w:val="18"/>
                <w:szCs w:val="18"/>
                <w:u w:val="none"/>
                <w:lang w:eastAsia="zh-CN"/>
              </w:rPr>
              <w:t>人</w:t>
            </w:r>
          </w:p>
        </w:tc>
        <w:tc>
          <w:tcPr>
            <w:tcW w:w="42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1200</w:t>
            </w:r>
          </w:p>
        </w:tc>
        <w:tc>
          <w:tcPr>
            <w:tcW w:w="29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20</w:t>
            </w:r>
          </w:p>
        </w:tc>
        <w:tc>
          <w:tcPr>
            <w:tcW w:w="234" w:type="pct"/>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20</w:t>
            </w:r>
          </w:p>
        </w:tc>
        <w:tc>
          <w:tcPr>
            <w:tcW w:w="750" w:type="pct"/>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416"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590" w:type="pct"/>
            <w:vMerge w:val="continue"/>
            <w:tcBorders>
              <w:left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p>
        </w:tc>
        <w:tc>
          <w:tcPr>
            <w:tcW w:w="419" w:type="pct"/>
            <w:tcBorders>
              <w:left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质量指标</w:t>
            </w:r>
          </w:p>
        </w:tc>
        <w:tc>
          <w:tcPr>
            <w:tcW w:w="875"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lang w:eastAsia="zh-CN"/>
              </w:rPr>
            </w:pPr>
            <w:r>
              <w:rPr>
                <w:rFonts w:hint="eastAsia" w:ascii="宋体" w:hAnsi="宋体" w:eastAsia="宋体" w:cs="宋体"/>
                <w:i w:val="0"/>
                <w:iCs w:val="0"/>
                <w:color w:val="000000"/>
                <w:sz w:val="18"/>
                <w:szCs w:val="18"/>
                <w:u w:val="none"/>
                <w:lang w:eastAsia="zh-CN"/>
              </w:rPr>
              <w:t>宫颈癌筛查早诊率</w:t>
            </w:r>
          </w:p>
        </w:tc>
        <w:tc>
          <w:tcPr>
            <w:tcW w:w="32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lang w:eastAsia="zh-CN"/>
              </w:rPr>
            </w:pPr>
            <w:r>
              <w:rPr>
                <w:rFonts w:hint="eastAsia" w:ascii="宋体" w:hAnsi="宋体" w:eastAsia="宋体" w:cs="宋体"/>
                <w:i w:val="0"/>
                <w:iCs w:val="0"/>
                <w:color w:val="000000"/>
                <w:sz w:val="18"/>
                <w:szCs w:val="18"/>
                <w:u w:val="none"/>
                <w:lang w:eastAsia="zh-CN"/>
              </w:rPr>
              <w:t>≥</w:t>
            </w:r>
          </w:p>
        </w:tc>
        <w:tc>
          <w:tcPr>
            <w:tcW w:w="42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90</w:t>
            </w:r>
          </w:p>
        </w:tc>
        <w:tc>
          <w:tcPr>
            <w:tcW w:w="23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w:t>
            </w:r>
          </w:p>
        </w:tc>
        <w:tc>
          <w:tcPr>
            <w:tcW w:w="42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72%</w:t>
            </w:r>
          </w:p>
        </w:tc>
        <w:tc>
          <w:tcPr>
            <w:tcW w:w="29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10</w:t>
            </w:r>
          </w:p>
        </w:tc>
        <w:tc>
          <w:tcPr>
            <w:tcW w:w="234" w:type="pct"/>
            <w:tcBorders>
              <w:top w:val="single" w:color="000000" w:sz="4" w:space="0"/>
              <w:left w:val="single" w:color="000000" w:sz="4" w:space="0"/>
              <w:bottom w:val="single" w:color="000000" w:sz="4" w:space="0"/>
              <w:right w:val="single" w:color="000000" w:sz="4" w:space="0"/>
            </w:tcBorders>
            <w:noWrap w:val="0"/>
            <w:vAlign w:val="center"/>
          </w:tcPr>
          <w:p>
            <w:pPr>
              <w:jc w:val="both"/>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2</w:t>
            </w:r>
          </w:p>
        </w:tc>
        <w:tc>
          <w:tcPr>
            <w:tcW w:w="75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lang w:eastAsia="zh-CN"/>
              </w:rPr>
            </w:pPr>
            <w:r>
              <w:rPr>
                <w:rFonts w:hint="eastAsia" w:ascii="宋体" w:hAnsi="宋体" w:eastAsia="宋体" w:cs="宋体"/>
                <w:i w:val="0"/>
                <w:iCs w:val="0"/>
                <w:color w:val="000000"/>
                <w:sz w:val="18"/>
                <w:szCs w:val="18"/>
                <w:u w:val="none"/>
                <w:lang w:eastAsia="zh-CN"/>
              </w:rPr>
              <w:t>缺乏专业技术人员，老百姓积极性不高。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416"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590"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419" w:type="pct"/>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质量指标</w:t>
            </w:r>
          </w:p>
        </w:tc>
        <w:tc>
          <w:tcPr>
            <w:tcW w:w="875"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lang w:eastAsia="zh-CN"/>
              </w:rPr>
            </w:pPr>
            <w:r>
              <w:rPr>
                <w:rFonts w:hint="eastAsia" w:ascii="宋体" w:hAnsi="宋体" w:eastAsia="宋体" w:cs="宋体"/>
                <w:i w:val="0"/>
                <w:iCs w:val="0"/>
                <w:color w:val="000000"/>
                <w:sz w:val="18"/>
                <w:szCs w:val="18"/>
                <w:u w:val="none"/>
                <w:lang w:eastAsia="zh-CN"/>
              </w:rPr>
              <w:t>乳腺癌筛查早诊率</w:t>
            </w:r>
          </w:p>
        </w:tc>
        <w:tc>
          <w:tcPr>
            <w:tcW w:w="32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w:t>
            </w:r>
          </w:p>
        </w:tc>
        <w:tc>
          <w:tcPr>
            <w:tcW w:w="42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70</w:t>
            </w:r>
          </w:p>
        </w:tc>
        <w:tc>
          <w:tcPr>
            <w:tcW w:w="23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w:t>
            </w:r>
          </w:p>
        </w:tc>
        <w:tc>
          <w:tcPr>
            <w:tcW w:w="42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65</w:t>
            </w:r>
          </w:p>
        </w:tc>
        <w:tc>
          <w:tcPr>
            <w:tcW w:w="29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10</w:t>
            </w:r>
          </w:p>
        </w:tc>
        <w:tc>
          <w:tcPr>
            <w:tcW w:w="234" w:type="pct"/>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8</w:t>
            </w:r>
          </w:p>
        </w:tc>
        <w:tc>
          <w:tcPr>
            <w:tcW w:w="75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lang w:eastAsia="zh-CN"/>
              </w:rPr>
            </w:pPr>
            <w:r>
              <w:rPr>
                <w:rFonts w:hint="eastAsia" w:ascii="宋体" w:hAnsi="宋体" w:eastAsia="宋体" w:cs="宋体"/>
                <w:i w:val="0"/>
                <w:iCs w:val="0"/>
                <w:color w:val="000000"/>
                <w:sz w:val="18"/>
                <w:szCs w:val="18"/>
                <w:u w:val="none"/>
                <w:lang w:eastAsia="zh-CN"/>
              </w:rPr>
              <w:t>地区原因多胎多产，哺乳时间长。</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2" w:hRule="atLeast"/>
        </w:trPr>
        <w:tc>
          <w:tcPr>
            <w:tcW w:w="416"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590"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41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875"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sz w:val="18"/>
                <w:szCs w:val="18"/>
                <w:u w:val="none"/>
              </w:rPr>
              <w:t>两癌工作开展时限</w:t>
            </w:r>
          </w:p>
        </w:tc>
        <w:tc>
          <w:tcPr>
            <w:tcW w:w="32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lang w:eastAsia="zh-CN"/>
              </w:rPr>
            </w:pPr>
            <w:r>
              <w:rPr>
                <w:rFonts w:hint="eastAsia" w:ascii="宋体" w:hAnsi="宋体" w:cs="宋体"/>
                <w:i w:val="0"/>
                <w:iCs w:val="0"/>
                <w:color w:val="000000"/>
                <w:sz w:val="18"/>
                <w:szCs w:val="18"/>
                <w:u w:val="none"/>
                <w:lang w:eastAsia="zh-CN"/>
              </w:rPr>
              <w:t>≤</w:t>
            </w:r>
          </w:p>
        </w:tc>
        <w:tc>
          <w:tcPr>
            <w:tcW w:w="424" w:type="pct"/>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7</w:t>
            </w:r>
          </w:p>
        </w:tc>
        <w:tc>
          <w:tcPr>
            <w:tcW w:w="23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lang w:eastAsia="zh-CN"/>
              </w:rPr>
            </w:pPr>
            <w:r>
              <w:rPr>
                <w:rFonts w:hint="eastAsia" w:ascii="宋体" w:hAnsi="宋体" w:cs="宋体"/>
                <w:i w:val="0"/>
                <w:iCs w:val="0"/>
                <w:color w:val="000000"/>
                <w:sz w:val="18"/>
                <w:szCs w:val="18"/>
                <w:u w:val="none"/>
                <w:lang w:eastAsia="zh-CN"/>
              </w:rPr>
              <w:t>月</w:t>
            </w:r>
          </w:p>
        </w:tc>
        <w:tc>
          <w:tcPr>
            <w:tcW w:w="424" w:type="pct"/>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微软雅黑" w:hAnsi="微软雅黑" w:eastAsia="微软雅黑" w:cs="微软雅黑"/>
                <w:i/>
                <w:iCs/>
                <w:color w:val="000000"/>
                <w:sz w:val="16"/>
                <w:szCs w:val="16"/>
                <w:u w:val="none"/>
              </w:rPr>
            </w:pPr>
            <w:r>
              <w:rPr>
                <w:rFonts w:hint="eastAsia" w:ascii="宋体" w:hAnsi="宋体" w:eastAsia="宋体" w:cs="宋体"/>
                <w:i w:val="0"/>
                <w:iCs w:val="0"/>
                <w:color w:val="000000"/>
                <w:kern w:val="0"/>
                <w:sz w:val="18"/>
                <w:szCs w:val="18"/>
                <w:u w:val="none"/>
                <w:lang w:val="en-US" w:eastAsia="zh-CN" w:bidi="ar"/>
              </w:rPr>
              <w:t>5</w:t>
            </w:r>
            <w:r>
              <w:rPr>
                <w:rFonts w:ascii="宋体" w:hAnsi="宋体" w:eastAsia="宋体" w:cs="宋体"/>
                <w:i w:val="0"/>
                <w:iCs w:val="0"/>
                <w:color w:val="000000"/>
                <w:kern w:val="0"/>
                <w:sz w:val="18"/>
                <w:szCs w:val="18"/>
                <w:u w:val="none"/>
                <w:lang w:val="en-US" w:eastAsia="zh-CN" w:bidi="ar"/>
              </w:rPr>
              <w:t>月</w:t>
            </w:r>
            <w:r>
              <w:rPr>
                <w:rFonts w:hint="eastAsia" w:ascii="宋体" w:hAnsi="宋体" w:eastAsia="宋体" w:cs="宋体"/>
                <w:i w:val="0"/>
                <w:iCs w:val="0"/>
                <w:color w:val="000000"/>
                <w:kern w:val="0"/>
                <w:sz w:val="18"/>
                <w:szCs w:val="18"/>
                <w:u w:val="none"/>
                <w:lang w:val="en-US" w:eastAsia="zh-CN" w:bidi="ar"/>
              </w:rPr>
              <w:t>已</w:t>
            </w:r>
            <w:r>
              <w:rPr>
                <w:rFonts w:ascii="宋体" w:hAnsi="宋体" w:eastAsia="宋体" w:cs="宋体"/>
                <w:i w:val="0"/>
                <w:iCs w:val="0"/>
                <w:color w:val="000000"/>
                <w:kern w:val="0"/>
                <w:sz w:val="18"/>
                <w:szCs w:val="18"/>
                <w:u w:val="none"/>
                <w:lang w:val="en-US" w:eastAsia="zh-CN" w:bidi="ar"/>
              </w:rPr>
              <w:t>完成筛查任务</w:t>
            </w:r>
          </w:p>
        </w:tc>
        <w:tc>
          <w:tcPr>
            <w:tcW w:w="298" w:type="pct"/>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10</w:t>
            </w:r>
          </w:p>
        </w:tc>
        <w:tc>
          <w:tcPr>
            <w:tcW w:w="234" w:type="pct"/>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10</w:t>
            </w:r>
          </w:p>
        </w:tc>
        <w:tc>
          <w:tcPr>
            <w:tcW w:w="750" w:type="pct"/>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19" w:hRule="atLeast"/>
        </w:trPr>
        <w:tc>
          <w:tcPr>
            <w:tcW w:w="416"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59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41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sz w:val="18"/>
                <w:szCs w:val="18"/>
                <w:u w:val="none"/>
                <w:lang w:val="en-US" w:eastAsia="zh-CN"/>
              </w:rPr>
              <w:t>社会效益指标</w:t>
            </w:r>
          </w:p>
        </w:tc>
        <w:tc>
          <w:tcPr>
            <w:tcW w:w="875"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lang w:eastAsia="zh-CN"/>
              </w:rPr>
            </w:pPr>
            <w:r>
              <w:rPr>
                <w:rFonts w:hint="eastAsia" w:ascii="宋体" w:hAnsi="宋体" w:eastAsia="宋体" w:cs="宋体"/>
                <w:i w:val="0"/>
                <w:iCs w:val="0"/>
                <w:color w:val="000000"/>
                <w:sz w:val="18"/>
                <w:szCs w:val="18"/>
                <w:u w:val="none"/>
                <w:lang w:val="en-US" w:eastAsia="zh-CN"/>
              </w:rPr>
              <w:t>通过对适龄妇女进行宫颈癌、乳腺癌的筛查，是否降低死亡率。</w:t>
            </w:r>
          </w:p>
        </w:tc>
        <w:tc>
          <w:tcPr>
            <w:tcW w:w="32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lang w:eastAsia="zh-CN"/>
              </w:rPr>
            </w:pPr>
            <w:r>
              <w:rPr>
                <w:rFonts w:hint="eastAsia" w:ascii="宋体" w:hAnsi="宋体" w:eastAsia="宋体" w:cs="宋体"/>
                <w:i w:val="0"/>
                <w:iCs w:val="0"/>
                <w:color w:val="000000"/>
                <w:sz w:val="18"/>
                <w:szCs w:val="18"/>
                <w:u w:val="none"/>
                <w:lang w:eastAsia="zh-CN"/>
              </w:rPr>
              <w:t>定性</w:t>
            </w:r>
          </w:p>
        </w:tc>
        <w:tc>
          <w:tcPr>
            <w:tcW w:w="42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lang w:eastAsia="zh-CN"/>
              </w:rPr>
            </w:pPr>
            <w:r>
              <w:rPr>
                <w:rFonts w:hint="eastAsia" w:ascii="宋体" w:hAnsi="宋体" w:eastAsia="宋体" w:cs="宋体"/>
                <w:i w:val="0"/>
                <w:iCs w:val="0"/>
                <w:color w:val="000000"/>
                <w:sz w:val="18"/>
                <w:szCs w:val="18"/>
                <w:u w:val="none"/>
                <w:lang w:eastAsia="zh-CN"/>
              </w:rPr>
              <w:t>是</w:t>
            </w:r>
          </w:p>
        </w:tc>
        <w:tc>
          <w:tcPr>
            <w:tcW w:w="23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sz w:val="18"/>
                <w:szCs w:val="18"/>
                <w:u w:val="none"/>
                <w:lang w:eastAsia="zh-CN"/>
              </w:rPr>
              <w:t>定性</w:t>
            </w:r>
          </w:p>
        </w:tc>
        <w:tc>
          <w:tcPr>
            <w:tcW w:w="42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lang w:eastAsia="zh-CN"/>
              </w:rPr>
            </w:pPr>
            <w:r>
              <w:rPr>
                <w:rFonts w:hint="eastAsia" w:ascii="宋体" w:hAnsi="宋体" w:eastAsia="宋体" w:cs="宋体"/>
                <w:i w:val="0"/>
                <w:iCs w:val="0"/>
                <w:color w:val="000000"/>
                <w:sz w:val="18"/>
                <w:szCs w:val="18"/>
                <w:u w:val="none"/>
                <w:lang w:eastAsia="zh-CN"/>
              </w:rPr>
              <w:t>是</w:t>
            </w:r>
          </w:p>
        </w:tc>
        <w:tc>
          <w:tcPr>
            <w:tcW w:w="29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30</w:t>
            </w:r>
          </w:p>
        </w:tc>
        <w:tc>
          <w:tcPr>
            <w:tcW w:w="234" w:type="pct"/>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30</w:t>
            </w:r>
          </w:p>
        </w:tc>
        <w:tc>
          <w:tcPr>
            <w:tcW w:w="750" w:type="pct"/>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25" w:hRule="atLeast"/>
        </w:trPr>
        <w:tc>
          <w:tcPr>
            <w:tcW w:w="416" w:type="pct"/>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59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满意度</w:t>
            </w:r>
          </w:p>
          <w:p>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指标</w:t>
            </w:r>
          </w:p>
        </w:tc>
        <w:tc>
          <w:tcPr>
            <w:tcW w:w="41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服务对象</w:t>
            </w:r>
          </w:p>
          <w:p>
            <w:pPr>
              <w:keepNext w:val="0"/>
              <w:keepLines w:val="0"/>
              <w:widowControl/>
              <w:suppressLineNumbers w:val="0"/>
              <w:jc w:val="center"/>
              <w:textAlignment w:val="center"/>
              <w:rPr>
                <w:rFonts w:hint="eastAsia"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满意度指标</w:t>
            </w:r>
          </w:p>
        </w:tc>
        <w:tc>
          <w:tcPr>
            <w:tcW w:w="875"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农牧民对免费两癌筛查的满意度</w:t>
            </w:r>
          </w:p>
        </w:tc>
        <w:tc>
          <w:tcPr>
            <w:tcW w:w="32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lang w:eastAsia="zh-CN"/>
              </w:rPr>
            </w:pPr>
            <w:r>
              <w:rPr>
                <w:rFonts w:hint="default" w:ascii="Arial" w:hAnsi="Arial" w:eastAsia="宋体" w:cs="Arial"/>
                <w:i w:val="0"/>
                <w:iCs w:val="0"/>
                <w:color w:val="000000"/>
                <w:kern w:val="0"/>
                <w:sz w:val="18"/>
                <w:szCs w:val="18"/>
                <w:u w:val="none"/>
                <w:lang w:val="en-US" w:eastAsia="zh-CN" w:bidi="ar"/>
              </w:rPr>
              <w:t>≥</w:t>
            </w:r>
          </w:p>
        </w:tc>
        <w:tc>
          <w:tcPr>
            <w:tcW w:w="42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lang w:eastAsia="zh-CN"/>
              </w:rPr>
            </w:pPr>
            <w:r>
              <w:rPr>
                <w:rFonts w:hint="eastAsia" w:ascii="宋体" w:hAnsi="宋体" w:eastAsia="宋体" w:cs="宋体"/>
                <w:i w:val="0"/>
                <w:iCs w:val="0"/>
                <w:color w:val="000000"/>
                <w:sz w:val="18"/>
                <w:szCs w:val="18"/>
                <w:u w:val="none"/>
                <w:lang w:eastAsia="zh-CN"/>
              </w:rPr>
              <w:t>95</w:t>
            </w:r>
          </w:p>
        </w:tc>
        <w:tc>
          <w:tcPr>
            <w:tcW w:w="23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w:t>
            </w:r>
          </w:p>
        </w:tc>
        <w:tc>
          <w:tcPr>
            <w:tcW w:w="42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98%</w:t>
            </w:r>
          </w:p>
        </w:tc>
        <w:tc>
          <w:tcPr>
            <w:tcW w:w="29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10</w:t>
            </w:r>
          </w:p>
        </w:tc>
        <w:tc>
          <w:tcPr>
            <w:tcW w:w="234" w:type="pct"/>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10</w:t>
            </w:r>
          </w:p>
        </w:tc>
        <w:tc>
          <w:tcPr>
            <w:tcW w:w="750" w:type="pct"/>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6" w:hRule="atLeast"/>
        </w:trPr>
        <w:tc>
          <w:tcPr>
            <w:tcW w:w="3716" w:type="pct"/>
            <w:gridSpan w:val="8"/>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298" w:type="pct"/>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100</w:t>
            </w:r>
          </w:p>
        </w:tc>
        <w:tc>
          <w:tcPr>
            <w:tcW w:w="234" w:type="pct"/>
            <w:tcBorders>
              <w:top w:val="single" w:color="000000" w:sz="4" w:space="0"/>
              <w:left w:val="single" w:color="000000" w:sz="4" w:space="0"/>
              <w:bottom w:val="single" w:color="000000" w:sz="4" w:space="0"/>
              <w:right w:val="single" w:color="000000" w:sz="4" w:space="0"/>
            </w:tcBorders>
            <w:noWrap w:val="0"/>
            <w:vAlign w:val="center"/>
          </w:tcPr>
          <w:p>
            <w:pP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90</w:t>
            </w:r>
          </w:p>
        </w:tc>
        <w:tc>
          <w:tcPr>
            <w:tcW w:w="750" w:type="pct"/>
            <w:tcBorders>
              <w:top w:val="single" w:color="000000" w:sz="4" w:space="0"/>
              <w:left w:val="single" w:color="000000" w:sz="4" w:space="0"/>
              <w:bottom w:val="single" w:color="000000" w:sz="4" w:space="0"/>
              <w:right w:val="single" w:color="000000" w:sz="4" w:space="0"/>
            </w:tcBorders>
            <w:noWrap w:val="0"/>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41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583" w:type="pct"/>
            <w:gridSpan w:val="10"/>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宋体" w:hAnsi="宋体" w:eastAsia="宋体" w:cs="宋体"/>
                <w:i w:val="0"/>
                <w:iCs w:val="0"/>
                <w:color w:val="000000"/>
                <w:sz w:val="18"/>
                <w:szCs w:val="18"/>
                <w:u w:val="none"/>
                <w:lang w:val="en-US" w:eastAsia="zh-CN"/>
              </w:rPr>
              <w:t>根据目标完成情况分析，该项目完成情况较好。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3" w:hRule="atLeast"/>
        </w:trPr>
        <w:tc>
          <w:tcPr>
            <w:tcW w:w="41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583" w:type="pct"/>
            <w:gridSpan w:val="10"/>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宋体" w:hAnsi="宋体" w:eastAsia="宋体" w:cs="宋体"/>
                <w:i w:val="0"/>
                <w:iCs w:val="0"/>
                <w:color w:val="000000"/>
                <w:sz w:val="18"/>
                <w:szCs w:val="18"/>
                <w:u w:val="none"/>
                <w:lang w:val="en-US" w:eastAsia="zh-CN"/>
              </w:rPr>
              <w:t>地区原因多胎多产，哺乳时间长。缺乏专业技术人员，老百姓积极性不高。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41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改进措施</w:t>
            </w:r>
          </w:p>
        </w:tc>
        <w:tc>
          <w:tcPr>
            <w:tcW w:w="4583" w:type="pct"/>
            <w:gridSpan w:val="10"/>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加大宣传，培养专业技术人员。</w:t>
            </w:r>
          </w:p>
        </w:tc>
      </w:tr>
    </w:tbl>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pPr>
        <w:pStyle w:val="2"/>
        <w:jc w:val="both"/>
        <w:rPr>
          <w:rFonts w:hint="eastAsia" w:ascii="Times New Roman" w:hAnsi="Times New Roman" w:eastAsia="方正小标宋简体" w:cs="方正小标宋简体"/>
          <w:b w:val="0"/>
          <w:color w:val="auto"/>
          <w:highlight w:val="none"/>
        </w:rPr>
      </w:pPr>
      <w:bookmarkStart w:id="93" w:name="_Toc32229"/>
    </w:p>
    <w:p>
      <w:pPr>
        <w:rPr>
          <w:rFonts w:hint="eastAsia" w:ascii="Times New Roman" w:hAnsi="Times New Roman" w:eastAsia="方正小标宋简体" w:cs="方正小标宋简体"/>
          <w:b w:val="0"/>
          <w:color w:val="auto"/>
          <w:highlight w:val="none"/>
        </w:rPr>
      </w:pPr>
    </w:p>
    <w:p>
      <w:pPr>
        <w:rPr>
          <w:rFonts w:hint="eastAsia" w:ascii="Times New Roman" w:hAnsi="Times New Roman" w:eastAsia="方正小标宋简体" w:cs="方正小标宋简体"/>
          <w:b w:val="0"/>
          <w:color w:val="auto"/>
          <w:highlight w:val="none"/>
        </w:rPr>
      </w:pPr>
    </w:p>
    <w:p>
      <w:pPr>
        <w:rPr>
          <w:rFonts w:hint="eastAsia" w:ascii="Times New Roman" w:hAnsi="Times New Roman" w:eastAsia="方正小标宋简体" w:cs="方正小标宋简体"/>
          <w:b w:val="0"/>
          <w:color w:val="auto"/>
          <w:highlight w:val="none"/>
        </w:rPr>
      </w:pPr>
    </w:p>
    <w:p>
      <w:pPr>
        <w:rPr>
          <w:rFonts w:hint="eastAsia" w:ascii="Times New Roman" w:hAnsi="Times New Roman" w:eastAsia="方正小标宋简体" w:cs="方正小标宋简体"/>
          <w:b w:val="0"/>
          <w:color w:val="auto"/>
          <w:highlight w:val="none"/>
        </w:rPr>
      </w:pPr>
    </w:p>
    <w:p>
      <w:pPr>
        <w:rPr>
          <w:rFonts w:hint="eastAsia" w:ascii="Times New Roman" w:hAnsi="Times New Roman" w:eastAsia="方正小标宋简体" w:cs="方正小标宋简体"/>
          <w:b w:val="0"/>
          <w:color w:val="auto"/>
          <w:highlight w:val="none"/>
        </w:rPr>
      </w:pPr>
    </w:p>
    <w:p>
      <w:pPr>
        <w:rPr>
          <w:rFonts w:hint="eastAsia" w:ascii="Times New Roman" w:hAnsi="Times New Roman" w:eastAsia="方正小标宋简体" w:cs="方正小标宋简体"/>
          <w:b w:val="0"/>
          <w:color w:val="auto"/>
          <w:highlight w:val="none"/>
        </w:rPr>
      </w:pPr>
    </w:p>
    <w:p>
      <w:pPr>
        <w:rPr>
          <w:rFonts w:hint="eastAsia" w:ascii="Times New Roman" w:hAnsi="Times New Roman" w:eastAsia="方正小标宋简体" w:cs="方正小标宋简体"/>
          <w:b w:val="0"/>
          <w:color w:val="auto"/>
          <w:highlight w:val="none"/>
        </w:rPr>
      </w:pPr>
    </w:p>
    <w:p>
      <w:pPr>
        <w:pStyle w:val="2"/>
        <w:jc w:val="center"/>
        <w:rPr>
          <w:rFonts w:hint="eastAsia" w:ascii="Times New Roman" w:hAnsi="Times New Roman" w:eastAsia="方正小标宋简体" w:cs="方正小标宋简体"/>
          <w:b w:val="0"/>
          <w:color w:val="auto"/>
          <w:highlight w:val="none"/>
        </w:rPr>
      </w:pPr>
      <w:r>
        <w:rPr>
          <w:rFonts w:hint="eastAsia" w:ascii="Times New Roman" w:hAnsi="Times New Roman" w:eastAsia="方正小标宋简体" w:cs="方正小标宋简体"/>
          <w:b w:val="0"/>
          <w:color w:val="auto"/>
          <w:highlight w:val="none"/>
        </w:rPr>
        <w:t>第五部分 附表</w:t>
      </w:r>
      <w:bookmarkEnd w:id="82"/>
      <w:bookmarkEnd w:id="92"/>
      <w:bookmarkEnd w:id="93"/>
      <w:bookmarkStart w:id="94" w:name="_Toc15396619"/>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bookmarkEnd w:id="94"/>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95" w:name="_Toc15396620"/>
      <w:r>
        <w:rPr>
          <w:rFonts w:hint="eastAsia" w:ascii="Times New Roman" w:hAnsi="Times New Roman" w:eastAsia="仿宋_GB2312" w:cs="仿宋_GB2312"/>
          <w:color w:val="auto"/>
          <w:sz w:val="32"/>
          <w:szCs w:val="32"/>
          <w:highlight w:val="none"/>
        </w:rPr>
        <w:t>二、收入决算表</w:t>
      </w:r>
      <w:bookmarkEnd w:id="95"/>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96" w:name="_Toc15396621"/>
      <w:r>
        <w:rPr>
          <w:rFonts w:hint="eastAsia" w:ascii="Times New Roman" w:hAnsi="Times New Roman" w:eastAsia="仿宋_GB2312" w:cs="仿宋_GB2312"/>
          <w:color w:val="auto"/>
          <w:sz w:val="32"/>
          <w:szCs w:val="32"/>
          <w:highlight w:val="none"/>
        </w:rPr>
        <w:t>三、支出决算表</w:t>
      </w:r>
      <w:bookmarkEnd w:id="96"/>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97" w:name="_Toc15396622"/>
      <w:r>
        <w:rPr>
          <w:rFonts w:hint="eastAsia" w:ascii="Times New Roman" w:hAnsi="Times New Roman" w:eastAsia="仿宋_GB2312" w:cs="仿宋_GB2312"/>
          <w:color w:val="auto"/>
          <w:sz w:val="32"/>
          <w:szCs w:val="32"/>
          <w:highlight w:val="none"/>
        </w:rPr>
        <w:t>四、财政拨款收入支出决算总表</w:t>
      </w:r>
      <w:bookmarkEnd w:id="97"/>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98" w:name="_Toc15396623"/>
      <w:r>
        <w:rPr>
          <w:rFonts w:hint="eastAsia" w:ascii="Times New Roman" w:hAnsi="Times New Roman" w:eastAsia="仿宋_GB2312" w:cs="仿宋_GB2312"/>
          <w:color w:val="auto"/>
          <w:sz w:val="32"/>
          <w:szCs w:val="32"/>
          <w:highlight w:val="none"/>
        </w:rPr>
        <w:t>五、财政拨款支出决算明细表</w:t>
      </w:r>
      <w:bookmarkEnd w:id="98"/>
      <w:bookmarkStart w:id="99" w:name="_Toc15396624"/>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bookmarkEnd w:id="99"/>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00" w:name="_Toc15396625"/>
      <w:r>
        <w:rPr>
          <w:rFonts w:hint="eastAsia" w:ascii="Times New Roman" w:hAnsi="Times New Roman" w:eastAsia="仿宋_GB2312" w:cs="仿宋_GB2312"/>
          <w:color w:val="auto"/>
          <w:sz w:val="32"/>
          <w:szCs w:val="32"/>
          <w:highlight w:val="none"/>
        </w:rPr>
        <w:t>七、一般公共预算财政拨款支出决算明细表</w:t>
      </w:r>
      <w:bookmarkEnd w:id="100"/>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01" w:name="_Toc15396626"/>
      <w:r>
        <w:rPr>
          <w:rFonts w:hint="eastAsia" w:ascii="Times New Roman" w:hAnsi="Times New Roman" w:eastAsia="仿宋_GB2312" w:cs="仿宋_GB2312"/>
          <w:color w:val="auto"/>
          <w:sz w:val="32"/>
          <w:szCs w:val="32"/>
          <w:highlight w:val="none"/>
        </w:rPr>
        <w:t>八、一般公共预算财政拨款基本支出决算表</w:t>
      </w:r>
      <w:bookmarkEnd w:id="101"/>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02" w:name="_Toc15396627"/>
      <w:r>
        <w:rPr>
          <w:rFonts w:hint="eastAsia" w:ascii="Times New Roman" w:hAnsi="Times New Roman" w:eastAsia="仿宋_GB2312" w:cs="仿宋_GB2312"/>
          <w:color w:val="auto"/>
          <w:sz w:val="32"/>
          <w:szCs w:val="32"/>
          <w:highlight w:val="none"/>
        </w:rPr>
        <w:t>九、一般公共预算财政拨款项目支出决算表</w:t>
      </w:r>
      <w:bookmarkEnd w:id="102"/>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03" w:name="_Toc15396628"/>
      <w:r>
        <w:rPr>
          <w:rFonts w:hint="eastAsia" w:ascii="Times New Roman" w:hAnsi="Times New Roman" w:eastAsia="仿宋_GB2312" w:cs="仿宋_GB2312"/>
          <w:color w:val="auto"/>
          <w:sz w:val="32"/>
          <w:szCs w:val="32"/>
          <w:highlight w:val="none"/>
        </w:rPr>
        <w:t>十、</w:t>
      </w:r>
      <w:bookmarkEnd w:id="103"/>
      <w:r>
        <w:rPr>
          <w:rFonts w:hint="eastAsia" w:ascii="Times New Roman" w:hAnsi="Times New Roman" w:eastAsia="仿宋_GB2312" w:cs="仿宋_GB2312"/>
          <w:color w:val="auto"/>
          <w:sz w:val="32"/>
          <w:szCs w:val="32"/>
          <w:highlight w:val="none"/>
        </w:rPr>
        <w:t>政府性基金预算财政拨款收入支出决算表</w:t>
      </w:r>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04" w:name="_Toc15396629"/>
      <w:r>
        <w:rPr>
          <w:rFonts w:hint="eastAsia" w:ascii="Times New Roman" w:hAnsi="Times New Roman" w:eastAsia="仿宋_GB2312" w:cs="仿宋_GB2312"/>
          <w:color w:val="auto"/>
          <w:sz w:val="32"/>
          <w:szCs w:val="32"/>
          <w:highlight w:val="none"/>
        </w:rPr>
        <w:t>十一、</w:t>
      </w:r>
      <w:bookmarkEnd w:id="104"/>
      <w:r>
        <w:rPr>
          <w:rFonts w:hint="eastAsia" w:ascii="Times New Roman" w:hAnsi="Times New Roman" w:eastAsia="仿宋_GB2312" w:cs="仿宋_GB2312"/>
          <w:color w:val="auto"/>
          <w:sz w:val="32"/>
          <w:szCs w:val="32"/>
          <w:highlight w:val="none"/>
        </w:rPr>
        <w:t>国有资本经营预算</w:t>
      </w:r>
      <w:r>
        <w:rPr>
          <w:rFonts w:hint="eastAsia" w:ascii="Times New Roman" w:hAnsi="Times New Roman" w:eastAsia="仿宋_GB2312" w:cs="仿宋_GB2312"/>
          <w:color w:val="auto"/>
          <w:sz w:val="32"/>
          <w:szCs w:val="32"/>
          <w:highlight w:val="none"/>
          <w:lang w:eastAsia="zh-CN"/>
        </w:rPr>
        <w:t>财政拨款收入</w:t>
      </w:r>
      <w:r>
        <w:rPr>
          <w:rFonts w:hint="eastAsia" w:ascii="Times New Roman" w:hAnsi="Times New Roman" w:eastAsia="仿宋_GB2312" w:cs="仿宋_GB2312"/>
          <w:color w:val="auto"/>
          <w:sz w:val="32"/>
          <w:szCs w:val="32"/>
          <w:highlight w:val="none"/>
        </w:rPr>
        <w:t>支出决算表</w:t>
      </w:r>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05" w:name="_Toc15396630"/>
      <w:r>
        <w:rPr>
          <w:rFonts w:hint="eastAsia" w:ascii="Times New Roman" w:hAnsi="Times New Roman" w:eastAsia="仿宋_GB2312" w:cs="仿宋_GB2312"/>
          <w:color w:val="auto"/>
          <w:sz w:val="32"/>
          <w:szCs w:val="32"/>
          <w:highlight w:val="none"/>
        </w:rPr>
        <w:t>十二、</w:t>
      </w:r>
      <w:bookmarkEnd w:id="105"/>
      <w:r>
        <w:rPr>
          <w:rFonts w:hint="eastAsia" w:ascii="Times New Roman" w:hAnsi="Times New Roman" w:eastAsia="仿宋_GB2312" w:cs="仿宋_GB2312"/>
          <w:color w:val="auto"/>
          <w:sz w:val="32"/>
          <w:szCs w:val="32"/>
          <w:highlight w:val="none"/>
          <w:lang w:eastAsia="zh-CN"/>
        </w:rPr>
        <w:t>国有资本经营预算财政拨款支出决算表</w:t>
      </w:r>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lang w:eastAsia="zh-CN"/>
        </w:rPr>
      </w:pPr>
      <w:bookmarkStart w:id="106" w:name="_Toc15396631"/>
      <w:r>
        <w:rPr>
          <w:rFonts w:hint="eastAsia" w:ascii="Times New Roman" w:hAnsi="Times New Roman" w:eastAsia="仿宋_GB2312" w:cs="仿宋_GB2312"/>
          <w:color w:val="auto"/>
          <w:sz w:val="32"/>
          <w:szCs w:val="32"/>
          <w:highlight w:val="none"/>
        </w:rPr>
        <w:t>十三、</w:t>
      </w:r>
      <w:bookmarkEnd w:id="106"/>
      <w:r>
        <w:rPr>
          <w:rFonts w:hint="eastAsia" w:ascii="Times New Roman" w:hAnsi="Times New Roman" w:eastAsia="仿宋_GB2312" w:cs="仿宋_GB2312"/>
          <w:color w:val="auto"/>
          <w:sz w:val="32"/>
          <w:szCs w:val="32"/>
          <w:highlight w:val="none"/>
          <w:lang w:eastAsia="zh-CN"/>
        </w:rPr>
        <w:t>财政拨款“三公”经费支出决算表</w:t>
      </w:r>
    </w:p>
    <w:p>
      <w:pPr>
        <w:rPr>
          <w:rFonts w:hint="eastAsia" w:ascii="Times New Roman" w:hAnsi="Times New Roman"/>
          <w:lang w:eastAsia="zh-CN"/>
        </w:rPr>
      </w:pPr>
    </w:p>
    <w:sectPr>
      <w:footerReference r:id="rId6"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Cambria">
    <w:altName w:val="Noto Sans Syriac Eastern"/>
    <w:panose1 w:val="02040503050406030204"/>
    <w:charset w:val="00"/>
    <w:family w:val="roman"/>
    <w:pitch w:val="default"/>
    <w:sig w:usb0="00000000" w:usb1="00000000" w:usb2="02000000" w:usb3="00000000" w:csb0="2000019F" w:csb1="00000000"/>
  </w:font>
  <w:font w:name="Noto Sans Syriac Eastern">
    <w:panose1 w:val="02040503050306020203"/>
    <w:charset w:val="86"/>
    <w:family w:val="auto"/>
    <w:pitch w:val="default"/>
    <w:sig w:usb0="00000000" w:usb1="00000000" w:usb2="00000080" w:usb3="00000000" w:csb0="203E0161" w:csb1="D7FF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
    <w:altName w:val="仿宋"/>
    <w:panose1 w:val="00000000000000000000"/>
    <w:charset w:val="00"/>
    <w:family w:val="roman"/>
    <w:pitch w:val="default"/>
    <w:sig w:usb0="00000000" w:usb1="00000000" w:usb2="00000000" w:usb3="00000000" w:csb0="00000000" w:csb1="00000000"/>
  </w:font>
  <w:font w:name="方正小标宋简体">
    <w:panose1 w:val="02000000000000000000"/>
    <w:charset w:val="86"/>
    <w:family w:val="script"/>
    <w:pitch w:val="default"/>
    <w:sig w:usb0="A00002BF" w:usb1="184F6CFA" w:usb2="00000012" w:usb3="00000000" w:csb0="00040001" w:csb1="00000000"/>
  </w:font>
  <w:font w:name="楷体_GB2312">
    <w:panose1 w:val="02010609030101010101"/>
    <w:charset w:val="86"/>
    <w:family w:val="auto"/>
    <w:pitch w:val="default"/>
    <w:sig w:usb0="00000001" w:usb1="080E0000" w:usb2="00000000" w:usb3="00000000" w:csb0="00040000" w:csb1="00000000"/>
  </w:font>
  <w:font w:name="等线">
    <w:altName w:val="宋体"/>
    <w:panose1 w:val="02010600030101010101"/>
    <w:charset w:val="86"/>
    <w:family w:val="auto"/>
    <w:pitch w:val="default"/>
    <w:sig w:usb0="00000000" w:usb1="00000000" w:usb2="00000016" w:usb3="00000000" w:csb0="0004000F" w:csb1="00000000"/>
  </w:font>
  <w:font w:name="微软雅黑">
    <w:altName w:val="黑体"/>
    <w:panose1 w:val="020B0503020204020204"/>
    <w:charset w:val="86"/>
    <w:family w:val="auto"/>
    <w:pitch w:val="default"/>
    <w:sig w:usb0="00000000" w:usb1="00000000" w:usb2="00000016" w:usb3="00000000" w:csb0="0004001F" w:csb1="00000000"/>
  </w:font>
  <w:font w:name="文泉驿正黑">
    <w:panose1 w:val="02000603000000000000"/>
    <w:charset w:val="86"/>
    <w:family w:val="auto"/>
    <w:pitch w:val="default"/>
    <w:sig w:usb0="900002BF" w:usb1="2BDF7DFB" w:usb2="00000036" w:usb3="00000000" w:csb0="603E000D" w:csb1="D2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jc w:val="center"/>
    </w:pPr>
  </w:p>
  <w:p>
    <w:pPr>
      <w:pStyle w:val="1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jc w:val="center"/>
    </w:pPr>
  </w:p>
  <w:p>
    <w:pPr>
      <w:pStyle w:val="10"/>
      <w:tabs>
        <w:tab w:val="clear" w:pos="4153"/>
      </w:tabs>
      <w:jc w:val="cen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WAAAAZHJzL1BLAQIUABQAAAAIAIdO4kCzSVju0AAAAAUBAAAPAAAAAAAAAAEAIAAAADgAAABk&#10;cnMvZG93bnJldi54bWxQSwECFAAUAAAACACHTuJAJIJGtDECAABhBAAADgAAAAAAAAABACAAAAA1&#10;AQAAZHJzL2Uyb0RvYy54bWxQSwUGAAAAAAYABgBZAQAA2AUAAAAA&#10;">
              <v:fill on="f" focussize="0,0"/>
              <v:stroke on="f" weight="0.5pt"/>
              <v:imagedata o:title=""/>
              <o:lock v:ext="edit" aspectratio="f"/>
              <v:textbox inset="0mm,0mm,0mm,0mm" style="mso-fit-shape-to-text:t;">
                <w:txbxContent>
                  <w:p>
                    <w:pPr>
                      <w:pStyle w:val="10"/>
                    </w:pPr>
                    <w:r>
                      <w:fldChar w:fldCharType="begin"/>
                    </w:r>
                    <w:r>
                      <w:instrText xml:space="preserve"> PAGE  \* MERGEFORMAT </w:instrText>
                    </w:r>
                    <w:r>
                      <w:fldChar w:fldCharType="separate"/>
                    </w:r>
                    <w:r>
                      <w:t>1</w:t>
                    </w:r>
                    <w:r>
                      <w:fldChar w:fldCharType="end"/>
                    </w:r>
                  </w:p>
                </w:txbxContent>
              </v:textbox>
            </v:shape>
          </w:pict>
        </mc:Fallback>
      </mc:AlternateContent>
    </w:r>
  </w:p>
  <w:p>
    <w:pPr>
      <w:pStyle w:val="10"/>
      <w:tabs>
        <w:tab w:val="clear" w:pos="4153"/>
      </w:tabs>
      <w:jc w:val="cen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UxMTI3ZWIxZDVjNzcwZjFmMjM3ZGMzY2I4NDljYTMifQ=="/>
  </w:docVars>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17E4"/>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3B02E6"/>
    <w:rsid w:val="015975B8"/>
    <w:rsid w:val="02317B1B"/>
    <w:rsid w:val="02DC06AC"/>
    <w:rsid w:val="02FEBE30"/>
    <w:rsid w:val="045F200D"/>
    <w:rsid w:val="061E35DE"/>
    <w:rsid w:val="06300614"/>
    <w:rsid w:val="066E0107"/>
    <w:rsid w:val="07996F6E"/>
    <w:rsid w:val="07DFD8BA"/>
    <w:rsid w:val="08DB07E4"/>
    <w:rsid w:val="09867E8F"/>
    <w:rsid w:val="0A2032A3"/>
    <w:rsid w:val="0A7361E8"/>
    <w:rsid w:val="0C2A45FD"/>
    <w:rsid w:val="0C6C4794"/>
    <w:rsid w:val="0CA8290A"/>
    <w:rsid w:val="0D35B1ED"/>
    <w:rsid w:val="0DE07E2B"/>
    <w:rsid w:val="0F98263C"/>
    <w:rsid w:val="101860EC"/>
    <w:rsid w:val="10C055FF"/>
    <w:rsid w:val="11772AA4"/>
    <w:rsid w:val="118107EC"/>
    <w:rsid w:val="12070D49"/>
    <w:rsid w:val="13D50BC4"/>
    <w:rsid w:val="14022904"/>
    <w:rsid w:val="142F28B9"/>
    <w:rsid w:val="14C75818"/>
    <w:rsid w:val="152F2A07"/>
    <w:rsid w:val="165E0673"/>
    <w:rsid w:val="16BB723D"/>
    <w:rsid w:val="18333A1E"/>
    <w:rsid w:val="186504BB"/>
    <w:rsid w:val="19061883"/>
    <w:rsid w:val="1938089F"/>
    <w:rsid w:val="19A445FC"/>
    <w:rsid w:val="1B7D550C"/>
    <w:rsid w:val="1BCA1732"/>
    <w:rsid w:val="1BE8440E"/>
    <w:rsid w:val="1C4D79A6"/>
    <w:rsid w:val="1D155CEE"/>
    <w:rsid w:val="1E740ACF"/>
    <w:rsid w:val="1E8E7F62"/>
    <w:rsid w:val="1FF35744"/>
    <w:rsid w:val="1FF6BC77"/>
    <w:rsid w:val="21962A9E"/>
    <w:rsid w:val="21AE7C77"/>
    <w:rsid w:val="22BC3C41"/>
    <w:rsid w:val="234E6034"/>
    <w:rsid w:val="23860B96"/>
    <w:rsid w:val="240371BF"/>
    <w:rsid w:val="24705167"/>
    <w:rsid w:val="260F557C"/>
    <w:rsid w:val="278D0BE4"/>
    <w:rsid w:val="27E22D33"/>
    <w:rsid w:val="281408E2"/>
    <w:rsid w:val="29FD04D3"/>
    <w:rsid w:val="2AB646FD"/>
    <w:rsid w:val="2BFF7BC6"/>
    <w:rsid w:val="2C3562B0"/>
    <w:rsid w:val="2C8A61B5"/>
    <w:rsid w:val="2D2E01CF"/>
    <w:rsid w:val="2DF04E50"/>
    <w:rsid w:val="2E9545B0"/>
    <w:rsid w:val="2EC84D85"/>
    <w:rsid w:val="2F040D46"/>
    <w:rsid w:val="2FAE5751"/>
    <w:rsid w:val="2FB1A395"/>
    <w:rsid w:val="2FD9A7D8"/>
    <w:rsid w:val="318D3557"/>
    <w:rsid w:val="319F7F4E"/>
    <w:rsid w:val="321B2544"/>
    <w:rsid w:val="32F16288"/>
    <w:rsid w:val="3304709D"/>
    <w:rsid w:val="331C0C27"/>
    <w:rsid w:val="34281836"/>
    <w:rsid w:val="349D6851"/>
    <w:rsid w:val="3508232F"/>
    <w:rsid w:val="35BA6CAF"/>
    <w:rsid w:val="364D14C1"/>
    <w:rsid w:val="36AA5135"/>
    <w:rsid w:val="36BE0DA7"/>
    <w:rsid w:val="376B6AA6"/>
    <w:rsid w:val="376D39B2"/>
    <w:rsid w:val="378B44F7"/>
    <w:rsid w:val="37E16F03"/>
    <w:rsid w:val="37F53A3B"/>
    <w:rsid w:val="380C7ECD"/>
    <w:rsid w:val="38425D32"/>
    <w:rsid w:val="38884009"/>
    <w:rsid w:val="389B6C89"/>
    <w:rsid w:val="38C961D9"/>
    <w:rsid w:val="38D469F0"/>
    <w:rsid w:val="39627CCD"/>
    <w:rsid w:val="397BAF1F"/>
    <w:rsid w:val="3AB79AF3"/>
    <w:rsid w:val="3B7EF35A"/>
    <w:rsid w:val="3B9FDB6C"/>
    <w:rsid w:val="3BF5BC2F"/>
    <w:rsid w:val="3CEBA265"/>
    <w:rsid w:val="3D98207C"/>
    <w:rsid w:val="3D9B0D99"/>
    <w:rsid w:val="3DEE7CF3"/>
    <w:rsid w:val="3DF02244"/>
    <w:rsid w:val="3DF97B88"/>
    <w:rsid w:val="3E78745D"/>
    <w:rsid w:val="3FF4CAE0"/>
    <w:rsid w:val="3FF7B227"/>
    <w:rsid w:val="40E54C45"/>
    <w:rsid w:val="43A407DF"/>
    <w:rsid w:val="43B50336"/>
    <w:rsid w:val="44011DB5"/>
    <w:rsid w:val="44515BEA"/>
    <w:rsid w:val="44E268DA"/>
    <w:rsid w:val="453F7E5B"/>
    <w:rsid w:val="45673354"/>
    <w:rsid w:val="45C63931"/>
    <w:rsid w:val="47D305A4"/>
    <w:rsid w:val="486A6C7A"/>
    <w:rsid w:val="49176D9B"/>
    <w:rsid w:val="492D0CA6"/>
    <w:rsid w:val="499A5CF7"/>
    <w:rsid w:val="4A627F82"/>
    <w:rsid w:val="4B0E749A"/>
    <w:rsid w:val="4B4F25DA"/>
    <w:rsid w:val="4BDA0CFB"/>
    <w:rsid w:val="4BE068DB"/>
    <w:rsid w:val="4D3C0CCC"/>
    <w:rsid w:val="4D577224"/>
    <w:rsid w:val="4DBF1CEB"/>
    <w:rsid w:val="4E027201"/>
    <w:rsid w:val="4E5B5B21"/>
    <w:rsid w:val="4EAB630A"/>
    <w:rsid w:val="4ECE2238"/>
    <w:rsid w:val="4F833267"/>
    <w:rsid w:val="4FE9BD67"/>
    <w:rsid w:val="4FFB052F"/>
    <w:rsid w:val="52B73342"/>
    <w:rsid w:val="53083A92"/>
    <w:rsid w:val="537E6D0A"/>
    <w:rsid w:val="53AF27A2"/>
    <w:rsid w:val="53F74C96"/>
    <w:rsid w:val="552B1A30"/>
    <w:rsid w:val="56E47B74"/>
    <w:rsid w:val="57BD3DD4"/>
    <w:rsid w:val="596C28B5"/>
    <w:rsid w:val="59B459E7"/>
    <w:rsid w:val="59C73522"/>
    <w:rsid w:val="5AF92295"/>
    <w:rsid w:val="5BC21397"/>
    <w:rsid w:val="5BDD79E6"/>
    <w:rsid w:val="5BF561CA"/>
    <w:rsid w:val="5BFF5DFC"/>
    <w:rsid w:val="5CD71FC4"/>
    <w:rsid w:val="5D0F7A49"/>
    <w:rsid w:val="5D1F11B5"/>
    <w:rsid w:val="5DAE1B18"/>
    <w:rsid w:val="5DE7D9E5"/>
    <w:rsid w:val="5DF334AA"/>
    <w:rsid w:val="5ECEC941"/>
    <w:rsid w:val="5F493CB7"/>
    <w:rsid w:val="5F544ADD"/>
    <w:rsid w:val="5FBF9FF3"/>
    <w:rsid w:val="5FCD4E2C"/>
    <w:rsid w:val="5FD15F49"/>
    <w:rsid w:val="5FEF394A"/>
    <w:rsid w:val="5FF67715"/>
    <w:rsid w:val="62BF3928"/>
    <w:rsid w:val="62CC4571"/>
    <w:rsid w:val="647F5392"/>
    <w:rsid w:val="664B1D71"/>
    <w:rsid w:val="673B33B6"/>
    <w:rsid w:val="67AA3209"/>
    <w:rsid w:val="681C4F0D"/>
    <w:rsid w:val="68A65D18"/>
    <w:rsid w:val="69046D0F"/>
    <w:rsid w:val="698D0931"/>
    <w:rsid w:val="6A993CED"/>
    <w:rsid w:val="6AEC32C5"/>
    <w:rsid w:val="6B053271"/>
    <w:rsid w:val="6BCE6674"/>
    <w:rsid w:val="6C4A05C8"/>
    <w:rsid w:val="6C8742B8"/>
    <w:rsid w:val="6C8A170F"/>
    <w:rsid w:val="6CB54609"/>
    <w:rsid w:val="6DBF5E93"/>
    <w:rsid w:val="6DFF077E"/>
    <w:rsid w:val="6E267F7A"/>
    <w:rsid w:val="6E7E3605"/>
    <w:rsid w:val="6E7FDCC7"/>
    <w:rsid w:val="6ED6A62E"/>
    <w:rsid w:val="6EE00B15"/>
    <w:rsid w:val="6F544B20"/>
    <w:rsid w:val="6F6FB3EB"/>
    <w:rsid w:val="6F784160"/>
    <w:rsid w:val="6F8731EA"/>
    <w:rsid w:val="6FCE6052"/>
    <w:rsid w:val="6FD57C00"/>
    <w:rsid w:val="6FEFFFD8"/>
    <w:rsid w:val="6FF5CC65"/>
    <w:rsid w:val="6FFB47EC"/>
    <w:rsid w:val="6FFF034A"/>
    <w:rsid w:val="7006539C"/>
    <w:rsid w:val="70496804"/>
    <w:rsid w:val="712A28F1"/>
    <w:rsid w:val="715C0E4B"/>
    <w:rsid w:val="72233669"/>
    <w:rsid w:val="72734D90"/>
    <w:rsid w:val="7332FE48"/>
    <w:rsid w:val="73AB61DA"/>
    <w:rsid w:val="73AD73D5"/>
    <w:rsid w:val="73B6EB34"/>
    <w:rsid w:val="73FA497D"/>
    <w:rsid w:val="744731E5"/>
    <w:rsid w:val="74527205"/>
    <w:rsid w:val="74BBD01D"/>
    <w:rsid w:val="74ED5379"/>
    <w:rsid w:val="74FC2395"/>
    <w:rsid w:val="75DEEEC2"/>
    <w:rsid w:val="76E3355F"/>
    <w:rsid w:val="76FF5125"/>
    <w:rsid w:val="776F6FFA"/>
    <w:rsid w:val="778769C8"/>
    <w:rsid w:val="77DC22F5"/>
    <w:rsid w:val="79086DAD"/>
    <w:rsid w:val="79974F09"/>
    <w:rsid w:val="79D7FD79"/>
    <w:rsid w:val="79EE5BA4"/>
    <w:rsid w:val="7A894339"/>
    <w:rsid w:val="7AFF7572"/>
    <w:rsid w:val="7B6C7DFB"/>
    <w:rsid w:val="7BBFBED0"/>
    <w:rsid w:val="7BC3E394"/>
    <w:rsid w:val="7C1F3737"/>
    <w:rsid w:val="7CBFC87B"/>
    <w:rsid w:val="7CFE0F48"/>
    <w:rsid w:val="7D7EC23E"/>
    <w:rsid w:val="7D916348"/>
    <w:rsid w:val="7DD3057F"/>
    <w:rsid w:val="7DFF2A9F"/>
    <w:rsid w:val="7E8ADEBF"/>
    <w:rsid w:val="7EEF11D3"/>
    <w:rsid w:val="7F0971A6"/>
    <w:rsid w:val="7F3F679B"/>
    <w:rsid w:val="7F4FC4EF"/>
    <w:rsid w:val="7F5E4D54"/>
    <w:rsid w:val="7F6E0135"/>
    <w:rsid w:val="7FA30C79"/>
    <w:rsid w:val="7FAF8ABF"/>
    <w:rsid w:val="7FB7269E"/>
    <w:rsid w:val="7FC96657"/>
    <w:rsid w:val="7FDA9588"/>
    <w:rsid w:val="7FDF220F"/>
    <w:rsid w:val="7FEDC5F7"/>
    <w:rsid w:val="7FEDD9DE"/>
    <w:rsid w:val="7FF5890D"/>
    <w:rsid w:val="7FF93490"/>
    <w:rsid w:val="99FF2014"/>
    <w:rsid w:val="A6DD0D7F"/>
    <w:rsid w:val="ADC6F725"/>
    <w:rsid w:val="B7CF06AB"/>
    <w:rsid w:val="B7CFA926"/>
    <w:rsid w:val="B7F8786B"/>
    <w:rsid w:val="BABB6AA1"/>
    <w:rsid w:val="BB2F4199"/>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FFA9E8"/>
    <w:rsid w:val="E5F4E9DC"/>
    <w:rsid w:val="E70FE695"/>
    <w:rsid w:val="ECFED1BC"/>
    <w:rsid w:val="ED1D69BB"/>
    <w:rsid w:val="ED7FD312"/>
    <w:rsid w:val="EF53993F"/>
    <w:rsid w:val="EF6FD633"/>
    <w:rsid w:val="EFBFB2F4"/>
    <w:rsid w:val="EFBFFA21"/>
    <w:rsid w:val="F2BEBCB8"/>
    <w:rsid w:val="F36FB518"/>
    <w:rsid w:val="F3DE1A04"/>
    <w:rsid w:val="F3F722E5"/>
    <w:rsid w:val="FA5F1E70"/>
    <w:rsid w:val="FA5FDB97"/>
    <w:rsid w:val="FB7F486A"/>
    <w:rsid w:val="FBFF5B2E"/>
    <w:rsid w:val="FD7FFE2B"/>
    <w:rsid w:val="FDEE196B"/>
    <w:rsid w:val="FDFE6575"/>
    <w:rsid w:val="FEDFDDC2"/>
    <w:rsid w:val="FEED32F6"/>
    <w:rsid w:val="FEF781DD"/>
    <w:rsid w:val="FF3F7E3F"/>
    <w:rsid w:val="FFBA12D7"/>
    <w:rsid w:val="FFDFFAEE"/>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30"/>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31"/>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34"/>
    <w:unhideWhenUsed/>
    <w:qFormat/>
    <w:uiPriority w:val="9"/>
    <w:pPr>
      <w:keepNext/>
      <w:keepLines/>
      <w:spacing w:before="260" w:after="260" w:line="416" w:lineRule="auto"/>
      <w:outlineLvl w:val="2"/>
    </w:pPr>
    <w:rPr>
      <w:b/>
      <w:bCs/>
      <w:sz w:val="32"/>
      <w:szCs w:val="32"/>
    </w:rPr>
  </w:style>
  <w:style w:type="character" w:default="1" w:styleId="18">
    <w:name w:val="Default Paragraph Font"/>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5">
    <w:name w:val="Body Text"/>
    <w:basedOn w:val="1"/>
    <w:link w:val="27"/>
    <w:qFormat/>
    <w:uiPriority w:val="99"/>
    <w:pPr>
      <w:spacing w:beforeLines="30"/>
    </w:pPr>
    <w:rPr>
      <w:rFonts w:ascii="仿宋_GB2312" w:eastAsia="仿宋_GB2312"/>
      <w:kern w:val="0"/>
      <w:sz w:val="30"/>
    </w:rPr>
  </w:style>
  <w:style w:type="paragraph" w:styleId="6">
    <w:name w:val="Body Text Indent"/>
    <w:basedOn w:val="1"/>
    <w:next w:val="7"/>
    <w:qFormat/>
    <w:uiPriority w:val="0"/>
    <w:pPr>
      <w:spacing w:after="120"/>
      <w:ind w:leftChars="200"/>
    </w:pPr>
    <w:rPr>
      <w:rFonts w:ascii="仿宋_GB2312"/>
      <w:szCs w:val="32"/>
    </w:rPr>
  </w:style>
  <w:style w:type="paragraph" w:styleId="7">
    <w:name w:val="Body Text First Indent 2"/>
    <w:basedOn w:val="6"/>
    <w:next w:val="1"/>
    <w:unhideWhenUsed/>
    <w:qFormat/>
    <w:uiPriority w:val="99"/>
    <w:pPr>
      <w:ind w:firstLine="420" w:firstLineChars="200"/>
    </w:pPr>
  </w:style>
  <w:style w:type="paragraph" w:styleId="8">
    <w:name w:val="toc 3"/>
    <w:basedOn w:val="1"/>
    <w:next w:val="1"/>
    <w:unhideWhenUsed/>
    <w:qFormat/>
    <w:uiPriority w:val="39"/>
    <w:pPr>
      <w:tabs>
        <w:tab w:val="right" w:leader="dot" w:pos="8296"/>
      </w:tabs>
      <w:ind w:left="840" w:leftChars="400"/>
    </w:pPr>
  </w:style>
  <w:style w:type="paragraph" w:styleId="9">
    <w:name w:val="Balloon Text"/>
    <w:basedOn w:val="1"/>
    <w:link w:val="33"/>
    <w:semiHidden/>
    <w:unhideWhenUsed/>
    <w:qFormat/>
    <w:uiPriority w:val="99"/>
    <w:rPr>
      <w:sz w:val="18"/>
      <w:szCs w:val="18"/>
    </w:rPr>
  </w:style>
  <w:style w:type="paragraph" w:styleId="10">
    <w:name w:val="footer"/>
    <w:basedOn w:val="1"/>
    <w:link w:val="25"/>
    <w:qFormat/>
    <w:uiPriority w:val="99"/>
    <w:pPr>
      <w:tabs>
        <w:tab w:val="center" w:pos="4153"/>
        <w:tab w:val="right" w:pos="8306"/>
      </w:tabs>
      <w:snapToGrid w:val="0"/>
      <w:jc w:val="left"/>
    </w:pPr>
    <w:rPr>
      <w:rFonts w:ascii="Calibri" w:hAnsi="Calibri"/>
      <w:kern w:val="0"/>
      <w:sz w:val="18"/>
      <w:szCs w:val="18"/>
    </w:rPr>
  </w:style>
  <w:style w:type="paragraph" w:styleId="11">
    <w:name w:val="header"/>
    <w:basedOn w:val="1"/>
    <w:link w:val="23"/>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2">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3">
    <w:name w:val="footnote text"/>
    <w:basedOn w:val="1"/>
    <w:next w:val="7"/>
    <w:semiHidden/>
    <w:qFormat/>
    <w:uiPriority w:val="0"/>
    <w:pPr>
      <w:snapToGrid w:val="0"/>
      <w:jc w:val="left"/>
    </w:pPr>
    <w:rPr>
      <w:sz w:val="18"/>
      <w:szCs w:val="18"/>
    </w:rPr>
  </w:style>
  <w:style w:type="paragraph" w:styleId="14">
    <w:name w:val="toc 2"/>
    <w:basedOn w:val="1"/>
    <w:next w:val="1"/>
    <w:unhideWhenUsed/>
    <w:qFormat/>
    <w:uiPriority w:val="39"/>
    <w:pPr>
      <w:tabs>
        <w:tab w:val="right" w:leader="dot" w:pos="8296"/>
      </w:tabs>
      <w:ind w:left="420" w:leftChars="200"/>
    </w:pPr>
  </w:style>
  <w:style w:type="paragraph" w:styleId="15">
    <w:name w:val="Normal (Web)"/>
    <w:basedOn w:val="1"/>
    <w:qFormat/>
    <w:uiPriority w:val="0"/>
    <w:pPr>
      <w:spacing w:before="100" w:beforeAutospacing="1" w:after="100" w:afterAutospacing="1"/>
      <w:ind w:left="0" w:right="0"/>
      <w:jc w:val="left"/>
    </w:pPr>
    <w:rPr>
      <w:kern w:val="0"/>
      <w:sz w:val="24"/>
      <w:lang w:val="en-US" w:eastAsia="zh-CN" w:bidi="ar"/>
    </w:rPr>
  </w:style>
  <w:style w:type="table" w:styleId="17">
    <w:name w:val="Table Grid"/>
    <w:basedOn w:val="16"/>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9">
    <w:name w:val="Strong"/>
    <w:basedOn w:val="18"/>
    <w:qFormat/>
    <w:uiPriority w:val="99"/>
    <w:rPr>
      <w:b/>
    </w:rPr>
  </w:style>
  <w:style w:type="character" w:styleId="20">
    <w:name w:val="Hyperlink"/>
    <w:basedOn w:val="18"/>
    <w:unhideWhenUsed/>
    <w:qFormat/>
    <w:uiPriority w:val="99"/>
    <w:rPr>
      <w:color w:val="0000FF" w:themeColor="hyperlink"/>
      <w:u w:val="single"/>
      <w14:textFill>
        <w14:solidFill>
          <w14:schemeClr w14:val="hlink"/>
        </w14:solidFill>
      </w14:textFill>
    </w:rPr>
  </w:style>
  <w:style w:type="paragraph" w:customStyle="1" w:styleId="21">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2">
    <w:name w:val="Header Char"/>
    <w:basedOn w:val="18"/>
    <w:semiHidden/>
    <w:qFormat/>
    <w:uiPriority w:val="99"/>
    <w:rPr>
      <w:rFonts w:ascii="Times New Roman" w:hAnsi="Times New Roman"/>
      <w:sz w:val="18"/>
      <w:szCs w:val="18"/>
    </w:rPr>
  </w:style>
  <w:style w:type="character" w:customStyle="1" w:styleId="23">
    <w:name w:val="页眉 Char"/>
    <w:link w:val="11"/>
    <w:semiHidden/>
    <w:qFormat/>
    <w:locked/>
    <w:uiPriority w:val="99"/>
    <w:rPr>
      <w:sz w:val="18"/>
    </w:rPr>
  </w:style>
  <w:style w:type="character" w:customStyle="1" w:styleId="24">
    <w:name w:val="Footer Char"/>
    <w:basedOn w:val="18"/>
    <w:semiHidden/>
    <w:qFormat/>
    <w:uiPriority w:val="99"/>
    <w:rPr>
      <w:rFonts w:ascii="Times New Roman" w:hAnsi="Times New Roman"/>
      <w:sz w:val="18"/>
      <w:szCs w:val="18"/>
    </w:rPr>
  </w:style>
  <w:style w:type="character" w:customStyle="1" w:styleId="25">
    <w:name w:val="页脚 Char"/>
    <w:link w:val="10"/>
    <w:qFormat/>
    <w:locked/>
    <w:uiPriority w:val="99"/>
    <w:rPr>
      <w:sz w:val="18"/>
    </w:rPr>
  </w:style>
  <w:style w:type="character" w:customStyle="1" w:styleId="26">
    <w:name w:val="Body Text Char"/>
    <w:basedOn w:val="18"/>
    <w:semiHidden/>
    <w:qFormat/>
    <w:uiPriority w:val="99"/>
    <w:rPr>
      <w:rFonts w:ascii="Times New Roman" w:hAnsi="Times New Roman"/>
      <w:szCs w:val="24"/>
    </w:rPr>
  </w:style>
  <w:style w:type="character" w:customStyle="1" w:styleId="27">
    <w:name w:val="正文文本 Char"/>
    <w:link w:val="5"/>
    <w:qFormat/>
    <w:locked/>
    <w:uiPriority w:val="99"/>
    <w:rPr>
      <w:rFonts w:ascii="仿宋_GB2312" w:hAnsi="Times New Roman" w:eastAsia="仿宋_GB2312"/>
      <w:sz w:val="24"/>
    </w:rPr>
  </w:style>
  <w:style w:type="paragraph" w:customStyle="1" w:styleId="28">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9">
    <w:name w:val="List Paragraph"/>
    <w:basedOn w:val="1"/>
    <w:qFormat/>
    <w:uiPriority w:val="34"/>
    <w:pPr>
      <w:ind w:firstLine="420" w:firstLineChars="200"/>
    </w:pPr>
  </w:style>
  <w:style w:type="character" w:customStyle="1" w:styleId="30">
    <w:name w:val="标题 1 Char"/>
    <w:basedOn w:val="18"/>
    <w:link w:val="2"/>
    <w:qFormat/>
    <w:uiPriority w:val="9"/>
    <w:rPr>
      <w:rFonts w:ascii="Times New Roman" w:hAnsi="Times New Roman"/>
      <w:b/>
      <w:bCs/>
      <w:kern w:val="44"/>
      <w:sz w:val="44"/>
      <w:szCs w:val="44"/>
    </w:rPr>
  </w:style>
  <w:style w:type="character" w:customStyle="1" w:styleId="31">
    <w:name w:val="标题 2 Char"/>
    <w:basedOn w:val="18"/>
    <w:link w:val="3"/>
    <w:qFormat/>
    <w:uiPriority w:val="9"/>
    <w:rPr>
      <w:rFonts w:asciiTheme="majorHAnsi" w:hAnsiTheme="majorHAnsi" w:eastAsiaTheme="majorEastAsia" w:cstheme="majorBidi"/>
      <w:b/>
      <w:bCs/>
      <w:kern w:val="2"/>
      <w:sz w:val="32"/>
      <w:szCs w:val="32"/>
    </w:rPr>
  </w:style>
  <w:style w:type="paragraph" w:customStyle="1" w:styleId="32">
    <w:name w:val="TOC 标题1"/>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3">
    <w:name w:val="批注框文本 Char"/>
    <w:basedOn w:val="18"/>
    <w:link w:val="9"/>
    <w:semiHidden/>
    <w:qFormat/>
    <w:uiPriority w:val="99"/>
    <w:rPr>
      <w:rFonts w:ascii="Times New Roman" w:hAnsi="Times New Roman"/>
      <w:kern w:val="2"/>
      <w:sz w:val="18"/>
      <w:szCs w:val="18"/>
    </w:rPr>
  </w:style>
  <w:style w:type="character" w:customStyle="1" w:styleId="34">
    <w:name w:val="标题 3 Char"/>
    <w:basedOn w:val="18"/>
    <w:link w:val="4"/>
    <w:qFormat/>
    <w:uiPriority w:val="9"/>
    <w:rPr>
      <w:rFonts w:ascii="Times New Roman" w:hAnsi="Times New Roman"/>
      <w:b/>
      <w:bCs/>
      <w:kern w:val="2"/>
      <w:sz w:val="32"/>
      <w:szCs w:val="32"/>
    </w:rPr>
  </w:style>
  <w:style w:type="paragraph" w:customStyle="1" w:styleId="35">
    <w:name w:val="TOC Heading"/>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6">
    <w:name w:val="四号正文"/>
    <w:basedOn w:val="1"/>
    <w:qFormat/>
    <w:uiPriority w:val="0"/>
    <w:pPr>
      <w:spacing w:line="360" w:lineRule="auto"/>
    </w:pPr>
    <w:rPr>
      <w:rFonts w:ascii="??" w:hAnsi="??" w:eastAsia="宋体"/>
      <w:color w:val="000000"/>
      <w:kern w:val="0"/>
      <w:sz w:val="28"/>
      <w:szCs w:val="21"/>
      <w:lang w:val="zh-CN" w:eastAsia="zh-CN"/>
    </w:rPr>
  </w:style>
  <w:style w:type="paragraph" w:customStyle="1" w:styleId="37">
    <w:name w:val="WPSOffice手动目录 2"/>
    <w:qFormat/>
    <w:uiPriority w:val="0"/>
    <w:pPr>
      <w:ind w:leftChars="200"/>
    </w:pPr>
    <w:rPr>
      <w:rFonts w:ascii="Times New Roman" w:hAnsi="Times New Roman" w:eastAsia="宋体" w:cs="Times New Roman"/>
      <w:sz w:val="20"/>
      <w:szCs w:val="20"/>
    </w:rPr>
  </w:style>
</w:styles>
</file>

<file path=word/_rels/document.xml.rels><?xml version="1.0" encoding="UTF-8" standalone="yes"?>
<Relationships xmlns="http://schemas.openxmlformats.org/package/2006/relationships"><Relationship Id="rId9" Type="http://schemas.openxmlformats.org/officeDocument/2006/relationships/chart" Target="charts/chart2.xml"/><Relationship Id="rId8" Type="http://schemas.openxmlformats.org/officeDocument/2006/relationships/chart" Target="charts/chart1.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1.xml"/><Relationship Id="rId14" Type="http://schemas.openxmlformats.org/officeDocument/2006/relationships/chart" Target="charts/chart7.xml"/><Relationship Id="rId13" Type="http://schemas.openxmlformats.org/officeDocument/2006/relationships/chart" Target="charts/chart6.xml"/><Relationship Id="rId12" Type="http://schemas.openxmlformats.org/officeDocument/2006/relationships/chart" Target="charts/chart5.xml"/><Relationship Id="rId11" Type="http://schemas.openxmlformats.org/officeDocument/2006/relationships/chart" Target="charts/chart4.xml"/><Relationship Id="rId10" Type="http://schemas.openxmlformats.org/officeDocument/2006/relationships/chart" Target="charts/chart3.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oleObject" Target="file:///H:\&#20445;&#20581;&#38498;2025&#24180;\2025&#24180;&#20915;&#31639;&#20844;&#24320;\2023&#24180;&#37096;&#38376;&#20915;&#31639;&#20844;&#24320;&#65288;&#26609;&#29366;&#22270;&#65289;.xlsx" TargetMode="External"/></Relationships>
</file>

<file path=word/charts/_rels/chart2.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oleObject" Target="file:///H:\&#20445;&#20581;&#38498;2025&#24180;\2025&#24180;&#20915;&#31639;&#20844;&#24320;\2023&#24180;&#37096;&#38376;&#20915;&#31639;&#20844;&#24320;&#65288;&#26609;&#29366;&#22270;&#65289;.xlsx" TargetMode="External"/></Relationships>
</file>

<file path=word/charts/_rels/chart3.xml.rels><?xml version="1.0" encoding="UTF-8" standalone="yes"?>
<Relationships xmlns="http://schemas.openxmlformats.org/package/2006/relationships"><Relationship Id="rId3" Type="http://schemas.microsoft.com/office/2011/relationships/chartColorStyle" Target="colors7.xml"/><Relationship Id="rId2" Type="http://schemas.microsoft.com/office/2011/relationships/chartStyle" Target="style7.xml"/><Relationship Id="rId1" Type="http://schemas.openxmlformats.org/officeDocument/2006/relationships/oleObject" Target="file:///H:\&#20445;&#20581;&#38498;2025&#24180;\2025&#24180;&#20915;&#31639;&#20844;&#24320;\2023&#24180;&#37096;&#38376;&#20915;&#31639;&#20844;&#24320;&#65288;&#26609;&#29366;&#22270;&#65289;.xlsx" TargetMode="External"/></Relationships>
</file>

<file path=word/charts/_rels/chart4.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oleObject" Target="file:///H:\&#20445;&#20581;&#38498;2025&#24180;\2025&#24180;&#20915;&#31639;&#20844;&#24320;\2023&#24180;&#37096;&#38376;&#20915;&#31639;&#20844;&#24320;&#65288;&#26609;&#29366;&#22270;&#65289;.xlsx" TargetMode="External"/></Relationships>
</file>

<file path=word/charts/_rels/chart5.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oleObject" Target="file:///H:\&#20445;&#20581;&#38498;2025&#24180;\2025&#24180;&#20915;&#31639;&#20844;&#24320;\2023&#24180;&#37096;&#38376;&#20915;&#31639;&#20844;&#24320;&#65288;&#26609;&#29366;&#22270;&#65289;.xlsx" TargetMode="External"/></Relationships>
</file>

<file path=word/charts/_rels/chart6.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oleObject" Target="file:///H:\&#20445;&#20581;&#38498;2025&#24180;\2025&#24180;&#20915;&#31639;&#20844;&#24320;\2023&#24180;&#37096;&#38376;&#20915;&#31639;&#20844;&#24320;&#65288;&#26609;&#29366;&#22270;&#65289;.xlsx" TargetMode="External"/></Relationships>
</file>

<file path=word/charts/_rels/chart7.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oleObject" Target="file:///H:\&#20445;&#20581;&#38498;2025&#24180;\2025&#24180;&#20915;&#31639;&#20844;&#24320;\2023&#24180;&#37096;&#38376;&#20915;&#31639;&#20844;&#24320;&#65288;&#26609;&#29366;&#22270;&#65289;.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收、支决算总计变动情况图</a:t>
            </a:r>
          </a:p>
        </c:rich>
      </c:tx>
      <c:layout/>
      <c:overlay val="0"/>
      <c:spPr>
        <a:noFill/>
        <a:ln>
          <a:noFill/>
        </a:ln>
        <a:effectLst/>
      </c:spPr>
    </c:title>
    <c:autoTitleDeleted val="0"/>
    <c:plotArea>
      <c:layout/>
      <c:barChart>
        <c:barDir val="col"/>
        <c:grouping val="clustered"/>
        <c:varyColors val="0"/>
        <c:ser>
          <c:idx val="0"/>
          <c:order val="0"/>
          <c:tx>
            <c:strRef>
              <c:f>'[2023年部门决算公开（柱状图）.xlsx]Sheet1'!$A$96</c:f>
              <c:strCache>
                <c:ptCount val="1"/>
                <c:pt idx="0">
                  <c:v>2024年</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'[2023年部门决算公开（柱状图）.xlsx]Sheet1'!$B$95:$C$95</c:f>
              <c:strCache>
                <c:ptCount val="2"/>
                <c:pt idx="0">
                  <c:v>收入总计（万元）</c:v>
                </c:pt>
                <c:pt idx="1">
                  <c:v>支出总计（万元）</c:v>
                </c:pt>
              </c:strCache>
            </c:strRef>
          </c:cat>
          <c:val>
            <c:numRef>
              <c:f>'[2023年部门决算公开（柱状图）.xlsx]Sheet1'!$B$96:$C$96</c:f>
              <c:numCache>
                <c:formatCode>General</c:formatCode>
                <c:ptCount val="2"/>
                <c:pt idx="0">
                  <c:v>1298.36</c:v>
                </c:pt>
                <c:pt idx="1">
                  <c:v>1298.36</c:v>
                </c:pt>
              </c:numCache>
            </c:numRef>
          </c:val>
        </c:ser>
        <c:ser>
          <c:idx val="1"/>
          <c:order val="1"/>
          <c:tx>
            <c:strRef>
              <c:f>'[2023年部门决算公开（柱状图）.xlsx]Sheet1'!$A$97</c:f>
              <c:strCache>
                <c:ptCount val="1"/>
                <c:pt idx="0">
                  <c:v>2025年</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'[2023年部门决算公开（柱状图）.xlsx]Sheet1'!$B$95:$C$95</c:f>
              <c:strCache>
                <c:ptCount val="2"/>
                <c:pt idx="0">
                  <c:v>收入总计（万元）</c:v>
                </c:pt>
                <c:pt idx="1">
                  <c:v>支出总计（万元）</c:v>
                </c:pt>
              </c:strCache>
            </c:strRef>
          </c:cat>
          <c:val>
            <c:numRef>
              <c:f>'[2023年部门决算公开（柱状图）.xlsx]Sheet1'!$B$97:$C$97</c:f>
              <c:numCache>
                <c:formatCode>General</c:formatCode>
                <c:ptCount val="2"/>
                <c:pt idx="0">
                  <c:v>1192.58</c:v>
                </c:pt>
                <c:pt idx="1">
                  <c:v>1192.58</c:v>
                </c:pt>
              </c:numCache>
            </c:numRef>
          </c:val>
        </c:ser>
        <c:dLbls>
          <c:showLegendKey val="0"/>
          <c:showVal val="1"/>
          <c:showCatName val="0"/>
          <c:showSerName val="0"/>
          <c:showPercent val="0"/>
          <c:showBubbleSize val="0"/>
        </c:dLbls>
        <c:gapWidth val="219"/>
        <c:overlap val="-27"/>
        <c:axId val="47900378"/>
        <c:axId val="929482184"/>
      </c:barChart>
      <c:catAx>
        <c:axId val="47900378"/>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29482184"/>
        <c:crosses val="autoZero"/>
        <c:auto val="1"/>
        <c:lblAlgn val="ctr"/>
        <c:lblOffset val="100"/>
        <c:noMultiLvlLbl val="0"/>
      </c:catAx>
      <c:valAx>
        <c:axId val="92948218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7900378"/>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gradFill>
      <a:gsLst>
        <a:gs pos="0">
          <a:schemeClr val="accent1">
            <a:lumMod val="5000"/>
            <a:lumOff val="95000"/>
          </a:schemeClr>
        </a:gs>
        <a:gs pos="74000">
          <a:schemeClr val="accent1">
            <a:lumMod val="45000"/>
            <a:lumOff val="55000"/>
          </a:schemeClr>
        </a:gs>
        <a:gs pos="83000">
          <a:schemeClr val="accent1">
            <a:lumMod val="45000"/>
            <a:lumOff val="55000"/>
          </a:schemeClr>
        </a:gs>
        <a:gs pos="100000">
          <a:schemeClr val="accent1">
            <a:lumMod val="30000"/>
            <a:lumOff val="70000"/>
          </a:schemeClr>
        </a:gs>
      </a:gsLst>
      <a:lin ang="5400000" scaled="0"/>
    </a:gra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202</a:t>
            </a:r>
            <a:r>
              <a:rPr lang="en-US" altLang="zh-CN"/>
              <a:t>5</a:t>
            </a:r>
            <a:r>
              <a:t>年收入决算结构图</a:t>
            </a:r>
          </a:p>
        </c:rich>
      </c:tx>
      <c:layout/>
      <c:overlay val="0"/>
      <c:spPr>
        <a:noFill/>
        <a:ln>
          <a:noFill/>
        </a:ln>
        <a:effectLst/>
      </c:spPr>
    </c:title>
    <c:autoTitleDeleted val="0"/>
    <c:plotArea>
      <c:layout/>
      <c:pieChart>
        <c:varyColors val="1"/>
        <c:ser>
          <c:idx val="0"/>
          <c:order val="0"/>
          <c:tx>
            <c:strRef>
              <c:f>'[2023年部门决算公开（柱状图）.xlsx]Sheet1'!$A$110</c:f>
              <c:strCache>
                <c:ptCount val="1"/>
                <c:pt idx="0">
                  <c:v>2025年</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Lbls>
            <c:dLbl>
              <c:idx val="0"/>
              <c:layout>
                <c:manualLayout>
                  <c:x val="0.225038405194634"/>
                  <c:y val="-0.103537417229978"/>
                </c:manualLayout>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lumMod val="75000"/>
                            <a:lumOff val="25000"/>
                          </a:schemeClr>
                        </a:solidFill>
                        <a:latin typeface="+mn-lt"/>
                        <a:ea typeface="+mn-ea"/>
                        <a:cs typeface="+mn-cs"/>
                      </a:defRPr>
                    </a:pPr>
                    <a:r>
                      <a:t>1161.39万元，占</a:t>
                    </a:r>
                    <a:r>
                      <a:rPr lang="en-US" altLang="zh-CN"/>
                      <a:t>97.78%</a:t>
                    </a:r>
                    <a:endParaRPr lang="en-US" altLang="zh-CN"/>
                  </a:p>
                </c:rich>
              </c:tx>
              <c:dLblPos val="bestFit"/>
              <c:showLegendKey val="0"/>
              <c:showVal val="1"/>
              <c:showCatName val="0"/>
              <c:showSerName val="0"/>
              <c:showPercent val="0"/>
              <c:showBubbleSize val="0"/>
              <c:extLst>
                <c:ext xmlns:c15="http://schemas.microsoft.com/office/drawing/2012/chart" uri="{CE6537A1-D6FC-4f65-9D91-7224C49458BB}">
                  <c15:layout/>
                </c:ext>
              </c:extLst>
            </c:dLbl>
            <c:dLbl>
              <c:idx val="1"/>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lumMod val="75000"/>
                            <a:lumOff val="25000"/>
                          </a:schemeClr>
                        </a:solidFill>
                        <a:latin typeface="+mn-lt"/>
                        <a:ea typeface="+mn-ea"/>
                        <a:cs typeface="+mn-cs"/>
                      </a:defRPr>
                    </a:pPr>
                    <a:r>
                      <a:t>26.35万元，占</a:t>
                    </a:r>
                    <a:r>
                      <a:rPr lang="en-US" altLang="zh-CN"/>
                      <a:t>2.22%</a:t>
                    </a:r>
                    <a:endParaRPr lang="en-US" altLang="zh-CN"/>
                  </a:p>
                </c:rich>
              </c:tx>
              <c:dLblPos val="bestFi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'[2023年部门决算公开（柱状图）.xlsx]Sheet1'!$B$109:$D$109</c:f>
              <c:strCache>
                <c:ptCount val="3"/>
                <c:pt idx="0">
                  <c:v>一般公共预算财政拨款收入（万元）</c:v>
                </c:pt>
                <c:pt idx="1">
                  <c:v>事业收入（万元）</c:v>
                </c:pt>
              </c:strCache>
            </c:strRef>
          </c:cat>
          <c:val>
            <c:numRef>
              <c:f>'[2023年部门决算公开（柱状图）.xlsx]Sheet1'!$B$110:$D$110</c:f>
              <c:numCache>
                <c:formatCode>General</c:formatCode>
                <c:ptCount val="3"/>
                <c:pt idx="0">
                  <c:v>1161.39</c:v>
                </c:pt>
                <c:pt idx="1">
                  <c:v>26.35</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r"/>
      <c:legendEntry>
        <c:idx val="2"/>
        <c:delete val="1"/>
      </c:legendEntry>
      <c:layout>
        <c:manualLayout>
          <c:xMode val="edge"/>
          <c:yMode val="edge"/>
          <c:x val="0.673157894736842"/>
          <c:y val="0.425347222222222"/>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gradFill>
      <a:gsLst>
        <a:gs pos="0">
          <a:schemeClr val="accent1">
            <a:lumMod val="5000"/>
            <a:lumOff val="95000"/>
          </a:schemeClr>
        </a:gs>
        <a:gs pos="74000">
          <a:schemeClr val="accent1">
            <a:lumMod val="45000"/>
            <a:lumOff val="55000"/>
          </a:schemeClr>
        </a:gs>
        <a:gs pos="83000">
          <a:schemeClr val="accent1">
            <a:lumMod val="45000"/>
            <a:lumOff val="55000"/>
          </a:schemeClr>
        </a:gs>
        <a:gs pos="100000">
          <a:schemeClr val="accent1">
            <a:lumMod val="30000"/>
            <a:lumOff val="70000"/>
          </a:schemeClr>
        </a:gs>
      </a:gsLst>
      <a:lin ang="5400000" scaled="0"/>
    </a:gra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2025年支出决算结构图</a:t>
            </a:r>
          </a:p>
        </c:rich>
      </c:tx>
      <c:layout/>
      <c:overlay val="0"/>
      <c:spPr>
        <a:noFill/>
        <a:ln>
          <a:noFill/>
        </a:ln>
        <a:effectLst/>
      </c:spPr>
    </c:title>
    <c:autoTitleDeleted val="0"/>
    <c:plotArea>
      <c:layout/>
      <c:pieChart>
        <c:varyColors val="1"/>
        <c:ser>
          <c:idx val="0"/>
          <c:order val="0"/>
          <c:tx>
            <c:strRef>
              <c:f>'[2023年部门决算公开（柱状图）.xlsx]Sheet1'!$A$10</c:f>
              <c:strCache>
                <c:ptCount val="1"/>
                <c:pt idx="0">
                  <c:v>2025年</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Lbls>
            <c:dLbl>
              <c:idx val="0"/>
              <c:layout>
                <c:manualLayout>
                  <c:x val="0.135118560301264"/>
                  <c:y val="-0.114800641846974"/>
                </c:manualLayout>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lumMod val="75000"/>
                            <a:lumOff val="25000"/>
                          </a:schemeClr>
                        </a:solidFill>
                        <a:latin typeface="+mn-lt"/>
                        <a:ea typeface="+mn-ea"/>
                        <a:cs typeface="+mn-cs"/>
                      </a:defRPr>
                    </a:pPr>
                    <a:r>
                      <a:t>1097.43万元，占</a:t>
                    </a:r>
                    <a:r>
                      <a:rPr lang="en-US" altLang="zh-CN"/>
                      <a:t>93.75%</a:t>
                    </a:r>
                    <a:endParaRPr lang="en-US" altLang="zh-CN"/>
                  </a:p>
                </c:rich>
              </c:tx>
              <c:dLblPos val="bestFit"/>
              <c:showLegendKey val="0"/>
              <c:showVal val="1"/>
              <c:showCatName val="0"/>
              <c:showSerName val="0"/>
              <c:showPercent val="0"/>
              <c:showBubbleSize val="0"/>
              <c:extLst>
                <c:ext xmlns:c15="http://schemas.microsoft.com/office/drawing/2012/chart" uri="{CE6537A1-D6FC-4f65-9D91-7224C49458BB}">
                  <c15:layout/>
                </c:ext>
              </c:extLst>
            </c:dLbl>
            <c:dLbl>
              <c:idx val="1"/>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lumMod val="75000"/>
                            <a:lumOff val="25000"/>
                          </a:schemeClr>
                        </a:solidFill>
                        <a:latin typeface="+mn-lt"/>
                        <a:ea typeface="+mn-ea"/>
                        <a:cs typeface="+mn-cs"/>
                      </a:defRPr>
                    </a:pPr>
                    <a:r>
                      <a:t>73.19万元，占</a:t>
                    </a:r>
                    <a:r>
                      <a:rPr lang="en-US" altLang="zh-CN"/>
                      <a:t>6.25%</a:t>
                    </a:r>
                    <a:endParaRPr lang="en-US" altLang="zh-CN"/>
                  </a:p>
                </c:rich>
              </c:tx>
              <c:dLblPos val="bestFi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'[2023年部门决算公开（柱状图）.xlsx]Sheet1'!$B$9:$C$9</c:f>
              <c:strCache>
                <c:ptCount val="2"/>
                <c:pt idx="0">
                  <c:v>基本支出（万元）</c:v>
                </c:pt>
                <c:pt idx="1">
                  <c:v>项目支出（万元）</c:v>
                </c:pt>
              </c:strCache>
            </c:strRef>
          </c:cat>
          <c:val>
            <c:numRef>
              <c:f>'[2023年部门决算公开（柱状图）.xlsx]Sheet1'!$B$10:$C$10</c:f>
              <c:numCache>
                <c:formatCode>General</c:formatCode>
                <c:ptCount val="2"/>
                <c:pt idx="0">
                  <c:v>1097.43</c:v>
                </c:pt>
                <c:pt idx="1">
                  <c:v>73.19</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gradFill>
      <a:gsLst>
        <a:gs pos="0">
          <a:schemeClr val="accent1">
            <a:lumMod val="5000"/>
            <a:lumOff val="95000"/>
          </a:schemeClr>
        </a:gs>
        <a:gs pos="74000">
          <a:schemeClr val="accent1">
            <a:lumMod val="45000"/>
            <a:lumOff val="55000"/>
          </a:schemeClr>
        </a:gs>
        <a:gs pos="83000">
          <a:schemeClr val="accent1">
            <a:lumMod val="45000"/>
            <a:lumOff val="55000"/>
          </a:schemeClr>
        </a:gs>
        <a:gs pos="100000">
          <a:schemeClr val="accent1">
            <a:lumMod val="30000"/>
            <a:lumOff val="70000"/>
          </a:schemeClr>
        </a:gs>
      </a:gsLst>
      <a:lin ang="5400000" scaled="0"/>
    </a:gra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财政拨款收、支决算总计变动情况</a:t>
            </a:r>
          </a:p>
        </c:rich>
      </c:tx>
      <c:layout>
        <c:manualLayout>
          <c:xMode val="edge"/>
          <c:yMode val="edge"/>
          <c:x val="0.204588910133843"/>
          <c:y val="0.0220426157237329"/>
        </c:manualLayout>
      </c:layout>
      <c:overlay val="0"/>
      <c:spPr>
        <a:noFill/>
        <a:ln>
          <a:noFill/>
        </a:ln>
        <a:effectLst/>
      </c:spPr>
    </c:title>
    <c:autoTitleDeleted val="0"/>
    <c:plotArea>
      <c:layout/>
      <c:barChart>
        <c:barDir val="col"/>
        <c:grouping val="clustered"/>
        <c:varyColors val="0"/>
        <c:ser>
          <c:idx val="0"/>
          <c:order val="0"/>
          <c:tx>
            <c:strRef>
              <c:f>'[2023年部门决算公开（柱状图）.xlsx]Sheet1'!$A$17</c:f>
              <c:strCache>
                <c:ptCount val="1"/>
                <c:pt idx="0">
                  <c:v>2024年</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'[2023年部门决算公开（柱状图）.xlsx]Sheet1'!$B$16:$C$16</c:f>
              <c:strCache>
                <c:ptCount val="2"/>
                <c:pt idx="0">
                  <c:v>财政拨款收入总计（万元）</c:v>
                </c:pt>
                <c:pt idx="1">
                  <c:v>财政拨款支出总计（万元）</c:v>
                </c:pt>
              </c:strCache>
            </c:strRef>
          </c:cat>
          <c:val>
            <c:numRef>
              <c:f>'[2023年部门决算公开（柱状图）.xlsx]Sheet1'!$B$17:$C$17</c:f>
              <c:numCache>
                <c:formatCode>0.00_ </c:formatCode>
                <c:ptCount val="2"/>
                <c:pt idx="0">
                  <c:v>1265.7</c:v>
                </c:pt>
                <c:pt idx="1">
                  <c:v>1265.7</c:v>
                </c:pt>
              </c:numCache>
            </c:numRef>
          </c:val>
        </c:ser>
        <c:ser>
          <c:idx val="1"/>
          <c:order val="1"/>
          <c:tx>
            <c:strRef>
              <c:f>'[2023年部门决算公开（柱状图）.xlsx]Sheet1'!$A$18</c:f>
              <c:strCache>
                <c:ptCount val="1"/>
                <c:pt idx="0">
                  <c:v>2025年</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'[2023年部门决算公开（柱状图）.xlsx]Sheet1'!$B$16:$C$16</c:f>
              <c:strCache>
                <c:ptCount val="2"/>
                <c:pt idx="0">
                  <c:v>财政拨款收入总计（万元）</c:v>
                </c:pt>
                <c:pt idx="1">
                  <c:v>财政拨款支出总计（万元）</c:v>
                </c:pt>
              </c:strCache>
            </c:strRef>
          </c:cat>
          <c:val>
            <c:numRef>
              <c:f>'[2023年部门决算公开（柱状图）.xlsx]Sheet1'!$B$18:$C$18</c:f>
              <c:numCache>
                <c:formatCode>0.00_ </c:formatCode>
                <c:ptCount val="2"/>
                <c:pt idx="0">
                  <c:v>1161.39</c:v>
                </c:pt>
                <c:pt idx="1">
                  <c:v>1161.39</c:v>
                </c:pt>
              </c:numCache>
            </c:numRef>
          </c:val>
        </c:ser>
        <c:dLbls>
          <c:showLegendKey val="0"/>
          <c:showVal val="1"/>
          <c:showCatName val="0"/>
          <c:showSerName val="0"/>
          <c:showPercent val="0"/>
          <c:showBubbleSize val="0"/>
        </c:dLbls>
        <c:gapWidth val="219"/>
        <c:overlap val="-27"/>
        <c:axId val="460741911"/>
        <c:axId val="601596667"/>
      </c:barChart>
      <c:catAx>
        <c:axId val="460741911"/>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01596667"/>
        <c:crosses val="autoZero"/>
        <c:auto val="1"/>
        <c:lblAlgn val="ctr"/>
        <c:lblOffset val="100"/>
        <c:noMultiLvlLbl val="0"/>
      </c:catAx>
      <c:valAx>
        <c:axId val="601596667"/>
        <c:scaling>
          <c:orientation val="minMax"/>
        </c:scaling>
        <c:delete val="0"/>
        <c:axPos val="l"/>
        <c:majorGridlines>
          <c:spPr>
            <a:ln w="9525" cap="flat" cmpd="sng" algn="ctr">
              <a:solidFill>
                <a:schemeClr val="tx1">
                  <a:lumMod val="15000"/>
                  <a:lumOff val="85000"/>
                </a:schemeClr>
              </a:solidFill>
              <a:round/>
            </a:ln>
            <a:effectLst/>
          </c:spPr>
        </c:majorGridlines>
        <c:numFmt formatCode="0.00_ "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60741911"/>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gradFill>
      <a:gsLst>
        <a:gs pos="52000">
          <a:srgbClr val="ADCDEA">
            <a:alpha val="100000"/>
          </a:srgbClr>
        </a:gs>
        <a:gs pos="22000">
          <a:schemeClr val="accent1">
            <a:lumMod val="40000"/>
            <a:lumOff val="60000"/>
          </a:schemeClr>
        </a:gs>
        <a:gs pos="91000">
          <a:schemeClr val="accent1">
            <a:lumMod val="60000"/>
            <a:lumOff val="40000"/>
          </a:schemeClr>
        </a:gs>
      </a:gsLst>
      <a:lin ang="5400000" scaled="0"/>
    </a:gradFill>
    <a:ln w="9525" cap="flat" cmpd="sng" algn="ctr">
      <a:solidFill>
        <a:schemeClr val="tx1">
          <a:lumMod val="15000"/>
          <a:lumOff val="85000"/>
        </a:schemeClr>
      </a:solidFill>
      <a:round/>
    </a:ln>
    <a:effectLst>
      <a:glow rad="101600">
        <a:schemeClr val="accent4">
          <a:satMod val="175000"/>
          <a:alpha val="50000"/>
        </a:schemeClr>
      </a:glow>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一般公共预算财政拨款支出决算变动情况</a:t>
            </a:r>
          </a:p>
        </c:rich>
      </c:tx>
      <c:layout/>
      <c:overlay val="0"/>
      <c:spPr>
        <a:noFill/>
        <a:ln>
          <a:noFill/>
        </a:ln>
        <a:effectLst/>
      </c:spPr>
    </c:title>
    <c:autoTitleDeleted val="0"/>
    <c:plotArea>
      <c:layout/>
      <c:barChart>
        <c:barDir val="col"/>
        <c:grouping val="clustered"/>
        <c:varyColors val="0"/>
        <c:ser>
          <c:idx val="0"/>
          <c:order val="0"/>
          <c:tx>
            <c:strRef>
              <c:f>'[2023年部门决算公开（柱状图）.xlsx]Sheet1'!$B$12</c:f>
              <c:strCache>
                <c:ptCount val="1"/>
                <c:pt idx="0">
                  <c:v>一般公共预算财政拨款支出（万元）</c:v>
                </c:pt>
              </c:strCache>
            </c:strRef>
          </c:tx>
          <c:spPr>
            <a:solidFill>
              <a:schemeClr val="accent1"/>
            </a:solidFill>
            <a:ln>
              <a:noFill/>
            </a:ln>
            <a:effectLst/>
          </c:spPr>
          <c:invertIfNegative val="0"/>
          <c:dLbls>
            <c:dLbl>
              <c:idx val="0"/>
              <c:layout>
                <c:manualLayout>
                  <c:x val="0.0125"/>
                  <c:y val="-0.107638888888889"/>
                </c:manualLayout>
              </c:layout>
              <c:dLblPos val="in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166666666666667"/>
                  <c:y val="-0.0972222222222222"/>
                </c:manualLayout>
              </c:layout>
              <c:dLblPos val="in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in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'[2023年部门决算公开（柱状图）.xlsx]Sheet1'!$A$13:$A$14</c:f>
              <c:strCache>
                <c:ptCount val="2"/>
                <c:pt idx="0">
                  <c:v>2024年</c:v>
                </c:pt>
                <c:pt idx="1">
                  <c:v>2025年</c:v>
                </c:pt>
              </c:strCache>
            </c:strRef>
          </c:cat>
          <c:val>
            <c:numRef>
              <c:f>'[2023年部门决算公开（柱状图）.xlsx]Sheet1'!$B$13:$B$14</c:f>
              <c:numCache>
                <c:formatCode>General</c:formatCode>
                <c:ptCount val="2"/>
                <c:pt idx="0">
                  <c:v>1265.7</c:v>
                </c:pt>
                <c:pt idx="1">
                  <c:v>1161.39</c:v>
                </c:pt>
              </c:numCache>
            </c:numRef>
          </c:val>
        </c:ser>
        <c:dLbls>
          <c:showLegendKey val="0"/>
          <c:showVal val="1"/>
          <c:showCatName val="0"/>
          <c:showSerName val="0"/>
          <c:showPercent val="0"/>
          <c:showBubbleSize val="0"/>
        </c:dLbls>
        <c:gapWidth val="75"/>
        <c:overlap val="40"/>
        <c:axId val="700336024"/>
        <c:axId val="878363232"/>
      </c:barChart>
      <c:catAx>
        <c:axId val="700336024"/>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78363232"/>
        <c:crosses val="autoZero"/>
        <c:auto val="1"/>
        <c:lblAlgn val="ctr"/>
        <c:lblOffset val="100"/>
        <c:noMultiLvlLbl val="0"/>
      </c:catAx>
      <c:valAx>
        <c:axId val="87836323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00336024"/>
        <c:crosses val="autoZero"/>
        <c:crossBetween val="between"/>
      </c:valAx>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gradFill>
      <a:gsLst>
        <a:gs pos="0">
          <a:schemeClr val="accent1">
            <a:lumMod val="40000"/>
            <a:lumOff val="60000"/>
          </a:schemeClr>
        </a:gs>
        <a:gs pos="100000">
          <a:schemeClr val="accent1">
            <a:lumMod val="60000"/>
            <a:lumOff val="40000"/>
          </a:schemeClr>
        </a:gs>
      </a:gsLst>
      <a:lin ang="5400000" scaled="0"/>
    </a:gradFill>
    <a:ln w="9525" cap="flat" cmpd="sng" algn="ctr">
      <a:solidFill>
        <a:schemeClr val="tx1">
          <a:lumMod val="15000"/>
          <a:lumOff val="85000"/>
        </a:schemeClr>
      </a:solidFill>
      <a:round/>
    </a:ln>
    <a:effectLst>
      <a:glow rad="101600">
        <a:schemeClr val="accent4">
          <a:satMod val="175000"/>
          <a:alpha val="50000"/>
        </a:schemeClr>
      </a:glow>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manualLayout>
          <c:xMode val="edge"/>
          <c:yMode val="edge"/>
          <c:x val="0.175611564121572"/>
          <c:y val="0.0293111871030777"/>
        </c:manualLayout>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pieChart>
        <c:varyColors val="1"/>
        <c:ser>
          <c:idx val="0"/>
          <c:order val="0"/>
          <c:tx>
            <c:strRef>
              <c:f>'[2023年部门决算公开（柱状图）.xlsx]Sheet1'!$A$21</c:f>
              <c:strCache>
                <c:ptCount val="1"/>
                <c:pt idx="0">
                  <c:v>2025年一般公共预算财政拨款支出</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Lbls>
            <c:dLbl>
              <c:idx val="0"/>
              <c:layout>
                <c:manualLayout>
                  <c:x val="0.134620873762188"/>
                  <c:y val="0.0665466659278283"/>
                </c:manualLayout>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lumMod val="75000"/>
                            <a:lumOff val="25000"/>
                          </a:schemeClr>
                        </a:solidFill>
                        <a:latin typeface="+mn-lt"/>
                        <a:ea typeface="+mn-ea"/>
                        <a:cs typeface="+mn-cs"/>
                      </a:defRPr>
                    </a:pPr>
                    <a:r>
                      <a:t>163.61万元，占</a:t>
                    </a:r>
                    <a:r>
                      <a:rPr lang="en-US" altLang="zh-CN"/>
                      <a:t>14.09%</a:t>
                    </a:r>
                    <a:endParaRPr lang="en-US" altLang="zh-CN"/>
                  </a:p>
                </c:rich>
              </c:tx>
              <c:dLblPos val="bestFit"/>
              <c:showLegendKey val="0"/>
              <c:showVal val="1"/>
              <c:showCatName val="0"/>
              <c:showSerName val="0"/>
              <c:showPercent val="0"/>
              <c:showBubbleSize val="0"/>
              <c:extLst>
                <c:ext xmlns:c15="http://schemas.microsoft.com/office/drawing/2012/chart" uri="{CE6537A1-D6FC-4f65-9D91-7224C49458BB}">
                  <c15:layout/>
                </c:ext>
              </c:extLst>
            </c:dLbl>
            <c:dLbl>
              <c:idx val="1"/>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lumMod val="75000"/>
                            <a:lumOff val="25000"/>
                          </a:schemeClr>
                        </a:solidFill>
                        <a:latin typeface="+mn-lt"/>
                        <a:ea typeface="+mn-ea"/>
                        <a:cs typeface="+mn-cs"/>
                      </a:defRPr>
                    </a:pPr>
                    <a:r>
                      <a:t>920.32万元，占</a:t>
                    </a:r>
                    <a:r>
                      <a:rPr lang="en-US" altLang="zh-CN"/>
                      <a:t>79.24%</a:t>
                    </a:r>
                    <a:endParaRPr lang="en-US" altLang="zh-CN"/>
                  </a:p>
                </c:rich>
              </c:tx>
              <c:dLblPos val="bestFit"/>
              <c:showLegendKey val="0"/>
              <c:showVal val="1"/>
              <c:showCatName val="0"/>
              <c:showSerName val="0"/>
              <c:showPercent val="0"/>
              <c:showBubbleSize val="0"/>
              <c:extLst>
                <c:ext xmlns:c15="http://schemas.microsoft.com/office/drawing/2012/chart" uri="{CE6537A1-D6FC-4f65-9D91-7224C49458BB}"/>
              </c:extLst>
            </c:dLbl>
            <c:dLbl>
              <c:idx val="2"/>
              <c:layout>
                <c:manualLayout>
                  <c:x val="-0.0493054904552048"/>
                  <c:y val="0.0236212146627538"/>
                </c:manualLayout>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lumMod val="75000"/>
                            <a:lumOff val="25000"/>
                          </a:schemeClr>
                        </a:solidFill>
                        <a:latin typeface="+mn-lt"/>
                        <a:ea typeface="+mn-ea"/>
                        <a:cs typeface="+mn-cs"/>
                      </a:defRPr>
                    </a:pPr>
                    <a:r>
                      <a:t>77.46万元，占</a:t>
                    </a:r>
                    <a:r>
                      <a:rPr lang="en-US" altLang="zh-CN"/>
                      <a:t>6.67%</a:t>
                    </a:r>
                    <a:endParaRPr lang="en-US" altLang="zh-CN"/>
                  </a:p>
                </c:rich>
              </c:tx>
              <c:dLblPos val="bestFit"/>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'[2023年部门决算公开（柱状图）.xlsx]Sheet1'!$B$20:$E$20</c:f>
              <c:strCache>
                <c:ptCount val="4"/>
                <c:pt idx="0">
                  <c:v>社会保障和就业（类）支出</c:v>
                </c:pt>
                <c:pt idx="1">
                  <c:v>卫生健康支出</c:v>
                </c:pt>
                <c:pt idx="2">
                  <c:v>住房保障支出</c:v>
                </c:pt>
              </c:strCache>
            </c:strRef>
          </c:cat>
          <c:val>
            <c:numRef>
              <c:f>'[2023年部门决算公开（柱状图）.xlsx]Sheet1'!$B$21:$E$21</c:f>
              <c:numCache>
                <c:formatCode>General</c:formatCode>
                <c:ptCount val="4"/>
                <c:pt idx="0">
                  <c:v>163.61</c:v>
                </c:pt>
                <c:pt idx="1">
                  <c:v>920.32</c:v>
                </c:pt>
                <c:pt idx="2">
                  <c:v>77.46</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r"/>
      <c:legendEntry>
        <c:idx val="3"/>
        <c:delete val="1"/>
      </c:legendEntry>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gradFill>
      <a:gsLst>
        <a:gs pos="8000">
          <a:srgbClr val="BCD7EE">
            <a:alpha val="100000"/>
          </a:srgbClr>
        </a:gs>
        <a:gs pos="18000">
          <a:srgbClr val="BBD6EE"/>
        </a:gs>
        <a:gs pos="62000">
          <a:srgbClr val="A5C8E8"/>
        </a:gs>
        <a:gs pos="25000">
          <a:srgbClr val="B9D5ED"/>
        </a:gs>
        <a:gs pos="35000">
          <a:srgbClr val="B5D2EC"/>
        </a:gs>
        <a:gs pos="48000">
          <a:srgbClr val="ADCDEA"/>
        </a:gs>
        <a:gs pos="0">
          <a:schemeClr val="accent1">
            <a:lumMod val="40000"/>
            <a:lumOff val="60000"/>
          </a:schemeClr>
        </a:gs>
        <a:gs pos="100000">
          <a:schemeClr val="accent1">
            <a:lumMod val="60000"/>
            <a:lumOff val="40000"/>
          </a:schemeClr>
        </a:gs>
      </a:gsLst>
      <a:lin ang="5400000" scaled="0"/>
    </a:gradFill>
    <a:ln w="9525" cap="flat" cmpd="sng" algn="ctr">
      <a:solidFill>
        <a:schemeClr val="tx1">
          <a:lumMod val="15000"/>
          <a:lumOff val="85000"/>
        </a:schemeClr>
      </a:solidFill>
      <a:round/>
    </a:ln>
    <a:effectLst>
      <a:outerShdw blurRad="50800" dist="38100" dir="5400000" algn="t" rotWithShape="0">
        <a:prstClr val="black">
          <a:alpha val="40000"/>
        </a:prstClr>
      </a:outerShdw>
    </a:effectLst>
  </c:spPr>
  <c:txPr>
    <a:bodyPr/>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pieChart>
        <c:varyColors val="1"/>
        <c:ser>
          <c:idx val="0"/>
          <c:order val="0"/>
          <c:tx>
            <c:strRef>
              <c:f>'[2023年部门决算公开（柱状图）.xlsx]Sheet1'!$A$71</c:f>
              <c:strCache>
                <c:ptCount val="1"/>
                <c:pt idx="0">
                  <c:v>“三公”经费财政拨款支出</c:v>
                </c:pt>
              </c:strCache>
            </c:strRef>
          </c:tx>
          <c:spPr/>
          <c:explosion val="0"/>
          <c:dPt>
            <c:idx val="0"/>
            <c:bubble3D val="0"/>
            <c:spPr>
              <a:solidFill>
                <a:schemeClr val="accent1"/>
              </a:solidFill>
              <a:ln>
                <a:solidFill>
                  <a:schemeClr val="bg1"/>
                </a:solidFill>
              </a:ln>
              <a:effectLst/>
            </c:spPr>
          </c:dPt>
          <c:dLbls>
            <c:dLbl>
              <c:idx val="0"/>
              <c:layout>
                <c:manualLayout>
                  <c:x val="0.201315166665498"/>
                  <c:y val="-0.0579095134238946"/>
                </c:manualLayout>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lumMod val="75000"/>
                            <a:lumOff val="25000"/>
                          </a:schemeClr>
                        </a:solidFill>
                        <a:latin typeface="+mn-lt"/>
                        <a:ea typeface="+mn-ea"/>
                        <a:cs typeface="+mn-cs"/>
                      </a:defRPr>
                    </a:pPr>
                    <a:r>
                      <a:t>4.48万元，占</a:t>
                    </a:r>
                    <a:r>
                      <a:rPr lang="en-US" altLang="zh-CN"/>
                      <a:t>100%</a:t>
                    </a:r>
                    <a:endParaRPr lang="en-US" altLang="zh-CN"/>
                  </a:p>
                </c:rich>
              </c:tx>
              <c:dLblPos val="bestFit"/>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'[2023年部门决算公开（柱状图）.xlsx]Sheet1'!$B$70</c:f>
              <c:strCache>
                <c:ptCount val="1"/>
                <c:pt idx="0">
                  <c:v>公务用车购置及运行维护费</c:v>
                </c:pt>
              </c:strCache>
            </c:strRef>
          </c:cat>
          <c:val>
            <c:numRef>
              <c:f>'[2023年部门决算公开（柱状图）.xlsx]Sheet1'!$B$71</c:f>
              <c:numCache>
                <c:formatCode>General</c:formatCode>
                <c:ptCount val="1"/>
                <c:pt idx="0">
                  <c:v>4.48</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38</Pages>
  <Words>685</Words>
  <Characters>719</Characters>
  <Lines>61</Lines>
  <Paragraphs>17</Paragraphs>
  <TotalTime>7</TotalTime>
  <ScaleCrop>false</ScaleCrop>
  <LinksUpToDate>false</LinksUpToDate>
  <CharactersWithSpaces>752</CharactersWithSpaces>
  <Application>WPS Office_11.8.2.1132_F1E327BC-269C-435d-A152-05C5408002CA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2020-08-09T01:49:00Z</dcterms:created>
  <dc:creator>曹颖</dc:creator>
  <cp:lastModifiedBy>user</cp:lastModifiedBy>
  <cp:lastPrinted>2026-08-03T17:27:00Z</cp:lastPrinted>
  <dcterms:modified xsi:type="dcterms:W3CDTF">2026-10-28T09:49:58Z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2052-11.8.2.1132</vt:lpwstr>
  </property>
  <property fmtid="{D5CDD505-2E9C-101B-9397-08002B2CF9AE}" pid="3" name="ICV">
    <vt:lpwstr>9C20405CF3C44461A8C3AE6B975882EC_13</vt:lpwstr>
  </property>
  <property fmtid="{D5CDD505-2E9C-101B-9397-08002B2CF9AE}" pid="4" name="KSOTemplateDocerSaveRecord">
    <vt:lpwstr>eyJoZGlkIjoiYzk1Mzg2MGY4NTI0ZmEzODRkMDczMWNiMmY3ZWJkMjYiLCJ1c2VySWQiOiI4NTg3Nzg0MTUifQ==</vt:lpwstr>
  </property>
</Properties>
</file>