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425"/>
      <w:bookmarkStart w:id="3" w:name="_Toc15396597"/>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9年度</w:t>
      </w:r>
      <w:bookmarkEnd w:id="1"/>
      <w:bookmarkEnd w:id="2"/>
      <w:bookmarkEnd w:id="3"/>
      <w:bookmarkEnd w:id="4"/>
      <w:bookmarkEnd w:id="5"/>
      <w:bookmarkStart w:id="6" w:name="_Toc15378442"/>
      <w:bookmarkStart w:id="7" w:name="_Toc15377426"/>
      <w:bookmarkStart w:id="8" w:name="_Toc15396476"/>
      <w:bookmarkStart w:id="9" w:name="_Toc15396598"/>
      <w:bookmarkStart w:id="10" w:name="_Toc15377194"/>
      <w:r>
        <w:rPr>
          <w:rFonts w:hint="eastAsia" w:ascii="黑体" w:hAnsi="黑体" w:eastAsia="黑体"/>
          <w:color w:val="000000"/>
          <w:sz w:val="72"/>
          <w:szCs w:val="72"/>
        </w:rPr>
        <w:t>四川省阿坝州壤塘县</w:t>
      </w:r>
      <w:bookmarkEnd w:id="0"/>
      <w:bookmarkStart w:id="11" w:name="_Toc15306268"/>
      <w:r>
        <w:rPr>
          <w:rFonts w:hint="eastAsia" w:ascii="黑体" w:hAnsi="黑体" w:eastAsia="黑体"/>
          <w:color w:val="000000"/>
          <w:sz w:val="72"/>
          <w:szCs w:val="72"/>
        </w:rPr>
        <w:t>壤柯镇社区卫生服务中心部门决算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bookmarkStart w:id="73" w:name="_GoBack"/>
      <w:bookmarkEnd w:id="73"/>
    </w:p>
    <w:p>
      <w:pPr>
        <w:pStyle w:val="12"/>
        <w:adjustRightInd w:val="0"/>
        <w:snapToGrid w:val="0"/>
        <w:spacing w:before="0" w:line="440" w:lineRule="exact"/>
        <w:jc w:val="left"/>
        <w:rPr>
          <w:rFonts w:cstheme="minorBidi"/>
          <w:sz w:val="24"/>
          <w:szCs w:val="24"/>
        </w:rPr>
      </w:pPr>
      <w:r>
        <w:rPr>
          <w:rFonts w:hint="eastAsia"/>
          <w:sz w:val="24"/>
        </w:rPr>
        <w:t>第一部分部门概况...........................................4</w:t>
      </w:r>
    </w:p>
    <w:p>
      <w:pPr>
        <w:pStyle w:val="13"/>
        <w:adjustRightInd w:val="0"/>
        <w:snapToGrid w:val="0"/>
        <w:spacing w:line="440" w:lineRule="exact"/>
        <w:jc w:val="left"/>
        <w:rPr>
          <w:rFonts w:ascii="仿宋" w:hAnsi="仿宋"/>
          <w:sz w:val="24"/>
        </w:rPr>
      </w:pPr>
      <w:r>
        <w:rPr>
          <w:rFonts w:hint="eastAsia"/>
          <w:sz w:val="24"/>
        </w:rPr>
        <w:t>一、基本职能及主要工作....................................................................4</w:t>
      </w:r>
    </w:p>
    <w:p>
      <w:pPr>
        <w:pStyle w:val="13"/>
        <w:adjustRightInd w:val="0"/>
        <w:snapToGrid w:val="0"/>
        <w:spacing w:line="440" w:lineRule="exact"/>
        <w:jc w:val="left"/>
        <w:rPr>
          <w:rFonts w:ascii="仿宋" w:hAnsi="仿宋" w:cstheme="minorBidi"/>
          <w:sz w:val="24"/>
        </w:rPr>
      </w:pPr>
      <w:r>
        <w:rPr>
          <w:rFonts w:hint="eastAsia"/>
          <w:sz w:val="24"/>
        </w:rPr>
        <w:t>二、机构设置........................................................................................11</w:t>
      </w:r>
    </w:p>
    <w:p>
      <w:pPr>
        <w:pStyle w:val="12"/>
        <w:adjustRightInd w:val="0"/>
        <w:snapToGrid w:val="0"/>
        <w:spacing w:before="0" w:line="440" w:lineRule="exact"/>
        <w:jc w:val="left"/>
        <w:rPr>
          <w:sz w:val="24"/>
          <w:szCs w:val="24"/>
        </w:rPr>
      </w:pPr>
      <w:r>
        <w:rPr>
          <w:rFonts w:hint="eastAsia"/>
          <w:sz w:val="24"/>
        </w:rPr>
        <w:t>第二部分度部门决算情况说明..................................13</w:t>
      </w:r>
    </w:p>
    <w:p>
      <w:pPr>
        <w:pStyle w:val="13"/>
        <w:adjustRightInd w:val="0"/>
        <w:snapToGrid w:val="0"/>
        <w:spacing w:line="440" w:lineRule="exact"/>
        <w:jc w:val="left"/>
        <w:rPr>
          <w:rFonts w:ascii="仿宋" w:hAnsi="仿宋" w:cstheme="minorBidi"/>
          <w:sz w:val="24"/>
        </w:rPr>
      </w:pPr>
      <w:r>
        <w:rPr>
          <w:rFonts w:hint="eastAsia"/>
          <w:sz w:val="24"/>
        </w:rPr>
        <w:t>一、收入支出决算总体情况说明........................................................13</w:t>
      </w:r>
    </w:p>
    <w:p>
      <w:pPr>
        <w:pStyle w:val="13"/>
        <w:adjustRightInd w:val="0"/>
        <w:snapToGrid w:val="0"/>
        <w:spacing w:line="440" w:lineRule="exact"/>
        <w:jc w:val="left"/>
        <w:rPr>
          <w:rFonts w:ascii="仿宋" w:hAnsi="仿宋" w:cstheme="minorBidi"/>
          <w:sz w:val="24"/>
        </w:rPr>
      </w:pPr>
      <w:r>
        <w:rPr>
          <w:rFonts w:hint="eastAsia"/>
          <w:sz w:val="24"/>
        </w:rPr>
        <w:t>二、收入决算情况说明........................................................................13</w:t>
      </w:r>
    </w:p>
    <w:p>
      <w:pPr>
        <w:pStyle w:val="13"/>
        <w:adjustRightInd w:val="0"/>
        <w:snapToGrid w:val="0"/>
        <w:spacing w:line="440" w:lineRule="exact"/>
        <w:jc w:val="left"/>
        <w:rPr>
          <w:rFonts w:ascii="仿宋" w:hAnsi="仿宋" w:cstheme="minorBidi"/>
          <w:sz w:val="24"/>
        </w:rPr>
      </w:pPr>
      <w:r>
        <w:rPr>
          <w:rFonts w:hint="eastAsia"/>
          <w:sz w:val="24"/>
        </w:rPr>
        <w:t>三、支出决算情况说明........................................................................14</w:t>
      </w:r>
    </w:p>
    <w:p>
      <w:pPr>
        <w:pStyle w:val="13"/>
        <w:adjustRightInd w:val="0"/>
        <w:snapToGrid w:val="0"/>
        <w:spacing w:line="440" w:lineRule="exact"/>
        <w:jc w:val="left"/>
        <w:rPr>
          <w:rFonts w:ascii="仿宋" w:hAnsi="仿宋" w:cstheme="minorBidi"/>
          <w:sz w:val="24"/>
        </w:rPr>
      </w:pPr>
      <w:r>
        <w:rPr>
          <w:rFonts w:hint="eastAsia"/>
          <w:sz w:val="24"/>
        </w:rPr>
        <w:t>四、财政拨款收入支出决算总体情况说明.........................................15</w:t>
      </w:r>
    </w:p>
    <w:p>
      <w:pPr>
        <w:pStyle w:val="13"/>
        <w:adjustRightInd w:val="0"/>
        <w:snapToGrid w:val="0"/>
        <w:spacing w:line="440" w:lineRule="exact"/>
        <w:jc w:val="left"/>
        <w:rPr>
          <w:rFonts w:ascii="仿宋" w:hAnsi="仿宋" w:cstheme="minorBidi"/>
          <w:sz w:val="24"/>
        </w:rPr>
      </w:pPr>
      <w:r>
        <w:rPr>
          <w:rFonts w:hint="eastAsia"/>
          <w:sz w:val="24"/>
        </w:rPr>
        <w:t>五、一般公共预算财政拨款支出决算情况说明.................................15</w:t>
      </w:r>
    </w:p>
    <w:p>
      <w:pPr>
        <w:pStyle w:val="13"/>
        <w:adjustRightInd w:val="0"/>
        <w:snapToGrid w:val="0"/>
        <w:spacing w:line="440" w:lineRule="exact"/>
        <w:jc w:val="left"/>
        <w:rPr>
          <w:rFonts w:ascii="仿宋" w:hAnsi="仿宋" w:cstheme="minorBidi"/>
          <w:sz w:val="24"/>
        </w:rPr>
      </w:pPr>
      <w:r>
        <w:rPr>
          <w:rFonts w:hint="eastAsia"/>
          <w:sz w:val="24"/>
        </w:rPr>
        <w:t>六、一般公共预算财政拨款基本支出决算情况说明.........................18</w:t>
      </w:r>
    </w:p>
    <w:p>
      <w:pPr>
        <w:pStyle w:val="13"/>
        <w:adjustRightInd w:val="0"/>
        <w:snapToGrid w:val="0"/>
        <w:spacing w:line="440" w:lineRule="exact"/>
        <w:jc w:val="left"/>
        <w:rPr>
          <w:rFonts w:ascii="仿宋" w:hAnsi="仿宋" w:cstheme="minorBidi"/>
          <w:sz w:val="24"/>
        </w:rPr>
      </w:pPr>
      <w:r>
        <w:rPr>
          <w:rFonts w:hint="eastAsia"/>
          <w:sz w:val="24"/>
        </w:rPr>
        <w:t>七、</w:t>
      </w:r>
      <w:r>
        <w:rPr>
          <w:sz w:val="24"/>
        </w:rPr>
        <w:t>“</w:t>
      </w:r>
      <w:r>
        <w:rPr>
          <w:rFonts w:hint="eastAsia"/>
          <w:sz w:val="24"/>
        </w:rPr>
        <w:t>三公”经费财政拨款支出决算情况说明...................................18</w:t>
      </w:r>
    </w:p>
    <w:p>
      <w:pPr>
        <w:pStyle w:val="13"/>
        <w:adjustRightInd w:val="0"/>
        <w:snapToGrid w:val="0"/>
        <w:spacing w:line="440" w:lineRule="exact"/>
        <w:jc w:val="left"/>
        <w:rPr>
          <w:rFonts w:ascii="仿宋" w:hAnsi="仿宋" w:cstheme="minorBidi"/>
          <w:sz w:val="24"/>
        </w:rPr>
      </w:pPr>
      <w:r>
        <w:rPr>
          <w:rFonts w:hint="eastAsia"/>
          <w:sz w:val="24"/>
        </w:rPr>
        <w:t>八、政府性基金预算支出决算情况说明.............................................20</w:t>
      </w:r>
    </w:p>
    <w:p>
      <w:pPr>
        <w:pStyle w:val="13"/>
        <w:adjustRightInd w:val="0"/>
        <w:snapToGrid w:val="0"/>
        <w:spacing w:line="440" w:lineRule="exact"/>
        <w:ind w:leftChars="0"/>
        <w:jc w:val="left"/>
        <w:rPr>
          <w:rFonts w:ascii="仿宋" w:hAnsi="仿宋"/>
          <w:sz w:val="24"/>
        </w:rPr>
      </w:pPr>
      <w:r>
        <w:rPr>
          <w:rFonts w:hint="eastAsia" w:ascii="仿宋" w:hAnsi="仿宋" w:eastAsia="仿宋"/>
          <w:sz w:val="24"/>
        </w:rPr>
        <w:t>九、</w:t>
      </w:r>
      <w:r>
        <w:rPr>
          <w:sz w:val="24"/>
        </w:rPr>
        <w:t xml:space="preserve"> 国</w:t>
      </w:r>
      <w:r>
        <w:rPr>
          <w:rFonts w:hint="eastAsia"/>
          <w:sz w:val="24"/>
        </w:rPr>
        <w:t>有资本经营预算支出决算情况说明.......................................20</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rPr>
        <w:t>十、</w:t>
      </w:r>
      <w:r>
        <w:rPr>
          <w:rFonts w:hint="eastAsia"/>
          <w:sz w:val="24"/>
        </w:rPr>
        <w:t>其他重要事项的情况说明............................................................</w:t>
      </w:r>
      <w:r>
        <w:rPr>
          <w:rFonts w:hint="eastAsia" w:ascii="仿宋" w:hAnsi="仿宋" w:eastAsia="仿宋"/>
          <w:sz w:val="24"/>
        </w:rPr>
        <w:t>20</w:t>
      </w:r>
    </w:p>
    <w:p>
      <w:pPr>
        <w:pStyle w:val="12"/>
        <w:adjustRightInd w:val="0"/>
        <w:snapToGrid w:val="0"/>
        <w:spacing w:before="0" w:line="440" w:lineRule="exact"/>
        <w:jc w:val="left"/>
        <w:rPr>
          <w:rFonts w:cstheme="minorBidi"/>
          <w:sz w:val="24"/>
          <w:szCs w:val="24"/>
        </w:rPr>
      </w:pPr>
      <w:r>
        <w:rPr>
          <w:rFonts w:hint="eastAsia"/>
          <w:sz w:val="24"/>
        </w:rPr>
        <w:t>第三部分名词解释</w:t>
      </w:r>
      <w:r>
        <w:rPr>
          <w:rFonts w:hint="eastAsia" w:cstheme="minorBidi"/>
          <w:sz w:val="24"/>
          <w:szCs w:val="24"/>
        </w:rPr>
        <w:t>...........................................22</w:t>
      </w:r>
    </w:p>
    <w:p>
      <w:pPr>
        <w:pStyle w:val="13"/>
        <w:adjustRightInd w:val="0"/>
        <w:snapToGrid w:val="0"/>
        <w:spacing w:line="440" w:lineRule="exact"/>
        <w:jc w:val="left"/>
        <w:rPr>
          <w:rFonts w:ascii="仿宋" w:hAnsi="仿宋" w:cstheme="minorBidi"/>
          <w:sz w:val="24"/>
        </w:rPr>
      </w:pPr>
      <w:r>
        <w:rPr>
          <w:rFonts w:hint="eastAsia"/>
          <w:sz w:val="24"/>
        </w:rPr>
        <w:t>附件</w:t>
      </w:r>
      <w:r>
        <w:rPr>
          <w:sz w:val="24"/>
        </w:rPr>
        <w:t>1</w:t>
      </w:r>
      <w:r>
        <w:rPr>
          <w:rFonts w:hint="eastAsia"/>
          <w:sz w:val="24"/>
        </w:rPr>
        <w:t>.....................................................................................................26</w:t>
      </w:r>
    </w:p>
    <w:p>
      <w:pPr>
        <w:pStyle w:val="13"/>
        <w:adjustRightInd w:val="0"/>
        <w:snapToGrid w:val="0"/>
        <w:spacing w:line="440" w:lineRule="exact"/>
        <w:jc w:val="left"/>
        <w:rPr>
          <w:rFonts w:ascii="仿宋" w:hAnsi="仿宋" w:cstheme="minorBidi"/>
          <w:sz w:val="24"/>
        </w:rPr>
      </w:pPr>
      <w:r>
        <w:rPr>
          <w:rFonts w:hint="eastAsia"/>
          <w:sz w:val="24"/>
        </w:rPr>
        <w:t>附件</w:t>
      </w:r>
      <w:r>
        <w:rPr>
          <w:sz w:val="24"/>
        </w:rPr>
        <w:t>2</w:t>
      </w:r>
      <w:r>
        <w:rPr>
          <w:rFonts w:hint="eastAsia"/>
          <w:sz w:val="24"/>
        </w:rPr>
        <w:t>.....................................................................................................31</w:t>
      </w:r>
    </w:p>
    <w:p>
      <w:pPr>
        <w:pStyle w:val="12"/>
        <w:adjustRightInd w:val="0"/>
        <w:snapToGrid w:val="0"/>
        <w:spacing w:before="0" w:line="440" w:lineRule="exact"/>
        <w:jc w:val="left"/>
        <w:rPr>
          <w:rFonts w:cstheme="minorBidi"/>
          <w:sz w:val="24"/>
          <w:szCs w:val="24"/>
        </w:rPr>
      </w:pPr>
      <w:r>
        <w:rPr>
          <w:rFonts w:hint="eastAsia"/>
          <w:sz w:val="24"/>
        </w:rPr>
        <w:t>第五部分附表...............................................35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一、</w:t>
      </w:r>
      <w:r>
        <w:rPr>
          <w:rFonts w:hint="eastAsia"/>
          <w:sz w:val="24"/>
        </w:rPr>
        <w:t>收入支出决算总表...........................................................................35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四、</w:t>
      </w:r>
      <w:r>
        <w:rPr>
          <w:rFonts w:hint="eastAsia"/>
          <w:sz w:val="24"/>
        </w:rPr>
        <w:t>财政拨款收入支出决算总表................................................................35</w:t>
      </w:r>
    </w:p>
    <w:p>
      <w:pPr>
        <w:pStyle w:val="13"/>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六、</w:t>
      </w:r>
      <w:r>
        <w:rPr>
          <w:rFonts w:hint="eastAsia"/>
          <w:sz w:val="24"/>
        </w:rPr>
        <w:t>一般公共预算财政拨款支出决算表.........................................................35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七、</w:t>
      </w:r>
      <w:r>
        <w:rPr>
          <w:rFonts w:hint="eastAsia"/>
          <w:sz w:val="24"/>
        </w:rPr>
        <w:t>一般公共预算财政拨款支出决算明表......................................................35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八、</w:t>
      </w:r>
      <w:r>
        <w:rPr>
          <w:rFonts w:hint="eastAsia"/>
          <w:sz w:val="24"/>
        </w:rPr>
        <w:t>一般公共预算财政拨款基本支出决表........................................................35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九、</w:t>
      </w:r>
      <w:r>
        <w:rPr>
          <w:rFonts w:hint="eastAsia"/>
          <w:sz w:val="24"/>
        </w:rPr>
        <w:t>一般公共预算财政拨款项目支出决算表.................................................35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十、</w:t>
      </w:r>
      <w:r>
        <w:rPr>
          <w:rFonts w:hint="eastAsia"/>
          <w:sz w:val="24"/>
        </w:rPr>
        <w:t>一般公共预算财政拨款“三公”经费支出决算表...................................35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十一、</w:t>
      </w:r>
      <w:r>
        <w:rPr>
          <w:rFonts w:hint="eastAsia"/>
          <w:sz w:val="24"/>
        </w:rPr>
        <w:t>政府性基金预算财政拨款收入支出决算表.........................................35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十二、</w:t>
      </w:r>
      <w:r>
        <w:rPr>
          <w:rFonts w:hint="eastAsia"/>
          <w:sz w:val="24"/>
        </w:rPr>
        <w:t>政府性基金预算财政拨款“三公”经费支出决算表............................35</w:t>
      </w:r>
    </w:p>
    <w:p>
      <w:pPr>
        <w:pStyle w:val="13"/>
        <w:adjustRightInd w:val="0"/>
        <w:snapToGrid w:val="0"/>
        <w:spacing w:line="440" w:lineRule="exact"/>
        <w:jc w:val="left"/>
        <w:rPr>
          <w:rFonts w:ascii="仿宋" w:hAnsi="仿宋" w:cstheme="minorBidi"/>
          <w:sz w:val="24"/>
        </w:rPr>
      </w:pPr>
      <w:r>
        <w:rPr>
          <w:rFonts w:hint="eastAsia" w:ascii="仿宋" w:hAnsi="仿宋" w:eastAsia="仿宋"/>
          <w:sz w:val="24"/>
        </w:rPr>
        <w:t>十三、</w:t>
      </w:r>
      <w:r>
        <w:rPr>
          <w:rFonts w:hint="eastAsia"/>
          <w:sz w:val="24"/>
        </w:rPr>
        <w:t>国有资本经营预算支出决表....................................................................35</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7"/>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5"/>
        <w:adjustRightIn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7199"/>
      <w:bookmarkStart w:id="19" w:name="_Toc15378446"/>
    </w:p>
    <w:p>
      <w:pPr>
        <w:pStyle w:val="5"/>
        <w:adjustRightIn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贯彻执行党和国家关于卫生计生工作的方针、政策、法律、法规以及省、州、县党委、政府关于卫生计生工作的决策部署，制定全县卫生计生事业发展规划，统筹规划全县卫生计生资源配置，指导全县卫生计生工作。</w:t>
      </w:r>
    </w:p>
    <w:p>
      <w:pPr>
        <w:pStyle w:val="5"/>
        <w:adjustRightIn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贯彻实施党和国家医药卫生体制改革政策和国家药物政策及国家基本药物制度，执行国家基本药物目录以及我省药品增补目录，执行基本药物采购、配送、使用的政策措施。贯彻中西医并重的方针，发展我县中藏医事业。</w:t>
      </w:r>
    </w:p>
    <w:p>
      <w:pPr>
        <w:pStyle w:val="5"/>
        <w:adjustRightIn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3、贯彻实施职责范围内的职业卫生、放射卫生、环境卫生、学校卫生、公共场所卫生、饮用水卫生管理规范、标准和政策措施，组织开展相关监测、调查、评估和监督。</w:t>
      </w:r>
    </w:p>
    <w:p>
      <w:pPr>
        <w:pStyle w:val="5"/>
        <w:adjustRightIn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4、负责制定全县卫生应急预案、突发公共卫生事件监测和风险评估，组织和指导全县突发公共卫生事件预防控制和各类突发公共事件的医疗卫生救援。</w:t>
      </w:r>
    </w:p>
    <w:p>
      <w:pPr>
        <w:pStyle w:val="5"/>
        <w:adjustRightIn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组织实施促进全县出生人口性别平衡的政策措施，组织监测计划生育发展动态，负责全县计划生育相关数据采集和分析研究，提出发布计划生育安全预警预报信息建议，制定计划生育技术服务管理制度并监督实施，制定优生优育和提高出生人口素质的政策措施并组织实施，推动实施计划生育生殖健康促进计划，降低出生缺陷人口数量。</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实施“三项制度”，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7、制定我县实施流动人口计划生育服务管理制度并组织落实，推动建立流动人口卫生计生信息共享与公共服务工作机制。</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8、负责组织拟订并实施基层卫生和妇幼卫生、计划生育服务发展规划和政策措施，指导全县基层卫生和妇幼卫生、计划生育服务体系建设，推进基本公共卫生计生服务均等化，完善乡村医生管理制度。</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9、组织实施全县医疗机构及医疗服务全行业管理办法、及医疗服务、医疗技术、医疗质量、医疗安全管的规范、标准，会同有关部门贯彻执行国家卫生计生专业技术人员准入、资格标准。制定和实施卫生计生专业技术人员执业规则和服务规范，建立医疗服务评价和监督管理体系。</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10、负责卫生计生政策宣传、全民健康教育、健康促进等工作。依法组织实施统计调查，开展全县人口基础信息库建设。</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11、负责全县卫生计生系统的人力资源管理工作，组织拟订全县卫生计生人才和科技发展规划。加强继续医学教育工作，组织实施卫生计生业务培训，贯彻落实国家住院医师和专科医师规范化培训制度，积极推广卫生计生适宜技术。</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12、完善卫生计生综合监督执法体系，规范卫生计生行政执法行为，监督检查有关法律法规和政策措施的落实，组织查处重大违法行为，监督落实计划生育一票否决制。</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13、负责新型农村合作医疗的实施、监督和管理。</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14、负责建立公益性导向的绩效考核和评价运行机制，推进和谐医患关系建设。</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15、承担县爱国卫生运动委员会、县医药卫生体制改革领导小组、县献血领导小组日常工作。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16、承担重大传染病防治工作领导小组、地方病及病害防治工作领导小组日常工作。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17、负责全县医疗机构、从业人员、医疗技术运用、大型医疗设备等医疗服务要素准入的监督管理。承担卫生计生行政审批、行政许可事项。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10"/>
        <w:spacing w:line="560" w:lineRule="exact"/>
        <w:ind w:left="0" w:leftChars="0" w:firstLine="643"/>
        <w:rPr>
          <w:rFonts w:ascii="楷体" w:hAnsi="楷体" w:eastAsia="楷体" w:cs="楷体"/>
          <w:b/>
          <w:bCs/>
          <w:color w:val="000000"/>
          <w:sz w:val="32"/>
          <w:szCs w:val="32"/>
        </w:rPr>
      </w:pPr>
      <w:r>
        <w:rPr>
          <w:rFonts w:hint="eastAsia" w:ascii="楷体" w:hAnsi="楷体" w:eastAsia="楷体" w:cs="楷体"/>
          <w:b/>
          <w:bCs/>
          <w:color w:val="000000"/>
          <w:sz w:val="32"/>
          <w:szCs w:val="32"/>
        </w:rPr>
        <w:t>1、妇幼计生工作不断加强</w:t>
      </w:r>
    </w:p>
    <w:p>
      <w:pPr>
        <w:tabs>
          <w:tab w:val="left" w:pos="7020"/>
          <w:tab w:val="left" w:pos="7560"/>
        </w:tabs>
        <w:spacing w:line="560" w:lineRule="exact"/>
        <w:ind w:firstLine="643" w:firstLineChars="200"/>
        <w:rPr>
          <w:rFonts w:ascii="仿宋_GB2312" w:eastAsia="仿宋_GB2312"/>
          <w:sz w:val="32"/>
          <w:szCs w:val="32"/>
        </w:rPr>
      </w:pPr>
      <w:r>
        <w:rPr>
          <w:rFonts w:hint="eastAsia" w:ascii="仿宋_GB2312" w:eastAsia="仿宋_GB2312"/>
          <w:b/>
          <w:bCs/>
          <w:sz w:val="32"/>
          <w:szCs w:val="32"/>
        </w:rPr>
        <w:t>一是</w:t>
      </w:r>
      <w:r>
        <w:rPr>
          <w:rFonts w:hint="eastAsia" w:ascii="仿宋_GB2312" w:eastAsia="仿宋_GB2312"/>
          <w:sz w:val="32"/>
          <w:szCs w:val="32"/>
        </w:rPr>
        <w:t>2019年上半年婴儿死亡2人、死亡率6.43‰，全县3岁以下儿童为2600人，系统管理2189人，系统管理率84.19%，孕产妇死亡0例，住院分娩276人，住院分娩率88.7%，孕产妇系统管理150人，管理率81.96%。</w:t>
      </w:r>
    </w:p>
    <w:p>
      <w:pPr>
        <w:tabs>
          <w:tab w:val="left" w:pos="7020"/>
          <w:tab w:val="left" w:pos="7560"/>
        </w:tabs>
        <w:spacing w:line="560" w:lineRule="exact"/>
        <w:ind w:firstLine="643" w:firstLineChars="200"/>
        <w:rPr>
          <w:rFonts w:ascii="仿宋_GB2312" w:hAnsi="宋体" w:eastAsia="仿宋_GB2312"/>
          <w:sz w:val="32"/>
          <w:szCs w:val="32"/>
        </w:rPr>
      </w:pPr>
      <w:r>
        <w:rPr>
          <w:rFonts w:hint="eastAsia" w:ascii="仿宋_GB2312" w:eastAsia="仿宋_GB2312"/>
          <w:b/>
          <w:bCs/>
          <w:sz w:val="32"/>
          <w:szCs w:val="32"/>
        </w:rPr>
        <w:t>二是</w:t>
      </w:r>
      <w:r>
        <w:rPr>
          <w:rFonts w:hint="eastAsia" w:ascii="仿宋_GB2312" w:eastAsia="仿宋_GB2312"/>
          <w:sz w:val="32"/>
          <w:szCs w:val="32"/>
        </w:rPr>
        <w:t>截至目前，共计完成免费孕前优生优育检查199对（全年目标对数134对）。免费婚前医学健康284对（全年目标对数70对）。</w:t>
      </w:r>
    </w:p>
    <w:p>
      <w:pPr>
        <w:spacing w:line="560" w:lineRule="exact"/>
        <w:ind w:firstLine="643" w:firstLineChars="200"/>
        <w:rPr>
          <w:rFonts w:ascii="楷体" w:hAnsi="楷体" w:eastAsia="楷体" w:cs="楷体"/>
          <w:b/>
          <w:bCs/>
          <w:color w:val="000000"/>
          <w:sz w:val="32"/>
          <w:szCs w:val="32"/>
        </w:rPr>
      </w:pPr>
      <w:r>
        <w:rPr>
          <w:rFonts w:hint="eastAsia" w:ascii="仿宋_GB2312" w:hAnsi="宋体" w:eastAsia="仿宋_GB2312"/>
          <w:b/>
          <w:sz w:val="32"/>
          <w:szCs w:val="32"/>
        </w:rPr>
        <w:t>三是</w:t>
      </w:r>
      <w:r>
        <w:rPr>
          <w:rFonts w:hint="eastAsia" w:ascii="仿宋_GB2312" w:hAnsi="宋体" w:eastAsia="仿宋_GB2312"/>
          <w:bCs/>
          <w:sz w:val="32"/>
          <w:szCs w:val="32"/>
        </w:rPr>
        <w:t>截止目前，完成妇</w:t>
      </w:r>
      <w:r>
        <w:rPr>
          <w:rFonts w:hint="eastAsia" w:ascii="仿宋_GB2312" w:hAnsi="宋体" w:eastAsia="仿宋_GB2312"/>
          <w:sz w:val="32"/>
          <w:szCs w:val="32"/>
        </w:rPr>
        <w:t>女病普查1023人，完成率64%。</w:t>
      </w:r>
      <w:r>
        <w:rPr>
          <w:rFonts w:hint="eastAsia" w:ascii="仿宋_GB2312" w:hAnsi="宋体" w:eastAsia="仿宋_GB2312"/>
          <w:color w:val="000000"/>
          <w:sz w:val="32"/>
          <w:szCs w:val="32"/>
          <w:shd w:val="clear" w:color="auto" w:fill="FFFFFF"/>
        </w:rPr>
        <w:t>完成35-64岁宫颈癌筛查615人，完成率102.5%。</w:t>
      </w:r>
    </w:p>
    <w:p>
      <w:pPr>
        <w:pStyle w:val="10"/>
        <w:spacing w:line="560" w:lineRule="exact"/>
        <w:ind w:left="0" w:leftChars="0" w:firstLine="642" w:firstLineChars="0"/>
        <w:rPr>
          <w:rFonts w:ascii="楷体" w:hAnsi="楷体" w:eastAsia="楷体" w:cs="楷体"/>
          <w:b/>
          <w:bCs/>
          <w:color w:val="000000"/>
          <w:sz w:val="32"/>
          <w:szCs w:val="32"/>
        </w:rPr>
      </w:pPr>
      <w:r>
        <w:rPr>
          <w:rFonts w:hint="eastAsia" w:ascii="楷体" w:hAnsi="楷体" w:eastAsia="楷体" w:cs="楷体"/>
          <w:b/>
          <w:bCs/>
          <w:color w:val="000000"/>
          <w:sz w:val="32"/>
          <w:szCs w:val="32"/>
        </w:rPr>
        <w:t>2、疾病预防控制扎实有效</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包虫病防治。完成包虫B超筛查5948人（其中包括儿童筛查2657人）；新发病人1例，死亡1人，现有患病人数208人。手术补助治疗病人13人。对全县208名包虫病患者进行免费药物治疗；对208名患者开展了一次疗效考核。</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艾滋病防治。截止目前全县HIV检测7033人次（包含：自愿监测、健康体检、普通人群筛查），人群检测率17.37%，发现并确诊 HIV阳性4例；配偶检测2人，检测率100%;接受结核病检测13人，检测率100%；</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结核病防治。紧紧围绕“高发现率”“高治愈率”环节，全面落实现代结核病防治工作策略。对确诊的肺结核病患者规范管理，管理率100%，县医院网络收治管理13例。</w:t>
      </w:r>
    </w:p>
    <w:p>
      <w:pPr>
        <w:pStyle w:val="10"/>
        <w:spacing w:line="560" w:lineRule="exact"/>
        <w:ind w:left="0" w:leftChars="0" w:firstLine="642" w:firstLineChars="0"/>
        <w:rPr>
          <w:rFonts w:ascii="楷体" w:hAnsi="楷体" w:eastAsia="楷体" w:cs="楷体"/>
          <w:b/>
          <w:bCs/>
          <w:color w:val="000000"/>
          <w:sz w:val="32"/>
          <w:szCs w:val="32"/>
        </w:rPr>
      </w:pPr>
      <w:r>
        <w:rPr>
          <w:rFonts w:hint="eastAsia" w:ascii="楷体" w:hAnsi="楷体" w:eastAsia="楷体" w:cs="楷体"/>
          <w:b/>
          <w:bCs/>
          <w:color w:val="000000"/>
          <w:sz w:val="32"/>
          <w:szCs w:val="32"/>
        </w:rPr>
        <w:t>3、等级达标创建稳步开展</w:t>
      </w:r>
    </w:p>
    <w:p>
      <w:pPr>
        <w:pStyle w:val="10"/>
        <w:tabs>
          <w:tab w:val="left" w:pos="960"/>
        </w:tabs>
        <w:spacing w:line="560" w:lineRule="exact"/>
        <w:ind w:left="0" w:leftChars="0" w:firstLine="643"/>
        <w:rPr>
          <w:rFonts w:ascii="黑体" w:hAnsi="黑体" w:eastAsia="黑体" w:cs="黑体"/>
          <w:kern w:val="0"/>
          <w:sz w:val="32"/>
          <w:szCs w:val="32"/>
        </w:rPr>
      </w:pPr>
      <w:r>
        <w:rPr>
          <w:rFonts w:hint="eastAsia" w:ascii="仿宋_GB2312" w:hAnsi="仿宋_GB2312" w:eastAsia="仿宋_GB2312" w:cs="仿宋_GB2312"/>
          <w:b/>
          <w:bCs/>
          <w:color w:val="000000"/>
          <w:sz w:val="32"/>
          <w:szCs w:val="32"/>
        </w:rPr>
        <w:t xml:space="preserve"> 一是</w:t>
      </w:r>
      <w:r>
        <w:rPr>
          <w:rFonts w:hint="eastAsia" w:ascii="仿宋_GB2312" w:hAnsi="仿宋_GB2312" w:eastAsia="仿宋_GB2312" w:cs="仿宋_GB2312"/>
          <w:kern w:val="0"/>
          <w:sz w:val="32"/>
          <w:szCs w:val="32"/>
        </w:rPr>
        <w:t>中藏医院创二甲工作。我县中藏医院创二甲工作于2019年1月18日启动，并于2019年7月11日-13日接受了对口支援单位苍溪县中医医院专家组的现场评审和指导。2019年8月21日由州卫健委副主任林杨带队组织专家到藏医院进行等级创建调研，针对存在的问题提出了具体的整改意见。在中</w:t>
      </w:r>
      <w:r>
        <w:rPr>
          <w:rFonts w:hint="eastAsia" w:ascii="仿宋_GB2312" w:eastAsia="仿宋_GB2312"/>
          <w:sz w:val="32"/>
          <w:szCs w:val="32"/>
        </w:rPr>
        <w:t>藏医院全体职工的共同努力下，已顺利通过</w:t>
      </w:r>
      <w:r>
        <w:rPr>
          <w:rFonts w:hint="eastAsia" w:ascii="仿宋_GB2312" w:hAnsi="仿宋_GB2312" w:eastAsia="仿宋_GB2312" w:cs="仿宋_GB2312"/>
          <w:kern w:val="0"/>
          <w:sz w:val="32"/>
          <w:szCs w:val="32"/>
        </w:rPr>
        <w:t>省州专家评审。</w:t>
      </w:r>
      <w:r>
        <w:rPr>
          <w:rFonts w:ascii="宋体" w:hAnsi="宋体" w:cs="宋体"/>
          <w:kern w:val="0"/>
          <w:sz w:val="24"/>
        </w:rPr>
        <w:t xml:space="preserve"> </w:t>
      </w:r>
    </w:p>
    <w:p>
      <w:pPr>
        <w:pStyle w:val="10"/>
        <w:tabs>
          <w:tab w:val="left" w:pos="960"/>
        </w:tabs>
        <w:spacing w:line="560" w:lineRule="exact"/>
        <w:ind w:left="0" w:leftChars="0" w:firstLine="643"/>
        <w:rPr>
          <w:rFonts w:ascii="楷体" w:hAnsi="楷体" w:eastAsia="楷体" w:cs="楷体"/>
          <w:b/>
          <w:bCs/>
          <w:color w:val="000000"/>
          <w:sz w:val="32"/>
          <w:szCs w:val="32"/>
        </w:rPr>
      </w:pP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妇计中心创二乙工作。壤塘县妇幼保健计划生育服务中心创二乙工作于2019年2月24日启动，并于2019年8月26日-28日接受了四川省妇幼保健机构评审办公室专家组的现场评审和指导，专家组通过查阅资料、查看现场、人员问询、技能考核等方式对保健院的发展方向、医疗保健质量、辖区妇幼健康业务和机构管理等方面共543项条款进行了全方位的检查。并针对存在的问题，提出了具体的整改意见，要求对存在的问题在3个月内整改完毕。9月初，县妇计中心立即着手整改，重新调整创建办成员、制定了组织架构图，签订了创建二级乙等妇幼保健院目标责任书，对标四川省二级妇幼保健院评审标准细则划分任务，通过妇计中心全院上下的共同努力11月28日至30日，迎接了省州专家评审，已顺利通过评审</w:t>
      </w:r>
      <w:r>
        <w:rPr>
          <w:rFonts w:hint="eastAsia" w:ascii="仿宋_GB2312" w:hAnsi="方正楷体_GB2312" w:eastAsia="仿宋_GB2312" w:cs="方正楷体_GB2312"/>
          <w:color w:val="333333"/>
          <w:sz w:val="32"/>
          <w:szCs w:val="32"/>
        </w:rPr>
        <w:t>。</w:t>
      </w:r>
    </w:p>
    <w:p>
      <w:pPr>
        <w:pStyle w:val="10"/>
        <w:tabs>
          <w:tab w:val="left" w:pos="960"/>
        </w:tabs>
        <w:spacing w:line="560" w:lineRule="exact"/>
        <w:ind w:left="640" w:leftChars="0" w:firstLine="0" w:firstLineChars="0"/>
        <w:rPr>
          <w:rFonts w:ascii="黑体" w:hAnsi="黑体" w:eastAsia="黑体" w:cs="黑体"/>
          <w:color w:val="000000"/>
          <w:sz w:val="32"/>
          <w:szCs w:val="32"/>
        </w:rPr>
      </w:pPr>
      <w:r>
        <w:rPr>
          <w:rFonts w:hint="eastAsia" w:ascii="黑体" w:hAnsi="黑体" w:eastAsia="黑体" w:cs="黑体"/>
          <w:color w:val="000000"/>
          <w:sz w:val="32"/>
          <w:szCs w:val="32"/>
        </w:rPr>
        <w:t xml:space="preserve"> </w:t>
      </w:r>
      <w:r>
        <w:rPr>
          <w:rFonts w:hint="eastAsia" w:ascii="楷体" w:hAnsi="楷体" w:eastAsia="楷体" w:cs="楷体"/>
          <w:b/>
          <w:bCs/>
          <w:color w:val="000000"/>
          <w:sz w:val="32"/>
          <w:szCs w:val="32"/>
        </w:rPr>
        <w:t>4、重点项目建设有序推进</w:t>
      </w:r>
    </w:p>
    <w:p>
      <w:pPr>
        <w:pStyle w:val="10"/>
        <w:tabs>
          <w:tab w:val="left" w:pos="960"/>
        </w:tabs>
        <w:spacing w:line="560" w:lineRule="exact"/>
        <w:ind w:left="0" w:leftChars="0" w:firstLine="643"/>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中藏医院门诊医技楼建设项目。2017年7月下达我县中藏医院门诊医技楼建设项目，建设规模3500平方米，建设性质为新建，总投资1500万元，资金来源中央预算内资金。2017年9月28日挂网招标，10月19日完成项目施工招标，中标公司为汶川柒建建筑工程有限公司，中标价1366.16万元，10月25日施工队进场开工，目前完成总工程量90%。</w:t>
      </w:r>
    </w:p>
    <w:p>
      <w:pPr>
        <w:pStyle w:val="10"/>
        <w:tabs>
          <w:tab w:val="left" w:pos="960"/>
        </w:tabs>
        <w:spacing w:line="560" w:lineRule="exact"/>
        <w:ind w:left="0" w:leftChars="0" w:firstLine="643"/>
        <w:rPr>
          <w:rFonts w:ascii="仿宋" w:hAnsi="仿宋" w:eastAsia="仿宋"/>
          <w:sz w:val="32"/>
          <w:szCs w:val="32"/>
        </w:rPr>
      </w:pPr>
      <w:r>
        <w:rPr>
          <w:rFonts w:hint="eastAsia" w:ascii="仿宋_GB2312" w:hAnsi="仿宋_GB2312" w:eastAsia="仿宋_GB2312" w:cs="仿宋_GB2312"/>
          <w:b/>
          <w:bCs/>
          <w:kern w:val="0"/>
          <w:sz w:val="32"/>
          <w:szCs w:val="32"/>
        </w:rPr>
        <w:t>二是</w:t>
      </w:r>
      <w:r>
        <w:rPr>
          <w:rFonts w:hint="eastAsia" w:ascii="仿宋_GB2312" w:hAnsi="仿宋_GB2312" w:eastAsia="仿宋_GB2312" w:cs="仿宋_GB2312"/>
          <w:kern w:val="0"/>
          <w:sz w:val="32"/>
          <w:szCs w:val="32"/>
        </w:rPr>
        <w:t>蒲西乡卫生院建设情况。</w:t>
      </w:r>
      <w:r>
        <w:rPr>
          <w:rFonts w:hint="eastAsia" w:ascii="仿宋" w:hAnsi="仿宋" w:eastAsia="仿宋"/>
          <w:sz w:val="32"/>
          <w:szCs w:val="32"/>
        </w:rPr>
        <w:t>该项目于2019年3月完成招投标，中标公司为四川京欣建设工程有限公司，中标价122.46万元，该项目已竣工未验收。</w:t>
      </w:r>
    </w:p>
    <w:p>
      <w:pPr>
        <w:pStyle w:val="10"/>
        <w:tabs>
          <w:tab w:val="left" w:pos="960"/>
        </w:tabs>
        <w:spacing w:line="560" w:lineRule="exact"/>
        <w:ind w:left="0" w:leftChars="0" w:firstLine="643"/>
        <w:rPr>
          <w:rFonts w:ascii="仿宋" w:hAnsi="仿宋" w:eastAsia="仿宋"/>
          <w:sz w:val="32"/>
          <w:szCs w:val="32"/>
        </w:rPr>
      </w:pPr>
      <w:r>
        <w:rPr>
          <w:rFonts w:hint="eastAsia" w:ascii="仿宋" w:hAnsi="仿宋" w:eastAsia="仿宋"/>
          <w:b/>
          <w:bCs/>
          <w:sz w:val="32"/>
          <w:szCs w:val="32"/>
        </w:rPr>
        <w:t>三是</w:t>
      </w:r>
      <w:r>
        <w:rPr>
          <w:rFonts w:hint="eastAsia" w:ascii="仿宋" w:hAnsi="仿宋" w:eastAsia="仿宋"/>
          <w:sz w:val="32"/>
          <w:szCs w:val="32"/>
        </w:rPr>
        <w:t>县人民医院门诊住院综合楼。2018年下达，总投资800万，建设性质改造，规模改造现有业务用房5300平方米，该项目于2018年8月开工，目前已竣工。</w:t>
      </w:r>
    </w:p>
    <w:p>
      <w:pPr>
        <w:pStyle w:val="10"/>
        <w:tabs>
          <w:tab w:val="left" w:pos="960"/>
        </w:tabs>
        <w:spacing w:line="560" w:lineRule="exact"/>
        <w:ind w:left="0" w:leftChars="0" w:firstLine="643"/>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四是</w:t>
      </w:r>
      <w:r>
        <w:rPr>
          <w:rFonts w:hint="eastAsia" w:ascii="仿宋_GB2312" w:hAnsi="仿宋_GB2312" w:eastAsia="仿宋_GB2312" w:cs="仿宋_GB2312"/>
          <w:kern w:val="0"/>
          <w:sz w:val="32"/>
          <w:szCs w:val="32"/>
        </w:rPr>
        <w:t>村卫生室建设情况。</w:t>
      </w:r>
      <w:r>
        <w:rPr>
          <w:rFonts w:hint="eastAsia" w:ascii="仿宋_GB2312" w:hAnsi="仿宋_GB2312" w:eastAsia="仿宋_GB2312" w:cs="仿宋_GB2312"/>
          <w:sz w:val="32"/>
          <w:szCs w:val="32"/>
        </w:rPr>
        <w:t>2019年脱贫村共11个，其中尕多乡尕多村、南木达镇南木达村、南木达镇直属村、岗木达乡岗木达村、中壤塘镇壤塘村，以上5个村均为乡镇卫生院所在地，不需建设村卫生室。其余需建设村卫生室共6个，包括：上杜柯西穷村卫生室、上杜柯鱼托村卫生室、吾依修卡村卫生室、石里二戈吾村卫生室、上壤塘康垄村卫生室、尕多昔郎村卫生室，目前该6个卫生室均已全部竣工并投入使用。</w:t>
      </w:r>
    </w:p>
    <w:p>
      <w:pPr>
        <w:pStyle w:val="10"/>
        <w:tabs>
          <w:tab w:val="left" w:pos="960"/>
        </w:tabs>
        <w:spacing w:line="560" w:lineRule="exact"/>
        <w:ind w:left="0" w:leftChars="0" w:firstLine="643"/>
        <w:rPr>
          <w:rFonts w:ascii="楷体" w:hAnsi="楷体" w:eastAsia="楷体" w:cs="楷体"/>
          <w:b/>
          <w:bCs/>
          <w:sz w:val="32"/>
          <w:szCs w:val="32"/>
        </w:rPr>
      </w:pPr>
      <w:r>
        <w:rPr>
          <w:rFonts w:hint="eastAsia" w:ascii="楷体" w:hAnsi="楷体" w:eastAsia="楷体" w:cs="楷体"/>
          <w:b/>
          <w:bCs/>
          <w:sz w:val="32"/>
          <w:szCs w:val="32"/>
        </w:rPr>
        <w:t>5、健康扶贫工作稳扎稳打</w:t>
      </w:r>
    </w:p>
    <w:p>
      <w:pPr>
        <w:spacing w:line="560" w:lineRule="exact"/>
        <w:ind w:firstLine="643" w:firstLineChars="200"/>
        <w:rPr>
          <w:rFonts w:ascii="仿宋_GB2312" w:hAnsi="仿宋_GB2312" w:eastAsia="仿宋_GB2312" w:cs="仿宋_GB2312"/>
          <w:sz w:val="32"/>
          <w:szCs w:val="32"/>
        </w:rPr>
      </w:pPr>
      <w:r>
        <w:rPr>
          <w:rFonts w:hint="eastAsia" w:eastAsia="仿宋_GB2312"/>
          <w:b/>
          <w:bCs/>
          <w:sz w:val="32"/>
          <w:szCs w:val="32"/>
        </w:rPr>
        <w:t>一是</w:t>
      </w:r>
      <w:r>
        <w:rPr>
          <w:rFonts w:hint="eastAsia" w:ascii="仿宋_GB2312" w:hAnsi="仿宋_GB2312" w:eastAsia="仿宋_GB2312" w:cs="仿宋_GB2312"/>
          <w:sz w:val="32"/>
          <w:szCs w:val="32"/>
        </w:rPr>
        <w:t>实施“十免四补助”。免</w:t>
      </w:r>
      <w:r>
        <w:rPr>
          <w:rFonts w:hint="eastAsia" w:eastAsia="仿宋_GB2312"/>
          <w:sz w:val="32"/>
          <w:szCs w:val="32"/>
        </w:rPr>
        <w:t>收贫困人口一般诊疗费60人次（0.048万元）、免收贫困人口院内会诊费30人次（0.06万元）；</w:t>
      </w:r>
      <w:r>
        <w:rPr>
          <w:rFonts w:hint="eastAsia" w:ascii="仿宋_GB2312" w:hAnsi="仿宋_GB2312" w:eastAsia="仿宋_GB2312" w:cs="仿宋_GB2312"/>
          <w:sz w:val="32"/>
          <w:szCs w:val="32"/>
        </w:rPr>
        <w:t>截止目前全县HIV检测7033人次（包含：自愿监测、健康体检、普通人群筛查），人群检测率17.37%，发现并确诊 HIV阳性4例；配偶检测2人，检测率100%;接受结核病检测13人，检测率100%；免费建档立卡贫困人口提供基本公共卫生服务1万余人次；免费提供妇幼健康服务907人次，其中安环术125例，安皮埋术83例，取环49人，取皮埋34人，计划生育补救措施19例，“两癌”筛查宫颈癌548人乳腺癌279人，妇女病普查1046人，婚检295对，孕优112对加3人，产检199人。</w:t>
      </w:r>
      <w:r>
        <w:rPr>
          <w:rFonts w:hint="eastAsia" w:eastAsia="仿宋_GB2312"/>
          <w:sz w:val="32"/>
          <w:szCs w:val="32"/>
        </w:rPr>
        <w:t>完成包虫B超筛查5948人（其中包括儿童筛查2657人）；新发病人1例，死亡1人，现有患病人数208人。手术补助治疗病人13人；</w:t>
      </w:r>
      <w:r>
        <w:rPr>
          <w:rFonts w:hint="eastAsia" w:ascii="仿宋_GB2312" w:eastAsia="仿宋_GB2312"/>
          <w:sz w:val="32"/>
          <w:szCs w:val="32"/>
        </w:rPr>
        <w:t>对全县208名包虫病患者进行免费药物治疗</w:t>
      </w:r>
      <w:r>
        <w:rPr>
          <w:rFonts w:eastAsia="仿宋_GB2312"/>
          <w:sz w:val="32"/>
          <w:szCs w:val="32"/>
        </w:rPr>
        <w:t>。</w:t>
      </w:r>
      <w:r>
        <w:rPr>
          <w:rFonts w:hint="eastAsia" w:ascii="仿宋_GB2312" w:hAnsi="仿宋_GB2312" w:eastAsia="仿宋_GB2312" w:cs="仿宋_GB2312"/>
          <w:sz w:val="32"/>
          <w:szCs w:val="32"/>
        </w:rPr>
        <w:t>在医院开通了建档立卡贫困人口孕产妇就医绿色通道，认真贯彻落实“十免四补助”，贫困孕产妇县域内住院分娩实行“零支付”。截至目前，全县建档立卡贫困孕产妇住院分娩99人次，产生医疗费用共计337235.23元。其中：基本医保报销100689.76 元、大病保险报销397.79元、医疗救助22814.11元，卫生扶贫救助基金报销213333.58元。</w:t>
      </w:r>
    </w:p>
    <w:p>
      <w:pPr>
        <w:spacing w:line="560" w:lineRule="exact"/>
        <w:ind w:firstLine="643" w:firstLineChars="200"/>
        <w:rPr>
          <w:rFonts w:ascii="仿宋_GB2312" w:hAnsi="仿宋_GB2312" w:eastAsia="仿宋_GB2312" w:cs="仿宋_GB2312"/>
          <w:sz w:val="32"/>
          <w:szCs w:val="32"/>
        </w:rPr>
      </w:pPr>
      <w:r>
        <w:rPr>
          <w:rFonts w:hint="eastAsia" w:eastAsia="仿宋_GB2312"/>
          <w:b/>
          <w:bCs/>
          <w:sz w:val="32"/>
          <w:szCs w:val="32"/>
        </w:rPr>
        <w:t>二是</w:t>
      </w:r>
      <w:r>
        <w:rPr>
          <w:rFonts w:hint="eastAsia" w:ascii="仿宋_GB2312" w:hAnsi="仿宋_GB2312" w:eastAsia="仿宋_GB2312" w:cs="仿宋_GB2312"/>
          <w:sz w:val="32"/>
          <w:szCs w:val="32"/>
        </w:rPr>
        <w:t>三个一批。大病集中救治一批：需救治人数187人，已救治人数187人，救治进展100%，累计救治次数207次；慢病签约服务一批：需救治人数182人，已救治人数182人，救治进展100%，累计救治次数184次；重病兜底保障一批：需救治人数971人，已救治人数969人，救治进展99.8%，累计救治次数1126次。</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家庭医生签约服务全覆盖。常住人口41900人，签约25274人，签约率60.32%；0-6岁儿童数2845名，签约1557名，签约率54.73%；已管理高血压人数1185人，签约1046人，签约率88.27%；已管理结合糖尿病135人，签约93人，签约率68.89%；贫困人口签约服务率达到99％，在此基础上，各乡镇卫生院均对建档立卡贫困人口中的慢性病重症患者实行了规范化管理和个性化健康服务；强化便民服务措施，制订出台了先诊疗后付费工作方案，全县各医保定点医疗机构均设立了“贫困人口一站式服务窗口”，开通了就医绿色通道，人社局、民政局、卫计局和各定点医疗卫生机构密切配合，落实了针对农村贫困人口的“先诊疗后付费”和“一站式”结算制度。</w:t>
      </w:r>
    </w:p>
    <w:p>
      <w:pPr>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卫生人才培植行动。</w:t>
      </w:r>
      <w:r>
        <w:rPr>
          <w:rFonts w:hint="eastAsia" w:ascii="仿宋_GB2312" w:hAnsi="仿宋_GB2312" w:eastAsia="仿宋_GB2312" w:cs="仿宋_GB2312"/>
          <w:kern w:val="0"/>
          <w:sz w:val="32"/>
          <w:szCs w:val="32"/>
        </w:rPr>
        <w:t>截止目前，我局通过招考事业专业技术人员、直选紧缺专业等途径，招录医疗卫生专业技术人员15名。截止目前，我县已派出3名青年骨干到绵阳四0四医院进修6个月。1名业务骨干到绵阳三台县妇幼保健院进修6个月。</w:t>
      </w:r>
    </w:p>
    <w:p>
      <w:pPr>
        <w:spacing w:line="560" w:lineRule="exact"/>
        <w:ind w:firstLine="643" w:firstLineChars="200"/>
      </w:pPr>
      <w:r>
        <w:rPr>
          <w:rFonts w:hint="eastAsia" w:ascii="仿宋_GB2312" w:hAnsi="仿宋_GB2312" w:eastAsia="仿宋_GB2312" w:cs="仿宋_GB2312"/>
          <w:b/>
          <w:bCs/>
          <w:kern w:val="0"/>
          <w:sz w:val="32"/>
          <w:szCs w:val="32"/>
        </w:rPr>
        <w:t>五是</w:t>
      </w:r>
      <w:r>
        <w:rPr>
          <w:rFonts w:hint="eastAsia" w:ascii="仿宋_GB2312" w:hAnsi="仿宋_GB2312" w:eastAsia="仿宋_GB2312" w:cs="仿宋_GB2312"/>
          <w:kern w:val="0"/>
          <w:sz w:val="32"/>
          <w:szCs w:val="32"/>
        </w:rPr>
        <w:t>生育秩序整治行动。</w:t>
      </w:r>
      <w:r>
        <w:rPr>
          <w:rFonts w:hint="eastAsia" w:ascii="仿宋_GB2312" w:hAnsi="仿宋_GB2312" w:eastAsia="仿宋_GB2312" w:cs="仿宋_GB2312"/>
          <w:sz w:val="32"/>
          <w:szCs w:val="32"/>
        </w:rPr>
        <w:t>指导各乡镇人民政府完善了</w:t>
      </w:r>
      <w:r>
        <w:rPr>
          <w:rFonts w:eastAsia="仿宋_GB2312"/>
          <w:sz w:val="32"/>
          <w:szCs w:val="32"/>
        </w:rPr>
        <w:t>育龄妇女信息库</w:t>
      </w:r>
      <w:r>
        <w:rPr>
          <w:rFonts w:hint="eastAsia" w:eastAsia="仿宋_GB2312"/>
          <w:sz w:val="32"/>
          <w:szCs w:val="32"/>
        </w:rPr>
        <w:t>，</w:t>
      </w:r>
      <w:r>
        <w:rPr>
          <w:rFonts w:hint="eastAsia" w:ascii="仿宋_GB2312" w:hAnsi="仿宋_GB2312" w:eastAsia="仿宋_GB2312" w:cs="仿宋_GB2312"/>
          <w:sz w:val="32"/>
          <w:szCs w:val="32"/>
        </w:rPr>
        <w:t>从只登记达生育上限育龄妇女到育龄妇女100%全覆盖，便于育龄妇女孕环情检查及计划生育服务管理工作。</w:t>
      </w:r>
      <w:r>
        <w:rPr>
          <w:rFonts w:hint="eastAsia" w:ascii="仿宋_GB2312" w:eastAsia="仿宋_GB2312"/>
          <w:sz w:val="32"/>
          <w:szCs w:val="32"/>
        </w:rPr>
        <w:t>全县12个乡镇在重新建立了包村包户、一对一台账。截止9月</w:t>
      </w:r>
      <w:r>
        <w:rPr>
          <w:rFonts w:hint="eastAsia" w:ascii="仿宋_GB2312" w:eastAsia="仿宋_GB2312"/>
          <w:b/>
          <w:sz w:val="32"/>
          <w:szCs w:val="32"/>
        </w:rPr>
        <w:t>包村包户宣传动员</w:t>
      </w:r>
      <w:r>
        <w:rPr>
          <w:rFonts w:hint="eastAsia" w:ascii="仿宋_GB2312" w:hAnsi="宋体" w:eastAsia="仿宋_GB2312"/>
          <w:kern w:val="0"/>
          <w:sz w:val="32"/>
          <w:szCs w:val="32"/>
        </w:rPr>
        <w:t>全县应实行包村60个村，已实行395名乡村干部包村包户制，实行包户</w:t>
      </w:r>
      <w:r>
        <w:rPr>
          <w:rFonts w:hint="eastAsia" w:ascii="仿宋_GB2312" w:hAnsi="宋体" w:eastAsia="仿宋_GB2312"/>
          <w:color w:val="000000"/>
          <w:kern w:val="0"/>
          <w:sz w:val="32"/>
          <w:szCs w:val="32"/>
        </w:rPr>
        <w:t>1942</w:t>
      </w:r>
      <w:r>
        <w:rPr>
          <w:rFonts w:hint="eastAsia" w:ascii="仿宋_GB2312" w:hAnsi="宋体" w:eastAsia="仿宋_GB2312"/>
          <w:kern w:val="0"/>
          <w:sz w:val="32"/>
          <w:szCs w:val="32"/>
        </w:rPr>
        <w:t xml:space="preserve">户。 </w:t>
      </w:r>
      <w:r>
        <w:rPr>
          <w:rFonts w:hint="eastAsia" w:ascii="仿宋_GB2312" w:hAnsi="宋体" w:eastAsia="仿宋_GB2312"/>
          <w:b/>
          <w:kern w:val="0"/>
          <w:sz w:val="32"/>
          <w:szCs w:val="32"/>
        </w:rPr>
        <w:t>“一对一”技术服务</w:t>
      </w:r>
      <w:r>
        <w:rPr>
          <w:rFonts w:hint="eastAsia" w:ascii="仿宋_GB2312" w:hAnsi="宋体" w:eastAsia="仿宋_GB2312"/>
          <w:kern w:val="0"/>
          <w:sz w:val="32"/>
          <w:szCs w:val="32"/>
        </w:rPr>
        <w:t>全县应联系对象人数</w:t>
      </w:r>
      <w:r>
        <w:rPr>
          <w:rFonts w:hint="eastAsia" w:ascii="仿宋_GB2312" w:hAnsi="宋体" w:eastAsia="仿宋_GB2312"/>
          <w:color w:val="000000"/>
          <w:kern w:val="0"/>
          <w:sz w:val="32"/>
          <w:szCs w:val="32"/>
        </w:rPr>
        <w:t>1942</w:t>
      </w:r>
      <w:r>
        <w:rPr>
          <w:rFonts w:hint="eastAsia" w:ascii="仿宋_GB2312" w:hAnsi="宋体" w:eastAsia="仿宋_GB2312"/>
          <w:kern w:val="0"/>
          <w:sz w:val="32"/>
          <w:szCs w:val="32"/>
        </w:rPr>
        <w:t>人，67名专业技术人员已“一对一”服务联系对象</w:t>
      </w:r>
      <w:r>
        <w:rPr>
          <w:rFonts w:hint="eastAsia" w:ascii="仿宋_GB2312" w:hAnsi="宋体" w:eastAsia="仿宋_GB2312"/>
          <w:color w:val="000000"/>
          <w:kern w:val="0"/>
          <w:sz w:val="32"/>
          <w:szCs w:val="32"/>
        </w:rPr>
        <w:t>1942</w:t>
      </w:r>
      <w:r>
        <w:rPr>
          <w:rFonts w:hint="eastAsia" w:ascii="仿宋_GB2312" w:hAnsi="宋体" w:eastAsia="仿宋_GB2312"/>
          <w:kern w:val="0"/>
          <w:sz w:val="32"/>
          <w:szCs w:val="32"/>
        </w:rPr>
        <w:t>人。</w:t>
      </w:r>
      <w:r>
        <w:rPr>
          <w:rFonts w:hint="eastAsia" w:ascii="仿宋_GB2312" w:eastAsia="仿宋_GB2312"/>
          <w:kern w:val="0"/>
          <w:sz w:val="32"/>
          <w:szCs w:val="32"/>
        </w:rPr>
        <w:t>全县应落实长效节育措施</w:t>
      </w:r>
      <w:r>
        <w:rPr>
          <w:rFonts w:hint="eastAsia" w:ascii="仿宋_GB2312" w:eastAsia="仿宋_GB2312"/>
          <w:color w:val="000000"/>
          <w:kern w:val="0"/>
          <w:sz w:val="32"/>
          <w:szCs w:val="32"/>
        </w:rPr>
        <w:t>1942人，已落实1601人，落实率82%</w:t>
      </w:r>
      <w:r>
        <w:rPr>
          <w:rFonts w:hint="eastAsia" w:ascii="仿宋_GB2312" w:eastAsia="仿宋_GB2312"/>
          <w:kern w:val="0"/>
          <w:sz w:val="32"/>
          <w:szCs w:val="32"/>
        </w:rPr>
        <w:t>（生育三孩及三孩以上育龄妇女）。</w:t>
      </w:r>
      <w:r>
        <w:rPr>
          <w:rFonts w:hint="eastAsia" w:ascii="仿宋_GB2312" w:eastAsia="仿宋_GB2312"/>
          <w:color w:val="000000"/>
          <w:sz w:val="32"/>
          <w:szCs w:val="32"/>
        </w:rPr>
        <w:t>制作生育秩序整治作战图，包村包户明白卡，发放通俗易懂的、针对性强的计划生育政策宣传单，</w:t>
      </w:r>
      <w:r>
        <w:rPr>
          <w:rFonts w:hint="eastAsia" w:ascii="仿宋_GB2312" w:eastAsia="仿宋_GB2312"/>
          <w:kern w:val="0"/>
          <w:sz w:val="32"/>
          <w:szCs w:val="32"/>
        </w:rPr>
        <w:t>进一步强化宣传效果、压实工作责任</w:t>
      </w:r>
      <w:r>
        <w:rPr>
          <w:rFonts w:hint="eastAsia" w:ascii="仿宋_GB2312" w:eastAsia="仿宋_GB2312"/>
          <w:color w:val="000000"/>
          <w:sz w:val="32"/>
          <w:szCs w:val="32"/>
        </w:rPr>
        <w:t>。</w:t>
      </w:r>
    </w:p>
    <w:p>
      <w:pPr>
        <w:pStyle w:val="3"/>
        <w:rPr>
          <w:rStyle w:val="2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pStyle w:val="5"/>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壤塘县卫生和计划生育局下属二级单位19个，其中行政单位1个，参照公务员法管理的事业单位</w:t>
      </w:r>
      <w:r>
        <w:rPr>
          <w:rFonts w:hint="eastAsia" w:ascii="仿宋" w:hAnsi="仿宋" w:eastAsia="仿宋"/>
          <w:bCs/>
          <w:sz w:val="32"/>
          <w:szCs w:val="32"/>
        </w:rPr>
        <w:t>1</w:t>
      </w:r>
      <w:r>
        <w:rPr>
          <w:rFonts w:hint="eastAsia" w:ascii="仿宋" w:hAnsi="仿宋" w:eastAsia="仿宋"/>
          <w:sz w:val="32"/>
          <w:szCs w:val="32"/>
        </w:rPr>
        <w:t>个，其他事业单位17个。</w:t>
      </w:r>
    </w:p>
    <w:p>
      <w:pPr>
        <w:widowControl/>
        <w:jc w:val="left"/>
        <w:rPr>
          <w:rFonts w:ascii="仿宋" w:hAnsi="仿宋" w:eastAsia="仿宋"/>
          <w:color w:val="000000"/>
          <w:kern w:val="0"/>
          <w:sz w:val="32"/>
          <w:szCs w:val="32"/>
        </w:rPr>
      </w:pPr>
      <w:r>
        <w:rPr>
          <w:rFonts w:hint="eastAsia" w:ascii="仿宋" w:hAnsi="仿宋" w:eastAsia="仿宋"/>
          <w:color w:val="000000"/>
          <w:kern w:val="0"/>
          <w:sz w:val="32"/>
          <w:szCs w:val="32"/>
        </w:rPr>
        <w:t>纳入壤塘县卫生和计划生育局2018年度部门决算编制范围的二级预算单位包括：包括壤塘县卫生和计划生育监督执法大队、壤塘县疾病预防控制中心、壤塘县妇幼保健计划生育服务中心、壤塘县人民医院、壤塘县藏医院、壤塘县上寨中心卫生院、壤塘县蒲西卫生院、壤塘县宗科乡卫生院、壤塘县石里乡卫生院、壤塘县吾依乡卫生院、壤塘县岗木达乡卫生院、壤塘县上杜柯乡卫生院、壤塘县南木达乡卫生院、茸木达乡卫生院、尕多乡卫生院、中壤塘乡卫生院、上壤塘乡卫生院、壤塘县壤柯镇社区卫生服务中心。</w:t>
      </w:r>
      <w:bookmarkStart w:id="22" w:name="_Toc15377204"/>
      <w:bookmarkStart w:id="23" w:name="_Toc15396602"/>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widowControl/>
        <w:jc w:val="left"/>
        <w:rPr>
          <w:rFonts w:ascii="仿宋" w:hAnsi="仿宋" w:eastAsia="仿宋"/>
          <w:color w:val="000000"/>
          <w:kern w:val="0"/>
          <w:sz w:val="32"/>
          <w:szCs w:val="32"/>
        </w:rPr>
      </w:pPr>
    </w:p>
    <w:p>
      <w:pPr>
        <w:pStyle w:val="2"/>
        <w:ind w:right="440"/>
        <w:jc w:val="right"/>
        <w:rPr>
          <w:rStyle w:val="26"/>
          <w:rFonts w:ascii="黑体" w:hAnsi="黑体" w:eastAsia="黑体"/>
          <w:b w:val="0"/>
          <w:bCs w:val="0"/>
        </w:rPr>
      </w:pPr>
      <w:r>
        <w:rPr>
          <w:rFonts w:hint="eastAsia" w:ascii="黑体" w:hAnsi="黑体" w:eastAsia="黑体"/>
          <w:b w:val="0"/>
          <w:color w:val="000000"/>
        </w:rPr>
        <w:t>第二部分</w:t>
      </w:r>
      <w:r>
        <w:rPr>
          <w:rStyle w:val="26"/>
          <w:rFonts w:hint="eastAsia" w:ascii="黑体" w:hAnsi="黑体" w:eastAsia="黑体"/>
          <w:b w:val="0"/>
          <w:bCs w:val="0"/>
        </w:rPr>
        <w:t>2019年度部门决算情况说明</w:t>
      </w:r>
      <w:bookmarkEnd w:id="22"/>
      <w:bookmarkEnd w:id="23"/>
    </w:p>
    <w:p/>
    <w:p>
      <w:pPr>
        <w:pStyle w:val="25"/>
        <w:numPr>
          <w:ilvl w:val="0"/>
          <w:numId w:val="1"/>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2019年度收入总计275.89万元，支出总计275.89万元。与2018年相比，收入增加59.54万元，增长28</w:t>
      </w:r>
      <w:r>
        <w:rPr>
          <w:rFonts w:ascii="仿宋" w:hAnsi="仿宋" w:eastAsia="仿宋"/>
          <w:color w:val="000000"/>
          <w:sz w:val="32"/>
          <w:szCs w:val="32"/>
        </w:rPr>
        <w:t>%</w:t>
      </w:r>
      <w:r>
        <w:rPr>
          <w:rFonts w:hint="eastAsia" w:ascii="仿宋" w:hAnsi="仿宋" w:eastAsia="仿宋"/>
          <w:color w:val="000000"/>
          <w:sz w:val="32"/>
          <w:szCs w:val="32"/>
        </w:rPr>
        <w:t>；支出增加31.54万元，增长13</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5"/>
        <w:numPr>
          <w:ilvl w:val="0"/>
          <w:numId w:val="1"/>
        </w:numPr>
        <w:spacing w:line="600" w:lineRule="exact"/>
        <w:ind w:firstLineChars="0"/>
        <w:outlineLvl w:val="1"/>
        <w:rPr>
          <w:rStyle w:val="27"/>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9年本年收入合计275.89万元，其中：一般公共预算财政拨款收入275.89万元，占100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9264" behindDoc="1" locked="0" layoutInCell="1" allowOverlap="1">
            <wp:simplePos x="0" y="0"/>
            <wp:positionH relativeFrom="column">
              <wp:posOffset>219075</wp:posOffset>
            </wp:positionH>
            <wp:positionV relativeFrom="paragraph">
              <wp:posOffset>-676275</wp:posOffset>
            </wp:positionV>
            <wp:extent cx="4573905" cy="2743200"/>
            <wp:effectExtent l="19050" t="0" r="17145" b="0"/>
            <wp:wrapTight wrapText="bothSides">
              <wp:wrapPolygon>
                <wp:start x="-90" y="0"/>
                <wp:lineTo x="-90" y="21600"/>
                <wp:lineTo x="21681" y="21600"/>
                <wp:lineTo x="21681" y="0"/>
                <wp:lineTo x="-90" y="0"/>
              </wp:wrapPolygon>
            </wp:wrapTight>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5"/>
        <w:numPr>
          <w:ilvl w:val="0"/>
          <w:numId w:val="1"/>
        </w:numPr>
        <w:spacing w:line="600" w:lineRule="exact"/>
        <w:ind w:firstLineChars="0"/>
        <w:outlineLvl w:val="1"/>
        <w:rPr>
          <w:rStyle w:val="2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9年本年支出合计275.89万元，其中：基本支出275.89万元，占100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9年财政拨款收入总计275.89万元。与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8年相比，财政拨款收入增加59.54万元，增长28</w:t>
      </w:r>
      <w:r>
        <w:rPr>
          <w:rFonts w:ascii="仿宋" w:hAnsi="仿宋" w:eastAsia="仿宋"/>
          <w:color w:val="000000"/>
          <w:sz w:val="32"/>
          <w:szCs w:val="32"/>
        </w:rPr>
        <w:t>%</w:t>
      </w:r>
      <w:r>
        <w:rPr>
          <w:rFonts w:hint="eastAsia" w:ascii="仿宋" w:hAnsi="仿宋" w:eastAsia="仿宋"/>
          <w:color w:val="000000"/>
          <w:sz w:val="32"/>
          <w:szCs w:val="32"/>
        </w:rPr>
        <w:t>；支出总计275.89万元，增加31.54万元，增长13</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9年一般公共预算财政拨款支出275.89万元，占本年支出合计的100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8年相比，一般公共预算财政拨款增加31.54万元，增长13</w:t>
      </w:r>
      <w:r>
        <w:rPr>
          <w:rFonts w:ascii="仿宋" w:hAnsi="仿宋" w:eastAsia="仿宋"/>
          <w:color w:val="000000"/>
          <w:sz w:val="32"/>
          <w:szCs w:val="32"/>
        </w:rPr>
        <w:t>%</w:t>
      </w:r>
      <w:r>
        <w:rPr>
          <w:rFonts w:hint="eastAsia" w:ascii="仿宋" w:hAnsi="仿宋" w:eastAsia="仿宋"/>
          <w:color w:val="000000"/>
          <w:sz w:val="32"/>
          <w:szCs w:val="32"/>
        </w:rPr>
        <w:t>。</w:t>
      </w:r>
    </w:p>
    <w:p>
      <w: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政拨款支出275.89万元，主要用于以下方面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社会保障和就业208（类）</w:t>
      </w:r>
      <w:r>
        <w:rPr>
          <w:rFonts w:hint="eastAsia" w:ascii="仿宋" w:hAnsi="仿宋" w:eastAsia="仿宋"/>
          <w:color w:val="000000" w:themeColor="text1"/>
          <w:sz w:val="32"/>
          <w:szCs w:val="32"/>
        </w:rPr>
        <w:t>支出35.36万元，占13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210（类）</w:t>
      </w:r>
      <w:r>
        <w:rPr>
          <w:rFonts w:hint="eastAsia" w:ascii="仿宋" w:hAnsi="仿宋" w:eastAsia="仿宋"/>
          <w:color w:val="000000" w:themeColor="text1"/>
          <w:sz w:val="32"/>
          <w:szCs w:val="32"/>
        </w:rPr>
        <w:t>220.7万元，占80</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b/>
          <w:color w:val="000000" w:themeColor="text1"/>
          <w:sz w:val="32"/>
          <w:szCs w:val="32"/>
        </w:rPr>
        <w:t>221（类）</w:t>
      </w:r>
      <w:r>
        <w:rPr>
          <w:rFonts w:hint="eastAsia" w:ascii="仿宋" w:hAnsi="仿宋" w:eastAsia="仿宋"/>
          <w:color w:val="000000" w:themeColor="text1"/>
          <w:sz w:val="32"/>
          <w:szCs w:val="32"/>
        </w:rPr>
        <w:t>19.84万元，占7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r>
        <w:drawing>
          <wp:inline distT="0" distB="0" distL="0" distR="0">
            <wp:extent cx="5274310" cy="3076575"/>
            <wp:effectExtent l="19050" t="0" r="21590" b="0"/>
            <wp:docPr id="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2019年般公共预算支出决算数为275.89</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一般公共服务（类）0（款）0项）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3.</w:t>
      </w:r>
      <w:r>
        <w:rPr>
          <w:rStyle w:val="15"/>
          <w:rFonts w:hint="eastAsia" w:ascii="仿宋" w:hAnsi="仿宋" w:eastAsia="仿宋"/>
          <w:bCs/>
          <w:color w:val="000000"/>
          <w:sz w:val="32"/>
          <w:szCs w:val="32"/>
        </w:rPr>
        <w:t>科学技术（类）0（款）0（项）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文化旅游体育与传媒（类）0（款）0（项）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支出决算为0万元，完成预算0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5.</w:t>
      </w:r>
      <w:r>
        <w:rPr>
          <w:rStyle w:val="15"/>
          <w:rFonts w:hint="eastAsia" w:ascii="仿宋" w:hAnsi="仿宋" w:eastAsia="仿宋"/>
          <w:bCs/>
          <w:color w:val="000000"/>
          <w:sz w:val="32"/>
          <w:szCs w:val="32"/>
        </w:rPr>
        <w:t>社会保障和就业208（类）05（款）05（项）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支出决算为35.36万元，完成预算100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ascii="仿宋" w:hAnsi="仿宋" w:eastAsia="仿宋"/>
          <w:b w:val="0"/>
          <w:bCs/>
          <w:color w:val="000000"/>
          <w:sz w:val="32"/>
          <w:szCs w:val="32"/>
        </w:rPr>
      </w:pPr>
      <w:r>
        <w:rPr>
          <w:rStyle w:val="15"/>
          <w:rFonts w:ascii="仿宋" w:hAnsi="仿宋" w:eastAsia="仿宋"/>
          <w:bCs/>
          <w:color w:val="000000"/>
          <w:sz w:val="32"/>
          <w:szCs w:val="32"/>
        </w:rPr>
        <w:t>6.</w:t>
      </w:r>
      <w:r>
        <w:rPr>
          <w:rFonts w:hint="eastAsia" w:ascii="仿宋" w:hAnsi="仿宋" w:eastAsia="仿宋"/>
          <w:b/>
          <w:bCs/>
          <w:color w:val="000000" w:themeColor="text1"/>
          <w:sz w:val="32"/>
          <w:szCs w:val="32"/>
        </w:rPr>
        <w:t>卫生健康210</w:t>
      </w:r>
      <w:r>
        <w:rPr>
          <w:rStyle w:val="15"/>
          <w:rFonts w:hint="eastAsia" w:ascii="仿宋" w:hAnsi="仿宋" w:eastAsia="仿宋"/>
          <w:bCs/>
          <w:color w:val="000000"/>
          <w:sz w:val="32"/>
          <w:szCs w:val="32"/>
        </w:rPr>
        <w:t>（类）01（款）99（项）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支出决算为220.7万</w:t>
      </w:r>
      <w:r>
        <w:rPr>
          <w:rStyle w:val="15"/>
          <w:rFonts w:hint="eastAsia" w:ascii="仿宋" w:hAnsi="仿宋" w:eastAsia="仿宋"/>
          <w:bCs/>
          <w:color w:val="000000"/>
          <w:sz w:val="32"/>
          <w:szCs w:val="32"/>
        </w:rPr>
        <w:t>元，完</w:t>
      </w:r>
      <w:r>
        <w:rPr>
          <w:rStyle w:val="15"/>
          <w:rFonts w:hint="eastAsia" w:ascii="仿宋" w:hAnsi="仿宋" w:eastAsia="仿宋"/>
          <w:b w:val="0"/>
          <w:bCs/>
          <w:color w:val="000000"/>
          <w:sz w:val="32"/>
          <w:szCs w:val="32"/>
        </w:rPr>
        <w:t>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15"/>
          <w:rFonts w:hint="eastAsia" w:ascii="仿宋" w:hAnsi="仿宋" w:eastAsia="仿宋"/>
          <w:bCs/>
          <w:color w:val="000000"/>
          <w:sz w:val="32"/>
          <w:szCs w:val="32"/>
        </w:rPr>
        <w:t>7. 住房保障支出</w:t>
      </w:r>
      <w:r>
        <w:rPr>
          <w:rFonts w:hint="eastAsia" w:ascii="仿宋" w:hAnsi="仿宋" w:eastAsia="仿宋"/>
          <w:b/>
          <w:color w:val="000000" w:themeColor="text1"/>
          <w:sz w:val="32"/>
          <w:szCs w:val="32"/>
        </w:rPr>
        <w:t>221（类）02</w:t>
      </w:r>
      <w:r>
        <w:rPr>
          <w:rStyle w:val="15"/>
          <w:rFonts w:hint="eastAsia" w:ascii="仿宋" w:hAnsi="仿宋" w:eastAsia="仿宋"/>
          <w:bCs/>
          <w:color w:val="000000"/>
          <w:sz w:val="32"/>
          <w:szCs w:val="32"/>
        </w:rPr>
        <w:t>（款）01（项）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 xml:space="preserve"> 支出决算为19.84万</w:t>
      </w:r>
      <w:r>
        <w:rPr>
          <w:rStyle w:val="15"/>
          <w:rFonts w:hint="eastAsia" w:ascii="仿宋" w:hAnsi="仿宋" w:eastAsia="仿宋"/>
          <w:bCs/>
          <w:color w:val="000000"/>
          <w:sz w:val="32"/>
          <w:szCs w:val="32"/>
        </w:rPr>
        <w:t>元，完</w:t>
      </w:r>
      <w:r>
        <w:rPr>
          <w:rStyle w:val="15"/>
          <w:rFonts w:hint="eastAsia" w:ascii="仿宋" w:hAnsi="仿宋" w:eastAsia="仿宋"/>
          <w:b w:val="0"/>
          <w:bCs/>
          <w:color w:val="000000"/>
          <w:sz w:val="32"/>
          <w:szCs w:val="32"/>
        </w:rPr>
        <w:t>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9年一般公共预算财政拨款基本支出275.89万元，其中：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268.56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7.33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9年“三公”经费财政拨款支出决算为0万元。</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r>
        <w:drawing>
          <wp:inline distT="0" distB="0" distL="0" distR="0">
            <wp:extent cx="5274310" cy="3076575"/>
            <wp:effectExtent l="19050" t="0" r="21590" b="0"/>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bookmarkStart w:id="46" w:name="_Toc15377218"/>
      <w:bookmarkStart w:id="47" w:name="_Toc15396610"/>
      <w:r>
        <w:rPr>
          <w:rFonts w:hint="eastAsia" w:ascii="仿宋_GB2312" w:eastAsia="仿宋_GB2312"/>
          <w:color w:val="000000" w:themeColor="text1"/>
          <w:sz w:val="32"/>
          <w:szCs w:val="32"/>
        </w:rPr>
        <w:t>。</w:t>
      </w: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7"/>
          <w:rFonts w:ascii="黑体" w:hAnsi="黑体" w:eastAsia="黑体"/>
          <w:b w:val="0"/>
        </w:rPr>
      </w:pPr>
      <w:bookmarkStart w:id="48" w:name="_Toc15377219"/>
      <w:bookmarkStart w:id="49" w:name="_Toc15396611"/>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9年，四川省阿坝州壤塘县壤柯镇社区卫生服务中心</w:t>
      </w:r>
    </w:p>
    <w:p>
      <w:pPr>
        <w:spacing w:line="600" w:lineRule="exact"/>
        <w:rPr>
          <w:rFonts w:ascii="仿宋_GB2312" w:eastAsia="仿宋_GB2312"/>
          <w:color w:val="000000" w:themeColor="text1"/>
          <w:sz w:val="32"/>
          <w:szCs w:val="32"/>
        </w:rPr>
      </w:pPr>
      <w:r>
        <w:rPr>
          <w:rFonts w:hint="eastAsia" w:ascii="仿宋_GB2312" w:eastAsia="仿宋_GB2312"/>
          <w:color w:val="000000"/>
          <w:sz w:val="32"/>
          <w:szCs w:val="32"/>
        </w:rPr>
        <w:t>机关运行经费支出0万元。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四川省阿坝州壤塘县壤柯镇社区卫生服务中心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日，四川省阿坝州壤塘县壤柯镇社区卫生服务中心共有车辆0辆，其中：主要领导干部用车0辆、机要通信用车0辆、应急保障用车0辆、其他用车0辆，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项目绩效内容本单位不涉及。</w:t>
      </w:r>
    </w:p>
    <w:p>
      <w:pPr>
        <w:spacing w:line="600" w:lineRule="exact"/>
        <w:ind w:firstLine="964" w:firstLineChars="300"/>
        <w:outlineLvl w:val="1"/>
        <w:rPr>
          <w:rFonts w:ascii="楷体" w:hAnsi="楷体" w:eastAsia="楷体"/>
          <w:sz w:val="32"/>
          <w:szCs w:val="32"/>
        </w:rPr>
      </w:pPr>
      <w:r>
        <w:rPr>
          <w:rFonts w:hint="eastAsia" w:ascii="楷体" w:hAnsi="楷体" w:eastAsia="楷体" w:cs="楷体"/>
          <w:b/>
          <w:bCs/>
          <w:sz w:val="32"/>
          <w:szCs w:val="32"/>
        </w:rPr>
        <w:t>部门开展绩效评价结果</w:t>
      </w:r>
    </w:p>
    <w:p>
      <w:pPr>
        <w:spacing w:line="580" w:lineRule="exact"/>
        <w:ind w:firstLine="640" w:firstLineChars="200"/>
        <w:rPr>
          <w:rFonts w:ascii="仿宋_GB2312" w:hAnsi="楷体" w:eastAsia="仿宋_GB2312" w:cs="仿宋_GB2312"/>
          <w:sz w:val="32"/>
          <w:szCs w:val="32"/>
        </w:rPr>
      </w:pPr>
      <w:r>
        <w:rPr>
          <w:rFonts w:hint="eastAsia" w:ascii="仿宋_GB2312" w:hAnsi="楷体" w:eastAsia="仿宋_GB2312" w:cs="仿宋_GB2312"/>
          <w:sz w:val="32"/>
          <w:szCs w:val="32"/>
        </w:rPr>
        <w:t>本部门按要求对</w:t>
      </w:r>
      <w:r>
        <w:rPr>
          <w:rFonts w:ascii="仿宋_GB2312" w:hAnsi="楷体" w:eastAsia="仿宋_GB2312" w:cs="仿宋_GB2312"/>
          <w:sz w:val="32"/>
          <w:szCs w:val="32"/>
        </w:rPr>
        <w:t>201</w:t>
      </w:r>
      <w:r>
        <w:rPr>
          <w:rFonts w:hint="eastAsia" w:ascii="仿宋_GB2312" w:hAnsi="楷体" w:eastAsia="仿宋_GB2312" w:cs="仿宋_GB2312"/>
          <w:sz w:val="32"/>
          <w:szCs w:val="32"/>
        </w:rPr>
        <w:t>9年部门整体支出绩效评价情况开展自评，《壤柯镇社区卫生服务中心</w:t>
      </w:r>
      <w:r>
        <w:rPr>
          <w:rFonts w:ascii="仿宋_GB2312" w:hAnsi="楷体" w:eastAsia="仿宋_GB2312" w:cs="仿宋_GB2312"/>
          <w:sz w:val="32"/>
          <w:szCs w:val="32"/>
        </w:rPr>
        <w:t>201</w:t>
      </w:r>
      <w:r>
        <w:rPr>
          <w:rFonts w:hint="eastAsia" w:ascii="仿宋_GB2312" w:hAnsi="楷体" w:eastAsia="仿宋_GB2312" w:cs="仿宋_GB2312"/>
          <w:sz w:val="32"/>
          <w:szCs w:val="32"/>
        </w:rPr>
        <w:t>9年部门整体支出绩效评价报告》见附件。</w:t>
      </w: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ind w:firstLine="640" w:firstLineChars="200"/>
        <w:rPr>
          <w:rFonts w:ascii="仿宋_GB2312" w:hAnsi="楷体" w:eastAsia="仿宋_GB2312" w:cs="仿宋_GB2312"/>
          <w:sz w:val="32"/>
          <w:szCs w:val="32"/>
        </w:rPr>
      </w:pPr>
    </w:p>
    <w:p>
      <w:pPr>
        <w:spacing w:line="580" w:lineRule="exact"/>
        <w:rPr>
          <w:rFonts w:ascii="仿宋_GB2312" w:hAnsi="楷体" w:eastAsia="仿宋_GB2312"/>
          <w:sz w:val="32"/>
          <w:szCs w:val="32"/>
        </w:rPr>
      </w:pPr>
    </w:p>
    <w:p>
      <w:pPr>
        <w:numPr>
          <w:ilvl w:val="0"/>
          <w:numId w:val="3"/>
        </w:numPr>
        <w:spacing w:line="600" w:lineRule="exact"/>
        <w:ind w:firstLine="660" w:firstLineChars="150"/>
        <w:jc w:val="center"/>
        <w:outlineLvl w:val="0"/>
        <w:rPr>
          <w:rStyle w:val="26"/>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4"/>
        <w:spacing w:line="560" w:lineRule="exact"/>
        <w:ind w:firstLine="640" w:firstLineChars="200"/>
        <w:rPr>
          <w:rFonts w:ascii="仿宋_GB2312" w:eastAsia="仿宋_GB2312"/>
          <w:color w:val="auto"/>
          <w:sz w:val="32"/>
          <w:szCs w:val="32"/>
        </w:rPr>
      </w:pPr>
      <w:bookmarkStart w:id="57" w:name="_Toc15396614"/>
      <w:bookmarkStart w:id="58" w:name="_Toc15377226"/>
      <w:r>
        <w:rPr>
          <w:rFonts w:hint="eastAsia" w:ascii="仿宋_GB2312" w:eastAsia="仿宋_GB2312"/>
          <w:color w:val="auto"/>
          <w:sz w:val="32"/>
          <w:szCs w:val="32"/>
        </w:rPr>
        <w:t>1.财政拨款收入：指单位从同级财政部门取得的财政预算资金。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3.经营收入：指事业单位在专业业务活动及其辅助活动之外开展非独立核算经营活动取得的收入。</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4.其他收入：指单位取得的除上述收入以外的各项收入。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 xml:space="preserve">6.年初结转和结余：指以前年度尚未完成、结转到本年按有关规定继续使用的资金。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7.结余分配：指事业单位按照事业单位会计制度的规定从非财政补助结余中分配的事业基金和职工福利基金等。</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8、年末结转和结余：指单位按有关规定结转到下年或以后年度继续使用的资金。</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9. 其他人力资源事务支出210（类）10（款）99（项）：指其他人力资源事务的支出。</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 xml:space="preserve">10. 机关事业单位基本养老保险支出208（类）05（款）05（项）：指反应机关事业单位实施养老保险制度由单位缴纳的基本养老保险费支出。 </w:t>
      </w:r>
    </w:p>
    <w:p>
      <w:pPr>
        <w:ind w:firstLine="640" w:firstLineChars="200"/>
        <w:rPr>
          <w:rFonts w:ascii="仿宋_GB2312" w:eastAsia="仿宋_GB2312"/>
          <w:sz w:val="32"/>
          <w:szCs w:val="32"/>
        </w:rPr>
      </w:pPr>
      <w:r>
        <w:rPr>
          <w:rFonts w:hint="eastAsia" w:ascii="仿宋_GB2312" w:eastAsia="仿宋_GB2312"/>
          <w:sz w:val="32"/>
          <w:szCs w:val="32"/>
        </w:rPr>
        <w:t>11.机关单位职业年金缴费支出208（类）05（款）06（项）：指反应机关事业单位实施养老保险制度由单位缴纳的职业年金支出。</w:t>
      </w:r>
    </w:p>
    <w:p>
      <w:pPr>
        <w:ind w:firstLine="640" w:firstLineChars="200"/>
        <w:rPr>
          <w:rFonts w:ascii="仿宋_GB2312" w:eastAsia="仿宋_GB2312"/>
          <w:sz w:val="32"/>
          <w:szCs w:val="32"/>
        </w:rPr>
      </w:pPr>
      <w:r>
        <w:rPr>
          <w:rFonts w:hint="eastAsia" w:ascii="仿宋_GB2312" w:eastAsia="仿宋_GB2312"/>
          <w:sz w:val="32"/>
          <w:szCs w:val="32"/>
        </w:rPr>
        <w:t>12.行政运行210（类）01（款）01（项）：指反应行政单位（包括实行公务员管理的事业单位）的基本支出。</w:t>
      </w:r>
    </w:p>
    <w:p>
      <w:pPr>
        <w:ind w:firstLine="640" w:firstLineChars="200"/>
        <w:rPr>
          <w:rFonts w:ascii="仿宋_GB2312" w:eastAsia="仿宋_GB2312"/>
          <w:sz w:val="32"/>
          <w:szCs w:val="32"/>
        </w:rPr>
      </w:pPr>
      <w:r>
        <w:rPr>
          <w:rFonts w:hint="eastAsia" w:ascii="仿宋_GB2312" w:eastAsia="仿宋_GB2312"/>
          <w:sz w:val="32"/>
          <w:szCs w:val="32"/>
        </w:rPr>
        <w:t>13.其他医疗卫生与计划生育管理事务支出210（类）01（款）99（项）：指反应其他用于医疗卫生与计划生育管理事务方面的支出。</w:t>
      </w:r>
    </w:p>
    <w:p>
      <w:pPr>
        <w:ind w:firstLine="640" w:firstLineChars="200"/>
        <w:rPr>
          <w:rFonts w:ascii="仿宋_GB2312" w:eastAsia="仿宋_GB2312"/>
          <w:sz w:val="32"/>
          <w:szCs w:val="32"/>
        </w:rPr>
      </w:pPr>
      <w:r>
        <w:rPr>
          <w:rFonts w:hint="eastAsia" w:ascii="仿宋_GB2312" w:eastAsia="仿宋_GB2312"/>
          <w:sz w:val="32"/>
          <w:szCs w:val="32"/>
        </w:rPr>
        <w:t>14.综合医院210（类）02（款）01（项）：指反应卫生和计划生育、中医部门所属的城市综合性医院、独立门诊、教学医院、疗养院和县医院的支出。</w:t>
      </w:r>
    </w:p>
    <w:p>
      <w:pPr>
        <w:ind w:firstLine="640" w:firstLineChars="200"/>
        <w:rPr>
          <w:rFonts w:ascii="仿宋_GB2312" w:eastAsia="仿宋_GB2312"/>
          <w:sz w:val="32"/>
          <w:szCs w:val="32"/>
        </w:rPr>
      </w:pPr>
      <w:r>
        <w:rPr>
          <w:rFonts w:hint="eastAsia" w:ascii="仿宋_GB2312" w:eastAsia="仿宋_GB2312"/>
          <w:sz w:val="32"/>
          <w:szCs w:val="32"/>
        </w:rPr>
        <w:t>15.其他公立医院支出210（类）02（款）99（项）：指反应其他用于公立医院方面的支出。</w:t>
      </w:r>
    </w:p>
    <w:p>
      <w:pPr>
        <w:ind w:firstLine="640" w:firstLineChars="200"/>
        <w:rPr>
          <w:rFonts w:ascii="仿宋_GB2312" w:eastAsia="仿宋_GB2312"/>
          <w:sz w:val="32"/>
          <w:szCs w:val="32"/>
        </w:rPr>
      </w:pPr>
      <w:r>
        <w:rPr>
          <w:rFonts w:hint="eastAsia" w:ascii="仿宋_GB2312" w:eastAsia="仿宋_GB2312"/>
          <w:sz w:val="32"/>
          <w:szCs w:val="32"/>
        </w:rPr>
        <w:t>16.乡镇卫生院210（类）03（款）02（项）：指用于乡镇卫生院的支出。</w:t>
      </w:r>
    </w:p>
    <w:p>
      <w:pPr>
        <w:ind w:firstLine="640" w:firstLineChars="200"/>
        <w:rPr>
          <w:rFonts w:ascii="仿宋_GB2312" w:eastAsia="仿宋_GB2312"/>
          <w:sz w:val="32"/>
          <w:szCs w:val="32"/>
        </w:rPr>
      </w:pPr>
      <w:r>
        <w:rPr>
          <w:rFonts w:hint="eastAsia" w:ascii="仿宋_GB2312" w:eastAsia="仿宋_GB2312"/>
          <w:sz w:val="32"/>
          <w:szCs w:val="32"/>
        </w:rPr>
        <w:t>17.基本公共卫生服务210（类）04（款）08（项）：指反应基本公共卫生服务支出。</w:t>
      </w:r>
    </w:p>
    <w:p>
      <w:pPr>
        <w:ind w:firstLine="640" w:firstLineChars="200"/>
        <w:rPr>
          <w:rFonts w:ascii="仿宋_GB2312" w:eastAsia="仿宋_GB2312"/>
          <w:sz w:val="32"/>
          <w:szCs w:val="32"/>
        </w:rPr>
      </w:pPr>
      <w:r>
        <w:rPr>
          <w:rFonts w:hint="eastAsia" w:ascii="仿宋_GB2312" w:eastAsia="仿宋_GB2312"/>
          <w:sz w:val="32"/>
          <w:szCs w:val="32"/>
        </w:rPr>
        <w:t>18.重大公共卫生专项210（类）04（款）09（项）：指反应重大疾病预防控制等重大公共卫生服务项目支出。</w:t>
      </w:r>
    </w:p>
    <w:p>
      <w:pPr>
        <w:ind w:firstLine="640" w:firstLineChars="200"/>
        <w:rPr>
          <w:rFonts w:ascii="仿宋_GB2312" w:eastAsia="仿宋_GB2312"/>
          <w:sz w:val="32"/>
          <w:szCs w:val="32"/>
        </w:rPr>
      </w:pPr>
      <w:r>
        <w:rPr>
          <w:rFonts w:hint="eastAsia" w:ascii="仿宋_GB2312" w:eastAsia="仿宋_GB2312"/>
          <w:sz w:val="32"/>
          <w:szCs w:val="32"/>
        </w:rPr>
        <w:t>19.其他公共卫生支出210（类）04（款）99（项）：指其他用于公共卫生方面的支出。</w:t>
      </w:r>
    </w:p>
    <w:p>
      <w:pPr>
        <w:ind w:firstLine="640" w:firstLineChars="200"/>
        <w:rPr>
          <w:rFonts w:ascii="仿宋_GB2312" w:eastAsia="仿宋_GB2312"/>
          <w:sz w:val="32"/>
          <w:szCs w:val="32"/>
        </w:rPr>
      </w:pPr>
      <w:r>
        <w:rPr>
          <w:rFonts w:hint="eastAsia" w:ascii="仿宋_GB2312" w:eastAsia="仿宋_GB2312"/>
          <w:sz w:val="32"/>
          <w:szCs w:val="32"/>
        </w:rPr>
        <w:t>20.计划生育服务210（类）07（款）17（项）：指反应计划生育服务支出。</w:t>
      </w:r>
    </w:p>
    <w:p>
      <w:pPr>
        <w:ind w:firstLine="640" w:firstLineChars="200"/>
        <w:rPr>
          <w:rFonts w:ascii="仿宋_GB2312" w:eastAsia="仿宋_GB2312"/>
          <w:sz w:val="32"/>
          <w:szCs w:val="32"/>
        </w:rPr>
      </w:pPr>
      <w:r>
        <w:rPr>
          <w:rFonts w:hint="eastAsia" w:ascii="仿宋_GB2312" w:eastAsia="仿宋_GB2312"/>
          <w:sz w:val="32"/>
          <w:szCs w:val="32"/>
        </w:rPr>
        <w:t>21.其他计划生育事务支出210（类）07（款）99（项）：指其他用于计划生育管理事务方面的支出。</w:t>
      </w:r>
    </w:p>
    <w:p>
      <w:pPr>
        <w:ind w:firstLine="640" w:firstLineChars="200"/>
        <w:rPr>
          <w:rFonts w:ascii="仿宋_GB2312" w:eastAsia="仿宋_GB2312"/>
          <w:sz w:val="32"/>
          <w:szCs w:val="32"/>
        </w:rPr>
      </w:pPr>
      <w:r>
        <w:rPr>
          <w:rFonts w:hint="eastAsia" w:ascii="仿宋_GB2312" w:eastAsia="仿宋_GB2312"/>
          <w:sz w:val="32"/>
          <w:szCs w:val="32"/>
        </w:rPr>
        <w:t>22.行政单位医疗210（类）11（款）01（项）：指反应部门集中安排的行政单位基本医疗缴费经费，未参加医疗保险的行政单位的公费医疗经费，按国家规定享受离休人员、红军老战士待遇人员的医疗经费。</w:t>
      </w:r>
    </w:p>
    <w:p>
      <w:pPr>
        <w:ind w:firstLine="640" w:firstLineChars="200"/>
        <w:rPr>
          <w:rFonts w:ascii="仿宋_GB2312" w:eastAsia="仿宋_GB2312"/>
          <w:sz w:val="32"/>
          <w:szCs w:val="32"/>
        </w:rPr>
      </w:pPr>
      <w:r>
        <w:rPr>
          <w:rFonts w:hint="eastAsia" w:ascii="仿宋_GB2312" w:eastAsia="仿宋_GB2312"/>
          <w:sz w:val="32"/>
          <w:szCs w:val="32"/>
        </w:rPr>
        <w:t>23.其他医疗卫生与计划生育支出210（类）99（款）01（项）：指其他用于医疗卫生与计划生育方面的支出。</w:t>
      </w:r>
    </w:p>
    <w:p>
      <w:pPr>
        <w:ind w:firstLine="640" w:firstLineChars="200"/>
        <w:rPr>
          <w:rFonts w:ascii="仿宋_GB2312" w:eastAsia="仿宋_GB2312"/>
          <w:sz w:val="32"/>
          <w:szCs w:val="32"/>
        </w:rPr>
      </w:pPr>
      <w:r>
        <w:rPr>
          <w:rFonts w:hint="eastAsia" w:ascii="仿宋_GB2312" w:eastAsia="仿宋_GB2312"/>
          <w:sz w:val="32"/>
          <w:szCs w:val="32"/>
        </w:rPr>
        <w:t>24.农村基础设施建设213（类）05（款）04（项）：指反应用于农村贫困地区乡村道路、住房、基本农田、水利设施、人畜饮水、生态环境保护等生产生活条件改善方面的支出。</w:t>
      </w:r>
    </w:p>
    <w:p>
      <w:pPr>
        <w:ind w:firstLine="640" w:firstLineChars="200"/>
        <w:rPr>
          <w:rFonts w:ascii="仿宋_GB2312" w:eastAsia="仿宋_GB2312"/>
          <w:sz w:val="32"/>
          <w:szCs w:val="32"/>
        </w:rPr>
      </w:pPr>
      <w:r>
        <w:rPr>
          <w:rFonts w:hint="eastAsia" w:ascii="仿宋_GB2312" w:eastAsia="仿宋_GB2312"/>
          <w:sz w:val="32"/>
          <w:szCs w:val="32"/>
        </w:rPr>
        <w:t>25.其他扶贫支出213（类）05（款）99（项）：指其他用于扶贫方面的支出。</w:t>
      </w:r>
    </w:p>
    <w:p>
      <w:pPr>
        <w:ind w:firstLine="640" w:firstLineChars="200"/>
        <w:rPr>
          <w:rFonts w:ascii="仿宋_GB2312" w:eastAsia="仿宋_GB2312"/>
          <w:sz w:val="32"/>
          <w:szCs w:val="32"/>
        </w:rPr>
      </w:pPr>
      <w:r>
        <w:rPr>
          <w:rFonts w:hint="eastAsia" w:ascii="仿宋_GB2312" w:eastAsia="仿宋_GB2312"/>
          <w:sz w:val="32"/>
          <w:szCs w:val="32"/>
        </w:rPr>
        <w:t>26住房公积金221（类）02（款）01（项）：指反应行政事业单位按照人力资源和社会保障部、财政部规定的基本工资和津贴补贴及规定比例为职工缴纳的住房公积金。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rPr>
        <w:t>27.基本支出：指为保障机构正常运转、完成日常工作任务而发生的人员支出和公用支出。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 xml:space="preserve">28.项目支出：指在基本支出之外为完成特定行政任务和事业发展目标所发生的支出。 </w:t>
      </w:r>
    </w:p>
    <w:p>
      <w:pPr>
        <w:ind w:firstLine="640" w:firstLineChars="200"/>
        <w:rPr>
          <w:rFonts w:ascii="仿宋_GB2312" w:eastAsia="仿宋_GB2312"/>
          <w:sz w:val="32"/>
          <w:szCs w:val="32"/>
        </w:rPr>
      </w:pPr>
      <w:r>
        <w:rPr>
          <w:rFonts w:hint="eastAsia" w:ascii="仿宋_GB2312" w:eastAsia="仿宋_GB2312"/>
          <w:sz w:val="32"/>
          <w:szCs w:val="32"/>
        </w:rPr>
        <w:t>29.经营支出：指事业单位在专业业务活动及其辅助活动之外开展非独立核算经营活动发生的支出。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32.</w:t>
      </w:r>
      <w:r>
        <w:rPr>
          <w:rFonts w:hint="eastAsia"/>
          <w:color w:val="auto"/>
          <w:sz w:val="32"/>
          <w:szCs w:val="32"/>
          <w:shd w:val="clear" w:color="auto" w:fill="FFFFFF"/>
        </w:rPr>
        <w:t xml:space="preserve"> 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24"/>
        <w:spacing w:line="560" w:lineRule="exact"/>
        <w:ind w:firstLine="640" w:firstLineChars="200"/>
        <w:rPr>
          <w:rFonts w:ascii="仿宋_GB2312" w:eastAsia="仿宋_GB2312"/>
          <w:color w:val="auto"/>
          <w:sz w:val="32"/>
          <w:szCs w:val="32"/>
        </w:rPr>
      </w:pPr>
    </w:p>
    <w:p>
      <w:pPr>
        <w:spacing w:line="600" w:lineRule="exact"/>
        <w:jc w:val="center"/>
        <w:outlineLvl w:val="0"/>
        <w:rPr>
          <w:sz w:val="32"/>
          <w:szCs w:val="32"/>
          <w:shd w:val="clear" w:color="auto" w:fill="FFFFFF"/>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四部分 附件</w:t>
      </w:r>
      <w:bookmarkEnd w:id="57"/>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四川省阿坝州壤塘县壤柯镇社区卫生服务中心</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rPr>
        <w:t>根据中共阿坝州委、阿坝州人民政府批准的《壤塘县人民政府机构改革方案〉(阿委办[2014</w:t>
      </w:r>
      <w:r>
        <w:t xml:space="preserve"> </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 xml:space="preserve"> 980号),设立壤塘县卫生和计划生育局(简称县卫计局),为县政府工作部门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贯彻执行党和国家关于卫生计生工作的方针、政策、法律、法规以及省、州、县党委、政府关于卫生计生工作的决策部署，制定全县卫生计生事业发展规划，统筹规划全县卫生计生资源配置，指导全县卫生计生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贯彻实施党和国家医药卫生体制改革政策和国家药物政策及国家基本药物制度，执行国家基本药物目录以及我省药品增补目录，执行基本药物采购、配送、使用的政策措施。贯彻中西医并重的方针，发展我县中藏医事业。</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3.贯彻实施职责范围内的职业卫生、放射卫生、环境卫生、学校卫生、公共场所卫生、饮用水卫生管理规范、标准和政策措施，组织开展相关监测、调查、评估和监督。</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4.负责制定全县卫生应急预案、突发公共卫生事件监测和风险评估，组织和指导全县突发公共卫生事件预防控制和各类突发公共事件的医疗卫生救援。</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5.组织实施促进全县出生人口性别平衡的政策措施，组织监测计划生育发展动态，负责全县计划生育相关数据采集和分析研究，提出发布计划生育安全预警预报信息建议，制定计划生育技术服务管理制度并监督实施，制定优生优育和提高出生人口素质的政策措施并组织实施，推动实施计划生育生殖健康促进计划，降低出生缺陷人口数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6.实施“三项制度”，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7.制定我县实施流动人口计划生育服务管理制度并组织落实，推动建立流动人口卫生计生信息共享与公共服务工作机制。</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8.负责组织拟订并实施基层卫生和妇幼卫生、计划生育服务发展规划和政策措施，指导全县基层卫生和妇幼卫生、计划生育服务体系建设，推进基本公共卫生计生服务均等化，完善乡村医生管理制度。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9.组织实施全县医疗机构及医疗服务全行业管理办法、及医疗服务、医疗技术、医疗质量、医疗安全管的规范、标准，会同有关部门贯彻执行国家卫生计生专业技术人员准入、资格标准。制定和实施卫生计生专业技术人员执业规则和服务规范，建立医疗服务评价和监督管理体系。</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10.负责卫生计生政策宣传、全民健康教育、健康促进等工作。依法组织实施统计调查，开展全县人口基础信息库建设。</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11.负责全县卫生计生系统的人力资源管理工作，组织拟订全县卫生计生人才和科技发展规划。加强继续医学教育工作，组织实施卫生计生业务培训，贯彻落实国家住院医师和专科医师规范化培训制度，积极推广卫生计生适宜技术。</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12.完善卫生计生综合监督执法体系，规范卫生计生行政执法行为，监督检查有关法律法规和政策措施的落实，组织查处重大违法行为，监督落实计划生育一票否决制。</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13.负责新型农村合作医疗的实施、监督和管理。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14.负责建立公益性导向的绩效考核和评价运行机制，推进和谐医患关系建设。</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15.承担县爱国卫生运动委员会、县医药卫生体制改革领导小组、县献血领导小组日常工作。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16.</w:t>
      </w:r>
      <w:r>
        <w:rPr>
          <w:rFonts w:hint="eastAsia" w:ascii="仿宋_GB2312" w:hAnsi="宋体" w:eastAsia="仿宋_GB2312" w:cs="宋体"/>
          <w:i/>
          <w:iCs/>
          <w:color w:val="000000"/>
          <w:kern w:val="0"/>
          <w:sz w:val="32"/>
          <w:szCs w:val="32"/>
          <w:shd w:val="clear" w:color="auto" w:fill="FFFFFF"/>
        </w:rPr>
        <w:t>承担重大传染病防治工作领导小组、地方病及病</w:t>
      </w:r>
      <w:r>
        <w:rPr>
          <w:rFonts w:hint="eastAsia" w:ascii="仿宋_GB2312" w:hAnsi="宋体" w:eastAsia="仿宋_GB2312" w:cs="宋体"/>
          <w:color w:val="000000"/>
          <w:kern w:val="0"/>
          <w:sz w:val="32"/>
          <w:szCs w:val="32"/>
          <w:shd w:val="clear" w:color="auto" w:fill="FFFFFF"/>
        </w:rPr>
        <w:t>害防治工作领导小组日常工作。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17.负责全县医疗机构、从业人员、医疗技术运用、大型医疗设备等医疗服务要素准入的监督管理。承担卫生计生行政审批、行政许可事项。</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机构情况：壤塘卫计局部门决算共19个单位，卫计局局机关行政单位1个，下属二级预算单位18个，其中：参照公务员法管理的事业单位1个，医疗卫生机构17个。</w:t>
      </w:r>
    </w:p>
    <w:p>
      <w:pPr>
        <w:widowControl/>
        <w:adjustRightInd w:val="0"/>
        <w:snapToGrid w:val="0"/>
        <w:spacing w:line="580" w:lineRule="exact"/>
        <w:ind w:firstLine="640" w:firstLineChars="200"/>
        <w:contextualSpacing/>
        <w:jc w:val="left"/>
        <w:rPr>
          <w:rFonts w:ascii="仿宋_GB2312" w:hAnsi="宋体" w:eastAsia="仿宋_GB2312" w:cs="宋体"/>
          <w:b/>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人员情况：总编制</w:t>
      </w:r>
      <w:r>
        <w:rPr>
          <w:rFonts w:hint="eastAsia" w:ascii="仿宋_GB2312" w:hAnsi="宋体" w:eastAsia="仿宋_GB2312" w:cs="宋体"/>
          <w:color w:val="000000"/>
          <w:kern w:val="0"/>
          <w:sz w:val="32"/>
          <w:szCs w:val="32"/>
          <w:u w:val="single"/>
          <w:shd w:val="clear" w:color="auto" w:fill="FFFFFF"/>
        </w:rPr>
        <w:t>375</w:t>
      </w:r>
      <w:r>
        <w:rPr>
          <w:rFonts w:hint="eastAsia" w:ascii="仿宋_GB2312" w:hAnsi="宋体" w:eastAsia="仿宋_GB2312" w:cs="宋体"/>
          <w:color w:val="000000"/>
          <w:kern w:val="0"/>
          <w:sz w:val="32"/>
          <w:szCs w:val="32"/>
          <w:shd w:val="clear" w:color="auto" w:fill="FFFFFF"/>
        </w:rPr>
        <w:t>名,其中:行政编制</w:t>
      </w:r>
      <w:r>
        <w:rPr>
          <w:rFonts w:hint="eastAsia" w:ascii="仿宋_GB2312" w:hAnsi="宋体" w:eastAsia="仿宋_GB2312" w:cs="宋体"/>
          <w:color w:val="000000"/>
          <w:kern w:val="0"/>
          <w:sz w:val="32"/>
          <w:szCs w:val="32"/>
          <w:u w:val="single"/>
          <w:shd w:val="clear" w:color="auto" w:fill="FFFFFF"/>
        </w:rPr>
        <w:t>15</w:t>
      </w:r>
      <w:r>
        <w:rPr>
          <w:rFonts w:hint="eastAsia" w:ascii="仿宋_GB2312" w:hAnsi="宋体" w:eastAsia="仿宋_GB2312" w:cs="宋体"/>
          <w:color w:val="000000"/>
          <w:kern w:val="0"/>
          <w:sz w:val="32"/>
          <w:szCs w:val="32"/>
          <w:shd w:val="clear" w:color="auto" w:fill="FFFFFF"/>
        </w:rPr>
        <w:t>名，事业编制</w:t>
      </w:r>
      <w:r>
        <w:rPr>
          <w:rFonts w:hint="eastAsia" w:ascii="仿宋_GB2312" w:hAnsi="宋体" w:eastAsia="仿宋_GB2312" w:cs="宋体"/>
          <w:color w:val="000000"/>
          <w:kern w:val="0"/>
          <w:sz w:val="32"/>
          <w:szCs w:val="32"/>
          <w:u w:val="single"/>
          <w:shd w:val="clear" w:color="auto" w:fill="FFFFFF"/>
        </w:rPr>
        <w:t>360</w:t>
      </w:r>
      <w:r>
        <w:rPr>
          <w:rFonts w:hint="eastAsia" w:ascii="仿宋_GB2312" w:hAnsi="宋体" w:eastAsia="仿宋_GB2312" w:cs="宋体"/>
          <w:color w:val="000000"/>
          <w:kern w:val="0"/>
          <w:sz w:val="32"/>
          <w:szCs w:val="32"/>
          <w:shd w:val="clear" w:color="auto" w:fill="FFFFFF"/>
        </w:rPr>
        <w:t>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tabs>
          <w:tab w:val="left" w:pos="720"/>
          <w:tab w:val="left" w:pos="1620"/>
        </w:tabs>
        <w:spacing w:line="360" w:lineRule="auto"/>
        <w:ind w:firstLine="640" w:firstLineChars="200"/>
        <w:rPr>
          <w:rFonts w:ascii="仿宋_GB2312" w:hAnsi="仿宋" w:eastAsia="仿宋_GB2312" w:cs="仿宋_GB2312"/>
          <w:sz w:val="32"/>
          <w:szCs w:val="32"/>
        </w:rPr>
      </w:pPr>
      <w:r>
        <w:rPr>
          <w:rFonts w:ascii="仿宋_GB2312" w:hAnsi="仿宋" w:eastAsia="仿宋_GB2312" w:cs="仿宋_GB2312"/>
          <w:sz w:val="32"/>
          <w:szCs w:val="32"/>
        </w:rPr>
        <w:t>201</w:t>
      </w:r>
      <w:r>
        <w:rPr>
          <w:rFonts w:hint="eastAsia" w:ascii="仿宋_GB2312" w:hAnsi="仿宋" w:eastAsia="仿宋_GB2312" w:cs="仿宋_GB2312"/>
          <w:sz w:val="32"/>
          <w:szCs w:val="32"/>
        </w:rPr>
        <w:t>9年决算总收入275.89万元，其中：一般公共财政预算拨款275.89万元。本单位是2018年新增单位。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tabs>
          <w:tab w:val="left" w:pos="720"/>
          <w:tab w:val="left" w:pos="1620"/>
        </w:tabs>
        <w:spacing w:line="360" w:lineRule="auto"/>
        <w:ind w:firstLine="640" w:firstLineChars="200"/>
        <w:rPr>
          <w:rFonts w:ascii="仿宋_GB2312" w:hAnsi="仿宋" w:eastAsia="仿宋_GB2312" w:cs="仿宋_GB2312"/>
          <w:b/>
          <w:sz w:val="32"/>
          <w:szCs w:val="32"/>
        </w:rPr>
      </w:pPr>
      <w:r>
        <w:rPr>
          <w:rFonts w:ascii="仿宋_GB2312" w:hAnsi="仿宋" w:eastAsia="仿宋_GB2312" w:cs="仿宋_GB2312"/>
          <w:sz w:val="32"/>
          <w:szCs w:val="32"/>
        </w:rPr>
        <w:t>201</w:t>
      </w:r>
      <w:r>
        <w:rPr>
          <w:rFonts w:hint="eastAsia" w:ascii="仿宋_GB2312" w:hAnsi="仿宋" w:eastAsia="仿宋_GB2312" w:cs="仿宋_GB2312"/>
          <w:sz w:val="32"/>
          <w:szCs w:val="32"/>
        </w:rPr>
        <w:t>9年决算总支出275.89万元，其中：社会保障和就业支出35.36万元；</w:t>
      </w:r>
      <w:r>
        <w:rPr>
          <w:rFonts w:hint="eastAsia" w:ascii="仿宋_GB2312" w:hAnsi="仿宋" w:eastAsia="仿宋_GB2312" w:cs="仿宋_GB2312"/>
          <w:bCs/>
          <w:sz w:val="32"/>
          <w:szCs w:val="32"/>
        </w:rPr>
        <w:t>卫生健康支出</w:t>
      </w:r>
      <w:r>
        <w:rPr>
          <w:rFonts w:hint="eastAsia" w:ascii="仿宋_GB2312" w:hAnsi="仿宋" w:eastAsia="仿宋_GB2312" w:cs="仿宋_GB2312"/>
          <w:sz w:val="32"/>
          <w:szCs w:val="32"/>
        </w:rPr>
        <w:t>220.7万元；住房保障支出19.84万元；本单位是2018年新增单位。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我单位加强财务管理，严格按照相关财经制度执行，特别是对“三公”经费的预算控制。严格招待费用审核审批程序，“三公”经费较好地控制在预算范围之内。</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为加强财务管理，勤俭办学</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厉行节约，促进党风廉政建设</w:t>
      </w:r>
      <w:r>
        <w:rPr>
          <w:rFonts w:ascii="仿宋_GB2312" w:hAnsi="宋体" w:eastAsia="仿宋_GB2312" w:cs="宋体"/>
          <w:color w:val="000000"/>
          <w:kern w:val="0"/>
          <w:sz w:val="32"/>
          <w:szCs w:val="32"/>
          <w:shd w:val="clear" w:color="auto" w:fill="FFFFFF"/>
        </w:rPr>
        <w:t>,</w:t>
      </w:r>
      <w:r>
        <w:rPr>
          <w:rFonts w:hint="eastAsia" w:ascii="仿宋_GB2312" w:hAnsi="宋体" w:eastAsia="仿宋_GB2312" w:cs="宋体"/>
          <w:color w:val="000000"/>
          <w:kern w:val="0"/>
          <w:sz w:val="32"/>
          <w:szCs w:val="32"/>
          <w:shd w:val="clear" w:color="auto" w:fill="FFFFFF"/>
        </w:rPr>
        <w:t>保证教学、科研、行政后勤等各项工作的顺利进行，我单位制定了财务管理制度，固定资产管理制度，并严格按照《会计法》《会计档案管理办法》进行会计凭证、账簿登记和会计档案管理。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我单位对部门预算绩效管理工作开展情况进行了自查自评，将评价结果作为预算安排的重要依据，优化资金配置，不断强化绩效理念，推动我单位整体绩效管理水平不断提升。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本年，根据我单位年初工作规划，围绕县委、县政府全面建成小康社会的发展蓝图，积极履职，强化管理，较好的完成了上年度工作目标,整体评价良好。通过加强预算收支管理，不断建立健全内部管理制度，梳理内部管理流程，单位整体支出管理情况得到提升。</w:t>
      </w:r>
    </w:p>
    <w:p>
      <w:pPr>
        <w:spacing w:line="580" w:lineRule="exact"/>
        <w:ind w:firstLine="643" w:firstLineChars="200"/>
        <w:rPr>
          <w:rFonts w:ascii="仿宋_GB2312" w:hAnsi="宋体" w:eastAsia="仿宋_GB2312" w:cs="宋体"/>
          <w:b/>
          <w:bCs/>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rPr>
        <w:t>（二）存在问题</w:t>
      </w:r>
    </w:p>
    <w:p>
      <w:pPr>
        <w:spacing w:line="58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业务水平有待提升，内部管理制度还需不断健全</w:t>
      </w:r>
    </w:p>
    <w:p>
      <w:pPr>
        <w:spacing w:line="580" w:lineRule="exact"/>
        <w:ind w:firstLine="643"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b/>
          <w:bCs/>
          <w:color w:val="000000"/>
          <w:kern w:val="0"/>
          <w:sz w:val="32"/>
          <w:szCs w:val="32"/>
          <w:shd w:val="clear" w:color="auto" w:fill="FFFFFF"/>
        </w:rPr>
        <w:t>（三）改进建议</w:t>
      </w:r>
    </w:p>
    <w:p>
      <w:pPr>
        <w:spacing w:line="580" w:lineRule="exact"/>
        <w:ind w:firstLine="640" w:firstLineChars="200"/>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通过加强预算收支管理，不断建立健全内部管理制度，梳理内部管理流程，单位整体支出管理情况得到提升。</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tbl>
      <w:tblPr>
        <w:tblStyle w:val="17"/>
        <w:tblpPr w:leftFromText="180" w:rightFromText="180" w:vertAnchor="text" w:horzAnchor="margin" w:tblpY="180"/>
        <w:tblW w:w="8520" w:type="dxa"/>
        <w:tblInd w:w="0" w:type="dxa"/>
        <w:tblLayout w:type="fixed"/>
        <w:tblCellMar>
          <w:top w:w="0" w:type="dxa"/>
          <w:left w:w="0" w:type="dxa"/>
          <w:bottom w:w="0" w:type="dxa"/>
          <w:right w:w="0" w:type="dxa"/>
        </w:tblCellMar>
      </w:tblPr>
      <w:tblGrid>
        <w:gridCol w:w="678"/>
        <w:gridCol w:w="1105"/>
        <w:gridCol w:w="2509"/>
        <w:gridCol w:w="338"/>
        <w:gridCol w:w="374"/>
        <w:gridCol w:w="3500"/>
        <w:gridCol w:w="16"/>
      </w:tblGrid>
      <w:tr>
        <w:tblPrEx>
          <w:tblLayout w:type="fixed"/>
          <w:tblCellMar>
            <w:top w:w="0" w:type="dxa"/>
            <w:left w:w="0" w:type="dxa"/>
            <w:bottom w:w="0" w:type="dxa"/>
            <w:right w:w="0" w:type="dxa"/>
          </w:tblCellMar>
        </w:tblPrEx>
        <w:trPr>
          <w:gridAfter w:val="1"/>
          <w:wAfter w:w="16" w:type="dxa"/>
          <w:trHeight w:val="335" w:hRule="atLeast"/>
        </w:trPr>
        <w:tc>
          <w:tcPr>
            <w:tcW w:w="8504" w:type="dxa"/>
            <w:gridSpan w:val="6"/>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壤塘县壤柯镇社区服务中心2019年整体</w:t>
            </w:r>
          </w:p>
          <w:p>
            <w:pPr>
              <w:widowControl/>
              <w:jc w:val="center"/>
              <w:textAlignment w:val="center"/>
              <w:rPr>
                <w:rFonts w:ascii="仿宋_GB2312" w:hAnsi="宋体" w:eastAsia="仿宋_GB2312" w:cs="宋体"/>
                <w:b/>
                <w:color w:val="000000"/>
                <w:sz w:val="32"/>
                <w:szCs w:val="32"/>
              </w:rPr>
            </w:pPr>
            <w:r>
              <w:rPr>
                <w:rFonts w:hint="eastAsia" w:ascii="仿宋_GB2312" w:hAnsi="宋体" w:eastAsia="仿宋_GB2312" w:cs="宋体"/>
                <w:b/>
                <w:color w:val="000000"/>
                <w:kern w:val="0"/>
                <w:sz w:val="32"/>
                <w:szCs w:val="32"/>
              </w:rPr>
              <w:t>支出绩效评价指标体系</w:t>
            </w:r>
          </w:p>
        </w:tc>
      </w:tr>
      <w:tr>
        <w:tblPrEx>
          <w:tblLayout w:type="fixed"/>
          <w:tblCellMar>
            <w:top w:w="0" w:type="dxa"/>
            <w:left w:w="0" w:type="dxa"/>
            <w:bottom w:w="0" w:type="dxa"/>
            <w:right w:w="0" w:type="dxa"/>
          </w:tblCellMar>
        </w:tblPrEx>
        <w:trPr>
          <w:trHeight w:val="665"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二级指标</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三级指标</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指标解释</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扣分</w:t>
            </w: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扣分理由</w:t>
            </w: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计分标准（备注）</w:t>
            </w:r>
          </w:p>
        </w:tc>
      </w:tr>
      <w:tr>
        <w:tblPrEx>
          <w:tblLayout w:type="fixed"/>
          <w:tblCellMar>
            <w:top w:w="0" w:type="dxa"/>
            <w:left w:w="0" w:type="dxa"/>
            <w:bottom w:w="0" w:type="dxa"/>
            <w:right w:w="0" w:type="dxa"/>
          </w:tblCellMar>
        </w:tblPrEx>
        <w:trPr>
          <w:trHeight w:val="8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报送时效（2分）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基础信息更新（2分）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部门是否按照县级部门预算编制通知和有关要求，按时完成基础库、项目库报送工作</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超过规定5个工作日扣0.5分，10个工作日扣1分，以此类推，直至扣完</w:t>
            </w:r>
          </w:p>
        </w:tc>
      </w:tr>
      <w:tr>
        <w:tblPrEx>
          <w:tblLayout w:type="fixed"/>
          <w:tblCellMar>
            <w:top w:w="0" w:type="dxa"/>
            <w:left w:w="0" w:type="dxa"/>
            <w:bottom w:w="0" w:type="dxa"/>
            <w:right w:w="0" w:type="dxa"/>
          </w:tblCellMar>
        </w:tblPrEx>
        <w:trPr>
          <w:trHeight w:val="98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编制质量（3分）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预算编制准确（2分）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（预算资金总来源-中期评估调整取消资金-预算结余注销资金）÷预算资金总来源*指标分值</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其中：预算资金总来源是指县级年初预算与执行中追加预算（不含当年专款）总和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部门预算审查（1分）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根据县人大财经委对预算草案审查结果进行考核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对财经委审查后提出并确需修改的问题，每个问题扣0.02分，直至扣完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绩效目标（5分）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部门整体绩效目标（2分）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部门整体绩效目标编制完整、合理</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部门整体绩效目标能完整、合理反映部门年度职责履行情况的得分，否则不得分</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重点项目绩效目标（3分）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项目绩效目标编制明确、量化</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项目支出绩效目标编制不明确和量化的发现一个扣0.5分，直至扣完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执行进度（10分）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财力专项预算分配时限（4分）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按规定及时分配财力专项预算</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按《预算法》规定时限完成分配的考核得分，否则不得分</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部门预算执行进度（6分）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部门按要求严格预算执行管理</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部门预算实际列支数÷部门预算总额*指标分值</w:t>
            </w:r>
          </w:p>
        </w:tc>
      </w:tr>
      <w:tr>
        <w:tblPrEx>
          <w:tblLayout w:type="fixed"/>
          <w:tblCellMar>
            <w:top w:w="0" w:type="dxa"/>
            <w:left w:w="0" w:type="dxa"/>
            <w:bottom w:w="0" w:type="dxa"/>
            <w:right w:w="0" w:type="dxa"/>
          </w:tblCellMar>
        </w:tblPrEx>
        <w:trPr>
          <w:trHeight w:val="884" w:hRule="atLeast"/>
        </w:trPr>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预算调整（4分）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执行中期评估（4分）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部门中期评估调整取消资金÷(中期评估调整取消资金+预算结余注销资金）*指标分值</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当中期评估调整取消资金与结余注销资金之和为零时，得满分</w:t>
            </w:r>
          </w:p>
        </w:tc>
      </w:tr>
      <w:tr>
        <w:tblPrEx>
          <w:tblLayout w:type="fixed"/>
          <w:tblCellMar>
            <w:top w:w="0" w:type="dxa"/>
            <w:left w:w="0" w:type="dxa"/>
            <w:bottom w:w="0" w:type="dxa"/>
            <w:right w:w="0" w:type="dxa"/>
          </w:tblCellMar>
        </w:tblPrEx>
        <w:trPr>
          <w:trHeight w:val="665" w:hRule="atLeast"/>
        </w:trPr>
        <w:tc>
          <w:tcPr>
            <w:tcW w:w="67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行政成本（6分）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三公经费（6分）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严格执行“三公经费”预算</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部门“三公”经费决算数一项超预算扣1分，两项超预算扣2分，以此类推，直至扣完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政府采购实施计划（4分）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政府采购实施计划编制（2）</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实施计划与政府采购预算的一致性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（1-调整或细化资金/政府采购预算资金）*分值</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政府采购实施计划的执行（2）</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执行的实施计划与备案的实施计划的一致性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（1-实施计划备案后的调整或细化资金/实施计划备案后的资金）*分值</w:t>
            </w:r>
          </w:p>
        </w:tc>
      </w:tr>
      <w:tr>
        <w:tblPrEx>
          <w:tblLayout w:type="fixed"/>
          <w:tblCellMar>
            <w:top w:w="0" w:type="dxa"/>
            <w:left w:w="0" w:type="dxa"/>
            <w:bottom w:w="0" w:type="dxa"/>
            <w:right w:w="0" w:type="dxa"/>
          </w:tblCellMar>
        </w:tblPrEx>
        <w:trPr>
          <w:trHeight w:val="1057"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资产管理（6分）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资产管理信息系统建设情况（2分）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考核部门和单位将国有资产纳入资产信息系统管理情况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①未将所属单位国有资产纳入系统管理，每少一个单位扣1分。②未将资产变动情况及时录入系统，每次扣0.5分。③未落实人员负责管理系统，扣1分。</w:t>
            </w:r>
          </w:p>
        </w:tc>
      </w:tr>
      <w:tr>
        <w:tblPrEx>
          <w:tblLayout w:type="fixed"/>
          <w:tblCellMar>
            <w:top w:w="0" w:type="dxa"/>
            <w:left w:w="0" w:type="dxa"/>
            <w:bottom w:w="0" w:type="dxa"/>
            <w:right w:w="0" w:type="dxa"/>
          </w:tblCellMar>
        </w:tblPrEx>
        <w:trPr>
          <w:trHeight w:val="162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行政事业单位资产清查开展情况（2分）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考核行政事业单位按要求及时、准确、全面开展资产清查工作情况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r>
      <w:tr>
        <w:tblPrEx>
          <w:tblLayout w:type="fixed"/>
          <w:tblCellMar>
            <w:top w:w="0" w:type="dxa"/>
            <w:left w:w="0" w:type="dxa"/>
            <w:bottom w:w="0" w:type="dxa"/>
            <w:right w:w="0" w:type="dxa"/>
          </w:tblCellMar>
        </w:tblPrEx>
        <w:trPr>
          <w:trHeight w:val="130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行政事业单位资产报表上报情况（2分）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考核行政事业单位上报国有资产报表数据的真实性、准确性、全面性</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①未落实专人负责资产报表，未及时上报资产报表扣1分。②报表填报不规范，内容不完整，数据不真实，扣1分。③未提交分析报告，对资产变动情况未作分析说明，扣1分。</w:t>
            </w:r>
          </w:p>
        </w:tc>
      </w:tr>
      <w:tr>
        <w:tblPrEx>
          <w:tblLayout w:type="fixed"/>
          <w:tblCellMar>
            <w:top w:w="0" w:type="dxa"/>
            <w:left w:w="0" w:type="dxa"/>
            <w:bottom w:w="0" w:type="dxa"/>
            <w:right w:w="0" w:type="dxa"/>
          </w:tblCellMar>
        </w:tblPrEx>
        <w:trPr>
          <w:trHeight w:val="1057" w:hRule="atLeast"/>
        </w:trPr>
        <w:tc>
          <w:tcPr>
            <w:tcW w:w="67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内控制度管理（4分）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内部控制度健全完整（4分）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考核部门内部控制制度的设置和执行情况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w:t>
            </w: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制度还需要不断健全</w:t>
            </w: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内部控制制度健全完整并执行良好的得分，否则不得分。在本年度内因内控制度不健全或执行不到位，造成单位出现廉政风险或发生重大责任事故的不得分。</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信息公开（10分）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预算公开（4分）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除涉密信息外，各部门要在财政部门批复后二十日内向社会公开本部门预算（含所有财政资金安排的“三公”经费、机关运行经费的安排、使用情况等）</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按县财政通知要求公开预算，未按要求公开的，发现一处扣0.5分，直至扣完</w:t>
            </w:r>
          </w:p>
        </w:tc>
      </w:tr>
      <w:tr>
        <w:tblPrEx>
          <w:tblLayout w:type="fixed"/>
          <w:tblCellMar>
            <w:top w:w="0" w:type="dxa"/>
            <w:left w:w="0" w:type="dxa"/>
            <w:bottom w:w="0" w:type="dxa"/>
            <w:right w:w="0" w:type="dxa"/>
          </w:tblCellMar>
        </w:tblPrEx>
        <w:trPr>
          <w:trHeight w:val="130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决算公开（4分）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除涉密信息外，各部门要在财政部门批复二十日内向社会公开本部门决算（含所有财政资金安排的“三公”经费、机关运行经费的安排、使用情况等）</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未按要求公开的，发现一处问题0.5分，直至扣完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绩效信息公开（2分）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按要求公开部门整体支出绩效自评报告及其他按要求应公开的绩效信息</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未按要求公开的，发现一处问题0.5分，直至扣完</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绩效评价（10分）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评价项目覆盖率（2分）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部门实施绩效评价项目数量占部门管理专项预算项目数量的比重，部门申报绩效目标项目数量的比重，用以反映和考核部门实施绩效评价项目资金覆盖情况</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评价覆盖率=实施绩效评价项目数量/部门管理专项预算项目数量×100%</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评价层次（2分）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部门（单位）是否对单位内部股室开展整体绩效评价</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对单位内部实施评价的得分，否则不得分</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评价结果报告（2分）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部门是否按要求向财政部门报告自评报告等相关绩效信息</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未按要求报送的，发现一处扣0.5分，直至扣完。</w:t>
            </w:r>
          </w:p>
        </w:tc>
      </w:tr>
      <w:tr>
        <w:tblPrEx>
          <w:tblLayout w:type="fixed"/>
          <w:tblCellMar>
            <w:top w:w="0" w:type="dxa"/>
            <w:left w:w="0" w:type="dxa"/>
            <w:bottom w:w="0" w:type="dxa"/>
            <w:right w:w="0" w:type="dxa"/>
          </w:tblCellMar>
        </w:tblPrEx>
        <w:trPr>
          <w:trHeight w:val="66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整改完成率（4分）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部门是否按要求针对绩效评价发现问题制定整改措施，并整改落实到位</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完成率=应制定整改措施的项目数量/部门实际制定整改措施项目数量×100%。</w:t>
            </w:r>
          </w:p>
        </w:tc>
      </w:tr>
      <w:tr>
        <w:tblPrEx>
          <w:tblLayout w:type="fixed"/>
          <w:tblCellMar>
            <w:top w:w="0" w:type="dxa"/>
            <w:left w:w="0" w:type="dxa"/>
            <w:bottom w:w="0" w:type="dxa"/>
            <w:right w:w="0" w:type="dxa"/>
          </w:tblCellMar>
        </w:tblPrEx>
        <w:trPr>
          <w:trHeight w:val="130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依法接受财政监督（6分）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是否按要求开展自查自纠（2分）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根据相关自查自纠报告、报表报送时效和质量进行考核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未在规定时间内报送自查自纠相关材料（包括：纸质和电子版）的，扣0.5分；报告内容不完整，扣1分；报表质量差（如：数据、逻辑、勾稽关系错误）等扣0.5分；直至扣完</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重点检查发现违规违纪问题（2分）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根据检查组提供的工作底稿、检查报告等资料进行考核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专项检查发现的违纪违规问题，每个问题扣0.5分，直至扣完</w:t>
            </w:r>
          </w:p>
        </w:tc>
      </w:tr>
      <w:tr>
        <w:tblPrEx>
          <w:tblLayout w:type="fixed"/>
          <w:tblCellMar>
            <w:top w:w="0" w:type="dxa"/>
            <w:left w:w="0" w:type="dxa"/>
            <w:bottom w:w="0" w:type="dxa"/>
            <w:right w:w="0" w:type="dxa"/>
          </w:tblCellMar>
        </w:tblPrEx>
        <w:trPr>
          <w:trHeight w:val="77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存在问题整改是否到位（2分）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根据相关整改报告、凭证依据等相关证明材料进行考核</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未在规定时间内完成整改，并提供相关证明材料的，每个问题0.5分，直至扣完</w:t>
            </w:r>
          </w:p>
        </w:tc>
      </w:tr>
      <w:tr>
        <w:tblPrEx>
          <w:tblLayout w:type="fixed"/>
          <w:tblCellMar>
            <w:top w:w="0" w:type="dxa"/>
            <w:left w:w="0" w:type="dxa"/>
            <w:bottom w:w="0" w:type="dxa"/>
            <w:right w:w="0" w:type="dxa"/>
          </w:tblCellMar>
        </w:tblPrEx>
        <w:trPr>
          <w:trHeight w:val="775" w:hRule="atLeast"/>
        </w:trPr>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部门整体绩效（30分）</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重点项目绩效评价结果（10分）</w:t>
            </w:r>
          </w:p>
        </w:tc>
        <w:tc>
          <w:tcPr>
            <w:tcW w:w="25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部门实施重大项目的经济、社会效益</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根据县财政组织实施项目绩效评价结果换算</w:t>
            </w:r>
          </w:p>
        </w:tc>
      </w:tr>
      <w:tr>
        <w:tblPrEx>
          <w:tblLayout w:type="fixed"/>
          <w:tblCellMar>
            <w:top w:w="0" w:type="dxa"/>
            <w:left w:w="0" w:type="dxa"/>
            <w:bottom w:w="0" w:type="dxa"/>
            <w:right w:w="0" w:type="dxa"/>
          </w:tblCellMar>
        </w:tblPrEx>
        <w:trPr>
          <w:trHeight w:val="345"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部门职能完成情况特性指标（20分）</w:t>
            </w:r>
          </w:p>
        </w:tc>
        <w:tc>
          <w:tcPr>
            <w:tcW w:w="25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根据部门职能职责、州级主管部门和县委县政府安排的各项专项工作任务及其他年度重点工作任务等，汇总梳理形成能够量化衡量且全面反映部门职能工作完成情况的若干指标。</w:t>
            </w: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部门和评价组根据部门实际设置</w:t>
            </w:r>
          </w:p>
        </w:tc>
      </w:tr>
      <w:tr>
        <w:tblPrEx>
          <w:tblLayout w:type="fixed"/>
          <w:tblCellMar>
            <w:top w:w="0" w:type="dxa"/>
            <w:left w:w="0" w:type="dxa"/>
            <w:bottom w:w="0" w:type="dxa"/>
            <w:right w:w="0" w:type="dxa"/>
          </w:tblCellMar>
        </w:tblPrEx>
        <w:trPr>
          <w:trHeight w:val="1280" w:hRule="atLeast"/>
        </w:trPr>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25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4"/>
              </w:rPr>
            </w:pPr>
          </w:p>
        </w:tc>
        <w:tc>
          <w:tcPr>
            <w:tcW w:w="351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gridAfter w:val="1"/>
          <w:wAfter w:w="16" w:type="dxa"/>
          <w:trHeight w:val="665" w:hRule="atLeast"/>
        </w:trPr>
        <w:tc>
          <w:tcPr>
            <w:tcW w:w="8504" w:type="dxa"/>
            <w:gridSpan w:val="6"/>
            <w:tcBorders>
              <w:top w:val="single" w:color="000000" w:sz="4" w:space="0"/>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注：若某部门不存在某项评价内容或评价指标，则该评价内容或评价指标不计入该部门考核评价范围，即该部门评价总分＝不含该评价内容或指标的评价总分/（100-该评价内容或指标所占分值）*100。</w:t>
            </w: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kern w:val="0"/>
                <w:sz w:val="24"/>
              </w:rPr>
            </w:pPr>
          </w:p>
          <w:p>
            <w:pPr>
              <w:widowControl/>
              <w:jc w:val="center"/>
              <w:textAlignment w:val="center"/>
              <w:rPr>
                <w:rFonts w:ascii="宋体" w:hAnsi="宋体" w:cs="宋体"/>
                <w:b/>
                <w:color w:val="000000"/>
                <w:sz w:val="24"/>
              </w:rPr>
            </w:pPr>
          </w:p>
        </w:tc>
      </w:tr>
    </w:tbl>
    <w:p>
      <w:pPr>
        <w:spacing w:line="600" w:lineRule="exact"/>
        <w:jc w:val="center"/>
        <w:outlineLvl w:val="0"/>
        <w:rPr>
          <w:rFonts w:ascii="黑体" w:hAnsi="宋体" w:eastAsia="黑体"/>
          <w:sz w:val="32"/>
          <w:szCs w:val="32"/>
        </w:rPr>
      </w:pPr>
    </w:p>
    <w:p>
      <w:pPr>
        <w:spacing w:line="600" w:lineRule="exact"/>
        <w:jc w:val="center"/>
        <w:outlineLvl w:val="0"/>
        <w:rPr>
          <w:rFonts w:ascii="黑体" w:hAnsi="宋体" w:eastAsia="黑体"/>
          <w:sz w:val="32"/>
          <w:szCs w:val="32"/>
        </w:rPr>
      </w:pPr>
    </w:p>
    <w:p>
      <w:pPr>
        <w:spacing w:line="600" w:lineRule="exact"/>
        <w:jc w:val="center"/>
        <w:outlineLvl w:val="0"/>
        <w:rPr>
          <w:rFonts w:ascii="黑体" w:hAnsi="宋体" w:eastAsia="黑体"/>
          <w:sz w:val="32"/>
          <w:szCs w:val="32"/>
        </w:rPr>
      </w:pPr>
    </w:p>
    <w:p>
      <w:pPr>
        <w:spacing w:line="600" w:lineRule="exact"/>
        <w:jc w:val="center"/>
        <w:outlineLvl w:val="0"/>
        <w:rPr>
          <w:rFonts w:ascii="黑体" w:hAnsi="宋体" w:eastAsia="黑体"/>
          <w:sz w:val="32"/>
          <w:szCs w:val="32"/>
        </w:rPr>
      </w:pPr>
    </w:p>
    <w:p>
      <w:pPr>
        <w:spacing w:line="600" w:lineRule="exact"/>
        <w:jc w:val="center"/>
        <w:outlineLvl w:val="0"/>
        <w:rPr>
          <w:rFonts w:ascii="黑体" w:hAnsi="宋体" w:eastAsia="黑体"/>
          <w:sz w:val="32"/>
          <w:szCs w:val="32"/>
        </w:rPr>
      </w:pPr>
    </w:p>
    <w:p>
      <w:pPr>
        <w:spacing w:line="600" w:lineRule="exact"/>
        <w:jc w:val="center"/>
        <w:outlineLvl w:val="0"/>
        <w:rPr>
          <w:rFonts w:ascii="黑体" w:hAnsi="宋体" w:eastAsia="黑体"/>
          <w:sz w:val="32"/>
          <w:szCs w:val="32"/>
        </w:rPr>
      </w:pPr>
    </w:p>
    <w:p>
      <w:pPr>
        <w:spacing w:line="600" w:lineRule="exact"/>
        <w:outlineLvl w:val="0"/>
        <w:rPr>
          <w:rStyle w:val="26"/>
          <w:rFonts w:ascii="黑体" w:hAnsi="黑体" w:eastAsia="黑体"/>
          <w:b w:val="0"/>
        </w:rPr>
      </w:pPr>
    </w:p>
    <w:p>
      <w:pPr>
        <w:spacing w:line="600" w:lineRule="exact"/>
        <w:jc w:val="center"/>
        <w:outlineLvl w:val="0"/>
        <w:rPr>
          <w:rStyle w:val="26"/>
          <w:rFonts w:ascii="黑体" w:hAnsi="黑体" w:eastAsia="黑体"/>
          <w:b w:val="0"/>
        </w:rPr>
      </w:pPr>
      <w:bookmarkStart w:id="59"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3"/>
        <w:rPr>
          <w:rStyle w:val="27"/>
          <w:rFonts w:ascii="仿宋" w:hAnsi="仿宋" w:eastAsia="仿宋"/>
          <w:b w:val="0"/>
          <w:bCs w:val="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2312">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30A7"/>
    <w:rsid w:val="000768F2"/>
    <w:rsid w:val="0009184B"/>
    <w:rsid w:val="00094236"/>
    <w:rsid w:val="0009593C"/>
    <w:rsid w:val="00097322"/>
    <w:rsid w:val="000A6A92"/>
    <w:rsid w:val="000B047F"/>
    <w:rsid w:val="000B0556"/>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3BD5"/>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2E39"/>
    <w:rsid w:val="002D19B0"/>
    <w:rsid w:val="002D6D05"/>
    <w:rsid w:val="002F1818"/>
    <w:rsid w:val="002F567B"/>
    <w:rsid w:val="00307E92"/>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B6BB7"/>
    <w:rsid w:val="004E0A2D"/>
    <w:rsid w:val="004E206B"/>
    <w:rsid w:val="004E45F6"/>
    <w:rsid w:val="004E6DF7"/>
    <w:rsid w:val="004F0FBD"/>
    <w:rsid w:val="004F403E"/>
    <w:rsid w:val="00505A47"/>
    <w:rsid w:val="00512FDA"/>
    <w:rsid w:val="00520DA0"/>
    <w:rsid w:val="005664BB"/>
    <w:rsid w:val="00566FFA"/>
    <w:rsid w:val="0057212F"/>
    <w:rsid w:val="0057481D"/>
    <w:rsid w:val="00575F0B"/>
    <w:rsid w:val="0058486E"/>
    <w:rsid w:val="00585B33"/>
    <w:rsid w:val="0059014D"/>
    <w:rsid w:val="005B5C64"/>
    <w:rsid w:val="005C6BD0"/>
    <w:rsid w:val="005C6C4C"/>
    <w:rsid w:val="005D1C8B"/>
    <w:rsid w:val="005D468D"/>
    <w:rsid w:val="005D5CED"/>
    <w:rsid w:val="005E72B6"/>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1D87"/>
    <w:rsid w:val="00813348"/>
    <w:rsid w:val="008253BB"/>
    <w:rsid w:val="00833962"/>
    <w:rsid w:val="0083706E"/>
    <w:rsid w:val="008408F6"/>
    <w:rsid w:val="008423A5"/>
    <w:rsid w:val="00850625"/>
    <w:rsid w:val="00853718"/>
    <w:rsid w:val="00855221"/>
    <w:rsid w:val="00860645"/>
    <w:rsid w:val="00871F71"/>
    <w:rsid w:val="00872FD8"/>
    <w:rsid w:val="00885AF4"/>
    <w:rsid w:val="00893705"/>
    <w:rsid w:val="008939CD"/>
    <w:rsid w:val="008B768C"/>
    <w:rsid w:val="008C4DB1"/>
    <w:rsid w:val="008C4EAF"/>
    <w:rsid w:val="008C5176"/>
    <w:rsid w:val="008C7FD0"/>
    <w:rsid w:val="008E1DE7"/>
    <w:rsid w:val="008E58CD"/>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151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60EE"/>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23C"/>
    <w:rsid w:val="00ED3C1F"/>
    <w:rsid w:val="00ED4085"/>
    <w:rsid w:val="00ED420E"/>
    <w:rsid w:val="00ED6FBE"/>
    <w:rsid w:val="00EE2F57"/>
    <w:rsid w:val="00EF4C34"/>
    <w:rsid w:val="00EF655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0CFD"/>
    <w:rsid w:val="00FF1E02"/>
    <w:rsid w:val="00FF30B4"/>
    <w:rsid w:val="09783895"/>
    <w:rsid w:val="0E396E51"/>
    <w:rsid w:val="10C055FF"/>
    <w:rsid w:val="11552894"/>
    <w:rsid w:val="16BB723D"/>
    <w:rsid w:val="1B3B0D5F"/>
    <w:rsid w:val="216876E5"/>
    <w:rsid w:val="240371BF"/>
    <w:rsid w:val="2510580D"/>
    <w:rsid w:val="292955A4"/>
    <w:rsid w:val="29FD04D3"/>
    <w:rsid w:val="2E3920F2"/>
    <w:rsid w:val="319F7F4E"/>
    <w:rsid w:val="4AE85E03"/>
    <w:rsid w:val="4ECE2238"/>
    <w:rsid w:val="58C87628"/>
    <w:rsid w:val="5C8728D2"/>
    <w:rsid w:val="5F112DD2"/>
    <w:rsid w:val="5F663956"/>
    <w:rsid w:val="60AB5F0E"/>
    <w:rsid w:val="63A73F5B"/>
    <w:rsid w:val="6D941B1B"/>
    <w:rsid w:val="72734D90"/>
    <w:rsid w:val="7C434A7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3"/>
    <w:uiPriority w:val="99"/>
    <w:pPr>
      <w:spacing w:beforeLines="30"/>
    </w:pPr>
    <w:rPr>
      <w:rFonts w:ascii="仿宋_GB2312" w:eastAsia="仿宋_GB2312"/>
      <w:kern w:val="0"/>
      <w:sz w:val="30"/>
    </w:rPr>
  </w:style>
  <w:style w:type="paragraph" w:styleId="6">
    <w:name w:val="Body Text Indent"/>
    <w:basedOn w:val="1"/>
    <w:link w:val="32"/>
    <w:semiHidden/>
    <w:unhideWhenUsed/>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Body Text First Indent 2"/>
    <w:basedOn w:val="6"/>
    <w:link w:val="33"/>
    <w:qFormat/>
    <w:uiPriority w:val="0"/>
    <w:pPr>
      <w:ind w:firstLine="420" w:firstLineChars="200"/>
    </w:pPr>
    <w:rPr>
      <w:rFonts w:ascii="Calibri" w:hAnsi="Calibri"/>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4"/>
    <w:qFormat/>
    <w:uiPriority w:val="9"/>
    <w:rPr>
      <w:rFonts w:ascii="Times New Roman" w:hAnsi="Times New Roman"/>
      <w:b/>
      <w:bCs/>
      <w:kern w:val="2"/>
      <w:sz w:val="32"/>
      <w:szCs w:val="32"/>
    </w:rPr>
  </w:style>
  <w:style w:type="paragraph" w:customStyle="1" w:styleId="31">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正文文本缩进 Char"/>
    <w:basedOn w:val="14"/>
    <w:link w:val="6"/>
    <w:semiHidden/>
    <w:qFormat/>
    <w:uiPriority w:val="99"/>
    <w:rPr>
      <w:rFonts w:ascii="Times New Roman" w:hAnsi="Times New Roman"/>
      <w:kern w:val="2"/>
      <w:sz w:val="21"/>
      <w:szCs w:val="24"/>
    </w:rPr>
  </w:style>
  <w:style w:type="character" w:customStyle="1" w:styleId="33">
    <w:name w:val="正文首行缩进 2 Char"/>
    <w:basedOn w:val="32"/>
    <w:link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收入支出决算表</a:t>
            </a:r>
            <a:endParaRPr lang="zh-CN" altLang="en-US"/>
          </a:p>
        </c:rich>
      </c:tx>
      <c:layout/>
      <c:overlay val="0"/>
    </c:title>
    <c:autoTitleDeleted val="0"/>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216.35</c:v>
                </c:pt>
                <c:pt idx="1">
                  <c:v>244.35</c:v>
                </c:pt>
              </c:numCache>
            </c:numRef>
          </c:val>
        </c:ser>
        <c:ser>
          <c:idx val="1"/>
          <c:order val="1"/>
          <c:tx>
            <c:strRef>
              <c:f>Sheet1!$C$1</c:f>
              <c:strCache>
                <c:ptCount val="1"/>
                <c:pt idx="0">
                  <c:v>2019年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275.89</c:v>
                </c:pt>
                <c:pt idx="1">
                  <c:v>275.89</c:v>
                </c:pt>
              </c:numCache>
            </c:numRef>
          </c:val>
        </c:ser>
        <c:dLbls>
          <c:showLegendKey val="0"/>
          <c:showVal val="0"/>
          <c:showCatName val="0"/>
          <c:showSerName val="0"/>
          <c:showPercent val="0"/>
          <c:showBubbleSize val="0"/>
        </c:dLbls>
        <c:gapWidth val="150"/>
        <c:axId val="76557696"/>
        <c:axId val="76735616"/>
      </c:barChart>
      <c:catAx>
        <c:axId val="7655769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735616"/>
        <c:crosses val="autoZero"/>
        <c:auto val="1"/>
        <c:lblAlgn val="ctr"/>
        <c:lblOffset val="100"/>
        <c:noMultiLvlLbl val="0"/>
      </c:catAx>
      <c:valAx>
        <c:axId val="7673561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65576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收入决算情况</a:t>
            </a:r>
          </a:p>
        </c:rich>
      </c:tx>
      <c:layout>
        <c:manualLayout>
          <c:xMode val="edge"/>
          <c:yMode val="edge"/>
          <c:x val="0.375038865864557"/>
          <c:y val="0"/>
        </c:manualLayout>
      </c:layout>
      <c:overlay val="0"/>
      <c:spPr>
        <a:noFill/>
        <a:ln>
          <a:noFill/>
        </a:ln>
        <a:effectLst/>
      </c:spPr>
    </c:title>
    <c:autoTitleDeleted val="0"/>
    <c:plotArea>
      <c:layout>
        <c:manualLayout>
          <c:layoutTarget val="inner"/>
          <c:xMode val="edge"/>
          <c:yMode val="edge"/>
          <c:x val="0.272361111111111"/>
          <c:y val="0.22037037037037"/>
          <c:w val="0.463611111111111"/>
          <c:h val="0.772685185185188"/>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工作表.xls]Sheet1'!$A$3:$A$4</c:f>
              <c:strCache>
                <c:ptCount val="2"/>
                <c:pt idx="0">
                  <c:v>一般公共预算财政拨款收入</c:v>
                </c:pt>
                <c:pt idx="1">
                  <c:v>其他收入</c:v>
                </c:pt>
              </c:strCache>
            </c:strRef>
          </c:cat>
          <c:val>
            <c:numRef>
              <c:f>'[新建 XLS 工作表.xls]Sheet1'!$B$3:$B$4</c:f>
              <c:numCache>
                <c:formatCode>General</c:formatCode>
                <c:ptCount val="2"/>
                <c:pt idx="0">
                  <c:v>2054.46</c:v>
                </c:pt>
                <c:pt idx="1">
                  <c:v>0.15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支出决算图</c:v>
                </c:pt>
              </c:strCache>
            </c:strRef>
          </c:tx>
          <c:explosion val="0"/>
          <c:dPt>
            <c:idx val="0"/>
            <c:bubble3D val="0"/>
          </c:dPt>
          <c:dPt>
            <c:idx val="1"/>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其他支出</c:v>
                </c:pt>
              </c:strCache>
            </c:strRef>
          </c:cat>
          <c:val>
            <c:numRef>
              <c:f>Sheet1!$B$2:$B$3</c:f>
              <c:numCache>
                <c:formatCode>0%</c:formatCode>
                <c:ptCount val="2"/>
                <c:pt idx="0">
                  <c:v>1</c:v>
                </c:pt>
                <c:pt idx="1">
                  <c:v>0</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800" b="1" i="0" baseline="0"/>
              <a:t>财政拨款收、支决算总计表动表</a:t>
            </a:r>
            <a:endParaRPr lang="zh-CN"/>
          </a:p>
        </c:rich>
      </c:tx>
      <c:layout/>
      <c:overlay val="0"/>
    </c:title>
    <c:autoTitleDeleted val="0"/>
    <c:plotArea>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216.35</c:v>
                </c:pt>
                <c:pt idx="1">
                  <c:v>275.89</c:v>
                </c:pt>
              </c:numCache>
            </c:numRef>
          </c:val>
        </c:ser>
        <c:ser>
          <c:idx val="1"/>
          <c:order val="1"/>
          <c:tx>
            <c:strRef>
              <c:f>Sheet1!$C$1</c:f>
              <c:strCache>
                <c:ptCount val="1"/>
                <c:pt idx="0">
                  <c:v>财政拨款支出</c:v>
                </c:pt>
              </c:strCache>
            </c:strRef>
          </c:tx>
          <c:invertIfNegative val="0"/>
          <c:dLbls>
            <c:delete val="1"/>
          </c:dLbls>
          <c:cat>
            <c:strRef>
              <c:f>Sheet1!$A$2:$A$3</c:f>
              <c:strCache>
                <c:ptCount val="2"/>
                <c:pt idx="0">
                  <c:v>2018年</c:v>
                </c:pt>
                <c:pt idx="1">
                  <c:v>2019年</c:v>
                </c:pt>
              </c:strCache>
            </c:strRef>
          </c:cat>
          <c:val>
            <c:numRef>
              <c:f>Sheet1!$C$2:$C$3</c:f>
              <c:numCache>
                <c:formatCode>General</c:formatCode>
                <c:ptCount val="2"/>
                <c:pt idx="0">
                  <c:v>244.35</c:v>
                </c:pt>
                <c:pt idx="1">
                  <c:v>275.89</c:v>
                </c:pt>
              </c:numCache>
            </c:numRef>
          </c:val>
        </c:ser>
        <c:dLbls>
          <c:showLegendKey val="0"/>
          <c:showVal val="0"/>
          <c:showCatName val="0"/>
          <c:showSerName val="0"/>
          <c:showPercent val="0"/>
          <c:showBubbleSize val="0"/>
        </c:dLbls>
        <c:gapWidth val="150"/>
        <c:axId val="86498304"/>
        <c:axId val="86504192"/>
      </c:barChart>
      <c:catAx>
        <c:axId val="864983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6504192"/>
        <c:crosses val="autoZero"/>
        <c:auto val="1"/>
        <c:lblAlgn val="ctr"/>
        <c:lblOffset val="100"/>
        <c:noMultiLvlLbl val="0"/>
      </c:catAx>
      <c:valAx>
        <c:axId val="8650419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64983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244.35</c:v>
                </c:pt>
                <c:pt idx="1">
                  <c:v>275.89</c:v>
                </c:pt>
              </c:numCache>
            </c:numRef>
          </c:val>
        </c:ser>
        <c:dLbls>
          <c:showLegendKey val="0"/>
          <c:showVal val="0"/>
          <c:showCatName val="0"/>
          <c:showSerName val="0"/>
          <c:showPercent val="0"/>
          <c:showBubbleSize val="0"/>
        </c:dLbls>
        <c:gapWidth val="150"/>
        <c:axId val="86643456"/>
        <c:axId val="86644992"/>
      </c:barChart>
      <c:catAx>
        <c:axId val="866434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6644992"/>
        <c:crosses val="autoZero"/>
        <c:auto val="1"/>
        <c:lblAlgn val="ctr"/>
        <c:lblOffset val="100"/>
        <c:noMultiLvlLbl val="0"/>
      </c:catAx>
      <c:valAx>
        <c:axId val="8664499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66434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一般公共预算财政拨款支出决算结构图</c:v>
                </c:pt>
              </c:strCache>
            </c:strRef>
          </c:tx>
          <c:explosion val="0"/>
          <c:dPt>
            <c:idx val="0"/>
            <c:bubble3D val="0"/>
          </c:dPt>
          <c:dPt>
            <c:idx val="1"/>
            <c:bubble3D val="0"/>
          </c:dPt>
          <c:dPt>
            <c:idx val="2"/>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社会保障和就业（类）</c:v>
                </c:pt>
                <c:pt idx="1">
                  <c:v>卫生健康支出（类）</c:v>
                </c:pt>
                <c:pt idx="2">
                  <c:v>住房保障支出（类）</c:v>
                </c:pt>
              </c:strCache>
            </c:strRef>
          </c:cat>
          <c:val>
            <c:numRef>
              <c:f>Sheet1!$B$2:$B$4</c:f>
              <c:numCache>
                <c:formatCode>0%</c:formatCode>
                <c:ptCount val="3"/>
                <c:pt idx="0">
                  <c:v>0.13</c:v>
                </c:pt>
                <c:pt idx="1">
                  <c:v>0.8</c:v>
                </c:pt>
                <c:pt idx="2">
                  <c:v>0.07</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“三公”经费财政拨款支出结构图</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1C454-0C14-46D6-9830-F12AA28828C0}">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13775</Words>
  <Characters>3250</Characters>
  <Lines>27</Lines>
  <Paragraphs>33</Paragraphs>
  <TotalTime>8</TotalTime>
  <ScaleCrop>false</ScaleCrop>
  <LinksUpToDate>false</LinksUpToDate>
  <CharactersWithSpaces>16992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2020-10-26T06:10:00Z</dcterms:created>
  <dc:creator>曹颖</dc:creator>
  <cp:lastModifiedBy>陶淑群 </cp:lastModifiedBy>
  <cp:lastPrinted>2020-10-26T08:20:00Z</cp:lastPrinted>
  <dcterms:modified xsi:type="dcterms:W3CDTF">2020-10-27T02:20:45Z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