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eastAsia" w:ascii="方正小标宋简体" w:hAnsi="宋体" w:eastAsia="方正小标宋简体"/>
          <w:color w:val="000000"/>
          <w:sz w:val="44"/>
          <w:szCs w:val="44"/>
          <w:lang w:eastAsia="zh-CN"/>
        </w:rPr>
      </w:pPr>
      <w:bookmarkStart w:id="1" w:name="_Toc15396476"/>
      <w:bookmarkStart w:id="2" w:name="_Toc15377426"/>
      <w:bookmarkStart w:id="3" w:name="_Toc15378442"/>
      <w:bookmarkStart w:id="4" w:name="_Toc15377194"/>
      <w:bookmarkStart w:id="5" w:name="_Toc15396598"/>
      <w:r>
        <w:rPr>
          <w:rFonts w:hint="eastAsia" w:ascii="方正小标宋简体" w:hAnsi="宋体" w:eastAsia="方正小标宋简体"/>
          <w:color w:val="000000"/>
          <w:sz w:val="72"/>
          <w:szCs w:val="72"/>
          <w:lang w:val="en-US" w:eastAsia="zh-CN"/>
        </w:rPr>
        <w:t xml:space="preserve">  </w:t>
      </w:r>
      <w:bookmarkStart w:id="68" w:name="_GoBack"/>
      <w:r>
        <w:rPr>
          <w:rFonts w:hint="eastAsia" w:ascii="方正小标宋简体" w:hAnsi="宋体" w:eastAsia="方正小标宋简体"/>
          <w:color w:val="000000"/>
          <w:sz w:val="44"/>
          <w:szCs w:val="44"/>
        </w:rPr>
        <w:t>四川省阿坝州</w:t>
      </w:r>
      <w:r>
        <w:rPr>
          <w:rFonts w:hint="eastAsia" w:ascii="方正小标宋简体" w:hAnsi="宋体" w:eastAsia="方正小标宋简体"/>
          <w:color w:val="000000"/>
          <w:sz w:val="44"/>
          <w:szCs w:val="44"/>
          <w:lang w:eastAsia="zh-CN"/>
        </w:rPr>
        <w:t>壤塘县</w:t>
      </w:r>
      <w:bookmarkEnd w:id="0"/>
      <w:bookmarkStart w:id="6" w:name="_Toc15306268"/>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lang w:eastAsia="zh-CN"/>
        </w:rPr>
        <w:t>壤塘县妇幼保健计划生育服务中心</w:t>
      </w:r>
      <w:r>
        <w:rPr>
          <w:rFonts w:hint="eastAsia" w:ascii="方正小标宋简体" w:hAnsi="宋体" w:eastAsia="方正小标宋简体"/>
          <w:color w:val="000000"/>
          <w:sz w:val="44"/>
          <w:szCs w:val="44"/>
        </w:rPr>
        <w:t>部门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决</w:t>
      </w:r>
      <w:r>
        <w:rPr>
          <w:rFonts w:hint="eastAsia" w:ascii="方正小标宋简体" w:hAnsi="宋体" w:eastAsia="方正小标宋简体"/>
          <w:color w:val="000000"/>
          <w:sz w:val="44"/>
          <w:szCs w:val="44"/>
          <w:lang w:val="en-US" w:eastAsia="zh-CN"/>
        </w:rPr>
        <w:t xml:space="preserve">  </w:t>
      </w:r>
      <w:r>
        <w:rPr>
          <w:rFonts w:hint="eastAsia" w:ascii="方正小标宋简体" w:hAnsi="宋体" w:eastAsia="方正小标宋简体"/>
          <w:color w:val="000000"/>
          <w:sz w:val="44"/>
          <w:szCs w:val="44"/>
        </w:rPr>
        <w:t>算</w:t>
      </w:r>
      <w:bookmarkEnd w:id="1"/>
      <w:bookmarkEnd w:id="2"/>
      <w:bookmarkEnd w:id="3"/>
      <w:bookmarkEnd w:id="4"/>
      <w:bookmarkEnd w:id="5"/>
      <w:bookmarkEnd w:id="6"/>
    </w:p>
    <w:p>
      <w:pPr>
        <w:widowControl/>
        <w:jc w:val="center"/>
        <w:rPr>
          <w:rFonts w:ascii="方正小标宋简体" w:hAnsi="宋体" w:eastAsia="方正小标宋简体"/>
          <w:color w:val="000000"/>
          <w:sz w:val="36"/>
          <w:szCs w:val="36"/>
        </w:rPr>
      </w:pPr>
    </w:p>
    <w:bookmarkEnd w:id="68"/>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keepNext w:val="0"/>
        <w:keepLines w:val="0"/>
        <w:pageBreakBefore w:val="0"/>
        <w:widowControl w:val="0"/>
        <w:kinsoku/>
        <w:wordWrap/>
        <w:overflowPunct/>
        <w:topLinePunct w:val="0"/>
        <w:bidi w:val="0"/>
        <w:snapToGrid/>
        <w:spacing w:line="560" w:lineRule="exact"/>
        <w:textAlignment w:val="auto"/>
        <w:rPr>
          <w:rFonts w:ascii="方正小标宋简体" w:hAnsi="宋体" w:eastAsia="方正小标宋简体"/>
          <w:sz w:val="32"/>
          <w:szCs w:val="32"/>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10</w:t>
      </w:r>
      <w:r>
        <w:rPr>
          <w:rFonts w:hint="eastAsia"/>
        </w:rPr>
        <w:t>月</w:t>
      </w:r>
      <w:r>
        <w:rPr>
          <w:rFonts w:hint="eastAsia"/>
          <w:lang w:val="en-US" w:eastAsia="zh-CN"/>
        </w:rPr>
        <w:t>23</w:t>
      </w:r>
      <w:r>
        <w:rPr>
          <w:rFonts w:hint="eastAsia"/>
        </w:rPr>
        <w:t>日</w:t>
      </w:r>
    </w:p>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ascii="Times New Roman" w:hAnsi="Times New Roman" w:eastAsia="宋体" w:cs="Times New Roman"/>
          <w:kern w:val="2"/>
          <w:sz w:val="24"/>
          <w:szCs w:val="24"/>
          <w:lang w:val="en-US" w:eastAsia="zh-CN" w:bidi="ar-SA"/>
        </w:rPr>
        <w:t>.....................................................................................</w:t>
      </w:r>
      <w:r>
        <w:rPr>
          <w:rFonts w:hint="eastAsia"/>
          <w:sz w:val="24"/>
          <w:lang w:val="en-US" w:eastAsia="zh-CN"/>
        </w:rPr>
        <w:t>4</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w:t>
      </w:r>
      <w:r>
        <w:rPr>
          <w:rFonts w:hint="eastAsia" w:ascii="Times New Roman" w:hAnsi="Times New Roman" w:eastAsia="宋体" w:cs="Times New Roman"/>
          <w:kern w:val="2"/>
          <w:sz w:val="24"/>
          <w:szCs w:val="24"/>
          <w:lang w:val="en-US" w:eastAsia="zh-CN" w:bidi="ar-SA"/>
        </w:rPr>
        <w:t>.</w:t>
      </w:r>
      <w:r>
        <w:rPr>
          <w:rFonts w:hint="eastAsia"/>
          <w:sz w:val="24"/>
          <w:lang w:val="en-US" w:eastAsia="zh-CN"/>
        </w:rPr>
        <w:t>4</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w:t>
      </w:r>
      <w:r>
        <w:rPr>
          <w:rFonts w:hint="eastAsia" w:ascii="Times New Roman" w:hAnsi="Times New Roman" w:eastAsia="宋体" w:cs="Times New Roman"/>
          <w:kern w:val="2"/>
          <w:sz w:val="24"/>
          <w:szCs w:val="24"/>
          <w:lang w:val="en-US" w:eastAsia="zh-CN" w:bidi="ar-SA"/>
        </w:rPr>
        <w:t>..</w:t>
      </w:r>
      <w:r>
        <w:rPr>
          <w:rFonts w:hint="eastAsia"/>
          <w:sz w:val="24"/>
          <w:lang w:val="en-US" w:eastAsia="zh-CN"/>
        </w:rPr>
        <w:t>.5</w:t>
      </w:r>
    </w:p>
    <w:p>
      <w:pPr>
        <w:pStyle w:val="10"/>
        <w:adjustRightInd w:val="0"/>
        <w:snapToGrid w:val="0"/>
        <w:spacing w:before="0" w:line="440" w:lineRule="exact"/>
        <w:jc w:val="left"/>
        <w:rPr>
          <w:rFonts w:hint="default" w:eastAsia="仿宋"/>
          <w:sz w:val="24"/>
          <w:szCs w:val="24"/>
          <w:lang w:val="en-US" w:eastAsia="zh-CN"/>
        </w:rPr>
      </w:pPr>
      <w:r>
        <w:rPr>
          <w:rFonts w:hint="eastAsia"/>
          <w:sz w:val="24"/>
        </w:rPr>
        <w:t>第二部分</w:t>
      </w:r>
      <w:r>
        <w:rPr>
          <w:rFonts w:hint="eastAsia"/>
          <w:sz w:val="24"/>
          <w:lang w:val="en-US" w:eastAsia="zh-CN"/>
        </w:rPr>
        <w:t xml:space="preserve"> 2019年</w:t>
      </w:r>
      <w:r>
        <w:rPr>
          <w:rFonts w:hint="eastAsia"/>
          <w:sz w:val="24"/>
        </w:rPr>
        <w:t>部门决算情况说明</w:t>
      </w:r>
      <w:r>
        <w:rPr>
          <w:rFonts w:hint="eastAsia" w:ascii="Times New Roman" w:hAnsi="Times New Roman" w:eastAsia="宋体" w:cs="Times New Roman"/>
          <w:kern w:val="2"/>
          <w:sz w:val="24"/>
          <w:szCs w:val="24"/>
          <w:lang w:val="en-US" w:eastAsia="zh-CN" w:bidi="ar-SA"/>
        </w:rPr>
        <w:t>.........................................................6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.................................9</w:t>
      </w:r>
    </w:p>
    <w:p>
      <w:pPr>
        <w:pStyle w:val="11"/>
        <w:adjustRightInd w:val="0"/>
        <w:snapToGrid w:val="0"/>
        <w:spacing w:line="440" w:lineRule="exact"/>
        <w:jc w:val="left"/>
        <w:rPr>
          <w:rFonts w:hint="default"/>
          <w:sz w:val="24"/>
          <w:lang w:val="en-US" w:eastAsia="zh-CN"/>
        </w:rPr>
      </w:pPr>
      <w:r>
        <w:rPr>
          <w:rFonts w:hint="eastAsia"/>
          <w:sz w:val="24"/>
        </w:rPr>
        <w:t>六、一般公共预算财政拨款基本支出决算情况说明</w:t>
      </w:r>
      <w:r>
        <w:rPr>
          <w:rFonts w:hint="eastAsia"/>
          <w:sz w:val="24"/>
          <w:lang w:val="en-US" w:eastAsia="zh-CN"/>
        </w:rPr>
        <w:t>.........................12</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...................................13</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.............................................15</w:t>
      </w:r>
    </w:p>
    <w:p>
      <w:pPr>
        <w:pStyle w:val="11"/>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.......................................15</w:t>
      </w:r>
    </w:p>
    <w:p>
      <w:pPr>
        <w:adjustRightInd w:val="0"/>
        <w:snapToGrid w:val="0"/>
        <w:spacing w:line="440" w:lineRule="exact"/>
        <w:ind w:firstLine="480" w:firstLineChars="200"/>
        <w:jc w:val="left"/>
        <w:rPr>
          <w:rFonts w:hint="default" w:ascii="仿宋" w:hAnsi="仿宋" w:eastAsia="仿宋" w:cstheme="minorBidi"/>
          <w:sz w:val="24"/>
          <w:lang w:val="en-US"/>
        </w:rPr>
      </w:pPr>
      <w:r>
        <w:rPr>
          <w:rStyle w:val="15"/>
          <w:rFonts w:hint="eastAsia" w:ascii="仿宋" w:hAnsi="仿宋" w:eastAsia="仿宋"/>
          <w:color w:val="000000" w:themeColor="text1"/>
          <w:sz w:val="24"/>
          <w:u w:val="none"/>
        </w:rPr>
        <w:t>十、</w:t>
      </w:r>
      <w:r>
        <w:rPr>
          <w:rFonts w:hint="eastAsia"/>
          <w:sz w:val="24"/>
        </w:rPr>
        <w:t>其他重要事项的情况说明</w:t>
      </w:r>
      <w:r>
        <w:rPr>
          <w:rFonts w:hint="eastAsia"/>
          <w:sz w:val="24"/>
          <w:lang w:val="en-US" w:eastAsia="zh-CN"/>
        </w:rPr>
        <w:t>............................................................15</w:t>
      </w:r>
    </w:p>
    <w:p>
      <w:pPr>
        <w:pStyle w:val="10"/>
        <w:adjustRightInd w:val="0"/>
        <w:snapToGrid w:val="0"/>
        <w:spacing w:before="0" w:line="440" w:lineRule="exact"/>
        <w:jc w:val="left"/>
        <w:rPr>
          <w:rFonts w:hint="eastAsia"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ascii="Times New Roman" w:hAnsi="Times New Roman" w:eastAsia="宋体" w:cs="Times New Roman"/>
          <w:kern w:val="2"/>
          <w:sz w:val="24"/>
          <w:szCs w:val="24"/>
          <w:lang w:val="en-US" w:eastAsia="zh-CN" w:bidi="ar-SA"/>
        </w:rPr>
        <w:t>......................................................................................</w:t>
      </w:r>
      <w:r>
        <w:rPr>
          <w:rFonts w:hint="eastAsia" w:cstheme="minorBidi"/>
          <w:sz w:val="24"/>
          <w:szCs w:val="24"/>
          <w:lang w:val="en-US" w:eastAsia="zh-CN"/>
        </w:rPr>
        <w:t>21</w:t>
      </w:r>
    </w:p>
    <w:p>
      <w:pPr>
        <w:numPr>
          <w:ilvl w:val="0"/>
          <w:numId w:val="0"/>
        </w:numPr>
        <w:spacing w:line="600" w:lineRule="exact"/>
        <w:jc w:val="both"/>
        <w:outlineLvl w:val="0"/>
        <w:rPr>
          <w:rFonts w:hint="default"/>
          <w:lang w:val="en-US"/>
        </w:rPr>
      </w:pPr>
      <w:r>
        <w:rPr>
          <w:rFonts w:hint="eastAsia" w:ascii="仿宋" w:hAnsi="仿宋" w:eastAsia="仿宋" w:cs="Times New Roman"/>
          <w:kern w:val="2"/>
          <w:sz w:val="24"/>
          <w:szCs w:val="28"/>
          <w:lang w:val="en-US" w:eastAsia="zh-CN" w:bidi="ar-SA"/>
        </w:rPr>
        <w:t xml:space="preserve">第四部分 附件 </w:t>
      </w:r>
      <w:r>
        <w:rPr>
          <w:rFonts w:hint="eastAsia"/>
          <w:sz w:val="24"/>
          <w:lang w:val="en-US" w:eastAsia="zh-CN"/>
        </w:rPr>
        <w:t>...........................................................................................24</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.....................................................................................................24</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ascii="Times New Roman" w:hAnsi="Times New Roman" w:eastAsia="宋体" w:cs="Times New Roman"/>
          <w:kern w:val="2"/>
          <w:sz w:val="24"/>
          <w:szCs w:val="24"/>
          <w:lang w:val="en-US" w:eastAsia="zh-CN" w:bidi="ar-SA"/>
        </w:rPr>
        <w:t>.............................................................................................</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.....................................................................................27</w:t>
      </w:r>
    </w:p>
    <w:p>
      <w:pPr>
        <w:pStyle w:val="11"/>
        <w:adjustRightInd w:val="0"/>
        <w:snapToGrid w:val="0"/>
        <w:spacing w:line="440" w:lineRule="exact"/>
        <w:jc w:val="left"/>
        <w:rPr>
          <w:rFonts w:hint="eastAsia"/>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.........................................................27</w:t>
      </w:r>
    </w:p>
    <w:p>
      <w:pPr>
        <w:pStyle w:val="11"/>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w:t>
      </w:r>
      <w:r>
        <w:rPr>
          <w:rFonts w:hint="eastAsia"/>
          <w:sz w:val="24"/>
          <w:lang w:val="en-US" w:eastAsia="zh-CN"/>
        </w:rPr>
        <w:t>............................................................</w:t>
      </w:r>
      <w:r>
        <w:rPr>
          <w:rFonts w:hint="eastAsia" w:ascii="仿宋" w:hAnsi="仿宋" w:eastAsia="仿宋"/>
          <w:sz w:val="24"/>
          <w:lang w:val="en-US" w:eastAsia="zh-CN"/>
        </w:rPr>
        <w:t>27</w:t>
      </w:r>
    </w:p>
    <w:p>
      <w:pPr>
        <w:pStyle w:val="11"/>
        <w:adjustRightInd w:val="0"/>
        <w:snapToGrid w:val="0"/>
        <w:spacing w:line="440" w:lineRule="exact"/>
        <w:jc w:val="left"/>
        <w:rPr>
          <w:rFonts w:hint="eastAsia"/>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.......................27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...........................................................27</w:t>
      </w:r>
    </w:p>
    <w:p>
      <w:pPr>
        <w:widowControl/>
        <w:spacing w:line="440" w:lineRule="exact"/>
        <w:jc w:val="left"/>
        <w:rPr>
          <w:rFonts w:ascii="仿宋" w:hAnsi="仿宋" w:eastAsia="仿宋"/>
          <w:b/>
          <w:sz w:val="24"/>
        </w:rPr>
      </w:pPr>
      <w:bookmarkStart w:id="7" w:name="_Toc15377196"/>
      <w:bookmarkStart w:id="8" w:name="_Toc15396599"/>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7"/>
      <w:bookmarkEnd w:id="8"/>
    </w:p>
    <w:p>
      <w:pPr>
        <w:pStyle w:val="3"/>
        <w:ind w:firstLine="320" w:firstLineChars="100"/>
        <w:rPr>
          <w:rStyle w:val="26"/>
          <w:rFonts w:ascii="仿宋" w:hAnsi="仿宋" w:eastAsia="仿宋"/>
          <w:b w:val="0"/>
          <w:bCs w:val="0"/>
        </w:rPr>
      </w:pPr>
      <w:bookmarkStart w:id="9" w:name="_Toc15396600"/>
      <w:bookmarkStart w:id="10"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9"/>
      <w:bookmarkEnd w:id="10"/>
    </w:p>
    <w:p>
      <w:pPr>
        <w:ind w:firstLine="321" w:firstLineChars="100"/>
        <w:rPr>
          <w:rFonts w:hint="eastAsia" w:ascii="楷体" w:hAnsi="楷体" w:eastAsia="楷体" w:cs="楷体"/>
          <w:bCs/>
          <w:color w:val="000000"/>
          <w:sz w:val="32"/>
          <w:szCs w:val="32"/>
          <w:lang w:eastAsia="zh-CN"/>
        </w:rPr>
      </w:pPr>
      <w:bookmarkStart w:id="11" w:name="_Toc15377198"/>
      <w:bookmarkStart w:id="12" w:name="_Toc15378445"/>
      <w:r>
        <w:rPr>
          <w:rFonts w:hint="eastAsia" w:ascii="楷体" w:hAnsi="楷体" w:eastAsia="楷体" w:cs="楷体"/>
          <w:b/>
          <w:bCs w:val="0"/>
          <w:color w:val="000000"/>
          <w:sz w:val="32"/>
          <w:szCs w:val="32"/>
        </w:rPr>
        <w:t>（一）主要职能</w:t>
      </w:r>
      <w:bookmarkEnd w:id="11"/>
      <w:bookmarkEnd w:id="12"/>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在上级业务主管部门和中心领导下，按照妇幼保健工作规范，负责做好孕产妇保健管理、儿童保健管理和计生指导服务，不断提高孕产妇、儿童保健工作质量</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加强与社区、妇联、计生、疾病控制等部门联系，动态掌握辖区孕产妇、0-6岁儿童基本情况</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大力宣传孕产妇保健、儿童保健及计生指导的好处，提高知晓率，提高孕产妇保健、儿童保健手册建册率</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认真做好保健服务，按时完成保健服务管理。做好孕产妇、儿童保健手册建册管理、信息统计、服务券回收、资料整理归档等管理，加强高危孕妇和体弱儿管理，及时规范上报有关数据</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按时参加专业技术培训与例会，及时布置、督促、检查村级妇幼保健工作。加强村级妇幼保健人业务培训和信息交流，指导和解决问题</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做好上级交办的临时性任务。</w:t>
      </w:r>
      <w:bookmarkStart w:id="13" w:name="_Toc15377199"/>
      <w:bookmarkStart w:id="14" w:name="_Toc15378446"/>
    </w:p>
    <w:p>
      <w:pPr>
        <w:ind w:firstLine="321" w:firstLineChars="100"/>
        <w:rPr>
          <w:rFonts w:hint="eastAsia" w:ascii="楷体" w:hAnsi="楷体" w:eastAsia="楷体" w:cs="楷体"/>
          <w:bCs/>
          <w:color w:val="000000"/>
          <w:sz w:val="32"/>
          <w:szCs w:val="32"/>
          <w:lang w:eastAsia="zh-CN"/>
        </w:rPr>
      </w:pPr>
      <w:r>
        <w:rPr>
          <w:rFonts w:hint="eastAsia" w:ascii="楷体" w:hAnsi="楷体" w:eastAsia="楷体" w:cs="楷体"/>
          <w:b/>
          <w:bCs w:val="0"/>
          <w:color w:val="000000"/>
          <w:sz w:val="32"/>
          <w:szCs w:val="32"/>
        </w:rPr>
        <w:t>（二）2019年重点工作完成情况</w:t>
      </w:r>
      <w:bookmarkEnd w:id="13"/>
      <w:bookmarkEnd w:id="14"/>
      <w:r>
        <w:rPr>
          <w:rFonts w:hint="eastAsia" w:ascii="楷体" w:hAnsi="楷体" w:eastAsia="楷体" w:cs="楷体"/>
          <w:bCs/>
          <w:color w:val="000000"/>
          <w:sz w:val="32"/>
          <w:szCs w:val="32"/>
          <w:lang w:eastAsia="zh-CN"/>
        </w:rPr>
        <w:t>。</w:t>
      </w:r>
    </w:p>
    <w:p>
      <w:pPr>
        <w:numPr>
          <w:ilvl w:val="0"/>
          <w:numId w:val="0"/>
        </w:num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免费孕前优生优育检查项目：2019年共计完成1</w:t>
      </w:r>
      <w:r>
        <w:rPr>
          <w:rFonts w:hint="eastAsia" w:ascii="仿宋" w:hAnsi="仿宋" w:eastAsia="仿宋" w:cs="仿宋"/>
          <w:sz w:val="32"/>
          <w:szCs w:val="32"/>
          <w:lang w:val="en-US" w:eastAsia="zh-CN"/>
        </w:rPr>
        <w:t>34</w:t>
      </w:r>
      <w:r>
        <w:rPr>
          <w:rFonts w:ascii="仿宋" w:hAnsi="仿宋" w:eastAsia="仿宋" w:cs="仿宋"/>
          <w:sz w:val="32"/>
          <w:szCs w:val="32"/>
        </w:rPr>
        <w:t>对+3人，检查率为</w:t>
      </w:r>
      <w:r>
        <w:rPr>
          <w:rFonts w:hint="eastAsia" w:ascii="仿宋" w:hAnsi="仿宋" w:eastAsia="仿宋" w:cs="仿宋"/>
          <w:sz w:val="32"/>
          <w:szCs w:val="32"/>
          <w:lang w:val="en-US" w:eastAsia="zh-CN"/>
        </w:rPr>
        <w:t>100</w:t>
      </w:r>
      <w:r>
        <w:rPr>
          <w:rFonts w:ascii="仿宋" w:hAnsi="仿宋" w:eastAsia="仿宋" w:cs="仿宋"/>
          <w:sz w:val="32"/>
          <w:szCs w:val="32"/>
        </w:rPr>
        <w:t>%，其中城镇</w:t>
      </w:r>
      <w:r>
        <w:rPr>
          <w:rFonts w:hint="eastAsia" w:ascii="仿宋" w:hAnsi="仿宋" w:eastAsia="仿宋" w:cs="仿宋"/>
          <w:sz w:val="32"/>
          <w:szCs w:val="32"/>
          <w:lang w:val="en-US" w:eastAsia="zh-CN"/>
        </w:rPr>
        <w:t>20</w:t>
      </w:r>
      <w:r>
        <w:rPr>
          <w:rFonts w:ascii="仿宋" w:hAnsi="仿宋" w:eastAsia="仿宋" w:cs="仿宋"/>
          <w:sz w:val="32"/>
          <w:szCs w:val="32"/>
        </w:rPr>
        <w:t>对+2人，农村1</w:t>
      </w:r>
      <w:r>
        <w:rPr>
          <w:rFonts w:hint="eastAsia" w:ascii="仿宋" w:hAnsi="仿宋" w:eastAsia="仿宋" w:cs="仿宋"/>
          <w:sz w:val="32"/>
          <w:szCs w:val="32"/>
          <w:lang w:val="en-US" w:eastAsia="zh-CN"/>
        </w:rPr>
        <w:t>14</w:t>
      </w:r>
      <w:r>
        <w:rPr>
          <w:rFonts w:ascii="仿宋" w:hAnsi="仿宋" w:eastAsia="仿宋" w:cs="仿宋"/>
          <w:sz w:val="32"/>
          <w:szCs w:val="32"/>
        </w:rPr>
        <w:t>对+1人，达到目标要求。</w:t>
      </w:r>
      <w:r>
        <w:rPr>
          <w:rFonts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ascii="仿宋" w:hAnsi="仿宋" w:eastAsia="仿宋" w:cs="仿宋"/>
          <w:sz w:val="32"/>
          <w:szCs w:val="32"/>
        </w:rPr>
        <w:t>2.免费婚前医学健康检查项目：2019年共计完成</w:t>
      </w:r>
      <w:r>
        <w:rPr>
          <w:rFonts w:hint="eastAsia" w:ascii="仿宋" w:hAnsi="仿宋" w:eastAsia="仿宋" w:cs="仿宋"/>
          <w:sz w:val="32"/>
          <w:szCs w:val="32"/>
        </w:rPr>
        <w:t>399</w:t>
      </w:r>
      <w:r>
        <w:rPr>
          <w:rFonts w:ascii="仿宋" w:hAnsi="仿宋" w:eastAsia="仿宋" w:cs="仿宋"/>
          <w:sz w:val="32"/>
          <w:szCs w:val="32"/>
        </w:rPr>
        <w:t>对、任务数为70对，完成率</w:t>
      </w:r>
      <w:r>
        <w:rPr>
          <w:rFonts w:hint="eastAsia" w:ascii="仿宋" w:hAnsi="仿宋" w:eastAsia="仿宋" w:cs="仿宋"/>
          <w:sz w:val="32"/>
          <w:szCs w:val="32"/>
        </w:rPr>
        <w:t>570</w:t>
      </w:r>
      <w:r>
        <w:rPr>
          <w:rFonts w:ascii="仿宋" w:hAnsi="仿宋" w:eastAsia="仿宋" w:cs="仿宋"/>
          <w:sz w:val="32"/>
          <w:szCs w:val="32"/>
        </w:rPr>
        <w:t>%,婚检率为9</w:t>
      </w:r>
      <w:r>
        <w:rPr>
          <w:rFonts w:hint="eastAsia" w:ascii="仿宋" w:hAnsi="仿宋" w:eastAsia="仿宋" w:cs="仿宋"/>
          <w:sz w:val="32"/>
          <w:szCs w:val="32"/>
        </w:rPr>
        <w:t>1.72</w:t>
      </w:r>
      <w:r>
        <w:rPr>
          <w:rFonts w:ascii="仿宋" w:hAnsi="仿宋" w:eastAsia="仿宋" w:cs="仿宋"/>
          <w:sz w:val="32"/>
          <w:szCs w:val="32"/>
        </w:rPr>
        <w:t>%，完成目标要求。</w:t>
      </w:r>
    </w:p>
    <w:p>
      <w:pPr>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ascii="仿宋" w:hAnsi="仿宋" w:eastAsia="仿宋" w:cs="仿宋"/>
          <w:sz w:val="32"/>
          <w:szCs w:val="32"/>
        </w:rPr>
      </w:pPr>
      <w:r>
        <w:rPr>
          <w:rFonts w:ascii="仿宋" w:hAnsi="仿宋" w:eastAsia="仿宋" w:cs="仿宋"/>
          <w:sz w:val="32"/>
          <w:szCs w:val="32"/>
        </w:rPr>
        <w:t>3.妇女儿童发展纲要：新生儿死亡率：2019年新生儿死亡</w:t>
      </w:r>
      <w:r>
        <w:rPr>
          <w:rFonts w:hint="eastAsia" w:ascii="仿宋" w:hAnsi="仿宋" w:eastAsia="仿宋" w:cs="仿宋"/>
          <w:sz w:val="32"/>
          <w:szCs w:val="32"/>
        </w:rPr>
        <w:t>2</w:t>
      </w:r>
      <w:r>
        <w:rPr>
          <w:rFonts w:ascii="仿宋" w:hAnsi="仿宋" w:eastAsia="仿宋" w:cs="仿宋"/>
          <w:sz w:val="32"/>
          <w:szCs w:val="32"/>
        </w:rPr>
        <w:t>人，死亡率为</w:t>
      </w:r>
      <w:r>
        <w:rPr>
          <w:rFonts w:hint="eastAsia" w:ascii="仿宋" w:hAnsi="仿宋" w:eastAsia="仿宋" w:cs="仿宋"/>
          <w:sz w:val="32"/>
          <w:szCs w:val="32"/>
        </w:rPr>
        <w:t>2.62</w:t>
      </w:r>
      <w:r>
        <w:rPr>
          <w:rFonts w:ascii="仿宋" w:hAnsi="仿宋" w:eastAsia="仿宋" w:cs="仿宋"/>
          <w:sz w:val="32"/>
          <w:szCs w:val="32"/>
        </w:rPr>
        <w:t>‰</w:t>
      </w:r>
      <w:r>
        <w:rPr>
          <w:rFonts w:hint="eastAsia" w:ascii="仿宋" w:hAnsi="仿宋" w:eastAsia="仿宋" w:cs="仿宋"/>
          <w:sz w:val="32"/>
          <w:szCs w:val="32"/>
          <w:lang w:eastAsia="zh-CN"/>
        </w:rPr>
        <w:t>；</w:t>
      </w:r>
      <w:r>
        <w:rPr>
          <w:rFonts w:ascii="仿宋" w:hAnsi="仿宋" w:eastAsia="仿宋" w:cs="仿宋"/>
          <w:sz w:val="32"/>
          <w:szCs w:val="32"/>
        </w:rPr>
        <w:t>婴儿死亡率：2020年目标50‰以下，2019年婴儿死亡</w:t>
      </w:r>
      <w:r>
        <w:rPr>
          <w:rFonts w:hint="eastAsia" w:ascii="仿宋" w:hAnsi="仿宋" w:eastAsia="仿宋" w:cs="仿宋"/>
          <w:sz w:val="32"/>
          <w:szCs w:val="32"/>
        </w:rPr>
        <w:t>11</w:t>
      </w:r>
      <w:r>
        <w:rPr>
          <w:rFonts w:ascii="仿宋" w:hAnsi="仿宋" w:eastAsia="仿宋" w:cs="仿宋"/>
          <w:sz w:val="32"/>
          <w:szCs w:val="32"/>
        </w:rPr>
        <w:t>人，死亡率为1</w:t>
      </w:r>
      <w:r>
        <w:rPr>
          <w:rFonts w:hint="eastAsia" w:ascii="仿宋" w:hAnsi="仿宋" w:eastAsia="仿宋" w:cs="仿宋"/>
          <w:sz w:val="32"/>
          <w:szCs w:val="32"/>
        </w:rPr>
        <w:t>4.43</w:t>
      </w:r>
      <w:r>
        <w:rPr>
          <w:rFonts w:ascii="仿宋" w:hAnsi="仿宋" w:eastAsia="仿宋" w:cs="仿宋"/>
          <w:sz w:val="32"/>
          <w:szCs w:val="32"/>
        </w:rPr>
        <w:t>‰</w:t>
      </w:r>
      <w:r>
        <w:rPr>
          <w:rFonts w:hint="eastAsia" w:ascii="仿宋" w:hAnsi="仿宋" w:eastAsia="仿宋" w:cs="仿宋"/>
          <w:sz w:val="32"/>
          <w:szCs w:val="32"/>
          <w:lang w:eastAsia="zh-CN"/>
        </w:rPr>
        <w:t>；</w:t>
      </w:r>
      <w:r>
        <w:rPr>
          <w:rFonts w:ascii="仿宋" w:hAnsi="仿宋" w:eastAsia="仿宋" w:cs="仿宋"/>
          <w:sz w:val="32"/>
          <w:szCs w:val="32"/>
        </w:rPr>
        <w:t>5岁以下儿童死亡率：2020年目标50‰以下，2019年全县5岁以下儿童死亡</w:t>
      </w:r>
      <w:r>
        <w:rPr>
          <w:rFonts w:hint="eastAsia" w:ascii="仿宋" w:hAnsi="仿宋" w:eastAsia="仿宋" w:cs="仿宋"/>
          <w:sz w:val="32"/>
          <w:szCs w:val="32"/>
        </w:rPr>
        <w:t>18</w:t>
      </w:r>
      <w:r>
        <w:rPr>
          <w:rFonts w:ascii="仿宋" w:hAnsi="仿宋" w:eastAsia="仿宋" w:cs="仿宋"/>
          <w:sz w:val="32"/>
          <w:szCs w:val="32"/>
        </w:rPr>
        <w:t>人，死亡率为2</w:t>
      </w:r>
      <w:r>
        <w:rPr>
          <w:rFonts w:hint="eastAsia" w:ascii="仿宋" w:hAnsi="仿宋" w:eastAsia="仿宋" w:cs="仿宋"/>
          <w:sz w:val="32"/>
          <w:szCs w:val="32"/>
        </w:rPr>
        <w:t>3.6</w:t>
      </w:r>
      <w:r>
        <w:rPr>
          <w:rFonts w:ascii="仿宋" w:hAnsi="仿宋" w:eastAsia="仿宋" w:cs="仿宋"/>
          <w:sz w:val="32"/>
          <w:szCs w:val="32"/>
        </w:rPr>
        <w:t>‰</w:t>
      </w:r>
      <w:r>
        <w:rPr>
          <w:rFonts w:hint="eastAsia" w:ascii="仿宋" w:hAnsi="仿宋" w:eastAsia="仿宋" w:cs="仿宋"/>
          <w:sz w:val="32"/>
          <w:szCs w:val="32"/>
          <w:lang w:eastAsia="zh-CN"/>
        </w:rPr>
        <w:t>；</w:t>
      </w:r>
      <w:r>
        <w:rPr>
          <w:rFonts w:ascii="仿宋" w:hAnsi="仿宋" w:eastAsia="仿宋" w:cs="仿宋"/>
          <w:sz w:val="32"/>
          <w:szCs w:val="32"/>
        </w:rPr>
        <w:t>0-3岁儿童系统管理率：2020年目标75%以上，2019年全县0-3岁儿童</w:t>
      </w:r>
      <w:r>
        <w:rPr>
          <w:rFonts w:hint="eastAsia" w:ascii="仿宋" w:hAnsi="仿宋" w:eastAsia="仿宋" w:cs="仿宋"/>
          <w:sz w:val="32"/>
          <w:szCs w:val="32"/>
        </w:rPr>
        <w:t>2441</w:t>
      </w:r>
      <w:r>
        <w:rPr>
          <w:rFonts w:ascii="仿宋" w:hAnsi="仿宋" w:eastAsia="仿宋" w:cs="仿宋"/>
          <w:sz w:val="32"/>
          <w:szCs w:val="32"/>
        </w:rPr>
        <w:t>人、系统管理人数21</w:t>
      </w:r>
      <w:r>
        <w:rPr>
          <w:rFonts w:hint="eastAsia" w:ascii="仿宋" w:hAnsi="仿宋" w:eastAsia="仿宋" w:cs="仿宋"/>
          <w:sz w:val="32"/>
          <w:szCs w:val="32"/>
        </w:rPr>
        <w:t>27</w:t>
      </w:r>
      <w:r>
        <w:rPr>
          <w:rFonts w:ascii="仿宋" w:hAnsi="仿宋" w:eastAsia="仿宋" w:cs="仿宋"/>
          <w:sz w:val="32"/>
          <w:szCs w:val="32"/>
        </w:rPr>
        <w:t>人，系统管理率8</w:t>
      </w:r>
      <w:r>
        <w:rPr>
          <w:rFonts w:hint="eastAsia" w:ascii="仿宋" w:hAnsi="仿宋" w:eastAsia="仿宋" w:cs="仿宋"/>
          <w:sz w:val="32"/>
          <w:szCs w:val="32"/>
        </w:rPr>
        <w:t>7</w:t>
      </w:r>
      <w:r>
        <w:rPr>
          <w:rFonts w:ascii="仿宋" w:hAnsi="仿宋" w:eastAsia="仿宋" w:cs="仿宋"/>
          <w:sz w:val="32"/>
          <w:szCs w:val="32"/>
        </w:rPr>
        <w:t>%</w:t>
      </w:r>
      <w:r>
        <w:rPr>
          <w:rFonts w:hint="eastAsia" w:ascii="仿宋" w:hAnsi="仿宋" w:eastAsia="仿宋" w:cs="仿宋"/>
          <w:sz w:val="32"/>
          <w:szCs w:val="32"/>
          <w:lang w:eastAsia="zh-CN"/>
        </w:rPr>
        <w:t>；</w:t>
      </w:r>
      <w:r>
        <w:rPr>
          <w:rFonts w:ascii="仿宋" w:hAnsi="仿宋" w:eastAsia="仿宋" w:cs="仿宋"/>
          <w:sz w:val="32"/>
          <w:szCs w:val="32"/>
        </w:rPr>
        <w:t>围产儿死亡率：2019年围产儿死亡率为</w:t>
      </w:r>
      <w:r>
        <w:rPr>
          <w:rFonts w:hint="eastAsia" w:ascii="仿宋" w:hAnsi="仿宋" w:eastAsia="仿宋" w:cs="仿宋"/>
          <w:sz w:val="32"/>
          <w:szCs w:val="32"/>
        </w:rPr>
        <w:t>19.35</w:t>
      </w:r>
      <w:r>
        <w:rPr>
          <w:rFonts w:ascii="仿宋" w:hAnsi="仿宋" w:eastAsia="仿宋" w:cs="仿宋"/>
          <w:sz w:val="32"/>
          <w:szCs w:val="32"/>
        </w:rPr>
        <w:t>%</w:t>
      </w:r>
      <w:r>
        <w:rPr>
          <w:rFonts w:hint="eastAsia" w:ascii="仿宋" w:hAnsi="仿宋" w:eastAsia="仿宋" w:cs="仿宋"/>
          <w:sz w:val="32"/>
          <w:szCs w:val="32"/>
          <w:lang w:eastAsia="zh-CN"/>
        </w:rPr>
        <w:t>；</w:t>
      </w:r>
      <w:r>
        <w:rPr>
          <w:rFonts w:ascii="仿宋" w:hAnsi="仿宋" w:eastAsia="仿宋" w:cs="仿宋"/>
          <w:sz w:val="32"/>
          <w:szCs w:val="32"/>
        </w:rPr>
        <w:t>孕产妇死亡率：2020年目标十万分之50以下，2019孕产妇死亡0人，死亡率0/10万</w:t>
      </w:r>
      <w:r>
        <w:rPr>
          <w:rFonts w:hint="eastAsia" w:ascii="仿宋" w:hAnsi="仿宋" w:eastAsia="仿宋" w:cs="仿宋"/>
          <w:sz w:val="32"/>
          <w:szCs w:val="32"/>
          <w:lang w:eastAsia="zh-CN"/>
        </w:rPr>
        <w:t>；</w:t>
      </w:r>
      <w:r>
        <w:rPr>
          <w:rFonts w:ascii="仿宋" w:hAnsi="仿宋" w:eastAsia="仿宋" w:cs="仿宋"/>
          <w:sz w:val="32"/>
          <w:szCs w:val="32"/>
        </w:rPr>
        <w:t>住院分娩率：2020年目标85%以上，2019年住院分娩活产数</w:t>
      </w:r>
      <w:r>
        <w:rPr>
          <w:rFonts w:hint="eastAsia" w:ascii="仿宋" w:hAnsi="仿宋" w:eastAsia="仿宋" w:cs="仿宋"/>
          <w:sz w:val="32"/>
          <w:szCs w:val="32"/>
        </w:rPr>
        <w:t>660</w:t>
      </w:r>
      <w:r>
        <w:rPr>
          <w:rFonts w:ascii="仿宋" w:hAnsi="仿宋" w:eastAsia="仿宋" w:cs="仿宋"/>
          <w:sz w:val="32"/>
          <w:szCs w:val="32"/>
        </w:rPr>
        <w:t>人，住院分娩率8</w:t>
      </w:r>
      <w:r>
        <w:rPr>
          <w:rFonts w:hint="eastAsia" w:ascii="仿宋" w:hAnsi="仿宋" w:eastAsia="仿宋" w:cs="仿宋"/>
          <w:sz w:val="32"/>
          <w:szCs w:val="32"/>
        </w:rPr>
        <w:t>6.61</w:t>
      </w:r>
      <w:r>
        <w:rPr>
          <w:rFonts w:ascii="仿宋" w:hAnsi="仿宋" w:eastAsia="仿宋" w:cs="仿宋"/>
          <w:sz w:val="32"/>
          <w:szCs w:val="32"/>
        </w:rPr>
        <w:t>%</w:t>
      </w:r>
      <w:r>
        <w:rPr>
          <w:rFonts w:hint="eastAsia" w:ascii="仿宋" w:hAnsi="仿宋" w:eastAsia="仿宋" w:cs="仿宋"/>
          <w:sz w:val="32"/>
          <w:szCs w:val="32"/>
          <w:lang w:eastAsia="zh-CN"/>
        </w:rPr>
        <w:t>；</w:t>
      </w:r>
      <w:r>
        <w:rPr>
          <w:rFonts w:ascii="仿宋" w:hAnsi="仿宋" w:eastAsia="仿宋" w:cs="仿宋"/>
          <w:sz w:val="32"/>
          <w:szCs w:val="32"/>
        </w:rPr>
        <w:t>孕产妇系统管理率：2020年目标70%以上，2019年孕产妇系统管理率6</w:t>
      </w:r>
      <w:r>
        <w:rPr>
          <w:rFonts w:hint="eastAsia" w:ascii="仿宋" w:hAnsi="仿宋" w:eastAsia="仿宋" w:cs="仿宋"/>
          <w:sz w:val="32"/>
          <w:szCs w:val="32"/>
        </w:rPr>
        <w:t>1.15</w:t>
      </w:r>
      <w:r>
        <w:rPr>
          <w:rFonts w:ascii="仿宋" w:hAnsi="仿宋" w:eastAsia="仿宋" w:cs="仿宋"/>
          <w:sz w:val="32"/>
          <w:szCs w:val="32"/>
        </w:rPr>
        <w:t>%。</w:t>
      </w:r>
    </w:p>
    <w:p>
      <w:pPr>
        <w:pStyle w:val="3"/>
        <w:pageBreakBefore w:val="0"/>
        <w:widowControl w:val="0"/>
        <w:kinsoku/>
        <w:wordWrap/>
        <w:overflowPunct/>
        <w:topLinePunct w:val="0"/>
        <w:autoSpaceDE/>
        <w:autoSpaceDN/>
        <w:bidi w:val="0"/>
        <w:adjustRightInd/>
        <w:snapToGrid/>
        <w:spacing w:line="560" w:lineRule="exact"/>
        <w:ind w:firstLine="320" w:firstLineChars="100"/>
        <w:textAlignment w:val="auto"/>
        <w:rPr>
          <w:rStyle w:val="26"/>
          <w:b w:val="0"/>
          <w:bCs w:val="0"/>
          <w:color w:val="auto"/>
        </w:rPr>
      </w:pPr>
      <w:bookmarkStart w:id="15" w:name="_Toc15396601"/>
      <w:bookmarkStart w:id="16" w:name="_Toc15377200"/>
      <w:r>
        <w:rPr>
          <w:rFonts w:hint="eastAsia" w:ascii="黑体" w:eastAsia="黑体"/>
          <w:b w:val="0"/>
          <w:color w:val="auto"/>
        </w:rPr>
        <w:t>二、</w:t>
      </w:r>
      <w:r>
        <w:rPr>
          <w:rFonts w:hint="eastAsia" w:ascii="黑体" w:hAnsi="黑体" w:eastAsia="黑体"/>
          <w:b w:val="0"/>
          <w:color w:val="auto"/>
        </w:rPr>
        <w:t>机</w:t>
      </w:r>
      <w:r>
        <w:rPr>
          <w:rStyle w:val="26"/>
          <w:rFonts w:hint="eastAsia" w:ascii="黑体" w:hAnsi="黑体" w:eastAsia="黑体"/>
          <w:b w:val="0"/>
          <w:bCs w:val="0"/>
          <w:color w:val="auto"/>
        </w:rPr>
        <w:t>构设置</w:t>
      </w:r>
      <w:bookmarkEnd w:id="15"/>
      <w:bookmarkEnd w:id="1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bookmarkStart w:id="17" w:name="_Toc15396602"/>
      <w:bookmarkStart w:id="18" w:name="_Toc15377204"/>
      <w:r>
        <w:rPr>
          <w:rFonts w:hint="eastAsia" w:ascii="仿宋_GB2312" w:hAnsi="仿宋_GB2312" w:eastAsia="仿宋_GB2312" w:cs="仿宋_GB2312"/>
          <w:color w:val="auto"/>
          <w:sz w:val="32"/>
          <w:szCs w:val="32"/>
        </w:rPr>
        <w:t>本部门机构：壤塘县妇幼保健计划生育服务中心属于卫生局下属二级预算单位，所需经费全部由财政拨款解决。其中内设机构办公室、妇保科、基保科、孕保科、医务科、财务科、儿保科</w:t>
      </w:r>
      <w:r>
        <w:rPr>
          <w:rFonts w:hint="eastAsia" w:ascii="仿宋_GB2312" w:hAnsi="仿宋_GB2312" w:eastAsia="仿宋_GB2312" w:cs="仿宋_GB2312"/>
          <w:color w:val="auto"/>
          <w:sz w:val="32"/>
          <w:szCs w:val="32"/>
          <w:lang w:eastAsia="zh-CN"/>
        </w:rPr>
        <w:t>、公卫科</w:t>
      </w:r>
      <w:r>
        <w:rPr>
          <w:rFonts w:hint="eastAsia" w:ascii="仿宋_GB2312" w:hAnsi="仿宋_GB2312" w:eastAsia="仿宋_GB2312" w:cs="仿宋_GB2312"/>
          <w:color w:val="auto"/>
          <w:sz w:val="32"/>
          <w:szCs w:val="32"/>
        </w:rPr>
        <w:t>等。</w:t>
      </w:r>
    </w:p>
    <w:p>
      <w:pPr>
        <w:widowControl/>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人员情况：</w:t>
      </w:r>
      <w:r>
        <w:rPr>
          <w:rFonts w:hint="eastAsia" w:ascii="仿宋_GB2312" w:hAnsi="仿宋_GB2312" w:eastAsia="仿宋_GB2312" w:cs="仿宋_GB2312"/>
          <w:color w:val="auto"/>
          <w:kern w:val="0"/>
          <w:sz w:val="32"/>
          <w:szCs w:val="32"/>
        </w:rPr>
        <w:t>总编制39名,事业编制39名。</w:t>
      </w:r>
      <w:r>
        <w:rPr>
          <w:rFonts w:hint="eastAsia" w:ascii="仿宋_GB2312" w:hAnsi="仿宋_GB2312" w:eastAsia="仿宋_GB2312" w:cs="仿宋_GB2312"/>
          <w:color w:val="auto"/>
          <w:sz w:val="32"/>
          <w:szCs w:val="32"/>
        </w:rPr>
        <w:t>截止201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年12月底，</w:t>
      </w:r>
      <w:r>
        <w:rPr>
          <w:rFonts w:hint="eastAsia" w:ascii="仿宋_GB2312" w:hAnsi="仿宋_GB2312" w:eastAsia="仿宋_GB2312" w:cs="仿宋_GB2312"/>
          <w:color w:val="auto"/>
          <w:kern w:val="0"/>
          <w:sz w:val="32"/>
          <w:szCs w:val="32"/>
        </w:rPr>
        <w:t>在职人员总数</w:t>
      </w:r>
      <w:r>
        <w:rPr>
          <w:rFonts w:hint="eastAsia" w:ascii="仿宋_GB2312" w:hAnsi="仿宋_GB2312" w:eastAsia="仿宋_GB2312" w:cs="仿宋_GB2312"/>
          <w:color w:val="auto"/>
          <w:kern w:val="0"/>
          <w:sz w:val="32"/>
          <w:szCs w:val="32"/>
          <w:lang w:val="en-US" w:eastAsia="zh-CN"/>
        </w:rPr>
        <w:t>39</w:t>
      </w:r>
      <w:r>
        <w:rPr>
          <w:rFonts w:hint="eastAsia" w:ascii="仿宋_GB2312" w:hAnsi="仿宋_GB2312" w:eastAsia="仿宋_GB2312" w:cs="仿宋_GB2312"/>
          <w:color w:val="auto"/>
          <w:kern w:val="0"/>
          <w:sz w:val="32"/>
          <w:szCs w:val="32"/>
        </w:rPr>
        <w:t>名，事业人员3</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名；工勤1名，退休人员5人。遗属</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w:t>
      </w:r>
    </w:p>
    <w:p>
      <w:pPr>
        <w:pStyle w:val="2"/>
        <w:ind w:right="440"/>
        <w:jc w:val="center"/>
        <w:rPr>
          <w:color w:val="auto"/>
        </w:rPr>
      </w:pPr>
      <w:r>
        <w:rPr>
          <w:rFonts w:hint="eastAsia" w:ascii="黑体" w:hAnsi="黑体" w:eastAsia="黑体"/>
          <w:b w:val="0"/>
          <w:color w:val="auto"/>
        </w:rPr>
        <w:t>第二部分</w:t>
      </w:r>
      <w:r>
        <w:rPr>
          <w:rFonts w:hint="eastAsia" w:ascii="黑体" w:hAnsi="黑体" w:eastAsia="黑体"/>
          <w:color w:val="auto"/>
        </w:rPr>
        <w:t xml:space="preserve"> </w:t>
      </w:r>
      <w:r>
        <w:rPr>
          <w:rStyle w:val="25"/>
          <w:rFonts w:hint="eastAsia" w:ascii="黑体" w:hAnsi="黑体" w:eastAsia="黑体"/>
          <w:b w:val="0"/>
          <w:bCs w:val="0"/>
          <w:color w:val="auto"/>
        </w:rPr>
        <w:t>2019年度部门决算情况说明</w:t>
      </w:r>
      <w:bookmarkEnd w:id="17"/>
      <w:bookmarkEnd w:id="18"/>
    </w:p>
    <w:p>
      <w:pPr>
        <w:pStyle w:val="24"/>
        <w:pageBreakBefore w:val="0"/>
        <w:numPr>
          <w:ilvl w:val="0"/>
          <w:numId w:val="1"/>
        </w:numPr>
        <w:kinsoku/>
        <w:wordWrap/>
        <w:overflowPunct/>
        <w:topLinePunct w:val="0"/>
        <w:autoSpaceDE/>
        <w:autoSpaceDN/>
        <w:bidi w:val="0"/>
        <w:adjustRightInd/>
        <w:snapToGrid/>
        <w:spacing w:line="560" w:lineRule="exact"/>
        <w:ind w:firstLineChars="0"/>
        <w:textAlignment w:val="auto"/>
        <w:outlineLvl w:val="1"/>
        <w:rPr>
          <w:rStyle w:val="26"/>
          <w:rFonts w:ascii="黑体" w:hAnsi="黑体" w:eastAsia="黑体"/>
          <w:b w:val="0"/>
          <w:color w:val="auto"/>
        </w:rPr>
      </w:pPr>
      <w:bookmarkStart w:id="19" w:name="_Toc15377205"/>
      <w:bookmarkStart w:id="20" w:name="_Toc15396603"/>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19"/>
      <w:bookmarkEnd w:id="20"/>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年年初结转和结余</w:t>
      </w:r>
      <w:r>
        <w:rPr>
          <w:rFonts w:hint="eastAsia" w:ascii="仿宋_GB2312" w:hAnsi="仿宋_GB2312" w:eastAsia="仿宋_GB2312" w:cs="仿宋_GB2312"/>
          <w:color w:val="auto"/>
          <w:kern w:val="0"/>
          <w:sz w:val="32"/>
          <w:szCs w:val="32"/>
          <w:lang w:val="en-US" w:eastAsia="zh-CN"/>
        </w:rPr>
        <w:t>80.63</w:t>
      </w:r>
      <w:r>
        <w:rPr>
          <w:rFonts w:hint="eastAsia" w:ascii="仿宋_GB2312" w:hAnsi="仿宋_GB2312" w:eastAsia="仿宋_GB2312" w:cs="仿宋_GB2312"/>
          <w:color w:val="auto"/>
          <w:kern w:val="0"/>
          <w:sz w:val="32"/>
          <w:szCs w:val="32"/>
        </w:rPr>
        <w:t>万元，201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年本年收入决算总额为</w:t>
      </w:r>
      <w:r>
        <w:rPr>
          <w:rFonts w:hint="eastAsia" w:ascii="仿宋_GB2312" w:hAnsi="仿宋_GB2312" w:eastAsia="仿宋_GB2312" w:cs="仿宋_GB2312"/>
          <w:color w:val="auto"/>
          <w:kern w:val="0"/>
          <w:sz w:val="32"/>
          <w:szCs w:val="32"/>
          <w:lang w:val="en-US" w:eastAsia="zh-CN"/>
        </w:rPr>
        <w:t>839.24</w:t>
      </w:r>
      <w:r>
        <w:rPr>
          <w:rFonts w:hint="eastAsia" w:ascii="仿宋_GB2312" w:hAnsi="仿宋_GB2312" w:eastAsia="仿宋_GB2312" w:cs="仿宋_GB2312"/>
          <w:color w:val="auto"/>
          <w:kern w:val="0"/>
          <w:sz w:val="32"/>
          <w:szCs w:val="32"/>
        </w:rPr>
        <w:t>万元，其中：一般公共预算财政拨款收入</w:t>
      </w:r>
      <w:r>
        <w:rPr>
          <w:rFonts w:hint="eastAsia" w:ascii="仿宋_GB2312" w:hAnsi="仿宋_GB2312" w:eastAsia="仿宋_GB2312" w:cs="仿宋_GB2312"/>
          <w:color w:val="auto"/>
          <w:kern w:val="0"/>
          <w:sz w:val="32"/>
          <w:szCs w:val="32"/>
          <w:lang w:val="en-US" w:eastAsia="zh-CN"/>
        </w:rPr>
        <w:t>839.24</w:t>
      </w:r>
      <w:r>
        <w:rPr>
          <w:rFonts w:hint="eastAsia" w:ascii="仿宋_GB2312" w:hAnsi="仿宋_GB2312" w:eastAsia="仿宋_GB2312" w:cs="仿宋_GB2312"/>
          <w:color w:val="auto"/>
          <w:kern w:val="0"/>
          <w:sz w:val="32"/>
          <w:szCs w:val="32"/>
        </w:rPr>
        <w:t>万元。与201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年相比，本年收入增加</w:t>
      </w:r>
      <w:r>
        <w:rPr>
          <w:rFonts w:hint="eastAsia" w:ascii="仿宋_GB2312" w:hAnsi="仿宋_GB2312" w:eastAsia="仿宋_GB2312" w:cs="仿宋_GB2312"/>
          <w:color w:val="auto"/>
          <w:kern w:val="0"/>
          <w:sz w:val="32"/>
          <w:szCs w:val="32"/>
          <w:lang w:val="en-US" w:eastAsia="zh-CN"/>
        </w:rPr>
        <w:t>257.85</w:t>
      </w:r>
      <w:r>
        <w:rPr>
          <w:rFonts w:hint="eastAsia" w:ascii="仿宋_GB2312" w:hAnsi="仿宋_GB2312" w:eastAsia="仿宋_GB2312" w:cs="仿宋_GB2312"/>
          <w:color w:val="auto"/>
          <w:kern w:val="0"/>
          <w:sz w:val="32"/>
          <w:szCs w:val="32"/>
        </w:rPr>
        <w:t>万元，增长</w:t>
      </w:r>
      <w:r>
        <w:rPr>
          <w:rFonts w:hint="eastAsia" w:ascii="仿宋_GB2312" w:hAnsi="仿宋_GB2312" w:eastAsia="仿宋_GB2312" w:cs="仿宋_GB2312"/>
          <w:color w:val="auto"/>
          <w:kern w:val="0"/>
          <w:sz w:val="32"/>
          <w:szCs w:val="32"/>
          <w:lang w:val="en-US" w:eastAsia="zh-CN"/>
        </w:rPr>
        <w:t>44.35</w:t>
      </w:r>
      <w:r>
        <w:rPr>
          <w:rFonts w:hint="eastAsia" w:ascii="仿宋_GB2312" w:hAnsi="仿宋_GB2312" w:eastAsia="仿宋_GB2312" w:cs="仿宋_GB2312"/>
          <w:color w:val="auto"/>
          <w:kern w:val="0"/>
          <w:sz w:val="32"/>
          <w:szCs w:val="32"/>
        </w:rPr>
        <w:t>%。主要变动原因是由于：</w:t>
      </w:r>
      <w:r>
        <w:rPr>
          <w:rFonts w:hint="eastAsia" w:ascii="仿宋_GB2312" w:hAnsi="仿宋_GB2312" w:eastAsia="仿宋_GB2312" w:cs="仿宋_GB2312"/>
          <w:color w:val="auto"/>
          <w:kern w:val="0"/>
          <w:sz w:val="32"/>
          <w:szCs w:val="32"/>
          <w:lang w:eastAsia="zh-CN"/>
        </w:rPr>
        <w:t>新进人员的增加及单位二级乙等标准达标</w:t>
      </w:r>
      <w:r>
        <w:rPr>
          <w:rFonts w:hint="eastAsia" w:ascii="仿宋_GB2312" w:hAnsi="仿宋_GB2312" w:eastAsia="仿宋_GB2312" w:cs="仿宋_GB2312"/>
          <w:color w:val="auto"/>
          <w:kern w:val="0"/>
          <w:sz w:val="32"/>
          <w:szCs w:val="32"/>
        </w:rPr>
        <w:t>。</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年本年支出决算总额为</w:t>
      </w:r>
      <w:r>
        <w:rPr>
          <w:rFonts w:hint="eastAsia" w:ascii="仿宋_GB2312" w:hAnsi="仿宋_GB2312" w:eastAsia="仿宋_GB2312" w:cs="仿宋_GB2312"/>
          <w:color w:val="auto"/>
          <w:kern w:val="0"/>
          <w:sz w:val="32"/>
          <w:szCs w:val="32"/>
          <w:lang w:val="en-US" w:eastAsia="zh-CN"/>
        </w:rPr>
        <w:t>865.27</w:t>
      </w:r>
      <w:r>
        <w:rPr>
          <w:rFonts w:hint="eastAsia" w:ascii="仿宋_GB2312" w:hAnsi="仿宋_GB2312" w:eastAsia="仿宋_GB2312" w:cs="仿宋_GB2312"/>
          <w:color w:val="auto"/>
          <w:kern w:val="0"/>
          <w:sz w:val="32"/>
          <w:szCs w:val="32"/>
        </w:rPr>
        <w:t>万元，其中：基本支出</w:t>
      </w:r>
      <w:r>
        <w:rPr>
          <w:rFonts w:hint="eastAsia" w:ascii="仿宋_GB2312" w:hAnsi="仿宋_GB2312" w:eastAsia="仿宋_GB2312" w:cs="仿宋_GB2312"/>
          <w:color w:val="auto"/>
          <w:kern w:val="0"/>
          <w:sz w:val="32"/>
          <w:szCs w:val="32"/>
          <w:lang w:val="en-US" w:eastAsia="zh-CN"/>
        </w:rPr>
        <w:t>630.31</w:t>
      </w:r>
      <w:r>
        <w:rPr>
          <w:rFonts w:hint="eastAsia" w:ascii="仿宋_GB2312" w:hAnsi="仿宋_GB2312" w:eastAsia="仿宋_GB2312" w:cs="仿宋_GB2312"/>
          <w:color w:val="auto"/>
          <w:kern w:val="0"/>
          <w:sz w:val="32"/>
          <w:szCs w:val="32"/>
        </w:rPr>
        <w:t>万元、项目支出</w:t>
      </w:r>
      <w:r>
        <w:rPr>
          <w:rFonts w:hint="eastAsia" w:ascii="仿宋_GB2312" w:hAnsi="仿宋_GB2312" w:eastAsia="仿宋_GB2312" w:cs="仿宋_GB2312"/>
          <w:color w:val="auto"/>
          <w:kern w:val="0"/>
          <w:sz w:val="32"/>
          <w:szCs w:val="32"/>
          <w:lang w:val="en-US" w:eastAsia="zh-CN"/>
        </w:rPr>
        <w:t>234.96</w:t>
      </w:r>
      <w:r>
        <w:rPr>
          <w:rFonts w:hint="eastAsia" w:ascii="仿宋_GB2312" w:hAnsi="仿宋_GB2312" w:eastAsia="仿宋_GB2312" w:cs="仿宋_GB2312"/>
          <w:color w:val="auto"/>
          <w:kern w:val="0"/>
          <w:sz w:val="32"/>
          <w:szCs w:val="32"/>
        </w:rPr>
        <w:t>万元。与201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年相比，支出总计增加</w:t>
      </w:r>
      <w:r>
        <w:rPr>
          <w:rFonts w:hint="eastAsia" w:ascii="仿宋_GB2312" w:hAnsi="仿宋_GB2312" w:eastAsia="仿宋_GB2312" w:cs="仿宋_GB2312"/>
          <w:color w:val="auto"/>
          <w:kern w:val="0"/>
          <w:sz w:val="32"/>
          <w:szCs w:val="32"/>
          <w:lang w:val="en-US" w:eastAsia="zh-CN"/>
        </w:rPr>
        <w:t>149.85</w:t>
      </w:r>
      <w:r>
        <w:rPr>
          <w:rFonts w:hint="eastAsia" w:ascii="仿宋_GB2312" w:hAnsi="仿宋_GB2312" w:eastAsia="仿宋_GB2312" w:cs="仿宋_GB2312"/>
          <w:color w:val="auto"/>
          <w:kern w:val="0"/>
          <w:sz w:val="32"/>
          <w:szCs w:val="32"/>
        </w:rPr>
        <w:t>万元，增长</w:t>
      </w:r>
      <w:r>
        <w:rPr>
          <w:rFonts w:hint="eastAsia" w:ascii="仿宋_GB2312" w:hAnsi="仿宋_GB2312" w:eastAsia="仿宋_GB2312" w:cs="仿宋_GB2312"/>
          <w:color w:val="auto"/>
          <w:kern w:val="0"/>
          <w:sz w:val="32"/>
          <w:szCs w:val="32"/>
          <w:lang w:val="en-US" w:eastAsia="zh-CN"/>
        </w:rPr>
        <w:t>20.94</w:t>
      </w:r>
      <w:r>
        <w:rPr>
          <w:rFonts w:hint="eastAsia" w:ascii="仿宋_GB2312" w:hAnsi="仿宋_GB2312" w:eastAsia="仿宋_GB2312" w:cs="仿宋_GB2312"/>
          <w:color w:val="auto"/>
          <w:kern w:val="0"/>
          <w:sz w:val="32"/>
          <w:szCs w:val="32"/>
        </w:rPr>
        <w:t>%。主要变动原因是：</w:t>
      </w:r>
      <w:r>
        <w:rPr>
          <w:rFonts w:hint="eastAsia" w:ascii="仿宋_GB2312" w:hAnsi="仿宋_GB2312" w:eastAsia="仿宋_GB2312" w:cs="仿宋_GB2312"/>
          <w:color w:val="auto"/>
          <w:kern w:val="0"/>
          <w:sz w:val="32"/>
          <w:szCs w:val="32"/>
          <w:lang w:eastAsia="zh-CN"/>
        </w:rPr>
        <w:t>新进人员的增加及单位二级乙等标准达标</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年年结转和结余</w:t>
      </w:r>
      <w:r>
        <w:rPr>
          <w:rFonts w:hint="eastAsia" w:ascii="仿宋_GB2312" w:hAnsi="仿宋_GB2312" w:eastAsia="仿宋_GB2312" w:cs="仿宋_GB2312"/>
          <w:color w:val="auto"/>
          <w:kern w:val="0"/>
          <w:sz w:val="32"/>
          <w:szCs w:val="32"/>
          <w:lang w:val="en-US" w:eastAsia="zh-CN"/>
        </w:rPr>
        <w:t>54.61</w:t>
      </w:r>
      <w:r>
        <w:rPr>
          <w:rFonts w:hint="eastAsia" w:ascii="仿宋_GB2312" w:hAnsi="仿宋_GB2312" w:eastAsia="仿宋_GB2312" w:cs="仿宋_GB2312"/>
          <w:color w:val="auto"/>
          <w:kern w:val="0"/>
          <w:sz w:val="32"/>
          <w:szCs w:val="32"/>
        </w:rPr>
        <w:t>万元。</w:t>
      </w:r>
    </w:p>
    <w:p>
      <w:pPr>
        <w:pStyle w:val="24"/>
        <w:numPr>
          <w:ilvl w:val="0"/>
          <w:numId w:val="0"/>
        </w:numPr>
        <w:spacing w:line="600" w:lineRule="exact"/>
        <w:outlineLvl w:val="1"/>
        <w:rPr>
          <w:rStyle w:val="26"/>
          <w:rFonts w:ascii="黑体" w:hAnsi="黑体" w:eastAsia="黑体"/>
          <w:b w:val="0"/>
        </w:rPr>
      </w:pPr>
      <w:bookmarkStart w:id="21" w:name="_Toc15396604"/>
      <w:bookmarkStart w:id="22" w:name="_Toc15377206"/>
      <w:r>
        <w:drawing>
          <wp:anchor distT="0" distB="0" distL="114300" distR="114300" simplePos="0" relativeHeight="251658240" behindDoc="0" locked="0" layoutInCell="1" allowOverlap="1">
            <wp:simplePos x="0" y="0"/>
            <wp:positionH relativeFrom="column">
              <wp:posOffset>183515</wp:posOffset>
            </wp:positionH>
            <wp:positionV relativeFrom="paragraph">
              <wp:posOffset>95885</wp:posOffset>
            </wp:positionV>
            <wp:extent cx="5360670" cy="2352040"/>
            <wp:effectExtent l="5080" t="4445" r="6350" b="5715"/>
            <wp:wrapTopAndBottom/>
            <wp:docPr id="119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1"/>
        </w:numPr>
        <w:spacing w:line="600" w:lineRule="exact"/>
        <w:ind w:firstLineChars="0"/>
        <w:outlineLvl w:val="1"/>
        <w:rPr>
          <w:rStyle w:val="26"/>
          <w:rFonts w:ascii="黑体" w:hAnsi="黑体" w:eastAsia="黑体"/>
          <w:b w:val="0"/>
        </w:rPr>
      </w:pPr>
      <w:r>
        <w:rPr>
          <w:rFonts w:hint="eastAsia" w:ascii="黑体" w:hAnsi="黑体" w:eastAsia="黑体"/>
          <w:color w:val="000000"/>
          <w:sz w:val="32"/>
          <w:szCs w:val="32"/>
        </w:rPr>
        <w:t>收</w:t>
      </w:r>
      <w:r>
        <w:rPr>
          <w:rStyle w:val="26"/>
          <w:rFonts w:hint="eastAsia" w:ascii="黑体" w:hAnsi="黑体" w:eastAsia="黑体"/>
          <w:b w:val="0"/>
        </w:rPr>
        <w:t>入决算情况说明</w:t>
      </w:r>
      <w:bookmarkEnd w:id="21"/>
      <w:bookmarkEnd w:id="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2019年本年收入合计</w:t>
      </w:r>
      <w:r>
        <w:rPr>
          <w:rFonts w:hint="eastAsia" w:ascii="仿宋_GB2312" w:hAnsi="仿宋_GB2312" w:eastAsia="仿宋_GB2312" w:cs="仿宋_GB2312"/>
          <w:color w:val="auto"/>
          <w:sz w:val="32"/>
          <w:szCs w:val="32"/>
          <w:lang w:val="en-US" w:eastAsia="zh-CN"/>
        </w:rPr>
        <w:t>839.24</w:t>
      </w:r>
      <w:r>
        <w:rPr>
          <w:rFonts w:hint="eastAsia" w:ascii="仿宋_GB2312" w:hAnsi="仿宋_GB2312" w:eastAsia="仿宋_GB2312" w:cs="仿宋_GB2312"/>
          <w:color w:val="auto"/>
          <w:sz w:val="32"/>
          <w:szCs w:val="32"/>
        </w:rPr>
        <w:t>万元，其中：一般公共预算财政拨款收入</w:t>
      </w:r>
      <w:r>
        <w:rPr>
          <w:rFonts w:hint="eastAsia" w:ascii="仿宋_GB2312" w:hAnsi="仿宋_GB2312" w:eastAsia="仿宋_GB2312" w:cs="仿宋_GB2312"/>
          <w:color w:val="auto"/>
          <w:sz w:val="32"/>
          <w:szCs w:val="32"/>
          <w:lang w:val="en-US" w:eastAsia="zh-CN"/>
        </w:rPr>
        <w:t>839.24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%；政府性基金预算财政拨款收入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%；上级补助收入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%；事业收入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%；附属单位上缴收入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pStyle w:val="2"/>
        <w:bidi w:val="0"/>
      </w:pPr>
      <w:r>
        <w:drawing>
          <wp:inline distT="0" distB="0" distL="114300" distR="114300">
            <wp:extent cx="5100955" cy="3370580"/>
            <wp:effectExtent l="4445" t="4445" r="19050" b="15875"/>
            <wp:docPr id="119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1"/>
        </w:numPr>
        <w:spacing w:line="600" w:lineRule="exact"/>
        <w:ind w:firstLineChars="0"/>
        <w:outlineLvl w:val="1"/>
        <w:rPr>
          <w:rStyle w:val="26"/>
          <w:rFonts w:ascii="黑体" w:hAnsi="黑体" w:eastAsia="黑体"/>
          <w:b w:val="0"/>
          <w:color w:val="auto"/>
        </w:rPr>
      </w:pPr>
      <w:bookmarkStart w:id="23" w:name="_Toc15396605"/>
      <w:bookmarkStart w:id="24" w:name="_Toc15377207"/>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23"/>
      <w:bookmarkEnd w:id="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2019年本年支出合计</w:t>
      </w:r>
      <w:r>
        <w:rPr>
          <w:rFonts w:hint="eastAsia" w:ascii="仿宋_GB2312" w:hAnsi="仿宋_GB2312" w:eastAsia="仿宋_GB2312" w:cs="仿宋_GB2312"/>
          <w:color w:val="auto"/>
          <w:sz w:val="32"/>
          <w:szCs w:val="32"/>
          <w:lang w:val="en-US" w:eastAsia="zh-CN"/>
        </w:rPr>
        <w:t>865.27</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630.31</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72.8</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234.96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27.2</w:t>
      </w:r>
      <w:r>
        <w:rPr>
          <w:rFonts w:hint="eastAsia" w:ascii="仿宋_GB2312" w:hAnsi="仿宋_GB2312" w:eastAsia="仿宋_GB2312" w:cs="仿宋_GB2312"/>
          <w:color w:val="auto"/>
          <w:sz w:val="32"/>
          <w:szCs w:val="32"/>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pStyle w:val="4"/>
        <w:bidi w:val="0"/>
        <w:rPr>
          <w:rFonts w:ascii="仿宋_GB2312" w:eastAsia="仿宋_GB2312"/>
          <w:color w:val="FF0000"/>
          <w:sz w:val="32"/>
          <w:szCs w:val="32"/>
        </w:rPr>
      </w:pPr>
      <w:r>
        <w:drawing>
          <wp:inline distT="0" distB="0" distL="114300" distR="114300">
            <wp:extent cx="5020945" cy="2273300"/>
            <wp:effectExtent l="4445" t="4445" r="22860" b="8255"/>
            <wp:docPr id="120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rPr>
      </w:pPr>
      <w:bookmarkStart w:id="25" w:name="_Toc15396606"/>
      <w:bookmarkStart w:id="26"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olor w:val="auto"/>
          <w:sz w:val="32"/>
          <w:szCs w:val="32"/>
        </w:rPr>
      </w:pPr>
      <w:r>
        <w:rPr>
          <w:rFonts w:hint="eastAsia"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年年初结转和结余</w:t>
      </w:r>
      <w:r>
        <w:rPr>
          <w:rFonts w:hint="eastAsia" w:ascii="仿宋" w:hAnsi="仿宋" w:eastAsia="仿宋"/>
          <w:color w:val="auto"/>
          <w:sz w:val="32"/>
          <w:szCs w:val="32"/>
          <w:lang w:val="en-US" w:eastAsia="zh-CN"/>
        </w:rPr>
        <w:t>80.63</w:t>
      </w:r>
      <w:r>
        <w:rPr>
          <w:rFonts w:hint="eastAsia" w:ascii="仿宋" w:hAnsi="仿宋" w:eastAsia="仿宋"/>
          <w:color w:val="auto"/>
          <w:sz w:val="32"/>
          <w:szCs w:val="32"/>
        </w:rPr>
        <w:t>万元，201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年本年收入决算总额为</w:t>
      </w:r>
      <w:r>
        <w:rPr>
          <w:rFonts w:hint="eastAsia" w:ascii="仿宋" w:hAnsi="仿宋" w:eastAsia="仿宋"/>
          <w:color w:val="auto"/>
          <w:sz w:val="32"/>
          <w:szCs w:val="32"/>
          <w:lang w:val="en-US" w:eastAsia="zh-CN"/>
        </w:rPr>
        <w:t>839.24</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839.24</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年相比，本年收入增加</w:t>
      </w:r>
      <w:r>
        <w:rPr>
          <w:rFonts w:hint="eastAsia" w:ascii="仿宋" w:hAnsi="仿宋" w:eastAsia="仿宋"/>
          <w:color w:val="auto"/>
          <w:sz w:val="32"/>
          <w:szCs w:val="32"/>
          <w:lang w:val="en-US" w:eastAsia="zh-CN"/>
        </w:rPr>
        <w:t>257.85</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44.35</w:t>
      </w:r>
      <w:r>
        <w:rPr>
          <w:rFonts w:hint="eastAsia" w:ascii="仿宋" w:hAnsi="仿宋" w:eastAsia="仿宋"/>
          <w:color w:val="auto"/>
          <w:sz w:val="32"/>
          <w:szCs w:val="32"/>
        </w:rPr>
        <w:t>%。主要变动原因是由于：</w:t>
      </w:r>
      <w:r>
        <w:rPr>
          <w:rFonts w:hint="eastAsia" w:ascii="仿宋" w:hAnsi="仿宋" w:eastAsia="仿宋"/>
          <w:color w:val="auto"/>
          <w:sz w:val="32"/>
          <w:szCs w:val="32"/>
          <w:lang w:eastAsia="zh-CN"/>
        </w:rPr>
        <w:t>新进人员的增加及单位二级乙等标准达标</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1"/>
        <w:rPr>
          <w:rFonts w:hint="eastAsia" w:ascii="仿宋" w:hAnsi="仿宋" w:eastAsia="仿宋"/>
          <w:color w:val="auto"/>
          <w:sz w:val="32"/>
          <w:szCs w:val="32"/>
        </w:rPr>
      </w:pPr>
      <w:r>
        <w:drawing>
          <wp:anchor distT="0" distB="0" distL="114300" distR="114300" simplePos="0" relativeHeight="251659264" behindDoc="0" locked="0" layoutInCell="1" allowOverlap="1">
            <wp:simplePos x="0" y="0"/>
            <wp:positionH relativeFrom="column">
              <wp:posOffset>71120</wp:posOffset>
            </wp:positionH>
            <wp:positionV relativeFrom="paragraph">
              <wp:posOffset>1927225</wp:posOffset>
            </wp:positionV>
            <wp:extent cx="5328920" cy="2235835"/>
            <wp:effectExtent l="4445" t="5080" r="19685" b="698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年本年支出决算总额为</w:t>
      </w:r>
      <w:r>
        <w:rPr>
          <w:rFonts w:hint="eastAsia" w:ascii="仿宋" w:hAnsi="仿宋" w:eastAsia="仿宋"/>
          <w:color w:val="auto"/>
          <w:sz w:val="32"/>
          <w:szCs w:val="32"/>
          <w:lang w:val="en-US" w:eastAsia="zh-CN"/>
        </w:rPr>
        <w:t>865.27</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630.31</w:t>
      </w:r>
      <w:r>
        <w:rPr>
          <w:rFonts w:hint="eastAsia" w:ascii="仿宋" w:hAnsi="仿宋" w:eastAsia="仿宋"/>
          <w:color w:val="auto"/>
          <w:sz w:val="32"/>
          <w:szCs w:val="32"/>
        </w:rPr>
        <w:t>万元、项目支出</w:t>
      </w:r>
      <w:r>
        <w:rPr>
          <w:rFonts w:hint="eastAsia" w:ascii="仿宋" w:hAnsi="仿宋" w:eastAsia="仿宋"/>
          <w:color w:val="auto"/>
          <w:sz w:val="32"/>
          <w:szCs w:val="32"/>
          <w:lang w:val="en-US" w:eastAsia="zh-CN"/>
        </w:rPr>
        <w:t>234.96</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年相比，支出总计增加</w:t>
      </w:r>
      <w:r>
        <w:rPr>
          <w:rFonts w:hint="eastAsia" w:ascii="仿宋" w:hAnsi="仿宋" w:eastAsia="仿宋"/>
          <w:color w:val="auto"/>
          <w:sz w:val="32"/>
          <w:szCs w:val="32"/>
          <w:lang w:val="en-US" w:eastAsia="zh-CN"/>
        </w:rPr>
        <w:t>149.85</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20.94</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新进人员的增加及单位二级乙等标准达标</w:t>
      </w:r>
      <w:r>
        <w:rPr>
          <w:rFonts w:hint="eastAsia"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年年结转和结余</w:t>
      </w:r>
      <w:r>
        <w:rPr>
          <w:rFonts w:hint="eastAsia" w:ascii="仿宋" w:hAnsi="仿宋" w:eastAsia="仿宋"/>
          <w:color w:val="auto"/>
          <w:sz w:val="32"/>
          <w:szCs w:val="32"/>
          <w:lang w:val="en-US" w:eastAsia="zh-CN"/>
        </w:rPr>
        <w:t>54.61</w:t>
      </w:r>
      <w:r>
        <w:rPr>
          <w:rFonts w:hint="eastAsia" w:ascii="仿宋" w:hAnsi="仿宋" w:eastAsia="仿宋"/>
          <w:color w:val="auto"/>
          <w:sz w:val="32"/>
          <w:szCs w:val="32"/>
        </w:rPr>
        <w:t>万元。</w:t>
      </w:r>
    </w:p>
    <w:p>
      <w:pPr>
        <w:spacing w:line="600" w:lineRule="exact"/>
        <w:ind w:firstLine="320" w:firstLineChars="100"/>
        <w:outlineLvl w:val="1"/>
        <w:rPr>
          <w:rStyle w:val="26"/>
          <w:rFonts w:ascii="黑体" w:hAnsi="黑体" w:eastAsia="黑体"/>
          <w:b w:val="0"/>
        </w:rPr>
      </w:pPr>
      <w:bookmarkStart w:id="27" w:name="_Toc15377209"/>
      <w:bookmarkStart w:id="28"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27"/>
      <w:bookmarkEnd w:id="28"/>
    </w:p>
    <w:p>
      <w:pPr>
        <w:spacing w:line="600" w:lineRule="exact"/>
        <w:ind w:firstLine="643" w:firstLineChars="200"/>
        <w:outlineLvl w:val="2"/>
        <w:rPr>
          <w:rFonts w:hint="eastAsia" w:ascii="楷体" w:hAnsi="楷体" w:eastAsia="楷体" w:cs="楷体"/>
          <w:b/>
          <w:color w:val="auto"/>
          <w:sz w:val="32"/>
          <w:szCs w:val="32"/>
        </w:rPr>
      </w:pPr>
      <w:bookmarkStart w:id="29" w:name="_Toc15377210"/>
      <w:r>
        <w:rPr>
          <w:rFonts w:hint="eastAsia" w:ascii="楷体" w:hAnsi="楷体" w:eastAsia="楷体" w:cs="楷体"/>
          <w:b/>
          <w:color w:val="auto"/>
          <w:sz w:val="32"/>
          <w:szCs w:val="32"/>
        </w:rPr>
        <w:t>（一）一般公共预算财政拨款支出决算总体情况</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2019年一般公共预算财政拨款支出</w:t>
      </w:r>
      <w:r>
        <w:rPr>
          <w:rFonts w:hint="eastAsia" w:ascii="仿宋_GB2312" w:hAnsi="仿宋_GB2312" w:eastAsia="仿宋_GB2312" w:cs="仿宋_GB2312"/>
          <w:color w:val="auto"/>
          <w:sz w:val="32"/>
          <w:szCs w:val="32"/>
          <w:lang w:val="en-US" w:eastAsia="zh-CN"/>
        </w:rPr>
        <w:t>865.27</w:t>
      </w:r>
      <w:r>
        <w:rPr>
          <w:rFonts w:hint="eastAsia" w:ascii="仿宋_GB2312" w:hAnsi="仿宋_GB2312" w:eastAsia="仿宋_GB2312" w:cs="仿宋_GB2312"/>
          <w:color w:val="auto"/>
          <w:sz w:val="32"/>
          <w:szCs w:val="32"/>
        </w:rPr>
        <w:t>万元，占本年支出合计的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%。与2018年相比，一般公共预算财政拨款增加</w:t>
      </w:r>
      <w:r>
        <w:rPr>
          <w:rFonts w:hint="eastAsia" w:ascii="仿宋_GB2312" w:hAnsi="仿宋_GB2312" w:eastAsia="仿宋_GB2312" w:cs="仿宋_GB2312"/>
          <w:color w:val="auto"/>
          <w:sz w:val="32"/>
          <w:szCs w:val="32"/>
          <w:lang w:val="en-US" w:eastAsia="zh-CN"/>
        </w:rPr>
        <w:t>149.07</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20.9</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eastAsia="zh-CN"/>
        </w:rPr>
        <w:t>新进人员的增加及单位二级乙等标准达标。</w:t>
      </w:r>
    </w:p>
    <w:p>
      <w:pPr>
        <w:pStyle w:val="2"/>
        <w:bidi w:val="0"/>
        <w:rPr>
          <w:rFonts w:ascii="仿宋" w:hAnsi="仿宋" w:eastAsia="仿宋"/>
          <w:color w:val="000000" w:themeColor="text1"/>
          <w:sz w:val="32"/>
          <w:szCs w:val="32"/>
        </w:rPr>
      </w:pPr>
      <w:r>
        <w:drawing>
          <wp:inline distT="0" distB="0" distL="114300" distR="114300">
            <wp:extent cx="5716270" cy="2360295"/>
            <wp:effectExtent l="4445" t="4445" r="13335" b="16510"/>
            <wp:docPr id="120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hint="eastAsia" w:ascii="楷体" w:hAnsi="楷体" w:eastAsia="楷体" w:cs="楷体"/>
          <w:b/>
          <w:color w:val="000000"/>
          <w:sz w:val="32"/>
          <w:szCs w:val="32"/>
        </w:rPr>
      </w:pPr>
      <w:bookmarkStart w:id="30" w:name="_Toc15377211"/>
      <w:r>
        <w:rPr>
          <w:rFonts w:hint="eastAsia" w:ascii="楷体" w:hAnsi="楷体" w:eastAsia="楷体" w:cs="楷体"/>
          <w:b/>
          <w:color w:val="000000"/>
          <w:sz w:val="32"/>
          <w:szCs w:val="32"/>
        </w:rPr>
        <w:t>（二）一般公共预算财政拨款支出决算结构情况</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2019年一般公共预算财政拨款支出</w:t>
      </w:r>
      <w:r>
        <w:rPr>
          <w:rFonts w:hint="eastAsia" w:ascii="仿宋_GB2312" w:hAnsi="仿宋_GB2312" w:eastAsia="仿宋_GB2312" w:cs="仿宋_GB2312"/>
          <w:color w:val="auto"/>
          <w:sz w:val="32"/>
          <w:szCs w:val="32"/>
          <w:lang w:val="en-US" w:eastAsia="zh-CN"/>
        </w:rPr>
        <w:t>865.26</w:t>
      </w:r>
      <w:r>
        <w:rPr>
          <w:rFonts w:hint="eastAsia" w:ascii="仿宋_GB2312" w:hAnsi="仿宋_GB2312" w:eastAsia="仿宋_GB2312" w:cs="仿宋_GB2312"/>
          <w:color w:val="auto"/>
          <w:sz w:val="32"/>
          <w:szCs w:val="32"/>
        </w:rPr>
        <w:t>万元，主要用于以下方面:</w:t>
      </w:r>
      <w:r>
        <w:rPr>
          <w:rFonts w:hint="eastAsia" w:ascii="仿宋_GB2312" w:hAnsi="仿宋_GB2312" w:eastAsia="仿宋_GB2312" w:cs="仿宋_GB2312"/>
          <w:b/>
          <w:color w:val="auto"/>
          <w:sz w:val="32"/>
          <w:szCs w:val="32"/>
        </w:rPr>
        <w:t>一般公共服务（</w:t>
      </w:r>
      <w:r>
        <w:rPr>
          <w:rFonts w:hint="eastAsia" w:ascii="仿宋_GB2312" w:hAnsi="仿宋_GB2312" w:eastAsia="仿宋_GB2312" w:cs="仿宋_GB2312"/>
          <w:b/>
          <w:color w:val="auto"/>
          <w:sz w:val="32"/>
          <w:szCs w:val="32"/>
          <w:lang w:val="en-US" w:eastAsia="zh-CN"/>
        </w:rPr>
        <w:t>201</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教育支出（</w:t>
      </w:r>
      <w:r>
        <w:rPr>
          <w:rFonts w:hint="eastAsia" w:ascii="仿宋_GB2312" w:hAnsi="仿宋_GB2312" w:eastAsia="仿宋_GB2312" w:cs="仿宋_GB2312"/>
          <w:b/>
          <w:color w:val="auto"/>
          <w:sz w:val="32"/>
          <w:szCs w:val="32"/>
          <w:lang w:val="en-US" w:eastAsia="zh-CN"/>
        </w:rPr>
        <w:t>205</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科学技术（</w:t>
      </w:r>
      <w:r>
        <w:rPr>
          <w:rFonts w:hint="eastAsia" w:ascii="仿宋_GB2312" w:hAnsi="仿宋_GB2312" w:eastAsia="仿宋_GB2312" w:cs="仿宋_GB2312"/>
          <w:b/>
          <w:color w:val="auto"/>
          <w:sz w:val="32"/>
          <w:szCs w:val="32"/>
          <w:lang w:val="en-US" w:eastAsia="zh-CN"/>
        </w:rPr>
        <w:t>206</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文化旅游体育与传媒（</w:t>
      </w:r>
      <w:r>
        <w:rPr>
          <w:rFonts w:hint="eastAsia" w:ascii="仿宋_GB2312" w:hAnsi="仿宋_GB2312" w:eastAsia="仿宋_GB2312" w:cs="仿宋_GB2312"/>
          <w:b/>
          <w:bCs/>
          <w:color w:val="auto"/>
          <w:sz w:val="32"/>
          <w:szCs w:val="32"/>
          <w:lang w:val="en-US" w:eastAsia="zh-CN"/>
        </w:rPr>
        <w:t>207</w:t>
      </w:r>
      <w:r>
        <w:rPr>
          <w:rFonts w:hint="eastAsia" w:ascii="仿宋_GB2312" w:hAnsi="仿宋_GB2312" w:eastAsia="仿宋_GB2312" w:cs="仿宋_GB2312"/>
          <w:b/>
          <w:bCs/>
          <w:color w:val="auto"/>
          <w:sz w:val="32"/>
          <w:szCs w:val="32"/>
        </w:rPr>
        <w:t>）支出</w:t>
      </w:r>
      <w:r>
        <w:rPr>
          <w:rFonts w:hint="eastAsia" w:ascii="仿宋_GB2312" w:hAnsi="仿宋_GB2312" w:eastAsia="仿宋_GB2312" w:cs="仿宋_GB2312"/>
          <w:b/>
          <w:bCs/>
          <w:color w:val="auto"/>
          <w:sz w:val="32"/>
          <w:szCs w:val="32"/>
          <w:lang w:val="en-US" w:eastAsia="zh-CN"/>
        </w:rPr>
        <w:t>0</w:t>
      </w:r>
      <w:r>
        <w:rPr>
          <w:rFonts w:hint="eastAsia" w:ascii="仿宋_GB2312" w:hAnsi="仿宋_GB2312" w:eastAsia="仿宋_GB2312" w:cs="仿宋_GB2312"/>
          <w:b/>
          <w:bCs/>
          <w:color w:val="auto"/>
          <w:sz w:val="32"/>
          <w:szCs w:val="32"/>
        </w:rPr>
        <w:t>万元，占</w:t>
      </w:r>
      <w:r>
        <w:rPr>
          <w:rFonts w:hint="eastAsia" w:ascii="仿宋_GB2312" w:hAnsi="仿宋_GB2312" w:eastAsia="仿宋_GB2312" w:cs="仿宋_GB2312"/>
          <w:b/>
          <w:bCs/>
          <w:color w:val="auto"/>
          <w:sz w:val="32"/>
          <w:szCs w:val="32"/>
          <w:lang w:val="en-US" w:eastAsia="zh-CN"/>
        </w:rPr>
        <w:t>0</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社会保障和就业（</w:t>
      </w:r>
      <w:r>
        <w:rPr>
          <w:rFonts w:hint="eastAsia" w:ascii="仿宋_GB2312" w:hAnsi="仿宋_GB2312" w:eastAsia="仿宋_GB2312" w:cs="仿宋_GB2312"/>
          <w:b/>
          <w:color w:val="auto"/>
          <w:sz w:val="32"/>
          <w:szCs w:val="32"/>
          <w:lang w:val="en-US" w:eastAsia="zh-CN"/>
        </w:rPr>
        <w:t>208</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86.42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卫生健康支出</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210</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val="en-US" w:eastAsia="zh-CN"/>
        </w:rPr>
        <w:t>729.85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84.3</w:t>
      </w:r>
      <w:r>
        <w:rPr>
          <w:rFonts w:hint="eastAsia" w:ascii="仿宋_GB2312" w:hAnsi="仿宋_GB2312" w:eastAsia="仿宋_GB2312" w:cs="仿宋_GB2312"/>
          <w:color w:val="auto"/>
          <w:sz w:val="32"/>
          <w:szCs w:val="32"/>
        </w:rPr>
        <w:t>%；住房保障支出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48.99</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5.7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具体明细科目如下：</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2080505机关事业单位基本养老保险缴费支出59.08万元；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2080506 机关事业单位职业年金缴费支出27.34万元；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2100399其他基层医疗卫生机构支出1.01万元；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2100403  妇幼保健机构467.03万元；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2100408基本公共卫生服务22.14万元；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2100409重大公共卫生专项16.02万元；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2100499其他公共卫生支出3.70万元；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2100717计划生育服务8.82万元；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2100799其他计划生育事务支出25.19万元；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2101102事业单位医疗27.87万元；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2109901其他卫生健康支出158.08万元；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2210201住房公积金47.53万元；</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auto"/>
          <w:sz w:val="32"/>
          <w:szCs w:val="32"/>
          <w:lang w:val="en-US" w:eastAsia="zh-CN"/>
        </w:rPr>
        <w:t>2210203购房补贴1.46万元。</w:t>
      </w:r>
      <w:bookmarkStart w:id="31" w:name="_Toc15377212"/>
    </w:p>
    <w:p>
      <w:pPr>
        <w:pStyle w:val="2"/>
        <w:bidi w:val="0"/>
        <w:rPr>
          <w:rFonts w:hint="eastAsia" w:ascii="仿宋" w:hAnsi="仿宋" w:eastAsia="仿宋"/>
          <w:b/>
          <w:color w:val="000000"/>
          <w:sz w:val="32"/>
          <w:szCs w:val="32"/>
        </w:rPr>
      </w:pPr>
      <w:r>
        <w:drawing>
          <wp:inline distT="0" distB="0" distL="114300" distR="114300">
            <wp:extent cx="5126990" cy="3020695"/>
            <wp:effectExtent l="4445" t="4445" r="12065" b="22860"/>
            <wp:docPr id="120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2"/>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（三）一般公共预算财政拨款支出决算具体情况</w:t>
      </w:r>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bookmarkStart w:id="32" w:name="_Toc15377444"/>
      <w:bookmarkStart w:id="33" w:name="_Toc15377213"/>
      <w:bookmarkStart w:id="34" w:name="_Toc15378460"/>
      <w:r>
        <w:rPr>
          <w:rFonts w:hint="eastAsia" w:ascii="仿宋_GB2312" w:hAnsi="仿宋_GB2312" w:eastAsia="仿宋_GB2312" w:cs="仿宋_GB2312"/>
          <w:color w:val="auto"/>
          <w:sz w:val="32"/>
          <w:szCs w:val="32"/>
          <w:lang w:val="en-US" w:eastAsia="zh-CN"/>
        </w:rPr>
        <w:t>2019年般公共预算支出决算数为865.26万元，完成预算100%。其中：</w:t>
      </w:r>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1.社会保障和就业（208）行政事业单位离退休（05）机关事业单位基本养老保险缴费支出（05）:支出决算为59.08万元，完成预算100%，决算数与预算数持平。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2.社会保障和就业（208）行政事业单位离退休（05）机关事业单位职业年金缴费支出（06）:支出决算为27.34万元，完成预算100%，决算数与预算数持平。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3.医疗卫生与计划生育（210）基层医疗卫生机构（03）其他基层医疗卫生机构支出（99）:支出决算为1.01万元，完成预算100%，决算数大于预算数是因为用于往年剩余资金。</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4.医疗卫生与计划生育支出（210）公共卫生（04）妇幼保健机构出（03）:支出决算为467.03万元，完成预算100%，决算数与预算数持平。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5.医疗卫生与计划生育（210）公共卫生（04）基本公共卫生服务（08）:支出决算为22.14万元，完成预算93.65%，决算数小于预算数的主要原因是部分项目没有进行支付。</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6.医疗卫生与计划生育（210）公共卫生（04）重大公共卫生专项（09）:支出决算为16.02万元，完成预算113.5%，决算数大于预算数是因为有往年结余资金的支出。</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7.医疗卫生与计划生育（210）公共卫生（04）其他公共卫生支出（99）:支出决算为3.70万元，完成预算44.68%，部分项目没有进行支付。</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8.医疗卫生与计划生育（210）计划生育事务（07）计划生育服务（17）:支出决算为8.82万元，完成预算68.31%，决算数小于预算数的主要原因是资金到位较慢及有结余资金的支出。</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9.医疗卫生与计划生育（210）计划生育事务（07）其他计划生育事务支出（99）:支出决算为25.19万元，完成预算83.38%，决算数小于预算数的主要原因是年底有资金的增加。</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10.医疗卫生与计划生育（210）行政事业单位医疗（11）事业单位医疗（02）:支出决算为27.87万元，完成预算100%，决算数与预算数持平。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11.医疗卫生与计划生育（210）其他医疗卫生与计划生育支出（99）其他医疗卫生与计划生育支出（01）:支出决算为158.08万元，完成预算129.35%，决算数大于预算数的主要原因是结余资金的支付。</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12.住房保障支出（221）住房改革支出（02）住房公积金（01）:支出决算为47.53万元，完成预算100%，决算数与预算数持平。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13.住房保障支出（221）住房改革支出（02）购房补贴（03）:支出决算为1.46万元，完成预算100%，决算数与预算数持平。</w:t>
      </w:r>
    </w:p>
    <w:p>
      <w:pPr>
        <w:tabs>
          <w:tab w:val="right" w:pos="8306"/>
        </w:tabs>
        <w:spacing w:line="600" w:lineRule="exact"/>
        <w:ind w:firstLine="320" w:firstLineChars="100"/>
        <w:outlineLvl w:val="1"/>
        <w:rPr>
          <w:rStyle w:val="26"/>
          <w:color w:val="auto"/>
        </w:rPr>
      </w:pPr>
      <w:bookmarkStart w:id="35" w:name="_Toc15396608"/>
      <w:bookmarkStart w:id="36" w:name="_Toc15377214"/>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35"/>
      <w:bookmarkEnd w:id="36"/>
      <w:r>
        <w:rPr>
          <w:rStyle w:val="26"/>
          <w:rFonts w:ascii="黑体" w:hAnsi="黑体" w:eastAsia="黑体"/>
          <w:b w:val="0"/>
          <w:color w:val="auto"/>
        </w:rPr>
        <w:tab/>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2019年一般公共预算财政拨款基本支出</w:t>
      </w:r>
      <w:r>
        <w:rPr>
          <w:rFonts w:hint="eastAsia" w:ascii="仿宋_GB2312" w:hAnsi="仿宋_GB2312" w:eastAsia="仿宋_GB2312" w:cs="仿宋_GB2312"/>
          <w:color w:val="auto"/>
          <w:sz w:val="32"/>
          <w:szCs w:val="32"/>
          <w:lang w:val="en-US" w:eastAsia="zh-CN"/>
        </w:rPr>
        <w:t>630.31</w:t>
      </w:r>
      <w:r>
        <w:rPr>
          <w:rFonts w:hint="eastAsia" w:ascii="仿宋_GB2312" w:hAnsi="仿宋_GB2312" w:eastAsia="仿宋_GB2312" w:cs="仿宋_GB2312"/>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人员经费</w:t>
      </w:r>
      <w:r>
        <w:rPr>
          <w:rFonts w:hint="eastAsia" w:ascii="仿宋_GB2312" w:hAnsi="仿宋_GB2312" w:eastAsia="仿宋_GB2312" w:cs="仿宋_GB2312"/>
          <w:color w:val="auto"/>
          <w:sz w:val="32"/>
          <w:szCs w:val="32"/>
          <w:lang w:val="en-US" w:eastAsia="zh-CN"/>
        </w:rPr>
        <w:t>604.77</w:t>
      </w:r>
      <w:r>
        <w:rPr>
          <w:rFonts w:hint="eastAsia" w:ascii="仿宋_GB2312" w:hAnsi="仿宋_GB2312" w:eastAsia="仿宋_GB2312" w:cs="仿宋_GB2312"/>
          <w:color w:val="auto"/>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日常公用经费</w:t>
      </w:r>
      <w:r>
        <w:rPr>
          <w:rFonts w:hint="eastAsia" w:ascii="仿宋_GB2312" w:hAnsi="仿宋_GB2312" w:eastAsia="仿宋_GB2312" w:cs="仿宋_GB2312"/>
          <w:color w:val="auto"/>
          <w:sz w:val="32"/>
          <w:szCs w:val="32"/>
          <w:lang w:val="en-US" w:eastAsia="zh-CN"/>
        </w:rPr>
        <w:t>25.53</w:t>
      </w:r>
      <w:r>
        <w:rPr>
          <w:rFonts w:hint="eastAsia" w:ascii="仿宋_GB2312" w:hAnsi="仿宋_GB2312" w:eastAsia="仿宋_GB2312" w:cs="仿宋_GB2312"/>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auto"/>
          <w:sz w:val="32"/>
          <w:szCs w:val="32"/>
        </w:rPr>
      </w:pPr>
    </w:p>
    <w:p>
      <w:pPr>
        <w:spacing w:line="600" w:lineRule="exact"/>
        <w:ind w:firstLine="320" w:firstLineChars="100"/>
        <w:outlineLvl w:val="1"/>
        <w:rPr>
          <w:rStyle w:val="26"/>
          <w:rFonts w:ascii="黑体" w:hAnsi="黑体" w:eastAsia="黑体"/>
          <w:b w:val="0"/>
        </w:rPr>
      </w:pPr>
      <w:bookmarkStart w:id="37" w:name="_Toc15377215"/>
      <w:bookmarkStart w:id="38"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7"/>
      <w:bookmarkEnd w:id="38"/>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outlineLvl w:val="2"/>
        <w:rPr>
          <w:rFonts w:hint="eastAsia" w:ascii="楷体" w:hAnsi="楷体" w:eastAsia="楷体" w:cs="楷体"/>
          <w:b/>
          <w:bCs w:val="0"/>
          <w:color w:val="000000"/>
          <w:sz w:val="32"/>
          <w:szCs w:val="32"/>
        </w:rPr>
      </w:pPr>
      <w:bookmarkStart w:id="39" w:name="_Toc15377216"/>
      <w:r>
        <w:rPr>
          <w:rFonts w:hint="eastAsia" w:ascii="楷体" w:hAnsi="楷体" w:eastAsia="楷体" w:cs="楷体"/>
          <w:b/>
          <w:bCs w:val="0"/>
          <w:color w:val="000000"/>
          <w:sz w:val="32"/>
          <w:szCs w:val="32"/>
        </w:rPr>
        <w:t>（一）“三公”经费财政拨款支出决算总体情况说明</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2019年“三公”经费财政拨款支出决算为</w:t>
      </w:r>
      <w:r>
        <w:rPr>
          <w:rFonts w:hint="eastAsia" w:ascii="仿宋_GB2312" w:hAnsi="仿宋_GB2312" w:eastAsia="仿宋_GB2312" w:cs="仿宋_GB2312"/>
          <w:color w:val="auto"/>
          <w:sz w:val="32"/>
          <w:szCs w:val="32"/>
          <w:lang w:val="en-US" w:eastAsia="zh-CN"/>
        </w:rPr>
        <w:t>7.38</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%，决算数与预算数持平</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outlineLvl w:val="2"/>
        <w:rPr>
          <w:rFonts w:hint="eastAsia" w:ascii="楷体" w:hAnsi="楷体" w:eastAsia="楷体" w:cs="楷体"/>
          <w:b w:val="0"/>
          <w:bCs/>
          <w:color w:val="000000"/>
          <w:sz w:val="32"/>
          <w:szCs w:val="32"/>
        </w:rPr>
      </w:pPr>
      <w:bookmarkStart w:id="40" w:name="_Toc15377217"/>
      <w:r>
        <w:rPr>
          <w:rFonts w:hint="eastAsia" w:ascii="楷体" w:hAnsi="楷体" w:eastAsia="楷体" w:cs="楷体"/>
          <w:b/>
          <w:bCs w:val="0"/>
          <w:color w:val="auto"/>
          <w:sz w:val="32"/>
          <w:szCs w:val="32"/>
        </w:rPr>
        <w:t>（二）“三公”经费财政拨款支出决算</w:t>
      </w:r>
      <w:r>
        <w:rPr>
          <w:rFonts w:hint="eastAsia" w:ascii="楷体" w:hAnsi="楷体" w:eastAsia="楷体" w:cs="楷体"/>
          <w:b/>
          <w:bCs w:val="0"/>
          <w:color w:val="000000"/>
          <w:sz w:val="32"/>
          <w:szCs w:val="32"/>
        </w:rPr>
        <w:t>具体情况说明</w:t>
      </w:r>
      <w:bookmarkEnd w:id="4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2019年“三公”经费财政拨款支出决算中，因公出国（境）费支出决算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%；公务用车购置及运行维护费支出决算</w:t>
      </w:r>
      <w:r>
        <w:rPr>
          <w:rFonts w:hint="eastAsia" w:ascii="仿宋_GB2312" w:hAnsi="仿宋_GB2312" w:eastAsia="仿宋_GB2312" w:cs="仿宋_GB2312"/>
          <w:color w:val="auto"/>
          <w:sz w:val="32"/>
          <w:szCs w:val="32"/>
          <w:lang w:val="en-US" w:eastAsia="zh-CN"/>
        </w:rPr>
        <w:t>7.21</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97.69</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0.17</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2.31</w:t>
      </w:r>
      <w:r>
        <w:rPr>
          <w:rFonts w:hint="eastAsia" w:ascii="仿宋_GB2312" w:hAnsi="仿宋_GB2312" w:eastAsia="仿宋_GB2312" w:cs="仿宋_GB2312"/>
          <w:color w:val="auto"/>
          <w:sz w:val="32"/>
          <w:szCs w:val="32"/>
        </w:rPr>
        <w:t>%。具体情况如下：</w:t>
      </w:r>
    </w:p>
    <w:p>
      <w:pPr>
        <w:pStyle w:val="2"/>
        <w:bidi w:val="0"/>
        <w:rPr>
          <w:rFonts w:hint="eastAsia" w:ascii="仿宋" w:hAnsi="仿宋" w:eastAsia="仿宋"/>
          <w:color w:val="0000FF"/>
          <w:sz w:val="32"/>
          <w:szCs w:val="32"/>
          <w:lang w:val="en-US" w:eastAsia="zh-CN"/>
        </w:rPr>
      </w:pPr>
      <w:r>
        <w:drawing>
          <wp:inline distT="0" distB="0" distL="114300" distR="114300">
            <wp:extent cx="5440045" cy="2780030"/>
            <wp:effectExtent l="4445" t="4445" r="22860" b="15875"/>
            <wp:docPr id="120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bCs/>
          <w:color w:val="auto"/>
          <w:sz w:val="32"/>
          <w:szCs w:val="32"/>
        </w:rPr>
        <w:t>因公出国（境）经费支出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%。全年安排因公出国（境）团组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次，出国（境）</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人。因公出国（境）支出决算比2018年</w:t>
      </w:r>
      <w:r>
        <w:rPr>
          <w:rFonts w:hint="eastAsia" w:ascii="仿宋_GB2312" w:hAnsi="仿宋_GB2312" w:eastAsia="仿宋_GB2312" w:cs="仿宋_GB2312"/>
          <w:color w:val="auto"/>
          <w:sz w:val="32"/>
          <w:szCs w:val="32"/>
          <w:lang w:eastAsia="zh-CN"/>
        </w:rPr>
        <w:t>无增减变化</w:t>
      </w:r>
      <w:r>
        <w:rPr>
          <w:rFonts w:hint="eastAsia" w:ascii="仿宋_GB2312" w:hAnsi="仿宋_GB2312" w:eastAsia="仿宋_GB2312" w:cs="仿宋_GB2312"/>
          <w:color w:val="auto"/>
          <w:sz w:val="32"/>
          <w:szCs w:val="32"/>
        </w:rPr>
        <w:t>。主要原因是我单位没有因公出国的人员。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2.公务用车购置及运行维护费支出</w:t>
      </w:r>
      <w:r>
        <w:rPr>
          <w:rFonts w:hint="eastAsia" w:ascii="仿宋_GB2312" w:hAnsi="仿宋_GB2312" w:eastAsia="仿宋_GB2312" w:cs="仿宋_GB2312"/>
          <w:color w:val="auto"/>
          <w:sz w:val="32"/>
          <w:szCs w:val="32"/>
          <w:lang w:val="en-US" w:eastAsia="zh-CN"/>
        </w:rPr>
        <w:t>7.21</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%。公务用车购置及运行维护费支出决算比2018年增加/</w:t>
      </w:r>
      <w:r>
        <w:rPr>
          <w:rFonts w:hint="eastAsia" w:ascii="仿宋_GB2312" w:hAnsi="仿宋_GB2312" w:eastAsia="仿宋_GB2312" w:cs="仿宋_GB2312"/>
          <w:color w:val="auto"/>
          <w:sz w:val="32"/>
          <w:szCs w:val="32"/>
          <w:lang w:val="en-US" w:eastAsia="zh-CN"/>
        </w:rPr>
        <w:t>2.15</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42.49</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购买车辆保险、外出培训及下乡开展项目督导</w:t>
      </w:r>
      <w:r>
        <w:rPr>
          <w:rFonts w:hint="eastAsia" w:ascii="仿宋_GB2312" w:hAnsi="仿宋_GB2312" w:eastAsia="仿宋_GB2312" w:cs="仿宋_GB2312"/>
          <w:color w:val="auto"/>
          <w:sz w:val="32"/>
          <w:szCs w:val="32"/>
        </w:rPr>
        <w:t>等支出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b/>
          <w:color w:val="auto"/>
          <w:sz w:val="32"/>
          <w:szCs w:val="32"/>
        </w:rPr>
        <w:t>公务用车购置支出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全年按规定更新购置公务用车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元。截至2019年12月底，单位共有公务用车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辆，其中：主要领导干部用车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辆、应急保障用车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辆、 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辆、其他用车</w:t>
      </w:r>
      <w:r>
        <w:rPr>
          <w:rFonts w:hint="eastAsia" w:ascii="仿宋_GB2312" w:hAnsi="仿宋_GB2312" w:eastAsia="仿宋_GB2312" w:cs="仿宋_GB2312"/>
          <w:color w:val="auto"/>
          <w:sz w:val="32"/>
          <w:szCs w:val="32"/>
          <w:lang w:val="en-US" w:eastAsia="zh-CN"/>
        </w:rPr>
        <w:t>1辆。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公务用车运行维护费支出</w:t>
      </w:r>
      <w:r>
        <w:rPr>
          <w:rFonts w:hint="eastAsia" w:ascii="仿宋_GB2312" w:hAnsi="仿宋_GB2312" w:eastAsia="仿宋_GB2312" w:cs="仿宋_GB2312"/>
          <w:color w:val="auto"/>
          <w:sz w:val="32"/>
          <w:szCs w:val="32"/>
          <w:lang w:val="en-US" w:eastAsia="zh-CN"/>
        </w:rPr>
        <w:t>7.21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主要用于下乡开展项目督导（妇幼督导等）、项目培训、单位创建二级乙等标准外出学习及车辆购买保险等所需的公务用车燃料费、维修费、过路过桥费、保险费等支出。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3.公务接待费支出</w:t>
      </w:r>
      <w:r>
        <w:rPr>
          <w:rFonts w:hint="eastAsia" w:ascii="仿宋_GB2312" w:hAnsi="仿宋_GB2312" w:eastAsia="仿宋_GB2312" w:cs="仿宋_GB2312"/>
          <w:color w:val="auto"/>
          <w:sz w:val="32"/>
          <w:szCs w:val="32"/>
          <w:lang w:val="en-US" w:eastAsia="zh-CN"/>
        </w:rPr>
        <w:t>0.17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公务接待费支出决算比2018年增加</w:t>
      </w:r>
      <w:r>
        <w:rPr>
          <w:rFonts w:hint="eastAsia" w:ascii="仿宋_GB2312" w:hAnsi="仿宋_GB2312" w:eastAsia="仿宋_GB2312" w:cs="仿宋_GB2312"/>
          <w:color w:val="auto"/>
          <w:sz w:val="32"/>
          <w:szCs w:val="32"/>
          <w:lang w:val="en-US" w:eastAsia="zh-CN"/>
        </w:rPr>
        <w:t>0.05</w:t>
      </w:r>
      <w:r>
        <w:rPr>
          <w:rFonts w:hint="eastAsia" w:ascii="仿宋_GB2312" w:hAnsi="仿宋_GB2312" w:eastAsia="仿宋_GB2312" w:cs="仿宋_GB2312"/>
          <w:color w:val="auto"/>
          <w:sz w:val="32"/>
          <w:szCs w:val="32"/>
          <w:lang w:eastAsia="zh-CN"/>
        </w:rPr>
        <w:t>万元，增长</w:t>
      </w:r>
      <w:r>
        <w:rPr>
          <w:rFonts w:hint="eastAsia" w:ascii="仿宋_GB2312" w:hAnsi="仿宋_GB2312" w:eastAsia="仿宋_GB2312" w:cs="仿宋_GB2312"/>
          <w:color w:val="auto"/>
          <w:sz w:val="32"/>
          <w:szCs w:val="32"/>
          <w:lang w:val="en-US" w:eastAsia="zh-CN"/>
        </w:rPr>
        <w:t>41</w:t>
      </w:r>
      <w:r>
        <w:rPr>
          <w:rFonts w:hint="eastAsia" w:ascii="仿宋_GB2312" w:hAnsi="仿宋_GB2312" w:eastAsia="仿宋_GB2312" w:cs="仿宋_GB2312"/>
          <w:color w:val="auto"/>
          <w:sz w:val="32"/>
          <w:szCs w:val="32"/>
          <w:lang w:eastAsia="zh-CN"/>
        </w:rPr>
        <w:t>%。主要原因是单位创建二级乙等标准。其中：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国内公务接待支出</w:t>
      </w:r>
      <w:r>
        <w:rPr>
          <w:rFonts w:hint="eastAsia" w:ascii="仿宋_GB2312" w:hAnsi="仿宋_GB2312" w:eastAsia="仿宋_GB2312" w:cs="仿宋_GB2312"/>
          <w:color w:val="auto"/>
          <w:sz w:val="32"/>
          <w:szCs w:val="32"/>
          <w:lang w:val="en-US" w:eastAsia="zh-CN"/>
        </w:rPr>
        <w:t>0.17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主要用于二乙达标接待外县人员的餐饮费及请审计公司审计账务产生的住宿费。国内公务接待</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批次，</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eastAsia="zh-CN"/>
        </w:rPr>
        <w:t>人次，共计支出</w:t>
      </w:r>
      <w:r>
        <w:rPr>
          <w:rFonts w:hint="eastAsia" w:ascii="仿宋_GB2312" w:hAnsi="仿宋_GB2312" w:eastAsia="仿宋_GB2312" w:cs="仿宋_GB2312"/>
          <w:color w:val="auto"/>
          <w:sz w:val="32"/>
          <w:szCs w:val="32"/>
          <w:lang w:val="en-US" w:eastAsia="zh-CN"/>
        </w:rPr>
        <w:t>0.17</w:t>
      </w:r>
      <w:r>
        <w:rPr>
          <w:rFonts w:hint="eastAsia" w:ascii="仿宋_GB2312" w:hAnsi="仿宋_GB2312" w:eastAsia="仿宋_GB2312" w:cs="仿宋_GB2312"/>
          <w:color w:val="auto"/>
          <w:sz w:val="32"/>
          <w:szCs w:val="32"/>
          <w:lang w:eastAsia="zh-CN"/>
        </w:rPr>
        <w:t>万元，具体内容包括：二乙达标接待外县人员的餐饮费及请审计公司审计账务产生的住宿费。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外事接待支出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人，共计支出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万元，主要用于接待我单位无外出接待项目。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Fonts w:ascii="黑体" w:eastAsia="黑体"/>
          <w:color w:val="auto"/>
          <w:sz w:val="32"/>
          <w:szCs w:val="32"/>
        </w:rPr>
      </w:pPr>
      <w:bookmarkStart w:id="41" w:name="_Toc15377218"/>
      <w:bookmarkStart w:id="42" w:name="_Toc15396610"/>
    </w:p>
    <w:p>
      <w:pPr>
        <w:spacing w:line="600" w:lineRule="exact"/>
        <w:ind w:firstLine="320" w:firstLineChars="100"/>
        <w:outlineLvl w:val="1"/>
        <w:rPr>
          <w:rStyle w:val="26"/>
          <w:rFonts w:ascii="黑体" w:hAnsi="黑体" w:eastAsia="黑体"/>
          <w:color w:val="auto"/>
        </w:rPr>
      </w:pPr>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41"/>
      <w:bookmarkEnd w:id="42"/>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2019年政府性基金预算拨款支出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w:t>
      </w:r>
    </w:p>
    <w:p>
      <w:pPr>
        <w:numPr>
          <w:ilvl w:val="0"/>
          <w:numId w:val="0"/>
        </w:numPr>
        <w:spacing w:line="600" w:lineRule="exact"/>
        <w:ind w:firstLine="320" w:firstLineChars="100"/>
        <w:outlineLvl w:val="1"/>
        <w:rPr>
          <w:rStyle w:val="26"/>
          <w:rFonts w:ascii="黑体" w:hAnsi="黑体" w:eastAsia="黑体"/>
          <w:b w:val="0"/>
          <w:color w:val="auto"/>
        </w:rPr>
      </w:pPr>
      <w:bookmarkStart w:id="43" w:name="_Toc15396611"/>
      <w:bookmarkStart w:id="44" w:name="_Toc15377219"/>
      <w:r>
        <w:rPr>
          <w:rStyle w:val="26"/>
          <w:rFonts w:hint="eastAsia" w:ascii="黑体" w:hAnsi="黑体" w:eastAsia="黑体"/>
          <w:b w:val="0"/>
          <w:color w:val="auto"/>
          <w:lang w:eastAsia="zh-CN"/>
        </w:rPr>
        <w:t>九、</w:t>
      </w:r>
      <w:r>
        <w:rPr>
          <w:rStyle w:val="26"/>
          <w:rFonts w:hint="eastAsia" w:ascii="黑体" w:hAnsi="黑体" w:eastAsia="黑体"/>
          <w:b w:val="0"/>
          <w:color w:val="auto"/>
        </w:rPr>
        <w:t>国有资本经营预算支出决算情况说明</w:t>
      </w:r>
      <w:bookmarkEnd w:id="43"/>
      <w:bookmarkEnd w:id="44"/>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2019年国有资本经营预算拨款支出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w:t>
      </w:r>
    </w:p>
    <w:p>
      <w:pPr>
        <w:spacing w:line="600" w:lineRule="exact"/>
        <w:ind w:firstLine="320" w:firstLineChars="100"/>
        <w:outlineLvl w:val="1"/>
        <w:rPr>
          <w:rStyle w:val="26"/>
          <w:rFonts w:ascii="黑体" w:hAnsi="黑体" w:eastAsia="黑体"/>
          <w:color w:val="auto"/>
        </w:rPr>
      </w:pPr>
      <w:bookmarkStart w:id="45" w:name="_Toc15377221"/>
      <w:bookmarkStart w:id="46" w:name="_Toc15396612"/>
      <w:r>
        <w:rPr>
          <w:rFonts w:hint="eastAsia" w:ascii="黑体" w:hAnsi="黑体" w:eastAsia="黑体"/>
          <w:color w:val="auto"/>
          <w:sz w:val="32"/>
          <w:szCs w:val="32"/>
        </w:rPr>
        <w:t>十</w:t>
      </w:r>
      <w:r>
        <w:rPr>
          <w:rStyle w:val="26"/>
          <w:rFonts w:hint="eastAsia" w:ascii="黑体" w:hAnsi="黑体" w:eastAsia="黑体"/>
          <w:color w:val="auto"/>
        </w:rPr>
        <w:t>、</w:t>
      </w:r>
      <w:r>
        <w:rPr>
          <w:rStyle w:val="26"/>
          <w:rFonts w:hint="eastAsia" w:ascii="黑体" w:hAnsi="黑体" w:eastAsia="黑体"/>
          <w:b w:val="0"/>
          <w:color w:val="auto"/>
        </w:rPr>
        <w:t>其他重要事项的情况说明</w:t>
      </w:r>
      <w:bookmarkEnd w:id="45"/>
      <w:bookmarkEnd w:id="46"/>
    </w:p>
    <w:p>
      <w:pPr>
        <w:spacing w:line="600" w:lineRule="exact"/>
        <w:ind w:firstLine="321" w:firstLineChars="100"/>
        <w:outlineLvl w:val="2"/>
        <w:rPr>
          <w:rFonts w:hint="eastAsia" w:ascii="楷体" w:hAnsi="楷体" w:eastAsia="楷体" w:cs="楷体"/>
          <w:b/>
          <w:bCs w:val="0"/>
          <w:color w:val="auto"/>
          <w:sz w:val="32"/>
          <w:szCs w:val="32"/>
        </w:rPr>
      </w:pPr>
      <w:bookmarkStart w:id="47" w:name="_Toc15377222"/>
      <w:r>
        <w:rPr>
          <w:rFonts w:hint="eastAsia" w:ascii="楷体" w:hAnsi="楷体" w:eastAsia="楷体" w:cs="楷体"/>
          <w:b/>
          <w:bCs w:val="0"/>
          <w:color w:val="auto"/>
          <w:sz w:val="32"/>
          <w:szCs w:val="32"/>
        </w:rPr>
        <w:t>（一）机关运行经费支出情况</w:t>
      </w:r>
      <w:bookmarkEnd w:id="47"/>
    </w:p>
    <w:p>
      <w:pPr>
        <w:spacing w:line="600" w:lineRule="exact"/>
        <w:ind w:firstLine="640" w:firstLineChars="200"/>
        <w:rPr>
          <w:rFonts w:hint="eastAsia" w:ascii="仿宋_GB2312" w:eastAsia="仿宋_GB2312"/>
          <w:color w:val="auto"/>
          <w:sz w:val="32"/>
          <w:szCs w:val="32"/>
          <w:lang w:eastAsia="zh-CN"/>
        </w:rPr>
      </w:pPr>
      <w:r>
        <w:rPr>
          <w:rFonts w:hint="eastAsia" w:ascii="仿宋" w:hAnsi="仿宋" w:eastAsia="仿宋"/>
          <w:color w:val="auto"/>
          <w:sz w:val="32"/>
          <w:szCs w:val="32"/>
          <w:lang w:eastAsia="zh-CN"/>
        </w:rPr>
        <w:t>2019年，壤塘县妇幼保健计划生育服务中心机关运行经费支出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lang w:eastAsia="zh-CN"/>
        </w:rPr>
        <w:t>万元，与2018年决算数持平。</w:t>
      </w:r>
    </w:p>
    <w:p>
      <w:pPr>
        <w:autoSpaceDE w:val="0"/>
        <w:autoSpaceDN w:val="0"/>
        <w:adjustRightInd w:val="0"/>
        <w:spacing w:line="600" w:lineRule="exact"/>
        <w:ind w:firstLine="321" w:firstLineChars="100"/>
        <w:jc w:val="left"/>
        <w:outlineLvl w:val="2"/>
        <w:rPr>
          <w:rFonts w:hint="eastAsia" w:ascii="楷体" w:hAnsi="楷体" w:eastAsia="楷体" w:cs="楷体"/>
          <w:b/>
          <w:color w:val="auto"/>
          <w:sz w:val="32"/>
          <w:szCs w:val="32"/>
        </w:rPr>
      </w:pPr>
      <w:bookmarkStart w:id="48" w:name="_Toc15377223"/>
      <w:r>
        <w:rPr>
          <w:rFonts w:hint="eastAsia" w:ascii="楷体" w:hAnsi="楷体" w:eastAsia="楷体" w:cs="楷体"/>
          <w:b/>
          <w:color w:val="auto"/>
          <w:sz w:val="32"/>
          <w:szCs w:val="32"/>
        </w:rPr>
        <w:t>（二）政府采购支出情况</w:t>
      </w:r>
      <w:bookmarkEnd w:id="48"/>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 w:hAnsi="仿宋" w:eastAsia="仿宋"/>
          <w:color w:val="auto"/>
          <w:sz w:val="32"/>
          <w:szCs w:val="32"/>
          <w:lang w:eastAsia="zh-CN"/>
        </w:rPr>
        <w:t>2</w:t>
      </w:r>
      <w:r>
        <w:rPr>
          <w:rFonts w:hint="eastAsia" w:ascii="仿宋_GB2312" w:hAnsi="仿宋_GB2312" w:eastAsia="仿宋_GB2312" w:cs="仿宋_GB2312"/>
          <w:color w:val="auto"/>
          <w:sz w:val="32"/>
          <w:szCs w:val="32"/>
          <w:lang w:eastAsia="zh-CN"/>
        </w:rPr>
        <w:t>019年，壤塘县妇幼保健计划生育服务中心政府采购支出总额</w:t>
      </w:r>
      <w:r>
        <w:rPr>
          <w:rFonts w:hint="eastAsia" w:ascii="仿宋_GB2312" w:hAnsi="仿宋_GB2312" w:eastAsia="仿宋_GB2312" w:cs="仿宋_GB2312"/>
          <w:color w:val="auto"/>
          <w:sz w:val="32"/>
          <w:szCs w:val="32"/>
          <w:lang w:val="en-US" w:eastAsia="zh-CN"/>
        </w:rPr>
        <w:t>129.02</w:t>
      </w:r>
      <w:r>
        <w:rPr>
          <w:rFonts w:hint="eastAsia" w:ascii="仿宋_GB2312" w:hAnsi="仿宋_GB2312" w:eastAsia="仿宋_GB2312" w:cs="仿宋_GB2312"/>
          <w:color w:val="auto"/>
          <w:sz w:val="32"/>
          <w:szCs w:val="32"/>
          <w:lang w:eastAsia="zh-CN"/>
        </w:rPr>
        <w:t>万元，其中：政府采购货物支出</w:t>
      </w:r>
      <w:r>
        <w:rPr>
          <w:rFonts w:hint="eastAsia" w:ascii="仿宋_GB2312" w:hAnsi="仿宋_GB2312" w:eastAsia="仿宋_GB2312" w:cs="仿宋_GB2312"/>
          <w:color w:val="auto"/>
          <w:sz w:val="32"/>
          <w:szCs w:val="32"/>
          <w:lang w:val="en-US" w:eastAsia="zh-CN"/>
        </w:rPr>
        <w:t>102.55</w:t>
      </w:r>
      <w:r>
        <w:rPr>
          <w:rFonts w:hint="eastAsia" w:ascii="仿宋_GB2312" w:hAnsi="仿宋_GB2312" w:eastAsia="仿宋_GB2312" w:cs="仿宋_GB2312"/>
          <w:color w:val="auto"/>
          <w:sz w:val="32"/>
          <w:szCs w:val="32"/>
          <w:lang w:eastAsia="zh-CN"/>
        </w:rPr>
        <w:t>万元、政府采购工程支出</w:t>
      </w:r>
      <w:r>
        <w:rPr>
          <w:rFonts w:hint="eastAsia" w:ascii="仿宋_GB2312" w:hAnsi="仿宋_GB2312" w:eastAsia="仿宋_GB2312" w:cs="仿宋_GB2312"/>
          <w:color w:val="auto"/>
          <w:sz w:val="32"/>
          <w:szCs w:val="32"/>
          <w:lang w:val="en-US" w:eastAsia="zh-CN"/>
        </w:rPr>
        <w:t>26.47</w:t>
      </w:r>
      <w:r>
        <w:rPr>
          <w:rFonts w:hint="eastAsia" w:ascii="仿宋_GB2312" w:hAnsi="仿宋_GB2312" w:eastAsia="仿宋_GB2312" w:cs="仿宋_GB2312"/>
          <w:color w:val="auto"/>
          <w:sz w:val="32"/>
          <w:szCs w:val="32"/>
          <w:lang w:eastAsia="zh-CN"/>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万元。主要用于购买办公设备及医疗设备。</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auto"/>
          <w:sz w:val="32"/>
          <w:szCs w:val="32"/>
        </w:rPr>
      </w:pPr>
      <w:bookmarkStart w:id="49" w:name="_Toc15377224"/>
      <w:r>
        <w:rPr>
          <w:rFonts w:hint="eastAsia" w:ascii="仿宋_GB2312" w:hAnsi="仿宋_GB2312" w:eastAsia="仿宋_GB2312" w:cs="仿宋_GB2312"/>
          <w:b/>
          <w:color w:val="auto"/>
          <w:sz w:val="32"/>
          <w:szCs w:val="32"/>
        </w:rPr>
        <w:t>（三）国有资产占有使用情况</w:t>
      </w:r>
      <w:bookmarkEnd w:id="49"/>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截至2019年12月31日，壤塘县妇幼保健计划生育服务中心共有车辆</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辆，其中：主要领导干部用车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辆、应急保障用车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辆、其他用车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辆，其他用车主要是用于单位的公务用车。单价50万元以上通用设备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台（套），单价100万元以上专用设备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台（套）。</w:t>
      </w:r>
    </w:p>
    <w:p>
      <w:pPr>
        <w:autoSpaceDE w:val="0"/>
        <w:autoSpaceDN w:val="0"/>
        <w:adjustRightInd w:val="0"/>
        <w:spacing w:line="600" w:lineRule="exact"/>
        <w:ind w:firstLine="643" w:firstLineChars="200"/>
        <w:jc w:val="left"/>
        <w:outlineLvl w:val="2"/>
        <w:rPr>
          <w:rFonts w:hint="eastAsia" w:ascii="楷体" w:hAnsi="楷体" w:eastAsia="楷体" w:cs="楷体"/>
          <w:b/>
          <w:color w:val="auto"/>
          <w:sz w:val="32"/>
          <w:szCs w:val="32"/>
        </w:rPr>
      </w:pPr>
      <w:r>
        <w:rPr>
          <w:rFonts w:hint="eastAsia" w:ascii="楷体" w:hAnsi="楷体" w:eastAsia="楷体" w:cs="楷体"/>
          <w:b/>
          <w:color w:val="auto"/>
          <w:sz w:val="32"/>
          <w:szCs w:val="32"/>
        </w:rPr>
        <w:t>（四）预算绩效管理情况。</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根据预算绩效管理要求，本部门（单位）在年初预算编制阶段，组织对</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个项目开展了预算事前绩效评估，对</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个项目编制了绩效目标，预算执行过程中，选取</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个项目开展绩效监控，年终执行完毕后，对各个项目开展了绩效目标完成情况梳理填报。</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本部门按要求对201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年部门整体支出开展绩效自评，从评价情况来看：本单位按要求对201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年部门整体支出开展绩效自评，从评价情况来看，201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年我部门整体支出绩效评价自查自评结果较好，基本支出保证了部门的日常工作的开展，项目支出保障了重点工作的开展，绩效目标得到较好实现，绩效管理水平不断提高。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项目绩效目标完成情况。</w:t>
      </w:r>
      <w:r>
        <w:rPr>
          <w:rFonts w:hint="eastAsia" w:ascii="楷体_GB2312" w:hAnsi="楷体_GB2312" w:eastAsia="楷体_GB2312" w:cs="楷体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 w:hAnsi="仿宋" w:eastAsia="仿宋"/>
          <w:color w:val="auto"/>
          <w:sz w:val="32"/>
          <w:szCs w:val="32"/>
          <w:lang w:eastAsia="zh-CN"/>
        </w:rPr>
        <w:t>本部门在2019年度部门决算中反映“自愿免费婚前医学检查””两癌筛查项目”“妇幼卫生专项”等</w:t>
      </w: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个项目绩</w:t>
      </w:r>
      <w:r>
        <w:rPr>
          <w:rFonts w:hint="eastAsia" w:ascii="仿宋_GB2312" w:hAnsi="仿宋_GB2312" w:eastAsia="仿宋_GB2312" w:cs="仿宋_GB2312"/>
          <w:color w:val="auto"/>
          <w:sz w:val="32"/>
          <w:szCs w:val="32"/>
          <w:lang w:eastAsia="zh-CN"/>
        </w:rPr>
        <w:t>效目标实际完成情况。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自愿免费婚前医学检查项目绩效目标完成情况综述。项目全年预算数</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lang w:eastAsia="zh-CN"/>
        </w:rPr>
        <w:t>万元，执行数为</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lang w:eastAsia="zh-CN"/>
        </w:rPr>
        <w:t>万元，完成预算的</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lang w:eastAsia="zh-CN"/>
        </w:rPr>
        <w:t>%。通过项目实施，通过项目实施，提高出生人口素质，降低婴儿出生缺陷发生率。发现的主要问题：部分人群对婚前检查不重视。下一步改进措施：加大宣传力度，提高适龄男女对婚前检查的重视。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（2）两癌筛查项目项目绩效目标完成情况综述。项目全年预算数</w:t>
      </w:r>
      <w:r>
        <w:rPr>
          <w:rFonts w:hint="eastAsia" w:ascii="仿宋_GB2312" w:hAnsi="仿宋_GB2312" w:eastAsia="仿宋_GB2312" w:cs="仿宋_GB2312"/>
          <w:color w:val="auto"/>
          <w:sz w:val="32"/>
          <w:szCs w:val="32"/>
          <w:lang w:val="en-US" w:eastAsia="zh-CN"/>
        </w:rPr>
        <w:t>2.08</w:t>
      </w:r>
      <w:r>
        <w:rPr>
          <w:rFonts w:hint="eastAsia" w:ascii="仿宋_GB2312" w:hAnsi="仿宋_GB2312" w:eastAsia="仿宋_GB2312" w:cs="仿宋_GB2312"/>
          <w:color w:val="auto"/>
          <w:sz w:val="32"/>
          <w:szCs w:val="32"/>
          <w:lang w:eastAsia="zh-CN"/>
        </w:rPr>
        <w:t>万元，执行数为</w:t>
      </w:r>
      <w:r>
        <w:rPr>
          <w:rFonts w:hint="eastAsia" w:ascii="仿宋_GB2312" w:hAnsi="仿宋_GB2312" w:eastAsia="仿宋_GB2312" w:cs="仿宋_GB2312"/>
          <w:color w:val="auto"/>
          <w:sz w:val="32"/>
          <w:szCs w:val="32"/>
          <w:lang w:val="en-US" w:eastAsia="zh-CN"/>
        </w:rPr>
        <w:t>1.93</w:t>
      </w:r>
      <w:r>
        <w:rPr>
          <w:rFonts w:hint="eastAsia" w:ascii="仿宋_GB2312" w:hAnsi="仿宋_GB2312" w:eastAsia="仿宋_GB2312" w:cs="仿宋_GB2312"/>
          <w:color w:val="auto"/>
          <w:sz w:val="32"/>
          <w:szCs w:val="32"/>
          <w:lang w:eastAsia="zh-CN"/>
        </w:rPr>
        <w:t>万元，完成预算的</w:t>
      </w:r>
      <w:r>
        <w:rPr>
          <w:rFonts w:hint="eastAsia" w:ascii="仿宋_GB2312" w:hAnsi="仿宋_GB2312" w:eastAsia="仿宋_GB2312" w:cs="仿宋_GB2312"/>
          <w:color w:val="auto"/>
          <w:sz w:val="32"/>
          <w:szCs w:val="32"/>
          <w:lang w:val="en-US" w:eastAsia="zh-CN"/>
        </w:rPr>
        <w:t>92.780</w:t>
      </w:r>
      <w:r>
        <w:rPr>
          <w:rFonts w:hint="eastAsia" w:ascii="仿宋_GB2312" w:hAnsi="仿宋_GB2312" w:eastAsia="仿宋_GB2312" w:cs="仿宋_GB2312"/>
          <w:color w:val="auto"/>
          <w:sz w:val="32"/>
          <w:szCs w:val="32"/>
          <w:lang w:eastAsia="zh-CN"/>
        </w:rPr>
        <w:t>%。通过该项目实施，能够降低辖区内两癌的发病率，可以早发现，早治疗，老百姓对于该项目有了一定的了解。发现的主要问题：虽然部分人员有了一定的了解，但思想意识还很淡薄。下一步改进措施：进一步做好解释和宣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eastAsia="zh-CN"/>
        </w:rPr>
        <w:t>（3）妇幼卫生专项项目绩效目标完成情况综述。</w:t>
      </w:r>
      <w:r>
        <w:rPr>
          <w:rFonts w:hint="eastAsia" w:ascii="仿宋_GB2312" w:hAnsi="仿宋_GB2312" w:eastAsia="仿宋_GB2312" w:cs="仿宋_GB2312"/>
          <w:color w:val="auto"/>
          <w:sz w:val="32"/>
          <w:szCs w:val="32"/>
          <w:lang w:eastAsia="zh-CN"/>
        </w:rPr>
        <w:t>项目全年预算数</w:t>
      </w:r>
      <w:r>
        <w:rPr>
          <w:rFonts w:hint="eastAsia" w:ascii="仿宋_GB2312" w:hAnsi="仿宋_GB2312" w:eastAsia="仿宋_GB2312" w:cs="仿宋_GB2312"/>
          <w:color w:val="auto"/>
          <w:sz w:val="32"/>
          <w:szCs w:val="32"/>
          <w:lang w:val="en-US" w:eastAsia="zh-CN"/>
        </w:rPr>
        <w:t>17.30</w:t>
      </w:r>
      <w:r>
        <w:rPr>
          <w:rFonts w:hint="eastAsia" w:ascii="仿宋_GB2312" w:hAnsi="仿宋_GB2312" w:eastAsia="仿宋_GB2312" w:cs="仿宋_GB2312"/>
          <w:color w:val="auto"/>
          <w:sz w:val="32"/>
          <w:szCs w:val="32"/>
          <w:lang w:eastAsia="zh-CN"/>
        </w:rPr>
        <w:t>万元，执行数为</w:t>
      </w:r>
      <w:r>
        <w:rPr>
          <w:rFonts w:hint="eastAsia" w:ascii="仿宋_GB2312" w:hAnsi="仿宋_GB2312" w:eastAsia="仿宋_GB2312" w:cs="仿宋_GB2312"/>
          <w:color w:val="auto"/>
          <w:sz w:val="32"/>
          <w:szCs w:val="32"/>
          <w:lang w:val="en-US" w:eastAsia="zh-CN"/>
        </w:rPr>
        <w:t>5.46</w:t>
      </w:r>
      <w:r>
        <w:rPr>
          <w:rFonts w:hint="eastAsia" w:ascii="仿宋_GB2312" w:hAnsi="仿宋_GB2312" w:eastAsia="仿宋_GB2312" w:cs="仿宋_GB2312"/>
          <w:color w:val="auto"/>
          <w:sz w:val="32"/>
          <w:szCs w:val="32"/>
          <w:lang w:eastAsia="zh-CN"/>
        </w:rPr>
        <w:t>万元，完成预算的</w:t>
      </w:r>
      <w:r>
        <w:rPr>
          <w:rFonts w:hint="eastAsia" w:ascii="仿宋_GB2312" w:hAnsi="仿宋_GB2312" w:eastAsia="仿宋_GB2312" w:cs="仿宋_GB2312"/>
          <w:color w:val="auto"/>
          <w:sz w:val="32"/>
          <w:szCs w:val="32"/>
          <w:lang w:val="en-US" w:eastAsia="zh-CN"/>
        </w:rPr>
        <w:t>31.56</w:t>
      </w:r>
      <w:r>
        <w:rPr>
          <w:rFonts w:hint="eastAsia" w:ascii="仿宋_GB2312" w:hAnsi="仿宋_GB2312" w:eastAsia="仿宋_GB2312" w:cs="仿宋_GB2312"/>
          <w:color w:val="auto"/>
          <w:sz w:val="32"/>
          <w:szCs w:val="32"/>
          <w:lang w:eastAsia="zh-CN"/>
        </w:rPr>
        <w:t>%。通过项目实施，降低了出生缺陷的发生，防止传染病，提高了全县孕前优生检查率，对辖区内的妇幼人员每季度进行培训及对乡镇卫生院的质量检测工作。发现的主要问题：乡镇卫生院对于该工作的重视度不高及老百姓的不配合。下一步改进措施：对老百姓做好解释和宣传工作、对乡镇卫生院加强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tbl>
      <w:tblPr>
        <w:tblStyle w:val="16"/>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rPr>
            </w:pPr>
            <w:r>
              <w:rPr>
                <w:rFonts w:hint="eastAsia" w:ascii="宋体" w:hAnsi="宋体" w:cs="宋体"/>
                <w:b/>
                <w:bCs/>
                <w:color w:val="auto"/>
                <w:kern w:val="0"/>
                <w:sz w:val="36"/>
                <w:szCs w:val="36"/>
              </w:rPr>
              <w:t>项目绩效目标完成情况表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eastAsia="宋体" w:cs="宋体"/>
                <w:color w:val="auto"/>
                <w:sz w:val="32"/>
                <w:szCs w:val="32"/>
              </w:rPr>
              <w:t>自愿免费婚前医学检查项目</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壤塘县妇幼保健计划生育服务中心</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1.15</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1.15</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国家免费婚前医学检查，2019年全辖区目标完成对数为70对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1"/>
                <w:szCs w:val="21"/>
              </w:rPr>
              <w:t>根据年初设定的目标，</w:t>
            </w:r>
            <w:r>
              <w:rPr>
                <w:rFonts w:hint="eastAsia" w:ascii="宋体" w:hAnsi="宋体" w:cs="宋体"/>
                <w:color w:val="auto"/>
                <w:sz w:val="21"/>
                <w:szCs w:val="21"/>
                <w:lang w:eastAsia="zh-CN"/>
              </w:rPr>
              <w:t>此</w:t>
            </w:r>
            <w:r>
              <w:rPr>
                <w:rFonts w:hint="eastAsia" w:ascii="宋体" w:hAnsi="宋体" w:cs="宋体"/>
                <w:color w:val="auto"/>
                <w:sz w:val="21"/>
                <w:szCs w:val="21"/>
              </w:rPr>
              <w:t>项目已经达到目标</w:t>
            </w:r>
            <w:r>
              <w:rPr>
                <w:rFonts w:hint="eastAsia" w:ascii="宋体" w:hAnsi="宋体" w:cs="宋体"/>
                <w:color w:val="auto"/>
                <w:sz w:val="21"/>
                <w:szCs w:val="21"/>
                <w:lang w:eastAsia="zh-CN"/>
              </w:rPr>
              <w:t>。</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对辖区内符合条件的人员免费进行婚前医学检查人数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70对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399对</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做好传染病的防止工作，防止交叉感染，提高了全县的婚检率.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89%</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辖区内每</w:t>
            </w:r>
            <w:r>
              <w:rPr>
                <w:rFonts w:hint="eastAsia" w:ascii="宋体" w:hAnsi="宋体" w:cs="宋体"/>
                <w:color w:val="auto"/>
                <w:sz w:val="24"/>
                <w:lang w:eastAsia="zh-CN"/>
              </w:rPr>
              <w:t>对</w:t>
            </w:r>
            <w:r>
              <w:rPr>
                <w:rFonts w:hint="eastAsia" w:ascii="宋体" w:hAnsi="宋体" w:cs="宋体"/>
                <w:color w:val="auto"/>
                <w:sz w:val="24"/>
              </w:rPr>
              <w:t>婚前医学检查及孕前检查人员的标准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240元/对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240元/对</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社会效益</w:t>
            </w:r>
          </w:p>
          <w:p>
            <w:pPr>
              <w:widowControl/>
              <w:jc w:val="center"/>
              <w:textAlignment w:val="center"/>
              <w:rPr>
                <w:rFonts w:ascii="宋体" w:hAnsi="宋体" w:cs="宋体"/>
                <w:color w:val="auto"/>
                <w:sz w:val="24"/>
              </w:rPr>
            </w:pPr>
            <w:r>
              <w:rPr>
                <w:rFonts w:hint="eastAsia" w:ascii="宋体" w:hAns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区域内出生缺陷发生率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≦78.745</w:t>
            </w:r>
          </w:p>
        </w:tc>
      </w:tr>
    </w:tbl>
    <w:p>
      <w:pPr>
        <w:spacing w:line="580" w:lineRule="exact"/>
        <w:ind w:left="630"/>
        <w:rPr>
          <w:rFonts w:ascii="仿宋_GB2312" w:hAnsi="仿宋_GB2312" w:eastAsia="仿宋_GB2312" w:cs="仿宋_GB2312"/>
          <w:color w:val="auto"/>
          <w:sz w:val="32"/>
          <w:szCs w:val="32"/>
        </w:rPr>
      </w:pPr>
    </w:p>
    <w:tbl>
      <w:tblPr>
        <w:tblStyle w:val="16"/>
        <w:tblpPr w:leftFromText="180" w:rightFromText="180" w:vertAnchor="text" w:horzAnchor="page" w:tblpX="1117" w:tblpY="258"/>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rPr>
            </w:pPr>
            <w:r>
              <w:rPr>
                <w:rFonts w:hint="eastAsia" w:ascii="宋体" w:hAnsi="宋体" w:cs="宋体"/>
                <w:b/>
                <w:bCs/>
                <w:color w:val="auto"/>
                <w:kern w:val="0"/>
                <w:sz w:val="36"/>
                <w:szCs w:val="36"/>
              </w:rPr>
              <w:t>项目绩效目标完成情况表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eastAsia="宋体" w:cs="宋体"/>
                <w:color w:val="auto"/>
                <w:sz w:val="32"/>
                <w:szCs w:val="32"/>
                <w:lang w:eastAsia="zh-CN"/>
              </w:rPr>
              <w:t>两癌</w:t>
            </w:r>
            <w:r>
              <w:rPr>
                <w:rFonts w:hint="eastAsia" w:ascii="宋体" w:hAnsi="宋体" w:eastAsia="宋体" w:cs="宋体"/>
                <w:color w:val="auto"/>
                <w:sz w:val="32"/>
                <w:szCs w:val="32"/>
              </w:rPr>
              <w:t>筛查</w:t>
            </w:r>
            <w:r>
              <w:rPr>
                <w:rFonts w:hint="eastAsia" w:ascii="宋体" w:hAnsi="宋体" w:eastAsia="宋体" w:cs="宋体"/>
                <w:color w:val="auto"/>
                <w:sz w:val="32"/>
                <w:szCs w:val="32"/>
                <w:lang w:eastAsia="zh-CN"/>
              </w:rPr>
              <w:t>项目</w:t>
            </w:r>
            <w:r>
              <w:rPr>
                <w:rFonts w:hint="eastAsia" w:ascii="宋体" w:hAnsi="宋体" w:eastAsia="宋体" w:cs="宋体"/>
                <w:color w:val="auto"/>
                <w:sz w:val="32"/>
                <w:szCs w:val="32"/>
              </w:rPr>
              <w:t>项目</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壤塘县妇幼保健计划生育服务中心</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1.93</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1.93</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1"/>
                <w:szCs w:val="21"/>
                <w:lang w:val="en-US" w:eastAsia="zh-CN"/>
              </w:rPr>
            </w:pPr>
            <w:r>
              <w:rPr>
                <w:rFonts w:hint="eastAsia" w:ascii="宋体" w:hAnsi="宋体" w:cs="宋体"/>
                <w:color w:val="auto"/>
                <w:sz w:val="21"/>
                <w:szCs w:val="21"/>
              </w:rPr>
              <w:t>对辖区内的农村妇女免费宫颈癌筛查人数</w:t>
            </w:r>
            <w:r>
              <w:rPr>
                <w:rFonts w:hint="eastAsia" w:ascii="宋体" w:hAnsi="宋体" w:cs="宋体"/>
                <w:color w:val="auto"/>
                <w:sz w:val="21"/>
                <w:szCs w:val="21"/>
                <w:lang w:val="en-US" w:eastAsia="zh-CN"/>
              </w:rPr>
              <w:t>600人</w:t>
            </w:r>
          </w:p>
          <w:p>
            <w:pPr>
              <w:widowControl/>
              <w:jc w:val="center"/>
              <w:textAlignment w:val="center"/>
              <w:rPr>
                <w:rFonts w:hint="default" w:ascii="宋体" w:hAnsi="宋体" w:cs="宋体"/>
                <w:color w:val="auto"/>
                <w:sz w:val="21"/>
                <w:szCs w:val="21"/>
                <w:lang w:val="en-US" w:eastAsia="zh-CN"/>
              </w:rPr>
            </w:pPr>
            <w:r>
              <w:rPr>
                <w:rFonts w:hint="default" w:ascii="宋体" w:hAnsi="宋体" w:cs="宋体"/>
                <w:color w:val="auto"/>
                <w:sz w:val="21"/>
                <w:szCs w:val="21"/>
                <w:lang w:val="en-US" w:eastAsia="zh-CN"/>
              </w:rPr>
              <w:t>对辖区内的农村妇女免费乳腺癌筛查人数</w:t>
            </w:r>
            <w:r>
              <w:rPr>
                <w:rFonts w:hint="eastAsia" w:ascii="宋体" w:hAnsi="宋体" w:cs="宋体"/>
                <w:color w:val="auto"/>
                <w:sz w:val="21"/>
                <w:szCs w:val="21"/>
                <w:lang w:val="en-US" w:eastAsia="zh-CN"/>
              </w:rPr>
              <w:t>600人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根据年初设定的目标，</w:t>
            </w:r>
            <w:r>
              <w:rPr>
                <w:rFonts w:hint="eastAsia" w:ascii="宋体" w:hAnsi="宋体" w:cs="宋体"/>
                <w:color w:val="auto"/>
                <w:sz w:val="21"/>
                <w:szCs w:val="21"/>
                <w:lang w:eastAsia="zh-CN"/>
              </w:rPr>
              <w:t>此</w:t>
            </w:r>
            <w:r>
              <w:rPr>
                <w:rFonts w:hint="eastAsia" w:ascii="宋体" w:hAnsi="宋体" w:cs="宋体"/>
                <w:color w:val="auto"/>
                <w:sz w:val="21"/>
                <w:szCs w:val="21"/>
              </w:rPr>
              <w:t>项目已经达到目标.</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1"/>
                <w:szCs w:val="21"/>
                <w:lang w:val="en-US" w:eastAsia="zh-CN"/>
              </w:rPr>
            </w:pPr>
            <w:r>
              <w:rPr>
                <w:rFonts w:hint="eastAsia" w:ascii="宋体" w:hAnsi="宋体" w:cs="宋体"/>
                <w:color w:val="auto"/>
                <w:sz w:val="21"/>
                <w:szCs w:val="21"/>
              </w:rPr>
              <w:t>对辖区内的农村妇女免费宫颈癌筛查人数</w:t>
            </w:r>
            <w:r>
              <w:rPr>
                <w:rFonts w:hint="eastAsia" w:ascii="宋体" w:hAnsi="宋体" w:cs="宋体"/>
                <w:color w:val="auto"/>
                <w:sz w:val="21"/>
                <w:szCs w:val="21"/>
                <w:lang w:val="en-US" w:eastAsia="zh-CN"/>
              </w:rPr>
              <w:t>；</w:t>
            </w:r>
          </w:p>
          <w:p>
            <w:pPr>
              <w:widowControl/>
              <w:jc w:val="center"/>
              <w:textAlignment w:val="center"/>
              <w:rPr>
                <w:rFonts w:ascii="宋体" w:hAns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600人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619人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default" w:ascii="宋体" w:hAnsi="宋体" w:cs="宋体"/>
                <w:color w:val="auto"/>
                <w:sz w:val="21"/>
                <w:szCs w:val="21"/>
                <w:lang w:val="en-US" w:eastAsia="zh-CN"/>
              </w:rPr>
              <w:t>对辖区内的农村妇女免费乳腺癌筛查人数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600人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641人</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农村妇女免费宫颈癌筛和乳腺癌查、妇女病普查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3年</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经济效益</w:t>
            </w:r>
          </w:p>
          <w:p>
            <w:pPr>
              <w:widowControl/>
              <w:jc w:val="center"/>
              <w:textAlignment w:val="center"/>
              <w:rPr>
                <w:rFonts w:ascii="宋体" w:hAnsi="宋体" w:cs="宋体"/>
                <w:color w:val="auto"/>
                <w:sz w:val="24"/>
              </w:rPr>
            </w:pPr>
            <w:r>
              <w:rPr>
                <w:rFonts w:hint="eastAsia" w:ascii="宋体" w:hAns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对辖区内的受益的人员，有效的降低了经济负担.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全免费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全免费</w:t>
            </w:r>
          </w:p>
        </w:tc>
      </w:tr>
    </w:tbl>
    <w:p>
      <w:pPr>
        <w:spacing w:line="580" w:lineRule="exact"/>
        <w:ind w:left="630"/>
        <w:rPr>
          <w:rFonts w:ascii="仿宋_GB2312" w:hAnsi="仿宋_GB2312" w:eastAsia="仿宋_GB2312" w:cs="仿宋_GB2312"/>
          <w:color w:val="auto"/>
          <w:sz w:val="32"/>
          <w:szCs w:val="32"/>
        </w:rPr>
      </w:pPr>
    </w:p>
    <w:tbl>
      <w:tblPr>
        <w:tblStyle w:val="16"/>
        <w:tblpPr w:leftFromText="180" w:rightFromText="180" w:vertAnchor="text" w:horzAnchor="page" w:tblpX="982" w:tblpY="382"/>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rPr>
            </w:pPr>
            <w:r>
              <w:rPr>
                <w:rFonts w:hint="eastAsia" w:ascii="宋体" w:hAnsi="宋体" w:cs="宋体"/>
                <w:b/>
                <w:bCs/>
                <w:color w:val="auto"/>
                <w:kern w:val="0"/>
                <w:sz w:val="36"/>
                <w:szCs w:val="36"/>
              </w:rPr>
              <w:t>项目绩效目标完成情况表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eastAsia="宋体" w:cs="宋体"/>
                <w:color w:val="auto"/>
                <w:sz w:val="32"/>
                <w:szCs w:val="32"/>
                <w:lang w:eastAsia="zh-CN"/>
              </w:rPr>
              <w:t>妇幼卫生专项</w:t>
            </w:r>
            <w:r>
              <w:rPr>
                <w:rFonts w:hint="eastAsia" w:ascii="宋体" w:hAnsi="宋体" w:eastAsia="宋体" w:cs="宋体"/>
                <w:color w:val="auto"/>
                <w:sz w:val="32"/>
                <w:szCs w:val="32"/>
              </w:rPr>
              <w:t>项目</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壤塘县妇幼保健计划生育服务中心</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17.30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5.46</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17.30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5.46</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rPr>
              <w:t>农村妇女免费计划生育手术，2019年全辖区检查人数400人</w:t>
            </w:r>
            <w:r>
              <w:rPr>
                <w:rFonts w:hint="eastAsia" w:ascii="宋体" w:hAnsi="宋体" w:cs="宋体"/>
                <w:color w:val="auto"/>
                <w:sz w:val="24"/>
                <w:lang w:eastAsia="zh-CN"/>
              </w:rPr>
              <w:t>；全县孕产妇住院分娩率达80%，孕产妇死亡率控制在十万分之三十以内，儿童死亡率控制在千分之八以内；每个季度召开妇幼例会和下乡督导及对乡镇卫生院定期的进行质量检测等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根据年初设定的目标，部分项目已经达到目标.</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对辖区内农村妇女提供免费计划生育手术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419人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对辖区内的妇幼人员每季度进行培训及对乡镇卫生院的质量检测等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4次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≧4次</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农村妇女免费计划生育手术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4-10年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1-15年</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对于孕产妇到待产点的交通补助费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3元/公里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3元/公里</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社会效益</w:t>
            </w:r>
          </w:p>
          <w:p>
            <w:pPr>
              <w:widowControl/>
              <w:jc w:val="center"/>
              <w:textAlignment w:val="center"/>
              <w:rPr>
                <w:rFonts w:ascii="宋体" w:hAnsi="宋体" w:eastAsia="宋体" w:cs="宋体"/>
                <w:color w:val="auto"/>
                <w:kern w:val="2"/>
                <w:sz w:val="24"/>
                <w:szCs w:val="24"/>
                <w:lang w:val="en-US" w:eastAsia="zh-CN" w:bidi="ar-SA"/>
              </w:rPr>
            </w:pPr>
            <w:r>
              <w:rPr>
                <w:rFonts w:hint="eastAsia" w:ascii="宋体" w:hAns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lang w:val="en-US" w:eastAsia="zh-CN" w:bidi="ar-SA"/>
              </w:rPr>
            </w:pPr>
            <w:r>
              <w:rPr>
                <w:rFonts w:hint="eastAsia" w:ascii="宋体" w:hAnsi="宋体" w:cs="宋体"/>
                <w:color w:val="auto"/>
                <w:sz w:val="24"/>
              </w:rPr>
              <w:t>孕产妇死亡率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lang w:val="en-US" w:eastAsia="zh-CN" w:bidi="ar-SA"/>
              </w:rPr>
            </w:pPr>
            <w:r>
              <w:rPr>
                <w:rFonts w:hint="eastAsia" w:ascii="宋体" w:hAnsi="宋体" w:cs="宋体"/>
                <w:color w:val="auto"/>
                <w:sz w:val="24"/>
              </w:rPr>
              <w:t>≦十万分之三十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lang w:val="en-US" w:eastAsia="zh-CN" w:bidi="ar-SA"/>
              </w:rPr>
            </w:pPr>
            <w:r>
              <w:rPr>
                <w:rFonts w:hint="eastAsia" w:ascii="宋体" w:hAnsi="宋体" w:cs="宋体"/>
                <w:color w:val="auto"/>
                <w:sz w:val="24"/>
              </w:rPr>
              <w:t>≦十万分之三十</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社会效益</w:t>
            </w:r>
          </w:p>
          <w:p>
            <w:pPr>
              <w:widowControl/>
              <w:jc w:val="center"/>
              <w:textAlignment w:val="center"/>
              <w:rPr>
                <w:rFonts w:ascii="宋体" w:hAnsi="宋体" w:eastAsia="宋体" w:cs="宋体"/>
                <w:color w:val="auto"/>
                <w:kern w:val="2"/>
                <w:sz w:val="24"/>
                <w:szCs w:val="24"/>
                <w:lang w:val="en-US" w:eastAsia="zh-CN" w:bidi="ar-SA"/>
              </w:rPr>
            </w:pPr>
            <w:r>
              <w:rPr>
                <w:rFonts w:hint="eastAsia" w:ascii="宋体" w:hAns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lang w:val="en-US" w:eastAsia="zh-CN" w:bidi="ar-SA"/>
              </w:rPr>
            </w:pPr>
            <w:r>
              <w:rPr>
                <w:rFonts w:hint="eastAsia" w:ascii="宋体" w:hAnsi="宋体" w:cs="宋体"/>
                <w:color w:val="auto"/>
                <w:sz w:val="24"/>
              </w:rPr>
              <w:t>婴儿死亡率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lang w:val="en-US" w:eastAsia="zh-CN" w:bidi="ar-SA"/>
              </w:rPr>
            </w:pPr>
            <w:r>
              <w:rPr>
                <w:rFonts w:hint="eastAsia" w:ascii="宋体" w:hAnsi="宋体" w:cs="宋体"/>
                <w:color w:val="auto"/>
                <w:sz w:val="24"/>
              </w:rPr>
              <w:t>≦千分之二十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lang w:val="en-US" w:eastAsia="zh-CN" w:bidi="ar-SA"/>
              </w:rPr>
            </w:pPr>
            <w:r>
              <w:rPr>
                <w:rFonts w:hint="eastAsia" w:ascii="宋体" w:hAnsi="宋体" w:cs="宋体"/>
                <w:color w:val="auto"/>
                <w:sz w:val="24"/>
              </w:rPr>
              <w:t>≦千分之十四点四三</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农村妇女免费计划生育手术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3年普查一次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3年</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服务对象</w:t>
            </w:r>
          </w:p>
          <w:p>
            <w:pPr>
              <w:widowControl/>
              <w:jc w:val="center"/>
              <w:textAlignment w:val="center"/>
              <w:rPr>
                <w:rFonts w:ascii="宋体" w:hAnsi="宋体" w:cs="宋体"/>
                <w:color w:val="auto"/>
                <w:sz w:val="24"/>
              </w:rPr>
            </w:pPr>
            <w:r>
              <w:rPr>
                <w:rFonts w:hint="eastAsia" w:ascii="宋体" w:hAnsi="宋体" w:cs="宋体"/>
                <w:color w:val="auto"/>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农村妇女免费计划生育手术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95%</w:t>
            </w:r>
          </w:p>
        </w:tc>
      </w:tr>
    </w:tbl>
    <w:p>
      <w:pPr>
        <w:spacing w:line="580" w:lineRule="exact"/>
        <w:ind w:left="630"/>
        <w:rPr>
          <w:rFonts w:ascii="仿宋_GB2312" w:hAnsi="仿宋_GB2312" w:eastAsia="仿宋_GB2312" w:cs="仿宋_GB2312"/>
          <w:color w:val="auto"/>
          <w:sz w:val="32"/>
          <w:szCs w:val="32"/>
        </w:rPr>
      </w:pPr>
    </w:p>
    <w:p>
      <w:pPr>
        <w:spacing w:line="580" w:lineRule="exact"/>
        <w:rPr>
          <w:rFonts w:ascii="仿宋_GB2312" w:hAnsi="仿宋_GB2312" w:eastAsia="仿宋_GB2312" w:cs="仿宋_GB2312"/>
          <w:b/>
          <w:bCs/>
          <w:color w:val="auto"/>
          <w:sz w:val="32"/>
          <w:szCs w:val="32"/>
        </w:rPr>
      </w:pPr>
      <w:r>
        <w:rPr>
          <w:rFonts w:hint="eastAsia" w:ascii="楷体_GB2312" w:hAnsi="楷体_GB2312" w:eastAsia="楷体_GB2312" w:cs="楷体_GB2312"/>
          <w:b/>
          <w:bCs/>
          <w:color w:val="auto"/>
          <w:sz w:val="32"/>
          <w:szCs w:val="32"/>
        </w:rPr>
        <w:t>2.部门绩效评价结果。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本部门按要求对2019年部门整体支出绩效评价情况开展自评，《壤塘县妇幼保健加护生育服务中心部门2019年部门整体支出绩效评价报告》见附件（附件1）。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本部门不涉及建设项目，因此无醒目绩效评价。</w:t>
      </w:r>
    </w:p>
    <w:p>
      <w:pPr>
        <w:widowControl/>
        <w:ind w:firstLine="1320" w:firstLineChars="300"/>
        <w:jc w:val="left"/>
        <w:rPr>
          <w:rFonts w:hint="eastAsia" w:ascii="黑体" w:hAnsi="黑体" w:eastAsia="黑体"/>
          <w:color w:val="auto"/>
          <w:sz w:val="44"/>
          <w:szCs w:val="44"/>
          <w:lang w:eastAsia="zh-CN"/>
        </w:rPr>
      </w:pPr>
      <w:bookmarkStart w:id="50" w:name="_Toc15377225"/>
      <w:bookmarkStart w:id="51" w:name="_Toc15396613"/>
    </w:p>
    <w:p>
      <w:pPr>
        <w:widowControl/>
        <w:ind w:firstLine="1320" w:firstLineChars="300"/>
        <w:jc w:val="left"/>
        <w:rPr>
          <w:rStyle w:val="25"/>
          <w:rFonts w:ascii="黑体" w:hAnsi="黑体" w:eastAsia="黑体"/>
          <w:b w:val="0"/>
          <w:color w:val="auto"/>
        </w:rPr>
      </w:pPr>
      <w:r>
        <w:rPr>
          <w:rFonts w:hint="eastAsia" w:ascii="黑体" w:hAnsi="黑体" w:eastAsia="黑体"/>
          <w:color w:val="auto"/>
          <w:sz w:val="44"/>
          <w:szCs w:val="44"/>
          <w:lang w:eastAsia="zh-CN"/>
        </w:rPr>
        <w:t>第三部分</w:t>
      </w:r>
      <w:r>
        <w:rPr>
          <w:rFonts w:hint="eastAsia" w:ascii="黑体" w:hAnsi="黑体" w:eastAsia="黑体"/>
          <w:color w:val="auto"/>
          <w:sz w:val="44"/>
          <w:szCs w:val="44"/>
          <w:lang w:val="en-US" w:eastAsia="zh-CN"/>
        </w:rPr>
        <w:t xml:space="preserve">     </w:t>
      </w:r>
      <w:r>
        <w:rPr>
          <w:rFonts w:hint="eastAsia" w:ascii="黑体" w:hAnsi="黑体" w:eastAsia="黑体"/>
          <w:color w:val="auto"/>
          <w:sz w:val="44"/>
          <w:szCs w:val="44"/>
        </w:rPr>
        <w:t>名</w:t>
      </w:r>
      <w:r>
        <w:rPr>
          <w:rStyle w:val="25"/>
          <w:rFonts w:hint="eastAsia" w:ascii="黑体" w:hAnsi="黑体" w:eastAsia="黑体"/>
          <w:b w:val="0"/>
          <w:color w:val="auto"/>
        </w:rPr>
        <w:t>词解释</w:t>
      </w:r>
      <w:bookmarkEnd w:id="50"/>
      <w:bookmarkEnd w:id="51"/>
    </w:p>
    <w:p>
      <w:pPr>
        <w:spacing w:line="600" w:lineRule="exact"/>
        <w:jc w:val="left"/>
        <w:rPr>
          <w:rFonts w:ascii="宋体"/>
          <w:b/>
          <w:color w:val="auto"/>
          <w:sz w:val="44"/>
          <w:szCs w:val="44"/>
        </w:rPr>
      </w:pP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1.财政拨款收入：指单位从同级财政部门取得的财政预算资金。</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2.事业收入：指事业单位开展专业业务活动及辅助活动取得的收入。如县医院，保健院（二级预算单位事业收入情况）等。</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3.年初结转和结余：指以前年度尚未完成、结转到本年按有关规定继续使用的资金。</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5.社会保障和就业（208）行政事业单位离退休（05）机关事业单位基本养老保险缴费支出（05）：指机关事业单位实施养老保险制度由单位缴纳的基本养老保险费支出。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6.社会保障和就业（208）行政事业单位离退休（05）机关事业单位职业年金缴费支出（06）：指机关事业单位实施养老保险制度由单位实际缴纳的职业年金支出。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7.一般公共服务支出（201）民族事务（23）其他民族事务支出（99）：指其他用于民族事务方面的支出。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8.医疗卫生与计划生育支出（210）基层医疗卫生机构（03）其他基层医疗卫生机构（99）：指其他用于基层医疗卫生机构的支出。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9.医疗卫生与计划生育支出（（210）公共卫生（04）妇幼保健机构（03）：指卫生和计划生育部门所属妇幼保健机构的支出。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10.医疗卫生与计划生育支出（210）公共卫生（04）基本公共卫生（08）：指基本公共卫生服务支出。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11.医疗卫生与计划生育（210）公共卫生（04）重大公共卫生专项（09）：指重大疾病预防控制等重大公共卫生服务项目支出。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12.医疗卫生与计划生育（210）公共卫生（04）其他公共卫生支出（99）：指其他用于公共卫生方面的支出。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13.医疗卫生与计划生育（210）计划生育事务（07）计划生育服务（17）：指计划生育服务支出。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14.医疗卫生与计划生育（210）计划生育事务（07）其他计划生育事务支出（99）：指其他用于计划生育管理事务方面的支出。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15.医疗卫生与计划生育（210）行政事业单位医疗（11）事业单位医疗（02）：指反映财政部门集中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16.医疗卫生与计划生育（210）其他医疗卫生与计划生育支出（99）其他医疗卫生与计划生育支出（01）：指其他用于医疗卫生与计划生育方方面面的支出。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17.住房保障（221）住房改革支出（02）住房公积金（01）：指反映行政事业单位按人力资源和社会保障部、财政部规定的基本工资和津补贴以及规定比例额为职工缴纳的住房公积金。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18.基本支出：指为保障机构正常运转、完成日常工作任务而发生的人员支出和公用支出。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19.项目支出：指在基本支出之外为完成特定行政任务和事业发展目标所发生的支出。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60" w:lineRule="exact"/>
        <w:ind w:firstLine="64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21.基本支出：指为保障机构正常运转、完成日常工作任务而发生的人员支出和公用支出。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22.项目支出：指在基本支出之外为完成特定行政任务和事业发展目标所发生的支出。 </w:t>
      </w:r>
    </w:p>
    <w:p>
      <w:pPr>
        <w:pStyle w:val="23"/>
        <w:spacing w:line="560" w:lineRule="exact"/>
        <w:ind w:firstLine="640" w:firstLineChars="200"/>
        <w:rPr>
          <w:rFonts w:ascii="仿宋_GB2312" w:eastAsia="仿宋_GB2312" w:cs="黑体"/>
          <w:color w:val="auto"/>
          <w:sz w:val="32"/>
          <w:szCs w:val="32"/>
        </w:rPr>
      </w:pPr>
    </w:p>
    <w:p>
      <w:pPr>
        <w:numPr>
          <w:ilvl w:val="0"/>
          <w:numId w:val="2"/>
        </w:numPr>
        <w:spacing w:line="600" w:lineRule="exact"/>
        <w:jc w:val="center"/>
        <w:outlineLvl w:val="0"/>
        <w:rPr>
          <w:rStyle w:val="25"/>
          <w:rFonts w:hint="eastAsia" w:ascii="黑体" w:hAnsi="黑体" w:eastAsia="黑体"/>
          <w:b w:val="0"/>
          <w:color w:val="auto"/>
        </w:rPr>
      </w:pPr>
      <w:bookmarkStart w:id="52" w:name="_Toc15396614"/>
      <w:bookmarkStart w:id="53" w:name="_Toc15377226"/>
      <w:r>
        <w:rPr>
          <w:rStyle w:val="25"/>
          <w:rFonts w:hint="eastAsia" w:ascii="黑体" w:hAnsi="黑体" w:eastAsia="黑体"/>
          <w:b w:val="0"/>
          <w:color w:val="auto"/>
        </w:rPr>
        <w:t>附件</w:t>
      </w:r>
      <w:bookmarkEnd w:id="5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color w:val="000000"/>
          <w:kern w:val="0"/>
          <w:sz w:val="44"/>
          <w:szCs w:val="44"/>
          <w:lang w:val="zh-CN"/>
        </w:rPr>
      </w:pPr>
      <w:r>
        <w:rPr>
          <w:rFonts w:hint="eastAsia" w:ascii="方正小标宋简体" w:hAnsi="方正小标宋简体" w:eastAsia="方正小标宋简体" w:cs="方正小标宋简体"/>
          <w:color w:val="000000"/>
          <w:kern w:val="0"/>
          <w:sz w:val="44"/>
          <w:szCs w:val="44"/>
          <w:lang w:eastAsia="zh-CN"/>
        </w:rPr>
        <w:t>壤塘县妇幼保健计划生育服务中心</w:t>
      </w:r>
      <w:r>
        <w:rPr>
          <w:rFonts w:hint="eastAsia" w:ascii="方正小标宋简体" w:hAnsi="方正小标宋简体" w:eastAsia="方正小标宋简体" w:cs="方正小标宋简体"/>
          <w:color w:val="000000"/>
          <w:kern w:val="0"/>
          <w:sz w:val="44"/>
          <w:szCs w:val="44"/>
          <w:lang w:val="zh-CN"/>
        </w:rPr>
        <w:t>部门</w:t>
      </w:r>
      <w:r>
        <w:rPr>
          <w:rFonts w:hint="eastAsia" w:ascii="方正小标宋简体" w:hAnsi="方正小标宋简体" w:eastAsia="方正小标宋简体" w:cs="方正小标宋简体"/>
          <w:color w:val="000000"/>
          <w:kern w:val="0"/>
          <w:sz w:val="44"/>
          <w:szCs w:val="44"/>
        </w:rPr>
        <w:t>2019年部门</w:t>
      </w:r>
      <w:r>
        <w:rPr>
          <w:rFonts w:hint="eastAsia" w:ascii="方正小标宋简体" w:hAnsi="方正小标宋简体" w:eastAsia="方正小标宋简体" w:cs="方正小标宋简体"/>
          <w:color w:val="000000"/>
          <w:kern w:val="0"/>
          <w:sz w:val="44"/>
          <w:szCs w:val="44"/>
          <w:lang w:val="zh-CN"/>
        </w:rPr>
        <w:t>整体支出绩效评价报告</w:t>
      </w:r>
    </w:p>
    <w:p>
      <w:pPr>
        <w:spacing w:line="600" w:lineRule="exact"/>
        <w:jc w:val="center"/>
        <w:rPr>
          <w:rFonts w:hint="eastAsia" w:ascii="方正小标宋简体" w:hAnsi="方正小标宋简体" w:eastAsia="方正小标宋简体" w:cs="方正小标宋简体"/>
          <w:color w:val="000000"/>
          <w:kern w:val="0"/>
          <w:sz w:val="44"/>
          <w:szCs w:val="44"/>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ind w:firstLine="643" w:firstLineChars="200"/>
        <w:rPr>
          <w:rFonts w:hint="eastAsia" w:ascii="仿宋_GB2312" w:hAnsi="仿宋_GB2312" w:eastAsia="仿宋_GB2312" w:cs="仿宋_GB2312"/>
          <w:color w:val="auto"/>
          <w:kern w:val="2"/>
          <w:sz w:val="32"/>
          <w:szCs w:val="32"/>
          <w:lang w:val="zh-CN" w:eastAsia="zh-CN" w:bidi="ar-SA"/>
        </w:rPr>
      </w:pPr>
      <w:r>
        <w:rPr>
          <w:rFonts w:hint="eastAsia" w:ascii="楷体" w:hAnsi="楷体" w:eastAsia="楷体" w:cs="楷体"/>
          <w:b/>
          <w:bCs/>
          <w:color w:val="000000"/>
          <w:kern w:val="0"/>
          <w:sz w:val="32"/>
          <w:szCs w:val="32"/>
          <w:shd w:val="clear" w:color="auto" w:fill="FFFFFF"/>
          <w:lang w:val="zh-CN"/>
        </w:rPr>
        <w:t>（</w:t>
      </w:r>
      <w:r>
        <w:rPr>
          <w:rFonts w:hint="eastAsia" w:ascii="楷体" w:hAnsi="楷体" w:eastAsia="楷体" w:cs="楷体"/>
          <w:b/>
          <w:bCs/>
          <w:color w:val="auto"/>
          <w:kern w:val="2"/>
          <w:sz w:val="32"/>
          <w:szCs w:val="32"/>
          <w:lang w:val="zh-CN" w:eastAsia="zh-CN" w:bidi="ar-SA"/>
        </w:rPr>
        <w:t>一）</w:t>
      </w:r>
      <w:r>
        <w:rPr>
          <w:rFonts w:hint="eastAsia" w:ascii="仿宋_GB2312" w:hAnsi="仿宋_GB2312" w:eastAsia="仿宋_GB2312" w:cs="仿宋_GB2312"/>
          <w:color w:val="auto"/>
          <w:kern w:val="2"/>
          <w:sz w:val="32"/>
          <w:szCs w:val="32"/>
          <w:lang w:val="zh-CN" w:eastAsia="zh-CN" w:bidi="ar-SA"/>
        </w:rPr>
        <w:t>机构组成</w:t>
      </w:r>
      <w:r>
        <w:rPr>
          <w:rFonts w:hint="eastAsia" w:ascii="仿宋_GB2312" w:hAnsi="仿宋_GB2312" w:eastAsia="仿宋_GB2312" w:cs="仿宋_GB2312"/>
          <w:color w:val="auto"/>
          <w:kern w:val="2"/>
          <w:sz w:val="32"/>
          <w:szCs w:val="32"/>
          <w:lang w:val="en-US" w:eastAsia="zh-CN" w:bidi="ar-SA"/>
        </w:rPr>
        <w:t>壤塘县妇幼保健计划生育服务中心属于卫生局下属二级预算单位，所需经费全部由财政拨款解决。其中内设机构办公室、妇保科、基保科、孕保科、医务科、财务科、儿保科公卫科等。</w:t>
      </w:r>
    </w:p>
    <w:p>
      <w:pPr>
        <w:ind w:firstLine="643" w:firstLineChars="200"/>
        <w:rPr>
          <w:rFonts w:hint="eastAsia" w:ascii="楷体" w:hAnsi="楷体" w:eastAsia="楷体" w:cs="楷体"/>
          <w:b/>
          <w:bCs/>
          <w:color w:val="auto"/>
          <w:kern w:val="2"/>
          <w:sz w:val="32"/>
          <w:szCs w:val="32"/>
          <w:lang w:val="zh-CN" w:eastAsia="zh-CN" w:bidi="ar-SA"/>
        </w:rPr>
      </w:pPr>
      <w:r>
        <w:rPr>
          <w:rFonts w:hint="eastAsia" w:ascii="楷体" w:hAnsi="楷体" w:eastAsia="楷体" w:cs="楷体"/>
          <w:b/>
          <w:bCs/>
          <w:color w:val="auto"/>
          <w:kern w:val="2"/>
          <w:sz w:val="32"/>
          <w:szCs w:val="32"/>
          <w:lang w:val="zh-CN" w:eastAsia="zh-CN" w:bidi="ar-SA"/>
        </w:rPr>
        <w:t>（二）机构职能</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1.在主管部门和中心领导下，按照妇幼保健工作规范，负责做好孕产妇保健管理、儿童保健管理和计生指导服务，不断提高孕产妇、儿童保健工作质量。</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2.加强与社区、妇联、计生、疾病控制等部门联系，动态掌握辖区孕产妇、0-6岁儿童基本情况。</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3.大力宣传孕产妇保健、儿童保健及计生指导的好处，提高知晓率，提高孕产妇保健、儿童保健手册建册率。</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4.认真做好保健服务，按时完成保健服务管理。做好孕产妇、儿童保健手册建册管理、信息统计、服务券回收、资料整理归档等管理，加强高危孕妇和体弱儿管理，及时规范上报有关数据。</w:t>
      </w:r>
    </w:p>
    <w:p>
      <w:pPr>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5.按时参加专业技术培训与例会，及时布置、督促、检查村级妇幼保健工作。加强村级妇幼保健人业务培训和信息交流，指导和解决问题。</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6.做好上级交办的临时性任务。</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zh-CN" w:eastAsia="zh-CN" w:bidi="ar-SA"/>
        </w:rPr>
        <w:t>（三）人员概况：</w:t>
      </w:r>
      <w:r>
        <w:rPr>
          <w:rFonts w:hint="eastAsia" w:ascii="仿宋_GB2312" w:hAnsi="仿宋_GB2312" w:eastAsia="仿宋_GB2312" w:cs="仿宋_GB2312"/>
          <w:color w:val="auto"/>
          <w:kern w:val="2"/>
          <w:sz w:val="32"/>
          <w:szCs w:val="32"/>
          <w:lang w:val="en-US" w:eastAsia="zh-CN" w:bidi="ar-SA"/>
        </w:rPr>
        <w:t>总编制39名,事业编制39名。截止2019年12月底，在职人员总数39名，事业人员38名；工勤1名，退休人员5人。遗属3人。</w:t>
      </w:r>
    </w:p>
    <w:p>
      <w:pPr>
        <w:widowControl/>
        <w:spacing w:line="600" w:lineRule="exact"/>
        <w:ind w:firstLine="320" w:firstLineChars="100"/>
        <w:jc w:val="left"/>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二、部门财政资金收支情况</w:t>
      </w:r>
    </w:p>
    <w:p>
      <w:pPr>
        <w:widowControl/>
        <w:adjustRightInd w:val="0"/>
        <w:snapToGrid w:val="0"/>
        <w:spacing w:line="580" w:lineRule="exact"/>
        <w:ind w:firstLine="321" w:firstLineChars="100"/>
        <w:contextualSpacing/>
        <w:jc w:val="left"/>
        <w:rPr>
          <w:rFonts w:hint="eastAsia" w:ascii="楷体" w:hAnsi="楷体" w:eastAsia="楷体" w:cs="楷体"/>
          <w:b/>
          <w:bCs/>
          <w:color w:val="auto"/>
          <w:kern w:val="0"/>
          <w:sz w:val="32"/>
          <w:szCs w:val="32"/>
          <w:shd w:val="clear" w:color="auto" w:fill="FFFFFF"/>
          <w:lang w:val="zh-CN"/>
        </w:rPr>
      </w:pPr>
      <w:r>
        <w:rPr>
          <w:rFonts w:hint="eastAsia" w:ascii="楷体" w:hAnsi="楷体" w:eastAsia="楷体" w:cs="楷体"/>
          <w:b/>
          <w:bCs/>
          <w:color w:val="auto"/>
          <w:kern w:val="0"/>
          <w:sz w:val="32"/>
          <w:szCs w:val="32"/>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2019年本年收入合计839.24万元，其中：一般公共预算财政拨款收入839.24万元；政府性基金预算财政拨款收入0万元；上级补助收入0万元；事业收入0万元；经营收入0万元；附属单位上缴收入0万元；其他收入0万元。</w:t>
      </w:r>
    </w:p>
    <w:p>
      <w:pPr>
        <w:numPr>
          <w:ilvl w:val="0"/>
          <w:numId w:val="0"/>
        </w:numPr>
        <w:spacing w:line="600" w:lineRule="exact"/>
        <w:ind w:firstLine="321" w:firstLineChars="100"/>
        <w:outlineLvl w:val="1"/>
        <w:rPr>
          <w:rFonts w:hint="eastAsia" w:ascii="楷体" w:hAnsi="楷体" w:eastAsia="楷体" w:cs="楷体"/>
          <w:b/>
          <w:bCs/>
          <w:color w:val="auto"/>
          <w:kern w:val="0"/>
          <w:sz w:val="32"/>
          <w:szCs w:val="32"/>
          <w:shd w:val="clear" w:color="auto" w:fill="FFFFFF"/>
          <w:lang w:val="zh-CN"/>
        </w:rPr>
      </w:pPr>
      <w:r>
        <w:rPr>
          <w:rFonts w:hint="eastAsia" w:ascii="楷体" w:hAnsi="楷体" w:eastAsia="楷体" w:cs="楷体"/>
          <w:b/>
          <w:bCs/>
          <w:color w:val="auto"/>
          <w:kern w:val="0"/>
          <w:sz w:val="32"/>
          <w:szCs w:val="32"/>
          <w:shd w:val="clear" w:color="auto" w:fill="FFFFFF"/>
          <w:lang w:val="zh-CN"/>
        </w:rPr>
        <w:t>（二）部门财政资金支出情况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Times New Roman"/>
          <w:color w:val="auto"/>
          <w:kern w:val="2"/>
          <w:sz w:val="32"/>
          <w:szCs w:val="32"/>
          <w:lang w:val="zh-CN" w:eastAsia="zh-CN" w:bidi="ar-SA"/>
        </w:rPr>
      </w:pPr>
      <w:r>
        <w:rPr>
          <w:rFonts w:hint="eastAsia" w:ascii="仿宋" w:hAnsi="仿宋" w:eastAsia="仿宋" w:cs="Times New Roman"/>
          <w:color w:val="auto"/>
          <w:kern w:val="2"/>
          <w:sz w:val="32"/>
          <w:szCs w:val="32"/>
          <w:lang w:val="en-US" w:eastAsia="zh-CN" w:bidi="ar-SA"/>
        </w:rPr>
        <w:t>2019年一般公共预算财政拨款支出865.26万元，主要用于以下方面:一般公共服务支出0万元；教育支出0万元；科学技术支出0万元；文化旅游体育与传媒支出0万元；社会保障和就业支出86.42万元；卫生健康支出729.85万元；住房保障支出48.99万元。</w:t>
      </w:r>
    </w:p>
    <w:p>
      <w:pPr>
        <w:widowControl/>
        <w:adjustRightInd w:val="0"/>
        <w:snapToGrid w:val="0"/>
        <w:spacing w:line="580" w:lineRule="exact"/>
        <w:ind w:firstLine="320" w:firstLineChars="100"/>
        <w:contextualSpacing/>
        <w:jc w:val="left"/>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三、部门整体预算绩效管理情况</w:t>
      </w:r>
    </w:p>
    <w:p>
      <w:pPr>
        <w:spacing w:line="600" w:lineRule="exact"/>
        <w:ind w:firstLine="321" w:firstLineChars="100"/>
        <w:outlineLvl w:val="1"/>
        <w:rPr>
          <w:rFonts w:hint="eastAsia" w:ascii="楷体" w:hAnsi="楷体" w:eastAsia="楷体" w:cs="楷体"/>
          <w:b/>
          <w:bCs/>
          <w:color w:val="auto"/>
          <w:kern w:val="2"/>
          <w:sz w:val="32"/>
          <w:szCs w:val="32"/>
          <w:lang w:val="zh-CN" w:eastAsia="zh-CN" w:bidi="ar-SA"/>
        </w:rPr>
      </w:pPr>
      <w:r>
        <w:rPr>
          <w:rFonts w:hint="eastAsia" w:ascii="楷体" w:hAnsi="楷体" w:eastAsia="楷体" w:cs="楷体"/>
          <w:b/>
          <w:bCs/>
          <w:color w:val="auto"/>
          <w:kern w:val="2"/>
          <w:sz w:val="32"/>
          <w:szCs w:val="32"/>
          <w:lang w:val="zh-CN" w:eastAsia="zh-CN" w:bidi="ar-SA"/>
        </w:rPr>
        <w:t>（一）部门预算管理</w:t>
      </w:r>
    </w:p>
    <w:p>
      <w:pPr>
        <w:spacing w:line="600" w:lineRule="exact"/>
        <w:ind w:firstLine="640" w:firstLineChars="200"/>
        <w:outlineLvl w:val="1"/>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我单位严格按照相关的规定和要求根据人员工资的实际经费编制预算，按照县财政局规定时间完成基础数据预算的填报、报送，做到编制准确、指标细化，并将编制的部门报表按照县财政的要求报送财政进行审核。</w:t>
      </w:r>
    </w:p>
    <w:p>
      <w:pPr>
        <w:numPr>
          <w:ilvl w:val="0"/>
          <w:numId w:val="0"/>
        </w:numPr>
        <w:spacing w:line="600" w:lineRule="exact"/>
        <w:ind w:firstLine="321" w:firstLineChars="100"/>
        <w:outlineLvl w:val="1"/>
        <w:rPr>
          <w:rFonts w:hint="eastAsia" w:ascii="楷体" w:hAnsi="楷体" w:eastAsia="楷体" w:cs="楷体"/>
          <w:b/>
          <w:bCs/>
          <w:color w:val="auto"/>
          <w:kern w:val="2"/>
          <w:sz w:val="32"/>
          <w:szCs w:val="32"/>
          <w:lang w:val="zh-CN" w:eastAsia="zh-CN" w:bidi="ar-SA"/>
        </w:rPr>
      </w:pPr>
      <w:r>
        <w:rPr>
          <w:rFonts w:hint="eastAsia" w:ascii="楷体" w:hAnsi="楷体" w:eastAsia="楷体" w:cs="楷体"/>
          <w:b/>
          <w:bCs/>
          <w:color w:val="auto"/>
          <w:kern w:val="2"/>
          <w:sz w:val="32"/>
          <w:szCs w:val="32"/>
          <w:lang w:val="zh-CN" w:eastAsia="zh-CN" w:bidi="ar-SA"/>
        </w:rPr>
        <w:t>（二）结果应用情况</w:t>
      </w:r>
    </w:p>
    <w:p>
      <w:pPr>
        <w:numPr>
          <w:ilvl w:val="0"/>
          <w:numId w:val="0"/>
        </w:numPr>
        <w:spacing w:line="600" w:lineRule="exact"/>
        <w:ind w:firstLine="640" w:firstLineChars="200"/>
        <w:outlineLvl w:val="1"/>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我单位对部门预算绩效管理工作开展情况认真进行了自查自评。绩效评价自查开展覆盖单位重点支出，将评价结果作为预算安排的依据，根据项目预算执行情况、保障重点支出，调整支出结构，优化财政资金配置，不断强化绩效理念，推动我单位部门整体绩效管理水平不断提升。</w:t>
      </w:r>
    </w:p>
    <w:p>
      <w:pPr>
        <w:widowControl/>
        <w:adjustRightInd w:val="0"/>
        <w:snapToGrid w:val="0"/>
        <w:spacing w:line="580" w:lineRule="exact"/>
        <w:ind w:firstLine="320" w:firstLineChars="100"/>
        <w:contextualSpacing/>
        <w:jc w:val="left"/>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outlineLvl w:val="1"/>
        <w:rPr>
          <w:rFonts w:hint="eastAsia" w:ascii="楷体" w:hAnsi="楷体" w:eastAsia="楷体" w:cs="楷体"/>
          <w:b/>
          <w:bCs/>
          <w:color w:val="auto"/>
          <w:kern w:val="2"/>
          <w:sz w:val="32"/>
          <w:szCs w:val="32"/>
          <w:lang w:val="zh-CN" w:eastAsia="zh-CN" w:bidi="ar-SA"/>
        </w:rPr>
      </w:pPr>
      <w:r>
        <w:rPr>
          <w:rFonts w:hint="eastAsia" w:ascii="楷体" w:hAnsi="楷体" w:eastAsia="楷体" w:cs="楷体"/>
          <w:b/>
          <w:bCs/>
          <w:color w:val="auto"/>
          <w:kern w:val="2"/>
          <w:sz w:val="32"/>
          <w:szCs w:val="32"/>
          <w:lang w:val="zh-CN" w:eastAsia="zh-CN" w:bidi="ar-SA"/>
        </w:rPr>
        <w:t>（一）评价结论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2019年我部门整体支出绩效评价自查自评结果较好，基本支出保证了部门的日常工作的开展，项目支出保障了重点工作的开展，达到预期绩效目标。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321" w:firstLineChars="100"/>
        <w:textAlignment w:val="auto"/>
        <w:outlineLvl w:val="1"/>
        <w:rPr>
          <w:rFonts w:hint="eastAsia" w:ascii="楷体" w:hAnsi="楷体" w:eastAsia="楷体" w:cs="楷体"/>
          <w:b/>
          <w:bCs/>
          <w:color w:val="auto"/>
          <w:kern w:val="2"/>
          <w:sz w:val="32"/>
          <w:szCs w:val="32"/>
          <w:lang w:val="zh-CN" w:eastAsia="zh-CN" w:bidi="ar-SA"/>
        </w:rPr>
      </w:pPr>
      <w:r>
        <w:rPr>
          <w:rFonts w:hint="eastAsia" w:ascii="楷体" w:hAnsi="楷体" w:eastAsia="楷体" w:cs="楷体"/>
          <w:b/>
          <w:bCs/>
          <w:color w:val="auto"/>
          <w:kern w:val="2"/>
          <w:sz w:val="32"/>
          <w:szCs w:val="32"/>
          <w:lang w:val="zh-CN" w:eastAsia="zh-CN" w:bidi="ar-SA"/>
        </w:rPr>
        <w:t>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辖区面积广，人口少，加上当地老百姓对婚检、孕检、妇女病认识不充分；因语言不通，导致开展工作时，沟通不及时，导致工作开展缓慢。</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321" w:firstLineChars="100"/>
        <w:textAlignment w:val="auto"/>
        <w:outlineLvl w:val="1"/>
        <w:rPr>
          <w:rFonts w:hint="eastAsia" w:ascii="楷体" w:hAnsi="楷体" w:eastAsia="楷体" w:cs="楷体"/>
          <w:b/>
          <w:bCs/>
          <w:color w:val="auto"/>
          <w:kern w:val="2"/>
          <w:sz w:val="32"/>
          <w:szCs w:val="32"/>
          <w:lang w:val="zh-CN" w:eastAsia="zh-CN" w:bidi="ar-SA"/>
        </w:rPr>
      </w:pPr>
      <w:r>
        <w:rPr>
          <w:rFonts w:hint="eastAsia" w:ascii="楷体" w:hAnsi="楷体" w:eastAsia="楷体" w:cs="楷体"/>
          <w:b/>
          <w:bCs/>
          <w:color w:val="auto"/>
          <w:kern w:val="2"/>
          <w:sz w:val="32"/>
          <w:szCs w:val="32"/>
          <w:lang w:val="zh-CN" w:eastAsia="zh-CN" w:bidi="ar-SA"/>
        </w:rPr>
        <w:t>改进建议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到乡积极宣传，开展工作时，提前与当地的村干部联系或派单位语言通的职工随同翻译。</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auto"/>
          <w:kern w:val="0"/>
          <w:sz w:val="32"/>
          <w:szCs w:val="32"/>
          <w:shd w:val="clear" w:color="auto" w:fill="FFFFFF"/>
          <w:lang w:val="zh-CN"/>
        </w:rPr>
      </w:pPr>
    </w:p>
    <w:p>
      <w:pPr>
        <w:widowControl/>
        <w:numPr>
          <w:ilvl w:val="0"/>
          <w:numId w:val="4"/>
        </w:numPr>
        <w:ind w:firstLine="880" w:firstLineChars="200"/>
        <w:jc w:val="center"/>
        <w:rPr>
          <w:rStyle w:val="25"/>
          <w:rFonts w:hint="eastAsia" w:ascii="黑体" w:hAnsi="黑体" w:eastAsia="黑体"/>
          <w:b w:val="0"/>
          <w:color w:val="auto"/>
        </w:rPr>
      </w:pPr>
      <w:bookmarkStart w:id="54" w:name="_Toc15396618"/>
      <w:r>
        <w:rPr>
          <w:rStyle w:val="25"/>
          <w:rFonts w:hint="eastAsia" w:ascii="黑体" w:hAnsi="黑体" w:eastAsia="黑体"/>
          <w:b w:val="0"/>
          <w:color w:val="auto"/>
          <w:lang w:val="en-US" w:eastAsia="zh-CN"/>
        </w:rPr>
        <w:t xml:space="preserve">    </w:t>
      </w:r>
      <w:r>
        <w:rPr>
          <w:rStyle w:val="25"/>
          <w:rFonts w:hint="eastAsia" w:ascii="黑体" w:hAnsi="黑体" w:eastAsia="黑体"/>
          <w:b w:val="0"/>
          <w:color w:val="auto"/>
        </w:rPr>
        <w:t>附表</w:t>
      </w:r>
      <w:bookmarkEnd w:id="53"/>
      <w:bookmarkEnd w:id="54"/>
      <w:bookmarkStart w:id="55" w:name="_Toc15396619"/>
    </w:p>
    <w:p>
      <w:pPr>
        <w:widowControl/>
        <w:numPr>
          <w:ilvl w:val="0"/>
          <w:numId w:val="0"/>
        </w:numPr>
        <w:jc w:val="both"/>
        <w:rPr>
          <w:rStyle w:val="25"/>
          <w:rFonts w:hint="eastAsia" w:ascii="黑体" w:hAnsi="黑体" w:eastAsia="黑体"/>
          <w:b w:val="0"/>
          <w:color w:val="auto"/>
        </w:rPr>
      </w:pPr>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一、收入支出决算总表</w:t>
      </w:r>
      <w:bookmarkEnd w:id="55"/>
      <w:bookmarkStart w:id="56" w:name="_Toc15396620"/>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二、收入决算表</w:t>
      </w:r>
      <w:bookmarkEnd w:id="56"/>
      <w:bookmarkStart w:id="57" w:name="_Toc15396621"/>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三、支出决算表</w:t>
      </w:r>
      <w:bookmarkEnd w:id="57"/>
      <w:bookmarkStart w:id="58" w:name="_Toc15396622"/>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四、财政拨款收入支出决算总表</w:t>
      </w:r>
      <w:bookmarkEnd w:id="58"/>
      <w:bookmarkStart w:id="59" w:name="_Toc15396623"/>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五、财政拨款支出决算明细表</w:t>
      </w:r>
      <w:bookmarkEnd w:id="59"/>
      <w:bookmarkStart w:id="60" w:name="_Toc15396624"/>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六、一般公共预算财政拨款支出决算表</w:t>
      </w:r>
      <w:bookmarkEnd w:id="60"/>
      <w:bookmarkStart w:id="61" w:name="_Toc15396625"/>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七、一般公共预算财政拨款支出决算明细表</w:t>
      </w:r>
      <w:bookmarkEnd w:id="61"/>
      <w:bookmarkStart w:id="62" w:name="_Toc15396626"/>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八、一般公共预算财政拨款基本支出决算表</w:t>
      </w:r>
      <w:bookmarkEnd w:id="62"/>
      <w:bookmarkStart w:id="63" w:name="_Toc15396627"/>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九、一般公共预算财政拨款项目支出决算表</w:t>
      </w:r>
      <w:bookmarkEnd w:id="63"/>
      <w:bookmarkStart w:id="64" w:name="_Toc15396628"/>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十、一般公共预算财政拨款“三公”经费支出决算表</w:t>
      </w:r>
      <w:bookmarkEnd w:id="64"/>
      <w:bookmarkStart w:id="65" w:name="_Toc15396629"/>
    </w:p>
    <w:p>
      <w:pPr>
        <w:spacing w:line="600" w:lineRule="exact"/>
        <w:outlineLvl w:val="1"/>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十一、政府性基金预算财政拨款收入支出决算表</w:t>
      </w:r>
      <w:bookmarkEnd w:id="65"/>
    </w:p>
    <w:p>
      <w:pPr>
        <w:spacing w:line="600" w:lineRule="exact"/>
        <w:outlineLvl w:val="1"/>
        <w:rPr>
          <w:rFonts w:hint="eastAsia" w:ascii="仿宋_GB2312" w:hAnsi="仿宋_GB2312" w:eastAsia="仿宋_GB2312" w:cs="仿宋_GB2312"/>
          <w:color w:val="auto"/>
          <w:kern w:val="2"/>
          <w:sz w:val="32"/>
          <w:szCs w:val="32"/>
          <w:lang w:val="en-US" w:eastAsia="zh-CN" w:bidi="ar-SA"/>
        </w:rPr>
      </w:pPr>
      <w:bookmarkStart w:id="66" w:name="_Toc15396630"/>
      <w:r>
        <w:rPr>
          <w:rFonts w:hint="eastAsia" w:ascii="仿宋_GB2312" w:hAnsi="仿宋_GB2312" w:eastAsia="仿宋_GB2312" w:cs="仿宋_GB2312"/>
          <w:color w:val="auto"/>
          <w:kern w:val="2"/>
          <w:sz w:val="32"/>
          <w:szCs w:val="32"/>
          <w:lang w:val="en-US" w:eastAsia="zh-CN" w:bidi="ar-SA"/>
        </w:rPr>
        <w:t>十二、政府性基金预算财政拨款“三公”经费支出决算表</w:t>
      </w:r>
      <w:bookmarkEnd w:id="66"/>
    </w:p>
    <w:p>
      <w:pPr>
        <w:spacing w:line="600" w:lineRule="exact"/>
        <w:outlineLvl w:val="1"/>
        <w:rPr>
          <w:rFonts w:hint="eastAsia" w:ascii="仿宋_GB2312" w:hAnsi="仿宋_GB2312" w:eastAsia="仿宋_GB2312" w:cs="仿宋_GB2312"/>
          <w:color w:val="auto"/>
          <w:kern w:val="2"/>
          <w:sz w:val="32"/>
          <w:szCs w:val="32"/>
          <w:lang w:val="en-US" w:eastAsia="zh-CN" w:bidi="ar-SA"/>
        </w:rPr>
      </w:pPr>
      <w:bookmarkStart w:id="67" w:name="_Toc15396631"/>
      <w:r>
        <w:rPr>
          <w:rFonts w:hint="eastAsia" w:ascii="仿宋_GB2312" w:hAnsi="仿宋_GB2312" w:eastAsia="仿宋_GB2312" w:cs="仿宋_GB2312"/>
          <w:color w:val="auto"/>
          <w:kern w:val="2"/>
          <w:sz w:val="32"/>
          <w:szCs w:val="32"/>
          <w:lang w:val="en-US" w:eastAsia="zh-CN" w:bidi="ar-SA"/>
        </w:rPr>
        <w:t>十三、国有资本经营预算支出决算表</w:t>
      </w:r>
      <w:bookmarkEnd w:id="6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D9C20B"/>
    <w:multiLevelType w:val="singleLevel"/>
    <w:tmpl w:val="9AD9C20B"/>
    <w:lvl w:ilvl="0" w:tentative="0">
      <w:start w:val="5"/>
      <w:numFmt w:val="chineseCounting"/>
      <w:suff w:val="space"/>
      <w:lvlText w:val="第%1部分"/>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F34468B"/>
    <w:multiLevelType w:val="singleLevel"/>
    <w:tmpl w:val="3F34468B"/>
    <w:lvl w:ilvl="0" w:tentative="0">
      <w:start w:val="2"/>
      <w:numFmt w:val="chineseCounting"/>
      <w:suff w:val="nothing"/>
      <w:lvlText w:val="（%1）"/>
      <w:lvlJc w:val="left"/>
      <w:rPr>
        <w:rFonts w:hint="eastAsia"/>
      </w:rPr>
    </w:lvl>
  </w:abstractNum>
  <w:abstractNum w:abstractNumId="3">
    <w:nsid w:val="56B06C84"/>
    <w:multiLevelType w:val="singleLevel"/>
    <w:tmpl w:val="56B06C84"/>
    <w:lvl w:ilvl="0" w:tentative="0">
      <w:start w:val="4"/>
      <w:numFmt w:val="chineseCounting"/>
      <w:suff w:val="space"/>
      <w:lvlText w:val="第%1部分"/>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567A"/>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7B312D"/>
    <w:rsid w:val="02F93525"/>
    <w:rsid w:val="035468C9"/>
    <w:rsid w:val="03680D3B"/>
    <w:rsid w:val="04032CB4"/>
    <w:rsid w:val="04C129EB"/>
    <w:rsid w:val="056D7020"/>
    <w:rsid w:val="0580434E"/>
    <w:rsid w:val="07146AB5"/>
    <w:rsid w:val="085129AA"/>
    <w:rsid w:val="09783895"/>
    <w:rsid w:val="09A27F46"/>
    <w:rsid w:val="0B595652"/>
    <w:rsid w:val="0B8F3F5E"/>
    <w:rsid w:val="0BC777C6"/>
    <w:rsid w:val="0C05569A"/>
    <w:rsid w:val="0C964D92"/>
    <w:rsid w:val="0E396E51"/>
    <w:rsid w:val="0F672997"/>
    <w:rsid w:val="109E4DAE"/>
    <w:rsid w:val="10C055FF"/>
    <w:rsid w:val="11552894"/>
    <w:rsid w:val="11FF0CA5"/>
    <w:rsid w:val="120C622F"/>
    <w:rsid w:val="12351125"/>
    <w:rsid w:val="12B51DF6"/>
    <w:rsid w:val="13483990"/>
    <w:rsid w:val="13897523"/>
    <w:rsid w:val="13960FB7"/>
    <w:rsid w:val="13B45C86"/>
    <w:rsid w:val="13B9021B"/>
    <w:rsid w:val="13FD2A42"/>
    <w:rsid w:val="15E4341E"/>
    <w:rsid w:val="163F549E"/>
    <w:rsid w:val="16BB723D"/>
    <w:rsid w:val="170C0CFD"/>
    <w:rsid w:val="183C23FF"/>
    <w:rsid w:val="18543F3A"/>
    <w:rsid w:val="18654E9A"/>
    <w:rsid w:val="18961ACC"/>
    <w:rsid w:val="192C0CA4"/>
    <w:rsid w:val="193366F8"/>
    <w:rsid w:val="195144FA"/>
    <w:rsid w:val="19944055"/>
    <w:rsid w:val="1AF50414"/>
    <w:rsid w:val="1B3B0D5F"/>
    <w:rsid w:val="1C3111F3"/>
    <w:rsid w:val="1CA85863"/>
    <w:rsid w:val="1CD77D69"/>
    <w:rsid w:val="1EA005E5"/>
    <w:rsid w:val="1EA32FC6"/>
    <w:rsid w:val="1F3878ED"/>
    <w:rsid w:val="1F5111FF"/>
    <w:rsid w:val="1F6B2DA6"/>
    <w:rsid w:val="2110507F"/>
    <w:rsid w:val="216876E5"/>
    <w:rsid w:val="21DB634D"/>
    <w:rsid w:val="22001B4B"/>
    <w:rsid w:val="226D6412"/>
    <w:rsid w:val="22B137B7"/>
    <w:rsid w:val="234061B8"/>
    <w:rsid w:val="234E5F01"/>
    <w:rsid w:val="23F645D1"/>
    <w:rsid w:val="240371BF"/>
    <w:rsid w:val="242F2DB9"/>
    <w:rsid w:val="251026DC"/>
    <w:rsid w:val="2510580D"/>
    <w:rsid w:val="25E0233C"/>
    <w:rsid w:val="25ED4520"/>
    <w:rsid w:val="26263919"/>
    <w:rsid w:val="26F551BD"/>
    <w:rsid w:val="26FE745A"/>
    <w:rsid w:val="274C76EC"/>
    <w:rsid w:val="276F306B"/>
    <w:rsid w:val="2776028C"/>
    <w:rsid w:val="28A0196B"/>
    <w:rsid w:val="28C76D25"/>
    <w:rsid w:val="292955A4"/>
    <w:rsid w:val="29A34AE1"/>
    <w:rsid w:val="29FD04D3"/>
    <w:rsid w:val="2A0E76EA"/>
    <w:rsid w:val="2A6278D0"/>
    <w:rsid w:val="2A6A02B6"/>
    <w:rsid w:val="2A8764AE"/>
    <w:rsid w:val="2A87749E"/>
    <w:rsid w:val="2D150944"/>
    <w:rsid w:val="2D475D7F"/>
    <w:rsid w:val="2D6A1481"/>
    <w:rsid w:val="2E3920F2"/>
    <w:rsid w:val="2E5F2041"/>
    <w:rsid w:val="2E64742F"/>
    <w:rsid w:val="2E8A6692"/>
    <w:rsid w:val="2EF55F30"/>
    <w:rsid w:val="2FB37341"/>
    <w:rsid w:val="30920C3D"/>
    <w:rsid w:val="30B872DC"/>
    <w:rsid w:val="30D32CE5"/>
    <w:rsid w:val="319F7F4E"/>
    <w:rsid w:val="31F87817"/>
    <w:rsid w:val="343A4A6E"/>
    <w:rsid w:val="34F66E53"/>
    <w:rsid w:val="35354203"/>
    <w:rsid w:val="359D4C67"/>
    <w:rsid w:val="36706BD6"/>
    <w:rsid w:val="36DB79B8"/>
    <w:rsid w:val="377D43BB"/>
    <w:rsid w:val="380347B8"/>
    <w:rsid w:val="384D190E"/>
    <w:rsid w:val="3851034F"/>
    <w:rsid w:val="38913039"/>
    <w:rsid w:val="39211E84"/>
    <w:rsid w:val="397A3927"/>
    <w:rsid w:val="3ACF11C4"/>
    <w:rsid w:val="3B057CF5"/>
    <w:rsid w:val="3B19393E"/>
    <w:rsid w:val="3C4D6E3F"/>
    <w:rsid w:val="3E093A72"/>
    <w:rsid w:val="3EA40E57"/>
    <w:rsid w:val="3F9F10A4"/>
    <w:rsid w:val="409948A9"/>
    <w:rsid w:val="411330E7"/>
    <w:rsid w:val="415F5644"/>
    <w:rsid w:val="432425AA"/>
    <w:rsid w:val="43826220"/>
    <w:rsid w:val="446E6024"/>
    <w:rsid w:val="44EA3D1B"/>
    <w:rsid w:val="45612766"/>
    <w:rsid w:val="46012330"/>
    <w:rsid w:val="47313179"/>
    <w:rsid w:val="4A33376A"/>
    <w:rsid w:val="4A550F9F"/>
    <w:rsid w:val="4AB775E2"/>
    <w:rsid w:val="4AD21DA6"/>
    <w:rsid w:val="4C6011CC"/>
    <w:rsid w:val="4CF06F9D"/>
    <w:rsid w:val="4D6C4415"/>
    <w:rsid w:val="4DDA23DD"/>
    <w:rsid w:val="4E0F111D"/>
    <w:rsid w:val="4ECE2238"/>
    <w:rsid w:val="4F0177C3"/>
    <w:rsid w:val="526913C4"/>
    <w:rsid w:val="52D85EBA"/>
    <w:rsid w:val="54B631FF"/>
    <w:rsid w:val="56133493"/>
    <w:rsid w:val="567B4FE4"/>
    <w:rsid w:val="56950706"/>
    <w:rsid w:val="56BB5764"/>
    <w:rsid w:val="56F02EAB"/>
    <w:rsid w:val="5845785B"/>
    <w:rsid w:val="5896313A"/>
    <w:rsid w:val="58B23587"/>
    <w:rsid w:val="58C87628"/>
    <w:rsid w:val="5991390F"/>
    <w:rsid w:val="5B4A1F32"/>
    <w:rsid w:val="5BA6018C"/>
    <w:rsid w:val="5C1C6BD6"/>
    <w:rsid w:val="5C2C78C0"/>
    <w:rsid w:val="5C8728D2"/>
    <w:rsid w:val="5CBE08F6"/>
    <w:rsid w:val="5D117645"/>
    <w:rsid w:val="5D6D5D09"/>
    <w:rsid w:val="5DF67656"/>
    <w:rsid w:val="5E217981"/>
    <w:rsid w:val="5F112DD2"/>
    <w:rsid w:val="5F663956"/>
    <w:rsid w:val="5FBF507A"/>
    <w:rsid w:val="60AB5F0E"/>
    <w:rsid w:val="624F7130"/>
    <w:rsid w:val="632D66E5"/>
    <w:rsid w:val="63A73F5B"/>
    <w:rsid w:val="63C67BD6"/>
    <w:rsid w:val="64D47C2F"/>
    <w:rsid w:val="658352F4"/>
    <w:rsid w:val="69B32B0C"/>
    <w:rsid w:val="6B7A2AEC"/>
    <w:rsid w:val="6BE7678C"/>
    <w:rsid w:val="6BF10454"/>
    <w:rsid w:val="6C602365"/>
    <w:rsid w:val="6C94618D"/>
    <w:rsid w:val="6D525A90"/>
    <w:rsid w:val="6D941B1B"/>
    <w:rsid w:val="6DDF3936"/>
    <w:rsid w:val="6EC13CDB"/>
    <w:rsid w:val="6F040519"/>
    <w:rsid w:val="6F23420A"/>
    <w:rsid w:val="6F875A64"/>
    <w:rsid w:val="6FCF7C89"/>
    <w:rsid w:val="725B48F4"/>
    <w:rsid w:val="72695658"/>
    <w:rsid w:val="72734D90"/>
    <w:rsid w:val="7293379D"/>
    <w:rsid w:val="72A81474"/>
    <w:rsid w:val="72B808DF"/>
    <w:rsid w:val="72F1729F"/>
    <w:rsid w:val="734F6E3F"/>
    <w:rsid w:val="74342067"/>
    <w:rsid w:val="755F1406"/>
    <w:rsid w:val="75AB32CA"/>
    <w:rsid w:val="75FC7F64"/>
    <w:rsid w:val="77F10652"/>
    <w:rsid w:val="784005FD"/>
    <w:rsid w:val="787E2589"/>
    <w:rsid w:val="79E051CF"/>
    <w:rsid w:val="7C434A70"/>
    <w:rsid w:val="7E4A0750"/>
    <w:rsid w:val="7EF91C6E"/>
    <w:rsid w:val="7F6B75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rPr>
      <w:sz w:val="24"/>
    </w:r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3"/>
    <w:link w:val="2"/>
    <w:qFormat/>
    <w:uiPriority w:val="9"/>
    <w:rPr>
      <w:rFonts w:ascii="Times New Roman" w:hAnsi="Times New Roman"/>
      <w:b/>
      <w:bCs/>
      <w:kern w:val="44"/>
      <w:sz w:val="44"/>
      <w:szCs w:val="44"/>
    </w:rPr>
  </w:style>
  <w:style w:type="character" w:customStyle="1" w:styleId="26">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字符"/>
    <w:basedOn w:val="13"/>
    <w:link w:val="7"/>
    <w:semiHidden/>
    <w:qFormat/>
    <w:uiPriority w:val="99"/>
    <w:rPr>
      <w:rFonts w:ascii="Times New Roman" w:hAnsi="Times New Roman"/>
      <w:kern w:val="2"/>
      <w:sz w:val="18"/>
      <w:szCs w:val="18"/>
    </w:rPr>
  </w:style>
  <w:style w:type="character" w:customStyle="1" w:styleId="29">
    <w:name w:val="标题 3 字符"/>
    <w:basedOn w:val="13"/>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jy\Desktop\2019&#24180;&#20915;&#31639;&#20844;&#24320;\1\2019&#24180;&#20844;&#24320;&#36164;&#26009;\&#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jy\Desktop\2019&#24180;&#20915;&#31639;&#20844;&#24320;\1\2019&#24180;&#20844;&#24320;&#36164;&#26009;\&#2227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jy\Desktop\2019&#24180;&#20915;&#31639;&#20844;&#24320;\1\2019&#24180;&#20844;&#24320;&#36164;&#26009;\&#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jy\Desktop\2019&#24180;&#20915;&#31639;&#20844;&#24320;\1\2019&#24180;&#20844;&#24320;&#36164;&#26009;\&#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jy\Desktop\2019&#24180;&#20915;&#31639;&#20844;&#24320;\1\2019&#24180;&#20844;&#24320;&#36164;&#26009;\&#2227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jy\Desktop\2019&#24180;&#20915;&#31639;&#20844;&#24320;\1\2019&#24180;&#20844;&#24320;&#36164;&#26009;\&#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jy\Desktop\2019&#24180;&#20915;&#31639;&#20844;&#24320;\1\2019&#24180;&#20844;&#24320;&#36164;&#26009;\&#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sz="1800" b="1" i="0" u="none" strike="noStrike" kern="1200" baseline="0">
                <a:solidFill>
                  <a:schemeClr val="tx1"/>
                </a:solidFill>
                <a:latin typeface="+mn-lt"/>
                <a:ea typeface="+mn-ea"/>
                <a:cs typeface="+mn-cs"/>
              </a:rPr>
              <a:t>收、支总计表（万元）</a:t>
            </a:r>
            <a:endParaRPr lang="zh-CN" sz="1800" b="1" i="0" u="none" strike="noStrike" kern="1200" baseline="0">
              <a:solidFill>
                <a:schemeClr val="tx1"/>
              </a:solidFill>
              <a:latin typeface="+mn-lt"/>
              <a:ea typeface="+mn-ea"/>
              <a:cs typeface="+mn-cs"/>
            </a:endParaRPr>
          </a:p>
        </c:rich>
      </c:tx>
      <c:layout/>
      <c:overlay val="0"/>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[图.xls]Sheet1!$A$3:$A$6</c:f>
              <c:strCache>
                <c:ptCount val="4"/>
                <c:pt idx="0">
                  <c:v>2018年收入总计</c:v>
                </c:pt>
                <c:pt idx="1">
                  <c:v>2019年收入总计</c:v>
                </c:pt>
                <c:pt idx="2">
                  <c:v>2018年支出总计</c:v>
                </c:pt>
                <c:pt idx="3">
                  <c:v>2019年支出总计</c:v>
                </c:pt>
              </c:strCache>
            </c:strRef>
          </c:cat>
          <c:val>
            <c:numRef>
              <c:f>[图.xls]Sheet1!$B$3:$B$6</c:f>
              <c:numCache>
                <c:formatCode>General</c:formatCode>
                <c:ptCount val="4"/>
                <c:pt idx="0">
                  <c:v>581.39</c:v>
                </c:pt>
                <c:pt idx="1">
                  <c:v>839.24</c:v>
                </c:pt>
                <c:pt idx="2">
                  <c:v>715.42</c:v>
                </c:pt>
                <c:pt idx="3">
                  <c:v>865.27</c:v>
                </c:pt>
              </c:numCache>
            </c:numRef>
          </c:val>
        </c:ser>
        <c:ser>
          <c:idx val="1"/>
          <c:order val="1"/>
          <c:invertIfNegative val="0"/>
          <c:dLbls>
            <c:delete val="1"/>
          </c:dLbls>
          <c:cat>
            <c:strRef>
              <c:f>[图.xls]Sheet1!$A$3:$A$6</c:f>
              <c:strCache>
                <c:ptCount val="4"/>
                <c:pt idx="0">
                  <c:v>2018年收入总计</c:v>
                </c:pt>
                <c:pt idx="1">
                  <c:v>2019年收入总计</c:v>
                </c:pt>
                <c:pt idx="2">
                  <c:v>2018年支出总计</c:v>
                </c:pt>
                <c:pt idx="3">
                  <c:v>2019年支出总计</c:v>
                </c:pt>
              </c:strCache>
            </c:strRef>
          </c:cat>
          <c:val>
            <c:numRef>
              <c:f>[图.xls]Sheet1!$C$3:$C$6</c:f>
              <c:numCache>
                <c:formatCode>General</c:formatCode>
                <c:ptCount val="4"/>
              </c:numCache>
            </c:numRef>
          </c:val>
        </c:ser>
        <c:dLbls>
          <c:showLegendKey val="0"/>
          <c:showVal val="0"/>
          <c:showCatName val="0"/>
          <c:showSerName val="0"/>
          <c:showPercent val="0"/>
          <c:showBubbleSize val="0"/>
        </c:dLbls>
        <c:gapWidth val="150"/>
        <c:overlap val="0"/>
        <c:axId val="600589514"/>
        <c:axId val="240283646"/>
      </c:barChart>
      <c:catAx>
        <c:axId val="60058951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83646"/>
        <c:crosses val="autoZero"/>
        <c:auto val="1"/>
        <c:lblAlgn val="ctr"/>
        <c:lblOffset val="100"/>
        <c:noMultiLvlLbl val="0"/>
      </c:catAx>
      <c:valAx>
        <c:axId val="24028364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0589514"/>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收入情况表（万元）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Pt>
            <c:idx val="5"/>
            <c:bubble3D val="0"/>
            <c:explosion val="0"/>
            <c:spPr>
              <a:solidFill>
                <a:schemeClr val="accent6"/>
              </a:solidFill>
              <a:ln w="19050">
                <a:solidFill>
                  <a:schemeClr val="lt1"/>
                </a:solidFill>
              </a:ln>
              <a:effectLst/>
            </c:spPr>
          </c:dPt>
          <c:dPt>
            <c:idx val="6"/>
            <c:bubble3D val="0"/>
            <c:explosion val="0"/>
            <c:spPr>
              <a:solidFill>
                <a:schemeClr val="accent1">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[图.xls]Sheet1!$A$31:$A$37</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[图.xls]Sheet1!$B$31:$B$37</c:f>
              <c:numCache>
                <c:formatCode>General</c:formatCode>
                <c:ptCount val="7"/>
                <c:pt idx="0">
                  <c:v>839.24</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[图.xls]Sheet1!$A$58:$A$62</c:f>
              <c:strCache>
                <c:ptCount val="5"/>
                <c:pt idx="0">
                  <c:v>基本支出</c:v>
                </c:pt>
                <c:pt idx="1">
                  <c:v>项目支出</c:v>
                </c:pt>
                <c:pt idx="2">
                  <c:v>上缴上级支出</c:v>
                </c:pt>
                <c:pt idx="3">
                  <c:v>经营支出</c:v>
                </c:pt>
                <c:pt idx="4">
                  <c:v>对附属单位补助支出</c:v>
                </c:pt>
              </c:strCache>
            </c:strRef>
          </c:cat>
          <c:val>
            <c:numRef>
              <c:f>[图.xls]Sheet1!$B$58:$B$62</c:f>
              <c:numCache>
                <c:formatCode>General</c:formatCode>
                <c:ptCount val="5"/>
                <c:pt idx="0">
                  <c:v>630.31</c:v>
                </c:pt>
                <c:pt idx="1">
                  <c:v>234.96</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sz="1800" b="1" i="0" u="none" strike="noStrike" kern="1200" baseline="0">
                <a:solidFill>
                  <a:schemeClr val="tx1"/>
                </a:solidFill>
                <a:latin typeface="+mn-lt"/>
                <a:ea typeface="+mn-ea"/>
                <a:cs typeface="+mn-cs"/>
              </a:rPr>
              <a:t>收、支总计表（万元）</a:t>
            </a:r>
            <a:endParaRPr lang="zh-CN" sz="1800" b="1" i="0" u="none" strike="noStrike" kern="1200" baseline="0">
              <a:solidFill>
                <a:schemeClr val="tx1"/>
              </a:solidFill>
              <a:latin typeface="+mn-lt"/>
              <a:ea typeface="+mn-ea"/>
              <a:cs typeface="+mn-cs"/>
            </a:endParaRPr>
          </a:p>
        </c:rich>
      </c:tx>
      <c:layout/>
      <c:overlay val="0"/>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[图.xls]Sheet1!$A$3:$A$6</c:f>
              <c:strCache>
                <c:ptCount val="4"/>
                <c:pt idx="0">
                  <c:v>2018年收入总计</c:v>
                </c:pt>
                <c:pt idx="1">
                  <c:v>2019年收入总计</c:v>
                </c:pt>
                <c:pt idx="2">
                  <c:v>2018年支出总计</c:v>
                </c:pt>
                <c:pt idx="3">
                  <c:v>2019年支出总计</c:v>
                </c:pt>
              </c:strCache>
            </c:strRef>
          </c:cat>
          <c:val>
            <c:numRef>
              <c:f>[图.xls]Sheet1!$B$3:$B$6</c:f>
              <c:numCache>
                <c:formatCode>General</c:formatCode>
                <c:ptCount val="4"/>
                <c:pt idx="0">
                  <c:v>581.39</c:v>
                </c:pt>
                <c:pt idx="1">
                  <c:v>839.24</c:v>
                </c:pt>
                <c:pt idx="2">
                  <c:v>715.42</c:v>
                </c:pt>
                <c:pt idx="3">
                  <c:v>865.27</c:v>
                </c:pt>
              </c:numCache>
            </c:numRef>
          </c:val>
        </c:ser>
        <c:ser>
          <c:idx val="1"/>
          <c:order val="1"/>
          <c:invertIfNegative val="0"/>
          <c:dLbls>
            <c:delete val="1"/>
          </c:dLbls>
          <c:cat>
            <c:strRef>
              <c:f>[图.xls]Sheet1!$A$3:$A$6</c:f>
              <c:strCache>
                <c:ptCount val="4"/>
                <c:pt idx="0">
                  <c:v>2018年收入总计</c:v>
                </c:pt>
                <c:pt idx="1">
                  <c:v>2019年收入总计</c:v>
                </c:pt>
                <c:pt idx="2">
                  <c:v>2018年支出总计</c:v>
                </c:pt>
                <c:pt idx="3">
                  <c:v>2019年支出总计</c:v>
                </c:pt>
              </c:strCache>
            </c:strRef>
          </c:cat>
          <c:val>
            <c:numRef>
              <c:f>[图.xls]Sheet1!$C$3:$C$6</c:f>
              <c:numCache>
                <c:formatCode>General</c:formatCode>
                <c:ptCount val="4"/>
              </c:numCache>
            </c:numRef>
          </c:val>
        </c:ser>
        <c:dLbls>
          <c:showLegendKey val="0"/>
          <c:showVal val="0"/>
          <c:showCatName val="0"/>
          <c:showSerName val="0"/>
          <c:showPercent val="0"/>
          <c:showBubbleSize val="0"/>
        </c:dLbls>
        <c:gapWidth val="150"/>
        <c:overlap val="0"/>
        <c:axId val="600589514"/>
        <c:axId val="240283646"/>
      </c:barChart>
      <c:catAx>
        <c:axId val="60058951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83646"/>
        <c:crosses val="autoZero"/>
        <c:auto val="1"/>
        <c:lblAlgn val="ctr"/>
        <c:lblOffset val="100"/>
        <c:noMultiLvlLbl val="0"/>
      </c:catAx>
      <c:valAx>
        <c:axId val="24028364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0589514"/>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54028067089447"/>
          <c:y val="0.0451388888888889"/>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[图.xls]Sheet1!$E$3:$E$4</c:f>
              <c:strCache>
                <c:ptCount val="2"/>
                <c:pt idx="0">
                  <c:v>2018一般公共预算财政拨款支出决算</c:v>
                </c:pt>
                <c:pt idx="1">
                  <c:v>2019一般公共预算财政拨款支出决算</c:v>
                </c:pt>
              </c:strCache>
            </c:strRef>
          </c:cat>
          <c:val>
            <c:numRef>
              <c:f>[图.xls]Sheet1!$F$3:$F$4</c:f>
              <c:numCache>
                <c:formatCode>General</c:formatCode>
                <c:ptCount val="2"/>
                <c:pt idx="0">
                  <c:v>715.42</c:v>
                </c:pt>
                <c:pt idx="1">
                  <c:v>865.27</c:v>
                </c:pt>
              </c:numCache>
            </c:numRef>
          </c:val>
        </c:ser>
        <c:dLbls>
          <c:showLegendKey val="0"/>
          <c:showVal val="0"/>
          <c:showCatName val="0"/>
          <c:showSerName val="0"/>
          <c:showPercent val="0"/>
          <c:showBubbleSize val="0"/>
        </c:dLbls>
        <c:gapWidth val="219"/>
        <c:overlap val="-27"/>
        <c:axId val="13842599"/>
        <c:axId val="448750507"/>
      </c:barChart>
      <c:catAx>
        <c:axId val="1384259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750507"/>
        <c:crosses val="autoZero"/>
        <c:auto val="1"/>
        <c:lblAlgn val="ctr"/>
        <c:lblOffset val="100"/>
        <c:noMultiLvlLbl val="0"/>
      </c:catAx>
      <c:valAx>
        <c:axId val="44875050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425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Pt>
            <c:idx val="5"/>
            <c:bubble3D val="0"/>
            <c:explosion val="0"/>
            <c:spPr>
              <a:solidFill>
                <a:schemeClr val="accent6"/>
              </a:solidFill>
              <a:ln w="19050">
                <a:solidFill>
                  <a:schemeClr val="lt1"/>
                </a:solidFill>
              </a:ln>
              <a:effectLst/>
            </c:spPr>
          </c:dPt>
          <c:dPt>
            <c:idx val="6"/>
            <c:bubble3D val="0"/>
            <c:explosion val="0"/>
            <c:spPr>
              <a:solidFill>
                <a:schemeClr val="accent1">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[图.xls]Sheet1!$E$31:$E$37</c:f>
              <c:strCache>
                <c:ptCount val="7"/>
                <c:pt idx="0">
                  <c:v>一般公共服务支出</c:v>
                </c:pt>
                <c:pt idx="1">
                  <c:v>教育支出支出</c:v>
                </c:pt>
                <c:pt idx="2">
                  <c:v>科学技术支出</c:v>
                </c:pt>
                <c:pt idx="3">
                  <c:v>文化旅游体育与传媒支出</c:v>
                </c:pt>
                <c:pt idx="4">
                  <c:v>社会保障和就业支出</c:v>
                </c:pt>
                <c:pt idx="5">
                  <c:v>卫生健康支出</c:v>
                </c:pt>
                <c:pt idx="6">
                  <c:v>住房保障支出</c:v>
                </c:pt>
              </c:strCache>
            </c:strRef>
          </c:cat>
          <c:val>
            <c:numRef>
              <c:f>[图.xls]Sheet1!$F$31:$F$37</c:f>
              <c:numCache>
                <c:formatCode>General</c:formatCode>
                <c:ptCount val="7"/>
                <c:pt idx="0">
                  <c:v>0</c:v>
                </c:pt>
                <c:pt idx="1">
                  <c:v>0</c:v>
                </c:pt>
                <c:pt idx="2">
                  <c:v>0</c:v>
                </c:pt>
                <c:pt idx="3">
                  <c:v>0</c:v>
                </c:pt>
                <c:pt idx="4">
                  <c:v>86.42</c:v>
                </c:pt>
                <c:pt idx="5">
                  <c:v>729.85</c:v>
                </c:pt>
                <c:pt idx="6">
                  <c:v>48.99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[图.xls]Sheet1!$J$3:$J$4</c:f>
              <c:strCache>
                <c:ptCount val="2"/>
                <c:pt idx="0">
                  <c:v>因公出国（境）费支出</c:v>
                </c:pt>
                <c:pt idx="1">
                  <c:v>公务用车购置及运行维护费支出</c:v>
                </c:pt>
              </c:strCache>
            </c:strRef>
          </c:cat>
          <c:val>
            <c:numRef>
              <c:f>[图.xls]Sheet1!$K$3:$K$4</c:f>
              <c:numCache>
                <c:formatCode>General</c:formatCode>
                <c:ptCount val="2"/>
                <c:pt idx="0">
                  <c:v>0</c:v>
                </c:pt>
                <c:pt idx="1">
                  <c:v>7.21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2</TotalTime>
  <ScaleCrop>false</ScaleCrop>
  <LinksUpToDate>false</LinksUpToDate>
  <CharactersWithSpaces>8587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陶淑群 </cp:lastModifiedBy>
  <cp:lastPrinted>2020-10-22T08:47:00Z</cp:lastPrinted>
  <dcterms:modified xsi:type="dcterms:W3CDTF">2020-10-23T07:40:42Z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