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bookmarkEnd w:id="0"/>
    <w:p>
      <w:pPr>
        <w:spacing w:line="576" w:lineRule="exact"/>
        <w:jc w:val="center"/>
        <w:rPr>
          <w:rFonts w:ascii="方正小标宋简体" w:eastAsia="方正小标宋简体"/>
          <w:sz w:val="44"/>
          <w:szCs w:val="44"/>
        </w:rPr>
      </w:pPr>
      <w:bookmarkStart w:id="62" w:name="_GoBack"/>
      <w:r>
        <w:rPr>
          <w:rFonts w:hint="eastAsia" w:ascii="方正小标宋简体" w:eastAsia="方正小标宋简体"/>
          <w:sz w:val="44"/>
          <w:szCs w:val="44"/>
        </w:rPr>
        <w:t>2018年度</w:t>
      </w:r>
    </w:p>
    <w:p>
      <w:pPr>
        <w:spacing w:line="576"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壤塘</w:t>
      </w:r>
      <w:r>
        <w:rPr>
          <w:rFonts w:hint="eastAsia" w:ascii="方正小标宋简体" w:eastAsia="方正小标宋简体"/>
          <w:sz w:val="44"/>
          <w:szCs w:val="44"/>
        </w:rPr>
        <w:t>县</w:t>
      </w:r>
      <w:r>
        <w:rPr>
          <w:rFonts w:hint="eastAsia" w:ascii="方正小标宋简体" w:eastAsia="方正小标宋简体"/>
          <w:sz w:val="44"/>
          <w:szCs w:val="44"/>
          <w:lang w:eastAsia="zh-CN"/>
        </w:rPr>
        <w:t>壤柯镇社区卫生服务中心</w:t>
      </w:r>
    </w:p>
    <w:p>
      <w:pPr>
        <w:spacing w:line="576" w:lineRule="exact"/>
        <w:jc w:val="center"/>
        <w:rPr>
          <w:rFonts w:ascii="方正小标宋简体" w:eastAsia="方正小标宋简体"/>
          <w:sz w:val="44"/>
          <w:szCs w:val="44"/>
        </w:rPr>
      </w:pPr>
      <w:r>
        <w:rPr>
          <w:rFonts w:hint="eastAsia" w:ascii="方正小标宋简体" w:eastAsia="方正小标宋简体"/>
          <w:sz w:val="44"/>
          <w:szCs w:val="44"/>
        </w:rPr>
        <w:t>部门决算</w:t>
      </w:r>
    </w:p>
    <w:bookmarkEnd w:id="62"/>
    <w:p>
      <w:pPr>
        <w:widowControl/>
        <w:jc w:val="both"/>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
      <w:pPr>
        <w:pStyle w:val="10"/>
        <w:rPr>
          <w:rFonts w:cstheme="minorBidi"/>
        </w:rPr>
      </w:pPr>
      <w:r>
        <w:fldChar w:fldCharType="begin"/>
      </w:r>
      <w:r>
        <w:instrText xml:space="preserve"> HYPERLINK \l "_Toc15396599" </w:instrText>
      </w:r>
      <w:r>
        <w:fldChar w:fldCharType="separate"/>
      </w:r>
      <w:r>
        <w:rPr>
          <w:rStyle w:val="14"/>
          <w:rFonts w:hint="eastAsia"/>
        </w:rPr>
        <w:t>第一部分部门概况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4"/>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4"/>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4"/>
          <w:rFonts w:hint="eastAsia"/>
        </w:rPr>
        <w:t>第二部分</w:t>
      </w:r>
      <w:r>
        <w:rPr>
          <w:rStyle w:val="14"/>
        </w:rPr>
        <w:t xml:space="preserve"> 2018</w:t>
      </w:r>
      <w:r>
        <w:rPr>
          <w:rStyle w:val="14"/>
          <w:rFonts w:hint="eastAsia"/>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4"/>
          <w:rFonts w:hint="eastAsia" w:ascii="仿宋" w:hAnsi="仿宋" w:eastAsia="仿宋" w:cstheme="majorBidi"/>
          <w:bCs/>
          <w:sz w:val="28"/>
          <w:szCs w:val="28"/>
        </w:rPr>
        <w:t>一、</w:t>
      </w:r>
      <w:r>
        <w:rPr>
          <w:rStyle w:val="14"/>
          <w:rFonts w:hint="eastAsia" w:ascii="仿宋" w:hAnsi="仿宋" w:eastAsia="仿宋"/>
          <w:sz w:val="28"/>
          <w:szCs w:val="28"/>
        </w:rPr>
        <w:t>收</w:t>
      </w:r>
      <w:r>
        <w:rPr>
          <w:rStyle w:val="14"/>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4"/>
          <w:rFonts w:hint="eastAsia" w:ascii="仿宋" w:hAnsi="仿宋" w:eastAsia="仿宋" w:cstheme="majorBidi"/>
          <w:bCs/>
          <w:sz w:val="28"/>
          <w:szCs w:val="28"/>
        </w:rPr>
        <w:t>二、</w:t>
      </w:r>
      <w:r>
        <w:rPr>
          <w:rStyle w:val="14"/>
          <w:rFonts w:hint="eastAsia" w:ascii="仿宋" w:hAnsi="仿宋" w:eastAsia="仿宋"/>
          <w:sz w:val="28"/>
          <w:szCs w:val="28"/>
        </w:rPr>
        <w:t>收</w:t>
      </w:r>
      <w:r>
        <w:rPr>
          <w:rStyle w:val="14"/>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4"/>
          <w:rFonts w:hint="eastAsia" w:ascii="仿宋" w:hAnsi="仿宋" w:eastAsia="仿宋" w:cstheme="majorBidi"/>
          <w:bCs/>
          <w:sz w:val="28"/>
          <w:szCs w:val="28"/>
        </w:rPr>
        <w:t>三、</w:t>
      </w:r>
      <w:r>
        <w:rPr>
          <w:rStyle w:val="14"/>
          <w:rFonts w:hint="eastAsia" w:ascii="仿宋" w:hAnsi="仿宋" w:eastAsia="仿宋"/>
          <w:sz w:val="28"/>
          <w:szCs w:val="28"/>
        </w:rPr>
        <w:t>支</w:t>
      </w:r>
      <w:r>
        <w:rPr>
          <w:rStyle w:val="14"/>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4"/>
          <w:rFonts w:hint="eastAsia" w:ascii="仿宋" w:hAnsi="仿宋" w:eastAsia="仿宋"/>
          <w:sz w:val="28"/>
          <w:szCs w:val="28"/>
        </w:rPr>
        <w:t>四、财</w:t>
      </w:r>
      <w:r>
        <w:rPr>
          <w:rStyle w:val="14"/>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4"/>
          <w:rFonts w:hint="eastAsia" w:ascii="仿宋" w:hAnsi="仿宋" w:eastAsia="仿宋"/>
          <w:sz w:val="28"/>
          <w:szCs w:val="28"/>
        </w:rPr>
        <w:t>五、一</w:t>
      </w:r>
      <w:r>
        <w:rPr>
          <w:rStyle w:val="14"/>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4"/>
          <w:rFonts w:hint="eastAsia" w:ascii="仿宋" w:hAnsi="仿宋" w:eastAsia="仿宋"/>
          <w:sz w:val="28"/>
          <w:szCs w:val="28"/>
        </w:rPr>
        <w:t>六、一</w:t>
      </w:r>
      <w:r>
        <w:rPr>
          <w:rStyle w:val="14"/>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4"/>
          <w:rFonts w:hint="eastAsia" w:ascii="仿宋" w:hAnsi="仿宋" w:eastAsia="仿宋"/>
          <w:sz w:val="28"/>
          <w:szCs w:val="28"/>
        </w:rPr>
        <w:t>七、</w:t>
      </w:r>
      <w:r>
        <w:rPr>
          <w:rStyle w:val="14"/>
          <w:rFonts w:ascii="仿宋" w:hAnsi="仿宋" w:eastAsia="仿宋"/>
          <w:sz w:val="28"/>
          <w:szCs w:val="28"/>
        </w:rPr>
        <w:t>“</w:t>
      </w:r>
      <w:r>
        <w:rPr>
          <w:rStyle w:val="14"/>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4"/>
          <w:rFonts w:hint="eastAsia" w:ascii="仿宋" w:hAnsi="仿宋" w:eastAsia="仿宋"/>
          <w:sz w:val="28"/>
          <w:szCs w:val="28"/>
        </w:rPr>
        <w:t>八、</w:t>
      </w:r>
      <w:r>
        <w:rPr>
          <w:rStyle w:val="14"/>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hint="eastAsia"/>
        </w:rPr>
      </w:pPr>
      <w:r>
        <w:fldChar w:fldCharType="begin"/>
      </w:r>
      <w:r>
        <w:instrText xml:space="preserve"> HYPERLINK \l "_Toc15396611" </w:instrText>
      </w:r>
      <w:r>
        <w:fldChar w:fldCharType="separate"/>
      </w:r>
      <w:r>
        <w:rPr>
          <w:rStyle w:val="14"/>
          <w:rFonts w:hint="eastAsia" w:ascii="仿宋" w:hAnsi="仿宋" w:eastAsia="仿宋" w:cstheme="majorBidi"/>
          <w:bCs/>
          <w:sz w:val="28"/>
          <w:szCs w:val="28"/>
        </w:rPr>
        <w:t>九、</w:t>
      </w:r>
      <w:r>
        <w:rPr>
          <w:rStyle w:val="14"/>
          <w:rFonts w:hint="eastAsia" w:ascii="仿宋" w:hAnsi="仿宋" w:eastAsia="仿宋"/>
          <w:sz w:val="28"/>
          <w:szCs w:val="28"/>
        </w:rPr>
        <w:t xml:space="preserve"> 国</w:t>
      </w:r>
      <w:r>
        <w:rPr>
          <w:rStyle w:val="14"/>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rPr>
          <w:color w:val="000000" w:themeColor="text1"/>
          <w14:textFill>
            <w14:solidFill>
              <w14:schemeClr w14:val="tx1"/>
            </w14:solidFill>
          </w14:textFill>
        </w:rPr>
      </w:pPr>
      <w:r>
        <w:rPr>
          <w:rFonts w:hint="eastAsia"/>
        </w:rPr>
        <w:t xml:space="preserve">    </w:t>
      </w:r>
      <w:r>
        <w:rPr>
          <w:rStyle w:val="14"/>
          <w:rFonts w:hint="eastAsia" w:ascii="仿宋" w:hAnsi="仿宋" w:eastAsia="仿宋" w:cstheme="majorBidi"/>
          <w:bCs/>
          <w:color w:val="000000" w:themeColor="text1"/>
          <w:sz w:val="28"/>
          <w:szCs w:val="28"/>
          <w:u w:val="none"/>
          <w14:textFill>
            <w14:solidFill>
              <w14:schemeClr w14:val="tx1"/>
            </w14:solidFill>
          </w14:textFill>
        </w:rPr>
        <w:t>十、预算绩效情况说明</w:t>
      </w:r>
      <w:r>
        <w:rPr>
          <w:rStyle w:val="14"/>
          <w:rFonts w:ascii="仿宋" w:hAnsi="仿宋" w:eastAsia="仿宋" w:cstheme="majorBidi"/>
          <w:bCs/>
          <w:color w:val="000000" w:themeColor="text1"/>
          <w:sz w:val="28"/>
          <w:szCs w:val="28"/>
          <w:u w:val="none"/>
          <w14:textFill>
            <w14:solidFill>
              <w14:schemeClr w14:val="tx1"/>
            </w14:solidFill>
          </w14:textFill>
        </w:rPr>
        <w:t>…………………………………………</w:t>
      </w:r>
      <w:r>
        <w:rPr>
          <w:rStyle w:val="14"/>
          <w:rFonts w:hint="eastAsia" w:ascii="仿宋" w:hAnsi="仿宋" w:eastAsia="仿宋" w:cstheme="majorBidi"/>
          <w:bCs/>
          <w:color w:val="000000" w:themeColor="text1"/>
          <w:sz w:val="28"/>
          <w:szCs w:val="28"/>
          <w:u w:val="none"/>
          <w14:textFill>
            <w14:solidFill>
              <w14:schemeClr w14:val="tx1"/>
            </w14:solidFill>
          </w14:textFill>
        </w:rPr>
        <w:t xml:space="preserve">  13</w:t>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4"/>
          <w:rFonts w:hint="eastAsia" w:ascii="仿宋" w:hAnsi="仿宋" w:eastAsia="仿宋"/>
          <w:sz w:val="28"/>
          <w:szCs w:val="28"/>
        </w:rPr>
        <w:t>十</w:t>
      </w:r>
      <w:r>
        <w:rPr>
          <w:rStyle w:val="14"/>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4"/>
          <w:rFonts w:hint="eastAsia"/>
          <w:bCs/>
          <w:kern w:val="44"/>
        </w:rPr>
        <w:t>第三部分</w:t>
      </w:r>
      <w:r>
        <w:rPr>
          <w:rStyle w:val="14"/>
          <w:rFonts w:hint="eastAsia"/>
        </w:rPr>
        <w:t xml:space="preserve"> 名</w:t>
      </w:r>
      <w:r>
        <w:rPr>
          <w:rStyle w:val="14"/>
          <w:rFonts w:hint="eastAsia"/>
          <w:bCs/>
          <w:kern w:val="44"/>
        </w:rPr>
        <w:t>词解释</w:t>
      </w:r>
      <w:r>
        <w:tab/>
      </w:r>
      <w:r>
        <w:fldChar w:fldCharType="begin"/>
      </w:r>
      <w:r>
        <w:instrText xml:space="preserve"> PAGEREF _Toc15396613 \h </w:instrText>
      </w:r>
      <w:r>
        <w:fldChar w:fldCharType="separate"/>
      </w:r>
      <w:r>
        <w:t>16</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4"/>
          <w:rFonts w:hint="eastAsia"/>
        </w:rPr>
        <w:t>第</w:t>
      </w:r>
      <w:r>
        <w:rPr>
          <w:rStyle w:val="14"/>
          <w:rFonts w:hint="eastAsia"/>
          <w:bCs/>
          <w:kern w:val="44"/>
        </w:rPr>
        <w:t>四部分附件</w:t>
      </w:r>
      <w:r>
        <w:tab/>
      </w:r>
      <w:r>
        <w:fldChar w:fldCharType="begin"/>
      </w:r>
      <w:r>
        <w:instrText xml:space="preserve"> PAGEREF _Toc15396614 \h </w:instrText>
      </w:r>
      <w:r>
        <w:fldChar w:fldCharType="separate"/>
      </w:r>
      <w:r>
        <w:t>19</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4"/>
          <w:rFonts w:hint="eastAsia" w:ascii="仿宋" w:hAnsi="仿宋" w:eastAsia="仿宋"/>
          <w:kern w:val="44"/>
          <w:sz w:val="28"/>
          <w:szCs w:val="28"/>
        </w:rPr>
        <w:t>附件</w:t>
      </w:r>
      <w:r>
        <w:rPr>
          <w:rStyle w:val="14"/>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4"/>
          <w:rFonts w:hint="eastAsia" w:ascii="仿宋" w:hAnsi="仿宋" w:eastAsia="仿宋"/>
          <w:kern w:val="44"/>
          <w:sz w:val="28"/>
          <w:szCs w:val="28"/>
        </w:rPr>
        <w:t>附件</w:t>
      </w:r>
      <w:r>
        <w:rPr>
          <w:rStyle w:val="14"/>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4"/>
          <w:rFonts w:hint="eastAsia"/>
        </w:rPr>
        <w:t>第</w:t>
      </w:r>
      <w:r>
        <w:rPr>
          <w:rStyle w:val="14"/>
          <w:rFonts w:hint="eastAsia"/>
          <w:bCs/>
          <w:kern w:val="44"/>
        </w:rPr>
        <w:t>五部分附表</w:t>
      </w:r>
      <w:r>
        <w:tab/>
      </w:r>
      <w:r>
        <w:fldChar w:fldCharType="begin"/>
      </w:r>
      <w:r>
        <w:instrText xml:space="preserve"> PAGEREF _Toc15396618 \h </w:instrText>
      </w:r>
      <w:r>
        <w:fldChar w:fldCharType="separate"/>
      </w:r>
      <w:r>
        <w:t>22</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4"/>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4"/>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4"/>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4"/>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4"/>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4"/>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4"/>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4"/>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4"/>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4"/>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4"/>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4"/>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 w:name="_Toc15396599"/>
      <w:bookmarkStart w:id="2" w:name="_Toc15377196"/>
      <w:r>
        <w:rPr>
          <w:rFonts w:ascii="黑体" w:hAnsi="黑体" w:eastAsia="黑体"/>
          <w:b/>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
      <w:bookmarkEnd w:id="2"/>
    </w:p>
    <w:p>
      <w:pPr>
        <w:widowControl/>
        <w:jc w:val="left"/>
        <w:rPr>
          <w:rFonts w:ascii="黑体" w:eastAsia="黑体"/>
          <w:color w:val="000000"/>
          <w:sz w:val="32"/>
          <w:szCs w:val="32"/>
        </w:rPr>
      </w:pPr>
    </w:p>
    <w:p>
      <w:pPr>
        <w:pStyle w:val="3"/>
        <w:rPr>
          <w:rStyle w:val="25"/>
          <w:rFonts w:ascii="仿宋" w:hAnsi="仿宋" w:eastAsia="仿宋"/>
          <w:b w:val="0"/>
          <w:bCs w:val="0"/>
        </w:rPr>
      </w:pPr>
      <w:bookmarkStart w:id="3" w:name="_Toc15396602"/>
      <w:bookmarkStart w:id="4" w:name="_Toc15377204"/>
      <w:r>
        <w:rPr>
          <w:rFonts w:hint="eastAsia" w:ascii="黑体" w:hAnsi="黑体" w:eastAsia="黑体"/>
          <w:b w:val="0"/>
          <w:color w:val="000000"/>
        </w:rPr>
        <w:t>一、基</w:t>
      </w:r>
      <w:r>
        <w:rPr>
          <w:rStyle w:val="25"/>
          <w:rFonts w:hint="eastAsia" w:ascii="黑体" w:hAnsi="黑体" w:eastAsia="黑体"/>
          <w:b w:val="0"/>
          <w:bCs w:val="0"/>
        </w:rPr>
        <w:t>本职能及主要工作</w:t>
      </w:r>
    </w:p>
    <w:p>
      <w:pPr>
        <w:snapToGrid w:val="0"/>
        <w:spacing w:line="520" w:lineRule="exact"/>
        <w:ind w:firstLine="643" w:firstLineChars="200"/>
        <w:rPr>
          <w:rFonts w:hint="eastAsia" w:ascii="楷体_GB2312" w:hAnsi="楷体_GB2312" w:eastAsia="楷体_GB2312" w:cs="楷体_GB2312"/>
          <w:b/>
          <w:bCs w:val="0"/>
          <w:color w:val="000000"/>
          <w:sz w:val="32"/>
          <w:szCs w:val="32"/>
        </w:rPr>
      </w:pPr>
      <w:bookmarkStart w:id="5" w:name="_Toc15377198"/>
      <w:bookmarkStart w:id="6" w:name="_Toc15378445"/>
      <w:r>
        <w:rPr>
          <w:rFonts w:hint="eastAsia" w:ascii="楷体_GB2312" w:hAnsi="楷体_GB2312" w:eastAsia="楷体_GB2312" w:cs="楷体_GB2312"/>
          <w:b/>
          <w:bCs w:val="0"/>
          <w:color w:val="000000"/>
          <w:sz w:val="32"/>
          <w:szCs w:val="32"/>
        </w:rPr>
        <w:t>（一）主要职能。</w:t>
      </w:r>
      <w:bookmarkEnd w:id="5"/>
      <w:bookmarkEnd w:id="6"/>
      <w:bookmarkStart w:id="7" w:name="_Toc15377199"/>
      <w:bookmarkStart w:id="8" w:name="_Toc15378446"/>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执行党和国家关于卫生计生工作的方针、政策、法律、法规以及省、州、县党委、政府关于卫生计生工作的决策部署，制定全县卫生计生事业发展规划，统筹规划全县卫生计生资源配置，指导全县卫生计生工作。</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贯彻实施党和国家医药卫生体制改革政策和国家药物政策及国家基本药物制度，执行国家基本药物目录以及我省药品增补目录，执行基本药物采购、配送、使用的政策措施。贯彻中西医并重的方针，发展我县中藏医事业。</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（三）贯彻实施职责范围内的职业卫生、放射卫生、环境卫生、学校卫生、公共场所卫生、饮用水卫生管理规范、标准和政策措施，组织开展相关监测、调查、评估和监督。</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（四）负责制定全县卫生应急预案、突发公共卫生事件监测和风险评估，组织和指导全县突发公共卫生事件预防控制和各类突发公共事件的医疗卫生救援。</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组织实施促进全县出生人口性别平衡的政策措施，组织监测计划生育发展动态，负责全县计划生育相关数据采集和分析研究，提出发布计划生育安全预警预报信息建议，制定计划生育技术服务管理制度并监督实施，制定优生优育和提高出生人口素质的政策措施并组织实施，推动实施计划生育生殖健康促进计划，降低出生缺陷人口数量。</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实施“三项制度”，组织建立计划生育利益导向、计划生育特殊困难家庭扶助和促进计划生育家庭发展等机制，负责协调推进有关部门、群众团体履行计划生育工作相关职责，建立与经济社会发展政策的衔接机制，提出稳定低生育水平政策措施。</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（七）制定我县实施流动人口计划生育服务管理制度并组织落实，推动建立流动人口卫生计生信息共享与公共服务工作机制。</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（八）负责组织拟订并实施基层卫生和妇幼卫生、计划生育服务发展规划和政策措施，指导全县基层卫生和妇幼卫生、计划生育服务体系建设，推进基本公共卫生计生服务均等化，完善乡村医生管理制度。</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组织实施全县医疗机构及医疗服务全行业管理办法、及医疗服务、医疗技术、医疗质量、医疗安全管的规范、标准，会同有关部门贯彻执行国家卫生计生专业技术人员准入、资格标准。制定和实施卫生计生专业技术人员执业规则和服务规范，建立医疗服务评价和监督管理体系。</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（十）负责卫生计生政策宣传、全民健康教育、健康促进等工作。依法组织实施统计调查，开展全县人口基础信息库建设。</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负责全县卫生计生系统的人力资源管理工作，组织拟订全县卫生计生人才和科技发展规划。加强继续医学教育工作，组织实施卫生计生业务培训，贯彻落实国家住院医师和专科医师规范化培训制度，积极推广卫生计生适宜技术。</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（十二）完善卫生计生综合监督执法体系，规范卫生计生行政执法行为，监督检查有关法律法规和政策措施的落实，组织查处重大违法行为，监督落实计划生育一票否决制。</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（十三）负责新型农村合作医疗的实施、监督和管理。</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（十四）负责建立公益性导向的绩效考核和评价运行机制，推进和谐医患关系建设。</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（十五）承担县爱国卫生运动委员会、县医药卫生体制改革领导小组、县献血领导小组日常工作。</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（十六）承担重大传染病防治工作领导小组、地方病及病害防治工作领导小组日常工作。</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（十七）负责全县医疗机构、从业人员、医疗技术运用、大型医疗设备等医疗服务要素准入的监督管理。承担卫生计生行政审批、行政许可事项。</w:t>
      </w:r>
    </w:p>
    <w:p>
      <w:pPr>
        <w:pStyle w:val="5"/>
        <w:adjustRightInd w:val="0"/>
        <w:snapToGrid w:val="0"/>
        <w:spacing w:before="93" w:line="600" w:lineRule="exact"/>
        <w:ind w:firstLine="675" w:firstLineChars="210"/>
        <w:outlineLvl w:val="2"/>
        <w:rPr>
          <w:rFonts w:hint="eastAsia" w:ascii="楷体_GB2312" w:hAnsi="楷体_GB2312" w:eastAsia="楷体_GB2312" w:cs="楷体_GB2312"/>
          <w:b/>
          <w:bCs w:val="0"/>
          <w:color w:val="000000"/>
          <w:sz w:val="32"/>
          <w:szCs w:val="32"/>
        </w:rPr>
      </w:pPr>
      <w:r>
        <w:rPr>
          <w:rFonts w:hint="eastAsia" w:ascii="楷体_GB2312" w:hAnsi="楷体_GB2312" w:eastAsia="楷体_GB2312" w:cs="楷体_GB2312"/>
          <w:b/>
          <w:bCs w:val="0"/>
          <w:color w:val="000000"/>
          <w:sz w:val="32"/>
          <w:szCs w:val="32"/>
        </w:rPr>
        <w:t>（二）2018年重点工作完成情况。</w:t>
      </w:r>
      <w:bookmarkEnd w:id="7"/>
      <w:bookmarkEnd w:id="8"/>
    </w:p>
    <w:p>
      <w:pPr>
        <w:rPr>
          <w:rFonts w:eastAsia="仿宋_GB2312"/>
          <w:sz w:val="32"/>
          <w:szCs w:val="32"/>
        </w:rPr>
      </w:pPr>
      <w:r>
        <w:rPr>
          <w:rFonts w:hint="eastAsia" w:ascii="仿宋_GB2312" w:hAnsi="仿宋_GB2312" w:eastAsia="仿宋_GB2312" w:cs="仿宋_GB2312"/>
          <w:b/>
          <w:sz w:val="32"/>
          <w:szCs w:val="32"/>
        </w:rPr>
        <w:t>1.疾病防控工作更加扎实有效。</w:t>
      </w:r>
      <w:r>
        <w:rPr>
          <w:rFonts w:eastAsia="仿宋_GB2312"/>
          <w:b/>
          <w:sz w:val="32"/>
          <w:szCs w:val="32"/>
        </w:rPr>
        <w:t>一是</w:t>
      </w:r>
      <w:r>
        <w:rPr>
          <w:rFonts w:eastAsia="仿宋_GB2312"/>
          <w:sz w:val="32"/>
          <w:szCs w:val="32"/>
        </w:rPr>
        <w:t>积极开展地方病防治，截止</w:t>
      </w:r>
      <w:r>
        <w:rPr>
          <w:rFonts w:hint="eastAsia" w:eastAsia="仿宋_GB2312"/>
          <w:sz w:val="32"/>
          <w:szCs w:val="32"/>
        </w:rPr>
        <w:t>目前</w:t>
      </w:r>
      <w:r>
        <w:rPr>
          <w:rFonts w:eastAsia="仿宋_GB2312"/>
          <w:sz w:val="32"/>
          <w:szCs w:val="32"/>
        </w:rPr>
        <w:t>完成包虫病B超筛查1</w:t>
      </w:r>
      <w:r>
        <w:rPr>
          <w:rFonts w:hint="eastAsia" w:eastAsia="仿宋_GB2312"/>
          <w:sz w:val="32"/>
          <w:szCs w:val="32"/>
        </w:rPr>
        <w:t>5948</w:t>
      </w:r>
      <w:r>
        <w:rPr>
          <w:rFonts w:eastAsia="仿宋_GB2312"/>
          <w:sz w:val="32"/>
          <w:szCs w:val="32"/>
        </w:rPr>
        <w:t>人（其中：儿童B超检查22</w:t>
      </w:r>
      <w:r>
        <w:rPr>
          <w:rFonts w:hint="eastAsia" w:eastAsia="仿宋_GB2312"/>
          <w:sz w:val="32"/>
          <w:szCs w:val="32"/>
        </w:rPr>
        <w:t>57</w:t>
      </w:r>
      <w:r>
        <w:rPr>
          <w:rFonts w:eastAsia="仿宋_GB2312"/>
          <w:sz w:val="32"/>
          <w:szCs w:val="32"/>
        </w:rPr>
        <w:t>人）</w:t>
      </w:r>
      <w:r>
        <w:rPr>
          <w:rFonts w:hint="eastAsia" w:eastAsia="仿宋_GB2312"/>
          <w:sz w:val="32"/>
          <w:szCs w:val="32"/>
        </w:rPr>
        <w:t>完成率100%</w:t>
      </w:r>
      <w:r>
        <w:rPr>
          <w:rFonts w:eastAsia="仿宋_GB2312"/>
          <w:sz w:val="32"/>
          <w:szCs w:val="32"/>
        </w:rPr>
        <w:t>，新发现病人2人，手术补助治疗1</w:t>
      </w:r>
      <w:r>
        <w:rPr>
          <w:rFonts w:hint="eastAsia" w:eastAsia="仿宋_GB2312"/>
          <w:sz w:val="32"/>
          <w:szCs w:val="32"/>
        </w:rPr>
        <w:t>3</w:t>
      </w:r>
      <w:r>
        <w:rPr>
          <w:rFonts w:eastAsia="仿宋_GB2312"/>
          <w:sz w:val="32"/>
          <w:szCs w:val="32"/>
        </w:rPr>
        <w:t>例。对全县208名包虫病患者进行免费药物治疗；追踪调查208名包虫病病人。完成2018年蒲西乡尤日村、斯跃武村、吾依乡壤古村地氟砖茶换茶工作。</w:t>
      </w:r>
      <w:r>
        <w:rPr>
          <w:rFonts w:eastAsia="仿宋_GB2312"/>
          <w:b/>
          <w:sz w:val="32"/>
          <w:szCs w:val="32"/>
        </w:rPr>
        <w:t>二是</w:t>
      </w:r>
      <w:r>
        <w:rPr>
          <w:rFonts w:eastAsia="仿宋_GB2312"/>
          <w:sz w:val="32"/>
          <w:szCs w:val="32"/>
        </w:rPr>
        <w:t>抓好计划免疫工作，截至</w:t>
      </w:r>
      <w:r>
        <w:rPr>
          <w:rFonts w:hint="eastAsia" w:eastAsia="仿宋_GB2312"/>
          <w:sz w:val="32"/>
          <w:szCs w:val="32"/>
        </w:rPr>
        <w:t>10</w:t>
      </w:r>
      <w:r>
        <w:rPr>
          <w:rFonts w:eastAsia="仿宋_GB2312"/>
          <w:sz w:val="32"/>
          <w:szCs w:val="32"/>
        </w:rPr>
        <w:t>月底全县计划免疫疫苗报告接种率均达96%以上。按照全州统一安排部署，4月在全县开展了脊髓灰质炎灭活疫苗查漏补种活动，共接种脊灰灭活疫苗1539人次，接种率96.91%。</w:t>
      </w:r>
      <w:r>
        <w:rPr>
          <w:rFonts w:eastAsia="仿宋_GB2312"/>
          <w:b/>
          <w:sz w:val="32"/>
          <w:szCs w:val="32"/>
        </w:rPr>
        <w:t>三是</w:t>
      </w:r>
      <w:r>
        <w:rPr>
          <w:rFonts w:eastAsia="仿宋_GB2312"/>
          <w:sz w:val="32"/>
          <w:szCs w:val="32"/>
        </w:rPr>
        <w:t>做好传染病防治，截止</w:t>
      </w:r>
      <w:r>
        <w:rPr>
          <w:rFonts w:hint="eastAsia" w:eastAsia="仿宋_GB2312"/>
          <w:sz w:val="32"/>
          <w:szCs w:val="32"/>
        </w:rPr>
        <w:t>10</w:t>
      </w:r>
      <w:r>
        <w:rPr>
          <w:rFonts w:eastAsia="仿宋_GB2312"/>
          <w:sz w:val="32"/>
          <w:szCs w:val="32"/>
        </w:rPr>
        <w:t>月底无甲类传染病报告，共报告法定乙、丙类传染病共计1</w:t>
      </w:r>
      <w:r>
        <w:rPr>
          <w:rFonts w:hint="eastAsia" w:eastAsia="仿宋_GB2312"/>
          <w:sz w:val="32"/>
          <w:szCs w:val="32"/>
        </w:rPr>
        <w:t>1</w:t>
      </w:r>
      <w:r>
        <w:rPr>
          <w:rFonts w:eastAsia="仿宋_GB2312"/>
          <w:sz w:val="32"/>
          <w:szCs w:val="32"/>
        </w:rPr>
        <w:t>种2</w:t>
      </w:r>
      <w:r>
        <w:rPr>
          <w:rFonts w:hint="eastAsia" w:eastAsia="仿宋_GB2312"/>
          <w:sz w:val="32"/>
          <w:szCs w:val="32"/>
        </w:rPr>
        <w:t>10</w:t>
      </w:r>
      <w:r>
        <w:rPr>
          <w:rFonts w:eastAsia="仿宋_GB2312"/>
          <w:sz w:val="32"/>
          <w:szCs w:val="32"/>
        </w:rPr>
        <w:t>例，无死亡，发病率为5</w:t>
      </w:r>
      <w:r>
        <w:rPr>
          <w:rFonts w:hint="eastAsia" w:eastAsia="仿宋_GB2312"/>
          <w:sz w:val="32"/>
          <w:szCs w:val="32"/>
        </w:rPr>
        <w:t>12.07</w:t>
      </w:r>
      <w:r>
        <w:rPr>
          <w:rFonts w:eastAsia="仿宋_GB2312"/>
          <w:sz w:val="32"/>
          <w:szCs w:val="32"/>
        </w:rPr>
        <w:t>/十万。截止</w:t>
      </w:r>
      <w:r>
        <w:rPr>
          <w:rFonts w:hint="eastAsia" w:eastAsia="仿宋_GB2312"/>
          <w:sz w:val="32"/>
          <w:szCs w:val="32"/>
        </w:rPr>
        <w:t>目前</w:t>
      </w:r>
      <w:r>
        <w:rPr>
          <w:rFonts w:eastAsia="仿宋_GB2312"/>
          <w:sz w:val="32"/>
          <w:szCs w:val="32"/>
        </w:rPr>
        <w:t>网络直报确诊肺结核</w:t>
      </w:r>
      <w:r>
        <w:rPr>
          <w:rFonts w:hint="eastAsia" w:eastAsia="仿宋_GB2312"/>
          <w:sz w:val="32"/>
          <w:szCs w:val="32"/>
        </w:rPr>
        <w:t>109</w:t>
      </w:r>
      <w:r>
        <w:rPr>
          <w:rFonts w:eastAsia="仿宋_GB2312"/>
          <w:sz w:val="32"/>
          <w:szCs w:val="32"/>
        </w:rPr>
        <w:t>例，规范管理</w:t>
      </w:r>
      <w:r>
        <w:rPr>
          <w:rFonts w:hint="eastAsia" w:eastAsia="仿宋_GB2312"/>
          <w:sz w:val="32"/>
          <w:szCs w:val="32"/>
        </w:rPr>
        <w:t>20</w:t>
      </w:r>
      <w:r>
        <w:rPr>
          <w:rFonts w:eastAsia="仿宋_GB2312"/>
          <w:sz w:val="32"/>
          <w:szCs w:val="32"/>
        </w:rPr>
        <w:t>例，完成疗程1</w:t>
      </w:r>
      <w:r>
        <w:rPr>
          <w:rFonts w:hint="eastAsia" w:eastAsia="仿宋_GB2312"/>
          <w:sz w:val="32"/>
          <w:szCs w:val="32"/>
        </w:rPr>
        <w:t>4</w:t>
      </w:r>
      <w:r>
        <w:rPr>
          <w:rFonts w:eastAsia="仿宋_GB2312"/>
          <w:sz w:val="32"/>
          <w:szCs w:val="32"/>
        </w:rPr>
        <w:t>例。全县HIV监测</w:t>
      </w:r>
      <w:r>
        <w:rPr>
          <w:rFonts w:hint="eastAsia" w:eastAsia="仿宋_GB2312"/>
          <w:sz w:val="32"/>
          <w:szCs w:val="32"/>
        </w:rPr>
        <w:t>4383</w:t>
      </w:r>
      <w:r>
        <w:rPr>
          <w:rFonts w:eastAsia="仿宋_GB2312"/>
          <w:sz w:val="32"/>
          <w:szCs w:val="32"/>
        </w:rPr>
        <w:t>人次（包含：自愿监测、健康体检、高危人群干预），发现并确诊</w:t>
      </w:r>
      <w:r>
        <w:rPr>
          <w:rFonts w:hint="eastAsia" w:eastAsia="仿宋_GB2312"/>
          <w:sz w:val="32"/>
          <w:szCs w:val="32"/>
        </w:rPr>
        <w:t>HIV阳性4例</w:t>
      </w:r>
      <w:r>
        <w:rPr>
          <w:rFonts w:eastAsia="仿宋_GB2312"/>
          <w:sz w:val="32"/>
          <w:szCs w:val="32"/>
        </w:rPr>
        <w:t>；梅毒检测3</w:t>
      </w:r>
      <w:r>
        <w:rPr>
          <w:rFonts w:hint="eastAsia" w:eastAsia="仿宋_GB2312"/>
          <w:sz w:val="32"/>
          <w:szCs w:val="32"/>
        </w:rPr>
        <w:t>4</w:t>
      </w:r>
      <w:r>
        <w:rPr>
          <w:rFonts w:eastAsia="仿宋_GB2312"/>
          <w:sz w:val="32"/>
          <w:szCs w:val="32"/>
        </w:rPr>
        <w:t>人，其中7人阳性。对现症病人进行免费药物治疗和追踪随访管理。</w:t>
      </w:r>
      <w:r>
        <w:rPr>
          <w:rFonts w:eastAsia="仿宋_GB2312"/>
          <w:b/>
          <w:sz w:val="32"/>
          <w:szCs w:val="32"/>
        </w:rPr>
        <w:t>四是</w:t>
      </w:r>
      <w:r>
        <w:rPr>
          <w:rFonts w:eastAsia="仿宋_GB2312"/>
          <w:sz w:val="32"/>
          <w:szCs w:val="32"/>
        </w:rPr>
        <w:t>是做好慢性非传染性疾病防治监测及管理，截止</w:t>
      </w:r>
      <w:r>
        <w:rPr>
          <w:rFonts w:hint="eastAsia" w:eastAsia="仿宋_GB2312"/>
          <w:sz w:val="32"/>
          <w:szCs w:val="32"/>
        </w:rPr>
        <w:t>10</w:t>
      </w:r>
      <w:r>
        <w:rPr>
          <w:rFonts w:eastAsia="仿宋_GB2312"/>
          <w:sz w:val="32"/>
          <w:szCs w:val="32"/>
        </w:rPr>
        <w:t>月底，共发现高血压患者1293人，管理650人，管理率50%。共发现糖尿病77人，建档77人，建档率100%，管理77人，管理率100%。全县管理精神病人共140人，规范管理</w:t>
      </w:r>
      <w:r>
        <w:rPr>
          <w:rFonts w:hint="eastAsia" w:eastAsia="仿宋_GB2312"/>
          <w:sz w:val="32"/>
          <w:szCs w:val="32"/>
        </w:rPr>
        <w:t>106</w:t>
      </w:r>
      <w:r>
        <w:rPr>
          <w:rFonts w:eastAsia="仿宋_GB2312"/>
          <w:sz w:val="32"/>
          <w:szCs w:val="32"/>
        </w:rPr>
        <w:t>人，规范管理率</w:t>
      </w:r>
      <w:r>
        <w:rPr>
          <w:rFonts w:hint="eastAsia" w:eastAsia="仿宋_GB2312"/>
          <w:sz w:val="32"/>
          <w:szCs w:val="32"/>
        </w:rPr>
        <w:t>75</w:t>
      </w:r>
      <w:r>
        <w:rPr>
          <w:rFonts w:eastAsia="仿宋_GB2312"/>
          <w:sz w:val="32"/>
          <w:szCs w:val="32"/>
        </w:rPr>
        <w:t>%。</w:t>
      </w:r>
    </w:p>
    <w:p>
      <w:pPr>
        <w:ind w:firstLine="643" w:firstLineChars="200"/>
        <w:rPr>
          <w:rFonts w:eastAsia="仿宋_GB2312"/>
          <w:sz w:val="32"/>
          <w:szCs w:val="32"/>
        </w:rPr>
      </w:pPr>
      <w:r>
        <w:rPr>
          <w:rFonts w:hint="eastAsia" w:ascii="仿宋_GB2312" w:hAnsi="仿宋_GB2312" w:eastAsia="仿宋_GB2312" w:cs="仿宋_GB2312"/>
          <w:b/>
          <w:sz w:val="32"/>
          <w:szCs w:val="32"/>
        </w:rPr>
        <w:t>2.妇儿保、计生工作稳妥推进。</w:t>
      </w:r>
      <w:r>
        <w:rPr>
          <w:rFonts w:eastAsia="仿宋_GB2312"/>
          <w:sz w:val="32"/>
          <w:szCs w:val="32"/>
        </w:rPr>
        <w:t>2018年全年出生人数420人，出生率为9.61‰，同比增加11.2‰。死亡人数103人，死亡率为2.33‰，同比减少4.62‰。人口自然增长率为7.28‰，同比增加6.58‰。计划生育率为95.24%，同比增加7%。出生婴儿性别比为106.9：100。全县育龄妇女11186人；婴儿死亡率29.72‰，婴儿死亡14人；5岁以下儿童死亡率33.9‰，死亡16人；3岁以下儿童系统管理率84.7%，新生儿遗传代谢性疾病筛查率54.27%。住院分娩率88.9%，，孕产妇系统管理率79%；完成663人次孕产妇HIV、梅毒和乙肝咨询与检测，住院分娩人数425人，产时检测率完成率87.52%，无一例HIV阳性发现，一例梅毒感染孕产妇，已做了两次新生儿随访，新生儿初筛均为阴性；11例乙肝表面抗原阳性孕产妇，均及时注射乙肝免疫球蛋白，乙肝免疫球蛋白注射率100%。完成各项节育手术共计1</w:t>
      </w:r>
      <w:r>
        <w:rPr>
          <w:rFonts w:hint="eastAsia" w:eastAsia="仿宋_GB2312"/>
          <w:sz w:val="32"/>
          <w:szCs w:val="32"/>
        </w:rPr>
        <w:t>83</w:t>
      </w:r>
      <w:r>
        <w:rPr>
          <w:rFonts w:eastAsia="仿宋_GB2312"/>
          <w:sz w:val="32"/>
          <w:szCs w:val="32"/>
        </w:rPr>
        <w:t>例。完成免费婚前医学健康检查</w:t>
      </w:r>
      <w:r>
        <w:rPr>
          <w:rFonts w:hint="eastAsia" w:eastAsia="仿宋_GB2312"/>
          <w:sz w:val="32"/>
          <w:szCs w:val="32"/>
        </w:rPr>
        <w:t>74</w:t>
      </w:r>
      <w:r>
        <w:rPr>
          <w:rFonts w:eastAsia="仿宋_GB2312"/>
          <w:sz w:val="32"/>
          <w:szCs w:val="32"/>
        </w:rPr>
        <w:t>对；大力实施生育秩序整治行动结合实际制定《壤塘县生育秩序整治方案》并制作了《生育秩序工作手册》下发到包村包户干部及一对一联系专业技术人员和县卫计局中层以上干部，及时了解联系对象基本情况，方便痕迹化、动态化管理。积极进行宣传动员截至目前共落实长效节育措施2</w:t>
      </w:r>
      <w:r>
        <w:rPr>
          <w:rFonts w:hint="eastAsia" w:eastAsia="仿宋_GB2312"/>
          <w:sz w:val="32"/>
          <w:szCs w:val="32"/>
        </w:rPr>
        <w:t>97</w:t>
      </w:r>
      <w:r>
        <w:rPr>
          <w:rFonts w:eastAsia="仿宋_GB2312"/>
          <w:sz w:val="32"/>
          <w:szCs w:val="32"/>
        </w:rPr>
        <w:t>例。共召开2场计划生育业务工作培训会，全县12个乡镇和壤林局的分管领导及计生专干参加了培训会，增强了各乡镇开展计划生育工作的主动意识，为全面提高基层计划生育服务管理水平打下了基础。</w:t>
      </w:r>
    </w:p>
    <w:p>
      <w:pPr>
        <w:ind w:firstLine="643" w:firstLineChars="200"/>
        <w:rPr>
          <w:rFonts w:eastAsia="仿宋_GB2312"/>
          <w:sz w:val="32"/>
          <w:szCs w:val="32"/>
        </w:rPr>
      </w:pPr>
      <w:r>
        <w:rPr>
          <w:rFonts w:hint="eastAsia" w:ascii="仿宋_GB2312" w:hAnsi="仿宋_GB2312" w:eastAsia="仿宋_GB2312" w:cs="仿宋_GB2312"/>
          <w:b/>
          <w:sz w:val="32"/>
          <w:szCs w:val="32"/>
        </w:rPr>
        <w:t>3.民族医药发展迅速。</w:t>
      </w:r>
      <w:r>
        <w:rPr>
          <w:rFonts w:eastAsia="仿宋_GB2312"/>
          <w:sz w:val="32"/>
          <w:szCs w:val="32"/>
        </w:rPr>
        <w:t>结合义诊巡诊工作积极开展《中医药法》宣传。县中藏医院开设了治未病科、康复科，投入资金240万元在全县12个卫生院建立中医馆，配备先进慢病诊疗仪器，进一步完善了我县慢病康复服务体系，极大的满足了我县农牧民群众对慢病和高原病的诊疗需求，65岁以上老年人和0-36个月儿童中医药健康管理目标人群覆盖率达到50%以上。</w:t>
      </w:r>
    </w:p>
    <w:p>
      <w:pPr>
        <w:ind w:firstLine="643" w:firstLineChars="200"/>
        <w:rPr>
          <w:rFonts w:eastAsia="仿宋_GB2312"/>
          <w:sz w:val="32"/>
          <w:szCs w:val="32"/>
        </w:rPr>
      </w:pPr>
      <w:r>
        <w:rPr>
          <w:rFonts w:hint="eastAsia" w:ascii="仿宋_GB2312" w:hAnsi="仿宋_GB2312" w:eastAsia="仿宋_GB2312" w:cs="仿宋_GB2312"/>
          <w:b/>
          <w:sz w:val="32"/>
          <w:szCs w:val="32"/>
        </w:rPr>
        <w:t>4.义诊巡诊常态化开展。</w:t>
      </w:r>
      <w:r>
        <w:rPr>
          <w:rFonts w:eastAsia="仿宋_GB2312"/>
          <w:sz w:val="32"/>
          <w:szCs w:val="32"/>
        </w:rPr>
        <w:t>我县将义诊巡诊活动、全民健康体检等活动作为一项常态化工作不断推向深入，变被动服务为主动上门服务。截至目前全县共抽派医疗卫生骨干人员512人次，义诊覆盖了全县所有乡镇、村、寺庙。共计义诊15057人次、开具处方7549张、发放药品</w:t>
      </w:r>
      <w:r>
        <w:rPr>
          <w:rFonts w:hint="eastAsia" w:eastAsia="仿宋_GB2312"/>
          <w:sz w:val="32"/>
          <w:szCs w:val="32"/>
          <w:lang w:val="en-US" w:eastAsia="zh-CN"/>
        </w:rPr>
        <w:t>17.91</w:t>
      </w:r>
      <w:r>
        <w:rPr>
          <w:rFonts w:eastAsia="仿宋_GB2312"/>
          <w:sz w:val="32"/>
          <w:szCs w:val="32"/>
        </w:rPr>
        <w:t>万元，把对群众个体疾患的医疗救助关怀提升到对重点疾患人群的关怀和对全民健康的关心。</w:t>
      </w:r>
    </w:p>
    <w:p>
      <w:pPr>
        <w:ind w:firstLine="643" w:firstLineChars="200"/>
        <w:rPr>
          <w:rFonts w:eastAsia="仿宋_GB2312"/>
          <w:sz w:val="32"/>
          <w:szCs w:val="32"/>
        </w:rPr>
      </w:pPr>
      <w:r>
        <w:rPr>
          <w:rFonts w:hint="eastAsia" w:ascii="仿宋_GB2312" w:hAnsi="仿宋_GB2312" w:eastAsia="仿宋_GB2312" w:cs="仿宋_GB2312"/>
          <w:b/>
          <w:sz w:val="32"/>
          <w:szCs w:val="32"/>
        </w:rPr>
        <w:t>5.卫生执法力度不断加强。</w:t>
      </w:r>
      <w:r>
        <w:rPr>
          <w:rFonts w:eastAsia="仿宋_GB2312"/>
          <w:sz w:val="32"/>
          <w:szCs w:val="32"/>
        </w:rPr>
        <w:t>对全县公共场所卫生、医疗机构卫生、放射卫生、学校卫生、生活饮用水卫生的监督管理工作中，共出动执法人员648人次，监督检查216户次，下监督意见书200余份，办理行政处罚案件6件，处理罚金1.05万元；集中培训卫生协管员56人次，现场带教32人次；培训公共场所从业人员40余人次；开展各类宣传活动4次。</w:t>
      </w:r>
    </w:p>
    <w:p>
      <w:pPr>
        <w:ind w:firstLine="643" w:firstLineChars="200"/>
        <w:rPr>
          <w:rFonts w:eastAsia="仿宋_GB2312"/>
          <w:sz w:val="32"/>
          <w:szCs w:val="32"/>
        </w:rPr>
      </w:pPr>
      <w:r>
        <w:rPr>
          <w:rFonts w:hint="eastAsia" w:ascii="仿宋_GB2312" w:hAnsi="仿宋_GB2312" w:eastAsia="仿宋_GB2312" w:cs="仿宋_GB2312"/>
          <w:b/>
          <w:sz w:val="32"/>
          <w:szCs w:val="32"/>
        </w:rPr>
        <w:t>6.坚持不懈抓党建。</w:t>
      </w:r>
      <w:r>
        <w:rPr>
          <w:rFonts w:eastAsia="仿宋_GB2312"/>
          <w:sz w:val="32"/>
          <w:szCs w:val="32"/>
        </w:rPr>
        <w:t>2018年，我局深入贯彻党的十九大、习近平新时代中国特色社会主义思想和新一届全国“两会”精神，全面贯彻落实省委十一届二次全会推动治蜀兴川再上新台阶，加快建设美丽繁荣和谐四川会议精神，紧紧围绕县委、县政府“一城两县三地”建设、“四更壤塘”、“五个壤塘”等重点工作目标，深化改革,创新驱动,提升标准,狠抓落实,全方位、全周期维护和保障人民健康,统筹做好卫生计生各项工作。</w:t>
      </w:r>
    </w:p>
    <w:p>
      <w:pPr>
        <w:ind w:firstLine="640" w:firstLineChars="200"/>
        <w:rPr>
          <w:rFonts w:eastAsia="仿宋_GB2312"/>
          <w:sz w:val="32"/>
          <w:szCs w:val="32"/>
        </w:rPr>
      </w:pPr>
      <w:r>
        <w:rPr>
          <w:rFonts w:eastAsia="仿宋_GB2312"/>
          <w:sz w:val="32"/>
          <w:szCs w:val="32"/>
        </w:rPr>
        <w:t>年初我局召开了专题党建工作会议，制订了工作计划，继续深化“两学一做”，认真落实“三会一课”制度，将学习党“十九大”报告作为一项重要政治任务来抓。深入学习贯彻党的十九大精神，把党的十九大精神贯穿到卫生计生各项工作中。截至目前召开党员大会3次，召开支委会7次，举行党课3次。</w:t>
      </w:r>
    </w:p>
    <w:p>
      <w:pPr>
        <w:ind w:firstLine="640" w:firstLineChars="200"/>
        <w:rPr>
          <w:rFonts w:hint="eastAsia" w:ascii="仿宋" w:hAnsi="仿宋" w:eastAsia="仿宋"/>
          <w:bCs/>
          <w:color w:val="000000"/>
          <w:sz w:val="32"/>
          <w:szCs w:val="32"/>
        </w:rPr>
      </w:pPr>
      <w:r>
        <w:rPr>
          <w:rFonts w:eastAsia="仿宋_GB2312"/>
          <w:sz w:val="32"/>
          <w:szCs w:val="32"/>
        </w:rPr>
        <w:t>5月我局在全系统开展“不忘初心再扬帆”解放思想大讨论活动，认真分析和把握当前卫计改革发展面临的机遇和挑战，深入查找和整改各级领导干部和广大党员在理想信念、思想观念、工作作风、发展本领上存在的问题和不足，牢固树立新发展理念，积极践行新时期卫计工作方针，重整行装再出发，艰苦奋斗再创业，在新的历史起点上奋力谱写壤塘卫计改革发展新篇章。</w:t>
      </w:r>
    </w:p>
    <w:p>
      <w:pPr>
        <w:pStyle w:val="3"/>
        <w:rPr>
          <w:rStyle w:val="25"/>
          <w:b w:val="0"/>
          <w:bCs w:val="0"/>
        </w:rPr>
      </w:pPr>
      <w:bookmarkStart w:id="9" w:name="_Toc15396601"/>
      <w:bookmarkStart w:id="10" w:name="_Toc15377200"/>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9"/>
      <w:bookmarkEnd w:id="10"/>
    </w:p>
    <w:p>
      <w:pPr>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壤塘县卫生和计划生育局</w:t>
      </w:r>
      <w:r>
        <w:rPr>
          <w:rFonts w:hint="eastAsia" w:ascii="仿宋_GB2312" w:hAnsi="仿宋_GB2312" w:eastAsia="仿宋_GB2312" w:cs="仿宋_GB2312"/>
          <w:sz w:val="32"/>
          <w:szCs w:val="32"/>
        </w:rPr>
        <w:t>下属二级单位</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个，其中行政单位</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个，参照公务员法管理的事业单位</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sz w:val="32"/>
          <w:szCs w:val="32"/>
        </w:rPr>
        <w:t>个，其他事业单位</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个。</w:t>
      </w:r>
    </w:p>
    <w:p>
      <w:pPr>
        <w:pStyle w:val="5"/>
        <w:adjustRightInd w:val="0"/>
        <w:snapToGrid w:val="0"/>
        <w:spacing w:before="93" w:line="600" w:lineRule="exact"/>
        <w:ind w:firstLine="672" w:firstLineChars="210"/>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auto"/>
          <w:sz w:val="32"/>
          <w:szCs w:val="32"/>
        </w:rPr>
        <w:t>纳入</w:t>
      </w:r>
      <w:r>
        <w:rPr>
          <w:rFonts w:hint="eastAsia" w:ascii="仿宋_GB2312" w:hAnsi="仿宋_GB2312" w:eastAsia="仿宋_GB2312" w:cs="仿宋_GB2312"/>
          <w:color w:val="auto"/>
          <w:sz w:val="32"/>
          <w:szCs w:val="32"/>
          <w:lang w:eastAsia="zh-CN"/>
        </w:rPr>
        <w:t>壤塘县卫生和计划生育局</w:t>
      </w:r>
      <w:r>
        <w:rPr>
          <w:rFonts w:hint="eastAsia" w:ascii="仿宋_GB2312" w:hAnsi="仿宋_GB2312" w:eastAsia="仿宋_GB2312" w:cs="仿宋_GB2312"/>
          <w:color w:val="auto"/>
          <w:sz w:val="32"/>
          <w:szCs w:val="32"/>
        </w:rPr>
        <w:t>2018年度部门决算编制范围的二级预算单位包括：包括壤塘县卫生和计划生育监督执法大队、壤塘县疾病预防控制中心、壤塘县妇幼保健计划生育服务中心、壤塘县人民医院、壤塘县藏医院、壤塘县上寨中心卫生院、壤塘县蒲西卫生院、壤塘县宗科乡卫生院、壤塘县石里乡卫生院、壤塘县吾依乡卫生院、壤塘县岗木达乡卫生院、壤塘县上杜柯乡卫生院、壤塘县南木达乡卫生院、茸木达乡卫生院、尕多乡卫生院、中壤塘乡卫生院、上壤塘乡卫生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壤塘县壤柯镇社区卫生服务中心；</w:t>
      </w:r>
    </w:p>
    <w:p>
      <w:pPr>
        <w:widowControl/>
        <w:jc w:val="left"/>
        <w:rPr>
          <w:rFonts w:ascii="仿宋" w:hAnsi="仿宋" w:eastAsia="仿宋"/>
          <w:color w:val="FF0000"/>
          <w:kern w:val="0"/>
          <w:sz w:val="32"/>
          <w:szCs w:val="32"/>
        </w:rPr>
      </w:pPr>
      <w:r>
        <w:rPr>
          <w:rFonts w:ascii="仿宋" w:hAnsi="仿宋" w:eastAsia="仿宋"/>
          <w:color w:val="FF0000"/>
          <w:sz w:val="32"/>
          <w:szCs w:val="32"/>
        </w:rPr>
        <w:br w:type="page"/>
      </w:r>
    </w:p>
    <w:p>
      <w:pPr>
        <w:pStyle w:val="2"/>
        <w:ind w:right="440"/>
        <w:jc w:val="right"/>
        <w:rPr>
          <w:rStyle w:val="24"/>
          <w:rFonts w:ascii="黑体" w:hAnsi="黑体" w:eastAsia="黑体"/>
          <w:b w:val="0"/>
          <w:bCs w:val="0"/>
        </w:rPr>
      </w:pPr>
      <w:r>
        <w:rPr>
          <w:rFonts w:hint="eastAsia" w:ascii="黑体" w:hAnsi="黑体" w:eastAsia="黑体"/>
          <w:b w:val="0"/>
          <w:color w:val="000000"/>
        </w:rPr>
        <w:t>第二部分</w:t>
      </w:r>
      <w:r>
        <w:rPr>
          <w:rStyle w:val="24"/>
          <w:rFonts w:hint="eastAsia" w:ascii="黑体" w:hAnsi="黑体" w:eastAsia="黑体"/>
          <w:b w:val="0"/>
          <w:bCs w:val="0"/>
        </w:rPr>
        <w:t>2018年度部门决算情况说明</w:t>
      </w:r>
      <w:bookmarkEnd w:id="3"/>
      <w:bookmarkEnd w:id="4"/>
    </w:p>
    <w:p/>
    <w:p>
      <w:pPr>
        <w:pStyle w:val="23"/>
        <w:numPr>
          <w:ilvl w:val="0"/>
          <w:numId w:val="1"/>
        </w:numPr>
        <w:spacing w:line="600" w:lineRule="exact"/>
        <w:ind w:firstLineChars="0"/>
        <w:outlineLvl w:val="1"/>
        <w:rPr>
          <w:rStyle w:val="25"/>
          <w:rFonts w:ascii="黑体" w:hAnsi="黑体" w:eastAsia="黑体"/>
          <w:b w:val="0"/>
        </w:rPr>
      </w:pPr>
      <w:bookmarkStart w:id="11" w:name="_Toc15396603"/>
      <w:bookmarkStart w:id="12" w:name="_Toc15377205"/>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11"/>
      <w:bookmarkEnd w:id="12"/>
    </w:p>
    <w:p>
      <w:pPr>
        <w:spacing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2018年度收、支总计244.35万元。</w:t>
      </w:r>
      <w:r>
        <w:rPr>
          <w:rFonts w:hint="eastAsia" w:ascii="仿宋_GB2312" w:hAnsi="仿宋_GB2312" w:eastAsia="仿宋_GB2312" w:cs="仿宋_GB2312"/>
          <w:color w:val="000000"/>
          <w:sz w:val="32"/>
          <w:szCs w:val="32"/>
          <w:lang w:val="en-US" w:eastAsia="zh-CN"/>
        </w:rPr>
        <w:t>本单位为2018年新增单位.</w:t>
      </w:r>
    </w:p>
    <w:p>
      <w:pPr>
        <w:spacing w:line="600" w:lineRule="exact"/>
        <w:rPr>
          <w:rFonts w:ascii="仿宋" w:hAnsi="仿宋" w:eastAsia="仿宋"/>
          <w:color w:val="000000" w:themeColor="text1"/>
          <w:sz w:val="32"/>
          <w:szCs w:val="32"/>
          <w14:textFill>
            <w14:solidFill>
              <w14:schemeClr w14:val="tx1"/>
            </w14:solidFill>
          </w14:textFill>
        </w:rPr>
      </w:pPr>
      <w:r>
        <w:drawing>
          <wp:anchor distT="0" distB="0" distL="114300" distR="114300" simplePos="0" relativeHeight="251658240" behindDoc="0" locked="0" layoutInCell="1" allowOverlap="1">
            <wp:simplePos x="0" y="0"/>
            <wp:positionH relativeFrom="column">
              <wp:posOffset>204470</wp:posOffset>
            </wp:positionH>
            <wp:positionV relativeFrom="paragraph">
              <wp:posOffset>88900</wp:posOffset>
            </wp:positionV>
            <wp:extent cx="4963160" cy="2934335"/>
            <wp:effectExtent l="4445" t="4445" r="23495" b="13970"/>
            <wp:wrapSquare wrapText="bothSides"/>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23"/>
        <w:numPr>
          <w:ilvl w:val="0"/>
          <w:numId w:val="0"/>
        </w:numPr>
        <w:spacing w:line="600" w:lineRule="exact"/>
        <w:outlineLvl w:val="1"/>
        <w:rPr>
          <w:rStyle w:val="25"/>
          <w:rFonts w:ascii="黑体" w:hAnsi="黑体" w:eastAsia="黑体"/>
          <w:b w:val="0"/>
        </w:rPr>
      </w:pPr>
      <w:bookmarkStart w:id="13" w:name="_Toc15396604"/>
      <w:bookmarkStart w:id="14" w:name="_Toc15377206"/>
    </w:p>
    <w:p>
      <w:pPr>
        <w:pStyle w:val="23"/>
        <w:numPr>
          <w:ilvl w:val="0"/>
          <w:numId w:val="1"/>
        </w:numPr>
        <w:spacing w:line="600" w:lineRule="exact"/>
        <w:ind w:firstLineChars="0"/>
        <w:outlineLvl w:val="1"/>
        <w:rPr>
          <w:rStyle w:val="25"/>
          <w:rFonts w:ascii="黑体" w:hAnsi="黑体" w:eastAsia="黑体"/>
          <w:b w:val="0"/>
        </w:rPr>
      </w:pPr>
      <w:r>
        <w:rPr>
          <w:rFonts w:hint="eastAsia" w:ascii="黑体" w:hAnsi="黑体" w:eastAsia="黑体"/>
          <w:color w:val="000000"/>
          <w:sz w:val="32"/>
          <w:szCs w:val="32"/>
        </w:rPr>
        <w:t>收</w:t>
      </w:r>
      <w:r>
        <w:rPr>
          <w:rStyle w:val="25"/>
          <w:rFonts w:hint="eastAsia" w:ascii="黑体" w:hAnsi="黑体" w:eastAsia="黑体"/>
          <w:b w:val="0"/>
        </w:rPr>
        <w:t>入决算情况说明</w:t>
      </w:r>
      <w:bookmarkEnd w:id="13"/>
      <w:bookmarkEnd w:id="14"/>
    </w:p>
    <w:p>
      <w:pPr>
        <w:spacing w:line="600" w:lineRule="exact"/>
        <w:ind w:firstLine="640" w:firstLineChars="200"/>
        <w:outlineLvl w:val="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2018年本年收入合计216.35万元，其中：一般公共预算财政拨款收入216.35万元，占</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w:t>
      </w:r>
    </w:p>
    <w:p>
      <w:pPr>
        <w:spacing w:line="600" w:lineRule="exact"/>
        <w:ind w:firstLine="420" w:firstLineChars="200"/>
        <w:outlineLvl w:val="1"/>
        <w:rPr>
          <w:rFonts w:hint="eastAsia" w:ascii="仿宋" w:hAnsi="仿宋" w:eastAsia="仿宋"/>
          <w:color w:val="000000"/>
          <w:sz w:val="32"/>
          <w:szCs w:val="32"/>
        </w:rPr>
      </w:pPr>
      <w:r>
        <w:drawing>
          <wp:anchor distT="0" distB="0" distL="114300" distR="114300" simplePos="0" relativeHeight="251659264" behindDoc="0" locked="0" layoutInCell="1" allowOverlap="1">
            <wp:simplePos x="0" y="0"/>
            <wp:positionH relativeFrom="column">
              <wp:posOffset>204470</wp:posOffset>
            </wp:positionH>
            <wp:positionV relativeFrom="paragraph">
              <wp:posOffset>249555</wp:posOffset>
            </wp:positionV>
            <wp:extent cx="4182110" cy="2448560"/>
            <wp:effectExtent l="4445" t="5080" r="23495" b="22860"/>
            <wp:wrapSquare wrapText="bothSides"/>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outlineLvl w:val="1"/>
        <w:rPr>
          <w:rFonts w:hint="eastAsia" w:ascii="仿宋" w:hAnsi="仿宋" w:eastAsia="仿宋"/>
          <w:color w:val="000000"/>
          <w:sz w:val="32"/>
          <w:szCs w:val="32"/>
        </w:rPr>
      </w:pPr>
    </w:p>
    <w:p>
      <w:pPr>
        <w:spacing w:line="600" w:lineRule="exact"/>
        <w:ind w:firstLine="640" w:firstLineChars="200"/>
        <w:outlineLvl w:val="1"/>
        <w:rPr>
          <w:rFonts w:hint="eastAsia" w:ascii="仿宋" w:hAnsi="仿宋" w:eastAsia="仿宋"/>
          <w:color w:val="000000"/>
          <w:sz w:val="32"/>
          <w:szCs w:val="32"/>
        </w:rPr>
      </w:pPr>
    </w:p>
    <w:p>
      <w:pPr>
        <w:spacing w:line="600" w:lineRule="exact"/>
        <w:rPr>
          <w:rFonts w:ascii="仿宋_GB2312" w:eastAsia="仿宋_GB2312"/>
          <w:color w:val="FF0000"/>
          <w:sz w:val="32"/>
          <w:szCs w:val="32"/>
        </w:rPr>
      </w:pPr>
    </w:p>
    <w:p>
      <w:pPr>
        <w:pStyle w:val="23"/>
        <w:numPr>
          <w:ilvl w:val="0"/>
          <w:numId w:val="1"/>
        </w:numPr>
        <w:spacing w:line="600" w:lineRule="exact"/>
        <w:ind w:firstLineChars="0"/>
        <w:outlineLvl w:val="1"/>
        <w:rPr>
          <w:rStyle w:val="25"/>
          <w:rFonts w:ascii="黑体" w:hAnsi="黑体" w:eastAsia="黑体"/>
          <w:b w:val="0"/>
        </w:rPr>
      </w:pPr>
      <w:bookmarkStart w:id="15" w:name="_Toc15396605"/>
      <w:bookmarkStart w:id="16" w:name="_Toc15377207"/>
      <w:r>
        <w:rPr>
          <w:rFonts w:hint="eastAsia" w:ascii="黑体" w:hAnsi="黑体" w:eastAsia="黑体"/>
          <w:color w:val="000000"/>
          <w:sz w:val="32"/>
          <w:szCs w:val="32"/>
        </w:rPr>
        <w:t>支</w:t>
      </w:r>
      <w:r>
        <w:rPr>
          <w:rStyle w:val="25"/>
          <w:rFonts w:hint="eastAsia" w:ascii="黑体" w:hAnsi="黑体" w:eastAsia="黑体"/>
          <w:b w:val="0"/>
        </w:rPr>
        <w:t>出决算情况说明</w:t>
      </w:r>
      <w:bookmarkEnd w:id="15"/>
      <w:bookmarkEnd w:id="16"/>
    </w:p>
    <w:p>
      <w:pPr>
        <w:spacing w:line="600" w:lineRule="exact"/>
        <w:ind w:firstLine="640"/>
        <w:rPr>
          <w:rFonts w:ascii="仿宋" w:hAnsi="仿宋" w:eastAsia="仿宋"/>
          <w:color w:val="000000"/>
          <w:sz w:val="32"/>
          <w:szCs w:val="32"/>
          <w:shd w:val="pct10" w:color="auto" w:fill="FFFFFF"/>
        </w:rPr>
      </w:pPr>
      <w:r>
        <w:rPr>
          <w:rFonts w:hint="eastAsia" w:ascii="仿宋_GB2312" w:hAnsi="仿宋_GB2312" w:eastAsia="仿宋_GB2312" w:cs="仿宋_GB2312"/>
          <w:color w:val="000000"/>
          <w:sz w:val="32"/>
          <w:szCs w:val="32"/>
        </w:rPr>
        <w:t>2018年本年支出合计244.35万元，其中：基本支出244.35万元，占</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w:t>
      </w:r>
    </w:p>
    <w:p>
      <w:pPr>
        <w:spacing w:line="600" w:lineRule="exact"/>
        <w:ind w:firstLine="420" w:firstLineChars="200"/>
        <w:rPr>
          <w:rFonts w:ascii="仿宋" w:hAnsi="仿宋" w:eastAsia="仿宋"/>
          <w:color w:val="000000" w:themeColor="text1"/>
          <w:sz w:val="32"/>
          <w:szCs w:val="32"/>
          <w14:textFill>
            <w14:solidFill>
              <w14:schemeClr w14:val="tx1"/>
            </w14:solidFill>
          </w14:textFill>
        </w:rPr>
      </w:pPr>
      <w:r>
        <w:drawing>
          <wp:anchor distT="0" distB="0" distL="114300" distR="114300" simplePos="0" relativeHeight="251660288" behindDoc="0" locked="0" layoutInCell="1" allowOverlap="1">
            <wp:simplePos x="0" y="0"/>
            <wp:positionH relativeFrom="column">
              <wp:posOffset>99695</wp:posOffset>
            </wp:positionH>
            <wp:positionV relativeFrom="paragraph">
              <wp:posOffset>661670</wp:posOffset>
            </wp:positionV>
            <wp:extent cx="4572000" cy="2743200"/>
            <wp:effectExtent l="4445" t="4445" r="14605" b="14605"/>
            <wp:wrapSquare wrapText="bothSides"/>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Fonts w:hint="eastAsia" w:ascii="黑体" w:hAnsi="黑体" w:eastAsia="黑体"/>
          <w:color w:val="000000"/>
          <w:sz w:val="32"/>
          <w:szCs w:val="32"/>
        </w:rPr>
      </w:pPr>
      <w:bookmarkStart w:id="17" w:name="_Toc15377208"/>
      <w:bookmarkStart w:id="18" w:name="_Toc15396606"/>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Style w:val="25"/>
          <w:rFonts w:ascii="黑体" w:hAnsi="黑体" w:eastAsia="黑体"/>
          <w:b w:val="0"/>
        </w:rPr>
      </w:pPr>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17"/>
      <w:bookmarkEnd w:id="18"/>
    </w:p>
    <w:p>
      <w:pPr>
        <w:spacing w:line="600" w:lineRule="exact"/>
        <w:ind w:firstLine="640" w:firstLineChars="200"/>
        <w:rPr>
          <w:rFonts w:hint="default" w:ascii="仿宋" w:hAnsi="仿宋" w:eastAsia="仿宋"/>
          <w:color w:val="000000"/>
          <w:sz w:val="32"/>
          <w:szCs w:val="32"/>
          <w:lang w:val="en-US" w:eastAsia="zh-CN"/>
        </w:rPr>
      </w:pPr>
      <w:r>
        <w:rPr>
          <w:rFonts w:hint="eastAsia" w:ascii="仿宋_GB2312" w:hAnsi="仿宋_GB2312" w:eastAsia="仿宋_GB2312" w:cs="仿宋_GB2312"/>
          <w:color w:val="000000"/>
          <w:sz w:val="32"/>
          <w:szCs w:val="32"/>
        </w:rPr>
        <w:t>2018年财政拨款收、支总计</w:t>
      </w:r>
      <w:r>
        <w:rPr>
          <w:rFonts w:hint="eastAsia" w:ascii="仿宋_GB2312" w:hAnsi="仿宋_GB2312" w:eastAsia="仿宋_GB2312" w:cs="仿宋_GB2312"/>
          <w:color w:val="000000"/>
          <w:sz w:val="32"/>
          <w:szCs w:val="32"/>
          <w:lang w:val="en-US" w:eastAsia="zh-CN"/>
        </w:rPr>
        <w:t>244.35</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val="en-US" w:eastAsia="zh-CN"/>
        </w:rPr>
        <w:t>本单位为2018年新增单位</w:t>
      </w:r>
      <w:r>
        <w:rPr>
          <w:rFonts w:hint="eastAsia" w:ascii="仿宋_GB2312" w:hAnsi="仿宋_GB2312" w:eastAsia="仿宋_GB2312" w:cs="仿宋_GB2312"/>
          <w:color w:val="000000"/>
          <w:sz w:val="32"/>
          <w:szCs w:val="32"/>
        </w:rPr>
        <w:t>。</w:t>
      </w: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r>
        <w:drawing>
          <wp:anchor distT="0" distB="0" distL="114300" distR="114300" simplePos="0" relativeHeight="251661312" behindDoc="0" locked="0" layoutInCell="1" allowOverlap="1">
            <wp:simplePos x="0" y="0"/>
            <wp:positionH relativeFrom="column">
              <wp:posOffset>534670</wp:posOffset>
            </wp:positionH>
            <wp:positionV relativeFrom="paragraph">
              <wp:posOffset>113030</wp:posOffset>
            </wp:positionV>
            <wp:extent cx="4572000" cy="2743200"/>
            <wp:effectExtent l="4445" t="4445" r="14605" b="14605"/>
            <wp:wrapSquare wrapText="bothSides"/>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5"/>
          <w:rFonts w:ascii="黑体" w:hAnsi="黑体" w:eastAsia="黑体"/>
          <w:b w:val="0"/>
        </w:rPr>
      </w:pPr>
      <w:bookmarkStart w:id="19" w:name="_Toc15377209"/>
      <w:bookmarkStart w:id="20"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19"/>
      <w:bookmarkEnd w:id="20"/>
    </w:p>
    <w:p>
      <w:pPr>
        <w:spacing w:line="600" w:lineRule="exact"/>
        <w:ind w:firstLine="643" w:firstLineChars="200"/>
        <w:outlineLvl w:val="2"/>
        <w:rPr>
          <w:rFonts w:hint="eastAsia" w:ascii="楷体_GB2312" w:hAnsi="楷体_GB2312" w:eastAsia="楷体_GB2312" w:cs="楷体_GB2312"/>
          <w:b/>
          <w:color w:val="000000"/>
          <w:sz w:val="32"/>
          <w:szCs w:val="32"/>
        </w:rPr>
      </w:pPr>
      <w:bookmarkStart w:id="21" w:name="_Toc15377210"/>
      <w:r>
        <w:rPr>
          <w:rFonts w:hint="eastAsia" w:ascii="楷体_GB2312" w:hAnsi="楷体_GB2312" w:eastAsia="楷体_GB2312" w:cs="楷体_GB2312"/>
          <w:b/>
          <w:color w:val="000000"/>
          <w:sz w:val="32"/>
          <w:szCs w:val="32"/>
        </w:rPr>
        <w:t>（一）一般公共预算财政拨款支出决算总体情况</w:t>
      </w:r>
      <w:bookmarkEnd w:id="21"/>
    </w:p>
    <w:p>
      <w:pPr>
        <w:spacing w:line="600" w:lineRule="exact"/>
        <w:ind w:firstLine="640" w:firstLineChars="200"/>
        <w:rPr>
          <w:rFonts w:hint="default" w:ascii="仿宋" w:hAnsi="仿宋" w:eastAsia="仿宋"/>
          <w:color w:val="000000"/>
          <w:sz w:val="32"/>
          <w:szCs w:val="32"/>
          <w:lang w:val="en-US" w:eastAsia="zh-CN"/>
        </w:rPr>
      </w:pPr>
      <w:r>
        <w:rPr>
          <w:rFonts w:hint="eastAsia" w:ascii="仿宋_GB2312" w:hAnsi="仿宋_GB2312" w:eastAsia="仿宋_GB2312" w:cs="仿宋_GB2312"/>
          <w:color w:val="000000"/>
          <w:sz w:val="32"/>
          <w:szCs w:val="32"/>
        </w:rPr>
        <w:t>2018年一般公共预算财政拨款支出244.35万元，占本年支出合计的</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本单位为2018年新增单位</w:t>
      </w:r>
      <w:r>
        <w:rPr>
          <w:rFonts w:hint="eastAsia" w:ascii="仿宋_GB2312" w:hAnsi="仿宋_GB2312" w:eastAsia="仿宋_GB2312" w:cs="仿宋_GB2312"/>
          <w:color w:val="000000"/>
          <w:sz w:val="32"/>
          <w:szCs w:val="32"/>
        </w:rPr>
        <w:t>。</w:t>
      </w:r>
    </w:p>
    <w:p>
      <w:pPr>
        <w:spacing w:line="600" w:lineRule="exact"/>
        <w:ind w:firstLine="420" w:firstLineChars="200"/>
        <w:outlineLvl w:val="2"/>
        <w:rPr>
          <w:rFonts w:hint="eastAsia" w:ascii="仿宋" w:hAnsi="仿宋" w:eastAsia="仿宋"/>
          <w:b/>
          <w:color w:val="000000"/>
          <w:sz w:val="32"/>
          <w:szCs w:val="32"/>
        </w:rPr>
      </w:pPr>
      <w:bookmarkStart w:id="22" w:name="_Toc15377211"/>
      <w:r>
        <w:drawing>
          <wp:anchor distT="0" distB="0" distL="114300" distR="114300" simplePos="0" relativeHeight="251662336" behindDoc="0" locked="0" layoutInCell="1" allowOverlap="1">
            <wp:simplePos x="0" y="0"/>
            <wp:positionH relativeFrom="column">
              <wp:posOffset>366395</wp:posOffset>
            </wp:positionH>
            <wp:positionV relativeFrom="paragraph">
              <wp:posOffset>138430</wp:posOffset>
            </wp:positionV>
            <wp:extent cx="4572000" cy="3000375"/>
            <wp:effectExtent l="4445" t="4445" r="14605" b="5080"/>
            <wp:wrapSquare wrapText="bothSides"/>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3" w:firstLineChars="200"/>
        <w:outlineLvl w:val="2"/>
        <w:rPr>
          <w:rFonts w:hint="eastAsia" w:ascii="仿宋" w:hAnsi="仿宋" w:eastAsia="仿宋"/>
          <w:b/>
          <w:color w:val="000000"/>
          <w:sz w:val="32"/>
          <w:szCs w:val="32"/>
        </w:rPr>
      </w:pPr>
    </w:p>
    <w:p>
      <w:pPr>
        <w:spacing w:line="600" w:lineRule="exact"/>
        <w:ind w:firstLine="643" w:firstLineChars="200"/>
        <w:outlineLvl w:val="2"/>
        <w:rPr>
          <w:rFonts w:hint="eastAsia" w:ascii="仿宋" w:hAnsi="仿宋" w:eastAsia="仿宋"/>
          <w:b/>
          <w:color w:val="000000"/>
          <w:sz w:val="32"/>
          <w:szCs w:val="32"/>
        </w:rPr>
      </w:pPr>
    </w:p>
    <w:p>
      <w:pPr>
        <w:spacing w:line="600" w:lineRule="exact"/>
        <w:ind w:firstLine="643" w:firstLineChars="200"/>
        <w:outlineLvl w:val="2"/>
        <w:rPr>
          <w:rFonts w:hint="eastAsia" w:ascii="仿宋" w:hAnsi="仿宋" w:eastAsia="仿宋"/>
          <w:b/>
          <w:color w:val="000000"/>
          <w:sz w:val="32"/>
          <w:szCs w:val="32"/>
        </w:rPr>
      </w:pPr>
    </w:p>
    <w:p>
      <w:pPr>
        <w:spacing w:line="600" w:lineRule="exact"/>
        <w:ind w:firstLine="643" w:firstLineChars="200"/>
        <w:outlineLvl w:val="2"/>
        <w:rPr>
          <w:rFonts w:hint="eastAsia" w:ascii="仿宋" w:hAnsi="仿宋" w:eastAsia="仿宋"/>
          <w:b/>
          <w:color w:val="000000"/>
          <w:sz w:val="32"/>
          <w:szCs w:val="32"/>
        </w:rPr>
      </w:pPr>
    </w:p>
    <w:p>
      <w:pPr>
        <w:spacing w:line="600" w:lineRule="exact"/>
        <w:ind w:firstLine="643" w:firstLineChars="200"/>
        <w:outlineLvl w:val="2"/>
        <w:rPr>
          <w:rFonts w:hint="eastAsia" w:ascii="仿宋" w:hAnsi="仿宋" w:eastAsia="仿宋"/>
          <w:b/>
          <w:color w:val="000000"/>
          <w:sz w:val="32"/>
          <w:szCs w:val="32"/>
        </w:rPr>
      </w:pPr>
    </w:p>
    <w:p>
      <w:pPr>
        <w:spacing w:line="600" w:lineRule="exact"/>
        <w:ind w:firstLine="643" w:firstLineChars="200"/>
        <w:outlineLvl w:val="2"/>
        <w:rPr>
          <w:rFonts w:hint="eastAsia" w:ascii="仿宋" w:hAnsi="仿宋" w:eastAsia="仿宋"/>
          <w:b/>
          <w:color w:val="000000"/>
          <w:sz w:val="32"/>
          <w:szCs w:val="32"/>
        </w:rPr>
      </w:pPr>
    </w:p>
    <w:p>
      <w:pPr>
        <w:spacing w:line="600" w:lineRule="exact"/>
        <w:ind w:firstLine="643" w:firstLineChars="200"/>
        <w:outlineLvl w:val="2"/>
        <w:rPr>
          <w:rFonts w:hint="eastAsia" w:ascii="仿宋" w:hAnsi="仿宋" w:eastAsia="仿宋"/>
          <w:b/>
          <w:color w:val="000000"/>
          <w:sz w:val="32"/>
          <w:szCs w:val="32"/>
        </w:rPr>
      </w:pPr>
    </w:p>
    <w:p>
      <w:pPr>
        <w:spacing w:line="600" w:lineRule="exact"/>
        <w:ind w:left="319" w:leftChars="152" w:firstLine="321" w:firstLineChars="100"/>
        <w:outlineLvl w:val="2"/>
        <w:rPr>
          <w:rFonts w:hint="eastAsia" w:ascii="楷体_GB2312" w:hAnsi="楷体_GB2312" w:eastAsia="楷体_GB2312" w:cs="楷体_GB2312"/>
          <w:b/>
          <w:color w:val="000000"/>
          <w:sz w:val="32"/>
          <w:szCs w:val="32"/>
        </w:rPr>
      </w:pPr>
      <w:r>
        <w:rPr>
          <w:rFonts w:hint="eastAsia" w:ascii="仿宋" w:hAnsi="仿宋" w:eastAsia="仿宋"/>
          <w:b/>
          <w:color w:val="000000"/>
          <w:sz w:val="32"/>
          <w:szCs w:val="32"/>
        </w:rPr>
        <w:t>（</w:t>
      </w:r>
      <w:r>
        <w:rPr>
          <w:rFonts w:hint="eastAsia" w:ascii="楷体_GB2312" w:hAnsi="楷体_GB2312" w:eastAsia="楷体_GB2312" w:cs="楷体_GB2312"/>
          <w:b/>
          <w:color w:val="000000"/>
          <w:sz w:val="32"/>
          <w:szCs w:val="32"/>
          <w:lang w:eastAsia="zh-CN"/>
        </w:rPr>
        <w:t>（</w:t>
      </w:r>
      <w:r>
        <w:rPr>
          <w:rFonts w:hint="eastAsia" w:ascii="楷体_GB2312" w:hAnsi="楷体_GB2312" w:eastAsia="楷体_GB2312" w:cs="楷体_GB2312"/>
          <w:b/>
          <w:color w:val="000000"/>
          <w:sz w:val="32"/>
          <w:szCs w:val="32"/>
        </w:rPr>
        <w:t>二）一般公共预算财政拨款支出决算结构情况</w:t>
      </w:r>
      <w:bookmarkEnd w:id="22"/>
    </w:p>
    <w:p>
      <w:pPr>
        <w:spacing w:line="600" w:lineRule="exact"/>
        <w:ind w:firstLine="640"/>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sz w:val="32"/>
          <w:szCs w:val="32"/>
        </w:rPr>
        <w:t>2018年一般公共预算财</w:t>
      </w:r>
      <w:r>
        <w:rPr>
          <w:rFonts w:hint="eastAsia" w:ascii="仿宋_GB2312" w:hAnsi="仿宋_GB2312" w:eastAsia="仿宋_GB2312" w:cs="仿宋_GB2312"/>
          <w:b w:val="0"/>
          <w:bCs w:val="0"/>
          <w:color w:val="000000" w:themeColor="text1"/>
          <w:sz w:val="32"/>
          <w:szCs w:val="32"/>
          <w14:textFill>
            <w14:solidFill>
              <w14:schemeClr w14:val="tx1"/>
            </w14:solidFill>
          </w14:textFill>
        </w:rPr>
        <w:t>政拨款支出</w:t>
      </w:r>
      <w:r>
        <w:rPr>
          <w:rFonts w:hint="eastAsia" w:ascii="仿宋_GB2312" w:hAnsi="仿宋_GB2312" w:eastAsia="仿宋_GB2312" w:cs="仿宋_GB2312"/>
          <w:b w:val="0"/>
          <w:bCs w:val="0"/>
          <w:color w:val="000000"/>
          <w:sz w:val="32"/>
          <w:szCs w:val="32"/>
        </w:rPr>
        <w:t>244.35</w:t>
      </w:r>
      <w:r>
        <w:rPr>
          <w:rFonts w:hint="eastAsia" w:ascii="仿宋_GB2312" w:hAnsi="仿宋_GB2312" w:eastAsia="仿宋_GB2312" w:cs="仿宋_GB2312"/>
          <w:b w:val="0"/>
          <w:bCs w:val="0"/>
          <w:color w:val="000000" w:themeColor="text1"/>
          <w:sz w:val="32"/>
          <w:szCs w:val="32"/>
          <w14:textFill>
            <w14:solidFill>
              <w14:schemeClr w14:val="tx1"/>
            </w14:solidFill>
          </w14:textFill>
        </w:rPr>
        <w:t>万元，主要用于以下方面；</w:t>
      </w:r>
      <w:r>
        <w:rPr>
          <w:rFonts w:hint="eastAsia" w:ascii="仿宋_GB2312" w:hAnsi="仿宋_GB2312" w:eastAsia="仿宋_GB2312" w:cs="仿宋_GB2312"/>
          <w:b w:val="0"/>
          <w:bCs w:val="0"/>
          <w:color w:val="000000"/>
          <w:sz w:val="32"/>
          <w:szCs w:val="32"/>
        </w:rPr>
        <w:t>208类社会保障和就业</w:t>
      </w:r>
      <w:r>
        <w:rPr>
          <w:rFonts w:hint="eastAsia" w:ascii="仿宋_GB2312" w:hAnsi="仿宋_GB2312" w:eastAsia="仿宋_GB2312" w:cs="仿宋_GB2312"/>
          <w:b w:val="0"/>
          <w:bCs w:val="0"/>
          <w:color w:val="000000" w:themeColor="text1"/>
          <w:sz w:val="32"/>
          <w:szCs w:val="32"/>
          <w14:textFill>
            <w14:solidFill>
              <w14:schemeClr w14:val="tx1"/>
            </w14:solidFill>
          </w14:textFill>
        </w:rPr>
        <w:t>支出</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39</w:t>
      </w:r>
      <w:r>
        <w:rPr>
          <w:rFonts w:hint="eastAsia" w:ascii="仿宋_GB2312" w:hAnsi="仿宋_GB2312" w:eastAsia="仿宋_GB2312" w:cs="仿宋_GB2312"/>
          <w:b w:val="0"/>
          <w:bCs w:val="0"/>
          <w:color w:val="000000" w:themeColor="text1"/>
          <w:sz w:val="32"/>
          <w:szCs w:val="32"/>
          <w14:textFill>
            <w14:solidFill>
              <w14:schemeClr w14:val="tx1"/>
            </w14:solidFill>
          </w14:textFill>
        </w:rPr>
        <w:t>万元，占</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17</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sz w:val="32"/>
          <w:szCs w:val="32"/>
        </w:rPr>
        <w:t>210类医疗卫生</w:t>
      </w:r>
      <w:r>
        <w:rPr>
          <w:rFonts w:hint="eastAsia" w:ascii="仿宋_GB2312" w:hAnsi="仿宋_GB2312" w:eastAsia="仿宋_GB2312" w:cs="仿宋_GB2312"/>
          <w:b w:val="0"/>
          <w:bCs w:val="0"/>
          <w:color w:val="000000" w:themeColor="text1"/>
          <w:sz w:val="32"/>
          <w:szCs w:val="32"/>
          <w14:textFill>
            <w14:solidFill>
              <w14:schemeClr w14:val="tx1"/>
            </w14:solidFill>
          </w14:textFill>
        </w:rPr>
        <w:t>支出187.35万元，占</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83</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sz w:val="32"/>
          <w:szCs w:val="32"/>
        </w:rPr>
        <w:t>。</w:t>
      </w:r>
    </w:p>
    <w:p>
      <w:pPr>
        <w:spacing w:line="600" w:lineRule="exact"/>
        <w:ind w:firstLine="420" w:firstLineChars="200"/>
        <w:outlineLvl w:val="2"/>
      </w:pPr>
      <w:bookmarkStart w:id="23" w:name="_Toc15377212"/>
      <w:r>
        <w:drawing>
          <wp:anchor distT="0" distB="0" distL="114300" distR="114300" simplePos="0" relativeHeight="251663360" behindDoc="1" locked="0" layoutInCell="1" allowOverlap="1">
            <wp:simplePos x="0" y="0"/>
            <wp:positionH relativeFrom="column">
              <wp:posOffset>185420</wp:posOffset>
            </wp:positionH>
            <wp:positionV relativeFrom="paragraph">
              <wp:posOffset>294005</wp:posOffset>
            </wp:positionV>
            <wp:extent cx="4572000" cy="2743200"/>
            <wp:effectExtent l="4445" t="4445" r="14605" b="14605"/>
            <wp:wrapTight wrapText="bothSides">
              <wp:wrapPolygon>
                <wp:start x="-21" y="-35"/>
                <wp:lineTo x="-21" y="21565"/>
                <wp:lineTo x="21579" y="21565"/>
                <wp:lineTo x="21579" y="-35"/>
                <wp:lineTo x="-21" y="-35"/>
              </wp:wrapPolygon>
            </wp:wrapTight>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420" w:firstLineChars="200"/>
        <w:outlineLvl w:val="2"/>
      </w:pPr>
    </w:p>
    <w:p>
      <w:pPr>
        <w:spacing w:line="600" w:lineRule="exact"/>
        <w:ind w:firstLine="420" w:firstLineChars="200"/>
        <w:outlineLvl w:val="2"/>
      </w:pPr>
    </w:p>
    <w:p>
      <w:pPr>
        <w:spacing w:line="600" w:lineRule="exact"/>
        <w:ind w:firstLine="420" w:firstLineChars="200"/>
        <w:outlineLvl w:val="2"/>
      </w:pPr>
    </w:p>
    <w:p>
      <w:pPr>
        <w:spacing w:line="600" w:lineRule="exact"/>
        <w:ind w:firstLine="420" w:firstLineChars="200"/>
        <w:outlineLvl w:val="2"/>
      </w:pPr>
    </w:p>
    <w:p>
      <w:pPr>
        <w:spacing w:line="600" w:lineRule="exact"/>
        <w:ind w:firstLine="643" w:firstLineChars="200"/>
        <w:outlineLvl w:val="2"/>
        <w:rPr>
          <w:rFonts w:hint="eastAsia" w:ascii="仿宋" w:hAnsi="仿宋" w:eastAsia="仿宋"/>
          <w:b/>
          <w:color w:val="000000"/>
          <w:sz w:val="32"/>
          <w:szCs w:val="32"/>
        </w:rPr>
      </w:pPr>
    </w:p>
    <w:p>
      <w:pPr>
        <w:spacing w:line="600" w:lineRule="exact"/>
        <w:ind w:firstLine="643" w:firstLineChars="200"/>
        <w:outlineLvl w:val="2"/>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（三）一般公共预算财政拨款支出决算具体情况</w:t>
      </w:r>
      <w:bookmarkEnd w:id="23"/>
    </w:p>
    <w:p>
      <w:pPr>
        <w:numPr>
          <w:ilvl w:val="0"/>
          <w:numId w:val="0"/>
        </w:numPr>
        <w:spacing w:line="600" w:lineRule="exact"/>
        <w:ind w:leftChars="200" w:firstLine="320" w:firstLineChars="100"/>
        <w:rPr>
          <w:rStyle w:val="13"/>
          <w:rFonts w:hint="eastAsia" w:ascii="仿宋_GB2312" w:hAnsi="仿宋_GB2312" w:eastAsia="仿宋_GB2312" w:cs="仿宋_GB2312"/>
          <w:b w:val="0"/>
          <w:bCs/>
          <w:color w:val="000000"/>
          <w:sz w:val="32"/>
          <w:szCs w:val="32"/>
        </w:rPr>
      </w:pPr>
      <w:bookmarkStart w:id="24" w:name="_Toc15377213"/>
      <w:bookmarkStart w:id="25" w:name="_Toc15377444"/>
      <w:bookmarkStart w:id="26" w:name="_Toc15378460"/>
      <w:r>
        <w:rPr>
          <w:rFonts w:hint="eastAsia" w:ascii="仿宋_GB2312" w:hAnsi="仿宋_GB2312" w:eastAsia="仿宋_GB2312" w:cs="仿宋_GB2312"/>
          <w:b w:val="0"/>
          <w:bCs/>
          <w:color w:val="000000" w:themeColor="text1"/>
          <w:sz w:val="32"/>
          <w:szCs w:val="32"/>
          <w14:textFill>
            <w14:solidFill>
              <w14:schemeClr w14:val="tx1"/>
            </w14:solidFill>
          </w14:textFill>
        </w:rPr>
        <w:t>2018年般公共预算支出决算数为</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244.34</w:t>
      </w:r>
      <w:r>
        <w:rPr>
          <w:rFonts w:hint="eastAsia" w:ascii="仿宋_GB2312" w:hAnsi="仿宋_GB2312" w:eastAsia="仿宋_GB2312" w:cs="仿宋_GB2312"/>
          <w:b w:val="0"/>
          <w:bCs/>
          <w:color w:val="000000" w:themeColor="text1"/>
          <w:sz w:val="32"/>
          <w:szCs w:val="32"/>
          <w14:textFill>
            <w14:solidFill>
              <w14:schemeClr w14:val="tx1"/>
            </w14:solidFill>
          </w14:textFill>
        </w:rPr>
        <w:t>，</w:t>
      </w:r>
      <w:r>
        <w:rPr>
          <w:rStyle w:val="13"/>
          <w:rFonts w:hint="eastAsia" w:ascii="仿宋_GB2312" w:hAnsi="仿宋_GB2312" w:eastAsia="仿宋_GB2312" w:cs="仿宋_GB2312"/>
          <w:b w:val="0"/>
          <w:bCs/>
          <w:color w:val="000000" w:themeColor="text1"/>
          <w:sz w:val="32"/>
          <w:szCs w:val="32"/>
          <w14:textFill>
            <w14:solidFill>
              <w14:schemeClr w14:val="tx1"/>
            </w14:solidFill>
          </w14:textFill>
        </w:rPr>
        <w:t>完成</w:t>
      </w:r>
      <w:r>
        <w:rPr>
          <w:rStyle w:val="13"/>
          <w:rFonts w:hint="eastAsia" w:ascii="仿宋_GB2312" w:hAnsi="仿宋_GB2312" w:eastAsia="仿宋_GB2312" w:cs="仿宋_GB2312"/>
          <w:b w:val="0"/>
          <w:bCs/>
          <w:color w:val="000000"/>
          <w:sz w:val="32"/>
          <w:szCs w:val="32"/>
        </w:rPr>
        <w:t>预算</w:t>
      </w:r>
      <w:r>
        <w:rPr>
          <w:rStyle w:val="13"/>
          <w:rFonts w:hint="eastAsia" w:ascii="仿宋_GB2312" w:hAnsi="仿宋_GB2312" w:eastAsia="仿宋_GB2312" w:cs="仿宋_GB2312"/>
          <w:b w:val="0"/>
          <w:bCs/>
          <w:color w:val="000000"/>
          <w:sz w:val="32"/>
          <w:szCs w:val="32"/>
          <w:lang w:val="en-US" w:eastAsia="zh-CN"/>
        </w:rPr>
        <w:t>100</w:t>
      </w:r>
      <w:r>
        <w:rPr>
          <w:rStyle w:val="13"/>
          <w:rFonts w:hint="eastAsia" w:ascii="仿宋_GB2312" w:hAnsi="仿宋_GB2312" w:eastAsia="仿宋_GB2312" w:cs="仿宋_GB2312"/>
          <w:b w:val="0"/>
          <w:bCs/>
          <w:color w:val="000000"/>
          <w:sz w:val="32"/>
          <w:szCs w:val="32"/>
        </w:rPr>
        <w:t>%。其中：</w:t>
      </w:r>
      <w:bookmarkEnd w:id="24"/>
      <w:bookmarkEnd w:id="25"/>
      <w:bookmarkEnd w:id="26"/>
    </w:p>
    <w:p>
      <w:pPr>
        <w:spacing w:line="600" w:lineRule="exact"/>
        <w:ind w:firstLine="643" w:firstLineChars="200"/>
        <w:rPr>
          <w:rStyle w:val="13"/>
          <w:rFonts w:ascii="仿宋" w:hAnsi="仿宋" w:eastAsia="仿宋"/>
          <w:b w:val="0"/>
          <w:bCs/>
          <w:color w:val="000000"/>
          <w:sz w:val="32"/>
          <w:szCs w:val="32"/>
        </w:rPr>
      </w:pPr>
      <w:r>
        <w:rPr>
          <w:rStyle w:val="13"/>
          <w:rFonts w:hint="eastAsia" w:ascii="仿宋_GB2312" w:eastAsia="仿宋_GB2312"/>
          <w:color w:val="000000"/>
          <w:sz w:val="32"/>
          <w:szCs w:val="32"/>
          <w:lang w:val="en-US" w:eastAsia="zh-CN"/>
        </w:rPr>
        <w:t>1</w:t>
      </w:r>
      <w:r>
        <w:rPr>
          <w:rStyle w:val="13"/>
          <w:rFonts w:hint="eastAsia" w:ascii="仿宋_GB2312" w:eastAsia="仿宋_GB2312"/>
          <w:color w:val="000000"/>
          <w:sz w:val="32"/>
          <w:szCs w:val="32"/>
        </w:rPr>
        <w:t>.机关事业单位基本养老保险支出208（类）05（款）05（项）:</w:t>
      </w:r>
      <w:r>
        <w:rPr>
          <w:rStyle w:val="13"/>
          <w:rFonts w:hint="eastAsia" w:ascii="仿宋_GB2312" w:eastAsia="仿宋_GB2312"/>
          <w:b w:val="0"/>
          <w:color w:val="000000"/>
          <w:sz w:val="32"/>
          <w:szCs w:val="32"/>
        </w:rPr>
        <w:t xml:space="preserve"> </w:t>
      </w:r>
      <w:r>
        <w:rPr>
          <w:rStyle w:val="13"/>
          <w:rFonts w:hint="eastAsia" w:ascii="仿宋_GB2312" w:hAnsi="仿宋_GB2312" w:eastAsia="仿宋_GB2312" w:cs="仿宋_GB2312"/>
          <w:b w:val="0"/>
          <w:bCs w:val="0"/>
          <w:color w:val="000000"/>
          <w:sz w:val="32"/>
          <w:szCs w:val="32"/>
        </w:rPr>
        <w:t>支出决算为</w:t>
      </w:r>
      <w:r>
        <w:rPr>
          <w:rStyle w:val="13"/>
          <w:rFonts w:hint="eastAsia" w:ascii="仿宋_GB2312" w:hAnsi="仿宋_GB2312" w:eastAsia="仿宋_GB2312" w:cs="仿宋_GB2312"/>
          <w:b w:val="0"/>
          <w:bCs w:val="0"/>
          <w:color w:val="000000"/>
          <w:sz w:val="32"/>
          <w:szCs w:val="32"/>
          <w:lang w:val="en-US" w:eastAsia="zh-CN"/>
        </w:rPr>
        <w:t>28</w:t>
      </w:r>
      <w:r>
        <w:rPr>
          <w:rStyle w:val="13"/>
          <w:rFonts w:hint="eastAsia" w:ascii="仿宋_GB2312" w:hAnsi="仿宋_GB2312" w:eastAsia="仿宋_GB2312" w:cs="仿宋_GB2312"/>
          <w:b w:val="0"/>
          <w:bCs w:val="0"/>
          <w:color w:val="000000"/>
          <w:sz w:val="32"/>
          <w:szCs w:val="32"/>
        </w:rPr>
        <w:t>万元，完成预算</w:t>
      </w:r>
      <w:r>
        <w:rPr>
          <w:rStyle w:val="13"/>
          <w:rFonts w:hint="eastAsia" w:ascii="仿宋_GB2312" w:hAnsi="仿宋_GB2312" w:eastAsia="仿宋_GB2312" w:cs="仿宋_GB2312"/>
          <w:b w:val="0"/>
          <w:bCs w:val="0"/>
          <w:color w:val="000000"/>
          <w:sz w:val="32"/>
          <w:szCs w:val="32"/>
          <w:lang w:val="en-US" w:eastAsia="zh-CN"/>
        </w:rPr>
        <w:t>100</w:t>
      </w:r>
      <w:r>
        <w:rPr>
          <w:rStyle w:val="13"/>
          <w:rFonts w:hint="eastAsia" w:ascii="仿宋_GB2312" w:hAnsi="仿宋_GB2312" w:eastAsia="仿宋_GB2312" w:cs="仿宋_GB2312"/>
          <w:b w:val="0"/>
          <w:bCs w:val="0"/>
          <w:color w:val="000000"/>
          <w:sz w:val="32"/>
          <w:szCs w:val="32"/>
        </w:rPr>
        <w:t>%</w:t>
      </w:r>
    </w:p>
    <w:p>
      <w:pPr>
        <w:spacing w:line="600" w:lineRule="exact"/>
        <w:ind w:firstLine="643" w:firstLineChars="200"/>
        <w:rPr>
          <w:rStyle w:val="13"/>
          <w:rFonts w:ascii="仿宋" w:hAnsi="仿宋" w:eastAsia="仿宋"/>
          <w:b w:val="0"/>
          <w:bCs/>
          <w:color w:val="000000"/>
          <w:sz w:val="32"/>
          <w:szCs w:val="32"/>
        </w:rPr>
      </w:pPr>
      <w:r>
        <w:rPr>
          <w:rStyle w:val="13"/>
          <w:rFonts w:hint="eastAsia" w:ascii="仿宋_GB2312" w:eastAsia="仿宋_GB2312"/>
          <w:color w:val="000000"/>
          <w:sz w:val="32"/>
          <w:szCs w:val="32"/>
          <w:lang w:val="en-US" w:eastAsia="zh-CN"/>
        </w:rPr>
        <w:t>2</w:t>
      </w:r>
      <w:r>
        <w:rPr>
          <w:rStyle w:val="13"/>
          <w:rFonts w:hint="eastAsia" w:ascii="仿宋_GB2312" w:eastAsia="仿宋_GB2312"/>
          <w:color w:val="000000"/>
          <w:sz w:val="32"/>
          <w:szCs w:val="32"/>
        </w:rPr>
        <w:t>.机关单位职业年金缴费支出208（类）05（款）06（项）:</w:t>
      </w:r>
      <w:r>
        <w:rPr>
          <w:rStyle w:val="13"/>
          <w:rFonts w:hint="eastAsia" w:ascii="仿宋_GB2312" w:eastAsia="仿宋_GB2312"/>
          <w:b w:val="0"/>
          <w:color w:val="000000"/>
          <w:sz w:val="32"/>
          <w:szCs w:val="32"/>
        </w:rPr>
        <w:t xml:space="preserve"> 支出决算为11万元，</w:t>
      </w:r>
      <w:r>
        <w:rPr>
          <w:rStyle w:val="13"/>
          <w:rFonts w:hint="eastAsia" w:ascii="仿宋_GB2312" w:hAnsi="仿宋_GB2312" w:eastAsia="仿宋_GB2312" w:cs="仿宋_GB2312"/>
          <w:b w:val="0"/>
          <w:bCs/>
          <w:color w:val="000000"/>
          <w:sz w:val="32"/>
          <w:szCs w:val="32"/>
        </w:rPr>
        <w:t>完成预算</w:t>
      </w:r>
      <w:r>
        <w:rPr>
          <w:rStyle w:val="13"/>
          <w:rFonts w:hint="eastAsia" w:ascii="仿宋_GB2312" w:hAnsi="仿宋_GB2312" w:eastAsia="仿宋_GB2312" w:cs="仿宋_GB2312"/>
          <w:b w:val="0"/>
          <w:bCs/>
          <w:color w:val="000000"/>
          <w:sz w:val="32"/>
          <w:szCs w:val="32"/>
          <w:lang w:val="en-US" w:eastAsia="zh-CN"/>
        </w:rPr>
        <w:t>100</w:t>
      </w:r>
      <w:r>
        <w:rPr>
          <w:rStyle w:val="13"/>
          <w:rFonts w:hint="eastAsia" w:ascii="仿宋_GB2312" w:hAnsi="仿宋_GB2312" w:eastAsia="仿宋_GB2312" w:cs="仿宋_GB2312"/>
          <w:b w:val="0"/>
          <w:bCs/>
          <w:color w:val="000000"/>
          <w:sz w:val="32"/>
          <w:szCs w:val="32"/>
        </w:rPr>
        <w:t>%</w:t>
      </w:r>
    </w:p>
    <w:p>
      <w:pPr>
        <w:spacing w:line="600" w:lineRule="exact"/>
        <w:ind w:firstLine="643" w:firstLineChars="200"/>
        <w:rPr>
          <w:rStyle w:val="13"/>
          <w:rFonts w:ascii="仿宋" w:hAnsi="仿宋" w:eastAsia="仿宋"/>
          <w:b w:val="0"/>
          <w:bCs/>
          <w:color w:val="000000"/>
          <w:sz w:val="32"/>
          <w:szCs w:val="32"/>
        </w:rPr>
      </w:pPr>
      <w:r>
        <w:rPr>
          <w:rStyle w:val="13"/>
          <w:rFonts w:hint="eastAsia" w:ascii="仿宋_GB2312" w:eastAsia="仿宋_GB2312"/>
          <w:color w:val="000000"/>
          <w:sz w:val="32"/>
          <w:szCs w:val="32"/>
          <w:lang w:val="en-US" w:eastAsia="zh-CN"/>
        </w:rPr>
        <w:t>3</w:t>
      </w:r>
      <w:r>
        <w:rPr>
          <w:rStyle w:val="13"/>
          <w:rFonts w:hint="eastAsia" w:ascii="仿宋_GB2312" w:eastAsia="仿宋_GB2312"/>
          <w:color w:val="000000"/>
          <w:sz w:val="32"/>
          <w:szCs w:val="32"/>
        </w:rPr>
        <w:t>.其他医疗卫生与计划管理事务支出201（类）01（款）99（项）:</w:t>
      </w:r>
      <w:r>
        <w:rPr>
          <w:rStyle w:val="13"/>
          <w:rFonts w:hint="eastAsia" w:ascii="仿宋_GB2312" w:eastAsia="仿宋_GB2312"/>
          <w:b w:val="0"/>
          <w:color w:val="000000"/>
          <w:sz w:val="32"/>
          <w:szCs w:val="32"/>
        </w:rPr>
        <w:t xml:space="preserve"> 支出决算为178.02万元，</w:t>
      </w:r>
      <w:r>
        <w:rPr>
          <w:rStyle w:val="13"/>
          <w:rFonts w:hint="eastAsia" w:ascii="仿宋_GB2312" w:hAnsi="仿宋_GB2312" w:eastAsia="仿宋_GB2312" w:cs="仿宋_GB2312"/>
          <w:b w:val="0"/>
          <w:bCs/>
          <w:color w:val="000000"/>
          <w:sz w:val="32"/>
          <w:szCs w:val="32"/>
        </w:rPr>
        <w:t>完成预算</w:t>
      </w:r>
      <w:r>
        <w:rPr>
          <w:rStyle w:val="13"/>
          <w:rFonts w:hint="eastAsia" w:ascii="仿宋_GB2312" w:hAnsi="仿宋_GB2312" w:eastAsia="仿宋_GB2312" w:cs="仿宋_GB2312"/>
          <w:b w:val="0"/>
          <w:bCs/>
          <w:color w:val="000000"/>
          <w:sz w:val="32"/>
          <w:szCs w:val="32"/>
          <w:lang w:val="en-US" w:eastAsia="zh-CN"/>
        </w:rPr>
        <w:t>100</w:t>
      </w:r>
      <w:r>
        <w:rPr>
          <w:rStyle w:val="13"/>
          <w:rFonts w:hint="eastAsia" w:ascii="仿宋_GB2312" w:hAnsi="仿宋_GB2312" w:eastAsia="仿宋_GB2312" w:cs="仿宋_GB2312"/>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3"/>
          <w:rFonts w:hint="eastAsia" w:ascii="仿宋_GB2312" w:eastAsia="仿宋_GB2312"/>
          <w:color w:val="000000"/>
          <w:sz w:val="32"/>
          <w:szCs w:val="32"/>
          <w:lang w:val="en-US" w:eastAsia="zh-CN"/>
        </w:rPr>
        <w:t>4</w:t>
      </w:r>
      <w:r>
        <w:rPr>
          <w:rStyle w:val="13"/>
          <w:rFonts w:hint="eastAsia" w:ascii="仿宋_GB2312" w:eastAsia="仿宋_GB2312"/>
          <w:color w:val="000000"/>
          <w:sz w:val="32"/>
          <w:szCs w:val="32"/>
        </w:rPr>
        <w:t>.住房公积金221（类）02（款）01（项）:</w:t>
      </w:r>
      <w:r>
        <w:rPr>
          <w:rStyle w:val="13"/>
          <w:rFonts w:hint="eastAsia" w:ascii="仿宋_GB2312" w:eastAsia="仿宋_GB2312"/>
          <w:b w:val="0"/>
          <w:color w:val="000000"/>
          <w:sz w:val="32"/>
          <w:szCs w:val="32"/>
        </w:rPr>
        <w:t>支出决算为18万元，决算数大于预算数的主要原因是</w:t>
      </w:r>
      <w:r>
        <w:rPr>
          <w:rStyle w:val="13"/>
          <w:rFonts w:hint="eastAsia" w:ascii="仿宋_GB2312" w:eastAsia="仿宋_GB2312"/>
          <w:b w:val="0"/>
          <w:color w:val="000000"/>
          <w:sz w:val="32"/>
          <w:szCs w:val="32"/>
          <w:lang w:eastAsia="zh-CN"/>
        </w:rPr>
        <w:t>标准调整</w:t>
      </w:r>
      <w:r>
        <w:rPr>
          <w:rStyle w:val="13"/>
          <w:rFonts w:hint="eastAsia" w:ascii="仿宋_GB2312" w:eastAsia="仿宋_GB2312"/>
          <w:b w:val="0"/>
          <w:color w:val="000000"/>
          <w:sz w:val="32"/>
          <w:szCs w:val="32"/>
        </w:rPr>
        <w:t>。</w:t>
      </w:r>
    </w:p>
    <w:p>
      <w:pPr>
        <w:tabs>
          <w:tab w:val="right" w:pos="8306"/>
        </w:tabs>
        <w:spacing w:line="600" w:lineRule="exact"/>
        <w:ind w:firstLine="640" w:firstLineChars="200"/>
        <w:outlineLvl w:val="1"/>
        <w:rPr>
          <w:rStyle w:val="25"/>
        </w:rPr>
      </w:pPr>
      <w:bookmarkStart w:id="27" w:name="_Toc15396608"/>
      <w:bookmarkStart w:id="28"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27"/>
      <w:bookmarkEnd w:id="28"/>
      <w:r>
        <w:rPr>
          <w:rStyle w:val="25"/>
          <w:rFonts w:ascii="黑体" w:hAnsi="黑体" w:eastAsia="黑体"/>
          <w:b w:val="0"/>
        </w:rPr>
        <w:tab/>
      </w:r>
    </w:p>
    <w:p>
      <w:pPr>
        <w:spacing w:line="600" w:lineRule="exact"/>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2018年一般公共预算财政拨款基本支出</w:t>
      </w:r>
      <w:r>
        <w:rPr>
          <w:rFonts w:hint="eastAsia" w:ascii="仿宋_GB2312" w:hAnsi="仿宋_GB2312" w:eastAsia="仿宋_GB2312" w:cs="仿宋_GB2312"/>
          <w:color w:val="000000"/>
          <w:sz w:val="32"/>
          <w:szCs w:val="32"/>
          <w:lang w:val="en-US" w:eastAsia="zh-CN"/>
        </w:rPr>
        <w:t>244.34</w:t>
      </w:r>
      <w:r>
        <w:rPr>
          <w:rFonts w:hint="eastAsia" w:ascii="仿宋_GB2312" w:hAnsi="仿宋_GB2312" w:eastAsia="仿宋_GB2312" w:cs="仿宋_GB2312"/>
          <w:color w:val="000000"/>
          <w:sz w:val="32"/>
          <w:szCs w:val="32"/>
        </w:rPr>
        <w:t>万元，其中：</w:t>
      </w:r>
    </w:p>
    <w:p>
      <w:pPr>
        <w:spacing w:line="600" w:lineRule="exact"/>
        <w:ind w:firstLine="645"/>
        <w:rPr>
          <w:rFonts w:ascii="仿宋" w:hAnsi="仿宋" w:eastAsia="仿宋"/>
          <w:b/>
          <w:color w:val="FF0000"/>
          <w:sz w:val="32"/>
          <w:szCs w:val="32"/>
        </w:rPr>
      </w:pPr>
      <w:r>
        <w:rPr>
          <w:rFonts w:hint="eastAsia" w:ascii="仿宋_GB2312" w:hAnsi="仿宋_GB2312" w:eastAsia="仿宋_GB2312" w:cs="仿宋_GB2312"/>
          <w:color w:val="000000"/>
          <w:sz w:val="32"/>
          <w:szCs w:val="32"/>
        </w:rPr>
        <w:t>人员经费238.13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公用经费6.21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rPr>
      </w:pPr>
      <w:bookmarkStart w:id="29" w:name="_Toc15377215"/>
      <w:bookmarkStart w:id="30" w:name="_Toc1539660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29"/>
      <w:bookmarkEnd w:id="30"/>
    </w:p>
    <w:p>
      <w:pPr>
        <w:spacing w:line="600" w:lineRule="exact"/>
        <w:ind w:firstLine="640"/>
        <w:outlineLvl w:val="2"/>
        <w:rPr>
          <w:rFonts w:hint="eastAsia" w:ascii="楷体_GB2312" w:hAnsi="楷体_GB2312" w:eastAsia="楷体_GB2312" w:cs="楷体_GB2312"/>
          <w:b/>
          <w:color w:val="000000"/>
          <w:sz w:val="32"/>
          <w:szCs w:val="32"/>
        </w:rPr>
      </w:pPr>
      <w:bookmarkStart w:id="31" w:name="_Toc15377216"/>
      <w:r>
        <w:rPr>
          <w:rFonts w:hint="eastAsia" w:ascii="楷体_GB2312" w:hAnsi="楷体_GB2312" w:eastAsia="楷体_GB2312" w:cs="楷体_GB2312"/>
          <w:b/>
          <w:color w:val="000000"/>
          <w:sz w:val="32"/>
          <w:szCs w:val="32"/>
        </w:rPr>
        <w:t>（一）“三公”经费财政拨款支出决算总体情况说明</w:t>
      </w:r>
      <w:bookmarkEnd w:id="31"/>
    </w:p>
    <w:p>
      <w:pPr>
        <w:spacing w:line="600" w:lineRule="exact"/>
        <w:ind w:firstLine="640"/>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color w:val="000000"/>
          <w:sz w:val="32"/>
          <w:szCs w:val="32"/>
        </w:rPr>
        <w:t>2018年“三公”经费财政拨款支出决算为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p>
    <w:p>
      <w:pPr>
        <w:spacing w:line="600" w:lineRule="exact"/>
        <w:ind w:firstLine="640"/>
        <w:outlineLvl w:val="2"/>
        <w:rPr>
          <w:rFonts w:hint="eastAsia" w:ascii="楷体_GB2312" w:hAnsi="楷体_GB2312" w:eastAsia="楷体_GB2312" w:cs="楷体_GB2312"/>
          <w:b/>
          <w:color w:val="000000"/>
          <w:sz w:val="32"/>
          <w:szCs w:val="32"/>
        </w:rPr>
      </w:pPr>
      <w:bookmarkStart w:id="32" w:name="_Toc15377217"/>
      <w:r>
        <w:rPr>
          <w:rFonts w:hint="eastAsia" w:ascii="楷体_GB2312" w:hAnsi="楷体_GB2312" w:eastAsia="楷体_GB2312" w:cs="楷体_GB2312"/>
          <w:b/>
          <w:color w:val="000000"/>
          <w:sz w:val="32"/>
          <w:szCs w:val="32"/>
        </w:rPr>
        <w:t>（二）“三公”经费财政拨款支出决算具体情况说明</w:t>
      </w:r>
      <w:bookmarkEnd w:id="32"/>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2018年“三公”经费财政拨款支出决算中，因公出国（境）费支出决算</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%；公务用车购置及运行维护费支出决算</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%；公务接待费支出决算</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%。具体情况如下：</w:t>
      </w:r>
    </w:p>
    <w:p>
      <w:pPr>
        <w:spacing w:line="600" w:lineRule="exact"/>
        <w:ind w:firstLine="640"/>
        <w:rPr>
          <w:rFonts w:ascii="仿宋_GB2312" w:eastAsia="仿宋_GB2312"/>
          <w:b/>
          <w:color w:val="000000"/>
          <w:sz w:val="32"/>
          <w:szCs w:val="32"/>
        </w:rPr>
      </w:pPr>
      <w:r>
        <w:drawing>
          <wp:anchor distT="0" distB="0" distL="114300" distR="114300" simplePos="0" relativeHeight="251664384" behindDoc="0" locked="0" layoutInCell="1" allowOverlap="1">
            <wp:simplePos x="0" y="0"/>
            <wp:positionH relativeFrom="column">
              <wp:posOffset>77470</wp:posOffset>
            </wp:positionH>
            <wp:positionV relativeFrom="paragraph">
              <wp:posOffset>185420</wp:posOffset>
            </wp:positionV>
            <wp:extent cx="4724400" cy="2781300"/>
            <wp:effectExtent l="4445" t="4445" r="14605" b="14605"/>
            <wp:wrapSquare wrapText="bothSides"/>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ascii="仿宋_GB2312" w:eastAsia="仿宋_GB2312"/>
          <w:b/>
          <w:color w:val="000000"/>
          <w:sz w:val="32"/>
          <w:szCs w:val="32"/>
        </w:rPr>
      </w:pPr>
    </w:p>
    <w:p>
      <w:pPr>
        <w:spacing w:line="600" w:lineRule="exact"/>
        <w:ind w:firstLine="640"/>
        <w:rPr>
          <w:rFonts w:ascii="仿宋_GB2312" w:eastAsia="仿宋_GB2312"/>
          <w:b/>
          <w:color w:val="000000"/>
          <w:sz w:val="32"/>
          <w:szCs w:val="32"/>
        </w:rPr>
      </w:pPr>
    </w:p>
    <w:p>
      <w:pPr>
        <w:spacing w:line="600" w:lineRule="exact"/>
        <w:ind w:firstLine="640"/>
        <w:rPr>
          <w:rFonts w:ascii="仿宋_GB2312" w:eastAsia="仿宋_GB2312"/>
          <w:b/>
          <w:color w:val="000000"/>
          <w:sz w:val="32"/>
          <w:szCs w:val="32"/>
        </w:rPr>
      </w:pPr>
    </w:p>
    <w:p>
      <w:pPr>
        <w:spacing w:line="600" w:lineRule="exact"/>
        <w:ind w:firstLine="640"/>
        <w:rPr>
          <w:rFonts w:ascii="仿宋_GB2312" w:eastAsia="仿宋_GB2312"/>
          <w:b/>
          <w:color w:val="000000"/>
          <w:sz w:val="32"/>
          <w:szCs w:val="32"/>
        </w:rPr>
      </w:pPr>
    </w:p>
    <w:p>
      <w:pPr>
        <w:spacing w:line="600" w:lineRule="exact"/>
        <w:ind w:firstLine="640"/>
        <w:rPr>
          <w:rFonts w:ascii="仿宋_GB2312" w:eastAsia="仿宋_GB2312"/>
          <w:b/>
          <w:color w:val="000000"/>
          <w:sz w:val="32"/>
          <w:szCs w:val="32"/>
        </w:rPr>
      </w:pPr>
    </w:p>
    <w:p>
      <w:pPr>
        <w:spacing w:line="600" w:lineRule="exact"/>
        <w:ind w:firstLine="640"/>
        <w:rPr>
          <w:rFonts w:ascii="仿宋_GB2312" w:eastAsia="仿宋_GB2312"/>
          <w:b/>
          <w:color w:val="000000"/>
          <w:sz w:val="32"/>
          <w:szCs w:val="32"/>
        </w:rPr>
      </w:pPr>
    </w:p>
    <w:p>
      <w:pPr>
        <w:spacing w:line="600" w:lineRule="exact"/>
        <w:ind w:firstLine="640"/>
        <w:rPr>
          <w:rFonts w:ascii="仿宋_GB2312" w:eastAsia="仿宋_GB2312"/>
          <w:b/>
          <w:color w:val="000000"/>
          <w:sz w:val="32"/>
          <w:szCs w:val="32"/>
        </w:rPr>
      </w:pPr>
    </w:p>
    <w:p>
      <w:pPr>
        <w:spacing w:line="600" w:lineRule="exact"/>
        <w:ind w:firstLine="640"/>
        <w:rPr>
          <w:rFonts w:ascii="仿宋_GB2312" w:eastAsia="仿宋_GB2312"/>
          <w:b/>
          <w:color w:val="000000"/>
          <w:sz w:val="32"/>
          <w:szCs w:val="32"/>
        </w:rPr>
      </w:pP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3"/>
          <w:rFonts w:hint="eastAsia" w:ascii="仿宋_GB2312" w:hAnsi="仿宋_GB2312" w:eastAsia="仿宋_GB2312" w:cs="仿宋_GB2312"/>
          <w:b w:val="0"/>
          <w:bCs/>
          <w:color w:val="000000"/>
          <w:sz w:val="32"/>
          <w:szCs w:val="32"/>
        </w:rPr>
        <w:t>完成预算</w:t>
      </w:r>
      <w:r>
        <w:rPr>
          <w:rStyle w:val="13"/>
          <w:rFonts w:hint="eastAsia" w:ascii="仿宋_GB2312" w:hAnsi="仿宋_GB2312" w:eastAsia="仿宋_GB2312" w:cs="仿宋_GB2312"/>
          <w:b w:val="0"/>
          <w:bCs/>
          <w:color w:val="000000"/>
          <w:sz w:val="32"/>
          <w:szCs w:val="32"/>
          <w:lang w:val="en-US" w:eastAsia="zh-CN"/>
        </w:rPr>
        <w:t>0</w:t>
      </w:r>
      <w:r>
        <w:rPr>
          <w:rStyle w:val="13"/>
          <w:rFonts w:hint="eastAsia" w:ascii="仿宋_GB2312" w:hAnsi="仿宋_GB2312" w:eastAsia="仿宋_GB2312" w:cs="仿宋_GB2312"/>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val="en-US" w:eastAsia="zh-CN"/>
        </w:rPr>
        <w:t>本单位为新增单位</w:t>
      </w:r>
      <w:r>
        <w:rPr>
          <w:rFonts w:hint="eastAsia" w:ascii="仿宋_GB2312" w:eastAsia="仿宋_GB2312"/>
          <w:color w:val="000000"/>
          <w:sz w:val="32"/>
          <w:szCs w:val="32"/>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hAnsi="仿宋_GB2312" w:eastAsia="仿宋_GB2312" w:cs="仿宋_GB2312"/>
          <w:color w:val="000000"/>
          <w:sz w:val="32"/>
          <w:szCs w:val="32"/>
        </w:rPr>
        <w:t>,</w:t>
      </w:r>
      <w:r>
        <w:rPr>
          <w:rStyle w:val="13"/>
          <w:rFonts w:hint="eastAsia" w:ascii="仿宋_GB2312" w:hAnsi="仿宋_GB2312" w:eastAsia="仿宋_GB2312" w:cs="仿宋_GB2312"/>
          <w:b w:val="0"/>
          <w:bCs/>
          <w:color w:val="000000"/>
          <w:sz w:val="32"/>
          <w:szCs w:val="32"/>
        </w:rPr>
        <w:t>完成预算</w:t>
      </w:r>
      <w:r>
        <w:rPr>
          <w:rStyle w:val="13"/>
          <w:rFonts w:hint="eastAsia" w:ascii="仿宋_GB2312" w:hAnsi="仿宋_GB2312" w:eastAsia="仿宋_GB2312" w:cs="仿宋_GB2312"/>
          <w:b w:val="0"/>
          <w:bCs/>
          <w:color w:val="000000"/>
          <w:sz w:val="32"/>
          <w:szCs w:val="32"/>
          <w:lang w:val="en-US" w:eastAsia="zh-CN"/>
        </w:rPr>
        <w:t>0</w:t>
      </w:r>
      <w:r>
        <w:rPr>
          <w:rStyle w:val="13"/>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color w:val="000000"/>
          <w:sz w:val="32"/>
          <w:szCs w:val="32"/>
        </w:rPr>
        <w:t>公务用车购置及运行维护费支出决算比2017年</w:t>
      </w:r>
      <w:r>
        <w:rPr>
          <w:rFonts w:hint="eastAsia" w:ascii="仿宋_GB2312" w:eastAsia="仿宋_GB2312"/>
          <w:color w:val="000000"/>
          <w:sz w:val="32"/>
          <w:szCs w:val="32"/>
        </w:rPr>
        <w:t>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val="en-US" w:eastAsia="zh-CN"/>
        </w:rPr>
        <w:t>本单位为新增单位</w:t>
      </w:r>
      <w:r>
        <w:rPr>
          <w:rFonts w:hint="eastAsia" w:ascii="仿宋_GB2312" w:eastAsia="仿宋_GB2312"/>
          <w:color w:val="000000"/>
          <w:sz w:val="32"/>
          <w:szCs w:val="32"/>
        </w:rPr>
        <w:t>。</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万元。主要用于</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（具体工作）等所需的公务用车燃料费、维修费、过路过桥费、保险费等支出。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3"/>
          <w:rFonts w:hint="eastAsia" w:ascii="仿宋_GB2312" w:hAnsi="仿宋_GB2312" w:eastAsia="仿宋_GB2312" w:cs="仿宋_GB2312"/>
          <w:b w:val="0"/>
          <w:bCs/>
          <w:color w:val="000000"/>
          <w:sz w:val="32"/>
          <w:szCs w:val="32"/>
        </w:rPr>
        <w:t>完成预算</w:t>
      </w:r>
      <w:r>
        <w:rPr>
          <w:rStyle w:val="13"/>
          <w:rFonts w:hint="eastAsia" w:ascii="仿宋_GB2312" w:hAnsi="仿宋_GB2312" w:eastAsia="仿宋_GB2312" w:cs="仿宋_GB2312"/>
          <w:b w:val="0"/>
          <w:bCs/>
          <w:color w:val="000000"/>
          <w:sz w:val="32"/>
          <w:szCs w:val="32"/>
          <w:lang w:val="en-US" w:eastAsia="zh-CN"/>
        </w:rPr>
        <w:t>0</w:t>
      </w:r>
      <w:r>
        <w:rPr>
          <w:rStyle w:val="13"/>
          <w:rFonts w:hint="eastAsia" w:ascii="仿宋_GB2312" w:hAnsi="仿宋_GB2312" w:eastAsia="仿宋_GB2312" w:cs="仿宋_GB2312"/>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val="en-US" w:eastAsia="zh-CN"/>
        </w:rPr>
        <w:t>本单位为新增单位</w:t>
      </w:r>
      <w:r>
        <w:rPr>
          <w:rFonts w:hint="eastAsia" w:ascii="仿宋_GB2312" w:eastAsia="仿宋_GB2312"/>
          <w:color w:val="000000"/>
          <w:sz w:val="32"/>
          <w:szCs w:val="32"/>
        </w:rPr>
        <w:t>。</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主要用于执行公务、开展业务活动开支的交通费、住宿费、用餐费等。国内公务接待批</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sz w:val="32"/>
          <w:szCs w:val="32"/>
        </w:rPr>
        <w:t>外事接待支出</w:t>
      </w:r>
      <w:r>
        <w:rPr>
          <w:rFonts w:hint="eastAsia" w:ascii="仿宋_GB2312" w:hAnsi="仿宋_GB2312" w:eastAsia="仿宋_GB2312" w:cs="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14:textFill>
            <w14:solidFill>
              <w14:schemeClr w14:val="tx1"/>
            </w14:solidFill>
          </w14:textFill>
        </w:rPr>
        <w:t>，外事接待</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批次，</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人，共计支出</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w:t>
      </w:r>
    </w:p>
    <w:p>
      <w:pPr>
        <w:spacing w:line="600" w:lineRule="exact"/>
        <w:ind w:firstLine="640"/>
        <w:outlineLvl w:val="1"/>
        <w:rPr>
          <w:rStyle w:val="25"/>
          <w:rFonts w:ascii="黑体" w:hAnsi="黑体" w:eastAsia="黑体"/>
        </w:rPr>
      </w:pPr>
      <w:bookmarkStart w:id="33" w:name="_Toc15396610"/>
      <w:bookmarkStart w:id="34" w:name="_Toc15377218"/>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33"/>
      <w:bookmarkEnd w:id="34"/>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2"/>
        </w:numPr>
        <w:spacing w:line="600" w:lineRule="exact"/>
        <w:ind w:firstLine="640"/>
        <w:outlineLvl w:val="1"/>
        <w:rPr>
          <w:rStyle w:val="25"/>
          <w:rFonts w:ascii="黑体" w:hAnsi="黑体" w:eastAsia="黑体"/>
          <w:b w:val="0"/>
        </w:rPr>
      </w:pPr>
      <w:bookmarkStart w:id="35" w:name="_Toc15377219"/>
      <w:bookmarkStart w:id="36" w:name="_Toc15396611"/>
      <w:r>
        <w:rPr>
          <w:rStyle w:val="25"/>
          <w:rFonts w:hint="eastAsia" w:ascii="黑体" w:hAnsi="黑体" w:eastAsia="黑体"/>
          <w:b w:val="0"/>
        </w:rPr>
        <w:t>国有资本经营预算支出决算情况说明</w:t>
      </w:r>
      <w:bookmarkEnd w:id="35"/>
      <w:bookmarkEnd w:id="36"/>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Style w:val="23"/>
        <w:numPr>
          <w:ilvl w:val="0"/>
          <w:numId w:val="3"/>
        </w:numPr>
        <w:spacing w:line="580" w:lineRule="exact"/>
        <w:ind w:firstLineChars="0"/>
        <w:rPr>
          <w:rStyle w:val="25"/>
          <w:rFonts w:ascii="黑体" w:hAnsi="黑体" w:eastAsia="黑体"/>
          <w:b w:val="0"/>
        </w:rPr>
      </w:pPr>
      <w:r>
        <w:rPr>
          <w:rStyle w:val="25"/>
          <w:rFonts w:hint="eastAsia" w:ascii="黑体" w:hAnsi="黑体" w:eastAsia="黑体"/>
          <w:b w:val="0"/>
        </w:rPr>
        <w:t>预算绩效情况说明</w:t>
      </w:r>
    </w:p>
    <w:p>
      <w:pPr>
        <w:numPr>
          <w:ilvl w:val="0"/>
          <w:numId w:val="4"/>
        </w:numPr>
        <w:spacing w:line="58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预算绩效管理工作开展情况。</w:t>
      </w:r>
    </w:p>
    <w:p>
      <w:pPr>
        <w:spacing w:line="580" w:lineRule="exact"/>
        <w:ind w:firstLine="640" w:firstLineChars="200"/>
        <w:rPr>
          <w:rFonts w:ascii="仿宋_GB2312" w:hAnsi="楷体" w:eastAsia="仿宋_GB2312"/>
          <w:sz w:val="32"/>
          <w:szCs w:val="32"/>
        </w:rPr>
      </w:pPr>
      <w:r>
        <w:rPr>
          <w:rFonts w:hint="eastAsia" w:ascii="仿宋_GB2312" w:hAnsi="楷体" w:eastAsia="仿宋_GB2312" w:cs="仿宋_GB2312"/>
          <w:sz w:val="32"/>
          <w:szCs w:val="32"/>
        </w:rPr>
        <w:t>我单位根据预算绩效管理要求，根据年初工作规划和重点性工作，积极履职，强化管理，通过加强预算收支管理，不断建立健全内部管理制度，梳理内部管理流程，较好的完成了年度工作目标。</w:t>
      </w:r>
    </w:p>
    <w:p>
      <w:pPr>
        <w:spacing w:line="580" w:lineRule="exact"/>
        <w:ind w:firstLine="640" w:firstLineChars="200"/>
        <w:rPr>
          <w:rFonts w:hint="eastAsia" w:ascii="仿宋" w:hAnsi="仿宋" w:eastAsia="仿宋" w:cs="楷体_GB2312"/>
          <w:b/>
          <w:bCs/>
          <w:sz w:val="32"/>
          <w:szCs w:val="32"/>
        </w:rPr>
      </w:pPr>
      <w:r>
        <w:rPr>
          <w:rFonts w:hint="eastAsia" w:ascii="仿宋_GB2312" w:hAnsi="楷体" w:eastAsia="仿宋_GB2312" w:cs="仿宋_GB2312"/>
          <w:sz w:val="32"/>
          <w:szCs w:val="32"/>
        </w:rPr>
        <w:t>本单位按要求对</w:t>
      </w:r>
      <w:r>
        <w:rPr>
          <w:rFonts w:ascii="仿宋_GB2312" w:hAnsi="楷体" w:eastAsia="仿宋_GB2312" w:cs="仿宋_GB2312"/>
          <w:sz w:val="32"/>
          <w:szCs w:val="32"/>
        </w:rPr>
        <w:t>2018</w:t>
      </w:r>
      <w:r>
        <w:rPr>
          <w:rFonts w:hint="eastAsia" w:ascii="仿宋_GB2312" w:hAnsi="楷体" w:eastAsia="仿宋_GB2312" w:cs="仿宋_GB2312"/>
          <w:sz w:val="32"/>
          <w:szCs w:val="32"/>
        </w:rPr>
        <w:t>年部门整体支出绩效评价情况开展自评，本年度我单位整体支出评价自查自评结果良好，全年基本支出保证了部门的正常运行和日常工作的正常开展，绩效目标得到了较好的实现，绩效水平不断提高，绩效指标体系逐渐丰富和完善。</w:t>
      </w:r>
    </w:p>
    <w:p>
      <w:pPr>
        <w:spacing w:line="600" w:lineRule="exact"/>
        <w:ind w:firstLine="643" w:firstLineChars="200"/>
        <w:outlineLvl w:val="1"/>
        <w:rPr>
          <w:rFonts w:hint="eastAsia" w:ascii="仿宋_GB2312" w:hAnsi="楷体"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w:t>
      </w:r>
      <w:r>
        <w:rPr>
          <w:rFonts w:hint="eastAsia" w:ascii="仿宋_GB2312" w:hAnsi="楷体" w:eastAsia="仿宋_GB2312" w:cs="仿宋_GB2312"/>
          <w:sz w:val="32"/>
          <w:szCs w:val="32"/>
        </w:rPr>
        <w:t>项目绩效内容本单位不涉及。</w:t>
      </w:r>
    </w:p>
    <w:p>
      <w:pPr>
        <w:spacing w:line="600" w:lineRule="exact"/>
        <w:ind w:firstLine="643" w:firstLineChars="200"/>
        <w:outlineLvl w:val="1"/>
        <w:rPr>
          <w:rFonts w:ascii="楷体" w:hAnsi="楷体" w:eastAsia="楷体"/>
          <w:sz w:val="32"/>
          <w:szCs w:val="32"/>
        </w:rPr>
      </w:pPr>
      <w:r>
        <w:rPr>
          <w:rFonts w:hint="eastAsia" w:ascii="楷体" w:hAnsi="楷体" w:eastAsia="楷体" w:cs="楷体"/>
          <w:b/>
          <w:bCs/>
          <w:sz w:val="32"/>
          <w:szCs w:val="32"/>
        </w:rPr>
        <w:t>部门开展绩效评价结果</w:t>
      </w:r>
    </w:p>
    <w:p>
      <w:pPr>
        <w:spacing w:line="580" w:lineRule="exact"/>
        <w:ind w:firstLine="640" w:firstLineChars="200"/>
        <w:rPr>
          <w:rFonts w:ascii="仿宋_GB2312" w:hAnsi="楷体" w:eastAsia="仿宋_GB2312"/>
          <w:sz w:val="32"/>
          <w:szCs w:val="32"/>
        </w:rPr>
      </w:pPr>
      <w:r>
        <w:rPr>
          <w:rFonts w:hint="eastAsia" w:ascii="仿宋_GB2312" w:hAnsi="楷体" w:eastAsia="仿宋_GB2312" w:cs="仿宋_GB2312"/>
          <w:sz w:val="32"/>
          <w:szCs w:val="32"/>
        </w:rPr>
        <w:t>本部门按要求对</w:t>
      </w:r>
      <w:r>
        <w:rPr>
          <w:rFonts w:ascii="仿宋_GB2312" w:hAnsi="楷体" w:eastAsia="仿宋_GB2312" w:cs="仿宋_GB2312"/>
          <w:sz w:val="32"/>
          <w:szCs w:val="32"/>
        </w:rPr>
        <w:t>2018</w:t>
      </w:r>
      <w:r>
        <w:rPr>
          <w:rFonts w:hint="eastAsia" w:ascii="仿宋_GB2312" w:hAnsi="楷体" w:eastAsia="仿宋_GB2312" w:cs="仿宋_GB2312"/>
          <w:sz w:val="32"/>
          <w:szCs w:val="32"/>
        </w:rPr>
        <w:t>年部门整体支出绩效评价情况开展自评，《</w:t>
      </w:r>
      <w:r>
        <w:rPr>
          <w:rFonts w:hint="eastAsia" w:ascii="仿宋_GB2312" w:hAnsi="楷体" w:eastAsia="仿宋_GB2312" w:cs="仿宋_GB2312"/>
          <w:sz w:val="32"/>
          <w:szCs w:val="32"/>
          <w:lang w:eastAsia="zh-CN"/>
        </w:rPr>
        <w:t>壤柯镇社区卫生服务中心</w:t>
      </w:r>
      <w:r>
        <w:rPr>
          <w:rFonts w:ascii="仿宋_GB2312" w:hAnsi="楷体" w:eastAsia="仿宋_GB2312" w:cs="仿宋_GB2312"/>
          <w:sz w:val="32"/>
          <w:szCs w:val="32"/>
        </w:rPr>
        <w:t>2018</w:t>
      </w:r>
      <w:r>
        <w:rPr>
          <w:rFonts w:hint="eastAsia" w:ascii="仿宋_GB2312" w:hAnsi="楷体" w:eastAsia="仿宋_GB2312" w:cs="仿宋_GB2312"/>
          <w:sz w:val="32"/>
          <w:szCs w:val="32"/>
        </w:rPr>
        <w:t>年部门整体支出绩效评价报告》见附件。</w:t>
      </w:r>
    </w:p>
    <w:p>
      <w:pPr>
        <w:spacing w:line="600" w:lineRule="exact"/>
        <w:ind w:firstLine="960" w:firstLineChars="300"/>
        <w:outlineLvl w:val="1"/>
        <w:rPr>
          <w:rFonts w:hint="eastAsia" w:ascii="仿宋_GB2312" w:hAnsi="楷体" w:eastAsia="仿宋_GB2312" w:cs="仿宋_GB2312"/>
          <w:sz w:val="32"/>
          <w:szCs w:val="32"/>
        </w:rPr>
      </w:pPr>
    </w:p>
    <w:p>
      <w:pPr>
        <w:spacing w:line="600" w:lineRule="exact"/>
        <w:ind w:firstLine="640" w:firstLineChars="200"/>
        <w:outlineLvl w:val="1"/>
        <w:rPr>
          <w:rStyle w:val="25"/>
          <w:rFonts w:ascii="黑体" w:hAnsi="黑体" w:eastAsia="黑体"/>
        </w:rPr>
      </w:pPr>
      <w:bookmarkStart w:id="37" w:name="_Toc15396612"/>
      <w:bookmarkStart w:id="38" w:name="_Toc15377221"/>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bookmarkEnd w:id="37"/>
      <w:bookmarkEnd w:id="38"/>
    </w:p>
    <w:p>
      <w:pPr>
        <w:spacing w:line="600" w:lineRule="exact"/>
        <w:ind w:firstLine="643" w:firstLineChars="200"/>
        <w:outlineLvl w:val="2"/>
        <w:rPr>
          <w:rFonts w:ascii="仿宋" w:hAnsi="仿宋" w:eastAsia="仿宋"/>
          <w:color w:val="000000"/>
          <w:sz w:val="32"/>
          <w:szCs w:val="32"/>
        </w:rPr>
      </w:pPr>
      <w:bookmarkStart w:id="39" w:name="_Toc15377222"/>
      <w:r>
        <w:rPr>
          <w:rFonts w:hint="eastAsia" w:ascii="仿宋" w:hAnsi="仿宋" w:eastAsia="仿宋"/>
          <w:b/>
          <w:color w:val="000000"/>
          <w:sz w:val="32"/>
          <w:szCs w:val="32"/>
        </w:rPr>
        <w:t>（一）机关运行经费支出情况</w:t>
      </w:r>
      <w:bookmarkEnd w:id="39"/>
    </w:p>
    <w:p>
      <w:pPr>
        <w:spacing w:line="600" w:lineRule="exact"/>
        <w:ind w:firstLine="640" w:firstLineChars="200"/>
        <w:rPr>
          <w:rFonts w:ascii="仿宋_GB2312" w:eastAsia="仿宋_GB2312"/>
          <w:color w:val="auto"/>
          <w:sz w:val="32"/>
          <w:szCs w:val="32"/>
        </w:rPr>
      </w:pPr>
      <w:r>
        <w:rPr>
          <w:rFonts w:ascii="仿宋_GB2312" w:eastAsia="仿宋_GB2312"/>
          <w:color w:val="auto"/>
          <w:sz w:val="32"/>
          <w:szCs w:val="32"/>
        </w:rPr>
        <w:t>201</w:t>
      </w:r>
      <w:r>
        <w:rPr>
          <w:rFonts w:hint="eastAsia" w:ascii="仿宋_GB2312" w:eastAsia="仿宋_GB2312"/>
          <w:color w:val="auto"/>
          <w:sz w:val="32"/>
          <w:szCs w:val="32"/>
        </w:rPr>
        <w:t>8年，</w:t>
      </w:r>
      <w:r>
        <w:rPr>
          <w:rFonts w:hint="eastAsia" w:ascii="仿宋_GB2312" w:hAnsi="楷体" w:eastAsia="仿宋_GB2312" w:cs="仿宋_GB2312"/>
          <w:color w:val="auto"/>
          <w:sz w:val="32"/>
          <w:szCs w:val="32"/>
          <w:lang w:eastAsia="zh-CN"/>
        </w:rPr>
        <w:t>壤柯镇社区卫生服务中心</w:t>
      </w:r>
      <w:r>
        <w:rPr>
          <w:rFonts w:hint="eastAsia" w:ascii="仿宋_GB2312" w:hAnsi="楷体" w:eastAsia="仿宋_GB2312" w:cs="仿宋_GB2312"/>
          <w:color w:val="auto"/>
          <w:sz w:val="32"/>
          <w:szCs w:val="32"/>
          <w:lang w:val="en-US" w:eastAsia="zh-CN"/>
        </w:rPr>
        <w:t>机关</w:t>
      </w:r>
      <w:r>
        <w:rPr>
          <w:rFonts w:hint="eastAsia" w:ascii="仿宋_GB2312" w:eastAsia="仿宋_GB2312"/>
          <w:color w:val="auto"/>
          <w:sz w:val="32"/>
          <w:szCs w:val="32"/>
        </w:rPr>
        <w:t>运行经费支出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万元，比</w:t>
      </w:r>
      <w:r>
        <w:rPr>
          <w:rFonts w:ascii="仿宋_GB2312" w:eastAsia="仿宋_GB2312"/>
          <w:color w:val="auto"/>
          <w:sz w:val="32"/>
          <w:szCs w:val="32"/>
        </w:rPr>
        <w:t>201</w:t>
      </w:r>
      <w:r>
        <w:rPr>
          <w:rFonts w:hint="eastAsia" w:ascii="仿宋_GB2312" w:eastAsia="仿宋_GB2312"/>
          <w:color w:val="auto"/>
          <w:sz w:val="32"/>
          <w:szCs w:val="32"/>
        </w:rPr>
        <w:t>7年增加</w:t>
      </w:r>
      <w:r>
        <w:rPr>
          <w:rFonts w:ascii="仿宋_GB2312" w:eastAsia="仿宋_GB2312"/>
          <w:color w:val="auto"/>
          <w:sz w:val="32"/>
          <w:szCs w:val="32"/>
        </w:rPr>
        <w:t>/</w:t>
      </w:r>
      <w:r>
        <w:rPr>
          <w:rFonts w:hint="eastAsia" w:ascii="仿宋_GB2312" w:eastAsia="仿宋_GB2312"/>
          <w:color w:val="auto"/>
          <w:sz w:val="32"/>
          <w:szCs w:val="32"/>
        </w:rPr>
        <w:t>减少</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万元，主要原因是</w:t>
      </w:r>
      <w:r>
        <w:rPr>
          <w:rFonts w:hint="eastAsia" w:ascii="仿宋_GB2312" w:eastAsia="仿宋_GB2312"/>
          <w:color w:val="auto"/>
          <w:sz w:val="32"/>
          <w:szCs w:val="32"/>
          <w:lang w:val="en-US" w:eastAsia="zh-CN"/>
        </w:rPr>
        <w:t>本单位为新增单位</w:t>
      </w:r>
      <w:r>
        <w:rPr>
          <w:rFonts w:hint="eastAsia" w:ascii="仿宋_GB2312" w:eastAsia="仿宋_GB2312"/>
          <w:color w:val="auto"/>
          <w:sz w:val="32"/>
          <w:szCs w:val="32"/>
        </w:rPr>
        <w:t>。</w:t>
      </w:r>
    </w:p>
    <w:p>
      <w:pPr>
        <w:autoSpaceDE w:val="0"/>
        <w:autoSpaceDN w:val="0"/>
        <w:adjustRightInd w:val="0"/>
        <w:spacing w:line="600" w:lineRule="exact"/>
        <w:ind w:firstLine="643" w:firstLineChars="200"/>
        <w:jc w:val="left"/>
        <w:outlineLvl w:val="2"/>
        <w:rPr>
          <w:rFonts w:hint="eastAsia" w:ascii="楷体_GB2312" w:hAnsi="楷体_GB2312" w:eastAsia="楷体_GB2312" w:cs="楷体_GB2312"/>
          <w:b/>
          <w:color w:val="000000"/>
          <w:sz w:val="32"/>
          <w:szCs w:val="32"/>
        </w:rPr>
      </w:pPr>
      <w:bookmarkStart w:id="40" w:name="_Toc15377223"/>
      <w:r>
        <w:rPr>
          <w:rFonts w:hint="eastAsia" w:ascii="楷体_GB2312" w:hAnsi="楷体_GB2312" w:eastAsia="楷体_GB2312" w:cs="楷体_GB2312"/>
          <w:b/>
          <w:color w:val="000000"/>
          <w:sz w:val="32"/>
          <w:szCs w:val="32"/>
        </w:rPr>
        <w:t>（二）政府采购支出情况</w:t>
      </w:r>
      <w:bookmarkEnd w:id="40"/>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hAnsi="楷体" w:eastAsia="仿宋_GB2312" w:cs="仿宋_GB2312"/>
          <w:sz w:val="32"/>
          <w:szCs w:val="32"/>
          <w:lang w:eastAsia="zh-CN"/>
        </w:rPr>
        <w:t>壤柯镇社区卫生服务中心</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autoSpaceDE w:val="0"/>
        <w:autoSpaceDN w:val="0"/>
        <w:adjustRightInd w:val="0"/>
        <w:spacing w:line="600" w:lineRule="exact"/>
        <w:ind w:firstLine="643" w:firstLineChars="200"/>
        <w:jc w:val="left"/>
        <w:outlineLvl w:val="2"/>
        <w:rPr>
          <w:rFonts w:hint="eastAsia" w:ascii="楷体_GB2312" w:hAnsi="楷体_GB2312" w:eastAsia="楷体_GB2312" w:cs="楷体_GB2312"/>
          <w:b/>
          <w:color w:val="000000"/>
          <w:sz w:val="32"/>
          <w:szCs w:val="32"/>
        </w:rPr>
      </w:pPr>
      <w:bookmarkStart w:id="41" w:name="_Toc15377224"/>
      <w:r>
        <w:rPr>
          <w:rFonts w:hint="eastAsia" w:ascii="楷体_GB2312" w:hAnsi="楷体_GB2312" w:eastAsia="楷体_GB2312" w:cs="楷体_GB2312"/>
          <w:b/>
          <w:color w:val="000000"/>
          <w:sz w:val="32"/>
          <w:szCs w:val="32"/>
        </w:rPr>
        <w:t>（三）国有资产占有使用情况</w:t>
      </w:r>
      <w:bookmarkEnd w:id="41"/>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hAnsi="楷体" w:eastAsia="仿宋_GB2312" w:cs="仿宋_GB2312"/>
          <w:sz w:val="32"/>
          <w:szCs w:val="32"/>
          <w:lang w:eastAsia="zh-CN"/>
        </w:rPr>
        <w:t>壤柯镇社区卫生服务中心</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辆，其中：部级领导干部用</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辆、一般公务用车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辆、一般执法执勤用车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辆、特种专业技术用车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5"/>
        </w:numPr>
        <w:spacing w:line="600" w:lineRule="exact"/>
        <w:ind w:firstLine="663" w:firstLineChars="150"/>
        <w:jc w:val="center"/>
        <w:outlineLvl w:val="0"/>
        <w:rPr>
          <w:rStyle w:val="24"/>
          <w:rFonts w:ascii="黑体" w:hAnsi="黑体" w:eastAsia="黑体"/>
          <w:b w:val="0"/>
        </w:rPr>
      </w:pPr>
      <w:bookmarkStart w:id="42" w:name="_Toc15377225"/>
      <w:bookmarkStart w:id="43" w:name="_Toc15396613"/>
      <w:r>
        <w:rPr>
          <w:rFonts w:hint="eastAsia" w:ascii="黑体" w:hAnsi="黑体" w:eastAsia="黑体"/>
          <w:b/>
          <w:color w:val="000000"/>
          <w:sz w:val="44"/>
          <w:szCs w:val="44"/>
        </w:rPr>
        <w:t>名</w:t>
      </w:r>
      <w:r>
        <w:rPr>
          <w:rStyle w:val="24"/>
          <w:rFonts w:hint="eastAsia" w:ascii="黑体" w:hAnsi="黑体" w:eastAsia="黑体"/>
          <w:b w:val="0"/>
        </w:rPr>
        <w:t>词解释</w:t>
      </w:r>
      <w:bookmarkEnd w:id="42"/>
      <w:bookmarkEnd w:id="43"/>
    </w:p>
    <w:p>
      <w:pPr>
        <w:spacing w:line="600" w:lineRule="exact"/>
        <w:jc w:val="left"/>
        <w:rPr>
          <w:rFonts w:ascii="宋体"/>
          <w:b/>
          <w:color w:val="000000"/>
          <w:sz w:val="44"/>
          <w:szCs w:val="44"/>
        </w:rPr>
      </w:pPr>
    </w:p>
    <w:p>
      <w:pPr>
        <w:pStyle w:val="22"/>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1.财政拨款收入：指单位从同级财政部门取得的财政预算资金。</w:t>
      </w:r>
    </w:p>
    <w:p>
      <w:pPr>
        <w:pStyle w:val="22"/>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2.事业收入：指事业单位开展专业业务活动及辅助活动取得的收入。</w:t>
      </w:r>
    </w:p>
    <w:p>
      <w:pPr>
        <w:pStyle w:val="22"/>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3.经营收入：指事业单位在专业业务活动及其辅助活动之外开展非独立核算经营活动取得的收入。</w:t>
      </w:r>
    </w:p>
    <w:p>
      <w:pPr>
        <w:pStyle w:val="22"/>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4.其他收入：指单位取得的除上述收入以外的各项收入。 </w:t>
      </w:r>
    </w:p>
    <w:p>
      <w:pPr>
        <w:pStyle w:val="22"/>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22"/>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6.年初结转和结余：指以前年度尚未完成、结转到本年按有关规定继续使用的资金。 </w:t>
      </w:r>
    </w:p>
    <w:p>
      <w:pPr>
        <w:pStyle w:val="22"/>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7.结余分配：指事业单位按照事业单位会计制度的规定从非财政补助结余中分配的事业基金和职工福利基金等。</w:t>
      </w:r>
    </w:p>
    <w:p>
      <w:pPr>
        <w:pStyle w:val="22"/>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8、年末结转和结余：指单位按有关规定结转到下年或以后年度继续使用的资金。</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9. 其他人力资源事务支出210（类）10（款）99（项）：指其他人力资源事务的支出。</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 xml:space="preserve">10. 机关事业单位基本养老保险支出208（类）05（款）05（项）：指反应机关事业单位实施养老保险制度由单位缴纳的基本养老保险费支出。 </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11.机关单位职业年金缴费支出208（类）05（款）06（项）：指反应机关事业单位实施养老保险制度由单位缴纳的职业年金支出。</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12.行政运行210（类）01（款）01（项）：指反应行政单位（包括实行公务员管理的事业单位）的基本支出。</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13.其他医疗卫生与计划生育管理事务支出210（类）01（款）99（项）：指反应其他用于医疗卫生与计划生育管理事务方面的支出。</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14.综合医院210（类）02（款）01（项）：指反应卫生和计划生育、中医部门所属的城市综合性医院、独立门诊、教学医院、疗养院和县医院的支出。</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15.其他公立医院支出210（类）02（款）99（项）：指反应其他用于公立医院方面的支出。</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16.乡镇卫生院210（类）03（款）02（项）：指用于乡镇卫生院的支出。</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17.基本公共卫生服务210（类）04（款）08（项）：指反应基本公共卫生服务支出。</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18.重大公共卫生专项210（类）04（款）09（项）：指反应重大疾病预防控制等重大公共卫生服务项目支出。</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19.其他公共卫生支出210（类）04（款）99（项）：指其他用于公共卫生方面的支出。</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20.计划生育服务210（类）07（款）17（项）：指反应计划生育服务支出。</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21.其他计划生育事务支出210（类）07（款）99（项）：指其他用于计划生育管理事务方面的支出。</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22.行政单位医疗210（类）11（款）01（项）：指反应部门集中安排的行政单位基本医疗缴费经费，未参加医疗保险的行政单位的公费医疗经费，按国家规定享受离休人员、红军老战士待遇人员的医疗经费。</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23.其他医疗卫生与计划生育支出210（类）99（款）01（项）：指其他用于医疗卫生与计划生育方面的支出。</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24.农村基础设施建设213（类）05（款）04（项）：指反应用于农村贫困地区乡村道路、住房、基本农田、水利设施、人畜饮水、生态环境保护等生产生活条件改善方面的支出。</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25.其他扶贫支出213（类）05（款）99（项）：指其他用于扶贫方面的支出。</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26住房公积金221（类）02（款）01（项）：指反应行政事业单位按照人力资源和社会保障部、财政部规定的基本工资和津贴补贴及规定比例为职工缴纳的住房公积金。</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27.基本支出：指为保障机构正常运转、完成日常工作任务而发生的人员支出和公用支出。</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28.项目支出：指在基本支出之外为完成特定行政任务和事业发展目标所发生的支出。 </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29.经营支出：指事业单位在专业业务活动及其辅助活动之外开展非独立核算经营活动发生的支出。</w:t>
      </w:r>
    </w:p>
    <w:p>
      <w:pPr>
        <w:pStyle w:val="22"/>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30.“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31.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eastAsia="仿宋_GB2312"/>
          <w:color w:val="auto"/>
          <w:sz w:val="32"/>
          <w:szCs w:val="32"/>
        </w:rPr>
        <w:t>32.</w:t>
      </w:r>
      <w:r>
        <w:rPr>
          <w:rFonts w:hint="eastAsia"/>
          <w:color w:val="auto"/>
          <w:sz w:val="32"/>
          <w:szCs w:val="32"/>
          <w:shd w:val="clear" w:color="auto" w:fill="FFFFFF"/>
        </w:rPr>
        <w:t xml:space="preserve"> </w:t>
      </w:r>
      <w:r>
        <w:rPr>
          <w:rFonts w:hint="eastAsia" w:ascii="仿宋_GB2312" w:hAnsi="仿宋_GB2312" w:eastAsia="仿宋_GB2312" w:cs="仿宋_GB2312"/>
          <w:color w:val="auto"/>
          <w:sz w:val="32"/>
          <w:szCs w:val="32"/>
          <w:shd w:val="clear" w:color="auto" w:fill="FFFFFF"/>
        </w:rPr>
        <w:t>政府采购 ：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spacing w:line="600" w:lineRule="exact"/>
        <w:jc w:val="center"/>
        <w:outlineLvl w:val="0"/>
        <w:rPr>
          <w:rStyle w:val="24"/>
          <w:rFonts w:ascii="黑体" w:hAnsi="黑体" w:eastAsia="黑体"/>
          <w:b w:val="0"/>
        </w:rPr>
      </w:pPr>
      <w:bookmarkStart w:id="44" w:name="_Toc15377226"/>
      <w:r>
        <w:rPr>
          <w:rFonts w:ascii="宋体"/>
          <w:b/>
          <w:color w:val="000000"/>
          <w:sz w:val="44"/>
          <w:szCs w:val="44"/>
        </w:rPr>
        <w:br w:type="page"/>
      </w:r>
      <w:bookmarkStart w:id="45" w:name="_Toc15396614"/>
      <w:r>
        <w:rPr>
          <w:rFonts w:hint="eastAsia" w:ascii="宋体"/>
          <w:b/>
          <w:color w:val="000000"/>
          <w:sz w:val="44"/>
          <w:szCs w:val="44"/>
          <w:lang w:val="en-US" w:eastAsia="zh-CN"/>
        </w:rPr>
        <w:t xml:space="preserve">        </w:t>
      </w:r>
      <w:bookmarkEnd w:id="45"/>
      <w:r>
        <w:rPr>
          <w:rFonts w:hint="eastAsia" w:ascii="黑体" w:hAnsi="黑体" w:eastAsia="黑体"/>
          <w:color w:val="000000"/>
          <w:sz w:val="44"/>
          <w:szCs w:val="44"/>
        </w:rPr>
        <w:t>第</w:t>
      </w:r>
      <w:r>
        <w:rPr>
          <w:rStyle w:val="24"/>
          <w:rFonts w:hint="eastAsia" w:ascii="黑体" w:hAnsi="黑体" w:eastAsia="黑体"/>
          <w:b w:val="0"/>
        </w:rPr>
        <w:t>四部分 附件</w:t>
      </w:r>
    </w:p>
    <w:p>
      <w:pPr>
        <w:spacing w:line="600" w:lineRule="exact"/>
        <w:jc w:val="center"/>
        <w:outlineLvl w:val="0"/>
        <w:rPr>
          <w:rStyle w:val="24"/>
        </w:rPr>
      </w:pPr>
    </w:p>
    <w:p>
      <w:pPr>
        <w:pStyle w:val="3"/>
        <w:rPr>
          <w:rStyle w:val="24"/>
          <w:rFonts w:ascii="仿宋" w:hAnsi="仿宋" w:eastAsia="仿宋"/>
          <w:b w:val="0"/>
          <w:bCs w:val="0"/>
          <w:sz w:val="32"/>
          <w:szCs w:val="32"/>
        </w:rPr>
      </w:pPr>
      <w:bookmarkStart w:id="46" w:name="_Toc15396615"/>
      <w:r>
        <w:rPr>
          <w:rStyle w:val="24"/>
          <w:rFonts w:hint="eastAsia" w:ascii="仿宋" w:hAnsi="仿宋" w:eastAsia="仿宋"/>
          <w:b w:val="0"/>
          <w:bCs w:val="0"/>
          <w:sz w:val="32"/>
          <w:szCs w:val="32"/>
        </w:rPr>
        <w:t>附件1</w:t>
      </w:r>
      <w:bookmarkEnd w:id="46"/>
    </w:p>
    <w:p>
      <w:pPr>
        <w:spacing w:line="600" w:lineRule="exact"/>
        <w:jc w:val="center"/>
        <w:outlineLvl w:val="0"/>
        <w:rPr>
          <w:rFonts w:hint="eastAsia" w:ascii="黑体" w:hAnsi="黑体" w:eastAsia="黑体" w:cs="方正小标宋简体"/>
          <w:sz w:val="36"/>
          <w:szCs w:val="36"/>
        </w:rPr>
      </w:pPr>
      <w:bookmarkStart w:id="47" w:name="_Toc15396616"/>
      <w:r>
        <w:rPr>
          <w:rFonts w:hint="eastAsia" w:ascii="黑体" w:hAnsi="黑体" w:eastAsia="黑体" w:cs="方正小标宋简体"/>
          <w:sz w:val="36"/>
          <w:szCs w:val="36"/>
          <w:lang w:eastAsia="zh-CN"/>
        </w:rPr>
        <w:t>壤塘县卫生和计划生育局</w:t>
      </w:r>
      <w:r>
        <w:rPr>
          <w:rFonts w:hint="eastAsia" w:ascii="黑体" w:hAnsi="黑体" w:eastAsia="黑体" w:cs="方正小标宋简体"/>
          <w:sz w:val="36"/>
          <w:szCs w:val="36"/>
        </w:rPr>
        <w:t>2018年</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部门整体支出绩效评价报告</w:t>
      </w:r>
      <w:bookmarkEnd w:id="47"/>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（一）机构组成。</w:t>
      </w:r>
    </w:p>
    <w:p>
      <w:pPr>
        <w:snapToGrid w:val="0"/>
        <w:spacing w:line="520" w:lineRule="exact"/>
        <w:ind w:firstLine="640" w:firstLineChars="200"/>
        <w:rPr>
          <w:rFonts w:hint="eastAsia" w:ascii="仿宋" w:hAnsi="仿宋" w:eastAsia="仿宋"/>
          <w:sz w:val="32"/>
          <w:szCs w:val="32"/>
          <w:lang w:eastAsia="zh-CN"/>
        </w:rPr>
      </w:pPr>
      <w:r>
        <w:rPr>
          <w:rFonts w:hint="eastAsia" w:ascii="仿宋_GB2312" w:hAnsi="仿宋_GB2312" w:eastAsia="仿宋_GB2312" w:cs="仿宋_GB2312"/>
          <w:sz w:val="32"/>
          <w:szCs w:val="32"/>
        </w:rPr>
        <w:t>根据中共阿坝州委、阿坝州人民政府批准的《壤塘县人民政府机构改革方案〉(阿委办[2014980号),设立壤塘县卫生和计划生育局(简称县卫计局),为县政府工作部门</w:t>
      </w:r>
      <w:r>
        <w:rPr>
          <w:rFonts w:hint="eastAsia" w:ascii="仿宋_GB2312" w:hAnsi="仿宋_GB2312" w:eastAsia="仿宋_GB2312" w:cs="仿宋_GB2312"/>
          <w:sz w:val="32"/>
          <w:szCs w:val="32"/>
          <w:lang w:eastAsia="zh-CN"/>
        </w:rPr>
        <w:t>。</w:t>
      </w:r>
    </w:p>
    <w:p>
      <w:pPr>
        <w:numPr>
          <w:ilvl w:val="0"/>
          <w:numId w:val="6"/>
        </w:num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机构职能。</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贯彻执行党和国家关于卫生计生工作的方针、政策、法律、法规以及省、州、县党委、政府关于卫生计生工作的决策部署，制定全县卫生计生事业发展规划，统筹规划全县卫生计生资源配置，指导全县卫生计生工作。</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贯彻实施党和国家医药卫生体制改革政策和国家药物政策及国家基本药物制度，执行国家基本药物目录以及我省药品增补目录，执行基本药物采购、配送、使用的政策措施。贯彻中西医并重的方针，发展我县中藏医事业。</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贯彻实施职责范围内的职业卫生、放射卫生、环境卫生、学校卫生、公共场所卫生、饮用水卫生管理规范、标准和政策措施，组织开展相关监测、调查、评估和监督。</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负责制定全县卫生应急预案、突发公共卫生事件监测和风险评估，组织和指导全县突发公共卫生事件预防控制和各类突发公共事件的医疗卫生救援。</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组织实施促进全县出生人口性别平衡的政策措施，组织监测计划生育发展动态，负责全县计划生育相关数据采集和分析研究，提出发布计划生育安全预警预报信息建议，制定计划生育技术服务管理制度并监督实施，制定优生优育和提高出生人口素质的政策措施并组织实施，推动实施计划生育生殖健康促进计划，降低出生缺陷人口数量。</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实施“三项制度”，组织建立计划生育利益导向、计划生育特殊困难家庭扶助和促进计划生育家庭发展等机制，负责协调推进有关部门、群众团体履行计划生育工作相关职责，建立与经济社会发展政策的衔接机制，提出稳定低生育水平政策措施。</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制定我县实施流动人口计划生育服务管理制度并组织落实，推动建立流动人口卫生计生信息共享与公共服务工作机制。</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负责组织拟订并实施基层卫生和妇幼卫生、计划生育服务发展规划和政策措施，指导全县基层卫生和妇幼卫生、计划生育服务体系建设，推进基本公共卫生计生服务均等化，完善乡村医生管理制度。</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组织实施全县医疗机构及医疗服务全行业管理办法、及医疗服务、医疗技术、医疗质量、医疗安全管的规范、标准，会同有关部门贯彻执行国家卫生计生专业技术人员准入、资格标准。制定和实施卫生计生专业技术人员执业规则和服务规范，建立医疗服务评价和监督管理体系。</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负责卫生计生政策宣传、全民健康教育、健康促进等工作。依法组织实施统计调查，开展全县人口基础信息库建设。</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负责全县卫生计生系统的人力资源管理工作，组织拟订全县卫生计生人才和科技发展规划。加强继续医学教育工作，组织实施卫生计生业务培训，贯彻落实国家住院医师和专科医师规范化培训制度，积极推广卫生计生适宜技术。</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完善卫生计生综合监督执法体系，规范卫生计生行政执法行为，监督检查有关法律法规和政策措施的落实，组织查处重大违法行为，监督落实计划生育一票否决制。</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负责新型农村合作医疗的实施、监督和管理。</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负责建立公益性导向的绩效考核和评价运行机制，推进和谐医患关系建设。</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承担县爱国卫生运动委员会、县医药卫生体制改革领导小组、县献血领导小组日常工作。</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i/>
          <w:iCs/>
          <w:sz w:val="32"/>
          <w:szCs w:val="32"/>
        </w:rPr>
        <w:t>承担重大传染病防治工作领导小组、地方病及病</w:t>
      </w:r>
      <w:r>
        <w:rPr>
          <w:rFonts w:hint="eastAsia" w:ascii="仿宋_GB2312" w:hAnsi="仿宋_GB2312" w:eastAsia="仿宋_GB2312" w:cs="仿宋_GB2312"/>
          <w:sz w:val="32"/>
          <w:szCs w:val="32"/>
        </w:rPr>
        <w:t>害防治工作领导小组日常工作。</w:t>
      </w:r>
    </w:p>
    <w:p>
      <w:pPr>
        <w:snapToGrid w:val="0"/>
        <w:spacing w:line="520" w:lineRule="exact"/>
        <w:ind w:firstLine="640" w:firstLineChars="200"/>
        <w:rPr>
          <w:rFonts w:ascii="仿宋" w:hAnsi="仿宋" w:eastAsia="仿宋" w:cs="仿宋_GB2312"/>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负责全县医疗机构、从业人员、医疗技术运用、大型医疗设备等医疗服务要素准入的监督管理。承担卫生计生行政审批、行政许可事项。</w:t>
      </w:r>
    </w:p>
    <w:p>
      <w:pPr>
        <w:numPr>
          <w:ilvl w:val="0"/>
          <w:numId w:val="6"/>
        </w:numPr>
        <w:spacing w:line="580" w:lineRule="exact"/>
        <w:ind w:left="0" w:leftChars="0"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人员概况。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机构情况：</w:t>
      </w:r>
      <w:r>
        <w:rPr>
          <w:rFonts w:hint="eastAsia" w:ascii="仿宋_GB2312" w:eastAsia="仿宋_GB2312"/>
          <w:sz w:val="32"/>
          <w:szCs w:val="32"/>
          <w:lang w:eastAsia="zh-CN"/>
        </w:rPr>
        <w:t>壤塘</w:t>
      </w:r>
      <w:r>
        <w:rPr>
          <w:rFonts w:hint="eastAsia" w:ascii="仿宋_GB2312" w:eastAsia="仿宋_GB2312"/>
          <w:sz w:val="32"/>
          <w:szCs w:val="32"/>
        </w:rPr>
        <w:t>卫计局部门决算共</w:t>
      </w:r>
      <w:r>
        <w:rPr>
          <w:rFonts w:hint="eastAsia" w:ascii="仿宋_GB2312" w:eastAsia="仿宋_GB2312"/>
          <w:sz w:val="32"/>
          <w:szCs w:val="32"/>
          <w:lang w:val="en-US" w:eastAsia="zh-CN"/>
        </w:rPr>
        <w:t>1</w:t>
      </w:r>
      <w:r>
        <w:rPr>
          <w:rFonts w:hint="eastAsia" w:ascii="仿宋_GB2312" w:eastAsia="仿宋_GB2312"/>
          <w:sz w:val="32"/>
          <w:szCs w:val="32"/>
        </w:rPr>
        <w:t>9个单位，卫计局局机关行政单位1个，下属二级预算单位</w:t>
      </w:r>
      <w:r>
        <w:rPr>
          <w:rFonts w:hint="eastAsia" w:ascii="仿宋_GB2312" w:eastAsia="仿宋_GB2312"/>
          <w:sz w:val="32"/>
          <w:szCs w:val="32"/>
          <w:lang w:val="en-US" w:eastAsia="zh-CN"/>
        </w:rPr>
        <w:t>1</w:t>
      </w:r>
      <w:r>
        <w:rPr>
          <w:rFonts w:hint="eastAsia" w:ascii="仿宋_GB2312" w:eastAsia="仿宋_GB2312"/>
          <w:sz w:val="32"/>
          <w:szCs w:val="32"/>
        </w:rPr>
        <w:t>8个，其中：参照公务员法管理的事业单位1个，医疗卫生机构</w:t>
      </w:r>
      <w:r>
        <w:rPr>
          <w:rFonts w:hint="eastAsia" w:ascii="仿宋_GB2312" w:eastAsia="仿宋_GB2312"/>
          <w:sz w:val="32"/>
          <w:szCs w:val="32"/>
          <w:lang w:val="en-US" w:eastAsia="zh-CN"/>
        </w:rPr>
        <w:t>1</w:t>
      </w:r>
      <w:r>
        <w:rPr>
          <w:rFonts w:hint="eastAsia" w:ascii="仿宋_GB2312" w:eastAsia="仿宋_GB2312"/>
          <w:sz w:val="32"/>
          <w:szCs w:val="32"/>
        </w:rPr>
        <w:t>7个。</w:t>
      </w:r>
    </w:p>
    <w:p>
      <w:pPr>
        <w:widowControl/>
        <w:spacing w:line="600" w:lineRule="exact"/>
        <w:ind w:firstLine="640" w:firstLineChars="200"/>
        <w:jc w:val="left"/>
        <w:outlineLvl w:val="0"/>
        <w:rPr>
          <w:rFonts w:hint="eastAsia" w:ascii="楷体_GB2312" w:hAnsi="仿宋" w:eastAsia="仿宋_GB2312"/>
          <w:b/>
          <w:sz w:val="32"/>
          <w:szCs w:val="32"/>
          <w:lang w:val="en-US" w:eastAsia="zh-CN"/>
        </w:rPr>
      </w:pPr>
      <w:r>
        <w:rPr>
          <w:rFonts w:hint="eastAsia" w:ascii="仿宋_GB2312" w:eastAsia="仿宋_GB2312"/>
          <w:sz w:val="32"/>
          <w:szCs w:val="32"/>
        </w:rPr>
        <w:t>人员情况：</w:t>
      </w:r>
      <w:r>
        <w:rPr>
          <w:rFonts w:hint="eastAsia" w:ascii="仿宋_GB2312" w:hAnsi="宋体" w:eastAsia="仿宋_GB2312" w:cs="宋体"/>
          <w:kern w:val="0"/>
          <w:sz w:val="32"/>
          <w:szCs w:val="32"/>
        </w:rPr>
        <w:t>总编制</w:t>
      </w:r>
      <w:r>
        <w:rPr>
          <w:rFonts w:hint="eastAsia" w:ascii="仿宋_GB2312" w:hAnsi="宋体" w:eastAsia="仿宋_GB2312" w:cs="宋体"/>
          <w:kern w:val="0"/>
          <w:sz w:val="32"/>
          <w:szCs w:val="32"/>
          <w:u w:val="single"/>
          <w:lang w:val="en-US" w:eastAsia="zh-CN"/>
        </w:rPr>
        <w:t>375</w:t>
      </w:r>
      <w:r>
        <w:rPr>
          <w:rFonts w:hint="eastAsia" w:ascii="仿宋_GB2312" w:hAnsi="宋体" w:eastAsia="仿宋_GB2312" w:cs="宋体"/>
          <w:kern w:val="0"/>
          <w:sz w:val="32"/>
          <w:szCs w:val="32"/>
        </w:rPr>
        <w:t>名,其中:行政编制</w:t>
      </w:r>
      <w:r>
        <w:rPr>
          <w:rFonts w:hint="eastAsia" w:ascii="仿宋_GB2312" w:hAnsi="宋体" w:eastAsia="仿宋_GB2312" w:cs="宋体"/>
          <w:kern w:val="0"/>
          <w:sz w:val="32"/>
          <w:szCs w:val="32"/>
          <w:u w:val="single"/>
        </w:rPr>
        <w:t>15</w:t>
      </w:r>
      <w:r>
        <w:rPr>
          <w:rFonts w:hint="eastAsia" w:ascii="仿宋_GB2312" w:hAnsi="宋体" w:eastAsia="仿宋_GB2312" w:cs="宋体"/>
          <w:kern w:val="0"/>
          <w:sz w:val="32"/>
          <w:szCs w:val="32"/>
        </w:rPr>
        <w:t>名</w:t>
      </w:r>
      <w:r>
        <w:rPr>
          <w:rFonts w:hint="eastAsia" w:ascii="仿宋_GB2312" w:hAnsi="宋体" w:eastAsia="仿宋_GB2312" w:cs="宋体"/>
          <w:kern w:val="0"/>
          <w:sz w:val="32"/>
          <w:szCs w:val="32"/>
          <w:lang w:eastAsia="zh-CN"/>
        </w:rPr>
        <w:t>，事业编制</w:t>
      </w:r>
      <w:r>
        <w:rPr>
          <w:rFonts w:hint="eastAsia" w:ascii="仿宋_GB2312" w:hAnsi="宋体" w:eastAsia="仿宋_GB2312" w:cs="宋体"/>
          <w:kern w:val="0"/>
          <w:sz w:val="32"/>
          <w:szCs w:val="32"/>
          <w:u w:val="single"/>
          <w:lang w:val="en-US" w:eastAsia="zh-CN"/>
        </w:rPr>
        <w:t>360</w:t>
      </w:r>
      <w:r>
        <w:rPr>
          <w:rFonts w:hint="eastAsia" w:ascii="仿宋_GB2312" w:hAnsi="宋体" w:eastAsia="仿宋_GB2312" w:cs="宋体"/>
          <w:kern w:val="0"/>
          <w:sz w:val="32"/>
          <w:szCs w:val="32"/>
        </w:rPr>
        <w:t>名</w:t>
      </w:r>
      <w:r>
        <w:rPr>
          <w:rFonts w:hint="eastAsia" w:ascii="仿宋_GB2312" w:hAnsi="宋体" w:eastAsia="仿宋_GB2312" w:cs="宋体"/>
          <w:kern w:val="0"/>
          <w:sz w:val="32"/>
          <w:szCs w:val="32"/>
          <w:lang w:eastAsia="zh-CN"/>
        </w:rPr>
        <w:t>。</w:t>
      </w:r>
    </w:p>
    <w:p>
      <w:pPr>
        <w:spacing w:line="576" w:lineRule="exact"/>
        <w:ind w:firstLine="640" w:firstLineChars="200"/>
        <w:rPr>
          <w:rFonts w:ascii="仿宋_GB2312" w:eastAsia="仿宋_GB2312"/>
          <w:sz w:val="32"/>
          <w:szCs w:val="32"/>
        </w:rPr>
      </w:pP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tabs>
          <w:tab w:val="left" w:pos="720"/>
          <w:tab w:val="left" w:pos="1620"/>
        </w:tabs>
        <w:spacing w:line="360" w:lineRule="auto"/>
        <w:ind w:firstLine="640" w:firstLineChars="200"/>
        <w:rPr>
          <w:rFonts w:hint="default" w:ascii="仿宋_GB2312" w:hAnsi="仿宋" w:eastAsia="仿宋_GB2312" w:cs="仿宋_GB2312"/>
          <w:sz w:val="32"/>
          <w:szCs w:val="32"/>
          <w:lang w:val="en-US" w:eastAsia="zh-CN"/>
        </w:rPr>
      </w:pPr>
      <w:r>
        <w:rPr>
          <w:rFonts w:ascii="仿宋_GB2312" w:hAnsi="仿宋" w:eastAsia="仿宋_GB2312" w:cs="仿宋_GB2312"/>
          <w:sz w:val="32"/>
          <w:szCs w:val="32"/>
        </w:rPr>
        <w:t>2018</w:t>
      </w:r>
      <w:r>
        <w:rPr>
          <w:rFonts w:hint="eastAsia" w:ascii="仿宋_GB2312" w:hAnsi="仿宋" w:eastAsia="仿宋_GB2312" w:cs="仿宋_GB2312"/>
          <w:sz w:val="32"/>
          <w:szCs w:val="32"/>
        </w:rPr>
        <w:t>年决算总收入216.35万元，其中：一般公共财政预算拨款216.35万元。</w:t>
      </w:r>
      <w:r>
        <w:rPr>
          <w:rFonts w:hint="eastAsia" w:ascii="仿宋_GB2312" w:hAnsi="仿宋" w:eastAsia="仿宋_GB2312" w:cs="仿宋_GB2312"/>
          <w:sz w:val="32"/>
          <w:szCs w:val="32"/>
          <w:lang w:val="en-US" w:eastAsia="zh-CN"/>
        </w:rPr>
        <w:t>本单位是2018年新增单位。</w:t>
      </w:r>
    </w:p>
    <w:p>
      <w:pPr>
        <w:spacing w:line="58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（二）部门财政资金支出情况</w:t>
      </w:r>
    </w:p>
    <w:p>
      <w:pPr>
        <w:spacing w:line="580" w:lineRule="exact"/>
        <w:ind w:firstLine="640" w:firstLineChars="200"/>
        <w:rPr>
          <w:rFonts w:hint="eastAsia" w:ascii="仿宋_GB2312" w:hAnsi="仿宋" w:eastAsia="仿宋_GB2312" w:cs="仿宋_GB2312"/>
          <w:sz w:val="32"/>
          <w:szCs w:val="32"/>
          <w:lang w:val="en-US" w:eastAsia="zh-CN"/>
        </w:rPr>
      </w:pPr>
      <w:r>
        <w:rPr>
          <w:rFonts w:ascii="仿宋_GB2312" w:hAnsi="仿宋" w:eastAsia="仿宋_GB2312" w:cs="仿宋_GB2312"/>
          <w:sz w:val="32"/>
          <w:szCs w:val="32"/>
        </w:rPr>
        <w:t>2018</w:t>
      </w:r>
      <w:r>
        <w:rPr>
          <w:rFonts w:hint="eastAsia" w:ascii="仿宋_GB2312" w:hAnsi="仿宋" w:eastAsia="仿宋_GB2312" w:cs="仿宋_GB2312"/>
          <w:sz w:val="32"/>
          <w:szCs w:val="32"/>
        </w:rPr>
        <w:t>年部门决算总支出244.35万元，其中：社会保障就业支出39万元，医疗卫生187.35万元</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本单位是2018年新增单位。</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360" w:lineRule="auto"/>
        <w:ind w:firstLine="640" w:firstLineChars="200"/>
        <w:rPr>
          <w:rFonts w:ascii="仿宋_GB2312" w:hAnsi="仿宋" w:eastAsia="仿宋_GB2312"/>
          <w:sz w:val="32"/>
          <w:szCs w:val="32"/>
        </w:rPr>
      </w:pPr>
      <w:r>
        <w:rPr>
          <w:rFonts w:hint="eastAsia" w:ascii="仿宋_GB2312" w:hAnsi="仿宋" w:eastAsia="仿宋_GB2312" w:cs="仿宋_GB2312"/>
          <w:sz w:val="32"/>
          <w:szCs w:val="32"/>
        </w:rPr>
        <w:t>我单位加强财务管理，严格按照相关财经制度执行，特别是对“三公”经费的预算控制。严格招待费用审核审批程序，“三公”经费较好地控制在预算范围之内。</w:t>
      </w:r>
    </w:p>
    <w:p>
      <w:pPr>
        <w:spacing w:line="360" w:lineRule="auto"/>
        <w:ind w:firstLine="640" w:firstLineChars="200"/>
        <w:rPr>
          <w:rFonts w:ascii="仿宋_GB2312" w:hAnsi="仿宋" w:eastAsia="仿宋_GB2312"/>
          <w:sz w:val="32"/>
          <w:szCs w:val="32"/>
        </w:rPr>
      </w:pPr>
      <w:r>
        <w:rPr>
          <w:rFonts w:hint="eastAsia" w:ascii="仿宋_GB2312" w:hAnsi="仿宋" w:eastAsia="仿宋_GB2312" w:cs="仿宋_GB2312"/>
          <w:sz w:val="32"/>
          <w:szCs w:val="32"/>
        </w:rPr>
        <w:t>为加强财务管理，勤俭办学</w:t>
      </w:r>
      <w:r>
        <w:rPr>
          <w:rFonts w:ascii="仿宋_GB2312" w:hAnsi="仿宋" w:eastAsia="仿宋_GB2312" w:cs="仿宋_GB2312"/>
          <w:sz w:val="32"/>
          <w:szCs w:val="32"/>
        </w:rPr>
        <w:t>,</w:t>
      </w:r>
      <w:r>
        <w:rPr>
          <w:rFonts w:hint="eastAsia" w:ascii="仿宋_GB2312" w:hAnsi="仿宋" w:eastAsia="仿宋_GB2312" w:cs="仿宋_GB2312"/>
          <w:sz w:val="32"/>
          <w:szCs w:val="32"/>
        </w:rPr>
        <w:t>厉行节约，促进党风廉政建设</w:t>
      </w:r>
      <w:r>
        <w:rPr>
          <w:rFonts w:ascii="仿宋_GB2312" w:hAnsi="仿宋" w:eastAsia="仿宋_GB2312" w:cs="仿宋_GB2312"/>
          <w:sz w:val="32"/>
          <w:szCs w:val="32"/>
        </w:rPr>
        <w:t>,</w:t>
      </w:r>
      <w:r>
        <w:rPr>
          <w:rFonts w:hint="eastAsia" w:ascii="仿宋_GB2312" w:hAnsi="仿宋" w:eastAsia="仿宋_GB2312" w:cs="仿宋_GB2312"/>
          <w:sz w:val="32"/>
          <w:szCs w:val="32"/>
        </w:rPr>
        <w:t>保证教学、科研、行政后勤等各项工作的顺利进行，我单位制定了财务管理制度，固定资产管理制度，并严格按照《会计法》《会计档案管理办法》进行会计凭证、账簿登记和会计档案管理。</w:t>
      </w:r>
    </w:p>
    <w:p>
      <w:pPr>
        <w:pStyle w:val="3"/>
        <w:ind w:firstLine="321" w:firstLineChars="100"/>
        <w:rPr>
          <w:rFonts w:hint="eastAsia" w:ascii="楷体_GB2312" w:hAnsi="楷体_GB2312" w:eastAsia="楷体_GB2312" w:cs="楷体_GB2312"/>
        </w:rPr>
      </w:pPr>
      <w:r>
        <w:rPr>
          <w:rFonts w:hint="eastAsia" w:ascii="楷体_GB2312" w:hAnsi="楷体_GB2312" w:eastAsia="楷体_GB2312" w:cs="楷体_GB2312"/>
        </w:rPr>
        <w:t>（二）专项预算管理</w:t>
      </w:r>
    </w:p>
    <w:p>
      <w:pPr>
        <w:spacing w:line="58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本单位不涉及专项预算管理。</w:t>
      </w:r>
    </w:p>
    <w:p>
      <w:pPr>
        <w:pStyle w:val="3"/>
        <w:ind w:firstLine="321" w:firstLineChars="100"/>
        <w:rPr>
          <w:rFonts w:hint="eastAsia" w:ascii="楷体_GB2312" w:hAnsi="楷体_GB2312" w:eastAsia="楷体_GB2312" w:cs="楷体_GB2312"/>
        </w:rPr>
      </w:pPr>
      <w:r>
        <w:rPr>
          <w:rFonts w:hint="eastAsia" w:ascii="楷体_GB2312" w:hAnsi="楷体_GB2312" w:eastAsia="楷体_GB2312" w:cs="楷体_GB2312"/>
        </w:rPr>
        <w:t>（三）结果应用情况</w:t>
      </w:r>
    </w:p>
    <w:p>
      <w:pPr>
        <w:spacing w:line="58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我单位对部门预算绩效管理工作开展</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情况进行了自查自评，将评价结果作为预算安排的重要依据，优化资金配置，不断强化绩效理念，推动我单位整体绩效管理水平不断提升。</w:t>
      </w:r>
    </w:p>
    <w:p>
      <w:pPr>
        <w:pStyle w:val="3"/>
        <w:rPr>
          <w:rFonts w:ascii="黑体" w:hAnsi="黑体" w:eastAsia="黑体" w:cs="Times New Roman"/>
        </w:rPr>
      </w:pPr>
      <w:r>
        <w:rPr>
          <w:rFonts w:hint="eastAsia" w:ascii="黑体" w:hAnsi="黑体" w:eastAsia="黑体" w:cs="黑体"/>
        </w:rPr>
        <w:t>四、评价结论及建议</w:t>
      </w:r>
    </w:p>
    <w:p>
      <w:pPr>
        <w:spacing w:line="360" w:lineRule="auto"/>
        <w:ind w:firstLine="643" w:firstLineChars="200"/>
        <w:rPr>
          <w:rFonts w:ascii="楷体" w:hAnsi="楷体" w:eastAsia="楷体"/>
          <w:b/>
          <w:bCs/>
          <w:sz w:val="32"/>
          <w:szCs w:val="32"/>
        </w:rPr>
      </w:pPr>
      <w:r>
        <w:rPr>
          <w:rFonts w:hint="eastAsia" w:ascii="楷体" w:hAnsi="楷体" w:eastAsia="楷体" w:cs="楷体"/>
          <w:b/>
          <w:bCs/>
          <w:sz w:val="32"/>
          <w:szCs w:val="32"/>
        </w:rPr>
        <w:t>（一）评价结论</w:t>
      </w:r>
    </w:p>
    <w:p>
      <w:pPr>
        <w:spacing w:line="360" w:lineRule="auto"/>
        <w:ind w:firstLine="640" w:firstLineChars="200"/>
        <w:rPr>
          <w:rFonts w:ascii="仿宋_GB2312" w:hAnsi="楷体" w:eastAsia="仿宋_GB2312"/>
          <w:sz w:val="32"/>
          <w:szCs w:val="32"/>
        </w:rPr>
      </w:pPr>
      <w:r>
        <w:rPr>
          <w:rFonts w:hint="eastAsia" w:ascii="仿宋_GB2312" w:hAnsi="楷体" w:eastAsia="仿宋_GB2312" w:cs="仿宋_GB2312"/>
          <w:sz w:val="32"/>
          <w:szCs w:val="32"/>
        </w:rPr>
        <w:t>本年，根据我单位年初工作规划，围绕县委、县政府全面建成小康社会的发展蓝图，积极履职，强化管理，较好的完成了上年度工作目标</w:t>
      </w:r>
      <w:r>
        <w:rPr>
          <w:rFonts w:hint="eastAsia" w:ascii="仿宋_GB2312" w:hAnsi="楷体" w:eastAsia="仿宋_GB2312" w:cs="仿宋_GB2312"/>
          <w:sz w:val="32"/>
          <w:szCs w:val="32"/>
          <w:lang w:val="en-US" w:eastAsia="zh-CN"/>
        </w:rPr>
        <w:t>,整体评价良好。</w:t>
      </w:r>
      <w:r>
        <w:rPr>
          <w:rFonts w:hint="eastAsia" w:ascii="仿宋_GB2312" w:hAnsi="楷体" w:eastAsia="仿宋_GB2312" w:cs="仿宋_GB2312"/>
          <w:sz w:val="32"/>
          <w:szCs w:val="32"/>
        </w:rPr>
        <w:t>通过加强预算收支管理，不断建立健全内部管理制度，梳理内部管理流程，单位整体支出管理情况得到提升。</w:t>
      </w:r>
    </w:p>
    <w:p>
      <w:pPr>
        <w:widowControl/>
        <w:adjustRightInd w:val="0"/>
        <w:snapToGrid w:val="0"/>
        <w:spacing w:line="360" w:lineRule="auto"/>
        <w:ind w:firstLine="301" w:firstLineChars="100"/>
        <w:jc w:val="left"/>
        <w:rPr>
          <w:rStyle w:val="25"/>
          <w:rFonts w:ascii="楷体" w:hAnsi="楷体" w:eastAsia="楷体" w:cs="Times New Roman"/>
        </w:rPr>
      </w:pPr>
      <w:r>
        <w:rPr>
          <w:rFonts w:hint="eastAsia" w:ascii="楷体" w:hAnsi="楷体" w:eastAsia="楷体" w:cs="楷体"/>
          <w:b/>
          <w:bCs/>
          <w:sz w:val="30"/>
          <w:szCs w:val="30"/>
        </w:rPr>
        <w:t>（二）存在问题</w:t>
      </w:r>
    </w:p>
    <w:p>
      <w:pPr>
        <w:widowControl/>
        <w:adjustRightInd w:val="0"/>
        <w:snapToGrid w:val="0"/>
        <w:spacing w:line="360" w:lineRule="auto"/>
        <w:ind w:firstLine="320" w:firstLineChars="100"/>
        <w:jc w:val="left"/>
        <w:rPr>
          <w:rFonts w:ascii="仿宋_GB2312" w:hAnsi="仿宋" w:eastAsia="仿宋_GB2312"/>
          <w:sz w:val="32"/>
          <w:szCs w:val="32"/>
        </w:rPr>
      </w:pPr>
      <w:r>
        <w:rPr>
          <w:rFonts w:hint="eastAsia" w:ascii="仿宋_GB2312" w:hAnsi="仿宋" w:eastAsia="仿宋_GB2312" w:cs="仿宋_GB2312"/>
          <w:sz w:val="32"/>
          <w:szCs w:val="32"/>
        </w:rPr>
        <w:t>业务水平有待提升，内部管理制度还需不断健全</w:t>
      </w:r>
    </w:p>
    <w:p>
      <w:pPr>
        <w:pStyle w:val="3"/>
        <w:ind w:firstLine="321" w:firstLineChars="100"/>
        <w:rPr>
          <w:rStyle w:val="25"/>
          <w:rFonts w:ascii="黑体" w:hAnsi="黑体" w:eastAsia="黑体" w:cs="Times New Roman"/>
          <w:b w:val="0"/>
          <w:bCs w:val="0"/>
        </w:rPr>
      </w:pPr>
      <w:r>
        <w:rPr>
          <w:rFonts w:hint="eastAsia" w:ascii="楷体" w:hAnsi="楷体" w:eastAsia="楷体" w:cs="楷体"/>
        </w:rPr>
        <w:t>（三）改进建议</w:t>
      </w:r>
    </w:p>
    <w:p>
      <w:pPr>
        <w:spacing w:line="360" w:lineRule="auto"/>
        <w:ind w:firstLine="320" w:firstLineChars="100"/>
        <w:rPr>
          <w:rFonts w:ascii="仿宋_GB2312" w:hAnsi="仿宋" w:eastAsia="仿宋_GB2312"/>
          <w:sz w:val="32"/>
          <w:szCs w:val="32"/>
        </w:rPr>
      </w:pPr>
      <w:r>
        <w:rPr>
          <w:rFonts w:hint="eastAsia" w:ascii="仿宋_GB2312" w:hAnsi="仿宋" w:eastAsia="仿宋_GB2312" w:cs="仿宋_GB2312"/>
          <w:sz w:val="32"/>
          <w:szCs w:val="32"/>
        </w:rPr>
        <w:t>通过加强预算收支管理，不断建立健全内部管理制度，梳理内部管理流程，单位整体支出管理情况得到提升。</w:t>
      </w:r>
    </w:p>
    <w:p/>
    <w:p/>
    <w:p/>
    <w:p/>
    <w:tbl>
      <w:tblPr>
        <w:tblStyle w:val="15"/>
        <w:tblpPr w:leftFromText="180" w:rightFromText="180" w:vertAnchor="text" w:horzAnchor="margin" w:tblpY="180"/>
        <w:tblW w:w="8520" w:type="dxa"/>
        <w:tblInd w:w="0" w:type="dxa"/>
        <w:tblLayout w:type="fixed"/>
        <w:tblCellMar>
          <w:top w:w="0" w:type="dxa"/>
          <w:left w:w="0" w:type="dxa"/>
          <w:bottom w:w="0" w:type="dxa"/>
          <w:right w:w="0" w:type="dxa"/>
        </w:tblCellMar>
      </w:tblPr>
      <w:tblGrid>
        <w:gridCol w:w="678"/>
        <w:gridCol w:w="1105"/>
        <w:gridCol w:w="2509"/>
        <w:gridCol w:w="338"/>
        <w:gridCol w:w="374"/>
        <w:gridCol w:w="3500"/>
        <w:gridCol w:w="16"/>
      </w:tblGrid>
      <w:tr>
        <w:tblPrEx>
          <w:tblLayout w:type="fixed"/>
          <w:tblCellMar>
            <w:top w:w="0" w:type="dxa"/>
            <w:left w:w="0" w:type="dxa"/>
            <w:bottom w:w="0" w:type="dxa"/>
            <w:right w:w="0" w:type="dxa"/>
          </w:tblCellMar>
        </w:tblPrEx>
        <w:trPr>
          <w:gridAfter w:val="1"/>
          <w:wAfter w:w="16" w:type="dxa"/>
          <w:trHeight w:val="335" w:hRule="atLeast"/>
        </w:trPr>
        <w:tc>
          <w:tcPr>
            <w:tcW w:w="8504" w:type="dxa"/>
            <w:gridSpan w:val="6"/>
            <w:tcBorders>
              <w:top w:val="nil"/>
              <w:left w:val="nil"/>
              <w:bottom w:val="single" w:color="000000" w:sz="4" w:space="0"/>
              <w:right w:val="nil"/>
            </w:tcBorders>
            <w:tcMar>
              <w:top w:w="15" w:type="dxa"/>
              <w:left w:w="15" w:type="dxa"/>
              <w:right w:w="15" w:type="dxa"/>
            </w:tcMar>
            <w:vAlign w:val="center"/>
          </w:tcPr>
          <w:p>
            <w:pPr>
              <w:widowControl/>
              <w:jc w:val="center"/>
              <w:textAlignment w:val="center"/>
              <w:rPr>
                <w:rFonts w:hint="eastAsia"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lang w:val="en-US" w:eastAsia="zh-CN"/>
              </w:rPr>
              <w:t>壤塘</w:t>
            </w:r>
            <w:r>
              <w:rPr>
                <w:rFonts w:hint="eastAsia" w:ascii="仿宋_GB2312" w:hAnsi="宋体" w:eastAsia="仿宋_GB2312" w:cs="宋体"/>
                <w:b/>
                <w:color w:val="000000"/>
                <w:kern w:val="0"/>
                <w:sz w:val="32"/>
                <w:szCs w:val="32"/>
              </w:rPr>
              <w:t>县</w:t>
            </w:r>
            <w:r>
              <w:rPr>
                <w:rFonts w:hint="eastAsia" w:ascii="仿宋_GB2312" w:hAnsi="宋体" w:eastAsia="仿宋_GB2312" w:cs="宋体"/>
                <w:b/>
                <w:color w:val="000000"/>
                <w:kern w:val="0"/>
                <w:sz w:val="32"/>
                <w:szCs w:val="32"/>
                <w:lang w:val="en-US" w:eastAsia="zh-CN"/>
              </w:rPr>
              <w:t>壤柯镇社区服务中心</w:t>
            </w:r>
            <w:r>
              <w:rPr>
                <w:rFonts w:hint="eastAsia" w:ascii="仿宋_GB2312" w:hAnsi="宋体" w:eastAsia="仿宋_GB2312" w:cs="宋体"/>
                <w:b/>
                <w:color w:val="000000"/>
                <w:kern w:val="0"/>
                <w:sz w:val="32"/>
                <w:szCs w:val="32"/>
              </w:rPr>
              <w:t>2018年整体</w:t>
            </w:r>
          </w:p>
          <w:p>
            <w:pPr>
              <w:widowControl/>
              <w:jc w:val="center"/>
              <w:textAlignment w:val="center"/>
              <w:rPr>
                <w:rFonts w:ascii="仿宋_GB2312" w:hAnsi="宋体" w:eastAsia="仿宋_GB2312" w:cs="宋体"/>
                <w:b/>
                <w:color w:val="000000"/>
                <w:sz w:val="32"/>
                <w:szCs w:val="32"/>
              </w:rPr>
            </w:pPr>
            <w:r>
              <w:rPr>
                <w:rFonts w:hint="eastAsia" w:ascii="仿宋_GB2312" w:hAnsi="宋体" w:eastAsia="仿宋_GB2312" w:cs="宋体"/>
                <w:b/>
                <w:color w:val="000000"/>
                <w:kern w:val="0"/>
                <w:sz w:val="32"/>
                <w:szCs w:val="32"/>
              </w:rPr>
              <w:t>支出绩效评价指标体系</w:t>
            </w:r>
          </w:p>
        </w:tc>
      </w:tr>
      <w:tr>
        <w:tblPrEx>
          <w:tblLayout w:type="fixed"/>
          <w:tblCellMar>
            <w:top w:w="0" w:type="dxa"/>
            <w:left w:w="0" w:type="dxa"/>
            <w:bottom w:w="0" w:type="dxa"/>
            <w:right w:w="0" w:type="dxa"/>
          </w:tblCellMar>
        </w:tblPrEx>
        <w:trPr>
          <w:trHeight w:val="665"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二级指标</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三级指标</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指标解释</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扣分</w:t>
            </w: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扣分理由</w:t>
            </w: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计分标准（备注）</w:t>
            </w:r>
          </w:p>
        </w:tc>
      </w:tr>
      <w:tr>
        <w:tblPrEx>
          <w:tblLayout w:type="fixed"/>
          <w:tblCellMar>
            <w:top w:w="0" w:type="dxa"/>
            <w:left w:w="0" w:type="dxa"/>
            <w:bottom w:w="0" w:type="dxa"/>
            <w:right w:w="0" w:type="dxa"/>
          </w:tblCellMar>
        </w:tblPrEx>
        <w:trPr>
          <w:trHeight w:val="884"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报送时效（2分）</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基础信息更新（2分）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部门是否按照县级部门预算编制通知和有关要求，按时完成基础库、项目库报送工作</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超过规定5个工作日扣0.5分，10个工作日扣1分，以此类推，直至扣完</w:t>
            </w:r>
          </w:p>
        </w:tc>
      </w:tr>
      <w:tr>
        <w:tblPrEx>
          <w:tblLayout w:type="fixed"/>
          <w:tblCellMar>
            <w:top w:w="0" w:type="dxa"/>
            <w:left w:w="0" w:type="dxa"/>
            <w:bottom w:w="0" w:type="dxa"/>
            <w:right w:w="0" w:type="dxa"/>
          </w:tblCellMar>
        </w:tblPrEx>
        <w:trPr>
          <w:trHeight w:val="985" w:hRule="atLeast"/>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编制质量（3分）</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预算编制准确（2分）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（预算资金总来源-中期评估调整取消资金-预算结余注销资金）÷预算资金总来源*指标分值</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其中：预算资金总来源是指县级年初预算与执行中追加预算（不含当年专款）总和</w:t>
            </w:r>
          </w:p>
        </w:tc>
      </w:tr>
      <w:tr>
        <w:tblPrEx>
          <w:tblLayout w:type="fixed"/>
          <w:tblCellMar>
            <w:top w:w="0" w:type="dxa"/>
            <w:left w:w="0" w:type="dxa"/>
            <w:bottom w:w="0" w:type="dxa"/>
            <w:right w:w="0" w:type="dxa"/>
          </w:tblCellMar>
        </w:tblPrEx>
        <w:trPr>
          <w:trHeight w:val="665"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部门预算审查（1分）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根据县人大财经委对预算草案审查结果进行考核</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对财经委审查后提出并确需修改的问题，每个问题扣0.02分，直至扣完</w:t>
            </w:r>
          </w:p>
        </w:tc>
      </w:tr>
      <w:tr>
        <w:tblPrEx>
          <w:tblLayout w:type="fixed"/>
          <w:tblCellMar>
            <w:top w:w="0" w:type="dxa"/>
            <w:left w:w="0" w:type="dxa"/>
            <w:bottom w:w="0" w:type="dxa"/>
            <w:right w:w="0" w:type="dxa"/>
          </w:tblCellMar>
        </w:tblPrEx>
        <w:trPr>
          <w:trHeight w:val="775" w:hRule="atLeast"/>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绩效目标（5分）</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部门整体绩效目标（2分）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部门整体绩效目标编制完整、合理</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部门整体绩效目标能完整、合理反映部门年度职责履行情况的得分，否则不得分</w:t>
            </w:r>
          </w:p>
        </w:tc>
      </w:tr>
      <w:tr>
        <w:tblPrEx>
          <w:tblLayout w:type="fixed"/>
          <w:tblCellMar>
            <w:top w:w="0" w:type="dxa"/>
            <w:left w:w="0" w:type="dxa"/>
            <w:bottom w:w="0" w:type="dxa"/>
            <w:right w:w="0" w:type="dxa"/>
          </w:tblCellMar>
        </w:tblPrEx>
        <w:trPr>
          <w:trHeight w:val="775"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重点项目绩效目标（3分）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项目绩效目标编制明确、量化</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项目支出绩效目标编制不明确和量化的发现一个扣0.5分，直至扣完</w:t>
            </w:r>
          </w:p>
        </w:tc>
      </w:tr>
      <w:tr>
        <w:tblPrEx>
          <w:tblLayout w:type="fixed"/>
          <w:tblCellMar>
            <w:top w:w="0" w:type="dxa"/>
            <w:left w:w="0" w:type="dxa"/>
            <w:bottom w:w="0" w:type="dxa"/>
            <w:right w:w="0" w:type="dxa"/>
          </w:tblCellMar>
        </w:tblPrEx>
        <w:trPr>
          <w:trHeight w:val="775" w:hRule="atLeast"/>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执行进度（10分）</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财力专项预算分配时限（4分）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按规定及时分配财力专项预算</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按《预算法》规定时限完成分配的考核得分，否则不得分</w:t>
            </w:r>
          </w:p>
        </w:tc>
      </w:tr>
      <w:tr>
        <w:tblPrEx>
          <w:tblLayout w:type="fixed"/>
          <w:tblCellMar>
            <w:top w:w="0" w:type="dxa"/>
            <w:left w:w="0" w:type="dxa"/>
            <w:bottom w:w="0" w:type="dxa"/>
            <w:right w:w="0" w:type="dxa"/>
          </w:tblCellMar>
        </w:tblPrEx>
        <w:trPr>
          <w:trHeight w:val="775"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部门预算执行进度（6分）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部门按要求严格预算执行管理</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部门预算实际列支数÷部门预算总额*指标分值</w:t>
            </w:r>
          </w:p>
        </w:tc>
      </w:tr>
      <w:tr>
        <w:tblPrEx>
          <w:tblLayout w:type="fixed"/>
          <w:tblCellMar>
            <w:top w:w="0" w:type="dxa"/>
            <w:left w:w="0" w:type="dxa"/>
            <w:bottom w:w="0" w:type="dxa"/>
            <w:right w:w="0" w:type="dxa"/>
          </w:tblCellMar>
        </w:tblPrEx>
        <w:trPr>
          <w:trHeight w:val="884"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预算调整（4分）</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执行中期评估（4分）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部门中期评估调整取消资金÷(中期评估调整取消资金+预算结余注销资金）*指标分值</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当中期评估调整取消资金与结余注销资金之和为零时，得满分</w:t>
            </w:r>
          </w:p>
        </w:tc>
      </w:tr>
      <w:tr>
        <w:tblPrEx>
          <w:tblLayout w:type="fixed"/>
          <w:tblCellMar>
            <w:top w:w="0" w:type="dxa"/>
            <w:left w:w="0" w:type="dxa"/>
            <w:bottom w:w="0" w:type="dxa"/>
            <w:right w:w="0" w:type="dxa"/>
          </w:tblCellMar>
        </w:tblPrEx>
        <w:trPr>
          <w:trHeight w:val="665" w:hRule="atLeast"/>
        </w:trPr>
        <w:tc>
          <w:tcPr>
            <w:tcW w:w="67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行政成本（6分）</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三公经费（6分）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严格执行“三公经费”预算</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部门“三公”经费决算数一项超预算扣1分，两项超预算扣2分，以此类推，直至扣完</w:t>
            </w:r>
          </w:p>
        </w:tc>
      </w:tr>
      <w:tr>
        <w:tblPrEx>
          <w:tblLayout w:type="fixed"/>
          <w:tblCellMar>
            <w:top w:w="0" w:type="dxa"/>
            <w:left w:w="0" w:type="dxa"/>
            <w:bottom w:w="0" w:type="dxa"/>
            <w:right w:w="0" w:type="dxa"/>
          </w:tblCellMar>
        </w:tblPrEx>
        <w:trPr>
          <w:trHeight w:val="775" w:hRule="atLeast"/>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政府采购实施计划（4分）</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政府采购实施计划编制（2）</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实施计划与政府采购预算的一致性</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（1-调整或细化资金/政府采购预算资金）*分值</w:t>
            </w:r>
          </w:p>
        </w:tc>
      </w:tr>
      <w:tr>
        <w:tblPrEx>
          <w:tblLayout w:type="fixed"/>
          <w:tblCellMar>
            <w:top w:w="0" w:type="dxa"/>
            <w:left w:w="0" w:type="dxa"/>
            <w:bottom w:w="0" w:type="dxa"/>
            <w:right w:w="0" w:type="dxa"/>
          </w:tblCellMar>
        </w:tblPrEx>
        <w:trPr>
          <w:trHeight w:val="775"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政府采购实施计划的执行（2）</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执行的实施计划与备案的实施计划的一致性</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（1-实施计划备案后的调整或细化资金/实施计划备案后的资金）*分值</w:t>
            </w:r>
          </w:p>
        </w:tc>
      </w:tr>
      <w:tr>
        <w:tblPrEx>
          <w:tblLayout w:type="fixed"/>
          <w:tblCellMar>
            <w:top w:w="0" w:type="dxa"/>
            <w:left w:w="0" w:type="dxa"/>
            <w:bottom w:w="0" w:type="dxa"/>
            <w:right w:w="0" w:type="dxa"/>
          </w:tblCellMar>
        </w:tblPrEx>
        <w:trPr>
          <w:trHeight w:val="1057" w:hRule="atLeast"/>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资产管理（6分）</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资产管理信息系统建设情况（2分）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考核部门和单位将国有资产纳入资产信息系统管理情况</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①未将所属单位国有资产纳入系统管理，每少一个单位扣1分。②未将资产变动情况及时录入系统，每次扣0.5分。③未落实人员负责管理系统，扣1分。</w:t>
            </w:r>
          </w:p>
        </w:tc>
      </w:tr>
      <w:tr>
        <w:tblPrEx>
          <w:tblLayout w:type="fixed"/>
          <w:tblCellMar>
            <w:top w:w="0" w:type="dxa"/>
            <w:left w:w="0" w:type="dxa"/>
            <w:bottom w:w="0" w:type="dxa"/>
            <w:right w:w="0" w:type="dxa"/>
          </w:tblCellMar>
        </w:tblPrEx>
        <w:trPr>
          <w:trHeight w:val="1625"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行政事业单位资产清查开展情况（2分）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考核行政事业单位按要求及时、准确、全面开展资产清查工作情况</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①未在规定时间内完成资产清查任务扣1分。②资产清查结果与财政组织复核的结果误差超过10%的扣1分。③未及时按批复的清查结果进行账务调整扣1分。④未及时更新资产管理信息系统，导致系统资产数据与上报财政的资产清查结果不一致扣1分。</w:t>
            </w:r>
          </w:p>
        </w:tc>
      </w:tr>
      <w:tr>
        <w:tblPrEx>
          <w:tblLayout w:type="fixed"/>
          <w:tblCellMar>
            <w:top w:w="0" w:type="dxa"/>
            <w:left w:w="0" w:type="dxa"/>
            <w:bottom w:w="0" w:type="dxa"/>
            <w:right w:w="0" w:type="dxa"/>
          </w:tblCellMar>
        </w:tblPrEx>
        <w:trPr>
          <w:trHeight w:val="1305"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行政事业单位资产报表上报情况（2分）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考核行政事业单位上报国有资产报表数据的真实性、准确性、全面性</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①未落实专人负责资产报表，未及时上报资产报表扣1分。②报表填报不规范，内容不完整，数据不真实，扣1分。③未提交分析报告，对资产变动情况未作分析说明，扣1分。</w:t>
            </w:r>
          </w:p>
        </w:tc>
      </w:tr>
      <w:tr>
        <w:tblPrEx>
          <w:tblLayout w:type="fixed"/>
          <w:tblCellMar>
            <w:top w:w="0" w:type="dxa"/>
            <w:left w:w="0" w:type="dxa"/>
            <w:bottom w:w="0" w:type="dxa"/>
            <w:right w:w="0" w:type="dxa"/>
          </w:tblCellMar>
        </w:tblPrEx>
        <w:trPr>
          <w:trHeight w:val="1057" w:hRule="atLeast"/>
        </w:trPr>
        <w:tc>
          <w:tcPr>
            <w:tcW w:w="67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内控制度管理（4分）</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内部控制度健全完整（4分）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考核部门内部控制制度的设置和执行情况</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1</w:t>
            </w: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color w:val="000000"/>
                <w:sz w:val="16"/>
                <w:szCs w:val="16"/>
                <w:lang w:eastAsia="zh-CN"/>
              </w:rPr>
            </w:pPr>
            <w:r>
              <w:rPr>
                <w:rFonts w:hint="eastAsia" w:ascii="宋体" w:hAnsi="宋体" w:cs="宋体"/>
                <w:color w:val="000000"/>
                <w:sz w:val="16"/>
                <w:szCs w:val="16"/>
                <w:lang w:eastAsia="zh-CN"/>
              </w:rPr>
              <w:t>制度还需要不断健全</w:t>
            </w: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内部控制制度健全完整并执行良好的得分，否则不得分。在本年度内因内控制度不健全或执行不到位，造成单位出现廉政风险或发生重大责任事故的不得分。</w:t>
            </w:r>
          </w:p>
        </w:tc>
      </w:tr>
      <w:tr>
        <w:tblPrEx>
          <w:tblLayout w:type="fixed"/>
          <w:tblCellMar>
            <w:top w:w="0" w:type="dxa"/>
            <w:left w:w="0" w:type="dxa"/>
            <w:bottom w:w="0" w:type="dxa"/>
            <w:right w:w="0" w:type="dxa"/>
          </w:tblCellMar>
        </w:tblPrEx>
        <w:trPr>
          <w:trHeight w:val="1305" w:hRule="atLeast"/>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信息公开（10分）</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预算公开（4分）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除涉密信息外，各部门要在财政部门批复后二十日内向社会公开本部门预算（含所有财政资金安排的“三公”经费、机关运行经费的安排、使用情况等）</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按县财政通知要求公开预算，未按要求公开的，发现一处扣0.5分，直至扣完</w:t>
            </w:r>
          </w:p>
        </w:tc>
      </w:tr>
      <w:tr>
        <w:tblPrEx>
          <w:tblLayout w:type="fixed"/>
          <w:tblCellMar>
            <w:top w:w="0" w:type="dxa"/>
            <w:left w:w="0" w:type="dxa"/>
            <w:bottom w:w="0" w:type="dxa"/>
            <w:right w:w="0" w:type="dxa"/>
          </w:tblCellMar>
        </w:tblPrEx>
        <w:trPr>
          <w:trHeight w:val="1305"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决算公开（4分）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除涉密信息外，各部门要在财政部门批复二十日内向社会公开本部门决算（含所有财政资金安排的“三公”经费、机关运行经费的安排、使用情况等）</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未按要求公开的，发现一处问题0.5分，直至扣完</w:t>
            </w:r>
          </w:p>
        </w:tc>
      </w:tr>
      <w:tr>
        <w:tblPrEx>
          <w:tblLayout w:type="fixed"/>
          <w:tblCellMar>
            <w:top w:w="0" w:type="dxa"/>
            <w:left w:w="0" w:type="dxa"/>
            <w:bottom w:w="0" w:type="dxa"/>
            <w:right w:w="0" w:type="dxa"/>
          </w:tblCellMar>
        </w:tblPrEx>
        <w:trPr>
          <w:trHeight w:val="665"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绩效信息公开（2分）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按要求公开部门整体支出绩效自评报告及其他按要求应公开的绩效信息</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未按要求公开的，发现一处问题0.5分，直至扣完</w:t>
            </w:r>
          </w:p>
        </w:tc>
      </w:tr>
      <w:tr>
        <w:tblPrEx>
          <w:tblLayout w:type="fixed"/>
          <w:tblCellMar>
            <w:top w:w="0" w:type="dxa"/>
            <w:left w:w="0" w:type="dxa"/>
            <w:bottom w:w="0" w:type="dxa"/>
            <w:right w:w="0" w:type="dxa"/>
          </w:tblCellMar>
        </w:tblPrEx>
        <w:trPr>
          <w:trHeight w:val="1305" w:hRule="atLeast"/>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绩效评价（10分）</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评价项目覆盖率（2分）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部门实施绩效评价项目数量占部门管理专项预算项目数量的比重，部门申报绩效目标项目数量的比重，用以反映和考核部门实施绩效评价项目资金覆盖情况</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评价覆盖率=实施绩效评价项目数量/部门管理专项预算项目数量×100%</w:t>
            </w:r>
          </w:p>
        </w:tc>
      </w:tr>
      <w:tr>
        <w:tblPrEx>
          <w:tblLayout w:type="fixed"/>
          <w:tblCellMar>
            <w:top w:w="0" w:type="dxa"/>
            <w:left w:w="0" w:type="dxa"/>
            <w:bottom w:w="0" w:type="dxa"/>
            <w:right w:w="0" w:type="dxa"/>
          </w:tblCellMar>
        </w:tblPrEx>
        <w:trPr>
          <w:trHeight w:val="665"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评价层次（2分）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部门（单位）是否对单位内部股室开展整体绩效评价</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对单位内部实施评价的得分，否则不得分</w:t>
            </w:r>
          </w:p>
        </w:tc>
      </w:tr>
      <w:tr>
        <w:tblPrEx>
          <w:tblLayout w:type="fixed"/>
          <w:tblCellMar>
            <w:top w:w="0" w:type="dxa"/>
            <w:left w:w="0" w:type="dxa"/>
            <w:bottom w:w="0" w:type="dxa"/>
            <w:right w:w="0" w:type="dxa"/>
          </w:tblCellMar>
        </w:tblPrEx>
        <w:trPr>
          <w:trHeight w:val="665"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评价结果报告（2分）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部门是否按要求向财政部门报告自评报告等相关绩效信息</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未按要求报送的，发现一处扣0.5分，直至扣完。</w:t>
            </w:r>
          </w:p>
        </w:tc>
      </w:tr>
      <w:tr>
        <w:tblPrEx>
          <w:tblLayout w:type="fixed"/>
          <w:tblCellMar>
            <w:top w:w="0" w:type="dxa"/>
            <w:left w:w="0" w:type="dxa"/>
            <w:bottom w:w="0" w:type="dxa"/>
            <w:right w:w="0" w:type="dxa"/>
          </w:tblCellMar>
        </w:tblPrEx>
        <w:trPr>
          <w:trHeight w:val="665"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整改完成率（4分）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部门是否按要求针对绩效评价发现问题制定整改措施，并整改落实到位</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完成率=应制定整改措施的项目数量/部门实际制定整改措施项目数量×100%。</w:t>
            </w:r>
          </w:p>
        </w:tc>
      </w:tr>
      <w:tr>
        <w:tblPrEx>
          <w:tblLayout w:type="fixed"/>
          <w:tblCellMar>
            <w:top w:w="0" w:type="dxa"/>
            <w:left w:w="0" w:type="dxa"/>
            <w:bottom w:w="0" w:type="dxa"/>
            <w:right w:w="0" w:type="dxa"/>
          </w:tblCellMar>
        </w:tblPrEx>
        <w:trPr>
          <w:trHeight w:val="1305" w:hRule="atLeast"/>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依法接受财政监督（6分）</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是否按要求开展自查自纠（2分）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根据相关自查自纠报告、报表报送时效和质量进行考核</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未在规定时间内报送自查自纠相关材料（包括：纸质和电子版）的，扣0.5分；报告内容不完整，扣1分；报表质量差（如：数据、逻辑、勾稽关系错误）等扣0.5分；直至扣完</w:t>
            </w:r>
          </w:p>
        </w:tc>
      </w:tr>
      <w:tr>
        <w:tblPrEx>
          <w:tblLayout w:type="fixed"/>
          <w:tblCellMar>
            <w:top w:w="0" w:type="dxa"/>
            <w:left w:w="0" w:type="dxa"/>
            <w:bottom w:w="0" w:type="dxa"/>
            <w:right w:w="0" w:type="dxa"/>
          </w:tblCellMar>
        </w:tblPrEx>
        <w:trPr>
          <w:trHeight w:val="775"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重点检查发现违规违纪问题（2分）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根据检查组提供的工作底稿、检查报告等资料进行考核</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专项检查发现的违纪违规问题，每个问题扣0.5分，直至扣完</w:t>
            </w:r>
          </w:p>
        </w:tc>
      </w:tr>
      <w:tr>
        <w:tblPrEx>
          <w:tblLayout w:type="fixed"/>
          <w:tblCellMar>
            <w:top w:w="0" w:type="dxa"/>
            <w:left w:w="0" w:type="dxa"/>
            <w:bottom w:w="0" w:type="dxa"/>
            <w:right w:w="0" w:type="dxa"/>
          </w:tblCellMar>
        </w:tblPrEx>
        <w:trPr>
          <w:trHeight w:val="775"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存在问题整改是否到位（2分）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根据相关整改报告、凭证依据等相关证明材料进行考核</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未在规定时间内完成整改，并提供相关证明材料的，每个问题0.5分，直至扣完</w:t>
            </w:r>
          </w:p>
        </w:tc>
      </w:tr>
      <w:tr>
        <w:tblPrEx>
          <w:tblLayout w:type="fixed"/>
          <w:tblCellMar>
            <w:top w:w="0" w:type="dxa"/>
            <w:left w:w="0" w:type="dxa"/>
            <w:bottom w:w="0" w:type="dxa"/>
            <w:right w:w="0" w:type="dxa"/>
          </w:tblCellMar>
        </w:tblPrEx>
        <w:trPr>
          <w:trHeight w:val="775" w:hRule="atLeast"/>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部门整体绩效（30分）</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重点项目绩效评价结果（10分）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部门实施重大项目的经济、社会效益</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根据县财政组织实施项目绩效评价结果换算</w:t>
            </w:r>
          </w:p>
        </w:tc>
      </w:tr>
      <w:tr>
        <w:tblPrEx>
          <w:tblLayout w:type="fixed"/>
          <w:tblCellMar>
            <w:top w:w="0" w:type="dxa"/>
            <w:left w:w="0" w:type="dxa"/>
            <w:bottom w:w="0" w:type="dxa"/>
            <w:right w:w="0" w:type="dxa"/>
          </w:tblCellMar>
        </w:tblPrEx>
        <w:trPr>
          <w:trHeight w:val="345"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11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部门职能完成情况特性指标（20分）</w:t>
            </w:r>
          </w:p>
        </w:tc>
        <w:tc>
          <w:tcPr>
            <w:tcW w:w="25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根据部门职能职责、州级主管部门和县委县政府安排的各项专项工作任务及其他年度重点工作任务等，汇总梳理形成能够量化衡量且全面反映部门职能工作完成情况的若干指标。</w:t>
            </w:r>
          </w:p>
        </w:tc>
        <w:tc>
          <w:tcPr>
            <w:tcW w:w="3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516"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部门和评价组根据部门实际设置</w:t>
            </w:r>
          </w:p>
        </w:tc>
      </w:tr>
      <w:tr>
        <w:tblPrEx>
          <w:tblLayout w:type="fixed"/>
          <w:tblCellMar>
            <w:top w:w="0" w:type="dxa"/>
            <w:left w:w="0" w:type="dxa"/>
            <w:bottom w:w="0" w:type="dxa"/>
            <w:right w:w="0" w:type="dxa"/>
          </w:tblCellMar>
        </w:tblPrEx>
        <w:trPr>
          <w:trHeight w:val="1280"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2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3516"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6"/>
                <w:szCs w:val="16"/>
              </w:rPr>
            </w:pPr>
          </w:p>
        </w:tc>
      </w:tr>
      <w:tr>
        <w:tblPrEx>
          <w:tblLayout w:type="fixed"/>
          <w:tblCellMar>
            <w:top w:w="0" w:type="dxa"/>
            <w:left w:w="0" w:type="dxa"/>
            <w:bottom w:w="0" w:type="dxa"/>
            <w:right w:w="0" w:type="dxa"/>
          </w:tblCellMar>
        </w:tblPrEx>
        <w:trPr>
          <w:gridAfter w:val="1"/>
          <w:wAfter w:w="16" w:type="dxa"/>
          <w:trHeight w:val="665" w:hRule="atLeast"/>
        </w:trPr>
        <w:tc>
          <w:tcPr>
            <w:tcW w:w="8504" w:type="dxa"/>
            <w:gridSpan w:val="6"/>
            <w:tcBorders>
              <w:top w:val="single" w:color="000000" w:sz="4" w:space="0"/>
              <w:left w:val="nil"/>
              <w:bottom w:val="nil"/>
              <w:right w:val="nil"/>
            </w:tcBorders>
            <w:tcMar>
              <w:top w:w="15" w:type="dxa"/>
              <w:left w:w="15" w:type="dxa"/>
              <w:right w:w="15" w:type="dxa"/>
            </w:tcMar>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注：若某部门不存在某项评价内容或评价指标，则该评价内容或评价指标不计入该部门考核评价范围，即该部门评价总分＝不含该评价内容或指标的评价总分/（100-该评价内容或指标所占分值）*100。</w:t>
            </w:r>
          </w:p>
        </w:tc>
      </w:tr>
    </w:tbl>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80" w:lineRule="exact"/>
        <w:jc w:val="center"/>
        <w:rPr>
          <w:rStyle w:val="24"/>
          <w:rFonts w:ascii="黑体" w:hAnsi="黑体" w:eastAsia="黑体"/>
          <w:b w:val="0"/>
        </w:rPr>
      </w:pPr>
      <w:bookmarkStart w:id="48"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44"/>
      <w:bookmarkEnd w:id="48"/>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49"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49"/>
    </w:p>
    <w:p>
      <w:pPr>
        <w:pStyle w:val="3"/>
        <w:rPr>
          <w:rFonts w:ascii="仿宋" w:hAnsi="仿宋" w:eastAsia="仿宋"/>
          <w:color w:val="000000"/>
        </w:rPr>
      </w:pPr>
      <w:bookmarkStart w:id="50" w:name="_Toc15396620"/>
      <w:r>
        <w:rPr>
          <w:rFonts w:hint="eastAsia" w:ascii="仿宋" w:hAnsi="仿宋" w:eastAsia="仿宋"/>
          <w:b w:val="0"/>
          <w:color w:val="000000"/>
        </w:rPr>
        <w:t>二、收</w:t>
      </w:r>
      <w:r>
        <w:rPr>
          <w:rStyle w:val="25"/>
          <w:rFonts w:hint="eastAsia" w:ascii="仿宋" w:hAnsi="仿宋" w:eastAsia="仿宋"/>
          <w:b w:val="0"/>
          <w:bCs w:val="0"/>
        </w:rPr>
        <w:t>入总表</w:t>
      </w:r>
      <w:bookmarkEnd w:id="50"/>
    </w:p>
    <w:p>
      <w:pPr>
        <w:pStyle w:val="3"/>
        <w:rPr>
          <w:rFonts w:ascii="仿宋" w:hAnsi="仿宋" w:eastAsia="仿宋"/>
          <w:color w:val="000000"/>
        </w:rPr>
      </w:pPr>
      <w:bookmarkStart w:id="51"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出总表</w:t>
      </w:r>
      <w:bookmarkEnd w:id="51"/>
    </w:p>
    <w:p>
      <w:pPr>
        <w:pStyle w:val="3"/>
        <w:rPr>
          <w:rFonts w:ascii="仿宋" w:hAnsi="仿宋" w:eastAsia="仿宋"/>
          <w:b w:val="0"/>
          <w:color w:val="000000"/>
        </w:rPr>
      </w:pPr>
      <w:bookmarkStart w:id="52"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52"/>
    </w:p>
    <w:p>
      <w:pPr>
        <w:pStyle w:val="3"/>
        <w:rPr>
          <w:rFonts w:ascii="仿宋" w:hAnsi="仿宋" w:eastAsia="仿宋"/>
          <w:color w:val="000000"/>
        </w:rPr>
      </w:pPr>
      <w:bookmarkStart w:id="53"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政拨款支出决算明细表（政府经济分类科目）</w:t>
      </w:r>
      <w:bookmarkEnd w:id="53"/>
    </w:p>
    <w:p>
      <w:pPr>
        <w:pStyle w:val="3"/>
        <w:rPr>
          <w:rFonts w:ascii="仿宋" w:hAnsi="仿宋" w:eastAsia="仿宋"/>
          <w:color w:val="000000"/>
        </w:rPr>
      </w:pPr>
      <w:bookmarkStart w:id="54" w:name="_Toc15396624"/>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54"/>
    </w:p>
    <w:p>
      <w:pPr>
        <w:pStyle w:val="3"/>
        <w:rPr>
          <w:rFonts w:ascii="仿宋" w:hAnsi="仿宋" w:eastAsia="仿宋"/>
          <w:color w:val="000000"/>
        </w:rPr>
      </w:pPr>
      <w:bookmarkStart w:id="55"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55"/>
    </w:p>
    <w:p>
      <w:pPr>
        <w:pStyle w:val="3"/>
        <w:rPr>
          <w:rFonts w:ascii="仿宋" w:hAnsi="仿宋" w:eastAsia="仿宋"/>
          <w:color w:val="000000"/>
        </w:rPr>
      </w:pPr>
      <w:bookmarkStart w:id="56"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56"/>
    </w:p>
    <w:p>
      <w:pPr>
        <w:pStyle w:val="3"/>
        <w:rPr>
          <w:rFonts w:ascii="仿宋" w:hAnsi="仿宋" w:eastAsia="仿宋"/>
          <w:color w:val="000000"/>
        </w:rPr>
      </w:pPr>
      <w:bookmarkStart w:id="57"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57"/>
    </w:p>
    <w:p>
      <w:pPr>
        <w:pStyle w:val="3"/>
        <w:rPr>
          <w:rFonts w:ascii="仿宋" w:hAnsi="仿宋" w:eastAsia="仿宋"/>
          <w:color w:val="000000"/>
        </w:rPr>
      </w:pPr>
      <w:bookmarkStart w:id="58"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58"/>
    </w:p>
    <w:p>
      <w:pPr>
        <w:pStyle w:val="3"/>
        <w:rPr>
          <w:rFonts w:ascii="仿宋" w:hAnsi="仿宋" w:eastAsia="仿宋"/>
          <w:color w:val="000000"/>
        </w:rPr>
      </w:pPr>
      <w:bookmarkStart w:id="59"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59"/>
    </w:p>
    <w:p>
      <w:pPr>
        <w:pStyle w:val="3"/>
        <w:rPr>
          <w:rFonts w:ascii="仿宋" w:hAnsi="仿宋" w:eastAsia="仿宋"/>
          <w:color w:val="000000"/>
        </w:rPr>
      </w:pPr>
      <w:bookmarkStart w:id="60"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60"/>
    </w:p>
    <w:p>
      <w:pPr>
        <w:pStyle w:val="3"/>
        <w:rPr>
          <w:rFonts w:ascii="仿宋" w:hAnsi="仿宋" w:eastAsia="仿宋"/>
          <w:color w:val="000000" w:themeColor="text1"/>
          <w14:textFill>
            <w14:solidFill>
              <w14:schemeClr w14:val="tx1"/>
            </w14:solidFill>
          </w14:textFill>
        </w:rPr>
      </w:pPr>
      <w:bookmarkStart w:id="61"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61"/>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EF80C6FE"/>
    <w:multiLevelType w:val="singleLevel"/>
    <w:tmpl w:val="EF80C6FE"/>
    <w:lvl w:ilvl="0" w:tentative="0">
      <w:start w:val="2"/>
      <w:numFmt w:val="chineseCounting"/>
      <w:suff w:val="nothing"/>
      <w:lvlText w:val="（%1）"/>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28A8"/>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0984"/>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37F55"/>
    <w:rsid w:val="006440E4"/>
    <w:rsid w:val="0066343B"/>
    <w:rsid w:val="00664777"/>
    <w:rsid w:val="00672385"/>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2D13"/>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B7F1F"/>
    <w:rsid w:val="00ED1B63"/>
    <w:rsid w:val="00ED3C1F"/>
    <w:rsid w:val="00ED4085"/>
    <w:rsid w:val="00ED420E"/>
    <w:rsid w:val="00EE2F57"/>
    <w:rsid w:val="00EF4C34"/>
    <w:rsid w:val="00EF77C6"/>
    <w:rsid w:val="00F05438"/>
    <w:rsid w:val="00F1361C"/>
    <w:rsid w:val="00F160C7"/>
    <w:rsid w:val="00F36D8F"/>
    <w:rsid w:val="00F417B1"/>
    <w:rsid w:val="00F602DF"/>
    <w:rsid w:val="00F61B31"/>
    <w:rsid w:val="00F81FD9"/>
    <w:rsid w:val="00F841AA"/>
    <w:rsid w:val="00FA23E8"/>
    <w:rsid w:val="00FD3CC1"/>
    <w:rsid w:val="00FF1E02"/>
    <w:rsid w:val="00FF30B4"/>
    <w:rsid w:val="10C055FF"/>
    <w:rsid w:val="16BB723D"/>
    <w:rsid w:val="174D4B08"/>
    <w:rsid w:val="240371BF"/>
    <w:rsid w:val="29FD04D3"/>
    <w:rsid w:val="2B7830D3"/>
    <w:rsid w:val="319F7F4E"/>
    <w:rsid w:val="417C47FF"/>
    <w:rsid w:val="46FB68C7"/>
    <w:rsid w:val="4DF25379"/>
    <w:rsid w:val="57572CB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2">
    <w:name w:val="Default Paragraph Font"/>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3">
    <w:name w:val="Strong"/>
    <w:basedOn w:val="12"/>
    <w:qFormat/>
    <w:uiPriority w:val="99"/>
    <w:rPr>
      <w:b/>
    </w:rPr>
  </w:style>
  <w:style w:type="character" w:styleId="14">
    <w:name w:val="Hyperlink"/>
    <w:basedOn w:val="12"/>
    <w:unhideWhenUsed/>
    <w:qFormat/>
    <w:uiPriority w:val="99"/>
    <w:rPr>
      <w:color w:val="0000FF" w:themeColor="hyperlink"/>
      <w:u w:val="single"/>
      <w14:textFill>
        <w14:solidFill>
          <w14:schemeClr w14:val="hlink"/>
        </w14:solidFill>
      </w14:textFill>
    </w:rPr>
  </w:style>
  <w:style w:type="character" w:customStyle="1" w:styleId="16">
    <w:name w:val="Header Char"/>
    <w:basedOn w:val="12"/>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2"/>
    <w:semiHidden/>
    <w:qFormat/>
    <w:uiPriority w:val="99"/>
    <w:rPr>
      <w:rFonts w:ascii="Times New Roman" w:hAnsi="Times New Roman"/>
      <w:sz w:val="18"/>
      <w:szCs w:val="18"/>
    </w:rPr>
  </w:style>
  <w:style w:type="character" w:customStyle="1" w:styleId="19">
    <w:name w:val="页脚 Char"/>
    <w:link w:val="8"/>
    <w:locked/>
    <w:uiPriority w:val="99"/>
    <w:rPr>
      <w:sz w:val="18"/>
    </w:rPr>
  </w:style>
  <w:style w:type="character" w:customStyle="1" w:styleId="20">
    <w:name w:val="Body Text Char"/>
    <w:basedOn w:val="12"/>
    <w:semiHidden/>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2"/>
    <w:link w:val="2"/>
    <w:uiPriority w:val="9"/>
    <w:rPr>
      <w:rFonts w:ascii="Times New Roman" w:hAnsi="Times New Roman"/>
      <w:b/>
      <w:bCs/>
      <w:kern w:val="44"/>
      <w:sz w:val="44"/>
      <w:szCs w:val="44"/>
    </w:rPr>
  </w:style>
  <w:style w:type="character" w:customStyle="1" w:styleId="25">
    <w:name w:val="标题 2 Char"/>
    <w:basedOn w:val="12"/>
    <w:link w:val="3"/>
    <w:uiPriority w:val="9"/>
    <w:rPr>
      <w:rFonts w:asciiTheme="majorHAnsi" w:hAnsiTheme="majorHAnsi" w:eastAsiaTheme="majorEastAsia" w:cstheme="majorBidi"/>
      <w:b/>
      <w:bCs/>
      <w:kern w:val="2"/>
      <w:sz w:val="32"/>
      <w:szCs w:val="32"/>
    </w:rPr>
  </w:style>
  <w:style w:type="paragraph" w:customStyle="1" w:styleId="26">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2"/>
    <w:link w:val="7"/>
    <w:semiHidden/>
    <w:uiPriority w:val="99"/>
    <w:rPr>
      <w:rFonts w:ascii="Times New Roman" w:hAnsi="Times New Roman"/>
      <w:kern w:val="2"/>
      <w:sz w:val="18"/>
      <w:szCs w:val="18"/>
    </w:rPr>
  </w:style>
  <w:style w:type="character" w:customStyle="1" w:styleId="28">
    <w:name w:val="标题 3 Char"/>
    <w:basedOn w:val="12"/>
    <w:link w:val="4"/>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Desktop\&#26032;&#24314;%20XLS%20&#24037;&#20316;&#34920;.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Desktop\&#26032;&#24314;%20XLS%20&#24037;&#20316;&#34920;.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Desktop\&#26032;&#24314;%20XLS%20&#24037;&#20316;&#34920;.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Desktop\&#26032;&#24314;%20XLS%20&#24037;&#20316;&#34920;.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Desktop\&#26032;&#24314;%20XLS%20&#24037;&#20316;&#34920;.xls"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Desktop\&#26032;&#24314;%20XLS%20&#24037;&#20316;&#34920;.xls"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795085289632869"/>
          <c:y val="0.171727721056281"/>
          <c:w val="0.711583333333333"/>
          <c:h val="0.710972222222222"/>
        </c:manualLayout>
      </c:layout>
      <c:barChart>
        <c:barDir val="col"/>
        <c:grouping val="clustered"/>
        <c:varyColors val="0"/>
        <c:ser>
          <c:idx val="0"/>
          <c:order val="0"/>
          <c:tx>
            <c:strRef>
              <c:f>'[新建 XLS 工作表.xls]Sheet1'!$A$1</c:f>
              <c:strCache>
                <c:ptCount val="1"/>
                <c:pt idx="0">
                  <c:v>2018年收支</c:v>
                </c:pt>
              </c:strCache>
            </c:strRef>
          </c:tx>
          <c:spPr>
            <a:solidFill>
              <a:schemeClr val="accent1"/>
            </a:solidFill>
            <a:ln>
              <a:noFill/>
            </a:ln>
            <a:effectLst/>
          </c:spPr>
          <c:invertIfNegative val="0"/>
          <c:dLbls>
            <c:delete val="1"/>
          </c:dLbls>
          <c:val>
            <c:numRef>
              <c:f>'[新建 XLS 工作表.xls]Sheet1'!$B$1</c:f>
              <c:numCache>
                <c:formatCode>General</c:formatCode>
                <c:ptCount val="1"/>
                <c:pt idx="0">
                  <c:v>244.35</c:v>
                </c:pt>
              </c:numCache>
            </c:numRef>
          </c:val>
        </c:ser>
        <c:dLbls>
          <c:showLegendKey val="0"/>
          <c:showVal val="0"/>
          <c:showCatName val="0"/>
          <c:showSerName val="0"/>
          <c:showPercent val="0"/>
          <c:showBubbleSize val="0"/>
        </c:dLbls>
        <c:gapWidth val="150"/>
        <c:overlap val="0"/>
        <c:axId val="618544002"/>
        <c:axId val="727866614"/>
      </c:barChart>
      <c:catAx>
        <c:axId val="61854400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7866614"/>
        <c:crosses val="autoZero"/>
        <c:auto val="1"/>
        <c:lblAlgn val="ctr"/>
        <c:lblOffset val="100"/>
        <c:noMultiLvlLbl val="0"/>
      </c:catAx>
      <c:valAx>
        <c:axId val="72786661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8544002"/>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'[新建 XLS 工作表.xls]Sheet1'!$A$3</c:f>
              <c:strCache>
                <c:ptCount val="1"/>
                <c:pt idx="0">
                  <c:v>2018年一般公共预算财政拨款收入</c:v>
                </c:pt>
              </c:strCache>
            </c:strRef>
          </c:tx>
          <c:spPr/>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'[新建 XLS 工作表.xls]Sheet1'!$B$3</c:f>
              <c:numCache>
                <c:formatCode>General</c:formatCode>
                <c:ptCount val="1"/>
                <c:pt idx="0">
                  <c:v>216.35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79027777777778"/>
          <c:y val="0.0486111111111111"/>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'[新建 XLS 工作表.xls]Sheet1'!$A$5</c:f>
              <c:strCache>
                <c:ptCount val="1"/>
                <c:pt idx="0">
                  <c:v>基本支出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'[新建 XLS 工作表.xls]Sheet1'!$B$4:$C$4</c:f>
              <c:numCache>
                <c:formatCode>General</c:formatCode>
                <c:ptCount val="2"/>
              </c:numCache>
            </c:numRef>
          </c:cat>
          <c:val>
            <c:numRef>
              <c:f>'[新建 XLS 工作表.xls]Sheet1'!$B$5:$C$5</c:f>
              <c:numCache>
                <c:formatCode>General</c:formatCode>
                <c:ptCount val="2"/>
                <c:pt idx="0">
                  <c:v>244.35</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103972222222222"/>
          <c:y val="0.00694444444444444"/>
          <c:w val="0.686583333333333"/>
          <c:h val="0.710972222222222"/>
        </c:manualLayout>
      </c:layout>
      <c:barChart>
        <c:barDir val="col"/>
        <c:grouping val="clustered"/>
        <c:varyColors val="0"/>
        <c:ser>
          <c:idx val="0"/>
          <c:order val="0"/>
          <c:tx>
            <c:strRef>
              <c:f>'[新建 XLS 工作表.xls]Sheet1'!$A$1</c:f>
              <c:strCache>
                <c:ptCount val="1"/>
                <c:pt idx="0">
                  <c:v>2018年总收支</c:v>
                </c:pt>
              </c:strCache>
            </c:strRef>
          </c:tx>
          <c:spPr>
            <a:solidFill>
              <a:schemeClr val="accent1"/>
            </a:solidFill>
            <a:ln>
              <a:noFill/>
            </a:ln>
            <a:effectLst/>
          </c:spPr>
          <c:invertIfNegative val="0"/>
          <c:dLbls>
            <c:delete val="1"/>
          </c:dLbls>
          <c:val>
            <c:numRef>
              <c:f>'[新建 XLS 工作表.xls]Sheet1'!$B$1</c:f>
              <c:numCache>
                <c:formatCode>General</c:formatCode>
                <c:ptCount val="1"/>
                <c:pt idx="0">
                  <c:v>244.35</c:v>
                </c:pt>
              </c:numCache>
            </c:numRef>
          </c:val>
        </c:ser>
        <c:dLbls>
          <c:showLegendKey val="0"/>
          <c:showVal val="0"/>
          <c:showCatName val="0"/>
          <c:showSerName val="0"/>
          <c:showPercent val="0"/>
          <c:showBubbleSize val="0"/>
        </c:dLbls>
        <c:gapWidth val="150"/>
        <c:overlap val="0"/>
        <c:axId val="567405580"/>
        <c:axId val="440880145"/>
      </c:barChart>
      <c:catAx>
        <c:axId val="56740558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0880145"/>
        <c:crosses val="autoZero"/>
        <c:auto val="1"/>
        <c:lblAlgn val="ctr"/>
        <c:lblOffset val="100"/>
        <c:noMultiLvlLbl val="0"/>
      </c:catAx>
      <c:valAx>
        <c:axId val="44088014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7405580"/>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'[新建 XLS 工作表.xls]Sheet1'!$A$8</c:f>
              <c:strCache>
                <c:ptCount val="1"/>
                <c:pt idx="0">
                  <c:v>2018年一般公共预算财政拨款支出</c:v>
                </c:pt>
              </c:strCache>
            </c:strRef>
          </c:tx>
          <c:spPr>
            <a:solidFill>
              <a:schemeClr val="accent1"/>
            </a:solidFill>
            <a:ln>
              <a:noFill/>
            </a:ln>
            <a:effectLst/>
          </c:spPr>
          <c:invertIfNegative val="0"/>
          <c:dLbls>
            <c:delete val="1"/>
          </c:dLbls>
          <c:val>
            <c:numRef>
              <c:f>'[新建 XLS 工作表.xls]Sheet1'!$B$8</c:f>
              <c:numCache>
                <c:formatCode>General</c:formatCode>
                <c:ptCount val="1"/>
                <c:pt idx="0">
                  <c:v>244.35</c:v>
                </c:pt>
              </c:numCache>
            </c:numRef>
          </c:val>
        </c:ser>
        <c:dLbls>
          <c:showLegendKey val="0"/>
          <c:showVal val="0"/>
          <c:showCatName val="0"/>
          <c:showSerName val="0"/>
          <c:showPercent val="0"/>
          <c:showBubbleSize val="0"/>
        </c:dLbls>
        <c:gapWidth val="150"/>
        <c:overlap val="0"/>
        <c:axId val="658337266"/>
        <c:axId val="973576089"/>
      </c:barChart>
      <c:catAx>
        <c:axId val="65833726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3576089"/>
        <c:crosses val="autoZero"/>
        <c:auto val="1"/>
        <c:lblAlgn val="ctr"/>
        <c:lblOffset val="100"/>
        <c:noMultiLvlLbl val="0"/>
      </c:catAx>
      <c:valAx>
        <c:axId val="97357608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8337266"/>
        <c:crosses val="autoZero"/>
        <c:crossBetween val="between"/>
      </c:valAx>
      <c:spPr>
        <a:noFill/>
        <a:ln>
          <a:noFill/>
        </a:ln>
        <a:effectLst/>
      </c:spPr>
    </c:plotArea>
    <c:legend>
      <c:legendPos val="r"/>
      <c:layout>
        <c:manualLayout>
          <c:xMode val="edge"/>
          <c:yMode val="edge"/>
          <c:x val="0.533333333333333"/>
          <c:y val="0.87703703703703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2018年一般公共预算财政拨款支出</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工作表.xls]Sheet1'!$A$11:$A$12</c:f>
              <c:strCache>
                <c:ptCount val="2"/>
                <c:pt idx="0">
                  <c:v>社会保障和就业支出</c:v>
                </c:pt>
                <c:pt idx="1">
                  <c:v>医疗卫生支出</c:v>
                </c:pt>
              </c:strCache>
            </c:strRef>
          </c:cat>
          <c:val>
            <c:numRef>
              <c:f>'[新建 XLS 工作表.xls]Sheet1'!$B$11:$B$12</c:f>
              <c:numCache>
                <c:formatCode>General</c:formatCode>
                <c:ptCount val="2"/>
                <c:pt idx="0">
                  <c:v>39</c:v>
                </c:pt>
                <c:pt idx="1">
                  <c:v>187.35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178819444444444"/>
          <c:y val="0.325231481481482"/>
          <c:w val="0.400694444444444"/>
          <c:h val="0.667824074074074"/>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工作表.xls]Sheet1'!$A$13:$A$15</c:f>
              <c:strCache>
                <c:ptCount val="3"/>
                <c:pt idx="0">
                  <c:v>因公出国</c:v>
                </c:pt>
                <c:pt idx="1">
                  <c:v>公务用车购置及运行维护费</c:v>
                </c:pt>
                <c:pt idx="2">
                  <c:v>公务接待费</c:v>
                </c:pt>
              </c:strCache>
            </c:strRef>
          </c:cat>
          <c:val>
            <c:numRef>
              <c:f>'[新建 XLS 工作表.xls]Sheet1'!$B$13:$B$15</c:f>
              <c:numCache>
                <c:formatCode>General</c:formatCode>
                <c:ptCount val="3"/>
                <c:pt idx="0">
                  <c:v>0</c:v>
                </c:pt>
                <c:pt idx="1">
                  <c:v>0</c:v>
                </c:pt>
                <c:pt idx="2">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22</Pages>
  <Words>1435</Words>
  <Characters>8185</Characters>
  <Lines>68</Lines>
  <Paragraphs>19</Paragraphs>
  <TotalTime>166</TotalTime>
  <ScaleCrop>false</ScaleCrop>
  <LinksUpToDate>false</LinksUpToDate>
  <CharactersWithSpaces>9601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陶淑群</cp:lastModifiedBy>
  <cp:lastPrinted>2019-08-01T00:48:00Z</cp:lastPrinted>
  <dcterms:modified xsi:type="dcterms:W3CDTF">2019-11-01T03:34:46Z</dcterms:modified>
  <dc:title>四川省***</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